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3388">
      <w:pPr>
        <w:spacing w:line="240" w:lineRule="exact"/>
        <w:jc w:val="center"/>
        <w:rPr>
          <w:rFonts w:hint="eastAsia" w:ascii="Times New Roman" w:hAnsi="Times New Roman" w:eastAsia="方正小标宋简体"/>
          <w:b/>
          <w:color w:val="FF0000"/>
          <w:w w:val="70"/>
          <w:sz w:val="110"/>
          <w:szCs w:val="110"/>
        </w:rPr>
      </w:pPr>
      <w:bookmarkStart w:id="0" w:name="_GoBack"/>
      <w:bookmarkEnd w:id="0"/>
    </w:p>
    <w:p w14:paraId="638AEEC9">
      <w:pPr>
        <w:spacing w:line="240" w:lineRule="exact"/>
        <w:jc w:val="center"/>
        <w:rPr>
          <w:rFonts w:hint="eastAsia" w:ascii="Times New Roman" w:hAnsi="Times New Roman" w:eastAsia="方正小标宋简体"/>
          <w:b/>
          <w:color w:val="FF0000"/>
          <w:w w:val="70"/>
          <w:sz w:val="110"/>
          <w:szCs w:val="110"/>
        </w:rPr>
      </w:pPr>
    </w:p>
    <w:p w14:paraId="22414CB7">
      <w:pPr>
        <w:spacing w:line="240" w:lineRule="exact"/>
        <w:jc w:val="center"/>
        <w:rPr>
          <w:rFonts w:hint="eastAsia" w:ascii="Times New Roman" w:hAnsi="Times New Roman" w:eastAsia="方正小标宋简体"/>
          <w:b/>
          <w:color w:val="FF0000"/>
          <w:w w:val="70"/>
          <w:sz w:val="110"/>
          <w:szCs w:val="110"/>
        </w:rPr>
      </w:pPr>
    </w:p>
    <w:p w14:paraId="24887CDB">
      <w:pPr>
        <w:spacing w:line="240" w:lineRule="exact"/>
        <w:jc w:val="center"/>
        <w:rPr>
          <w:rFonts w:hint="eastAsia" w:ascii="Times New Roman" w:hAnsi="Times New Roman" w:eastAsia="方正小标宋简体"/>
          <w:b/>
          <w:color w:val="FF0000"/>
          <w:w w:val="70"/>
          <w:sz w:val="110"/>
          <w:szCs w:val="110"/>
        </w:rPr>
      </w:pPr>
    </w:p>
    <w:p w14:paraId="54753F2F">
      <w:pPr>
        <w:spacing w:line="240" w:lineRule="exact"/>
        <w:jc w:val="center"/>
        <w:rPr>
          <w:rFonts w:hint="eastAsia" w:ascii="Times New Roman" w:hAnsi="Times New Roman" w:eastAsia="方正小标宋简体"/>
          <w:b/>
          <w:color w:val="FF0000"/>
          <w:w w:val="70"/>
          <w:sz w:val="110"/>
          <w:szCs w:val="110"/>
        </w:rPr>
      </w:pPr>
    </w:p>
    <w:p w14:paraId="68EC3365">
      <w:pPr>
        <w:spacing w:line="0" w:lineRule="atLeast"/>
        <w:jc w:val="center"/>
        <w:rPr>
          <w:rFonts w:hint="eastAsia" w:ascii="Times New Roman" w:hAnsi="Times New Roman" w:eastAsia="仿宋_GB2312"/>
          <w:spacing w:val="-6"/>
          <w:sz w:val="32"/>
          <w:szCs w:val="32"/>
        </w:rPr>
      </w:pPr>
      <w:r>
        <w:rPr>
          <w:rFonts w:hint="eastAsia" w:ascii="Times New Roman" w:hAnsi="Times New Roman" w:eastAsia="方正小标宋简体"/>
          <w:b/>
          <w:color w:val="FF0000"/>
          <w:sz w:val="130"/>
          <w:szCs w:val="130"/>
        </w:rPr>
        <w:t xml:space="preserve">会 </w:t>
      </w:r>
      <w:r>
        <w:rPr>
          <w:rFonts w:ascii="Times New Roman" w:hAnsi="Times New Roman" w:eastAsia="方正小标宋简体"/>
          <w:b/>
          <w:color w:val="FF0000"/>
          <w:sz w:val="130"/>
          <w:szCs w:val="130"/>
        </w:rPr>
        <w:t>议</w:t>
      </w:r>
      <w:r>
        <w:rPr>
          <w:rFonts w:hint="eastAsia" w:ascii="Times New Roman" w:hAnsi="Times New Roman" w:eastAsia="方正小标宋简体"/>
          <w:b/>
          <w:color w:val="FF0000"/>
          <w:sz w:val="130"/>
          <w:szCs w:val="130"/>
        </w:rPr>
        <w:t xml:space="preserve"> </w:t>
      </w:r>
      <w:r>
        <w:rPr>
          <w:rFonts w:ascii="Times New Roman" w:hAnsi="Times New Roman" w:eastAsia="方正小标宋简体"/>
          <w:b/>
          <w:color w:val="FF0000"/>
          <w:sz w:val="130"/>
          <w:szCs w:val="130"/>
        </w:rPr>
        <w:t>纪</w:t>
      </w:r>
      <w:r>
        <w:rPr>
          <w:rFonts w:hint="eastAsia" w:ascii="Times New Roman" w:hAnsi="Times New Roman" w:eastAsia="方正小标宋简体"/>
          <w:b/>
          <w:color w:val="FF0000"/>
          <w:sz w:val="130"/>
          <w:szCs w:val="130"/>
        </w:rPr>
        <w:t xml:space="preserve"> </w:t>
      </w:r>
      <w:r>
        <w:rPr>
          <w:rFonts w:ascii="Times New Roman" w:hAnsi="Times New Roman" w:eastAsia="方正小标宋简体"/>
          <w:b/>
          <w:color w:val="FF0000"/>
          <w:sz w:val="130"/>
          <w:szCs w:val="130"/>
        </w:rPr>
        <w:t>要</w:t>
      </w:r>
      <w:r>
        <w:rPr>
          <w:rFonts w:hint="eastAsia" w:ascii="Times New Roman" w:hAnsi="Times New Roman" w:eastAsia="仿宋_GB2312"/>
          <w:b/>
          <w:color w:val="000000"/>
          <w:sz w:val="32"/>
          <w:szCs w:val="36"/>
        </w:rPr>
        <w:t xml:space="preserve">                              </w:t>
      </w:r>
    </w:p>
    <w:p w14:paraId="028DE81C">
      <w:pPr>
        <w:jc w:val="center"/>
        <w:rPr>
          <w:rFonts w:hint="eastAsia" w:ascii="Times New Roman" w:hAnsi="Times New Roman" w:eastAsia="仿宋_GB2312"/>
          <w:spacing w:val="-6"/>
          <w:sz w:val="32"/>
          <w:szCs w:val="32"/>
        </w:rPr>
      </w:pPr>
      <w:r>
        <w:rPr>
          <w:rFonts w:ascii="Times New Roman" w:hAnsi="Times New Roman" w:eastAsia="仿宋_GB2312"/>
          <w:spacing w:val="-6"/>
          <w:sz w:val="32"/>
          <w:szCs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55880</wp:posOffset>
                </wp:positionV>
                <wp:extent cx="5615940" cy="0"/>
                <wp:effectExtent l="0" t="20320" r="3810" b="36830"/>
                <wp:wrapTight wrapText="bothSides">
                  <wp:wrapPolygon>
                    <wp:start x="0" y="0"/>
                    <wp:lineTo x="21600" y="0"/>
                    <wp:lineTo x="0" y="0"/>
                  </wp:wrapPolygon>
                </wp:wrapTight>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1275">
                          <a:solidFill>
                            <a:srgbClr val="FF0000"/>
                          </a:solidFill>
                          <a:round/>
                        </a:ln>
                        <a:effectLst/>
                      </wps:spPr>
                      <wps:bodyPr/>
                    </wps:wsp>
                  </a:graphicData>
                </a:graphic>
              </wp:anchor>
            </w:drawing>
          </mc:Choice>
          <mc:Fallback>
            <w:pict>
              <v:line id="_x0000_s1026" o:spid="_x0000_s1026" o:spt="20" style="position:absolute;left:0pt;margin-left:0pt;margin-top:4.4pt;height:0pt;width:442.2pt;mso-wrap-distance-left:9pt;mso-wrap-distance-right:9pt;z-index:-251657216;mso-width-relative:page;mso-height-relative:page;" filled="f" stroked="t" coordsize="21600,21600" wrapcoords="0 0 21600 0 0 0" o:gfxdata="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WPl&#10;UtQAAAAEAQAADwAAAAAAAAABACAAAAAiAAAAZHJzL2Rvd25yZXYueG1sUEsBAhQAFAAAAAgAh07i&#10;QOz6qKftAQAAuQMAAA4AAAAAAAAAAQAgAAAAIwEAAGRycy9lMm9Eb2MueG1sUEsFBgAAAAAGAAYA&#10;WQEAAIIFAAAAAA==&#10;">
                <v:fill on="f" focussize="0,0"/>
                <v:stroke weight="3.25pt" color="#FF0000" joinstyle="round"/>
                <v:imagedata o:title=""/>
                <o:lock v:ext="edit" aspectratio="f"/>
                <w10:wrap type="tight"/>
              </v:line>
            </w:pict>
          </mc:Fallback>
        </mc:AlternateContent>
      </w:r>
      <w:r>
        <w:rPr>
          <w:rFonts w:hint="eastAsia" w:ascii="Times New Roman" w:hAnsi="Times New Roman" w:eastAsia="仿宋_GB2312"/>
          <w:spacing w:val="-6"/>
          <w:sz w:val="32"/>
          <w:szCs w:val="32"/>
        </w:rPr>
        <w:t xml:space="preserve"> </w:t>
      </w:r>
    </w:p>
    <w:p w14:paraId="6B4517D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 w:hAnsi="方正小标宋" w:eastAsia="方正小标宋" w:cs="方正小标宋"/>
          <w:b/>
          <w:bCs/>
          <w:sz w:val="44"/>
          <w:szCs w:val="44"/>
        </w:rPr>
      </w:pPr>
      <w:r>
        <w:rPr>
          <w:rFonts w:hint="eastAsia" w:ascii="方正小标宋" w:hAnsi="方正小标宋" w:eastAsia="方正小标宋" w:cs="方正小标宋"/>
          <w:b/>
          <w:bCs/>
          <w:sz w:val="44"/>
          <w:szCs w:val="44"/>
          <w:lang w:eastAsia="zh-CN"/>
        </w:rPr>
        <w:t>关于工业园区</w:t>
      </w:r>
      <w:r>
        <w:rPr>
          <w:rFonts w:hint="eastAsia" w:ascii="方正小标宋" w:hAnsi="方正小标宋" w:eastAsia="方正小标宋" w:cs="方正小标宋"/>
          <w:b/>
          <w:bCs/>
          <w:sz w:val="44"/>
          <w:szCs w:val="44"/>
          <w:lang w:val="en-US" w:eastAsia="zh-CN"/>
        </w:rPr>
        <w:t>重点领域防风险降事故百日攻坚专项整治行动工作</w:t>
      </w:r>
      <w:r>
        <w:rPr>
          <w:rFonts w:hint="eastAsia" w:ascii="方正小标宋" w:hAnsi="方正小标宋" w:eastAsia="方正小标宋" w:cs="方正小标宋"/>
          <w:b/>
          <w:bCs/>
          <w:sz w:val="44"/>
          <w:szCs w:val="44"/>
          <w:lang w:eastAsia="zh-CN"/>
        </w:rPr>
        <w:t>安排部署</w:t>
      </w:r>
    </w:p>
    <w:p w14:paraId="3BC5A39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 w:hAnsi="方正仿宋" w:eastAsia="方正仿宋" w:cs="方正仿宋"/>
          <w:b/>
          <w:bCs/>
          <w:sz w:val="32"/>
          <w:szCs w:val="32"/>
          <w:lang w:val="en-US" w:eastAsia="zh-CN"/>
        </w:rPr>
      </w:pPr>
      <w:r>
        <w:rPr>
          <w:rFonts w:hint="eastAsia" w:ascii="方正仿宋" w:hAnsi="方正仿宋" w:eastAsia="方正仿宋" w:cs="方正仿宋"/>
          <w:b/>
          <w:bCs/>
          <w:sz w:val="32"/>
          <w:szCs w:val="32"/>
          <w:lang w:val="en-US" w:eastAsia="zh-CN"/>
        </w:rPr>
        <w:t>（2024年9月27日）</w:t>
      </w:r>
    </w:p>
    <w:p w14:paraId="69600ABC">
      <w:pPr>
        <w:pStyle w:val="4"/>
        <w:keepNext w:val="0"/>
        <w:keepLines w:val="0"/>
        <w:pageBreakBefore w:val="0"/>
        <w:widowControl/>
        <w:suppressLineNumbers w:val="0"/>
        <w:tabs>
          <w:tab w:val="left" w:pos="1785"/>
        </w:tabs>
        <w:kinsoku/>
        <w:wordWrap/>
        <w:overflowPunct/>
        <w:topLinePunct w:val="0"/>
        <w:autoSpaceDE/>
        <w:autoSpaceDN/>
        <w:bidi w:val="0"/>
        <w:adjustRightInd/>
        <w:snapToGrid/>
        <w:spacing w:line="560" w:lineRule="exact"/>
        <w:ind w:firstLine="643" w:firstLineChars="200"/>
        <w:jc w:val="left"/>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为深入贯彻习近平总书记关于安全生产的重要论述，坚决落实国省市关于安全生产各项决策部署，深刻汲取近期事故、灾害教育，全面排查整治各类问题隐患，全力遏制事故，根据阆中市安委会《关于印发&lt;全市重点领域防风险降事故百日攻坚专项整治行动工作方案&gt;的通知》，经开区组织召开重点领域防风险降事故百日攻坚专项整治行动工作会议。</w:t>
      </w:r>
    </w:p>
    <w:p w14:paraId="1408DB99">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一、邓双副主任组织学习国省市关于安全生产工作会议精神</w:t>
      </w:r>
    </w:p>
    <w:p w14:paraId="219B27F6">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1.9月26日，四川省安委会2024年第三次全体成员会议暨全省安全生产、森林草原防灭火工作视频会议，省委副书记、省长施小琳出席并讲话，强调要认真落实全国安全生产和秋冬季森林草原防灭火视频会议部署，进一步突出压实责任、工作前移、力量前置和群防群治，扎实做好安全生产和森林草原防灭火各项工作，确保人民群众生命财产安全，为推动高质量发展、完成全年目标任务营造安全稳定环境。</w:t>
      </w:r>
    </w:p>
    <w:p w14:paraId="7CF0DAE5">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2.2024年第11次全省安全生产工作周调度会议暨应急管理系统集中整治群众身边不正之风和腐败问题工作推进会议精神。会议要求，各地各部门要站在讲政治的高度，树立全局观念、大局意识，在开展“安全生产月”系列活动的同时，紧盯重要时段、重点行业、重点领域、重点环节，及时发现隐患、有效化解风险，采取针对性措施有力防控，全面提升全省本质安全水平。</w:t>
      </w:r>
    </w:p>
    <w:p w14:paraId="6306E4E8">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二、张明雄副主任安排部署</w:t>
      </w:r>
      <w:r>
        <w:rPr>
          <w:rFonts w:hint="eastAsia" w:ascii="黑体" w:hAnsi="黑体" w:eastAsia="黑体" w:cs="黑体"/>
          <w:b/>
          <w:bCs/>
          <w:sz w:val="32"/>
          <w:szCs w:val="32"/>
          <w:lang w:val="en-US" w:eastAsia="zh-CN"/>
        </w:rPr>
        <w:t>重点领域防风险降事故百日攻坚专项整治行动工作</w:t>
      </w:r>
    </w:p>
    <w:p w14:paraId="4D20600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1.时间：从即日起至11月底。</w:t>
      </w:r>
    </w:p>
    <w:p w14:paraId="4C4897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2.整治范围和重点：结合安全生产治本攻坚三年行动、重大风险防范化解攻坚行动、“强安2024”监管执法专项行动等工作部署，园区企业以消防、有限空间、危险化学品等行业领域为重点，集中排查整治安全风险。</w:t>
      </w:r>
    </w:p>
    <w:p w14:paraId="416DA8B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3.工作机制：一是领导推进机领导分片联系机制，百日攻坚行动期间，成立百日攻坚领导小组，统筹推进百日攻坚专项整治。按照3次安全督导检查，相关检查情况由安全部存档；二是调度通报机制。每半月召开一次调度会议，分组就工作开展情况作发言；三是举报奖励机制。严格落实安全生产举报奖励制度，在百日攻坚行动期间，针对举报的安全生产突出违法行为和重大事故隐患的群众，一经核实，按照《阆中市安全生产委员会关于印发&lt;阆中市安全生产举报奖励办法&gt;的通知》（阆安委〔2020〕15号）有关规定给予奖励；四是现场会议机制。百日攻坚行动期间，针对发生一般生产安全事故的企业，在安全生产工作会议上检视发言。</w:t>
      </w:r>
    </w:p>
    <w:p w14:paraId="35B4E6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b/>
          <w:bCs/>
          <w:kern w:val="2"/>
          <w:sz w:val="32"/>
          <w:szCs w:val="32"/>
          <w:lang w:val="en-US" w:eastAsia="zh-CN" w:bidi="ar-SA"/>
        </w:rPr>
        <w:t>三、胡建主任提出</w:t>
      </w:r>
      <w:r>
        <w:rPr>
          <w:rFonts w:hint="eastAsia" w:ascii="黑体" w:hAnsi="黑体" w:eastAsia="黑体" w:cs="黑体"/>
          <w:sz w:val="32"/>
          <w:szCs w:val="32"/>
          <w:lang w:val="en-US" w:eastAsia="zh-CN"/>
        </w:rPr>
        <w:t>工作要求</w:t>
      </w:r>
    </w:p>
    <w:p w14:paraId="5DBA098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1.强化组织领导。主要领导亲自安排部署，分析、研判安全生产形势，及时研究解决安全生产中的突出问题，切实扛起“促发展、保平安”的政治责任。园区各企业要严格落实安全生产主体责任，推动百日攻坚行动落地落实。</w:t>
      </w:r>
    </w:p>
    <w:p w14:paraId="48875C2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2.确保工作质效。实行清单管理，建立问题隐患台账，逐一登记在册，明确整治责任人、完成时间，限期办结、动态清零，确保问题隐患整改触底见效。对一时不能整改的要采取责任、措施、资金、时限、预案“五落实”措施，严防因隐患整改不及时引发生产安全事故。</w:t>
      </w:r>
    </w:p>
    <w:p w14:paraId="47B1EAB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3.强化督导问效。对自查自改不认真、隐患整治不彻底、工作责任不落实，将对有关负责人员进行约谈；对于情节特别严重的，将按程序追究相关责任人的责任；对因责任和措施落实不到位导致事故发生的，将依法依规惩处。</w:t>
      </w:r>
    </w:p>
    <w:p w14:paraId="73AF52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sz w:val="32"/>
          <w:szCs w:val="32"/>
          <w:lang w:val="en-US" w:eastAsia="zh-CN"/>
        </w:rPr>
      </w:pPr>
      <w:r>
        <w:rPr>
          <w:rFonts w:hint="eastAsia" w:ascii="方正仿宋" w:hAnsi="方正仿宋" w:eastAsia="方正仿宋" w:cs="方正仿宋"/>
          <w:b/>
          <w:bCs/>
          <w:sz w:val="32"/>
          <w:szCs w:val="32"/>
          <w:lang w:val="en-US" w:eastAsia="zh-CN"/>
        </w:rPr>
        <w:t>参会人员：胡建、张明雄、邓双，安全生产办公室、环境保护部、党群工作部、财务审计部、建管部、拆迁安置部、企业服务中心的全体人员。</w:t>
      </w:r>
    </w:p>
    <w:p w14:paraId="23A986ED">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方正仿宋" w:hAnsi="方正仿宋" w:eastAsia="方正仿宋" w:cs="方正仿宋"/>
          <w:b/>
          <w:bCs/>
          <w:sz w:val="32"/>
          <w:szCs w:val="32"/>
          <w:lang w:val="en-US" w:eastAsia="zh-CN"/>
        </w:rPr>
      </w:pPr>
    </w:p>
    <w:p w14:paraId="70CB41F8">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ascii="Times New Roman" w:hAnsi="Times New Roman" w:eastAsia="仿宋_GB2312" w:cs="Times New Roman"/>
          <w:sz w:val="32"/>
          <w:szCs w:val="32"/>
        </w:rPr>
      </w:pPr>
      <w:r>
        <w:rPr>
          <w:rFonts w:hint="eastAsia" w:ascii="方正仿宋" w:hAnsi="方正仿宋" w:eastAsia="方正仿宋" w:cs="方正仿宋"/>
          <w:b/>
          <w:bCs/>
          <w:sz w:val="32"/>
          <w:szCs w:val="32"/>
          <w:lang w:val="en-US" w:eastAsia="zh-CN"/>
        </w:rPr>
        <w:t>（四川阆中经济开发区管理委员会办公室  整理）</w:t>
      </w:r>
    </w:p>
    <w:sectPr>
      <w:footerReference r:id="rId3" w:type="default"/>
      <w:pgSz w:w="11906" w:h="16838"/>
      <w:pgMar w:top="1701" w:right="1588" w:bottom="1701"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51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660F4E">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660F4E">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AD"/>
    <w:rsid w:val="00200CAA"/>
    <w:rsid w:val="00D67DAD"/>
    <w:rsid w:val="3EF80F6C"/>
    <w:rsid w:val="4A3D7A5A"/>
    <w:rsid w:val="4D435710"/>
    <w:rsid w:val="5357631C"/>
    <w:rsid w:val="5A226F67"/>
    <w:rsid w:val="619E005E"/>
    <w:rsid w:val="670818F0"/>
    <w:rsid w:val="6949654A"/>
    <w:rsid w:val="69665AFA"/>
    <w:rsid w:val="6A5A5E5A"/>
    <w:rsid w:val="714E1CE2"/>
    <w:rsid w:val="763F718E"/>
    <w:rsid w:val="77E6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1400</Words>
  <Characters>1430</Characters>
  <Lines>3</Lines>
  <Paragraphs>1</Paragraphs>
  <TotalTime>0</TotalTime>
  <ScaleCrop>false</ScaleCrop>
  <LinksUpToDate>false</LinksUpToDate>
  <CharactersWithSpaces>1466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2021-08-27T01:53:00Z</dcterms:created>
  <dc:creator>Administrator</dc:creator>
  <cp:lastModifiedBy>Administrator</cp:lastModifiedBy>
  <cp:lastPrinted>2024-12-20T03:22:33Z</cp:lastPrinted>
  <dcterms:modified xsi:type="dcterms:W3CDTF">2024-12-20T03:23:08Z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2E360A3B275D4BE392B350E28737F588_13</vt:lpwstr>
  </property>
</Properties>
</file>