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3" w:firstLineChars="200"/>
        <w:rPr>
          <w:rFonts w:hint="eastAsia" w:ascii="方正仿宋_GBK" w:hAnsi="方正仿宋_GBK" w:eastAsia="方正仿宋_GBK" w:cs="方正仿宋_GBK"/>
          <w:b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 w:val="0"/>
          <w:sz w:val="32"/>
          <w:szCs w:val="32"/>
          <w:lang w:val="en-US" w:eastAsia="zh-CN"/>
        </w:rPr>
        <w:t>5</w:t>
      </w:r>
      <w:r>
        <w:rPr>
          <w:rFonts w:hint="eastAsia" w:ascii="方正仿宋_GBK" w:hAnsi="方正仿宋_GBK" w:eastAsia="方正仿宋_GBK" w:cs="方正仿宋_GBK"/>
          <w:b/>
          <w:bCs w:val="0"/>
          <w:sz w:val="32"/>
          <w:szCs w:val="32"/>
        </w:rPr>
        <w:t>月</w:t>
      </w:r>
      <w:r>
        <w:rPr>
          <w:rFonts w:hint="eastAsia" w:ascii="方正仿宋_GBK" w:hAnsi="方正仿宋_GBK" w:eastAsia="方正仿宋_GBK" w:cs="方正仿宋_GBK"/>
          <w:b/>
          <w:bCs w:val="0"/>
          <w:sz w:val="32"/>
          <w:szCs w:val="32"/>
          <w:lang w:val="en-US" w:eastAsia="zh-CN"/>
        </w:rPr>
        <w:t>7</w:t>
      </w:r>
      <w:r>
        <w:rPr>
          <w:rFonts w:hint="eastAsia" w:ascii="方正仿宋_GBK" w:hAnsi="方正仿宋_GBK" w:eastAsia="方正仿宋_GBK" w:cs="方正仿宋_GBK"/>
          <w:b/>
          <w:bCs w:val="0"/>
          <w:sz w:val="32"/>
          <w:szCs w:val="32"/>
        </w:rPr>
        <w:t>日，国资中心主任</w:t>
      </w:r>
      <w:r>
        <w:rPr>
          <w:rFonts w:hint="eastAsia" w:ascii="方正仿宋_GBK" w:hAnsi="方正仿宋_GBK" w:eastAsia="方正仿宋_GBK" w:cs="方正仿宋_GBK"/>
          <w:b/>
          <w:bCs w:val="0"/>
          <w:sz w:val="32"/>
          <w:szCs w:val="32"/>
          <w:lang w:val="en-US" w:eastAsia="zh-CN"/>
        </w:rPr>
        <w:t>杨娜</w:t>
      </w:r>
      <w:r>
        <w:rPr>
          <w:rFonts w:hint="eastAsia" w:ascii="方正仿宋_GBK" w:hAnsi="方正仿宋_GBK" w:eastAsia="方正仿宋_GBK" w:cs="方正仿宋_GBK"/>
          <w:b/>
          <w:bCs w:val="0"/>
          <w:sz w:val="32"/>
          <w:szCs w:val="32"/>
        </w:rPr>
        <w:t>同志</w:t>
      </w:r>
      <w:r>
        <w:rPr>
          <w:rFonts w:hint="eastAsia" w:ascii="方正仿宋_GBK" w:hAnsi="方正仿宋_GBK" w:eastAsia="方正仿宋_GBK" w:cs="方正仿宋_GBK"/>
          <w:b/>
          <w:bCs w:val="0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b/>
          <w:bCs w:val="0"/>
          <w:sz w:val="32"/>
          <w:szCs w:val="32"/>
          <w:lang w:val="en-US" w:eastAsia="zh-CN"/>
        </w:rPr>
        <w:t>副主任张志兵、田斌同志带领国资中心</w:t>
      </w:r>
      <w:r>
        <w:rPr>
          <w:rFonts w:hint="eastAsia" w:ascii="方正仿宋_GBK" w:hAnsi="方正仿宋_GBK" w:eastAsia="方正仿宋_GBK" w:cs="方正仿宋_GBK"/>
          <w:b/>
          <w:bCs w:val="0"/>
          <w:sz w:val="32"/>
          <w:szCs w:val="32"/>
        </w:rPr>
        <w:t>产权评价股</w:t>
      </w:r>
      <w:r>
        <w:rPr>
          <w:rFonts w:hint="eastAsia" w:ascii="方正仿宋_GBK" w:hAnsi="方正仿宋_GBK" w:eastAsia="方正仿宋_GBK" w:cs="方正仿宋_GBK"/>
          <w:b/>
          <w:bCs w:val="0"/>
          <w:sz w:val="32"/>
          <w:szCs w:val="32"/>
          <w:lang w:val="en-US" w:eastAsia="zh-CN"/>
        </w:rPr>
        <w:t>相关人员</w:t>
      </w:r>
      <w:r>
        <w:rPr>
          <w:rFonts w:hint="eastAsia" w:ascii="方正仿宋_GBK" w:hAnsi="方正仿宋_GBK" w:eastAsia="方正仿宋_GBK" w:cs="方正仿宋_GBK"/>
          <w:b/>
          <w:bCs w:val="0"/>
          <w:sz w:val="32"/>
          <w:szCs w:val="32"/>
        </w:rPr>
        <w:t>到</w:t>
      </w:r>
      <w:r>
        <w:rPr>
          <w:rFonts w:hint="eastAsia" w:ascii="方正仿宋_GBK" w:hAnsi="方正仿宋_GBK" w:eastAsia="方正仿宋_GBK" w:cs="方正仿宋_GBK"/>
          <w:b/>
          <w:bCs w:val="0"/>
          <w:sz w:val="32"/>
          <w:szCs w:val="32"/>
          <w:lang w:val="en-US" w:eastAsia="zh-CN"/>
        </w:rPr>
        <w:t>城投公司、阆发集团、蜀阆公司，</w:t>
      </w:r>
      <w:r>
        <w:rPr>
          <w:rFonts w:hint="eastAsia" w:ascii="方正仿宋_GBK" w:hAnsi="方正仿宋_GBK" w:eastAsia="方正仿宋_GBK" w:cs="方正仿宋_GBK"/>
          <w:b/>
          <w:bCs w:val="0"/>
          <w:sz w:val="32"/>
          <w:szCs w:val="32"/>
        </w:rPr>
        <w:t>开展安全生产</w:t>
      </w:r>
      <w:r>
        <w:rPr>
          <w:rFonts w:hint="eastAsia" w:ascii="方正仿宋_GBK" w:hAnsi="方正仿宋_GBK" w:eastAsia="方正仿宋_GBK" w:cs="方正仿宋_GBK"/>
          <w:b/>
          <w:bCs w:val="0"/>
          <w:sz w:val="32"/>
          <w:szCs w:val="32"/>
          <w:lang w:val="en-US" w:eastAsia="zh-CN"/>
        </w:rPr>
        <w:t>和生态环保工作</w:t>
      </w:r>
      <w:r>
        <w:rPr>
          <w:rFonts w:hint="eastAsia" w:ascii="方正仿宋_GBK" w:hAnsi="方正仿宋_GBK" w:eastAsia="方正仿宋_GBK" w:cs="方正仿宋_GBK"/>
          <w:b/>
          <w:bCs w:val="0"/>
          <w:sz w:val="32"/>
          <w:szCs w:val="32"/>
        </w:rPr>
        <w:t>检查。</w:t>
      </w:r>
    </w:p>
    <w:p>
      <w:pPr>
        <w:jc w:val="center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160270" cy="2160270"/>
            <wp:effectExtent l="0" t="0" r="3810" b="3810"/>
            <wp:docPr id="2" name="图片 2" descr="bb5284a7c90186f240fb25655c28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b5284a7c90186f240fb25655c282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      </w:t>
      </w:r>
      <w:bookmarkStart w:id="0" w:name="_GoBack"/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2160270" cy="2160270"/>
            <wp:effectExtent l="0" t="0" r="3810" b="3810"/>
            <wp:docPr id="3" name="图片 3" descr="67e45b71a468f5772e943adaa27eac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e45b71a468f5772e943adaa27eac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检查组先前往城投公司公司黄连垭、永泰花园及蜀阆公司检查安全，在现场听取了城投公司、蜀阆公司主要负责人现场汇报，主要问题是部分灭火器箱体锈烂、消防栓箱内无消防皮龙及消防水枪头，随后前往阆发集团检查安全听取主要负责人现场工作汇报，以上问题经检查以现场传达并勒令整改。最后前往张飞北路财评中心查看公房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针对出现的问题，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杨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主任要求立即整改，要求各企业要进一步提高思想认识，严格落实企业安全生产主体责任，做到责任明确、定岗定位、落实到人，全面筑牢安全防线；严格落实24小时值班值守制度，坚持底线思维，加强风险研判，加大对重点区域、重点部位安全隐患排查力度，做到早发现、早处置，及时整改排查发现的问题，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扎实推进环境问题整改落实，建立健全生态环境保护长效机制，执行长期有效的整改措施，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确保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国资国企领域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的安全、稳定、有序，严防各类安全生产事故的发生。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hhYzhjNTkyOWQ4YzNiZDllNzBkMjIxYWY5Y2VlMmEifQ=="/>
  </w:docVars>
  <w:rsids>
    <w:rsidRoot w:val="00000000"/>
    <w:rsid w:val="1EE37A20"/>
    <w:rsid w:val="421A56A5"/>
    <w:rsid w:val="74EE6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2024-04-30T07:08:00Z</dcterms:created>
  <dc:creator>厉害了</dc:creator>
  <cp:lastModifiedBy>厉害了</cp:lastModifiedBy>
  <dcterms:modified xsi:type="dcterms:W3CDTF">2024-05-08T01:18:09Z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1F76502B307E4AC5A13DB71BACEFF074_12</vt:lpwstr>
  </property>
</Properties>
</file>