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distribute"/>
        <w:rPr>
          <w:rFonts w:hint="default" w:ascii="Times New Roman" w:hAnsi="Times New Roman" w:eastAsia="方正小标宋简体" w:cs="Times New Roman"/>
          <w:b/>
          <w:color w:val="FF0000"/>
          <w:spacing w:val="20"/>
          <w:w w:val="53"/>
          <w:sz w:val="116"/>
          <w:szCs w:val="114"/>
        </w:rPr>
      </w:pPr>
      <w:r>
        <w:rPr>
          <w:rFonts w:hint="default" w:ascii="Times New Roman" w:hAnsi="Times New Roman" w:eastAsia="方正小标宋简体" w:cs="Times New Roman"/>
          <w:b/>
          <w:color w:val="FF0000"/>
          <w:spacing w:val="20"/>
          <w:w w:val="53"/>
          <w:sz w:val="116"/>
          <w:szCs w:val="114"/>
        </w:rPr>
        <w:t>南充市高坪区城乡建设局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</wp:posOffset>
                </wp:positionV>
                <wp:extent cx="5760085" cy="23495"/>
                <wp:effectExtent l="0" t="41275" r="12065" b="495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85" cy="23495"/>
                        </a:xfrm>
                        <a:prstGeom prst="line">
                          <a:avLst/>
                        </a:prstGeom>
                        <a:ln w="825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pt;margin-top:0.3pt;height:1.85pt;width:453.55pt;z-index:251660288;mso-width-relative:page;mso-height-relative:page;" filled="f" stroked="t" coordsize="21600,21600" o:gfxdata="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MgWk3YAAAABgEAAA8AAAAAAAAAAQAgAAAA&#10;IgAAAGRycy9kb3ducmV2LnhtbFBLAQIUABQAAAAIAIdO4kCrVsNFCwIAAAcEAAAOAAAAAAAAAAEA&#10;IAAAACcBAABkcnMvZTJvRG9jLnhtbFBLBQYAAAAABgAGAFkBAACkBQAAAAA=&#10;">
                <v:fill on="f" focussize="0,0"/>
                <v:stroke weight="6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40" w:lineRule="exact"/>
        <w:jc w:val="center"/>
        <w:textAlignment w:val="auto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南充市高坪区城乡建设局</w:t>
      </w:r>
    </w:p>
    <w:p>
      <w:pPr>
        <w:pStyle w:val="2"/>
        <w:spacing w:before="0" w:after="0" w:line="640" w:lineRule="exact"/>
        <w:jc w:val="center"/>
        <w:rPr>
          <w:rFonts w:hint="default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关于在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城乡自建房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集中开展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安全生产大检查工作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的紧急通知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为认真贯彻习近平总书记关于“从根本上消除事故隐患”的重要指示精神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和近期省市区各级安全生产系列会议及2月3日局党委安全生产专题会议精神，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关于做好2024年春节期间安全防范工作的通知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南建安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〕1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《全区建筑工程领域安全生产专项整治工作实施方案》（高安委发〔2024〕1号）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安排部署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从即日起至2024年春节前在全区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城乡自建房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开展安全生产大检查行动，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现将有关事项通知如下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2465070</wp:posOffset>
                </wp:positionV>
                <wp:extent cx="5760085" cy="23495"/>
                <wp:effectExtent l="0" t="41275" r="12065" b="495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85" cy="23495"/>
                        </a:xfrm>
                        <a:prstGeom prst="line">
                          <a:avLst/>
                        </a:prstGeom>
                        <a:ln w="825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5pt;margin-top:194.1pt;height:1.85pt;width:453.55pt;z-index:251661312;mso-width-relative:page;mso-height-relative:page;" filled="f" stroked="t" coordsize="21600,21600" o:gfxdata="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GiHPbAAAACgEAAA8AAAAAAAAAAQAg&#10;AAAAIgAAAGRycy9kb3ducmV2LnhtbFBLAQIUABQAAAAIAIdO4kDPyH0dCwIAAAcEAAAOAAAAAAAA&#10;AAEAIAAAACoBAABkcnMvZTJvRG9jLnhtbFBLBQYAAAAABgAGAFkBAACnBQAAAAA=&#10;">
                <v:fill on="f" focussize="0,0"/>
                <v:stroke weight="6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开展安全生产大检查，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全区城乡建设系统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进一步健全风险分级管控和隐患排查治理双重预防机制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建立落实风险“常态研判、动态管控”和隐患“动态清零”制度，实现风险全感知、隐患全排查、责任全落实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切实把风险化解在隐患形成之前，把隐患消除在成灾之前，坚决遏制重特大事故、控制较大事故、减少一般事故，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为喜迎2024年春节提供祥和稳定的社会氛围。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二、重点检查内容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重点排查整治存在安全隐患的房屋用作经营用途；存在结构倒塌风险、危及公共安全的房屋未采取停止使用、人员撤离、封闭隔离等管控措施；建筑使用年限超过设计寿命；失养失修严重、主体承重结构破坏等存在质量和使用安全隐患；房屋结构改变、建筑面积改变、层数改变、地下空间变化；擅自改变建筑主要使用功能，改变后不满足新使用功能的质量安全、消防安全等要求；房屋主体结构有倾斜；房屋承重墙体、梁柱等部位有影响结构安全的裂缝；房屋地基有沉降、塌陷，周边场地出现沉降、开裂等现象；经房屋安全鉴定为C、D级危房；使用易燃可燃建筑材料建设；受地质灾害威胁地区的房屋建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三、组织机构及职责分工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为确保本次集中检查顺利开展并取得实效，成立2个高坪区城乡自建房领域安全生产大检查工作领导小组，具体组成人员如下：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第一检查组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长：卿  轲  局党委委员、副局长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副组长：王宗晏  局村镇股长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员：龙  伟  局村镇股副股长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  责：负责对乡镇自建房开展安全生产大检查。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第二检查组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长：蓝  琳  局党委委员、总工程师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副组长：袁  朋  局建管股长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员：岳生波  局建管股工作人员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周  斌  局建管股工作人员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  责：负责对城镇自建房开展安全生产大检查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2" w:lineRule="exact"/>
        <w:ind w:left="0" w:leftChars="0" w:firstLine="643" w:firstLineChars="200"/>
        <w:textAlignment w:val="auto"/>
        <w:rPr>
          <w:rFonts w:ascii="黑体" w:hAnsi="黑体" w:eastAsia="黑体" w:cs="黑体"/>
          <w:b/>
          <w:bCs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、工作要求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left="0" w:leftChars="0" w:firstLine="643"/>
        <w:textAlignment w:val="auto"/>
        <w:rPr>
          <w:rFonts w:ascii="Times New Roman" w:hAnsi="Times New Roman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（一）提高思想认识，加强组织领导。</w:t>
      </w:r>
      <w:r>
        <w:rPr>
          <w:rFonts w:ascii="Times New Roman" w:hAnsi="Times New Roman" w:cs="Times New Roman"/>
          <w:b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本次安全生产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大检查</w:t>
      </w:r>
      <w:r>
        <w:rPr>
          <w:rFonts w:ascii="Times New Roman" w:hAnsi="Times New Roman" w:cs="Times New Roman"/>
          <w:b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区委区政府</w:t>
      </w:r>
      <w:r>
        <w:rPr>
          <w:rFonts w:ascii="Times New Roman" w:hAnsi="Times New Roman" w:cs="Times New Roman"/>
          <w:b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部署的一项重点工作任务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务必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Times New Roman" w:hAnsi="Times New Roman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高度重视，</w:t>
      </w:r>
      <w:r>
        <w:rPr>
          <w:rFonts w:ascii="Times New Roman" w:hAnsi="Times New Roman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切实增强政治自觉和行动自觉</w:t>
      </w:r>
      <w:r>
        <w:rPr>
          <w:rFonts w:hint="eastAsia" w:ascii="Times New Roman" w:hAnsi="Times New Roman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精心组织，立即行动。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2" w:lineRule="exact"/>
        <w:ind w:left="0" w:leftChars="0" w:firstLine="420"/>
        <w:textAlignment w:val="auto"/>
        <w:rPr>
          <w:rFonts w:ascii="Times New Roman" w:hAnsi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（二）强化统筹部署，有序推进工作。</w:t>
      </w:r>
      <w:r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要结合工作实</w:t>
      </w:r>
      <w:r>
        <w:rPr>
          <w:rFonts w:ascii="Times New Roman" w:hAnsi="Times New Roman" w:eastAsia="仿宋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际，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ascii="Times New Roman" w:hAnsi="Times New Roman" w:eastAsia="仿宋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统筹兼顾、综合安排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如缺乏专业技术人员的经请示分管领导同</w:t>
      </w: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意后，</w:t>
      </w: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鼓励聘请</w:t>
      </w: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行业领域内</w:t>
      </w: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安全专家提供业务指导和技术服务，促进行业主管部门安全生产监管及检查专业化、规范化</w:t>
      </w: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持续推动防范化解风险隐患</w:t>
      </w: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确保</w:t>
      </w:r>
      <w:r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取得实效</w:t>
      </w:r>
      <w:r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left="0" w:leftChars="0" w:firstLine="643"/>
        <w:textAlignment w:val="auto"/>
        <w:rPr>
          <w:rFonts w:ascii="Times New Roman" w:hAnsi="Times New Roman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（三）强化整改，加大督办力度。</w:t>
      </w:r>
      <w:r>
        <w:rPr>
          <w:rFonts w:hint="default" w:ascii="Times New Roman" w:hAnsi="Times New Roman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要结合工作实际，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采取</w:t>
      </w:r>
      <w:r>
        <w:rPr>
          <w:rFonts w:hint="default" w:ascii="Times New Roman" w:hAnsi="Times New Roman" w:eastAsia="仿宋" w:cs="Times New Roman"/>
          <w:b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“四不两直”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、明查暗访、突击检查等方式，</w:t>
      </w:r>
      <w:r>
        <w:rPr>
          <w:rFonts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坚持源头治理、系统治理、综合治理、专项治理“四大治理”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即查即改、边查边改，做到排查整改、移交查处、督查督办贯穿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大检查</w:t>
      </w:r>
      <w:r>
        <w:rPr>
          <w:rFonts w:ascii="Times New Roman" w:hAnsi="Times New Roman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全过程。</w:t>
      </w:r>
      <w:r>
        <w:rPr>
          <w:rFonts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对实行全覆盖排查检查，带着专家查，找准问题查，确保问题隐患找准、整改措施科学规范。对问题隐患要建立台账，明确风险等级，针对不同等级问题隐患落实相应治理措施和领导责任，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并落实专人跟踪问效，确保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问题隐患及时</w:t>
      </w:r>
      <w:r>
        <w:rPr>
          <w:rFonts w:ascii="Times New Roman" w:hAnsi="Times New Roman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整改到位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严防因整改不力导致生产安全事故。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left="0" w:leftChars="0" w:firstLine="643" w:firstLineChars="200"/>
        <w:textAlignment w:val="auto"/>
        <w:rPr>
          <w:rFonts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请责任单位要对照重点检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查表（见附表）逐项检查，并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如实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填写检查情况，于2024年2月9日前将检查表交局安办，以便汇总上报。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left="0" w:leftChars="0"/>
        <w:textAlignment w:val="auto"/>
        <w:rPr>
          <w:rFonts w:ascii="Times New Roman" w:hAnsi="Times New Roman" w:eastAsia="仿宋" w:cs="Times New Roman"/>
          <w:b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left="0" w:leftChars="0" w:firstLine="643" w:firstLineChars="200"/>
        <w:textAlignment w:val="auto"/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附表：高坪区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城乡自建房领域</w:t>
      </w:r>
      <w:r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业安全生产检查记录表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textAlignment w:val="auto"/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textAlignment w:val="auto"/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textAlignment w:val="auto"/>
        <w:rPr>
          <w:rFonts w:hint="eastAsia" w:ascii="Times New Roman" w:hAnsi="Times New Roman" w:eastAsia="仿宋" w:cs="Times New Roman"/>
          <w:b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2" w:lineRule="exact"/>
        <w:ind w:left="0" w:leftChars="0" w:firstLine="4819" w:firstLineChars="1500"/>
        <w:textAlignment w:val="auto"/>
        <w:rPr>
          <w:rFonts w:ascii="Times New Roman" w:hAnsi="Times New Roman" w:eastAsia="仿宋" w:cs="Times New Roman"/>
          <w:b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南充市高坪区城乡建设局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2" w:lineRule="exact"/>
        <w:ind w:left="0" w:leftChars="0" w:firstLine="5461" w:firstLineChars="1700"/>
        <w:textAlignment w:val="auto"/>
        <w:rPr>
          <w:rFonts w:ascii="Times New Roman" w:hAnsi="Times New Roman" w:eastAsia="仿宋" w:cs="Times New Roman"/>
          <w:b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2024年2月3日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</w:p>
    <w:p>
      <w:pPr>
        <w:widowControl/>
        <w:adjustRightInd w:val="0"/>
        <w:snapToGrid w:val="0"/>
        <w:spacing w:line="400" w:lineRule="exact"/>
        <w:jc w:val="center"/>
        <w:rPr>
          <w:rFonts w:ascii="Times New Roman" w:hAnsi="Times New Roman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高坪区城乡自建房安全生产检查表</w:t>
      </w:r>
    </w:p>
    <w:p>
      <w:pPr>
        <w:pStyle w:val="8"/>
        <w:spacing w:beforeAutospacing="0" w:afterAutospacing="0" w:line="400" w:lineRule="exact"/>
        <w:jc w:val="both"/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0"/>
        <w:tblW w:w="52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296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事项清单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梁、板、柱、墙体等主体结构是否有明显开裂、变形、倾斜、损伤等现象</w:t>
            </w: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地基是否沉降</w:t>
            </w: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非法开挖地下空间</w:t>
            </w: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是否开展农村自建房安全隐患排查复核工作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是否开展自建房安全隐患排查科普知识宣传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是否存在漏排错排的情况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是否建立问题隐患台账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是否准确的将每栋房屋信息录入信息归集平台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是否按《方案》要求完成复核排查工作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bookmarkStart w:id="0" w:name="_GoBack"/>
            <w:bookmarkEnd w:id="0"/>
          </w:p>
        </w:tc>
        <w:tc>
          <w:tcPr>
            <w:tcW w:w="7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是否及时开展安全性鉴定(鉴定结论是否准确)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exact"/>
          <w:tblHeader/>
          <w:jc w:val="center"/>
        </w:trPr>
        <w:tc>
          <w:tcPr>
            <w:tcW w:w="72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left"/>
              <w:rPr>
                <w:rFonts w:hint="default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检查意见</w:t>
            </w:r>
          </w:p>
        </w:tc>
        <w:tc>
          <w:tcPr>
            <w:tcW w:w="878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简体" w:hAnsi="Times New Roman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spacing w:beforeAutospacing="0" w:afterAutospacing="0" w:line="500" w:lineRule="exac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>属地</w:t>
      </w:r>
      <w:r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负责人（签字）：</w:t>
      </w:r>
      <w:r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检查人（签字）：</w:t>
      </w:r>
      <w:r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方正仿宋_GBK"/>
          <w:b/>
          <w:bCs/>
          <w:color w:val="000000" w:themeColor="text1"/>
          <w:kern w:val="2"/>
          <w:szCs w:val="21"/>
          <w14:textFill>
            <w14:solidFill>
              <w14:schemeClr w14:val="tx1"/>
            </w14:solidFill>
          </w14:textFill>
        </w:rPr>
        <w:t>检查日期：</w:t>
      </w:r>
    </w:p>
    <w:sectPr>
      <w:footerReference r:id="rId3" w:type="default"/>
      <w:pgSz w:w="11906" w:h="16838"/>
      <w:pgMar w:top="1928" w:right="1474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MGJjNGU3NDNhNDZjNTRlZDdmMDM4M2U4YmUwY2YifQ=="/>
  </w:docVars>
  <w:rsids>
    <w:rsidRoot w:val="378E132C"/>
    <w:rsid w:val="1A59294C"/>
    <w:rsid w:val="22642FD6"/>
    <w:rsid w:val="378E132C"/>
    <w:rsid w:val="50CE0AA4"/>
    <w:rsid w:val="517F10B0"/>
    <w:rsid w:val="54C21296"/>
    <w:rsid w:val="6A3761EA"/>
    <w:rsid w:val="747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  <w:szCs w:val="32"/>
    </w:rPr>
  </w:style>
  <w:style w:type="paragraph" w:styleId="4">
    <w:name w:val="Body Text First Indent"/>
    <w:basedOn w:val="3"/>
    <w:autoRedefine/>
    <w:qFormat/>
    <w:uiPriority w:val="0"/>
    <w:pPr>
      <w:spacing w:line="500" w:lineRule="exact"/>
      <w:ind w:firstLine="420"/>
    </w:pPr>
    <w:rPr>
      <w:rFonts w:eastAsia="楷体_GB2312"/>
      <w:sz w:val="28"/>
    </w:rPr>
  </w:style>
  <w:style w:type="paragraph" w:styleId="5">
    <w:name w:val="Body Text Indent 2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公文主体"/>
    <w:basedOn w:val="1"/>
    <w:autoRedefine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character" w:customStyle="1" w:styleId="13">
    <w:name w:val="二级标题 Char"/>
    <w:link w:val="14"/>
    <w:autoRedefine/>
    <w:qFormat/>
    <w:uiPriority w:val="99"/>
    <w:rPr>
      <w:rFonts w:eastAsia="楷体_GB2312"/>
    </w:rPr>
  </w:style>
  <w:style w:type="paragraph" w:customStyle="1" w:styleId="14">
    <w:name w:val="二级标题"/>
    <w:basedOn w:val="12"/>
    <w:next w:val="12"/>
    <w:link w:val="13"/>
    <w:autoRedefine/>
    <w:qFormat/>
    <w:uiPriority w:val="99"/>
    <w:pPr>
      <w:outlineLvl w:val="3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2024-02-04T02:35:00Z</dcterms:created>
  <dc:creator>ji'jia'zhu'ban</dc:creator>
  <cp:lastModifiedBy>Administrator</cp:lastModifiedBy>
  <dcterms:modified xsi:type="dcterms:W3CDTF">2024-02-04T09:07:44Z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3F5ACE6D7D354FE4A827A60E610515D5</vt:lpwstr>
  </property>
</Properties>
</file>