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t>阆中市房地产服务中心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t>关于</w:t>
      </w:r>
      <w:r>
        <w:rPr>
          <w:rFonts w:hint="eastAsia" w:eastAsia="方正小标宋_GBK" w:cs="Times New Roman"/>
          <w:b/>
          <w:bCs/>
          <w:color w:val="000000" w:themeColor="text1"/>
          <w:sz w:val="44"/>
          <w:szCs w:val="44"/>
          <w:lang w:eastAsia="zh-CN"/>
          <w14:textFill>
            <w14:solidFill>
              <w14:schemeClr w14:val="tx1"/>
            </w14:solidFill>
          </w14:textFill>
        </w:rPr>
        <w:t>印发</w:t>
      </w:r>
      <w:bookmarkStart w:id="0" w:name="_GoBack"/>
      <w:bookmarkEnd w:id="0"/>
      <w:r>
        <w:rPr>
          <w:rFonts w:hint="default" w:ascii="Times New Roman" w:hAnsi="Times New Roman" w:eastAsia="方正小标宋_GBK" w:cs="Times New Roman"/>
          <w:b/>
          <w:bCs/>
          <w:color w:val="000000" w:themeColor="text1"/>
          <w:sz w:val="44"/>
          <w:szCs w:val="44"/>
          <w14:textFill>
            <w14:solidFill>
              <w14:schemeClr w14:val="tx1"/>
            </w14:solidFill>
          </w14:textFill>
        </w:rPr>
        <w:t>《</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全市房产领域</w:t>
      </w:r>
      <w:r>
        <w:rPr>
          <w:rFonts w:hint="default" w:ascii="Times New Roman" w:hAnsi="Times New Roman" w:eastAsia="方正小标宋_GBK" w:cs="Times New Roman"/>
          <w:b/>
          <w:bCs/>
          <w:color w:val="000000" w:themeColor="text1"/>
          <w:sz w:val="44"/>
          <w:szCs w:val="44"/>
          <w14:textFill>
            <w14:solidFill>
              <w14:schemeClr w14:val="tx1"/>
            </w14:solidFill>
          </w14:textFill>
        </w:rPr>
        <w:t>安全生产“</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强</w:t>
      </w:r>
      <w:r>
        <w:rPr>
          <w:rFonts w:hint="default" w:ascii="Times New Roman" w:hAnsi="Times New Roman" w:eastAsia="方正小标宋_GBK" w:cs="Times New Roman"/>
          <w:b/>
          <w:bCs/>
          <w:color w:val="000000" w:themeColor="text1"/>
          <w:sz w:val="44"/>
          <w:szCs w:val="44"/>
          <w14:textFill>
            <w14:solidFill>
              <w14:schemeClr w14:val="tx1"/>
            </w14:solidFill>
          </w14:textFill>
        </w:rPr>
        <w:t>安202</w:t>
      </w:r>
      <w:r>
        <w:rPr>
          <w:rFonts w:hint="eastAsia" w:eastAsia="方正小标宋_GBK" w:cs="Times New Roman"/>
          <w:b/>
          <w:bCs/>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b/>
          <w:bCs/>
          <w:color w:val="000000" w:themeColor="text1"/>
          <w:sz w:val="44"/>
          <w:szCs w:val="44"/>
          <w14:textFill>
            <w14:solidFill>
              <w14:schemeClr w14:val="tx1"/>
            </w14:solidFill>
          </w14:textFill>
        </w:rPr>
        <w:t>”监管执法专项行动实施方案》的通知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eastAsia="zh-CN"/>
          <w14:textFill>
            <w14:solidFill>
              <w14:schemeClr w14:val="tx1"/>
            </w14:solidFill>
          </w14:textFill>
        </w:rPr>
        <w:t>各股室，所</w:t>
      </w:r>
      <w:r>
        <w:rPr>
          <w:rFonts w:hint="default" w:ascii="Times New Roman" w:hAnsi="Times New Roman" w:cs="Times New Roman"/>
          <w:b/>
          <w:bCs/>
          <w:color w:val="000000" w:themeColor="text1"/>
          <w14:textFill>
            <w14:solidFill>
              <w14:schemeClr w14:val="tx1"/>
            </w14:solidFill>
          </w14:textFill>
        </w:rPr>
        <w:t>，各物业服务企业：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eastAsia="zh-CN"/>
          <w14:textFill>
            <w14:solidFill>
              <w14:schemeClr w14:val="tx1"/>
            </w14:solidFill>
          </w14:textFill>
        </w:rPr>
        <w:t>为进一步夯实安全生产工作基础，推动安全生产治本攻坚三年行动落地落实，</w:t>
      </w:r>
      <w:r>
        <w:rPr>
          <w:rFonts w:hint="default" w:ascii="Times New Roman" w:hAnsi="Times New Roman" w:cs="Times New Roman"/>
          <w:b/>
          <w:bCs/>
          <w:color w:val="000000" w:themeColor="text1"/>
          <w14:textFill>
            <w14:solidFill>
              <w14:schemeClr w14:val="tx1"/>
            </w14:solidFill>
          </w14:textFill>
        </w:rPr>
        <w:t>按照</w:t>
      </w:r>
      <w:r>
        <w:rPr>
          <w:rFonts w:hint="eastAsia" w:cs="Times New Roman"/>
          <w:b/>
          <w:bCs/>
          <w:color w:val="000000" w:themeColor="text1"/>
          <w:lang w:eastAsia="zh-CN"/>
          <w14:textFill>
            <w14:solidFill>
              <w14:schemeClr w14:val="tx1"/>
            </w14:solidFill>
          </w14:textFill>
        </w:rPr>
        <w:t>四川省安全生产委员会办公室</w:t>
      </w:r>
      <w:r>
        <w:rPr>
          <w:rFonts w:hint="default" w:ascii="Times New Roman" w:hAnsi="Times New Roman" w:cs="Times New Roman"/>
          <w:b/>
          <w:bCs/>
          <w:color w:val="000000" w:themeColor="text1"/>
          <w14:textFill>
            <w14:solidFill>
              <w14:schemeClr w14:val="tx1"/>
            </w14:solidFill>
          </w14:textFill>
        </w:rPr>
        <w:t>《关于</w:t>
      </w:r>
      <w:r>
        <w:rPr>
          <w:rFonts w:hint="eastAsia" w:cs="Times New Roman"/>
          <w:b/>
          <w:bCs/>
          <w:color w:val="000000" w:themeColor="text1"/>
          <w:lang w:eastAsia="zh-CN"/>
          <w14:textFill>
            <w14:solidFill>
              <w14:schemeClr w14:val="tx1"/>
            </w14:solidFill>
          </w14:textFill>
        </w:rPr>
        <w:t>开展</w:t>
      </w:r>
      <w:r>
        <w:rPr>
          <w:rFonts w:hint="default" w:ascii="Times New Roman" w:hAnsi="Times New Roman" w:cs="Times New Roman"/>
          <w:b/>
          <w:bCs/>
          <w:color w:val="000000" w:themeColor="text1"/>
          <w14:textFill>
            <w14:solidFill>
              <w14:schemeClr w14:val="tx1"/>
            </w14:solidFill>
          </w14:textFill>
        </w:rPr>
        <w:t>全省安全生产“强安202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 监管执法专项行动</w:t>
      </w:r>
      <w:r>
        <w:rPr>
          <w:rFonts w:hint="eastAsia" w:cs="Times New Roman"/>
          <w:b/>
          <w:bCs/>
          <w:color w:val="000000" w:themeColor="text1"/>
          <w:lang w:eastAsia="zh-CN"/>
          <w14:textFill>
            <w14:solidFill>
              <w14:schemeClr w14:val="tx1"/>
            </w14:solidFill>
          </w14:textFill>
        </w:rPr>
        <w:t>的</w:t>
      </w:r>
      <w:r>
        <w:rPr>
          <w:rFonts w:hint="default" w:ascii="Times New Roman" w:hAnsi="Times New Roman" w:cs="Times New Roman"/>
          <w:b/>
          <w:bCs/>
          <w:color w:val="000000" w:themeColor="text1"/>
          <w14:textFill>
            <w14:solidFill>
              <w14:schemeClr w14:val="tx1"/>
            </w14:solidFill>
          </w14:textFill>
        </w:rPr>
        <w:t>通知》</w:t>
      </w:r>
      <w:r>
        <w:rPr>
          <w:rFonts w:hint="eastAsia"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川安</w:t>
      </w:r>
      <w:r>
        <w:rPr>
          <w:rFonts w:hint="eastAsia" w:cs="Times New Roman"/>
          <w:b/>
          <w:bCs/>
          <w:color w:val="000000" w:themeColor="text1"/>
          <w:lang w:eastAsia="zh-CN"/>
          <w14:textFill>
            <w14:solidFill>
              <w14:schemeClr w14:val="tx1"/>
            </w14:solidFill>
          </w14:textFill>
        </w:rPr>
        <w:t>办</w:t>
      </w:r>
      <w:r>
        <w:rPr>
          <w:rFonts w:hint="default" w:ascii="Times New Roman" w:hAnsi="Times New Roman" w:cs="Times New Roman"/>
          <w:b/>
          <w:bCs/>
          <w:color w:val="000000" w:themeColor="text1"/>
          <w14:textFill>
            <w14:solidFill>
              <w14:schemeClr w14:val="tx1"/>
            </w14:solidFill>
          </w14:textFill>
        </w:rPr>
        <w:t>〔202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w:t>
      </w:r>
      <w:r>
        <w:rPr>
          <w:rFonts w:hint="eastAsia" w:cs="Times New Roman"/>
          <w:b/>
          <w:bCs/>
          <w:color w:val="000000" w:themeColor="text1"/>
          <w:lang w:val="en-US" w:eastAsia="zh-CN"/>
          <w14:textFill>
            <w14:solidFill>
              <w14:schemeClr w14:val="tx1"/>
            </w14:solidFill>
          </w14:textFill>
        </w:rPr>
        <w:t>23</w:t>
      </w:r>
      <w:r>
        <w:rPr>
          <w:rFonts w:hint="default" w:ascii="Times New Roman" w:hAnsi="Times New Roman" w:cs="Times New Roman"/>
          <w:b/>
          <w:bCs/>
          <w:color w:val="000000" w:themeColor="text1"/>
          <w14:textFill>
            <w14:solidFill>
              <w14:schemeClr w14:val="tx1"/>
            </w14:solidFill>
          </w14:textFill>
        </w:rPr>
        <w:t>号</w:t>
      </w:r>
      <w:r>
        <w:rPr>
          <w:rFonts w:hint="eastAsia" w:cs="Times New Roman"/>
          <w:b/>
          <w:bCs/>
          <w:color w:val="000000" w:themeColor="text1"/>
          <w:lang w:eastAsia="zh-CN"/>
          <w14:textFill>
            <w14:solidFill>
              <w14:schemeClr w14:val="tx1"/>
            </w14:solidFill>
          </w14:textFill>
        </w:rPr>
        <w:t>），现将</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eastAsia="zh-CN"/>
          <w14:textFill>
            <w14:solidFill>
              <w14:schemeClr w14:val="tx1"/>
            </w14:solidFill>
          </w14:textFill>
        </w:rPr>
        <w:t>全市房产领域</w:t>
      </w:r>
      <w:r>
        <w:rPr>
          <w:rFonts w:hint="default" w:ascii="Times New Roman" w:hAnsi="Times New Roman" w:cs="Times New Roman"/>
          <w:b/>
          <w:bCs/>
          <w:color w:val="000000" w:themeColor="text1"/>
          <w14:textFill>
            <w14:solidFill>
              <w14:schemeClr w14:val="tx1"/>
            </w14:solidFill>
          </w14:textFill>
        </w:rPr>
        <w:t>安全生产“强安202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”监管执法专项行动实施方案》印发给你们，请结合实际认真贯彻落实。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855" w:firstLineChars="1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阆中市房地产服务中心</w:t>
      </w:r>
    </w:p>
    <w:p>
      <w:pPr>
        <w:keepNext w:val="0"/>
        <w:keepLines w:val="0"/>
        <w:pageBreakBefore w:val="0"/>
        <w:widowControl w:val="0"/>
        <w:kinsoku/>
        <w:wordWrap/>
        <w:overflowPunct/>
        <w:topLinePunct w:val="0"/>
        <w:autoSpaceDE/>
        <w:autoSpaceDN/>
        <w:bidi w:val="0"/>
        <w:adjustRightInd/>
        <w:snapToGrid/>
        <w:spacing w:line="560" w:lineRule="exact"/>
        <w:ind w:firstLine="4498" w:firstLineChars="14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年</w:t>
      </w: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月</w:t>
      </w: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全市房产领域</w:t>
      </w:r>
      <w:r>
        <w:rPr>
          <w:rFonts w:hint="default" w:ascii="Times New Roman" w:hAnsi="Times New Roman" w:eastAsia="方正小标宋_GBK" w:cs="Times New Roman"/>
          <w:b/>
          <w:bCs/>
          <w:color w:val="000000" w:themeColor="text1"/>
          <w:sz w:val="44"/>
          <w:szCs w:val="44"/>
          <w14:textFill>
            <w14:solidFill>
              <w14:schemeClr w14:val="tx1"/>
            </w14:solidFill>
          </w14:textFill>
        </w:rPr>
        <w:t>安全生产</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“强</w:t>
      </w:r>
      <w:r>
        <w:rPr>
          <w:rFonts w:hint="default" w:ascii="Times New Roman" w:hAnsi="Times New Roman" w:eastAsia="方正小标宋_GBK" w:cs="Times New Roman"/>
          <w:b/>
          <w:bCs/>
          <w:color w:val="000000" w:themeColor="text1"/>
          <w:sz w:val="44"/>
          <w:szCs w:val="44"/>
          <w14:textFill>
            <w14:solidFill>
              <w14:schemeClr w14:val="tx1"/>
            </w14:solidFill>
          </w14:textFill>
        </w:rPr>
        <w:t>安202</w:t>
      </w:r>
      <w:r>
        <w:rPr>
          <w:rFonts w:hint="eastAsia" w:eastAsia="方正小标宋_GBK" w:cs="Times New Roman"/>
          <w:b/>
          <w:bCs/>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b/>
          <w:bCs/>
          <w:color w:val="000000" w:themeColor="text1"/>
          <w:sz w:val="44"/>
          <w:szCs w:val="44"/>
          <w14:textFill>
            <w14:solidFill>
              <w14:schemeClr w14:val="tx1"/>
            </w14:solidFill>
          </w14:textFill>
        </w:rPr>
        <w:t>监管执法专项行动实施方案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按照省市安全生产“</w:t>
      </w:r>
      <w:r>
        <w:rPr>
          <w:rFonts w:hint="default" w:ascii="Times New Roman" w:hAnsi="Times New Roman" w:cs="Times New Roman"/>
          <w:b/>
          <w:bCs/>
          <w:color w:val="000000" w:themeColor="text1"/>
          <w:lang w:eastAsia="zh-CN"/>
          <w14:textFill>
            <w14:solidFill>
              <w14:schemeClr w14:val="tx1"/>
            </w14:solidFill>
          </w14:textFill>
        </w:rPr>
        <w:t>强</w:t>
      </w:r>
      <w:r>
        <w:rPr>
          <w:rFonts w:hint="default" w:ascii="Times New Roman" w:hAnsi="Times New Roman" w:cs="Times New Roman"/>
          <w:b/>
          <w:bCs/>
          <w:color w:val="000000" w:themeColor="text1"/>
          <w14:textFill>
            <w14:solidFill>
              <w14:schemeClr w14:val="tx1"/>
            </w14:solidFill>
          </w14:textFill>
        </w:rPr>
        <w:t>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”监管执法专项行动安排部署，结合行业实际，制定</w:t>
      </w:r>
      <w:r>
        <w:rPr>
          <w:rFonts w:hint="default" w:ascii="Times New Roman" w:hAnsi="Times New Roman" w:cs="Times New Roman"/>
          <w:b/>
          <w:bCs/>
          <w:color w:val="000000" w:themeColor="text1"/>
          <w:lang w:eastAsia="zh-CN"/>
          <w14:textFill>
            <w14:solidFill>
              <w14:schemeClr w14:val="tx1"/>
            </w14:solidFill>
          </w14:textFill>
        </w:rPr>
        <w:t>全市房产领域</w:t>
      </w:r>
      <w:r>
        <w:rPr>
          <w:rFonts w:hint="default" w:ascii="Times New Roman" w:hAnsi="Times New Roman" w:cs="Times New Roman"/>
          <w:b/>
          <w:bCs/>
          <w:color w:val="000000" w:themeColor="text1"/>
          <w14:textFill>
            <w14:solidFill>
              <w14:schemeClr w14:val="tx1"/>
            </w14:solidFill>
          </w14:textFill>
        </w:rPr>
        <w:t>安全生产“</w:t>
      </w:r>
      <w:r>
        <w:rPr>
          <w:rFonts w:hint="default" w:ascii="Times New Roman" w:hAnsi="Times New Roman" w:cs="Times New Roman"/>
          <w:b/>
          <w:bCs/>
          <w:color w:val="000000" w:themeColor="text1"/>
          <w:lang w:eastAsia="zh-CN"/>
          <w14:textFill>
            <w14:solidFill>
              <w14:schemeClr w14:val="tx1"/>
            </w14:solidFill>
          </w14:textFill>
        </w:rPr>
        <w:t>强</w:t>
      </w:r>
      <w:r>
        <w:rPr>
          <w:rFonts w:hint="default" w:ascii="Times New Roman" w:hAnsi="Times New Roman" w:cs="Times New Roman"/>
          <w:b/>
          <w:bCs/>
          <w:color w:val="000000" w:themeColor="text1"/>
          <w14:textFill>
            <w14:solidFill>
              <w14:schemeClr w14:val="tx1"/>
            </w14:solidFill>
          </w14:textFill>
        </w:rPr>
        <w:t>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”监管执法专项行动（以下简称“专项行动”）实施方案。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eastAsia="黑体"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切实将“时时放心不下”的责任感转化为“事事心中有底”的行动力，深刻汲取近年来生产安全事故教训，通过专项行动，推动企业主要负责人严格履行安全生产法定职责，推动企业员工落实安全生产岗位责任，企业排查整改重大事故隐患的质量明显提高;各有关部门对照“三管三必须”强化安全监管，针对重大事故隐患精准严格执法，发现问题和解决问题的意愿和能力水平显著提升。通过专项行动，基本消除 2023 年及以前排查发现的重大事故隐患存量，全面提升企业本质安全水平，坚决杜绝重特大事故、遏制较大事故、减少一般事故，</w:t>
      </w:r>
      <w:r>
        <w:rPr>
          <w:rFonts w:hint="default" w:ascii="Times New Roman" w:hAnsi="Times New Roman" w:cs="Times New Roman"/>
          <w:b/>
          <w:bCs/>
          <w:color w:val="000000" w:themeColor="text1"/>
          <w:lang w:eastAsia="zh-CN"/>
          <w14:textFill>
            <w14:solidFill>
              <w14:schemeClr w14:val="tx1"/>
            </w14:solidFill>
          </w14:textFill>
        </w:rPr>
        <w:t>营造</w:t>
      </w:r>
      <w:r>
        <w:rPr>
          <w:rFonts w:hint="default" w:ascii="Times New Roman" w:hAnsi="Times New Roman" w:cs="Times New Roman"/>
          <w:b/>
          <w:bCs/>
          <w:color w:val="000000" w:themeColor="text1"/>
          <w14:textFill>
            <w14:solidFill>
              <w14:schemeClr w14:val="tx1"/>
            </w14:solidFill>
          </w14:textFill>
        </w:rPr>
        <w:t>安全稳定和谐的社会环境。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二、行动时间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本次专项行动时间为202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年</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月至</w:t>
      </w:r>
      <w:r>
        <w:rPr>
          <w:rFonts w:hint="eastAsia" w:cs="Times New Roman"/>
          <w:b/>
          <w:bCs/>
          <w:color w:val="000000" w:themeColor="text1"/>
          <w:lang w:val="en-US" w:eastAsia="zh-CN"/>
          <w14:textFill>
            <w14:solidFill>
              <w14:schemeClr w14:val="tx1"/>
            </w14:solidFill>
          </w14:textFill>
        </w:rPr>
        <w:t>10</w:t>
      </w:r>
      <w:r>
        <w:rPr>
          <w:rFonts w:hint="default" w:ascii="Times New Roman" w:hAnsi="Times New Roman" w:cs="Times New Roman"/>
          <w:b/>
          <w:bCs/>
          <w:color w:val="000000" w:themeColor="text1"/>
          <w14:textFill>
            <w14:solidFill>
              <w14:schemeClr w14:val="tx1"/>
            </w14:solidFill>
          </w14:textFill>
        </w:rPr>
        <w:t>月底。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 xml:space="preserve">三、检查内容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lang w:eastAsia="zh-CN"/>
          <w14:textFill>
            <w14:solidFill>
              <w14:schemeClr w14:val="tx1"/>
            </w14:solidFill>
          </w14:textFill>
        </w:rPr>
        <w:t>重点以消防安全、燃气安全、建筑安全、特种设备、白蚁防治、易燃易爆等行业领域，集中开展监管执法专项行动。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一</w:t>
      </w:r>
      <w:r>
        <w:rPr>
          <w:rFonts w:hint="default" w:ascii="Times New Roman" w:hAnsi="Times New Roman" w:eastAsia="方正楷体简体" w:cs="Times New Roman"/>
          <w:b/>
          <w:bCs/>
          <w:sz w:val="32"/>
          <w:szCs w:val="32"/>
        </w:rPr>
        <w:t>）消防安全</w:t>
      </w:r>
      <w:r>
        <w:rPr>
          <w:rFonts w:hint="default" w:ascii="Times New Roman" w:hAnsi="Times New Roman" w:eastAsia="方正楷体简体" w:cs="Times New Roman"/>
          <w:b/>
          <w:bCs/>
          <w:sz w:val="32"/>
          <w:szCs w:val="32"/>
          <w:lang w:eastAsia="zh-CN"/>
        </w:rPr>
        <w:t>方面</w:t>
      </w:r>
      <w:r>
        <w:rPr>
          <w:rFonts w:hint="default" w:ascii="Times New Roman" w:hAnsi="Times New Roman" w:eastAsia="方正楷体简体" w:cs="Times New Roman"/>
          <w:b/>
          <w:bCs/>
          <w:sz w:val="32"/>
          <w:szCs w:val="32"/>
        </w:rPr>
        <w:t>。</w:t>
      </w:r>
      <w:r>
        <w:rPr>
          <w:rFonts w:hint="default" w:ascii="Times New Roman" w:hAnsi="Times New Roman" w:cs="Times New Roman"/>
          <w:b/>
          <w:bCs/>
          <w:color w:val="000000" w:themeColor="text1"/>
          <w:lang w:val="en-US" w:eastAsia="zh-CN"/>
          <w14:textFill>
            <w14:solidFill>
              <w14:schemeClr w14:val="tx1"/>
            </w14:solidFill>
          </w14:textFill>
        </w:rPr>
        <w:t>各股室、所，各物业企业以高层住宅建筑和地下住宅建筑、公房为重点，全面排查整治消防设施故障、消防通道堵塞、疏散通道不畅、火源管控不严等问题隐患，对存在重大事故隐患的，立即停产停业整顿。</w:t>
      </w:r>
      <w:r>
        <w:rPr>
          <w:rFonts w:hint="default" w:ascii="Times New Roman" w:hAnsi="Times New Roman" w:cs="Times New Roman"/>
          <w:b/>
          <w:bCs/>
          <w:color w:val="000000" w:themeColor="text1"/>
          <w14:textFill>
            <w14:solidFill>
              <w14:schemeClr w14:val="tx1"/>
            </w14:solidFill>
          </w14:textFill>
        </w:rPr>
        <w:t>《物业企业安全责任清单</w:t>
      </w:r>
      <w:r>
        <w:rPr>
          <w:rFonts w:hint="eastAsia"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2.0 版</w:t>
      </w:r>
      <w:r>
        <w:rPr>
          <w:rFonts w:hint="eastAsia"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》落实情况。</w:t>
      </w:r>
      <w:r>
        <w:rPr>
          <w:rFonts w:hint="default" w:ascii="Times New Roman" w:hAnsi="Times New Roman" w:cs="Times New Roman"/>
          <w:b/>
          <w:bCs/>
          <w:color w:val="000000" w:themeColor="text1"/>
          <w:lang w:val="en-US" w:eastAsia="zh-CN"/>
          <w14:textFill>
            <w14:solidFill>
              <w14:schemeClr w14:val="tx1"/>
            </w14:solidFill>
          </w14:textFill>
        </w:rPr>
        <w:t>扎实开展消防安全宣传，做到深入基层一线、进入每家每户，严防电气、燃气火灾、一氧化碳中毒和“小火亡人”事故发生</w:t>
      </w:r>
      <w:r>
        <w:rPr>
          <w:rFonts w:hint="eastAsia" w:cs="Times New Roman"/>
          <w:b/>
          <w:bCs/>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方正楷体简体" w:cs="Times New Roman"/>
          <w:b/>
          <w:bCs/>
          <w:sz w:val="32"/>
          <w:szCs w:val="32"/>
          <w:lang w:eastAsia="zh-CN"/>
        </w:rPr>
        <w:t>（二）城镇燃气安全方面。</w:t>
      </w:r>
      <w:r>
        <w:rPr>
          <w:rFonts w:hint="default" w:ascii="Times New Roman" w:hAnsi="Times New Roman" w:cs="Times New Roman"/>
          <w:b/>
          <w:bCs/>
          <w:color w:val="000000" w:themeColor="text1"/>
          <w:lang w:val="en-US" w:eastAsia="zh-CN"/>
          <w14:textFill>
            <w14:solidFill>
              <w14:schemeClr w14:val="tx1"/>
            </w14:solidFill>
          </w14:textFill>
        </w:rPr>
        <w:t>深入开展燃气安全宣传、排查整治，各物业企业积极配合燃气经营单位或行业主管部门开展燃气隐患排查整治工作，物业管理股负责协调、指导物业服务企业做好居民燃气使用安全知识宣传工作。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方正楷体简体" w:cs="Times New Roman"/>
          <w:b/>
          <w:bCs/>
          <w:sz w:val="32"/>
          <w:szCs w:val="32"/>
          <w:lang w:eastAsia="zh-CN"/>
        </w:rPr>
        <w:t>（三）物业项目房屋建筑安全方面。</w:t>
      </w:r>
      <w:r>
        <w:rPr>
          <w:rFonts w:hint="default" w:ascii="Times New Roman" w:hAnsi="Times New Roman" w:cs="Times New Roman"/>
          <w:b/>
          <w:bCs/>
          <w:color w:val="000000" w:themeColor="text1"/>
          <w:lang w:val="en-US" w:eastAsia="zh-CN"/>
          <w14:textFill>
            <w14:solidFill>
              <w14:schemeClr w14:val="tx1"/>
            </w14:solidFill>
          </w14:textFill>
        </w:rPr>
        <w:t>持续深入推进“两违”专项清查以及自建房建筑安全风险排查整治工作，物业企业做好服务区域内“两违”及自建房屋现象统计，并书面报告街道</w:t>
      </w:r>
      <w:r>
        <w:rPr>
          <w:rFonts w:hint="eastAsia" w:cs="Times New Roman"/>
          <w:b/>
          <w:bCs/>
          <w:color w:val="000000" w:themeColor="text1"/>
          <w:lang w:val="en-US" w:eastAsia="zh-CN"/>
          <w14:textFill>
            <w14:solidFill>
              <w14:schemeClr w14:val="tx1"/>
            </w14:solidFill>
          </w14:textFill>
        </w:rPr>
        <w:t>办</w:t>
      </w:r>
      <w:r>
        <w:rPr>
          <w:rFonts w:hint="default" w:ascii="Times New Roman" w:hAnsi="Times New Roman" w:cs="Times New Roman"/>
          <w:b/>
          <w:bCs/>
          <w:color w:val="000000" w:themeColor="text1"/>
          <w:lang w:val="en-US" w:eastAsia="zh-CN"/>
          <w14:textFill>
            <w14:solidFill>
              <w14:schemeClr w14:val="tx1"/>
            </w14:solidFill>
          </w14:textFill>
        </w:rPr>
        <w:t>、社区及行业主管部门、行政执法部门，由相关行政执法部门进行依法依规处理。同时，各物业企业加强物业小区、商业综合体消防安全风险隐患排查，严防火灾事故发生。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方正楷体简体" w:cs="Times New Roman"/>
          <w:b/>
          <w:bCs/>
          <w:sz w:val="32"/>
          <w:szCs w:val="32"/>
          <w:lang w:eastAsia="zh-CN"/>
        </w:rPr>
        <w:t>（四）特种设备安全方面。</w:t>
      </w:r>
      <w:r>
        <w:rPr>
          <w:rFonts w:hint="default" w:ascii="Times New Roman" w:hAnsi="Times New Roman" w:cs="Times New Roman"/>
          <w:b/>
          <w:bCs/>
          <w:color w:val="000000" w:themeColor="text1"/>
          <w:lang w:val="en-US" w:eastAsia="zh-CN"/>
          <w14:textFill>
            <w14:solidFill>
              <w14:schemeClr w14:val="tx1"/>
            </w14:solidFill>
          </w14:textFill>
        </w:rPr>
        <w:t>按照“管行业必管安全”的原则，紧盯物业小区电梯安全为重点领域，监督物业服务企业做好电梯安全管理工作，落实电梯检验、维保、维修、日常检查、人员持证等要求，根据实际加强安全监管和开展专项整治行动，全力查隐患、补短板、堵漏洞、及时整治消除事故隐患，有效防范化解电梯事故安全风险，确保物业小区电梯安全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方正楷体简体" w:cs="Times New Roman"/>
          <w:b/>
          <w:bCs/>
          <w:sz w:val="32"/>
          <w:szCs w:val="32"/>
          <w:lang w:eastAsia="zh-CN"/>
        </w:rPr>
        <w:t>（五）白蚁防治安全方面。</w:t>
      </w:r>
      <w:r>
        <w:rPr>
          <w:rFonts w:hint="default" w:ascii="Times New Roman" w:hAnsi="Times New Roman" w:cs="Times New Roman"/>
          <w:b/>
          <w:bCs/>
          <w:color w:val="000000" w:themeColor="text1"/>
          <w:lang w:val="en-US" w:eastAsia="zh-CN"/>
          <w14:textFill>
            <w14:solidFill>
              <w14:schemeClr w14:val="tx1"/>
            </w14:solidFill>
          </w14:textFill>
        </w:rPr>
        <w:t>白蚁所要加强白蚁药物保管和库房的消防设施维护。积极开展白蚁防治安全大检查，全面提高存放白蚁所药物检查消除消防火灾隐患能力、组织扑救初起火灾能力、组织人员疏散逃生能力、消防宣传教育培训能力“四个能力”建设。定期检查存放白蚁所药物存放点设立消防安全标识，加强白蚁防治宣传，提高群众的安全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eastAsia="方正楷体简体" w:cs="Times New Roman"/>
          <w:b/>
          <w:bCs/>
          <w:sz w:val="32"/>
          <w:szCs w:val="32"/>
          <w:lang w:val="en-US" w:eastAsia="zh-CN"/>
        </w:rPr>
        <w:t>（六）易燃易爆场所安全方面。</w:t>
      </w:r>
      <w:r>
        <w:rPr>
          <w:rFonts w:hint="default" w:ascii="Times New Roman" w:hAnsi="Times New Roman" w:cs="Times New Roman"/>
          <w:b/>
          <w:bCs/>
          <w:color w:val="000000" w:themeColor="text1"/>
          <w:lang w:val="en-US" w:eastAsia="zh-CN"/>
          <w14:textFill>
            <w14:solidFill>
              <w14:schemeClr w14:val="tx1"/>
            </w14:solidFill>
          </w14:textFill>
        </w:rPr>
        <w:t>物业企业要进一步加强对所服务区域易燃易爆物品储存、运输、经营、使用和废弃处置等各环节的安全监管、对重大危险源的监管监测，物业管理股督促指导企业开展风险管控和隐患排查治理，全面做好易燃易爆场所检查和整治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b/>
          <w:bCs/>
          <w:color w:val="000000" w:themeColor="text1"/>
          <w14:textFill>
            <w14:solidFill>
              <w14:schemeClr w14:val="tx1"/>
            </w14:solidFill>
          </w14:textFill>
        </w:rPr>
      </w:pPr>
      <w:r>
        <w:rPr>
          <w:rFonts w:hint="eastAsia" w:eastAsia="黑体" w:cs="Times New Roman"/>
          <w:b/>
          <w:bCs/>
          <w:color w:val="000000" w:themeColor="text1"/>
          <w:lang w:eastAsia="zh-CN"/>
          <w14:textFill>
            <w14:solidFill>
              <w14:schemeClr w14:val="tx1"/>
            </w14:solidFill>
          </w14:textFill>
        </w:rPr>
        <w:t>四</w:t>
      </w:r>
      <w:r>
        <w:rPr>
          <w:rFonts w:hint="default" w:ascii="Times New Roman" w:hAnsi="Times New Roman" w:eastAsia="黑体" w:cs="Times New Roman"/>
          <w:b/>
          <w:bCs/>
          <w:color w:val="000000" w:themeColor="text1"/>
          <w14:textFill>
            <w14:solidFill>
              <w14:schemeClr w14:val="tx1"/>
            </w14:solidFill>
          </w14:textFill>
        </w:rPr>
        <w:t xml:space="preserve">、实施步骤及方式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楷体" w:cs="Times New Roman"/>
          <w:b/>
          <w:bCs/>
          <w:color w:val="000000" w:themeColor="text1"/>
          <w14:textFill>
            <w14:solidFill>
              <w14:schemeClr w14:val="tx1"/>
            </w14:solidFill>
          </w14:textFill>
        </w:rPr>
        <w:t>（一）</w:t>
      </w:r>
      <w:r>
        <w:rPr>
          <w:rFonts w:hint="eastAsia" w:eastAsia="楷体" w:cs="Times New Roman"/>
          <w:b/>
          <w:bCs/>
          <w:color w:val="000000" w:themeColor="text1"/>
          <w:lang w:eastAsia="zh-CN"/>
          <w14:textFill>
            <w14:solidFill>
              <w14:schemeClr w14:val="tx1"/>
            </w14:solidFill>
          </w14:textFill>
        </w:rPr>
        <w:t>全面部署及</w:t>
      </w:r>
      <w:r>
        <w:rPr>
          <w:rFonts w:hint="default" w:ascii="Times New Roman" w:hAnsi="Times New Roman" w:eastAsia="楷体" w:cs="Times New Roman"/>
          <w:b/>
          <w:bCs/>
          <w:color w:val="000000" w:themeColor="text1"/>
          <w14:textFill>
            <w14:solidFill>
              <w14:schemeClr w14:val="tx1"/>
            </w14:solidFill>
          </w14:textFill>
        </w:rPr>
        <w:t>企业集中自查自改阶段</w:t>
      </w:r>
      <w:r>
        <w:rPr>
          <w:rFonts w:hint="default" w:ascii="Times New Roman" w:hAnsi="Times New Roman" w:cs="Times New Roman"/>
          <w:b/>
          <w:bCs/>
          <w:color w:val="000000" w:themeColor="text1"/>
          <w14:textFill>
            <w14:solidFill>
              <w14:schemeClr w14:val="tx1"/>
            </w14:solidFill>
          </w14:textFill>
        </w:rPr>
        <w:t>（即日起至</w:t>
      </w:r>
      <w:r>
        <w:rPr>
          <w:rFonts w:hint="eastAsia" w:cs="Times New Roman"/>
          <w:b/>
          <w:bCs/>
          <w:color w:val="000000" w:themeColor="text1"/>
          <w:lang w:val="en-US" w:eastAsia="zh-CN"/>
          <w14:textFill>
            <w14:solidFill>
              <w14:schemeClr w14:val="tx1"/>
            </w14:solidFill>
          </w14:textFill>
        </w:rPr>
        <w:t>2024年</w:t>
      </w: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月</w:t>
      </w:r>
      <w:r>
        <w:rPr>
          <w:rFonts w:hint="eastAsia" w:cs="Times New Roman"/>
          <w:b/>
          <w:bCs/>
          <w:color w:val="000000" w:themeColor="text1"/>
          <w:lang w:eastAsia="zh-CN"/>
          <w14:textFill>
            <w14:solidFill>
              <w14:schemeClr w14:val="tx1"/>
            </w14:solidFill>
          </w14:textFill>
        </w:rPr>
        <w:t>底</w:t>
      </w:r>
      <w:r>
        <w:rPr>
          <w:rFonts w:hint="default" w:ascii="Times New Roman" w:hAnsi="Times New Roman" w:cs="Times New Roman"/>
          <w:b/>
          <w:bCs/>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eastAsia="黑体"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各</w:t>
      </w:r>
      <w:r>
        <w:rPr>
          <w:rFonts w:hint="eastAsia" w:cs="Times New Roman"/>
          <w:b/>
          <w:bCs/>
          <w:color w:val="000000" w:themeColor="text1"/>
          <w:lang w:eastAsia="zh-CN"/>
          <w14:textFill>
            <w14:solidFill>
              <w14:schemeClr w14:val="tx1"/>
            </w14:solidFill>
          </w14:textFill>
        </w:rPr>
        <w:t>股室，所，</w:t>
      </w:r>
      <w:r>
        <w:rPr>
          <w:rFonts w:hint="default" w:ascii="Times New Roman" w:hAnsi="Times New Roman" w:cs="Times New Roman"/>
          <w:b/>
          <w:bCs/>
          <w:color w:val="000000" w:themeColor="text1"/>
          <w14:textFill>
            <w14:solidFill>
              <w14:schemeClr w14:val="tx1"/>
            </w14:solidFill>
          </w14:textFill>
        </w:rPr>
        <w:t>要认真领会文件精神，结合实际，建立检查台账及重点检查企业、项目名录库，建立重点检查事项清单，于202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年</w:t>
      </w: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月</w:t>
      </w:r>
      <w:r>
        <w:rPr>
          <w:rFonts w:hint="default" w:ascii="Times New Roman" w:hAnsi="Times New Roman" w:cs="Times New Roman"/>
          <w:b/>
          <w:bCs/>
          <w:color w:val="000000" w:themeColor="text1"/>
          <w:lang w:val="en-US" w:eastAsia="zh-CN"/>
          <w14:textFill>
            <w14:solidFill>
              <w14:schemeClr w14:val="tx1"/>
            </w14:solidFill>
          </w14:textFill>
        </w:rPr>
        <w:t>1</w:t>
      </w:r>
      <w:r>
        <w:rPr>
          <w:rFonts w:hint="eastAsia" w:cs="Times New Roman"/>
          <w:b/>
          <w:bCs/>
          <w:color w:val="000000" w:themeColor="text1"/>
          <w:lang w:val="en-US" w:eastAsia="zh-CN"/>
          <w14:textFill>
            <w14:solidFill>
              <w14:schemeClr w14:val="tx1"/>
            </w14:solidFill>
          </w14:textFill>
        </w:rPr>
        <w:t>5</w:t>
      </w:r>
      <w:r>
        <w:rPr>
          <w:rFonts w:hint="default" w:ascii="Times New Roman" w:hAnsi="Times New Roman" w:cs="Times New Roman"/>
          <w:b/>
          <w:bCs/>
          <w:color w:val="000000" w:themeColor="text1"/>
          <w14:textFill>
            <w14:solidFill>
              <w14:schemeClr w14:val="tx1"/>
            </w14:solidFill>
          </w14:textFill>
        </w:rPr>
        <w:t>日前印发至企业，督促指导各企业全面开展自查自改，于202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年</w:t>
      </w: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月</w:t>
      </w:r>
      <w:r>
        <w:rPr>
          <w:rFonts w:hint="default" w:ascii="Times New Roman" w:hAnsi="Times New Roman" w:cs="Times New Roman"/>
          <w:b/>
          <w:bCs/>
          <w:color w:val="000000" w:themeColor="text1"/>
          <w:lang w:val="en-US" w:eastAsia="zh-CN"/>
          <w14:textFill>
            <w14:solidFill>
              <w14:schemeClr w14:val="tx1"/>
            </w14:solidFill>
          </w14:textFill>
        </w:rPr>
        <w:t>19</w:t>
      </w:r>
      <w:r>
        <w:rPr>
          <w:rFonts w:hint="default" w:ascii="Times New Roman" w:hAnsi="Times New Roman" w:cs="Times New Roman"/>
          <w:b/>
          <w:bCs/>
          <w:color w:val="000000" w:themeColor="text1"/>
          <w14:textFill>
            <w14:solidFill>
              <w14:schemeClr w14:val="tx1"/>
            </w14:solidFill>
          </w14:textFill>
        </w:rPr>
        <w:t>日前将集中自查发现问题清单及整改计划报送房地产服务中心</w:t>
      </w:r>
      <w:r>
        <w:rPr>
          <w:rFonts w:hint="eastAsia" w:cs="Times New Roman"/>
          <w:b/>
          <w:bCs/>
          <w:color w:val="000000" w:themeColor="text1"/>
          <w:lang w:val="en-US" w:eastAsia="zh-CN"/>
          <w14:textFill>
            <w14:solidFill>
              <w14:schemeClr w14:val="tx1"/>
            </w14:solidFill>
          </w14:textFill>
        </w:rPr>
        <w:t>C219办公室</w:t>
      </w:r>
      <w:r>
        <w:rPr>
          <w:rFonts w:hint="default" w:ascii="Times New Roman" w:hAnsi="Times New Roman" w:cs="Times New Roman"/>
          <w:b/>
          <w:bCs/>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楷体" w:cs="Times New Roman"/>
          <w:b/>
          <w:bCs/>
          <w:color w:val="000000" w:themeColor="text1"/>
          <w14:textFill>
            <w14:solidFill>
              <w14:schemeClr w14:val="tx1"/>
            </w14:solidFill>
          </w14:textFill>
        </w:rPr>
        <w:t>（二）</w:t>
      </w:r>
      <w:r>
        <w:rPr>
          <w:rFonts w:hint="eastAsia" w:eastAsia="楷体" w:cs="Times New Roman"/>
          <w:b/>
          <w:bCs/>
          <w:color w:val="000000" w:themeColor="text1"/>
          <w:lang w:eastAsia="zh-CN"/>
          <w14:textFill>
            <w14:solidFill>
              <w14:schemeClr w14:val="tx1"/>
            </w14:solidFill>
          </w14:textFill>
        </w:rPr>
        <w:t>集中监管</w:t>
      </w:r>
      <w:r>
        <w:rPr>
          <w:rFonts w:hint="default" w:ascii="Times New Roman" w:hAnsi="Times New Roman" w:eastAsia="楷体" w:cs="Times New Roman"/>
          <w:b/>
          <w:bCs/>
          <w:color w:val="000000" w:themeColor="text1"/>
          <w14:textFill>
            <w14:solidFill>
              <w14:schemeClr w14:val="tx1"/>
            </w14:solidFill>
          </w14:textFill>
        </w:rPr>
        <w:t>执法检查阶段</w:t>
      </w:r>
      <w:r>
        <w:rPr>
          <w:rFonts w:hint="default" w:ascii="Times New Roman" w:hAnsi="Times New Roman" w:cs="Times New Roman"/>
          <w:b/>
          <w:bCs/>
          <w:color w:val="000000" w:themeColor="text1"/>
          <w14:textFill>
            <w14:solidFill>
              <w14:schemeClr w14:val="tx1"/>
            </w14:solidFill>
          </w14:textFill>
        </w:rPr>
        <w:t>（</w:t>
      </w:r>
      <w:r>
        <w:rPr>
          <w:rFonts w:hint="eastAsia" w:cs="Times New Roman"/>
          <w:b/>
          <w:bCs/>
          <w:color w:val="000000" w:themeColor="text1"/>
          <w:lang w:val="en-US" w:eastAsia="zh-CN"/>
          <w14:textFill>
            <w14:solidFill>
              <w14:schemeClr w14:val="tx1"/>
            </w14:solidFill>
          </w14:textFill>
        </w:rPr>
        <w:t>2024年5</w:t>
      </w:r>
      <w:r>
        <w:rPr>
          <w:rFonts w:hint="default" w:ascii="Times New Roman" w:hAnsi="Times New Roman" w:cs="Times New Roman"/>
          <w:b/>
          <w:bCs/>
          <w:color w:val="000000" w:themeColor="text1"/>
          <w14:textFill>
            <w14:solidFill>
              <w14:schemeClr w14:val="tx1"/>
            </w14:solidFill>
          </w14:textFill>
        </w:rPr>
        <w:t>月</w:t>
      </w:r>
      <w:r>
        <w:rPr>
          <w:rFonts w:hint="eastAsia" w:cs="Times New Roman"/>
          <w:b/>
          <w:bCs/>
          <w:color w:val="000000" w:themeColor="text1"/>
          <w:lang w:eastAsia="zh-CN"/>
          <w14:textFill>
            <w14:solidFill>
              <w14:schemeClr w14:val="tx1"/>
            </w14:solidFill>
          </w14:textFill>
        </w:rPr>
        <w:t>至</w:t>
      </w:r>
      <w:r>
        <w:rPr>
          <w:rFonts w:hint="eastAsia" w:cs="Times New Roman"/>
          <w:b/>
          <w:bCs/>
          <w:color w:val="000000" w:themeColor="text1"/>
          <w:lang w:val="en-US" w:eastAsia="zh-CN"/>
          <w14:textFill>
            <w14:solidFill>
              <w14:schemeClr w14:val="tx1"/>
            </w14:solidFill>
          </w14:textFill>
        </w:rPr>
        <w:t>9月</w:t>
      </w:r>
      <w:r>
        <w:rPr>
          <w:rFonts w:hint="default" w:ascii="Times New Roman" w:hAnsi="Times New Roman" w:cs="Times New Roman"/>
          <w:b/>
          <w:bCs/>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简体" w:cs="Times New Roman"/>
          <w:b/>
          <w:bCs/>
          <w:color w:val="000000" w:themeColor="text1"/>
          <w14:textFill>
            <w14:solidFill>
              <w14:schemeClr w14:val="tx1"/>
            </w14:solidFill>
          </w14:textFill>
        </w:rPr>
      </w:pPr>
      <w:r>
        <w:rPr>
          <w:rFonts w:hint="eastAsia" w:eastAsia="黑体"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各</w:t>
      </w:r>
      <w:r>
        <w:rPr>
          <w:rFonts w:hint="eastAsia" w:cs="Times New Roman"/>
          <w:b/>
          <w:bCs/>
          <w:color w:val="000000" w:themeColor="text1"/>
          <w:lang w:eastAsia="zh-CN"/>
          <w14:textFill>
            <w14:solidFill>
              <w14:schemeClr w14:val="tx1"/>
            </w14:solidFill>
          </w14:textFill>
        </w:rPr>
        <w:t>股室，所，</w:t>
      </w:r>
      <w:r>
        <w:rPr>
          <w:rFonts w:hint="default" w:ascii="Times New Roman" w:hAnsi="Times New Roman" w:cs="Times New Roman"/>
          <w:b/>
          <w:bCs/>
          <w:color w:val="000000" w:themeColor="text1"/>
          <w14:textFill>
            <w14:solidFill>
              <w14:schemeClr w14:val="tx1"/>
            </w14:solidFill>
          </w14:textFill>
        </w:rPr>
        <w:t>要结合实际，将专项行动与日常执法检查计划有机结合，以三带三查、四不两直、暗查暗访、突击检查等方式，全面开展执法检查。对一般检查企业及项目要进行“双随机、一公开”抽查；对重点检查企业和项目要进行全覆盖执法检查。对存在问题的企业和项目要公开曝光，并责令整改、消除隐患，形成闭环。对存在违法违规行为的企业和项目应依法依规严肃查处。专项行动按照安全生产“三管三必须”原则，实行业务股室牵头负责制，相关企业要落实责任，细化措施，积极对接市综执局、街道办，组织执法检查，确保</w:t>
      </w:r>
      <w:r>
        <w:rPr>
          <w:rFonts w:hint="default" w:ascii="Times New Roman" w:hAnsi="Times New Roman" w:cs="Times New Roman"/>
          <w:b/>
          <w:bCs/>
          <w:color w:val="000000" w:themeColor="text1"/>
          <w:lang w:eastAsia="zh-CN"/>
          <w14:textFill>
            <w14:solidFill>
              <w14:schemeClr w14:val="tx1"/>
            </w14:solidFill>
          </w14:textFill>
        </w:rPr>
        <w:t>强安</w:t>
      </w:r>
      <w:r>
        <w:rPr>
          <w:rFonts w:hint="default" w:ascii="Times New Roman" w:hAnsi="Times New Roman" w:cs="Times New Roman"/>
          <w:b/>
          <w:bCs/>
          <w:color w:val="000000" w:themeColor="text1"/>
          <w14:textFill>
            <w14:solidFill>
              <w14:schemeClr w14:val="tx1"/>
            </w14:solidFill>
          </w14:textFill>
        </w:rPr>
        <w:t>行动有序推进。每月牵头组织检查不少于</w:t>
      </w:r>
      <w:r>
        <w:rPr>
          <w:rFonts w:hint="eastAsia"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14:textFill>
            <w14:solidFill>
              <w14:schemeClr w14:val="tx1"/>
            </w14:solidFill>
          </w14:textFill>
        </w:rPr>
        <w:t>家企业或</w:t>
      </w: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个项目。执法检查中发现的一般隐患和问题书面督促整改销号（问题移交表见附件</w:t>
      </w: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），情节严重的违法违规行为移交市综执局进行</w:t>
      </w:r>
      <w:r>
        <w:rPr>
          <w:rFonts w:hint="eastAsia" w:cs="Times New Roman"/>
          <w:b/>
          <w:bCs/>
          <w:color w:val="000000" w:themeColor="text1"/>
          <w:lang w:eastAsia="zh-CN"/>
          <w14:textFill>
            <w14:solidFill>
              <w14:schemeClr w14:val="tx1"/>
            </w14:solidFill>
          </w14:textFill>
        </w:rPr>
        <w:t>行政</w:t>
      </w:r>
      <w:r>
        <w:rPr>
          <w:rFonts w:hint="default" w:ascii="Times New Roman" w:hAnsi="Times New Roman" w:cs="Times New Roman"/>
          <w:b/>
          <w:bCs/>
          <w:color w:val="000000" w:themeColor="text1"/>
          <w14:textFill>
            <w14:solidFill>
              <w14:schemeClr w14:val="tx1"/>
            </w14:solidFill>
          </w14:textFill>
        </w:rPr>
        <w:t>处罚。对强安行动推动不力、工作后进企业</w:t>
      </w:r>
      <w:r>
        <w:rPr>
          <w:rFonts w:hint="eastAsia"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项目</w:t>
      </w:r>
      <w:r>
        <w:rPr>
          <w:rFonts w:hint="eastAsia"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适时约谈主要负责人，对推动不力案件实施提级调查处理、并予以通报。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楷体" w:cs="Times New Roman"/>
          <w:b/>
          <w:bCs/>
          <w:color w:val="000000" w:themeColor="text1"/>
          <w14:textFill>
            <w14:solidFill>
              <w14:schemeClr w14:val="tx1"/>
            </w14:solidFill>
          </w14:textFill>
        </w:rPr>
        <w:t>（</w:t>
      </w:r>
      <w:r>
        <w:rPr>
          <w:rFonts w:hint="eastAsia" w:eastAsia="楷体" w:cs="Times New Roman"/>
          <w:b/>
          <w:bCs/>
          <w:color w:val="000000" w:themeColor="text1"/>
          <w:lang w:eastAsia="zh-CN"/>
          <w14:textFill>
            <w14:solidFill>
              <w14:schemeClr w14:val="tx1"/>
            </w14:solidFill>
          </w14:textFill>
        </w:rPr>
        <w:t>三</w:t>
      </w:r>
      <w:r>
        <w:rPr>
          <w:rFonts w:hint="default" w:ascii="Times New Roman" w:hAnsi="Times New Roman" w:eastAsia="楷体" w:cs="Times New Roman"/>
          <w:b/>
          <w:bCs/>
          <w:color w:val="000000" w:themeColor="text1"/>
          <w14:textFill>
            <w14:solidFill>
              <w14:schemeClr w14:val="tx1"/>
            </w14:solidFill>
          </w14:textFill>
        </w:rPr>
        <w:t>）巩固提高阶段</w:t>
      </w:r>
      <w:r>
        <w:rPr>
          <w:rFonts w:hint="default" w:ascii="Times New Roman" w:hAnsi="Times New Roman" w:cs="Times New Roman"/>
          <w:b/>
          <w:bCs/>
          <w:color w:val="000000" w:themeColor="text1"/>
          <w14:textFill>
            <w14:solidFill>
              <w14:schemeClr w14:val="tx1"/>
            </w14:solidFill>
          </w14:textFill>
        </w:rPr>
        <w:t>（</w:t>
      </w:r>
      <w:r>
        <w:rPr>
          <w:rFonts w:hint="eastAsia" w:cs="Times New Roman"/>
          <w:b/>
          <w:bCs/>
          <w:color w:val="000000" w:themeColor="text1"/>
          <w:lang w:val="en-US" w:eastAsia="zh-CN"/>
          <w14:textFill>
            <w14:solidFill>
              <w14:schemeClr w14:val="tx1"/>
            </w14:solidFill>
          </w14:textFill>
        </w:rPr>
        <w:t>2024年10月</w:t>
      </w:r>
      <w:r>
        <w:rPr>
          <w:rFonts w:hint="default" w:ascii="Times New Roman" w:hAnsi="Times New Roman" w:cs="Times New Roman"/>
          <w:b/>
          <w:bCs/>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认真总结专项行动开展情况，提炼经验做法，形成工作专报。要创新监管执法模式，动态更新重点检查企业及项目名录库，精准、规范、严格执法，提高执法效能，固化形成长效工作机制，倒逼企业全面落实安全生产责任，健全完善安全管理制度，提高安全生产管理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eastAsia="黑体" w:cs="Times New Roman"/>
          <w:b/>
          <w:bCs/>
          <w:color w:val="000000" w:themeColor="text1"/>
          <w:lang w:eastAsia="zh-CN"/>
          <w14:textFill>
            <w14:solidFill>
              <w14:schemeClr w14:val="tx1"/>
            </w14:solidFill>
          </w14:textFill>
        </w:rPr>
        <w:t>五</w:t>
      </w:r>
      <w:r>
        <w:rPr>
          <w:rFonts w:hint="default" w:ascii="Times New Roman" w:hAnsi="Times New Roman" w:eastAsia="黑体" w:cs="Times New Roman"/>
          <w:b/>
          <w:bCs/>
          <w:color w:val="000000" w:themeColor="text1"/>
          <w14:textFill>
            <w14:solidFill>
              <w14:schemeClr w14:val="tx1"/>
            </w14:solidFill>
          </w14:textFill>
        </w:rPr>
        <w:t>、工作要求</w:t>
      </w:r>
      <w:r>
        <w:rPr>
          <w:rFonts w:hint="default" w:ascii="Times New Roman" w:hAnsi="Times New Roman" w:cs="Times New Roman"/>
          <w:b/>
          <w:bCs/>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方正楷体简体" w:cs="Times New Roman"/>
          <w:b/>
          <w:bCs/>
          <w:color w:val="000000" w:themeColor="text1"/>
          <w:lang w:val="en-US" w:eastAsia="zh-CN"/>
          <w14:textFill>
            <w14:solidFill>
              <w14:schemeClr w14:val="tx1"/>
            </w14:solidFill>
          </w14:textFill>
        </w:rPr>
        <w:t>（一）提高政治站位。</w:t>
      </w:r>
      <w:r>
        <w:rPr>
          <w:rFonts w:hint="eastAsia" w:eastAsia="黑体"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要坚持“人民至上、生命至上”，牢固树立安全发展理念，深刻认识安全生产监管执法工作重要性，坚持守土有责、守土尽责，将</w:t>
      </w:r>
      <w:r>
        <w:rPr>
          <w:rFonts w:hint="default" w:ascii="Times New Roman" w:hAnsi="Times New Roman" w:cs="Times New Roman"/>
          <w:b/>
          <w:bCs/>
          <w:color w:val="000000" w:themeColor="text1"/>
          <w:lang w:eastAsia="zh-CN"/>
          <w14:textFill>
            <w14:solidFill>
              <w14:schemeClr w14:val="tx1"/>
            </w14:solidFill>
          </w14:textFill>
        </w:rPr>
        <w:t>强安</w:t>
      </w:r>
      <w:r>
        <w:rPr>
          <w:rFonts w:hint="default" w:ascii="Times New Roman" w:hAnsi="Times New Roman" w:cs="Times New Roman"/>
          <w:b/>
          <w:bCs/>
          <w:color w:val="000000" w:themeColor="text1"/>
          <w14:textFill>
            <w14:solidFill>
              <w14:schemeClr w14:val="tx1"/>
            </w14:solidFill>
          </w14:textFill>
        </w:rPr>
        <w:t>行动作为今年的一项重要工作认真落实。要结合实际，明确任务分工和检查清单，确保工作取得实效。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方正楷体简体" w:cs="Times New Roman"/>
          <w:b/>
          <w:bCs/>
          <w:color w:val="000000" w:themeColor="text1"/>
          <w:lang w:val="en-US" w:eastAsia="zh-CN"/>
          <w14:textFill>
            <w14:solidFill>
              <w14:schemeClr w14:val="tx1"/>
            </w14:solidFill>
          </w14:textFill>
        </w:rPr>
        <w:t>（二）加大惩处力度。</w:t>
      </w:r>
      <w:r>
        <w:rPr>
          <w:rFonts w:hint="default" w:ascii="Times New Roman" w:hAnsi="Times New Roman" w:cs="Times New Roman"/>
          <w:b/>
          <w:bCs/>
          <w:color w:val="000000" w:themeColor="text1"/>
          <w14:textFill>
            <w14:solidFill>
              <w14:schemeClr w14:val="tx1"/>
            </w14:solidFill>
          </w14:textFill>
        </w:rPr>
        <w:t>要坚决做到“全覆盖、零容忍、重整改、严处罚”，对发现的安全隐患问题，做到整改措施、责任、资金、时限和预案“五落实”。严肃查处一批违法违规行为，彻底治理一批重大事故隐患，联合惩戒一批严重失信企业，形成高压执法态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方正楷体简体" w:cs="Times New Roman"/>
          <w:b/>
          <w:bCs/>
          <w:color w:val="000000" w:themeColor="text1"/>
          <w:lang w:val="en-US" w:eastAsia="zh-CN"/>
          <w14:textFill>
            <w14:solidFill>
              <w14:schemeClr w14:val="tx1"/>
            </w14:solidFill>
          </w14:textFill>
        </w:rPr>
        <w:t>（三）严肃考核问责。</w:t>
      </w:r>
      <w:r>
        <w:rPr>
          <w:rFonts w:hint="default" w:ascii="Times New Roman" w:hAnsi="Times New Roman" w:cs="Times New Roman"/>
          <w:b/>
          <w:bCs/>
          <w:color w:val="000000" w:themeColor="text1"/>
          <w14:textFill>
            <w14:solidFill>
              <w14:schemeClr w14:val="tx1"/>
            </w14:solidFill>
          </w14:textFill>
        </w:rPr>
        <w:t>要落实属地监管责任，认真执行事故跟踪督办制度。严格生产安全事故查处，严格不良行为诚信记录，建立安全监督与执法处罚联动机制，市住建局将按照省厅要求综合运用通报、约谈、警示、提醒等手段督促行动落实落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方正楷体简体" w:cs="Times New Roman"/>
          <w:b/>
          <w:bCs/>
          <w:color w:val="000000" w:themeColor="text1"/>
          <w:lang w:val="en-US" w:eastAsia="zh-CN"/>
          <w14:textFill>
            <w14:solidFill>
              <w14:schemeClr w14:val="tx1"/>
            </w14:solidFill>
          </w14:textFill>
        </w:rPr>
        <w:t>（四）</w:t>
      </w:r>
      <w:r>
        <w:rPr>
          <w:rFonts w:hint="default" w:ascii="Times New Roman" w:hAnsi="Times New Roman" w:eastAsia="方正楷体简体" w:cs="Times New Roman"/>
          <w:b/>
          <w:bCs/>
          <w:color w:val="000000" w:themeColor="text1"/>
          <w14:textFill>
            <w14:solidFill>
              <w14:schemeClr w14:val="tx1"/>
            </w14:solidFill>
          </w14:textFill>
        </w:rPr>
        <w:t>及时报送信息。</w:t>
      </w:r>
      <w:r>
        <w:rPr>
          <w:rFonts w:hint="eastAsia" w:eastAsia="黑体"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各</w:t>
      </w:r>
      <w:r>
        <w:rPr>
          <w:rFonts w:hint="eastAsia" w:cs="Times New Roman"/>
          <w:b/>
          <w:bCs/>
          <w:color w:val="000000" w:themeColor="text1"/>
          <w:lang w:eastAsia="zh-CN"/>
          <w14:textFill>
            <w14:solidFill>
              <w14:schemeClr w14:val="tx1"/>
            </w14:solidFill>
          </w14:textFill>
        </w:rPr>
        <w:t>股室，所，</w:t>
      </w:r>
      <w:r>
        <w:rPr>
          <w:rFonts w:hint="default" w:ascii="Times New Roman" w:hAnsi="Times New Roman" w:cs="Times New Roman"/>
          <w:b/>
          <w:bCs/>
          <w:color w:val="000000" w:themeColor="text1"/>
          <w:lang w:eastAsia="zh-CN"/>
          <w14:textFill>
            <w14:solidFill>
              <w14:schemeClr w14:val="tx1"/>
            </w14:solidFill>
          </w14:textFill>
        </w:rPr>
        <w:t>各物业企业，</w:t>
      </w:r>
      <w:r>
        <w:rPr>
          <w:rFonts w:hint="default" w:ascii="Times New Roman" w:hAnsi="Times New Roman" w:cs="Times New Roman"/>
          <w:b/>
          <w:bCs/>
          <w:color w:val="000000" w:themeColor="text1"/>
          <w14:textFill>
            <w14:solidFill>
              <w14:schemeClr w14:val="tx1"/>
            </w14:solidFill>
          </w14:textFill>
        </w:rPr>
        <w:t>从4月份</w:t>
      </w:r>
      <w:r>
        <w:rPr>
          <w:rFonts w:hint="default" w:ascii="Times New Roman" w:hAnsi="Times New Roman" w:cs="Times New Roman"/>
          <w:b/>
          <w:bCs/>
          <w:color w:val="000000" w:themeColor="text1"/>
          <w:lang w:eastAsia="zh-CN"/>
          <w14:textFill>
            <w14:solidFill>
              <w14:schemeClr w14:val="tx1"/>
            </w14:solidFill>
          </w14:textFill>
        </w:rPr>
        <w:t>开始</w:t>
      </w:r>
      <w:r>
        <w:rPr>
          <w:rFonts w:hint="default" w:ascii="Times New Roman" w:hAnsi="Times New Roman" w:cs="Times New Roman"/>
          <w:b/>
          <w:bCs/>
          <w:color w:val="000000" w:themeColor="text1"/>
          <w14:textFill>
            <w14:solidFill>
              <w14:schemeClr w14:val="tx1"/>
            </w14:solidFill>
          </w14:textFill>
        </w:rPr>
        <w:t>每月2</w:t>
      </w:r>
      <w:r>
        <w:rPr>
          <w:rFonts w:hint="default" w:ascii="Times New Roman" w:hAnsi="Times New Roman" w:cs="Times New Roman"/>
          <w:b/>
          <w:bCs/>
          <w:color w:val="000000" w:themeColor="text1"/>
          <w:lang w:val="en-US" w:eastAsia="zh-CN"/>
          <w14:textFill>
            <w14:solidFill>
              <w14:schemeClr w14:val="tx1"/>
            </w14:solidFill>
          </w14:textFill>
        </w:rPr>
        <w:t>0</w:t>
      </w:r>
      <w:r>
        <w:rPr>
          <w:rFonts w:hint="default" w:ascii="Times New Roman" w:hAnsi="Times New Roman" w:cs="Times New Roman"/>
          <w:b/>
          <w:bCs/>
          <w:color w:val="000000" w:themeColor="text1"/>
          <w14:textFill>
            <w14:solidFill>
              <w14:schemeClr w14:val="tx1"/>
            </w14:solidFill>
          </w14:textFill>
        </w:rPr>
        <w:t>日前报送</w:t>
      </w:r>
      <w:r>
        <w:rPr>
          <w:rFonts w:hint="default" w:ascii="Times New Roman" w:hAnsi="Times New Roman" w:cs="Times New Roman"/>
          <w:b/>
          <w:bCs/>
          <w:color w:val="000000" w:themeColor="text1"/>
          <w:lang w:eastAsia="zh-CN"/>
          <w14:textFill>
            <w14:solidFill>
              <w14:schemeClr w14:val="tx1"/>
            </w14:solidFill>
          </w14:textFill>
        </w:rPr>
        <w:t>阆中市房产</w:t>
      </w:r>
      <w:r>
        <w:rPr>
          <w:rFonts w:hint="default" w:ascii="Times New Roman" w:hAnsi="Times New Roman" w:cs="Times New Roman"/>
          <w:b/>
          <w:bCs/>
          <w:color w:val="000000" w:themeColor="text1"/>
          <w14:textFill>
            <w14:solidFill>
              <w14:schemeClr w14:val="tx1"/>
            </w14:solidFill>
          </w14:textFill>
        </w:rPr>
        <w:t>领域安全生产“强安202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”监管执法专项行动统计汇总表</w:t>
      </w:r>
      <w:r>
        <w:rPr>
          <w:rFonts w:hint="default" w:ascii="Times New Roman" w:hAnsi="Times New Roman" w:cs="Times New Roman"/>
          <w:b/>
          <w:bCs/>
          <w:color w:val="000000" w:themeColor="text1"/>
          <w:lang w:eastAsia="zh-CN"/>
          <w14:textFill>
            <w14:solidFill>
              <w14:schemeClr w14:val="tx1"/>
            </w14:solidFill>
          </w14:textFill>
        </w:rPr>
        <w:t>（附件</w:t>
      </w: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eastAsia="zh-CN"/>
          <w14:textFill>
            <w14:solidFill>
              <w14:schemeClr w14:val="tx1"/>
            </w14:solidFill>
          </w14:textFill>
        </w:rPr>
        <w:t>物业管理股</w:t>
      </w:r>
      <w:r>
        <w:rPr>
          <w:rFonts w:hint="default" w:ascii="Times New Roman" w:hAnsi="Times New Roman" w:cs="Times New Roman"/>
          <w:b/>
          <w:bCs/>
          <w:color w:val="000000" w:themeColor="text1"/>
          <w14:textFill>
            <w14:solidFill>
              <w14:schemeClr w14:val="tx1"/>
            </w14:solidFill>
          </w14:textFill>
        </w:rPr>
        <w:t>12月</w:t>
      </w:r>
      <w:r>
        <w:rPr>
          <w:rFonts w:hint="default" w:ascii="Times New Roman" w:hAnsi="Times New Roman" w:cs="Times New Roman"/>
          <w:b/>
          <w:bCs/>
          <w:color w:val="000000" w:themeColor="text1"/>
          <w:lang w:val="en-US" w:eastAsia="zh-CN"/>
          <w14:textFill>
            <w14:solidFill>
              <w14:schemeClr w14:val="tx1"/>
            </w14:solidFill>
          </w14:textFill>
        </w:rPr>
        <w:t>5</w:t>
      </w:r>
      <w:r>
        <w:rPr>
          <w:rFonts w:hint="default" w:ascii="Times New Roman" w:hAnsi="Times New Roman" w:cs="Times New Roman"/>
          <w:b/>
          <w:bCs/>
          <w:color w:val="000000" w:themeColor="text1"/>
          <w14:textFill>
            <w14:solidFill>
              <w14:schemeClr w14:val="tx1"/>
            </w14:solidFill>
          </w14:textFill>
        </w:rPr>
        <w:t>日前报送专项行动年度总结。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附件：</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eastAsia="zh-CN"/>
          <w14:textFill>
            <w14:solidFill>
              <w14:schemeClr w14:val="tx1"/>
            </w14:solidFill>
          </w14:textFill>
        </w:rPr>
        <w:t>阆中市房产领域</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eastAsia="zh-CN"/>
          <w14:textFill>
            <w14:solidFill>
              <w14:schemeClr w14:val="tx1"/>
            </w14:solidFill>
          </w14:textFill>
        </w:rPr>
        <w:t>强安</w:t>
      </w:r>
      <w:r>
        <w:rPr>
          <w:rFonts w:hint="default" w:ascii="Times New Roman" w:hAnsi="Times New Roman" w:cs="Times New Roman"/>
          <w:b/>
          <w:bCs/>
          <w:color w:val="000000" w:themeColor="text1"/>
          <w14:textFill>
            <w14:solidFill>
              <w14:schemeClr w14:val="tx1"/>
            </w14:solidFill>
          </w14:textFill>
        </w:rPr>
        <w:t>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”专项行动</w:t>
      </w:r>
      <w:r>
        <w:rPr>
          <w:rFonts w:hint="default" w:ascii="Times New Roman" w:hAnsi="Times New Roman" w:cs="Times New Roman"/>
          <w:b/>
          <w:bCs/>
          <w:color w:val="000000" w:themeColor="text1"/>
          <w:lang w:eastAsia="zh-CN"/>
          <w14:textFill>
            <w14:solidFill>
              <w14:schemeClr w14:val="tx1"/>
            </w14:solidFill>
          </w14:textFill>
        </w:rPr>
        <w:t>企业</w:t>
      </w:r>
      <w:r>
        <w:rPr>
          <w:rFonts w:hint="default" w:ascii="Times New Roman" w:hAnsi="Times New Roman" w:cs="Times New Roman"/>
          <w:b/>
          <w:bCs/>
          <w:color w:val="000000" w:themeColor="text1"/>
          <w14:textFill>
            <w14:solidFill>
              <w14:schemeClr w14:val="tx1"/>
            </w14:solidFill>
          </w14:textFill>
        </w:rPr>
        <w:t>重点检查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b/>
          <w:bCs/>
          <w:color w:val="000000" w:themeColor="text1"/>
          <w:lang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lang w:eastAsia="zh-CN"/>
          <w14:textFill>
            <w14:solidFill>
              <w14:schemeClr w14:val="tx1"/>
            </w14:solidFill>
          </w14:textFill>
        </w:rPr>
        <w:t>事项清单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1606" w:firstLineChars="5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阆中市房产领域“强安202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”专项行动重点检查企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业及项目名录</w:t>
      </w:r>
    </w:p>
    <w:p>
      <w:pPr>
        <w:keepNext w:val="0"/>
        <w:keepLines w:val="0"/>
        <w:pageBreakBefore w:val="0"/>
        <w:widowControl w:val="0"/>
        <w:kinsoku/>
        <w:wordWrap/>
        <w:overflowPunct/>
        <w:topLinePunct w:val="0"/>
        <w:autoSpaceDE/>
        <w:autoSpaceDN/>
        <w:bidi w:val="0"/>
        <w:adjustRightInd/>
        <w:snapToGrid/>
        <w:spacing w:line="560" w:lineRule="exact"/>
        <w:ind w:left="1921" w:leftChars="500" w:hanging="321" w:hangingChars="100"/>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.阆中市</w:t>
      </w:r>
      <w:r>
        <w:rPr>
          <w:rFonts w:hint="eastAsia" w:cs="Times New Roman"/>
          <w:b/>
          <w:bCs/>
          <w:color w:val="000000" w:themeColor="text1"/>
          <w:lang w:eastAsia="zh-CN"/>
          <w14:textFill>
            <w14:solidFill>
              <w14:schemeClr w14:val="tx1"/>
            </w14:solidFill>
          </w14:textFill>
        </w:rPr>
        <w:t>房产</w:t>
      </w:r>
      <w:r>
        <w:rPr>
          <w:rFonts w:hint="default" w:ascii="Times New Roman" w:hAnsi="Times New Roman" w:cs="Times New Roman"/>
          <w:b/>
          <w:bCs/>
          <w:color w:val="000000" w:themeColor="text1"/>
          <w14:textFill>
            <w14:solidFill>
              <w14:schemeClr w14:val="tx1"/>
            </w14:solidFill>
          </w14:textFill>
        </w:rPr>
        <w:t>领域“强安202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”专项行动违法违规</w:t>
      </w:r>
      <w:r>
        <w:rPr>
          <w:rFonts w:hint="default" w:ascii="Times New Roman" w:hAnsi="Times New Roman" w:cs="Times New Roman"/>
          <w:b/>
          <w:bCs/>
          <w:color w:val="000000" w:themeColor="text1"/>
          <w:lang w:eastAsia="zh-CN"/>
          <w14:textFill>
            <w14:solidFill>
              <w14:schemeClr w14:val="tx1"/>
            </w14:solidFill>
          </w14:textFill>
        </w:rPr>
        <w:t>问</w:t>
      </w:r>
      <w:r>
        <w:rPr>
          <w:rFonts w:hint="default" w:ascii="Times New Roman" w:hAnsi="Times New Roman" w:cs="Times New Roman"/>
          <w:b/>
          <w:bCs/>
          <w:color w:val="000000" w:themeColor="text1"/>
          <w14:textFill>
            <w14:solidFill>
              <w14:schemeClr w14:val="tx1"/>
            </w14:solidFill>
          </w14:textFill>
        </w:rPr>
        <w:t>题移交表</w:t>
      </w:r>
    </w:p>
    <w:p>
      <w:pPr>
        <w:keepNext w:val="0"/>
        <w:keepLines w:val="0"/>
        <w:pageBreakBefore w:val="0"/>
        <w:widowControl w:val="0"/>
        <w:kinsoku/>
        <w:wordWrap/>
        <w:overflowPunct/>
        <w:topLinePunct w:val="0"/>
        <w:autoSpaceDE/>
        <w:autoSpaceDN/>
        <w:bidi w:val="0"/>
        <w:adjustRightInd/>
        <w:snapToGrid/>
        <w:spacing w:line="560" w:lineRule="exact"/>
        <w:ind w:left="1921" w:leftChars="500" w:hanging="321" w:hangingChars="100"/>
        <w:textAlignment w:val="auto"/>
        <w:outlineLvl w:val="9"/>
        <w:rPr>
          <w:rFonts w:hint="default" w:ascii="Times New Roman" w:hAnsi="Times New Roman" w:eastAsia="方正仿宋_GBK"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4.阆中市</w:t>
      </w:r>
      <w:r>
        <w:rPr>
          <w:rFonts w:hint="eastAsia" w:cs="Times New Roman"/>
          <w:b/>
          <w:bCs/>
          <w:color w:val="000000" w:themeColor="text1"/>
          <w:lang w:val="en-US" w:eastAsia="zh-CN"/>
          <w14:textFill>
            <w14:solidFill>
              <w14:schemeClr w14:val="tx1"/>
            </w14:solidFill>
          </w14:textFill>
        </w:rPr>
        <w:t>房产</w:t>
      </w:r>
      <w:r>
        <w:rPr>
          <w:rFonts w:hint="default" w:ascii="Times New Roman" w:hAnsi="Times New Roman" w:cs="Times New Roman"/>
          <w:b/>
          <w:bCs/>
          <w:color w:val="000000" w:themeColor="text1"/>
          <w:lang w:val="en-US" w:eastAsia="zh-CN"/>
          <w14:textFill>
            <w14:solidFill>
              <w14:schemeClr w14:val="tx1"/>
            </w14:solidFill>
          </w14:textFill>
        </w:rPr>
        <w:t>领域“强安202</w:t>
      </w:r>
      <w:r>
        <w:rPr>
          <w:rFonts w:hint="eastAsia"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lang w:val="en-US" w:eastAsia="zh-CN"/>
          <w14:textFill>
            <w14:solidFill>
              <w14:schemeClr w14:val="tx1"/>
            </w14:solidFill>
          </w14:textFill>
        </w:rPr>
        <w:t>”专项行动统计汇总表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b/>
          <w:bCs/>
          <w:color w:val="000000" w:themeColor="text1"/>
          <w14:textFill>
            <w14:solidFill>
              <w14:schemeClr w14:val="tx1"/>
            </w14:solidFill>
          </w14:textFill>
        </w:rPr>
        <w:sectPr>
          <w:headerReference r:id="rId3" w:type="default"/>
          <w:footerReference r:id="rId4" w:type="default"/>
          <w:pgSz w:w="11906" w:h="16838"/>
          <w:pgMar w:top="2098" w:right="1474" w:bottom="1984" w:left="1587" w:header="851" w:footer="119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简体" w:cs="Times New Roman"/>
          <w:b/>
          <w:bCs/>
          <w:spacing w:val="4"/>
          <w:sz w:val="32"/>
          <w:szCs w:val="32"/>
          <w:lang w:eastAsia="zh-CN"/>
        </w:rPr>
      </w:pPr>
      <w:r>
        <w:rPr>
          <w:rFonts w:hint="default" w:ascii="Times New Roman" w:hAnsi="Times New Roman" w:eastAsia="方正黑体简体" w:cs="Times New Roman"/>
          <w:b/>
          <w:bCs/>
          <w:spacing w:val="4"/>
          <w:sz w:val="32"/>
          <w:szCs w:val="32"/>
        </w:rPr>
        <w:t>附件</w:t>
      </w:r>
      <w:r>
        <w:rPr>
          <w:rFonts w:hint="default" w:ascii="Times New Roman" w:hAnsi="Times New Roman" w:eastAsia="方正黑体简体" w:cs="Times New Roman"/>
          <w:b/>
          <w:bCs/>
          <w:spacing w:val="4"/>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pacing w:val="-13"/>
          <w:sz w:val="45"/>
          <w:szCs w:val="45"/>
        </w:rPr>
      </w:pPr>
      <w:r>
        <w:rPr>
          <w:rFonts w:hint="default" w:ascii="Times New Roman" w:hAnsi="Times New Roman" w:eastAsia="方正小标宋简体" w:cs="Times New Roman"/>
          <w:b/>
          <w:bCs/>
          <w:spacing w:val="-13"/>
          <w:sz w:val="45"/>
          <w:szCs w:val="45"/>
        </w:rPr>
        <w:t>阆中市</w:t>
      </w:r>
      <w:r>
        <w:rPr>
          <w:rFonts w:hint="default" w:ascii="Times New Roman" w:hAnsi="Times New Roman" w:eastAsia="方正小标宋简体" w:cs="Times New Roman"/>
          <w:b/>
          <w:bCs/>
          <w:spacing w:val="-13"/>
          <w:sz w:val="45"/>
          <w:szCs w:val="45"/>
          <w:lang w:eastAsia="zh-CN"/>
        </w:rPr>
        <w:t>房产</w:t>
      </w:r>
      <w:r>
        <w:rPr>
          <w:rFonts w:hint="default" w:ascii="Times New Roman" w:hAnsi="Times New Roman" w:eastAsia="方正小标宋简体" w:cs="Times New Roman"/>
          <w:b/>
          <w:bCs/>
          <w:spacing w:val="-13"/>
          <w:sz w:val="45"/>
          <w:szCs w:val="45"/>
        </w:rPr>
        <w:t>领域“强安202</w:t>
      </w:r>
      <w:r>
        <w:rPr>
          <w:rFonts w:hint="eastAsia" w:eastAsia="方正小标宋简体" w:cs="Times New Roman"/>
          <w:b/>
          <w:bCs/>
          <w:spacing w:val="-13"/>
          <w:sz w:val="45"/>
          <w:szCs w:val="45"/>
          <w:lang w:val="en-US" w:eastAsia="zh-CN"/>
        </w:rPr>
        <w:t>4</w:t>
      </w:r>
      <w:r>
        <w:rPr>
          <w:rFonts w:hint="default" w:ascii="Times New Roman" w:hAnsi="Times New Roman" w:eastAsia="方正小标宋简体" w:cs="Times New Roman"/>
          <w:b/>
          <w:bCs/>
          <w:spacing w:val="-13"/>
          <w:sz w:val="45"/>
          <w:szCs w:val="45"/>
        </w:rPr>
        <w:t>”专项行动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pacing w:val="-13"/>
          <w:sz w:val="45"/>
          <w:szCs w:val="45"/>
        </w:rPr>
      </w:pPr>
      <w:r>
        <w:rPr>
          <w:rFonts w:hint="default" w:ascii="Times New Roman" w:hAnsi="Times New Roman" w:eastAsia="方正小标宋简体" w:cs="Times New Roman"/>
          <w:b/>
          <w:bCs/>
          <w:spacing w:val="-13"/>
          <w:sz w:val="45"/>
          <w:szCs w:val="45"/>
        </w:rPr>
        <w:t>企业重点检查事项清单</w:t>
      </w:r>
    </w:p>
    <w:tbl>
      <w:tblPr>
        <w:tblStyle w:val="13"/>
        <w:tblW w:w="1366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229"/>
        <w:gridCol w:w="4676"/>
        <w:gridCol w:w="4047"/>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55"/>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序号</w:t>
            </w:r>
          </w:p>
        </w:tc>
        <w:tc>
          <w:tcPr>
            <w:tcW w:w="222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861"/>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类别</w:t>
            </w:r>
          </w:p>
        </w:tc>
        <w:tc>
          <w:tcPr>
            <w:tcW w:w="4676"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61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重点检查事项</w:t>
            </w:r>
          </w:p>
        </w:tc>
        <w:tc>
          <w:tcPr>
            <w:tcW w:w="4047"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536"/>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主要风险</w:t>
            </w: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609"/>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67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04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8"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67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04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8"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67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04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67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04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3" w:hRule="atLeast"/>
        </w:trPr>
        <w:tc>
          <w:tcPr>
            <w:tcW w:w="10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676"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404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70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footerReference r:id="rId5" w:type="default"/>
          <w:pgSz w:w="16990" w:h="12140"/>
          <w:pgMar w:top="2098" w:right="1474" w:bottom="1984" w:left="1587" w:header="0" w:footer="1045" w:gutter="0"/>
          <w:pgNumType w:fmt="decimal"/>
          <w:cols w:space="720" w:num="1"/>
          <w:rtlGutter w:val="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简体" w:cs="Times New Roman"/>
          <w:b/>
          <w:bCs/>
          <w:spacing w:val="4"/>
          <w:sz w:val="32"/>
          <w:szCs w:val="32"/>
          <w:lang w:eastAsia="zh-CN"/>
        </w:rPr>
      </w:pPr>
      <w:r>
        <w:rPr>
          <w:rFonts w:hint="default" w:ascii="Times New Roman" w:hAnsi="Times New Roman" w:eastAsia="方正黑体简体" w:cs="Times New Roman"/>
          <w:b/>
          <w:bCs/>
          <w:spacing w:val="4"/>
          <w:sz w:val="32"/>
          <w:szCs w:val="32"/>
        </w:rPr>
        <w:t>附件</w:t>
      </w:r>
      <w:r>
        <w:rPr>
          <w:rFonts w:hint="default" w:ascii="Times New Roman" w:hAnsi="Times New Roman" w:eastAsia="方正黑体简体" w:cs="Times New Roman"/>
          <w:b/>
          <w:bCs/>
          <w:spacing w:val="4"/>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pacing w:val="-13"/>
          <w:sz w:val="45"/>
          <w:szCs w:val="45"/>
        </w:rPr>
      </w:pPr>
      <w:r>
        <w:rPr>
          <w:rFonts w:hint="default" w:ascii="Times New Roman" w:hAnsi="Times New Roman" w:eastAsia="方正小标宋简体" w:cs="Times New Roman"/>
          <w:b/>
          <w:bCs/>
          <w:spacing w:val="-13"/>
          <w:sz w:val="45"/>
          <w:szCs w:val="45"/>
        </w:rPr>
        <w:t>阆中市</w:t>
      </w:r>
      <w:r>
        <w:rPr>
          <w:rFonts w:hint="default" w:ascii="Times New Roman" w:hAnsi="Times New Roman" w:eastAsia="方正小标宋简体" w:cs="Times New Roman"/>
          <w:b/>
          <w:bCs/>
          <w:spacing w:val="-13"/>
          <w:sz w:val="45"/>
          <w:szCs w:val="45"/>
          <w:lang w:eastAsia="zh-CN"/>
        </w:rPr>
        <w:t>房产</w:t>
      </w:r>
      <w:r>
        <w:rPr>
          <w:rFonts w:hint="default" w:ascii="Times New Roman" w:hAnsi="Times New Roman" w:eastAsia="方正小标宋简体" w:cs="Times New Roman"/>
          <w:b/>
          <w:bCs/>
          <w:spacing w:val="-13"/>
          <w:sz w:val="45"/>
          <w:szCs w:val="45"/>
        </w:rPr>
        <w:t>领域“强安202</w:t>
      </w:r>
      <w:r>
        <w:rPr>
          <w:rFonts w:hint="eastAsia" w:eastAsia="方正小标宋简体" w:cs="Times New Roman"/>
          <w:b/>
          <w:bCs/>
          <w:spacing w:val="-13"/>
          <w:sz w:val="45"/>
          <w:szCs w:val="45"/>
          <w:lang w:val="en-US" w:eastAsia="zh-CN"/>
        </w:rPr>
        <w:t>4</w:t>
      </w:r>
      <w:r>
        <w:rPr>
          <w:rFonts w:hint="default" w:ascii="Times New Roman" w:hAnsi="Times New Roman" w:eastAsia="方正小标宋简体" w:cs="Times New Roman"/>
          <w:b/>
          <w:bCs/>
          <w:spacing w:val="-13"/>
          <w:sz w:val="45"/>
          <w:szCs w:val="45"/>
        </w:rPr>
        <w:t>”专项行动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pacing w:val="-13"/>
          <w:sz w:val="45"/>
          <w:szCs w:val="45"/>
        </w:rPr>
      </w:pPr>
      <w:r>
        <w:rPr>
          <w:rFonts w:hint="default" w:ascii="Times New Roman" w:hAnsi="Times New Roman" w:eastAsia="方正小标宋简体" w:cs="Times New Roman"/>
          <w:b/>
          <w:bCs/>
          <w:spacing w:val="-13"/>
          <w:sz w:val="45"/>
          <w:szCs w:val="45"/>
        </w:rPr>
        <w:t>重点检查企业及项目名录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footerReference r:id="rId6" w:type="default"/>
          <w:pgSz w:w="16940" w:h="12070"/>
          <w:pgMar w:top="2098" w:right="1474" w:bottom="1984" w:left="1587" w:header="0" w:footer="1085" w:gutter="0"/>
          <w:pgNumType w:fmt="decimal"/>
          <w:cols w:equalWidth="0" w:num="1">
            <w:col w:w="13673"/>
          </w:cols>
          <w:rtlGutter w:val="0"/>
        </w:sectPr>
      </w:pPr>
    </w:p>
    <w:p>
      <w:pPr>
        <w:keepNext w:val="0"/>
        <w:keepLines w:val="0"/>
        <w:pageBreakBefore w:val="0"/>
        <w:widowControl w:val="0"/>
        <w:kinsoku/>
        <w:wordWrap/>
        <w:overflowPunct/>
        <w:topLinePunct w:val="0"/>
        <w:autoSpaceDE/>
        <w:autoSpaceDN/>
        <w:bidi w:val="0"/>
        <w:adjustRightInd/>
        <w:snapToGrid/>
        <w:spacing w:line="560" w:lineRule="exact"/>
        <w:ind w:left="1175"/>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0"/>
          <w:sz w:val="24"/>
          <w:szCs w:val="24"/>
        </w:rPr>
        <w:t>填报单位：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0"/>
          <w:sz w:val="24"/>
          <w:szCs w:val="24"/>
        </w:rPr>
        <w:t>填报时间：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sectPr>
          <w:type w:val="continuous"/>
          <w:pgSz w:w="16940" w:h="12070"/>
          <w:pgMar w:top="2098" w:right="1474" w:bottom="1984" w:left="1587" w:header="0" w:footer="1085" w:gutter="0"/>
          <w:pgNumType w:fmt="decimal"/>
          <w:cols w:equalWidth="0" w:num="2">
            <w:col w:w="8893" w:space="100"/>
            <w:col w:w="4886"/>
          </w:cols>
          <w:rtlGutter w:val="0"/>
        </w:sectPr>
      </w:pPr>
    </w:p>
    <w:tbl>
      <w:tblPr>
        <w:tblStyle w:val="13"/>
        <w:tblW w:w="13259"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3108"/>
        <w:gridCol w:w="3227"/>
        <w:gridCol w:w="2158"/>
        <w:gridCol w:w="2228"/>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3"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88"/>
              <w:textAlignment w:val="auto"/>
              <w:outlineLvl w:val="9"/>
              <w:rPr>
                <w:rFonts w:hint="default" w:ascii="Times New Roman" w:hAnsi="Times New Roman" w:eastAsia="宋体" w:cs="Times New Roman"/>
                <w:sz w:val="25"/>
                <w:szCs w:val="25"/>
              </w:rPr>
            </w:pPr>
            <w:r>
              <w:rPr>
                <w:rFonts w:hint="default" w:ascii="Times New Roman" w:hAnsi="Times New Roman" w:eastAsia="宋体" w:cs="Times New Roman"/>
                <w:b/>
                <w:bCs/>
                <w:spacing w:val="-5"/>
                <w:sz w:val="25"/>
                <w:szCs w:val="25"/>
              </w:rPr>
              <w:t>序号</w:t>
            </w:r>
          </w:p>
        </w:tc>
        <w:tc>
          <w:tcPr>
            <w:tcW w:w="3108"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044"/>
              <w:textAlignment w:val="auto"/>
              <w:outlineLvl w:val="9"/>
              <w:rPr>
                <w:rFonts w:hint="default" w:ascii="Times New Roman" w:hAnsi="Times New Roman" w:eastAsia="宋体" w:cs="Times New Roman"/>
                <w:sz w:val="25"/>
                <w:szCs w:val="25"/>
              </w:rPr>
            </w:pPr>
            <w:r>
              <w:rPr>
                <w:rFonts w:hint="default" w:ascii="Times New Roman" w:hAnsi="Times New Roman" w:eastAsia="宋体" w:cs="Times New Roman"/>
                <w:b/>
                <w:bCs/>
                <w:spacing w:val="-6"/>
                <w:sz w:val="25"/>
                <w:szCs w:val="25"/>
              </w:rPr>
              <w:t>企业名称</w:t>
            </w:r>
          </w:p>
        </w:tc>
        <w:tc>
          <w:tcPr>
            <w:tcW w:w="3227"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356"/>
              <w:textAlignment w:val="auto"/>
              <w:outlineLvl w:val="9"/>
              <w:rPr>
                <w:rFonts w:hint="default" w:ascii="Times New Roman" w:hAnsi="Times New Roman" w:eastAsia="宋体" w:cs="Times New Roman"/>
                <w:sz w:val="25"/>
                <w:szCs w:val="25"/>
              </w:rPr>
            </w:pPr>
            <w:r>
              <w:rPr>
                <w:rFonts w:hint="default" w:ascii="Times New Roman" w:hAnsi="Times New Roman" w:eastAsia="宋体" w:cs="Times New Roman"/>
                <w:b/>
                <w:bCs/>
                <w:spacing w:val="17"/>
                <w:sz w:val="25"/>
                <w:szCs w:val="25"/>
              </w:rPr>
              <w:t>项目</w:t>
            </w:r>
          </w:p>
        </w:tc>
        <w:tc>
          <w:tcPr>
            <w:tcW w:w="2158" w:type="dxa"/>
            <w:vAlign w:val="top"/>
          </w:tcPr>
          <w:p>
            <w:pPr>
              <w:keepNext w:val="0"/>
              <w:keepLines w:val="0"/>
              <w:pageBreakBefore w:val="0"/>
              <w:widowControl w:val="0"/>
              <w:kinsoku/>
              <w:wordWrap/>
              <w:overflowPunct/>
              <w:topLinePunct w:val="0"/>
              <w:autoSpaceDE/>
              <w:autoSpaceDN/>
              <w:bidi w:val="0"/>
              <w:adjustRightInd/>
              <w:snapToGrid/>
              <w:spacing w:line="560" w:lineRule="exact"/>
              <w:ind w:left="829"/>
              <w:textAlignment w:val="auto"/>
              <w:outlineLvl w:val="9"/>
              <w:rPr>
                <w:rFonts w:hint="default" w:ascii="Times New Roman" w:hAnsi="Times New Roman" w:eastAsia="宋体" w:cs="Times New Roman"/>
                <w:sz w:val="25"/>
                <w:szCs w:val="25"/>
              </w:rPr>
            </w:pPr>
            <w:r>
              <w:rPr>
                <w:rFonts w:hint="default" w:ascii="Times New Roman" w:hAnsi="Times New Roman" w:eastAsia="宋体" w:cs="Times New Roman"/>
                <w:b/>
                <w:bCs/>
                <w:spacing w:val="4"/>
                <w:sz w:val="25"/>
                <w:szCs w:val="25"/>
              </w:rPr>
              <w:t>类别</w:t>
            </w: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560" w:lineRule="exact"/>
              <w:ind w:left="611"/>
              <w:textAlignment w:val="auto"/>
              <w:outlineLvl w:val="9"/>
              <w:rPr>
                <w:rFonts w:hint="default" w:ascii="Times New Roman" w:hAnsi="Times New Roman" w:eastAsia="宋体" w:cs="Times New Roman"/>
                <w:sz w:val="25"/>
                <w:szCs w:val="25"/>
              </w:rPr>
            </w:pPr>
            <w:r>
              <w:rPr>
                <w:rFonts w:hint="default" w:ascii="Times New Roman" w:hAnsi="Times New Roman" w:eastAsia="宋体" w:cs="Times New Roman"/>
                <w:b/>
                <w:bCs/>
                <w:spacing w:val="2"/>
                <w:sz w:val="25"/>
                <w:szCs w:val="25"/>
              </w:rPr>
              <w:t>主管部门</w:t>
            </w:r>
          </w:p>
        </w:tc>
        <w:tc>
          <w:tcPr>
            <w:tcW w:w="145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473"/>
              <w:textAlignment w:val="auto"/>
              <w:outlineLvl w:val="9"/>
              <w:rPr>
                <w:rFonts w:hint="default" w:ascii="Times New Roman" w:hAnsi="Times New Roman" w:eastAsia="宋体" w:cs="Times New Roman"/>
                <w:sz w:val="25"/>
                <w:szCs w:val="25"/>
              </w:rPr>
            </w:pPr>
            <w:r>
              <w:rPr>
                <w:rFonts w:hint="default" w:ascii="Times New Roman" w:hAnsi="Times New Roman" w:eastAsia="宋体" w:cs="Times New Roman"/>
                <w:b/>
                <w:bCs/>
                <w:spacing w:val="-6"/>
                <w:sz w:val="25"/>
                <w:szCs w:val="2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10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22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1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4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10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22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1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4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10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22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1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4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10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22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1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4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08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10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3227"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1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22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4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type w:val="continuous"/>
          <w:pgSz w:w="16940" w:h="12070"/>
          <w:pgMar w:top="2098" w:right="1474" w:bottom="1984" w:left="1587" w:header="0" w:footer="1085" w:gutter="0"/>
          <w:pgNumType w:fmt="decimal"/>
          <w:cols w:equalWidth="0" w:num="1">
            <w:col w:w="13673"/>
          </w:cols>
          <w:rtlGutter w:val="0"/>
        </w:sectPr>
      </w:pPr>
    </w:p>
    <w:p>
      <w:pPr>
        <w:keepNext w:val="0"/>
        <w:keepLines w:val="0"/>
        <w:pageBreakBefore w:val="0"/>
        <w:widowControl w:val="0"/>
        <w:kinsoku/>
        <w:wordWrap/>
        <w:overflowPunct/>
        <w:topLinePunct w:val="0"/>
        <w:autoSpaceDE/>
        <w:autoSpaceDN/>
        <w:bidi w:val="0"/>
        <w:adjustRightInd/>
        <w:snapToGrid/>
        <w:spacing w:line="560" w:lineRule="exact"/>
        <w:ind w:left="1115"/>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审核人：</w:t>
      </w:r>
      <w:r>
        <w:rPr>
          <w:rFonts w:hint="eastAsia" w:eastAsia="仿宋" w:cs="Times New Roman"/>
          <w:spacing w:val="-3"/>
          <w:sz w:val="24"/>
          <w:szCs w:val="24"/>
          <w:lang w:val="en-US" w:eastAsia="zh-CN"/>
        </w:rPr>
        <w:t xml:space="preserve">                     </w:t>
      </w:r>
      <w:r>
        <w:rPr>
          <w:rFonts w:hint="default" w:ascii="Times New Roman" w:hAnsi="Times New Roman" w:eastAsia="仿宋" w:cs="Times New Roman"/>
          <w:spacing w:val="-1"/>
          <w:sz w:val="24"/>
          <w:szCs w:val="24"/>
        </w:rPr>
        <w:t>填报人：</w:t>
      </w:r>
      <w:r>
        <w:rPr>
          <w:rFonts w:hint="default" w:ascii="Times New Roman" w:hAnsi="Times New Roman" w:eastAsia="Arial" w:cs="Times New Roman"/>
          <w:sz w:val="24"/>
          <w:szCs w:val="24"/>
        </w:rPr>
        <w:br w:type="column"/>
      </w:r>
      <w:r>
        <w:rPr>
          <w:rFonts w:hint="eastAsia" w:eastAsia="宋体" w:cs="Times New Roman"/>
          <w:sz w:val="24"/>
          <w:szCs w:val="24"/>
          <w:lang w:val="en-US" w:eastAsia="zh-CN"/>
        </w:rPr>
        <w:t xml:space="preserve">           </w:t>
      </w:r>
      <w:r>
        <w:rPr>
          <w:rFonts w:hint="default" w:ascii="Times New Roman" w:hAnsi="Times New Roman" w:eastAsia="仿宋" w:cs="Times New Roman"/>
          <w:spacing w:val="-1"/>
          <w:sz w:val="24"/>
          <w:szCs w:val="24"/>
        </w:rPr>
        <w:t>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sectPr>
          <w:type w:val="continuous"/>
          <w:pgSz w:w="16940" w:h="12070"/>
          <w:pgMar w:top="2098" w:right="1474" w:bottom="1984" w:left="1587" w:header="0" w:footer="1085" w:gutter="0"/>
          <w:pgNumType w:fmt="decimal"/>
          <w:cols w:equalWidth="0" w:num="3">
            <w:col w:w="5363" w:space="100"/>
            <w:col w:w="3481" w:space="100"/>
            <w:col w:w="4836"/>
          </w:cols>
          <w:rtlGutter w:val="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简体" w:cs="Times New Roman"/>
          <w:b/>
          <w:bCs/>
          <w:spacing w:val="4"/>
          <w:sz w:val="32"/>
          <w:szCs w:val="32"/>
          <w:lang w:eastAsia="zh-CN"/>
        </w:rPr>
      </w:pPr>
      <w:r>
        <w:rPr>
          <w:rFonts w:hint="default" w:ascii="Times New Roman" w:hAnsi="Times New Roman" w:eastAsia="方正黑体简体" w:cs="Times New Roman"/>
          <w:b/>
          <w:bCs/>
          <w:spacing w:val="4"/>
          <w:sz w:val="32"/>
          <w:szCs w:val="32"/>
        </w:rPr>
        <w:t>附件</w:t>
      </w:r>
      <w:r>
        <w:rPr>
          <w:rFonts w:hint="default" w:ascii="Times New Roman" w:hAnsi="Times New Roman" w:eastAsia="方正黑体简体" w:cs="Times New Roman"/>
          <w:b/>
          <w:bCs/>
          <w:spacing w:val="4"/>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pacing w:val="-13"/>
          <w:sz w:val="45"/>
          <w:szCs w:val="45"/>
        </w:rPr>
      </w:pPr>
      <w:r>
        <w:rPr>
          <w:rFonts w:hint="default" w:ascii="Times New Roman" w:hAnsi="Times New Roman" w:eastAsia="方正小标宋简体" w:cs="Times New Roman"/>
          <w:b/>
          <w:bCs/>
          <w:spacing w:val="-13"/>
          <w:sz w:val="45"/>
          <w:szCs w:val="45"/>
        </w:rPr>
        <w:t>阆中市</w:t>
      </w:r>
      <w:r>
        <w:rPr>
          <w:rFonts w:hint="default" w:ascii="Times New Roman" w:hAnsi="Times New Roman" w:eastAsia="方正小标宋简体" w:cs="Times New Roman"/>
          <w:b/>
          <w:bCs/>
          <w:spacing w:val="-13"/>
          <w:sz w:val="45"/>
          <w:szCs w:val="45"/>
          <w:lang w:eastAsia="zh-CN"/>
        </w:rPr>
        <w:t>房产</w:t>
      </w:r>
      <w:r>
        <w:rPr>
          <w:rFonts w:hint="default" w:ascii="Times New Roman" w:hAnsi="Times New Roman" w:eastAsia="方正小标宋简体" w:cs="Times New Roman"/>
          <w:b/>
          <w:bCs/>
          <w:spacing w:val="-13"/>
          <w:sz w:val="45"/>
          <w:szCs w:val="45"/>
        </w:rPr>
        <w:t>领域“强安202</w:t>
      </w:r>
      <w:r>
        <w:rPr>
          <w:rFonts w:hint="eastAsia" w:eastAsia="方正小标宋简体" w:cs="Times New Roman"/>
          <w:b/>
          <w:bCs/>
          <w:spacing w:val="-13"/>
          <w:sz w:val="45"/>
          <w:szCs w:val="45"/>
          <w:lang w:val="en-US" w:eastAsia="zh-CN"/>
        </w:rPr>
        <w:t>4</w:t>
      </w:r>
      <w:r>
        <w:rPr>
          <w:rFonts w:hint="default" w:ascii="Times New Roman" w:hAnsi="Times New Roman" w:eastAsia="方正小标宋简体" w:cs="Times New Roman"/>
          <w:b/>
          <w:bCs/>
          <w:spacing w:val="-13"/>
          <w:sz w:val="45"/>
          <w:szCs w:val="45"/>
        </w:rPr>
        <w:t>”专项行动违法违规问题移交表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p>
    <w:tbl>
      <w:tblPr>
        <w:tblStyle w:val="13"/>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039"/>
        <w:gridCol w:w="2358"/>
        <w:gridCol w:w="1229"/>
        <w:gridCol w:w="1089"/>
        <w:gridCol w:w="829"/>
        <w:gridCol w:w="870"/>
        <w:gridCol w:w="869"/>
        <w:gridCol w:w="799"/>
        <w:gridCol w:w="790"/>
        <w:gridCol w:w="760"/>
        <w:gridCol w:w="729"/>
        <w:gridCol w:w="709"/>
        <w:gridCol w:w="710"/>
        <w:gridCol w:w="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119" w:type="dxa"/>
            <w:gridSpan w:val="7"/>
            <w:vAlign w:val="top"/>
          </w:tcPr>
          <w:p>
            <w:pPr>
              <w:keepNext w:val="0"/>
              <w:keepLines w:val="0"/>
              <w:pageBreakBefore w:val="0"/>
              <w:widowControl w:val="0"/>
              <w:kinsoku/>
              <w:wordWrap/>
              <w:overflowPunct/>
              <w:topLinePunct w:val="0"/>
              <w:autoSpaceDE/>
              <w:autoSpaceDN/>
              <w:bidi w:val="0"/>
              <w:adjustRightInd/>
              <w:snapToGrid/>
              <w:spacing w:line="560" w:lineRule="exact"/>
              <w:ind w:left="95"/>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3"/>
                <w:sz w:val="24"/>
                <w:szCs w:val="24"/>
              </w:rPr>
              <w:t>企业名称：</w:t>
            </w:r>
          </w:p>
        </w:tc>
        <w:tc>
          <w:tcPr>
            <w:tcW w:w="6060" w:type="dxa"/>
            <w:gridSpan w:val="8"/>
            <w:vAlign w:val="top"/>
          </w:tcPr>
          <w:p>
            <w:pPr>
              <w:keepNext w:val="0"/>
              <w:keepLines w:val="0"/>
              <w:pageBreakBefore w:val="0"/>
              <w:widowControl w:val="0"/>
              <w:kinsoku/>
              <w:wordWrap/>
              <w:overflowPunct/>
              <w:topLinePunct w:val="0"/>
              <w:autoSpaceDE/>
              <w:autoSpaceDN/>
              <w:bidi w:val="0"/>
              <w:adjustRightInd/>
              <w:snapToGrid/>
              <w:spacing w:line="560" w:lineRule="exact"/>
              <w:ind w:left="115"/>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地</w:t>
            </w:r>
            <w:r>
              <w:rPr>
                <w:rFonts w:hint="default" w:ascii="Times New Roman" w:hAnsi="Times New Roman" w:eastAsia="宋体" w:cs="Times New Roman"/>
                <w:spacing w:val="-18"/>
                <w:sz w:val="24"/>
                <w:szCs w:val="24"/>
              </w:rPr>
              <w:t xml:space="preserve"> </w:t>
            </w:r>
            <w:r>
              <w:rPr>
                <w:rFonts w:hint="default" w:ascii="Times New Roman" w:hAnsi="Times New Roman" w:eastAsia="宋体" w:cs="Times New Roman"/>
                <w:spacing w:val="-7"/>
                <w:sz w:val="24"/>
                <w:szCs w:val="24"/>
              </w:rPr>
              <w:t>址</w:t>
            </w:r>
            <w:r>
              <w:rPr>
                <w:rFonts w:hint="default" w:ascii="Times New Roman" w:hAnsi="Times New Roman" w:eastAsia="宋体" w:cs="Times New Roman"/>
                <w:spacing w:val="-27"/>
                <w:sz w:val="24"/>
                <w:szCs w:val="24"/>
              </w:rPr>
              <w:t xml:space="preserve"> </w:t>
            </w:r>
            <w:r>
              <w:rPr>
                <w:rFonts w:hint="default" w:ascii="Times New Roman" w:hAnsi="Times New Roman" w:eastAsia="宋体" w:cs="Times New Roman"/>
                <w:spacing w:val="-7"/>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119" w:type="dxa"/>
            <w:gridSpan w:val="7"/>
            <w:vAlign w:val="top"/>
          </w:tcPr>
          <w:p>
            <w:pPr>
              <w:keepNext w:val="0"/>
              <w:keepLines w:val="0"/>
              <w:pageBreakBefore w:val="0"/>
              <w:widowControl w:val="0"/>
              <w:kinsoku/>
              <w:wordWrap/>
              <w:overflowPunct/>
              <w:topLinePunct w:val="0"/>
              <w:autoSpaceDE/>
              <w:autoSpaceDN/>
              <w:bidi w:val="0"/>
              <w:adjustRightInd/>
              <w:snapToGrid/>
              <w:spacing w:line="560" w:lineRule="exact"/>
              <w:ind w:left="95"/>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3"/>
                <w:sz w:val="24"/>
                <w:szCs w:val="24"/>
              </w:rPr>
              <w:t>企业地址：</w:t>
            </w:r>
          </w:p>
        </w:tc>
        <w:tc>
          <w:tcPr>
            <w:tcW w:w="6060" w:type="dxa"/>
            <w:gridSpan w:val="8"/>
            <w:vAlign w:val="top"/>
          </w:tcPr>
          <w:p>
            <w:pPr>
              <w:keepNext w:val="0"/>
              <w:keepLines w:val="0"/>
              <w:pageBreakBefore w:val="0"/>
              <w:widowControl w:val="0"/>
              <w:kinsoku/>
              <w:wordWrap/>
              <w:overflowPunct/>
              <w:topLinePunct w:val="0"/>
              <w:autoSpaceDE/>
              <w:autoSpaceDN/>
              <w:bidi w:val="0"/>
              <w:adjustRightInd/>
              <w:snapToGrid/>
              <w:spacing w:line="560" w:lineRule="exact"/>
              <w:ind w:left="115"/>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检查时间：202</w:t>
            </w:r>
            <w:r>
              <w:rPr>
                <w:rFonts w:hint="eastAsia" w:eastAsia="宋体" w:cs="Times New Roman"/>
                <w:sz w:val="24"/>
                <w:szCs w:val="24"/>
                <w:lang w:val="en-US" w:eastAsia="zh-CN"/>
              </w:rPr>
              <w:t>4</w:t>
            </w:r>
            <w:r>
              <w:rPr>
                <w:rFonts w:hint="default" w:ascii="Times New Roman" w:hAnsi="Times New Roman" w:eastAsia="宋体" w:cs="Times New Roman"/>
                <w:sz w:val="24"/>
                <w:szCs w:val="24"/>
              </w:rPr>
              <w:t>年</w:t>
            </w:r>
            <w:r>
              <w:rPr>
                <w:rFonts w:hint="default" w:ascii="Times New Roman" w:hAnsi="Times New Roman" w:eastAsia="宋体" w:cs="Times New Roman"/>
                <w:spacing w:val="15"/>
                <w:sz w:val="24"/>
                <w:szCs w:val="24"/>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7" w:hRule="atLeast"/>
        </w:trPr>
        <w:tc>
          <w:tcPr>
            <w:tcW w:w="70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val="0"/>
                <w:sz w:val="18"/>
                <w:szCs w:val="21"/>
              </w:rPr>
            </w:pPr>
          </w:p>
          <w:p>
            <w:pPr>
              <w:keepNext w:val="0"/>
              <w:keepLines w:val="0"/>
              <w:pageBreakBefore w:val="0"/>
              <w:widowControl w:val="0"/>
              <w:kinsoku/>
              <w:wordWrap/>
              <w:overflowPunct/>
              <w:topLinePunct w:val="0"/>
              <w:autoSpaceDE/>
              <w:autoSpaceDN/>
              <w:bidi w:val="0"/>
              <w:adjustRightInd/>
              <w:snapToGrid/>
              <w:spacing w:line="560" w:lineRule="exact"/>
              <w:ind w:left="105"/>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序号</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50" w:right="113"/>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所属检</w:t>
            </w:r>
            <w:r>
              <w:rPr>
                <w:rFonts w:hint="default" w:ascii="Times New Roman" w:hAnsi="Times New Roman" w:eastAsia="宋体" w:cs="Times New Roman"/>
                <w:b w:val="0"/>
                <w:bCs w:val="0"/>
                <w:spacing w:val="1"/>
                <w:sz w:val="21"/>
                <w:szCs w:val="21"/>
              </w:rPr>
              <w:t xml:space="preserve"> </w:t>
            </w:r>
            <w:r>
              <w:rPr>
                <w:rFonts w:hint="default" w:ascii="Times New Roman" w:hAnsi="Times New Roman" w:eastAsia="宋体" w:cs="Times New Roman"/>
                <w:b w:val="0"/>
                <w:bCs w:val="0"/>
                <w:spacing w:val="15"/>
                <w:sz w:val="21"/>
                <w:szCs w:val="21"/>
              </w:rPr>
              <w:t>查项目</w:t>
            </w:r>
          </w:p>
        </w:tc>
        <w:tc>
          <w:tcPr>
            <w:tcW w:w="23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val="0"/>
                <w:sz w:val="18"/>
                <w:szCs w:val="21"/>
              </w:rPr>
            </w:pPr>
          </w:p>
          <w:p>
            <w:pPr>
              <w:keepNext w:val="0"/>
              <w:keepLines w:val="0"/>
              <w:pageBreakBefore w:val="0"/>
              <w:widowControl w:val="0"/>
              <w:kinsoku/>
              <w:wordWrap/>
              <w:overflowPunct/>
              <w:topLinePunct w:val="0"/>
              <w:autoSpaceDE/>
              <w:autoSpaceDN/>
              <w:bidi w:val="0"/>
              <w:adjustRightInd/>
              <w:snapToGrid/>
              <w:spacing w:line="560" w:lineRule="exact"/>
              <w:ind w:left="454"/>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主要问题描述</w:t>
            </w:r>
          </w:p>
        </w:tc>
        <w:tc>
          <w:tcPr>
            <w:tcW w:w="122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362"/>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position w:val="6"/>
                <w:sz w:val="21"/>
                <w:szCs w:val="21"/>
              </w:rPr>
              <w:t>法律</w:t>
            </w:r>
          </w:p>
          <w:p>
            <w:pPr>
              <w:keepNext w:val="0"/>
              <w:keepLines w:val="0"/>
              <w:pageBreakBefore w:val="0"/>
              <w:widowControl w:val="0"/>
              <w:kinsoku/>
              <w:wordWrap/>
              <w:overflowPunct/>
              <w:topLinePunct w:val="0"/>
              <w:autoSpaceDE/>
              <w:autoSpaceDN/>
              <w:bidi w:val="0"/>
              <w:adjustRightInd/>
              <w:snapToGrid/>
              <w:spacing w:line="560" w:lineRule="exact"/>
              <w:ind w:left="362"/>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依据</w:t>
            </w:r>
          </w:p>
        </w:tc>
        <w:tc>
          <w:tcPr>
            <w:tcW w:w="108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93"/>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position w:val="8"/>
                <w:sz w:val="21"/>
                <w:szCs w:val="21"/>
              </w:rPr>
              <w:t>标准</w:t>
            </w:r>
          </w:p>
          <w:p>
            <w:pPr>
              <w:keepNext w:val="0"/>
              <w:keepLines w:val="0"/>
              <w:pageBreakBefore w:val="0"/>
              <w:widowControl w:val="0"/>
              <w:kinsoku/>
              <w:wordWrap/>
              <w:overflowPunct/>
              <w:topLinePunct w:val="0"/>
              <w:autoSpaceDE/>
              <w:autoSpaceDN/>
              <w:bidi w:val="0"/>
              <w:adjustRightInd/>
              <w:snapToGrid/>
              <w:spacing w:line="560" w:lineRule="exact"/>
              <w:ind w:left="293"/>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依据</w:t>
            </w:r>
          </w:p>
        </w:tc>
        <w:tc>
          <w:tcPr>
            <w:tcW w:w="82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65" w:right="141"/>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问题</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4"/>
                <w:sz w:val="21"/>
                <w:szCs w:val="21"/>
              </w:rPr>
              <w:t>提出</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6"/>
                <w:sz w:val="21"/>
                <w:szCs w:val="21"/>
              </w:rPr>
              <w:t>人员</w:t>
            </w:r>
          </w:p>
        </w:tc>
        <w:tc>
          <w:tcPr>
            <w:tcW w:w="87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85"/>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position w:val="9"/>
                <w:sz w:val="21"/>
                <w:szCs w:val="21"/>
              </w:rPr>
              <w:t>执法</w:t>
            </w:r>
          </w:p>
          <w:p>
            <w:pPr>
              <w:keepNext w:val="0"/>
              <w:keepLines w:val="0"/>
              <w:pageBreakBefore w:val="0"/>
              <w:widowControl w:val="0"/>
              <w:kinsoku/>
              <w:wordWrap/>
              <w:overflowPunct/>
              <w:topLinePunct w:val="0"/>
              <w:autoSpaceDE/>
              <w:autoSpaceDN/>
              <w:bidi w:val="0"/>
              <w:adjustRightInd/>
              <w:snapToGrid/>
              <w:spacing w:line="560" w:lineRule="exact"/>
              <w:ind w:left="185"/>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责任</w:t>
            </w:r>
          </w:p>
          <w:p>
            <w:pPr>
              <w:keepNext w:val="0"/>
              <w:keepLines w:val="0"/>
              <w:pageBreakBefore w:val="0"/>
              <w:widowControl w:val="0"/>
              <w:kinsoku/>
              <w:wordWrap/>
              <w:overflowPunct/>
              <w:topLinePunct w:val="0"/>
              <w:autoSpaceDE/>
              <w:autoSpaceDN/>
              <w:bidi w:val="0"/>
              <w:adjustRightInd/>
              <w:snapToGrid/>
              <w:spacing w:line="560" w:lineRule="exact"/>
              <w:ind w:left="185"/>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单位</w:t>
            </w: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85" w:right="167"/>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现场</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2"/>
                <w:sz w:val="21"/>
                <w:szCs w:val="21"/>
              </w:rPr>
              <w:t>立即</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5"/>
                <w:sz w:val="21"/>
                <w:szCs w:val="21"/>
              </w:rPr>
              <w:t>整改</w:t>
            </w:r>
          </w:p>
        </w:tc>
        <w:tc>
          <w:tcPr>
            <w:tcW w:w="79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96" w:right="96"/>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责令</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7"/>
                <w:sz w:val="21"/>
                <w:szCs w:val="21"/>
              </w:rPr>
              <w:t>限期</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5"/>
                <w:sz w:val="21"/>
                <w:szCs w:val="21"/>
              </w:rPr>
              <w:t>整改</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98" w:right="85"/>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现场</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8"/>
                <w:sz w:val="21"/>
                <w:szCs w:val="21"/>
              </w:rPr>
              <w:t>紧急</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4"/>
                <w:sz w:val="21"/>
                <w:szCs w:val="21"/>
              </w:rPr>
              <w:t>处置</w:t>
            </w:r>
          </w:p>
        </w:tc>
        <w:tc>
          <w:tcPr>
            <w:tcW w:w="76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38" w:right="117"/>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暂时</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7"/>
                <w:sz w:val="21"/>
                <w:szCs w:val="21"/>
              </w:rPr>
              <w:t>停产</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3"/>
                <w:sz w:val="21"/>
                <w:szCs w:val="21"/>
              </w:rPr>
              <w:t>停业</w:t>
            </w:r>
          </w:p>
        </w:tc>
        <w:tc>
          <w:tcPr>
            <w:tcW w:w="72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67" w:right="43"/>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移交</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6"/>
                <w:sz w:val="21"/>
                <w:szCs w:val="21"/>
              </w:rPr>
              <w:t>其他</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3"/>
                <w:sz w:val="21"/>
                <w:szCs w:val="21"/>
              </w:rPr>
              <w:t>部门</w:t>
            </w:r>
          </w:p>
        </w:tc>
        <w:tc>
          <w:tcPr>
            <w:tcW w:w="70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09" w:right="80"/>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2"/>
                <w:sz w:val="21"/>
                <w:szCs w:val="21"/>
              </w:rPr>
              <w:t>简易</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4"/>
                <w:sz w:val="21"/>
                <w:szCs w:val="21"/>
              </w:rPr>
              <w:t>处罚</w:t>
            </w:r>
          </w:p>
        </w:tc>
        <w:tc>
          <w:tcPr>
            <w:tcW w:w="71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10" w:right="80"/>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立案</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4"/>
                <w:sz w:val="21"/>
                <w:szCs w:val="21"/>
              </w:rPr>
              <w:t>处罚</w:t>
            </w:r>
          </w:p>
        </w:tc>
        <w:tc>
          <w:tcPr>
            <w:tcW w:w="69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50" w:right="42"/>
              <w:jc w:val="both"/>
              <w:textAlignment w:val="auto"/>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其他</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4"/>
                <w:sz w:val="21"/>
                <w:szCs w:val="21"/>
              </w:rPr>
              <w:t>处置</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5"/>
                <w:sz w:val="21"/>
                <w:szCs w:val="21"/>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0" w:hRule="atLeast"/>
        </w:trPr>
        <w:tc>
          <w:tcPr>
            <w:tcW w:w="70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2358"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2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108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8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87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86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79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79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7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7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70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71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c>
          <w:tcPr>
            <w:tcW w:w="69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1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footerReference r:id="rId7" w:type="default"/>
          <w:pgSz w:w="16820" w:h="11900"/>
          <w:pgMar w:top="2098" w:right="1474" w:bottom="1984" w:left="1587" w:header="0" w:footer="931" w:gutter="0"/>
          <w:pgNumType w:fmt="decimal"/>
          <w:cols w:equalWidth="0" w:num="1">
            <w:col w:w="14190"/>
          </w:cols>
          <w:rtlGutter w:val="0"/>
        </w:sectPr>
      </w:pPr>
    </w:p>
    <w:p>
      <w:pPr>
        <w:keepNext w:val="0"/>
        <w:keepLines w:val="0"/>
        <w:pageBreakBefore w:val="0"/>
        <w:widowControl w:val="0"/>
        <w:kinsoku/>
        <w:wordWrap/>
        <w:overflowPunct/>
        <w:topLinePunct w:val="0"/>
        <w:autoSpaceDE/>
        <w:autoSpaceDN/>
        <w:bidi w:val="0"/>
        <w:adjustRightInd/>
        <w:snapToGrid/>
        <w:spacing w:line="560" w:lineRule="exact"/>
        <w:ind w:left="894"/>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检查组人员签字</w:t>
      </w:r>
      <w:r>
        <w:rPr>
          <w:rFonts w:hint="eastAsia" w:eastAsia="仿宋" w:cs="Times New Roman"/>
          <w:spacing w:val="-8"/>
          <w:sz w:val="24"/>
          <w:szCs w:val="24"/>
          <w:lang w:eastAsia="zh-CN"/>
        </w:rPr>
        <w:t>：</w:t>
      </w:r>
      <w:r>
        <w:rPr>
          <w:rFonts w:hint="eastAsia" w:eastAsia="仿宋" w:cs="Times New Roman"/>
          <w:spacing w:val="-8"/>
          <w:sz w:val="24"/>
          <w:szCs w:val="24"/>
          <w:lang w:val="en-US" w:eastAsia="zh-CN"/>
        </w:rPr>
        <w:t xml:space="preserve">                                             </w:t>
      </w:r>
      <w:r>
        <w:rPr>
          <w:rFonts w:hint="default" w:ascii="Times New Roman" w:hAnsi="Times New Roman" w:eastAsia="仿宋" w:cs="Times New Roman"/>
          <w:spacing w:val="-7"/>
          <w:sz w:val="24"/>
          <w:szCs w:val="24"/>
        </w:rPr>
        <w:t>被检查单位人员签字：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type w:val="continuous"/>
          <w:pgSz w:w="16820" w:h="11900"/>
          <w:pgMar w:top="2098" w:right="1474" w:bottom="1984" w:left="1587" w:header="0" w:footer="931" w:gutter="0"/>
          <w:pgNumType w:fmt="decimal"/>
          <w:cols w:equalWidth="0" w:num="2">
            <w:col w:w="9423" w:space="100"/>
            <w:col w:w="4236"/>
          </w:cols>
          <w:rtlGutter w:val="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b/>
          <w:bCs/>
          <w:spacing w:val="4"/>
          <w:sz w:val="32"/>
          <w:szCs w:val="32"/>
        </w:rPr>
        <w:t>附件</w:t>
      </w:r>
      <w:r>
        <w:rPr>
          <w:rFonts w:hint="default" w:ascii="Times New Roman" w:hAnsi="Times New Roman" w:eastAsia="方正黑体简体" w:cs="Times New Roman"/>
          <w:b/>
          <w:bCs/>
          <w:spacing w:val="4"/>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5"/>
          <w:szCs w:val="45"/>
        </w:rPr>
      </w:pPr>
      <w:r>
        <w:rPr>
          <w:rFonts w:hint="default" w:ascii="Times New Roman" w:hAnsi="Times New Roman" w:eastAsia="方正小标宋简体" w:cs="Times New Roman"/>
          <w:b/>
          <w:bCs/>
          <w:spacing w:val="-13"/>
          <w:sz w:val="45"/>
          <w:szCs w:val="45"/>
        </w:rPr>
        <w:t>阆中市</w:t>
      </w:r>
      <w:r>
        <w:rPr>
          <w:rFonts w:hint="default" w:ascii="Times New Roman" w:hAnsi="Times New Roman" w:eastAsia="方正小标宋简体" w:cs="Times New Roman"/>
          <w:b/>
          <w:bCs/>
          <w:spacing w:val="-13"/>
          <w:sz w:val="45"/>
          <w:szCs w:val="45"/>
          <w:lang w:eastAsia="zh-CN"/>
        </w:rPr>
        <w:t>房产</w:t>
      </w:r>
      <w:r>
        <w:rPr>
          <w:rFonts w:hint="default" w:ascii="Times New Roman" w:hAnsi="Times New Roman" w:eastAsia="方正小标宋简体" w:cs="Times New Roman"/>
          <w:b/>
          <w:bCs/>
          <w:spacing w:val="-13"/>
          <w:sz w:val="45"/>
          <w:szCs w:val="45"/>
        </w:rPr>
        <w:t>领域“强安202</w:t>
      </w:r>
      <w:r>
        <w:rPr>
          <w:rFonts w:hint="eastAsia" w:eastAsia="方正小标宋简体" w:cs="Times New Roman"/>
          <w:b/>
          <w:bCs/>
          <w:spacing w:val="-13"/>
          <w:sz w:val="45"/>
          <w:szCs w:val="45"/>
          <w:lang w:val="en-US" w:eastAsia="zh-CN"/>
        </w:rPr>
        <w:t>4</w:t>
      </w:r>
      <w:r>
        <w:rPr>
          <w:rFonts w:hint="default" w:ascii="Times New Roman" w:hAnsi="Times New Roman" w:eastAsia="方正小标宋简体" w:cs="Times New Roman"/>
          <w:b/>
          <w:bCs/>
          <w:spacing w:val="-13"/>
          <w:sz w:val="45"/>
          <w:szCs w:val="45"/>
        </w:rPr>
        <w:t>”专项行动统计汇总表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footerReference r:id="rId8" w:type="default"/>
          <w:pgSz w:w="16820" w:h="11900"/>
          <w:pgMar w:top="2098" w:right="1474" w:bottom="1984" w:left="1587" w:header="0" w:footer="751" w:gutter="0"/>
          <w:pgNumType w:fmt="decimal"/>
          <w:cols w:equalWidth="0" w:num="1">
            <w:col w:w="14610"/>
          </w:cols>
          <w:rtlGutter w:val="0"/>
        </w:sectPr>
      </w:pPr>
      <w:r>
        <w:rPr>
          <w:rFonts w:hint="eastAsia" w:eastAsia="仿宋" w:cs="Times New Roman"/>
          <w:spacing w:val="-12"/>
          <w:sz w:val="24"/>
          <w:szCs w:val="24"/>
          <w:lang w:val="en-US" w:eastAsia="zh-CN"/>
        </w:rPr>
        <w:t xml:space="preserve">                                                         </w:t>
      </w:r>
      <w:r>
        <w:rPr>
          <w:rFonts w:hint="default" w:ascii="Times New Roman" w:hAnsi="Times New Roman" w:eastAsia="宋体" w:cs="Times New Roman"/>
          <w:spacing w:val="24"/>
          <w:sz w:val="24"/>
          <w:szCs w:val="24"/>
        </w:rPr>
        <w:t>(202</w:t>
      </w:r>
      <w:r>
        <w:rPr>
          <w:rFonts w:hint="eastAsia" w:eastAsia="宋体" w:cs="Times New Roman"/>
          <w:spacing w:val="24"/>
          <w:sz w:val="24"/>
          <w:szCs w:val="24"/>
          <w:lang w:val="en-US" w:eastAsia="zh-CN"/>
        </w:rPr>
        <w:t>4</w:t>
      </w:r>
      <w:r>
        <w:rPr>
          <w:rFonts w:hint="default" w:ascii="Times New Roman" w:hAnsi="Times New Roman" w:eastAsia="宋体" w:cs="Times New Roman"/>
          <w:spacing w:val="24"/>
          <w:sz w:val="24"/>
          <w:szCs w:val="24"/>
        </w:rPr>
        <w:t>年4月至</w:t>
      </w:r>
      <w:r>
        <w:rPr>
          <w:rFonts w:hint="default" w:ascii="Times New Roman" w:hAnsi="Times New Roman" w:eastAsia="宋体" w:cs="Times New Roman"/>
          <w:spacing w:val="94"/>
          <w:sz w:val="24"/>
          <w:szCs w:val="24"/>
        </w:rPr>
        <w:t xml:space="preserve"> </w:t>
      </w:r>
      <w:r>
        <w:rPr>
          <w:rFonts w:hint="default" w:ascii="Times New Roman" w:hAnsi="Times New Roman" w:eastAsia="宋体" w:cs="Times New Roman"/>
          <w:spacing w:val="24"/>
          <w:sz w:val="24"/>
          <w:szCs w:val="24"/>
        </w:rPr>
        <w:t>月)</w:t>
      </w:r>
      <w:r>
        <w:rPr>
          <w:rFonts w:hint="eastAsia" w:eastAsia="宋体" w:cs="Times New Roman"/>
          <w:spacing w:val="24"/>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504"/>
        <w:textAlignment w:val="auto"/>
        <w:outlineLvl w:val="9"/>
        <w:rPr>
          <w:rFonts w:hint="default" w:ascii="Times New Roman" w:hAnsi="Times New Roman" w:eastAsia="宋体" w:cs="Times New Roman"/>
          <w:sz w:val="22"/>
          <w:szCs w:val="22"/>
        </w:rPr>
      </w:pPr>
      <w:r>
        <w:rPr>
          <w:rFonts w:hint="default" w:ascii="Times New Roman" w:hAnsi="Times New Roman" w:eastAsia="仿宋" w:cs="Times New Roman"/>
          <w:spacing w:val="-12"/>
          <w:sz w:val="24"/>
          <w:szCs w:val="24"/>
        </w:rPr>
        <w:t>填报单位：</w:t>
      </w:r>
      <w:r>
        <w:rPr>
          <w:rFonts w:hint="eastAsia" w:eastAsia="仿宋" w:cs="Times New Roman"/>
          <w:spacing w:val="-12"/>
          <w:sz w:val="24"/>
          <w:szCs w:val="24"/>
          <w:lang w:val="en-US" w:eastAsia="zh-CN"/>
        </w:rPr>
        <w:t xml:space="preserve">                 </w:t>
      </w:r>
      <w:r>
        <w:rPr>
          <w:rFonts w:hint="eastAsia" w:eastAsia="宋体" w:cs="Times New Roman"/>
          <w:spacing w:val="24"/>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sectPr>
          <w:type w:val="continuous"/>
          <w:pgSz w:w="16820" w:h="11900"/>
          <w:pgMar w:top="2098" w:right="1474" w:bottom="1984" w:left="1587" w:header="0" w:footer="751" w:gutter="0"/>
          <w:pgNumType w:fmt="decimal"/>
          <w:cols w:equalWidth="0" w:num="2">
            <w:col w:w="6184" w:space="100"/>
            <w:col w:w="7476"/>
          </w:cols>
          <w:rtlGutter w:val="0"/>
        </w:sectPr>
      </w:pPr>
      <w:r>
        <w:rPr>
          <w:rFonts w:hint="eastAsia" w:eastAsia="仿宋" w:cs="Times New Roman"/>
          <w:spacing w:val="-12"/>
          <w:sz w:val="24"/>
          <w:szCs w:val="24"/>
          <w:lang w:val="en-US" w:eastAsia="zh-CN"/>
        </w:rPr>
        <w:t xml:space="preserve">                                                       </w:t>
      </w:r>
      <w:r>
        <w:rPr>
          <w:rFonts w:hint="default" w:ascii="Times New Roman" w:hAnsi="Times New Roman" w:eastAsia="宋体" w:cs="Times New Roman"/>
          <w:spacing w:val="22"/>
          <w:sz w:val="22"/>
          <w:szCs w:val="22"/>
        </w:rPr>
        <w:t>填报时间：</w:t>
      </w:r>
    </w:p>
    <w:tbl>
      <w:tblPr>
        <w:tblStyle w:val="13"/>
        <w:tblW w:w="14895"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1390"/>
        <w:gridCol w:w="599"/>
        <w:gridCol w:w="729"/>
        <w:gridCol w:w="689"/>
        <w:gridCol w:w="680"/>
        <w:gridCol w:w="749"/>
        <w:gridCol w:w="689"/>
        <w:gridCol w:w="709"/>
        <w:gridCol w:w="720"/>
        <w:gridCol w:w="669"/>
        <w:gridCol w:w="720"/>
        <w:gridCol w:w="550"/>
        <w:gridCol w:w="510"/>
        <w:gridCol w:w="430"/>
        <w:gridCol w:w="639"/>
        <w:gridCol w:w="560"/>
        <w:gridCol w:w="719"/>
        <w:gridCol w:w="380"/>
        <w:gridCol w:w="659"/>
        <w:gridCol w:w="800"/>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0" w:hRule="exact"/>
        </w:trPr>
        <w:tc>
          <w:tcPr>
            <w:tcW w:w="651" w:type="dxa"/>
            <w:vMerge w:val="restart"/>
            <w:tcBorders>
              <w:bottom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ind w:left="789"/>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38"/>
                <w:w w:val="132"/>
                <w:sz w:val="20"/>
                <w:szCs w:val="20"/>
              </w:rPr>
              <w:t>序号</w:t>
            </w:r>
          </w:p>
        </w:tc>
        <w:tc>
          <w:tcPr>
            <w:tcW w:w="1390"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03"/>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行业领域</w:t>
            </w:r>
          </w:p>
        </w:tc>
        <w:tc>
          <w:tcPr>
            <w:tcW w:w="599" w:type="dxa"/>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14"/>
                <w:sz w:val="20"/>
                <w:szCs w:val="20"/>
              </w:rPr>
              <w:t>派出检查小组</w:t>
            </w:r>
          </w:p>
        </w:tc>
        <w:tc>
          <w:tcPr>
            <w:tcW w:w="72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30" w:right="11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7"/>
                <w:sz w:val="20"/>
                <w:szCs w:val="20"/>
              </w:rPr>
              <w:t>出动</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5"/>
                <w:sz w:val="20"/>
                <w:szCs w:val="20"/>
              </w:rPr>
              <w:t>执法</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15"/>
                <w:sz w:val="20"/>
                <w:szCs w:val="20"/>
              </w:rPr>
              <w:t>人员</w:t>
            </w: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11" w:right="100"/>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13"/>
                <w:sz w:val="20"/>
                <w:szCs w:val="20"/>
              </w:rPr>
              <w:t>聘用</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5"/>
                <w:sz w:val="20"/>
                <w:szCs w:val="20"/>
              </w:rPr>
              <w:t>安全</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6"/>
                <w:sz w:val="20"/>
                <w:szCs w:val="20"/>
              </w:rPr>
              <w:t>专家</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12" w:right="12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检查</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7"/>
                <w:sz w:val="20"/>
                <w:szCs w:val="20"/>
              </w:rPr>
              <w:t>企业</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6"/>
                <w:sz w:val="20"/>
                <w:szCs w:val="20"/>
              </w:rPr>
              <w:t>数量</w:t>
            </w:r>
          </w:p>
        </w:tc>
        <w:tc>
          <w:tcPr>
            <w:tcW w:w="74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43" w:right="133"/>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发现</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11"/>
                <w:sz w:val="20"/>
                <w:szCs w:val="20"/>
              </w:rPr>
              <w:t>隐患</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6"/>
                <w:sz w:val="20"/>
                <w:szCs w:val="20"/>
              </w:rPr>
              <w:t>数量</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3"/>
                <w:sz w:val="20"/>
                <w:szCs w:val="20"/>
              </w:rPr>
              <w:t>合计</w:t>
            </w: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13" w:right="102"/>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发现</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5"/>
                <w:sz w:val="20"/>
                <w:szCs w:val="20"/>
              </w:rPr>
              <w:t>重大</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5"/>
                <w:sz w:val="20"/>
                <w:szCs w:val="20"/>
              </w:rPr>
              <w:t>事故</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11"/>
                <w:sz w:val="20"/>
                <w:szCs w:val="20"/>
              </w:rPr>
              <w:t>隐患</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3"/>
                <w:sz w:val="20"/>
                <w:szCs w:val="20"/>
              </w:rPr>
              <w:t>数量</w:t>
            </w:r>
          </w:p>
        </w:tc>
        <w:tc>
          <w:tcPr>
            <w:tcW w:w="70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24" w:right="111"/>
              <w:jc w:val="center"/>
              <w:textAlignment w:val="auto"/>
              <w:outlineLvl w:val="9"/>
              <w:rPr>
                <w:rFonts w:hint="default" w:ascii="Times New Roman" w:hAnsi="Times New Roman" w:eastAsia="宋体" w:cs="Times New Roman"/>
                <w:b w:val="0"/>
                <w:bCs w:val="0"/>
                <w:spacing w:val="-5"/>
                <w:sz w:val="20"/>
                <w:szCs w:val="20"/>
              </w:rPr>
            </w:pPr>
            <w:r>
              <w:rPr>
                <w:rFonts w:hint="default" w:ascii="Times New Roman" w:hAnsi="Times New Roman" w:eastAsia="宋体" w:cs="Times New Roman"/>
                <w:b w:val="0"/>
                <w:bCs w:val="0"/>
                <w:spacing w:val="4"/>
                <w:sz w:val="20"/>
                <w:szCs w:val="20"/>
              </w:rPr>
              <w:t>发现</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4"/>
                <w:sz w:val="20"/>
                <w:szCs w:val="20"/>
              </w:rPr>
              <w:t>一般</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5"/>
                <w:sz w:val="20"/>
                <w:szCs w:val="20"/>
              </w:rPr>
              <w:t>事</w:t>
            </w:r>
          </w:p>
          <w:p>
            <w:pPr>
              <w:keepNext w:val="0"/>
              <w:keepLines w:val="0"/>
              <w:pageBreakBefore w:val="0"/>
              <w:widowControl w:val="0"/>
              <w:kinsoku/>
              <w:wordWrap/>
              <w:overflowPunct/>
              <w:topLinePunct w:val="0"/>
              <w:autoSpaceDE/>
              <w:autoSpaceDN/>
              <w:bidi w:val="0"/>
              <w:adjustRightInd/>
              <w:snapToGrid/>
              <w:spacing w:line="560" w:lineRule="exact"/>
              <w:ind w:left="124" w:right="111"/>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故</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11"/>
                <w:sz w:val="20"/>
                <w:szCs w:val="20"/>
              </w:rPr>
              <w:t>隐患</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3"/>
                <w:sz w:val="20"/>
                <w:szCs w:val="20"/>
              </w:rPr>
              <w:t>数量</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3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已整</w:t>
            </w:r>
          </w:p>
          <w:p>
            <w:pPr>
              <w:keepNext w:val="0"/>
              <w:keepLines w:val="0"/>
              <w:pageBreakBefore w:val="0"/>
              <w:widowControl w:val="0"/>
              <w:kinsoku/>
              <w:wordWrap/>
              <w:overflowPunct/>
              <w:topLinePunct w:val="0"/>
              <w:autoSpaceDE/>
              <w:autoSpaceDN/>
              <w:bidi w:val="0"/>
              <w:adjustRightInd/>
              <w:snapToGrid/>
              <w:spacing w:line="560" w:lineRule="exact"/>
              <w:ind w:left="13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6"/>
                <w:sz w:val="20"/>
                <w:szCs w:val="20"/>
              </w:rPr>
              <w:t>改隐</w:t>
            </w:r>
          </w:p>
          <w:p>
            <w:pPr>
              <w:keepNext w:val="0"/>
              <w:keepLines w:val="0"/>
              <w:pageBreakBefore w:val="0"/>
              <w:widowControl w:val="0"/>
              <w:kinsoku/>
              <w:wordWrap/>
              <w:overflowPunct/>
              <w:topLinePunct w:val="0"/>
              <w:autoSpaceDE/>
              <w:autoSpaceDN/>
              <w:bidi w:val="0"/>
              <w:adjustRightInd/>
              <w:snapToGrid/>
              <w:spacing w:line="560" w:lineRule="exact"/>
              <w:ind w:left="13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患数</w:t>
            </w:r>
          </w:p>
          <w:p>
            <w:pPr>
              <w:keepNext w:val="0"/>
              <w:keepLines w:val="0"/>
              <w:pageBreakBefore w:val="0"/>
              <w:widowControl w:val="0"/>
              <w:kinsoku/>
              <w:wordWrap/>
              <w:overflowPunct/>
              <w:topLinePunct w:val="0"/>
              <w:autoSpaceDE/>
              <w:autoSpaceDN/>
              <w:bidi w:val="0"/>
              <w:adjustRightInd/>
              <w:snapToGrid/>
              <w:spacing w:line="560" w:lineRule="exact"/>
              <w:ind w:left="13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3"/>
                <w:sz w:val="20"/>
                <w:szCs w:val="20"/>
              </w:rPr>
              <w:t>量合</w:t>
            </w:r>
          </w:p>
          <w:p>
            <w:pPr>
              <w:keepNext w:val="0"/>
              <w:keepLines w:val="0"/>
              <w:pageBreakBefore w:val="0"/>
              <w:widowControl w:val="0"/>
              <w:kinsoku/>
              <w:wordWrap/>
              <w:overflowPunct/>
              <w:topLinePunct w:val="0"/>
              <w:autoSpaceDE/>
              <w:autoSpaceDN/>
              <w:bidi w:val="0"/>
              <w:adjustRightInd/>
              <w:snapToGrid/>
              <w:spacing w:line="560" w:lineRule="exact"/>
              <w:ind w:left="24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计</w:t>
            </w:r>
          </w:p>
        </w:tc>
        <w:tc>
          <w:tcPr>
            <w:tcW w:w="66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0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已整</w:t>
            </w:r>
          </w:p>
          <w:p>
            <w:pPr>
              <w:keepNext w:val="0"/>
              <w:keepLines w:val="0"/>
              <w:pageBreakBefore w:val="0"/>
              <w:widowControl w:val="0"/>
              <w:kinsoku/>
              <w:wordWrap/>
              <w:overflowPunct/>
              <w:topLinePunct w:val="0"/>
              <w:autoSpaceDE/>
              <w:autoSpaceDN/>
              <w:bidi w:val="0"/>
              <w:adjustRightInd/>
              <w:snapToGrid/>
              <w:spacing w:line="560" w:lineRule="exact"/>
              <w:ind w:left="10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改重</w:t>
            </w:r>
          </w:p>
          <w:p>
            <w:pPr>
              <w:keepNext w:val="0"/>
              <w:keepLines w:val="0"/>
              <w:pageBreakBefore w:val="0"/>
              <w:widowControl w:val="0"/>
              <w:kinsoku/>
              <w:wordWrap/>
              <w:overflowPunct/>
              <w:topLinePunct w:val="0"/>
              <w:autoSpaceDE/>
              <w:autoSpaceDN/>
              <w:bidi w:val="0"/>
              <w:adjustRightInd/>
              <w:snapToGrid/>
              <w:spacing w:line="560" w:lineRule="exact"/>
              <w:ind w:left="10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大事</w:t>
            </w:r>
          </w:p>
          <w:p>
            <w:pPr>
              <w:keepNext w:val="0"/>
              <w:keepLines w:val="0"/>
              <w:pageBreakBefore w:val="0"/>
              <w:widowControl w:val="0"/>
              <w:kinsoku/>
              <w:wordWrap/>
              <w:overflowPunct/>
              <w:topLinePunct w:val="0"/>
              <w:autoSpaceDE/>
              <w:autoSpaceDN/>
              <w:bidi w:val="0"/>
              <w:adjustRightInd/>
              <w:snapToGrid/>
              <w:spacing w:line="560" w:lineRule="exact"/>
              <w:ind w:left="10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6"/>
                <w:sz w:val="20"/>
                <w:szCs w:val="20"/>
              </w:rPr>
              <w:t>故隐</w:t>
            </w:r>
          </w:p>
          <w:p>
            <w:pPr>
              <w:keepNext w:val="0"/>
              <w:keepLines w:val="0"/>
              <w:pageBreakBefore w:val="0"/>
              <w:widowControl w:val="0"/>
              <w:kinsoku/>
              <w:wordWrap/>
              <w:overflowPunct/>
              <w:topLinePunct w:val="0"/>
              <w:autoSpaceDE/>
              <w:autoSpaceDN/>
              <w:bidi w:val="0"/>
              <w:adjustRightInd/>
              <w:snapToGrid/>
              <w:spacing w:line="560" w:lineRule="exact"/>
              <w:ind w:left="10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患数</w:t>
            </w:r>
          </w:p>
          <w:p>
            <w:pPr>
              <w:keepNext w:val="0"/>
              <w:keepLines w:val="0"/>
              <w:pageBreakBefore w:val="0"/>
              <w:widowControl w:val="0"/>
              <w:kinsoku/>
              <w:wordWrap/>
              <w:overflowPunct/>
              <w:topLinePunct w:val="0"/>
              <w:autoSpaceDE/>
              <w:autoSpaceDN/>
              <w:bidi w:val="0"/>
              <w:adjustRightInd/>
              <w:snapToGrid/>
              <w:spacing w:line="560" w:lineRule="exact"/>
              <w:ind w:left="215"/>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量</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已整</w:t>
            </w:r>
          </w:p>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12"/>
                <w:sz w:val="20"/>
                <w:szCs w:val="20"/>
              </w:rPr>
              <w:t>改一</w:t>
            </w:r>
          </w:p>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般事</w:t>
            </w:r>
          </w:p>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6"/>
                <w:sz w:val="20"/>
                <w:szCs w:val="20"/>
              </w:rPr>
              <w:t>故隐</w:t>
            </w:r>
          </w:p>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患数</w:t>
            </w:r>
          </w:p>
          <w:p>
            <w:pPr>
              <w:keepNext w:val="0"/>
              <w:keepLines w:val="0"/>
              <w:pageBreakBefore w:val="0"/>
              <w:widowControl w:val="0"/>
              <w:kinsoku/>
              <w:wordWrap/>
              <w:overflowPunct/>
              <w:topLinePunct w:val="0"/>
              <w:autoSpaceDE/>
              <w:autoSpaceDN/>
              <w:bidi w:val="0"/>
              <w:adjustRightInd/>
              <w:snapToGrid/>
              <w:spacing w:line="560" w:lineRule="exact"/>
              <w:ind w:left="24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量</w:t>
            </w:r>
          </w:p>
        </w:tc>
        <w:tc>
          <w:tcPr>
            <w:tcW w:w="550" w:type="dxa"/>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责令停工整顿</w:t>
            </w:r>
          </w:p>
        </w:tc>
        <w:tc>
          <w:tcPr>
            <w:tcW w:w="510" w:type="dxa"/>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12"/>
                <w:sz w:val="20"/>
                <w:szCs w:val="20"/>
              </w:rPr>
              <w:t>下达执法文书</w:t>
            </w:r>
          </w:p>
        </w:tc>
        <w:tc>
          <w:tcPr>
            <w:tcW w:w="430" w:type="dxa"/>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ind w:left="689"/>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立案</w:t>
            </w:r>
          </w:p>
        </w:tc>
        <w:tc>
          <w:tcPr>
            <w:tcW w:w="63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9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4"/>
                <w:sz w:val="20"/>
                <w:szCs w:val="20"/>
              </w:rPr>
              <w:t>罚款</w:t>
            </w:r>
          </w:p>
        </w:tc>
        <w:tc>
          <w:tcPr>
            <w:tcW w:w="560" w:type="dxa"/>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12"/>
                <w:sz w:val="20"/>
                <w:szCs w:val="20"/>
              </w:rPr>
              <w:t>不良信用记录</w:t>
            </w:r>
          </w:p>
        </w:tc>
        <w:tc>
          <w:tcPr>
            <w:tcW w:w="71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7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暂扣/</w:t>
            </w:r>
          </w:p>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12"/>
                <w:sz w:val="20"/>
                <w:szCs w:val="20"/>
              </w:rPr>
              <w:t>吊销</w:t>
            </w:r>
          </w:p>
          <w:p>
            <w:pPr>
              <w:keepNext w:val="0"/>
              <w:keepLines w:val="0"/>
              <w:pageBreakBefore w:val="0"/>
              <w:widowControl w:val="0"/>
              <w:kinsoku/>
              <w:wordWrap/>
              <w:overflowPunct/>
              <w:topLinePunct w:val="0"/>
              <w:autoSpaceDE/>
              <w:autoSpaceDN/>
              <w:bidi w:val="0"/>
              <w:adjustRightInd/>
              <w:snapToGrid/>
              <w:spacing w:line="560" w:lineRule="exact"/>
              <w:ind w:left="13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3"/>
                <w:sz w:val="20"/>
                <w:szCs w:val="20"/>
              </w:rPr>
              <w:t>许可</w:t>
            </w:r>
          </w:p>
          <w:p>
            <w:pPr>
              <w:keepNext w:val="0"/>
              <w:keepLines w:val="0"/>
              <w:pageBreakBefore w:val="0"/>
              <w:widowControl w:val="0"/>
              <w:kinsoku/>
              <w:wordWrap/>
              <w:overflowPunct/>
              <w:topLinePunct w:val="0"/>
              <w:autoSpaceDE/>
              <w:autoSpaceDN/>
              <w:bidi w:val="0"/>
              <w:adjustRightInd/>
              <w:snapToGrid/>
              <w:spacing w:line="560" w:lineRule="exact"/>
              <w:ind w:left="247"/>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证</w:t>
            </w:r>
          </w:p>
        </w:tc>
        <w:tc>
          <w:tcPr>
            <w:tcW w:w="380" w:type="dxa"/>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ind w:left="469"/>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z w:val="20"/>
                <w:szCs w:val="20"/>
              </w:rPr>
              <w:t>媒体曝光</w:t>
            </w:r>
          </w:p>
        </w:tc>
        <w:tc>
          <w:tcPr>
            <w:tcW w:w="659"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09" w:right="86"/>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责令</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6"/>
                <w:sz w:val="20"/>
                <w:szCs w:val="20"/>
              </w:rPr>
              <w:t>停产</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3"/>
                <w:sz w:val="20"/>
                <w:szCs w:val="20"/>
              </w:rPr>
              <w:t>停业</w:t>
            </w:r>
          </w:p>
        </w:tc>
        <w:tc>
          <w:tcPr>
            <w:tcW w:w="80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80" w:right="151"/>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6"/>
                <w:sz w:val="20"/>
                <w:szCs w:val="20"/>
              </w:rPr>
              <w:t>案件</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6"/>
                <w:sz w:val="20"/>
                <w:szCs w:val="20"/>
              </w:rPr>
              <w:t>涉及</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9"/>
                <w:sz w:val="20"/>
                <w:szCs w:val="20"/>
              </w:rPr>
              <w:t>行刑</w:t>
            </w:r>
            <w:r>
              <w:rPr>
                <w:rFonts w:hint="default" w:ascii="Times New Roman" w:hAnsi="Times New Roman" w:eastAsia="宋体" w:cs="Times New Roman"/>
                <w:b w:val="0"/>
                <w:bCs w:val="0"/>
                <w:sz w:val="20"/>
                <w:szCs w:val="20"/>
              </w:rPr>
              <w:t xml:space="preserve"> </w:t>
            </w:r>
            <w:r>
              <w:rPr>
                <w:rFonts w:hint="default" w:ascii="Times New Roman" w:hAnsi="Times New Roman" w:eastAsia="宋体" w:cs="Times New Roman"/>
                <w:b w:val="0"/>
                <w:bCs w:val="0"/>
                <w:spacing w:val="-3"/>
                <w:sz w:val="20"/>
                <w:szCs w:val="20"/>
              </w:rPr>
              <w:t>衔接</w:t>
            </w:r>
          </w:p>
        </w:tc>
        <w:tc>
          <w:tcPr>
            <w:tcW w:w="65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10"/>
              <w:jc w:val="center"/>
              <w:textAlignment w:val="auto"/>
              <w:outlineLvl w:val="9"/>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651" w:type="dxa"/>
            <w:vMerge w:val="continue"/>
            <w:tcBorders>
              <w:top w:val="nil"/>
            </w:tcBorders>
            <w:textDirection w:val="tbRlV"/>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4"/>
                <w:szCs w:val="24"/>
              </w:rPr>
            </w:pPr>
          </w:p>
        </w:tc>
        <w:tc>
          <w:tcPr>
            <w:tcW w:w="1390"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4"/>
                <w:szCs w:val="24"/>
              </w:rPr>
            </w:pPr>
          </w:p>
        </w:tc>
        <w:tc>
          <w:tcPr>
            <w:tcW w:w="59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00"/>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个</w:t>
            </w:r>
          </w:p>
        </w:tc>
        <w:tc>
          <w:tcPr>
            <w:tcW w:w="72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30"/>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3"/>
                <w:sz w:val="24"/>
                <w:szCs w:val="24"/>
              </w:rPr>
              <w:t>人次</w:t>
            </w: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11"/>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3"/>
                <w:sz w:val="24"/>
                <w:szCs w:val="24"/>
              </w:rPr>
              <w:t>人次</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22"/>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个</w:t>
            </w:r>
          </w:p>
        </w:tc>
        <w:tc>
          <w:tcPr>
            <w:tcW w:w="74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53"/>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w:t>
            </w: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23"/>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w:t>
            </w:r>
          </w:p>
        </w:tc>
        <w:tc>
          <w:tcPr>
            <w:tcW w:w="70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34"/>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46"/>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w:t>
            </w:r>
          </w:p>
        </w:tc>
        <w:tc>
          <w:tcPr>
            <w:tcW w:w="66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15"/>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47"/>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w:t>
            </w:r>
          </w:p>
        </w:tc>
        <w:tc>
          <w:tcPr>
            <w:tcW w:w="55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56"/>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家</w:t>
            </w:r>
          </w:p>
        </w:tc>
        <w:tc>
          <w:tcPr>
            <w:tcW w:w="51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36"/>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份</w:t>
            </w:r>
          </w:p>
        </w:tc>
        <w:tc>
          <w:tcPr>
            <w:tcW w:w="43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96"/>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起</w:t>
            </w:r>
          </w:p>
        </w:tc>
        <w:tc>
          <w:tcPr>
            <w:tcW w:w="63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96"/>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4"/>
                <w:sz w:val="24"/>
                <w:szCs w:val="24"/>
              </w:rPr>
              <w:t>万元</w:t>
            </w:r>
          </w:p>
        </w:tc>
        <w:tc>
          <w:tcPr>
            <w:tcW w:w="56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67"/>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分</w:t>
            </w:r>
          </w:p>
        </w:tc>
        <w:tc>
          <w:tcPr>
            <w:tcW w:w="71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47"/>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个</w:t>
            </w:r>
          </w:p>
        </w:tc>
        <w:tc>
          <w:tcPr>
            <w:tcW w:w="38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98"/>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家</w:t>
            </w:r>
          </w:p>
        </w:tc>
        <w:tc>
          <w:tcPr>
            <w:tcW w:w="659"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09"/>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2"/>
                <w:sz w:val="24"/>
                <w:szCs w:val="24"/>
              </w:rPr>
              <w:t>件次</w:t>
            </w:r>
          </w:p>
        </w:tc>
        <w:tc>
          <w:tcPr>
            <w:tcW w:w="80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290"/>
              <w:jc w:val="center"/>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起</w:t>
            </w:r>
          </w:p>
        </w:tc>
        <w:tc>
          <w:tcPr>
            <w:tcW w:w="65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651" w:type="dxa"/>
            <w:textDirection w:val="lrTb"/>
            <w:vAlign w:val="top"/>
          </w:tcPr>
          <w:p>
            <w:pPr>
              <w:keepNext w:val="0"/>
              <w:keepLines w:val="0"/>
              <w:pageBreakBefore w:val="0"/>
              <w:widowControl w:val="0"/>
              <w:kinsoku/>
              <w:wordWrap/>
              <w:overflowPunct/>
              <w:topLinePunct w:val="0"/>
              <w:autoSpaceDE/>
              <w:autoSpaceDN/>
              <w:bidi w:val="0"/>
              <w:adjustRightInd/>
              <w:snapToGrid/>
              <w:spacing w:line="560" w:lineRule="exact"/>
              <w:ind w:left="114" w:leftChars="0"/>
              <w:jc w:val="center"/>
              <w:textAlignment w:val="auto"/>
              <w:outlineLvl w:val="9"/>
              <w:rPr>
                <w:rFonts w:hint="default" w:ascii="Times New Roman" w:hAnsi="Times New Roman" w:eastAsia="宋体" w:cs="Times New Roman"/>
                <w:sz w:val="24"/>
                <w:szCs w:val="24"/>
                <w:lang w:eastAsia="zh-CN"/>
              </w:rPr>
            </w:pPr>
            <w:r>
              <w:rPr>
                <w:rFonts w:hint="eastAsia" w:eastAsia="宋体" w:cs="Times New Roman"/>
                <w:sz w:val="24"/>
                <w:szCs w:val="24"/>
                <w:lang w:val="en-US" w:eastAsia="zh-CN"/>
              </w:rPr>
              <w:t>1</w:t>
            </w:r>
          </w:p>
        </w:tc>
        <w:tc>
          <w:tcPr>
            <w:tcW w:w="1390" w:type="dxa"/>
            <w:textDirection w:val="lrTb"/>
            <w:vAlign w:val="top"/>
          </w:tcPr>
          <w:p>
            <w:pPr>
              <w:keepNext w:val="0"/>
              <w:keepLines w:val="0"/>
              <w:pageBreakBefore w:val="0"/>
              <w:widowControl w:val="0"/>
              <w:kinsoku/>
              <w:wordWrap/>
              <w:overflowPunct/>
              <w:topLinePunct w:val="0"/>
              <w:autoSpaceDE/>
              <w:autoSpaceDN/>
              <w:bidi w:val="0"/>
              <w:adjustRightInd/>
              <w:snapToGrid/>
              <w:spacing w:line="560" w:lineRule="exact"/>
              <w:ind w:left="320" w:left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物业企业</w:t>
            </w:r>
          </w:p>
        </w:tc>
        <w:tc>
          <w:tcPr>
            <w:tcW w:w="59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4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0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6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55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51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4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3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5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1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3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5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80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65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114"/>
              <w:jc w:val="center"/>
              <w:textAlignment w:val="auto"/>
              <w:outlineLvl w:val="9"/>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2</w:t>
            </w:r>
          </w:p>
        </w:tc>
        <w:tc>
          <w:tcPr>
            <w:tcW w:w="139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320"/>
              <w:textAlignment w:val="auto"/>
              <w:outlineLvl w:val="9"/>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 xml:space="preserve">  XXX</w:t>
            </w:r>
          </w:p>
        </w:tc>
        <w:tc>
          <w:tcPr>
            <w:tcW w:w="59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4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8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0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6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2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55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51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43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3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56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71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38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5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80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c>
          <w:tcPr>
            <w:tcW w:w="65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宋体" w:cs="Times New Roman"/>
                <w:sz w:val="24"/>
                <w:szCs w:val="24"/>
              </w:rPr>
            </w:pPr>
          </w:p>
        </w:tc>
      </w:tr>
    </w:tbl>
    <w:p>
      <w:pPr>
        <w:keepNext w:val="0"/>
        <w:keepLines w:val="0"/>
        <w:pageBreakBefore w:val="0"/>
        <w:widowControl w:val="0"/>
        <w:tabs>
          <w:tab w:val="left" w:pos="34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lang w:val="en-US" w:eastAsia="zh-CN"/>
        </w:rPr>
        <w:sectPr>
          <w:type w:val="continuous"/>
          <w:pgSz w:w="16820" w:h="11900"/>
          <w:pgMar w:top="2098" w:right="1474" w:bottom="1984" w:left="1587" w:header="0" w:footer="751" w:gutter="0"/>
          <w:pgNumType w:fmt="decimal"/>
          <w:cols w:equalWidth="0" w:num="1">
            <w:col w:w="14610"/>
          </w:cols>
          <w:rtlGutter w:val="0"/>
        </w:sectPr>
      </w:pPr>
      <w:r>
        <w:rPr>
          <w:rFonts w:hint="eastAsia" w:eastAsia="宋体" w:cs="Times New Roman"/>
          <w:spacing w:val="-3"/>
          <w:sz w:val="22"/>
          <w:szCs w:val="22"/>
          <w:lang w:val="en-US" w:eastAsia="zh-CN"/>
        </w:rPr>
        <w:t xml:space="preserve">                </w:t>
      </w:r>
      <w:r>
        <w:rPr>
          <w:rFonts w:hint="default" w:ascii="Times New Roman" w:hAnsi="Times New Roman" w:eastAsia="宋体" w:cs="Times New Roman"/>
          <w:spacing w:val="-3"/>
          <w:sz w:val="22"/>
          <w:szCs w:val="22"/>
          <w:lang w:val="en-US" w:eastAsia="zh-CN"/>
        </w:rPr>
        <w:t>填报人：</w:t>
      </w:r>
      <w:r>
        <w:rPr>
          <w:rFonts w:hint="default" w:ascii="Times New Roman" w:hAnsi="Times New Roman" w:cs="Times New Roman"/>
          <w:lang w:val="en-US" w:eastAsia="zh-CN"/>
        </w:rPr>
        <w:t xml:space="preserve">                      </w:t>
      </w:r>
      <w:r>
        <w:rPr>
          <w:rFonts w:hint="default" w:ascii="Times New Roman" w:hAnsi="Times New Roman" w:eastAsia="宋体" w:cs="Times New Roman"/>
          <w:spacing w:val="-3"/>
          <w:sz w:val="22"/>
          <w:szCs w:val="22"/>
          <w:lang w:val="en-US" w:eastAsia="zh-CN"/>
        </w:rPr>
        <w:t>填报部门：</w:t>
      </w:r>
      <w:r>
        <w:rPr>
          <w:rFonts w:hint="default" w:ascii="Times New Roman" w:hAnsi="Times New Roman" w:cs="Times New Roman"/>
          <w:lang w:val="en-US" w:eastAsia="zh-CN"/>
        </w:rPr>
        <w:t xml:space="preserve">                   </w:t>
      </w:r>
      <w:r>
        <w:rPr>
          <w:rFonts w:hint="default" w:ascii="Times New Roman" w:hAnsi="Times New Roman" w:eastAsia="宋体" w:cs="Times New Roman"/>
          <w:spacing w:val="-3"/>
          <w:sz w:val="22"/>
          <w:szCs w:val="22"/>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color w:val="000000" w:themeColor="text1"/>
          <w14:textFill>
            <w14:solidFill>
              <w14:schemeClr w14:val="tx1"/>
            </w14:solidFill>
          </w14:textFill>
        </w:rPr>
      </w:pPr>
    </w:p>
    <w:sectPr>
      <w:pgSz w:w="16838" w:h="11906" w:orient="landscape"/>
      <w:pgMar w:top="2098" w:right="1474" w:bottom="1984" w:left="1587" w:header="851" w:footer="1191" w:gutter="0"/>
      <w:pgNumType w:fmt="decimal"/>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Shonar Bangla">
    <w:panose1 w:val="020B0502040204020203"/>
    <w:charset w:val="00"/>
    <w:family w:val="auto"/>
    <w:pitch w:val="default"/>
    <w:sig w:usb0="0001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64"/>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533"/>
      <w:jc w:val="right"/>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8A3A0"/>
    <w:multiLevelType w:val="singleLevel"/>
    <w:tmpl w:val="6618A3A0"/>
    <w:lvl w:ilvl="0" w:tentative="0">
      <w:start w:val="1"/>
      <w:numFmt w:val="chineseCounting"/>
      <w:suff w:val="nothing"/>
      <w:lvlText w:val="%1、"/>
      <w:lvlJc w:val="left"/>
    </w:lvl>
  </w:abstractNum>
  <w:abstractNum w:abstractNumId="1">
    <w:nsid w:val="661C8887"/>
    <w:multiLevelType w:val="singleLevel"/>
    <w:tmpl w:val="661C888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MjgyYTYzMDA4MzlhMTNlMjYxZTRlZTVjM2I4NDIifQ=="/>
  </w:docVars>
  <w:rsids>
    <w:rsidRoot w:val="74FB63EA"/>
    <w:rsid w:val="002C713E"/>
    <w:rsid w:val="007A064E"/>
    <w:rsid w:val="009B120B"/>
    <w:rsid w:val="00B36793"/>
    <w:rsid w:val="00B71E5C"/>
    <w:rsid w:val="00BE3579"/>
    <w:rsid w:val="00E1282A"/>
    <w:rsid w:val="037D56E7"/>
    <w:rsid w:val="042D7AA6"/>
    <w:rsid w:val="04C5485C"/>
    <w:rsid w:val="0B296B96"/>
    <w:rsid w:val="0D510EB6"/>
    <w:rsid w:val="1060101F"/>
    <w:rsid w:val="109E0D48"/>
    <w:rsid w:val="12316783"/>
    <w:rsid w:val="12EB3CF0"/>
    <w:rsid w:val="13061A28"/>
    <w:rsid w:val="167E6912"/>
    <w:rsid w:val="17BD180F"/>
    <w:rsid w:val="1979376F"/>
    <w:rsid w:val="1B9969DF"/>
    <w:rsid w:val="1C38370A"/>
    <w:rsid w:val="1D31660D"/>
    <w:rsid w:val="1DD91804"/>
    <w:rsid w:val="1EC71AB5"/>
    <w:rsid w:val="1FE72762"/>
    <w:rsid w:val="21B17BF7"/>
    <w:rsid w:val="21E647A7"/>
    <w:rsid w:val="220F17A9"/>
    <w:rsid w:val="22AB35D9"/>
    <w:rsid w:val="27FC6A17"/>
    <w:rsid w:val="2A73664D"/>
    <w:rsid w:val="2AB53EFE"/>
    <w:rsid w:val="2EEB6A14"/>
    <w:rsid w:val="3115220C"/>
    <w:rsid w:val="34835E6D"/>
    <w:rsid w:val="3499002B"/>
    <w:rsid w:val="35224DB1"/>
    <w:rsid w:val="3A083EB5"/>
    <w:rsid w:val="3A241311"/>
    <w:rsid w:val="3C7D10C1"/>
    <w:rsid w:val="3D4153E2"/>
    <w:rsid w:val="3DBC1DB2"/>
    <w:rsid w:val="3F034E73"/>
    <w:rsid w:val="42E74D13"/>
    <w:rsid w:val="457A6AC6"/>
    <w:rsid w:val="463F4835"/>
    <w:rsid w:val="47660517"/>
    <w:rsid w:val="496F0A23"/>
    <w:rsid w:val="4B2234BD"/>
    <w:rsid w:val="4BB23021"/>
    <w:rsid w:val="4BC92D0C"/>
    <w:rsid w:val="4E9E5E53"/>
    <w:rsid w:val="4F061294"/>
    <w:rsid w:val="51DA7982"/>
    <w:rsid w:val="52A92A63"/>
    <w:rsid w:val="56780289"/>
    <w:rsid w:val="587221BE"/>
    <w:rsid w:val="5970447D"/>
    <w:rsid w:val="59A17F57"/>
    <w:rsid w:val="59E449A6"/>
    <w:rsid w:val="59EB310F"/>
    <w:rsid w:val="5C4C3104"/>
    <w:rsid w:val="5DCF5EBA"/>
    <w:rsid w:val="5F2B7BC5"/>
    <w:rsid w:val="5FBD1BE8"/>
    <w:rsid w:val="624303A2"/>
    <w:rsid w:val="62A45CC5"/>
    <w:rsid w:val="64453CE9"/>
    <w:rsid w:val="66176155"/>
    <w:rsid w:val="684D19B3"/>
    <w:rsid w:val="695B664F"/>
    <w:rsid w:val="69A00505"/>
    <w:rsid w:val="69A31A51"/>
    <w:rsid w:val="69F37393"/>
    <w:rsid w:val="6C4937A7"/>
    <w:rsid w:val="6CD521A7"/>
    <w:rsid w:val="6D572914"/>
    <w:rsid w:val="6E06711D"/>
    <w:rsid w:val="6F293D49"/>
    <w:rsid w:val="6F6057C3"/>
    <w:rsid w:val="72B55021"/>
    <w:rsid w:val="74AE685A"/>
    <w:rsid w:val="74FB63EA"/>
    <w:rsid w:val="7839620E"/>
    <w:rsid w:val="78A12043"/>
    <w:rsid w:val="78D67AA0"/>
    <w:rsid w:val="7BFB100C"/>
    <w:rsid w:val="7C197210"/>
    <w:rsid w:val="7C1B26AE"/>
    <w:rsid w:val="7C833906"/>
    <w:rsid w:val="7CFC4F8E"/>
    <w:rsid w:val="7E0D76F4"/>
    <w:rsid w:val="7F485F6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0"/>
    <w:rPr>
      <w:rFonts w:ascii="Times New Roman" w:hAnsi="Times New Roman" w:eastAsia="方正仿宋_GBK" w:cs="方正仿宋_GBK"/>
      <w:kern w:val="2"/>
      <w:sz w:val="18"/>
      <w:szCs w:val="18"/>
    </w:rPr>
  </w:style>
  <w:style w:type="character" w:customStyle="1" w:styleId="11">
    <w:name w:val="页脚 Char"/>
    <w:basedOn w:val="6"/>
    <w:link w:val="4"/>
    <w:qFormat/>
    <w:uiPriority w:val="0"/>
    <w:rPr>
      <w:rFonts w:ascii="Times New Roman" w:hAnsi="Times New Roman" w:eastAsia="方正仿宋_GBK" w:cs="方正仿宋_GBK"/>
      <w:kern w:val="2"/>
      <w:sz w:val="18"/>
      <w:szCs w:val="18"/>
    </w:rPr>
  </w:style>
  <w:style w:type="character" w:customStyle="1" w:styleId="12">
    <w:name w:val="批注框文本 Char"/>
    <w:basedOn w:val="6"/>
    <w:link w:val="3"/>
    <w:qFormat/>
    <w:uiPriority w:val="0"/>
    <w:rPr>
      <w:rFonts w:ascii="Times New Roman" w:hAnsi="Times New Roman" w:eastAsia="方正仿宋_GBK" w:cs="方正仿宋_GBK"/>
      <w:kern w:val="2"/>
      <w:sz w:val="18"/>
      <w:szCs w:val="18"/>
    </w:rPr>
  </w:style>
  <w:style w:type="table" w:customStyle="1" w:styleId="1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2774</Words>
  <Characters>2892</Characters>
  <Lines>31</Lines>
  <Paragraphs>8</Paragraphs>
  <ScaleCrop>false</ScaleCrop>
  <LinksUpToDate>false</LinksUpToDate>
  <CharactersWithSpaces>3042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2022-03-08T07:56:00Z</dcterms:created>
  <dc:creator>lili</dc:creator>
  <cp:lastModifiedBy>Administrator</cp:lastModifiedBy>
  <dcterms:modified xsi:type="dcterms:W3CDTF">2024-04-16T00:57:04Z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976A9ABE607D4E22A636CDB427738FD1_13</vt:lpwstr>
  </property>
</Properties>
</file>