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eastAsia="方正黑体_GBK"/>
          <w:sz w:val="32"/>
          <w:szCs w:val="32"/>
        </w:rPr>
      </w:pPr>
      <w:r>
        <w:rPr>
          <w:rFonts w:hint="eastAsia" w:ascii="方正黑体_GBK" w:eastAsia="方正黑体_GBK"/>
          <w:sz w:val="32"/>
          <w:szCs w:val="32"/>
        </w:rPr>
        <w:t>附件1</w:t>
      </w:r>
    </w:p>
    <w:p>
      <w:pPr>
        <w:jc w:val="center"/>
        <w:rPr>
          <w:rFonts w:hint="eastAsia" w:ascii="方正小标宋_GBK" w:eastAsia="方正小标宋_GBK"/>
          <w:b/>
          <w:sz w:val="36"/>
          <w:szCs w:val="36"/>
        </w:rPr>
      </w:pPr>
      <w:r>
        <w:rPr>
          <w:rFonts w:hint="eastAsia" w:ascii="方正小标宋_GBK" w:eastAsia="方正小标宋_GBK"/>
          <w:b/>
          <w:sz w:val="36"/>
          <w:szCs w:val="36"/>
        </w:rPr>
        <w:t>南充市嘉陵区安全生产责任清单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单位名称（盖章)：</w:t>
      </w:r>
      <w:r>
        <w:rPr>
          <w:rFonts w:hint="eastAsia" w:asciiTheme="minorEastAsia" w:hAnsiTheme="minorEastAsia" w:eastAsiaTheme="minorEastAsia" w:cstheme="minorEastAsia"/>
          <w:b/>
          <w:bCs/>
          <w:lang w:val="en-US" w:eastAsia="zh-CN"/>
        </w:rPr>
        <w:t>嘉陵区工业集中区管理委员会</w:t>
      </w:r>
      <w:r>
        <w:rPr>
          <w:rFonts w:hint="eastAsia" w:asciiTheme="minorEastAsia" w:hAnsiTheme="minorEastAsia" w:eastAsiaTheme="minorEastAsia" w:cstheme="minorEastAsia"/>
          <w:b/>
          <w:bCs/>
        </w:rPr>
        <w:t xml:space="preserve">    </w:t>
      </w:r>
      <w:r>
        <w:rPr>
          <w:rFonts w:hint="eastAsia" w:asciiTheme="minorEastAsia" w:hAnsiTheme="minorEastAsia" w:cstheme="minorEastAsia"/>
          <w:b/>
          <w:bCs/>
          <w:lang w:val="en-US" w:eastAsia="zh-CN"/>
        </w:rPr>
        <w:t xml:space="preserve">          </w:t>
      </w:r>
      <w:r>
        <w:rPr>
          <w:rFonts w:hint="eastAsia" w:asciiTheme="minorEastAsia" w:hAnsiTheme="minorEastAsia" w:eastAsiaTheme="minorEastAsia" w:cstheme="minorEastAsia"/>
          <w:b/>
          <w:bCs/>
        </w:rPr>
        <w:t>编制日期：</w:t>
      </w:r>
      <w:r>
        <w:rPr>
          <w:rFonts w:hint="eastAsia" w:asciiTheme="minorEastAsia" w:hAnsiTheme="minorEastAsia" w:eastAsiaTheme="minorEastAsia" w:cstheme="minorEastAsia"/>
          <w:b/>
          <w:bCs/>
          <w:lang w:val="en-US" w:eastAsia="zh-CN"/>
        </w:rPr>
        <w:t>20</w:t>
      </w:r>
      <w:r>
        <w:rPr>
          <w:rFonts w:hint="eastAsia" w:asciiTheme="minorEastAsia" w:hAnsiTheme="minorEastAsia" w:cstheme="minorEastAsia"/>
          <w:b/>
          <w:bCs/>
          <w:lang w:val="en-US" w:eastAsia="zh-CN"/>
        </w:rPr>
        <w:t>24</w:t>
      </w:r>
      <w:r>
        <w:rPr>
          <w:rFonts w:hint="eastAsia" w:asciiTheme="minorEastAsia" w:hAnsiTheme="minorEastAsia" w:eastAsiaTheme="minorEastAsia" w:cstheme="minorEastAsia"/>
          <w:b/>
          <w:bCs/>
        </w:rPr>
        <w:t>年</w:t>
      </w:r>
      <w:r>
        <w:rPr>
          <w:rFonts w:hint="eastAsia" w:asciiTheme="minorEastAsia" w:hAnsiTheme="minorEastAsia" w:cstheme="minorEastAsia"/>
          <w:b/>
          <w:bCs/>
          <w:lang w:val="en-US" w:eastAsia="zh-CN"/>
        </w:rPr>
        <w:t>3</w:t>
      </w:r>
      <w:r>
        <w:rPr>
          <w:rFonts w:hint="eastAsia" w:asciiTheme="minorEastAsia" w:hAnsiTheme="minorEastAsia" w:eastAsiaTheme="minorEastAsia" w:cstheme="minorEastAsia"/>
          <w:b/>
          <w:bCs/>
        </w:rPr>
        <w:t>月</w:t>
      </w:r>
      <w:r>
        <w:rPr>
          <w:rFonts w:hint="eastAsia" w:asciiTheme="minorEastAsia" w:hAnsiTheme="minorEastAsia" w:cstheme="minorEastAsia"/>
          <w:b/>
          <w:bCs/>
          <w:lang w:val="en-US" w:eastAsia="zh-CN"/>
        </w:rPr>
        <w:t>18</w:t>
      </w:r>
      <w:bookmarkStart w:id="0" w:name="_GoBack"/>
      <w:bookmarkEnd w:id="0"/>
      <w:r>
        <w:rPr>
          <w:rFonts w:hint="eastAsia" w:asciiTheme="minorEastAsia" w:hAnsiTheme="minorEastAsia" w:eastAsiaTheme="minorEastAsia" w:cstheme="minorEastAsia"/>
          <w:b/>
          <w:bCs/>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367"/>
        <w:gridCol w:w="2176"/>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rPr>
              <w:t>责任单位</w:t>
            </w:r>
          </w:p>
        </w:tc>
        <w:tc>
          <w:tcPr>
            <w:tcW w:w="86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lang w:val="en-US" w:eastAsia="zh-CN"/>
              </w:rPr>
              <w:t>嘉陵区工业集中区管理委员会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rPr>
              <w:t>监管依据</w:t>
            </w:r>
          </w:p>
        </w:tc>
        <w:tc>
          <w:tcPr>
            <w:tcW w:w="86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rPr>
              <w:t>《中华人民共和国安全生产法》、行业法规及操作规程、《南充市安全生产党政同责工作目标绩效管理实施细则》（南委办﹝2017﹞99号）、《南充市党政领导干部安全生产责任制实施办法（南委办﹝2018﹞133号）、《中共南充市嘉陵区委办公室 南充市嘉陵区人民政府办公室 关于印发&lt;南充市嘉陵区经济和信息化局职能配置、内设机构和人员编制规定&gt;的通知》（嘉委办﹝2019﹞105号）、《中共南充市嘉陵区委办公室 南充市嘉陵区人民政府办公室关于进一步明确区级部门（单位）应急管理（安全生产）工作职责的通知》（嘉编委﹝2019﹞48号）</w:t>
            </w:r>
            <w:r>
              <w:rPr>
                <w:rFonts w:hint="eastAsia" w:ascii="Times New Roman" w:hAnsi="Times New Roman" w:eastAsia="方正仿宋_GBK"/>
                <w:lang w:eastAsia="zh-CN"/>
              </w:rPr>
              <w:t>、</w:t>
            </w:r>
            <w:r>
              <w:rPr>
                <w:rFonts w:hint="eastAsia" w:ascii="Times New Roman" w:hAnsi="Times New Roman" w:eastAsia="方正仿宋_GBK"/>
                <w:lang w:val="en-US" w:eastAsia="zh-CN"/>
              </w:rPr>
              <w:t>《中共南充市嘉陵区工业集中区工作委员会关于调整班子成员分工的通知》、</w:t>
            </w:r>
            <w:r>
              <w:rPr>
                <w:rFonts w:hint="eastAsia" w:ascii="Times New Roman" w:hAnsi="Times New Roman" w:eastAsia="方正仿宋_GBK"/>
                <w:lang w:eastAsia="zh-CN"/>
              </w:rPr>
              <w:t>《</w:t>
            </w:r>
            <w:r>
              <w:rPr>
                <w:rFonts w:hint="eastAsia" w:ascii="Times New Roman" w:hAnsi="Times New Roman" w:eastAsia="方正仿宋_GBK"/>
              </w:rPr>
              <w:t>南充市嘉陵区工业集中区管理委员会关于调整安全生产工作领导小组成员及分工的通知</w:t>
            </w:r>
            <w:r>
              <w:rPr>
                <w:rFonts w:hint="eastAsia" w:ascii="Times New Roman" w:hAnsi="Times New Roman" w:eastAsia="方正仿宋_GBK"/>
                <w:lang w:eastAsia="zh-CN"/>
              </w:rPr>
              <w:t>》等。</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rPr>
              <w:t>责任目标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仿宋_GBK"/>
              </w:rPr>
            </w:pPr>
            <w:r>
              <w:rPr>
                <w:rFonts w:hint="eastAsia" w:ascii="Times New Roman" w:hAnsi="Times New Roman" w:eastAsia="方正仿宋_GBK"/>
              </w:rPr>
              <w:t>“三不”发生</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rPr>
              <w:t>职责类别</w:t>
            </w:r>
          </w:p>
        </w:tc>
        <w:tc>
          <w:tcPr>
            <w:tcW w:w="5007"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方正仿宋_GBK"/>
                <w:lang w:val="en-US" w:eastAsia="zh-CN"/>
              </w:rPr>
            </w:pPr>
            <w:r>
              <w:rPr>
                <w:rFonts w:hint="eastAsia" w:ascii="Times New Roman" w:hAnsi="Times New Roman" w:eastAsia="方正仿宋_GBK"/>
                <w:lang w:val="en-US" w:eastAsia="zh-CN"/>
              </w:rPr>
              <w:t>属地监管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仿宋_GBK"/>
              </w:rPr>
            </w:pPr>
            <w:r>
              <w:rPr>
                <w:rFonts w:hint="eastAsia" w:ascii="Times New Roman" w:hAnsi="Times New Roman" w:eastAsia="方正仿宋_GBK"/>
              </w:rPr>
              <w:t>责任（分管）范围</w:t>
            </w:r>
          </w:p>
        </w:tc>
        <w:tc>
          <w:tcPr>
            <w:tcW w:w="86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rPr>
              <w:t>负责工业集中区安全监督管理，督促工业集中区生产经营单位建立健全安全生产责任制、安全生产规章制度，完善实施岗位安全操作规程</w:t>
            </w:r>
            <w:r>
              <w:rPr>
                <w:rFonts w:hint="eastAsia" w:ascii="Times New Roman" w:hAnsi="Times New Roman" w:eastAsia="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26" w:type="dxa"/>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rPr>
              <w:t>安全生产责任清单内容</w:t>
            </w:r>
          </w:p>
        </w:tc>
        <w:tc>
          <w:tcPr>
            <w:tcW w:w="86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lang w:val="en-US" w:eastAsia="zh-CN"/>
              </w:rPr>
              <w:t>第一条 宣传、贯彻、落实国家和省、市、区有关安全生产的法律、法规、规章和方针、政策、措施；</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lang w:val="en-US" w:eastAsia="zh-CN"/>
              </w:rPr>
              <w:t>第二条 贯彻执行中省市关于安全生产的文件、会议和领导指示批示精神；</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lang w:val="en-US" w:eastAsia="zh-CN"/>
              </w:rPr>
              <w:t>第三条 将安全生产工作纳入工业园区发展规划，定期分析研究园区安全生产形势，健全安全生产目标责任体系，落实安全生产目标责任，及时协调解决安全生产监督管理中存在的问题；</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方正仿宋_GBK"/>
                <w:lang w:val="en-US" w:eastAsia="zh-CN"/>
              </w:rPr>
            </w:pPr>
            <w:r>
              <w:rPr>
                <w:rFonts w:hint="eastAsia" w:ascii="Times New Roman" w:hAnsi="Times New Roman" w:eastAsia="方正仿宋_GBK"/>
                <w:lang w:val="en-US" w:eastAsia="zh-CN"/>
              </w:rPr>
              <w:t xml:space="preserve">第四条 </w:t>
            </w:r>
            <w:r>
              <w:rPr>
                <w:rFonts w:hint="default" w:ascii="Times New Roman" w:hAnsi="Times New Roman" w:eastAsia="方正仿宋_GBK"/>
                <w:lang w:val="en-US" w:eastAsia="zh-CN"/>
              </w:rPr>
              <w:t>将安全生产工作列入</w:t>
            </w:r>
            <w:r>
              <w:rPr>
                <w:rFonts w:hint="eastAsia" w:ascii="Times New Roman" w:hAnsi="Times New Roman" w:eastAsia="方正仿宋_GBK"/>
                <w:lang w:val="en-US" w:eastAsia="zh-CN"/>
              </w:rPr>
              <w:t>管委会</w:t>
            </w:r>
            <w:r>
              <w:rPr>
                <w:rFonts w:hint="default" w:ascii="Times New Roman" w:hAnsi="Times New Roman" w:eastAsia="方正仿宋_GBK"/>
                <w:lang w:val="en-US" w:eastAsia="zh-CN"/>
              </w:rPr>
              <w:t>党</w:t>
            </w:r>
            <w:r>
              <w:rPr>
                <w:rFonts w:hint="eastAsia" w:ascii="Times New Roman" w:hAnsi="Times New Roman" w:eastAsia="方正仿宋_GBK"/>
                <w:lang w:val="en-US" w:eastAsia="zh-CN"/>
              </w:rPr>
              <w:t>工</w:t>
            </w:r>
            <w:r>
              <w:rPr>
                <w:rFonts w:hint="default" w:ascii="Times New Roman" w:hAnsi="Times New Roman" w:eastAsia="方正仿宋_GBK"/>
                <w:lang w:val="en-US" w:eastAsia="zh-CN"/>
              </w:rPr>
              <w:t>委重要议事日程，与</w:t>
            </w:r>
            <w:r>
              <w:rPr>
                <w:rFonts w:hint="eastAsia" w:ascii="Times New Roman" w:hAnsi="Times New Roman" w:eastAsia="方正仿宋_GBK"/>
                <w:lang w:val="en-US" w:eastAsia="zh-CN"/>
              </w:rPr>
              <w:t>其它各项</w:t>
            </w:r>
            <w:r>
              <w:rPr>
                <w:rFonts w:hint="default" w:ascii="Times New Roman" w:hAnsi="Times New Roman" w:eastAsia="方正仿宋_GBK"/>
                <w:lang w:val="en-US" w:eastAsia="zh-CN"/>
              </w:rPr>
              <w:t>一并研究部署</w:t>
            </w:r>
            <w:r>
              <w:rPr>
                <w:rFonts w:hint="eastAsia" w:ascii="Times New Roman" w:hAnsi="Times New Roman" w:eastAsia="方正仿宋_GBK"/>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lang w:val="en-US" w:eastAsia="zh-CN"/>
              </w:rPr>
              <w:t>第五条 明确承担本工业园区管委会安全生产监督管理的工作机构，按要求配备相应的专职工作人员，工作人员应具备安全生产监管的基本能力，负责工业园区的安全生产监督管理工作；</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lang w:val="en-US" w:eastAsia="zh-CN"/>
              </w:rPr>
              <w:t>第六条 定期组织开展重大节日、重点时段、重要活动期间的安全生产大检查，组织或配合开展安全生产专项整治，引导和推动园区企业深入开展安全生产标准化建设活动，建立事故隐患排查治理工作制度，及时排查各类事故隐患，落实防范措施，严防生产安全事故的发生；</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lang w:val="en-US" w:eastAsia="zh-CN"/>
              </w:rPr>
              <w:t>第七条 科学制定生产安全事故应急救援预案，健全完善应急救援机制，组织应急救援演练，确保一旦发生事故能在规定时间内逐级上报，并能够及时有效地开展救援和妥善处置；积极配合区安全职能部门事故调查组开展事故调查处理，并负责协助责任追究的落实到位；</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rPr>
            </w:pPr>
            <w:r>
              <w:rPr>
                <w:rFonts w:hint="eastAsia" w:ascii="Times New Roman" w:hAnsi="Times New Roman" w:eastAsia="方正仿宋_GBK"/>
                <w:lang w:val="en-US" w:eastAsia="zh-CN"/>
              </w:rPr>
              <w:t>第八条 采取多种形式宣传安全生产法律法规和方针政策，对园区企业和从业人员进行安全意识和安全知识教育，营造良好的安全生产环境；</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lang w:val="en-US" w:eastAsia="zh-CN"/>
              </w:rPr>
              <w:t>第九条 完成上级交办的安全生产其他工作。</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方正仿宋_GBK"/>
                <w:lang w:val="en-US" w:eastAsia="zh-CN"/>
              </w:rPr>
            </w:pPr>
          </w:p>
        </w:tc>
      </w:tr>
    </w:tbl>
    <w:p>
      <w:pPr>
        <w:keepNext w:val="0"/>
        <w:keepLines w:val="0"/>
        <w:pageBreakBefore w:val="0"/>
        <w:kinsoku/>
        <w:wordWrap/>
        <w:overflowPunct/>
        <w:topLinePunct w:val="0"/>
        <w:autoSpaceDE/>
        <w:autoSpaceDN/>
        <w:bidi w:val="0"/>
        <w:adjustRightInd/>
        <w:snapToGrid/>
        <w:spacing w:line="300" w:lineRule="exact"/>
        <w:textAlignment w:val="auto"/>
        <w:rPr>
          <w:sz w:val="21"/>
          <w:szCs w:val="21"/>
        </w:rPr>
      </w:pPr>
      <w:r>
        <w:rPr>
          <w:rFonts w:hint="eastAsia"/>
          <w:sz w:val="21"/>
          <w:szCs w:val="21"/>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ascii="方正仿宋_GBK" w:eastAsia="方正仿宋_GBK"/>
          <w:sz w:val="21"/>
          <w:szCs w:val="21"/>
        </w:rPr>
      </w:pPr>
      <w:r>
        <w:rPr>
          <w:rFonts w:hint="eastAsia" w:ascii="方正仿宋_GBK" w:eastAsia="方正仿宋_GBK"/>
          <w:sz w:val="21"/>
          <w:szCs w:val="21"/>
        </w:rPr>
        <w:t>备注：“三不发生”指不发生较大安全事故，不发生因安全事故引发的群体上访事件，不发生因安全事故引发的舆情。</w:t>
      </w:r>
    </w:p>
    <w:p>
      <w:pPr>
        <w:keepNext w:val="0"/>
        <w:keepLines w:val="0"/>
        <w:pageBreakBefore w:val="0"/>
        <w:kinsoku/>
        <w:wordWrap/>
        <w:overflowPunct/>
        <w:topLinePunct w:val="0"/>
        <w:autoSpaceDE/>
        <w:autoSpaceDN/>
        <w:bidi w:val="0"/>
        <w:adjustRightInd/>
        <w:snapToGrid/>
        <w:spacing w:line="300" w:lineRule="exact"/>
        <w:textAlignment w:val="auto"/>
        <w:rPr>
          <w:sz w:val="21"/>
          <w:szCs w:val="21"/>
        </w:rPr>
      </w:pPr>
    </w:p>
    <w:sectPr>
      <w:pgSz w:w="11906" w:h="16838"/>
      <w:pgMar w:top="873" w:right="1179" w:bottom="87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D5263"/>
    <w:rsid w:val="08D169DD"/>
    <w:rsid w:val="0D8A7960"/>
    <w:rsid w:val="0FB52201"/>
    <w:rsid w:val="10D17802"/>
    <w:rsid w:val="32690243"/>
    <w:rsid w:val="345D5263"/>
    <w:rsid w:val="43864A4A"/>
    <w:rsid w:val="4660375A"/>
    <w:rsid w:val="492C03B0"/>
    <w:rsid w:val="499C3032"/>
    <w:rsid w:val="4B275053"/>
    <w:rsid w:val="54520AFD"/>
    <w:rsid w:val="572C46D5"/>
    <w:rsid w:val="57B318ED"/>
    <w:rsid w:val="7741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qFormat/>
    <w:uiPriority w:val="99"/>
    <w:pPr>
      <w:spacing w:after="120"/>
      <w:ind w:left="420" w:leftChars="200"/>
    </w:pPr>
  </w:style>
  <w:style w:type="paragraph" w:styleId="3">
    <w:name w:val="Body Text First Indent 2"/>
    <w:basedOn w:val="2"/>
    <w:qFormat/>
    <w:uiPriority w:val="99"/>
    <w:pPr>
      <w:ind w:firstLine="420" w:firstLineChars="200"/>
    </w:pPr>
    <w:rPr>
      <w:rFonts w:ascii="Times New Roman" w:hAnsi="Times New Roman" w:eastAsia="仿宋_GB2312"/>
      <w:sz w:val="32"/>
    </w:rPr>
  </w:style>
  <w:style w:type="table" w:styleId="5">
    <w:name w:val="Table Grid"/>
    <w:basedOn w:val="4"/>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qFormat/>
    <w:uiPriority w:val="0"/>
    <w:rPr>
      <w:color w:val="555555"/>
      <w:u w:val="none"/>
    </w:rPr>
  </w:style>
  <w:style w:type="character" w:styleId="8">
    <w:name w:val="Hyperlink"/>
    <w:basedOn w:val="6"/>
    <w:qFormat/>
    <w:uiPriority w:val="0"/>
    <w:rPr>
      <w:color w:val="555555"/>
      <w:u w:val="none"/>
    </w:rPr>
  </w:style>
  <w:style w:type="character" w:customStyle="1" w:styleId="9">
    <w:name w:val="icon5"/>
    <w:basedOn w:val="6"/>
    <w:qFormat/>
    <w:uiPriority w:val="0"/>
  </w:style>
  <w:style w:type="character" w:customStyle="1" w:styleId="10">
    <w:name w:val="disabled"/>
    <w:basedOn w:val="6"/>
    <w:qFormat/>
    <w:uiPriority w:val="0"/>
    <w:rPr>
      <w:bdr w:val="single" w:color="E4E4E4" w:sz="6" w:space="0"/>
      <w:shd w:val="clear" w:fill="CCCCCC"/>
    </w:rPr>
  </w:style>
  <w:style w:type="character" w:customStyle="1" w:styleId="11">
    <w:name w:val="go"/>
    <w:basedOn w:val="6"/>
    <w:qFormat/>
    <w:uiPriority w:val="0"/>
    <w:rPr>
      <w:shd w:val="clear" w:fill="E2E2E2"/>
    </w:rPr>
  </w:style>
  <w:style w:type="character" w:customStyle="1" w:styleId="12">
    <w:name w:val="icon4"/>
    <w:basedOn w:val="6"/>
    <w:qFormat/>
    <w:uiPriority w:val="0"/>
  </w:style>
  <w:style w:type="character" w:customStyle="1" w:styleId="13">
    <w:name w:val="icon1"/>
    <w:basedOn w:val="6"/>
    <w:qFormat/>
    <w:uiPriority w:val="0"/>
  </w:style>
  <w:style w:type="character" w:customStyle="1" w:styleId="14">
    <w:name w:val="icon11"/>
    <w:basedOn w:val="6"/>
    <w:qFormat/>
    <w:uiPriority w:val="0"/>
  </w:style>
  <w:style w:type="character" w:customStyle="1" w:styleId="15">
    <w:name w:val="icon12"/>
    <w:basedOn w:val="6"/>
    <w:qFormat/>
    <w:uiPriority w:val="0"/>
  </w:style>
  <w:style w:type="character" w:customStyle="1" w:styleId="16">
    <w:name w:val="icon2"/>
    <w:basedOn w:val="6"/>
    <w:qFormat/>
    <w:uiPriority w:val="0"/>
  </w:style>
  <w:style w:type="character" w:customStyle="1" w:styleId="17">
    <w:name w:val="icon21"/>
    <w:basedOn w:val="6"/>
    <w:qFormat/>
    <w:uiPriority w:val="0"/>
  </w:style>
  <w:style w:type="character" w:customStyle="1" w:styleId="18">
    <w:name w:val="icon22"/>
    <w:basedOn w:val="6"/>
    <w:qFormat/>
    <w:uiPriority w:val="0"/>
  </w:style>
  <w:style w:type="character" w:customStyle="1" w:styleId="19">
    <w:name w:val="icon3"/>
    <w:basedOn w:val="6"/>
    <w:qFormat/>
    <w:uiPriority w:val="0"/>
  </w:style>
  <w:style w:type="character" w:customStyle="1" w:styleId="20">
    <w:name w:val="icon31"/>
    <w:basedOn w:val="6"/>
    <w:qFormat/>
    <w:uiPriority w:val="0"/>
  </w:style>
  <w:style w:type="character" w:customStyle="1" w:styleId="21">
    <w:name w:val="icon32"/>
    <w:basedOn w:val="6"/>
    <w:qFormat/>
    <w:uiPriority w:val="0"/>
  </w:style>
  <w:style w:type="character" w:customStyle="1" w:styleId="22">
    <w:name w:val="current"/>
    <w:basedOn w:val="6"/>
    <w:qFormat/>
    <w:uiPriority w:val="0"/>
    <w:rPr>
      <w:color w:val="FFFFFF"/>
      <w:u w:val="none"/>
      <w:bdr w:val="single" w:color="EE1F00" w:sz="6" w:space="0"/>
      <w:shd w:val="clear" w:fill="EE1F00"/>
    </w:rPr>
  </w:style>
  <w:style w:type="character" w:customStyle="1" w:styleId="23">
    <w:name w:val="disab"/>
    <w:basedOn w:val="6"/>
    <w:qFormat/>
    <w:uiPriority w:val="0"/>
    <w:rPr>
      <w:bdr w:val="single" w:color="E4E4E4" w:sz="6" w:space="0"/>
      <w:shd w:val="clear" w:fill="CCCCCC"/>
    </w:rPr>
  </w:style>
  <w:style w:type="character" w:customStyle="1" w:styleId="24">
    <w:name w:val="zcr"/>
    <w:basedOn w:val="6"/>
    <w:qFormat/>
    <w:uiPriority w:val="0"/>
    <w:rPr>
      <w:color w:val="F2492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2019-11-22T02:07:00Z</dcterms:created>
  <dc:creator>不再沉默</dc:creator>
  <cp:lastModifiedBy>不再沉默</cp:lastModifiedBy>
  <cp:lastPrinted>2024-01-26T02:09:00Z</cp:lastPrinted>
  <dcterms:modified xsi:type="dcterms:W3CDTF">2024-04-12T07:10:31Z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