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hint="default" w:ascii="黑体" w:eastAsia="黑体"/>
          <w:color w:val="FF0000"/>
          <w:spacing w:val="-20"/>
          <w:w w:val="66"/>
          <w:sz w:val="44"/>
          <w:szCs w:val="44"/>
        </w:rPr>
      </w:pPr>
    </w:p>
    <w:p>
      <w:pPr>
        <w:spacing w:line="560" w:lineRule="exact"/>
        <w:rPr>
          <w:rFonts w:hint="default" w:ascii="仿宋_GB2312" w:eastAsia="仿宋_GB2312"/>
          <w:color w:val="FF0000"/>
          <w:sz w:val="44"/>
          <w:szCs w:val="44"/>
        </w:rPr>
      </w:pPr>
    </w:p>
    <w:p>
      <w:pPr>
        <w:pStyle w:val="2"/>
        <w:rPr>
          <w:rFonts w:hint="default" w:ascii="仿宋_GB2312" w:eastAsia="仿宋_GB2312"/>
          <w:color w:val="FF0000"/>
          <w:sz w:val="44"/>
          <w:szCs w:val="44"/>
        </w:rPr>
      </w:pPr>
    </w:p>
    <w:p>
      <w:pPr>
        <w:spacing w:line="1700" w:lineRule="exact"/>
        <w:jc w:val="both"/>
        <w:rPr>
          <w:rFonts w:hint="eastAsia" w:ascii="仿宋_GB2312" w:eastAsia="仿宋_GB2312"/>
          <w:b w:val="0"/>
          <w:bCs w:val="0"/>
          <w:spacing w:val="-113"/>
          <w:kern w:val="0"/>
          <w:sz w:val="32"/>
        </w:rPr>
      </w:pPr>
      <w:r>
        <w:rPr>
          <w:rFonts w:hint="eastAsia" w:ascii="华文中宋" w:hAnsi="华文中宋" w:eastAsia="华文中宋"/>
          <w:b w:val="0"/>
          <w:bCs w:val="0"/>
          <w:color w:val="FF0000"/>
          <w:spacing w:val="-113"/>
          <w:w w:val="66"/>
          <w:sz w:val="122"/>
          <w:szCs w:val="122"/>
          <w:lang w:eastAsia="zh-CN"/>
        </w:rPr>
        <w:t>西充县</w:t>
      </w:r>
      <w:r>
        <w:rPr>
          <w:rFonts w:hint="eastAsia" w:ascii="华文中宋" w:hAnsi="华文中宋" w:eastAsia="华文中宋"/>
          <w:b w:val="0"/>
          <w:bCs w:val="0"/>
          <w:color w:val="FF0000"/>
          <w:spacing w:val="-113"/>
          <w:w w:val="66"/>
          <w:sz w:val="122"/>
          <w:szCs w:val="122"/>
        </w:rPr>
        <w:t>消防安全委员会</w:t>
      </w:r>
      <w:r>
        <w:rPr>
          <w:rFonts w:hint="eastAsia" w:ascii="华文中宋" w:hAnsi="华文中宋" w:eastAsia="华文中宋"/>
          <w:b w:val="0"/>
          <w:bCs w:val="0"/>
          <w:color w:val="FF0000"/>
          <w:spacing w:val="-113"/>
          <w:w w:val="66"/>
          <w:sz w:val="122"/>
          <w:szCs w:val="122"/>
          <w:lang w:eastAsia="zh-CN"/>
        </w:rPr>
        <w:t>办公室</w:t>
      </w:r>
      <w:r>
        <w:rPr>
          <w:rFonts w:hint="eastAsia" w:ascii="华文中宋" w:hAnsi="华文中宋" w:eastAsia="华文中宋"/>
          <w:b w:val="0"/>
          <w:bCs w:val="0"/>
          <w:color w:val="FF0000"/>
          <w:spacing w:val="-113"/>
          <w:w w:val="66"/>
          <w:sz w:val="122"/>
          <w:szCs w:val="122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kern w:val="0"/>
          <w:sz w:val="32"/>
        </w:rPr>
        <w:t>西消</w:t>
      </w:r>
      <w:r>
        <w:rPr>
          <w:rFonts w:hint="eastAsia" w:ascii="仿宋_GB2312" w:eastAsia="仿宋_GB2312"/>
          <w:kern w:val="0"/>
          <w:sz w:val="32"/>
          <w:lang w:eastAsia="zh-CN"/>
        </w:rPr>
        <w:t>安</w:t>
      </w:r>
      <w:r>
        <w:rPr>
          <w:rFonts w:hint="eastAsia" w:ascii="仿宋_GB2312" w:eastAsia="仿宋_GB2312"/>
          <w:kern w:val="0"/>
          <w:sz w:val="32"/>
        </w:rPr>
        <w:t>委</w:t>
      </w:r>
      <w:r>
        <w:rPr>
          <w:rFonts w:hint="eastAsia" w:ascii="仿宋_GB2312" w:eastAsia="仿宋_GB2312"/>
          <w:kern w:val="0"/>
          <w:sz w:val="32"/>
          <w:lang w:eastAsia="zh-CN"/>
        </w:rPr>
        <w:t>办</w:t>
      </w:r>
      <w:r>
        <w:rPr>
          <w:rFonts w:hint="eastAsia" w:ascii="仿宋_GB2312" w:eastAsia="仿宋_GB2312"/>
          <w:sz w:val="32"/>
        </w:rPr>
        <w:t>〔</w:t>
      </w:r>
      <w:r>
        <w:rPr>
          <w:rFonts w:hint="default" w:ascii="Times New Roman" w:hAnsi="Times New Roman" w:cs="Times New Roman"/>
          <w:sz w:val="32"/>
          <w:lang w:val="en-US" w:eastAsia="zh-CN"/>
        </w:rPr>
        <w:t>202</w:t>
      </w:r>
      <w:r>
        <w:rPr>
          <w:rFonts w:hint="eastAsia" w:cs="Times New Roman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07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方正小标宋简体" w:eastAsia="方正小标宋简体"/>
          <w:color w:val="FF0000"/>
          <w:sz w:val="32"/>
        </w:rPr>
      </w:pPr>
      <w:r>
        <w:rPr>
          <w:rFonts w:ascii="Calibri"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5600700" cy="0"/>
                <wp:effectExtent l="0" t="13970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5pt;margin-top:2.3pt;height:0pt;width:441pt;z-index:251660288;mso-width-relative:page;mso-height-relative:page;" filled="f" stroked="t" coordsize="21600,21600" o:gfxdata="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0WLTSAAAA&#10;BQEAAA8AAAAAAAAAAQAgAAAAIgAAAGRycy9kb3ducmV2LnhtbFBLAQIUABQAAAAIAIdO4kABbusz&#10;6gEAANwDAAAOAAAAAAAAAAEAIAAAACE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方正小标宋简体" w:eastAsia="方正小标宋简体"/>
          <w:color w:val="FF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西充县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消防安全委员会办公室</w:t>
      </w:r>
    </w:p>
    <w:p>
      <w:pPr>
        <w:spacing w:line="520" w:lineRule="exact"/>
        <w:jc w:val="center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年度2月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消防安全形势分析报告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各乡镇人民政府、街道办，县消安委各成员单位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：</w:t>
      </w:r>
    </w:p>
    <w:p>
      <w:pPr>
        <w:snapToGrid w:val="0"/>
        <w:spacing w:line="600" w:lineRule="exact"/>
        <w:ind w:firstLine="72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近期，县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消防安全委员会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办公室依据火灾防控工作实际和全县火灾信息统计数据，科学分析研判，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形成了《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202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年度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全县消防安全形势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分析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报告》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，现印发给你们，请结合实际，提前谋划，做好相关行业、系统、领域的消防安全风险管控。</w:t>
      </w: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39370</wp:posOffset>
            </wp:positionV>
            <wp:extent cx="1641475" cy="1633855"/>
            <wp:effectExtent l="52070" t="10160" r="47625" b="62865"/>
            <wp:wrapNone/>
            <wp:docPr id="2" name="图片 2" descr="C:\Users\Administrator.XTZ-20191118URQ\Desktop\消安委办.png消安委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XTZ-20191118URQ\Desktop\消安委办.png消安委办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4160000">
                      <a:off x="0" y="0"/>
                      <a:ext cx="164147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此通知。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ordWrap/>
        <w:snapToGrid w:val="0"/>
        <w:spacing w:line="600" w:lineRule="exact"/>
        <w:ind w:left="5055" w:leftChars="342" w:hanging="4337" w:hangingChars="1200"/>
        <w:jc w:val="left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西充县消防安全委员会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202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月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日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  </w:t>
      </w:r>
    </w:p>
    <w:p>
      <w:pPr>
        <w:wordWrap w:val="0"/>
        <w:snapToGrid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月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全县消防安全形势分析报告</w:t>
      </w:r>
    </w:p>
    <w:p>
      <w:pPr>
        <w:spacing w:line="560" w:lineRule="exact"/>
        <w:rPr>
          <w:rFonts w:hint="eastAsia" w:ascii="方正小标宋_GBK" w:eastAsia="方正小标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Style w:val="15"/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Style w:val="15"/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 全县火灾情况</w:t>
      </w:r>
    </w:p>
    <w:p>
      <w:pPr>
        <w:spacing w:line="560" w:lineRule="exact"/>
        <w:ind w:firstLine="640" w:firstLineChars="200"/>
        <w:rPr>
          <w:rStyle w:val="15"/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，全县共发生火灾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人，受伤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人，直接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损失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1.432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火灾形势总体平稳。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同比去年，火灾起数同比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上升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158.33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%，死亡人数持平，受伤人数持平，直接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损失同比上升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53.16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%。</w:t>
      </w:r>
    </w:p>
    <w:p>
      <w:pPr>
        <w:spacing w:line="560" w:lineRule="exact"/>
        <w:ind w:firstLine="640" w:firstLineChars="200"/>
        <w:rPr>
          <w:rStyle w:val="15"/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Style w:val="15"/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</w:t>
      </w:r>
      <w:r>
        <w:rPr>
          <w:rStyle w:val="15"/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今年以来</w:t>
      </w:r>
      <w:r>
        <w:rPr>
          <w:rStyle w:val="15"/>
          <w:rFonts w:hint="eastAsia" w:ascii="方正黑体_GBK" w:hAnsi="方正黑体_GBK" w:eastAsia="方正黑体_GBK" w:cs="方正黑体_GBK"/>
          <w:color w:val="000000"/>
          <w:sz w:val="32"/>
          <w:szCs w:val="32"/>
        </w:rPr>
        <w:t>火灾趋势特点分析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从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火灾发生区域来看，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eastAsia="zh-CN"/>
        </w:rPr>
        <w:t>县城城区火灾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占比较大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eastAsia="zh-CN"/>
        </w:rPr>
        <w:t>，城镇火灾损失大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县城城区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发生火灾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占总数的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45%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；全县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集镇镇区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发生火灾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占总数的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；农村发生火灾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起，占总数的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；其他场所发生火灾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0起，占总数的0%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2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31115</wp:posOffset>
            </wp:positionV>
            <wp:extent cx="5495290" cy="3435985"/>
            <wp:effectExtent l="0" t="0" r="0" b="0"/>
            <wp:wrapNone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420" w:firstLineChars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671830</wp:posOffset>
            </wp:positionV>
            <wp:extent cx="5673090" cy="3981450"/>
            <wp:effectExtent l="0" t="0" r="0" b="0"/>
            <wp:wrapNone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从起火场所来看，我县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荒草、杂草地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火灾居多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，占总数的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35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%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pStyle w:val="2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</w:rPr>
        <w:t>从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eastAsia="zh-CN"/>
        </w:rPr>
        <w:t>火灾发生时段来看，火灾发生多集中在</w:t>
      </w:r>
      <w:r>
        <w:rPr>
          <w:rStyle w:val="15"/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08时至24时时段。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全天火灾最多的时段为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时，共发生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起。 该时段居民生产生活活动频繁，用火用电用气量大，火灾发生率较高。</w:t>
      </w:r>
    </w:p>
    <w:p>
      <w:pPr>
        <w:spacing w:line="560" w:lineRule="exact"/>
        <w:ind w:firstLine="42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64135</wp:posOffset>
            </wp:positionV>
            <wp:extent cx="5683250" cy="3028315"/>
            <wp:effectExtent l="0" t="0" r="0" b="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420" w:firstLineChars="0"/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</w:pP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从火灾原因来看，电气火灾、玩火及烟花爆竹在各类起火原因中占比较高，人员安全意识和防范意识不到位。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73660</wp:posOffset>
            </wp:positionV>
            <wp:extent cx="5601335" cy="3852545"/>
            <wp:effectExtent l="0" t="0" r="0" b="0"/>
            <wp:wrapNone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Style w:val="15"/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</w:pPr>
    </w:p>
    <w:p>
      <w:pPr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月消防安全风险综合分析及对策建议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结合近期火灾防控实际需求和火灾数据研判，综合分析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月消防安全风险并提出具体对策建议如下：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15"/>
          <w:rFonts w:hint="default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（一）居民住宅消防安全风险因素及防范对策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风险因素：居民住宅场所是火灾易发高发的场所，普遍存在随意改造电气线路及设备，电气线路及设备老化，厨房用火不慎，燃气管线设施使用维护不当，占用或锁闭安全出口、消防车通道，电动自行车违规充电、停放，吸烟等隐患。住宅内人员活动频繁，火灾隐患种类复杂，有隐蔽性，加之民众对于火灾缺少警惕心态。一旦发生火灾极易造成人员伤亡和不良社会影响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对策建议：落实住宅建筑消防车通道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消防标心标线划设，确保消防车通道畅通。做好居民用户燃气消防安全排査和常识宣传。结合老旧小区改造工程，整改消防安全隐思，做好消防设施维护、更换、新增。动员所有家庭开展清走道、清阳台、清厨房、关火源、关电源、关气源的“三清三关”活动。鼓励家庭配置必要的灭火器、灭火毯、防烟面罩等器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，以备不时之需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15"/>
          <w:rFonts w:hint="default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Style w:val="15"/>
          <w:rFonts w:hint="default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）</w:t>
      </w:r>
      <w:r>
        <w:rPr>
          <w:rStyle w:val="15"/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燃放烟花爆竹</w:t>
      </w:r>
      <w:r>
        <w:rPr>
          <w:rStyle w:val="15"/>
          <w:rFonts w:hint="default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消防安全风险因素及防范对策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风险因素：燃放烟花爆竹及玩火这类消防安全火灾易高发。此类由于正值春节放假期间，人流量巨大，消防安全风险较为冗多，消防安全管理随意性大，伴随其娱乐活动带来大量动态火灾隐患。普遍存在在街道上、在居民楼上燃放烟花爆竹等隐患。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策建议：燃放烟花爆竹时应选择人流量较少的且空旷的、周边没有易燃易爆炸的生产加工的地方进行。燃放时做好安全防护，小孩禁止玩火，禁止在草坪、森林、公园等地方玩火，禁止一个人在家市燃放烟花爆竹。在娱乐的同时不忘消防安全知识，确保在安全的情况下进行燃放烟花爆竹，做好消防娱乐两手抓。同时也要定期走街串巷宣传关于燃放烟花爆竹的相关消防安全知识，查看有无关于燃放烟花爆竹的消防火灾隐患。</w:t>
      </w:r>
    </w:p>
    <w:p>
      <w:pPr>
        <w:spacing w:line="560" w:lineRule="exact"/>
        <w:ind w:firstLine="640" w:firstLineChars="200"/>
        <w:rPr>
          <w:rStyle w:val="1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方正小标宋_GBK" w:eastAsia="方正小标宋_GBK"/>
          <w:sz w:val="32"/>
          <w:szCs w:val="32"/>
        </w:rPr>
      </w:pPr>
    </w:p>
    <w:p>
      <w:pPr>
        <w:spacing w:line="20" w:lineRule="exact"/>
        <w:ind w:firstLine="640" w:firstLineChars="200"/>
        <w:rPr>
          <w:rFonts w:hint="eastAsia" w:ascii="方正小标宋_GBK" w:eastAsia="方正小标宋_GBK"/>
          <w:sz w:val="32"/>
          <w:szCs w:val="32"/>
        </w:rPr>
      </w:pPr>
    </w:p>
    <w:p>
      <w:pPr>
        <w:spacing w:line="600" w:lineRule="exact"/>
        <w:rPr>
          <w:rStyle w:val="1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3pt;height:0pt;width:441pt;z-index:251661312;mso-width-relative:page;mso-height-relative:page;" filled="f" stroked="t" coordsize="21600,21600" o:gfxdata="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wNOp0QAAAAQBAAAPAAAAAAAAAAEAIAAAACIAAABkcnMvZG93bnJldi54bWxQSwECFAAUAAAA&#10;CACHTuJA/Frd+f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8pt;height:0pt;width:441pt;z-index:251662336;mso-width-relative:page;mso-height-relative:page;" filled="f" stroked="t" coordsize="21600,21600" o:gfxdata="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BvOkfTAAAABgEAAA8AAAAAAAAAAQAgAAAAIgAAAGRycy9kb3ducmV2LnhtbFBLAQIUABQA&#10;AAAIAIdO4kDAGVD9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西充县消防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安全委员会办公室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日印发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327" w:right="1416" w:bottom="132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DAE16"/>
    <w:multiLevelType w:val="singleLevel"/>
    <w:tmpl w:val="652DAE1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WNhYWI4N2Y0ZmYwZTE4NGFkZTE0MTk0OGMxMjYifQ=="/>
  </w:docVars>
  <w:rsids>
    <w:rsidRoot w:val="00F874D9"/>
    <w:rsid w:val="00011714"/>
    <w:rsid w:val="0002309C"/>
    <w:rsid w:val="00057790"/>
    <w:rsid w:val="001B44E7"/>
    <w:rsid w:val="00200DA5"/>
    <w:rsid w:val="00271EC8"/>
    <w:rsid w:val="002F5488"/>
    <w:rsid w:val="00340154"/>
    <w:rsid w:val="00355B05"/>
    <w:rsid w:val="003C1E75"/>
    <w:rsid w:val="004238C1"/>
    <w:rsid w:val="004667C8"/>
    <w:rsid w:val="005517F4"/>
    <w:rsid w:val="005C679E"/>
    <w:rsid w:val="005D00C7"/>
    <w:rsid w:val="00646A7D"/>
    <w:rsid w:val="00671C77"/>
    <w:rsid w:val="00676DCE"/>
    <w:rsid w:val="007355B9"/>
    <w:rsid w:val="007B29F7"/>
    <w:rsid w:val="007D44FE"/>
    <w:rsid w:val="008E1ECD"/>
    <w:rsid w:val="00A47C66"/>
    <w:rsid w:val="00B5411F"/>
    <w:rsid w:val="00B902C0"/>
    <w:rsid w:val="00C22464"/>
    <w:rsid w:val="00C77384"/>
    <w:rsid w:val="00C774C5"/>
    <w:rsid w:val="00C828F8"/>
    <w:rsid w:val="00CD6748"/>
    <w:rsid w:val="00DF5C3D"/>
    <w:rsid w:val="00E13484"/>
    <w:rsid w:val="00E43AED"/>
    <w:rsid w:val="00EC059D"/>
    <w:rsid w:val="00F63251"/>
    <w:rsid w:val="00F74586"/>
    <w:rsid w:val="00F874D9"/>
    <w:rsid w:val="00F97D98"/>
    <w:rsid w:val="00FE1FAE"/>
    <w:rsid w:val="01416CEE"/>
    <w:rsid w:val="015D39B1"/>
    <w:rsid w:val="017671D1"/>
    <w:rsid w:val="017F78E8"/>
    <w:rsid w:val="01F06473"/>
    <w:rsid w:val="021B3458"/>
    <w:rsid w:val="023252A1"/>
    <w:rsid w:val="02946A54"/>
    <w:rsid w:val="031A0DB0"/>
    <w:rsid w:val="036B71BC"/>
    <w:rsid w:val="041F5129"/>
    <w:rsid w:val="04AB790E"/>
    <w:rsid w:val="059F01AD"/>
    <w:rsid w:val="05C005A0"/>
    <w:rsid w:val="05EE4419"/>
    <w:rsid w:val="06191145"/>
    <w:rsid w:val="0695566B"/>
    <w:rsid w:val="06F87B58"/>
    <w:rsid w:val="06FC535C"/>
    <w:rsid w:val="074E2EF7"/>
    <w:rsid w:val="0821212E"/>
    <w:rsid w:val="08524C93"/>
    <w:rsid w:val="09683082"/>
    <w:rsid w:val="09894092"/>
    <w:rsid w:val="0A0B4292"/>
    <w:rsid w:val="0A472F45"/>
    <w:rsid w:val="0A7F2154"/>
    <w:rsid w:val="0ADA1836"/>
    <w:rsid w:val="0AF836DF"/>
    <w:rsid w:val="0B66607E"/>
    <w:rsid w:val="0B9A4952"/>
    <w:rsid w:val="0BFB02FA"/>
    <w:rsid w:val="0CC947F9"/>
    <w:rsid w:val="0CD327CF"/>
    <w:rsid w:val="0CF3417D"/>
    <w:rsid w:val="0D396929"/>
    <w:rsid w:val="0D964F9A"/>
    <w:rsid w:val="0DD51E5C"/>
    <w:rsid w:val="0E0766DB"/>
    <w:rsid w:val="0FEC7938"/>
    <w:rsid w:val="1012110B"/>
    <w:rsid w:val="10202F70"/>
    <w:rsid w:val="11473809"/>
    <w:rsid w:val="119E6431"/>
    <w:rsid w:val="11B77339"/>
    <w:rsid w:val="11E07D4A"/>
    <w:rsid w:val="12712176"/>
    <w:rsid w:val="131A5AC6"/>
    <w:rsid w:val="13E17032"/>
    <w:rsid w:val="141059B7"/>
    <w:rsid w:val="14243C53"/>
    <w:rsid w:val="142C28C2"/>
    <w:rsid w:val="148B4418"/>
    <w:rsid w:val="148B7BE3"/>
    <w:rsid w:val="14EC3B61"/>
    <w:rsid w:val="155A4330"/>
    <w:rsid w:val="157D612E"/>
    <w:rsid w:val="15AE17ED"/>
    <w:rsid w:val="164F0166"/>
    <w:rsid w:val="171F5DFF"/>
    <w:rsid w:val="17271F86"/>
    <w:rsid w:val="17335079"/>
    <w:rsid w:val="1737610E"/>
    <w:rsid w:val="17891B7A"/>
    <w:rsid w:val="179A7B37"/>
    <w:rsid w:val="181E74C5"/>
    <w:rsid w:val="184B60DB"/>
    <w:rsid w:val="18614A98"/>
    <w:rsid w:val="186B1B5B"/>
    <w:rsid w:val="18781F2F"/>
    <w:rsid w:val="195370A4"/>
    <w:rsid w:val="19B138BC"/>
    <w:rsid w:val="19CC48B5"/>
    <w:rsid w:val="1A266B74"/>
    <w:rsid w:val="1A2D2C03"/>
    <w:rsid w:val="1A862FA5"/>
    <w:rsid w:val="1A930672"/>
    <w:rsid w:val="1B6C12AA"/>
    <w:rsid w:val="1BB15E53"/>
    <w:rsid w:val="1BF4234D"/>
    <w:rsid w:val="1C55054B"/>
    <w:rsid w:val="1CF24B6A"/>
    <w:rsid w:val="1DB47BAE"/>
    <w:rsid w:val="1DFC25E0"/>
    <w:rsid w:val="1E070BF7"/>
    <w:rsid w:val="1E824AD0"/>
    <w:rsid w:val="1EB128E0"/>
    <w:rsid w:val="1F4A64CB"/>
    <w:rsid w:val="1F765FD9"/>
    <w:rsid w:val="1F930E52"/>
    <w:rsid w:val="1F9721B0"/>
    <w:rsid w:val="2096524B"/>
    <w:rsid w:val="21B60D89"/>
    <w:rsid w:val="21D62EE4"/>
    <w:rsid w:val="2227224D"/>
    <w:rsid w:val="23654FB1"/>
    <w:rsid w:val="239751B7"/>
    <w:rsid w:val="23E90CC2"/>
    <w:rsid w:val="240A55C4"/>
    <w:rsid w:val="2423392A"/>
    <w:rsid w:val="246B2380"/>
    <w:rsid w:val="246C5553"/>
    <w:rsid w:val="256E7FDA"/>
    <w:rsid w:val="259B7868"/>
    <w:rsid w:val="261F65C1"/>
    <w:rsid w:val="262B51B1"/>
    <w:rsid w:val="273C4AC8"/>
    <w:rsid w:val="279C310C"/>
    <w:rsid w:val="27A25A26"/>
    <w:rsid w:val="27DC17FD"/>
    <w:rsid w:val="28292599"/>
    <w:rsid w:val="287632AD"/>
    <w:rsid w:val="28DE61BD"/>
    <w:rsid w:val="29333B0C"/>
    <w:rsid w:val="294549CB"/>
    <w:rsid w:val="29596C4B"/>
    <w:rsid w:val="29C02FC1"/>
    <w:rsid w:val="2A0C4EC9"/>
    <w:rsid w:val="2A21393B"/>
    <w:rsid w:val="2A2658ED"/>
    <w:rsid w:val="2AA609A0"/>
    <w:rsid w:val="2AAE2411"/>
    <w:rsid w:val="2AB837A8"/>
    <w:rsid w:val="2AE16F58"/>
    <w:rsid w:val="2AE2604B"/>
    <w:rsid w:val="2B2C58A0"/>
    <w:rsid w:val="2BC8447D"/>
    <w:rsid w:val="2C42190E"/>
    <w:rsid w:val="2CD86E82"/>
    <w:rsid w:val="2D3E38B2"/>
    <w:rsid w:val="2D506188"/>
    <w:rsid w:val="2D533C7E"/>
    <w:rsid w:val="2DB15CC6"/>
    <w:rsid w:val="2DBA2CC0"/>
    <w:rsid w:val="2E7A0F79"/>
    <w:rsid w:val="2E9B5A5A"/>
    <w:rsid w:val="2EAE5A0A"/>
    <w:rsid w:val="2F19542E"/>
    <w:rsid w:val="2F343946"/>
    <w:rsid w:val="2F6C06A2"/>
    <w:rsid w:val="2F822144"/>
    <w:rsid w:val="2F8606A1"/>
    <w:rsid w:val="2FAA7697"/>
    <w:rsid w:val="2FE75E54"/>
    <w:rsid w:val="2FEE7C3A"/>
    <w:rsid w:val="2FFC462E"/>
    <w:rsid w:val="304B084D"/>
    <w:rsid w:val="304F7398"/>
    <w:rsid w:val="30BC323D"/>
    <w:rsid w:val="30D87173"/>
    <w:rsid w:val="30E86AFE"/>
    <w:rsid w:val="310C523A"/>
    <w:rsid w:val="31564151"/>
    <w:rsid w:val="31721EEF"/>
    <w:rsid w:val="31EB12FC"/>
    <w:rsid w:val="31F9753B"/>
    <w:rsid w:val="323C694B"/>
    <w:rsid w:val="32951D5D"/>
    <w:rsid w:val="337D494B"/>
    <w:rsid w:val="3424418C"/>
    <w:rsid w:val="344E70D9"/>
    <w:rsid w:val="346C2243"/>
    <w:rsid w:val="34E1708F"/>
    <w:rsid w:val="350C1351"/>
    <w:rsid w:val="351733C8"/>
    <w:rsid w:val="35384579"/>
    <w:rsid w:val="356869DA"/>
    <w:rsid w:val="35883599"/>
    <w:rsid w:val="35972AD8"/>
    <w:rsid w:val="35EA69A7"/>
    <w:rsid w:val="362A35C9"/>
    <w:rsid w:val="367D1171"/>
    <w:rsid w:val="3696122E"/>
    <w:rsid w:val="37010207"/>
    <w:rsid w:val="37370BF5"/>
    <w:rsid w:val="379F3EF3"/>
    <w:rsid w:val="3861531C"/>
    <w:rsid w:val="38653794"/>
    <w:rsid w:val="38A31043"/>
    <w:rsid w:val="38AE7196"/>
    <w:rsid w:val="38DD091C"/>
    <w:rsid w:val="38E04160"/>
    <w:rsid w:val="390B0AC4"/>
    <w:rsid w:val="3910646E"/>
    <w:rsid w:val="39423247"/>
    <w:rsid w:val="395D6CAB"/>
    <w:rsid w:val="396F1AB6"/>
    <w:rsid w:val="39767B24"/>
    <w:rsid w:val="39A5092E"/>
    <w:rsid w:val="39B61E7C"/>
    <w:rsid w:val="39D761F9"/>
    <w:rsid w:val="39DD7B96"/>
    <w:rsid w:val="3A024581"/>
    <w:rsid w:val="3A027D11"/>
    <w:rsid w:val="3A404BB6"/>
    <w:rsid w:val="3A4C223B"/>
    <w:rsid w:val="3A762E8B"/>
    <w:rsid w:val="3AD5706A"/>
    <w:rsid w:val="3B004067"/>
    <w:rsid w:val="3B7801E9"/>
    <w:rsid w:val="3B8A6375"/>
    <w:rsid w:val="3BD967A0"/>
    <w:rsid w:val="3C9E5B3B"/>
    <w:rsid w:val="3D2264F8"/>
    <w:rsid w:val="3DBC71F4"/>
    <w:rsid w:val="3E5B4ACA"/>
    <w:rsid w:val="3EBA04F7"/>
    <w:rsid w:val="3FC0138D"/>
    <w:rsid w:val="3FD0119C"/>
    <w:rsid w:val="3FDD266A"/>
    <w:rsid w:val="402304B7"/>
    <w:rsid w:val="40383782"/>
    <w:rsid w:val="403C29D2"/>
    <w:rsid w:val="40484BBA"/>
    <w:rsid w:val="405A4E59"/>
    <w:rsid w:val="40B16D07"/>
    <w:rsid w:val="410A7034"/>
    <w:rsid w:val="415A05C3"/>
    <w:rsid w:val="41777A4E"/>
    <w:rsid w:val="41FA10BE"/>
    <w:rsid w:val="4221681B"/>
    <w:rsid w:val="42282EE7"/>
    <w:rsid w:val="423A778D"/>
    <w:rsid w:val="428877A4"/>
    <w:rsid w:val="42D61C5D"/>
    <w:rsid w:val="42E13C39"/>
    <w:rsid w:val="42EE712B"/>
    <w:rsid w:val="431C7029"/>
    <w:rsid w:val="43653990"/>
    <w:rsid w:val="437A0856"/>
    <w:rsid w:val="43FE06CE"/>
    <w:rsid w:val="4418135E"/>
    <w:rsid w:val="44722EB0"/>
    <w:rsid w:val="45362C39"/>
    <w:rsid w:val="46234F1E"/>
    <w:rsid w:val="46443EDE"/>
    <w:rsid w:val="469F069F"/>
    <w:rsid w:val="46E776A9"/>
    <w:rsid w:val="476B050C"/>
    <w:rsid w:val="47743437"/>
    <w:rsid w:val="47D1020F"/>
    <w:rsid w:val="47E30125"/>
    <w:rsid w:val="48032696"/>
    <w:rsid w:val="4840450C"/>
    <w:rsid w:val="48982172"/>
    <w:rsid w:val="48FB0423"/>
    <w:rsid w:val="49137818"/>
    <w:rsid w:val="4988247F"/>
    <w:rsid w:val="49C33128"/>
    <w:rsid w:val="49CF593B"/>
    <w:rsid w:val="4A1972D8"/>
    <w:rsid w:val="4A245AE9"/>
    <w:rsid w:val="4AC85F83"/>
    <w:rsid w:val="4B066CB1"/>
    <w:rsid w:val="4B700CD7"/>
    <w:rsid w:val="4BE668DB"/>
    <w:rsid w:val="4C68655F"/>
    <w:rsid w:val="4C950431"/>
    <w:rsid w:val="4CDC15F1"/>
    <w:rsid w:val="4CE95B04"/>
    <w:rsid w:val="4D1C79DF"/>
    <w:rsid w:val="4D2372D6"/>
    <w:rsid w:val="4DB725AB"/>
    <w:rsid w:val="4E466E16"/>
    <w:rsid w:val="4E973BFC"/>
    <w:rsid w:val="4F333E25"/>
    <w:rsid w:val="4FAF58ED"/>
    <w:rsid w:val="4FB46A9C"/>
    <w:rsid w:val="4FCD4FBA"/>
    <w:rsid w:val="4FD468E2"/>
    <w:rsid w:val="5057036E"/>
    <w:rsid w:val="50666FAC"/>
    <w:rsid w:val="507A69B6"/>
    <w:rsid w:val="51094C49"/>
    <w:rsid w:val="51505556"/>
    <w:rsid w:val="51740EA3"/>
    <w:rsid w:val="52035925"/>
    <w:rsid w:val="521F6381"/>
    <w:rsid w:val="52221B1D"/>
    <w:rsid w:val="529A2019"/>
    <w:rsid w:val="52B47420"/>
    <w:rsid w:val="53617ED5"/>
    <w:rsid w:val="537878B9"/>
    <w:rsid w:val="53C97906"/>
    <w:rsid w:val="53FB4BAF"/>
    <w:rsid w:val="542C547A"/>
    <w:rsid w:val="54336267"/>
    <w:rsid w:val="543C20CC"/>
    <w:rsid w:val="545924B7"/>
    <w:rsid w:val="54E4576E"/>
    <w:rsid w:val="55411709"/>
    <w:rsid w:val="55607B16"/>
    <w:rsid w:val="55B15B63"/>
    <w:rsid w:val="57E45074"/>
    <w:rsid w:val="580C0A40"/>
    <w:rsid w:val="585304E3"/>
    <w:rsid w:val="59275971"/>
    <w:rsid w:val="595E3B89"/>
    <w:rsid w:val="59F5030C"/>
    <w:rsid w:val="5A40290E"/>
    <w:rsid w:val="5A45645B"/>
    <w:rsid w:val="5ACD7484"/>
    <w:rsid w:val="5B576392"/>
    <w:rsid w:val="5B9858B4"/>
    <w:rsid w:val="5BCD34D3"/>
    <w:rsid w:val="5BF50A4C"/>
    <w:rsid w:val="5C2238AB"/>
    <w:rsid w:val="5C267A96"/>
    <w:rsid w:val="5D696FD0"/>
    <w:rsid w:val="5DEC4527"/>
    <w:rsid w:val="5EB312EF"/>
    <w:rsid w:val="5ECF5FEB"/>
    <w:rsid w:val="5F971C58"/>
    <w:rsid w:val="5FA25CFF"/>
    <w:rsid w:val="601629AA"/>
    <w:rsid w:val="60B01327"/>
    <w:rsid w:val="60C205FB"/>
    <w:rsid w:val="60CD0A72"/>
    <w:rsid w:val="61133A44"/>
    <w:rsid w:val="61480D21"/>
    <w:rsid w:val="615417C7"/>
    <w:rsid w:val="61596629"/>
    <w:rsid w:val="615B349E"/>
    <w:rsid w:val="61A02D7D"/>
    <w:rsid w:val="62555998"/>
    <w:rsid w:val="62C76E6C"/>
    <w:rsid w:val="62D52402"/>
    <w:rsid w:val="62DC0E60"/>
    <w:rsid w:val="645408D6"/>
    <w:rsid w:val="648A4EB5"/>
    <w:rsid w:val="652731D0"/>
    <w:rsid w:val="655976D5"/>
    <w:rsid w:val="657C7CA5"/>
    <w:rsid w:val="676B001F"/>
    <w:rsid w:val="679107DD"/>
    <w:rsid w:val="67A32373"/>
    <w:rsid w:val="68637C83"/>
    <w:rsid w:val="68AD09A1"/>
    <w:rsid w:val="68AF6FB1"/>
    <w:rsid w:val="68C70BB4"/>
    <w:rsid w:val="69211669"/>
    <w:rsid w:val="692A4676"/>
    <w:rsid w:val="69782EAF"/>
    <w:rsid w:val="6A527C6C"/>
    <w:rsid w:val="6AF3444B"/>
    <w:rsid w:val="6B35551D"/>
    <w:rsid w:val="6B7A34E0"/>
    <w:rsid w:val="6B9278F3"/>
    <w:rsid w:val="6BB65B5E"/>
    <w:rsid w:val="6C087E0C"/>
    <w:rsid w:val="6C253ADA"/>
    <w:rsid w:val="6C55340F"/>
    <w:rsid w:val="6C7766B8"/>
    <w:rsid w:val="6C96235E"/>
    <w:rsid w:val="6C9675FC"/>
    <w:rsid w:val="6D625EDF"/>
    <w:rsid w:val="6D807BD1"/>
    <w:rsid w:val="6D917A92"/>
    <w:rsid w:val="6D997FBD"/>
    <w:rsid w:val="6DAD133C"/>
    <w:rsid w:val="6DF943CA"/>
    <w:rsid w:val="6E1348D0"/>
    <w:rsid w:val="6EC801F1"/>
    <w:rsid w:val="6EF93EF1"/>
    <w:rsid w:val="6F013DC1"/>
    <w:rsid w:val="6F5D7F62"/>
    <w:rsid w:val="6F7870F5"/>
    <w:rsid w:val="6FA5617C"/>
    <w:rsid w:val="6FB811B3"/>
    <w:rsid w:val="6FDB6864"/>
    <w:rsid w:val="6FF90541"/>
    <w:rsid w:val="70434C6E"/>
    <w:rsid w:val="70FE3A19"/>
    <w:rsid w:val="71517BC3"/>
    <w:rsid w:val="71B83E74"/>
    <w:rsid w:val="71CE756B"/>
    <w:rsid w:val="72460C85"/>
    <w:rsid w:val="73393A34"/>
    <w:rsid w:val="73C53029"/>
    <w:rsid w:val="742941B5"/>
    <w:rsid w:val="742D6A61"/>
    <w:rsid w:val="74996AD7"/>
    <w:rsid w:val="75EB68BE"/>
    <w:rsid w:val="76205939"/>
    <w:rsid w:val="762B5362"/>
    <w:rsid w:val="769706B9"/>
    <w:rsid w:val="76C41CB7"/>
    <w:rsid w:val="77281D19"/>
    <w:rsid w:val="773D1F63"/>
    <w:rsid w:val="7760084D"/>
    <w:rsid w:val="7803502A"/>
    <w:rsid w:val="783243C2"/>
    <w:rsid w:val="79545EE8"/>
    <w:rsid w:val="798B1F33"/>
    <w:rsid w:val="7A3152F0"/>
    <w:rsid w:val="7AD32280"/>
    <w:rsid w:val="7B78076D"/>
    <w:rsid w:val="7B931F2D"/>
    <w:rsid w:val="7C5471AE"/>
    <w:rsid w:val="7C692624"/>
    <w:rsid w:val="7C7A6276"/>
    <w:rsid w:val="7C9B2CB4"/>
    <w:rsid w:val="7CD12E11"/>
    <w:rsid w:val="7CE81975"/>
    <w:rsid w:val="7CED03F4"/>
    <w:rsid w:val="7D010ECD"/>
    <w:rsid w:val="7E1760B5"/>
    <w:rsid w:val="7E5B499A"/>
    <w:rsid w:val="7E8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仿宋_GB2312" w:hAnsi="宋体" w:eastAsia="仿宋_GB2312" w:cs="仿宋_GB2312"/>
      <w:kern w:val="0"/>
      <w:sz w:val="30"/>
      <w:szCs w:val="30"/>
    </w:rPr>
  </w:style>
  <w:style w:type="paragraph" w:customStyle="1" w:styleId="14">
    <w:name w:val="00公文标题"/>
    <w:basedOn w:val="1"/>
    <w:qFormat/>
    <w:uiPriority w:val="0"/>
    <w:pPr>
      <w:snapToGrid w:val="0"/>
      <w:jc w:val="center"/>
    </w:pPr>
    <w:rPr>
      <w:rFonts w:ascii="Times" w:hAnsi="Times" w:eastAsia="方正小标宋简体"/>
      <w:sz w:val="44"/>
      <w:szCs w:val="32"/>
    </w:rPr>
  </w:style>
  <w:style w:type="character" w:customStyle="1" w:styleId="15">
    <w:name w:val="zhenwen141"/>
    <w:qFormat/>
    <w:uiPriority w:val="0"/>
    <w:rPr>
      <w:rFonts w:ascii="??" w:hAnsi="??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火灾起数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noFill/>
                <a:round/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noFill/>
                <a:round/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noFill/>
                <a:round/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noFill/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县城城区</c:v>
                </c:pt>
                <c:pt idx="1">
                  <c:v>集镇镇区</c:v>
                </c:pt>
                <c:pt idx="2">
                  <c:v>农村（村、寨、屯等）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</c:v>
                </c:pt>
                <c:pt idx="1">
                  <c:v>14</c:v>
                </c:pt>
                <c:pt idx="2">
                  <c:v>37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34709531292029"/>
          <c:y val="0.0653907496012759"/>
          <c:w val="0.641287330365727"/>
          <c:h val="0.91375773676035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火灾起数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3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Sheet1!$A$2:$A$25</c:f>
              <c:strCache>
                <c:ptCount val="24"/>
                <c:pt idx="0">
                  <c:v>居住场所</c:v>
                </c:pt>
                <c:pt idx="1">
                  <c:v>商业场所</c:v>
                </c:pt>
                <c:pt idx="2">
                  <c:v>办公场所</c:v>
                </c:pt>
                <c:pt idx="3">
                  <c:v>宾馆、饭店</c:v>
                </c:pt>
                <c:pt idx="4">
                  <c:v>纯餐饮场所</c:v>
                </c:pt>
                <c:pt idx="5">
                  <c:v>公共娱乐场所</c:v>
                </c:pt>
                <c:pt idx="6">
                  <c:v>厂房</c:v>
                </c:pt>
                <c:pt idx="7">
                  <c:v>物资仓储场所</c:v>
                </c:pt>
                <c:pt idx="8">
                  <c:v>工地</c:v>
                </c:pt>
                <c:pt idx="9">
                  <c:v>室内农副业场所</c:v>
                </c:pt>
                <c:pt idx="10">
                  <c:v>室外集贸市场</c:v>
                </c:pt>
                <c:pt idx="11">
                  <c:v>附建于其他建筑首层的修车库</c:v>
                </c:pt>
                <c:pt idx="12">
                  <c:v>室外架空电线</c:v>
                </c:pt>
                <c:pt idx="13">
                  <c:v>室外输配电设备</c:v>
                </c:pt>
                <c:pt idx="14">
                  <c:v>其他室外设施设备</c:v>
                </c:pt>
                <c:pt idx="15">
                  <c:v>小区空地</c:v>
                </c:pt>
                <c:pt idx="16">
                  <c:v>道路绿化带、隔离带</c:v>
                </c:pt>
                <c:pt idx="17">
                  <c:v>树木、灌林</c:v>
                </c:pt>
                <c:pt idx="18">
                  <c:v>乘用车</c:v>
                </c:pt>
                <c:pt idx="19">
                  <c:v>货车</c:v>
                </c:pt>
                <c:pt idx="20">
                  <c:v>荒草、杂草地</c:v>
                </c:pt>
                <c:pt idx="21">
                  <c:v>湿地</c:v>
                </c:pt>
                <c:pt idx="22">
                  <c:v>垃圾及废弃物</c:v>
                </c:pt>
                <c:pt idx="23">
                  <c:v>其他</c:v>
                </c:pt>
              </c:strCache>
            </c:str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23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5</c:v>
                </c:pt>
                <c:pt idx="13">
                  <c:v>6</c:v>
                </c:pt>
                <c:pt idx="14">
                  <c:v>1</c:v>
                </c:pt>
                <c:pt idx="15">
                  <c:v>2</c:v>
                </c:pt>
                <c:pt idx="16">
                  <c:v>7</c:v>
                </c:pt>
                <c:pt idx="17">
                  <c:v>5</c:v>
                </c:pt>
                <c:pt idx="18">
                  <c:v>2</c:v>
                </c:pt>
                <c:pt idx="19">
                  <c:v>1</c:v>
                </c:pt>
                <c:pt idx="20">
                  <c:v>32</c:v>
                </c:pt>
                <c:pt idx="21">
                  <c:v>1</c:v>
                </c:pt>
                <c:pt idx="22">
                  <c:v>3</c:v>
                </c:pt>
                <c:pt idx="2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269532124468"/>
          <c:y val="0.0135566188197767"/>
          <c:w val="0.308372509514215"/>
          <c:h val="0.975757575757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火灾数（起）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0时-2时</c:v>
                </c:pt>
                <c:pt idx="1">
                  <c:v>2时-4时</c:v>
                </c:pt>
                <c:pt idx="2">
                  <c:v>4时-6时</c:v>
                </c:pt>
                <c:pt idx="3">
                  <c:v>6时-8时</c:v>
                </c:pt>
                <c:pt idx="4">
                  <c:v>8时-10时</c:v>
                </c:pt>
                <c:pt idx="5" c:formatCode="0_ ">
                  <c:v>10时-12时</c:v>
                </c:pt>
                <c:pt idx="6" c:formatCode="0_ ">
                  <c:v>12时-14时</c:v>
                </c:pt>
                <c:pt idx="7" c:formatCode="0_ ">
                  <c:v>14时-16时</c:v>
                </c:pt>
                <c:pt idx="8" c:formatCode="0_ ">
                  <c:v>16时-18时</c:v>
                </c:pt>
                <c:pt idx="9" c:formatCode="0_ ">
                  <c:v>18时-20时</c:v>
                </c:pt>
                <c:pt idx="10" c:formatCode="0_ ">
                  <c:v>20时-22时</c:v>
                </c:pt>
                <c:pt idx="11" c:formatCode="0_ ">
                  <c:v>22时-24时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8</c:v>
                </c:pt>
                <c:pt idx="6">
                  <c:v>12</c:v>
                </c:pt>
                <c:pt idx="7">
                  <c:v>16</c:v>
                </c:pt>
                <c:pt idx="8">
                  <c:v>18</c:v>
                </c:pt>
                <c:pt idx="9">
                  <c:v>9</c:v>
                </c:pt>
                <c:pt idx="10">
                  <c:v>13</c:v>
                </c:pt>
                <c:pt idx="11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亡人数（人）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0时-2时</c:v>
                </c:pt>
                <c:pt idx="1">
                  <c:v>2时-4时</c:v>
                </c:pt>
                <c:pt idx="2">
                  <c:v>4时-6时</c:v>
                </c:pt>
                <c:pt idx="3">
                  <c:v>6时-8时</c:v>
                </c:pt>
                <c:pt idx="4">
                  <c:v>8时-10时</c:v>
                </c:pt>
                <c:pt idx="5" c:formatCode="0_ ">
                  <c:v>10时-12时</c:v>
                </c:pt>
                <c:pt idx="6" c:formatCode="0_ ">
                  <c:v>12时-14时</c:v>
                </c:pt>
                <c:pt idx="7" c:formatCode="0_ ">
                  <c:v>14时-16时</c:v>
                </c:pt>
                <c:pt idx="8" c:formatCode="0_ ">
                  <c:v>16时-18时</c:v>
                </c:pt>
                <c:pt idx="9" c:formatCode="0_ ">
                  <c:v>18时-20时</c:v>
                </c:pt>
                <c:pt idx="10" c:formatCode="0_ ">
                  <c:v>20时-22时</c:v>
                </c:pt>
                <c:pt idx="11" c:formatCode="0_ ">
                  <c:v>22时-24时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32528136"/>
        <c:axId val="41123461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numFmt formatCode="General" sourceLinked="1"/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0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Sheet1!$A$2:$A$13</c15:sqref>
                        </c15:formulaRef>
                      </c:ext>
                    </c:extLst>
                    <c:strCache>
                      <c:ptCount val="12"/>
                      <c:pt idx="0">
                        <c:v>0时-2时</c:v>
                      </c:pt>
                      <c:pt idx="1">
                        <c:v>2时-4时</c:v>
                      </c:pt>
                      <c:pt idx="2">
                        <c:v>4时-6时</c:v>
                      </c:pt>
                      <c:pt idx="3">
                        <c:v>6时-8时</c:v>
                      </c:pt>
                      <c:pt idx="4">
                        <c:v>8时-10时</c:v>
                      </c:pt>
                      <c:pt idx="5" c:formatCode="0_ ">
                        <c:v>10时-12时</c:v>
                      </c:pt>
                      <c:pt idx="6" c:formatCode="0_ ">
                        <c:v>12时-14时</c:v>
                      </c:pt>
                      <c:pt idx="7" c:formatCode="0_ ">
                        <c:v>14时-16时</c:v>
                      </c:pt>
                      <c:pt idx="8" c:formatCode="0_ ">
                        <c:v>16时-18时</c:v>
                      </c:pt>
                      <c:pt idx="9" c:formatCode="0_ ">
                        <c:v>18时-20时</c:v>
                      </c:pt>
                      <c:pt idx="10" c:formatCode="0_ ">
                        <c:v>20时-22时</c:v>
                      </c:pt>
                      <c:pt idx="11" c:formatCode="0_ ">
                        <c:v>22时-24时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632528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123461"/>
        <c:crosses val="autoZero"/>
        <c:auto val="1"/>
        <c:lblAlgn val="ctr"/>
        <c:lblOffset val="100"/>
        <c:noMultiLvlLbl val="0"/>
      </c:catAx>
      <c:valAx>
        <c:axId val="4112346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2528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36697116331243"/>
          <c:y val="0.0992253172902591"/>
          <c:w val="0.931389805428433"/>
          <c:h val="0.67519367067743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火灾数（起）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放火</c:v>
                </c:pt>
                <c:pt idx="1">
                  <c:v>电气火灾</c:v>
                </c:pt>
                <c:pt idx="2">
                  <c:v>用火不慎</c:v>
                </c:pt>
                <c:pt idx="3">
                  <c:v>吸烟</c:v>
                </c:pt>
                <c:pt idx="4">
                  <c:v>自燃</c:v>
                </c:pt>
                <c:pt idx="5">
                  <c:v>生产作业类</c:v>
                </c:pt>
                <c:pt idx="6" c:formatCode="0_ ">
                  <c:v>玩火及烟花爆竹</c:v>
                </c:pt>
                <c:pt idx="7" c:formatCode="0_ ">
                  <c:v>遗留火种</c:v>
                </c:pt>
                <c:pt idx="8" c:formatCode="0_ ">
                  <c:v>雷击及静电</c:v>
                </c:pt>
                <c:pt idx="9" c:formatCode="0_ ">
                  <c:v>其他类</c:v>
                </c:pt>
                <c:pt idx="10" c:formatCode="0_ ">
                  <c:v>不排除原因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25</c:v>
                </c:pt>
                <c:pt idx="2">
                  <c:v>10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  <c:pt idx="6">
                  <c:v>49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亡人数（人）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放火</c:v>
                </c:pt>
                <c:pt idx="1">
                  <c:v>电气火灾</c:v>
                </c:pt>
                <c:pt idx="2">
                  <c:v>用火不慎</c:v>
                </c:pt>
                <c:pt idx="3">
                  <c:v>吸烟</c:v>
                </c:pt>
                <c:pt idx="4">
                  <c:v>自燃</c:v>
                </c:pt>
                <c:pt idx="5">
                  <c:v>生产作业类</c:v>
                </c:pt>
                <c:pt idx="6" c:formatCode="0_ ">
                  <c:v>玩火及烟花爆竹</c:v>
                </c:pt>
                <c:pt idx="7" c:formatCode="0_ ">
                  <c:v>遗留火种</c:v>
                </c:pt>
                <c:pt idx="8" c:formatCode="0_ ">
                  <c:v>雷击及静电</c:v>
                </c:pt>
                <c:pt idx="9" c:formatCode="0_ ">
                  <c:v>其他类</c:v>
                </c:pt>
                <c:pt idx="10" c:formatCode="0_ ">
                  <c:v>不排除原因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32528136"/>
        <c:axId val="41123461"/>
      </c:lineChart>
      <c:catAx>
        <c:axId val="632528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123461"/>
        <c:crosses val="autoZero"/>
        <c:auto val="1"/>
        <c:lblAlgn val="ctr"/>
        <c:lblOffset val="100"/>
        <c:noMultiLvlLbl val="0"/>
      </c:catAx>
      <c:valAx>
        <c:axId val="4112346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2528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2336</Words>
  <Characters>2399</Characters>
  <Lines>4</Lines>
  <Paragraphs>1</Paragraphs>
  <TotalTime>58</TotalTime>
  <ScaleCrop>false</ScaleCrop>
  <LinksUpToDate>false</LinksUpToDate>
  <CharactersWithSpaces>2483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2021-11-29T01:56:00Z</dcterms:created>
  <dc:creator>Administrator</dc:creator>
  <cp:lastModifiedBy>Administrator</cp:lastModifiedBy>
  <cp:lastPrinted>2023-05-04T08:01:00Z</cp:lastPrinted>
  <dcterms:modified xsi:type="dcterms:W3CDTF">2024-03-19T09:23:35Z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AB4C27B5B2884431BD229F2E98326626</vt:lpwstr>
  </property>
</Properties>
</file>