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default" w:ascii="黑体" w:eastAsia="黑体"/>
          <w:color w:val="FF0000"/>
          <w:spacing w:val="-20"/>
          <w:w w:val="66"/>
          <w:sz w:val="44"/>
          <w:szCs w:val="44"/>
        </w:rPr>
      </w:pPr>
    </w:p>
    <w:p>
      <w:pPr>
        <w:spacing w:line="560" w:lineRule="exact"/>
        <w:rPr>
          <w:rFonts w:hint="default" w:ascii="仿宋_GB2312" w:eastAsia="仿宋_GB2312"/>
          <w:color w:val="FF0000"/>
          <w:sz w:val="44"/>
          <w:szCs w:val="44"/>
        </w:rPr>
      </w:pPr>
    </w:p>
    <w:p>
      <w:pPr>
        <w:pStyle w:val="2"/>
        <w:rPr>
          <w:rFonts w:hint="default" w:ascii="仿宋_GB2312" w:eastAsia="仿宋_GB2312"/>
          <w:color w:val="FF0000"/>
          <w:sz w:val="44"/>
          <w:szCs w:val="44"/>
        </w:rPr>
      </w:pPr>
    </w:p>
    <w:p>
      <w:pPr>
        <w:spacing w:line="1700" w:lineRule="exact"/>
        <w:jc w:val="both"/>
        <w:rPr>
          <w:rFonts w:hint="eastAsia" w:ascii="仿宋_GB2312" w:eastAsia="仿宋_GB2312"/>
          <w:b w:val="0"/>
          <w:bCs w:val="0"/>
          <w:spacing w:val="-113"/>
          <w:kern w:val="0"/>
          <w:sz w:val="32"/>
        </w:rPr>
      </w:pPr>
      <w:r>
        <w:rPr>
          <w:rFonts w:hint="eastAsia" w:ascii="华文中宋" w:hAnsi="华文中宋" w:eastAsia="华文中宋"/>
          <w:b w:val="0"/>
          <w:bCs w:val="0"/>
          <w:color w:val="FF0000"/>
          <w:spacing w:val="-113"/>
          <w:w w:val="66"/>
          <w:sz w:val="122"/>
          <w:szCs w:val="122"/>
          <w:lang w:eastAsia="zh-CN"/>
        </w:rPr>
        <w:t>西充县</w:t>
      </w:r>
      <w:r>
        <w:rPr>
          <w:rFonts w:hint="eastAsia" w:ascii="华文中宋" w:hAnsi="华文中宋" w:eastAsia="华文中宋"/>
          <w:b w:val="0"/>
          <w:bCs w:val="0"/>
          <w:color w:val="FF0000"/>
          <w:spacing w:val="-113"/>
          <w:w w:val="66"/>
          <w:sz w:val="122"/>
          <w:szCs w:val="122"/>
        </w:rPr>
        <w:t>消防安全委员会</w:t>
      </w:r>
      <w:r>
        <w:rPr>
          <w:rFonts w:hint="eastAsia" w:ascii="华文中宋" w:hAnsi="华文中宋" w:eastAsia="华文中宋"/>
          <w:b w:val="0"/>
          <w:bCs w:val="0"/>
          <w:color w:val="FF0000"/>
          <w:spacing w:val="-113"/>
          <w:w w:val="66"/>
          <w:sz w:val="122"/>
          <w:szCs w:val="122"/>
          <w:lang w:eastAsia="zh-CN"/>
        </w:rPr>
        <w:t>办公室</w:t>
      </w:r>
      <w:r>
        <w:rPr>
          <w:rFonts w:hint="eastAsia" w:ascii="华文中宋" w:hAnsi="华文中宋" w:eastAsia="华文中宋"/>
          <w:b w:val="0"/>
          <w:bCs w:val="0"/>
          <w:color w:val="FF0000"/>
          <w:spacing w:val="-113"/>
          <w:w w:val="66"/>
          <w:sz w:val="122"/>
          <w:szCs w:val="122"/>
        </w:rPr>
        <w:t>文件</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outlineLvl w:val="9"/>
        <w:rPr>
          <w:rFonts w:hint="default" w:ascii="仿宋_GB2312" w:eastAsia="仿宋_GB2312"/>
          <w:sz w:val="32"/>
        </w:rPr>
      </w:pPr>
      <w:r>
        <w:rPr>
          <w:rFonts w:hint="eastAsia" w:ascii="仿宋_GB2312" w:eastAsia="仿宋_GB2312"/>
          <w:kern w:val="0"/>
          <w:sz w:val="32"/>
        </w:rPr>
        <w:t>西消</w:t>
      </w:r>
      <w:r>
        <w:rPr>
          <w:rFonts w:hint="eastAsia" w:ascii="仿宋_GB2312" w:eastAsia="仿宋_GB2312"/>
          <w:kern w:val="0"/>
          <w:sz w:val="32"/>
          <w:lang w:eastAsia="zh-CN"/>
        </w:rPr>
        <w:t>安</w:t>
      </w:r>
      <w:r>
        <w:rPr>
          <w:rFonts w:hint="eastAsia" w:ascii="仿宋_GB2312" w:eastAsia="仿宋_GB2312"/>
          <w:kern w:val="0"/>
          <w:sz w:val="32"/>
        </w:rPr>
        <w:t>委</w:t>
      </w:r>
      <w:r>
        <w:rPr>
          <w:rFonts w:hint="eastAsia" w:ascii="仿宋_GB2312" w:eastAsia="仿宋_GB2312"/>
          <w:kern w:val="0"/>
          <w:sz w:val="32"/>
          <w:lang w:eastAsia="zh-CN"/>
        </w:rPr>
        <w:t>办</w:t>
      </w:r>
      <w:r>
        <w:rPr>
          <w:rFonts w:hint="eastAsia" w:ascii="仿宋_GB2312" w:eastAsia="仿宋_GB2312"/>
          <w:sz w:val="32"/>
        </w:rPr>
        <w:t>〔</w:t>
      </w:r>
      <w:r>
        <w:rPr>
          <w:rFonts w:hint="default" w:ascii="Times New Roman" w:hAnsi="Times New Roman" w:cs="Times New Roman"/>
          <w:sz w:val="32"/>
          <w:lang w:val="en-US" w:eastAsia="zh-CN"/>
        </w:rPr>
        <w:t>202</w:t>
      </w:r>
      <w:r>
        <w:rPr>
          <w:rFonts w:hint="eastAsia" w:cs="Times New Roman"/>
          <w:sz w:val="32"/>
          <w:lang w:val="en-US" w:eastAsia="zh-CN"/>
        </w:rPr>
        <w:t>4</w:t>
      </w:r>
      <w:r>
        <w:rPr>
          <w:rFonts w:hint="eastAsia" w:ascii="仿宋_GB2312" w:eastAsia="仿宋_GB2312"/>
          <w:sz w:val="32"/>
        </w:rPr>
        <w:t>〕</w:t>
      </w:r>
      <w:r>
        <w:rPr>
          <w:rFonts w:hint="default" w:ascii="Times New Roman" w:hAnsi="Times New Roman" w:eastAsia="仿宋_GB2312" w:cs="Times New Roman"/>
          <w:sz w:val="32"/>
          <w:lang w:val="en-US" w:eastAsia="zh-CN"/>
        </w:rPr>
        <w:t>0</w:t>
      </w:r>
      <w:r>
        <w:rPr>
          <w:rFonts w:hint="eastAsia" w:eastAsia="仿宋_GB2312" w:cs="Times New Roman"/>
          <w:sz w:val="32"/>
          <w:lang w:val="en-US" w:eastAsia="zh-CN"/>
        </w:rPr>
        <w:t>6</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default" w:ascii="方正小标宋简体" w:eastAsia="方正小标宋简体"/>
          <w:color w:val="FF0000"/>
          <w:sz w:val="32"/>
        </w:rPr>
      </w:pPr>
      <w:r>
        <w:rPr>
          <w:rFonts w:ascii="Calibri" w:eastAsia="宋体"/>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29210</wp:posOffset>
                </wp:positionV>
                <wp:extent cx="5600700" cy="0"/>
                <wp:effectExtent l="0" t="13970" r="0" b="1460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2.3pt;height:0pt;width:441pt;z-index:251660288;mso-width-relative:page;mso-height-relative:page;" filled="f" stroked="t" coordsize="21600,21600" o:gfxdata="UEsDBAoAAAAAAIdO4kAAAAAAAAAAAAAAAAAEAAAAZHJzL1BLAwQUAAAACACHTuJAGHRYtNIAAAAF&#10;AQAADwAAAGRycy9kb3ducmV2LnhtbE2OwU7DMBBE70j9B2uRuFGnBaoojVMVBDckRID26sZLHDVe&#10;R7Gbpn/PtpdyfJrRzMtXo2vFgH1oPCmYTRMQSJU3DdUKvr/e7lMQIWoyuvWECk4YYFVMbnKdGX+k&#10;TxzKWAseoZBpBTbGLpMyVBadDlPfIXH263unI2NfS9PrI4+7Vs6TZCGdbogfrO7wxWK1Lw9OwbhJ&#10;13b7Hp9f/c+H3Y/b0g3zk1J3t7NkCSLiGK9lOOuzOhTstPMHMkG0zE9cVPC4AMFpmj4w7y4si1z+&#10;ty/+AFBLAwQUAAAACACHTuJAAW7rM+oBAADcAwAADgAAAGRycy9lMm9Eb2MueG1srVNLbtswEN0X&#10;6B0I7mvJBpwEguUs4rqbog3Q9gBjfiQC/IFDW/ZZeo2uuulxco0OJcdp040X1YIacoZv5r0Zru6P&#10;zrKDSmiCb/l8VnOmvAjS+K7l375u391xhhm8BBu8avlJIb9fv32zGmKjFqEPVqrECMRjM8SW9znH&#10;pqpQ9MoBzkJUnpw6JAeZtqmrZIKB0J2tFnV9Uw0hyZiCUIh0upmc/IyYrgEMWhuhNkHsnfJ5Qk3K&#10;QiZK2JuIfD1Wq7US+bPWqDKzLSemeVwpCdm7slbrFTRdgtgbcS4BrinhFScHxlPSC9QGMrB9Mv9A&#10;OSNSwKDzTARXTURGRYjFvH6lzZceohq5kNQYL6Lj/4MVnw6PiRlJk8CZB0cNf/r+4+nnL7Yo2gwR&#10;Gwp58I/pvMP4mArRo06u/IkCO456ni56qmNmgg6XN3V9W5PU4tlXvVyMCfMHFRwrRsut8YUqNHD4&#10;iJmSUehzSDm2ng0tX9wtb5eEBzR4mhpOpotUPPpuvIzBGrk11pYrmLrdg03sANT87bamr3Ai4L/C&#10;SpYNYD/Fja5pLHoF8r2XLJ8iyeLpNfBSg1OSM6vo8RSLAKHJYOw1kZTaeqqgyDoJWaxdkCdqwj4m&#10;0/UkxXyssnio6WO95wEtU/XnfkR6eZ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h0WLTSAAAA&#10;BQEAAA8AAAAAAAAAAQAgAAAAIgAAAGRycy9kb3ducmV2LnhtbFBLAQIUABQAAAAIAIdO4kABbusz&#10;6gEAANwDAAAOAAAAAAAAAAEAIAAAACE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default" w:ascii="方正小标宋简体" w:eastAsia="方正小标宋简体"/>
          <w:color w:val="FF0000"/>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西充县</w:t>
      </w:r>
      <w:r>
        <w:rPr>
          <w:rFonts w:hint="eastAsia" w:ascii="方正小标宋_GBK" w:hAnsi="方正小标宋_GBK" w:eastAsia="方正小标宋_GBK" w:cs="方正小标宋_GBK"/>
          <w:sz w:val="44"/>
          <w:szCs w:val="44"/>
          <w:lang w:eastAsia="zh-CN"/>
        </w:rPr>
        <w:t>消</w:t>
      </w:r>
      <w:bookmarkStart w:id="0" w:name="_GoBack"/>
      <w:bookmarkEnd w:id="0"/>
      <w:r>
        <w:rPr>
          <w:rFonts w:hint="eastAsia" w:ascii="方正小标宋_GBK" w:hAnsi="方正小标宋_GBK" w:eastAsia="方正小标宋_GBK" w:cs="方正小标宋_GBK"/>
          <w:sz w:val="44"/>
          <w:szCs w:val="44"/>
          <w:lang w:eastAsia="zh-CN"/>
        </w:rPr>
        <w:t>防安全委员会办公室</w:t>
      </w:r>
    </w:p>
    <w:p>
      <w:pPr>
        <w:spacing w:line="520" w:lineRule="exact"/>
        <w:jc w:val="center"/>
        <w:rPr>
          <w:rFonts w:hint="eastAsia"/>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default" w:ascii="Times New Roman" w:hAnsi="Times New Roman" w:eastAsia="方正小标宋_GBK" w:cs="Times New Roman"/>
          <w:sz w:val="44"/>
          <w:szCs w:val="44"/>
          <w:lang w:val="en-US" w:eastAsia="zh-CN"/>
        </w:rPr>
        <w:t>202</w:t>
      </w:r>
      <w:r>
        <w:rPr>
          <w:rFonts w:hint="eastAsia" w:eastAsia="方正小标宋_GBK"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年度1月</w:t>
      </w:r>
      <w:r>
        <w:rPr>
          <w:rFonts w:hint="eastAsia" w:ascii="方正小标宋_GBK" w:hAnsi="方正小标宋_GBK" w:eastAsia="方正小标宋_GBK" w:cs="方正小标宋_GBK"/>
          <w:sz w:val="44"/>
          <w:szCs w:val="44"/>
          <w:lang w:eastAsia="zh-CN"/>
        </w:rPr>
        <w:t>全县</w:t>
      </w:r>
      <w:r>
        <w:rPr>
          <w:rFonts w:hint="eastAsia" w:ascii="方正小标宋_GBK" w:hAnsi="方正小标宋_GBK" w:eastAsia="方正小标宋_GBK" w:cs="方正小标宋_GBK"/>
          <w:sz w:val="44"/>
          <w:szCs w:val="44"/>
        </w:rPr>
        <w:t>消防安全形势分析报告</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left"/>
        <w:textAlignment w:val="auto"/>
        <w:outlineLvl w:val="9"/>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eastAsia="zh-CN"/>
        </w:rPr>
        <w:t>各乡镇人民政府、街道办，县消安委各成员单位</w:t>
      </w:r>
      <w:r>
        <w:rPr>
          <w:rFonts w:hint="eastAsia" w:ascii="方正仿宋_GBK" w:hAnsi="方正仿宋_GBK" w:eastAsia="方正仿宋_GBK" w:cs="方正仿宋_GBK"/>
          <w:sz w:val="36"/>
          <w:szCs w:val="36"/>
        </w:rPr>
        <w:t>：</w:t>
      </w:r>
    </w:p>
    <w:p>
      <w:pPr>
        <w:snapToGrid w:val="0"/>
        <w:spacing w:line="600" w:lineRule="exact"/>
        <w:ind w:firstLine="72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6"/>
          <w:szCs w:val="36"/>
          <w:lang w:eastAsia="zh-CN"/>
        </w:rPr>
        <w:t>近期，县</w:t>
      </w:r>
      <w:r>
        <w:rPr>
          <w:rFonts w:hint="eastAsia" w:ascii="方正仿宋_GBK" w:hAnsi="方正仿宋_GBK" w:eastAsia="方正仿宋_GBK" w:cs="方正仿宋_GBK"/>
          <w:sz w:val="36"/>
          <w:szCs w:val="36"/>
        </w:rPr>
        <w:t>消防安全委员会</w:t>
      </w:r>
      <w:r>
        <w:rPr>
          <w:rFonts w:hint="eastAsia" w:ascii="方正仿宋_GBK" w:hAnsi="方正仿宋_GBK" w:eastAsia="方正仿宋_GBK" w:cs="方正仿宋_GBK"/>
          <w:sz w:val="36"/>
          <w:szCs w:val="36"/>
          <w:lang w:eastAsia="zh-CN"/>
        </w:rPr>
        <w:t>办公室依据火灾防控工作实际和全县火灾信息统计数据，科学分析研判，</w:t>
      </w:r>
      <w:r>
        <w:rPr>
          <w:rFonts w:hint="eastAsia" w:ascii="方正仿宋_GBK" w:hAnsi="方正仿宋_GBK" w:eastAsia="方正仿宋_GBK" w:cs="方正仿宋_GBK"/>
          <w:sz w:val="36"/>
          <w:szCs w:val="36"/>
        </w:rPr>
        <w:t>形成了《</w:t>
      </w:r>
      <w:r>
        <w:rPr>
          <w:rFonts w:hint="default" w:ascii="Times New Roman" w:hAnsi="Times New Roman" w:eastAsia="方正仿宋_GBK" w:cs="Times New Roman"/>
          <w:sz w:val="36"/>
          <w:szCs w:val="36"/>
          <w:lang w:val="en-US" w:eastAsia="zh-CN"/>
        </w:rPr>
        <w:t>202</w:t>
      </w:r>
      <w:r>
        <w:rPr>
          <w:rFonts w:hint="eastAsia" w:eastAsia="方正仿宋_GBK" w:cs="Times New Roman"/>
          <w:sz w:val="36"/>
          <w:szCs w:val="36"/>
          <w:lang w:val="en-US" w:eastAsia="zh-CN"/>
        </w:rPr>
        <w:t>4</w:t>
      </w:r>
      <w:r>
        <w:rPr>
          <w:rFonts w:hint="eastAsia" w:ascii="方正仿宋_GBK" w:hAnsi="方正仿宋_GBK" w:eastAsia="方正仿宋_GBK" w:cs="方正仿宋_GBK"/>
          <w:sz w:val="36"/>
          <w:szCs w:val="36"/>
          <w:lang w:val="en-US" w:eastAsia="zh-CN"/>
        </w:rPr>
        <w:t>年度</w:t>
      </w:r>
      <w:r>
        <w:rPr>
          <w:rFonts w:hint="default" w:ascii="Times New Roman" w:hAnsi="Times New Roman" w:eastAsia="方正仿宋_GBK" w:cs="Times New Roman"/>
          <w:sz w:val="36"/>
          <w:szCs w:val="36"/>
          <w:lang w:val="en-US" w:eastAsia="zh-CN"/>
        </w:rPr>
        <w:t>1</w:t>
      </w:r>
      <w:r>
        <w:rPr>
          <w:rFonts w:hint="eastAsia" w:ascii="方正仿宋_GBK" w:hAnsi="方正仿宋_GBK" w:eastAsia="方正仿宋_GBK" w:cs="方正仿宋_GBK"/>
          <w:sz w:val="36"/>
          <w:szCs w:val="36"/>
          <w:lang w:val="en-US" w:eastAsia="zh-CN"/>
        </w:rPr>
        <w:t>月</w:t>
      </w:r>
      <w:r>
        <w:rPr>
          <w:rFonts w:hint="eastAsia" w:ascii="方正仿宋_GBK" w:hAnsi="方正仿宋_GBK" w:eastAsia="方正仿宋_GBK" w:cs="方正仿宋_GBK"/>
          <w:sz w:val="36"/>
          <w:szCs w:val="36"/>
        </w:rPr>
        <w:t>全县消防安全形势</w:t>
      </w:r>
      <w:r>
        <w:rPr>
          <w:rFonts w:hint="eastAsia" w:ascii="方正仿宋_GBK" w:hAnsi="方正仿宋_GBK" w:eastAsia="方正仿宋_GBK" w:cs="方正仿宋_GBK"/>
          <w:sz w:val="36"/>
          <w:szCs w:val="36"/>
          <w:lang w:eastAsia="zh-CN"/>
        </w:rPr>
        <w:t>分析</w:t>
      </w:r>
      <w:r>
        <w:rPr>
          <w:rFonts w:hint="eastAsia" w:ascii="方正仿宋_GBK" w:hAnsi="方正仿宋_GBK" w:eastAsia="方正仿宋_GBK" w:cs="方正仿宋_GBK"/>
          <w:sz w:val="36"/>
          <w:szCs w:val="36"/>
        </w:rPr>
        <w:t>报告》</w:t>
      </w:r>
      <w:r>
        <w:rPr>
          <w:rFonts w:hint="eastAsia" w:ascii="方正仿宋_GBK" w:hAnsi="方正仿宋_GBK" w:eastAsia="方正仿宋_GBK" w:cs="方正仿宋_GBK"/>
          <w:sz w:val="36"/>
          <w:szCs w:val="36"/>
          <w:lang w:eastAsia="zh-CN"/>
        </w:rPr>
        <w:t>，现印发给你们，请结合实际，提前谋划，做好相关行业、系统、领域的消防安全风险管控。</w:t>
      </w:r>
    </w:p>
    <w:p>
      <w:pPr>
        <w:pStyle w:val="2"/>
        <w:rPr>
          <w:rFonts w:hint="default" w:ascii="方正仿宋_GBK" w:hAnsi="方正仿宋_GBK" w:eastAsia="方正仿宋_GBK" w:cs="方正仿宋_GBK"/>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3360" behindDoc="1" locked="0" layoutInCell="1" allowOverlap="1">
            <wp:simplePos x="0" y="0"/>
            <wp:positionH relativeFrom="column">
              <wp:posOffset>3258820</wp:posOffset>
            </wp:positionH>
            <wp:positionV relativeFrom="paragraph">
              <wp:posOffset>39370</wp:posOffset>
            </wp:positionV>
            <wp:extent cx="1641475" cy="1633855"/>
            <wp:effectExtent l="52070" t="10160" r="47625" b="62865"/>
            <wp:wrapNone/>
            <wp:docPr id="2" name="图片 2" descr="C:\Users\Administrator.XTZ-20191118URQ\Desktop\消安委办.png消安委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XTZ-20191118URQ\Desktop\消安委办.png消安委办"/>
                    <pic:cNvPicPr>
                      <a:picLocks noChangeAspect="1"/>
                    </pic:cNvPicPr>
                  </pic:nvPicPr>
                  <pic:blipFill>
                    <a:blip r:embed="rId5"/>
                    <a:srcRect/>
                    <a:stretch>
                      <a:fillRect/>
                    </a:stretch>
                  </pic:blipFill>
                  <pic:spPr>
                    <a:xfrm rot="14160000">
                      <a:off x="0" y="0"/>
                      <a:ext cx="1641475" cy="163385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 xml:space="preserve">    此通知。</w:t>
      </w:r>
    </w:p>
    <w:p>
      <w:pPr>
        <w:pStyle w:val="2"/>
        <w:rPr>
          <w:rFonts w:hint="eastAsia" w:ascii="方正仿宋_GBK" w:hAnsi="方正仿宋_GBK" w:eastAsia="方正仿宋_GBK" w:cs="方正仿宋_GBK"/>
          <w:sz w:val="32"/>
          <w:szCs w:val="32"/>
          <w:lang w:val="en-US" w:eastAsia="zh-CN"/>
        </w:rPr>
      </w:pPr>
    </w:p>
    <w:p>
      <w:pPr>
        <w:wordWrap/>
        <w:snapToGrid w:val="0"/>
        <w:spacing w:line="600" w:lineRule="exact"/>
        <w:ind w:left="5055" w:leftChars="342" w:hanging="4337" w:hangingChars="1200"/>
        <w:jc w:val="left"/>
        <w:rPr>
          <w:rFonts w:hint="eastAsia" w:ascii="方正仿宋_GBK" w:hAnsi="方正仿宋_GBK" w:eastAsia="方正仿宋_GBK" w:cs="方正仿宋_GBK"/>
          <w:sz w:val="36"/>
          <w:szCs w:val="36"/>
          <w:lang w:val="en-US" w:eastAsia="zh-CN"/>
        </w:rPr>
      </w:pPr>
      <w:r>
        <w:rPr>
          <w:rFonts w:hint="eastAsia" w:ascii="仿宋_GB2312" w:hAnsi="仿宋_GB2312" w:eastAsia="仿宋_GB2312" w:cs="仿宋_GB2312"/>
          <w:b/>
          <w:sz w:val="36"/>
          <w:szCs w:val="36"/>
        </w:rPr>
        <w:t xml:space="preserve">                </w:t>
      </w:r>
      <w:r>
        <w:rPr>
          <w:rFonts w:hint="eastAsia" w:ascii="方正仿宋_GBK" w:hAnsi="方正仿宋_GBK" w:eastAsia="方正仿宋_GBK" w:cs="方正仿宋_GBK"/>
          <w:sz w:val="36"/>
          <w:szCs w:val="36"/>
        </w:rPr>
        <w:t>西充县消防安全委员会</w:t>
      </w:r>
      <w:r>
        <w:rPr>
          <w:rFonts w:hint="eastAsia" w:ascii="方正仿宋_GBK" w:hAnsi="方正仿宋_GBK" w:eastAsia="方正仿宋_GBK" w:cs="方正仿宋_GBK"/>
          <w:sz w:val="36"/>
          <w:szCs w:val="36"/>
          <w:lang w:eastAsia="zh-CN"/>
        </w:rPr>
        <w:t>办公室</w:t>
      </w:r>
      <w:r>
        <w:rPr>
          <w:rFonts w:hint="eastAsia" w:ascii="方正仿宋_GBK" w:hAnsi="方正仿宋_GBK" w:eastAsia="方正仿宋_GBK" w:cs="方正仿宋_GBK"/>
          <w:sz w:val="36"/>
          <w:szCs w:val="36"/>
          <w:lang w:val="en-US" w:eastAsia="zh-CN"/>
        </w:rPr>
        <w:t xml:space="preserve"> </w:t>
      </w:r>
      <w:r>
        <w:rPr>
          <w:rFonts w:hint="eastAsia" w:ascii="方正仿宋_GBK" w:hAnsi="方正仿宋_GBK" w:eastAsia="方正仿宋_GBK" w:cs="方正仿宋_GBK"/>
          <w:sz w:val="36"/>
          <w:szCs w:val="36"/>
        </w:rPr>
        <w:t xml:space="preserve">           </w:t>
      </w:r>
      <w:r>
        <w:rPr>
          <w:rFonts w:hint="default" w:ascii="Times New Roman" w:hAnsi="Times New Roman" w:eastAsia="方正仿宋_GBK" w:cs="Times New Roman"/>
          <w:sz w:val="36"/>
          <w:szCs w:val="36"/>
        </w:rPr>
        <w:t>202</w:t>
      </w:r>
      <w:r>
        <w:rPr>
          <w:rFonts w:hint="eastAsia" w:eastAsia="方正仿宋_GBK" w:cs="Times New Roman"/>
          <w:sz w:val="36"/>
          <w:szCs w:val="36"/>
          <w:lang w:val="en-US" w:eastAsia="zh-CN"/>
        </w:rPr>
        <w:t>4</w:t>
      </w:r>
      <w:r>
        <w:rPr>
          <w:rFonts w:hint="eastAsia" w:ascii="方正仿宋_GBK" w:hAnsi="方正仿宋_GBK" w:eastAsia="方正仿宋_GBK" w:cs="方正仿宋_GBK"/>
          <w:sz w:val="36"/>
          <w:szCs w:val="36"/>
        </w:rPr>
        <w:t>年</w:t>
      </w:r>
      <w:r>
        <w:rPr>
          <w:rFonts w:hint="default" w:ascii="Times New Roman" w:hAnsi="Times New Roman" w:eastAsia="方正仿宋_GBK" w:cs="Times New Roman"/>
          <w:sz w:val="36"/>
          <w:szCs w:val="36"/>
          <w:lang w:val="en-US" w:eastAsia="zh-CN"/>
        </w:rPr>
        <w:t>1</w:t>
      </w:r>
      <w:r>
        <w:rPr>
          <w:rFonts w:hint="eastAsia" w:ascii="方正仿宋_GBK" w:hAnsi="方正仿宋_GBK" w:eastAsia="方正仿宋_GBK" w:cs="方正仿宋_GBK"/>
          <w:sz w:val="36"/>
          <w:szCs w:val="36"/>
        </w:rPr>
        <w:t>月</w:t>
      </w:r>
      <w:r>
        <w:rPr>
          <w:rFonts w:hint="eastAsia" w:eastAsia="方正仿宋_GBK" w:cs="Times New Roman"/>
          <w:sz w:val="36"/>
          <w:szCs w:val="36"/>
          <w:lang w:val="en-US" w:eastAsia="zh-CN"/>
        </w:rPr>
        <w:t>31</w:t>
      </w:r>
      <w:r>
        <w:rPr>
          <w:rFonts w:hint="eastAsia" w:ascii="方正仿宋_GBK" w:hAnsi="方正仿宋_GBK" w:eastAsia="方正仿宋_GBK" w:cs="方正仿宋_GBK"/>
          <w:sz w:val="36"/>
          <w:szCs w:val="36"/>
        </w:rPr>
        <w:t>日</w:t>
      </w:r>
      <w:r>
        <w:rPr>
          <w:rFonts w:hint="eastAsia" w:ascii="方正仿宋_GBK" w:hAnsi="方正仿宋_GBK" w:eastAsia="方正仿宋_GBK" w:cs="方正仿宋_GBK"/>
          <w:sz w:val="36"/>
          <w:szCs w:val="36"/>
          <w:lang w:val="en-US" w:eastAsia="zh-CN"/>
        </w:rPr>
        <w:t xml:space="preserve">    </w:t>
      </w:r>
    </w:p>
    <w:p>
      <w:pPr>
        <w:wordWrap w:val="0"/>
        <w:snapToGrid w:val="0"/>
        <w:spacing w:line="600" w:lineRule="exact"/>
        <w:ind w:firstLine="720" w:firstLineChars="200"/>
        <w:jc w:val="right"/>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6"/>
          <w:szCs w:val="36"/>
          <w:lang w:val="en-US" w:eastAsia="zh-CN"/>
        </w:rPr>
        <w:t xml:space="preserve"> </w:t>
      </w:r>
    </w:p>
    <w:p>
      <w:pPr>
        <w:spacing w:line="560" w:lineRule="exact"/>
        <w:jc w:val="center"/>
        <w:rPr>
          <w:rFonts w:hint="eastAsia" w:ascii="方正小标宋_GBK" w:eastAsia="方正小标宋_GBK"/>
          <w:b w:val="0"/>
          <w:bCs/>
          <w:sz w:val="44"/>
          <w:szCs w:val="44"/>
        </w:rPr>
      </w:pPr>
      <w:r>
        <w:rPr>
          <w:rFonts w:hint="default" w:ascii="Times New Roman" w:hAnsi="Times New Roman" w:eastAsia="方正小标宋_GBK" w:cs="Times New Roman"/>
          <w:b w:val="0"/>
          <w:bCs/>
          <w:sz w:val="44"/>
          <w:szCs w:val="44"/>
          <w:lang w:val="en-US" w:eastAsia="zh-CN"/>
        </w:rPr>
        <w:t>2024年度</w:t>
      </w:r>
      <w:r>
        <w:rPr>
          <w:rFonts w:hint="eastAsia" w:eastAsia="方正小标宋_GBK" w:cs="Times New Roman"/>
          <w:b w:val="0"/>
          <w:bCs/>
          <w:sz w:val="44"/>
          <w:szCs w:val="44"/>
          <w:lang w:val="en-US" w:eastAsia="zh-CN"/>
        </w:rPr>
        <w:t>1</w:t>
      </w:r>
      <w:r>
        <w:rPr>
          <w:rFonts w:hint="default" w:ascii="Times New Roman" w:hAnsi="Times New Roman" w:eastAsia="方正小标宋_GBK" w:cs="Times New Roman"/>
          <w:b w:val="0"/>
          <w:bCs/>
          <w:sz w:val="44"/>
          <w:szCs w:val="44"/>
          <w:lang w:val="en-US" w:eastAsia="zh-CN"/>
        </w:rPr>
        <w:t>月</w:t>
      </w:r>
      <w:r>
        <w:rPr>
          <w:rFonts w:hint="default" w:ascii="Times New Roman" w:hAnsi="Times New Roman" w:eastAsia="方正小标宋_GBK" w:cs="Times New Roman"/>
          <w:b w:val="0"/>
          <w:bCs/>
          <w:sz w:val="44"/>
          <w:szCs w:val="44"/>
        </w:rPr>
        <w:t>全县消防安全形势分析报告</w:t>
      </w:r>
    </w:p>
    <w:p>
      <w:pPr>
        <w:spacing w:line="560" w:lineRule="exact"/>
        <w:rPr>
          <w:rFonts w:hint="eastAsia" w:ascii="方正小标宋_GBK" w:eastAsia="方正小标宋_GBK"/>
          <w:sz w:val="32"/>
          <w:szCs w:val="32"/>
        </w:rPr>
      </w:pPr>
    </w:p>
    <w:p>
      <w:pPr>
        <w:spacing w:line="560" w:lineRule="exact"/>
        <w:ind w:firstLine="640" w:firstLineChars="200"/>
        <w:jc w:val="left"/>
        <w:rPr>
          <w:rStyle w:val="15"/>
          <w:rFonts w:hint="eastAsia" w:ascii="方正黑体_GBK" w:hAnsi="方正黑体_GBK" w:eastAsia="方正黑体_GBK" w:cs="方正黑体_GBK"/>
          <w:color w:val="000000"/>
          <w:sz w:val="32"/>
          <w:szCs w:val="32"/>
        </w:rPr>
      </w:pPr>
      <w:r>
        <w:rPr>
          <w:rStyle w:val="15"/>
          <w:rFonts w:hint="eastAsia" w:ascii="方正黑体_GBK" w:hAnsi="方正黑体_GBK" w:eastAsia="方正黑体_GBK" w:cs="方正黑体_GBK"/>
          <w:color w:val="000000"/>
          <w:sz w:val="32"/>
          <w:szCs w:val="32"/>
        </w:rPr>
        <w:t>一、 全县火灾情况</w:t>
      </w:r>
    </w:p>
    <w:p>
      <w:pPr>
        <w:spacing w:line="560" w:lineRule="exact"/>
        <w:ind w:firstLine="640" w:firstLineChars="200"/>
        <w:rPr>
          <w:rStyle w:val="15"/>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截至</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月底</w:t>
      </w:r>
      <w:r>
        <w:rPr>
          <w:rFonts w:hint="default" w:ascii="Times New Roman" w:hAnsi="Times New Roman" w:eastAsia="方正仿宋_GBK" w:cs="Times New Roman"/>
          <w:sz w:val="32"/>
          <w:szCs w:val="32"/>
        </w:rPr>
        <w:t>，全县共发生火灾</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死</w:t>
      </w:r>
      <w:r>
        <w:rPr>
          <w:rFonts w:hint="default" w:ascii="Times New Roman" w:hAnsi="Times New Roman" w:eastAsia="方正仿宋_GBK" w:cs="Times New Roman"/>
          <w:sz w:val="32"/>
          <w:szCs w:val="32"/>
        </w:rPr>
        <w:t>亡</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人，受伤</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人，直接</w:t>
      </w:r>
      <w:r>
        <w:rPr>
          <w:rFonts w:hint="default" w:ascii="Times New Roman" w:hAnsi="Times New Roman" w:eastAsia="方正仿宋_GBK" w:cs="Times New Roman"/>
          <w:sz w:val="32"/>
          <w:szCs w:val="32"/>
          <w:lang w:eastAsia="zh-CN"/>
        </w:rPr>
        <w:t>经济</w:t>
      </w:r>
      <w:r>
        <w:rPr>
          <w:rFonts w:hint="default" w:ascii="Times New Roman" w:hAnsi="Times New Roman" w:eastAsia="方正仿宋_GBK" w:cs="Times New Roman"/>
          <w:sz w:val="32"/>
          <w:szCs w:val="32"/>
        </w:rPr>
        <w:t>损失</w:t>
      </w:r>
      <w:r>
        <w:rPr>
          <w:rFonts w:hint="eastAsia" w:eastAsia="方正仿宋_GBK" w:cs="Times New Roman"/>
          <w:sz w:val="32"/>
          <w:szCs w:val="32"/>
          <w:lang w:val="en-US" w:eastAsia="zh-CN"/>
        </w:rPr>
        <w:t>2.205</w:t>
      </w:r>
      <w:r>
        <w:rPr>
          <w:rFonts w:hint="default" w:ascii="Times New Roman" w:hAnsi="Times New Roman" w:eastAsia="方正仿宋_GBK" w:cs="Times New Roman"/>
          <w:sz w:val="32"/>
          <w:szCs w:val="32"/>
          <w:lang w:val="en-US" w:eastAsia="zh-CN"/>
        </w:rPr>
        <w:t>余万元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火灾形势总体平稳。</w:t>
      </w:r>
      <w:r>
        <w:rPr>
          <w:rFonts w:hint="default" w:ascii="Times New Roman" w:hAnsi="Times New Roman" w:eastAsia="方正仿宋_GBK" w:cs="Times New Roman"/>
          <w:color w:val="auto"/>
          <w:sz w:val="32"/>
          <w:szCs w:val="32"/>
          <w:lang w:eastAsia="zh-CN"/>
        </w:rPr>
        <w:t>同比去年，火灾起数同比下降</w:t>
      </w:r>
      <w:r>
        <w:rPr>
          <w:rFonts w:hint="default" w:ascii="Times New Roman" w:hAnsi="Times New Roman" w:eastAsia="方正仿宋_GBK" w:cs="Times New Roman"/>
          <w:color w:val="auto"/>
          <w:sz w:val="32"/>
          <w:szCs w:val="32"/>
          <w:lang w:val="en-US" w:eastAsia="zh-CN"/>
        </w:rPr>
        <w:t>63.75%，死亡人数持平，受伤人数持平，直接</w:t>
      </w:r>
      <w:r>
        <w:rPr>
          <w:rFonts w:hint="eastAsia"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lang w:val="en-US" w:eastAsia="zh-CN"/>
        </w:rPr>
        <w:t>损失同比上升</w:t>
      </w:r>
      <w:r>
        <w:rPr>
          <w:rFonts w:hint="eastAsia" w:eastAsia="方正仿宋_GBK" w:cs="Times New Roman"/>
          <w:color w:val="auto"/>
          <w:sz w:val="32"/>
          <w:szCs w:val="32"/>
          <w:lang w:val="en-US" w:eastAsia="zh-CN"/>
        </w:rPr>
        <w:t>61</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33</w:t>
      </w:r>
      <w:r>
        <w:rPr>
          <w:rFonts w:hint="default" w:ascii="Times New Roman" w:hAnsi="Times New Roman" w:eastAsia="方正仿宋_GBK" w:cs="Times New Roman"/>
          <w:color w:val="auto"/>
          <w:sz w:val="32"/>
          <w:szCs w:val="32"/>
          <w:lang w:val="en-US" w:eastAsia="zh-CN"/>
        </w:rPr>
        <w:t>%。</w:t>
      </w:r>
    </w:p>
    <w:p>
      <w:pPr>
        <w:spacing w:line="560" w:lineRule="exact"/>
        <w:ind w:firstLine="640" w:firstLineChars="200"/>
        <w:rPr>
          <w:rStyle w:val="15"/>
          <w:rFonts w:hint="eastAsia" w:ascii="方正黑体_GBK" w:hAnsi="方正黑体_GBK" w:eastAsia="方正黑体_GBK" w:cs="方正黑体_GBK"/>
          <w:color w:val="000000"/>
          <w:sz w:val="32"/>
          <w:szCs w:val="32"/>
        </w:rPr>
      </w:pPr>
      <w:r>
        <w:rPr>
          <w:rStyle w:val="15"/>
          <w:rFonts w:hint="eastAsia" w:ascii="方正黑体_GBK" w:hAnsi="方正黑体_GBK" w:eastAsia="方正黑体_GBK" w:cs="方正黑体_GBK"/>
          <w:color w:val="000000"/>
          <w:sz w:val="32"/>
          <w:szCs w:val="32"/>
        </w:rPr>
        <w:t>二、</w:t>
      </w:r>
      <w:r>
        <w:rPr>
          <w:rStyle w:val="15"/>
          <w:rFonts w:hint="eastAsia" w:ascii="方正黑体_GBK" w:hAnsi="方正黑体_GBK" w:eastAsia="方正黑体_GBK" w:cs="方正黑体_GBK"/>
          <w:color w:val="000000"/>
          <w:sz w:val="32"/>
          <w:szCs w:val="32"/>
          <w:lang w:eastAsia="zh-CN"/>
        </w:rPr>
        <w:t>今年以来</w:t>
      </w:r>
      <w:r>
        <w:rPr>
          <w:rStyle w:val="15"/>
          <w:rFonts w:hint="eastAsia" w:ascii="方正黑体_GBK" w:hAnsi="方正黑体_GBK" w:eastAsia="方正黑体_GBK" w:cs="方正黑体_GBK"/>
          <w:color w:val="000000"/>
          <w:sz w:val="32"/>
          <w:szCs w:val="32"/>
        </w:rPr>
        <w:t>火灾趋势特点分析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方正楷体_GBK" w:cs="Times New Roman"/>
          <w:color w:val="auto"/>
          <w:sz w:val="32"/>
          <w:szCs w:val="32"/>
        </w:rPr>
      </w:pPr>
      <w:r>
        <w:rPr>
          <w:rStyle w:val="15"/>
          <w:rFonts w:hint="default" w:ascii="Times New Roman" w:hAnsi="Times New Roman" w:eastAsia="方正楷体_GBK" w:cs="Times New Roman"/>
          <w:b w:val="0"/>
          <w:bCs/>
          <w:color w:val="000000"/>
          <w:sz w:val="32"/>
          <w:szCs w:val="32"/>
        </w:rPr>
        <w:t>从火灾发生区域来看，</w:t>
      </w:r>
      <w:r>
        <w:rPr>
          <w:rStyle w:val="15"/>
          <w:rFonts w:hint="default" w:ascii="Times New Roman" w:hAnsi="Times New Roman" w:eastAsia="方正楷体_GBK" w:cs="Times New Roman"/>
          <w:b w:val="0"/>
          <w:bCs/>
          <w:color w:val="000000"/>
          <w:sz w:val="32"/>
          <w:szCs w:val="32"/>
          <w:lang w:eastAsia="zh-CN"/>
        </w:rPr>
        <w:t>县城城区火灾</w:t>
      </w:r>
      <w:r>
        <w:rPr>
          <w:rStyle w:val="15"/>
          <w:rFonts w:hint="default" w:ascii="Times New Roman" w:hAnsi="Times New Roman" w:eastAsia="方正楷体_GBK" w:cs="Times New Roman"/>
          <w:b w:val="0"/>
          <w:bCs/>
          <w:color w:val="000000"/>
          <w:sz w:val="32"/>
          <w:szCs w:val="32"/>
        </w:rPr>
        <w:t>占比较大</w:t>
      </w:r>
      <w:r>
        <w:rPr>
          <w:rStyle w:val="15"/>
          <w:rFonts w:hint="default" w:ascii="Times New Roman" w:hAnsi="Times New Roman" w:eastAsia="方正楷体_GBK" w:cs="Times New Roman"/>
          <w:b w:val="0"/>
          <w:bCs/>
          <w:color w:val="000000"/>
          <w:sz w:val="32"/>
          <w:szCs w:val="32"/>
          <w:lang w:eastAsia="zh-CN"/>
        </w:rPr>
        <w:t>，城镇火灾损失大</w:t>
      </w:r>
      <w:r>
        <w:rPr>
          <w:rStyle w:val="15"/>
          <w:rFonts w:hint="default" w:ascii="Times New Roman" w:hAnsi="Times New Roman" w:eastAsia="方正楷体_GBK" w:cs="Times New Roman"/>
          <w:b w:val="0"/>
          <w:bCs/>
          <w:color w:val="000000"/>
          <w:sz w:val="32"/>
          <w:szCs w:val="32"/>
        </w:rPr>
        <w:t>。</w:t>
      </w:r>
      <w:r>
        <w:rPr>
          <w:rFonts w:hint="default" w:ascii="Times New Roman" w:hAnsi="Times New Roman" w:eastAsia="方正仿宋_GBK" w:cs="Times New Roman"/>
          <w:color w:val="auto"/>
          <w:sz w:val="32"/>
          <w:szCs w:val="32"/>
        </w:rPr>
        <w:t>全县</w:t>
      </w:r>
      <w:r>
        <w:rPr>
          <w:rFonts w:hint="default" w:ascii="Times New Roman" w:hAnsi="Times New Roman" w:eastAsia="方正仿宋_GBK" w:cs="Times New Roman"/>
          <w:color w:val="auto"/>
          <w:sz w:val="32"/>
          <w:szCs w:val="32"/>
          <w:lang w:eastAsia="zh-CN"/>
        </w:rPr>
        <w:t>县城城区</w:t>
      </w:r>
      <w:r>
        <w:rPr>
          <w:rFonts w:hint="default" w:ascii="Times New Roman" w:hAnsi="Times New Roman" w:eastAsia="方正仿宋_GBK" w:cs="Times New Roman"/>
          <w:color w:val="auto"/>
          <w:sz w:val="32"/>
          <w:szCs w:val="32"/>
        </w:rPr>
        <w:t>发生火灾</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起，</w:t>
      </w:r>
      <w:r>
        <w:rPr>
          <w:rFonts w:hint="default" w:ascii="Times New Roman" w:hAnsi="Times New Roman" w:eastAsia="方正仿宋_GBK" w:cs="Times New Roman"/>
          <w:color w:val="auto"/>
          <w:sz w:val="32"/>
          <w:szCs w:val="32"/>
          <w:lang w:eastAsia="zh-CN"/>
        </w:rPr>
        <w:t>占总数的</w:t>
      </w:r>
      <w:r>
        <w:rPr>
          <w:rFonts w:hint="default" w:ascii="Times New Roman" w:hAnsi="Times New Roman" w:eastAsia="方正仿宋_GBK" w:cs="Times New Roman"/>
          <w:color w:val="auto"/>
          <w:sz w:val="32"/>
          <w:szCs w:val="32"/>
          <w:lang w:val="en-US" w:eastAsia="zh-CN"/>
        </w:rPr>
        <w:t>55%</w:t>
      </w:r>
      <w:r>
        <w:rPr>
          <w:rFonts w:hint="default" w:ascii="Times New Roman" w:hAnsi="Times New Roman" w:eastAsia="方正仿宋_GBK" w:cs="Times New Roman"/>
          <w:color w:val="auto"/>
          <w:sz w:val="32"/>
          <w:szCs w:val="32"/>
        </w:rPr>
        <w:t>；全县</w:t>
      </w:r>
      <w:r>
        <w:rPr>
          <w:rFonts w:hint="default" w:ascii="Times New Roman" w:hAnsi="Times New Roman" w:eastAsia="方正仿宋_GBK" w:cs="Times New Roman"/>
          <w:color w:val="auto"/>
          <w:sz w:val="32"/>
          <w:szCs w:val="32"/>
          <w:lang w:eastAsia="zh-CN"/>
        </w:rPr>
        <w:t>集镇镇区</w:t>
      </w:r>
      <w:r>
        <w:rPr>
          <w:rFonts w:hint="default" w:ascii="Times New Roman" w:hAnsi="Times New Roman" w:eastAsia="方正仿宋_GBK" w:cs="Times New Roman"/>
          <w:color w:val="auto"/>
          <w:sz w:val="32"/>
          <w:szCs w:val="32"/>
        </w:rPr>
        <w:t>发生火灾</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起，</w:t>
      </w:r>
      <w:r>
        <w:rPr>
          <w:rFonts w:hint="default" w:ascii="Times New Roman" w:hAnsi="Times New Roman" w:eastAsia="方正仿宋_GBK" w:cs="Times New Roman"/>
          <w:color w:val="auto"/>
          <w:sz w:val="32"/>
          <w:szCs w:val="32"/>
          <w:lang w:eastAsia="zh-CN"/>
        </w:rPr>
        <w:t>占总数的</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；农村发生火灾</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起，占总数的</w:t>
      </w:r>
      <w:r>
        <w:rPr>
          <w:rFonts w:hint="default" w:ascii="Times New Roman" w:hAnsi="Times New Roman" w:eastAsia="方正仿宋_GBK" w:cs="Times New Roman"/>
          <w:color w:val="auto"/>
          <w:sz w:val="32"/>
          <w:szCs w:val="32"/>
          <w:lang w:val="en-US" w:eastAsia="zh-CN"/>
        </w:rPr>
        <w:t>38%</w:t>
      </w:r>
      <w:r>
        <w:rPr>
          <w:rFonts w:hint="default" w:ascii="Times New Roman" w:hAnsi="Times New Roman" w:eastAsia="方正仿宋_GBK" w:cs="Times New Roman"/>
          <w:color w:val="auto"/>
          <w:sz w:val="32"/>
          <w:szCs w:val="32"/>
          <w:lang w:eastAsia="zh-CN"/>
        </w:rPr>
        <w:t>；其他场所发生火灾</w:t>
      </w:r>
      <w:r>
        <w:rPr>
          <w:rFonts w:hint="default" w:ascii="Times New Roman" w:hAnsi="Times New Roman" w:eastAsia="方正仿宋_GBK" w:cs="Times New Roman"/>
          <w:color w:val="auto"/>
          <w:sz w:val="32"/>
          <w:szCs w:val="32"/>
          <w:lang w:val="en-US" w:eastAsia="zh-CN"/>
        </w:rPr>
        <w:t>0起，占总数的0%</w:t>
      </w:r>
      <w:r>
        <w:rPr>
          <w:rFonts w:hint="default" w:ascii="Times New Roman" w:hAnsi="Times New Roman" w:eastAsia="方正仿宋_GBK" w:cs="Times New Roman"/>
          <w:color w:val="auto"/>
          <w:sz w:val="32"/>
          <w:szCs w:val="32"/>
        </w:rPr>
        <w:t>。</w:t>
      </w:r>
    </w:p>
    <w:p>
      <w:pPr>
        <w:pStyle w:val="2"/>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-83185</wp:posOffset>
            </wp:positionH>
            <wp:positionV relativeFrom="paragraph">
              <wp:posOffset>31115</wp:posOffset>
            </wp:positionV>
            <wp:extent cx="5495290" cy="3103245"/>
            <wp:effectExtent l="0" t="0" r="0" b="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numPr>
          <w:ilvl w:val="0"/>
          <w:numId w:val="1"/>
        </w:numPr>
        <w:spacing w:line="560" w:lineRule="exact"/>
        <w:ind w:left="-10" w:leftChars="0" w:firstLine="420" w:firstLineChars="0"/>
        <w:rPr>
          <w:rFonts w:hint="eastAsia" w:ascii="方正楷体_GBK" w:hAnsi="方正楷体_GBK" w:eastAsia="方正楷体_GBK" w:cs="方正楷体_GBK"/>
          <w:sz w:val="32"/>
          <w:szCs w:val="32"/>
        </w:rPr>
      </w:pPr>
      <w:r>
        <w:rPr>
          <w:rStyle w:val="15"/>
          <w:rFonts w:hint="eastAsia" w:ascii="方正楷体_GBK" w:hAnsi="方正楷体_GBK" w:eastAsia="方正楷体_GBK" w:cs="方正楷体_GBK"/>
          <w:b w:val="0"/>
          <w:bCs/>
          <w:color w:val="000000"/>
          <w:sz w:val="32"/>
          <w:szCs w:val="32"/>
        </w:rPr>
        <w:t>从起火场所来看，我县</w:t>
      </w:r>
      <w:r>
        <w:rPr>
          <w:rStyle w:val="15"/>
          <w:rFonts w:hint="eastAsia" w:ascii="方正楷体_GBK" w:hAnsi="方正楷体_GBK" w:eastAsia="方正楷体_GBK" w:cs="方正楷体_GBK"/>
          <w:b w:val="0"/>
          <w:bCs/>
          <w:color w:val="000000"/>
          <w:sz w:val="32"/>
          <w:szCs w:val="32"/>
          <w:lang w:val="en-US" w:eastAsia="zh-CN"/>
        </w:rPr>
        <w:t>居住场所火灾</w:t>
      </w:r>
      <w:r>
        <w:rPr>
          <w:rStyle w:val="15"/>
          <w:rFonts w:hint="eastAsia" w:ascii="方正楷体_GBK" w:hAnsi="方正楷体_GBK" w:eastAsia="方正楷体_GBK" w:cs="方正楷体_GBK"/>
          <w:b w:val="0"/>
          <w:bCs/>
          <w:color w:val="000000"/>
          <w:sz w:val="32"/>
          <w:szCs w:val="32"/>
        </w:rPr>
        <w:t>居多</w:t>
      </w:r>
      <w:r>
        <w:rPr>
          <w:rStyle w:val="15"/>
          <w:rFonts w:hint="eastAsia" w:ascii="方正楷体_GBK" w:hAnsi="方正楷体_GBK" w:eastAsia="方正楷体_GBK" w:cs="方正楷体_GBK"/>
          <w:b w:val="0"/>
          <w:bCs/>
          <w:color w:val="000000"/>
          <w:sz w:val="32"/>
          <w:szCs w:val="32"/>
          <w:lang w:eastAsia="zh-CN"/>
        </w:rPr>
        <w:t>，占总数的</w:t>
      </w:r>
      <w:r>
        <w:rPr>
          <w:rStyle w:val="15"/>
          <w:rFonts w:hint="eastAsia" w:ascii="方正楷体_GBK" w:hAnsi="方正楷体_GBK" w:eastAsia="方正楷体_GBK" w:cs="方正楷体_GBK"/>
          <w:b w:val="0"/>
          <w:bCs/>
          <w:color w:val="000000"/>
          <w:sz w:val="32"/>
          <w:szCs w:val="32"/>
          <w:lang w:val="en-US" w:eastAsia="zh-CN"/>
        </w:rPr>
        <w:t>41</w:t>
      </w:r>
      <w:r>
        <w:rPr>
          <w:rStyle w:val="15"/>
          <w:rFonts w:hint="default" w:ascii="Times New Roman" w:hAnsi="Times New Roman" w:eastAsia="方正楷体_GBK" w:cs="Times New Roman"/>
          <w:b w:val="0"/>
          <w:bCs/>
          <w:color w:val="000000"/>
          <w:sz w:val="32"/>
          <w:szCs w:val="32"/>
          <w:lang w:val="en-US" w:eastAsia="zh-CN"/>
        </w:rPr>
        <w:t>%</w:t>
      </w:r>
      <w:r>
        <w:rPr>
          <w:rStyle w:val="15"/>
          <w:rFonts w:hint="eastAsia" w:ascii="方正楷体_GBK" w:hAnsi="方正楷体_GBK" w:eastAsia="方正楷体_GBK" w:cs="方正楷体_GBK"/>
          <w:b w:val="0"/>
          <w:bCs/>
          <w:color w:val="000000"/>
          <w:sz w:val="32"/>
          <w:szCs w:val="32"/>
          <w:lang w:val="en-US" w:eastAsia="zh-CN"/>
        </w:rPr>
        <w:t>。</w:t>
      </w:r>
    </w:p>
    <w:p>
      <w:pPr>
        <w:widowControl w:val="0"/>
        <w:numPr>
          <w:ilvl w:val="0"/>
          <w:numId w:val="0"/>
        </w:numPr>
        <w:spacing w:line="560" w:lineRule="exact"/>
        <w:jc w:val="both"/>
        <w:rPr>
          <w:rStyle w:val="15"/>
          <w:rFonts w:hint="eastAsia" w:ascii="楷体_GB2312" w:hAnsi="黑体" w:eastAsia="楷体_GB2312"/>
          <w:b/>
          <w:color w:val="000000"/>
          <w:sz w:val="32"/>
          <w:szCs w:val="32"/>
        </w:rPr>
      </w:pPr>
      <w:r>
        <w:drawing>
          <wp:anchor distT="0" distB="0" distL="114300" distR="114300" simplePos="0" relativeHeight="251665408" behindDoc="1" locked="0" layoutInCell="1" allowOverlap="1">
            <wp:simplePos x="0" y="0"/>
            <wp:positionH relativeFrom="column">
              <wp:posOffset>-56515</wp:posOffset>
            </wp:positionH>
            <wp:positionV relativeFrom="paragraph">
              <wp:posOffset>-24130</wp:posOffset>
            </wp:positionV>
            <wp:extent cx="5673090" cy="4013200"/>
            <wp:effectExtent l="0" t="0" r="0" b="0"/>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widowControl w:val="0"/>
        <w:numPr>
          <w:ilvl w:val="0"/>
          <w:numId w:val="0"/>
        </w:numPr>
        <w:spacing w:line="560" w:lineRule="exact"/>
        <w:jc w:val="both"/>
        <w:rPr>
          <w:rStyle w:val="15"/>
          <w:rFonts w:hint="eastAsia" w:ascii="楷体_GB2312" w:hAnsi="黑体" w:eastAsia="楷体_GB2312"/>
          <w:b/>
          <w:color w:val="000000"/>
          <w:sz w:val="32"/>
          <w:szCs w:val="32"/>
        </w:rPr>
      </w:pPr>
    </w:p>
    <w:p>
      <w:pPr>
        <w:pStyle w:val="2"/>
        <w:rPr>
          <w:rStyle w:val="15"/>
          <w:rFonts w:hint="eastAsia" w:ascii="楷体_GB2312" w:hAnsi="黑体" w:eastAsia="楷体_GB2312"/>
          <w:b/>
          <w:color w:val="000000"/>
          <w:sz w:val="32"/>
          <w:szCs w:val="32"/>
        </w:rPr>
      </w:pPr>
    </w:p>
    <w:p>
      <w:pPr>
        <w:numPr>
          <w:ilvl w:val="0"/>
          <w:numId w:val="1"/>
        </w:numPr>
        <w:spacing w:line="560" w:lineRule="exact"/>
        <w:ind w:left="-10" w:leftChars="0" w:firstLine="420" w:firstLineChars="0"/>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color w:val="000000"/>
          <w:sz w:val="32"/>
          <w:szCs w:val="32"/>
        </w:rPr>
        <w:t>从</w:t>
      </w:r>
      <w:r>
        <w:rPr>
          <w:rStyle w:val="15"/>
          <w:rFonts w:hint="default" w:ascii="Times New Roman" w:hAnsi="Times New Roman" w:eastAsia="方正楷体_GBK" w:cs="Times New Roman"/>
          <w:b w:val="0"/>
          <w:bCs/>
          <w:color w:val="000000"/>
          <w:sz w:val="32"/>
          <w:szCs w:val="32"/>
          <w:lang w:eastAsia="zh-CN"/>
        </w:rPr>
        <w:t>火灾发生时段来看，火灾发生多集中在</w:t>
      </w:r>
      <w:r>
        <w:rPr>
          <w:rStyle w:val="15"/>
          <w:rFonts w:hint="default" w:ascii="Times New Roman" w:hAnsi="Times New Roman" w:eastAsia="方正楷体_GBK" w:cs="Times New Roman"/>
          <w:b w:val="0"/>
          <w:bCs/>
          <w:color w:val="000000"/>
          <w:sz w:val="32"/>
          <w:szCs w:val="32"/>
          <w:lang w:val="en-US" w:eastAsia="zh-CN"/>
        </w:rPr>
        <w:t>08时至24时时段。</w:t>
      </w:r>
      <w:r>
        <w:rPr>
          <w:rFonts w:hint="default" w:ascii="Times New Roman" w:hAnsi="Times New Roman" w:eastAsia="方正仿宋_GBK" w:cs="Times New Roman"/>
          <w:sz w:val="32"/>
          <w:szCs w:val="32"/>
        </w:rPr>
        <w:t>全天火灾最多的时段为</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时至</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时，共发生</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起。 该时段居民生产生活活动频繁，用火用电用气量大，火灾发生率较高。</w:t>
      </w:r>
    </w:p>
    <w:p>
      <w:pPr>
        <w:spacing w:line="560" w:lineRule="exact"/>
        <w:ind w:firstLine="420" w:firstLineChars="200"/>
        <w:rPr>
          <w:rFonts w:hint="eastAsia" w:ascii="仿宋_GB2312" w:hAnsi="Times New Roman" w:eastAsia="仿宋_GB2312" w:cs="Times New Roman"/>
          <w:sz w:val="32"/>
          <w:szCs w:val="32"/>
        </w:rPr>
      </w:pPr>
      <w:r>
        <w:drawing>
          <wp:anchor distT="0" distB="0" distL="114300" distR="114300" simplePos="0" relativeHeight="251666432" behindDoc="1" locked="0" layoutInCell="1" allowOverlap="1">
            <wp:simplePos x="0" y="0"/>
            <wp:positionH relativeFrom="column">
              <wp:posOffset>-264160</wp:posOffset>
            </wp:positionH>
            <wp:positionV relativeFrom="paragraph">
              <wp:posOffset>54610</wp:posOffset>
            </wp:positionV>
            <wp:extent cx="5683250" cy="3091815"/>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60" w:lineRule="exact"/>
        <w:ind w:firstLine="640" w:firstLineChars="200"/>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Times New Roman" w:eastAsia="仿宋_GB2312" w:cs="Times New Roman"/>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rPr>
          <w:rFonts w:hint="eastAsia" w:ascii="仿宋_GB2312" w:hAnsi="Times New Roman" w:eastAsia="仿宋_GB2312" w:cs="Times New Roman"/>
          <w:sz w:val="32"/>
          <w:szCs w:val="32"/>
        </w:rPr>
      </w:pPr>
    </w:p>
    <w:p>
      <w:pPr>
        <w:numPr>
          <w:ilvl w:val="0"/>
          <w:numId w:val="1"/>
        </w:numPr>
        <w:spacing w:line="560" w:lineRule="exact"/>
        <w:ind w:left="-10" w:leftChars="0" w:firstLine="420" w:firstLineChars="0"/>
        <w:rPr>
          <w:rStyle w:val="15"/>
          <w:rFonts w:hint="eastAsia" w:ascii="方正楷体_GBK" w:hAnsi="方正楷体_GBK" w:eastAsia="方正楷体_GBK" w:cs="方正楷体_GBK"/>
          <w:b w:val="0"/>
          <w:bCs/>
          <w:color w:val="000000"/>
          <w:sz w:val="32"/>
          <w:szCs w:val="32"/>
          <w:lang w:eastAsia="zh-CN"/>
        </w:rPr>
      </w:pPr>
      <w:r>
        <w:rPr>
          <w:rStyle w:val="15"/>
          <w:rFonts w:hint="eastAsia" w:ascii="方正楷体_GBK" w:hAnsi="方正楷体_GBK" w:eastAsia="方正楷体_GBK" w:cs="方正楷体_GBK"/>
          <w:b w:val="0"/>
          <w:bCs/>
          <w:color w:val="000000"/>
          <w:sz w:val="32"/>
          <w:szCs w:val="32"/>
          <w:lang w:eastAsia="zh-CN"/>
        </w:rPr>
        <w:t>从火灾原因来看，电气火灾、用火不慎在各类起火原因中占比较高，人员安全意识和防范意识不到位。</w:t>
      </w: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r>
        <w:drawing>
          <wp:anchor distT="0" distB="0" distL="114300" distR="114300" simplePos="0" relativeHeight="251667456" behindDoc="1" locked="0" layoutInCell="1" allowOverlap="1">
            <wp:simplePos x="0" y="0"/>
            <wp:positionH relativeFrom="column">
              <wp:posOffset>-123190</wp:posOffset>
            </wp:positionH>
            <wp:positionV relativeFrom="paragraph">
              <wp:posOffset>86995</wp:posOffset>
            </wp:positionV>
            <wp:extent cx="5601335" cy="3852545"/>
            <wp:effectExtent l="4445" t="4445" r="13970" b="10160"/>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widowControl w:val="0"/>
        <w:numPr>
          <w:ilvl w:val="0"/>
          <w:numId w:val="0"/>
        </w:numPr>
        <w:spacing w:line="560" w:lineRule="exact"/>
        <w:jc w:val="both"/>
        <w:rPr>
          <w:rStyle w:val="15"/>
          <w:rFonts w:hint="eastAsia" w:ascii="楷体_GB2312" w:hAnsi="黑体" w:eastAsia="楷体_GB2312"/>
          <w:b/>
          <w:color w:val="000000"/>
          <w:sz w:val="32"/>
          <w:szCs w:val="32"/>
          <w:lang w:eastAsia="zh-CN"/>
        </w:rPr>
      </w:pPr>
    </w:p>
    <w:p>
      <w:pPr>
        <w:snapToGrid w:val="0"/>
        <w:spacing w:line="600" w:lineRule="exact"/>
        <w:jc w:val="left"/>
        <w:rPr>
          <w:rFonts w:hint="eastAsia" w:ascii="黑体" w:hAnsi="黑体" w:eastAsia="黑体" w:cs="黑体"/>
          <w:sz w:val="32"/>
          <w:szCs w:val="32"/>
          <w:lang w:val="en-US" w:eastAsia="zh-CN"/>
        </w:rPr>
      </w:pPr>
    </w:p>
    <w:p>
      <w:pPr>
        <w:snapToGrid w:val="0"/>
        <w:spacing w:line="600" w:lineRule="exact"/>
        <w:ind w:firstLine="640" w:firstLineChars="200"/>
        <w:jc w:val="left"/>
        <w:rPr>
          <w:rFonts w:hint="eastAsia" w:ascii="方正黑体_GBK" w:hAnsi="方正黑体_GBK" w:eastAsia="方正黑体_GBK" w:cs="方正黑体_GBK"/>
          <w:sz w:val="32"/>
          <w:szCs w:val="32"/>
          <w:lang w:val="en-US" w:eastAsia="zh-CN"/>
        </w:rPr>
      </w:pPr>
    </w:p>
    <w:p>
      <w:pPr>
        <w:snapToGrid w:val="0"/>
        <w:spacing w:line="60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三、1</w:t>
      </w:r>
      <w:r>
        <w:rPr>
          <w:rFonts w:hint="default" w:ascii="方正黑体_GBK" w:hAnsi="方正黑体_GBK" w:eastAsia="方正黑体_GBK" w:cs="方正黑体_GBK"/>
          <w:sz w:val="32"/>
          <w:szCs w:val="32"/>
          <w:lang w:val="en-US" w:eastAsia="zh-CN"/>
        </w:rPr>
        <w:t>月消防安全风险综合分析及对策建议</w:t>
      </w:r>
    </w:p>
    <w:p>
      <w:pPr>
        <w:snapToGrid w:val="0"/>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结合近期火灾防控实际需求和火灾数据研判，综合分析</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月消防安全风险并提出具体对策建议如下：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eastAsia="仿宋_GB2312"/>
          <w:sz w:val="32"/>
          <w:szCs w:val="32"/>
          <w:lang w:val="en-US" w:eastAsia="zh-CN"/>
        </w:rPr>
      </w:pPr>
      <w:r>
        <w:rPr>
          <w:rStyle w:val="15"/>
          <w:rFonts w:hint="default" w:ascii="方正楷体_GBK" w:hAnsi="方正楷体_GBK" w:eastAsia="方正楷体_GBK" w:cs="方正楷体_GBK"/>
          <w:b w:val="0"/>
          <w:bCs/>
          <w:color w:val="000000"/>
          <w:sz w:val="32"/>
          <w:szCs w:val="32"/>
          <w:lang w:val="en-US" w:eastAsia="zh-CN"/>
        </w:rPr>
        <w:t>（一）居民住宅消防安全风险因素及防范对策</w:t>
      </w:r>
    </w:p>
    <w:p>
      <w:pPr>
        <w:snapToGrid w:val="0"/>
        <w:spacing w:line="600" w:lineRule="exact"/>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风险因素：居民住宅场所是火灾易发高发的场所，普遍存在随意改造电气线路及设备，电气线路及设备老化，厨房用火不慎，燃气管线设施使用维护不当，占用或锁闭安全出口、消防车通道，电动自行车违规充电、停放，吸烟等隐患。住宅内人员活动频繁，火灾隐患种类复杂，有隐蔽性，加之民众对于火灾缺少警惕心态。一旦发生火灾极易造成人员伤亡和不良社会影响。</w:t>
      </w:r>
    </w:p>
    <w:p>
      <w:pPr>
        <w:snapToGrid w:val="0"/>
        <w:spacing w:line="600" w:lineRule="exact"/>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策建议：落实住宅建筑消防车通道、登高扑救面等消防标心标线划设，确保消防车通道畅通。做好居民用户燃气消防安全排査和常识宣传。结合老旧小区改造工程，整改消防安全隐思，做好消防设施维护、更换、新增。动员所有家庭开展清走道、清阳台、清厨房、关火源、关电源、关气源的“三清三关”活动。鼓励家庭安装联网型独立感烟探测报警器，配置必要的灭火器、灭火毯、防烟面罩等器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eastAsia="仿宋_GB2312"/>
          <w:sz w:val="32"/>
          <w:szCs w:val="32"/>
          <w:lang w:val="en-US" w:eastAsia="zh-CN"/>
        </w:rPr>
      </w:pPr>
      <w:r>
        <w:rPr>
          <w:rStyle w:val="15"/>
          <w:rFonts w:hint="default" w:ascii="方正楷体_GBK" w:hAnsi="方正楷体_GBK" w:eastAsia="方正楷体_GBK" w:cs="方正楷体_GBK"/>
          <w:b w:val="0"/>
          <w:bCs/>
          <w:color w:val="000000"/>
          <w:sz w:val="32"/>
          <w:szCs w:val="32"/>
          <w:lang w:val="en-US" w:eastAsia="zh-CN"/>
        </w:rPr>
        <w:t>（</w:t>
      </w:r>
      <w:r>
        <w:rPr>
          <w:rStyle w:val="15"/>
          <w:rFonts w:hint="eastAsia" w:ascii="方正楷体_GBK" w:hAnsi="方正楷体_GBK" w:eastAsia="方正楷体_GBK" w:cs="方正楷体_GBK"/>
          <w:b w:val="0"/>
          <w:bCs/>
          <w:color w:val="000000"/>
          <w:sz w:val="32"/>
          <w:szCs w:val="32"/>
          <w:lang w:val="en-US" w:eastAsia="zh-CN"/>
        </w:rPr>
        <w:t>二</w:t>
      </w:r>
      <w:r>
        <w:rPr>
          <w:rStyle w:val="15"/>
          <w:rFonts w:hint="default" w:ascii="方正楷体_GBK" w:hAnsi="方正楷体_GBK" w:eastAsia="方正楷体_GBK" w:cs="方正楷体_GBK"/>
          <w:b w:val="0"/>
          <w:bCs/>
          <w:color w:val="000000"/>
          <w:sz w:val="32"/>
          <w:szCs w:val="32"/>
          <w:lang w:val="en-US" w:eastAsia="zh-CN"/>
        </w:rPr>
        <w:t>）沿街商铺消防安全风险因素及防范对策</w:t>
      </w:r>
    </w:p>
    <w:p>
      <w:pPr>
        <w:snapToGrid w:val="0"/>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风险因素：沿街经营小型商铺集中表现为“下店上宅、前店后宅、夹层住人”的情况。此类场所依附于其他建筑内，规模小，业态多，消防安全风险较为隐蔽，消防安全管理随意性大，伴随其生产经营活动带来大量动态火灾隐患。普遍存在违规用火用电、防火防烟分隔缺失、私设夹层、大量使用易可燃材料装修、设置不可开启防盗窗、电动自行车随意停放充电等隐患。</w:t>
      </w:r>
    </w:p>
    <w:p>
      <w:pPr>
        <w:snapToGrid w:val="0"/>
        <w:spacing w:line="600" w:lineRule="exact"/>
        <w:ind w:firstLine="640" w:firstLineChars="200"/>
        <w:jc w:val="left"/>
        <w:rPr>
          <w:rFonts w:hint="eastAsia"/>
          <w:lang w:val="en-US" w:eastAsia="zh-CN"/>
        </w:rPr>
      </w:pPr>
      <w:r>
        <w:rPr>
          <w:rFonts w:hint="eastAsia" w:ascii="方正仿宋_GBK" w:hAnsi="方正仿宋_GBK" w:eastAsia="方正仿宋_GBK" w:cs="方正仿宋_GBK"/>
          <w:sz w:val="32"/>
          <w:szCs w:val="32"/>
          <w:lang w:val="en-US" w:eastAsia="zh-CN"/>
        </w:rPr>
        <w:t>对策建议：场所应采用防火墙、不燃性楼板将住宿部分与非住宿部分完全分隔，或设置自动喷水灭火系统进行分隔。住宿与非住宿部分应分别设置独立的疏散设施；疏散门应采用向疏散方向开启的平开门，并应确保人员在火灾时易于从内部打开。场所中应配置灭火器、消防应急照明。层数不超过</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层、建筑面积不超过</w:t>
      </w:r>
      <w:r>
        <w:rPr>
          <w:rFonts w:hint="default" w:ascii="Times New Roman" w:hAnsi="Times New Roman" w:eastAsia="方正仿宋_GBK" w:cs="Times New Roman"/>
          <w:sz w:val="32"/>
          <w:szCs w:val="32"/>
          <w:lang w:val="en-US" w:eastAsia="zh-CN"/>
        </w:rPr>
        <w:t>300</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㎡，且住宿少于</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人的场所，设置防火分隔措施和自动喷水灭火系统确有困难时，可以设置独立式感烟火灾探测报警器，人员住宿区域宜设置在首层，并直通出口。</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lang w:val="en-US" w:eastAsia="zh-CN"/>
        </w:rPr>
      </w:pPr>
      <w:r>
        <w:rPr>
          <w:rStyle w:val="15"/>
          <w:rFonts w:hint="default" w:ascii="方正楷体_GBK" w:hAnsi="方正楷体_GBK" w:eastAsia="方正楷体_GBK" w:cs="方正楷体_GBK"/>
          <w:b w:val="0"/>
          <w:bCs/>
          <w:color w:val="000000"/>
          <w:sz w:val="32"/>
          <w:szCs w:val="32"/>
          <w:lang w:val="en-US" w:eastAsia="zh-CN"/>
        </w:rPr>
        <w:t>（</w:t>
      </w:r>
      <w:r>
        <w:rPr>
          <w:rStyle w:val="15"/>
          <w:rFonts w:hint="eastAsia" w:ascii="方正楷体_GBK" w:hAnsi="方正楷体_GBK" w:eastAsia="方正楷体_GBK" w:cs="方正楷体_GBK"/>
          <w:b w:val="0"/>
          <w:bCs/>
          <w:color w:val="000000"/>
          <w:sz w:val="32"/>
          <w:szCs w:val="32"/>
          <w:lang w:val="en-US" w:eastAsia="zh-CN"/>
        </w:rPr>
        <w:t>三</w:t>
      </w:r>
      <w:r>
        <w:rPr>
          <w:rStyle w:val="15"/>
          <w:rFonts w:hint="default" w:ascii="方正楷体_GBK" w:hAnsi="方正楷体_GBK" w:eastAsia="方正楷体_GBK" w:cs="方正楷体_GBK"/>
          <w:b w:val="0"/>
          <w:bCs/>
          <w:color w:val="000000"/>
          <w:sz w:val="32"/>
          <w:szCs w:val="32"/>
          <w:lang w:val="en-US" w:eastAsia="zh-CN"/>
        </w:rPr>
        <w:t>）</w:t>
      </w:r>
      <w:r>
        <w:rPr>
          <w:rStyle w:val="15"/>
          <w:rFonts w:hint="eastAsia" w:ascii="方正楷体_GBK" w:hAnsi="方正楷体_GBK" w:eastAsia="方正楷体_GBK" w:cs="方正楷体_GBK"/>
          <w:b w:val="0"/>
          <w:bCs/>
          <w:color w:val="000000"/>
          <w:sz w:val="32"/>
          <w:szCs w:val="32"/>
          <w:lang w:val="en-US" w:eastAsia="zh-CN"/>
        </w:rPr>
        <w:t>公共娱乐场所消防安全风险及对策</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Style w:val="15"/>
          <w:rFonts w:hint="eastAsia" w:ascii="方正仿宋_GBK" w:hAnsi="方正仿宋_GBK" w:eastAsia="方正仿宋_GBK" w:cs="方正仿宋_GBK"/>
          <w:b w:val="0"/>
          <w:bCs/>
          <w:color w:val="000000"/>
          <w:sz w:val="32"/>
          <w:szCs w:val="32"/>
          <w:lang w:val="en-US" w:eastAsia="zh-CN"/>
        </w:rPr>
        <w:t>风险因素: 公共娱乐场所是供不特定的外来人员休闲聚会的场所，主要有酒吧、KTV、网吧、电子游戏厅、洗浴场所、影剧院等，一旦发生火灾，人员因为环境不熟悉难以疏散逃生。公共娱乐场所大量存在违规采用易燃可燃材料装饰装修，消防设施缺乏、损坏，安全出口数量不足或锁闭出口，疏散通道堵塞，违规用火用电等火灾隐患。</w:t>
      </w:r>
      <w:r>
        <w:rPr>
          <w:rStyle w:val="15"/>
          <w:rFonts w:hint="eastAsia" w:ascii="方正仿宋_GBK" w:hAnsi="方正仿宋_GBK" w:eastAsia="方正仿宋_GBK" w:cs="方正仿宋_GBK"/>
          <w:b w:val="0"/>
          <w:bCs/>
          <w:color w:val="000000"/>
          <w:sz w:val="32"/>
          <w:szCs w:val="32"/>
          <w:lang w:val="en-US" w:eastAsia="zh-CN"/>
        </w:rPr>
        <w:br w:type="textWrapping"/>
      </w:r>
      <w:r>
        <w:rPr>
          <w:rStyle w:val="15"/>
          <w:rFonts w:hint="eastAsia" w:ascii="方正仿宋_GBK" w:hAnsi="方正仿宋_GBK" w:eastAsia="方正仿宋_GBK" w:cs="方正仿宋_GBK"/>
          <w:b w:val="0"/>
          <w:bCs/>
          <w:color w:val="000000"/>
          <w:sz w:val="32"/>
          <w:szCs w:val="32"/>
          <w:lang w:val="en-US" w:eastAsia="zh-CN"/>
        </w:rPr>
        <w:t xml:space="preserve">    对策建议:强化娱乐场所消防安全责任人、管理人消防安全约谈培训。督促场所加强用火用电规范管理，严格落实防火巡查制度，营业期间每2小时开展一次防火巡查，设有自动消防设施的(自动喷水灭火系统、火灾自动报警系统、机械防排烟系统等),应保证消控室24小时值班人员持证上岗，委托具有相应资质的消防技术服务机构常态化进行设施维护保养和检测。被列为消防安全重点单位的公共娱乐场所要建强微型消防站，建立不少于6人、配备必要的消防器材的队伍，掌握扑救初起火灾的技能，提升场所消防安全自防自救能力。 </w:t>
      </w:r>
      <w:r>
        <w:rPr>
          <w:rFonts w:hint="eastAsia" w:ascii="仿宋_GB2312" w:eastAsia="仿宋_GB2312"/>
          <w:sz w:val="32"/>
          <w:szCs w:val="32"/>
          <w:lang w:val="en-US" w:eastAsia="zh-CN"/>
        </w:rPr>
        <w:t xml:space="preserve">  </w:t>
      </w:r>
    </w:p>
    <w:p>
      <w:pPr>
        <w:spacing w:line="560" w:lineRule="exact"/>
        <w:ind w:firstLine="640" w:firstLineChars="200"/>
        <w:rPr>
          <w:rStyle w:val="15"/>
          <w:rFonts w:hint="eastAsia" w:ascii="仿宋_GB2312" w:hAnsi="仿宋_GB2312" w:eastAsia="仿宋_GB2312" w:cs="仿宋_GB2312"/>
          <w:b w:val="0"/>
          <w:bCs/>
          <w:color w:val="000000"/>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ascii="方正小标宋_GBK" w:eastAsia="方正小标宋_GBK"/>
          <w:sz w:val="32"/>
          <w:szCs w:val="32"/>
        </w:rPr>
      </w:pPr>
    </w:p>
    <w:p>
      <w:pPr>
        <w:spacing w:line="20" w:lineRule="exact"/>
        <w:ind w:firstLine="640" w:firstLineChars="200"/>
        <w:rPr>
          <w:rFonts w:hint="eastAsia" w:ascii="方正小标宋_GBK" w:eastAsia="方正小标宋_GBK"/>
          <w:sz w:val="32"/>
          <w:szCs w:val="32"/>
        </w:rPr>
      </w:pPr>
    </w:p>
    <w:p>
      <w:pPr>
        <w:spacing w:line="600" w:lineRule="exact"/>
        <w:rPr>
          <w:rStyle w:val="15"/>
          <w:rFonts w:hint="eastAsia" w:ascii="仿宋_GB2312" w:hAnsi="仿宋_GB2312" w:eastAsia="仿宋_GB2312" w:cs="仿宋_GB2312"/>
          <w:b w:val="0"/>
          <w:bCs/>
          <w:color w:val="000000"/>
          <w:sz w:val="32"/>
          <w:szCs w:val="32"/>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41910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41pt;z-index:251661312;mso-width-relative:page;mso-height-relative:page;" filled="f" stroked="t" coordsize="21600,21600" o:gfxdata="UEsDBAoAAAAAAIdO4kAAAAAAAAAAAAAAAAAEAAAAZHJzL1BLAwQUAAAACACHTuJAKMDTqdEAAAAE&#10;AQAADwAAAGRycy9kb3ducmV2LnhtbE2Py07DMBBF90j8gzVIbCpqN0hRFOJ0AWTHhkLFdhoPSUQ8&#10;TmP3AV/PwAaWR3d075lqffajOtIch8AWVksDirgNbuDOwutLc1OAignZ4RiYLHxShHV9eVFh6cKJ&#10;n+m4SZ2SEo4lWuhTmkqtY9uTx7gME7Fk72H2mATnTrsZT1LuR50Zk2uPA8tCjxPd99R+bA7eQmy2&#10;tG++Fu3CvN12gbL9w9MjWnt9tTJ3oBKd098x/OiLOtTitAsHdlGNFuSRZCHPQUlYFJnw7pd1Xen/&#10;8vU3UEsDBBQAAAAIAIdO4kD8Wt359QEAAOQDAAAOAAAAZHJzL2Uyb0RvYy54bWytU82O0zAQviPx&#10;DpbvNGmlLkvUdA9blguCSsADTB0nseQ/edymfQleAIkbnDhy521YHoOx0+2yu5ceyMEZe8bfzPfN&#10;eHG1N5rtZEDlbM2nk5IzaYVrlO1q/unjzYtLzjCCbUA7K2t+kMivls+fLQZfyZnrnW5kYARisRp8&#10;zfsYfVUUKHppACfOS0vO1gUDkbahK5oAA6EbXczK8qIYXGh8cEIi0ulqdPIjYjgH0LWtEnLlxNZI&#10;G0fUIDVEooS98siXudq2lSK+b1uUkemaE9OYV0pC9iatxXIBVRfA90ocS4BzSnjEyYCylPQEtYII&#10;bBvUEyijRHDo2jgRzhQjkawIsZiWj7T50IOXmQtJjf4kOv4/WPFutw5MNTWntlsw1PDbLz9/f/72&#10;59dXWm9/fGeXSaTBY0Wx13Ydjjv065AY79tg0p+4sH0W9nASVu4jE3Q4vyjLlyVpLu58xf1FHzC+&#10;kc6wZNRcK5s4QwW7txgpGYXehaRjbdlQ81fz2ZzggAawpcaTaTyRQNvlu+i0am6U1ukGhm5zrQPb&#10;QRqC/CVKhPsgLCVZAfZjXHaN49FLaF7bhsWDJ3ksvQqeSjCy4UxLekTJIkCoIih9TiSl1pYqSKqO&#10;OiZr45oDNWPrg+p6UmKaq0wean6u9zioabr+3Wek+8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wNOp0QAAAAQBAAAPAAAAAAAAAAEAIAAAACIAAABkcnMvZG93bnJldi54bWxQSwECFAAUAAAA&#10;CACHTuJA/Frd+fUBAADkAwAADgAAAAAAAAABACAAAAAgAQAAZHJzL2Uyb0RvYy54bWxQSwUGAAAA&#10;AAYABgBZAQAAh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416560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8pt;height:0pt;width:441pt;z-index:251662336;mso-width-relative:page;mso-height-relative:page;" filled="f" stroked="t" coordsize="21600,21600" o:gfxdata="UEsDBAoAAAAAAIdO4kAAAAAAAAAAAAAAAAAEAAAAZHJzL1BLAwQUAAAACACHTuJA0G86R9MAAAAG&#10;AQAADwAAAGRycy9kb3ducmV2LnhtbE2PvU7EMBCEeyTewVokmhNnXxBRFOJcAaSj4QDR7sVLEhGv&#10;c7HvB56eRRRQzsxq5ttqffKjOtAch8AWVksDirgNbuDOwstzc1WAignZ4RiYLHxShHV9flZh6cKR&#10;n+iwSZ2SEo4lWuhTmkqtY9uTx7gME7Fk72H2mETOnXYzHqXcjzozJtceB5aFHie666n92Oy9hdi8&#10;0q75WrQL83bdBcp2948PaO3lxcrcgkp0Sn/H8IMv6FAL0zbs2UU1WpBHkoX8JgclaVFkYmx/DV1X&#10;+j9+/Q1QSwMEFAAAAAgAh07iQMAZUP31AQAA5AMAAA4AAABkcnMvZTJvRG9jLnhtbK1TzY7TMBC+&#10;I/EOlu80aaVuIWq6hy3LBUEl4AGmjpNY8p88btO+BC+AxA1OHLnzNiyPwdjpdmG59EAOztgz/ma+&#10;b8bL64PRbC8DKmdrPp2UnEkrXKNsV/MP72+fPecMI9gGtLOy5keJ/Hr19Mly8JWcud7pRgZGIBar&#10;wde8j9FXRYGilwZw4ry05GxdMBBpG7qiCTAQutHFrCyvisGFxgcnJCKdrkcnPyGGSwBd2yoh107s&#10;jLRxRA1SQyRK2CuPfJWrbVsp4tu2RRmZrjkxjXmlJGRv01qsllB1AXyvxKkEuKSER5wMKEtJz1Br&#10;iMB2Qf0DZZQIDl0bJ8KZYiSSFSEW0/KRNu968DJzIanRn0XH/wcr3uw3gamm5gvOLBhq+N2n7z8/&#10;fvn14zOtd9++skUSafBYUeyN3YTTDv0mJMaHNpj0Jy7skIU9noWVh8gEHc6vynJRkubi3lc8XPQB&#10;4yvpDEtGzbWyiTNUsH+NkZJR6H1IOtaWDTV/MZ/NCQ5oAFtqPJnGEwm0Xb6LTqvmVmmdbmDotjc6&#10;sD2kIchfokS4f4WlJGvAfozLrnE8egnNS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vOkfTAAAABgEAAA8AAAAAAAAAAQAgAAAAIgAAAGRycy9kb3ducmV2LnhtbFBLAQIUABQA&#10;AAAIAIdO4kDAGVD99QEAAOQDAAAOAAAAAAAAAAEAIAAAACIBAABkcnMvZTJvRG9jLnhtbFBLBQYA&#10;AAAABgAGAFkBAACJ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西充县消防</w:t>
      </w:r>
      <w:r>
        <w:rPr>
          <w:rFonts w:hint="eastAsia" w:ascii="方正仿宋_GBK" w:hAnsi="方正仿宋_GBK" w:eastAsia="方正仿宋_GBK" w:cs="方正仿宋_GBK"/>
          <w:sz w:val="28"/>
          <w:szCs w:val="28"/>
          <w:lang w:eastAsia="zh-CN"/>
        </w:rPr>
        <w:t>安全委员会办公室</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4</w:t>
      </w:r>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月</w:t>
      </w:r>
      <w:r>
        <w:rPr>
          <w:rFonts w:hint="eastAsia" w:eastAsia="方正仿宋_GBK" w:cs="Times New Roman"/>
          <w:sz w:val="28"/>
          <w:szCs w:val="28"/>
          <w:lang w:val="en-US" w:eastAsia="zh-CN"/>
        </w:rPr>
        <w:t>31</w:t>
      </w:r>
      <w:r>
        <w:rPr>
          <w:rFonts w:hint="eastAsia" w:ascii="方正仿宋_GBK" w:hAnsi="方正仿宋_GBK" w:eastAsia="方正仿宋_GBK" w:cs="方正仿宋_GBK"/>
          <w:sz w:val="28"/>
          <w:szCs w:val="28"/>
        </w:rPr>
        <w:t xml:space="preserve">日印发 </w:t>
      </w:r>
      <w:r>
        <w:rPr>
          <w:rFonts w:hint="eastAsia" w:ascii="仿宋_GB2312" w:eastAsia="仿宋_GB2312"/>
          <w:sz w:val="32"/>
          <w:szCs w:val="32"/>
        </w:rPr>
        <w:t xml:space="preserve"> </w:t>
      </w:r>
    </w:p>
    <w:sectPr>
      <w:footerReference r:id="rId3" w:type="default"/>
      <w:pgSz w:w="11906" w:h="16838"/>
      <w:pgMar w:top="1327" w:right="1416" w:bottom="1327"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DAE16"/>
    <w:multiLevelType w:val="singleLevel"/>
    <w:tmpl w:val="652DAE16"/>
    <w:lvl w:ilvl="0" w:tentative="0">
      <w:start w:val="1"/>
      <w:numFmt w:val="chineseCounting"/>
      <w:suff w:val="nothing"/>
      <w:lvlText w:val="（%1）"/>
      <w:lvlJc w:val="left"/>
      <w:pPr>
        <w:ind w:left="-1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WNhYWI4N2Y0ZmYwZTE4NGFkZTE0MTk0OGMxMjYifQ=="/>
  </w:docVars>
  <w:rsids>
    <w:rsidRoot w:val="00F874D9"/>
    <w:rsid w:val="00011714"/>
    <w:rsid w:val="0002309C"/>
    <w:rsid w:val="00057790"/>
    <w:rsid w:val="001B44E7"/>
    <w:rsid w:val="00200DA5"/>
    <w:rsid w:val="00271EC8"/>
    <w:rsid w:val="002F5488"/>
    <w:rsid w:val="00340154"/>
    <w:rsid w:val="00355B05"/>
    <w:rsid w:val="003C1E75"/>
    <w:rsid w:val="004238C1"/>
    <w:rsid w:val="004667C8"/>
    <w:rsid w:val="005517F4"/>
    <w:rsid w:val="005C679E"/>
    <w:rsid w:val="005D00C7"/>
    <w:rsid w:val="00646A7D"/>
    <w:rsid w:val="00671C77"/>
    <w:rsid w:val="00676DCE"/>
    <w:rsid w:val="007355B9"/>
    <w:rsid w:val="007B29F7"/>
    <w:rsid w:val="007D44FE"/>
    <w:rsid w:val="008E1ECD"/>
    <w:rsid w:val="00A47C66"/>
    <w:rsid w:val="00B5411F"/>
    <w:rsid w:val="00B902C0"/>
    <w:rsid w:val="00C22464"/>
    <w:rsid w:val="00C77384"/>
    <w:rsid w:val="00C774C5"/>
    <w:rsid w:val="00C828F8"/>
    <w:rsid w:val="00CD6748"/>
    <w:rsid w:val="00DF5C3D"/>
    <w:rsid w:val="00E13484"/>
    <w:rsid w:val="00E43AED"/>
    <w:rsid w:val="00EC059D"/>
    <w:rsid w:val="00F63251"/>
    <w:rsid w:val="00F74586"/>
    <w:rsid w:val="00F874D9"/>
    <w:rsid w:val="00F97D98"/>
    <w:rsid w:val="00FE1FAE"/>
    <w:rsid w:val="01416CEE"/>
    <w:rsid w:val="015D39B1"/>
    <w:rsid w:val="017671D1"/>
    <w:rsid w:val="017F78E8"/>
    <w:rsid w:val="01F06473"/>
    <w:rsid w:val="021B3458"/>
    <w:rsid w:val="023252A1"/>
    <w:rsid w:val="02946A54"/>
    <w:rsid w:val="031A0DB0"/>
    <w:rsid w:val="036B71BC"/>
    <w:rsid w:val="041F5129"/>
    <w:rsid w:val="04AB790E"/>
    <w:rsid w:val="059F01AD"/>
    <w:rsid w:val="05C005A0"/>
    <w:rsid w:val="05EE4419"/>
    <w:rsid w:val="06191145"/>
    <w:rsid w:val="0695566B"/>
    <w:rsid w:val="06F87B58"/>
    <w:rsid w:val="074E2EF7"/>
    <w:rsid w:val="0821212E"/>
    <w:rsid w:val="09683082"/>
    <w:rsid w:val="09894092"/>
    <w:rsid w:val="0A0B4292"/>
    <w:rsid w:val="0A472F45"/>
    <w:rsid w:val="0A7F2154"/>
    <w:rsid w:val="0ADA1836"/>
    <w:rsid w:val="0AF836DF"/>
    <w:rsid w:val="0B66607E"/>
    <w:rsid w:val="0B9A4952"/>
    <w:rsid w:val="0BFB02FA"/>
    <w:rsid w:val="0CC947F9"/>
    <w:rsid w:val="0CD327CF"/>
    <w:rsid w:val="0CF3417D"/>
    <w:rsid w:val="0D396929"/>
    <w:rsid w:val="0D964F9A"/>
    <w:rsid w:val="0DD51E5C"/>
    <w:rsid w:val="0E0766DB"/>
    <w:rsid w:val="0FEC7938"/>
    <w:rsid w:val="1012110B"/>
    <w:rsid w:val="10202F70"/>
    <w:rsid w:val="11473809"/>
    <w:rsid w:val="119E6431"/>
    <w:rsid w:val="11B77339"/>
    <w:rsid w:val="11E07D4A"/>
    <w:rsid w:val="125B4B29"/>
    <w:rsid w:val="12712176"/>
    <w:rsid w:val="131A5AC6"/>
    <w:rsid w:val="13E17032"/>
    <w:rsid w:val="141059B7"/>
    <w:rsid w:val="14243C53"/>
    <w:rsid w:val="142C28C2"/>
    <w:rsid w:val="148B4418"/>
    <w:rsid w:val="148B7BE3"/>
    <w:rsid w:val="14EC3B61"/>
    <w:rsid w:val="155A4330"/>
    <w:rsid w:val="157D612E"/>
    <w:rsid w:val="15AE17ED"/>
    <w:rsid w:val="164F0166"/>
    <w:rsid w:val="171F5DFF"/>
    <w:rsid w:val="17271F86"/>
    <w:rsid w:val="17335079"/>
    <w:rsid w:val="1737610E"/>
    <w:rsid w:val="17891B7A"/>
    <w:rsid w:val="179A7B37"/>
    <w:rsid w:val="181E74C5"/>
    <w:rsid w:val="184B60DB"/>
    <w:rsid w:val="18614A98"/>
    <w:rsid w:val="186B1B5B"/>
    <w:rsid w:val="18781F2F"/>
    <w:rsid w:val="195370A4"/>
    <w:rsid w:val="19B138BC"/>
    <w:rsid w:val="19CC48B5"/>
    <w:rsid w:val="1A266B74"/>
    <w:rsid w:val="1A2D2C03"/>
    <w:rsid w:val="1A862FA5"/>
    <w:rsid w:val="1A930672"/>
    <w:rsid w:val="1B6C12AA"/>
    <w:rsid w:val="1BB15E53"/>
    <w:rsid w:val="1BF4234D"/>
    <w:rsid w:val="1C4C57FF"/>
    <w:rsid w:val="1C55054B"/>
    <w:rsid w:val="1CF24B6A"/>
    <w:rsid w:val="1DB47BAE"/>
    <w:rsid w:val="1DFC25E0"/>
    <w:rsid w:val="1E070BF7"/>
    <w:rsid w:val="1E824AD0"/>
    <w:rsid w:val="1EB128E0"/>
    <w:rsid w:val="1F4A64CB"/>
    <w:rsid w:val="1F765FD9"/>
    <w:rsid w:val="1F930E52"/>
    <w:rsid w:val="1F9721B0"/>
    <w:rsid w:val="1FBF54A9"/>
    <w:rsid w:val="2096524B"/>
    <w:rsid w:val="21B60D89"/>
    <w:rsid w:val="21D62EE4"/>
    <w:rsid w:val="2227224D"/>
    <w:rsid w:val="23654FB1"/>
    <w:rsid w:val="23E90CC2"/>
    <w:rsid w:val="240A55C4"/>
    <w:rsid w:val="2423392A"/>
    <w:rsid w:val="246B2380"/>
    <w:rsid w:val="246C5553"/>
    <w:rsid w:val="256E7FDA"/>
    <w:rsid w:val="259B7868"/>
    <w:rsid w:val="261F65C1"/>
    <w:rsid w:val="262B51B1"/>
    <w:rsid w:val="273C4AC8"/>
    <w:rsid w:val="279C310C"/>
    <w:rsid w:val="27A25A26"/>
    <w:rsid w:val="27DC17FD"/>
    <w:rsid w:val="28292599"/>
    <w:rsid w:val="287632AD"/>
    <w:rsid w:val="28DE61BD"/>
    <w:rsid w:val="29333B0C"/>
    <w:rsid w:val="294549CB"/>
    <w:rsid w:val="29596C4B"/>
    <w:rsid w:val="29C02FC1"/>
    <w:rsid w:val="2A0C4EC9"/>
    <w:rsid w:val="2A21393B"/>
    <w:rsid w:val="2A2658ED"/>
    <w:rsid w:val="2AA609A0"/>
    <w:rsid w:val="2AAE2411"/>
    <w:rsid w:val="2AB837A8"/>
    <w:rsid w:val="2AE16F58"/>
    <w:rsid w:val="2AE2604B"/>
    <w:rsid w:val="2B2C58A0"/>
    <w:rsid w:val="2BC8447D"/>
    <w:rsid w:val="2C42190E"/>
    <w:rsid w:val="2CD86E82"/>
    <w:rsid w:val="2D3E38B2"/>
    <w:rsid w:val="2D506188"/>
    <w:rsid w:val="2D533C7E"/>
    <w:rsid w:val="2DB15CC6"/>
    <w:rsid w:val="2DBA2CC0"/>
    <w:rsid w:val="2E7A0F79"/>
    <w:rsid w:val="2E9B5A5A"/>
    <w:rsid w:val="2EAE5A0A"/>
    <w:rsid w:val="2F19542E"/>
    <w:rsid w:val="2F343946"/>
    <w:rsid w:val="2F6C06A2"/>
    <w:rsid w:val="2F822144"/>
    <w:rsid w:val="2F8606A1"/>
    <w:rsid w:val="2FAA7697"/>
    <w:rsid w:val="2FE75E54"/>
    <w:rsid w:val="2FEE7C3A"/>
    <w:rsid w:val="2FFC462E"/>
    <w:rsid w:val="304B084D"/>
    <w:rsid w:val="30BC323D"/>
    <w:rsid w:val="30D87173"/>
    <w:rsid w:val="30E86AFE"/>
    <w:rsid w:val="310C523A"/>
    <w:rsid w:val="31564151"/>
    <w:rsid w:val="31721EEF"/>
    <w:rsid w:val="31EB12FC"/>
    <w:rsid w:val="31F9753B"/>
    <w:rsid w:val="323C694B"/>
    <w:rsid w:val="32951D5D"/>
    <w:rsid w:val="337D494B"/>
    <w:rsid w:val="3424418C"/>
    <w:rsid w:val="344E70D9"/>
    <w:rsid w:val="346C2243"/>
    <w:rsid w:val="34E1708F"/>
    <w:rsid w:val="350C1351"/>
    <w:rsid w:val="351733C8"/>
    <w:rsid w:val="35384579"/>
    <w:rsid w:val="356869DA"/>
    <w:rsid w:val="35883599"/>
    <w:rsid w:val="358D569A"/>
    <w:rsid w:val="35972AD8"/>
    <w:rsid w:val="35EA69A7"/>
    <w:rsid w:val="362A35C9"/>
    <w:rsid w:val="367D1171"/>
    <w:rsid w:val="3696122E"/>
    <w:rsid w:val="36D57583"/>
    <w:rsid w:val="37010207"/>
    <w:rsid w:val="37370BF5"/>
    <w:rsid w:val="379F3EF3"/>
    <w:rsid w:val="3861531C"/>
    <w:rsid w:val="38653794"/>
    <w:rsid w:val="387218DC"/>
    <w:rsid w:val="38A31043"/>
    <w:rsid w:val="38AE7196"/>
    <w:rsid w:val="38DD091C"/>
    <w:rsid w:val="390B0AC4"/>
    <w:rsid w:val="3910646E"/>
    <w:rsid w:val="39423247"/>
    <w:rsid w:val="395633C8"/>
    <w:rsid w:val="395D6CAB"/>
    <w:rsid w:val="396F1AB6"/>
    <w:rsid w:val="39767B24"/>
    <w:rsid w:val="39A5092E"/>
    <w:rsid w:val="39B61E7C"/>
    <w:rsid w:val="39D761F9"/>
    <w:rsid w:val="39DD7B96"/>
    <w:rsid w:val="3A024581"/>
    <w:rsid w:val="3A027D11"/>
    <w:rsid w:val="3A404BB6"/>
    <w:rsid w:val="3A4C223B"/>
    <w:rsid w:val="3A762E8B"/>
    <w:rsid w:val="3A9635E6"/>
    <w:rsid w:val="3AD5706A"/>
    <w:rsid w:val="3B004067"/>
    <w:rsid w:val="3B7801E9"/>
    <w:rsid w:val="3B8A6375"/>
    <w:rsid w:val="3BC504E4"/>
    <w:rsid w:val="3BD967A0"/>
    <w:rsid w:val="3C9E5B3B"/>
    <w:rsid w:val="3D2264F8"/>
    <w:rsid w:val="3DBC71F4"/>
    <w:rsid w:val="3E5B4ACA"/>
    <w:rsid w:val="3EBA04F7"/>
    <w:rsid w:val="3FC0138D"/>
    <w:rsid w:val="3FD0119C"/>
    <w:rsid w:val="3FDD266A"/>
    <w:rsid w:val="402304B7"/>
    <w:rsid w:val="40383782"/>
    <w:rsid w:val="403C29D2"/>
    <w:rsid w:val="40484BBA"/>
    <w:rsid w:val="405A4E59"/>
    <w:rsid w:val="40B16D07"/>
    <w:rsid w:val="410A7034"/>
    <w:rsid w:val="415A05C3"/>
    <w:rsid w:val="41777A4E"/>
    <w:rsid w:val="41FA10BE"/>
    <w:rsid w:val="4221681B"/>
    <w:rsid w:val="42282EE7"/>
    <w:rsid w:val="423A778D"/>
    <w:rsid w:val="42857FA3"/>
    <w:rsid w:val="428877A4"/>
    <w:rsid w:val="42D61C5D"/>
    <w:rsid w:val="42E13C39"/>
    <w:rsid w:val="42EE712B"/>
    <w:rsid w:val="431C7029"/>
    <w:rsid w:val="43653990"/>
    <w:rsid w:val="437A0856"/>
    <w:rsid w:val="43FE06CE"/>
    <w:rsid w:val="4418135E"/>
    <w:rsid w:val="44722EB0"/>
    <w:rsid w:val="45362C39"/>
    <w:rsid w:val="46234F1E"/>
    <w:rsid w:val="46443EDE"/>
    <w:rsid w:val="469F069F"/>
    <w:rsid w:val="46E776A9"/>
    <w:rsid w:val="476B050C"/>
    <w:rsid w:val="47743437"/>
    <w:rsid w:val="47D1020F"/>
    <w:rsid w:val="47E30125"/>
    <w:rsid w:val="48032696"/>
    <w:rsid w:val="4840450C"/>
    <w:rsid w:val="48982172"/>
    <w:rsid w:val="48FB0423"/>
    <w:rsid w:val="49137818"/>
    <w:rsid w:val="4988247F"/>
    <w:rsid w:val="49C33128"/>
    <w:rsid w:val="49CF593B"/>
    <w:rsid w:val="4A1972D8"/>
    <w:rsid w:val="4A245AE9"/>
    <w:rsid w:val="4AC85F83"/>
    <w:rsid w:val="4B066CB1"/>
    <w:rsid w:val="4B700CD7"/>
    <w:rsid w:val="4BE668DB"/>
    <w:rsid w:val="4C68655F"/>
    <w:rsid w:val="4C950431"/>
    <w:rsid w:val="4CDC15F1"/>
    <w:rsid w:val="4CE95B04"/>
    <w:rsid w:val="4D1C79DF"/>
    <w:rsid w:val="4D2372D6"/>
    <w:rsid w:val="4DB725AB"/>
    <w:rsid w:val="4E466E16"/>
    <w:rsid w:val="4E973BFC"/>
    <w:rsid w:val="4F333E25"/>
    <w:rsid w:val="4FAF58ED"/>
    <w:rsid w:val="4FB46A9C"/>
    <w:rsid w:val="4FCD4FBA"/>
    <w:rsid w:val="4FD468E2"/>
    <w:rsid w:val="5057036E"/>
    <w:rsid w:val="50666FAC"/>
    <w:rsid w:val="507A69B6"/>
    <w:rsid w:val="50C02CDF"/>
    <w:rsid w:val="51094C49"/>
    <w:rsid w:val="51505556"/>
    <w:rsid w:val="51740EA3"/>
    <w:rsid w:val="52035925"/>
    <w:rsid w:val="521F6381"/>
    <w:rsid w:val="52221B1D"/>
    <w:rsid w:val="529A2019"/>
    <w:rsid w:val="52B47420"/>
    <w:rsid w:val="53617ED5"/>
    <w:rsid w:val="537878B9"/>
    <w:rsid w:val="53C97906"/>
    <w:rsid w:val="53FB4BAF"/>
    <w:rsid w:val="542C547A"/>
    <w:rsid w:val="54336267"/>
    <w:rsid w:val="543C20CC"/>
    <w:rsid w:val="545924B7"/>
    <w:rsid w:val="54E4576E"/>
    <w:rsid w:val="55411709"/>
    <w:rsid w:val="55607B16"/>
    <w:rsid w:val="55B15B63"/>
    <w:rsid w:val="57430FD1"/>
    <w:rsid w:val="57E45074"/>
    <w:rsid w:val="580C0A40"/>
    <w:rsid w:val="585304E3"/>
    <w:rsid w:val="59275971"/>
    <w:rsid w:val="595E3B89"/>
    <w:rsid w:val="59C4313F"/>
    <w:rsid w:val="59F5030C"/>
    <w:rsid w:val="5A1E7833"/>
    <w:rsid w:val="5A40290E"/>
    <w:rsid w:val="5A45645B"/>
    <w:rsid w:val="5ACD7484"/>
    <w:rsid w:val="5B576392"/>
    <w:rsid w:val="5B9858B4"/>
    <w:rsid w:val="5BCD34D3"/>
    <w:rsid w:val="5BF50A4C"/>
    <w:rsid w:val="5C2238AB"/>
    <w:rsid w:val="5C267A96"/>
    <w:rsid w:val="5D696FD0"/>
    <w:rsid w:val="5DEC4527"/>
    <w:rsid w:val="5EB312EF"/>
    <w:rsid w:val="5ECF5FEB"/>
    <w:rsid w:val="5F0B1079"/>
    <w:rsid w:val="5F971C58"/>
    <w:rsid w:val="5FA25CFF"/>
    <w:rsid w:val="601629AA"/>
    <w:rsid w:val="60B01327"/>
    <w:rsid w:val="60C205FB"/>
    <w:rsid w:val="60CD0A72"/>
    <w:rsid w:val="61133A44"/>
    <w:rsid w:val="61480D21"/>
    <w:rsid w:val="615417C7"/>
    <w:rsid w:val="61596629"/>
    <w:rsid w:val="615B349E"/>
    <w:rsid w:val="61A02D7D"/>
    <w:rsid w:val="62555998"/>
    <w:rsid w:val="62C76E6C"/>
    <w:rsid w:val="62D52402"/>
    <w:rsid w:val="62DC0E60"/>
    <w:rsid w:val="645408D6"/>
    <w:rsid w:val="64584AB6"/>
    <w:rsid w:val="648A4EB5"/>
    <w:rsid w:val="652731D0"/>
    <w:rsid w:val="655976D5"/>
    <w:rsid w:val="65605444"/>
    <w:rsid w:val="657C7CA5"/>
    <w:rsid w:val="676B001F"/>
    <w:rsid w:val="679107DD"/>
    <w:rsid w:val="67A32373"/>
    <w:rsid w:val="68637C83"/>
    <w:rsid w:val="68AD09A1"/>
    <w:rsid w:val="68AF6FB1"/>
    <w:rsid w:val="68C70BB4"/>
    <w:rsid w:val="692A4676"/>
    <w:rsid w:val="69782EAF"/>
    <w:rsid w:val="6A527C6C"/>
    <w:rsid w:val="6AF3444B"/>
    <w:rsid w:val="6B7A34E0"/>
    <w:rsid w:val="6B9278F3"/>
    <w:rsid w:val="6BB65B5E"/>
    <w:rsid w:val="6C087E0C"/>
    <w:rsid w:val="6C253ADA"/>
    <w:rsid w:val="6C55340F"/>
    <w:rsid w:val="6C7766B8"/>
    <w:rsid w:val="6C96235E"/>
    <w:rsid w:val="6C9675FC"/>
    <w:rsid w:val="6D625EDF"/>
    <w:rsid w:val="6D807BD1"/>
    <w:rsid w:val="6D917A92"/>
    <w:rsid w:val="6DAD133C"/>
    <w:rsid w:val="6DF943CA"/>
    <w:rsid w:val="6E1348D0"/>
    <w:rsid w:val="6EC801F1"/>
    <w:rsid w:val="6EF93EF1"/>
    <w:rsid w:val="6F013DC1"/>
    <w:rsid w:val="6F5D7F62"/>
    <w:rsid w:val="6F7870F5"/>
    <w:rsid w:val="6FA5617C"/>
    <w:rsid w:val="6FB811B3"/>
    <w:rsid w:val="6FDB6864"/>
    <w:rsid w:val="70434C6E"/>
    <w:rsid w:val="70FE3A19"/>
    <w:rsid w:val="71517BC3"/>
    <w:rsid w:val="71B83E74"/>
    <w:rsid w:val="71CE756B"/>
    <w:rsid w:val="71FB480F"/>
    <w:rsid w:val="72460C85"/>
    <w:rsid w:val="73393A34"/>
    <w:rsid w:val="735B000E"/>
    <w:rsid w:val="73C53029"/>
    <w:rsid w:val="742941B5"/>
    <w:rsid w:val="742D6A61"/>
    <w:rsid w:val="74503A62"/>
    <w:rsid w:val="74996AD7"/>
    <w:rsid w:val="75EB68BE"/>
    <w:rsid w:val="75F60897"/>
    <w:rsid w:val="76205939"/>
    <w:rsid w:val="762B5362"/>
    <w:rsid w:val="769706B9"/>
    <w:rsid w:val="76C41CB7"/>
    <w:rsid w:val="77281D19"/>
    <w:rsid w:val="773D1F63"/>
    <w:rsid w:val="7760084D"/>
    <w:rsid w:val="7803502A"/>
    <w:rsid w:val="783243C2"/>
    <w:rsid w:val="79545EE8"/>
    <w:rsid w:val="798B1F33"/>
    <w:rsid w:val="7A3152F0"/>
    <w:rsid w:val="7AD32280"/>
    <w:rsid w:val="7B104E60"/>
    <w:rsid w:val="7B703303"/>
    <w:rsid w:val="7B78076D"/>
    <w:rsid w:val="7B931F2D"/>
    <w:rsid w:val="7C5471AE"/>
    <w:rsid w:val="7C692624"/>
    <w:rsid w:val="7C7A6276"/>
    <w:rsid w:val="7C8F5DA0"/>
    <w:rsid w:val="7C9B2CB4"/>
    <w:rsid w:val="7CD12E11"/>
    <w:rsid w:val="7CE81975"/>
    <w:rsid w:val="7CED03F4"/>
    <w:rsid w:val="7CFB6E0E"/>
    <w:rsid w:val="7D010ECD"/>
    <w:rsid w:val="7E1760B5"/>
    <w:rsid w:val="7E5B499A"/>
    <w:rsid w:val="7E8F5FB2"/>
    <w:rsid w:val="7E94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semiHidden/>
    <w:qFormat/>
    <w:uiPriority w:val="99"/>
    <w:rPr>
      <w:rFonts w:ascii="Times New Roman" w:hAnsi="Times New Roman"/>
      <w:kern w:val="2"/>
      <w:sz w:val="18"/>
      <w:szCs w:val="18"/>
    </w:rPr>
  </w:style>
  <w:style w:type="character" w:customStyle="1" w:styleId="12">
    <w:name w:val="页脚 Char"/>
    <w:basedOn w:val="9"/>
    <w:link w:val="4"/>
    <w:semiHidden/>
    <w:qFormat/>
    <w:uiPriority w:val="99"/>
    <w:rPr>
      <w:rFonts w:ascii="Times New Roman" w:hAnsi="Times New Roman"/>
      <w:kern w:val="2"/>
      <w:sz w:val="18"/>
      <w:szCs w:val="18"/>
    </w:rPr>
  </w:style>
  <w:style w:type="paragraph" w:customStyle="1" w:styleId="13">
    <w:name w:val="p0"/>
    <w:basedOn w:val="1"/>
    <w:qFormat/>
    <w:uiPriority w:val="0"/>
    <w:pPr>
      <w:widowControl/>
    </w:pPr>
    <w:rPr>
      <w:rFonts w:ascii="仿宋_GB2312" w:hAnsi="宋体" w:eastAsia="仿宋_GB2312" w:cs="仿宋_GB2312"/>
      <w:kern w:val="0"/>
      <w:sz w:val="30"/>
      <w:szCs w:val="30"/>
    </w:rPr>
  </w:style>
  <w:style w:type="paragraph" w:customStyle="1" w:styleId="14">
    <w:name w:val="00公文标题"/>
    <w:basedOn w:val="1"/>
    <w:qFormat/>
    <w:uiPriority w:val="0"/>
    <w:pPr>
      <w:snapToGrid w:val="0"/>
      <w:jc w:val="center"/>
    </w:pPr>
    <w:rPr>
      <w:rFonts w:ascii="Times" w:hAnsi="Times" w:eastAsia="方正小标宋简体"/>
      <w:sz w:val="44"/>
      <w:szCs w:val="32"/>
    </w:rPr>
  </w:style>
  <w:style w:type="character" w:customStyle="1" w:styleId="15">
    <w:name w:val="zhenwen141"/>
    <w:qFormat/>
    <w:uiPriority w:val="0"/>
    <w:rPr>
      <w:rFonts w:ascii="??" w:hAnsi="??"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火灾起数</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noFill/>
                <a:round/>
              </a:ln>
              <a:effectLst/>
              <a:scene3d>
                <a:camera prst="orthographicFront"/>
                <a:lightRig rig="threePt" dir="t"/>
              </a:scene3d>
              <a:sp3d contourW="9525"/>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noFill/>
                <a:round/>
              </a:ln>
              <a:effectLst/>
              <a:scene3d>
                <a:camera prst="orthographicFront"/>
                <a:lightRig rig="threePt" dir="t"/>
              </a:scene3d>
              <a:sp3d contourW="9525"/>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noFill/>
                <a:round/>
              </a:ln>
              <a:effectLst/>
              <a:scene3d>
                <a:camera prst="orthographicFront"/>
                <a:lightRig rig="threePt" dir="t"/>
              </a:scene3d>
              <a:sp3d contourW="9525"/>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noFill/>
                <a:round/>
              </a:ln>
              <a:effectLst>
                <a:outerShdw blurRad="40000" dist="20000" dir="5400000" rotWithShape="0">
                  <a:srgbClr val="000000">
                    <a:alpha val="38000"/>
                  </a:srgbClr>
                </a:outerShdw>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县城城区</c:v>
                </c:pt>
                <c:pt idx="1">
                  <c:v>集镇镇区</c:v>
                </c:pt>
                <c:pt idx="2">
                  <c:v>农村（村、寨、屯等）</c:v>
                </c:pt>
                <c:pt idx="3">
                  <c:v>其他</c:v>
                </c:pt>
              </c:strCache>
            </c:strRef>
          </c:cat>
          <c:val>
            <c:numRef>
              <c:f>Sheet1!$B$2:$B$5</c:f>
              <c:numCache>
                <c:formatCode>General</c:formatCode>
                <c:ptCount val="4"/>
                <c:pt idx="0">
                  <c:v>16</c:v>
                </c:pt>
                <c:pt idx="1">
                  <c:v>2</c:v>
                </c:pt>
                <c:pt idx="2">
                  <c:v>11</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83568390418625"/>
          <c:y val="0.0427328722731268"/>
          <c:w val="0.694591484464902"/>
          <c:h val="0.932494630254679"/>
        </c:manualLayout>
      </c:layout>
      <c:pieChart>
        <c:varyColors val="1"/>
        <c:ser>
          <c:idx val="0"/>
          <c:order val="0"/>
          <c:tx>
            <c:strRef>
              <c:f>Sheet1!$B$1</c:f>
              <c:strCache>
                <c:ptCount val="1"/>
                <c:pt idx="0">
                  <c:v>火灾起数</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7"/>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8"/>
            <c:bubble3D val="0"/>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Pt>
            <c:idx val="19"/>
            <c:bubble3D val="0"/>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contourW="952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居住场所</c:v>
                </c:pt>
                <c:pt idx="1">
                  <c:v>商业场所</c:v>
                </c:pt>
                <c:pt idx="2">
                  <c:v>办公场所</c:v>
                </c:pt>
                <c:pt idx="3">
                  <c:v>宾馆、饭店</c:v>
                </c:pt>
                <c:pt idx="4">
                  <c:v>纯餐饮场所</c:v>
                </c:pt>
                <c:pt idx="5">
                  <c:v>公共娱乐场所</c:v>
                </c:pt>
                <c:pt idx="6">
                  <c:v>厂房</c:v>
                </c:pt>
                <c:pt idx="7">
                  <c:v>物资仓储场所</c:v>
                </c:pt>
                <c:pt idx="8">
                  <c:v>工地</c:v>
                </c:pt>
                <c:pt idx="9">
                  <c:v>室内农副业场所</c:v>
                </c:pt>
                <c:pt idx="10">
                  <c:v>室外集贸市场</c:v>
                </c:pt>
                <c:pt idx="11">
                  <c:v>室外独立生产设施设备</c:v>
                </c:pt>
                <c:pt idx="12">
                  <c:v>树林、灌林</c:v>
                </c:pt>
                <c:pt idx="13">
                  <c:v>乘用车</c:v>
                </c:pt>
                <c:pt idx="14">
                  <c:v>低速电动车</c:v>
                </c:pt>
                <c:pt idx="15">
                  <c:v>摩托车</c:v>
                </c:pt>
                <c:pt idx="16">
                  <c:v>室外输配电设备</c:v>
                </c:pt>
                <c:pt idx="17">
                  <c:v>室外架空电线</c:v>
                </c:pt>
                <c:pt idx="18">
                  <c:v>垃圾及废弃物</c:v>
                </c:pt>
                <c:pt idx="19">
                  <c:v>其他</c:v>
                </c:pt>
              </c:strCache>
            </c:strRef>
          </c:cat>
          <c:val>
            <c:numRef>
              <c:f>Sheet1!$B$2:$B$21</c:f>
              <c:numCache>
                <c:formatCode>General</c:formatCode>
                <c:ptCount val="20"/>
                <c:pt idx="0">
                  <c:v>12</c:v>
                </c:pt>
                <c:pt idx="1">
                  <c:v>2</c:v>
                </c:pt>
                <c:pt idx="2">
                  <c:v>0</c:v>
                </c:pt>
                <c:pt idx="3">
                  <c:v>0</c:v>
                </c:pt>
                <c:pt idx="4">
                  <c:v>2</c:v>
                </c:pt>
                <c:pt idx="5">
                  <c:v>0</c:v>
                </c:pt>
                <c:pt idx="6">
                  <c:v>0</c:v>
                </c:pt>
                <c:pt idx="7">
                  <c:v>0</c:v>
                </c:pt>
                <c:pt idx="8">
                  <c:v>0</c:v>
                </c:pt>
                <c:pt idx="9">
                  <c:v>0</c:v>
                </c:pt>
                <c:pt idx="10">
                  <c:v>0</c:v>
                </c:pt>
                <c:pt idx="11">
                  <c:v>0</c:v>
                </c:pt>
                <c:pt idx="12">
                  <c:v>1</c:v>
                </c:pt>
                <c:pt idx="13">
                  <c:v>3</c:v>
                </c:pt>
                <c:pt idx="14">
                  <c:v>1</c:v>
                </c:pt>
                <c:pt idx="15">
                  <c:v>1</c:v>
                </c:pt>
                <c:pt idx="16">
                  <c:v>4</c:v>
                </c:pt>
                <c:pt idx="17">
                  <c:v>1</c:v>
                </c:pt>
                <c:pt idx="18">
                  <c:v>2</c:v>
                </c:pt>
                <c:pt idx="19">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1665547347213"/>
          <c:y val="0.004951312097705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火灾数（起）</c:v>
                </c:pt>
              </c:strCache>
            </c:strRef>
          </c:tx>
          <c:spPr>
            <a:ln w="28575" cap="rnd">
              <a:solidFill>
                <a:schemeClr val="accent1"/>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Sheet1!$A$2:$A$13</c:f>
              <c:strCache>
                <c:ptCount val="12"/>
                <c:pt idx="0">
                  <c:v>0时-2时</c:v>
                </c:pt>
                <c:pt idx="1">
                  <c:v>2时-4时</c:v>
                </c:pt>
                <c:pt idx="2">
                  <c:v>4时-6时</c:v>
                </c:pt>
                <c:pt idx="3">
                  <c:v>6时-8时</c:v>
                </c:pt>
                <c:pt idx="4">
                  <c:v>8时-10时</c:v>
                </c:pt>
                <c:pt idx="5" c:formatCode="0_ ">
                  <c:v>10时-12时</c:v>
                </c:pt>
                <c:pt idx="6" c:formatCode="0_ ">
                  <c:v>12时-14时</c:v>
                </c:pt>
                <c:pt idx="7" c:formatCode="0_ ">
                  <c:v>14时-16时</c:v>
                </c:pt>
                <c:pt idx="8" c:formatCode="0_ ">
                  <c:v>16时-18时</c:v>
                </c:pt>
                <c:pt idx="9" c:formatCode="0_ ">
                  <c:v>18时-20时</c:v>
                </c:pt>
                <c:pt idx="10" c:formatCode="0_ ">
                  <c:v>20时-22时</c:v>
                </c:pt>
                <c:pt idx="11" c:formatCode="0_ ">
                  <c:v>22时-24时</c:v>
                </c:pt>
              </c:strCache>
            </c:strRef>
          </c:cat>
          <c:val>
            <c:numRef>
              <c:f>Sheet1!$B$2:$B$13</c:f>
              <c:numCache>
                <c:formatCode>General</c:formatCode>
                <c:ptCount val="12"/>
                <c:pt idx="0">
                  <c:v>3</c:v>
                </c:pt>
                <c:pt idx="1">
                  <c:v>1</c:v>
                </c:pt>
                <c:pt idx="2">
                  <c:v>0</c:v>
                </c:pt>
                <c:pt idx="3">
                  <c:v>1</c:v>
                </c:pt>
                <c:pt idx="4">
                  <c:v>2</c:v>
                </c:pt>
                <c:pt idx="5">
                  <c:v>4</c:v>
                </c:pt>
                <c:pt idx="6">
                  <c:v>1</c:v>
                </c:pt>
                <c:pt idx="7">
                  <c:v>4</c:v>
                </c:pt>
                <c:pt idx="8">
                  <c:v>7</c:v>
                </c:pt>
                <c:pt idx="9">
                  <c:v>1</c:v>
                </c:pt>
                <c:pt idx="10">
                  <c:v>3</c:v>
                </c:pt>
                <c:pt idx="11">
                  <c:v>2</c:v>
                </c:pt>
              </c:numCache>
            </c:numRef>
          </c:val>
          <c:smooth val="0"/>
        </c:ser>
        <c:ser>
          <c:idx val="1"/>
          <c:order val="1"/>
          <c:tx>
            <c:strRef>
              <c:f>Sheet1!$C$1</c:f>
              <c:strCache>
                <c:ptCount val="1"/>
                <c:pt idx="0">
                  <c:v>亡人数（人）</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Sheet1!$A$2:$A$13</c:f>
              <c:strCache>
                <c:ptCount val="12"/>
                <c:pt idx="0">
                  <c:v>0时-2时</c:v>
                </c:pt>
                <c:pt idx="1">
                  <c:v>2时-4时</c:v>
                </c:pt>
                <c:pt idx="2">
                  <c:v>4时-6时</c:v>
                </c:pt>
                <c:pt idx="3">
                  <c:v>6时-8时</c:v>
                </c:pt>
                <c:pt idx="4">
                  <c:v>8时-10时</c:v>
                </c:pt>
                <c:pt idx="5" c:formatCode="0_ ">
                  <c:v>10时-12时</c:v>
                </c:pt>
                <c:pt idx="6" c:formatCode="0_ ">
                  <c:v>12时-14时</c:v>
                </c:pt>
                <c:pt idx="7" c:formatCode="0_ ">
                  <c:v>14时-16时</c:v>
                </c:pt>
                <c:pt idx="8" c:formatCode="0_ ">
                  <c:v>16时-18时</c:v>
                </c:pt>
                <c:pt idx="9" c:formatCode="0_ ">
                  <c:v>18时-20时</c:v>
                </c:pt>
                <c:pt idx="10" c:formatCode="0_ ">
                  <c:v>20时-22时</c:v>
                </c:pt>
                <c:pt idx="11" c:formatCode="0_ ">
                  <c:v>22时-24时</c:v>
                </c:pt>
              </c:strCache>
            </c:strRef>
          </c:cat>
          <c:val>
            <c:numRef>
              <c:f>Sheet1!$C$2:$C$13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ser>
        <c:dLbls>
          <c:showLegendKey val="0"/>
          <c:showVal val="1"/>
          <c:showCatName val="0"/>
          <c:showSerName val="0"/>
          <c:showPercent val="0"/>
          <c:showBubbleSize val="0"/>
        </c:dLbls>
        <c:marker val="0"/>
        <c:smooth val="0"/>
        <c:axId val="632528136"/>
        <c:axId val="41123461"/>
        <c:extLst>
          <c:ext xmlns:c15="http://schemas.microsoft.com/office/drawing/2012/chart" uri="{02D57815-91ED-43cb-92C2-25804820EDAC}">
            <c15:filteredLineSeries>
              <c15:ser>
                <c:idx val="2"/>
                <c:order val="2"/>
                <c:tx>
                  <c:strRef>
                    <c:extLst>
                      <c:ext uri="{02D57815-91ED-43cb-92C2-25804820EDAC}">
                        <c15:formulaRef>
                          <c15:sqref>Sheet1!#REF!</c15:sqref>
                        </c15:formulaRef>
                      </c:ext>
                    </c:extLst>
                    <c:strCache>
                      <c:ptCount val="1"/>
                      <c:pt idx="0">
                        <c:v/>
                      </c:pt>
                    </c:strCache>
                  </c:strRef>
                </c:tx>
                <c:spPr>
                  <a:ln w="28575" cap="rnd">
                    <a:solidFill>
                      <a:schemeClr val="accent3"/>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Sheet1!$A$2:$A$13</c15:sqref>
                        </c15:formulaRef>
                      </c:ext>
                    </c:extLst>
                    <c:strCache>
                      <c:ptCount val="12"/>
                      <c:pt idx="0">
                        <c:v>0时-2时</c:v>
                      </c:pt>
                      <c:pt idx="1">
                        <c:v>2时-4时</c:v>
                      </c:pt>
                      <c:pt idx="2">
                        <c:v>4时-6时</c:v>
                      </c:pt>
                      <c:pt idx="3">
                        <c:v>6时-8时</c:v>
                      </c:pt>
                      <c:pt idx="4">
                        <c:v>8时-10时</c:v>
                      </c:pt>
                      <c:pt idx="5" c:formatCode="0_ ">
                        <c:v>10时-12时</c:v>
                      </c:pt>
                      <c:pt idx="6" c:formatCode="0_ ">
                        <c:v>12时-14时</c:v>
                      </c:pt>
                      <c:pt idx="7" c:formatCode="0_ ">
                        <c:v>14时-16时</c:v>
                      </c:pt>
                      <c:pt idx="8" c:formatCode="0_ ">
                        <c:v>16时-18时</c:v>
                      </c:pt>
                      <c:pt idx="9" c:formatCode="0_ ">
                        <c:v>18时-20时</c:v>
                      </c:pt>
                      <c:pt idx="10" c:formatCode="0_ ">
                        <c:v>20时-22时</c:v>
                      </c:pt>
                      <c:pt idx="11" c:formatCode="0_ ">
                        <c:v>22时-24时</c:v>
                      </c:pt>
                    </c:strCache>
                  </c:strRef>
                </c:cat>
                <c:val>
                  <c:numRef>
                    <c:extLst>
                      <c:ext uri="{02D57815-91ED-43cb-92C2-25804820EDAC}">
                        <c15:formulaRef>
                          <c15:sqref>Sheet1!#REF!</c15:sqref>
                        </c15:formulaRef>
                      </c:ext>
                    </c:extLst>
                    <c:numCache>
                      <c:formatCode>General</c:formatCode>
                      <c:ptCount val="1"/>
                      <c:pt idx="0">
                        <c:v>1</c:v>
                      </c:pt>
                    </c:numCache>
                  </c:numRef>
                </c:val>
                <c:smooth val="0"/>
              </c15:ser>
            </c15:filteredLineSeries>
          </c:ext>
        </c:extLst>
      </c:lineChart>
      <c:catAx>
        <c:axId val="632528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23461"/>
        <c:crosses val="autoZero"/>
        <c:auto val="1"/>
        <c:lblAlgn val="ctr"/>
        <c:lblOffset val="100"/>
        <c:noMultiLvlLbl val="0"/>
      </c:catAx>
      <c:valAx>
        <c:axId val="4112346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52813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36697116331243"/>
          <c:y val="0.0992253172902591"/>
          <c:w val="0.931389805428433"/>
          <c:h val="0.675193670677435"/>
        </c:manualLayout>
      </c:layout>
      <c:lineChart>
        <c:grouping val="standard"/>
        <c:varyColors val="0"/>
        <c:ser>
          <c:idx val="0"/>
          <c:order val="0"/>
          <c:tx>
            <c:strRef>
              <c:f>Sheet1!$B$1</c:f>
              <c:strCache>
                <c:ptCount val="1"/>
                <c:pt idx="0">
                  <c:v>火灾数（起）</c:v>
                </c:pt>
              </c:strCache>
            </c:strRef>
          </c:tx>
          <c:spPr>
            <a:ln w="28575" cap="rnd">
              <a:solidFill>
                <a:schemeClr val="accent1"/>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放火</c:v>
                </c:pt>
                <c:pt idx="1">
                  <c:v>电气火灾</c:v>
                </c:pt>
                <c:pt idx="2">
                  <c:v>用火不慎</c:v>
                </c:pt>
                <c:pt idx="3">
                  <c:v>乱扔烟头</c:v>
                </c:pt>
                <c:pt idx="4">
                  <c:v>自燃</c:v>
                </c:pt>
                <c:pt idx="5">
                  <c:v>生产作业类</c:v>
                </c:pt>
                <c:pt idx="6" c:formatCode="0_ ">
                  <c:v>玩火及烟花爆竹</c:v>
                </c:pt>
                <c:pt idx="7" c:formatCode="0_ ">
                  <c:v>遗留火种</c:v>
                </c:pt>
                <c:pt idx="8" c:formatCode="0_ ">
                  <c:v>雷击及静电</c:v>
                </c:pt>
                <c:pt idx="9" c:formatCode="0_ ">
                  <c:v>其他类</c:v>
                </c:pt>
                <c:pt idx="10" c:formatCode="0_ ">
                  <c:v>不排除原因</c:v>
                </c:pt>
              </c:strCache>
            </c:strRef>
          </c:cat>
          <c:val>
            <c:numRef>
              <c:f>Sheet1!$B$2:$B$12</c:f>
              <c:numCache>
                <c:formatCode>General</c:formatCode>
                <c:ptCount val="11"/>
                <c:pt idx="0">
                  <c:v>0</c:v>
                </c:pt>
                <c:pt idx="1">
                  <c:v>17</c:v>
                </c:pt>
                <c:pt idx="2">
                  <c:v>7</c:v>
                </c:pt>
                <c:pt idx="3">
                  <c:v>4</c:v>
                </c:pt>
                <c:pt idx="4">
                  <c:v>0</c:v>
                </c:pt>
                <c:pt idx="5">
                  <c:v>0</c:v>
                </c:pt>
                <c:pt idx="6">
                  <c:v>1</c:v>
                </c:pt>
                <c:pt idx="7">
                  <c:v>0</c:v>
                </c:pt>
                <c:pt idx="8">
                  <c:v>0</c:v>
                </c:pt>
                <c:pt idx="9">
                  <c:v>0</c:v>
                </c:pt>
                <c:pt idx="10">
                  <c:v>0</c:v>
                </c:pt>
              </c:numCache>
            </c:numRef>
          </c:val>
          <c:smooth val="0"/>
        </c:ser>
        <c:ser>
          <c:idx val="1"/>
          <c:order val="1"/>
          <c:tx>
            <c:strRef>
              <c:f>Sheet1!$C$1</c:f>
              <c:strCache>
                <c:ptCount val="1"/>
                <c:pt idx="0">
                  <c:v>亡人数（人）</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放火</c:v>
                </c:pt>
                <c:pt idx="1">
                  <c:v>电气火灾</c:v>
                </c:pt>
                <c:pt idx="2">
                  <c:v>用火不慎</c:v>
                </c:pt>
                <c:pt idx="3">
                  <c:v>乱扔烟头</c:v>
                </c:pt>
                <c:pt idx="4">
                  <c:v>自燃</c:v>
                </c:pt>
                <c:pt idx="5">
                  <c:v>生产作业类</c:v>
                </c:pt>
                <c:pt idx="6" c:formatCode="0_ ">
                  <c:v>玩火及烟花爆竹</c:v>
                </c:pt>
                <c:pt idx="7" c:formatCode="0_ ">
                  <c:v>遗留火种</c:v>
                </c:pt>
                <c:pt idx="8" c:formatCode="0_ ">
                  <c:v>雷击及静电</c:v>
                </c:pt>
                <c:pt idx="9" c:formatCode="0_ ">
                  <c:v>其他类</c:v>
                </c:pt>
                <c:pt idx="10" c:formatCode="0_ ">
                  <c:v>不排除原因</c:v>
                </c:pt>
              </c:strCache>
            </c:strRef>
          </c:cat>
          <c:val>
            <c:numRef>
              <c:f>Sheet1!$C$2:$C$12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1"/>
          <c:showCatName val="0"/>
          <c:showSerName val="0"/>
          <c:showPercent val="0"/>
          <c:showBubbleSize val="0"/>
        </c:dLbls>
        <c:marker val="0"/>
        <c:smooth val="0"/>
        <c:axId val="632528136"/>
        <c:axId val="41123461"/>
      </c:lineChart>
      <c:catAx>
        <c:axId val="632528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23461"/>
        <c:crosses val="autoZero"/>
        <c:auto val="1"/>
        <c:lblAlgn val="ctr"/>
        <c:lblOffset val="100"/>
        <c:noMultiLvlLbl val="0"/>
      </c:catAx>
      <c:valAx>
        <c:axId val="411234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528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2336</Words>
  <Characters>2399</Characters>
  <Lines>4</Lines>
  <Paragraphs>1</Paragraphs>
  <TotalTime>866</TotalTime>
  <ScaleCrop>false</ScaleCrop>
  <LinksUpToDate>false</LinksUpToDate>
  <CharactersWithSpaces>2483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2021-11-29T01:56:00Z</dcterms:created>
  <dc:creator>Administrator</dc:creator>
  <cp:lastModifiedBy>Administrator</cp:lastModifiedBy>
  <cp:lastPrinted>2024-01-05T05:52:00Z</cp:lastPrinted>
  <dcterms:modified xsi:type="dcterms:W3CDTF">2024-04-08T07:27:50Z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AB4C27B5B2884431BD229F2E98326626</vt:lpwstr>
  </property>
</Properties>
</file>