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default" w:ascii="Times New Roman" w:hAnsi="Times New Roman" w:eastAsia="仿宋_GB2312" w:cs="Times New Roman"/>
          <w:sz w:val="32"/>
          <w:szCs w:val="32"/>
        </w:rPr>
      </w:pPr>
    </w:p>
    <w:p>
      <w:pPr>
        <w:spacing w:line="1160" w:lineRule="exact"/>
        <w:rPr>
          <w:rFonts w:hint="default" w:ascii="Times New Roman" w:hAnsi="Times New Roman" w:eastAsia="方正小标宋简体" w:cs="Times New Roman"/>
          <w:color w:val="FF0000"/>
          <w:spacing w:val="-11"/>
          <w:w w:val="65"/>
          <w:sz w:val="130"/>
          <w:szCs w:val="130"/>
          <w:lang w:val="en-US" w:eastAsia="zh-CN"/>
        </w:rPr>
      </w:pPr>
      <w:r>
        <w:rPr>
          <w:rFonts w:hint="default" w:ascii="Times New Roman" w:hAnsi="Times New Roman" w:eastAsia="方正小标宋简体" w:cs="Times New Roman"/>
          <w:color w:val="FF0000"/>
          <w:spacing w:val="-11"/>
          <w:w w:val="65"/>
          <w:sz w:val="130"/>
          <w:szCs w:val="130"/>
          <w:lang w:val="en-US" w:eastAsia="zh-CN"/>
        </w:rPr>
        <w:t xml:space="preserve"> </w:t>
      </w:r>
    </w:p>
    <w:p>
      <w:pPr>
        <w:pStyle w:val="2"/>
        <w:ind w:left="0" w:leftChars="0" w:firstLine="0" w:firstLineChars="0"/>
        <w:rPr>
          <w:rFonts w:hint="default"/>
          <w:lang w:val="en-US" w:eastAsia="zh-CN"/>
        </w:rPr>
      </w:pPr>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left="1678"/>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600" w:lineRule="exact"/>
        <w:textAlignment w:val="auto"/>
        <w:rPr>
          <w:rFonts w:hint="default" w:ascii="Times New Roman" w:hAnsi="Times New Roman" w:eastAsia="方正小标宋简体" w:cs="Times New Roman"/>
          <w:color w:val="FF0000"/>
          <w:spacing w:val="-11"/>
          <w:w w:val="65"/>
          <w:sz w:val="130"/>
          <w:szCs w:val="130"/>
          <w:lang w:val="en-US" w:eastAsia="zh-CN"/>
        </w:rPr>
      </w:pPr>
    </w:p>
    <w:p>
      <w:pPr>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lang w:val="en-US" w:eastAsia="zh-CN"/>
        </w:rPr>
        <w:t>伏委</w:t>
      </w:r>
      <w:r>
        <w:rPr>
          <w:rFonts w:hint="default" w:ascii="Times New Roman" w:hAnsi="Times New Roman" w:eastAsia="方正仿宋简体" w:cs="Times New Roman"/>
          <w:b/>
          <w:bCs/>
          <w:sz w:val="32"/>
          <w:lang w:eastAsia="zh-CN"/>
        </w:rPr>
        <w:t>发</w:t>
      </w:r>
      <w:r>
        <w:rPr>
          <w:rFonts w:hint="default" w:ascii="Times New Roman" w:hAnsi="Times New Roman" w:eastAsia="方正仿宋简体" w:cs="Times New Roman"/>
          <w:b/>
          <w:bCs/>
          <w:sz w:val="32"/>
          <w:szCs w:val="32"/>
        </w:rPr>
        <w:t>〔20</w:t>
      </w: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6</w:t>
      </w:r>
      <w:r>
        <w:rPr>
          <w:rFonts w:hint="eastAsia" w:ascii="Times New Roman" w:hAnsi="Times New Roman" w:cs="Times New Roman"/>
          <w:b/>
          <w:bCs/>
          <w:sz w:val="32"/>
          <w:szCs w:val="32"/>
          <w:lang w:val="en-US" w:eastAsia="zh-CN"/>
        </w:rPr>
        <w:t>5</w:t>
      </w:r>
      <w:r>
        <w:rPr>
          <w:rFonts w:hint="default" w:ascii="Times New Roman" w:hAnsi="Times New Roman" w:eastAsia="方正仿宋简体" w:cs="Times New Roman"/>
          <w:b/>
          <w:bCs/>
          <w:sz w:val="32"/>
          <w:szCs w:val="32"/>
        </w:rPr>
        <w:t>号</w:t>
      </w:r>
    </w:p>
    <w:p>
      <w:pPr>
        <w:spacing w:before="312" w:beforeLines="100" w:line="580" w:lineRule="exact"/>
        <w:jc w:val="center"/>
        <w:rPr>
          <w:rFonts w:hint="default" w:ascii="Times New Roman" w:hAnsi="Times New Roman" w:eastAsia="方正小标宋简体" w:cs="Times New Roman"/>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rPr>
          <w:rFonts w:hint="eastAsia" w:ascii="Times New Roman" w:hAnsi="Times New Roman" w:eastAsia="方正小标宋简体" w:cs="Times New Roman"/>
          <w:b/>
          <w:bCs/>
          <w:i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Times New Roman" w:hAnsi="Times New Roman" w:eastAsia="方正小标宋简体" w:cs="Times New Roman"/>
          <w:b/>
          <w:bCs/>
          <w:i w:val="0"/>
          <w:caps w:val="0"/>
          <w:color w:val="000000" w:themeColor="text1"/>
          <w:spacing w:val="0"/>
          <w:kern w:val="0"/>
          <w:sz w:val="44"/>
          <w:szCs w:val="44"/>
          <w:shd w:val="clear" w:fill="FFFFFF"/>
          <w:lang w:val="en-US" w:eastAsia="zh-CN" w:bidi="ar"/>
          <w14:textFill>
            <w14:solidFill>
              <w14:schemeClr w14:val="tx1"/>
            </w14:solidFill>
          </w14:textFill>
        </w:rPr>
        <w:t>中共伏虎镇委员会  伏虎镇人民政府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rPr>
          <w:rFonts w:hint="eastAsia" w:ascii="Times New Roman" w:hAnsi="Times New Roman" w:eastAsia="方正小标宋简体" w:cs="Times New Roman"/>
          <w:b/>
          <w:bCs/>
          <w:i w:val="0"/>
          <w:caps w:val="0"/>
          <w:color w:val="000000" w:themeColor="text1"/>
          <w:spacing w:val="0"/>
          <w:kern w:val="0"/>
          <w:sz w:val="44"/>
          <w:szCs w:val="44"/>
          <w:shd w:val="clear" w:fill="FFFFFF"/>
          <w:lang w:val="en-US" w:eastAsia="zh-CN" w:bidi="ar"/>
          <w14:textFill>
            <w14:solidFill>
              <w14:schemeClr w14:val="tx1"/>
            </w14:solidFill>
          </w14:textFill>
        </w:rPr>
      </w:pPr>
      <w:bookmarkStart w:id="1" w:name="_GoBack"/>
      <w:r>
        <w:rPr>
          <w:rFonts w:hint="eastAsia" w:ascii="Times New Roman" w:hAnsi="Times New Roman" w:eastAsia="方正小标宋简体" w:cs="Times New Roman"/>
          <w:b/>
          <w:bCs/>
          <w:i w:val="0"/>
          <w:caps w:val="0"/>
          <w:color w:val="000000" w:themeColor="text1"/>
          <w:spacing w:val="0"/>
          <w:kern w:val="0"/>
          <w:sz w:val="44"/>
          <w:szCs w:val="44"/>
          <w:shd w:val="clear" w:fill="FFFFFF"/>
          <w:lang w:val="en-US" w:eastAsia="zh-CN" w:bidi="ar"/>
          <w14:textFill>
            <w14:solidFill>
              <w14:schemeClr w14:val="tx1"/>
            </w14:solidFill>
          </w14:textFill>
        </w:rPr>
        <w:t>关于印发《伏虎镇2024年年末岁尾安全生产工作大检查大整治专项行动工作方案》的通知</w:t>
      </w:r>
    </w:p>
    <w:bookmarkEnd w:id="1"/>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t>各村（社区）民委员会，镇属部门，驻镇机关：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t>《伏虎镇2024年年末岁尾安全生产工作大检查大整治专项行动工作方案》已经党委会研究通过，现印发给你们，请抓好贯彻落实。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eastAsia"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t>附件1：伏虎镇2024年年末岁尾安全隐患自查整改台账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t>附件2：伏虎镇十二个领域安全生产检查指南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t>附件3：伏虎镇2024年年末岁尾安全督查问题台账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default"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t>附件4：伏虎镇2024年年末岁尾整改复核台账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default"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sz w:val="32"/>
          <w:szCs w:val="32"/>
          <w:lang w:val="en-US" w:eastAsia="zh-CN"/>
        </w:rPr>
        <w:t xml:space="preserve">                           </w:t>
      </w:r>
      <w:r>
        <w:rPr>
          <w:rFonts w:hint="eastAsia"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t>中共伏虎镇委员会  伏虎镇人民政府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default"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t xml:space="preserve">                                      2024年12月19日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528" w:firstLineChars="787"/>
        <w:jc w:val="center"/>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342265</wp:posOffset>
                </wp:positionV>
                <wp:extent cx="5612765" cy="635"/>
                <wp:effectExtent l="0" t="0" r="0" b="0"/>
                <wp:wrapNone/>
                <wp:docPr id="2" name="直线 3"/>
                <wp:cNvGraphicFramePr/>
                <a:graphic xmlns:a="http://schemas.openxmlformats.org/drawingml/2006/main">
                  <a:graphicData uri="http://schemas.microsoft.com/office/word/2010/wordprocessingShape">
                    <wps:wsp>
                      <wps:cNvCnPr/>
                      <wps:spPr>
                        <a:xfrm>
                          <a:off x="0" y="0"/>
                          <a:ext cx="561276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65pt;margin-top:26.95pt;height:0.05pt;width:441.95pt;z-index:251659264;mso-width-relative:page;mso-height-relative:page;" filled="f" stroked="t" coordsize="21600,21600" o:gfxdata="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YZK40wAAAAcB&#10;AAAPAAAAAAAAAAEAIAAAACIAAABkcnMvZG93bnJldi54bWxQSwECFAAUAAAACACHTuJA16NXeecB&#10;AADdAwAADgAAAAAAAAABACAAAAAiAQAAZHJzL2Uyb0RvYy54bWxQSwUGAAAAAAYABgBZAQAAewUA&#10;AAAA&#10;">
                <v:fill on="f" focussize="0,0"/>
                <v:stroke weight="0.5pt" color="#000000" joinstyle="round"/>
                <v:imagedata o:title=""/>
                <o:lock v:ext="edit" aspectratio="f"/>
              </v:line>
            </w:pict>
          </mc:Fallback>
        </mc:AlternateContent>
      </w:r>
    </w:p>
    <w:p>
      <w:pPr>
        <w:wordWrap w:val="0"/>
        <w:spacing w:line="580" w:lineRule="exact"/>
        <w:jc w:val="both"/>
        <w:rPr>
          <w:rFonts w:hint="eastAsia" w:ascii="仿宋" w:hAnsi="仿宋" w:eastAsia="仿宋" w:cs="仿宋"/>
          <w:sz w:val="32"/>
          <w:szCs w:val="32"/>
          <w:lang w:eastAsia="zh-CN"/>
        </w:rPr>
      </w:pPr>
      <w:r>
        <w:rPr>
          <w:rFonts w:hint="default" w:ascii="Times New Roman" w:hAnsi="Times New Roman" w:eastAsia="仿宋" w:cs="Times New Roman"/>
          <w:b/>
          <w:bCs/>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397510</wp:posOffset>
                </wp:positionV>
                <wp:extent cx="5612765" cy="635"/>
                <wp:effectExtent l="0" t="0" r="0" b="0"/>
                <wp:wrapNone/>
                <wp:docPr id="1" name="直线 2"/>
                <wp:cNvGraphicFramePr/>
                <a:graphic xmlns:a="http://schemas.openxmlformats.org/drawingml/2006/main">
                  <a:graphicData uri="http://schemas.microsoft.com/office/word/2010/wordprocessingShape">
                    <wps:wsp>
                      <wps:cNvCnPr/>
                      <wps:spPr>
                        <a:xfrm>
                          <a:off x="0" y="0"/>
                          <a:ext cx="561276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15pt;margin-top:31.3pt;height:0.05pt;width:441.95pt;z-index:251660288;mso-width-relative:page;mso-height-relative:page;" filled="f" stroked="t" coordsize="21600,21600" o:gfxdata="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Y4BsDTAAAABgEA&#10;AA8AAAAAAAAAAQAgAAAAIgAAAGRycy9kb3ducmV2LnhtbFBLAQIUABQAAAAIAIdO4kDJD76x5gEA&#10;AN0DAAAOAAAAAAAAAAEAIAAAACIBAABkcnMvZTJvRG9jLnhtbFBLBQYAAAAABgAGAFkBAAB6BQAA&#10;AAA=&#10;">
                <v:fill on="f" focussize="0,0"/>
                <v:stroke weight="0.5pt" color="#000000" joinstyle="round"/>
                <v:imagedata o:title=""/>
                <o:lock v:ext="edit" aspectratio="f"/>
              </v:line>
            </w:pict>
          </mc:Fallback>
        </mc:AlternateContent>
      </w:r>
      <w:r>
        <w:rPr>
          <w:rFonts w:hint="default" w:ascii="Times New Roman" w:hAnsi="Times New Roman" w:eastAsia="仿宋" w:cs="Times New Roman"/>
          <w:b/>
          <w:bCs/>
          <w:sz w:val="32"/>
          <w:szCs w:val="32"/>
          <w:lang w:val="en-US" w:eastAsia="zh-CN"/>
        </w:rPr>
        <w:t>伏虎镇</w:t>
      </w:r>
      <w:r>
        <w:rPr>
          <w:rFonts w:hint="default" w:ascii="Times New Roman" w:hAnsi="Times New Roman" w:eastAsia="仿宋" w:cs="Times New Roman"/>
          <w:b/>
          <w:bCs/>
          <w:sz w:val="32"/>
          <w:szCs w:val="32"/>
          <w:lang w:eastAsia="zh-CN"/>
        </w:rPr>
        <w:t>党政办公室</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 xml:space="preserve">     </w:t>
      </w:r>
      <w:r>
        <w:rPr>
          <w:rFonts w:hint="eastAsia"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 xml:space="preserve">  </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 xml:space="preserve"> </w:t>
      </w:r>
      <w:r>
        <w:rPr>
          <w:rFonts w:hint="default" w:ascii="Times New Roman" w:hAnsi="Times New Roman" w:eastAsia="仿宋" w:cs="Times New Roman"/>
          <w:b/>
          <w:bCs/>
          <w:sz w:val="32"/>
          <w:szCs w:val="32"/>
          <w:lang w:val="en-US" w:eastAsia="zh-CN"/>
        </w:rPr>
        <w:t xml:space="preserve">   202</w:t>
      </w:r>
      <w:r>
        <w:rPr>
          <w:rFonts w:hint="eastAsia" w:ascii="Times New Roman" w:hAnsi="Times New Roman" w:eastAsia="仿宋" w:cs="Times New Roman"/>
          <w:b/>
          <w:bCs/>
          <w:sz w:val="32"/>
          <w:szCs w:val="32"/>
          <w:lang w:val="en-US" w:eastAsia="zh-CN"/>
        </w:rPr>
        <w:t>4</w:t>
      </w:r>
      <w:r>
        <w:rPr>
          <w:rFonts w:hint="default" w:ascii="Times New Roman" w:hAnsi="Times New Roman" w:eastAsia="仿宋" w:cs="Times New Roman"/>
          <w:b/>
          <w:bCs/>
          <w:sz w:val="32"/>
          <w:szCs w:val="32"/>
        </w:rPr>
        <w:t>年</w:t>
      </w:r>
      <w:r>
        <w:rPr>
          <w:rFonts w:hint="eastAsia" w:ascii="Times New Roman" w:hAnsi="Times New Roman" w:eastAsia="仿宋" w:cs="Times New Roman"/>
          <w:b/>
          <w:bCs/>
          <w:sz w:val="32"/>
          <w:szCs w:val="32"/>
          <w:lang w:val="en-US" w:eastAsia="zh-CN"/>
        </w:rPr>
        <w:t>12</w:t>
      </w:r>
      <w:r>
        <w:rPr>
          <w:rFonts w:hint="default" w:ascii="Times New Roman" w:hAnsi="Times New Roman" w:eastAsia="仿宋" w:cs="Times New Roman"/>
          <w:b/>
          <w:bCs/>
          <w:sz w:val="32"/>
          <w:szCs w:val="32"/>
        </w:rPr>
        <w:t>月</w:t>
      </w:r>
      <w:r>
        <w:rPr>
          <w:rFonts w:hint="eastAsia" w:ascii="Times New Roman" w:hAnsi="Times New Roman" w:eastAsia="仿宋" w:cs="Times New Roman"/>
          <w:b/>
          <w:bCs/>
          <w:sz w:val="32"/>
          <w:szCs w:val="32"/>
          <w:lang w:val="en-US" w:eastAsia="zh-CN"/>
        </w:rPr>
        <w:t>19</w:t>
      </w:r>
      <w:r>
        <w:rPr>
          <w:rFonts w:hint="default" w:ascii="Times New Roman" w:hAnsi="Times New Roman" w:eastAsia="仿宋" w:cs="Times New Roman"/>
          <w:b/>
          <w:bCs/>
          <w:sz w:val="32"/>
          <w:szCs w:val="32"/>
        </w:rPr>
        <w:t>日印发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伏虎镇</w:t>
      </w: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lang w:eastAsia="zh-CN"/>
        </w:rPr>
        <w:t>年年末岁尾安全生产工作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大检查大整治专项行动工作方案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Times New Roman" w:hAnsi="Times New Roman" w:eastAsia="仿宋" w:cs="Times New Roman"/>
          <w:b/>
          <w:bCs/>
          <w:i w:val="0"/>
          <w:caps w:val="0"/>
          <w:color w:val="000000" w:themeColor="text1"/>
          <w:spacing w:val="0"/>
          <w:kern w:val="0"/>
          <w:sz w:val="32"/>
          <w:szCs w:val="32"/>
          <w:shd w:val="clear" w:fill="FFFFFF"/>
          <w:lang w:val="en-US" w:eastAsia="zh-CN" w:bidi="ar"/>
          <w14:textFill>
            <w14:solidFill>
              <w14:schemeClr w14:val="tx1"/>
            </w14:solidFill>
          </w14:textFill>
        </w:rPr>
        <w:t>为进一步贯彻好习近平总书记“生命至上、人民至上”的安全生产理念及中省市县各级会议及文件精神，进一步落实好南部县安全生产“三年攻坚行动”、“百日攻坚行动”要求，全面做好伏虎镇2024 年年末岁尾安全生产工作，切实保障好广大人民群众的生命财产安全，确保共度一个安全、祥和的新年，特制定该方案。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default" w:ascii="仿宋" w:hAnsi="仿宋" w:eastAsia="仿宋" w:cs="仿宋"/>
          <w:b/>
          <w:bCs/>
          <w:sz w:val="32"/>
          <w:szCs w:val="32"/>
          <w:lang w:eastAsia="zh-CN"/>
        </w:rPr>
        <w:t>坚持以习近平新时代中国特色社会主义思想为指导，进一步增强安全生产“红线”意识，牢固树立安全发展理念，弘扬生命至上、安全第一的思想，针对岁末年初安全生产的规律和特点，紧紧盯住重点行业、重点企业、重点环节、重点部位、重点时段，认真分析研判各种安全风险，制定采取针对性的管控措施，坚持隐患排查零死角，整改整治零容忍，严管重罚零放过，全力防范生产安全事故发生</w:t>
      </w:r>
      <w:r>
        <w:rPr>
          <w:rFonts w:hint="eastAsia" w:ascii="仿宋" w:hAnsi="仿宋" w:eastAsia="仿宋" w:cs="仿宋"/>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eastAsia="zh-CN"/>
        </w:rPr>
      </w:pPr>
      <w:r>
        <w:rPr>
          <w:rFonts w:hint="default" w:ascii="仿宋" w:hAnsi="仿宋" w:eastAsia="仿宋" w:cs="仿宋"/>
          <w:b/>
          <w:bCs/>
          <w:sz w:val="32"/>
          <w:szCs w:val="32"/>
          <w:lang w:eastAsia="zh-CN"/>
        </w:rPr>
        <w:t>针对存在的安全风险和问题，采取有针对性的措施，重点加强</w:t>
      </w:r>
      <w:r>
        <w:rPr>
          <w:rFonts w:hint="eastAsia" w:ascii="仿宋" w:hAnsi="仿宋" w:eastAsia="仿宋" w:cs="仿宋"/>
          <w:b/>
          <w:bCs/>
          <w:sz w:val="32"/>
          <w:szCs w:val="32"/>
          <w:lang w:eastAsia="zh-CN"/>
        </w:rPr>
        <w:t>以下</w:t>
      </w:r>
      <w:r>
        <w:rPr>
          <w:rFonts w:hint="default" w:ascii="仿宋" w:hAnsi="仿宋" w:eastAsia="仿宋" w:cs="仿宋"/>
          <w:b/>
          <w:bCs/>
          <w:sz w:val="32"/>
          <w:szCs w:val="32"/>
          <w:lang w:eastAsia="zh-CN"/>
        </w:rPr>
        <w:t>行业（领域）的安全监管，全力防范生产安全事故发生。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eastAsia="zh-CN"/>
        </w:rPr>
      </w:pPr>
      <w:r>
        <w:rPr>
          <w:rFonts w:hint="eastAsia" w:ascii="楷体" w:hAnsi="楷体" w:eastAsia="楷体" w:cs="楷体"/>
          <w:b/>
          <w:bCs/>
          <w:sz w:val="32"/>
          <w:szCs w:val="32"/>
          <w:lang w:eastAsia="zh-CN"/>
        </w:rPr>
        <w:t>（一）加强道路交通安全监管。</w:t>
      </w:r>
      <w:r>
        <w:rPr>
          <w:rFonts w:hint="eastAsia" w:ascii="仿宋" w:hAnsi="仿宋" w:eastAsia="仿宋" w:cs="仿宋"/>
          <w:b/>
          <w:bCs/>
          <w:sz w:val="32"/>
          <w:szCs w:val="32"/>
          <w:lang w:eastAsia="zh-CN"/>
        </w:rPr>
        <w:t>全面开展冬季道路交通安全管理大会战，集中治理冬季安全隐患，加强恶劣天气预警和应急救援处置；突出客车、旅游包车、面包车、危化品运输车、低速货车、摩托车以及水泥罐车、运渣车等高风险车型，强化道路交通安全管理，大力整治路面行车秩序；严格落实“六严禁”等制度，认真开展道路交通源头综合治理；依法严厉打击非法营运和交通违法行为。有序组织好春运期间旅客乘车，做好各类交通安全的应急预案，加大对违法携带和运输危险品的检查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eastAsia="zh-CN"/>
        </w:rPr>
      </w:pPr>
      <w:r>
        <w:rPr>
          <w:rFonts w:hint="eastAsia" w:ascii="楷体" w:hAnsi="楷体" w:eastAsia="楷体" w:cs="楷体"/>
          <w:b/>
          <w:bCs/>
          <w:sz w:val="32"/>
          <w:szCs w:val="32"/>
          <w:lang w:eastAsia="zh-CN"/>
        </w:rPr>
        <w:t>（二）加强建筑施工安全监管。</w:t>
      </w:r>
      <w:r>
        <w:rPr>
          <w:rFonts w:hint="eastAsia" w:ascii="仿宋" w:hAnsi="仿宋" w:eastAsia="仿宋" w:cs="仿宋"/>
          <w:b/>
          <w:bCs/>
          <w:sz w:val="32"/>
          <w:szCs w:val="32"/>
          <w:lang w:eastAsia="zh-CN"/>
        </w:rPr>
        <w:t>重点排查和整治无资质施工、违法转包分包、不按设计施工等违法违规行为。以预防高处坠落、物体打击、坍塌、起重伤害、触电、火灾等事故为重点，突出抓好脚手架、超重机械、深基坑支护等专项治理，加大对在建工地的安全检查力度。严禁盲目赶工期、抢进度，遇到极端寒冷天气，及时停止施工作业。加强对施工危险用品管理和安全检查，严肃查处违法违规施工行为。全面排查治理城乡公用设施等重点部位安全隐患，确保城市供电、供水、供气设备设施安全运行。做好建设项目停产期间和复产复工的安全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eastAsia="zh-CN"/>
        </w:rPr>
      </w:pPr>
      <w:r>
        <w:rPr>
          <w:rFonts w:hint="eastAsia" w:ascii="楷体" w:hAnsi="楷体" w:eastAsia="楷体" w:cs="楷体"/>
          <w:b/>
          <w:bCs/>
          <w:sz w:val="32"/>
          <w:szCs w:val="32"/>
          <w:lang w:eastAsia="zh-CN"/>
        </w:rPr>
        <w:t>（三）加强烟花爆竹安全监管。</w:t>
      </w:r>
      <w:r>
        <w:rPr>
          <w:rFonts w:hint="eastAsia" w:ascii="仿宋" w:hAnsi="仿宋" w:eastAsia="仿宋" w:cs="仿宋"/>
          <w:b/>
          <w:bCs/>
          <w:sz w:val="32"/>
          <w:szCs w:val="32"/>
          <w:lang w:eastAsia="zh-CN"/>
        </w:rPr>
        <w:t>严厉打击烟花爆竹非法违法生产、运输、储存、销售行为，强化烟花爆竹经营许可管理，严格烟花爆竹储存、运输、燃放等各环节的安全监管。</w:t>
      </w:r>
    </w:p>
    <w:p>
      <w:pPr>
        <w:pStyle w:val="3"/>
        <w:keepNext w:val="0"/>
        <w:keepLines w:val="0"/>
        <w:pageBreakBefore w:val="0"/>
        <w:widowControl w:val="0"/>
        <w:kinsoku/>
        <w:wordWrap/>
        <w:overflowPunct/>
        <w:topLinePunct w:val="0"/>
        <w:autoSpaceDE w:val="0"/>
        <w:autoSpaceDN w:val="0"/>
        <w:bidi w:val="0"/>
        <w:spacing w:before="0" w:line="570" w:lineRule="exact"/>
        <w:ind w:left="0" w:leftChars="0" w:right="0" w:firstLine="643" w:firstLineChars="200"/>
        <w:jc w:val="both"/>
        <w:textAlignment w:val="auto"/>
        <w:rPr>
          <w:rFonts w:hint="default" w:ascii="仿宋" w:hAnsi="仿宋" w:eastAsia="仿宋" w:cs="仿宋"/>
          <w:b/>
          <w:bCs/>
          <w:sz w:val="32"/>
          <w:szCs w:val="32"/>
          <w:lang w:eastAsia="zh-CN"/>
        </w:rPr>
      </w:pPr>
      <w:r>
        <w:rPr>
          <w:rFonts w:hint="eastAsia" w:ascii="楷体" w:hAnsi="楷体" w:eastAsia="楷体" w:cs="楷体"/>
          <w:b/>
          <w:bCs/>
          <w:kern w:val="2"/>
          <w:sz w:val="32"/>
          <w:szCs w:val="32"/>
          <w:lang w:val="en-US" w:eastAsia="zh-CN" w:bidi="ar-SA"/>
        </w:rPr>
        <w:t>（四）加强食品安全监管。</w:t>
      </w:r>
      <w:r>
        <w:rPr>
          <w:rFonts w:hint="default" w:ascii="仿宋" w:hAnsi="仿宋" w:eastAsia="仿宋" w:cs="仿宋"/>
          <w:b/>
          <w:bCs/>
          <w:kern w:val="2"/>
          <w:sz w:val="32"/>
          <w:szCs w:val="32"/>
          <w:lang w:val="en-US" w:eastAsia="en-US" w:bidi="ar-SA"/>
        </w:rPr>
        <w:t>全面、扎实地</w:t>
      </w:r>
      <w:r>
        <w:rPr>
          <w:rFonts w:hint="eastAsia" w:ascii="仿宋" w:hAnsi="仿宋" w:eastAsia="仿宋" w:cs="仿宋"/>
          <w:b/>
          <w:bCs/>
          <w:kern w:val="2"/>
          <w:sz w:val="32"/>
          <w:szCs w:val="32"/>
          <w:lang w:val="en-US" w:eastAsia="zh-CN" w:bidi="ar-SA"/>
        </w:rPr>
        <w:t>在我镇辖区内</w:t>
      </w:r>
      <w:r>
        <w:rPr>
          <w:rFonts w:hint="default" w:ascii="仿宋" w:hAnsi="仿宋" w:eastAsia="仿宋" w:cs="仿宋"/>
          <w:b/>
          <w:bCs/>
          <w:kern w:val="2"/>
          <w:sz w:val="32"/>
          <w:szCs w:val="32"/>
          <w:lang w:val="en-US" w:eastAsia="en-US" w:bidi="ar-SA"/>
        </w:rPr>
        <w:t>开展食品市场秩序专项整顿工作,加大巡查检查力度,严厉打击违法行为,规范食品市场,保障人民群众饮</w:t>
      </w:r>
      <w:r>
        <w:rPr>
          <w:rFonts w:hint="eastAsia" w:ascii="仿宋" w:hAnsi="仿宋" w:eastAsia="仿宋" w:cs="仿宋"/>
          <w:b/>
          <w:bCs/>
          <w:kern w:val="2"/>
          <w:sz w:val="32"/>
          <w:szCs w:val="32"/>
          <w:lang w:val="en-US" w:eastAsia="zh-CN" w:bidi="ar-SA"/>
        </w:rPr>
        <w:t>食品</w:t>
      </w:r>
      <w:r>
        <w:rPr>
          <w:rFonts w:hint="default" w:ascii="仿宋" w:hAnsi="仿宋" w:eastAsia="仿宋" w:cs="仿宋"/>
          <w:b/>
          <w:bCs/>
          <w:kern w:val="2"/>
          <w:sz w:val="32"/>
          <w:szCs w:val="32"/>
          <w:lang w:val="en-US" w:eastAsia="en-US" w:bidi="ar-SA"/>
        </w:rPr>
        <w:t>安全;加强对从业人员的法律法规和相关业务知识的培训,全面提升从业人员素质,同时进一步加大食品安全工作宣传力度,增强人民群众的安全意识和依法维权意识;做好食品安全综合监管职责,加强对餐饮、食品流通的监督管理,保证广大群众吃上“放心”食品;不断落实对保健品、农产品的监管职责,努力营造良好的</w:t>
      </w:r>
      <w:r>
        <w:rPr>
          <w:rFonts w:hint="eastAsia" w:ascii="仿宋" w:hAnsi="仿宋" w:eastAsia="仿宋" w:cs="仿宋"/>
          <w:b/>
          <w:bCs/>
          <w:kern w:val="2"/>
          <w:sz w:val="32"/>
          <w:szCs w:val="32"/>
          <w:lang w:val="en-US" w:eastAsia="zh-CN" w:bidi="ar-SA"/>
        </w:rPr>
        <w:t>食品药品</w:t>
      </w:r>
      <w:r>
        <w:rPr>
          <w:rFonts w:hint="default" w:ascii="仿宋" w:hAnsi="仿宋" w:eastAsia="仿宋" w:cs="仿宋"/>
          <w:b/>
          <w:bCs/>
          <w:kern w:val="2"/>
          <w:sz w:val="32"/>
          <w:szCs w:val="32"/>
          <w:lang w:val="en-US" w:eastAsia="en-US" w:bidi="ar-SA"/>
        </w:rPr>
        <w:t>安全环境。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eastAsia="zh-CN"/>
        </w:rPr>
      </w:pPr>
      <w:r>
        <w:rPr>
          <w:rFonts w:hint="eastAsia" w:ascii="楷体" w:hAnsi="楷体" w:eastAsia="楷体" w:cs="楷体"/>
          <w:b/>
          <w:bCs/>
          <w:sz w:val="32"/>
          <w:szCs w:val="32"/>
          <w:lang w:eastAsia="zh-CN"/>
        </w:rPr>
        <w:t>（五）加强非煤矿山安全监管。</w:t>
      </w:r>
      <w:r>
        <w:rPr>
          <w:rFonts w:hint="eastAsia" w:ascii="仿宋" w:hAnsi="仿宋" w:eastAsia="仿宋" w:cs="仿宋"/>
          <w:b/>
          <w:bCs/>
          <w:sz w:val="32"/>
          <w:szCs w:val="32"/>
          <w:lang w:eastAsia="zh-CN"/>
        </w:rPr>
        <w:t>以防边坡垮塌为重点，加强露天矿山高陡边坡、爆破作业安全管理，严格执行大雾、冰雪等恶劣气候下停止施工作业相关规定。严厉打击各类违法违规行为，包括无证、证照不全或证照过期从事生产的；将新（改、扩）建项目安全设施发包给不具备相应资质的单位承担的；停产整顿、整合技改未经验收擅自组织生产的；其他违反安全生产法律、法规、规章的生产经营建设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en-US"/>
        </w:rPr>
      </w:pPr>
      <w:r>
        <w:rPr>
          <w:rFonts w:hint="eastAsia" w:ascii="楷体" w:hAnsi="楷体" w:eastAsia="楷体" w:cs="楷体"/>
          <w:b/>
          <w:bCs/>
          <w:sz w:val="32"/>
          <w:szCs w:val="32"/>
          <w:lang w:eastAsia="zh-CN"/>
        </w:rPr>
        <w:t>（六）加强消防安全监管。</w:t>
      </w:r>
      <w:r>
        <w:rPr>
          <w:rFonts w:hint="default" w:ascii="仿宋" w:hAnsi="仿宋" w:eastAsia="仿宋" w:cs="仿宋"/>
          <w:b/>
          <w:bCs/>
          <w:sz w:val="32"/>
          <w:szCs w:val="32"/>
          <w:lang w:val="en-US" w:eastAsia="en-US"/>
        </w:rPr>
        <w:t>要紧盯高层建筑、宗教活动、文物古建筑、旅游景点、石油化工、医疗防疫等重点领域，开展消防安全联合检查严格落实消防安全责任制</w:t>
      </w: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en-US"/>
        </w:rPr>
        <w:t>全力完成公共建筑和住宅小区消防车通道标线标识施划</w:t>
      </w: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zh-CN"/>
        </w:rPr>
        <w:t>开展</w:t>
      </w:r>
      <w:r>
        <w:rPr>
          <w:rFonts w:hint="default" w:ascii="仿宋" w:hAnsi="仿宋" w:eastAsia="仿宋" w:cs="仿宋"/>
          <w:b/>
          <w:bCs/>
          <w:sz w:val="32"/>
          <w:szCs w:val="32"/>
          <w:lang w:val="en-US" w:eastAsia="en-US"/>
        </w:rPr>
        <w:t>消防安全排查和宣传教育，加强对家庭作坊、群租房、“三合一”小单位场所和易地扶贫搬迁安置点等高风险区域监管力度</w:t>
      </w: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en-US"/>
        </w:rPr>
        <w:t>整治擅自改建、违章搭建以及违规操作、违规住人、违规储存使用易燃易爆危险品等消防违法行为</w:t>
      </w: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en-US"/>
        </w:rPr>
        <w:t>针对电气火灾高发和电动自行车、储能站等新业态、新能源火灾的特点，开展火灾风险研判和集中整治。</w:t>
      </w:r>
      <w:r>
        <w:rPr>
          <w:rFonts w:hint="eastAsia" w:ascii="仿宋" w:hAnsi="仿宋" w:eastAsia="仿宋" w:cs="仿宋"/>
          <w:b/>
          <w:bCs/>
          <w:sz w:val="32"/>
          <w:szCs w:val="32"/>
          <w:lang w:val="en-US" w:eastAsia="zh-CN"/>
        </w:rPr>
        <w:t>另外，</w:t>
      </w:r>
      <w:r>
        <w:rPr>
          <w:rFonts w:hint="default" w:ascii="仿宋" w:hAnsi="仿宋" w:eastAsia="仿宋" w:cs="仿宋"/>
          <w:b/>
          <w:bCs/>
          <w:sz w:val="32"/>
          <w:szCs w:val="32"/>
          <w:lang w:val="en-US" w:eastAsia="en-US"/>
        </w:rPr>
        <w:t>要紧盯重大活动消防安全，督促活动举办单位周密制定现场消防安全保卫方案，采取约谈、值守、巡防、关停、取缔等超常措施</w:t>
      </w: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en-US"/>
        </w:rPr>
        <w:t>严格落实消防安全责任和措施</w:t>
      </w: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en-US"/>
        </w:rPr>
        <w:t>确保活动安全。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eastAsia="zh-CN"/>
        </w:rPr>
      </w:pPr>
      <w:r>
        <w:rPr>
          <w:rFonts w:hint="eastAsia" w:ascii="楷体" w:hAnsi="楷体" w:eastAsia="楷体" w:cs="楷体"/>
          <w:b/>
          <w:bCs/>
          <w:sz w:val="32"/>
          <w:szCs w:val="32"/>
          <w:lang w:eastAsia="zh-CN"/>
        </w:rPr>
        <w:t>（七）加强特种设备安全监管。</w:t>
      </w:r>
      <w:r>
        <w:rPr>
          <w:rFonts w:hint="eastAsia" w:ascii="仿宋" w:hAnsi="仿宋" w:eastAsia="仿宋" w:cs="仿宋"/>
          <w:b/>
          <w:bCs/>
          <w:sz w:val="32"/>
          <w:szCs w:val="32"/>
          <w:lang w:eastAsia="zh-CN"/>
        </w:rPr>
        <w:t>深入推进特种设备风险分级管控和隐患排查治理；扎实开展特种设备日常监督检查，以及进行安全生产大检查中发现的隐患的整改情况的“回头看”，督促相关单位整改到位；以公共场所使用的电梯及间歇性生产使用的锅炉、压力容器、压力管道、起重机械和气瓶充装为重点，开展特种设备使用安全专项整治，严厉打击无证操作、违规使用、违章作业和非法充装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eastAsia="zh-CN"/>
        </w:rPr>
      </w:pPr>
      <w:r>
        <w:rPr>
          <w:rFonts w:hint="eastAsia" w:ascii="楷体" w:hAnsi="楷体" w:eastAsia="楷体" w:cs="楷体"/>
          <w:b/>
          <w:bCs/>
          <w:sz w:val="32"/>
          <w:szCs w:val="32"/>
          <w:lang w:eastAsia="zh-CN"/>
        </w:rPr>
        <w:t>（八）加强人员密集场所安全监管。</w:t>
      </w:r>
      <w:r>
        <w:rPr>
          <w:rFonts w:hint="eastAsia" w:ascii="仿宋" w:hAnsi="仿宋" w:eastAsia="仿宋" w:cs="仿宋"/>
          <w:b/>
          <w:bCs/>
          <w:sz w:val="32"/>
          <w:szCs w:val="32"/>
          <w:lang w:eastAsia="zh-CN"/>
        </w:rPr>
        <w:t>严格执行大型群众性活动安全许可制度，落实大型群众性活动安全工作方案和安全责任制度，明确安检、医疗救护、灭火、应急疏散等安全措施，严格控制参与人数。开展车站商场、市场、影剧院、KTV、宾馆饭店、网吧、医院、 学校、寺庙、养老院等人员密集场所安全隐患排查治理，制定实施人员密集场所人流管控疏导方案，严防人员拥挤、踩踏事故发生。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eastAsia="zh-CN"/>
        </w:rPr>
      </w:pPr>
      <w:r>
        <w:rPr>
          <w:rFonts w:hint="default" w:ascii="仿宋" w:hAnsi="仿宋" w:eastAsia="仿宋" w:cs="仿宋"/>
          <w:b/>
          <w:bCs/>
          <w:sz w:val="32"/>
          <w:szCs w:val="32"/>
          <w:lang w:eastAsia="zh-CN"/>
        </w:rPr>
        <w:t>按照“管行业必须管安全、管业务必须管安全、管生产经营必须管安全”的原则，其他行业主管部门要根据行业和本行业领域安全生产工作实际，对安全生产风险进行认真分析研判。采取切实可行的措施，开展相应工作，全力防止和避免生产安全事故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en-US"/>
        </w:rPr>
      </w:pPr>
      <w:r>
        <w:rPr>
          <w:rFonts w:hint="eastAsia" w:ascii="楷体" w:hAnsi="楷体" w:eastAsia="楷体" w:cs="楷体"/>
          <w:b/>
          <w:bCs/>
          <w:sz w:val="32"/>
          <w:szCs w:val="32"/>
          <w:lang w:val="en-US" w:eastAsia="zh-CN"/>
        </w:rPr>
        <w:t>（九）</w:t>
      </w:r>
      <w:r>
        <w:rPr>
          <w:rFonts w:hint="eastAsia" w:ascii="楷体" w:hAnsi="楷体" w:eastAsia="楷体" w:cs="楷体"/>
          <w:b/>
          <w:bCs/>
          <w:sz w:val="32"/>
          <w:szCs w:val="32"/>
          <w:lang w:eastAsia="zh-CN"/>
        </w:rPr>
        <w:t>加强燃气安全监管。</w:t>
      </w:r>
      <w:r>
        <w:rPr>
          <w:rFonts w:hint="default" w:ascii="仿宋" w:hAnsi="仿宋" w:eastAsia="仿宋" w:cs="仿宋"/>
          <w:b/>
          <w:bCs/>
          <w:sz w:val="32"/>
          <w:szCs w:val="32"/>
          <w:lang w:val="en-US" w:eastAsia="en-US"/>
        </w:rPr>
        <w:t>重点查处燃气经营企业无经营许可或超经营许可范围开展经营活动，坚决打击瓶装液化气非法储存、运输、充装和倒装等行为</w:t>
      </w: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en-US"/>
        </w:rPr>
        <w:t>切实加强对管道燃气城市门站、输配气站和主管网等关键设施的日常巡查，集中组织人口密集区、高层建筑、大型商业综合体、居民小区、餐饮店的燃气设施安全隐患排查整治</w:t>
      </w: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en-US"/>
        </w:rPr>
        <w:t>重点排查整治燃气用具、连接软管、减压阀和燃气泄漏报警装置等存在的安全隐患，以及擅自拆除、改装、迁移、暗埋燃气设施和用具等情况。指导建设单位在工程施工中制定燃气设施保护方案，严防“野蛮施工”导致燃气泄漏爆燃事故的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（十）</w:t>
      </w:r>
      <w:r>
        <w:rPr>
          <w:rFonts w:hint="eastAsia" w:ascii="楷体" w:hAnsi="楷体" w:eastAsia="楷体" w:cs="楷体"/>
          <w:b/>
          <w:bCs/>
          <w:sz w:val="32"/>
          <w:szCs w:val="32"/>
          <w:lang w:eastAsia="zh-CN"/>
        </w:rPr>
        <w:t>加强有限空间领域安全监管。</w:t>
      </w:r>
      <w:r>
        <w:rPr>
          <w:rFonts w:hint="eastAsia" w:ascii="仿宋" w:hAnsi="仿宋" w:eastAsia="仿宋" w:cs="仿宋"/>
          <w:b/>
          <w:bCs/>
          <w:sz w:val="32"/>
          <w:szCs w:val="32"/>
          <w:lang w:eastAsia="zh-CN"/>
        </w:rPr>
        <w:t>要</w:t>
      </w:r>
      <w:r>
        <w:rPr>
          <w:rFonts w:hint="eastAsia" w:ascii="仿宋" w:hAnsi="仿宋" w:eastAsia="仿宋" w:cs="仿宋"/>
          <w:b/>
          <w:bCs/>
          <w:sz w:val="32"/>
          <w:szCs w:val="32"/>
          <w:lang w:val="en-US" w:eastAsia="zh-CN"/>
        </w:rPr>
        <w:t>强化沼气安全管理工作，未完成废奔沼气池拆除工作的村（社区），要切实落实措施，加快推进工作。加强沼气使用管理，对保留的沼气池开展全面检查．重点检查农户《农村沼气安全生产责任书》 签订情况、沼气池设施以及防护设施完好情况、沼气池日常维护情况等，杜绝沼气安全隐患。严禁在沼气池周边用火、燃放烟花爆竹等。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b/>
          <w:bCs/>
          <w:lang w:val="en-US" w:eastAsia="en-US"/>
        </w:rPr>
      </w:pPr>
      <w:r>
        <w:rPr>
          <w:rFonts w:hint="eastAsia" w:ascii="楷体" w:hAnsi="楷体" w:eastAsia="楷体" w:cs="楷体"/>
          <w:b/>
          <w:bCs/>
          <w:sz w:val="32"/>
          <w:szCs w:val="32"/>
          <w:lang w:val="en-US" w:eastAsia="zh-CN"/>
        </w:rPr>
        <w:t>（十一）</w:t>
      </w:r>
      <w:bookmarkStart w:id="0" w:name="OLE_LINK1"/>
      <w:r>
        <w:rPr>
          <w:rFonts w:hint="eastAsia" w:ascii="楷体" w:hAnsi="楷体" w:eastAsia="楷体" w:cs="楷体"/>
          <w:b/>
          <w:bCs/>
          <w:sz w:val="32"/>
          <w:szCs w:val="32"/>
          <w:lang w:eastAsia="zh-CN"/>
        </w:rPr>
        <w:t>加强旅游场所领域安全监管</w:t>
      </w:r>
      <w:bookmarkEnd w:id="0"/>
      <w:r>
        <w:rPr>
          <w:rFonts w:hint="eastAsia" w:ascii="楷体" w:hAnsi="楷体" w:eastAsia="楷体" w:cs="楷体"/>
          <w:b/>
          <w:bCs/>
          <w:sz w:val="32"/>
          <w:szCs w:val="32"/>
          <w:lang w:eastAsia="zh-CN"/>
        </w:rPr>
        <w:t>。</w:t>
      </w:r>
      <w:r>
        <w:rPr>
          <w:rFonts w:hint="eastAsia" w:ascii="仿宋" w:hAnsi="仿宋" w:eastAsia="仿宋" w:cs="仿宋"/>
          <w:b/>
          <w:bCs/>
          <w:sz w:val="32"/>
          <w:szCs w:val="32"/>
          <w:lang w:val="en-US" w:eastAsia="zh-CN"/>
        </w:rPr>
        <w:t>旅游设施的安全运行直接关系到人民群众生命安全，要按照“管行业必须管安全、管业务必须管安全、管生产经营必须管安全”和“谁的场地谁负责”的要求，扎实开展游乐设施安全风险隐患排查整治。要加大对游乐设施安全监管力度，确保制动装置、乘客束缚装置、联锁保护装置等安全可靠。对无国家或行业标准规范、安全风险较高的景区载人旅游设施，要严格做好风险辨识评估和安全管控，风险评估不合格的不得投入使用</w:t>
      </w:r>
      <w:r>
        <w:rPr>
          <w:rFonts w:ascii="微软雅黑" w:hAnsi="微软雅黑" w:eastAsia="微软雅黑" w:cs="微软雅黑"/>
          <w:b/>
          <w:bCs/>
          <w:i w:val="0"/>
          <w:caps w:val="0"/>
          <w:color w:val="222222"/>
          <w:spacing w:val="0"/>
          <w:sz w:val="27"/>
          <w:szCs w:val="27"/>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楷体" w:cs="Times New Roman"/>
          <w:b/>
          <w:bCs/>
          <w:sz w:val="32"/>
          <w:szCs w:val="32"/>
          <w:lang w:val="en-US" w:eastAsia="zh-CN" w:bidi="ar-SA"/>
        </w:rPr>
      </w:pP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val="en-US" w:eastAsia="zh-CN"/>
        </w:rPr>
        <w:t>（十二）</w:t>
      </w:r>
      <w:r>
        <w:rPr>
          <w:rFonts w:hint="eastAsia" w:ascii="楷体" w:hAnsi="楷体" w:eastAsia="楷体" w:cs="楷体"/>
          <w:b/>
          <w:bCs/>
          <w:sz w:val="32"/>
          <w:szCs w:val="32"/>
          <w:lang w:eastAsia="zh-CN"/>
        </w:rPr>
        <w:t>加强其他领域安全监管。</w:t>
      </w:r>
      <w:r>
        <w:rPr>
          <w:rFonts w:hint="eastAsia" w:ascii="仿宋" w:hAnsi="仿宋" w:eastAsia="仿宋" w:cs="仿宋"/>
          <w:b/>
          <w:bCs/>
          <w:sz w:val="32"/>
          <w:szCs w:val="32"/>
          <w:lang w:val="en-US" w:eastAsia="zh-CN"/>
        </w:rPr>
        <w:t>森林防灭火、一氧化碳、寺庙</w:t>
      </w:r>
      <w:r>
        <w:rPr>
          <w:rFonts w:hint="default" w:ascii="仿宋" w:hAnsi="仿宋" w:eastAsia="仿宋" w:cs="仿宋"/>
          <w:b/>
          <w:bCs/>
          <w:sz w:val="32"/>
          <w:szCs w:val="32"/>
          <w:lang w:val="en-US" w:eastAsia="en-US"/>
        </w:rPr>
        <w:t>等其他重点行业领域，也要结合实际，按照</w:t>
      </w:r>
      <w:r>
        <w:rPr>
          <w:rFonts w:hint="default" w:ascii="仿宋" w:hAnsi="仿宋" w:eastAsia="仿宋" w:cs="仿宋"/>
          <w:b/>
          <w:bCs/>
          <w:sz w:val="32"/>
          <w:szCs w:val="32"/>
          <w:lang w:val="en-US" w:eastAsia="zh-CN"/>
        </w:rPr>
        <w:t>我镇</w:t>
      </w:r>
      <w:r>
        <w:rPr>
          <w:rFonts w:hint="default" w:ascii="仿宋" w:hAnsi="仿宋" w:eastAsia="仿宋" w:cs="仿宋"/>
          <w:b/>
          <w:bCs/>
          <w:sz w:val="32"/>
          <w:szCs w:val="32"/>
          <w:lang w:val="en-US" w:eastAsia="en-US"/>
        </w:rPr>
        <w:t>安全生产专项整治三年行动集中攻坚要求，扎实开展大排查大整治，坚决整治建设和生产经营过程中的事故隐患和安全问题，确保安全生产。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三、专项行动领导小组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组      长：赵  玲  党委书记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王  毅  党委副书记、镇  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常务副组长：姜志博  宣传委员、副镇长（分管安全生产工作）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副  组  长：梁  英  人大主席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70" w:firstLineChars="8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利仕强  党委副书记、组织委员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张靖苓  党委副书记、纪委书记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杨  森  政法委书记、副镇长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何志懋  统战委员、副镇长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李  霞  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70" w:firstLineChars="800"/>
        <w:jc w:val="both"/>
        <w:textAlignment w:val="auto"/>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陈  奎  武装部长、</w:t>
      </w:r>
      <w:r>
        <w:rPr>
          <w:rFonts w:hint="eastAsia" w:ascii="仿宋" w:hAnsi="仿宋" w:eastAsia="仿宋" w:cs="仿宋"/>
          <w:b/>
          <w:bCs/>
          <w:sz w:val="32"/>
          <w:szCs w:val="32"/>
          <w:lang w:val="en-US" w:eastAsia="zh-CN"/>
        </w:rPr>
        <w:t>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马  辉  党委委员 派出所所长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成      员：宇  刚 （应急办主任）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蒲启慧 （城建办、</w:t>
      </w:r>
      <w:r>
        <w:rPr>
          <w:rFonts w:hint="eastAsia" w:ascii="仿宋" w:hAnsi="仿宋" w:eastAsia="方正仿宋简体" w:cs="FangSong_GB2312"/>
          <w:b/>
          <w:bCs/>
          <w:color w:val="000000"/>
          <w:sz w:val="32"/>
          <w:szCs w:val="32"/>
        </w:rPr>
        <w:t>综合行政执法办</w:t>
      </w:r>
      <w:r>
        <w:rPr>
          <w:rFonts w:hint="eastAsia" w:ascii="仿宋" w:hAnsi="仿宋" w:cs="FangSong_GB2312"/>
          <w:b/>
          <w:bCs/>
          <w:color w:val="000000"/>
          <w:sz w:val="32"/>
          <w:szCs w:val="32"/>
          <w:lang w:eastAsia="zh-CN"/>
        </w:rPr>
        <w:t>主任</w:t>
      </w:r>
      <w:r>
        <w:rPr>
          <w:rFonts w:hint="eastAsia" w:ascii="仿宋" w:hAnsi="仿宋" w:eastAsia="仿宋" w:cs="仿宋"/>
          <w:b/>
          <w:bCs/>
          <w:sz w:val="32"/>
          <w:szCs w:val="32"/>
          <w:lang w:val="en-US" w:eastAsia="zh-CN"/>
        </w:rPr>
        <w:t>）</w:t>
      </w:r>
    </w:p>
    <w:p>
      <w:pPr>
        <w:spacing w:line="560" w:lineRule="exact"/>
        <w:ind w:firstLine="643" w:firstLineChars="200"/>
        <w:rPr>
          <w:rFonts w:hint="eastAsia" w:ascii="仿宋" w:hAnsi="仿宋" w:eastAsia="方正仿宋简体" w:cs="FangSong_GB2312"/>
          <w:b/>
          <w:bCs/>
          <w:color w:val="000000"/>
          <w:sz w:val="32"/>
          <w:szCs w:val="32"/>
        </w:rPr>
      </w:pPr>
      <w:r>
        <w:rPr>
          <w:rFonts w:hint="eastAsia" w:ascii="仿宋" w:hAnsi="仿宋" w:eastAsia="仿宋" w:cs="仿宋"/>
          <w:b/>
          <w:bCs/>
          <w:sz w:val="32"/>
          <w:szCs w:val="32"/>
          <w:lang w:val="en-US" w:eastAsia="zh-CN"/>
        </w:rPr>
        <w:t xml:space="preserve">            </w:t>
      </w:r>
      <w:r>
        <w:rPr>
          <w:rFonts w:hint="eastAsia" w:ascii="仿宋" w:hAnsi="仿宋" w:eastAsia="方正仿宋简体" w:cs="FangSong_GB2312"/>
          <w:b/>
          <w:bCs/>
          <w:color w:val="000000"/>
          <w:sz w:val="32"/>
          <w:szCs w:val="32"/>
        </w:rPr>
        <w:t>罗桂秀 （党政综合办公室主任）</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rPr>
        <w:t>向贤海 （环境保护办公室主任）</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rPr>
        <w:t>赵</w:t>
      </w:r>
      <w:r>
        <w:rPr>
          <w:rFonts w:hint="eastAsia" w:ascii="仿宋" w:hAnsi="仿宋" w:eastAsia="方正仿宋简体" w:cs="FangSong_GB2312"/>
          <w:b/>
          <w:bCs/>
          <w:color w:val="000000"/>
          <w:sz w:val="32"/>
          <w:szCs w:val="32"/>
          <w:lang w:val="en-US" w:eastAsia="zh-CN"/>
        </w:rPr>
        <w:t xml:space="preserve">  </w:t>
      </w:r>
      <w:r>
        <w:rPr>
          <w:rFonts w:hint="eastAsia" w:ascii="仿宋" w:hAnsi="仿宋" w:eastAsia="方正仿宋简体" w:cs="FangSong_GB2312"/>
          <w:b/>
          <w:bCs/>
          <w:color w:val="000000"/>
          <w:sz w:val="32"/>
          <w:szCs w:val="32"/>
          <w:lang w:eastAsia="zh-CN"/>
        </w:rPr>
        <w:t>鸿</w:t>
      </w:r>
      <w:r>
        <w:rPr>
          <w:rFonts w:hint="eastAsia" w:ascii="仿宋" w:hAnsi="仿宋" w:eastAsia="方正仿宋简体" w:cs="FangSong_GB2312"/>
          <w:b/>
          <w:bCs/>
          <w:color w:val="000000"/>
          <w:sz w:val="32"/>
          <w:szCs w:val="32"/>
        </w:rPr>
        <w:t xml:space="preserve"> （财政所所长）</w:t>
      </w:r>
    </w:p>
    <w:p>
      <w:pPr>
        <w:spacing w:line="560" w:lineRule="exact"/>
        <w:ind w:left="3845" w:leftChars="800" w:hanging="1285" w:hangingChars="400"/>
        <w:rPr>
          <w:rFonts w:hint="eastAsia" w:ascii="仿宋" w:hAnsi="仿宋" w:eastAsia="方正仿宋简体" w:cs="FangSong_GB2312"/>
          <w:b/>
          <w:bCs/>
          <w:color w:val="000000"/>
          <w:sz w:val="32"/>
          <w:szCs w:val="32"/>
        </w:rPr>
      </w:pPr>
      <w:r>
        <w:rPr>
          <w:rFonts w:hint="eastAsia" w:ascii="仿宋" w:hAnsi="仿宋" w:cs="FangSong_GB2312"/>
          <w:b/>
          <w:bCs/>
          <w:color w:val="000000"/>
          <w:sz w:val="32"/>
          <w:szCs w:val="32"/>
          <w:lang w:eastAsia="zh-CN"/>
        </w:rPr>
        <w:t>敬</w:t>
      </w:r>
      <w:r>
        <w:rPr>
          <w:rFonts w:hint="eastAsia" w:ascii="仿宋" w:hAnsi="仿宋" w:cs="FangSong_GB2312"/>
          <w:b/>
          <w:bCs/>
          <w:color w:val="000000"/>
          <w:sz w:val="32"/>
          <w:szCs w:val="32"/>
          <w:lang w:val="en-US" w:eastAsia="zh-CN"/>
        </w:rPr>
        <w:t xml:space="preserve">  </w:t>
      </w:r>
      <w:r>
        <w:rPr>
          <w:rFonts w:hint="eastAsia" w:ascii="仿宋" w:hAnsi="仿宋" w:cs="FangSong_GB2312"/>
          <w:b/>
          <w:bCs/>
          <w:color w:val="000000"/>
          <w:sz w:val="32"/>
          <w:szCs w:val="32"/>
          <w:lang w:eastAsia="zh-CN"/>
        </w:rPr>
        <w:t>建</w:t>
      </w:r>
      <w:r>
        <w:rPr>
          <w:rFonts w:hint="eastAsia" w:ascii="仿宋" w:hAnsi="仿宋" w:eastAsia="方正仿宋简体" w:cs="FangSong_GB2312"/>
          <w:b/>
          <w:bCs/>
          <w:color w:val="000000"/>
          <w:sz w:val="32"/>
          <w:szCs w:val="32"/>
        </w:rPr>
        <w:t xml:space="preserve"> （农业服务中心主任、乡村振兴办公室</w:t>
      </w:r>
      <w:r>
        <w:rPr>
          <w:rFonts w:hint="eastAsia" w:ascii="仿宋" w:hAnsi="仿宋" w:eastAsia="方正仿宋简体" w:cs="FangSong_GB2312"/>
          <w:b/>
          <w:bCs/>
          <w:color w:val="000000"/>
          <w:sz w:val="32"/>
          <w:szCs w:val="32"/>
          <w:lang w:val="en-US" w:eastAsia="zh-CN"/>
        </w:rPr>
        <w:t>主</w:t>
      </w:r>
      <w:r>
        <w:rPr>
          <w:rFonts w:hint="eastAsia" w:ascii="仿宋" w:hAnsi="仿宋" w:eastAsia="方正仿宋简体" w:cs="FangSong_GB2312"/>
          <w:b/>
          <w:bCs/>
          <w:color w:val="000000"/>
          <w:sz w:val="32"/>
          <w:szCs w:val="32"/>
        </w:rPr>
        <w:t>任）</w:t>
      </w:r>
    </w:p>
    <w:p>
      <w:pPr>
        <w:spacing w:line="560" w:lineRule="exact"/>
        <w:ind w:left="3845" w:leftChars="800" w:hanging="1285" w:hangingChars="4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rPr>
        <w:t>邢  鹏 （社会事业服务中心主任、农民工服务中心主任）</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rPr>
        <w:t>罗红玉 （党建综合办公室主任）</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rPr>
        <w:t>马成文 （生态办主任）</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rPr>
        <w:t>何夕庆 （伏虎自然资源和规划所所长）</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rPr>
        <w:t>陈  兵 （伏虎市场监督管理所</w:t>
      </w:r>
      <w:r>
        <w:rPr>
          <w:rFonts w:hint="eastAsia" w:ascii="仿宋" w:hAnsi="仿宋" w:eastAsia="方正仿宋简体" w:cs="FangSong_GB2312"/>
          <w:b/>
          <w:bCs/>
          <w:color w:val="000000"/>
          <w:sz w:val="32"/>
          <w:szCs w:val="32"/>
          <w:lang w:val="en-US" w:eastAsia="zh-CN"/>
        </w:rPr>
        <w:t>所长</w:t>
      </w:r>
      <w:r>
        <w:rPr>
          <w:rFonts w:hint="eastAsia" w:ascii="仿宋" w:hAnsi="仿宋" w:eastAsia="方正仿宋简体" w:cs="FangSong_GB2312"/>
          <w:b/>
          <w:bCs/>
          <w:color w:val="000000"/>
          <w:sz w:val="32"/>
          <w:szCs w:val="32"/>
        </w:rPr>
        <w:t>）</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lang w:eastAsia="zh-CN"/>
        </w:rPr>
        <w:t>向</w:t>
      </w:r>
      <w:r>
        <w:rPr>
          <w:rFonts w:hint="eastAsia" w:ascii="仿宋" w:hAnsi="仿宋" w:eastAsia="方正仿宋简体" w:cs="FangSong_GB2312"/>
          <w:b/>
          <w:bCs/>
          <w:color w:val="000000"/>
          <w:sz w:val="32"/>
          <w:szCs w:val="32"/>
          <w:lang w:val="en-US" w:eastAsia="zh-CN"/>
        </w:rPr>
        <w:t xml:space="preserve">  </w:t>
      </w:r>
      <w:r>
        <w:rPr>
          <w:rFonts w:hint="eastAsia" w:ascii="仿宋" w:hAnsi="仿宋" w:eastAsia="方正仿宋简体" w:cs="FangSong_GB2312"/>
          <w:b/>
          <w:bCs/>
          <w:color w:val="000000"/>
          <w:sz w:val="32"/>
          <w:szCs w:val="32"/>
          <w:lang w:eastAsia="zh-CN"/>
        </w:rPr>
        <w:t>银</w:t>
      </w:r>
      <w:r>
        <w:rPr>
          <w:rFonts w:hint="eastAsia" w:ascii="仿宋" w:hAnsi="仿宋" w:eastAsia="方正仿宋简体" w:cs="FangSong_GB2312"/>
          <w:b/>
          <w:bCs/>
          <w:color w:val="000000"/>
          <w:sz w:val="32"/>
          <w:szCs w:val="32"/>
        </w:rPr>
        <w:t xml:space="preserve"> （伏虎司法所所长）</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rPr>
        <w:t>邓成洪 （伏虎片教育督导组负责人）</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rPr>
        <w:t>徐小强 （伏虎中学校长）</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cs="FangSong_GB2312"/>
          <w:b/>
          <w:bCs/>
          <w:color w:val="000000"/>
          <w:sz w:val="32"/>
          <w:szCs w:val="32"/>
          <w:lang w:eastAsia="zh-CN"/>
        </w:rPr>
        <w:t>何建均</w:t>
      </w:r>
      <w:r>
        <w:rPr>
          <w:rFonts w:hint="eastAsia" w:ascii="仿宋" w:hAnsi="仿宋" w:eastAsia="方正仿宋简体" w:cs="FangSong_GB2312"/>
          <w:b/>
          <w:bCs/>
          <w:color w:val="000000"/>
          <w:sz w:val="32"/>
          <w:szCs w:val="32"/>
        </w:rPr>
        <w:t xml:space="preserve"> （伏虎小学校长）</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rPr>
        <w:t>陈  飞 （玉镇小学校长）</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rPr>
        <w:t>高林春 （明珠学校校长）</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rPr>
        <w:t>任红梅 （伏虎中心卫生院院长）</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rPr>
        <w:t>张</w:t>
      </w:r>
      <w:r>
        <w:rPr>
          <w:rFonts w:hint="eastAsia" w:ascii="仿宋" w:hAnsi="仿宋" w:eastAsia="方正仿宋简体" w:cs="FangSong_GB2312"/>
          <w:b/>
          <w:bCs/>
          <w:color w:val="000000"/>
          <w:sz w:val="32"/>
          <w:szCs w:val="32"/>
          <w:lang w:eastAsia="zh-CN"/>
        </w:rPr>
        <w:t>艺怀</w:t>
      </w:r>
      <w:r>
        <w:rPr>
          <w:rFonts w:hint="eastAsia" w:ascii="仿宋" w:hAnsi="仿宋" w:eastAsia="方正仿宋简体" w:cs="FangSong_GB2312"/>
          <w:b/>
          <w:bCs/>
          <w:color w:val="000000"/>
          <w:sz w:val="32"/>
          <w:szCs w:val="32"/>
          <w:lang w:val="en-US" w:eastAsia="zh-CN"/>
        </w:rPr>
        <w:t xml:space="preserve"> </w:t>
      </w:r>
      <w:r>
        <w:rPr>
          <w:rFonts w:hint="eastAsia" w:ascii="仿宋" w:hAnsi="仿宋" w:eastAsia="方正仿宋简体" w:cs="FangSong_GB2312"/>
          <w:b/>
          <w:bCs/>
          <w:color w:val="000000"/>
          <w:sz w:val="32"/>
          <w:szCs w:val="32"/>
        </w:rPr>
        <w:t>（伏虎供电所所长）</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方正仿宋简体" w:hAnsi="方正仿宋简体" w:eastAsia="方正仿宋简体"/>
          <w:b/>
          <w:bCs/>
          <w:sz w:val="32"/>
          <w:szCs w:val="32"/>
          <w:lang w:eastAsia="zh-CN"/>
        </w:rPr>
        <w:t>柴永成</w:t>
      </w:r>
      <w:r>
        <w:rPr>
          <w:rFonts w:hint="eastAsia" w:ascii="仿宋" w:hAnsi="仿宋" w:eastAsia="方正仿宋简体" w:cs="FangSong_GB2312"/>
          <w:b/>
          <w:bCs/>
          <w:color w:val="000000"/>
          <w:sz w:val="32"/>
          <w:szCs w:val="32"/>
        </w:rPr>
        <w:t xml:space="preserve"> （伏虎供气站站长）</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rPr>
        <w:t>陈洪文 （伏虎畜牧站站长）</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rPr>
        <w:t>柴永双</w:t>
      </w:r>
      <w:r>
        <w:rPr>
          <w:rFonts w:hint="eastAsia" w:ascii="仿宋" w:hAnsi="仿宋" w:eastAsia="方正仿宋简体" w:cs="FangSong_GB2312"/>
          <w:b/>
          <w:bCs/>
          <w:color w:val="000000"/>
          <w:sz w:val="32"/>
          <w:szCs w:val="32"/>
          <w:lang w:val="en-US" w:eastAsia="zh-CN"/>
        </w:rPr>
        <w:t xml:space="preserve"> </w:t>
      </w:r>
      <w:r>
        <w:rPr>
          <w:rFonts w:hint="eastAsia" w:ascii="仿宋" w:hAnsi="仿宋" w:eastAsia="方正仿宋简体" w:cs="FangSong_GB2312"/>
          <w:b/>
          <w:bCs/>
          <w:color w:val="000000"/>
          <w:sz w:val="32"/>
          <w:szCs w:val="32"/>
        </w:rPr>
        <w:t>（伏虎村建环卫服务中心主任）</w:t>
      </w:r>
    </w:p>
    <w:p>
      <w:pPr>
        <w:spacing w:line="560" w:lineRule="exact"/>
        <w:ind w:firstLine="2570" w:firstLineChars="800"/>
        <w:rPr>
          <w:rFonts w:hint="eastAsia" w:ascii="仿宋" w:hAnsi="仿宋" w:eastAsia="方正仿宋简体" w:cs="FangSong_GB2312"/>
          <w:b/>
          <w:bCs/>
          <w:color w:val="000000"/>
          <w:sz w:val="32"/>
          <w:szCs w:val="32"/>
        </w:rPr>
      </w:pPr>
      <w:r>
        <w:rPr>
          <w:rFonts w:hint="eastAsia" w:ascii="仿宋" w:hAnsi="仿宋" w:eastAsia="方正仿宋简体" w:cs="FangSong_GB2312"/>
          <w:b/>
          <w:bCs/>
          <w:color w:val="000000"/>
          <w:sz w:val="32"/>
          <w:szCs w:val="32"/>
          <w:lang w:eastAsia="zh-CN"/>
        </w:rPr>
        <w:t>李小忠</w:t>
      </w:r>
      <w:r>
        <w:rPr>
          <w:rFonts w:hint="eastAsia" w:ascii="仿宋" w:hAnsi="仿宋" w:eastAsia="方正仿宋简体" w:cs="FangSong_GB2312"/>
          <w:b/>
          <w:bCs/>
          <w:color w:val="000000"/>
          <w:sz w:val="32"/>
          <w:szCs w:val="32"/>
        </w:rPr>
        <w:t xml:space="preserve"> （伏虎水厂经理）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各村（社区）民委员会党支部书记</w:t>
      </w:r>
      <w:r>
        <w:rPr>
          <w:rFonts w:hint="eastAsia" w:ascii="仿宋" w:hAnsi="仿宋" w:eastAsia="方正仿宋简体" w:cs="FangSong_GB2312"/>
          <w:b/>
          <w:bCs/>
          <w:color w:val="000000"/>
          <w:sz w:val="32"/>
          <w:szCs w:val="32"/>
        </w:rPr>
        <w:t>、副书记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专项行动领导小组下设办公室，办公室设置在应急办，由姜志博同志兼任办公室主任，由宇刚、蒲果、范明宏、杨涛、孙妮雯、王文松等同志负责办公室的日常事宜。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工作步骤</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自查整改阶段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请各村（社区）民委员会针对十二个领域的安全隐患自查整改台账（附件一），结合各领域相关安全检查指南（附件二），对标对表、软硬兼顾，切实开展安全隐患的自查自纠，抓实问题整改，并按期将安全隐患自查整改台账（附件一）纸质档，签字盖章后上报镇应急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整改时限：2024年12月20日—12月25日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责任部门：各村（社区）民委员会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督查整改阶段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十二个领域逐一落实督查整改内容、督查整改责任人、督查整改时限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00" w:left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1、食品安全领域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对全镇各酒店、超市、饭馆、市场等重点经营场所及学校、敬老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院、医院等人员密场所的食品安全开展一次全面摸排整改，并按期将签字后的督查整改台账（附件三）上报领导小组办公室。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督查整改时限：2024年12月20日—12月30日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责任部门：镇食应急办、伏虎镇市监所</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道路交通领域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对全镇辖区内道路交通安全开展一次全面摸排整改，并按期将签字后的督查整改台账（附件三）上报领导小组办公室。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督查整改时限：2024年12月20日—12月30日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责任部门：镇应急办、伏虎派出所</w:t>
      </w:r>
    </w:p>
    <w:p>
      <w:pPr>
        <w:pStyle w:val="2"/>
        <w:numPr>
          <w:ilvl w:val="0"/>
          <w:numId w:val="4"/>
        </w:numPr>
        <w:ind w:left="0" w:leftChars="0" w:firstLine="643" w:firstLineChars="200"/>
        <w:rPr>
          <w:rFonts w:hint="eastAsia" w:ascii="仿宋" w:hAnsi="仿宋" w:eastAsia="仿宋" w:cs="仿宋"/>
          <w:b/>
          <w:bCs/>
          <w:sz w:val="32"/>
          <w:szCs w:val="32"/>
          <w:lang w:eastAsia="zh-CN"/>
        </w:rPr>
      </w:pPr>
      <w:r>
        <w:rPr>
          <w:rFonts w:hint="default" w:ascii="仿宋" w:hAnsi="仿宋" w:eastAsia="仿宋" w:cs="仿宋"/>
          <w:b/>
          <w:bCs/>
          <w:sz w:val="32"/>
          <w:szCs w:val="32"/>
          <w:lang w:eastAsia="zh-CN"/>
        </w:rPr>
        <w:t>建筑施工</w:t>
      </w:r>
      <w:r>
        <w:rPr>
          <w:rFonts w:hint="eastAsia" w:ascii="仿宋" w:hAnsi="仿宋" w:eastAsia="仿宋" w:cs="仿宋"/>
          <w:b/>
          <w:bCs/>
          <w:sz w:val="32"/>
          <w:szCs w:val="32"/>
          <w:lang w:eastAsia="zh-CN"/>
        </w:rPr>
        <w:t>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对全镇辖区内建筑施工安全开展一次全面摸排整改，并按期将签字后的督查整改台账（附件三）上报领导小组办公室。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督查整改时限：2024年12月20日—12月30日</w:t>
      </w:r>
    </w:p>
    <w:p>
      <w:pPr>
        <w:numPr>
          <w:ilvl w:val="0"/>
          <w:numId w:val="0"/>
        </w:numPr>
        <w:ind w:left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责任部门：镇应急办、村建中心</w:t>
      </w:r>
    </w:p>
    <w:p>
      <w:pPr>
        <w:pStyle w:val="2"/>
        <w:ind w:left="0" w:leftChars="0" w:firstLine="0" w:firstLineChars="0"/>
        <w:rPr>
          <w:rFonts w:hint="default"/>
          <w:b/>
          <w:bCs/>
          <w:lang w:val="en-US" w:eastAsia="zh-CN"/>
        </w:rPr>
      </w:pPr>
      <w:r>
        <w:rPr>
          <w:rFonts w:hint="eastAsia" w:ascii="仿宋" w:hAnsi="仿宋" w:eastAsia="仿宋" w:cs="仿宋"/>
          <w:b/>
          <w:bCs/>
          <w:sz w:val="32"/>
          <w:szCs w:val="32"/>
          <w:lang w:val="en-US" w:eastAsia="zh-CN"/>
        </w:rPr>
        <w:t xml:space="preserve">    4、烟花爆竹方面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对全镇辖区内烟花爆竹安全开展一次全面摸排整改，并按期将签字后的督查整改台账（附件三）上报领导小组办公室。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督查整改时限：2024年12月20日—12月30日</w:t>
      </w:r>
    </w:p>
    <w:p>
      <w:pPr>
        <w:numPr>
          <w:ilvl w:val="0"/>
          <w:numId w:val="0"/>
        </w:numPr>
        <w:ind w:left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责任部门：镇应急办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5、消防领域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对全镇辖区内消防安全开展一次全面摸排整改，并按期将签字后的督查整改台账（附件三）上报领导小组办公室。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督查整改时限：2024年12月20日—12月30日</w:t>
      </w:r>
    </w:p>
    <w:p>
      <w:pPr>
        <w:numPr>
          <w:ilvl w:val="0"/>
          <w:numId w:val="0"/>
        </w:numPr>
        <w:ind w:left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责任部门：镇应急办、伏虎派出所</w:t>
      </w:r>
    </w:p>
    <w:p>
      <w:pPr>
        <w:pStyle w:val="2"/>
        <w:ind w:left="0" w:leftChars="0" w:firstLine="643" w:firstLineChars="200"/>
        <w:rPr>
          <w:rFonts w:hint="default"/>
          <w:b/>
          <w:bCs/>
          <w:lang w:val="en-US" w:eastAsia="zh-CN"/>
        </w:rPr>
      </w:pPr>
      <w:r>
        <w:rPr>
          <w:rFonts w:hint="eastAsia" w:ascii="仿宋" w:hAnsi="仿宋" w:eastAsia="仿宋" w:cs="仿宋"/>
          <w:b/>
          <w:bCs/>
          <w:kern w:val="2"/>
          <w:sz w:val="32"/>
          <w:szCs w:val="32"/>
          <w:lang w:val="en-US" w:eastAsia="zh-CN" w:bidi="ar-SA"/>
        </w:rPr>
        <w:t>6、非煤矿山领域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对全镇辖区内</w:t>
      </w:r>
      <w:r>
        <w:rPr>
          <w:rFonts w:hint="eastAsia" w:ascii="仿宋" w:hAnsi="仿宋" w:eastAsia="仿宋" w:cs="仿宋"/>
          <w:b/>
          <w:bCs/>
          <w:kern w:val="2"/>
          <w:sz w:val="32"/>
          <w:szCs w:val="32"/>
          <w:lang w:val="en-US" w:eastAsia="zh-CN" w:bidi="ar-SA"/>
        </w:rPr>
        <w:t>非煤矿山</w:t>
      </w:r>
      <w:r>
        <w:rPr>
          <w:rFonts w:hint="eastAsia" w:ascii="仿宋" w:hAnsi="仿宋" w:eastAsia="仿宋" w:cs="仿宋"/>
          <w:b/>
          <w:bCs/>
          <w:sz w:val="32"/>
          <w:szCs w:val="32"/>
          <w:lang w:val="en-US" w:eastAsia="zh-CN"/>
        </w:rPr>
        <w:t>安全开展一次全面摸排整改，并按期将签字后的督查整改台账（附件三）上报领导小组办公室。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督查整改时限：2024年12月20日—12月30日</w:t>
      </w:r>
    </w:p>
    <w:p>
      <w:pPr>
        <w:numPr>
          <w:ilvl w:val="0"/>
          <w:numId w:val="0"/>
        </w:numPr>
        <w:ind w:left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责任部门：镇应急办、伏虎国土所</w:t>
      </w:r>
    </w:p>
    <w:p>
      <w:pPr>
        <w:pStyle w:val="2"/>
        <w:ind w:left="0" w:leftChars="0" w:firstLine="643" w:firstLineChars="200"/>
        <w:rPr>
          <w:rFonts w:hint="default"/>
          <w:b/>
          <w:bCs/>
          <w:lang w:val="en-US" w:eastAsia="zh-CN"/>
        </w:rPr>
      </w:pPr>
      <w:r>
        <w:rPr>
          <w:rFonts w:hint="eastAsia" w:ascii="仿宋" w:hAnsi="仿宋" w:eastAsia="仿宋" w:cs="仿宋"/>
          <w:b/>
          <w:bCs/>
          <w:sz w:val="32"/>
          <w:szCs w:val="32"/>
          <w:lang w:val="en-US" w:eastAsia="zh-CN"/>
        </w:rPr>
        <w:t>7、燃气领域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对全镇辖区内</w:t>
      </w:r>
      <w:r>
        <w:rPr>
          <w:rFonts w:hint="eastAsia" w:ascii="仿宋" w:hAnsi="仿宋" w:eastAsia="仿宋" w:cs="仿宋"/>
          <w:b/>
          <w:bCs/>
          <w:kern w:val="2"/>
          <w:sz w:val="32"/>
          <w:szCs w:val="32"/>
          <w:lang w:val="en-US" w:eastAsia="zh-CN" w:bidi="ar-SA"/>
        </w:rPr>
        <w:t>燃气</w:t>
      </w:r>
      <w:r>
        <w:rPr>
          <w:rFonts w:hint="eastAsia" w:ascii="仿宋" w:hAnsi="仿宋" w:eastAsia="仿宋" w:cs="仿宋"/>
          <w:b/>
          <w:bCs/>
          <w:sz w:val="32"/>
          <w:szCs w:val="32"/>
          <w:lang w:val="en-US" w:eastAsia="zh-CN"/>
        </w:rPr>
        <w:t>安全开展一次全面摸排整改，并按期将签字后的督查整改台账（附件三）上报领导小组办公室。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督查整改时限：2024年12月20日—12月30日</w:t>
      </w:r>
    </w:p>
    <w:p>
      <w:pPr>
        <w:numPr>
          <w:ilvl w:val="0"/>
          <w:numId w:val="0"/>
        </w:numPr>
        <w:ind w:left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责任部门：镇应急办、村建中心、天然气管理站</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特种设备方面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对全镇辖区内</w:t>
      </w:r>
      <w:r>
        <w:rPr>
          <w:rFonts w:hint="eastAsia" w:ascii="仿宋" w:hAnsi="仿宋" w:eastAsia="仿宋" w:cs="仿宋"/>
          <w:b/>
          <w:bCs/>
          <w:kern w:val="2"/>
          <w:sz w:val="32"/>
          <w:szCs w:val="32"/>
          <w:lang w:val="en-US" w:eastAsia="zh-CN" w:bidi="ar-SA"/>
        </w:rPr>
        <w:t>特种设备</w:t>
      </w:r>
      <w:r>
        <w:rPr>
          <w:rFonts w:hint="eastAsia" w:ascii="仿宋" w:hAnsi="仿宋" w:eastAsia="仿宋" w:cs="仿宋"/>
          <w:b/>
          <w:bCs/>
          <w:sz w:val="32"/>
          <w:szCs w:val="32"/>
          <w:lang w:val="en-US" w:eastAsia="zh-CN"/>
        </w:rPr>
        <w:t>开展一次全面摸排整改，并按期将签字后的督查整改台账（附件三）上报领导小组办公室。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督查整改时限：2024年12月20日—12月30日</w:t>
      </w:r>
    </w:p>
    <w:p>
      <w:pPr>
        <w:numPr>
          <w:ilvl w:val="0"/>
          <w:numId w:val="0"/>
        </w:numPr>
        <w:ind w:left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责任部门：镇应急办、伏虎镇市监所</w:t>
      </w:r>
    </w:p>
    <w:p>
      <w:pPr>
        <w:pStyle w:val="2"/>
        <w:ind w:left="0" w:leftChars="0" w:firstLine="643" w:firstLineChars="200"/>
        <w:rPr>
          <w:rFonts w:hint="default"/>
          <w:b/>
          <w:bCs/>
          <w:lang w:val="en-US" w:eastAsia="zh-CN"/>
        </w:rPr>
      </w:pPr>
      <w:r>
        <w:rPr>
          <w:rFonts w:hint="eastAsia" w:ascii="仿宋" w:hAnsi="仿宋" w:eastAsia="仿宋" w:cs="仿宋"/>
          <w:b/>
          <w:bCs/>
          <w:sz w:val="32"/>
          <w:szCs w:val="32"/>
          <w:lang w:val="en-US" w:eastAsia="zh-CN"/>
        </w:rPr>
        <w:t>9、人员密集场所领域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对全镇辖区内人员密集场所开展一次全面摸排整改，并按期将签字后的督查整改台账（附件三）上报领导小组办公室。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督查整改时限：2024年12月20日—12月30日</w:t>
      </w:r>
    </w:p>
    <w:p>
      <w:pPr>
        <w:numPr>
          <w:ilvl w:val="0"/>
          <w:numId w:val="0"/>
        </w:numPr>
        <w:ind w:left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责任部门：镇应急办、伏虎派出所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10、有限空间领域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对全镇辖区内有限空间领域开展一次全面摸排整改，并按期将签字后的督查整改台账（附件三）上报领导小组办公室。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督查整改时限：2024年12月20日—12月30日</w:t>
      </w:r>
    </w:p>
    <w:p>
      <w:pPr>
        <w:numPr>
          <w:ilvl w:val="0"/>
          <w:numId w:val="0"/>
        </w:numPr>
        <w:ind w:left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责任部门：镇应急办、镇农业中心</w:t>
      </w:r>
    </w:p>
    <w:p>
      <w:pPr>
        <w:pStyle w:val="2"/>
        <w:numPr>
          <w:ilvl w:val="0"/>
          <w:numId w:val="0"/>
        </w:numPr>
        <w:ind w:left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11、旅游方面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对全镇辖区内旅游场所开展一次全面摸排整改，并按期将签字后的督查整改台账（附件三）上报领导小组办公室。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督查整改时限：2024年12月20日—12月30日</w:t>
      </w:r>
    </w:p>
    <w:p>
      <w:pPr>
        <w:numPr>
          <w:ilvl w:val="0"/>
          <w:numId w:val="0"/>
        </w:numPr>
        <w:ind w:left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责任部门：镇应急办</w:t>
      </w:r>
    </w:p>
    <w:p>
      <w:pPr>
        <w:numPr>
          <w:ilvl w:val="0"/>
          <w:numId w:val="0"/>
        </w:numPr>
        <w:rPr>
          <w:rFonts w:hint="default"/>
          <w:b/>
          <w:bCs/>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复核总结阶段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各相关单位要认真组织回头看、回头查活动，确保检查发现的问题隐患整改到位；要系统总结工作成效，及时上报工作总结。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复核时限：2025年1月1日—1月10日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责任部门：镇应急办，相关镇属部门、驻镇机关及村（社区）民委员会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工作要求</w:t>
      </w:r>
    </w:p>
    <w:p>
      <w:pPr>
        <w:pStyle w:val="3"/>
        <w:keepNext w:val="0"/>
        <w:keepLines w:val="0"/>
        <w:pageBreakBefore w:val="0"/>
        <w:widowControl w:val="0"/>
        <w:numPr>
          <w:ilvl w:val="0"/>
          <w:numId w:val="6"/>
        </w:numPr>
        <w:kinsoku/>
        <w:wordWrap/>
        <w:overflowPunct/>
        <w:topLinePunct w:val="0"/>
        <w:autoSpaceDE w:val="0"/>
        <w:autoSpaceDN w:val="0"/>
        <w:bidi w:val="0"/>
        <w:spacing w:before="0" w:line="570" w:lineRule="exact"/>
        <w:ind w:left="0" w:leftChars="0" w:right="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强化组织领导，坚决扛起政治责任。</w:t>
      </w:r>
    </w:p>
    <w:p>
      <w:pPr>
        <w:pStyle w:val="3"/>
        <w:keepNext w:val="0"/>
        <w:keepLines w:val="0"/>
        <w:pageBreakBefore w:val="0"/>
        <w:widowControl w:val="0"/>
        <w:numPr>
          <w:ilvl w:val="0"/>
          <w:numId w:val="0"/>
        </w:numPr>
        <w:kinsoku/>
        <w:wordWrap/>
        <w:overflowPunct/>
        <w:topLinePunct w:val="0"/>
        <w:autoSpaceDE w:val="0"/>
        <w:autoSpaceDN w:val="0"/>
        <w:bidi w:val="0"/>
        <w:spacing w:before="0" w:line="570" w:lineRule="exact"/>
        <w:ind w:right="0" w:rightChars="0" w:firstLine="643" w:firstLineChars="200"/>
        <w:jc w:val="both"/>
        <w:textAlignment w:val="auto"/>
        <w:rPr>
          <w:rFonts w:hint="eastAsia" w:ascii="仿宋" w:hAnsi="仿宋" w:eastAsia="仿宋" w:cs="仿宋"/>
          <w:b/>
          <w:bCs/>
          <w:kern w:val="2"/>
          <w:sz w:val="32"/>
          <w:szCs w:val="32"/>
          <w:lang w:val="en-US" w:eastAsia="zh-CN" w:bidi="ar-SA"/>
        </w:rPr>
      </w:pPr>
      <w:r>
        <w:rPr>
          <w:rFonts w:hint="default" w:ascii="仿宋" w:hAnsi="仿宋" w:eastAsia="仿宋" w:cs="仿宋"/>
          <w:b/>
          <w:bCs/>
          <w:kern w:val="2"/>
          <w:sz w:val="32"/>
          <w:szCs w:val="32"/>
          <w:lang w:val="en-US" w:eastAsia="en-US" w:bidi="ar-SA"/>
        </w:rPr>
        <w:t>要切实提高政治站位</w:t>
      </w:r>
      <w:r>
        <w:rPr>
          <w:rFonts w:hint="eastAsia" w:ascii="仿宋" w:hAnsi="仿宋" w:eastAsia="仿宋" w:cs="仿宋"/>
          <w:b/>
          <w:bCs/>
          <w:kern w:val="2"/>
          <w:sz w:val="32"/>
          <w:szCs w:val="32"/>
          <w:lang w:val="en-US" w:eastAsia="zh-CN" w:bidi="ar-SA"/>
        </w:rPr>
        <w:t>，</w:t>
      </w:r>
      <w:r>
        <w:rPr>
          <w:rFonts w:hint="default" w:ascii="仿宋" w:hAnsi="仿宋" w:eastAsia="仿宋" w:cs="仿宋"/>
          <w:b/>
          <w:bCs/>
          <w:kern w:val="2"/>
          <w:sz w:val="32"/>
          <w:szCs w:val="32"/>
          <w:lang w:val="en-US" w:eastAsia="en-US" w:bidi="ar-SA"/>
        </w:rPr>
        <w:t>把深入学习贯彻习近平总书记关于安全生产的重要指示批示精神落实到具体行动上，体现在实际成效中。各重点行业领域安全监管部门要齐抓共管、密切配合，按照“三个必须”要求，严格落实安全生产监管责任，全力组织、推动工作落地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（二）压实工作责任，严肃工作纪律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default" w:ascii="仿宋" w:hAnsi="仿宋" w:eastAsia="仿宋" w:cs="仿宋"/>
          <w:b/>
          <w:bCs/>
          <w:kern w:val="2"/>
          <w:sz w:val="32"/>
          <w:szCs w:val="32"/>
          <w:lang w:val="en-US" w:eastAsia="en-US" w:bidi="ar-SA"/>
        </w:rPr>
        <w:t>要牢固树立“隐患就是事故、事故就要处理”理念，严格按照“六铁”和“四不放过”要求，增强斗争精神，敢于较真碰硬</w:t>
      </w:r>
      <w:r>
        <w:rPr>
          <w:rFonts w:hint="eastAsia" w:ascii="仿宋" w:hAnsi="仿宋" w:eastAsia="仿宋" w:cs="仿宋"/>
          <w:b/>
          <w:bCs/>
          <w:kern w:val="2"/>
          <w:sz w:val="32"/>
          <w:szCs w:val="32"/>
          <w:lang w:val="en-US" w:eastAsia="zh-CN" w:bidi="ar-SA"/>
        </w:rPr>
        <w:t>，</w:t>
      </w:r>
      <w:r>
        <w:rPr>
          <w:rFonts w:hint="default" w:ascii="仿宋" w:hAnsi="仿宋" w:eastAsia="仿宋" w:cs="仿宋"/>
          <w:b/>
          <w:bCs/>
          <w:kern w:val="2"/>
          <w:sz w:val="32"/>
          <w:szCs w:val="32"/>
          <w:lang w:val="en-US" w:eastAsia="en-US" w:bidi="ar-SA"/>
        </w:rPr>
        <w:t>严格监管执法，绝不搞下不为例</w:t>
      </w:r>
      <w:r>
        <w:rPr>
          <w:rFonts w:hint="eastAsia" w:ascii="仿宋" w:hAnsi="仿宋" w:eastAsia="仿宋" w:cs="仿宋"/>
          <w:b/>
          <w:bCs/>
          <w:kern w:val="2"/>
          <w:sz w:val="32"/>
          <w:szCs w:val="32"/>
          <w:lang w:val="en-US" w:eastAsia="zh-CN" w:bidi="ar-SA"/>
        </w:rPr>
        <w:t>。</w:t>
      </w:r>
      <w:r>
        <w:rPr>
          <w:rFonts w:hint="default" w:ascii="仿宋" w:hAnsi="仿宋" w:eastAsia="仿宋" w:cs="仿宋"/>
          <w:b/>
          <w:bCs/>
          <w:kern w:val="2"/>
          <w:sz w:val="32"/>
          <w:szCs w:val="32"/>
          <w:lang w:val="en-US" w:eastAsia="en-US" w:bidi="ar-SA"/>
        </w:rPr>
        <w:t>对排查整治工作不重视、不认真、不负责</w:t>
      </w:r>
      <w:r>
        <w:rPr>
          <w:rFonts w:hint="eastAsia" w:ascii="仿宋" w:hAnsi="仿宋" w:eastAsia="仿宋" w:cs="仿宋"/>
          <w:b/>
          <w:bCs/>
          <w:kern w:val="2"/>
          <w:sz w:val="32"/>
          <w:szCs w:val="32"/>
          <w:lang w:val="en-US" w:eastAsia="zh-CN" w:bidi="ar-SA"/>
        </w:rPr>
        <w:t>，</w:t>
      </w:r>
      <w:r>
        <w:rPr>
          <w:rFonts w:hint="default" w:ascii="仿宋" w:hAnsi="仿宋" w:eastAsia="仿宋" w:cs="仿宋"/>
          <w:b/>
          <w:bCs/>
          <w:kern w:val="2"/>
          <w:sz w:val="32"/>
          <w:szCs w:val="32"/>
          <w:lang w:val="en-US" w:eastAsia="en-US" w:bidi="ar-SA"/>
        </w:rPr>
        <w:t>搞形式主义、官僚主义的，坚决公开通报、点名批评、严肃处理。</w:t>
      </w:r>
      <w:r>
        <w:rPr>
          <w:rFonts w:hint="eastAsia" w:ascii="仿宋" w:hAnsi="仿宋" w:eastAsia="仿宋" w:cs="仿宋"/>
          <w:b/>
          <w:bCs/>
          <w:sz w:val="32"/>
          <w:szCs w:val="32"/>
          <w:lang w:val="en-US" w:eastAsia="zh-CN"/>
        </w:rPr>
        <w:t>针对工作不负责，摸排阶段敷衍塞责，上报问题率较低，但在督查阶段被发现问题较多的村、社区，以及整改阶段推诿扯皮的相关责任部门，将严肃追责问责。</w:t>
      </w:r>
    </w:p>
    <w:p>
      <w:pPr>
        <w:keepNext w:val="0"/>
        <w:keepLines w:val="0"/>
        <w:pageBreakBefore w:val="0"/>
        <w:widowControl w:val="0"/>
        <w:kinsoku/>
        <w:wordWrap/>
        <w:overflowPunct/>
        <w:topLinePunct w:val="0"/>
        <w:autoSpaceDE/>
        <w:autoSpaceDN/>
        <w:bidi w:val="0"/>
        <w:adjustRightInd/>
        <w:snapToGrid/>
        <w:spacing w:line="560" w:lineRule="exact"/>
        <w:ind w:firstLine="387" w:firstLineChars="0"/>
        <w:jc w:val="both"/>
        <w:textAlignment w:val="auto"/>
        <w:rPr>
          <w:rFonts w:hint="eastAsia"/>
          <w:b/>
          <w:bCs/>
          <w:sz w:val="44"/>
          <w:szCs w:val="44"/>
          <w:lang w:eastAsia="zh-CN"/>
        </w:rPr>
      </w:pPr>
    </w:p>
    <w:p>
      <w:pPr>
        <w:pStyle w:val="2"/>
        <w:rPr>
          <w:rFonts w:hint="eastAsia"/>
          <w:b/>
          <w:bCs/>
          <w:sz w:val="44"/>
          <w:szCs w:val="44"/>
          <w:lang w:eastAsia="zh-CN"/>
        </w:rPr>
      </w:pPr>
    </w:p>
    <w:p>
      <w:pPr>
        <w:rPr>
          <w:rFonts w:hint="eastAsia"/>
          <w:b/>
          <w:bCs/>
          <w:sz w:val="44"/>
          <w:szCs w:val="44"/>
          <w:lang w:eastAsia="zh-CN"/>
        </w:rPr>
      </w:pPr>
    </w:p>
    <w:p>
      <w:pPr>
        <w:rPr>
          <w:rFonts w:hint="eastAsia"/>
          <w:b/>
          <w:bCs/>
          <w:sz w:val="44"/>
          <w:szCs w:val="44"/>
          <w:lang w:eastAsia="zh-CN"/>
        </w:rPr>
        <w:sectPr>
          <w:pgSz w:w="11906" w:h="16838"/>
          <w:pgMar w:top="1440" w:right="1179" w:bottom="1440" w:left="1179"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0"/>
          <w:szCs w:val="40"/>
          <w:lang w:val="en-US" w:eastAsia="zh-CN"/>
        </w:rPr>
      </w:pPr>
      <w:r>
        <w:rPr>
          <w:rFonts w:hint="eastAsia" w:ascii="黑体" w:hAnsi="黑体" w:eastAsia="黑体" w:cs="黑体"/>
          <w:b/>
          <w:bCs/>
          <w:sz w:val="36"/>
          <w:szCs w:val="36"/>
          <w:lang w:val="en-US" w:eastAsia="zh-CN"/>
        </w:rPr>
        <w:t xml:space="preserve"> </w:t>
      </w:r>
      <w:r>
        <w:rPr>
          <w:rFonts w:hint="eastAsia" w:ascii="黑体" w:hAnsi="黑体" w:eastAsia="黑体" w:cs="黑体"/>
          <w:b/>
          <w:bCs/>
          <w:sz w:val="40"/>
          <w:szCs w:val="40"/>
          <w:lang w:val="en-US" w:eastAsia="zh-CN"/>
        </w:rPr>
        <w:t xml:space="preserve"> 伏虎镇2024年年末岁尾安全隐患自查整改台账</w:t>
      </w:r>
    </w:p>
    <w:tbl>
      <w:tblPr>
        <w:tblStyle w:val="5"/>
        <w:tblW w:w="14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7"/>
        <w:gridCol w:w="2039"/>
        <w:gridCol w:w="2339"/>
        <w:gridCol w:w="2077"/>
        <w:gridCol w:w="1599"/>
        <w:gridCol w:w="3282"/>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4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填报单位（盖章）：                                  填报人：                           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exac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检查领域</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隐患单位（地点）</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隐患情况</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lang w:eastAsia="zh-CN"/>
              </w:rPr>
            </w:pPr>
            <w:r>
              <w:rPr>
                <w:rFonts w:hint="eastAsia" w:ascii="宋体" w:hAnsi="宋体" w:eastAsia="宋体" w:cs="宋体"/>
                <w:b/>
                <w:bCs/>
                <w:i w:val="0"/>
                <w:color w:val="000000"/>
                <w:sz w:val="24"/>
                <w:szCs w:val="24"/>
                <w:u w:val="none"/>
                <w:lang w:eastAsia="zh-CN"/>
              </w:rPr>
              <w:t>整改措施</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lang w:eastAsia="zh-CN"/>
              </w:rPr>
            </w:pPr>
            <w:r>
              <w:rPr>
                <w:rFonts w:hint="eastAsia" w:ascii="宋体" w:hAnsi="宋体" w:eastAsia="宋体" w:cs="宋体"/>
                <w:b/>
                <w:bCs/>
                <w:i w:val="0"/>
                <w:color w:val="000000"/>
                <w:sz w:val="24"/>
                <w:szCs w:val="24"/>
                <w:u w:val="none"/>
                <w:lang w:eastAsia="zh-CN"/>
              </w:rPr>
              <w:t>是否整改完成</w:t>
            </w:r>
          </w:p>
        </w:tc>
        <w:tc>
          <w:tcPr>
            <w:tcW w:w="3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整改责任单位（责任人）</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非煤矿山</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道路交通</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建筑施工</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燃气安全</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烟花爆竹</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食品安全</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消防安全</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特种设备</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人员密集场所</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有限空间作业</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旅游场所</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其他</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4"/>
                <w:szCs w:val="24"/>
                <w:u w:val="none"/>
              </w:rPr>
            </w:pPr>
          </w:p>
        </w:tc>
      </w:tr>
    </w:tbl>
    <w:p>
      <w:pPr>
        <w:rPr>
          <w:rFonts w:hint="eastAsia"/>
          <w:b/>
          <w:bCs/>
          <w:lang w:eastAsia="zh-CN"/>
        </w:rPr>
        <w:sectPr>
          <w:pgSz w:w="16838" w:h="11906" w:orient="landscape"/>
          <w:pgMar w:top="1179" w:right="1440" w:bottom="1179" w:left="144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伏虎镇十二个领域安全生产检查指南</w:t>
      </w:r>
    </w:p>
    <w:p>
      <w:pPr>
        <w:pStyle w:val="2"/>
        <w:ind w:left="0" w:leftChars="0" w:firstLine="643" w:firstLineChars="200"/>
        <w:rPr>
          <w:rFonts w:hint="eastAsia" w:ascii="仿宋" w:hAnsi="仿宋" w:eastAsia="仿宋" w:cs="仿宋"/>
          <w:b/>
          <w:bCs/>
          <w:kern w:val="2"/>
          <w:sz w:val="32"/>
          <w:szCs w:val="32"/>
          <w:lang w:val="en-US" w:eastAsia="zh-CN" w:bidi="ar-SA"/>
        </w:rPr>
      </w:pPr>
      <w:r>
        <w:rPr>
          <w:rFonts w:hint="eastAsia" w:ascii="楷体" w:hAnsi="楷体" w:eastAsia="楷体" w:cs="楷体"/>
          <w:b/>
          <w:bCs/>
          <w:kern w:val="2"/>
          <w:sz w:val="32"/>
          <w:szCs w:val="32"/>
          <w:lang w:val="en-US" w:eastAsia="zh-CN" w:bidi="ar-SA"/>
        </w:rPr>
        <w:t>（一）非煤矿山方面：</w:t>
      </w:r>
      <w:r>
        <w:rPr>
          <w:rFonts w:hint="eastAsia" w:ascii="仿宋" w:hAnsi="仿宋" w:eastAsia="仿宋" w:cs="仿宋"/>
          <w:b/>
          <w:bCs/>
          <w:kern w:val="2"/>
          <w:sz w:val="32"/>
          <w:szCs w:val="32"/>
          <w:lang w:val="en-US" w:eastAsia="zh-CN" w:bidi="ar-SA"/>
        </w:rPr>
        <w:t>1.重点检查砖厂、石料厂等。2、检查电线线路是否规范。3、是否设置有警示标志。4、特种作业人员是否持证上岗。5、从业人员是否开展安全教育培训。6、是否购买人身意外险。</w:t>
      </w:r>
    </w:p>
    <w:p>
      <w:pPr>
        <w:pStyle w:val="2"/>
        <w:ind w:left="0" w:leftChars="0" w:firstLine="643" w:firstLineChars="200"/>
        <w:rPr>
          <w:rFonts w:hint="eastAsia" w:ascii="仿宋" w:hAnsi="仿宋" w:eastAsia="仿宋" w:cs="仿宋"/>
          <w:b/>
          <w:bCs/>
          <w:kern w:val="2"/>
          <w:sz w:val="32"/>
          <w:szCs w:val="32"/>
          <w:lang w:val="en-US" w:eastAsia="zh-CN" w:bidi="ar-SA"/>
        </w:rPr>
      </w:pPr>
      <w:r>
        <w:rPr>
          <w:rFonts w:hint="eastAsia" w:ascii="楷体" w:hAnsi="楷体" w:eastAsia="楷体" w:cs="楷体"/>
          <w:b/>
          <w:bCs/>
          <w:kern w:val="2"/>
          <w:sz w:val="32"/>
          <w:szCs w:val="32"/>
          <w:lang w:val="en-US" w:eastAsia="zh-CN" w:bidi="ar-SA"/>
        </w:rPr>
        <w:t>（二）道路交通方面：</w:t>
      </w:r>
      <w:r>
        <w:rPr>
          <w:rFonts w:hint="eastAsia" w:ascii="仿宋" w:hAnsi="仿宋" w:eastAsia="仿宋" w:cs="仿宋"/>
          <w:b/>
          <w:bCs/>
          <w:kern w:val="2"/>
          <w:sz w:val="32"/>
          <w:szCs w:val="32"/>
          <w:lang w:val="en-US" w:eastAsia="zh-CN" w:bidi="ar-SA"/>
        </w:rPr>
        <w:t>1、是否对人车路台账进行更新。2、是否开展隐患排查。3、是否开展道路交通文明劝导。4、农用车、两三轮车、拖拉机等是否存在违规载人、无证驾驶上路现象。</w:t>
      </w:r>
    </w:p>
    <w:p>
      <w:pPr>
        <w:pStyle w:val="2"/>
        <w:ind w:left="0" w:leftChars="0" w:firstLine="643" w:firstLineChars="200"/>
        <w:rPr>
          <w:rFonts w:hint="eastAsia" w:ascii="仿宋" w:hAnsi="仿宋" w:eastAsia="仿宋" w:cs="仿宋"/>
          <w:b/>
          <w:bCs/>
          <w:kern w:val="2"/>
          <w:sz w:val="32"/>
          <w:szCs w:val="32"/>
          <w:lang w:val="en-US" w:eastAsia="zh-CN" w:bidi="ar-SA"/>
        </w:rPr>
      </w:pPr>
      <w:r>
        <w:rPr>
          <w:rFonts w:hint="eastAsia" w:ascii="楷体" w:hAnsi="楷体" w:eastAsia="楷体" w:cs="楷体"/>
          <w:b/>
          <w:bCs/>
          <w:kern w:val="2"/>
          <w:sz w:val="32"/>
          <w:szCs w:val="32"/>
          <w:lang w:val="en-US" w:eastAsia="zh-CN" w:bidi="ar-SA"/>
        </w:rPr>
        <w:t>（三）建筑施工方面：</w:t>
      </w:r>
      <w:r>
        <w:rPr>
          <w:rFonts w:hint="eastAsia" w:ascii="仿宋" w:hAnsi="仿宋" w:eastAsia="仿宋" w:cs="仿宋"/>
          <w:b/>
          <w:bCs/>
          <w:kern w:val="2"/>
          <w:sz w:val="32"/>
          <w:szCs w:val="32"/>
          <w:lang w:val="en-US" w:eastAsia="zh-CN" w:bidi="ar-SA"/>
        </w:rPr>
        <w:t>1、是否购买建安险。2、检查电线线路是否规范。3、作业人员是否佩戴头盔和安全绳。4、是否使用“少先吊”、电滑轮、“鸡公吊”。5、建房户是否登记在册。6、是否签订安全承诺书。</w:t>
      </w:r>
    </w:p>
    <w:p>
      <w:pPr>
        <w:pStyle w:val="2"/>
        <w:ind w:left="0" w:leftChars="0" w:firstLine="643" w:firstLineChars="200"/>
        <w:rPr>
          <w:rFonts w:hint="eastAsia" w:ascii="仿宋" w:hAnsi="仿宋" w:eastAsia="仿宋" w:cs="仿宋"/>
          <w:b/>
          <w:bCs/>
          <w:kern w:val="2"/>
          <w:sz w:val="32"/>
          <w:szCs w:val="32"/>
          <w:lang w:val="en-US" w:eastAsia="zh-CN" w:bidi="ar-SA"/>
        </w:rPr>
      </w:pPr>
      <w:r>
        <w:rPr>
          <w:rFonts w:hint="eastAsia" w:ascii="楷体" w:hAnsi="楷体" w:eastAsia="楷体" w:cs="楷体"/>
          <w:b/>
          <w:bCs/>
          <w:kern w:val="2"/>
          <w:sz w:val="32"/>
          <w:szCs w:val="32"/>
          <w:lang w:val="en-US" w:eastAsia="zh-CN" w:bidi="ar-SA"/>
        </w:rPr>
        <w:t>（四）燃气方面：</w:t>
      </w:r>
      <w:r>
        <w:rPr>
          <w:rFonts w:hint="eastAsia" w:ascii="仿宋" w:hAnsi="仿宋" w:eastAsia="仿宋" w:cs="仿宋"/>
          <w:b/>
          <w:bCs/>
          <w:kern w:val="2"/>
          <w:sz w:val="32"/>
          <w:szCs w:val="32"/>
          <w:lang w:val="en-US" w:eastAsia="zh-CN" w:bidi="ar-SA"/>
        </w:rPr>
        <w:t>1、软管是否过长、老化（不超过两米）。2、热水器烟道是否伸出屋外。3、灶具是否有熄火装置。4、是否存在私拉乱接现象。5、管道上方是否存在种植深根植物、违规取土开挖、建房等现象。</w:t>
      </w:r>
    </w:p>
    <w:p>
      <w:pPr>
        <w:pStyle w:val="2"/>
        <w:ind w:left="0" w:leftChars="0" w:firstLine="643" w:firstLineChars="200"/>
        <w:rPr>
          <w:rFonts w:hint="eastAsia" w:ascii="仿宋" w:hAnsi="仿宋" w:eastAsia="仿宋" w:cs="仿宋"/>
          <w:b/>
          <w:bCs/>
          <w:kern w:val="2"/>
          <w:sz w:val="32"/>
          <w:szCs w:val="32"/>
          <w:lang w:val="en-US" w:eastAsia="zh-CN" w:bidi="ar-SA"/>
        </w:rPr>
      </w:pPr>
      <w:r>
        <w:rPr>
          <w:rFonts w:hint="eastAsia" w:ascii="楷体" w:hAnsi="楷体" w:eastAsia="楷体" w:cs="楷体"/>
          <w:b/>
          <w:bCs/>
          <w:kern w:val="2"/>
          <w:sz w:val="32"/>
          <w:szCs w:val="32"/>
          <w:lang w:val="en-US" w:eastAsia="zh-CN" w:bidi="ar-SA"/>
        </w:rPr>
        <w:t>（五）烟花爆竹方面：</w:t>
      </w:r>
      <w:r>
        <w:rPr>
          <w:rFonts w:hint="eastAsia" w:ascii="仿宋" w:hAnsi="仿宋" w:eastAsia="仿宋" w:cs="仿宋"/>
          <w:b/>
          <w:bCs/>
          <w:kern w:val="2"/>
          <w:sz w:val="32"/>
          <w:szCs w:val="32"/>
          <w:lang w:val="en-US" w:eastAsia="zh-CN" w:bidi="ar-SA"/>
        </w:rPr>
        <w:t>1、是否存在非法储存、销售烟花爆竹。</w:t>
      </w:r>
    </w:p>
    <w:p>
      <w:pPr>
        <w:pStyle w:val="2"/>
        <w:ind w:left="0" w:leftChars="0" w:firstLine="643" w:firstLineChars="200"/>
        <w:rPr>
          <w:rFonts w:hint="eastAsia" w:ascii="仿宋" w:hAnsi="仿宋" w:eastAsia="仿宋" w:cs="仿宋"/>
          <w:b/>
          <w:bCs/>
          <w:kern w:val="2"/>
          <w:sz w:val="32"/>
          <w:szCs w:val="32"/>
          <w:lang w:val="en-US" w:eastAsia="zh-CN" w:bidi="ar-SA"/>
        </w:rPr>
      </w:pPr>
      <w:r>
        <w:rPr>
          <w:rFonts w:hint="eastAsia" w:ascii="楷体" w:hAnsi="楷体" w:eastAsia="楷体" w:cs="楷体"/>
          <w:b/>
          <w:bCs/>
          <w:kern w:val="2"/>
          <w:sz w:val="32"/>
          <w:szCs w:val="32"/>
          <w:lang w:val="en-US" w:eastAsia="zh-CN" w:bidi="ar-SA"/>
        </w:rPr>
        <w:t>（六）食品药品方面：</w:t>
      </w:r>
      <w:r>
        <w:rPr>
          <w:rFonts w:hint="eastAsia" w:ascii="仿宋" w:hAnsi="仿宋" w:eastAsia="仿宋" w:cs="仿宋"/>
          <w:b/>
          <w:bCs/>
          <w:kern w:val="2"/>
          <w:sz w:val="32"/>
          <w:szCs w:val="32"/>
          <w:lang w:val="en-US" w:eastAsia="zh-CN" w:bidi="ar-SA"/>
        </w:rPr>
        <w:t>1、坝坝宴是否按时、按要求备案。2、经营人员是否办理健康证。3、是否销售过期、变质、三无产品。4、是否有进货台账及相关票据。</w:t>
      </w:r>
    </w:p>
    <w:p>
      <w:pPr>
        <w:pStyle w:val="2"/>
        <w:ind w:left="0" w:leftChars="0" w:firstLine="643" w:firstLineChars="200"/>
        <w:rPr>
          <w:rFonts w:hint="eastAsia" w:ascii="仿宋" w:hAnsi="仿宋" w:eastAsia="仿宋" w:cs="仿宋"/>
          <w:b/>
          <w:bCs/>
          <w:kern w:val="2"/>
          <w:sz w:val="32"/>
          <w:szCs w:val="32"/>
          <w:lang w:val="en-US" w:eastAsia="zh-CN" w:bidi="ar-SA"/>
        </w:rPr>
      </w:pPr>
      <w:r>
        <w:rPr>
          <w:rFonts w:hint="eastAsia" w:ascii="楷体" w:hAnsi="楷体" w:eastAsia="楷体" w:cs="楷体"/>
          <w:b/>
          <w:bCs/>
          <w:kern w:val="2"/>
          <w:sz w:val="32"/>
          <w:szCs w:val="32"/>
          <w:lang w:val="en-US" w:eastAsia="zh-CN" w:bidi="ar-SA"/>
        </w:rPr>
        <w:t>（七）消防安全：</w:t>
      </w:r>
      <w:r>
        <w:rPr>
          <w:rFonts w:hint="eastAsia" w:ascii="仿宋" w:hAnsi="仿宋" w:eastAsia="仿宋" w:cs="仿宋"/>
          <w:b/>
          <w:bCs/>
          <w:kern w:val="2"/>
          <w:sz w:val="32"/>
          <w:szCs w:val="32"/>
          <w:lang w:val="en-US" w:eastAsia="zh-CN" w:bidi="ar-SA"/>
        </w:rPr>
        <w:t>1、是否建立消防重点场所台账。2、消防通道是否畅通。3、消防设施是否完善、能否正常使用。4、重点场所是否明确消防责任人。5、是否成立民兵应急分队且人员在家。6、是否建立动火人员台账。7、动火作业是否按照要求进行报备。</w:t>
      </w:r>
    </w:p>
    <w:p>
      <w:pPr>
        <w:pStyle w:val="2"/>
        <w:ind w:left="0" w:leftChars="0" w:firstLine="643" w:firstLineChars="200"/>
        <w:rPr>
          <w:rFonts w:hint="eastAsia" w:ascii="仿宋" w:hAnsi="仿宋" w:eastAsia="仿宋" w:cs="仿宋"/>
          <w:b/>
          <w:bCs/>
          <w:kern w:val="2"/>
          <w:sz w:val="32"/>
          <w:szCs w:val="32"/>
          <w:lang w:val="en-US" w:eastAsia="zh-CN" w:bidi="ar-SA"/>
        </w:rPr>
      </w:pPr>
      <w:r>
        <w:rPr>
          <w:rFonts w:hint="eastAsia" w:ascii="楷体" w:hAnsi="楷体" w:eastAsia="楷体" w:cs="楷体"/>
          <w:b/>
          <w:bCs/>
          <w:kern w:val="2"/>
          <w:sz w:val="32"/>
          <w:szCs w:val="32"/>
          <w:lang w:val="en-US" w:eastAsia="zh-CN" w:bidi="ar-SA"/>
        </w:rPr>
        <w:t>（八）特种设备方面：</w:t>
      </w:r>
      <w:r>
        <w:rPr>
          <w:rFonts w:hint="eastAsia" w:ascii="仿宋" w:hAnsi="仿宋" w:eastAsia="仿宋" w:cs="仿宋"/>
          <w:b/>
          <w:bCs/>
          <w:kern w:val="2"/>
          <w:sz w:val="32"/>
          <w:szCs w:val="32"/>
          <w:lang w:val="en-US" w:eastAsia="zh-CN" w:bidi="ar-SA"/>
        </w:rPr>
        <w:t>1、排查辖区是否有电梯、锅炉、三吨及以上的起重设备。2、操作人员是否持证上岗。3、是否按期年检维保。</w:t>
      </w:r>
    </w:p>
    <w:p>
      <w:pPr>
        <w:pStyle w:val="2"/>
        <w:ind w:left="0" w:leftChars="0" w:firstLine="643" w:firstLineChars="200"/>
        <w:rPr>
          <w:rFonts w:hint="eastAsia" w:ascii="仿宋" w:hAnsi="仿宋" w:eastAsia="仿宋" w:cs="仿宋"/>
          <w:b/>
          <w:bCs/>
          <w:kern w:val="2"/>
          <w:sz w:val="32"/>
          <w:szCs w:val="32"/>
          <w:lang w:val="en-US" w:eastAsia="zh-CN" w:bidi="ar-SA"/>
        </w:rPr>
      </w:pPr>
      <w:r>
        <w:rPr>
          <w:rFonts w:hint="eastAsia" w:ascii="楷体" w:hAnsi="楷体" w:eastAsia="楷体" w:cs="楷体"/>
          <w:b/>
          <w:bCs/>
          <w:kern w:val="2"/>
          <w:sz w:val="32"/>
          <w:szCs w:val="32"/>
          <w:lang w:val="en-US" w:eastAsia="zh-CN" w:bidi="ar-SA"/>
        </w:rPr>
        <w:t>（九）人员密集场所方面：</w:t>
      </w:r>
      <w:r>
        <w:rPr>
          <w:rFonts w:hint="eastAsia" w:ascii="仿宋" w:hAnsi="仿宋" w:eastAsia="仿宋" w:cs="仿宋"/>
          <w:b/>
          <w:bCs/>
          <w:kern w:val="2"/>
          <w:sz w:val="32"/>
          <w:szCs w:val="32"/>
          <w:lang w:val="en-US" w:eastAsia="zh-CN" w:bidi="ar-SA"/>
        </w:rPr>
        <w:t>1、疏散通道是否畅通。2、消防设施是否完善、能否正常使用。3、工作人员能否熟练使用消防器材。4、是否开展消防逃生演练。5.是否建立有应急避难场所。</w:t>
      </w:r>
    </w:p>
    <w:p>
      <w:pPr>
        <w:pStyle w:val="2"/>
        <w:ind w:left="0" w:leftChars="0" w:firstLine="643" w:firstLineChars="200"/>
        <w:rPr>
          <w:rFonts w:hint="eastAsia" w:ascii="仿宋" w:hAnsi="仿宋" w:eastAsia="仿宋" w:cs="仿宋"/>
          <w:b/>
          <w:bCs/>
          <w:kern w:val="2"/>
          <w:sz w:val="32"/>
          <w:szCs w:val="32"/>
          <w:lang w:val="en-US" w:eastAsia="zh-CN" w:bidi="ar-SA"/>
        </w:rPr>
      </w:pPr>
      <w:r>
        <w:rPr>
          <w:rFonts w:hint="eastAsia" w:ascii="楷体" w:hAnsi="楷体" w:eastAsia="楷体" w:cs="楷体"/>
          <w:b/>
          <w:bCs/>
          <w:kern w:val="2"/>
          <w:sz w:val="32"/>
          <w:szCs w:val="32"/>
          <w:lang w:val="en-US" w:eastAsia="zh-CN" w:bidi="ar-SA"/>
        </w:rPr>
        <w:t>（十）有限空间作业：</w:t>
      </w:r>
      <w:r>
        <w:rPr>
          <w:rFonts w:hint="eastAsia" w:ascii="仿宋" w:hAnsi="仿宋" w:eastAsia="仿宋" w:cs="仿宋"/>
          <w:b/>
          <w:bCs/>
          <w:kern w:val="2"/>
          <w:sz w:val="32"/>
          <w:szCs w:val="32"/>
          <w:lang w:val="en-US" w:eastAsia="zh-CN" w:bidi="ar-SA"/>
        </w:rPr>
        <w:t>1、清掏化粪池、沼气池是否报备。2、危险位置是否设置警示标志。3、是否进行安全宣传。</w:t>
      </w:r>
    </w:p>
    <w:p>
      <w:pPr>
        <w:pStyle w:val="2"/>
        <w:ind w:left="0" w:leftChars="0" w:firstLine="643" w:firstLineChars="200"/>
        <w:rPr>
          <w:rFonts w:hint="eastAsia" w:ascii="仿宋" w:hAnsi="仿宋" w:eastAsia="仿宋" w:cs="仿宋"/>
          <w:b/>
          <w:bCs/>
          <w:kern w:val="2"/>
          <w:sz w:val="32"/>
          <w:szCs w:val="32"/>
          <w:lang w:val="en-US" w:eastAsia="zh-CN" w:bidi="ar-SA"/>
        </w:rPr>
      </w:pPr>
      <w:r>
        <w:rPr>
          <w:rFonts w:hint="eastAsia" w:ascii="楷体" w:hAnsi="楷体" w:eastAsia="楷体" w:cs="楷体"/>
          <w:b/>
          <w:bCs/>
          <w:kern w:val="2"/>
          <w:sz w:val="32"/>
          <w:szCs w:val="32"/>
          <w:lang w:val="en-US" w:eastAsia="zh-CN" w:bidi="ar-SA"/>
        </w:rPr>
        <w:t>（十一）旅游安全：</w:t>
      </w:r>
      <w:r>
        <w:rPr>
          <w:rFonts w:hint="eastAsia" w:ascii="仿宋" w:hAnsi="仿宋" w:eastAsia="仿宋" w:cs="仿宋"/>
          <w:b/>
          <w:bCs/>
          <w:kern w:val="2"/>
          <w:sz w:val="32"/>
          <w:szCs w:val="32"/>
          <w:lang w:val="en-US" w:eastAsia="zh-CN" w:bidi="ar-SA"/>
        </w:rPr>
        <w:t>1、是否定期对游乐设施进行安全自检。2、是否进行安全培训。3、是否配齐消防设施。4、是否配备安全员。</w:t>
      </w:r>
    </w:p>
    <w:p>
      <w:pPr>
        <w:pStyle w:val="2"/>
        <w:ind w:left="0" w:leftChars="0" w:firstLine="643" w:firstLineChars="200"/>
        <w:rPr>
          <w:rFonts w:hint="eastAsia" w:ascii="仿宋" w:hAnsi="仿宋" w:eastAsia="仿宋" w:cs="仿宋"/>
          <w:b/>
          <w:bCs/>
          <w:kern w:val="2"/>
          <w:sz w:val="32"/>
          <w:szCs w:val="32"/>
          <w:lang w:val="en-US" w:eastAsia="zh-CN" w:bidi="ar-SA"/>
        </w:rPr>
      </w:pPr>
      <w:r>
        <w:rPr>
          <w:rFonts w:hint="eastAsia" w:ascii="楷体" w:hAnsi="楷体" w:eastAsia="楷体" w:cs="楷体"/>
          <w:b/>
          <w:bCs/>
          <w:kern w:val="2"/>
          <w:sz w:val="32"/>
          <w:szCs w:val="32"/>
          <w:lang w:val="en-US" w:eastAsia="zh-CN" w:bidi="ar-SA"/>
        </w:rPr>
        <w:t>（十二）其他：</w:t>
      </w:r>
      <w:r>
        <w:rPr>
          <w:rFonts w:hint="eastAsia" w:ascii="仿宋" w:hAnsi="仿宋" w:eastAsia="仿宋" w:cs="仿宋"/>
          <w:b/>
          <w:bCs/>
          <w:kern w:val="2"/>
          <w:sz w:val="32"/>
          <w:szCs w:val="32"/>
          <w:lang w:val="en-US" w:eastAsia="zh-CN" w:bidi="ar-SA"/>
        </w:rPr>
        <w:t>1、针对一氧化碳中毒、森林防灭火、寺庙等领域的安全监管。2、对以上领域进行安全宣传培训教育。</w:t>
      </w:r>
    </w:p>
    <w:p>
      <w:pPr>
        <w:rPr>
          <w:rFonts w:hint="eastAsia"/>
          <w:b/>
          <w:bCs/>
          <w:lang w:eastAsia="zh-CN"/>
        </w:rPr>
        <w:sectPr>
          <w:pgSz w:w="11906" w:h="16838"/>
          <w:pgMar w:top="1440" w:right="1179" w:bottom="1440" w:left="1179" w:header="851" w:footer="992" w:gutter="0"/>
          <w:cols w:space="425" w:num="1"/>
          <w:docGrid w:type="lines" w:linePitch="312" w:charSpace="0"/>
        </w:sectPr>
      </w:pPr>
    </w:p>
    <w:tbl>
      <w:tblPr>
        <w:tblStyle w:val="5"/>
        <w:tblW w:w="14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20"/>
        <w:gridCol w:w="2533"/>
        <w:gridCol w:w="2329"/>
        <w:gridCol w:w="2339"/>
        <w:gridCol w:w="1443"/>
        <w:gridCol w:w="1488"/>
        <w:gridCol w:w="1746"/>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trPr>
        <w:tc>
          <w:tcPr>
            <w:tcW w:w="1402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附件3</w:t>
            </w:r>
          </w:p>
          <w:p>
            <w:pPr>
              <w:keepNext w:val="0"/>
              <w:keepLines w:val="0"/>
              <w:widowControl/>
              <w:suppressLineNumbers w:val="0"/>
              <w:jc w:val="center"/>
              <w:textAlignment w:val="center"/>
              <w:rPr>
                <w:rFonts w:hint="eastAsia" w:ascii="宋体" w:hAnsi="宋体" w:eastAsia="宋体" w:cs="宋体"/>
                <w:b/>
                <w:bCs/>
                <w:i w:val="0"/>
                <w:color w:val="000000"/>
                <w:sz w:val="44"/>
                <w:szCs w:val="44"/>
                <w:u w:val="none"/>
              </w:rPr>
            </w:pPr>
            <w:r>
              <w:rPr>
                <w:rFonts w:hint="eastAsia" w:ascii="黑体" w:hAnsi="黑体" w:eastAsia="黑体" w:cs="黑体"/>
                <w:b/>
                <w:bCs/>
                <w:sz w:val="40"/>
                <w:szCs w:val="40"/>
                <w:lang w:val="en-US" w:eastAsia="zh-CN"/>
              </w:rPr>
              <w:t>伏虎镇2024年年末岁尾安全督查问题台账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序号</w:t>
            </w:r>
          </w:p>
        </w:tc>
        <w:tc>
          <w:tcPr>
            <w:tcW w:w="2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行业类别</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隐患单位（地点）</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隐患情况</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检查时间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整改时限/天</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整改责任单位（责任人）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3453"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4"/>
                <w:szCs w:val="24"/>
                <w:u w:val="none"/>
                <w:lang w:val="en-US" w:eastAsia="zh-CN" w:bidi="ar"/>
              </w:rPr>
              <w:t>督查责任单位（签章）：</w:t>
            </w:r>
          </w:p>
        </w:tc>
        <w:tc>
          <w:tcPr>
            <w:tcW w:w="232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33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4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48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74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22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bl>
    <w:p>
      <w:pPr>
        <w:pStyle w:val="2"/>
        <w:rPr>
          <w:rFonts w:hint="eastAsia"/>
          <w:b/>
          <w:bCs/>
          <w:lang w:eastAsia="zh-CN"/>
        </w:rPr>
        <w:sectPr>
          <w:pgSz w:w="16838" w:h="11906" w:orient="landscape"/>
          <w:pgMar w:top="1179" w:right="1440" w:bottom="1179" w:left="1440" w:header="851" w:footer="992" w:gutter="0"/>
          <w:cols w:space="425" w:num="1"/>
          <w:docGrid w:type="lines" w:linePitch="312" w:charSpace="0"/>
        </w:sectPr>
      </w:pPr>
    </w:p>
    <w:tbl>
      <w:tblPr>
        <w:tblStyle w:val="5"/>
        <w:tblpPr w:leftFromText="180" w:rightFromText="180" w:vertAnchor="text" w:horzAnchor="page" w:tblpXSpec="center" w:tblpY="532"/>
        <w:tblOverlap w:val="never"/>
        <w:tblW w:w="157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5"/>
        <w:gridCol w:w="1501"/>
        <w:gridCol w:w="2472"/>
        <w:gridCol w:w="2967"/>
        <w:gridCol w:w="1566"/>
        <w:gridCol w:w="2077"/>
        <w:gridCol w:w="1656"/>
        <w:gridCol w:w="1546"/>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1577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bCs/>
                <w:i w:val="0"/>
                <w:color w:val="000000"/>
                <w:kern w:val="0"/>
                <w:sz w:val="44"/>
                <w:szCs w:val="44"/>
                <w:u w:val="none"/>
                <w:lang w:val="en-US" w:eastAsia="zh-CN" w:bidi="ar"/>
              </w:rPr>
            </w:pPr>
            <w:r>
              <w:rPr>
                <w:rFonts w:hint="eastAsia" w:ascii="仿宋" w:hAnsi="仿宋" w:eastAsia="仿宋" w:cs="仿宋"/>
                <w:b/>
                <w:bCs/>
                <w:sz w:val="32"/>
                <w:szCs w:val="32"/>
                <w:lang w:val="en-US" w:eastAsia="zh-CN"/>
              </w:rPr>
              <w:t>附件4</w:t>
            </w:r>
          </w:p>
          <w:p>
            <w:pPr>
              <w:keepNext w:val="0"/>
              <w:keepLines w:val="0"/>
              <w:widowControl/>
              <w:suppressLineNumbers w:val="0"/>
              <w:jc w:val="center"/>
              <w:textAlignment w:val="center"/>
              <w:rPr>
                <w:rFonts w:hint="eastAsia" w:ascii="宋体" w:hAnsi="宋体" w:eastAsia="宋体" w:cs="宋体"/>
                <w:b/>
                <w:bCs/>
                <w:i w:val="0"/>
                <w:color w:val="000000"/>
                <w:sz w:val="44"/>
                <w:szCs w:val="44"/>
                <w:u w:val="none"/>
              </w:rPr>
            </w:pPr>
            <w:r>
              <w:rPr>
                <w:rFonts w:hint="eastAsia" w:ascii="黑体" w:hAnsi="黑体" w:eastAsia="黑体" w:cs="黑体"/>
                <w:b/>
                <w:bCs/>
                <w:sz w:val="40"/>
                <w:szCs w:val="40"/>
                <w:lang w:val="en-US" w:eastAsia="zh-CN"/>
              </w:rPr>
              <w:t>伏虎镇2024年年末岁尾整改复核台账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行业类别</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隐患单位（地点）</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隐患情况</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整改责任单位（责任人）</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验收情况</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验收人</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验收时间</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255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4"/>
                <w:szCs w:val="24"/>
                <w:u w:val="none"/>
                <w:lang w:val="en-US" w:eastAsia="zh-CN" w:bidi="ar"/>
              </w:rPr>
              <w:t>验收责任单位（签章）：</w:t>
            </w:r>
          </w:p>
        </w:tc>
        <w:tc>
          <w:tcPr>
            <w:tcW w:w="247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96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6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20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65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154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c>
          <w:tcPr>
            <w:tcW w:w="9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u w:val="none"/>
              </w:rPr>
            </w:pPr>
          </w:p>
        </w:tc>
      </w:tr>
    </w:tbl>
    <w:p>
      <w:pPr>
        <w:rPr>
          <w:rFonts w:hint="eastAsia"/>
          <w:lang w:eastAsia="zh-CN"/>
        </w:rPr>
      </w:pPr>
    </w:p>
    <w:sectPr>
      <w:pgSz w:w="16838" w:h="11906" w:orient="landscape"/>
      <w:pgMar w:top="1179"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826D8"/>
    <w:multiLevelType w:val="singleLevel"/>
    <w:tmpl w:val="8C8826D8"/>
    <w:lvl w:ilvl="0" w:tentative="0">
      <w:start w:val="2"/>
      <w:numFmt w:val="decimal"/>
      <w:suff w:val="nothing"/>
      <w:lvlText w:val="%1、"/>
      <w:lvlJc w:val="left"/>
    </w:lvl>
  </w:abstractNum>
  <w:abstractNum w:abstractNumId="1">
    <w:nsid w:val="BB086359"/>
    <w:multiLevelType w:val="singleLevel"/>
    <w:tmpl w:val="BB086359"/>
    <w:lvl w:ilvl="0" w:tentative="0">
      <w:start w:val="1"/>
      <w:numFmt w:val="chineseCounting"/>
      <w:suff w:val="nothing"/>
      <w:lvlText w:val="%1、"/>
      <w:lvlJc w:val="left"/>
      <w:pPr>
        <w:ind w:left="640" w:leftChars="0" w:firstLine="0" w:firstLineChars="0"/>
      </w:pPr>
      <w:rPr>
        <w:rFonts w:hint="eastAsia"/>
      </w:rPr>
    </w:lvl>
  </w:abstractNum>
  <w:abstractNum w:abstractNumId="2">
    <w:nsid w:val="1F0AD097"/>
    <w:multiLevelType w:val="singleLevel"/>
    <w:tmpl w:val="1F0AD097"/>
    <w:lvl w:ilvl="0" w:tentative="0">
      <w:start w:val="4"/>
      <w:numFmt w:val="chineseCounting"/>
      <w:suff w:val="nothing"/>
      <w:lvlText w:val="%1、"/>
      <w:lvlJc w:val="left"/>
      <w:rPr>
        <w:rFonts w:hint="eastAsia"/>
      </w:rPr>
    </w:lvl>
  </w:abstractNum>
  <w:abstractNum w:abstractNumId="3">
    <w:nsid w:val="2F701984"/>
    <w:multiLevelType w:val="singleLevel"/>
    <w:tmpl w:val="2F701984"/>
    <w:lvl w:ilvl="0" w:tentative="0">
      <w:start w:val="8"/>
      <w:numFmt w:val="decimal"/>
      <w:suff w:val="nothing"/>
      <w:lvlText w:val="%1、"/>
      <w:lvlJc w:val="left"/>
    </w:lvl>
  </w:abstractNum>
  <w:abstractNum w:abstractNumId="4">
    <w:nsid w:val="337011FD"/>
    <w:multiLevelType w:val="singleLevel"/>
    <w:tmpl w:val="337011FD"/>
    <w:lvl w:ilvl="0" w:tentative="0">
      <w:start w:val="1"/>
      <w:numFmt w:val="chineseCounting"/>
      <w:suff w:val="nothing"/>
      <w:lvlText w:val="（%1）"/>
      <w:lvlJc w:val="left"/>
      <w:pPr>
        <w:ind w:left="640" w:leftChars="0" w:firstLine="0" w:firstLineChars="0"/>
      </w:pPr>
      <w:rPr>
        <w:rFonts w:hint="eastAsia"/>
      </w:rPr>
    </w:lvl>
  </w:abstractNum>
  <w:abstractNum w:abstractNumId="5">
    <w:nsid w:val="4DA1A8E2"/>
    <w:multiLevelType w:val="singleLevel"/>
    <w:tmpl w:val="4DA1A8E2"/>
    <w:lvl w:ilvl="0" w:tentative="0">
      <w:start w:val="1"/>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20999"/>
    <w:rsid w:val="1814115D"/>
    <w:rsid w:val="1C5D3D33"/>
    <w:rsid w:val="1F2C7553"/>
    <w:rsid w:val="203515A4"/>
    <w:rsid w:val="27195A33"/>
    <w:rsid w:val="2D8E6D15"/>
    <w:rsid w:val="373E7B7B"/>
    <w:rsid w:val="3ABA126D"/>
    <w:rsid w:val="3B014E22"/>
    <w:rsid w:val="3DB300CF"/>
    <w:rsid w:val="43846E12"/>
    <w:rsid w:val="438764E2"/>
    <w:rsid w:val="4A135D34"/>
    <w:rsid w:val="4CAA6A93"/>
    <w:rsid w:val="4F5A2B87"/>
    <w:rsid w:val="62152B97"/>
    <w:rsid w:val="679354D8"/>
    <w:rsid w:val="74DC6D55"/>
    <w:rsid w:val="788D7AE5"/>
    <w:rsid w:val="7E9B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方正仿宋简体"/>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99"/>
    <w:pPr>
      <w:ind w:left="1680"/>
    </w:pPr>
  </w:style>
  <w:style w:type="paragraph" w:styleId="3">
    <w:name w:val="Body Text"/>
    <w:basedOn w:val="1"/>
    <w:qFormat/>
    <w:uiPriority w:val="1"/>
    <w:rPr>
      <w:rFonts w:ascii="仿宋_GB2312" w:hAnsi="仿宋_GB2312" w:eastAsia="仿宋_GB2312" w:cs="仿宋_GB2312"/>
      <w:b/>
      <w:bCs/>
      <w:sz w:val="32"/>
      <w:szCs w:val="32"/>
    </w:r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2022-03-01T01:01:00Z</dcterms:created>
  <dc:creator>Administrator</dc:creator>
  <cp:lastModifiedBy>Administrator</cp:lastModifiedBy>
  <cp:lastPrinted>2024-12-17T01:34:11Z</cp:lastPrinted>
  <dcterms:modified xsi:type="dcterms:W3CDTF">2024-12-17T01:34:42Z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1333F2D3C376425AAE83C3FE206B31EC</vt:lpwstr>
  </property>
</Properties>
</file>