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6"/>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spacing w:line="240" w:lineRule="exact"/>
        <w:rPr>
          <w:rFonts w:hint="eastAsia" w:ascii="方正仿宋简体" w:hAnsi="方正仿宋简体" w:eastAsia="方正仿宋简体" w:cs="方正仿宋简体"/>
          <w:sz w:val="32"/>
          <w:szCs w:val="32"/>
        </w:rPr>
      </w:pPr>
    </w:p>
    <w:p>
      <w:pPr>
        <w:widowControl w:val="0"/>
        <w:spacing w:line="600" w:lineRule="exact"/>
        <w:jc w:val="center"/>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bidi="ar-SA"/>
        </w:rPr>
        <w:t>蓬应急〔</w:t>
      </w:r>
      <w:r>
        <w:rPr>
          <w:rFonts w:hint="eastAsia" w:ascii="仿宋_GB2312" w:hAnsi="Times New Roman" w:eastAsia="仿宋_GB2312" w:cs="Times New Roman"/>
          <w:b/>
          <w:kern w:val="2"/>
          <w:sz w:val="32"/>
          <w:szCs w:val="32"/>
          <w:lang w:eastAsia="zh-CN" w:bidi="ar-SA"/>
        </w:rPr>
        <w:t>2021</w:t>
      </w:r>
      <w:r>
        <w:rPr>
          <w:rFonts w:hint="eastAsia" w:ascii="仿宋_GB2312" w:hAnsi="Times New Roman" w:eastAsia="仿宋_GB2312" w:cs="Times New Roman"/>
          <w:b/>
          <w:kern w:val="2"/>
          <w:sz w:val="32"/>
          <w:szCs w:val="32"/>
          <w:lang w:bidi="ar-SA"/>
        </w:rPr>
        <w:t>〕</w:t>
      </w:r>
      <w:r>
        <w:rPr>
          <w:rFonts w:hint="eastAsia" w:ascii="仿宋_GB2312" w:hAnsi="Times New Roman" w:eastAsia="仿宋_GB2312" w:cs="Times New Roman"/>
          <w:b/>
          <w:kern w:val="2"/>
          <w:sz w:val="32"/>
          <w:szCs w:val="32"/>
          <w:lang w:val="en-US" w:eastAsia="zh-CN" w:bidi="ar-SA"/>
        </w:rPr>
        <w:t xml:space="preserve"> </w:t>
      </w:r>
      <w:r>
        <w:rPr>
          <w:rFonts w:hint="eastAsia" w:ascii="仿宋_GB2312" w:hAnsi="Times New Roman" w:eastAsia="仿宋_GB2312" w:cs="Times New Roman"/>
          <w:b/>
          <w:kern w:val="2"/>
          <w:sz w:val="32"/>
          <w:szCs w:val="32"/>
          <w:lang w:bidi="ar-SA"/>
        </w:rPr>
        <w:t xml:space="preserve">号                  </w:t>
      </w:r>
      <w:r>
        <w:rPr>
          <w:rFonts w:hint="eastAsia" w:ascii="仿宋_GB2312" w:hAnsi="Times New Roman" w:eastAsia="仿宋_GB2312" w:cs="Times New Roman"/>
          <w:b/>
          <w:kern w:val="2"/>
          <w:sz w:val="32"/>
          <w:szCs w:val="32"/>
          <w:lang w:val="en-US" w:eastAsia="zh-CN" w:bidi="ar-SA"/>
        </w:rPr>
        <w:t xml:space="preserve">  </w:t>
      </w:r>
      <w:r>
        <w:rPr>
          <w:rFonts w:hint="eastAsia" w:ascii="仿宋_GB2312" w:hAnsi="Times New Roman" w:eastAsia="仿宋_GB2312" w:cs="Times New Roman"/>
          <w:b/>
          <w:kern w:val="2"/>
          <w:sz w:val="32"/>
          <w:szCs w:val="32"/>
          <w:lang w:bidi="ar-SA"/>
        </w:rPr>
        <w:t xml:space="preserve"> 签发人：苏熙鸿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widowControl w:val="0"/>
        <w:spacing w:line="560" w:lineRule="exact"/>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蓬安县应急管理局</w:t>
      </w:r>
    </w:p>
    <w:p>
      <w:pPr>
        <w:widowControl w:val="0"/>
        <w:spacing w:line="560" w:lineRule="exact"/>
        <w:jc w:val="center"/>
        <w:rPr>
          <w:rFonts w:hint="eastAsia" w:ascii="方正小标宋简体" w:hAnsi="方正小标宋简体" w:eastAsia="方正小标宋简体" w:cs="方正小标宋简体"/>
          <w:b/>
          <w:bCs/>
          <w:spacing w:val="-6"/>
          <w:sz w:val="44"/>
          <w:szCs w:val="44"/>
        </w:rPr>
      </w:pPr>
      <w:r>
        <w:rPr>
          <w:rFonts w:hint="eastAsia" w:ascii="方正小标宋简体" w:hAnsi="方正小标宋简体" w:eastAsia="方正小标宋简体" w:cs="方正小标宋简体"/>
          <w:b/>
          <w:bCs/>
          <w:kern w:val="2"/>
          <w:sz w:val="44"/>
          <w:szCs w:val="44"/>
          <w:lang w:val="en-US" w:eastAsia="zh-CN" w:bidi="ar-SA"/>
        </w:rPr>
        <w:t>关于《蓬安县应急管理局2021年度安全生产监察执法计划》给予批复的请示</w:t>
      </w:r>
    </w:p>
    <w:p>
      <w:pPr>
        <w:spacing w:line="560" w:lineRule="exact"/>
        <w:rPr>
          <w:rFonts w:eastAsia="方正仿宋简体"/>
          <w:spacing w:val="-6"/>
          <w:sz w:val="32"/>
          <w:szCs w:val="32"/>
        </w:rPr>
      </w:pPr>
    </w:p>
    <w:p>
      <w:pPr>
        <w:widowControl w:val="0"/>
        <w:spacing w:line="600" w:lineRule="exact"/>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县人民政府：</w:t>
      </w:r>
    </w:p>
    <w:p>
      <w:pPr>
        <w:widowControl w:val="0"/>
        <w:spacing w:line="600" w:lineRule="exact"/>
        <w:ind w:firstLine="643" w:firstLineChars="20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为进一步做好安全生产监管工作，正确履行安全生产监管职责，规范监督检查行为，提高监督检查效能，防范和减少生产安全事故的发生，确保全县安全生产形势持续稳定好转，根据《中华人民共和国安全生产法》和《国家安全监管总局关于印发安全生产监管年度执法工作计划编制办法的通知》（安监总政法〔2017〕150号）的规定，结合全县实际情况，特制定《蓬安县应急管理局2021年度安全生产监察执法计划》报送县政府审批。</w:t>
      </w:r>
    </w:p>
    <w:p>
      <w:pPr>
        <w:widowControl w:val="0"/>
        <w:spacing w:line="600" w:lineRule="exact"/>
        <w:ind w:firstLine="643" w:firstLineChars="20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妥否，请批示。</w:t>
      </w:r>
    </w:p>
    <w:p>
      <w:pPr>
        <w:widowControl w:val="0"/>
        <w:spacing w:line="600" w:lineRule="exact"/>
        <w:jc w:val="both"/>
        <w:rPr>
          <w:rFonts w:hint="eastAsia" w:ascii="仿宋_GB2312" w:hAnsi="Times New Roman" w:eastAsia="仿宋_GB2312" w:cs="Times New Roman"/>
          <w:b/>
          <w:kern w:val="2"/>
          <w:sz w:val="32"/>
          <w:szCs w:val="32"/>
          <w:lang w:val="en-US" w:eastAsia="zh-CN" w:bidi="ar-SA"/>
        </w:rPr>
      </w:pPr>
    </w:p>
    <w:p>
      <w:pPr>
        <w:widowControl w:val="0"/>
        <w:spacing w:line="600" w:lineRule="exact"/>
        <w:jc w:val="both"/>
        <w:rPr>
          <w:rFonts w:hint="eastAsia" w:ascii="仿宋_GB2312" w:hAnsi="Times New Roman" w:eastAsia="仿宋_GB2312" w:cs="Times New Roman"/>
          <w:b/>
          <w:kern w:val="2"/>
          <w:sz w:val="32"/>
          <w:szCs w:val="32"/>
          <w:lang w:val="en-US" w:eastAsia="zh-CN" w:bidi="ar-SA"/>
        </w:rPr>
      </w:pPr>
    </w:p>
    <w:p>
      <w:pPr>
        <w:widowControl w:val="0"/>
        <w:spacing w:line="600" w:lineRule="exact"/>
        <w:ind w:left="1602" w:leftChars="266" w:hanging="964" w:hangingChars="300"/>
        <w:jc w:val="both"/>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val="en-US" w:eastAsia="zh-CN" w:bidi="ar-SA"/>
        </w:rPr>
        <w:t>附件：蓬安县应急管理局2021年度安全生产监察执法计划</w:t>
      </w:r>
    </w:p>
    <w:p>
      <w:pPr>
        <w:widowControl w:val="0"/>
        <w:spacing w:line="600" w:lineRule="exact"/>
        <w:jc w:val="both"/>
        <w:rPr>
          <w:rFonts w:hint="eastAsia" w:ascii="仿宋_GB2312" w:hAnsi="Times New Roman" w:eastAsia="仿宋_GB2312" w:cs="Times New Roman"/>
          <w:b/>
          <w:kern w:val="2"/>
          <w:sz w:val="32"/>
          <w:szCs w:val="32"/>
          <w:lang w:bidi="ar-SA"/>
        </w:rPr>
      </w:pPr>
    </w:p>
    <w:p>
      <w:pPr>
        <w:widowControl w:val="0"/>
        <w:spacing w:line="600" w:lineRule="exact"/>
        <w:jc w:val="both"/>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bidi="ar-SA"/>
        </w:rPr>
        <w:t xml:space="preserve">                       </w:t>
      </w:r>
    </w:p>
    <w:p>
      <w:pPr>
        <w:widowControl w:val="0"/>
        <w:spacing w:line="600" w:lineRule="exact"/>
        <w:jc w:val="both"/>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bidi="ar-SA"/>
        </w:rPr>
        <w:t xml:space="preserve">           </w:t>
      </w:r>
    </w:p>
    <w:p>
      <w:pPr>
        <w:widowControl w:val="0"/>
        <w:spacing w:line="600" w:lineRule="exact"/>
        <w:jc w:val="center"/>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val="en-US" w:eastAsia="zh-CN" w:bidi="ar-SA"/>
        </w:rPr>
        <w:t xml:space="preserve">                               </w:t>
      </w:r>
      <w:r>
        <w:rPr>
          <w:rFonts w:hint="eastAsia" w:ascii="仿宋_GB2312" w:hAnsi="Times New Roman" w:eastAsia="仿宋_GB2312" w:cs="Times New Roman"/>
          <w:b/>
          <w:kern w:val="2"/>
          <w:sz w:val="32"/>
          <w:szCs w:val="32"/>
          <w:lang w:eastAsia="zh-CN" w:bidi="ar-SA"/>
        </w:rPr>
        <w:t>蓬安县应急</w:t>
      </w:r>
      <w:r>
        <w:rPr>
          <w:rFonts w:hint="eastAsia" w:ascii="仿宋_GB2312" w:hAnsi="Times New Roman" w:eastAsia="仿宋_GB2312" w:cs="Times New Roman"/>
          <w:b/>
          <w:kern w:val="2"/>
          <w:sz w:val="32"/>
          <w:szCs w:val="32"/>
          <w:lang w:bidi="ar-SA"/>
        </w:rPr>
        <w:t>管理局</w:t>
      </w:r>
    </w:p>
    <w:p>
      <w:pPr>
        <w:widowControl w:val="0"/>
        <w:spacing w:line="600" w:lineRule="exact"/>
        <w:jc w:val="both"/>
        <w:rPr>
          <w:rFonts w:hint="eastAsia" w:ascii="仿宋_GB2312" w:hAnsi="Times New Roman" w:eastAsia="仿宋_GB2312" w:cs="Times New Roman"/>
          <w:b/>
          <w:kern w:val="2"/>
          <w:sz w:val="32"/>
          <w:szCs w:val="32"/>
          <w:lang w:bidi="ar-SA"/>
        </w:rPr>
      </w:pPr>
      <w:r>
        <w:rPr>
          <w:rFonts w:hint="eastAsia" w:ascii="仿宋_GB2312" w:hAnsi="Times New Roman" w:eastAsia="仿宋_GB2312" w:cs="Times New Roman"/>
          <w:b/>
          <w:kern w:val="2"/>
          <w:sz w:val="32"/>
          <w:szCs w:val="32"/>
          <w:lang w:val="en-US" w:eastAsia="zh-CN" w:bidi="ar-SA"/>
        </w:rPr>
        <w:t xml:space="preserve">                                  </w:t>
      </w:r>
      <w:r>
        <w:rPr>
          <w:rFonts w:hint="eastAsia" w:ascii="仿宋_GB2312" w:hAnsi="Times New Roman" w:eastAsia="仿宋_GB2312" w:cs="Times New Roman"/>
          <w:b/>
          <w:kern w:val="2"/>
          <w:sz w:val="32"/>
          <w:szCs w:val="32"/>
          <w:lang w:eastAsia="zh-CN" w:bidi="ar-SA"/>
        </w:rPr>
        <w:t>2021</w:t>
      </w:r>
      <w:r>
        <w:rPr>
          <w:rFonts w:hint="eastAsia" w:ascii="仿宋_GB2312" w:hAnsi="Times New Roman" w:eastAsia="仿宋_GB2312" w:cs="Times New Roman"/>
          <w:b/>
          <w:kern w:val="2"/>
          <w:sz w:val="32"/>
          <w:szCs w:val="32"/>
          <w:lang w:bidi="ar-SA"/>
        </w:rPr>
        <w:t>年1月</w:t>
      </w:r>
      <w:r>
        <w:rPr>
          <w:rFonts w:hint="eastAsia" w:ascii="仿宋_GB2312" w:hAnsi="Times New Roman" w:eastAsia="仿宋_GB2312" w:cs="Times New Roman"/>
          <w:b/>
          <w:kern w:val="2"/>
          <w:sz w:val="32"/>
          <w:szCs w:val="32"/>
          <w:lang w:val="en-US" w:eastAsia="zh-CN" w:bidi="ar-SA"/>
        </w:rPr>
        <w:t>25</w:t>
      </w:r>
      <w:r>
        <w:rPr>
          <w:rFonts w:hint="eastAsia" w:ascii="仿宋_GB2312" w:hAnsi="Times New Roman" w:eastAsia="仿宋_GB2312" w:cs="Times New Roman"/>
          <w:b/>
          <w:kern w:val="2"/>
          <w:sz w:val="32"/>
          <w:szCs w:val="32"/>
          <w:lang w:bidi="ar-SA"/>
        </w:rPr>
        <w:t>日</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440" w:firstLineChars="100"/>
        <w:jc w:val="left"/>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440" w:firstLineChars="100"/>
        <w:jc w:val="left"/>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440" w:firstLineChars="100"/>
        <w:jc w:val="left"/>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440" w:firstLineChars="100"/>
        <w:jc w:val="left"/>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321" w:firstLineChars="100"/>
        <w:jc w:val="left"/>
        <w:textAlignment w:val="auto"/>
        <w:outlineLvl w:val="9"/>
        <w:rPr>
          <w:rFonts w:hint="eastAsia" w:ascii="方正黑体简体" w:hAnsi="方正黑体简体" w:eastAsia="方正黑体简体" w:cs="方正黑体简体"/>
          <w:b/>
          <w:bCs/>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321" w:firstLineChars="100"/>
        <w:jc w:val="left"/>
        <w:textAlignment w:val="auto"/>
        <w:outlineLvl w:val="9"/>
        <w:rPr>
          <w:rFonts w:hint="eastAsia" w:ascii="方正黑体简体" w:hAnsi="方正黑体简体" w:eastAsia="方正黑体简体" w:cs="方正黑体简体"/>
          <w:b/>
          <w:bCs/>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jc w:val="left"/>
        <w:textAlignment w:val="auto"/>
        <w:outlineLvl w:val="9"/>
        <w:rPr>
          <w:rFonts w:hint="eastAsia" w:ascii="方正黑体简体" w:hAnsi="方正黑体简体" w:eastAsia="方正黑体简体" w:cs="方正黑体简体"/>
          <w:b/>
          <w:bCs/>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rightChars="0" w:firstLine="321" w:firstLineChars="100"/>
        <w:jc w:val="left"/>
        <w:textAlignment w:val="auto"/>
        <w:outlineLvl w:val="9"/>
        <w:rPr>
          <w:rFonts w:hint="eastAsia" w:ascii="黑体" w:hAnsi="黑体" w:eastAsia="黑体" w:cs="Courier New"/>
          <w:b/>
          <w:kern w:val="2"/>
          <w:sz w:val="32"/>
          <w:szCs w:val="32"/>
          <w:lang w:val="en-US" w:eastAsia="zh-CN" w:bidi="ar-SA"/>
        </w:rPr>
      </w:pPr>
      <w:r>
        <w:rPr>
          <w:rFonts w:hint="eastAsia" w:ascii="黑体" w:hAnsi="黑体" w:eastAsia="黑体" w:cs="Courier New"/>
          <w:b/>
          <w:kern w:val="2"/>
          <w:sz w:val="32"/>
          <w:szCs w:val="32"/>
          <w:lang w:val="en-US" w:eastAsia="zh-CN" w:bidi="ar-SA"/>
        </w:rPr>
        <w:t>附件</w:t>
      </w:r>
    </w:p>
    <w:p>
      <w:pPr>
        <w:widowControl w:val="0"/>
        <w:spacing w:line="600" w:lineRule="exact"/>
        <w:jc w:val="center"/>
        <w:rPr>
          <w:rFonts w:hint="eastAsia" w:ascii="方正小标宋简体" w:hAnsi="黑体" w:eastAsia="方正小标宋简体" w:cs="Courier New"/>
          <w:b/>
          <w:kern w:val="2"/>
          <w:sz w:val="44"/>
          <w:szCs w:val="44"/>
          <w:lang w:val="en-US" w:eastAsia="zh-CN" w:bidi="ar-SA"/>
        </w:rPr>
      </w:pPr>
      <w:r>
        <w:rPr>
          <w:rFonts w:hint="eastAsia" w:ascii="方正小标宋简体" w:hAnsi="黑体" w:eastAsia="方正小标宋简体" w:cs="Courier New"/>
          <w:b/>
          <w:kern w:val="2"/>
          <w:sz w:val="44"/>
          <w:szCs w:val="44"/>
          <w:lang w:val="en-US" w:eastAsia="zh-CN" w:bidi="ar-SA"/>
        </w:rPr>
        <w:t>蓬安县应急管理局</w:t>
      </w:r>
    </w:p>
    <w:p>
      <w:pPr>
        <w:widowControl w:val="0"/>
        <w:spacing w:line="600" w:lineRule="exact"/>
        <w:jc w:val="center"/>
        <w:rPr>
          <w:rFonts w:hint="eastAsia" w:ascii="方正小标宋简体" w:hAnsi="黑体" w:eastAsia="方正小标宋简体" w:cs="Courier New"/>
          <w:b/>
          <w:kern w:val="2"/>
          <w:sz w:val="44"/>
          <w:szCs w:val="44"/>
          <w:lang w:bidi="ar-SA"/>
        </w:rPr>
      </w:pPr>
      <w:r>
        <w:rPr>
          <w:rFonts w:hint="eastAsia" w:ascii="方正小标宋简体" w:hAnsi="黑体" w:eastAsia="方正小标宋简体" w:cs="Courier New"/>
          <w:b/>
          <w:kern w:val="2"/>
          <w:sz w:val="44"/>
          <w:szCs w:val="44"/>
          <w:lang w:eastAsia="zh-CN" w:bidi="ar-SA"/>
        </w:rPr>
        <w:t>2021</w:t>
      </w:r>
      <w:r>
        <w:rPr>
          <w:rFonts w:hint="eastAsia" w:ascii="方正小标宋简体" w:hAnsi="黑体" w:eastAsia="方正小标宋简体" w:cs="Courier New"/>
          <w:b/>
          <w:kern w:val="2"/>
          <w:sz w:val="44"/>
          <w:szCs w:val="44"/>
          <w:lang w:bidi="ar-SA"/>
        </w:rPr>
        <w:t>年度安全生产</w:t>
      </w:r>
      <w:r>
        <w:rPr>
          <w:rFonts w:hint="eastAsia" w:ascii="方正小标宋简体" w:hAnsi="黑体" w:eastAsia="方正小标宋简体" w:cs="Courier New"/>
          <w:b/>
          <w:kern w:val="2"/>
          <w:sz w:val="44"/>
          <w:szCs w:val="44"/>
          <w:lang w:val="en-US" w:eastAsia="zh-CN" w:bidi="ar-SA"/>
        </w:rPr>
        <w:t>监察执法</w:t>
      </w:r>
      <w:r>
        <w:rPr>
          <w:rFonts w:hint="eastAsia" w:ascii="方正小标宋简体" w:hAnsi="黑体" w:eastAsia="方正小标宋简体" w:cs="Courier New"/>
          <w:b/>
          <w:kern w:val="2"/>
          <w:sz w:val="44"/>
          <w:szCs w:val="44"/>
          <w:lang w:bidi="ar-SA"/>
        </w:rPr>
        <w:t>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仿宋_GB2312" w:hAnsi="Times New Roman" w:eastAsia="仿宋_GB2312" w:cs="Times New Roman"/>
          <w:b/>
          <w:kern w:val="2"/>
          <w:sz w:val="32"/>
          <w:szCs w:val="32"/>
          <w:lang w:val="en-US" w:eastAsia="zh-CN" w:bidi="ar-SA"/>
        </w:rPr>
        <w:t>为进一步加强安全生产依法行政工作，规范安全生产行政执法行为，根据《安全生产监管监察职责和行政执法责任追究的暂行规定》（国家安监总局令第24号）、《国家安全监管总局关于印发安全生产年度监督检查计划编制办法》的通知（安监总政法〔2017〕150号）、《国务院关于在市场监管领域全面推行部门联合“双随机、一公开”监管的意见》（国发〔2019〕5号）要求，结合我县安全生产工作实际，编制2021年度安全生产监察执法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黑体" w:hAnsi="黑体" w:eastAsia="黑体" w:cs="宋体"/>
          <w:b/>
          <w:kern w:val="2"/>
          <w:sz w:val="32"/>
          <w:szCs w:val="32"/>
          <w:lang w:val="en-US" w:eastAsia="zh-CN" w:bidi="ar-SA"/>
        </w:rPr>
        <w:t>一、指导思想和工作目标</w:t>
      </w:r>
    </w:p>
    <w:p>
      <w:pPr>
        <w:pStyle w:val="2"/>
        <w:spacing w:line="560" w:lineRule="exact"/>
        <w:ind w:firstLine="643" w:firstLineChars="200"/>
        <w:outlineLvl w:val="0"/>
        <w:rPr>
          <w:rFonts w:hint="eastAsia" w:ascii="仿宋_GB2312" w:hAnsi="Times New Roman" w:eastAsia="仿宋_GB2312" w:cs="Times New Roman"/>
          <w:b/>
          <w:kern w:val="2"/>
          <w:sz w:val="32"/>
          <w:szCs w:val="32"/>
          <w:lang w:val="en-US" w:eastAsia="zh-CN" w:bidi="ar-SA"/>
        </w:rPr>
      </w:pPr>
      <w:r>
        <w:rPr>
          <w:rFonts w:hint="eastAsia" w:ascii="方正楷体简体" w:hAnsi="方正楷体简体" w:eastAsia="方正楷体简体" w:cs="方正楷体简体"/>
          <w:b/>
          <w:kern w:val="2"/>
          <w:sz w:val="32"/>
          <w:szCs w:val="32"/>
          <w:lang w:val="en-US" w:eastAsia="zh-CN" w:bidi="ar-SA"/>
        </w:rPr>
        <w:t>（一）指导思想：</w:t>
      </w:r>
      <w:r>
        <w:rPr>
          <w:rFonts w:hint="eastAsia" w:ascii="仿宋_GB2312" w:hAnsi="Times New Roman" w:eastAsia="仿宋_GB2312" w:cs="Times New Roman"/>
          <w:b/>
          <w:kern w:val="2"/>
          <w:sz w:val="32"/>
          <w:szCs w:val="32"/>
          <w:lang w:val="en-US" w:eastAsia="zh-CN" w:bidi="ar-SA"/>
        </w:rPr>
        <w:t>以党的十九大和十九届二中、三中、四中、五中全会精神为指引，以习近平新时代中国特色社会主义思想和习近平总书记关于安全生产工作的重要论述和指示、李克强总理关于安全生产工作系列重要讲话精神为指导，坚持“安全第一、预防为主、综合治理”的方针，按照统筹兼顾、突出重点、提高效能的原则，突出直接监管工作重点，兼顾综合监管工作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1"/>
        <w:textAlignment w:val="auto"/>
        <w:outlineLvl w:val="9"/>
        <w:rPr>
          <w:rFonts w:hint="eastAsia" w:ascii="仿宋_GB2312" w:hAnsi="Times New Roman" w:eastAsia="仿宋_GB2312" w:cs="Times New Roman"/>
          <w:b/>
          <w:kern w:val="2"/>
          <w:sz w:val="32"/>
          <w:szCs w:val="32"/>
          <w:lang w:val="en-US" w:eastAsia="zh-CN" w:bidi="ar-SA"/>
        </w:rPr>
      </w:pPr>
      <w:r>
        <w:rPr>
          <w:rFonts w:hint="eastAsia" w:ascii="方正楷体简体" w:hAnsi="方正楷体简体" w:eastAsia="方正楷体简体" w:cs="方正楷体简体"/>
          <w:b/>
          <w:kern w:val="2"/>
          <w:sz w:val="32"/>
          <w:szCs w:val="32"/>
          <w:lang w:val="en-US" w:eastAsia="zh-CN" w:bidi="ar-SA"/>
        </w:rPr>
        <w:t>（二）工作目标：</w:t>
      </w:r>
      <w:r>
        <w:rPr>
          <w:rFonts w:hint="eastAsia" w:ascii="仿宋_GB2312" w:hAnsi="Times New Roman" w:eastAsia="仿宋_GB2312" w:cs="Times New Roman"/>
          <w:b/>
          <w:kern w:val="2"/>
          <w:sz w:val="32"/>
          <w:szCs w:val="32"/>
          <w:lang w:val="en-US" w:eastAsia="zh-CN" w:bidi="ar-SA"/>
        </w:rPr>
        <w:t>按照分级负责、属地监管的原则，对直接监管的重点生产经营单位，每年至少检查1次，其他直接监管的生产经营单位，每两年至少检查1次；认真履行综合监管职责，指导、督查其他负有安全生产监管职责的部门加强监管执法工作；坚持“四不两直”，积极组织开展各类执法活动，力争达到受理举报案件查处率100%，整改复查率100%，行政处罚案件结案率95%以上，执行到位率95%以上，行政处罚案件无重大失误；加强对各乡镇监察执法工作业务培训和指导，完成上级</w:t>
      </w:r>
      <w:r>
        <w:rPr>
          <w:rFonts w:hint="eastAsia" w:ascii="仿宋_GB2312" w:eastAsia="仿宋_GB2312"/>
          <w:b/>
          <w:color w:val="000000"/>
          <w:sz w:val="32"/>
          <w:szCs w:val="32"/>
        </w:rPr>
        <w:t>应急管理部门</w:t>
      </w:r>
      <w:r>
        <w:rPr>
          <w:rFonts w:hint="eastAsia" w:ascii="仿宋_GB2312" w:hAnsi="Times New Roman" w:eastAsia="仿宋_GB2312" w:cs="Times New Roman"/>
          <w:b/>
          <w:kern w:val="2"/>
          <w:sz w:val="32"/>
          <w:szCs w:val="32"/>
          <w:lang w:val="en-US" w:eastAsia="zh-CN" w:bidi="ar-SA"/>
        </w:rPr>
        <w:t>下达的相关执法工作任务。</w:t>
      </w:r>
    </w:p>
    <w:p>
      <w:pPr>
        <w:spacing w:line="560" w:lineRule="exact"/>
        <w:ind w:firstLine="630" w:firstLineChars="196"/>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楷体简体" w:hAnsi="方正楷体简体" w:eastAsia="方正楷体简体" w:cs="方正楷体简体"/>
          <w:b/>
          <w:kern w:val="2"/>
          <w:sz w:val="32"/>
          <w:szCs w:val="32"/>
          <w:lang w:val="en-US" w:eastAsia="zh-CN" w:bidi="ar-SA"/>
        </w:rPr>
        <w:t>（三）主要任务：</w:t>
      </w:r>
      <w:r>
        <w:rPr>
          <w:rFonts w:hint="eastAsia" w:ascii="仿宋_GB2312" w:eastAsia="仿宋_GB2312"/>
          <w:b/>
          <w:color w:val="000000"/>
          <w:sz w:val="32"/>
          <w:szCs w:val="32"/>
        </w:rPr>
        <w:t>紧紧围绕上级应急管理部门及县委、县政府关于安全生产工作部署要求，立足全县安全生产工作实际，突出安全生产专项整治三年行动，</w:t>
      </w:r>
      <w:r>
        <w:rPr>
          <w:rFonts w:hint="eastAsia" w:ascii="仿宋_GB2312" w:eastAsia="仿宋_GB2312"/>
          <w:b/>
          <w:sz w:val="32"/>
          <w:szCs w:val="32"/>
        </w:rPr>
        <w:t>开展执法监督检查。一是</w:t>
      </w:r>
      <w:r>
        <w:rPr>
          <w:rFonts w:hint="eastAsia" w:ascii="仿宋_GB2312" w:eastAsia="仿宋_GB2312"/>
          <w:b/>
          <w:color w:val="000000"/>
          <w:sz w:val="32"/>
          <w:szCs w:val="32"/>
        </w:rPr>
        <w:t>通过开展年度计划监督检查、专项</w:t>
      </w:r>
      <w:r>
        <w:rPr>
          <w:rFonts w:hint="eastAsia" w:ascii="仿宋_GB2312" w:hAnsi="宋体" w:eastAsia="仿宋_GB2312" w:cs="宋体"/>
          <w:b/>
          <w:kern w:val="0"/>
          <w:sz w:val="32"/>
          <w:szCs w:val="32"/>
        </w:rPr>
        <w:t>执法检查、“双随机”抽查和重点督查等活动，严厉打击安全生产领域非法违法行为，及时消除事故隐患，强化生产经营单位主体责任，督促建立完善应急响应机制。二是依法查处生产安全责任事故，严格问责追责。三是依法查处举报投诉电话、信访办理反馈的案件，提高查处力度。四是完成省、市应急部门以及其他行业主管部门部署的联合检查、重点督查等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宋体"/>
          <w:b/>
          <w:kern w:val="2"/>
          <w:sz w:val="32"/>
          <w:szCs w:val="32"/>
          <w:lang w:val="en-US" w:eastAsia="zh-CN" w:bidi="ar-SA"/>
        </w:rPr>
        <w:t>二、行政执法力量和工作日测算</w:t>
      </w:r>
    </w:p>
    <w:p>
      <w:pPr>
        <w:pStyle w:val="2"/>
        <w:spacing w:line="560" w:lineRule="exact"/>
        <w:ind w:firstLine="472" w:firstLineChars="147"/>
        <w:outlineLvl w:val="0"/>
        <w:rPr>
          <w:rFonts w:hint="eastAsia" w:ascii="方正楷体简体" w:hAnsi="方正楷体简体" w:eastAsia="方正楷体简体" w:cs="方正楷体简体"/>
          <w:b/>
          <w:kern w:val="2"/>
          <w:sz w:val="32"/>
          <w:szCs w:val="32"/>
          <w:lang w:val="en-US" w:eastAsia="zh-CN" w:bidi="ar-SA"/>
        </w:rPr>
      </w:pPr>
      <w:r>
        <w:rPr>
          <w:rFonts w:hint="eastAsia" w:ascii="方正楷体简体" w:hAnsi="方正楷体简体" w:eastAsia="方正楷体简体" w:cs="方正楷体简体"/>
          <w:b/>
          <w:kern w:val="2"/>
          <w:sz w:val="32"/>
          <w:szCs w:val="32"/>
          <w:lang w:val="en-US" w:eastAsia="zh-CN" w:bidi="ar-SA"/>
        </w:rPr>
        <w:t>（一）执法人员数量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eastAsia="仿宋_GB2312"/>
          <w:b/>
          <w:sz w:val="32"/>
          <w:szCs w:val="32"/>
        </w:rPr>
      </w:pPr>
      <w:r>
        <w:rPr>
          <w:rFonts w:hint="eastAsia" w:ascii="仿宋_GB2312" w:hAnsi="宋体" w:eastAsia="仿宋_GB2312" w:cs="宋体"/>
          <w:b/>
          <w:kern w:val="0"/>
          <w:sz w:val="32"/>
          <w:szCs w:val="32"/>
          <w:lang w:val="en-US" w:eastAsia="zh-CN" w:bidi="ar"/>
        </w:rPr>
        <w:t>本机关包括执法大队共有行政执法编制14人，其中，局机关股室3人。符合《国家安全监管总局关于印发安全生产监管年度执法工作计划编制办法的通知》“县级安全生产监督管理部门不得低于在册人数的80%”的要求。分为3个执法中队，覆盖全县执法检查。</w:t>
      </w:r>
    </w:p>
    <w:p>
      <w:pPr>
        <w:pStyle w:val="2"/>
        <w:spacing w:line="560" w:lineRule="exact"/>
        <w:ind w:firstLine="472" w:firstLineChars="147"/>
        <w:outlineLvl w:val="0"/>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kern w:val="2"/>
          <w:sz w:val="32"/>
          <w:szCs w:val="32"/>
          <w:lang w:val="en-US" w:eastAsia="zh-CN" w:bidi="ar-SA"/>
        </w:rPr>
        <w:t>（二）法定工作日分配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1.总法定工作日2750天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总法定工作日=法定工作日×行政执法人员数。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总法定工作日：（365－115）日×11人，共2750个工作日。</w:t>
      </w:r>
    </w:p>
    <w:p>
      <w:pPr>
        <w:pStyle w:val="2"/>
        <w:spacing w:line="560" w:lineRule="exact"/>
        <w:ind w:firstLine="643"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（1）2021年全年365天；</w:t>
      </w:r>
    </w:p>
    <w:p>
      <w:pPr>
        <w:pStyle w:val="2"/>
        <w:spacing w:line="560" w:lineRule="exact"/>
        <w:ind w:firstLine="643" w:firstLineChars="200"/>
        <w:rPr>
          <w:rFonts w:hint="eastAsia" w:ascii="仿宋_GB2312" w:hAnsi="Times New Roman" w:eastAsia="仿宋_GB2312" w:cs="Times New Roman"/>
          <w:b/>
          <w:sz w:val="32"/>
          <w:szCs w:val="32"/>
        </w:rPr>
      </w:pPr>
      <w:r>
        <w:rPr>
          <w:rFonts w:hint="eastAsia" w:ascii="仿宋_GB2312" w:hAnsi="宋体" w:eastAsia="仿宋_GB2312" w:cs="宋体"/>
          <w:b/>
          <w:kern w:val="0"/>
          <w:sz w:val="32"/>
          <w:szCs w:val="32"/>
        </w:rPr>
        <w:t>（2）全年53周，每周法定</w:t>
      </w:r>
      <w:r>
        <w:rPr>
          <w:rFonts w:hint="eastAsia" w:ascii="仿宋_GB2312" w:hAnsi="Times New Roman" w:eastAsia="仿宋_GB2312" w:cs="Times New Roman"/>
          <w:b/>
          <w:sz w:val="32"/>
          <w:szCs w:val="32"/>
        </w:rPr>
        <w:t>假日2天，计入元旦、春节、清明、五一、端午、中秋和国庆节法定节假日时间，全年共计法定假日115天；</w:t>
      </w:r>
    </w:p>
    <w:p>
      <w:pPr>
        <w:pStyle w:val="2"/>
        <w:spacing w:line="56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（3）行政执法人员按</w:t>
      </w:r>
      <w:r>
        <w:rPr>
          <w:rFonts w:hint="eastAsia" w:ascii="仿宋_GB2312" w:hAnsi="Times New Roman" w:eastAsia="仿宋_GB2312" w:cs="Times New Roman"/>
          <w:b/>
          <w:sz w:val="32"/>
          <w:szCs w:val="32"/>
          <w:lang w:val="en-US" w:eastAsia="zh-CN"/>
        </w:rPr>
        <w:t>11</w:t>
      </w:r>
      <w:r>
        <w:rPr>
          <w:rFonts w:hint="eastAsia" w:ascii="仿宋_GB2312" w:hAnsi="Times New Roman" w:eastAsia="仿宋_GB2312" w:cs="Times New Roman"/>
          <w:b/>
          <w:sz w:val="32"/>
          <w:szCs w:val="32"/>
        </w:rPr>
        <w:t>人计算。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2.其他执法工作日，共1500个工作日。按前3年平均数测算包括：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（1）事故调查处理：200个工作日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（2）举报查处：150个工作日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（3）联合执法、安全生产隐患排查治理：600个工作日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（4）有关报告、制度、安全措施的备案：100个工作日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（5）执法听证、行政复议、行政应诉：50个工作日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（6）上级部门安排的工作任务：400个工作日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3.非执法工作日，共660个工作日。按前3年平均数测算约为60日×11人。包括值班、学习、培训、会议、病事假、检查指导下级安全监管、法定年休假、参加党群活动等。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4.执法检查工作日=总法定工作日－其他执法工作日－非执法工作日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仿宋_GB2312" w:hAnsi="宋体" w:eastAsia="仿宋_GB2312" w:cs="宋体"/>
          <w:b/>
          <w:kern w:val="0"/>
          <w:sz w:val="32"/>
          <w:szCs w:val="32"/>
          <w:lang w:val="en-US" w:eastAsia="zh-CN" w:bidi="ar"/>
        </w:rPr>
      </w:pPr>
      <w:r>
        <w:rPr>
          <w:rFonts w:hint="eastAsia" w:ascii="仿宋_GB2312" w:hAnsi="宋体" w:eastAsia="仿宋_GB2312" w:cs="宋体"/>
          <w:b/>
          <w:kern w:val="0"/>
          <w:sz w:val="32"/>
          <w:szCs w:val="32"/>
          <w:lang w:val="en-US" w:eastAsia="zh-CN" w:bidi="ar"/>
        </w:rPr>
        <w:t>执法检查工作日：2750－1500－660，共590个工作日。</w:t>
      </w:r>
    </w:p>
    <w:p>
      <w:pPr>
        <w:ind w:firstLine="643" w:firstLineChars="200"/>
        <w:jc w:val="left"/>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三</w:t>
      </w:r>
      <w:r>
        <w:rPr>
          <w:rFonts w:ascii="方正黑体简体" w:hAnsi="方正黑体简体" w:eastAsia="方正黑体简体" w:cs="方正黑体简体"/>
          <w:b/>
          <w:bCs/>
          <w:sz w:val="32"/>
          <w:szCs w:val="32"/>
        </w:rPr>
        <w:t>、监察执法具体任务</w:t>
      </w:r>
    </w:p>
    <w:p>
      <w:pPr>
        <w:ind w:firstLine="643" w:firstLineChars="200"/>
        <w:rPr>
          <w:rFonts w:ascii="方正楷体简体" w:hAnsi="方正楷体简体" w:eastAsia="方正楷体简体" w:cs="方正楷体简体"/>
          <w:b/>
          <w:bCs/>
          <w:sz w:val="32"/>
          <w:szCs w:val="32"/>
        </w:rPr>
      </w:pPr>
      <w:r>
        <w:rPr>
          <w:rFonts w:ascii="方正楷体简体" w:hAnsi="方正楷体简体" w:eastAsia="方正楷体简体" w:cs="方正楷体简体"/>
          <w:b/>
          <w:bCs/>
          <w:sz w:val="32"/>
          <w:szCs w:val="32"/>
        </w:rPr>
        <w:t>（一）监察执法的责任分工</w:t>
      </w:r>
    </w:p>
    <w:p>
      <w:pPr>
        <w:ind w:firstLine="643" w:firstLineChars="200"/>
        <w:rPr>
          <w:rFonts w:eastAsia="方正仿宋简体"/>
          <w:b/>
          <w:bCs/>
          <w:sz w:val="32"/>
          <w:szCs w:val="32"/>
        </w:rPr>
      </w:pPr>
      <w:r>
        <w:rPr>
          <w:rFonts w:eastAsia="方正仿宋简体"/>
          <w:b/>
          <w:bCs/>
          <w:sz w:val="32"/>
          <w:szCs w:val="32"/>
        </w:rPr>
        <w:t>按照国、省、市安全生产监察执法工作要求，结合我局各股室和执法大队职能职责，责任分工如下：</w:t>
      </w:r>
    </w:p>
    <w:p>
      <w:pPr>
        <w:ind w:firstLine="643" w:firstLineChars="200"/>
        <w:rPr>
          <w:rFonts w:eastAsia="方正仿宋简体"/>
          <w:b/>
          <w:bCs/>
          <w:sz w:val="32"/>
          <w:szCs w:val="32"/>
        </w:rPr>
      </w:pPr>
      <w:r>
        <w:rPr>
          <w:rFonts w:eastAsia="方正仿宋简体"/>
          <w:b/>
          <w:bCs/>
          <w:sz w:val="32"/>
          <w:szCs w:val="32"/>
        </w:rPr>
        <w:t>1.</w:t>
      </w:r>
      <w:r>
        <w:rPr>
          <w:rFonts w:hint="eastAsia" w:eastAsia="方正仿宋简体"/>
          <w:b/>
          <w:bCs/>
          <w:sz w:val="32"/>
          <w:szCs w:val="32"/>
          <w:lang w:eastAsia="zh-CN"/>
        </w:rPr>
        <w:t>危化</w:t>
      </w:r>
      <w:r>
        <w:rPr>
          <w:rFonts w:eastAsia="方正仿宋简体"/>
          <w:b/>
          <w:bCs/>
          <w:sz w:val="32"/>
          <w:szCs w:val="32"/>
        </w:rPr>
        <w:t>股：负责</w:t>
      </w:r>
      <w:r>
        <w:rPr>
          <w:rFonts w:eastAsia="方正仿宋简体"/>
          <w:b/>
          <w:bCs/>
          <w:color w:val="auto"/>
          <w:sz w:val="32"/>
          <w:szCs w:val="32"/>
        </w:rPr>
        <w:t>对</w:t>
      </w:r>
      <w:r>
        <w:rPr>
          <w:rFonts w:hint="eastAsia" w:eastAsia="方正仿宋简体"/>
          <w:b/>
          <w:bCs/>
          <w:color w:val="auto"/>
          <w:sz w:val="32"/>
          <w:szCs w:val="32"/>
          <w:lang w:val="en-US" w:eastAsia="zh-CN"/>
        </w:rPr>
        <w:t>24</w:t>
      </w:r>
      <w:r>
        <w:rPr>
          <w:rFonts w:eastAsia="方正仿宋简体"/>
          <w:b/>
          <w:bCs/>
          <w:color w:val="auto"/>
          <w:sz w:val="32"/>
          <w:szCs w:val="32"/>
        </w:rPr>
        <w:t>家</w:t>
      </w:r>
      <w:r>
        <w:rPr>
          <w:rFonts w:eastAsia="方正仿宋简体"/>
          <w:b/>
          <w:bCs/>
          <w:sz w:val="32"/>
          <w:szCs w:val="32"/>
        </w:rPr>
        <w:t>危险化学品、烟花爆竹行业的重点检查单位进行监察执法。</w:t>
      </w:r>
    </w:p>
    <w:p>
      <w:pPr>
        <w:ind w:firstLine="643" w:firstLineChars="200"/>
        <w:rPr>
          <w:rFonts w:eastAsia="方正仿宋简体"/>
          <w:b/>
          <w:bCs/>
          <w:sz w:val="32"/>
          <w:szCs w:val="32"/>
        </w:rPr>
      </w:pPr>
      <w:r>
        <w:rPr>
          <w:rFonts w:eastAsia="方正仿宋简体"/>
          <w:b/>
          <w:bCs/>
          <w:sz w:val="32"/>
          <w:szCs w:val="32"/>
        </w:rPr>
        <w:t>2.</w:t>
      </w:r>
      <w:r>
        <w:rPr>
          <w:rFonts w:hint="eastAsia" w:eastAsia="方正仿宋简体"/>
          <w:b/>
          <w:bCs/>
          <w:sz w:val="32"/>
          <w:szCs w:val="32"/>
          <w:lang w:eastAsia="zh-CN"/>
        </w:rPr>
        <w:t>安全基础</w:t>
      </w:r>
      <w:r>
        <w:rPr>
          <w:rFonts w:eastAsia="方正仿宋简体"/>
          <w:b/>
          <w:bCs/>
          <w:sz w:val="32"/>
          <w:szCs w:val="32"/>
        </w:rPr>
        <w:t>股：负责</w:t>
      </w:r>
      <w:r>
        <w:rPr>
          <w:rFonts w:eastAsia="方正仿宋简体"/>
          <w:b/>
          <w:bCs/>
          <w:color w:val="auto"/>
          <w:sz w:val="32"/>
          <w:szCs w:val="32"/>
        </w:rPr>
        <w:t>对</w:t>
      </w:r>
      <w:r>
        <w:rPr>
          <w:rFonts w:hint="eastAsia" w:eastAsia="方正仿宋简体"/>
          <w:b/>
          <w:bCs/>
          <w:color w:val="auto"/>
          <w:sz w:val="32"/>
          <w:szCs w:val="32"/>
          <w:lang w:val="en-US" w:eastAsia="zh-CN"/>
        </w:rPr>
        <w:t>12</w:t>
      </w:r>
      <w:r>
        <w:rPr>
          <w:rFonts w:eastAsia="方正仿宋简体"/>
          <w:b/>
          <w:bCs/>
          <w:color w:val="auto"/>
          <w:sz w:val="32"/>
          <w:szCs w:val="32"/>
        </w:rPr>
        <w:t>家工</w:t>
      </w:r>
      <w:r>
        <w:rPr>
          <w:rFonts w:eastAsia="方正仿宋简体"/>
          <w:b/>
          <w:bCs/>
          <w:sz w:val="32"/>
          <w:szCs w:val="32"/>
        </w:rPr>
        <w:t>业行业</w:t>
      </w:r>
      <w:r>
        <w:rPr>
          <w:rFonts w:hint="eastAsia" w:eastAsia="方正仿宋简体"/>
          <w:b/>
          <w:bCs/>
          <w:sz w:val="32"/>
          <w:szCs w:val="32"/>
          <w:lang w:eastAsia="zh-CN"/>
        </w:rPr>
        <w:t>砖瓦窑厂</w:t>
      </w:r>
      <w:r>
        <w:rPr>
          <w:rFonts w:eastAsia="方正仿宋简体"/>
          <w:b/>
          <w:bCs/>
          <w:sz w:val="32"/>
          <w:szCs w:val="32"/>
        </w:rPr>
        <w:t>的重点检查单位进行监察执法。</w:t>
      </w:r>
    </w:p>
    <w:p>
      <w:pPr>
        <w:ind w:firstLine="643" w:firstLineChars="200"/>
        <w:rPr>
          <w:rFonts w:eastAsia="方正仿宋简体"/>
          <w:b/>
          <w:bCs/>
          <w:sz w:val="32"/>
          <w:szCs w:val="32"/>
        </w:rPr>
      </w:pPr>
      <w:r>
        <w:rPr>
          <w:rFonts w:eastAsia="方正仿宋简体"/>
          <w:b/>
          <w:bCs/>
          <w:sz w:val="32"/>
          <w:szCs w:val="32"/>
        </w:rPr>
        <w:t>3.执法大队：负责负责</w:t>
      </w:r>
      <w:r>
        <w:rPr>
          <w:rFonts w:eastAsia="方正仿宋简体"/>
          <w:b/>
          <w:bCs/>
          <w:color w:val="auto"/>
          <w:sz w:val="32"/>
          <w:szCs w:val="32"/>
        </w:rPr>
        <w:t>对</w:t>
      </w:r>
      <w:r>
        <w:rPr>
          <w:rFonts w:hint="eastAsia" w:eastAsia="方正仿宋简体"/>
          <w:b/>
          <w:bCs/>
          <w:color w:val="auto"/>
          <w:sz w:val="32"/>
          <w:szCs w:val="32"/>
          <w:lang w:val="en-US" w:eastAsia="zh-CN"/>
        </w:rPr>
        <w:t>24</w:t>
      </w:r>
      <w:r>
        <w:rPr>
          <w:rFonts w:eastAsia="方正仿宋简体"/>
          <w:b/>
          <w:bCs/>
          <w:color w:val="auto"/>
          <w:sz w:val="32"/>
          <w:szCs w:val="32"/>
        </w:rPr>
        <w:t>家一</w:t>
      </w:r>
      <w:r>
        <w:rPr>
          <w:rFonts w:eastAsia="方正仿宋简体"/>
          <w:b/>
          <w:bCs/>
          <w:sz w:val="32"/>
          <w:szCs w:val="32"/>
        </w:rPr>
        <w:t>般检查单位进行监察执法。</w:t>
      </w:r>
    </w:p>
    <w:p>
      <w:pPr>
        <w:ind w:firstLine="643" w:firstLineChars="200"/>
        <w:rPr>
          <w:rFonts w:ascii="方正楷体简体" w:hAnsi="方正楷体简体" w:eastAsia="方正楷体简体" w:cs="方正楷体简体"/>
          <w:b/>
          <w:bCs/>
          <w:sz w:val="32"/>
          <w:szCs w:val="32"/>
        </w:rPr>
      </w:pPr>
      <w:r>
        <w:rPr>
          <w:rFonts w:ascii="方正楷体简体" w:hAnsi="方正楷体简体" w:eastAsia="方正楷体简体" w:cs="方正楷体简体"/>
          <w:b/>
          <w:bCs/>
          <w:sz w:val="32"/>
          <w:szCs w:val="32"/>
        </w:rPr>
        <w:t>（二）监察执法主要内容</w:t>
      </w:r>
    </w:p>
    <w:p>
      <w:pPr>
        <w:ind w:firstLine="643" w:firstLineChars="200"/>
        <w:rPr>
          <w:rFonts w:eastAsia="方正仿宋简体"/>
          <w:b/>
          <w:bCs/>
          <w:sz w:val="32"/>
          <w:szCs w:val="32"/>
        </w:rPr>
      </w:pPr>
      <w:r>
        <w:rPr>
          <w:rFonts w:eastAsia="方正仿宋简体"/>
          <w:b/>
          <w:bCs/>
          <w:sz w:val="32"/>
          <w:szCs w:val="32"/>
        </w:rPr>
        <w:t>按照《</w:t>
      </w:r>
      <w:r>
        <w:rPr>
          <w:rFonts w:hint="eastAsia" w:ascii="仿宋_GB2312" w:hAnsi="Times New Roman" w:eastAsia="仿宋_GB2312" w:cs="Times New Roman"/>
          <w:b/>
          <w:kern w:val="2"/>
          <w:sz w:val="32"/>
          <w:szCs w:val="32"/>
          <w:lang w:val="en-US" w:eastAsia="zh-CN" w:bidi="ar-SA"/>
        </w:rPr>
        <w:t>中华人民共和国</w:t>
      </w:r>
      <w:r>
        <w:rPr>
          <w:rFonts w:eastAsia="方正仿宋简体"/>
          <w:b/>
          <w:bCs/>
          <w:sz w:val="32"/>
          <w:szCs w:val="32"/>
        </w:rPr>
        <w:t>安全生产法》和《安全生产监管监察职责和行政执法责任追究的暂行规定》的相关规定，重点检查以下1</w:t>
      </w:r>
      <w:r>
        <w:rPr>
          <w:rFonts w:hint="eastAsia" w:eastAsia="方正仿宋简体"/>
          <w:b/>
          <w:bCs/>
          <w:sz w:val="32"/>
          <w:szCs w:val="32"/>
          <w:lang w:val="en-US" w:eastAsia="zh-CN"/>
        </w:rPr>
        <w:t>5</w:t>
      </w:r>
      <w:r>
        <w:rPr>
          <w:rFonts w:eastAsia="方正仿宋简体"/>
          <w:b/>
          <w:bCs/>
          <w:sz w:val="32"/>
          <w:szCs w:val="32"/>
        </w:rPr>
        <w:t>个方面的内容：</w:t>
      </w:r>
    </w:p>
    <w:p>
      <w:pPr>
        <w:ind w:firstLine="643" w:firstLineChars="200"/>
        <w:rPr>
          <w:rFonts w:eastAsia="方正仿宋简体"/>
          <w:b/>
          <w:bCs/>
          <w:sz w:val="32"/>
          <w:szCs w:val="32"/>
        </w:rPr>
      </w:pPr>
      <w:r>
        <w:rPr>
          <w:rFonts w:eastAsia="方正仿宋简体"/>
          <w:b/>
          <w:bCs/>
          <w:sz w:val="32"/>
          <w:szCs w:val="32"/>
        </w:rPr>
        <w:t>1.依法取得有关安全生产行政许可的情况；</w:t>
      </w:r>
    </w:p>
    <w:p>
      <w:pPr>
        <w:ind w:firstLine="643" w:firstLineChars="200"/>
        <w:rPr>
          <w:rFonts w:eastAsia="方正仿宋简体"/>
          <w:b/>
          <w:bCs/>
          <w:sz w:val="32"/>
          <w:szCs w:val="32"/>
        </w:rPr>
      </w:pPr>
      <w:r>
        <w:rPr>
          <w:rFonts w:eastAsia="方正仿宋简体"/>
          <w:b/>
          <w:bCs/>
          <w:sz w:val="32"/>
          <w:szCs w:val="32"/>
        </w:rPr>
        <w:t>2.建立和落实安全生产责任制，建立安全生产检查、教育培训、奖惩以及设施设备安全管理、劳动防护用品配备和管理、危险作业安全管理、特种作业管理、事故报告处理等规章制度和操作规程、作业规程的情况；</w:t>
      </w:r>
    </w:p>
    <w:p>
      <w:pPr>
        <w:ind w:firstLine="643" w:firstLineChars="200"/>
        <w:rPr>
          <w:rFonts w:eastAsia="方正仿宋简体"/>
          <w:b/>
          <w:bCs/>
          <w:sz w:val="32"/>
          <w:szCs w:val="32"/>
        </w:rPr>
      </w:pPr>
      <w:r>
        <w:rPr>
          <w:rFonts w:eastAsia="方正仿宋简体"/>
          <w:b/>
          <w:bCs/>
          <w:sz w:val="32"/>
          <w:szCs w:val="32"/>
        </w:rPr>
        <w:t>3.按照国家规定提取和使用安全生产费用、安全责任险投保，以及其他安全生产投入（资金）的情况；</w:t>
      </w:r>
    </w:p>
    <w:p>
      <w:pPr>
        <w:ind w:firstLine="643" w:firstLineChars="200"/>
        <w:rPr>
          <w:rFonts w:eastAsia="方正仿宋简体"/>
          <w:b/>
          <w:bCs/>
          <w:sz w:val="32"/>
          <w:szCs w:val="32"/>
        </w:rPr>
      </w:pPr>
      <w:r>
        <w:rPr>
          <w:rFonts w:eastAsia="方正仿宋简体"/>
          <w:b/>
          <w:bCs/>
          <w:sz w:val="32"/>
          <w:szCs w:val="32"/>
        </w:rPr>
        <w:t>4.依法设置安全生产管理机构和配备安全生产管理人员的情况；</w:t>
      </w:r>
    </w:p>
    <w:p>
      <w:pPr>
        <w:ind w:firstLine="643" w:firstLineChars="200"/>
        <w:rPr>
          <w:rFonts w:eastAsia="方正仿宋简体"/>
          <w:b/>
          <w:bCs/>
          <w:sz w:val="32"/>
          <w:szCs w:val="32"/>
        </w:rPr>
      </w:pPr>
      <w:r>
        <w:rPr>
          <w:rFonts w:eastAsia="方正仿宋简体"/>
          <w:b/>
          <w:bCs/>
          <w:sz w:val="32"/>
          <w:szCs w:val="32"/>
        </w:rPr>
        <w:t>5.从业人员受到安全生产教育和培训，取得有关安全资格证书的情况；</w:t>
      </w:r>
    </w:p>
    <w:p>
      <w:pPr>
        <w:ind w:firstLine="643" w:firstLineChars="200"/>
        <w:rPr>
          <w:rFonts w:eastAsia="方正仿宋简体"/>
          <w:b/>
          <w:bCs/>
          <w:sz w:val="32"/>
          <w:szCs w:val="32"/>
        </w:rPr>
      </w:pPr>
      <w:r>
        <w:rPr>
          <w:rFonts w:eastAsia="方正仿宋简体"/>
          <w:b/>
          <w:bCs/>
          <w:sz w:val="32"/>
          <w:szCs w:val="32"/>
        </w:rPr>
        <w:t>6.新建、改建、扩建工程项目的安全设施与主体工程同时设计、同时施工、同时投入生产和使用，以及按规定办理设计审查和竣工验收的情况；</w:t>
      </w:r>
    </w:p>
    <w:p>
      <w:pPr>
        <w:ind w:firstLine="643" w:firstLineChars="200"/>
        <w:rPr>
          <w:rFonts w:eastAsia="方正仿宋简体"/>
          <w:b/>
          <w:bCs/>
          <w:sz w:val="32"/>
          <w:szCs w:val="32"/>
        </w:rPr>
      </w:pPr>
      <w:r>
        <w:rPr>
          <w:rFonts w:eastAsia="方正仿宋简体"/>
          <w:b/>
          <w:bCs/>
          <w:sz w:val="32"/>
          <w:szCs w:val="32"/>
        </w:rPr>
        <w:t>7.危险作业相关负责人现场带班、制定安全防范措施、设置作业现场安全区域等情况；</w:t>
      </w:r>
    </w:p>
    <w:p>
      <w:pPr>
        <w:ind w:firstLine="643" w:firstLineChars="200"/>
        <w:rPr>
          <w:rFonts w:eastAsia="方正仿宋简体"/>
          <w:b/>
          <w:bCs/>
          <w:sz w:val="32"/>
          <w:szCs w:val="32"/>
        </w:rPr>
      </w:pPr>
      <w:r>
        <w:rPr>
          <w:rFonts w:eastAsia="方正仿宋简体"/>
          <w:b/>
          <w:bCs/>
          <w:sz w:val="32"/>
          <w:szCs w:val="32"/>
        </w:rPr>
        <w:t>8.对承包单位、承租单位的安全生产工作实行统一协调、管理的情况；</w:t>
      </w:r>
    </w:p>
    <w:p>
      <w:pPr>
        <w:ind w:firstLine="643" w:firstLineChars="200"/>
        <w:rPr>
          <w:rFonts w:eastAsia="方正仿宋简体"/>
          <w:b/>
          <w:bCs/>
          <w:sz w:val="32"/>
          <w:szCs w:val="32"/>
        </w:rPr>
      </w:pPr>
      <w:r>
        <w:rPr>
          <w:rFonts w:eastAsia="方正仿宋简体"/>
          <w:b/>
          <w:bCs/>
          <w:sz w:val="32"/>
          <w:szCs w:val="32"/>
        </w:rPr>
        <w:t>9.为从业人员提供符合国家标准或者行业标准的劳动防护用品，及教育、督促从业人员正确佩戴和使用的情况；</w:t>
      </w:r>
    </w:p>
    <w:p>
      <w:pPr>
        <w:ind w:firstLine="643" w:firstLineChars="200"/>
        <w:rPr>
          <w:rFonts w:eastAsia="方正仿宋简体"/>
          <w:b/>
          <w:bCs/>
          <w:sz w:val="32"/>
          <w:szCs w:val="32"/>
        </w:rPr>
      </w:pPr>
      <w:r>
        <w:rPr>
          <w:rFonts w:eastAsia="方正仿宋简体"/>
          <w:b/>
          <w:bCs/>
          <w:sz w:val="32"/>
          <w:szCs w:val="32"/>
        </w:rPr>
        <w:t>10.组织安全生产日常检查，及时排查、上报治理事故隐患，建立健全日常检查记录和隐患排查治理档案的情况；</w:t>
      </w:r>
    </w:p>
    <w:p>
      <w:pPr>
        <w:ind w:firstLine="643" w:firstLineChars="200"/>
        <w:rPr>
          <w:rFonts w:eastAsia="方正仿宋简体"/>
          <w:b/>
          <w:bCs/>
          <w:sz w:val="32"/>
          <w:szCs w:val="32"/>
        </w:rPr>
      </w:pPr>
      <w:r>
        <w:rPr>
          <w:rFonts w:eastAsia="方正仿宋简体"/>
          <w:b/>
          <w:bCs/>
          <w:sz w:val="32"/>
          <w:szCs w:val="32"/>
        </w:rPr>
        <w:t>12.作业场所安全设施（检测报警设施、设备安全防护设施、防爆设施、作业场所防护设施、安全警示标志、泄压和止逆设施、紧急处理设施、逃生避难设施、劳动防护用品等）的配置配备、检测检验、日常检查、维护保养的情况；</w:t>
      </w:r>
    </w:p>
    <w:p>
      <w:pPr>
        <w:ind w:firstLine="643" w:firstLineChars="200"/>
        <w:rPr>
          <w:rFonts w:eastAsia="方正仿宋简体"/>
          <w:b/>
          <w:bCs/>
          <w:sz w:val="32"/>
          <w:szCs w:val="32"/>
        </w:rPr>
      </w:pPr>
      <w:r>
        <w:rPr>
          <w:rFonts w:eastAsia="方正仿宋简体"/>
          <w:b/>
          <w:bCs/>
          <w:sz w:val="32"/>
          <w:szCs w:val="32"/>
        </w:rPr>
        <w:t>13</w:t>
      </w:r>
      <w:r>
        <w:rPr>
          <w:rFonts w:hint="eastAsia" w:eastAsia="方正仿宋简体"/>
          <w:b/>
          <w:bCs/>
          <w:sz w:val="32"/>
          <w:szCs w:val="32"/>
          <w:lang w:val="en-US" w:eastAsia="zh-CN"/>
        </w:rPr>
        <w:t>.</w:t>
      </w:r>
      <w:r>
        <w:rPr>
          <w:rFonts w:eastAsia="方正仿宋简体"/>
          <w:b/>
          <w:bCs/>
          <w:sz w:val="32"/>
          <w:szCs w:val="32"/>
        </w:rPr>
        <w:t>制定、实施生产安全事故应急预案以及应急预案备案，建立应急救援组织、配备应急救援器材、设备、应急物资储备、开展应急救援预案演练的情况；</w:t>
      </w:r>
    </w:p>
    <w:p>
      <w:pPr>
        <w:ind w:firstLine="643" w:firstLineChars="200"/>
        <w:rPr>
          <w:rFonts w:eastAsia="方正仿宋简体"/>
          <w:b/>
          <w:bCs/>
          <w:sz w:val="32"/>
          <w:szCs w:val="32"/>
        </w:rPr>
      </w:pPr>
      <w:r>
        <w:rPr>
          <w:rFonts w:eastAsia="方正仿宋简体"/>
          <w:b/>
          <w:bCs/>
          <w:sz w:val="32"/>
          <w:szCs w:val="32"/>
        </w:rPr>
        <w:t>1</w:t>
      </w:r>
      <w:r>
        <w:rPr>
          <w:rFonts w:hint="eastAsia" w:eastAsia="方正仿宋简体"/>
          <w:b/>
          <w:bCs/>
          <w:sz w:val="32"/>
          <w:szCs w:val="32"/>
          <w:lang w:val="en-US" w:eastAsia="zh-CN"/>
        </w:rPr>
        <w:t>4</w:t>
      </w:r>
      <w:r>
        <w:rPr>
          <w:rFonts w:eastAsia="方正仿宋简体"/>
          <w:b/>
          <w:bCs/>
          <w:sz w:val="32"/>
          <w:szCs w:val="32"/>
        </w:rPr>
        <w:t>.按照规定报告生产安全事故的情况；</w:t>
      </w:r>
    </w:p>
    <w:p>
      <w:pPr>
        <w:ind w:firstLine="643" w:firstLineChars="200"/>
        <w:rPr>
          <w:rFonts w:eastAsia="方正仿宋简体"/>
          <w:b/>
          <w:bCs/>
          <w:sz w:val="32"/>
          <w:szCs w:val="32"/>
        </w:rPr>
      </w:pPr>
      <w:r>
        <w:rPr>
          <w:rFonts w:eastAsia="方正仿宋简体"/>
          <w:b/>
          <w:bCs/>
          <w:sz w:val="32"/>
          <w:szCs w:val="32"/>
        </w:rPr>
        <w:t>1</w:t>
      </w:r>
      <w:r>
        <w:rPr>
          <w:rFonts w:hint="eastAsia" w:eastAsia="方正仿宋简体"/>
          <w:b/>
          <w:bCs/>
          <w:sz w:val="32"/>
          <w:szCs w:val="32"/>
          <w:lang w:val="en-US" w:eastAsia="zh-CN"/>
        </w:rPr>
        <w:t>5</w:t>
      </w:r>
      <w:r>
        <w:rPr>
          <w:rFonts w:eastAsia="方正仿宋简体"/>
          <w:b/>
          <w:bCs/>
          <w:sz w:val="32"/>
          <w:szCs w:val="32"/>
        </w:rPr>
        <w:t>.其它有关生产安全检查的事项。</w:t>
      </w:r>
    </w:p>
    <w:p>
      <w:pPr>
        <w:ind w:firstLine="643" w:firstLineChars="200"/>
        <w:rPr>
          <w:rFonts w:ascii="方正楷体简体" w:hAnsi="方正楷体简体" w:eastAsia="方正楷体简体" w:cs="方正楷体简体"/>
          <w:b/>
          <w:bCs/>
          <w:sz w:val="32"/>
          <w:szCs w:val="32"/>
        </w:rPr>
      </w:pPr>
      <w:r>
        <w:rPr>
          <w:rFonts w:ascii="方正楷体简体" w:hAnsi="方正楷体简体" w:eastAsia="方正楷体简体" w:cs="方正楷体简体"/>
          <w:b/>
          <w:bCs/>
          <w:sz w:val="32"/>
          <w:szCs w:val="32"/>
        </w:rPr>
        <w:t>（三）监察执法的方式</w:t>
      </w:r>
    </w:p>
    <w:p>
      <w:pPr>
        <w:ind w:firstLine="643" w:firstLineChars="200"/>
        <w:jc w:val="left"/>
        <w:rPr>
          <w:rFonts w:eastAsia="方正仿宋简体"/>
          <w:b/>
          <w:bCs/>
          <w:sz w:val="32"/>
          <w:szCs w:val="32"/>
        </w:rPr>
      </w:pPr>
      <w:r>
        <w:rPr>
          <w:rFonts w:eastAsia="方正仿宋简体"/>
          <w:b/>
          <w:bCs/>
          <w:sz w:val="32"/>
          <w:szCs w:val="32"/>
        </w:rPr>
        <w:t>1．各股室、执法大队要将全年监察执法计划按月进行分解，随机从名录库抽取被检查单位；每次检查前要做好书面检查方案，明确检查人员、时间、场所、内容等并报主要领导审批后实施。</w:t>
      </w:r>
    </w:p>
    <w:p>
      <w:pPr>
        <w:ind w:firstLine="643" w:firstLineChars="200"/>
        <w:jc w:val="left"/>
        <w:rPr>
          <w:rFonts w:eastAsia="方正仿宋简体"/>
          <w:b/>
          <w:bCs/>
          <w:sz w:val="32"/>
          <w:szCs w:val="32"/>
        </w:rPr>
      </w:pPr>
      <w:r>
        <w:rPr>
          <w:rFonts w:eastAsia="方正仿宋简体"/>
          <w:b/>
          <w:bCs/>
          <w:sz w:val="32"/>
          <w:szCs w:val="32"/>
        </w:rPr>
        <w:t>2．执法检查通过现场检查、查阅资料、调查询问等方式进行。参与监察执法的行政执法人员不得少于2人，必须亮证执法。每次监察执法应当填写《现场检查记录》或《</w:t>
      </w:r>
      <w:r>
        <w:rPr>
          <w:rFonts w:hint="eastAsia" w:eastAsia="方正仿宋简体"/>
          <w:b/>
          <w:bCs/>
          <w:sz w:val="32"/>
          <w:szCs w:val="32"/>
          <w:lang w:eastAsia="zh-CN"/>
        </w:rPr>
        <w:t>调查</w:t>
      </w:r>
      <w:r>
        <w:rPr>
          <w:rFonts w:eastAsia="方正仿宋简体"/>
          <w:b/>
          <w:bCs/>
          <w:sz w:val="32"/>
          <w:szCs w:val="32"/>
        </w:rPr>
        <w:t>询问笔录》，并由被检查单位相关人员或被询问人签字确认；</w:t>
      </w:r>
    </w:p>
    <w:p>
      <w:pPr>
        <w:ind w:firstLine="643" w:firstLineChars="200"/>
        <w:rPr>
          <w:rFonts w:eastAsia="方正仿宋简体"/>
          <w:b/>
          <w:bCs/>
          <w:sz w:val="32"/>
          <w:szCs w:val="32"/>
        </w:rPr>
      </w:pPr>
      <w:r>
        <w:rPr>
          <w:rFonts w:eastAsia="方正仿宋简体"/>
          <w:b/>
          <w:bCs/>
          <w:sz w:val="32"/>
          <w:szCs w:val="32"/>
        </w:rPr>
        <w:t>3．对检查发现的事故隐患必须下达《责令限期整改指令书》，按期复查并下达《整改复查意见书》：</w:t>
      </w:r>
    </w:p>
    <w:p>
      <w:pPr>
        <w:ind w:firstLine="643" w:firstLineChars="200"/>
        <w:rPr>
          <w:rFonts w:eastAsia="方正仿宋简体"/>
          <w:b/>
          <w:bCs/>
          <w:sz w:val="32"/>
          <w:szCs w:val="32"/>
        </w:rPr>
      </w:pPr>
      <w:r>
        <w:rPr>
          <w:rFonts w:eastAsia="方正仿宋简体"/>
          <w:b/>
          <w:bCs/>
          <w:sz w:val="32"/>
          <w:szCs w:val="32"/>
        </w:rPr>
        <w:t>4．对监察执法中发现的安全生产违法行为应当依法实施行政处罚，涉嫌追究刑事责任的，应当及时移交司法机关；</w:t>
      </w:r>
    </w:p>
    <w:p>
      <w:pPr>
        <w:ind w:firstLine="643" w:firstLineChars="200"/>
        <w:jc w:val="left"/>
        <w:rPr>
          <w:rFonts w:ascii="方正黑体简体" w:hAnsi="方正黑体简体" w:eastAsia="方正黑体简体" w:cs="方正黑体简体"/>
          <w:b/>
          <w:bCs/>
          <w:sz w:val="32"/>
          <w:szCs w:val="32"/>
        </w:rPr>
      </w:pPr>
      <w:r>
        <w:rPr>
          <w:rFonts w:ascii="方正黑体简体" w:hAnsi="方正黑体简体" w:eastAsia="方正黑体简体" w:cs="方正黑体简体"/>
          <w:b/>
          <w:bCs/>
          <w:sz w:val="32"/>
          <w:szCs w:val="32"/>
        </w:rPr>
        <w:t>六、工作要求</w:t>
      </w:r>
    </w:p>
    <w:p>
      <w:pPr>
        <w:ind w:firstLine="643" w:firstLineChars="200"/>
        <w:rPr>
          <w:rFonts w:eastAsia="方正仿宋简体"/>
          <w:b/>
          <w:bCs/>
          <w:sz w:val="32"/>
          <w:szCs w:val="32"/>
        </w:rPr>
      </w:pPr>
      <w:r>
        <w:rPr>
          <w:rFonts w:ascii="方正楷体简体" w:hAnsi="方正楷体简体" w:eastAsia="方正楷体简体" w:cs="方正楷体简体"/>
          <w:b/>
          <w:bCs/>
          <w:sz w:val="32"/>
          <w:szCs w:val="32"/>
        </w:rPr>
        <w:t>（一）坚持依法行政，充分认识安全生产监察执法工作的重要性。</w:t>
      </w:r>
      <w:r>
        <w:rPr>
          <w:rFonts w:eastAsia="方正仿宋简体"/>
          <w:b/>
          <w:bCs/>
          <w:sz w:val="32"/>
          <w:szCs w:val="32"/>
        </w:rPr>
        <w:t>监察执法是安全生产工作的重要组成部分，是</w:t>
      </w:r>
      <w:r>
        <w:rPr>
          <w:rFonts w:hint="eastAsia" w:eastAsia="方正仿宋简体"/>
          <w:b/>
          <w:bCs/>
          <w:sz w:val="32"/>
          <w:szCs w:val="32"/>
          <w:lang w:eastAsia="zh-CN"/>
        </w:rPr>
        <w:t>应急管理</w:t>
      </w:r>
      <w:r>
        <w:rPr>
          <w:rFonts w:eastAsia="方正仿宋简体"/>
          <w:b/>
          <w:bCs/>
          <w:sz w:val="32"/>
          <w:szCs w:val="32"/>
        </w:rPr>
        <w:t>部门履行安全生产职责、打击非法违规行为的一项重要工作。安全监管执法人员要增强做好此项工作的责任感、使命感，加强业务学习、培训，提高业务素质和能力，改进执法方式方法，提高执法效能。</w:t>
      </w:r>
    </w:p>
    <w:p>
      <w:pPr>
        <w:ind w:firstLine="643" w:firstLineChars="200"/>
        <w:rPr>
          <w:rFonts w:eastAsia="方正仿宋简体"/>
          <w:b/>
          <w:bCs/>
          <w:sz w:val="32"/>
          <w:szCs w:val="32"/>
        </w:rPr>
      </w:pPr>
      <w:r>
        <w:rPr>
          <w:rFonts w:hint="eastAsia" w:ascii="方正楷体简体" w:hAnsi="方正楷体简体" w:eastAsia="方正楷体简体" w:cs="方正楷体简体"/>
          <w:b/>
          <w:bCs/>
          <w:sz w:val="32"/>
          <w:szCs w:val="32"/>
        </w:rPr>
        <w:t>（二）明确责任，确保安全生产监管责任落实到位。</w:t>
      </w:r>
      <w:r>
        <w:rPr>
          <w:rFonts w:eastAsia="方正仿宋简体"/>
          <w:b/>
          <w:bCs/>
          <w:sz w:val="32"/>
          <w:szCs w:val="32"/>
        </w:rPr>
        <w:t>承担执法任务的工作人员要以执法计划统筹各项行政执法工作，各业务股室、执法大队要细化执法工作计划，并按要求编制现场检查方案，明确具体执法工作的人员、时间、任务及责任人，层层落实行政执法工作责任，确保监管责任落实到位。</w:t>
      </w:r>
    </w:p>
    <w:p>
      <w:pPr>
        <w:ind w:firstLine="643" w:firstLineChars="200"/>
        <w:rPr>
          <w:rFonts w:eastAsia="方正仿宋简体"/>
          <w:b/>
          <w:bCs/>
          <w:sz w:val="32"/>
          <w:szCs w:val="32"/>
        </w:rPr>
      </w:pPr>
      <w:r>
        <w:rPr>
          <w:rFonts w:ascii="方正楷体简体" w:hAnsi="方正楷体简体" w:eastAsia="方正楷体简体" w:cs="方正楷体简体"/>
          <w:b/>
          <w:bCs/>
          <w:sz w:val="32"/>
          <w:szCs w:val="32"/>
        </w:rPr>
        <w:t>（三）规范执法，督促企业落实安全生产主体责任。</w:t>
      </w:r>
      <w:r>
        <w:rPr>
          <w:rFonts w:eastAsia="方正仿宋简体"/>
          <w:b/>
          <w:bCs/>
          <w:sz w:val="32"/>
          <w:szCs w:val="32"/>
        </w:rPr>
        <w:t>要深入分析安全生产形势，抓住安全生产监察的重点、难点。执法过程中，要严格执行行政处罚程序和行政强制措施，规范行政执法的各个环节，做到程序合法、操作规范、流程合规。通过严格执法，强化执法监察力度，及时发现和制止违法行为，督促企业落实安全生产主体责任，进一步推动我</w:t>
      </w:r>
      <w:r>
        <w:rPr>
          <w:rFonts w:hint="eastAsia" w:eastAsia="方正仿宋简体"/>
          <w:b/>
          <w:bCs/>
          <w:sz w:val="32"/>
          <w:szCs w:val="32"/>
          <w:lang w:eastAsia="zh-CN"/>
        </w:rPr>
        <w:t>县</w:t>
      </w:r>
      <w:r>
        <w:rPr>
          <w:rFonts w:eastAsia="方正仿宋简体"/>
          <w:b/>
          <w:bCs/>
          <w:sz w:val="32"/>
          <w:szCs w:val="32"/>
        </w:rPr>
        <w:t>安全生产形势的稳定好转。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eastAsia" w:ascii="方正仿宋简体" w:hAnsi="方正仿宋简体" w:eastAsia="方正仿宋简体" w:cs="方正仿宋简体"/>
          <w:color w:val="000000" w:themeColor="text1"/>
          <w:kern w:val="0"/>
          <w:sz w:val="32"/>
          <w:szCs w:val="32"/>
          <w:lang w:val="en-US" w:eastAsia="zh-CN" w:bidi="ar-SA"/>
          <w14:textFill>
            <w14:solidFill>
              <w14:schemeClr w14:val="tx1"/>
            </w14:solidFill>
          </w14:textFill>
        </w:rPr>
      </w:pPr>
      <w:r>
        <w:rPr>
          <w:rFonts w:hint="eastAsia" w:eastAsia="方正仿宋简体" w:asciiTheme="minorHAnsi" w:hAnsiTheme="minorHAnsi" w:cstheme="minorBidi"/>
          <w:b/>
          <w:bCs/>
          <w:kern w:val="0"/>
          <w:sz w:val="32"/>
          <w:szCs w:val="32"/>
          <w:lang w:val="en-US" w:eastAsia="zh-CN" w:bidi="ar"/>
        </w:rPr>
        <w:t>本执法计划经县政府批准后实施。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eastAsia" w:ascii="方正仿宋简体" w:hAnsi="方正仿宋简体" w:eastAsia="方正仿宋简体" w:cs="方正仿宋简体"/>
          <w:color w:val="000000" w:themeColor="text1"/>
          <w:kern w:val="0"/>
          <w:sz w:val="32"/>
          <w:szCs w:val="32"/>
          <w:lang w:val="en-US" w:eastAsia="zh-CN" w:bidi="ar-SA"/>
          <w14:textFill>
            <w14:solidFill>
              <w14:schemeClr w14:val="tx1"/>
            </w14:solidFill>
          </w14:textFill>
        </w:rPr>
      </w:pPr>
    </w:p>
    <w:p>
      <w:pPr>
        <w:rPr>
          <w:color w:val="000000" w:themeColor="text1"/>
          <w14:textFill>
            <w14:solidFill>
              <w14:schemeClr w14:val="tx1"/>
            </w14:solidFill>
          </w14:textFill>
        </w:rPr>
      </w:pPr>
    </w:p>
    <w:p>
      <w:pPr>
        <w:rPr>
          <w:rFonts w:hint="eastAsia" w:eastAsiaTheme="minorEastAsia"/>
          <w:lang w:eastAsia="zh-CN"/>
        </w:rPr>
      </w:pPr>
      <w:r>
        <w:rPr>
          <w:rFonts w:hint="eastAsia" w:eastAsiaTheme="minorEastAsia"/>
          <w:lang w:eastAsia="zh-CN"/>
        </w:rPr>
        <w:br w:type="page"/>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lang w:eastAsia="zh-CN"/>
        </w:rPr>
        <w:t>蓬安县应急管理</w:t>
      </w:r>
      <w:r>
        <w:rPr>
          <w:rFonts w:hint="eastAsia" w:ascii="方正小标宋简体" w:eastAsia="方正小标宋简体"/>
          <w:b/>
          <w:bCs/>
          <w:sz w:val="44"/>
          <w:szCs w:val="44"/>
        </w:rPr>
        <w:t>局重点检查单位名录库</w:t>
      </w:r>
    </w:p>
    <w:tbl>
      <w:tblPr>
        <w:tblStyle w:val="6"/>
        <w:tblpPr w:leftFromText="180" w:rightFromText="180" w:vertAnchor="text" w:horzAnchor="margin" w:tblpXSpec="center" w:tblpY="45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937"/>
        <w:gridCol w:w="148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序号</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单位名称</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牵头领导</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中油蓬安清溪桥加油站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中油蓬南加油站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中油凤凰加油站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中油嘉陵江大桥加油站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中油徐家加油站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中油相如加油站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7</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中油城北加油站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8</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FF"/>
                <w:sz w:val="30"/>
                <w:szCs w:val="30"/>
                <w:lang w:val="en-US" w:eastAsia="zh-CN"/>
              </w:rPr>
            </w:pPr>
            <w:r>
              <w:rPr>
                <w:rFonts w:hint="eastAsia" w:ascii="仿宋_GB2312" w:hAnsi="Tahoma" w:eastAsia="仿宋_GB2312" w:cs="Tahoma"/>
                <w:color w:val="0000FF"/>
                <w:sz w:val="30"/>
                <w:szCs w:val="30"/>
                <w:lang w:val="en-US" w:eastAsia="zh-CN"/>
              </w:rPr>
              <w:t>中石化燕山加油站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9</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FF"/>
                <w:sz w:val="30"/>
                <w:szCs w:val="30"/>
                <w:lang w:val="en-US" w:eastAsia="zh-CN"/>
              </w:rPr>
            </w:pPr>
            <w:r>
              <w:rPr>
                <w:rFonts w:hint="eastAsia" w:ascii="仿宋_GB2312" w:hAnsi="Tahoma" w:eastAsia="仿宋_GB2312" w:cs="Tahoma"/>
                <w:color w:val="0000FF"/>
                <w:sz w:val="30"/>
                <w:szCs w:val="30"/>
                <w:lang w:val="en-US" w:eastAsia="zh-CN"/>
              </w:rPr>
              <w:t>中石油新园加油站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10</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FF"/>
                <w:sz w:val="30"/>
                <w:szCs w:val="30"/>
                <w:lang w:val="en-US" w:eastAsia="zh-CN"/>
              </w:rPr>
            </w:pPr>
            <w:r>
              <w:rPr>
                <w:rFonts w:hint="eastAsia" w:ascii="仿宋_GB2312" w:hAnsi="Tahoma" w:eastAsia="仿宋_GB2312" w:cs="Tahoma"/>
                <w:color w:val="0000FF"/>
                <w:sz w:val="30"/>
                <w:szCs w:val="30"/>
                <w:lang w:val="en-US" w:eastAsia="zh-CN"/>
              </w:rPr>
              <w:t>蓬安县国道加油站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FF"/>
                <w:sz w:val="30"/>
                <w:szCs w:val="30"/>
                <w:lang w:val="en-US" w:eastAsia="zh-CN"/>
              </w:rPr>
            </w:pPr>
            <w:r>
              <w:rPr>
                <w:rFonts w:hint="eastAsia" w:ascii="仿宋_GB2312" w:hAnsi="Tahoma" w:eastAsia="仿宋_GB2312" w:cs="Tahoma"/>
                <w:color w:val="0000FF"/>
                <w:sz w:val="30"/>
                <w:szCs w:val="30"/>
                <w:lang w:val="en-US" w:eastAsia="zh-CN"/>
              </w:rPr>
              <w:t>蓬安县杨家小垭口加油站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蓬安县茶亭加油站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蓬安县徐家通达加油站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蓬安县城北加油站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蓬安县平头农机加油站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蓬安县两路加油站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17</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蓬安县兴旺镇加油站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18</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蓬安县福德加油站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19</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蓬安县金溪农机加油站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20</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蓬安县高庙隆鑫加油站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hAnsiTheme="minorHAnsi" w:cstheme="minorBidi"/>
                <w:kern w:val="0"/>
                <w:sz w:val="30"/>
                <w:szCs w:val="30"/>
                <w:lang w:val="en-US" w:eastAsia="zh-CN" w:bidi="ar"/>
              </w:rPr>
            </w:pPr>
            <w:r>
              <w:rPr>
                <w:rFonts w:hint="eastAsia" w:ascii="仿宋_GB2312" w:eastAsia="仿宋_GB2312"/>
                <w:sz w:val="30"/>
                <w:szCs w:val="30"/>
                <w:lang w:val="en-US" w:eastAsia="zh-CN"/>
              </w:rPr>
              <w:t>21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蓬安县罗家镇农机加油站</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hAnsiTheme="minorHAnsi" w:cstheme="minorBidi"/>
                <w:kern w:val="0"/>
                <w:sz w:val="30"/>
                <w:szCs w:val="30"/>
                <w:lang w:val="en-US" w:eastAsia="zh-CN" w:bidi="ar"/>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default" w:ascii="仿宋_GB2312" w:hAnsi="Tahoma" w:eastAsia="仿宋_GB2312" w:cs="Tahoma"/>
                <w:color w:val="000000"/>
                <w:sz w:val="30"/>
                <w:szCs w:val="30"/>
                <w:lang w:val="en-US" w:eastAsia="zh-CN"/>
              </w:rPr>
              <w:t>22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蓬安县蓬州制氧厂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default" w:ascii="仿宋_GB2312" w:hAnsi="Tahoma" w:eastAsia="仿宋_GB2312" w:cs="Tahoma"/>
                <w:color w:val="000000"/>
                <w:sz w:val="30"/>
                <w:szCs w:val="30"/>
                <w:lang w:val="en-US" w:eastAsia="zh-CN"/>
              </w:rPr>
              <w:t>23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蓬安县聚腾建材有限公司</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蓬安县河舒荣兴页岩砖厂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茶亭乡天桥页岩砖厂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南燕泰安页岩砖厂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27</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蓬安县恒丰建材有限公司</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28</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default" w:ascii="仿宋_GB2312" w:hAnsi="Tahoma" w:eastAsia="仿宋_GB2312" w:cs="Tahoma"/>
                <w:color w:val="000000"/>
                <w:sz w:val="30"/>
                <w:szCs w:val="30"/>
                <w:lang w:val="en-US" w:eastAsia="zh-CN"/>
              </w:rPr>
              <w:t>蓬安县睦坝乡琪栋页岩砖厂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29</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徐家千佛页岩砖厂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30</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蓬安县龙蚕镇苏家桥页岩机砖厂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default" w:ascii="仿宋_GB2312" w:hAnsi="Tahoma" w:eastAsia="仿宋_GB2312" w:cs="Tahoma"/>
                <w:color w:val="000000"/>
                <w:sz w:val="30"/>
                <w:szCs w:val="30"/>
                <w:lang w:val="en-US" w:eastAsia="zh-CN"/>
              </w:rPr>
              <w:t>蓬安县骑龙拱桥页岩砖厂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蓬安县杨家四通建材厂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蓬安县河舒镇兴旺新型建筑材料厂</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FF"/>
                <w:sz w:val="30"/>
                <w:szCs w:val="30"/>
                <w:lang w:val="en-US" w:eastAsia="zh-CN"/>
              </w:rPr>
              <w:t>蓬安县展鸿建材有限公司</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姚剑波</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安全基础股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南充顺百安商贸有限公司</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36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蓬安县盛景烟花爆竹有限公司</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危化股</w:t>
            </w:r>
          </w:p>
        </w:tc>
      </w:tr>
    </w:tbl>
    <w:p>
      <w:pPr>
        <w:jc w:val="center"/>
        <w:rPr>
          <w:rFonts w:hint="eastAsia" w:ascii="方正小标宋简体" w:eastAsia="方正小标宋简体"/>
          <w:b/>
          <w:bCs/>
          <w:sz w:val="48"/>
          <w:szCs w:val="48"/>
          <w:lang w:eastAsia="zh-CN"/>
        </w:rPr>
      </w:pPr>
      <w:r>
        <w:rPr>
          <w:rFonts w:hint="eastAsia" w:ascii="方正小标宋简体" w:eastAsia="方正小标宋简体"/>
          <w:b/>
          <w:bCs/>
          <w:sz w:val="48"/>
          <w:szCs w:val="48"/>
          <w:lang w:eastAsia="zh-CN"/>
        </w:rPr>
        <w:br w:type="page"/>
      </w:r>
    </w:p>
    <w:p>
      <w:pPr>
        <w:jc w:val="center"/>
        <w:rPr>
          <w:rFonts w:hint="eastAsia" w:ascii="方正小标宋简体" w:eastAsia="方正小标宋简体"/>
          <w:b/>
          <w:bCs/>
          <w:w w:val="90"/>
          <w:sz w:val="44"/>
          <w:szCs w:val="44"/>
          <w:lang w:eastAsia="zh-CN"/>
        </w:rPr>
      </w:pPr>
      <w:r>
        <w:rPr>
          <w:rFonts w:hint="eastAsia" w:ascii="方正小标宋简体" w:eastAsia="方正小标宋简体"/>
          <w:b/>
          <w:bCs/>
          <w:w w:val="90"/>
          <w:sz w:val="44"/>
          <w:szCs w:val="44"/>
          <w:lang w:eastAsia="zh-CN"/>
        </w:rPr>
        <w:t>蓬安县应急管理局一般检查单位名单名录库</w:t>
      </w:r>
    </w:p>
    <w:tbl>
      <w:tblPr>
        <w:tblStyle w:val="6"/>
        <w:tblpPr w:leftFromText="180" w:rightFromText="180" w:vertAnchor="text" w:horzAnchor="margin" w:tblpXSpec="center" w:tblpY="45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004"/>
        <w:gridCol w:w="147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both"/>
              <w:rPr>
                <w:rFonts w:hint="eastAsia" w:ascii="仿宋_GB2312" w:hAnsi="Calibri" w:eastAsia="仿宋_GB2312"/>
                <w:sz w:val="30"/>
                <w:szCs w:val="30"/>
                <w:lang w:val="en-US" w:eastAsia="zh-CN"/>
              </w:rPr>
            </w:pPr>
            <w:r>
              <w:rPr>
                <w:rFonts w:hint="eastAsia" w:ascii="仿宋_GB2312" w:hAnsi="Calibri" w:eastAsia="仿宋_GB2312"/>
                <w:sz w:val="30"/>
                <w:szCs w:val="30"/>
                <w:lang w:val="en-US" w:eastAsia="zh-CN"/>
              </w:rPr>
              <w:t>序号</w:t>
            </w:r>
          </w:p>
        </w:tc>
        <w:tc>
          <w:tcPr>
            <w:tcW w:w="5004" w:type="dxa"/>
            <w:noWrap w:val="0"/>
            <w:vAlign w:val="center"/>
          </w:tcPr>
          <w:p>
            <w:pPr>
              <w:spacing w:line="400" w:lineRule="exact"/>
              <w:jc w:val="center"/>
              <w:rPr>
                <w:rFonts w:ascii="仿宋_GB2312" w:hAnsi="Tahoma" w:eastAsia="仿宋_GB2312" w:cs="Tahoma"/>
                <w:color w:val="000000"/>
                <w:sz w:val="30"/>
                <w:szCs w:val="30"/>
              </w:rPr>
            </w:pPr>
            <w:r>
              <w:rPr>
                <w:rFonts w:hint="eastAsia" w:ascii="仿宋_GB2312" w:hAnsi="Tahoma" w:eastAsia="仿宋_GB2312" w:cs="Tahoma"/>
                <w:color w:val="000000"/>
                <w:sz w:val="30"/>
                <w:szCs w:val="30"/>
              </w:rPr>
              <w:t>单位名称</w:t>
            </w:r>
          </w:p>
        </w:tc>
        <w:tc>
          <w:tcPr>
            <w:tcW w:w="1470" w:type="dxa"/>
            <w:noWrap w:val="0"/>
            <w:vAlign w:val="center"/>
          </w:tcPr>
          <w:p>
            <w:pPr>
              <w:spacing w:line="400" w:lineRule="exact"/>
              <w:jc w:val="center"/>
              <w:rPr>
                <w:rFonts w:ascii="仿宋_GB2312" w:hAnsi="Calibri" w:eastAsia="仿宋_GB2312"/>
                <w:sz w:val="30"/>
                <w:szCs w:val="30"/>
              </w:rPr>
            </w:pPr>
            <w:r>
              <w:rPr>
                <w:rFonts w:hint="eastAsia" w:ascii="仿宋_GB2312" w:hAnsi="Calibri" w:eastAsia="仿宋_GB2312"/>
                <w:sz w:val="30"/>
                <w:szCs w:val="30"/>
              </w:rPr>
              <w:t>牵头领导</w:t>
            </w:r>
          </w:p>
        </w:tc>
        <w:tc>
          <w:tcPr>
            <w:tcW w:w="1545" w:type="dxa"/>
            <w:noWrap w:val="0"/>
            <w:vAlign w:val="center"/>
          </w:tcPr>
          <w:p>
            <w:pPr>
              <w:spacing w:line="400" w:lineRule="exact"/>
              <w:jc w:val="center"/>
              <w:rPr>
                <w:rFonts w:ascii="仿宋_GB2312" w:hAnsi="Calibri" w:eastAsia="仿宋_GB2312"/>
                <w:sz w:val="30"/>
                <w:szCs w:val="30"/>
              </w:rPr>
            </w:pPr>
            <w:r>
              <w:rPr>
                <w:rFonts w:hint="eastAsia" w:ascii="仿宋_GB2312" w:hAnsi="Calibri" w:eastAsia="仿宋_GB2312"/>
                <w:sz w:val="30"/>
                <w:szCs w:val="3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1</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四川凯峰锦业建筑有限公司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lang w:eastAsia="zh-CN"/>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2</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四川阳光大地建筑有限公司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3</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蓬安县顺兴建设有限责任公司</w:t>
            </w:r>
          </w:p>
        </w:tc>
        <w:tc>
          <w:tcPr>
            <w:tcW w:w="1470"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lang w:eastAsia="zh-CN"/>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4</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南充富诚运业有限责任公司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5</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蓬安县鸿宇运业有限责任公司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6</w:t>
            </w:r>
          </w:p>
        </w:tc>
        <w:tc>
          <w:tcPr>
            <w:tcW w:w="500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仿宋_GB2312" w:hAnsi="Tahoma" w:eastAsia="仿宋_GB2312" w:cs="Tahoma"/>
                <w:color w:val="000000"/>
                <w:sz w:val="30"/>
                <w:szCs w:val="30"/>
                <w:lang w:val="en-US" w:eastAsia="zh-CN"/>
              </w:rPr>
              <w:t>四川远宁运业有限公司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7</w:t>
            </w:r>
          </w:p>
        </w:tc>
        <w:tc>
          <w:tcPr>
            <w:tcW w:w="5004" w:type="dxa"/>
            <w:noWrap w:val="0"/>
            <w:vAlign w:val="center"/>
          </w:tcPr>
          <w:p>
            <w:pPr>
              <w:keepNext w:val="0"/>
              <w:keepLines w:val="0"/>
              <w:widowControl/>
              <w:suppressLineNumbers w:val="0"/>
              <w:jc w:val="center"/>
              <w:textAlignment w:val="center"/>
              <w:rPr>
                <w:rFonts w:hint="default"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蓬安吉达船舶运输有限责任公司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8</w:t>
            </w:r>
          </w:p>
        </w:tc>
        <w:tc>
          <w:tcPr>
            <w:tcW w:w="5004" w:type="dxa"/>
            <w:noWrap w:val="0"/>
            <w:vAlign w:val="center"/>
          </w:tcPr>
          <w:p>
            <w:pPr>
              <w:spacing w:line="400" w:lineRule="exact"/>
              <w:jc w:val="center"/>
              <w:rPr>
                <w:rFonts w:hint="eastAsia" w:ascii="宋体" w:hAnsi="宋体" w:eastAsia="宋体" w:cs="宋体"/>
                <w:i w:val="0"/>
                <w:color w:val="000000"/>
                <w:kern w:val="0"/>
                <w:sz w:val="24"/>
                <w:szCs w:val="24"/>
                <w:u w:val="none"/>
                <w:lang w:val="en-US" w:eastAsia="zh-CN" w:bidi="ar"/>
              </w:rPr>
            </w:pPr>
            <w:r>
              <w:rPr>
                <w:rFonts w:hint="eastAsia" w:ascii="仿宋_GB2312" w:hAnsi="Tahoma" w:eastAsia="仿宋_GB2312" w:cs="Tahoma"/>
                <w:color w:val="000000"/>
                <w:sz w:val="30"/>
                <w:szCs w:val="30"/>
                <w:lang w:val="en-US" w:eastAsia="zh-CN"/>
              </w:rPr>
              <w:t>蓬安县永兴木材加工厂</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9</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南充特驱饲料有限公司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10</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南充市佳美食品工业有限公司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11</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蓬安县吉兴矿业开发有限责任公司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12</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爱情谷旅游开发有限公司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13</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四川博特新材料有限公司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14</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蓬安县骏泰汽车修理厂</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15</w:t>
            </w:r>
          </w:p>
        </w:tc>
        <w:tc>
          <w:tcPr>
            <w:tcW w:w="5004" w:type="dxa"/>
            <w:noWrap w:val="0"/>
            <w:vAlign w:val="center"/>
          </w:tcPr>
          <w:p>
            <w:pPr>
              <w:spacing w:line="400" w:lineRule="exact"/>
              <w:jc w:val="center"/>
              <w:rPr>
                <w:rFonts w:hint="eastAsia" w:ascii="仿宋_GB2312" w:hAnsi="Tahoma" w:eastAsia="仿宋_GB2312" w:cs="Tahoma"/>
                <w:color w:val="000000"/>
                <w:sz w:val="30"/>
                <w:szCs w:val="30"/>
                <w:lang w:val="en-US" w:eastAsia="zh-CN"/>
              </w:rPr>
            </w:pPr>
            <w:r>
              <w:rPr>
                <w:rFonts w:hint="eastAsia" w:ascii="仿宋_GB2312" w:hAnsi="Tahoma" w:eastAsia="仿宋_GB2312" w:cs="Tahoma"/>
                <w:color w:val="000000"/>
                <w:sz w:val="30"/>
                <w:szCs w:val="30"/>
                <w:lang w:val="en-US" w:eastAsia="zh-CN"/>
              </w:rPr>
              <w:t>蓬安县润驰检测服务有限公司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姚剑波</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16</w:t>
            </w:r>
          </w:p>
        </w:tc>
        <w:tc>
          <w:tcPr>
            <w:tcW w:w="5004" w:type="dxa"/>
            <w:noWrap w:val="0"/>
            <w:vAlign w:val="center"/>
          </w:tcPr>
          <w:p>
            <w:pPr>
              <w:spacing w:line="400" w:lineRule="exact"/>
              <w:jc w:val="center"/>
              <w:rPr>
                <w:rFonts w:hint="default"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蓬安县蓬州液化气充装站茅店子分站</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17</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蓬安县蓬州液化气充装站城东路液化气充装站分站</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18</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蓬安县利民天然气有限公司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19</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蓬安正德燃气有限责任公司</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20</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蓬安县世纪佰佳超级购物中心</w:t>
            </w:r>
          </w:p>
        </w:tc>
        <w:tc>
          <w:tcPr>
            <w:tcW w:w="1470"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cstheme="minorBidi"/>
                <w:kern w:val="0"/>
                <w:sz w:val="30"/>
                <w:szCs w:val="30"/>
                <w:lang w:val="en-US" w:eastAsia="zh-CN" w:bidi="ar"/>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21</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四川永辉超市有限公司蓬安县恒丰国际商业中心分公司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22</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南充市镱发不锈钢制品有限公司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23</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kern w:val="0"/>
                <w:sz w:val="30"/>
                <w:szCs w:val="30"/>
                <w:lang w:val="en-US" w:eastAsia="zh-CN" w:bidi="ar"/>
              </w:rPr>
              <w:t>四川博萨汽车部件有限公司</w:t>
            </w:r>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1"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00"/>
                <w:sz w:val="30"/>
                <w:szCs w:val="30"/>
                <w:lang w:val="en-US" w:eastAsia="zh-CN"/>
              </w:rPr>
              <w:t>24</w:t>
            </w:r>
          </w:p>
        </w:tc>
        <w:tc>
          <w:tcPr>
            <w:tcW w:w="5004" w:type="dxa"/>
            <w:noWrap w:val="0"/>
            <w:vAlign w:val="center"/>
          </w:tcPr>
          <w:p>
            <w:pPr>
              <w:spacing w:line="400" w:lineRule="exact"/>
              <w:jc w:val="center"/>
              <w:rPr>
                <w:rFonts w:hint="eastAsia" w:ascii="仿宋_GB2312" w:hAnsi="Tahoma" w:eastAsia="仿宋_GB2312" w:cs="Tahoma"/>
                <w:color w:val="000000"/>
                <w:kern w:val="0"/>
                <w:sz w:val="30"/>
                <w:szCs w:val="30"/>
                <w:lang w:val="en-US" w:eastAsia="zh-CN" w:bidi="ar"/>
              </w:rPr>
            </w:pPr>
            <w:r>
              <w:rPr>
                <w:rFonts w:hint="eastAsia" w:ascii="仿宋_GB2312" w:hAnsi="Tahoma" w:eastAsia="仿宋_GB2312" w:cs="Tahoma"/>
                <w:color w:val="0000FF"/>
                <w:sz w:val="30"/>
                <w:szCs w:val="30"/>
                <w:lang w:val="en-US" w:eastAsia="zh-CN"/>
              </w:rPr>
              <w:t>四川陶土建筑材料厂</w:t>
            </w:r>
            <w:bookmarkStart w:id="0" w:name="_GoBack"/>
            <w:bookmarkEnd w:id="0"/>
          </w:p>
        </w:tc>
        <w:tc>
          <w:tcPr>
            <w:tcW w:w="1470" w:type="dxa"/>
            <w:noWrap w:val="0"/>
            <w:vAlign w:val="center"/>
          </w:tcPr>
          <w:p>
            <w:pPr>
              <w:spacing w:line="400" w:lineRule="exact"/>
              <w:jc w:val="center"/>
              <w:rPr>
                <w:rFonts w:hint="eastAsia" w:ascii="仿宋_GB2312" w:hAnsi="Calibri" w:eastAsia="仿宋_GB2312"/>
                <w:sz w:val="30"/>
                <w:szCs w:val="30"/>
              </w:rPr>
            </w:pPr>
            <w:r>
              <w:rPr>
                <w:rFonts w:hint="eastAsia" w:ascii="仿宋_GB2312" w:hAnsi="Tahoma" w:eastAsia="仿宋_GB2312" w:cs="Tahoma"/>
                <w:color w:val="000000"/>
                <w:sz w:val="30"/>
                <w:szCs w:val="30"/>
                <w:lang w:val="en-US" w:eastAsia="zh-CN"/>
              </w:rPr>
              <w:t>余坪</w:t>
            </w:r>
          </w:p>
        </w:tc>
        <w:tc>
          <w:tcPr>
            <w:tcW w:w="1545" w:type="dxa"/>
            <w:noWrap w:val="0"/>
            <w:vAlign w:val="center"/>
          </w:tcPr>
          <w:p>
            <w:pPr>
              <w:spacing w:line="400" w:lineRule="exact"/>
              <w:jc w:val="center"/>
              <w:rPr>
                <w:rFonts w:hint="eastAsia" w:ascii="仿宋_GB2312" w:hAnsi="Calibri" w:eastAsia="仿宋_GB2312"/>
                <w:sz w:val="30"/>
                <w:szCs w:val="30"/>
              </w:rPr>
            </w:pPr>
            <w:r>
              <w:rPr>
                <w:rFonts w:hint="eastAsia" w:ascii="仿宋_GB2312" w:hAnsi="Calibri" w:eastAsia="仿宋_GB2312"/>
                <w:sz w:val="30"/>
                <w:szCs w:val="30"/>
                <w:lang w:eastAsia="zh-CN"/>
              </w:rPr>
              <w:t>执法大队</w:t>
            </w:r>
          </w:p>
        </w:tc>
      </w:tr>
    </w:tbl>
    <w:p>
      <w:pPr>
        <w:jc w:val="both"/>
        <w:rPr>
          <w:rFonts w:hint="eastAsia" w:ascii="方正小标宋简体" w:hAnsi="Calibri" w:eastAsia="方正小标宋简体"/>
          <w:b/>
          <w:bCs/>
          <w:sz w:val="48"/>
          <w:szCs w:val="48"/>
          <w:lang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3469"/>
    <w:rsid w:val="038317F5"/>
    <w:rsid w:val="05DD5BDC"/>
    <w:rsid w:val="09857DD4"/>
    <w:rsid w:val="0A916F44"/>
    <w:rsid w:val="0CE0668E"/>
    <w:rsid w:val="14C70AC7"/>
    <w:rsid w:val="15E45D95"/>
    <w:rsid w:val="161413FA"/>
    <w:rsid w:val="16407356"/>
    <w:rsid w:val="190361C0"/>
    <w:rsid w:val="1DAB0626"/>
    <w:rsid w:val="1DF40A4E"/>
    <w:rsid w:val="1E027B18"/>
    <w:rsid w:val="1FE447DF"/>
    <w:rsid w:val="1FF66F1F"/>
    <w:rsid w:val="251B6948"/>
    <w:rsid w:val="29590BA6"/>
    <w:rsid w:val="2AEF0D8D"/>
    <w:rsid w:val="321469DE"/>
    <w:rsid w:val="37C31365"/>
    <w:rsid w:val="3C2028D3"/>
    <w:rsid w:val="3CC24299"/>
    <w:rsid w:val="482118D2"/>
    <w:rsid w:val="547C59D6"/>
    <w:rsid w:val="58975184"/>
    <w:rsid w:val="5B1F752A"/>
    <w:rsid w:val="5B2D0AAA"/>
    <w:rsid w:val="5F594426"/>
    <w:rsid w:val="67D8004B"/>
    <w:rsid w:val="6B1F0EBE"/>
    <w:rsid w:val="6D535020"/>
    <w:rsid w:val="6DE56B86"/>
    <w:rsid w:val="6FC90D75"/>
    <w:rsid w:val="71B02995"/>
    <w:rsid w:val="7381316D"/>
    <w:rsid w:val="74271EAF"/>
    <w:rsid w:val="74617B3A"/>
    <w:rsid w:val="7A48402C"/>
    <w:rsid w:val="7ABF16E6"/>
    <w:rsid w:val="7CAF3469"/>
    <w:rsid w:val="7CCE08DA"/>
    <w:rsid w:val="7E28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pPr>
    <w:rPr>
      <w:kern w:val="0"/>
      <w:szCs w:val="21"/>
    </w:rPr>
  </w:style>
  <w:style w:type="character" w:customStyle="1" w:styleId="9">
    <w:name w:val="font01"/>
    <w:basedOn w:val="7"/>
    <w:qFormat/>
    <w:uiPriority w:val="0"/>
    <w:rPr>
      <w:rFonts w:hint="default" w:ascii="Times New Roman" w:hAnsi="Times New Roman" w:cs="Times New Roman"/>
      <w:color w:val="000000"/>
      <w:sz w:val="32"/>
      <w:szCs w:val="32"/>
      <w:u w:val="none"/>
    </w:rPr>
  </w:style>
  <w:style w:type="character" w:customStyle="1" w:styleId="10">
    <w:name w:val="font1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2018-07-16T02:36:00Z</dcterms:created>
  <dc:creator>c</dc:creator>
  <cp:lastModifiedBy>天波烟客</cp:lastModifiedBy>
  <cp:lastPrinted>2021-01-28T02:10:00Z</cp:lastPrinted>
  <dcterms:modified xsi:type="dcterms:W3CDTF">2021-03-02T01:15:31Z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628132229_btnclosed</vt:lpwstr>
  </property>
</Properties>
</file>