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rPr>
      </w:pPr>
    </w:p>
    <w:p>
      <w:pPr>
        <w:widowControl w:val="0"/>
        <w:spacing w:line="600" w:lineRule="exact"/>
        <w:rPr>
          <w:rFonts w:ascii="方正仿宋简体" w:eastAsia="方正仿宋简体"/>
        </w:rPr>
      </w:pPr>
    </w:p>
    <w:p>
      <w:pPr>
        <w:widowControl w:val="0"/>
        <w:spacing w:line="600" w:lineRule="exact"/>
        <w:rPr>
          <w:rFonts w:ascii="方正仿宋简体" w:eastAsia="方正仿宋简体"/>
        </w:rPr>
      </w:pPr>
    </w:p>
    <w:p>
      <w:pPr>
        <w:widowControl w:val="0"/>
        <w:spacing w:line="1600" w:lineRule="exact"/>
        <w:jc w:val="distribute"/>
        <w:rPr>
          <w:rFonts w:ascii="方正小标宋简体" w:eastAsia="方正小标宋简体"/>
          <w:b/>
          <w:color w:val="FF0000"/>
          <w:w w:val="65"/>
          <w:sz w:val="128"/>
          <w:szCs w:val="110"/>
        </w:rPr>
      </w:pPr>
      <w:r>
        <w:rPr>
          <w:rFonts w:hint="eastAsia" w:ascii="方正小标宋简体" w:eastAsia="方正小标宋简体"/>
          <w:b/>
          <w:color w:val="FF0000"/>
          <w:w w:val="65"/>
          <w:sz w:val="128"/>
          <w:szCs w:val="110"/>
        </w:rPr>
        <w:t>蓬安县应急管理局文件</w:t>
      </w:r>
    </w:p>
    <w:p>
      <w:pPr>
        <w:widowControl w:val="0"/>
        <w:spacing w:line="560" w:lineRule="exact"/>
        <w:jc w:val="both"/>
        <w:rPr>
          <w:rFonts w:ascii="Times New Roman" w:hAnsi="Times New Roman" w:eastAsia="仿宋_GB2312"/>
          <w:b/>
          <w:kern w:val="2"/>
          <w:sz w:val="32"/>
          <w:szCs w:val="32"/>
        </w:rPr>
      </w:pPr>
    </w:p>
    <w:p>
      <w:pPr>
        <w:widowControl w:val="0"/>
        <w:pBdr>
          <w:bottom w:val="single" w:color="FF0000" w:sz="24" w:space="1"/>
        </w:pBdr>
        <w:spacing w:line="600" w:lineRule="exact"/>
        <w:ind w:firstLine="311" w:firstLineChars="100"/>
        <w:jc w:val="both"/>
        <w:rPr>
          <w:rFonts w:hint="eastAsia" w:eastAsia="仿宋_GB2312"/>
          <w:lang w:eastAsia="zh-CN"/>
        </w:rPr>
      </w:pPr>
      <w:r>
        <w:rPr>
          <w:rFonts w:ascii="Times New Roman" w:hAnsi="Times New Roman" w:eastAsia="仿宋_GB2312"/>
          <w:bCs/>
          <w:kern w:val="2"/>
          <w:sz w:val="32"/>
          <w:szCs w:val="32"/>
        </w:rPr>
        <w:t>蓬应急〔20</w:t>
      </w:r>
      <w:r>
        <w:rPr>
          <w:rFonts w:hint="eastAsia"/>
          <w:bCs/>
          <w:kern w:val="2"/>
          <w:sz w:val="32"/>
          <w:szCs w:val="32"/>
          <w:lang w:val="en-US" w:eastAsia="zh-CN"/>
        </w:rPr>
        <w:t>24</w:t>
      </w:r>
      <w:r>
        <w:rPr>
          <w:rFonts w:ascii="Times New Roman" w:hAnsi="Times New Roman" w:eastAsia="仿宋_GB2312"/>
          <w:bCs/>
          <w:kern w:val="2"/>
          <w:sz w:val="32"/>
          <w:szCs w:val="32"/>
        </w:rPr>
        <w:t>〕</w:t>
      </w:r>
      <w:r>
        <w:rPr>
          <w:rFonts w:hint="eastAsia"/>
          <w:bCs/>
          <w:kern w:val="2"/>
          <w:sz w:val="32"/>
          <w:szCs w:val="32"/>
          <w:lang w:val="en-US" w:eastAsia="zh-CN"/>
        </w:rPr>
        <w:t>2</w:t>
      </w:r>
      <w:r>
        <w:rPr>
          <w:rFonts w:ascii="Times New Roman" w:hAnsi="Times New Roman" w:eastAsia="仿宋_GB2312"/>
          <w:bCs/>
          <w:kern w:val="2"/>
          <w:sz w:val="32"/>
          <w:szCs w:val="32"/>
        </w:rPr>
        <w:t xml:space="preserve">号           </w:t>
      </w:r>
      <w:r>
        <w:rPr>
          <w:rFonts w:hint="eastAsia"/>
          <w:bCs/>
          <w:kern w:val="2"/>
          <w:sz w:val="32"/>
          <w:szCs w:val="32"/>
          <w:lang w:val="en-US" w:eastAsia="zh-CN"/>
        </w:rPr>
        <w:t xml:space="preserve">     </w:t>
      </w:r>
      <w:r>
        <w:rPr>
          <w:rFonts w:ascii="Times New Roman" w:hAnsi="Times New Roman" w:eastAsia="仿宋_GB2312"/>
          <w:bCs/>
          <w:kern w:val="2"/>
          <w:sz w:val="32"/>
          <w:szCs w:val="32"/>
        </w:rPr>
        <w:t xml:space="preserve">    签发人：</w:t>
      </w:r>
      <w:r>
        <w:rPr>
          <w:rFonts w:hint="eastAsia" w:ascii="楷体" w:hAnsi="楷体" w:eastAsia="楷体" w:cs="楷体"/>
          <w:bCs/>
          <w:kern w:val="2"/>
          <w:sz w:val="32"/>
          <w:szCs w:val="32"/>
        </w:rPr>
        <w:t>苏熙</w:t>
      </w:r>
      <w:r>
        <w:rPr>
          <w:rFonts w:hint="eastAsia" w:ascii="楷体" w:hAnsi="楷体" w:eastAsia="楷体" w:cs="楷体"/>
          <w:bCs/>
          <w:kern w:val="2"/>
          <w:sz w:val="32"/>
          <w:szCs w:val="32"/>
          <w:lang w:eastAsia="zh-CN"/>
        </w:rPr>
        <w:t>鸿</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eastAsia="方正仿宋简体"/>
        </w:rPr>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widowControl w:val="0"/>
        <w:spacing w:line="560" w:lineRule="exact"/>
        <w:jc w:val="center"/>
        <w:rPr>
          <w:rFonts w:hint="default" w:ascii="Times New Roman" w:hAnsi="Times New Roman" w:eastAsia="方正小标宋简体" w:cs="Times New Roman"/>
          <w:b/>
          <w:bCs/>
          <w:kern w:val="2"/>
          <w:sz w:val="44"/>
          <w:szCs w:val="44"/>
        </w:rPr>
      </w:pPr>
      <w:r>
        <w:rPr>
          <w:rFonts w:hint="default" w:ascii="Times New Roman" w:hAnsi="Times New Roman" w:eastAsia="方正小标宋简体" w:cs="Times New Roman"/>
          <w:b/>
          <w:bCs/>
          <w:kern w:val="2"/>
          <w:sz w:val="44"/>
          <w:szCs w:val="44"/>
        </w:rPr>
        <w:t>蓬安县应急管理局</w:t>
      </w:r>
    </w:p>
    <w:p>
      <w:pPr>
        <w:widowControl w:val="0"/>
        <w:spacing w:line="560" w:lineRule="exact"/>
        <w:jc w:val="center"/>
        <w:rPr>
          <w:rFonts w:hint="default" w:ascii="Times New Roman" w:hAnsi="Times New Roman" w:eastAsia="方正小标宋简体" w:cs="Times New Roman"/>
          <w:b/>
          <w:bCs/>
          <w:spacing w:val="-6"/>
          <w:sz w:val="44"/>
          <w:szCs w:val="44"/>
        </w:rPr>
      </w:pPr>
      <w:r>
        <w:rPr>
          <w:rFonts w:hint="default" w:ascii="Times New Roman" w:hAnsi="Times New Roman" w:eastAsia="方正小标宋简体" w:cs="Times New Roman"/>
          <w:b/>
          <w:bCs/>
          <w:kern w:val="2"/>
          <w:sz w:val="44"/>
          <w:szCs w:val="44"/>
        </w:rPr>
        <w:t>关于</w:t>
      </w:r>
      <w:r>
        <w:rPr>
          <w:rFonts w:hint="default" w:ascii="Times New Roman" w:hAnsi="Times New Roman" w:eastAsia="方正小标宋简体" w:cs="Times New Roman"/>
          <w:b/>
          <w:bCs/>
          <w:kern w:val="2"/>
          <w:sz w:val="44"/>
          <w:szCs w:val="44"/>
          <w:lang w:eastAsia="zh-CN"/>
        </w:rPr>
        <w:t>送审</w:t>
      </w:r>
      <w:r>
        <w:rPr>
          <w:rFonts w:hint="default" w:ascii="Times New Roman" w:hAnsi="Times New Roman" w:eastAsia="方正小标宋简体" w:cs="Times New Roman"/>
          <w:b/>
          <w:bCs/>
          <w:kern w:val="2"/>
          <w:sz w:val="44"/>
          <w:szCs w:val="44"/>
        </w:rPr>
        <w:t>《蓬安县应急管理局202</w:t>
      </w:r>
      <w:r>
        <w:rPr>
          <w:rFonts w:hint="default" w:ascii="Times New Roman" w:hAnsi="Times New Roman" w:eastAsia="方正小标宋简体" w:cs="Times New Roman"/>
          <w:b/>
          <w:bCs/>
          <w:kern w:val="2"/>
          <w:sz w:val="44"/>
          <w:szCs w:val="44"/>
          <w:lang w:val="en-US" w:eastAsia="zh-CN"/>
        </w:rPr>
        <w:t>4</w:t>
      </w:r>
      <w:r>
        <w:rPr>
          <w:rFonts w:hint="default" w:ascii="Times New Roman" w:hAnsi="Times New Roman" w:eastAsia="方正小标宋简体" w:cs="Times New Roman"/>
          <w:b/>
          <w:bCs/>
          <w:kern w:val="2"/>
          <w:sz w:val="44"/>
          <w:szCs w:val="44"/>
        </w:rPr>
        <w:t>年度安全生产监督检查计划》的请示</w:t>
      </w:r>
    </w:p>
    <w:p>
      <w:pPr>
        <w:spacing w:line="560" w:lineRule="exact"/>
        <w:rPr>
          <w:rFonts w:hint="default" w:ascii="Times New Roman" w:hAnsi="Times New Roman" w:eastAsia="方正仿宋简体" w:cs="Times New Roman"/>
          <w:spacing w:val="-6"/>
          <w:sz w:val="32"/>
          <w:szCs w:val="32"/>
        </w:rPr>
      </w:pPr>
    </w:p>
    <w:p>
      <w:pPr>
        <w:widowControl w:val="0"/>
        <w:spacing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县人民政府：</w:t>
      </w: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为进一步加强安全生产依法行政工作，正确履行安全生产监管职责，规范监督检查行为，提高监督检查效能，防范和减少生产安全事故的发生，确保全县安全生产形势持续稳</w:t>
      </w:r>
      <w:bookmarkStart w:id="0" w:name="_GoBack"/>
      <w:bookmarkEnd w:id="0"/>
      <w:r>
        <w:rPr>
          <w:rFonts w:hint="default" w:ascii="Times New Roman" w:hAnsi="Times New Roman" w:eastAsia="仿宋_GB2312" w:cs="Times New Roman"/>
          <w:bCs/>
          <w:kern w:val="2"/>
          <w:sz w:val="32"/>
          <w:szCs w:val="32"/>
        </w:rPr>
        <w:t>定好转，根据《中华人民共和国安全生产法》和《国家安全监管总局关于印发安全生产监管年度执法工作计划编制办法的通知》（安监总政法〔2017〕150号）的规定，结合全县实际情况，制定《蓬安县应急管理局202</w:t>
      </w:r>
      <w:r>
        <w:rPr>
          <w:rFonts w:hint="default" w:ascii="Times New Roman" w:hAnsi="Times New Roman" w:eastAsia="仿宋_GB2312" w:cs="Times New Roman"/>
          <w:bCs/>
          <w:kern w:val="2"/>
          <w:sz w:val="32"/>
          <w:szCs w:val="32"/>
          <w:lang w:val="en-US" w:eastAsia="zh-CN"/>
        </w:rPr>
        <w:t>4</w:t>
      </w:r>
      <w:r>
        <w:rPr>
          <w:rFonts w:hint="default" w:ascii="Times New Roman" w:hAnsi="Times New Roman" w:eastAsia="仿宋_GB2312" w:cs="Times New Roman"/>
          <w:bCs/>
          <w:kern w:val="2"/>
          <w:sz w:val="32"/>
          <w:szCs w:val="32"/>
        </w:rPr>
        <w:t>年度安全生产监督检查计划》</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报送县政府批准后实施</w:t>
      </w:r>
      <w:r>
        <w:rPr>
          <w:rFonts w:hint="default" w:ascii="Times New Roman" w:hAnsi="Times New Roman" w:eastAsia="仿宋_GB2312" w:cs="Times New Roman"/>
          <w:bCs/>
          <w:kern w:val="2"/>
          <w:sz w:val="32"/>
          <w:szCs w:val="32"/>
          <w:lang w:eastAsia="zh-CN"/>
        </w:rPr>
        <w:t>，特此请示</w:t>
      </w:r>
      <w:r>
        <w:rPr>
          <w:rFonts w:hint="default" w:ascii="Times New Roman" w:hAnsi="Times New Roman" w:eastAsia="仿宋_GB2312" w:cs="Times New Roman"/>
          <w:bCs/>
          <w:kern w:val="2"/>
          <w:sz w:val="32"/>
          <w:szCs w:val="32"/>
        </w:rPr>
        <w:t>。</w:t>
      </w: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妥否，请批示。</w:t>
      </w:r>
    </w:p>
    <w:p>
      <w:pPr>
        <w:widowControl w:val="0"/>
        <w:spacing w:line="560" w:lineRule="exact"/>
        <w:jc w:val="both"/>
        <w:rPr>
          <w:rFonts w:hint="default" w:ascii="Times New Roman" w:hAnsi="Times New Roman" w:eastAsia="仿宋_GB2312" w:cs="Times New Roman"/>
          <w:bCs/>
          <w:kern w:val="2"/>
          <w:sz w:val="32"/>
          <w:szCs w:val="32"/>
        </w:rPr>
      </w:pP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附件：蓬安县应急管理局202</w:t>
      </w:r>
      <w:r>
        <w:rPr>
          <w:rFonts w:hint="default" w:ascii="Times New Roman" w:hAnsi="Times New Roman" w:eastAsia="仿宋_GB2312" w:cs="Times New Roman"/>
          <w:bCs/>
          <w:kern w:val="2"/>
          <w:sz w:val="32"/>
          <w:szCs w:val="32"/>
          <w:lang w:val="en-US" w:eastAsia="zh-CN"/>
        </w:rPr>
        <w:t>4</w:t>
      </w:r>
      <w:r>
        <w:rPr>
          <w:rFonts w:hint="default" w:ascii="Times New Roman" w:hAnsi="Times New Roman" w:eastAsia="仿宋_GB2312" w:cs="Times New Roman"/>
          <w:bCs/>
          <w:kern w:val="2"/>
          <w:sz w:val="32"/>
          <w:szCs w:val="32"/>
        </w:rPr>
        <w:t>年度安全生产监督检查计划</w:t>
      </w:r>
    </w:p>
    <w:p>
      <w:pPr>
        <w:widowControl w:val="0"/>
        <w:spacing w:line="560" w:lineRule="exact"/>
        <w:jc w:val="both"/>
        <w:rPr>
          <w:rFonts w:hint="default" w:ascii="Times New Roman" w:hAnsi="Times New Roman" w:eastAsia="仿宋_GB2312" w:cs="Times New Roman"/>
          <w:b/>
          <w:kern w:val="2"/>
          <w:sz w:val="32"/>
          <w:szCs w:val="32"/>
        </w:rPr>
      </w:pPr>
    </w:p>
    <w:p>
      <w:pPr>
        <w:widowControl w:val="0"/>
        <w:spacing w:line="560" w:lineRule="exact"/>
        <w:jc w:val="center"/>
        <w:rPr>
          <w:rFonts w:hint="default" w:ascii="Times New Roman" w:hAnsi="Times New Roman" w:eastAsia="仿宋_GB2312" w:cs="Times New Roman"/>
          <w:b/>
          <w:kern w:val="2"/>
          <w:sz w:val="32"/>
          <w:szCs w:val="32"/>
        </w:rPr>
      </w:pPr>
    </w:p>
    <w:p>
      <w:pPr>
        <w:widowControl w:val="0"/>
        <w:spacing w:line="560" w:lineRule="exact"/>
        <w:jc w:val="center"/>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bCs/>
          <w:kern w:val="2"/>
          <w:sz w:val="32"/>
          <w:szCs w:val="32"/>
        </w:rPr>
        <w:t>蓬安县应急管理局</w:t>
      </w:r>
    </w:p>
    <w:p>
      <w:pPr>
        <w:widowControl w:val="0"/>
        <w:spacing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 xml:space="preserve">                                  </w:t>
      </w:r>
      <w:r>
        <w:rPr>
          <w:rFonts w:hint="default" w:ascii="Times New Roman" w:hAnsi="Times New Roman" w:eastAsia="仿宋_GB2312" w:cs="Times New Roman"/>
          <w:bCs/>
          <w:kern w:val="2"/>
          <w:sz w:val="32"/>
          <w:szCs w:val="32"/>
          <w:lang w:val="en-US" w:eastAsia="zh-CN"/>
        </w:rPr>
        <w:t xml:space="preserve">   </w:t>
      </w:r>
      <w:r>
        <w:rPr>
          <w:rFonts w:hint="eastAsia" w:cs="Times New Roman"/>
          <w:bCs/>
          <w:kern w:val="2"/>
          <w:sz w:val="32"/>
          <w:szCs w:val="32"/>
          <w:lang w:val="en-US" w:eastAsia="zh-CN"/>
        </w:rPr>
        <w:t>2024</w:t>
      </w:r>
      <w:r>
        <w:rPr>
          <w:rFonts w:hint="default" w:ascii="Times New Roman" w:hAnsi="Times New Roman" w:eastAsia="仿宋_GB2312" w:cs="Times New Roman"/>
          <w:bCs/>
          <w:kern w:val="2"/>
          <w:sz w:val="32"/>
          <w:szCs w:val="32"/>
        </w:rPr>
        <w:t>年</w:t>
      </w:r>
      <w:r>
        <w:rPr>
          <w:rFonts w:hint="eastAsia" w:cs="Times New Roman"/>
          <w:bCs/>
          <w:kern w:val="2"/>
          <w:sz w:val="32"/>
          <w:szCs w:val="32"/>
          <w:lang w:val="en-US" w:eastAsia="zh-CN"/>
        </w:rPr>
        <w:t>2</w:t>
      </w:r>
      <w:r>
        <w:rPr>
          <w:rFonts w:hint="default" w:ascii="Times New Roman" w:hAnsi="Times New Roman" w:eastAsia="仿宋_GB2312" w:cs="Times New Roman"/>
          <w:bCs/>
          <w:kern w:val="2"/>
          <w:sz w:val="32"/>
          <w:szCs w:val="32"/>
        </w:rPr>
        <w:t>月</w:t>
      </w:r>
      <w:r>
        <w:rPr>
          <w:rFonts w:hint="eastAsia" w:cs="Times New Roman"/>
          <w:bCs/>
          <w:kern w:val="2"/>
          <w:sz w:val="32"/>
          <w:szCs w:val="32"/>
          <w:lang w:val="en-US" w:eastAsia="zh-CN"/>
        </w:rPr>
        <w:t>6</w:t>
      </w:r>
      <w:r>
        <w:rPr>
          <w:rFonts w:hint="default" w:ascii="Times New Roman" w:hAnsi="Times New Roman" w:eastAsia="仿宋_GB2312" w:cs="Times New Roman"/>
          <w:bCs/>
          <w:kern w:val="2"/>
          <w:sz w:val="32"/>
          <w:szCs w:val="32"/>
        </w:rPr>
        <w:t>日</w:t>
      </w:r>
    </w:p>
    <w:p>
      <w:pPr>
        <w:widowControl w:val="0"/>
        <w:spacing w:line="560" w:lineRule="exact"/>
        <w:jc w:val="both"/>
        <w:rPr>
          <w:rFonts w:hint="default" w:ascii="Times New Roman" w:hAnsi="Times New Roman" w:eastAsia="仿宋_GB2312" w:cs="Times New Roman"/>
          <w:bCs/>
          <w:kern w:val="2"/>
          <w:sz w:val="32"/>
          <w:szCs w:val="32"/>
        </w:rPr>
      </w:pPr>
    </w:p>
    <w:p>
      <w:pPr>
        <w:pStyle w:val="6"/>
        <w:spacing w:before="100" w:beforeAutospacing="0" w:after="100" w:afterAutospacing="0" w:line="560" w:lineRule="exact"/>
        <w:jc w:val="both"/>
        <w:rPr>
          <w:rFonts w:hint="default" w:ascii="Times New Roman" w:hAnsi="Times New Roman" w:eastAsia="仿宋_GB2312" w:cs="Times New Roman"/>
          <w:bCs/>
          <w:kern w:val="2"/>
          <w:sz w:val="32"/>
          <w:szCs w:val="32"/>
        </w:rPr>
      </w:pPr>
    </w:p>
    <w:p>
      <w:pPr>
        <w:pStyle w:val="6"/>
        <w:spacing w:before="100" w:beforeAutospacing="0" w:after="100" w:afterAutospacing="0"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（联系人：</w:t>
      </w:r>
      <w:r>
        <w:rPr>
          <w:rFonts w:hint="default" w:ascii="Times New Roman" w:hAnsi="Times New Roman" w:eastAsia="仿宋_GB2312" w:cs="Times New Roman"/>
          <w:bCs/>
          <w:kern w:val="2"/>
          <w:sz w:val="32"/>
          <w:szCs w:val="32"/>
          <w:lang w:eastAsia="zh-CN"/>
        </w:rPr>
        <w:t>邓静</w:t>
      </w:r>
      <w:r>
        <w:rPr>
          <w:rFonts w:hint="default" w:ascii="Times New Roman" w:hAnsi="Times New Roman" w:eastAsia="仿宋_GB2312" w:cs="Times New Roman"/>
          <w:bCs/>
          <w:kern w:val="2"/>
          <w:sz w:val="32"/>
          <w:szCs w:val="32"/>
        </w:rPr>
        <w:t xml:space="preserve">  联系电话：</w:t>
      </w:r>
      <w:r>
        <w:rPr>
          <w:rFonts w:hint="default" w:ascii="Times New Roman" w:hAnsi="Times New Roman" w:eastAsia="仿宋_GB2312" w:cs="Times New Roman"/>
          <w:bCs/>
          <w:kern w:val="2"/>
          <w:sz w:val="32"/>
          <w:szCs w:val="32"/>
          <w:lang w:val="en-US" w:eastAsia="zh-CN"/>
        </w:rPr>
        <w:t>15283038474</w:t>
      </w:r>
      <w:r>
        <w:rPr>
          <w:rFonts w:hint="default" w:ascii="Times New Roman" w:hAnsi="Times New Roman" w:eastAsia="仿宋_GB2312" w:cs="Times New Roman"/>
          <w:bCs/>
          <w:kern w:val="2"/>
          <w:sz w:val="32"/>
          <w:szCs w:val="32"/>
        </w:rPr>
        <w:t>）</w:t>
      </w:r>
    </w:p>
    <w:p>
      <w:pPr>
        <w:pStyle w:val="6"/>
        <w:spacing w:before="100" w:beforeAutospacing="0" w:after="100" w:afterAutospacing="0" w:line="560" w:lineRule="exact"/>
        <w:ind w:firstLine="311" w:firstLineChars="100"/>
        <w:rPr>
          <w:rFonts w:ascii="Times New Roman" w:hAnsi="Times New Roman" w:eastAsia="方正黑体简体"/>
          <w:b/>
          <w:bCs/>
          <w:sz w:val="32"/>
          <w:szCs w:val="32"/>
        </w:rPr>
      </w:pPr>
    </w:p>
    <w:p>
      <w:pPr>
        <w:pStyle w:val="6"/>
        <w:spacing w:before="100" w:beforeAutospacing="0" w:after="100" w:afterAutospacing="0" w:line="600" w:lineRule="exact"/>
        <w:ind w:firstLine="311" w:firstLineChars="100"/>
        <w:rPr>
          <w:rFonts w:ascii="Times New Roman" w:hAnsi="Times New Roman" w:eastAsia="方正黑体简体"/>
          <w:b/>
          <w:bCs/>
          <w:sz w:val="32"/>
          <w:szCs w:val="32"/>
        </w:rPr>
      </w:pPr>
    </w:p>
    <w:p>
      <w:pPr>
        <w:bidi w:val="0"/>
        <w:jc w:val="both"/>
        <w:rPr>
          <w:rFonts w:hint="default" w:ascii="Times New Roman" w:hAnsi="Times New Roman" w:eastAsia="仿宋_GB2312" w:cs="Times New Roman"/>
          <w:kern w:val="2"/>
          <w:sz w:val="32"/>
          <w:szCs w:val="32"/>
          <w:u w:val="single"/>
          <w:lang w:val="en-US" w:eastAsia="zh-CN" w:bidi="ar-SA"/>
        </w:rPr>
      </w:pPr>
    </w:p>
    <w:p>
      <w:pPr>
        <w:pStyle w:val="2"/>
        <w:rPr>
          <w:rFonts w:hint="default"/>
          <w:lang w:val="en-US" w:eastAsia="zh-CN"/>
        </w:rPr>
      </w:pPr>
    </w:p>
    <w:p>
      <w:pPr>
        <w:pStyle w:val="2"/>
        <w:rPr>
          <w:rFonts w:hint="default"/>
          <w:lang w:val="en-US" w:eastAsia="zh-CN"/>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jc w:val="left"/>
        <w:textAlignment w:val="auto"/>
        <w:rPr>
          <w:rFonts w:hint="eastAsia"/>
          <w:u w:val="none"/>
          <w:lang w:val="en-US" w:eastAsia="zh-CN"/>
        </w:rPr>
      </w:pPr>
      <w:r>
        <w:rPr>
          <w:rFonts w:hint="eastAsia"/>
          <w:u w:val="none"/>
          <w:lang w:val="en-US" w:eastAsia="zh-CN"/>
        </w:rPr>
        <w:t>蓬安县应急管理局                     2024年2月6日印发</w:t>
      </w:r>
    </w:p>
    <w:p>
      <w:pPr>
        <w:pStyle w:val="6"/>
        <w:spacing w:beforeAutospacing="0" w:afterAutospacing="0" w:line="560" w:lineRule="exact"/>
        <w:jc w:val="left"/>
        <w:rPr>
          <w:rFonts w:ascii="Times New Roman" w:hAnsi="Times New Roman" w:eastAsia="方正小标宋简体"/>
          <w:b/>
          <w:kern w:val="2"/>
          <w:sz w:val="44"/>
          <w:szCs w:val="44"/>
        </w:rPr>
      </w:pPr>
      <w:r>
        <w:rPr>
          <w:rFonts w:ascii="Times New Roman" w:hAnsi="Times New Roman" w:eastAsia="黑体"/>
          <w:b/>
          <w:kern w:val="2"/>
          <w:sz w:val="32"/>
          <w:szCs w:val="32"/>
        </w:rPr>
        <w:t>附件</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蓬安县应急管理局</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202</w:t>
      </w:r>
      <w:r>
        <w:rPr>
          <w:rFonts w:hint="eastAsia" w:eastAsia="方正小标宋简体"/>
          <w:b/>
          <w:kern w:val="2"/>
          <w:sz w:val="44"/>
          <w:szCs w:val="44"/>
          <w:lang w:val="en-US" w:eastAsia="zh-CN"/>
        </w:rPr>
        <w:t>4</w:t>
      </w:r>
      <w:r>
        <w:rPr>
          <w:rFonts w:ascii="Times New Roman" w:hAnsi="Times New Roman" w:eastAsia="方正小标宋简体"/>
          <w:b/>
          <w:kern w:val="2"/>
          <w:sz w:val="44"/>
          <w:szCs w:val="44"/>
        </w:rPr>
        <w:t>年度安全生产</w:t>
      </w:r>
      <w:r>
        <w:rPr>
          <w:rFonts w:hint="eastAsia" w:ascii="Times New Roman" w:hAnsi="Times New Roman" w:eastAsia="方正小标宋简体"/>
          <w:b/>
          <w:kern w:val="2"/>
          <w:sz w:val="44"/>
          <w:szCs w:val="44"/>
        </w:rPr>
        <w:t>监督检查</w:t>
      </w:r>
      <w:r>
        <w:rPr>
          <w:rFonts w:ascii="Times New Roman" w:hAnsi="Times New Roman" w:eastAsia="方正小标宋简体"/>
          <w:b/>
          <w:kern w:val="2"/>
          <w:sz w:val="44"/>
          <w:szCs w:val="44"/>
        </w:rPr>
        <w:t>计划</w:t>
      </w:r>
    </w:p>
    <w:p>
      <w:pPr>
        <w:spacing w:line="560" w:lineRule="exact"/>
        <w:jc w:val="both"/>
        <w:rPr>
          <w:rFonts w:ascii="Times New Roman" w:hAnsi="Times New Roman" w:eastAsia="仿宋_GB2312"/>
          <w:bCs/>
          <w:kern w:val="2"/>
          <w:sz w:val="32"/>
          <w:szCs w:val="32"/>
        </w:rPr>
      </w:pPr>
    </w:p>
    <w:p>
      <w:pPr>
        <w:spacing w:line="560" w:lineRule="exact"/>
        <w:ind w:firstLine="622" w:firstLineChars="200"/>
        <w:jc w:val="both"/>
        <w:rPr>
          <w:rFonts w:ascii="Times New Roman" w:hAnsi="Times New Roman" w:eastAsia="方正仿宋简体"/>
          <w:bCs/>
          <w:color w:val="000000" w:themeColor="text1"/>
          <w:sz w:val="32"/>
          <w:szCs w:val="32"/>
          <w14:textFill>
            <w14:solidFill>
              <w14:schemeClr w14:val="tx1"/>
            </w14:solidFill>
          </w14:textFill>
        </w:rPr>
      </w:pPr>
      <w:r>
        <w:rPr>
          <w:rFonts w:hint="eastAsia" w:ascii="Times New Roman" w:hAnsi="Times New Roman" w:eastAsia="仿宋_GB2312"/>
          <w:bCs/>
          <w:kern w:val="2"/>
          <w:sz w:val="32"/>
          <w:szCs w:val="32"/>
        </w:rPr>
        <w:t>为加强安全生产执法工作，切实履行监督管理职责，科学规范开展执法检查，督促企业落实主体责任，有力有效防范化解安全风险、消除事故</w:t>
      </w:r>
      <w:r>
        <w:rPr>
          <w:rFonts w:hint="eastAsia"/>
          <w:bCs/>
          <w:kern w:val="2"/>
          <w:sz w:val="32"/>
          <w:szCs w:val="32"/>
          <w:lang w:eastAsia="zh-CN"/>
        </w:rPr>
        <w:t>隐患</w:t>
      </w:r>
      <w:r>
        <w:rPr>
          <w:rFonts w:ascii="Times New Roman" w:hAnsi="Times New Roman" w:eastAsia="仿宋_GB2312"/>
          <w:bCs/>
          <w:kern w:val="2"/>
          <w:sz w:val="32"/>
          <w:szCs w:val="32"/>
        </w:rPr>
        <w:t>。根据</w:t>
      </w:r>
      <w:r>
        <w:rPr>
          <w:rFonts w:hint="eastAsia"/>
          <w:bCs/>
          <w:kern w:val="2"/>
          <w:sz w:val="32"/>
          <w:szCs w:val="32"/>
          <w:lang w:eastAsia="zh-CN"/>
        </w:rPr>
        <w:t>《应急管理行政执法人员依法履职管理规定》（中华人民共和国应急管理部令第9号）、《国家安全监管总局关于印发安全生产年度监督检查计划编制办法》的通知（安监总政法</w:t>
      </w:r>
      <w:r>
        <w:rPr>
          <w:rFonts w:ascii="Times New Roman" w:hAnsi="Times New Roman" w:eastAsia="仿宋_GB2312"/>
          <w:bCs/>
          <w:kern w:val="2"/>
          <w:sz w:val="32"/>
          <w:szCs w:val="32"/>
        </w:rPr>
        <w:t>〔2017〕150号）要求，结合我县安全生产工作实际，编制202</w:t>
      </w:r>
      <w:r>
        <w:rPr>
          <w:rFonts w:hint="eastAsia"/>
          <w:bCs/>
          <w:kern w:val="2"/>
          <w:sz w:val="32"/>
          <w:szCs w:val="32"/>
          <w:lang w:val="en-US" w:eastAsia="zh-CN"/>
        </w:rPr>
        <w:t>4</w:t>
      </w:r>
      <w:r>
        <w:rPr>
          <w:rFonts w:ascii="Times New Roman" w:hAnsi="Times New Roman" w:eastAsia="仿宋_GB2312"/>
          <w:bCs/>
          <w:kern w:val="2"/>
          <w:sz w:val="32"/>
          <w:szCs w:val="32"/>
        </w:rPr>
        <w:t>年度安全生产</w:t>
      </w:r>
      <w:r>
        <w:rPr>
          <w:rFonts w:hint="eastAsia" w:ascii="Times New Roman" w:hAnsi="Times New Roman" w:eastAsia="仿宋_GB2312"/>
          <w:bCs/>
          <w:kern w:val="2"/>
          <w:sz w:val="32"/>
          <w:szCs w:val="32"/>
        </w:rPr>
        <w:t>监督检查</w:t>
      </w:r>
      <w:r>
        <w:rPr>
          <w:rFonts w:ascii="Times New Roman" w:hAnsi="Times New Roman" w:eastAsia="仿宋_GB2312"/>
          <w:bCs/>
          <w:kern w:val="2"/>
          <w:sz w:val="32"/>
          <w:szCs w:val="32"/>
        </w:rPr>
        <w:t>计划。</w:t>
      </w:r>
    </w:p>
    <w:p>
      <w:pPr>
        <w:pStyle w:val="6"/>
        <w:spacing w:beforeAutospacing="0" w:afterAutospacing="0" w:line="560" w:lineRule="exact"/>
        <w:ind w:firstLine="622" w:firstLineChars="200"/>
        <w:jc w:val="both"/>
        <w:rPr>
          <w:rFonts w:hint="eastAsia" w:ascii="Times New Roman" w:hAnsi="Times New Roman" w:eastAsia="黑体"/>
          <w:b/>
          <w:color w:val="000000" w:themeColor="text1"/>
          <w:sz w:val="32"/>
          <w:szCs w:val="32"/>
          <w:lang w:eastAsia="zh-CN"/>
          <w14:textFill>
            <w14:solidFill>
              <w14:schemeClr w14:val="tx1"/>
            </w14:solidFill>
          </w14:textFill>
        </w:rPr>
      </w:pPr>
      <w:r>
        <w:rPr>
          <w:rFonts w:ascii="Times New Roman" w:hAnsi="Times New Roman" w:eastAsia="黑体"/>
          <w:b/>
          <w:kern w:val="2"/>
          <w:sz w:val="32"/>
          <w:szCs w:val="32"/>
        </w:rPr>
        <w:t>一、</w:t>
      </w:r>
      <w:r>
        <w:rPr>
          <w:rFonts w:hint="eastAsia" w:eastAsia="黑体"/>
          <w:b/>
          <w:kern w:val="2"/>
          <w:sz w:val="32"/>
          <w:szCs w:val="32"/>
          <w:lang w:eastAsia="zh-CN"/>
        </w:rPr>
        <w:t>总体要求、编制原则和主要任务</w:t>
      </w:r>
    </w:p>
    <w:p>
      <w:pPr>
        <w:pStyle w:val="3"/>
        <w:spacing w:line="560" w:lineRule="exact"/>
        <w:ind w:firstLine="622" w:firstLineChars="200"/>
        <w:jc w:val="both"/>
        <w:outlineLvl w:val="0"/>
        <w:rPr>
          <w:rFonts w:ascii="Times New Roman" w:hAnsi="Times New Roman" w:eastAsia="仿宋_GB2312" w:cs="Times New Roman"/>
          <w:bCs/>
          <w:kern w:val="2"/>
          <w:sz w:val="32"/>
          <w:szCs w:val="32"/>
        </w:rPr>
      </w:pPr>
      <w:r>
        <w:rPr>
          <w:rFonts w:hint="eastAsia" w:ascii="楷体" w:hAnsi="楷体" w:eastAsia="楷体" w:cs="楷体"/>
          <w:b/>
          <w:kern w:val="2"/>
          <w:sz w:val="32"/>
          <w:szCs w:val="32"/>
        </w:rPr>
        <w:t>（一）</w:t>
      </w:r>
      <w:r>
        <w:rPr>
          <w:rFonts w:hint="eastAsia" w:ascii="楷体" w:hAnsi="楷体" w:eastAsia="楷体" w:cs="楷体"/>
          <w:b/>
          <w:kern w:val="2"/>
          <w:sz w:val="32"/>
          <w:szCs w:val="32"/>
          <w:lang w:eastAsia="zh-CN"/>
        </w:rPr>
        <w:t>总体要求</w:t>
      </w:r>
      <w:r>
        <w:rPr>
          <w:rFonts w:hint="eastAsia" w:ascii="楷体" w:hAnsi="楷体" w:eastAsia="楷体" w:cs="楷体"/>
          <w:b/>
          <w:kern w:val="2"/>
          <w:sz w:val="32"/>
          <w:szCs w:val="32"/>
        </w:rPr>
        <w:t>：</w:t>
      </w:r>
      <w:r>
        <w:rPr>
          <w:rFonts w:hint="eastAsia" w:ascii="Times New Roman" w:hAnsi="Times New Roman" w:eastAsia="仿宋_GB2312" w:cs="Times New Roman"/>
          <w:bCs/>
          <w:kern w:val="2"/>
          <w:sz w:val="32"/>
          <w:szCs w:val="32"/>
        </w:rPr>
        <w:t>以习近平新时代中国特色社会主义思想为指引，深入贯彻落实习近平总书记关于安全生产重要论述和指示批示精神，全面准确贯彻落实党的二十大精神</w:t>
      </w: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强化安全生产法治观念，不断加强安全生产执法工作，坚持严格规范公正文明执法，有效防范遏制生产安全事故发生，切实把确保人民生命安全放在第一位的理念落到实处，推动全县安全生产形势持续稳定好转，以实际行动和实际效果践行“两个维护”</w:t>
      </w:r>
      <w:r>
        <w:rPr>
          <w:rFonts w:ascii="Times New Roman" w:hAnsi="Times New Roman" w:eastAsia="仿宋_GB2312" w:cs="Times New Roman"/>
          <w:bCs/>
          <w:kern w:val="2"/>
          <w:sz w:val="32"/>
          <w:szCs w:val="32"/>
        </w:rPr>
        <w:t>。</w:t>
      </w:r>
    </w:p>
    <w:p>
      <w:pPr>
        <w:pStyle w:val="11"/>
        <w:spacing w:line="560" w:lineRule="exact"/>
        <w:ind w:firstLine="631"/>
        <w:jc w:val="both"/>
        <w:rPr>
          <w:rFonts w:hint="eastAsia" w:ascii="Times New Roman" w:hAnsi="Times New Roman" w:eastAsia="仿宋_GB2312"/>
          <w:bCs/>
          <w:kern w:val="2"/>
          <w:sz w:val="32"/>
          <w:szCs w:val="32"/>
        </w:rPr>
      </w:pPr>
      <w:r>
        <w:rPr>
          <w:rFonts w:hint="eastAsia" w:ascii="楷体" w:hAnsi="楷体" w:eastAsia="楷体" w:cs="楷体"/>
          <w:b/>
          <w:kern w:val="2"/>
          <w:sz w:val="32"/>
          <w:szCs w:val="32"/>
          <w:lang w:val="en-US" w:eastAsia="zh-CN" w:bidi="ar-SA"/>
        </w:rPr>
        <w:t>（二）编制原则：</w:t>
      </w:r>
      <w:r>
        <w:rPr>
          <w:rFonts w:hint="eastAsia" w:ascii="Times New Roman" w:hAnsi="Times New Roman" w:eastAsia="仿宋_GB2312"/>
          <w:bCs/>
          <w:kern w:val="2"/>
          <w:sz w:val="32"/>
          <w:szCs w:val="32"/>
        </w:rPr>
        <w:t>按照统筹兼顾、分类分级、突出重点、提高效能、留有余地的原则，综合考虑应急管理局</w:t>
      </w:r>
      <w:r>
        <w:rPr>
          <w:rFonts w:hint="eastAsia"/>
          <w:bCs/>
          <w:kern w:val="2"/>
          <w:sz w:val="32"/>
          <w:szCs w:val="32"/>
          <w:lang w:eastAsia="zh-CN"/>
        </w:rPr>
        <w:t>综合</w:t>
      </w:r>
      <w:r>
        <w:rPr>
          <w:rFonts w:hint="eastAsia" w:ascii="Times New Roman" w:hAnsi="Times New Roman" w:eastAsia="仿宋_GB2312"/>
          <w:bCs/>
          <w:kern w:val="2"/>
          <w:sz w:val="32"/>
          <w:szCs w:val="32"/>
        </w:rPr>
        <w:t>行政执法人员数量、执法能力、监督检查职责范围内生产经营单位的数量及其安全生产状况、局机关年度工作整体安排等因素，科学编制202</w:t>
      </w:r>
      <w:r>
        <w:rPr>
          <w:rFonts w:hint="eastAsia"/>
          <w:bCs/>
          <w:kern w:val="2"/>
          <w:sz w:val="32"/>
          <w:szCs w:val="32"/>
          <w:lang w:val="en-US" w:eastAsia="zh-CN"/>
        </w:rPr>
        <w:t>4</w:t>
      </w:r>
      <w:r>
        <w:rPr>
          <w:rFonts w:hint="eastAsia" w:ascii="Times New Roman" w:hAnsi="Times New Roman" w:eastAsia="仿宋_GB2312"/>
          <w:bCs/>
          <w:kern w:val="2"/>
          <w:sz w:val="32"/>
          <w:szCs w:val="32"/>
        </w:rPr>
        <w:t>年度</w:t>
      </w:r>
      <w:r>
        <w:rPr>
          <w:rFonts w:ascii="Times New Roman" w:hAnsi="Times New Roman" w:eastAsia="仿宋_GB2312"/>
          <w:bCs/>
          <w:kern w:val="2"/>
          <w:sz w:val="32"/>
          <w:szCs w:val="32"/>
        </w:rPr>
        <w:t>安全生产</w:t>
      </w:r>
      <w:r>
        <w:rPr>
          <w:rFonts w:hint="eastAsia" w:ascii="Times New Roman" w:hAnsi="Times New Roman" w:eastAsia="仿宋_GB2312"/>
          <w:bCs/>
          <w:kern w:val="2"/>
          <w:sz w:val="32"/>
          <w:szCs w:val="32"/>
        </w:rPr>
        <w:t>监督检查计划。</w:t>
      </w:r>
    </w:p>
    <w:p>
      <w:pPr>
        <w:pStyle w:val="6"/>
        <w:spacing w:beforeAutospacing="0" w:afterAutospacing="0" w:line="560" w:lineRule="exact"/>
        <w:ind w:firstLine="622" w:firstLineChars="200"/>
        <w:jc w:val="both"/>
        <w:rPr>
          <w:rFonts w:hint="eastAsia" w:ascii="Times New Roman" w:hAnsi="Times New Roman" w:eastAsia="仿宋_GB2312"/>
          <w:bCs/>
          <w:color w:val="000000"/>
          <w:sz w:val="32"/>
          <w:szCs w:val="32"/>
        </w:rPr>
      </w:pPr>
      <w:r>
        <w:rPr>
          <w:rFonts w:hint="eastAsia" w:ascii="楷体" w:hAnsi="楷体" w:eastAsia="楷体" w:cs="楷体"/>
          <w:b/>
          <w:kern w:val="2"/>
          <w:sz w:val="32"/>
          <w:szCs w:val="32"/>
          <w:lang w:val="en-US" w:eastAsia="zh-CN" w:bidi="ar-SA"/>
        </w:rPr>
        <w:t>（三）主要任务：</w:t>
      </w:r>
      <w:r>
        <w:rPr>
          <w:rFonts w:hint="eastAsia" w:ascii="Times New Roman" w:hAnsi="Times New Roman" w:eastAsia="仿宋_GB2312"/>
          <w:bCs/>
          <w:color w:val="000000"/>
          <w:sz w:val="32"/>
          <w:szCs w:val="32"/>
        </w:rPr>
        <w:t>通过编制实施</w:t>
      </w:r>
      <w:r>
        <w:rPr>
          <w:rFonts w:hint="eastAsia" w:ascii="Times New Roman" w:hAnsi="Times New Roman" w:eastAsia="仿宋_GB2312"/>
          <w:bCs/>
          <w:kern w:val="2"/>
          <w:sz w:val="32"/>
          <w:szCs w:val="32"/>
        </w:rPr>
        <w:t>监督检查</w:t>
      </w:r>
      <w:r>
        <w:rPr>
          <w:rFonts w:hint="eastAsia" w:ascii="Times New Roman" w:hAnsi="Times New Roman" w:eastAsia="仿宋_GB2312"/>
          <w:bCs/>
          <w:color w:val="000000"/>
          <w:sz w:val="32"/>
          <w:szCs w:val="32"/>
        </w:rPr>
        <w:t>计划，明确执法任务、落实监管责任，严格规范公正文明执法，全面推行行政执法三项制度，推进信用分级分类监管，严格依法依规查处违法行为，消除事故隐患，压实企业安全生产主体责任，提升安全生产管理的法治化、规范化水平，努力实现减少发生生产安全事故的起数和死伤人数，坚决遏制一般事故，坚决杜绝较大及以上生产安全事故，确保完成202</w:t>
      </w:r>
      <w:r>
        <w:rPr>
          <w:rFonts w:hint="eastAsia"/>
          <w:bCs/>
          <w:color w:val="000000"/>
          <w:sz w:val="32"/>
          <w:szCs w:val="32"/>
          <w:lang w:val="en-US" w:eastAsia="zh-CN"/>
        </w:rPr>
        <w:t>4</w:t>
      </w:r>
      <w:r>
        <w:rPr>
          <w:rFonts w:hint="eastAsia" w:ascii="Times New Roman" w:hAnsi="Times New Roman" w:eastAsia="仿宋_GB2312"/>
          <w:bCs/>
          <w:color w:val="000000"/>
          <w:sz w:val="32"/>
          <w:szCs w:val="32"/>
        </w:rPr>
        <w:t>年安全生产控制目标。</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二、行政执法力量和工作日测算</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（一）执法人员数量</w:t>
      </w:r>
    </w:p>
    <w:p>
      <w:pPr>
        <w:pStyle w:val="6"/>
        <w:spacing w:beforeAutospacing="0" w:afterAutospacing="0"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lang w:bidi="ar"/>
        </w:rPr>
        <w:t>本机关包括执法大队共有行政执法编制1</w:t>
      </w:r>
      <w:r>
        <w:rPr>
          <w:rFonts w:hint="eastAsia"/>
          <w:bCs/>
          <w:sz w:val="32"/>
          <w:szCs w:val="32"/>
          <w:lang w:val="en-US" w:eastAsia="zh-CN" w:bidi="ar"/>
        </w:rPr>
        <w:t>5</w:t>
      </w:r>
      <w:r>
        <w:rPr>
          <w:rFonts w:ascii="Times New Roman" w:hAnsi="Times New Roman" w:eastAsia="仿宋_GB2312"/>
          <w:bCs/>
          <w:sz w:val="32"/>
          <w:szCs w:val="32"/>
          <w:lang w:bidi="ar"/>
        </w:rPr>
        <w:t>人，其中，局机关股室</w:t>
      </w:r>
      <w:r>
        <w:rPr>
          <w:rFonts w:hint="eastAsia"/>
          <w:bCs/>
          <w:sz w:val="32"/>
          <w:szCs w:val="32"/>
          <w:lang w:val="en-US" w:eastAsia="zh-CN" w:bidi="ar"/>
        </w:rPr>
        <w:t>4</w:t>
      </w:r>
      <w:r>
        <w:rPr>
          <w:rFonts w:ascii="Times New Roman" w:hAnsi="Times New Roman" w:eastAsia="仿宋_GB2312"/>
          <w:bCs/>
          <w:sz w:val="32"/>
          <w:szCs w:val="32"/>
          <w:lang w:bidi="ar"/>
        </w:rPr>
        <w:t>人。</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（二）法定工作日分配</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1.总法定工作日2750天</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总法定工作日=法定工作日×行政执法人员数。</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总法定工作日：（36</w:t>
      </w:r>
      <w:r>
        <w:rPr>
          <w:rFonts w:hint="eastAsia"/>
          <w:bCs/>
          <w:sz w:val="32"/>
          <w:szCs w:val="32"/>
          <w:lang w:val="en-US" w:eastAsia="zh-CN" w:bidi="ar"/>
        </w:rPr>
        <w:t>6</w:t>
      </w:r>
      <w:r>
        <w:rPr>
          <w:rFonts w:ascii="Times New Roman" w:hAnsi="Times New Roman" w:eastAsia="仿宋_GB2312"/>
          <w:bCs/>
          <w:sz w:val="32"/>
          <w:szCs w:val="32"/>
          <w:lang w:bidi="ar"/>
        </w:rPr>
        <w:t>－11</w:t>
      </w:r>
      <w:r>
        <w:rPr>
          <w:rFonts w:hint="eastAsia"/>
          <w:bCs/>
          <w:sz w:val="32"/>
          <w:szCs w:val="32"/>
          <w:lang w:val="en-US" w:eastAsia="zh-CN" w:bidi="ar"/>
        </w:rPr>
        <w:t>6</w:t>
      </w:r>
      <w:r>
        <w:rPr>
          <w:rFonts w:ascii="Times New Roman" w:hAnsi="Times New Roman" w:eastAsia="仿宋_GB2312"/>
          <w:bCs/>
          <w:sz w:val="32"/>
          <w:szCs w:val="32"/>
          <w:lang w:bidi="ar"/>
        </w:rPr>
        <w:t>）日×</w:t>
      </w:r>
      <w:r>
        <w:rPr>
          <w:rFonts w:hint="eastAsia"/>
          <w:bCs/>
          <w:sz w:val="32"/>
          <w:szCs w:val="32"/>
          <w:lang w:val="en-US" w:eastAsia="zh-CN" w:bidi="ar"/>
        </w:rPr>
        <w:t>11</w:t>
      </w:r>
      <w:r>
        <w:rPr>
          <w:rFonts w:ascii="Times New Roman" w:hAnsi="Times New Roman" w:eastAsia="仿宋_GB2312"/>
          <w:bCs/>
          <w:sz w:val="32"/>
          <w:szCs w:val="32"/>
          <w:lang w:bidi="ar"/>
        </w:rPr>
        <w:t>人，共2750个工作日。</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（1）202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年全年36</w:t>
      </w:r>
      <w:r>
        <w:rPr>
          <w:rFonts w:hint="eastAsia" w:ascii="Times New Roman" w:hAnsi="Times New Roman" w:eastAsia="仿宋_GB2312" w:cs="Times New Roman"/>
          <w:bCs/>
          <w:sz w:val="32"/>
          <w:szCs w:val="32"/>
          <w:lang w:val="en-US" w:eastAsia="zh-CN"/>
        </w:rPr>
        <w:t>6</w:t>
      </w:r>
      <w:r>
        <w:rPr>
          <w:rFonts w:ascii="Times New Roman" w:hAnsi="Times New Roman" w:eastAsia="仿宋_GB2312" w:cs="Times New Roman"/>
          <w:bCs/>
          <w:sz w:val="32"/>
          <w:szCs w:val="32"/>
        </w:rPr>
        <w:t>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（2）全年52周，每周法定假日2天，计入元旦、春节、清明、五一、端午、中秋和国庆节法定节假日时间，全年共计法定假日11</w:t>
      </w:r>
      <w:r>
        <w:rPr>
          <w:rFonts w:hint="eastAsia" w:ascii="Times New Roman" w:hAnsi="Times New Roman" w:eastAsia="仿宋_GB2312" w:cs="Times New Roman"/>
          <w:bCs/>
          <w:sz w:val="32"/>
          <w:szCs w:val="32"/>
          <w:lang w:val="en-US" w:eastAsia="zh-CN"/>
        </w:rPr>
        <w:t>6</w:t>
      </w:r>
      <w:r>
        <w:rPr>
          <w:rFonts w:ascii="Times New Roman" w:hAnsi="Times New Roman" w:eastAsia="仿宋_GB2312" w:cs="Times New Roman"/>
          <w:bCs/>
          <w:sz w:val="32"/>
          <w:szCs w:val="32"/>
        </w:rPr>
        <w:t>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（3）行政执法人员按11人计算。</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2.其他执法工作日，共1500个工作日。按前3年平均数测算包括：</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（1）事故调查处理：200个工作日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（2）举报查处：150个工作日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（3）联合执法、安全生产隐患排查治理：600个工作日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（4）有关报告、制度、安全措施的备案：100个工作日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（5）执法听证、行政复议、行政应诉：50个工作日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（6）上级部门安排的工作任务：400个工作日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3.非执法工作日，共660个工作日。按前3年平均数测算约为60日×11人。包括值班、学习、培训、会议、病事假、检查指导下级安全监管、法定年休假、</w:t>
      </w:r>
      <w:r>
        <w:rPr>
          <w:rFonts w:hint="eastAsia"/>
          <w:bCs/>
          <w:sz w:val="32"/>
          <w:szCs w:val="32"/>
          <w:lang w:eastAsia="zh-CN" w:bidi="ar"/>
        </w:rPr>
        <w:t>探亲假、</w:t>
      </w:r>
      <w:r>
        <w:rPr>
          <w:rFonts w:ascii="Times New Roman" w:hAnsi="Times New Roman" w:eastAsia="仿宋_GB2312"/>
          <w:bCs/>
          <w:sz w:val="32"/>
          <w:szCs w:val="32"/>
          <w:lang w:bidi="ar"/>
        </w:rPr>
        <w:t>参加党群活动等。</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4.执法检查工作日=总法定工作日－其他执法工作日－非执法工作日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执法检查工作日：2750－1500－660，共590个工作日。</w:t>
      </w:r>
    </w:p>
    <w:p>
      <w:pPr>
        <w:spacing w:line="560" w:lineRule="exact"/>
        <w:ind w:firstLine="622" w:firstLineChars="200"/>
        <w:jc w:val="both"/>
        <w:rPr>
          <w:rFonts w:ascii="Times New Roman" w:hAnsi="Times New Roman" w:eastAsia="方正黑体简体"/>
          <w:bCs/>
          <w:sz w:val="32"/>
          <w:szCs w:val="32"/>
        </w:rPr>
      </w:pPr>
      <w:r>
        <w:rPr>
          <w:rFonts w:ascii="Times New Roman" w:hAnsi="Times New Roman" w:eastAsia="黑体"/>
          <w:b/>
          <w:kern w:val="2"/>
          <w:sz w:val="32"/>
          <w:szCs w:val="32"/>
        </w:rPr>
        <w:t>三、</w:t>
      </w:r>
      <w:r>
        <w:rPr>
          <w:rFonts w:hint="eastAsia" w:eastAsia="黑体"/>
          <w:b/>
          <w:kern w:val="2"/>
          <w:sz w:val="32"/>
          <w:szCs w:val="32"/>
          <w:lang w:eastAsia="zh-CN"/>
        </w:rPr>
        <w:t>监督检查</w:t>
      </w:r>
      <w:r>
        <w:rPr>
          <w:rFonts w:ascii="Times New Roman" w:hAnsi="Times New Roman" w:eastAsia="黑体"/>
          <w:b/>
          <w:kern w:val="2"/>
          <w:sz w:val="32"/>
          <w:szCs w:val="32"/>
        </w:rPr>
        <w:t>具体任务</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（一）监督检查的责任分工</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lang w:eastAsia="zh-CN"/>
        </w:rPr>
        <w:t>依照</w:t>
      </w:r>
      <w:r>
        <w:rPr>
          <w:rFonts w:hint="eastAsia" w:ascii="Times New Roman" w:hAnsi="Times New Roman" w:eastAsia="仿宋_GB2312"/>
          <w:bCs/>
          <w:sz w:val="32"/>
          <w:szCs w:val="32"/>
        </w:rPr>
        <w:t>《安全生产执法</w:t>
      </w:r>
      <w:r>
        <w:rPr>
          <w:rFonts w:hint="eastAsia" w:ascii="Times New Roman" w:hAnsi="Times New Roman" w:eastAsia="仿宋_GB2312"/>
          <w:bCs/>
          <w:sz w:val="32"/>
          <w:szCs w:val="32"/>
          <w:lang w:eastAsia="zh-CN"/>
        </w:rPr>
        <w:t>实用</w:t>
      </w:r>
      <w:r>
        <w:rPr>
          <w:rFonts w:hint="eastAsia" w:ascii="Times New Roman" w:hAnsi="Times New Roman" w:eastAsia="仿宋_GB2312"/>
          <w:bCs/>
          <w:sz w:val="32"/>
          <w:szCs w:val="32"/>
        </w:rPr>
        <w:t>手册（202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版）》</w:t>
      </w:r>
      <w:r>
        <w:rPr>
          <w:rFonts w:hint="eastAsia" w:ascii="Times New Roman" w:hAnsi="Times New Roman" w:eastAsia="仿宋_GB2312"/>
          <w:bCs/>
          <w:sz w:val="32"/>
          <w:szCs w:val="32"/>
          <w:lang w:eastAsia="zh-CN"/>
        </w:rPr>
        <w:t>要求，年度监督检查计划包括重点检查、一般检查两个部分，以重点检查为主，重点检查的比例不低于年度监督检查计划拟检查单位总数的</w:t>
      </w:r>
      <w:r>
        <w:rPr>
          <w:rFonts w:hint="eastAsia" w:ascii="Times New Roman" w:hAnsi="Times New Roman" w:eastAsia="仿宋_GB2312"/>
          <w:bCs/>
          <w:sz w:val="32"/>
          <w:szCs w:val="32"/>
          <w:lang w:val="en-US" w:eastAsia="zh-CN"/>
        </w:rPr>
        <w:t>60%。</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2.重点检查单位范围如下。</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（1）安全生产风险等级较高的生产经营单位：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default" w:ascii="Times New Roman" w:hAnsi="Times New Roman" w:eastAsia="仿宋_GB2312"/>
          <w:bCs/>
          <w:sz w:val="32"/>
          <w:szCs w:val="32"/>
          <w:lang w:val="en-US" w:eastAsia="zh-CN"/>
        </w:rPr>
        <w:t>①</w:t>
      </w:r>
      <w:r>
        <w:rPr>
          <w:rFonts w:hint="eastAsia" w:ascii="Times New Roman" w:hAnsi="Times New Roman" w:eastAsia="仿宋_GB2312"/>
          <w:bCs/>
          <w:sz w:val="32"/>
          <w:szCs w:val="32"/>
          <w:lang w:val="en-US" w:eastAsia="zh-CN"/>
        </w:rPr>
        <w:t>涉及重点监管化学品、重点监管危险化工工艺和危险化学品重大危险源的生产经营单位；</w:t>
      </w:r>
      <w:r>
        <w:rPr>
          <w:rFonts w:hint="default" w:ascii="Times New Roman" w:hAnsi="Times New Roman" w:eastAsia="仿宋_GB2312"/>
          <w:bCs/>
          <w:sz w:val="32"/>
          <w:szCs w:val="32"/>
          <w:lang w:val="en-US" w:eastAsia="zh-CN"/>
        </w:rPr>
        <w:t>②</w:t>
      </w:r>
      <w:r>
        <w:rPr>
          <w:rFonts w:hint="eastAsia" w:ascii="Times New Roman" w:hAnsi="Times New Roman" w:eastAsia="仿宋_GB2312"/>
          <w:bCs/>
          <w:sz w:val="32"/>
          <w:szCs w:val="32"/>
          <w:lang w:val="en-US" w:eastAsia="zh-CN"/>
        </w:rPr>
        <w:t>烟花爆竹生产、批发单位；</w:t>
      </w:r>
      <w:r>
        <w:rPr>
          <w:rFonts w:hint="default" w:ascii="Times New Roman" w:hAnsi="Times New Roman" w:eastAsia="仿宋_GB2312"/>
          <w:bCs/>
          <w:sz w:val="32"/>
          <w:szCs w:val="32"/>
          <w:lang w:val="en-US" w:eastAsia="zh-CN"/>
        </w:rPr>
        <w:t>③</w:t>
      </w:r>
      <w:r>
        <w:rPr>
          <w:rFonts w:hint="eastAsia" w:ascii="Times New Roman" w:hAnsi="Times New Roman" w:eastAsia="仿宋_GB2312"/>
          <w:bCs/>
          <w:sz w:val="32"/>
          <w:szCs w:val="32"/>
          <w:lang w:val="en-US" w:eastAsia="zh-CN"/>
        </w:rPr>
        <w:t>金属冶炼生产经营单位；</w:t>
      </w:r>
      <w:r>
        <w:rPr>
          <w:rFonts w:hint="default" w:ascii="Times New Roman" w:hAnsi="Times New Roman" w:eastAsia="仿宋_GB2312" w:cs="Times New Roman"/>
          <w:bCs/>
          <w:sz w:val="32"/>
          <w:szCs w:val="32"/>
          <w:lang w:val="en-US" w:eastAsia="zh-CN"/>
        </w:rPr>
        <w:t>④</w:t>
      </w:r>
      <w:r>
        <w:rPr>
          <w:rFonts w:hint="eastAsia" w:ascii="Times New Roman" w:hAnsi="Times New Roman" w:eastAsia="仿宋_GB2312"/>
          <w:bCs/>
          <w:sz w:val="32"/>
          <w:szCs w:val="32"/>
          <w:lang w:val="en-US" w:eastAsia="zh-CN"/>
        </w:rPr>
        <w:t>涉爆粉尘生产经营单位；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（2）近三年发生过人员死亡的生产安全事故的生产经营单位；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（3）纳入安全生产失信行为联合惩戒对象的生产经营单位；</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22" w:firstLineChars="200"/>
        <w:jc w:val="both"/>
        <w:textAlignment w:val="auto"/>
        <w:rPr>
          <w:rFonts w:hint="eastAsia"/>
          <w:lang w:val="en-US" w:eastAsia="zh-CN"/>
        </w:rPr>
      </w:pPr>
      <w:r>
        <w:rPr>
          <w:rFonts w:hint="eastAsia" w:ascii="Times New Roman" w:hAnsi="Times New Roman" w:eastAsia="仿宋_GB2312"/>
          <w:bCs/>
          <w:sz w:val="32"/>
          <w:szCs w:val="32"/>
          <w:lang w:val="en-US" w:eastAsia="zh-CN"/>
        </w:rPr>
        <w:t>（4）其他应当纳入重点检查安排的生产经营单位。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3.对重点检查单位的检查频次如下。</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40"/>
        <w:jc w:val="both"/>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对上述第（1）项至第（3）项规定的重点检查单位，一般每年至少进行一次监督检查；对上述第（4）项规定的重点检查单位，根据实际情况合理确定监督检查频次。</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4.结合我局各股室和执法大队职能职责，企业安全股和执法大队对重点检查单位名录库和一般检查单位名录库</w:t>
      </w:r>
      <w:r>
        <w:rPr>
          <w:rFonts w:hint="eastAsia" w:cs="Times New Roman"/>
          <w:bCs/>
          <w:kern w:val="2"/>
          <w:sz w:val="32"/>
          <w:szCs w:val="32"/>
          <w:lang w:val="en-US" w:eastAsia="zh-CN" w:bidi="ar-SA"/>
        </w:rPr>
        <w:t>内</w:t>
      </w:r>
      <w:r>
        <w:rPr>
          <w:rFonts w:hint="eastAsia" w:ascii="Times New Roman" w:hAnsi="Times New Roman" w:eastAsia="仿宋_GB2312" w:cs="Times New Roman"/>
          <w:bCs/>
          <w:kern w:val="2"/>
          <w:sz w:val="32"/>
          <w:szCs w:val="32"/>
          <w:lang w:val="en-US" w:eastAsia="zh-CN" w:bidi="ar-SA"/>
        </w:rPr>
        <w:t>的企业进行监督检查，具体</w:t>
      </w:r>
      <w:r>
        <w:rPr>
          <w:rFonts w:hint="eastAsia" w:cs="Times New Roman"/>
          <w:bCs/>
          <w:kern w:val="2"/>
          <w:sz w:val="32"/>
          <w:szCs w:val="32"/>
          <w:lang w:val="en-US" w:eastAsia="zh-CN" w:bidi="ar-SA"/>
        </w:rPr>
        <w:t>执行</w:t>
      </w:r>
      <w:r>
        <w:rPr>
          <w:rFonts w:hint="eastAsia" w:ascii="Times New Roman" w:hAnsi="Times New Roman" w:eastAsia="仿宋_GB2312" w:cs="Times New Roman"/>
          <w:bCs/>
          <w:kern w:val="2"/>
          <w:sz w:val="32"/>
          <w:szCs w:val="32"/>
          <w:lang w:val="en-US" w:eastAsia="zh-CN" w:bidi="ar-SA"/>
        </w:rPr>
        <w:t>部门</w:t>
      </w:r>
      <w:r>
        <w:rPr>
          <w:rFonts w:hint="eastAsia" w:cs="Times New Roman"/>
          <w:bCs/>
          <w:kern w:val="2"/>
          <w:sz w:val="32"/>
          <w:szCs w:val="32"/>
          <w:lang w:val="en-US" w:eastAsia="zh-CN" w:bidi="ar-SA"/>
        </w:rPr>
        <w:t>任务安排</w:t>
      </w:r>
      <w:r>
        <w:rPr>
          <w:rFonts w:hint="eastAsia" w:ascii="Times New Roman" w:hAnsi="Times New Roman" w:eastAsia="仿宋_GB2312" w:cs="Times New Roman"/>
          <w:bCs/>
          <w:kern w:val="2"/>
          <w:sz w:val="32"/>
          <w:szCs w:val="32"/>
          <w:lang w:val="en-US" w:eastAsia="zh-CN" w:bidi="ar-SA"/>
        </w:rPr>
        <w:t>见附件1、附件2。</w:t>
      </w:r>
    </w:p>
    <w:p>
      <w:pPr>
        <w:pStyle w:val="3"/>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（二）监督检查主要内容</w:t>
      </w:r>
    </w:p>
    <w:p>
      <w:pPr>
        <w:spacing w:line="560" w:lineRule="exact"/>
        <w:ind w:firstLine="622" w:firstLineChars="200"/>
        <w:jc w:val="both"/>
        <w:rPr>
          <w:rFonts w:ascii="Times New Roman" w:hAnsi="Times New Roman" w:eastAsia="仿宋_GB2312"/>
          <w:bCs/>
          <w:sz w:val="32"/>
          <w:szCs w:val="32"/>
        </w:rPr>
      </w:pPr>
      <w:r>
        <w:rPr>
          <w:rFonts w:hint="eastAsia"/>
          <w:bCs/>
          <w:sz w:val="32"/>
          <w:szCs w:val="32"/>
          <w:lang w:eastAsia="zh-CN"/>
        </w:rPr>
        <w:t>依照《</w:t>
      </w:r>
      <w:r>
        <w:rPr>
          <w:rFonts w:hint="eastAsia"/>
          <w:bCs/>
          <w:kern w:val="2"/>
          <w:sz w:val="32"/>
          <w:szCs w:val="32"/>
          <w:lang w:eastAsia="zh-CN"/>
        </w:rPr>
        <w:t>安全生产执法检查重点事项表</w:t>
      </w:r>
      <w:r>
        <w:rPr>
          <w:rFonts w:hint="eastAsia"/>
          <w:bCs/>
          <w:sz w:val="32"/>
          <w:szCs w:val="32"/>
          <w:lang w:eastAsia="zh-CN"/>
        </w:rPr>
        <w:t>》</w:t>
      </w:r>
      <w:r>
        <w:rPr>
          <w:rFonts w:ascii="Times New Roman" w:hAnsi="Times New Roman" w:eastAsia="仿宋_GB2312"/>
          <w:bCs/>
          <w:sz w:val="32"/>
          <w:szCs w:val="32"/>
        </w:rPr>
        <w:t>，重点检查以下1</w:t>
      </w:r>
      <w:r>
        <w:rPr>
          <w:rFonts w:hint="eastAsia"/>
          <w:bCs/>
          <w:sz w:val="32"/>
          <w:szCs w:val="32"/>
          <w:lang w:val="en-US" w:eastAsia="zh-CN"/>
        </w:rPr>
        <w:t>6</w:t>
      </w:r>
      <w:r>
        <w:rPr>
          <w:rFonts w:ascii="Times New Roman" w:hAnsi="Times New Roman" w:eastAsia="仿宋_GB2312"/>
          <w:bCs/>
          <w:sz w:val="32"/>
          <w:szCs w:val="32"/>
        </w:rPr>
        <w:t>个方面的内容：</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1.依法取得有关安全生产行政许可的情况；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建立和落实安全生产责任制，建立安全生产检查、教育培训、奖惩以及设施设备安全管理、劳动防护用品配备和管理、危险作业安全管理、特种作业管理、事故报告处理等规章制度和操作规程、作业规程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3.按照国家规定提取和使用安全生产费用、安全责任险投保，以及其他安全生产投入（资金）的情况；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4.依法设置安全生产管理机构和配备安全生产管理人员的情况；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5.从业人员受到安全生产教育和培训，取得有关安全资格证书的情况；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6.新建、改建、扩建工程项目的安全设施与主体工程同时设计、同时施工、同时投入生产和使用，以及按规定办理设计审查和竣工验收的情况；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7.危险作业相关负责人现场带班、制定安全防范措施、设置作业现场安全区域等情况；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8.对承包单位、承租单位的安全生产工作实行统一协调、管理的情况；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9.为从业人员提供符合国家标准或者行业标准的劳动防护用品，及教育、督促从业人员正确佩戴和使用的情况；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10.组织安全生产日常检查，及时排查、上报治理事故隐患，建立健全日常检查记录和隐患排查治理档案的情况；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11.作业场所安全设施（检测报警设施、设备安全防护设施、防爆设施、作业场所防护设施、安全警示标志、泄压和止逆设施、紧急处理设施、逃生避难设施、劳动防护用品等）的配置配备、检测检验、日常检查、维护保养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12.制定、实施生产安全事故应急预案以及应急预案备案，建立应急救援组织、配备应急救援器材、设备、应急物资储备、开展应预案演练的情况；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13.按照规定报告生急救援产安全事故的情况；</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14.风险分级管控和隐患排查治理情况；</w:t>
      </w:r>
    </w:p>
    <w:p>
      <w:pPr>
        <w:spacing w:line="560" w:lineRule="exact"/>
        <w:ind w:firstLine="622" w:firstLineChars="200"/>
        <w:jc w:val="both"/>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15.特种作业人员持证上岗情况；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bCs/>
          <w:sz w:val="32"/>
          <w:szCs w:val="32"/>
          <w:lang w:val="en-US" w:eastAsia="zh-CN"/>
        </w:rPr>
        <w:t>6</w:t>
      </w:r>
      <w:r>
        <w:rPr>
          <w:rFonts w:ascii="Times New Roman" w:hAnsi="Times New Roman" w:eastAsia="仿宋_GB2312"/>
          <w:bCs/>
          <w:sz w:val="32"/>
          <w:szCs w:val="32"/>
        </w:rPr>
        <w:t>.其它有关生产安全检查的事项。</w:t>
      </w:r>
    </w:p>
    <w:p>
      <w:pPr>
        <w:pStyle w:val="2"/>
        <w:keepNext w:val="0"/>
        <w:keepLines w:val="0"/>
        <w:pageBreakBefore w:val="0"/>
        <w:widowControl/>
        <w:kinsoku/>
        <w:wordWrap/>
        <w:overflowPunct/>
        <w:topLinePunct w:val="0"/>
        <w:autoSpaceDE/>
        <w:autoSpaceDN/>
        <w:bidi w:val="0"/>
        <w:adjustRightInd/>
        <w:snapToGrid/>
        <w:spacing w:after="0" w:afterLines="0" w:line="560" w:lineRule="exact"/>
        <w:jc w:val="both"/>
        <w:textAlignment w:val="auto"/>
        <w:rPr>
          <w:rFonts w:hint="default" w:eastAsia="仿宋_GB2312"/>
          <w:lang w:val="en-US" w:eastAsia="zh-CN"/>
        </w:rPr>
      </w:pPr>
      <w:r>
        <w:rPr>
          <w:rFonts w:hint="eastAsia"/>
          <w:bCs/>
          <w:sz w:val="32"/>
          <w:szCs w:val="32"/>
          <w:lang w:val="en-US" w:eastAsia="zh-CN"/>
        </w:rPr>
        <w:t xml:space="preserve">    同时，对危险化学品企业、工贸企业、烟花爆竹批发企业的监督检查事项也要对照《重大事故隐患判定标准（汇编）》（四川省安委办印发）。</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（三）监察执法的方式</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Times New Roman" w:hAnsi="Times New Roman" w:eastAsia="仿宋_GB2312"/>
          <w:bCs/>
          <w:sz w:val="32"/>
          <w:szCs w:val="32"/>
        </w:rPr>
      </w:pPr>
      <w:r>
        <w:rPr>
          <w:rFonts w:ascii="Times New Roman" w:hAnsi="Times New Roman" w:eastAsia="方正仿宋简体"/>
          <w:bCs/>
          <w:sz w:val="32"/>
          <w:szCs w:val="32"/>
        </w:rPr>
        <w:t>1</w:t>
      </w:r>
      <w:r>
        <w:rPr>
          <w:rFonts w:ascii="Times New Roman" w:hAnsi="Times New Roman" w:eastAsia="仿宋_GB2312"/>
          <w:bCs/>
          <w:sz w:val="32"/>
          <w:szCs w:val="32"/>
        </w:rPr>
        <w:t>.各股室、执法大队要将全年</w:t>
      </w:r>
      <w:r>
        <w:rPr>
          <w:rFonts w:hint="eastAsia"/>
          <w:bCs/>
          <w:sz w:val="32"/>
          <w:szCs w:val="32"/>
          <w:lang w:eastAsia="zh-CN"/>
        </w:rPr>
        <w:t>监督检查</w:t>
      </w:r>
      <w:r>
        <w:rPr>
          <w:rFonts w:ascii="Times New Roman" w:hAnsi="Times New Roman" w:eastAsia="仿宋_GB2312"/>
          <w:bCs/>
          <w:sz w:val="32"/>
          <w:szCs w:val="32"/>
        </w:rPr>
        <w:t>计划按月进行分解，随机从名录库抽取被检查单位；</w:t>
      </w:r>
      <w:r>
        <w:rPr>
          <w:rFonts w:hint="eastAsia" w:ascii="Times New Roman" w:hAnsi="Times New Roman" w:eastAsia="仿宋_GB2312"/>
          <w:bCs/>
          <w:sz w:val="32"/>
          <w:szCs w:val="32"/>
          <w:lang w:eastAsia="zh-CN"/>
        </w:rPr>
        <w:t>涉及对工业园区企业的执法活动，邀请园区管委会及相关行业主管部门参与共同执法；</w:t>
      </w:r>
      <w:r>
        <w:rPr>
          <w:rFonts w:ascii="Times New Roman" w:hAnsi="Times New Roman" w:eastAsia="仿宋_GB2312"/>
          <w:bCs/>
          <w:sz w:val="32"/>
          <w:szCs w:val="32"/>
        </w:rPr>
        <w:t>每次检查前要做好书面检查方案，明确检查人员、时间、场所、内容等并报主要领导审批后实施。</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2.执法检查通过现场检查、查阅资料、调查询问等方式进行。参与监察执法的行政执法人员不得少于2人，必须亮证执法。每次</w:t>
      </w:r>
      <w:r>
        <w:rPr>
          <w:rFonts w:hint="eastAsia"/>
          <w:bCs/>
          <w:sz w:val="32"/>
          <w:szCs w:val="32"/>
          <w:lang w:eastAsia="zh-CN"/>
        </w:rPr>
        <w:t>监督检查</w:t>
      </w:r>
      <w:r>
        <w:rPr>
          <w:rFonts w:ascii="Times New Roman" w:hAnsi="Times New Roman" w:eastAsia="仿宋_GB2312"/>
          <w:bCs/>
          <w:sz w:val="32"/>
          <w:szCs w:val="32"/>
        </w:rPr>
        <w:t>应当填写《现场检查记录》</w:t>
      </w:r>
      <w:r>
        <w:rPr>
          <w:rFonts w:hint="eastAsia"/>
          <w:bCs/>
          <w:sz w:val="32"/>
          <w:szCs w:val="32"/>
          <w:lang w:eastAsia="zh-CN"/>
        </w:rPr>
        <w:t>等相关文书</w:t>
      </w:r>
      <w:r>
        <w:rPr>
          <w:rFonts w:ascii="Times New Roman" w:hAnsi="Times New Roman" w:eastAsia="仿宋_GB2312"/>
          <w:bCs/>
          <w:sz w:val="32"/>
          <w:szCs w:val="32"/>
        </w:rPr>
        <w:t>，并由被检查单位相关人员签字确认。</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3.对检查发现的事故隐患必须下达《责令限期整改指令书》，按期复查并下达《整改复查意见书》。</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4.对监察执法中发现的安全生产违法行为应当依法实施行政处罚，涉嫌追究刑事责任的，应当及时移交司法机关。</w:t>
      </w:r>
    </w:p>
    <w:p>
      <w:pPr>
        <w:spacing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四、工作要求</w:t>
      </w:r>
    </w:p>
    <w:p>
      <w:pPr>
        <w:spacing w:line="560" w:lineRule="exact"/>
        <w:ind w:firstLine="622" w:firstLineChars="200"/>
        <w:jc w:val="both"/>
        <w:rPr>
          <w:rFonts w:hint="eastAsia" w:ascii="Times New Roman" w:hAnsi="Times New Roman" w:eastAsia="仿宋_GB2312"/>
          <w:bCs/>
          <w:sz w:val="32"/>
          <w:szCs w:val="32"/>
        </w:rPr>
      </w:pPr>
      <w:r>
        <w:rPr>
          <w:rFonts w:hint="eastAsia" w:ascii="楷体" w:hAnsi="楷体" w:eastAsia="楷体" w:cs="楷体"/>
          <w:b/>
          <w:kern w:val="2"/>
          <w:sz w:val="32"/>
          <w:szCs w:val="32"/>
          <w:lang w:val="en-US" w:eastAsia="zh-CN" w:bidi="ar-SA"/>
        </w:rPr>
        <w:t>（一）加强组织领导。</w:t>
      </w:r>
      <w:r>
        <w:rPr>
          <w:rFonts w:hint="eastAsia" w:ascii="Times New Roman" w:hAnsi="Times New Roman" w:eastAsia="仿宋_GB2312"/>
          <w:bCs/>
          <w:sz w:val="32"/>
          <w:szCs w:val="32"/>
        </w:rPr>
        <w:t>全局执法人员务必将思想统一到局的决策部署上来，各承担执法检查任务的股室、大队应要加大组织协调</w:t>
      </w:r>
      <w:r>
        <w:rPr>
          <w:rFonts w:hint="eastAsia"/>
          <w:bCs/>
          <w:sz w:val="32"/>
          <w:szCs w:val="32"/>
          <w:lang w:eastAsia="zh-CN"/>
        </w:rPr>
        <w:t>，</w:t>
      </w:r>
      <w:r>
        <w:rPr>
          <w:rFonts w:hint="eastAsia" w:ascii="Times New Roman" w:hAnsi="Times New Roman" w:eastAsia="仿宋_GB2312"/>
          <w:bCs/>
          <w:sz w:val="32"/>
          <w:szCs w:val="32"/>
        </w:rPr>
        <w:t>以实施年度安全生产监督检查计划为抓手，有效履行安全生产法律法规赋予本级的安全监管职责，保证执法检查工作落到实处。</w:t>
      </w:r>
    </w:p>
    <w:p>
      <w:pPr>
        <w:spacing w:line="560" w:lineRule="exact"/>
        <w:ind w:firstLine="622" w:firstLineChars="200"/>
        <w:jc w:val="both"/>
        <w:rPr>
          <w:rFonts w:hint="eastAsia" w:ascii="Times New Roman" w:hAnsi="Times New Roman" w:eastAsia="仿宋_GB2312"/>
          <w:bCs/>
          <w:sz w:val="32"/>
          <w:szCs w:val="32"/>
        </w:rPr>
      </w:pPr>
      <w:r>
        <w:rPr>
          <w:rFonts w:hint="eastAsia" w:ascii="楷体" w:hAnsi="楷体" w:eastAsia="楷体" w:cs="楷体"/>
          <w:b/>
          <w:kern w:val="2"/>
          <w:sz w:val="32"/>
          <w:szCs w:val="32"/>
          <w:lang w:val="en-US" w:eastAsia="zh-CN" w:bidi="ar-SA"/>
        </w:rPr>
        <w:t>（二）严格规范执法。</w:t>
      </w:r>
      <w:r>
        <w:rPr>
          <w:rFonts w:hint="eastAsia" w:ascii="Times New Roman" w:hAnsi="Times New Roman" w:eastAsia="仿宋_GB2312"/>
          <w:bCs/>
          <w:sz w:val="32"/>
          <w:szCs w:val="32"/>
        </w:rPr>
        <w:t>落实行政执法“三项制度” 和《安全生产执法实用手册（2022版）》有关规定，坚持严格规范公正文明精准执法。监督检查前要突出重点工艺、重点部位、重点事项编制具体检查方案，监督检查时，要统一着装、亮证执法，对检查发现的问题隐患要落实执法</w:t>
      </w:r>
      <w:r>
        <w:rPr>
          <w:rFonts w:hint="eastAsia"/>
          <w:bCs/>
          <w:sz w:val="32"/>
          <w:szCs w:val="32"/>
          <w:lang w:eastAsia="zh-CN"/>
        </w:rPr>
        <w:t>闭</w:t>
      </w:r>
      <w:r>
        <w:rPr>
          <w:rFonts w:hint="eastAsia" w:ascii="Times New Roman" w:hAnsi="Times New Roman" w:eastAsia="仿宋_GB2312"/>
          <w:bCs/>
          <w:sz w:val="32"/>
          <w:szCs w:val="32"/>
        </w:rPr>
        <w:t>环管理</w:t>
      </w:r>
      <w:r>
        <w:rPr>
          <w:rFonts w:hint="eastAsia"/>
          <w:bCs/>
          <w:sz w:val="32"/>
          <w:szCs w:val="32"/>
          <w:lang w:eastAsia="zh-CN"/>
        </w:rPr>
        <w:t>；</w:t>
      </w:r>
      <w:r>
        <w:rPr>
          <w:rFonts w:hint="eastAsia" w:ascii="Times New Roman" w:hAnsi="Times New Roman" w:eastAsia="仿宋_GB2312"/>
          <w:bCs/>
          <w:sz w:val="32"/>
          <w:szCs w:val="32"/>
        </w:rPr>
        <w:t>构成立案处罚的，按照事实清楚、定性准确、处罚适当、程序合法的要求，对照自由裁量标准有关规定，严格案件查办；涉嫌违法犯罪的，要依照有关规定向司法机关移送。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both"/>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（三）提高执法效能。</w:t>
      </w:r>
      <w:r>
        <w:rPr>
          <w:rFonts w:hint="eastAsia" w:ascii="Times New Roman" w:hAnsi="Times New Roman" w:eastAsia="仿宋_GB2312" w:cs="Times New Roman"/>
          <w:bCs/>
          <w:sz w:val="32"/>
          <w:szCs w:val="32"/>
          <w:lang w:val="en-US" w:eastAsia="zh-CN" w:bidi="ar-SA"/>
        </w:rPr>
        <w:t>坚持严格执法与指导服务并重，持续推行“三位一体”工作模式，开展示范执法活动</w:t>
      </w:r>
      <w:r>
        <w:rPr>
          <w:rFonts w:hint="eastAsia"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充分发挥专家专长，对企业安全生产工作给予指导服务；日常监督检查、行政处罚等应准确</w:t>
      </w:r>
      <w:r>
        <w:rPr>
          <w:rFonts w:hint="eastAsia" w:cs="Times New Roman"/>
          <w:bCs/>
          <w:sz w:val="32"/>
          <w:szCs w:val="32"/>
          <w:lang w:val="en-US" w:eastAsia="zh-CN" w:bidi="ar-SA"/>
        </w:rPr>
        <w:t>及时</w:t>
      </w:r>
      <w:r>
        <w:rPr>
          <w:rFonts w:hint="eastAsia" w:ascii="Times New Roman" w:hAnsi="Times New Roman" w:eastAsia="仿宋_GB2312" w:cs="Times New Roman"/>
          <w:bCs/>
          <w:sz w:val="32"/>
          <w:szCs w:val="32"/>
          <w:lang w:val="en-US" w:eastAsia="zh-CN" w:bidi="ar-SA"/>
        </w:rPr>
        <w:t>录入安全生产</w:t>
      </w:r>
      <w:r>
        <w:rPr>
          <w:rFonts w:hint="eastAsia" w:cs="Times New Roman"/>
          <w:bCs/>
          <w:sz w:val="32"/>
          <w:szCs w:val="32"/>
          <w:lang w:val="en-US" w:eastAsia="zh-CN" w:bidi="ar-SA"/>
        </w:rPr>
        <w:t>行政执法</w:t>
      </w:r>
      <w:r>
        <w:rPr>
          <w:rFonts w:hint="eastAsia" w:ascii="Times New Roman" w:hAnsi="Times New Roman" w:eastAsia="仿宋_GB2312" w:cs="Times New Roman"/>
          <w:bCs/>
          <w:sz w:val="32"/>
          <w:szCs w:val="32"/>
          <w:lang w:val="en-US" w:eastAsia="zh-CN" w:bidi="ar-SA"/>
        </w:rPr>
        <w:t>系统</w:t>
      </w:r>
      <w:r>
        <w:rPr>
          <w:rFonts w:hint="eastAsia"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“互联网+执法</w:t>
      </w:r>
      <w:r>
        <w:rPr>
          <w:rFonts w:hint="eastAsia" w:cs="Times New Roman"/>
          <w:bCs/>
          <w:sz w:val="32"/>
          <w:szCs w:val="32"/>
          <w:lang w:val="en-US" w:eastAsia="zh-CN" w:bidi="ar-SA"/>
        </w:rPr>
        <w:t>系统以及</w:t>
      </w:r>
      <w:r>
        <w:rPr>
          <w:rFonts w:hint="eastAsia" w:ascii="Times New Roman" w:hAnsi="Times New Roman" w:eastAsia="仿宋_GB2312" w:cs="Times New Roman"/>
          <w:bCs/>
          <w:sz w:val="32"/>
          <w:szCs w:val="32"/>
          <w:lang w:val="en-US" w:eastAsia="zh-CN" w:bidi="ar-SA"/>
        </w:rPr>
        <w:t>四川省 “双随机一公开”行政执法监督平</w:t>
      </w:r>
      <w:r>
        <w:rPr>
          <w:rFonts w:hint="eastAsia" w:cs="Times New Roman"/>
          <w:bCs/>
          <w:sz w:val="32"/>
          <w:szCs w:val="32"/>
          <w:lang w:val="en-US" w:eastAsia="zh-CN" w:bidi="ar-SA"/>
        </w:rPr>
        <w:t>台，从而提升监管执法数字化、精细化、智慧化水平</w:t>
      </w:r>
      <w:r>
        <w:rPr>
          <w:rFonts w:hint="eastAsia" w:ascii="Times New Roman" w:hAnsi="Times New Roman" w:eastAsia="仿宋_GB2312" w:cs="Times New Roman"/>
          <w:bCs/>
          <w:sz w:val="32"/>
          <w:szCs w:val="32"/>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left"/>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（四）加强宣传教育。</w:t>
      </w:r>
      <w:r>
        <w:rPr>
          <w:rFonts w:hint="eastAsia" w:ascii="Times New Roman" w:hAnsi="Times New Roman" w:eastAsia="仿宋_GB2312" w:cs="Times New Roman"/>
          <w:bCs/>
          <w:sz w:val="32"/>
          <w:szCs w:val="32"/>
          <w:lang w:val="en-US" w:eastAsia="zh-CN" w:bidi="ar-SA"/>
        </w:rPr>
        <w:t>按照“谁执法谁普法”要求，把《安全生产法》等法律法规的宣传教育融入监督检查全过程，结合执法实情充分释法说理，增强生产经营单位和社会公众的安全生产法治意识和水平。充分利用好各类媒体，对查办的安全生产违法行为典型案件进行集中曝光，着力营造“人人关注安全、人人参与安全” 的良好社会氛围。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left"/>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（五）严守廉洁纪律。</w:t>
      </w:r>
      <w:r>
        <w:rPr>
          <w:rFonts w:hint="eastAsia" w:ascii="Times New Roman" w:hAnsi="Times New Roman" w:eastAsia="仿宋_GB2312" w:cs="Times New Roman"/>
          <w:bCs/>
          <w:kern w:val="2"/>
          <w:sz w:val="32"/>
          <w:szCs w:val="32"/>
          <w:lang w:val="en-US" w:eastAsia="zh-CN" w:bidi="ar-SA"/>
        </w:rPr>
        <w:t>严格落实中央、国务院，省委、省政府，市委、市政府和县委、县政府关于优化营商环境的一系列决策部署，严格遵守行政执法法律法规和各项规章制度</w:t>
      </w:r>
      <w:r>
        <w:rPr>
          <w:rFonts w:hint="eastAsia"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坚守纪律红线和底线，做到公正用权、公平处事、文明执法。</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五、其他事项</w:t>
      </w:r>
    </w:p>
    <w:p>
      <w:pPr>
        <w:pStyle w:val="6"/>
        <w:spacing w:beforeAutospacing="0" w:afterAutospacing="0" w:line="560" w:lineRule="exact"/>
        <w:ind w:firstLine="64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本</w:t>
      </w:r>
      <w:r>
        <w:rPr>
          <w:rFonts w:hint="eastAsia"/>
          <w:bCs/>
          <w:sz w:val="32"/>
          <w:szCs w:val="32"/>
          <w:lang w:eastAsia="zh-CN" w:bidi="ar"/>
        </w:rPr>
        <w:t>检查</w:t>
      </w:r>
      <w:r>
        <w:rPr>
          <w:rFonts w:ascii="Times New Roman" w:hAnsi="Times New Roman" w:eastAsia="仿宋_GB2312"/>
          <w:bCs/>
          <w:sz w:val="32"/>
          <w:szCs w:val="32"/>
          <w:lang w:bidi="ar"/>
        </w:rPr>
        <w:t>计划经县政府批准后实施。</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附件：1.蓬安县应急管理局重点检查单位名录库</w:t>
      </w:r>
    </w:p>
    <w:p>
      <w:pPr>
        <w:pStyle w:val="6"/>
        <w:spacing w:beforeAutospacing="0" w:afterAutospacing="0" w:line="560" w:lineRule="exact"/>
        <w:ind w:firstLine="1555" w:firstLineChars="500"/>
        <w:jc w:val="both"/>
        <w:rPr>
          <w:rFonts w:ascii="Times New Roman" w:hAnsi="Times New Roman" w:eastAsia="仿宋_GB2312"/>
          <w:b/>
          <w:bCs/>
          <w:sz w:val="32"/>
          <w:szCs w:val="32"/>
          <w:lang w:bidi="ar"/>
        </w:rPr>
      </w:pPr>
      <w:r>
        <w:rPr>
          <w:rFonts w:ascii="Times New Roman" w:hAnsi="Times New Roman" w:eastAsia="仿宋_GB2312"/>
          <w:bCs/>
          <w:sz w:val="32"/>
          <w:szCs w:val="32"/>
          <w:lang w:bidi="ar"/>
        </w:rPr>
        <w:t>2.蓬安县应急管理局一般检查单位名单名录库</w:t>
      </w: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r>
        <w:rPr>
          <w:rFonts w:ascii="Times New Roman" w:hAnsi="Times New Roman" w:eastAsia="黑体"/>
          <w:b/>
          <w:bCs/>
          <w:sz w:val="32"/>
          <w:szCs w:val="32"/>
        </w:rPr>
        <w:t>附件1</w:t>
      </w:r>
    </w:p>
    <w:p>
      <w:pPr>
        <w:spacing w:line="52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蓬安县应急管理局重点检查单位名录库</w:t>
      </w:r>
    </w:p>
    <w:tbl>
      <w:tblPr>
        <w:tblStyle w:val="7"/>
        <w:tblpPr w:leftFromText="180" w:rightFromText="180" w:vertAnchor="text" w:horzAnchor="margin" w:tblpXSpec="center" w:tblpY="45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698"/>
        <w:gridCol w:w="1719"/>
        <w:gridCol w:w="138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序号</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单位名称</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color w:val="000000"/>
                <w:sz w:val="30"/>
                <w:szCs w:val="30"/>
                <w:lang w:eastAsia="zh-CN"/>
              </w:rPr>
              <w:t>行政区域</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30"/>
                <w:szCs w:val="30"/>
                <w:lang w:eastAsia="zh-CN"/>
              </w:rPr>
            </w:pPr>
            <w:r>
              <w:rPr>
                <w:rFonts w:hint="eastAsia"/>
                <w:sz w:val="30"/>
                <w:szCs w:val="30"/>
                <w:lang w:eastAsia="zh-CN"/>
              </w:rPr>
              <w:t>牵头领导</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执行</w:t>
            </w:r>
            <w:r>
              <w:rPr>
                <w:rFonts w:ascii="Times New Roman" w:hAnsi="Times New Roman" w:eastAsia="仿宋_GB2312"/>
                <w:sz w:val="30"/>
                <w:szCs w:val="3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中油蓬安清溪桥加油站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30"/>
                <w:szCs w:val="30"/>
                <w:lang w:eastAsia="zh-CN"/>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30"/>
                <w:szCs w:val="30"/>
                <w:lang w:eastAsia="zh-CN"/>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中油蓬南加油站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中油凤凰加油站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中油相如加油站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南充顺百安商贸有限公司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蓬安县城北加油站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蓬安县蓬州制氧厂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南充特驱饲料有限公司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蓬安金坛冶金有限公司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color w:val="000000"/>
                <w:kern w:val="2"/>
                <w:sz w:val="30"/>
                <w:szCs w:val="30"/>
                <w:lang w:val="en-US" w:eastAsia="zh-CN" w:bidi="ar-SA"/>
              </w:rPr>
            </w:pPr>
            <w:r>
              <w:rPr>
                <w:rFonts w:hint="eastAsia" w:ascii="Times New Roman" w:hAnsi="Times New Roman" w:eastAsia="仿宋_GB2312"/>
                <w:color w:val="000000"/>
                <w:sz w:val="30"/>
                <w:szCs w:val="30"/>
              </w:rPr>
              <w:t>南充力锦乐饲料有限公司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南充市旺达饲料有限公司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南充市佳美食品工业有限公司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四川新望大生物科技有限公司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南充双胞胎饲料有限公司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四川</w:t>
            </w:r>
            <w:r>
              <w:rPr>
                <w:rFonts w:hint="eastAsia"/>
                <w:color w:val="000000"/>
                <w:sz w:val="30"/>
                <w:szCs w:val="30"/>
                <w:lang w:eastAsia="zh-CN"/>
              </w:rPr>
              <w:t>新众鑫木业有限公司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auto"/>
                <w:sz w:val="30"/>
                <w:szCs w:val="30"/>
              </w:rPr>
              <w:t>南充锐虎电动车有限公司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南充健民肉类加工有限公司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中石化燕山加油站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中油嘉陵江大桥加油站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20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color w:val="000000"/>
                <w:kern w:val="2"/>
                <w:sz w:val="30"/>
                <w:szCs w:val="30"/>
                <w:lang w:val="en-US" w:eastAsia="zh-CN" w:bidi="ar-SA"/>
              </w:rPr>
            </w:pPr>
            <w:r>
              <w:rPr>
                <w:rFonts w:ascii="Times New Roman" w:hAnsi="Times New Roman" w:eastAsia="仿宋_GB2312"/>
                <w:color w:val="000000"/>
                <w:sz w:val="30"/>
                <w:szCs w:val="30"/>
              </w:rPr>
              <w:t>蓬安县两路加油站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21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蓬安县徐家镇千佛岩页岩砖厂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蓬安县龙蚕镇苏家桥页岩机砖厂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龙蚕镇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中石油新园加油站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新园乡</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蓬安县杨家小垭口加油站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杨家镇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蓬安县国道加油站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罗家镇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蓬安县罗家镇农机加油站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蓬安县兴旺镇加油站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兴旺镇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蓬安县福德加油站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福德镇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南充蓬安县恒峰源运输有限公司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蓬安鸿宇运业有限责任公司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蓬安县高庙隆鑫加油站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巨龙镇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蓬安县平头农机加油站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平头乡</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蓬安县金溪农机加油站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金溪镇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中油徐家加油站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蓬安县茶亭加油站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蓬安县徐家通达加油站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r>
    </w:tbl>
    <w:p>
      <w:pPr>
        <w:jc w:val="center"/>
        <w:rPr>
          <w:rFonts w:ascii="Times New Roman" w:hAnsi="Times New Roman" w:eastAsia="方正小标宋简体"/>
          <w:b/>
          <w:bCs/>
          <w:sz w:val="48"/>
          <w:szCs w:val="48"/>
        </w:rPr>
      </w:pPr>
      <w:r>
        <w:rPr>
          <w:rFonts w:ascii="Times New Roman" w:hAnsi="Times New Roman" w:eastAsia="方正小标宋简体"/>
          <w:b/>
          <w:bCs/>
          <w:sz w:val="48"/>
          <w:szCs w:val="48"/>
        </w:rPr>
        <w:br w:type="page"/>
      </w:r>
    </w:p>
    <w:p>
      <w:pPr>
        <w:jc w:val="both"/>
        <w:rPr>
          <w:rFonts w:ascii="Times New Roman" w:hAnsi="Times New Roman" w:eastAsia="黑体"/>
          <w:b/>
          <w:bCs/>
          <w:w w:val="90"/>
          <w:sz w:val="32"/>
          <w:szCs w:val="32"/>
        </w:rPr>
      </w:pPr>
      <w:r>
        <w:rPr>
          <w:rFonts w:ascii="Times New Roman" w:hAnsi="Times New Roman" w:eastAsia="黑体"/>
          <w:b/>
          <w:bCs/>
          <w:w w:val="90"/>
          <w:sz w:val="32"/>
          <w:szCs w:val="32"/>
        </w:rPr>
        <w:t>附件2</w:t>
      </w:r>
    </w:p>
    <w:p>
      <w:pPr>
        <w:spacing w:line="520" w:lineRule="exact"/>
        <w:jc w:val="center"/>
        <w:rPr>
          <w:rFonts w:ascii="Times New Roman" w:hAnsi="Times New Roman" w:eastAsia="方正小标宋简体"/>
          <w:b/>
          <w:bCs/>
          <w:w w:val="90"/>
          <w:sz w:val="44"/>
          <w:szCs w:val="44"/>
        </w:rPr>
      </w:pPr>
      <w:r>
        <w:rPr>
          <w:rFonts w:ascii="Times New Roman" w:hAnsi="Times New Roman" w:eastAsia="方正小标宋简体"/>
          <w:b/>
          <w:bCs/>
          <w:w w:val="90"/>
          <w:sz w:val="44"/>
          <w:szCs w:val="44"/>
        </w:rPr>
        <w:t>蓬安县应急管理局一般检查单位名录库</w:t>
      </w:r>
    </w:p>
    <w:tbl>
      <w:tblPr>
        <w:tblStyle w:val="7"/>
        <w:tblpPr w:leftFromText="180" w:rightFromText="180" w:vertAnchor="text" w:horzAnchor="margin" w:tblpXSpec="center" w:tblpY="452"/>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831"/>
        <w:gridCol w:w="1740"/>
        <w:gridCol w:w="139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序号</w:t>
            </w:r>
          </w:p>
        </w:tc>
        <w:tc>
          <w:tcPr>
            <w:tcW w:w="483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单位名称</w:t>
            </w:r>
          </w:p>
        </w:tc>
        <w:tc>
          <w:tcPr>
            <w:tcW w:w="1740"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行政区域</w:t>
            </w:r>
          </w:p>
        </w:tc>
        <w:tc>
          <w:tcPr>
            <w:tcW w:w="1395" w:type="dxa"/>
            <w:vAlign w:val="center"/>
          </w:tcPr>
          <w:p>
            <w:pPr>
              <w:spacing w:line="400" w:lineRule="exact"/>
              <w:jc w:val="center"/>
              <w:rPr>
                <w:rFonts w:hint="eastAsia"/>
                <w:color w:val="000000"/>
                <w:sz w:val="30"/>
                <w:szCs w:val="30"/>
                <w:lang w:eastAsia="zh-CN"/>
              </w:rPr>
            </w:pPr>
            <w:r>
              <w:rPr>
                <w:rFonts w:hint="eastAsia"/>
                <w:color w:val="000000"/>
                <w:sz w:val="30"/>
                <w:szCs w:val="30"/>
                <w:lang w:eastAsia="zh-CN"/>
              </w:rPr>
              <w:t>牵头领导</w:t>
            </w:r>
          </w:p>
        </w:tc>
        <w:tc>
          <w:tcPr>
            <w:tcW w:w="1431" w:type="dxa"/>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执行</w:t>
            </w:r>
            <w:r>
              <w:rPr>
                <w:rFonts w:ascii="Times New Roman" w:hAnsi="Times New Roman" w:eastAsia="仿宋_GB2312"/>
                <w:color w:val="000000"/>
                <w:sz w:val="30"/>
                <w:szCs w:val="3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蓬安神舟砂石有限公司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蓬安县马回金辉砂石有限公司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蓬安县新生砂石经销部</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金溪镇</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4</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蓬安县瑞世木材加工有限公司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平头乡</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5</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蓬安县国顺木材加工有限公司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金甲乡</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6</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蓬安县徐家相如木业</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徐家镇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7</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w:t>
            </w:r>
            <w:r>
              <w:rPr>
                <w:rFonts w:hint="eastAsia"/>
                <w:color w:val="000000"/>
                <w:sz w:val="30"/>
                <w:szCs w:val="30"/>
                <w:lang w:eastAsia="zh-CN"/>
              </w:rPr>
              <w:t>徐家镇方广木业加工厂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徐家镇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8</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蓬安县恒基水泥制品厂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河舒镇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9</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蓬安县永强砂石开采有限公司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10</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蓬安富丽砂石有限公司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11</w:t>
            </w:r>
          </w:p>
        </w:tc>
        <w:tc>
          <w:tcPr>
            <w:tcW w:w="483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南充市先力建材有限公司</w:t>
            </w:r>
          </w:p>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12</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蓬安县付浩木材加工厂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13</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蓬安县罗家镇联兴木粉加工厂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14</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南充融成物业有限公司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15</w:t>
            </w:r>
          </w:p>
        </w:tc>
        <w:tc>
          <w:tcPr>
            <w:tcW w:w="4831" w:type="dxa"/>
            <w:vAlign w:val="center"/>
          </w:tcPr>
          <w:p>
            <w:pPr>
              <w:spacing w:line="400" w:lineRule="exact"/>
              <w:jc w:val="center"/>
              <w:rPr>
                <w:rFonts w:hint="eastAsia"/>
                <w:color w:val="000000"/>
                <w:sz w:val="30"/>
                <w:szCs w:val="30"/>
                <w:lang w:eastAsia="zh-CN"/>
              </w:rPr>
            </w:pPr>
            <w:r>
              <w:rPr>
                <w:rFonts w:hint="eastAsia"/>
                <w:color w:val="000000"/>
                <w:sz w:val="30"/>
                <w:szCs w:val="30"/>
                <w:lang w:eastAsia="zh-CN"/>
              </w:rPr>
              <w:t>四川省南充市茂林物业有限公司</w:t>
            </w:r>
          </w:p>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蓬安分公司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16</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蓬安县时代百盛生活超市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17</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四川川匠全屋定制家居经营部</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18</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蓬安县兴通水泥制品厂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周口街道办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19</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蓬安县能达水泥制品厂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周口街道办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20</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蓬安县吉兴建材有限公司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21</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蓬安嘉运来砂石有限公司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22</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蓬安永顺建材有限责任公司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23</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南充铸之坚建材有限公司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24</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蓬安民建商品混凝土有限公司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olor w:val="000000"/>
                <w:sz w:val="30"/>
                <w:szCs w:val="30"/>
              </w:rPr>
            </w:pPr>
          </w:p>
        </w:tc>
        <w:tc>
          <w:tcPr>
            <w:tcW w:w="1740" w:type="dxa"/>
            <w:vAlign w:val="center"/>
          </w:tcPr>
          <w:p>
            <w:pPr>
              <w:spacing w:line="400" w:lineRule="exact"/>
              <w:jc w:val="center"/>
              <w:rPr>
                <w:rFonts w:hint="eastAsia" w:ascii="Times New Roman" w:hAnsi="Times New Roman" w:eastAsia="仿宋_GB2312"/>
                <w:color w:val="000000"/>
                <w:sz w:val="30"/>
                <w:szCs w:val="30"/>
                <w:lang w:eastAsia="zh-CN"/>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bl>
    <w:p>
      <w:pPr>
        <w:pStyle w:val="2"/>
        <w:jc w:val="both"/>
        <w:rPr>
          <w:rFonts w:hint="default"/>
          <w:lang w:val="en-US" w:eastAsia="zh-CN"/>
        </w:rPr>
      </w:pPr>
    </w:p>
    <w:sectPr>
      <w:footerReference r:id="rId3" w:type="default"/>
      <w:pgSz w:w="11907" w:h="16840"/>
      <w:pgMar w:top="2098" w:right="1474" w:bottom="1985" w:left="1587" w:header="851" w:footer="1588" w:gutter="0"/>
      <w:pgNumType w:fmt="decimal"/>
      <w:cols w:space="425" w:num="1"/>
      <w:docGrid w:type="linesAndChars" w:linePitch="579" w:charSpace="-19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hhNzlkNDE3Nzg3YmM5MDA5ZThkNmY0ZTYwZDUifQ=="/>
  </w:docVars>
  <w:rsids>
    <w:rsidRoot w:val="00CB054B"/>
    <w:rsid w:val="000D70F8"/>
    <w:rsid w:val="0014638B"/>
    <w:rsid w:val="00154023"/>
    <w:rsid w:val="00180542"/>
    <w:rsid w:val="001A4120"/>
    <w:rsid w:val="001C2FE4"/>
    <w:rsid w:val="00230D80"/>
    <w:rsid w:val="00304250"/>
    <w:rsid w:val="00380B67"/>
    <w:rsid w:val="00390FF8"/>
    <w:rsid w:val="003D4032"/>
    <w:rsid w:val="003F5185"/>
    <w:rsid w:val="004464B3"/>
    <w:rsid w:val="004D2DBA"/>
    <w:rsid w:val="005A4578"/>
    <w:rsid w:val="00607606"/>
    <w:rsid w:val="0064639A"/>
    <w:rsid w:val="00667936"/>
    <w:rsid w:val="0069057E"/>
    <w:rsid w:val="006B332B"/>
    <w:rsid w:val="006C294C"/>
    <w:rsid w:val="006F7C9F"/>
    <w:rsid w:val="00730CEB"/>
    <w:rsid w:val="00757A85"/>
    <w:rsid w:val="00783CB2"/>
    <w:rsid w:val="00872AEC"/>
    <w:rsid w:val="00927D29"/>
    <w:rsid w:val="00944EEF"/>
    <w:rsid w:val="009E1529"/>
    <w:rsid w:val="00B175C8"/>
    <w:rsid w:val="00B934CA"/>
    <w:rsid w:val="00CB054B"/>
    <w:rsid w:val="00CE7DB8"/>
    <w:rsid w:val="00D0716B"/>
    <w:rsid w:val="00D124B4"/>
    <w:rsid w:val="00D32D1B"/>
    <w:rsid w:val="00DB2EF2"/>
    <w:rsid w:val="00E436F8"/>
    <w:rsid w:val="00E85355"/>
    <w:rsid w:val="00E941D8"/>
    <w:rsid w:val="00EA7195"/>
    <w:rsid w:val="00F75234"/>
    <w:rsid w:val="00FA0D0F"/>
    <w:rsid w:val="01831C54"/>
    <w:rsid w:val="06587C94"/>
    <w:rsid w:val="065E09A6"/>
    <w:rsid w:val="06790D93"/>
    <w:rsid w:val="0F7A3905"/>
    <w:rsid w:val="14AF1579"/>
    <w:rsid w:val="1514003F"/>
    <w:rsid w:val="1A28704F"/>
    <w:rsid w:val="1ABE3935"/>
    <w:rsid w:val="1BA73859"/>
    <w:rsid w:val="1BC32688"/>
    <w:rsid w:val="211F34E2"/>
    <w:rsid w:val="21E745CA"/>
    <w:rsid w:val="24BF4A69"/>
    <w:rsid w:val="24CF521F"/>
    <w:rsid w:val="27196C26"/>
    <w:rsid w:val="289B57F8"/>
    <w:rsid w:val="29B669AE"/>
    <w:rsid w:val="2B165956"/>
    <w:rsid w:val="2D085772"/>
    <w:rsid w:val="30E20088"/>
    <w:rsid w:val="31B3502C"/>
    <w:rsid w:val="32733B10"/>
    <w:rsid w:val="33AF6B44"/>
    <w:rsid w:val="388760E5"/>
    <w:rsid w:val="3CA47B22"/>
    <w:rsid w:val="3CF6381F"/>
    <w:rsid w:val="414B2D58"/>
    <w:rsid w:val="47DE73A4"/>
    <w:rsid w:val="4C92075D"/>
    <w:rsid w:val="4D436764"/>
    <w:rsid w:val="4DB62303"/>
    <w:rsid w:val="4DD06550"/>
    <w:rsid w:val="4F6D75FA"/>
    <w:rsid w:val="51250233"/>
    <w:rsid w:val="537A2677"/>
    <w:rsid w:val="54875A68"/>
    <w:rsid w:val="54A336FE"/>
    <w:rsid w:val="5817739E"/>
    <w:rsid w:val="5A040EEC"/>
    <w:rsid w:val="5C9B540C"/>
    <w:rsid w:val="5D2B7FF5"/>
    <w:rsid w:val="5F8328B3"/>
    <w:rsid w:val="5F9C1BC7"/>
    <w:rsid w:val="628647C6"/>
    <w:rsid w:val="62FF4946"/>
    <w:rsid w:val="6CA00DBE"/>
    <w:rsid w:val="6D45564C"/>
    <w:rsid w:val="6ED9011C"/>
    <w:rsid w:val="704E0DFE"/>
    <w:rsid w:val="775A6197"/>
    <w:rsid w:val="78CD4747"/>
    <w:rsid w:val="791622D9"/>
    <w:rsid w:val="79B80F53"/>
    <w:rsid w:val="79C77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center"/>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Plain Text"/>
    <w:basedOn w:val="1"/>
    <w:autoRedefine/>
    <w:qFormat/>
    <w:uiPriority w:val="0"/>
    <w:rPr>
      <w:rFonts w:ascii="宋体" w:hAnsi="Courier New" w:eastAsia="宋体"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pPr>
    <w:rPr>
      <w:sz w:val="18"/>
      <w:szCs w:val="18"/>
    </w:rPr>
  </w:style>
  <w:style w:type="paragraph" w:styleId="6">
    <w:name w:val="Normal (Web)"/>
    <w:basedOn w:val="1"/>
    <w:autoRedefine/>
    <w:qFormat/>
    <w:uiPriority w:val="0"/>
    <w:pPr>
      <w:spacing w:beforeAutospacing="1" w:afterAutospacing="1"/>
    </w:pPr>
  </w:style>
  <w:style w:type="character" w:customStyle="1" w:styleId="9">
    <w:name w:val="页眉 Char"/>
    <w:link w:val="5"/>
    <w:autoRedefine/>
    <w:qFormat/>
    <w:uiPriority w:val="99"/>
    <w:rPr>
      <w:kern w:val="2"/>
      <w:sz w:val="18"/>
      <w:szCs w:val="18"/>
    </w:rPr>
  </w:style>
  <w:style w:type="character" w:customStyle="1" w:styleId="10">
    <w:name w:val="页脚 Char"/>
    <w:link w:val="4"/>
    <w:autoRedefine/>
    <w:qFormat/>
    <w:uiPriority w:val="99"/>
    <w:rPr>
      <w:kern w:val="2"/>
      <w:sz w:val="18"/>
      <w:szCs w:val="18"/>
    </w:rPr>
  </w:style>
  <w:style w:type="paragraph" w:customStyle="1" w:styleId="11">
    <w:name w:val="p0"/>
    <w:basedOn w:val="1"/>
    <w:autoRedefine/>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577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新设模板.dotm</Template>
  <Company>Microsoft</Company>
  <Pages>15</Pages>
  <Words>5393</Words>
  <Characters>5601</Characters>
  <Lines>1</Lines>
  <Paragraphs>1</Paragraphs>
  <TotalTime>5</TotalTime>
  <ScaleCrop>false</ScaleCrop>
  <LinksUpToDate>false</LinksUpToDate>
  <CharactersWithSpaces>5719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2019-03-04T03:06:00Z</dcterms:created>
  <dc:creator>Microsoft</dc:creator>
  <cp:lastModifiedBy>Administrator</cp:lastModifiedBy>
  <cp:lastPrinted>2024-02-02T07:53:00Z</cp:lastPrinted>
  <dcterms:modified xsi:type="dcterms:W3CDTF">2024-04-08T02:48:25Z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4D6D6B1A964944FE840CEDD46E47D1A3_13</vt:lpwstr>
  </property>
</Properties>
</file>