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附录B</w:t>
      </w:r>
    </w:p>
    <w:p>
      <w:pPr>
        <w:spacing w:line="360" w:lineRule="auto"/>
        <w:jc w:val="center"/>
        <w:rPr>
          <w:rFonts w:hint="eastAsia" w:ascii="宋体" w:hAnsi="宋体" w:eastAsia="宋体" w:cs="宋体"/>
          <w:b/>
          <w:bCs/>
          <w:caps/>
          <w:color w:val="auto"/>
          <w:sz w:val="48"/>
          <w:szCs w:val="48"/>
        </w:rPr>
      </w:pPr>
    </w:p>
    <w:p>
      <w:pPr>
        <w:pStyle w:val="2"/>
        <w:rPr>
          <w:rFonts w:hint="eastAsia" w:ascii="宋体" w:hAnsi="宋体" w:eastAsia="宋体" w:cs="宋体"/>
          <w:b/>
          <w:bCs/>
          <w:caps/>
          <w:color w:val="auto"/>
          <w:sz w:val="48"/>
          <w:szCs w:val="48"/>
        </w:rPr>
      </w:pPr>
    </w:p>
    <w:p>
      <w:pPr>
        <w:rPr>
          <w:rFonts w:hint="eastAsia"/>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cs="Times New Roman"/>
          <w:b/>
          <w:color w:val="auto"/>
          <w:sz w:val="52"/>
          <w:szCs w:val="20"/>
          <w:lang w:val="en-US" w:eastAsia="zh-CN"/>
        </w:rPr>
        <w:t>南充市顺庆区顺芦加油站</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rPr>
      </w:pPr>
      <w:r>
        <w:rPr>
          <w:rFonts w:hint="eastAsia" w:ascii="宋体" w:hAnsi="宋体" w:eastAsia="宋体" w:cs="Times New Roman"/>
          <w:b/>
          <w:color w:val="auto"/>
          <w:sz w:val="52"/>
          <w:szCs w:val="20"/>
          <w:lang w:eastAsia="zh-CN"/>
        </w:rPr>
        <w:t>生产安全</w:t>
      </w:r>
      <w:r>
        <w:rPr>
          <w:rFonts w:hint="eastAsia" w:ascii="宋体" w:hAnsi="宋体" w:eastAsia="宋体" w:cs="Times New Roman"/>
          <w:b/>
          <w:color w:val="auto"/>
          <w:sz w:val="52"/>
          <w:szCs w:val="20"/>
        </w:rPr>
        <w:t>事故风险辨识评估报告</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rPr>
      </w:pPr>
    </w:p>
    <w:p>
      <w:pPr>
        <w:jc w:val="center"/>
        <w:rPr>
          <w:rFonts w:hint="eastAsia" w:ascii="宋体" w:hAnsi="宋体" w:eastAsia="宋体" w:cs="宋体"/>
          <w:color w:val="auto"/>
          <w:sz w:val="32"/>
          <w:szCs w:val="32"/>
        </w:rPr>
      </w:pPr>
    </w:p>
    <w:p>
      <w:pPr>
        <w:tabs>
          <w:tab w:val="left" w:pos="5453"/>
        </w:tabs>
        <w:jc w:val="both"/>
        <w:rPr>
          <w:rFonts w:hint="eastAsia" w:ascii="宋体" w:hAnsi="宋体" w:eastAsia="宋体" w:cs="宋体"/>
          <w:color w:val="auto"/>
        </w:rPr>
      </w:pPr>
      <w:r>
        <w:rPr>
          <w:rFonts w:hint="eastAsia" w:ascii="宋体" w:hAnsi="宋体" w:cs="宋体"/>
          <w:color w:val="auto"/>
          <w:sz w:val="32"/>
          <w:szCs w:val="32"/>
          <w:lang w:eastAsia="zh-CN"/>
        </w:rPr>
        <w:tab/>
      </w:r>
    </w:p>
    <w:p>
      <w:pPr>
        <w:rPr>
          <w:rFonts w:hint="eastAsia"/>
          <w:color w:val="auto"/>
        </w:rPr>
      </w:pPr>
    </w:p>
    <w:p>
      <w:pPr>
        <w:pStyle w:val="2"/>
        <w:rPr>
          <w:rFonts w:hint="eastAsia"/>
        </w:rPr>
      </w:pPr>
    </w:p>
    <w:p>
      <w:pPr>
        <w:jc w:val="center"/>
        <w:rPr>
          <w:rFonts w:hint="eastAsia" w:ascii="宋体" w:hAnsi="宋体" w:eastAsia="宋体" w:cs="宋体"/>
          <w:color w:val="auto"/>
          <w:sz w:val="32"/>
          <w:szCs w:val="32"/>
        </w:rPr>
      </w:pPr>
    </w:p>
    <w:p>
      <w:pPr>
        <w:pStyle w:val="2"/>
        <w:rPr>
          <w:rFonts w:hint="eastAsia"/>
        </w:rPr>
      </w:pPr>
    </w:p>
    <w:p>
      <w:pPr>
        <w:rPr>
          <w:rFonts w:hint="eastAsia"/>
        </w:rPr>
      </w:pPr>
    </w:p>
    <w:p>
      <w:pPr>
        <w:pStyle w:val="2"/>
        <w:rPr>
          <w:rFonts w:hint="eastAsia"/>
        </w:rPr>
      </w:pPr>
    </w:p>
    <w:tbl>
      <w:tblPr>
        <w:tblStyle w:val="50"/>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1206" w:hRule="atLeast"/>
          <w:jc w:val="center"/>
        </w:trPr>
        <w:tc>
          <w:tcPr>
            <w:tcW w:w="9280" w:type="dxa"/>
            <w:vAlign w:val="center"/>
          </w:tcPr>
          <w:p>
            <w:pPr>
              <w:jc w:val="center"/>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南充市顺庆区顺芦加油站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4月</w:t>
            </w:r>
          </w:p>
        </w:tc>
      </w:tr>
    </w:tbl>
    <w:p>
      <w:pPr>
        <w:rPr>
          <w:rFonts w:hint="eastAsia" w:ascii="宋体" w:hAnsi="宋体" w:eastAsia="宋体" w:cs="宋体"/>
          <w:color w:val="auto"/>
        </w:rPr>
      </w:pPr>
      <w:r>
        <w:rPr>
          <w:rFonts w:hint="eastAsia" w:ascii="宋体" w:hAnsi="宋体" w:eastAsia="宋体" w:cs="宋体"/>
          <w:color w:val="auto"/>
        </w:rPr>
        <w:br w:type="page"/>
      </w:r>
    </w:p>
    <w:p>
      <w:pPr>
        <w:pStyle w:val="2"/>
        <w:rPr>
          <w:rFonts w:hint="eastAsia"/>
        </w:rPr>
        <w:sectPr>
          <w:headerReference r:id="rId3" w:type="default"/>
          <w:pgSz w:w="11906" w:h="16838"/>
          <w:pgMar w:top="1418" w:right="1417" w:bottom="1417" w:left="1417" w:header="851" w:footer="992" w:gutter="0"/>
          <w:cols w:space="720" w:num="1"/>
          <w:docGrid w:type="lines" w:linePitch="312" w:charSpace="0"/>
        </w:sectPr>
      </w:pPr>
    </w:p>
    <w:p>
      <w:pPr>
        <w:pStyle w:val="4"/>
        <w:jc w:val="cente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bookmarkStart w:id="1" w:name="_Toc504946218"/>
      <w:bookmarkStart w:id="2" w:name="_Toc485124504"/>
      <w:bookmarkStart w:id="3" w:name="_Toc481937753"/>
      <w:bookmarkStart w:id="4" w:name="_Toc518639222"/>
      <w:bookmarkStart w:id="5" w:name="_Toc22537"/>
      <w:bookmarkStart w:id="6" w:name="_Toc2846926"/>
      <w:bookmarkStart w:id="7" w:name="_Toc2847118"/>
      <w:bookmarkStart w:id="8" w:name="_Toc19373"/>
      <w:bookmarkStart w:id="9" w:name="_Toc488149796"/>
      <w:bookmarkStart w:id="10" w:name="_Toc504674261"/>
      <w:bookmarkStart w:id="11" w:name="_Toc518109001"/>
      <w:bookmarkStart w:id="12" w:name="_Toc504407614"/>
      <w:bookmarkStart w:id="13" w:name="_Toc488149853"/>
      <w:bookmarkStart w:id="14" w:name="_Toc23466"/>
      <w:bookmarkStart w:id="15" w:name="_Toc509532245"/>
      <w:bookmarkStart w:id="16" w:name="_Toc502005957"/>
      <w:bookmarkStart w:id="17" w:name="_Toc10922"/>
      <w:bookmarkStart w:id="18" w:name="_Toc504412374"/>
      <w:bookmarkStart w:id="19" w:name="_Toc29608"/>
      <w:bookmarkStart w:id="20" w:name="_Toc2847279"/>
      <w:bookmarkStart w:id="21" w:name="_Toc3382"/>
      <w:bookmarkStart w:id="22" w:name="_Toc508113622"/>
      <w:bookmarkStart w:id="23" w:name="_Toc10102"/>
      <w:bookmarkStart w:id="24" w:name="_Toc497429443"/>
      <w:bookmarkStart w:id="25" w:name="_Toc81"/>
    </w:p>
    <w:p>
      <w:pPr>
        <w:pStyle w:val="4"/>
        <w:jc w:val="center"/>
        <w:rPr>
          <w:rFonts w:hint="eastAsia" w:ascii="宋体" w:hAnsi="宋体" w:eastAsia="宋体" w:cs="宋体"/>
          <w:color w:val="auto"/>
        </w:rPr>
      </w:pPr>
      <w:r>
        <w:rPr>
          <w:rFonts w:hint="eastAsia" w:ascii="宋体" w:hAnsi="宋体" w:eastAsia="宋体" w:cs="宋体"/>
          <w:color w:val="auto"/>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color w:val="auto"/>
        </w:rPr>
        <w:instrText xml:space="preserve">TOC \o "2-3" \h \z \t "标题 1,1,前言、引言标题,1"</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_Toc5830 </w:instrText>
      </w:r>
      <w:r>
        <w:rPr>
          <w:rFonts w:hint="eastAsia" w:ascii="宋体" w:hAnsi="宋体" w:eastAsia="宋体" w:cs="宋体"/>
        </w:rPr>
        <w:fldChar w:fldCharType="separate"/>
      </w:r>
      <w:r>
        <w:rPr>
          <w:rFonts w:hint="eastAsia" w:ascii="宋体" w:hAnsi="宋体" w:eastAsia="宋体" w:cs="宋体"/>
          <w:lang w:val="en-US" w:eastAsia="zh-CN"/>
        </w:rPr>
        <w:t>1 危险有害因素</w:t>
      </w:r>
      <w:r>
        <w:rPr>
          <w:rFonts w:hint="eastAsia" w:ascii="宋体" w:hAnsi="宋体" w:cs="宋体"/>
          <w:lang w:val="en-US" w:eastAsia="zh-CN"/>
        </w:rPr>
        <w:t>辨识</w:t>
      </w:r>
      <w:r>
        <w:tab/>
      </w:r>
      <w:r>
        <w:fldChar w:fldCharType="begin"/>
      </w:r>
      <w:r>
        <w:instrText xml:space="preserve"> PAGEREF _Toc5830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_Toc7051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eastAsia="宋体" w:cs="宋体"/>
          <w:szCs w:val="28"/>
        </w:rPr>
        <w:t>.1 经营物料危险有害因素分析</w:t>
      </w:r>
      <w:r>
        <w:tab/>
      </w:r>
      <w:r>
        <w:fldChar w:fldCharType="begin"/>
      </w:r>
      <w:r>
        <w:instrText xml:space="preserve"> PAGEREF _Toc7051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_Toc1951 </w:instrText>
      </w:r>
      <w:r>
        <w:rPr>
          <w:rFonts w:hint="eastAsia" w:ascii="宋体" w:hAnsi="宋体" w:eastAsia="宋体" w:cs="宋体"/>
        </w:rPr>
        <w:fldChar w:fldCharType="separate"/>
      </w:r>
      <w:r>
        <w:rPr>
          <w:rFonts w:hint="eastAsia" w:ascii="宋体" w:hAnsi="宋体" w:eastAsia="宋体" w:cs="宋体"/>
          <w:szCs w:val="28"/>
          <w:lang w:val="en-US" w:eastAsia="zh-CN"/>
        </w:rPr>
        <w:t>1.2站场及周边环境的危险、有害因素分析</w:t>
      </w:r>
      <w:r>
        <w:tab/>
      </w:r>
      <w:r>
        <w:fldChar w:fldCharType="begin"/>
      </w:r>
      <w:r>
        <w:instrText xml:space="preserve"> PAGEREF _Toc1951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_Toc4905 </w:instrText>
      </w:r>
      <w:r>
        <w:rPr>
          <w:rFonts w:hint="eastAsia" w:ascii="宋体" w:hAnsi="宋体" w:eastAsia="宋体" w:cs="宋体"/>
        </w:rPr>
        <w:fldChar w:fldCharType="separate"/>
      </w:r>
      <w:r>
        <w:rPr>
          <w:rFonts w:hint="eastAsia" w:ascii="宋体" w:hAnsi="宋体" w:cs="宋体"/>
          <w:szCs w:val="30"/>
          <w:highlight w:val="none"/>
          <w:lang w:val="en-US" w:eastAsia="zh-CN"/>
        </w:rPr>
        <w:t>1.2.1</w:t>
      </w:r>
      <w:r>
        <w:rPr>
          <w:rFonts w:hint="eastAsia" w:ascii="宋体" w:hAnsi="宋体" w:eastAsia="宋体" w:cs="宋体"/>
          <w:szCs w:val="30"/>
          <w:highlight w:val="none"/>
          <w:lang w:val="en-US" w:eastAsia="zh-CN"/>
        </w:rPr>
        <w:t>站址及周边环境的危险、有害因素辨识</w:t>
      </w:r>
      <w:r>
        <w:tab/>
      </w:r>
      <w:r>
        <w:fldChar w:fldCharType="begin"/>
      </w:r>
      <w:r>
        <w:instrText xml:space="preserve"> PAGEREF _Toc4905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_Toc1126 </w:instrText>
      </w:r>
      <w:r>
        <w:rPr>
          <w:rFonts w:hint="eastAsia" w:ascii="宋体" w:hAnsi="宋体" w:eastAsia="宋体" w:cs="宋体"/>
        </w:rPr>
        <w:fldChar w:fldCharType="separate"/>
      </w:r>
      <w:r>
        <w:rPr>
          <w:rFonts w:hint="eastAsia" w:ascii="宋体" w:hAnsi="宋体" w:cs="宋体"/>
          <w:szCs w:val="30"/>
          <w:lang w:val="en-US" w:eastAsia="zh-CN"/>
        </w:rPr>
        <w:t>1.2.2平面布置的危险、有害因素辨识</w:t>
      </w:r>
      <w:r>
        <w:tab/>
      </w:r>
      <w:r>
        <w:fldChar w:fldCharType="begin"/>
      </w:r>
      <w:r>
        <w:instrText xml:space="preserve"> PAGEREF _Toc1126 \h </w:instrText>
      </w:r>
      <w:r>
        <w:fldChar w:fldCharType="separate"/>
      </w:r>
      <w:r>
        <w:t>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_Toc11152 </w:instrText>
      </w:r>
      <w:r>
        <w:rPr>
          <w:rFonts w:hint="eastAsia" w:ascii="宋体" w:hAnsi="宋体" w:eastAsia="宋体" w:cs="宋体"/>
        </w:rPr>
        <w:fldChar w:fldCharType="separate"/>
      </w:r>
      <w:r>
        <w:rPr>
          <w:rFonts w:hint="eastAsia" w:ascii="宋体" w:hAnsi="宋体" w:cs="宋体"/>
          <w:szCs w:val="30"/>
          <w:lang w:val="en-US" w:eastAsia="zh-CN"/>
        </w:rPr>
        <w:t>1.2.3站内道路的危险、有害因素辨识</w:t>
      </w:r>
      <w:r>
        <w:tab/>
      </w:r>
      <w:r>
        <w:fldChar w:fldCharType="begin"/>
      </w:r>
      <w:r>
        <w:instrText xml:space="preserve"> PAGEREF _Toc11152 \h </w:instrText>
      </w:r>
      <w:r>
        <w:fldChar w:fldCharType="separate"/>
      </w:r>
      <w:r>
        <w:t>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_Toc25124 </w:instrText>
      </w:r>
      <w:r>
        <w:rPr>
          <w:rFonts w:hint="eastAsia" w:ascii="宋体" w:hAnsi="宋体" w:eastAsia="宋体" w:cs="宋体"/>
        </w:rPr>
        <w:fldChar w:fldCharType="separate"/>
      </w:r>
      <w:r>
        <w:rPr>
          <w:rFonts w:hint="eastAsia" w:ascii="宋体" w:hAnsi="宋体" w:eastAsia="宋体" w:cs="宋体"/>
          <w:szCs w:val="28"/>
          <w:lang w:val="en-US" w:eastAsia="zh-CN"/>
        </w:rPr>
        <w:t>1.3 建(构)筑物危险有害因素分析</w:t>
      </w:r>
      <w:r>
        <w:tab/>
      </w:r>
      <w:r>
        <w:fldChar w:fldCharType="begin"/>
      </w:r>
      <w:r>
        <w:instrText xml:space="preserve"> PAGEREF _Toc25124 \h </w:instrText>
      </w:r>
      <w:r>
        <w:fldChar w:fldCharType="separate"/>
      </w:r>
      <w:r>
        <w:t>5</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_Toc9251 </w:instrText>
      </w:r>
      <w:r>
        <w:rPr>
          <w:rFonts w:hint="eastAsia" w:ascii="宋体" w:hAnsi="宋体" w:eastAsia="宋体" w:cs="宋体"/>
        </w:rPr>
        <w:fldChar w:fldCharType="separate"/>
      </w:r>
      <w:r>
        <w:rPr>
          <w:rFonts w:hint="eastAsia" w:ascii="宋体" w:hAnsi="宋体" w:eastAsia="宋体" w:cs="宋体"/>
          <w:szCs w:val="28"/>
          <w:lang w:val="en-US" w:eastAsia="zh-CN"/>
        </w:rPr>
        <w:t>1.4 经营过程危险有害因素分析</w:t>
      </w:r>
      <w:r>
        <w:tab/>
      </w:r>
      <w:r>
        <w:fldChar w:fldCharType="begin"/>
      </w:r>
      <w:r>
        <w:instrText xml:space="preserve"> PAGEREF _Toc9251 \h </w:instrText>
      </w:r>
      <w:r>
        <w:fldChar w:fldCharType="separate"/>
      </w:r>
      <w:r>
        <w:t>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_Toc12068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.4.1 卸油过程</w:t>
      </w:r>
      <w:r>
        <w:tab/>
      </w:r>
      <w:r>
        <w:fldChar w:fldCharType="begin"/>
      </w:r>
      <w:r>
        <w:instrText xml:space="preserve"> PAGEREF _Toc12068 \h </w:instrText>
      </w:r>
      <w:r>
        <w:fldChar w:fldCharType="separate"/>
      </w:r>
      <w:r>
        <w:t>6</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_Toc21651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.4.2 加油过程</w:t>
      </w:r>
      <w:r>
        <w:tab/>
      </w:r>
      <w:r>
        <w:fldChar w:fldCharType="begin"/>
      </w:r>
      <w:r>
        <w:instrText xml:space="preserve"> PAGEREF _Toc21651 \h </w:instrText>
      </w:r>
      <w:r>
        <w:fldChar w:fldCharType="separate"/>
      </w:r>
      <w:r>
        <w:t>7</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_Toc9378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.4.3 储油过程</w:t>
      </w:r>
      <w:r>
        <w:tab/>
      </w:r>
      <w:r>
        <w:fldChar w:fldCharType="begin"/>
      </w:r>
      <w:r>
        <w:instrText xml:space="preserve"> PAGEREF _Toc9378 \h </w:instrText>
      </w:r>
      <w:r>
        <w:fldChar w:fldCharType="separate"/>
      </w:r>
      <w:r>
        <w:t>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_Toc30799 </w:instrText>
      </w:r>
      <w:r>
        <w:rPr>
          <w:rFonts w:hint="eastAsia" w:ascii="宋体" w:hAnsi="宋体" w:eastAsia="宋体" w:cs="宋体"/>
        </w:rPr>
        <w:fldChar w:fldCharType="separate"/>
      </w:r>
      <w:r>
        <w:rPr>
          <w:rFonts w:hint="eastAsia" w:ascii="宋体" w:hAnsi="宋体" w:eastAsia="宋体" w:cs="宋体"/>
          <w:szCs w:val="28"/>
          <w:lang w:val="en-US" w:eastAsia="zh-CN"/>
        </w:rPr>
        <w:t>1.5工艺操作</w:t>
      </w:r>
      <w:r>
        <w:rPr>
          <w:rFonts w:hint="eastAsia" w:ascii="宋体" w:hAnsi="宋体" w:cs="宋体"/>
          <w:szCs w:val="28"/>
          <w:lang w:val="en-US" w:eastAsia="zh-CN"/>
        </w:rPr>
        <w:t>过程</w:t>
      </w:r>
      <w:r>
        <w:rPr>
          <w:rFonts w:hint="eastAsia" w:ascii="宋体" w:hAnsi="宋体" w:eastAsia="宋体" w:cs="宋体"/>
          <w:szCs w:val="28"/>
          <w:lang w:val="en-US" w:eastAsia="zh-CN"/>
        </w:rPr>
        <w:t>的危险、有害因素分析</w:t>
      </w:r>
      <w:r>
        <w:tab/>
      </w:r>
      <w:r>
        <w:fldChar w:fldCharType="begin"/>
      </w:r>
      <w:r>
        <w:instrText xml:space="preserve"> PAGEREF _Toc30799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_Toc25321 </w:instrText>
      </w:r>
      <w:r>
        <w:rPr>
          <w:rFonts w:hint="eastAsia" w:ascii="宋体" w:hAnsi="宋体" w:eastAsia="宋体" w:cs="宋体"/>
        </w:rPr>
        <w:fldChar w:fldCharType="separate"/>
      </w:r>
      <w:r>
        <w:rPr>
          <w:rFonts w:hint="eastAsia" w:ascii="宋体" w:hAnsi="宋体" w:eastAsia="宋体" w:cs="宋体"/>
          <w:szCs w:val="30"/>
          <w:lang w:val="en-US" w:eastAsia="zh-CN"/>
        </w:rPr>
        <w:t>1.5.1油料作业过程危险、有害因素分析</w:t>
      </w:r>
      <w:r>
        <w:tab/>
      </w:r>
      <w:r>
        <w:fldChar w:fldCharType="begin"/>
      </w:r>
      <w:r>
        <w:instrText xml:space="preserve"> PAGEREF _Toc25321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_Toc7850 </w:instrText>
      </w:r>
      <w:r>
        <w:rPr>
          <w:rFonts w:hint="eastAsia" w:ascii="宋体" w:hAnsi="宋体" w:eastAsia="宋体" w:cs="宋体"/>
        </w:rPr>
        <w:fldChar w:fldCharType="separate"/>
      </w:r>
      <w:r>
        <w:rPr>
          <w:rFonts w:hint="eastAsia" w:ascii="宋体" w:hAnsi="宋体" w:cs="宋体"/>
          <w:szCs w:val="30"/>
          <w:lang w:val="en-US" w:eastAsia="zh-CN"/>
        </w:rPr>
        <w:t>1.5.2</w:t>
      </w:r>
      <w:r>
        <w:rPr>
          <w:rFonts w:hint="eastAsia" w:ascii="宋体" w:hAnsi="宋体" w:eastAsia="宋体" w:cs="宋体"/>
          <w:szCs w:val="30"/>
          <w:lang w:val="en-US" w:eastAsia="zh-CN"/>
        </w:rPr>
        <w:t>营业和检修过程危险、有害因素分析</w:t>
      </w:r>
      <w:r>
        <w:tab/>
      </w:r>
      <w:r>
        <w:fldChar w:fldCharType="begin"/>
      </w:r>
      <w:r>
        <w:instrText xml:space="preserve"> PAGEREF _Toc7850 \h </w:instrText>
      </w:r>
      <w:r>
        <w:fldChar w:fldCharType="separate"/>
      </w:r>
      <w:r>
        <w:t>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_Toc13162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6</w:t>
      </w:r>
      <w:r>
        <w:rPr>
          <w:rFonts w:hint="eastAsia" w:ascii="宋体" w:hAnsi="宋体" w:eastAsia="宋体"/>
          <w:bCs w:val="0"/>
        </w:rPr>
        <w:t>工艺设备、设施的危险、有害因素</w:t>
      </w:r>
      <w:r>
        <w:rPr>
          <w:rFonts w:hint="eastAsia" w:ascii="宋体" w:hAnsi="宋体" w:eastAsia="宋体" w:cs="宋体"/>
          <w:szCs w:val="28"/>
          <w:lang w:val="en-US" w:eastAsia="zh-CN"/>
        </w:rPr>
        <w:t>分析</w:t>
      </w:r>
      <w:r>
        <w:tab/>
      </w:r>
      <w:r>
        <w:fldChar w:fldCharType="begin"/>
      </w:r>
      <w:r>
        <w:instrText xml:space="preserve"> PAGEREF _Toc13162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_Toc11538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.1 油罐</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_Toc11538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_Toc10390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.2 加油机</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_Toc10390 \h </w:instrText>
      </w:r>
      <w:r>
        <w:fldChar w:fldCharType="separate"/>
      </w:r>
      <w:r>
        <w:t>11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_Toc3075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.3 输油管道</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_Toc3075 \h </w:instrText>
      </w:r>
      <w:r>
        <w:fldChar w:fldCharType="separate"/>
      </w:r>
      <w:r>
        <w:t>12</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_Toc29058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7</w:t>
      </w:r>
      <w:r>
        <w:rPr>
          <w:rFonts w:hint="eastAsia" w:ascii="宋体" w:hAnsi="宋体" w:eastAsia="宋体" w:cs="宋体"/>
          <w:szCs w:val="28"/>
          <w:lang w:val="en-US" w:eastAsia="zh-CN"/>
        </w:rPr>
        <w:t xml:space="preserve"> 辅助设备、设施的危险、有害因素</w:t>
      </w:r>
      <w:r>
        <w:rPr>
          <w:rFonts w:hint="eastAsia" w:ascii="宋体" w:hAnsi="宋体" w:cs="宋体"/>
          <w:szCs w:val="28"/>
          <w:lang w:val="en-US" w:eastAsia="zh-CN"/>
        </w:rPr>
        <w:t>分析</w:t>
      </w:r>
      <w:r>
        <w:tab/>
      </w:r>
      <w:r>
        <w:fldChar w:fldCharType="begin"/>
      </w:r>
      <w:r>
        <w:instrText xml:space="preserve"> PAGEREF _Toc29058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_Toc7330 </w:instrText>
      </w:r>
      <w:r>
        <w:rPr>
          <w:rFonts w:hint="eastAsia" w:ascii="宋体" w:hAnsi="宋体" w:eastAsia="宋体" w:cs="宋体"/>
        </w:rPr>
        <w:fldChar w:fldCharType="separate"/>
      </w:r>
      <w:r>
        <w:rPr>
          <w:rFonts w:hint="eastAsia" w:ascii="宋体" w:hAnsi="宋体" w:eastAsia="宋体" w:cs="宋体"/>
          <w:szCs w:val="30"/>
          <w:lang w:val="en-US" w:eastAsia="zh-CN"/>
        </w:rPr>
        <w:t>1.7.1 电气设备危险、有害因素分析</w:t>
      </w:r>
      <w:r>
        <w:tab/>
      </w:r>
      <w:r>
        <w:fldChar w:fldCharType="begin"/>
      </w:r>
      <w:r>
        <w:instrText xml:space="preserve"> PAGEREF _Toc7330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_Toc10136 </w:instrText>
      </w:r>
      <w:r>
        <w:rPr>
          <w:rFonts w:hint="eastAsia" w:ascii="宋体" w:hAnsi="宋体" w:eastAsia="宋体" w:cs="宋体"/>
        </w:rPr>
        <w:fldChar w:fldCharType="separate"/>
      </w:r>
      <w:r>
        <w:rPr>
          <w:rFonts w:hint="eastAsia" w:ascii="宋体" w:hAnsi="宋体" w:eastAsia="宋体" w:cs="宋体"/>
          <w:szCs w:val="30"/>
          <w:lang w:val="en-US" w:eastAsia="zh-CN"/>
        </w:rPr>
        <w:t>1.7.2 消防设施危险、有害因素分析</w:t>
      </w:r>
      <w:r>
        <w:tab/>
      </w:r>
      <w:r>
        <w:fldChar w:fldCharType="begin"/>
      </w:r>
      <w:r>
        <w:instrText xml:space="preserve"> PAGEREF _Toc10136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_Toc17445 </w:instrText>
      </w:r>
      <w:r>
        <w:rPr>
          <w:rFonts w:hint="eastAsia" w:ascii="宋体" w:hAnsi="宋体" w:eastAsia="宋体" w:cs="宋体"/>
        </w:rPr>
        <w:fldChar w:fldCharType="separate"/>
      </w:r>
      <w:r>
        <w:rPr>
          <w:rFonts w:hint="eastAsia" w:ascii="宋体" w:hAnsi="宋体" w:cs="宋体"/>
          <w:szCs w:val="30"/>
          <w:lang w:val="en-US" w:eastAsia="zh-CN"/>
        </w:rPr>
        <w:t>1.7.3</w:t>
      </w:r>
      <w:r>
        <w:rPr>
          <w:rFonts w:hint="eastAsia" w:ascii="宋体" w:hAnsi="宋体" w:eastAsia="宋体" w:cs="宋体"/>
          <w:szCs w:val="30"/>
          <w:lang w:val="en-US" w:eastAsia="zh-CN"/>
        </w:rPr>
        <w:t>防雷装置危险、有害因素分析</w:t>
      </w:r>
      <w:r>
        <w:tab/>
      </w:r>
      <w:r>
        <w:fldChar w:fldCharType="begin"/>
      </w:r>
      <w:r>
        <w:instrText xml:space="preserve"> PAGEREF _Toc17445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_Toc20195 </w:instrText>
      </w:r>
      <w:r>
        <w:rPr>
          <w:rFonts w:hint="eastAsia" w:ascii="宋体" w:hAnsi="宋体" w:eastAsia="宋体" w:cs="宋体"/>
        </w:rPr>
        <w:fldChar w:fldCharType="separate"/>
      </w:r>
      <w:r>
        <w:rPr>
          <w:rFonts w:hint="eastAsia" w:ascii="宋体" w:hAnsi="宋体" w:cs="宋体"/>
          <w:szCs w:val="30"/>
          <w:lang w:val="en-US" w:eastAsia="zh-CN"/>
        </w:rPr>
        <w:t>1.7.4电气线路危险、有害因素分析</w:t>
      </w:r>
      <w:r>
        <w:tab/>
      </w:r>
      <w:r>
        <w:fldChar w:fldCharType="begin"/>
      </w:r>
      <w:r>
        <w:instrText xml:space="preserve"> PAGEREF _Toc20195 \h </w:instrText>
      </w:r>
      <w:r>
        <w:fldChar w:fldCharType="separate"/>
      </w:r>
      <w:r>
        <w:t>14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_Toc875 </w:instrText>
      </w:r>
      <w:r>
        <w:rPr>
          <w:rFonts w:hint="eastAsia" w:ascii="宋体" w:hAnsi="宋体" w:eastAsia="宋体" w:cs="宋体"/>
        </w:rPr>
        <w:fldChar w:fldCharType="separate"/>
      </w:r>
      <w:r>
        <w:rPr>
          <w:rFonts w:hint="eastAsia" w:ascii="宋体" w:hAnsi="宋体" w:cs="宋体"/>
          <w:szCs w:val="30"/>
          <w:lang w:val="en-US" w:eastAsia="zh-CN"/>
        </w:rPr>
        <w:t>1.7.5防静电装置危险、有害因素分析</w:t>
      </w:r>
      <w:r>
        <w:tab/>
      </w:r>
      <w:r>
        <w:fldChar w:fldCharType="begin"/>
      </w:r>
      <w:r>
        <w:instrText xml:space="preserve"> PAGEREF _Toc875 \h </w:instrText>
      </w:r>
      <w:r>
        <w:fldChar w:fldCharType="separate"/>
      </w:r>
      <w:r>
        <w:t>14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_Toc17853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8</w:t>
      </w:r>
      <w:r>
        <w:rPr>
          <w:rFonts w:hint="eastAsia" w:ascii="宋体" w:hAnsi="宋体" w:eastAsia="宋体" w:cs="宋体"/>
          <w:szCs w:val="28"/>
          <w:lang w:val="en-US" w:eastAsia="zh-CN"/>
        </w:rPr>
        <w:t xml:space="preserve"> </w:t>
      </w:r>
      <w:r>
        <w:rPr>
          <w:rFonts w:hint="eastAsia" w:ascii="宋体" w:hAnsi="宋体" w:cs="宋体"/>
          <w:szCs w:val="28"/>
          <w:lang w:val="en-US" w:eastAsia="zh-CN"/>
        </w:rPr>
        <w:t>施工、</w:t>
      </w:r>
      <w:r>
        <w:rPr>
          <w:rFonts w:hint="eastAsia" w:ascii="宋体" w:hAnsi="宋体" w:eastAsia="宋体" w:cs="宋体"/>
          <w:szCs w:val="28"/>
          <w:lang w:val="en-US" w:eastAsia="zh-CN"/>
        </w:rPr>
        <w:t>维护清理、检修过程中的危险有害因素分析</w:t>
      </w:r>
      <w:r>
        <w:tab/>
      </w:r>
      <w:r>
        <w:fldChar w:fldCharType="begin"/>
      </w:r>
      <w:r>
        <w:instrText xml:space="preserve"> PAGEREF _Toc17853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_Toc1144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8</w:t>
      </w:r>
      <w:r>
        <w:rPr>
          <w:rFonts w:hint="eastAsia" w:ascii="宋体" w:hAnsi="宋体" w:eastAsia="宋体" w:cs="宋体"/>
          <w:szCs w:val="30"/>
        </w:rPr>
        <w:t>.1 设备维护清理作业</w:t>
      </w:r>
      <w:r>
        <w:rPr>
          <w:rFonts w:hint="eastAsia" w:ascii="宋体" w:hAnsi="宋体" w:cs="宋体"/>
          <w:szCs w:val="30"/>
          <w:lang w:val="en-US" w:eastAsia="zh-CN"/>
        </w:rPr>
        <w:t>危险、有害因素分析</w:t>
      </w:r>
      <w:r>
        <w:tab/>
      </w:r>
      <w:r>
        <w:fldChar w:fldCharType="begin"/>
      </w:r>
      <w:r>
        <w:instrText xml:space="preserve"> PAGEREF _Toc1144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_Toc1764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8</w:t>
      </w:r>
      <w:r>
        <w:rPr>
          <w:rFonts w:hint="eastAsia" w:ascii="宋体" w:hAnsi="宋体" w:eastAsia="宋体" w:cs="宋体"/>
          <w:szCs w:val="30"/>
          <w:lang w:val="en-US" w:eastAsia="zh-CN"/>
        </w:rPr>
        <w:t xml:space="preserve">.2 </w:t>
      </w:r>
      <w:r>
        <w:rPr>
          <w:rFonts w:hint="eastAsia" w:ascii="宋体" w:hAnsi="宋体" w:eastAsia="宋体" w:cs="宋体"/>
          <w:szCs w:val="30"/>
          <w:lang w:val="zh-CN" w:eastAsia="zh-CN"/>
        </w:rPr>
        <w:t>施工</w:t>
      </w:r>
      <w:r>
        <w:rPr>
          <w:rFonts w:hint="eastAsia" w:ascii="宋体" w:hAnsi="宋体" w:eastAsia="宋体" w:cs="宋体"/>
          <w:szCs w:val="30"/>
          <w:lang w:val="en-US" w:eastAsia="zh-CN"/>
        </w:rPr>
        <w:t>作业</w:t>
      </w:r>
      <w:r>
        <w:rPr>
          <w:rFonts w:hint="eastAsia" w:ascii="宋体" w:hAnsi="宋体" w:cs="宋体"/>
          <w:szCs w:val="30"/>
          <w:lang w:val="en-US" w:eastAsia="zh-CN"/>
        </w:rPr>
        <w:t>危险、有害因素分析</w:t>
      </w:r>
      <w:r>
        <w:tab/>
      </w:r>
      <w:r>
        <w:fldChar w:fldCharType="begin"/>
      </w:r>
      <w:r>
        <w:instrText xml:space="preserve"> PAGEREF _Toc1764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_Toc5298 </w:instrText>
      </w:r>
      <w:r>
        <w:rPr>
          <w:rFonts w:hint="eastAsia" w:ascii="宋体" w:hAnsi="宋体" w:eastAsia="宋体" w:cs="宋体"/>
        </w:rPr>
        <w:fldChar w:fldCharType="separate"/>
      </w:r>
      <w:r>
        <w:rPr>
          <w:rFonts w:hint="eastAsia" w:ascii="宋体" w:hAnsi="宋体" w:eastAsia="宋体" w:cs="宋体"/>
          <w:szCs w:val="30"/>
          <w:lang w:val="en-US" w:eastAsia="zh-CN"/>
        </w:rPr>
        <w:t>1.8.</w:t>
      </w:r>
      <w:r>
        <w:rPr>
          <w:rFonts w:hint="eastAsia" w:ascii="宋体" w:hAnsi="宋体" w:cs="宋体"/>
          <w:szCs w:val="30"/>
          <w:lang w:val="en-US" w:eastAsia="zh-CN"/>
        </w:rPr>
        <w:t>3</w:t>
      </w:r>
      <w:r>
        <w:rPr>
          <w:rFonts w:hint="eastAsia" w:ascii="宋体" w:hAnsi="宋体" w:eastAsia="宋体" w:cs="宋体"/>
          <w:szCs w:val="30"/>
          <w:lang w:val="en-US" w:eastAsia="zh-CN"/>
        </w:rPr>
        <w:t xml:space="preserve"> 检修作业</w:t>
      </w:r>
      <w:r>
        <w:rPr>
          <w:rFonts w:hint="eastAsia" w:ascii="宋体" w:hAnsi="宋体" w:cs="宋体"/>
          <w:szCs w:val="30"/>
          <w:lang w:val="en-US" w:eastAsia="zh-CN"/>
        </w:rPr>
        <w:t>危险、有害因素分析</w:t>
      </w:r>
      <w:r>
        <w:tab/>
      </w:r>
      <w:r>
        <w:fldChar w:fldCharType="begin"/>
      </w:r>
      <w:r>
        <w:instrText xml:space="preserve"> PAGEREF _Toc5298 \h </w:instrText>
      </w:r>
      <w:r>
        <w:fldChar w:fldCharType="separate"/>
      </w:r>
      <w:r>
        <w:t>17</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_Toc31045 </w:instrText>
      </w:r>
      <w:r>
        <w:rPr>
          <w:rFonts w:hint="eastAsia" w:ascii="宋体" w:hAnsi="宋体" w:eastAsia="宋体" w:cs="宋体"/>
        </w:rPr>
        <w:fldChar w:fldCharType="separate"/>
      </w:r>
      <w:r>
        <w:rPr>
          <w:rFonts w:hint="eastAsia" w:ascii="宋体" w:hAnsi="宋体" w:cs="宋体"/>
          <w:szCs w:val="28"/>
          <w:lang w:val="en-US" w:eastAsia="zh-CN"/>
        </w:rPr>
        <w:t>1.9</w:t>
      </w:r>
      <w:r>
        <w:rPr>
          <w:rFonts w:hint="eastAsia" w:ascii="宋体" w:hAnsi="宋体" w:eastAsia="宋体" w:cs="宋体"/>
          <w:szCs w:val="28"/>
          <w:lang w:val="en-US" w:eastAsia="zh-CN"/>
        </w:rPr>
        <w:t>受限空间作业危险性分析</w:t>
      </w:r>
      <w:r>
        <w:tab/>
      </w:r>
      <w:r>
        <w:fldChar w:fldCharType="begin"/>
      </w:r>
      <w:r>
        <w:instrText xml:space="preserve"> PAGEREF _Toc31045 \h </w:instrText>
      </w:r>
      <w:r>
        <w:fldChar w:fldCharType="separate"/>
      </w:r>
      <w:r>
        <w:t>18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_Toc31240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10</w:t>
      </w:r>
      <w:r>
        <w:rPr>
          <w:rFonts w:hint="eastAsia" w:ascii="宋体" w:hAnsi="宋体" w:eastAsia="宋体" w:cs="宋体"/>
          <w:szCs w:val="28"/>
          <w:lang w:val="en-US" w:eastAsia="zh-CN"/>
        </w:rPr>
        <w:t xml:space="preserve"> 安全管理中存在的危险有害因素分析</w:t>
      </w:r>
      <w:r>
        <w:tab/>
      </w:r>
      <w:r>
        <w:fldChar w:fldCharType="begin"/>
      </w:r>
      <w:r>
        <w:instrText xml:space="preserve"> PAGEREF _Toc31240 \h </w:instrText>
      </w:r>
      <w:r>
        <w:fldChar w:fldCharType="separate"/>
      </w:r>
      <w:r>
        <w:t>19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_Toc8951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11其他</w:t>
      </w:r>
      <w:r>
        <w:rPr>
          <w:rFonts w:hint="eastAsia" w:ascii="宋体" w:hAnsi="宋体" w:eastAsia="宋体" w:cs="宋体"/>
          <w:szCs w:val="28"/>
          <w:lang w:val="en-US" w:eastAsia="zh-CN"/>
        </w:rPr>
        <w:t>危险有害因素分析</w:t>
      </w:r>
      <w:r>
        <w:tab/>
      </w:r>
      <w:r>
        <w:fldChar w:fldCharType="begin"/>
      </w:r>
      <w:r>
        <w:instrText xml:space="preserve"> PAGEREF _Toc8951 \h </w:instrText>
      </w:r>
      <w:r>
        <w:fldChar w:fldCharType="separate"/>
      </w:r>
      <w:r>
        <w:t>20</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_Toc17016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12</w:t>
      </w:r>
      <w:r>
        <w:rPr>
          <w:rFonts w:hint="eastAsia" w:ascii="宋体" w:hAnsi="宋体" w:eastAsia="宋体" w:cs="宋体"/>
          <w:szCs w:val="28"/>
          <w:lang w:val="en-US" w:eastAsia="zh-CN"/>
        </w:rPr>
        <w:t xml:space="preserve"> 重大危险源辨识</w:t>
      </w:r>
      <w:r>
        <w:tab/>
      </w:r>
      <w:r>
        <w:fldChar w:fldCharType="begin"/>
      </w:r>
      <w:r>
        <w:instrText xml:space="preserve"> PAGEREF _Toc17016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_Toc317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12</w:t>
      </w:r>
      <w:r>
        <w:rPr>
          <w:rFonts w:hint="eastAsia" w:ascii="宋体" w:hAnsi="宋体" w:eastAsia="宋体" w:cs="宋体"/>
          <w:szCs w:val="30"/>
        </w:rPr>
        <w:t>.1危险化学品重大危险源辨识依据</w:t>
      </w:r>
      <w:r>
        <w:tab/>
      </w:r>
      <w:r>
        <w:fldChar w:fldCharType="begin"/>
      </w:r>
      <w:r>
        <w:instrText xml:space="preserve"> PAGEREF _Toc317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_Toc26758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.2重大危险源流程</w:t>
      </w:r>
      <w:r>
        <w:tab/>
      </w:r>
      <w:r>
        <w:fldChar w:fldCharType="begin"/>
      </w:r>
      <w:r>
        <w:instrText xml:space="preserve"> PAGEREF _Toc26758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_Toc5523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.3重大危险源辨识单元划分</w:t>
      </w:r>
      <w:r>
        <w:tab/>
      </w:r>
      <w:r>
        <w:fldChar w:fldCharType="begin"/>
      </w:r>
      <w:r>
        <w:instrText xml:space="preserve"> PAGEREF _Toc5523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_Toc15521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.4 危险化学品重大危险源的辨识方法</w:t>
      </w:r>
      <w:r>
        <w:tab/>
      </w:r>
      <w:r>
        <w:fldChar w:fldCharType="begin"/>
      </w:r>
      <w:r>
        <w:instrText xml:space="preserve"> PAGEREF _Toc15521 \h </w:instrText>
      </w:r>
      <w:r>
        <w:fldChar w:fldCharType="separate"/>
      </w:r>
      <w:r>
        <w:t>21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_Toc30728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.5 危险化学品重大危险源辨识结果</w:t>
      </w:r>
      <w:r>
        <w:tab/>
      </w:r>
      <w:r>
        <w:fldChar w:fldCharType="begin"/>
      </w:r>
      <w:r>
        <w:instrText xml:space="preserve"> PAGEREF _Toc30728 \h </w:instrText>
      </w:r>
      <w:r>
        <w:fldChar w:fldCharType="separate"/>
      </w:r>
      <w:r>
        <w:t>22</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_Toc17040 </w:instrText>
      </w:r>
      <w:r>
        <w:rPr>
          <w:rFonts w:hint="eastAsia" w:ascii="宋体" w:hAnsi="宋体" w:eastAsia="宋体" w:cs="宋体"/>
        </w:rPr>
        <w:fldChar w:fldCharType="separate"/>
      </w:r>
      <w:r>
        <w:rPr>
          <w:rFonts w:hint="eastAsia" w:ascii="宋体" w:hAnsi="宋体" w:eastAsia="宋体" w:cs="宋体"/>
          <w:lang w:val="en-US" w:eastAsia="zh-CN"/>
        </w:rPr>
        <w:t>2 事故风险分析</w:t>
      </w:r>
      <w:r>
        <w:tab/>
      </w:r>
      <w:r>
        <w:fldChar w:fldCharType="begin"/>
      </w:r>
      <w:r>
        <w:instrText xml:space="preserve"> PAGEREF _Toc17040 \h </w:instrText>
      </w:r>
      <w:r>
        <w:fldChar w:fldCharType="separate"/>
      </w:r>
      <w:r>
        <w:t>24</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_Toc369 </w:instrText>
      </w:r>
      <w:r>
        <w:rPr>
          <w:rFonts w:hint="eastAsia" w:ascii="宋体" w:hAnsi="宋体" w:eastAsia="宋体" w:cs="宋体"/>
        </w:rPr>
        <w:fldChar w:fldCharType="separate"/>
      </w:r>
      <w:r>
        <w:rPr>
          <w:rFonts w:hint="eastAsia" w:ascii="宋体" w:hAnsi="宋体" w:eastAsia="宋体" w:cs="宋体"/>
          <w:lang w:val="en-US" w:eastAsia="zh-CN"/>
        </w:rPr>
        <w:t>3 事故风险评价</w:t>
      </w:r>
      <w:r>
        <w:tab/>
      </w:r>
      <w:r>
        <w:fldChar w:fldCharType="begin"/>
      </w:r>
      <w:r>
        <w:instrText xml:space="preserve"> PAGEREF _Toc369 \h </w:instrText>
      </w:r>
      <w:r>
        <w:fldChar w:fldCharType="separate"/>
      </w:r>
      <w:r>
        <w:t>27</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_Toc27477 </w:instrText>
      </w:r>
      <w:r>
        <w:rPr>
          <w:rFonts w:hint="eastAsia" w:ascii="宋体" w:hAnsi="宋体" w:eastAsia="宋体" w:cs="宋体"/>
        </w:rPr>
        <w:fldChar w:fldCharType="separate"/>
      </w:r>
      <w:r>
        <w:rPr>
          <w:rFonts w:hint="eastAsia" w:ascii="宋体" w:hAnsi="宋体" w:eastAsia="宋体" w:cs="宋体"/>
          <w:lang w:val="en-US" w:eastAsia="zh-CN"/>
        </w:rPr>
        <w:t>4 评估结论与建议</w:t>
      </w:r>
      <w:r>
        <w:tab/>
      </w:r>
      <w:r>
        <w:fldChar w:fldCharType="begin"/>
      </w:r>
      <w:r>
        <w:instrText xml:space="preserve"> PAGEREF _Toc27477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_Toc29759 </w:instrText>
      </w:r>
      <w:r>
        <w:rPr>
          <w:rFonts w:hint="eastAsia" w:ascii="宋体" w:hAnsi="宋体" w:eastAsia="宋体" w:cs="宋体"/>
        </w:rPr>
        <w:fldChar w:fldCharType="separate"/>
      </w:r>
      <w:r>
        <w:rPr>
          <w:rFonts w:hint="eastAsia" w:ascii="宋体" w:hAnsi="宋体" w:eastAsia="宋体" w:cs="宋体"/>
          <w:lang w:val="en-US" w:eastAsia="zh-CN"/>
        </w:rPr>
        <w:t>4.1 结论</w:t>
      </w:r>
      <w:r>
        <w:tab/>
      </w:r>
      <w:r>
        <w:fldChar w:fldCharType="begin"/>
      </w:r>
      <w:r>
        <w:instrText xml:space="preserve"> PAGEREF _Toc29759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_Toc5937 </w:instrText>
      </w:r>
      <w:r>
        <w:rPr>
          <w:rFonts w:hint="eastAsia" w:ascii="宋体" w:hAnsi="宋体" w:eastAsia="宋体" w:cs="宋体"/>
        </w:rPr>
        <w:fldChar w:fldCharType="separate"/>
      </w:r>
      <w:r>
        <w:rPr>
          <w:rFonts w:hint="eastAsia" w:ascii="宋体" w:hAnsi="宋体" w:eastAsia="宋体" w:cs="宋体"/>
          <w:szCs w:val="28"/>
          <w:lang w:val="en-US" w:eastAsia="zh-CN"/>
        </w:rPr>
        <w:t>4.2 建议</w:t>
      </w:r>
      <w:r>
        <w:tab/>
      </w:r>
      <w:r>
        <w:fldChar w:fldCharType="begin"/>
      </w:r>
      <w:r>
        <w:instrText xml:space="preserve"> PAGEREF _Toc5937 \h </w:instrText>
      </w:r>
      <w:r>
        <w:fldChar w:fldCharType="separate"/>
      </w:r>
      <w:r>
        <w:t>29</w:t>
      </w:r>
      <w:r>
        <w:fldChar w:fldCharType="end"/>
      </w:r>
      <w:r>
        <w:rPr>
          <w:rFonts w:hint="eastAsia" w:ascii="宋体" w:hAnsi="宋体" w:eastAsia="宋体" w:cs="宋体"/>
          <w:color w:val="auto"/>
        </w:rPr>
        <w:fldChar w:fldCharType="end"/>
      </w:r>
    </w:p>
    <w:p>
      <w:pPr>
        <w:rPr>
          <w:rFonts w:hint="eastAsia" w:ascii="宋体" w:hAnsi="宋体" w:eastAsia="宋体" w:cs="宋体"/>
          <w:color w:val="auto"/>
        </w:rPr>
      </w:pPr>
      <w:r>
        <w:rPr>
          <w:rFonts w:hint="eastAsia" w:ascii="宋体" w:hAnsi="宋体" w:eastAsia="宋体" w:cs="宋体"/>
          <w:color w:val="auto"/>
        </w:rPr>
        <w:fldChar w:fldCharType="end"/>
      </w:r>
    </w:p>
    <w:p>
      <w:pPr>
        <w:rPr>
          <w:rFonts w:hint="eastAsia" w:ascii="宋体" w:hAnsi="宋体" w:eastAsia="宋体" w:cs="宋体"/>
          <w:color w:val="auto"/>
        </w:rPr>
      </w:pPr>
    </w:p>
    <w:p>
      <w:pP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p>
    <w:bookmarkEnd w:id="0"/>
    <w:p>
      <w:pPr>
        <w:pStyle w:val="4"/>
        <w:bidi w:val="0"/>
        <w:rPr>
          <w:rFonts w:hint="eastAsia" w:ascii="宋体" w:hAnsi="宋体" w:eastAsia="宋体" w:cs="宋体"/>
          <w:color w:val="auto"/>
          <w:lang w:val="en-US" w:eastAsia="zh-CN"/>
        </w:rPr>
      </w:pPr>
      <w:bookmarkStart w:id="26" w:name="_Toc9342"/>
      <w:bookmarkStart w:id="27" w:name="_Toc354416283"/>
      <w:bookmarkStart w:id="28" w:name="_Toc5830"/>
      <w:r>
        <w:rPr>
          <w:rFonts w:hint="eastAsia" w:ascii="宋体" w:hAnsi="宋体" w:eastAsia="宋体" w:cs="宋体"/>
          <w:color w:val="auto"/>
          <w:lang w:val="en-US" w:eastAsia="zh-CN"/>
        </w:rPr>
        <w:t>1 危险有害因素</w:t>
      </w:r>
      <w:bookmarkEnd w:id="26"/>
      <w:bookmarkEnd w:id="27"/>
      <w:r>
        <w:rPr>
          <w:rFonts w:hint="eastAsia" w:ascii="宋体" w:hAnsi="宋体" w:cs="宋体"/>
          <w:color w:val="auto"/>
          <w:lang w:val="en-US" w:eastAsia="zh-CN"/>
        </w:rPr>
        <w:t>辨识</w:t>
      </w:r>
      <w:bookmarkEnd w:id="28"/>
    </w:p>
    <w:p>
      <w:pPr>
        <w:ind w:firstLine="560" w:firstLineChars="200"/>
        <w:rPr>
          <w:rFonts w:hint="eastAsia" w:ascii="宋体" w:hAnsi="宋体" w:eastAsia="宋体" w:cs="宋体"/>
          <w:color w:val="auto"/>
        </w:rPr>
      </w:pPr>
      <w:r>
        <w:rPr>
          <w:rFonts w:hint="eastAsia" w:ascii="宋体" w:hAnsi="宋体" w:eastAsia="宋体" w:cs="宋体"/>
          <w:color w:val="auto"/>
          <w:sz w:val="28"/>
          <w:szCs w:val="28"/>
        </w:rPr>
        <w:t>本报告中的危险有害因素按照《企业职工伤亡事故分类》（GB6441-86）的规定进行分类。</w:t>
      </w:r>
    </w:p>
    <w:p>
      <w:pPr>
        <w:pStyle w:val="5"/>
        <w:tabs>
          <w:tab w:val="center" w:pos="4536"/>
        </w:tabs>
        <w:rPr>
          <w:rFonts w:hint="eastAsia" w:ascii="宋体" w:hAnsi="宋体" w:eastAsia="宋体" w:cs="宋体"/>
          <w:color w:val="auto"/>
          <w:szCs w:val="28"/>
          <w:lang w:eastAsia="zh-CN"/>
        </w:rPr>
      </w:pPr>
      <w:bookmarkStart w:id="29" w:name="_Toc11897"/>
      <w:bookmarkStart w:id="30" w:name="_Toc354416284"/>
      <w:bookmarkStart w:id="31" w:name="_Toc7051"/>
      <w:r>
        <w:rPr>
          <w:rFonts w:hint="eastAsia" w:ascii="宋体" w:hAnsi="宋体" w:eastAsia="宋体" w:cs="宋体"/>
          <w:color w:val="auto"/>
          <w:szCs w:val="28"/>
          <w:lang w:val="en-US" w:eastAsia="zh-CN"/>
        </w:rPr>
        <w:t>1</w:t>
      </w:r>
      <w:r>
        <w:rPr>
          <w:rFonts w:hint="eastAsia" w:ascii="宋体" w:hAnsi="宋体" w:eastAsia="宋体" w:cs="宋体"/>
          <w:color w:val="auto"/>
          <w:szCs w:val="28"/>
        </w:rPr>
        <w:t>.1 经营物料危险有害因素分析</w:t>
      </w:r>
      <w:bookmarkEnd w:id="29"/>
      <w:bookmarkEnd w:id="30"/>
      <w:bookmarkEnd w:id="31"/>
      <w:r>
        <w:rPr>
          <w:rFonts w:hint="eastAsia" w:ascii="宋体" w:hAnsi="宋体" w:cs="宋体"/>
          <w:color w:val="auto"/>
          <w:szCs w:val="28"/>
          <w:lang w:eastAsia="zh-CN"/>
        </w:rPr>
        <w:tab/>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加油站主要从事汽油（92#</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95#</w:t>
      </w:r>
      <w:r>
        <w:rPr>
          <w:rFonts w:hint="eastAsia" w:ascii="宋体" w:hAnsi="宋体" w:eastAsia="宋体" w:cs="宋体"/>
          <w:color w:val="auto"/>
          <w:sz w:val="28"/>
          <w:szCs w:val="28"/>
        </w:rPr>
        <w:t>）和柴油（0#）零售业务。主要危险化学品是汽油和柴油（国六0号，闭杯闪点60℃）。依据国六0号柴油标准，其闭杯闪点≥60℃，属于丙类可燃液体；按照《危险化学品目录（2015年版）》的规定，闭杯闪点≤60℃的柴油属于危险化学品，闪点＞60℃的柴油不属于危险化学品；故本报告对汽油和柴油进行物质危险有害因素辨识。</w:t>
      </w: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表1-1 物质危害特性及控制指标表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66"/>
        <w:gridCol w:w="1134"/>
        <w:gridCol w:w="1417"/>
        <w:gridCol w:w="2400"/>
        <w:gridCol w:w="135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2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序号</w:t>
            </w:r>
          </w:p>
        </w:tc>
        <w:tc>
          <w:tcPr>
            <w:tcW w:w="866"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名称</w:t>
            </w:r>
          </w:p>
        </w:tc>
        <w:tc>
          <w:tcPr>
            <w:tcW w:w="1134"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闪点℃</w:t>
            </w:r>
          </w:p>
        </w:tc>
        <w:tc>
          <w:tcPr>
            <w:tcW w:w="141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爆炸极限V%</w:t>
            </w:r>
          </w:p>
        </w:tc>
        <w:tc>
          <w:tcPr>
            <w:tcW w:w="240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备注</w:t>
            </w:r>
          </w:p>
        </w:tc>
        <w:tc>
          <w:tcPr>
            <w:tcW w:w="135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CAS号</w:t>
            </w:r>
          </w:p>
        </w:tc>
        <w:tc>
          <w:tcPr>
            <w:tcW w:w="135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危规序号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柴油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hint="eastAsia" w:ascii="宋体" w:hAnsi="宋体"/>
                <w:color w:val="auto"/>
                <w:sz w:val="18"/>
                <w:szCs w:val="18"/>
              </w:rPr>
              <w:t>≤60</w:t>
            </w:r>
            <w:r>
              <w:rPr>
                <w:rFonts w:ascii="宋体" w:hAnsi="宋体"/>
                <w:color w:val="auto"/>
                <w:sz w:val="18"/>
                <w:szCs w:val="18"/>
              </w:rPr>
              <w:t>℃</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无资料</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根据《石油化工企业设计防火</w:t>
            </w:r>
            <w:r>
              <w:rPr>
                <w:rFonts w:hint="eastAsia" w:ascii="宋体" w:hAnsi="宋体"/>
                <w:color w:val="auto"/>
                <w:sz w:val="18"/>
                <w:szCs w:val="18"/>
              </w:rPr>
              <w:t>标准</w:t>
            </w:r>
            <w:r>
              <w:rPr>
                <w:rFonts w:ascii="宋体" w:hAnsi="宋体"/>
                <w:color w:val="auto"/>
                <w:sz w:val="18"/>
                <w:szCs w:val="18"/>
              </w:rPr>
              <w:t>》（</w:t>
            </w:r>
            <w:r>
              <w:rPr>
                <w:rFonts w:hint="eastAsia" w:ascii="宋体" w:hAnsi="宋体"/>
                <w:color w:val="auto"/>
                <w:sz w:val="18"/>
                <w:szCs w:val="18"/>
                <w:lang w:eastAsia="zh-CN"/>
              </w:rPr>
              <w:t>GB 50160-2008[2018年版]</w:t>
            </w:r>
            <w:r>
              <w:rPr>
                <w:rFonts w:ascii="宋体" w:hAnsi="宋体"/>
                <w:color w:val="auto"/>
                <w:sz w:val="18"/>
                <w:szCs w:val="18"/>
              </w:rPr>
              <w:t>）3.0.2，柴油火灾危险性划分为乙B类</w:t>
            </w:r>
          </w:p>
        </w:tc>
        <w:tc>
          <w:tcPr>
            <w:tcW w:w="1357" w:type="dxa"/>
            <w:noWrap w:val="0"/>
            <w:vAlign w:val="center"/>
          </w:tcPr>
          <w:p>
            <w:pPr>
              <w:adjustRightInd w:val="0"/>
              <w:snapToGrid w:val="0"/>
              <w:spacing w:before="156" w:beforeLines="50" w:after="156" w:afterLines="50" w:line="360" w:lineRule="auto"/>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2</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汽油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&lt;-50℃</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1.3～6</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火灾危险性甲类</w:t>
            </w:r>
          </w:p>
        </w:tc>
        <w:tc>
          <w:tcPr>
            <w:tcW w:w="135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86290-81-5</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1630</w:t>
            </w:r>
          </w:p>
        </w:tc>
      </w:tr>
    </w:tbl>
    <w:p>
      <w:pPr>
        <w:pStyle w:val="48"/>
        <w:rPr>
          <w:rFonts w:hint="eastAsia"/>
          <w:lang w:val="en-US" w:eastAsia="zh-CN"/>
        </w:rPr>
      </w:pP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表1-2 危险物质危险、有害因素辨识、分析结果表</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10"/>
        <w:gridCol w:w="1566"/>
        <w:gridCol w:w="935"/>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4"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物质</w:t>
            </w:r>
          </w:p>
        </w:tc>
        <w:tc>
          <w:tcPr>
            <w:tcW w:w="436" w:type="pc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序号</w:t>
            </w:r>
          </w:p>
        </w:tc>
        <w:tc>
          <w:tcPr>
            <w:tcW w:w="843" w:type="pct"/>
            <w:noWrap w:val="0"/>
            <w:vAlign w:val="center"/>
          </w:tcPr>
          <w:p>
            <w:pPr>
              <w:spacing w:line="240" w:lineRule="exact"/>
              <w:jc w:val="center"/>
              <w:rPr>
                <w:rFonts w:ascii="宋体" w:hAnsi="宋体"/>
                <w:color w:val="auto"/>
                <w:szCs w:val="21"/>
              </w:rPr>
            </w:pPr>
            <w:r>
              <w:rPr>
                <w:rFonts w:ascii="宋体" w:hAnsi="宋体"/>
                <w:color w:val="auto"/>
                <w:szCs w:val="21"/>
              </w:rPr>
              <w:t>CAS号</w:t>
            </w:r>
          </w:p>
        </w:tc>
        <w:tc>
          <w:tcPr>
            <w:tcW w:w="503"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类别</w:t>
            </w:r>
          </w:p>
        </w:tc>
        <w:tc>
          <w:tcPr>
            <w:tcW w:w="2651" w:type="pct"/>
            <w:noWrap w:val="0"/>
            <w:vAlign w:val="center"/>
          </w:tcPr>
          <w:p>
            <w:pPr>
              <w:spacing w:line="240" w:lineRule="exact"/>
              <w:jc w:val="center"/>
              <w:rPr>
                <w:rFonts w:ascii="宋体" w:hAnsi="宋体"/>
                <w:color w:val="auto"/>
                <w:szCs w:val="21"/>
              </w:rPr>
            </w:pPr>
            <w:r>
              <w:rPr>
                <w:rFonts w:ascii="宋体" w:hAnsi="宋体"/>
                <w:color w:val="auto"/>
                <w:szCs w:val="21"/>
              </w:rPr>
              <w:t>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汽油</w:t>
            </w:r>
          </w:p>
        </w:tc>
        <w:tc>
          <w:tcPr>
            <w:tcW w:w="436" w:type="pct"/>
            <w:noWrap w:val="0"/>
            <w:vAlign w:val="center"/>
          </w:tcPr>
          <w:p>
            <w:pPr>
              <w:jc w:val="center"/>
              <w:rPr>
                <w:rFonts w:hint="eastAsia" w:ascii="宋体" w:hAnsi="宋体"/>
                <w:color w:val="auto"/>
              </w:rPr>
            </w:pPr>
            <w:r>
              <w:rPr>
                <w:rFonts w:hint="eastAsia" w:ascii="宋体" w:hAnsi="宋体"/>
                <w:color w:val="auto"/>
              </w:rPr>
              <w:t>1630</w:t>
            </w:r>
          </w:p>
        </w:tc>
        <w:tc>
          <w:tcPr>
            <w:tcW w:w="843" w:type="pct"/>
            <w:noWrap w:val="0"/>
            <w:vAlign w:val="center"/>
          </w:tcPr>
          <w:p>
            <w:pPr>
              <w:pStyle w:val="102"/>
              <w:spacing w:before="0" w:after="0"/>
              <w:rPr>
                <w:rFonts w:ascii="宋体" w:hAnsi="宋体"/>
                <w:color w:val="auto"/>
                <w:szCs w:val="24"/>
              </w:rPr>
            </w:pPr>
            <w:r>
              <w:rPr>
                <w:rFonts w:ascii="宋体" w:hAnsi="宋体"/>
                <w:color w:val="auto"/>
                <w:szCs w:val="24"/>
              </w:rPr>
              <w:t>86290-81-5</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ascii="宋体" w:hAnsi="宋体"/>
                <w:color w:val="auto"/>
              </w:rPr>
            </w:pP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柴油</w:t>
            </w:r>
          </w:p>
        </w:tc>
        <w:tc>
          <w:tcPr>
            <w:tcW w:w="436" w:type="pct"/>
            <w:noWrap w:val="0"/>
            <w:vAlign w:val="center"/>
          </w:tcPr>
          <w:p>
            <w:pPr>
              <w:jc w:val="center"/>
              <w:rPr>
                <w:rFonts w:hint="eastAsia" w:ascii="宋体" w:hAnsi="宋体"/>
                <w:color w:val="auto"/>
              </w:rPr>
            </w:pPr>
            <w:r>
              <w:rPr>
                <w:rFonts w:hint="eastAsia" w:ascii="宋体" w:hAnsi="宋体"/>
                <w:color w:val="auto"/>
              </w:rPr>
              <w:t>1674</w:t>
            </w:r>
          </w:p>
        </w:tc>
        <w:tc>
          <w:tcPr>
            <w:tcW w:w="843" w:type="pct"/>
            <w:noWrap w:val="0"/>
            <w:vAlign w:val="center"/>
          </w:tcPr>
          <w:p>
            <w:pPr>
              <w:jc w:val="center"/>
              <w:rPr>
                <w:rFonts w:hint="eastAsia" w:ascii="宋体" w:hAnsi="宋体"/>
                <w:color w:val="auto"/>
              </w:rPr>
            </w:pPr>
            <w:r>
              <w:rPr>
                <w:rFonts w:hint="eastAsia" w:ascii="宋体" w:hAnsi="宋体"/>
                <w:color w:val="auto"/>
              </w:rPr>
              <w:t>无</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hint="eastAsia" w:ascii="宋体" w:hAnsi="宋体"/>
                <w:color w:val="auto"/>
                <w:szCs w:val="21"/>
              </w:rPr>
            </w:pPr>
            <w:r>
              <w:rPr>
                <w:rFonts w:hint="eastAsia" w:ascii="宋体" w:hAnsi="宋体"/>
                <w:color w:val="auto"/>
                <w:szCs w:val="21"/>
              </w:rPr>
              <w:t>遇明火、高热或与氧化剂接触，有引起燃烧爆炸的危险。若遇高热，容器内压增大，有开裂和爆炸的危险。</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w:t>
      </w:r>
      <w:bookmarkStart w:id="32" w:name="_Toc17119"/>
      <w:bookmarkStart w:id="33" w:name="_Toc7251"/>
      <w:bookmarkStart w:id="34" w:name="_Toc449348746"/>
      <w:bookmarkStart w:id="35" w:name="_Toc354416285"/>
      <w:r>
        <w:rPr>
          <w:rFonts w:hint="eastAsia" w:ascii="Times New Roman" w:hAnsi="Times New Roman" w:eastAsia="黑体"/>
          <w:b/>
          <w:color w:val="auto"/>
          <w:sz w:val="24"/>
          <w:lang w:val="en-US" w:eastAsia="zh-CN"/>
        </w:rPr>
        <w:t>1-3汽油安全数据表</w:t>
      </w:r>
    </w:p>
    <w:tbl>
      <w:tblPr>
        <w:tblStyle w:val="5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38"/>
        <w:gridCol w:w="240"/>
        <w:gridCol w:w="386"/>
        <w:gridCol w:w="204"/>
        <w:gridCol w:w="791"/>
        <w:gridCol w:w="314"/>
        <w:gridCol w:w="618"/>
        <w:gridCol w:w="1214"/>
        <w:gridCol w:w="536"/>
        <w:gridCol w:w="314"/>
        <w:gridCol w:w="593"/>
        <w:gridCol w:w="785"/>
        <w:gridCol w:w="221"/>
        <w:gridCol w:w="423"/>
        <w:gridCol w:w="533"/>
        <w:gridCol w:w="613"/>
        <w:gridCol w:w="244"/>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334" w:type="pct"/>
            <w:gridSpan w:val="2"/>
            <w:noWrap w:val="0"/>
            <w:vAlign w:val="center"/>
          </w:tcPr>
          <w:p>
            <w:pPr>
              <w:pStyle w:val="27"/>
              <w:rPr>
                <w:rFonts w:ascii="宋体" w:hAnsi="宋体"/>
                <w:color w:val="auto"/>
                <w:sz w:val="21"/>
                <w:szCs w:val="21"/>
              </w:rPr>
            </w:pPr>
            <w:r>
              <w:rPr>
                <w:rFonts w:hint="eastAsia" w:ascii="宋体" w:hAnsi="宋体"/>
                <w:color w:val="auto"/>
                <w:sz w:val="21"/>
                <w:szCs w:val="21"/>
              </w:rPr>
              <w:t>CAS:</w:t>
            </w:r>
          </w:p>
        </w:tc>
        <w:tc>
          <w:tcPr>
            <w:tcW w:w="2142" w:type="pct"/>
            <w:gridSpan w:val="7"/>
            <w:noWrap w:val="0"/>
            <w:vAlign w:val="center"/>
          </w:tcPr>
          <w:p>
            <w:pPr>
              <w:pStyle w:val="27"/>
              <w:rPr>
                <w:rFonts w:hint="eastAsia" w:ascii="宋体" w:hAnsi="宋体"/>
                <w:color w:val="auto"/>
                <w:sz w:val="21"/>
                <w:szCs w:val="21"/>
              </w:rPr>
            </w:pPr>
            <w:r>
              <w:rPr>
                <w:rFonts w:ascii="宋体" w:hAnsi="宋体"/>
                <w:color w:val="auto"/>
                <w:sz w:val="21"/>
                <w:szCs w:val="21"/>
              </w:rPr>
              <w:t>86290-81-5</w:t>
            </w:r>
          </w:p>
        </w:tc>
        <w:tc>
          <w:tcPr>
            <w:tcW w:w="513" w:type="pct"/>
            <w:gridSpan w:val="2"/>
            <w:noWrap w:val="0"/>
            <w:vAlign w:val="center"/>
          </w:tcPr>
          <w:p>
            <w:pPr>
              <w:pStyle w:val="27"/>
              <w:rPr>
                <w:rFonts w:hint="eastAsia" w:ascii="宋体" w:hAnsi="宋体"/>
                <w:color w:val="auto"/>
                <w:sz w:val="21"/>
                <w:szCs w:val="21"/>
              </w:rPr>
            </w:pPr>
            <w:r>
              <w:rPr>
                <w:rFonts w:hint="eastAsia" w:ascii="宋体" w:hAnsi="宋体"/>
                <w:color w:val="auto"/>
                <w:sz w:val="21"/>
                <w:szCs w:val="21"/>
              </w:rPr>
              <w:t>序号</w:t>
            </w:r>
          </w:p>
        </w:tc>
        <w:tc>
          <w:tcPr>
            <w:tcW w:w="2009" w:type="pct"/>
            <w:gridSpan w:val="7"/>
            <w:noWrap w:val="0"/>
            <w:vAlign w:val="center"/>
          </w:tcPr>
          <w:p>
            <w:pPr>
              <w:ind w:left="32"/>
              <w:rPr>
                <w:rFonts w:hint="eastAsia" w:ascii="宋体" w:hAnsi="宋体"/>
                <w:color w:val="auto"/>
                <w:szCs w:val="21"/>
              </w:rPr>
            </w:pPr>
            <w:r>
              <w:rPr>
                <w:rFonts w:hint="eastAsia" w:ascii="宋体" w:hAnsi="宋体"/>
                <w:color w:val="auto"/>
                <w:szCs w:val="21"/>
              </w:rPr>
              <w:t>31001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汽油</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2"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无色或淡黄色易挥发液体，具有特殊的气味。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Gasoline</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32"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hint="eastAsia" w:ascii="宋体" w:hAnsi="宋体"/>
                <w:color w:val="auto"/>
                <w:szCs w:val="21"/>
                <w:vertAlign w:val="subscript"/>
              </w:rPr>
              <w:t>5</w:t>
            </w:r>
            <w:r>
              <w:rPr>
                <w:rFonts w:ascii="宋体" w:hAnsi="宋体"/>
                <w:color w:val="auto"/>
                <w:szCs w:val="21"/>
              </w:rPr>
              <w:t>H</w:t>
            </w:r>
            <w:r>
              <w:rPr>
                <w:rFonts w:ascii="宋体" w:hAnsi="宋体"/>
                <w:color w:val="auto"/>
                <w:szCs w:val="21"/>
                <w:vertAlign w:val="subscript"/>
              </w:rPr>
              <w:t>12</w:t>
            </w:r>
            <w:r>
              <w:rPr>
                <w:rFonts w:ascii="宋体" w:hAnsi="宋体"/>
                <w:color w:val="auto"/>
                <w:szCs w:val="21"/>
              </w:rPr>
              <w:t>~C</w:t>
            </w:r>
            <w:r>
              <w:rPr>
                <w:rFonts w:ascii="宋体" w:hAnsi="宋体"/>
                <w:color w:val="auto"/>
                <w:szCs w:val="21"/>
                <w:vertAlign w:val="subscript"/>
              </w:rPr>
              <w:t>12</w:t>
            </w:r>
            <w:r>
              <w:rPr>
                <w:rFonts w:ascii="宋体" w:hAnsi="宋体"/>
                <w:color w:val="auto"/>
                <w:szCs w:val="21"/>
              </w:rPr>
              <w:t>H</w:t>
            </w:r>
            <w:r>
              <w:rPr>
                <w:rFonts w:ascii="宋体" w:hAnsi="宋体"/>
                <w:color w:val="auto"/>
                <w:szCs w:val="21"/>
                <w:vertAlign w:val="subscript"/>
              </w:rPr>
              <w:t>26</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&lt;</w:t>
            </w:r>
            <w:r>
              <w:rPr>
                <w:rFonts w:ascii="宋体" w:hAnsi="宋体"/>
                <w:color w:val="auto"/>
                <w:szCs w:val="21"/>
              </w:rPr>
              <w:t>-60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CellMar>
            <w:top w:w="0" w:type="dxa"/>
            <w:left w:w="28" w:type="dxa"/>
            <w:bottom w:w="0" w:type="dxa"/>
            <w:right w:w="28" w:type="dxa"/>
          </w:tblCellMar>
        </w:tblPrEx>
        <w:trPr>
          <w:cantSplit/>
          <w:trHeight w:val="258"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-50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 xml:space="preserve">爆炸极限: </w:t>
            </w:r>
            <w:r>
              <w:rPr>
                <w:rFonts w:ascii="宋体" w:hAnsi="宋体"/>
                <w:color w:val="auto"/>
                <w:szCs w:val="21"/>
              </w:rPr>
              <w:t>1.3~6</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40~200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8" w:type="pct"/>
            <w:gridSpan w:val="2"/>
            <w:noWrap w:val="0"/>
            <w:vAlign w:val="center"/>
          </w:tcPr>
          <w:p>
            <w:pPr>
              <w:rPr>
                <w:rFonts w:hint="eastAsia" w:ascii="宋体" w:hAnsi="宋体"/>
                <w:color w:val="auto"/>
                <w:szCs w:val="21"/>
              </w:rPr>
            </w:pPr>
            <w:r>
              <w:rPr>
                <w:rFonts w:hint="eastAsia" w:ascii="宋体" w:hAnsi="宋体"/>
                <w:color w:val="auto"/>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415-530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火灾危险类别: 甲</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80"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8" w:type="pct"/>
            <w:gridSpan w:val="2"/>
            <w:noWrap w:val="0"/>
            <w:vAlign w:val="center"/>
          </w:tcPr>
          <w:p>
            <w:pPr>
              <w:rPr>
                <w:rFonts w:hint="eastAsia" w:ascii="宋体" w:hAnsi="宋体"/>
                <w:color w:val="auto"/>
                <w:szCs w:val="21"/>
              </w:rPr>
            </w:pPr>
            <w:r>
              <w:rPr>
                <w:rFonts w:ascii="宋体" w:hAnsi="宋体"/>
                <w:color w:val="auto"/>
                <w:szCs w:val="21"/>
              </w:rPr>
              <w:t>0.70~0.7</w:t>
            </w:r>
            <w:r>
              <w:rPr>
                <w:rFonts w:hint="eastAsia" w:ascii="宋体" w:hAnsi="宋体"/>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4"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8" w:type="pct"/>
            <w:gridSpan w:val="2"/>
            <w:noWrap w:val="0"/>
            <w:vAlign w:val="center"/>
          </w:tcPr>
          <w:p>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ROMAN</w:instrText>
            </w:r>
            <w:r>
              <w:rPr>
                <w:rFonts w:ascii="宋体" w:hAnsi="宋体"/>
                <w:color w:val="auto"/>
                <w:szCs w:val="21"/>
              </w:rPr>
              <w:instrText xml:space="preserve"> </w:instrText>
            </w:r>
            <w:r>
              <w:rPr>
                <w:rFonts w:ascii="宋体" w:hAnsi="宋体"/>
                <w:color w:val="auto"/>
                <w:szCs w:val="21"/>
              </w:rPr>
              <w:fldChar w:fldCharType="separate"/>
            </w:r>
            <w:r>
              <w:rPr>
                <w:rFonts w:ascii="宋体" w:hAnsi="宋体"/>
                <w:color w:val="auto"/>
                <w:szCs w:val="21"/>
              </w:rPr>
              <w:t>IV</w:t>
            </w:r>
            <w:r>
              <w:rPr>
                <w:rFonts w:ascii="宋体" w:hAnsi="宋体"/>
                <w:color w:val="auto"/>
                <w:szCs w:val="21"/>
              </w:rPr>
              <w:fldChar w:fldCharType="end"/>
            </w:r>
            <w:r>
              <w:rPr>
                <w:rFonts w:hint="eastAsia" w:ascii="宋体" w:hAnsi="宋体"/>
                <w:color w:val="auto"/>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eastAsia="宋体"/>
                <w:color w:val="auto"/>
                <w:szCs w:val="21"/>
                <w:lang w:eastAsia="zh-CN"/>
              </w:rPr>
            </w:pPr>
            <w:r>
              <w:rPr>
                <w:rFonts w:hint="eastAsia" w:ascii="宋体" w:hAnsi="宋体"/>
                <w:color w:val="auto"/>
                <w:szCs w:val="21"/>
              </w:rPr>
              <w:t>毒性资料:</w:t>
            </w:r>
            <w:r>
              <w:rPr>
                <w:rFonts w:ascii="宋体" w:hAnsi="宋体"/>
                <w:color w:val="auto"/>
                <w:szCs w:val="21"/>
              </w:rPr>
              <w:t xml:space="preserve"> 毒性：属低毒类。</w:t>
            </w:r>
          </w:p>
          <w:p>
            <w:pPr>
              <w:rPr>
                <w:rFonts w:hint="eastAsia" w:ascii="宋体" w:hAnsi="宋体" w:eastAsia="宋体"/>
                <w:color w:val="auto"/>
                <w:szCs w:val="21"/>
                <w:lang w:eastAsia="zh-CN"/>
              </w:rPr>
            </w:pPr>
            <w:r>
              <w:rPr>
                <w:rFonts w:ascii="宋体" w:hAnsi="宋体"/>
                <w:color w:val="auto"/>
                <w:szCs w:val="21"/>
              </w:rPr>
              <w:t>  急性毒性：LD</w:t>
            </w:r>
            <w:r>
              <w:rPr>
                <w:rFonts w:ascii="宋体" w:hAnsi="宋体"/>
                <w:color w:val="auto"/>
                <w:szCs w:val="21"/>
                <w:vertAlign w:val="subscript"/>
              </w:rPr>
              <w:t>50</w:t>
            </w:r>
            <w:r>
              <w:rPr>
                <w:rFonts w:ascii="宋体" w:hAnsi="宋体"/>
                <w:color w:val="auto"/>
                <w:szCs w:val="21"/>
              </w:rPr>
              <w:t>67000mg/kg(小鼠经口)；LC</w:t>
            </w:r>
            <w:r>
              <w:rPr>
                <w:rFonts w:ascii="宋体" w:hAnsi="宋体"/>
                <w:color w:val="auto"/>
                <w:szCs w:val="21"/>
                <w:vertAlign w:val="subscript"/>
              </w:rPr>
              <w:t>50</w:t>
            </w:r>
            <w:r>
              <w:rPr>
                <w:rFonts w:ascii="宋体" w:hAnsi="宋体"/>
                <w:color w:val="auto"/>
                <w:szCs w:val="21"/>
              </w:rPr>
              <w:t>103000mg/m</w:t>
            </w:r>
            <w:r>
              <w:rPr>
                <w:rFonts w:ascii="宋体" w:hAnsi="宋体"/>
                <w:color w:val="auto"/>
                <w:szCs w:val="21"/>
                <w:vertAlign w:val="superscript"/>
              </w:rPr>
              <w:t>3</w:t>
            </w:r>
            <w:r>
              <w:rPr>
                <w:rFonts w:ascii="宋体" w:hAnsi="宋体"/>
                <w:color w:val="auto"/>
                <w:szCs w:val="21"/>
              </w:rPr>
              <w:t>，2小时(小鼠吸入)</w:t>
            </w:r>
          </w:p>
          <w:p>
            <w:pPr>
              <w:rPr>
                <w:rFonts w:ascii="宋体" w:hAnsi="宋体"/>
                <w:color w:val="auto"/>
                <w:szCs w:val="21"/>
              </w:rPr>
            </w:pPr>
            <w:r>
              <w:rPr>
                <w:rFonts w:ascii="宋体" w:hAnsi="宋体"/>
                <w:color w:val="auto"/>
                <w:szCs w:val="21"/>
              </w:rPr>
              <w:t>  刺激性：人经眼：140ppm(8小时)，轻度刺激。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二氧化碳和水</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1307" w:type="pct"/>
            <w:gridSpan w:val="6"/>
            <w:noWrap w:val="0"/>
            <w:vAlign w:val="center"/>
          </w:tcPr>
          <w:p>
            <w:pPr>
              <w:rPr>
                <w:rFonts w:ascii="宋体" w:hAnsi="宋体"/>
                <w:color w:val="auto"/>
                <w:szCs w:val="21"/>
              </w:rPr>
            </w:pPr>
            <w:r>
              <w:rPr>
                <w:rFonts w:hint="eastAsia" w:ascii="宋体" w:hAnsi="宋体"/>
                <w:color w:val="auto"/>
                <w:szCs w:val="21"/>
              </w:rPr>
              <w:t>稳定性: 稳定</w:t>
            </w:r>
          </w:p>
        </w:tc>
        <w:tc>
          <w:tcPr>
            <w:tcW w:w="974" w:type="pct"/>
            <w:gridSpan w:val="2"/>
            <w:noWrap w:val="0"/>
            <w:vAlign w:val="center"/>
          </w:tcPr>
          <w:p>
            <w:pPr>
              <w:rPr>
                <w:rFonts w:ascii="宋体" w:hAnsi="宋体"/>
                <w:color w:val="auto"/>
                <w:szCs w:val="21"/>
              </w:rPr>
            </w:pPr>
            <w:r>
              <w:rPr>
                <w:rFonts w:hint="eastAsia" w:ascii="宋体" w:hAnsi="宋体"/>
                <w:color w:val="auto"/>
                <w:szCs w:val="21"/>
              </w:rPr>
              <w:t>聚合危害: /</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禁止混入</w:t>
            </w:r>
            <w:r>
              <w:rPr>
                <w:rFonts w:hint="eastAsia" w:ascii="宋体" w:hAnsi="宋体"/>
                <w:color w:val="auto"/>
                <w:szCs w:val="21"/>
                <w:lang w:eastAsia="zh-CN"/>
              </w:rPr>
              <w:t>其他</w:t>
            </w:r>
            <w:r>
              <w:rPr>
                <w:rFonts w:hint="eastAsia" w:ascii="宋体" w:hAnsi="宋体"/>
                <w:color w:val="auto"/>
                <w:szCs w:val="21"/>
              </w:rPr>
              <w:t>类别的油品</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300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450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16"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80" w:type="pct"/>
            <w:vMerge w:val="continue"/>
            <w:noWrap w:val="0"/>
            <w:vAlign w:val="center"/>
          </w:tcPr>
          <w:p>
            <w:pPr>
              <w:rPr>
                <w:rFonts w:ascii="宋体" w:hAnsi="宋体"/>
                <w:color w:val="auto"/>
                <w:szCs w:val="21"/>
              </w:rPr>
            </w:pPr>
          </w:p>
        </w:tc>
        <w:tc>
          <w:tcPr>
            <w:tcW w:w="2342"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急性中毒：对中枢神经系统有麻醉作用。轻度中毒症状有头晕、头痛、呕吐、步态不稳、共济失调。高浓度吸入出现中毒性脑病。极高浓度吸入引起意识突然丧失、反射性呼吸停止。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9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pacing w:val="-8"/>
                <w:szCs w:val="21"/>
              </w:rPr>
            </w:pPr>
            <w:r>
              <w:rPr>
                <w:rFonts w:hint="eastAsia" w:ascii="宋体" w:hAnsi="宋体"/>
                <w:color w:val="auto"/>
                <w:spacing w:val="-8"/>
                <w:szCs w:val="21"/>
              </w:rPr>
              <w:t xml:space="preserve">食入: </w:t>
            </w:r>
            <w:r>
              <w:rPr>
                <w:rFonts w:ascii="宋体" w:hAnsi="宋体"/>
                <w:color w:val="auto"/>
                <w:spacing w:val="-8"/>
                <w:szCs w:val="21"/>
              </w:rPr>
              <w:t>给饮牛奶或用植物油洗胃和灌肠。就医。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75"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pacing w:val="-6"/>
                <w:szCs w:val="21"/>
              </w:rPr>
            </w:pPr>
            <w:r>
              <w:rPr>
                <w:rFonts w:hint="eastAsia" w:ascii="宋体" w:hAnsi="宋体"/>
                <w:color w:val="auto"/>
                <w:spacing w:val="-6"/>
                <w:szCs w:val="21"/>
              </w:rPr>
              <w:t>呼吸系统防护:</w:t>
            </w:r>
            <w:r>
              <w:rPr>
                <w:rFonts w:ascii="宋体" w:hAnsi="宋体"/>
                <w:color w:val="auto"/>
                <w:spacing w:val="-6"/>
                <w:szCs w:val="21"/>
              </w:rPr>
              <w:t xml:space="preserve"> 一般不需要特殊防护，高浓度接触时可佩戴自吸过滤式防毒面具(半面罩)。</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2"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储存时应防止泄漏，加强通风；防止摩擦和碰撞、电气火花、雷电、静电等。防止外来火源。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hint="eastAsia" w:ascii="宋体" w:hAnsi="宋体"/>
                <w:color w:val="auto"/>
                <w:szCs w:val="21"/>
              </w:rPr>
            </w:pPr>
            <w:r>
              <w:rPr>
                <w:rFonts w:ascii="宋体" w:hAnsi="宋体"/>
                <w:color w:val="auto"/>
                <w:szCs w:val="21"/>
              </w:rPr>
              <w:t>手防护：戴防苯耐油手套。</w:t>
            </w:r>
          </w:p>
        </w:tc>
        <w:tc>
          <w:tcPr>
            <w:tcW w:w="180" w:type="pct"/>
            <w:vMerge w:val="continue"/>
            <w:noWrap w:val="0"/>
            <w:vAlign w:val="center"/>
          </w:tcPr>
          <w:p>
            <w:pPr>
              <w:jc w:val="center"/>
              <w:rPr>
                <w:rFonts w:hint="eastAsia" w:ascii="宋体" w:hAnsi="宋体"/>
                <w:color w:val="auto"/>
                <w:szCs w:val="21"/>
              </w:rPr>
            </w:pPr>
          </w:p>
        </w:tc>
        <w:tc>
          <w:tcPr>
            <w:tcW w:w="2342"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2" w:type="pct"/>
            <w:gridSpan w:val="8"/>
            <w:noWrap w:val="0"/>
            <w:vAlign w:val="top"/>
          </w:tcPr>
          <w:p>
            <w:pPr>
              <w:rPr>
                <w:rFonts w:hint="eastAsia" w:ascii="宋体" w:hAnsi="宋体"/>
                <w:color w:val="auto"/>
                <w:spacing w:val="-6"/>
                <w:szCs w:val="21"/>
              </w:rPr>
            </w:pPr>
            <w:r>
              <w:rPr>
                <w:rFonts w:hint="eastAsia" w:ascii="宋体" w:hAnsi="宋体"/>
                <w:color w:val="auto"/>
                <w:spacing w:val="-6"/>
                <w:szCs w:val="21"/>
              </w:rPr>
              <w:t>运输时须贴“易燃液体”标签，防止静电产生。</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表1-4 柴油安全数据表</w:t>
      </w:r>
    </w:p>
    <w:tbl>
      <w:tblPr>
        <w:tblStyle w:val="5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54"/>
        <w:gridCol w:w="657"/>
        <w:gridCol w:w="219"/>
        <w:gridCol w:w="548"/>
        <w:gridCol w:w="327"/>
        <w:gridCol w:w="341"/>
        <w:gridCol w:w="1523"/>
        <w:gridCol w:w="551"/>
        <w:gridCol w:w="327"/>
        <w:gridCol w:w="982"/>
        <w:gridCol w:w="425"/>
        <w:gridCol w:w="236"/>
        <w:gridCol w:w="438"/>
        <w:gridCol w:w="548"/>
        <w:gridCol w:w="626"/>
        <w:gridCol w:w="25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Style w:val="27"/>
              <w:rPr>
                <w:rFonts w:hAnsi="宋体"/>
                <w:color w:val="auto"/>
                <w:sz w:val="21"/>
                <w:szCs w:val="21"/>
              </w:rPr>
            </w:pPr>
            <w:r>
              <w:rPr>
                <w:rFonts w:hint="eastAsia" w:hAnsi="宋体"/>
                <w:color w:val="auto"/>
                <w:sz w:val="21"/>
                <w:szCs w:val="21"/>
              </w:rPr>
              <w:t>CAS:</w:t>
            </w:r>
          </w:p>
        </w:tc>
        <w:tc>
          <w:tcPr>
            <w:tcW w:w="1922" w:type="pct"/>
            <w:gridSpan w:val="6"/>
            <w:noWrap w:val="0"/>
            <w:vAlign w:val="center"/>
          </w:tcPr>
          <w:p>
            <w:pPr>
              <w:ind w:left="32"/>
              <w:rPr>
                <w:rFonts w:hint="eastAsia" w:ascii="宋体" w:hAnsi="宋体"/>
                <w:color w:val="auto"/>
                <w:szCs w:val="21"/>
              </w:rPr>
            </w:pPr>
            <w:r>
              <w:rPr>
                <w:rFonts w:hint="eastAsia" w:ascii="宋体" w:hAnsi="宋体"/>
                <w:color w:val="auto"/>
                <w:szCs w:val="21"/>
              </w:rPr>
              <w:t>/</w:t>
            </w:r>
          </w:p>
        </w:tc>
        <w:tc>
          <w:tcPr>
            <w:tcW w:w="717" w:type="pct"/>
            <w:gridSpan w:val="2"/>
            <w:noWrap w:val="0"/>
            <w:vAlign w:val="center"/>
          </w:tcPr>
          <w:p>
            <w:pPr>
              <w:pStyle w:val="27"/>
              <w:rPr>
                <w:rFonts w:hint="eastAsia" w:hAnsi="宋体"/>
                <w:color w:val="auto"/>
                <w:sz w:val="21"/>
                <w:szCs w:val="21"/>
              </w:rPr>
            </w:pPr>
            <w:r>
              <w:rPr>
                <w:rFonts w:hint="eastAsia" w:hAnsi="宋体"/>
                <w:color w:val="auto"/>
                <w:sz w:val="21"/>
                <w:szCs w:val="21"/>
              </w:rPr>
              <w:t>序号</w:t>
            </w:r>
          </w:p>
        </w:tc>
        <w:tc>
          <w:tcPr>
            <w:tcW w:w="1805" w:type="pct"/>
            <w:gridSpan w:val="7"/>
            <w:noWrap w:val="0"/>
            <w:vAlign w:val="center"/>
          </w:tcPr>
          <w:p>
            <w:pPr>
              <w:ind w:left="32"/>
              <w:rPr>
                <w:rFonts w:hint="eastAsia" w:ascii="宋体" w:hAnsi="宋体"/>
                <w:color w:val="auto"/>
                <w:szCs w:val="21"/>
              </w:rPr>
            </w:pPr>
            <w:r>
              <w:rPr>
                <w:rFonts w:hint="eastAsia" w:ascii="宋体" w:hAnsi="宋体"/>
                <w:color w:val="auto"/>
                <w:szCs w:val="21"/>
              </w:rPr>
              <w:t>1674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柴油</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3"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淡黄色碳氢化合物液体。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dieseloil</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ascii="宋体" w:hAnsi="宋体"/>
                <w:color w:val="auto"/>
                <w:szCs w:val="21"/>
                <w:vertAlign w:val="subscript"/>
              </w:rPr>
              <w:t>15</w:t>
            </w:r>
            <w:r>
              <w:rPr>
                <w:rFonts w:ascii="宋体" w:hAnsi="宋体"/>
                <w:color w:val="auto"/>
                <w:szCs w:val="21"/>
              </w:rPr>
              <w:t>-C</w:t>
            </w:r>
            <w:r>
              <w:rPr>
                <w:rFonts w:ascii="宋体" w:hAnsi="宋体"/>
                <w:color w:val="auto"/>
                <w:szCs w:val="21"/>
                <w:vertAlign w:val="subscript"/>
              </w:rPr>
              <w:t>24</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-18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60</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爆炸极限:无资料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282-338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257</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火灾危险类别: 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79"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遇明火、高热或与氧化剂接触，有引起燃烧爆炸的危险。若遇高热，容器内压增大，有开裂和爆炸的危险。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3"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无资料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毒性资料:</w:t>
            </w:r>
            <w:r>
              <w:rPr>
                <w:rFonts w:ascii="宋体" w:hAnsi="宋体"/>
                <w:color w:val="auto"/>
                <w:szCs w:val="21"/>
              </w:rPr>
              <w:t xml:space="preserve"> </w:t>
            </w:r>
            <w:r>
              <w:rPr>
                <w:rFonts w:hint="eastAsia" w:ascii="宋体" w:hAnsi="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二氧化碳和一氧化碳</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1146" w:type="pct"/>
            <w:gridSpan w:val="5"/>
            <w:noWrap w:val="0"/>
            <w:vAlign w:val="center"/>
          </w:tcPr>
          <w:p>
            <w:pPr>
              <w:rPr>
                <w:rFonts w:ascii="宋体" w:hAnsi="宋体"/>
                <w:color w:val="auto"/>
                <w:szCs w:val="21"/>
              </w:rPr>
            </w:pPr>
            <w:r>
              <w:rPr>
                <w:rFonts w:hint="eastAsia" w:ascii="宋体" w:hAnsi="宋体"/>
                <w:color w:val="auto"/>
                <w:szCs w:val="21"/>
              </w:rPr>
              <w:t>稳定性: 稳定</w:t>
            </w:r>
          </w:p>
        </w:tc>
        <w:tc>
          <w:tcPr>
            <w:tcW w:w="1136" w:type="pct"/>
            <w:gridSpan w:val="2"/>
            <w:noWrap w:val="0"/>
            <w:vAlign w:val="center"/>
          </w:tcPr>
          <w:p>
            <w:pPr>
              <w:rPr>
                <w:rFonts w:ascii="宋体" w:hAnsi="宋体"/>
                <w:color w:val="auto"/>
                <w:szCs w:val="21"/>
              </w:rPr>
            </w:pPr>
            <w:r>
              <w:rPr>
                <w:rFonts w:hint="eastAsia" w:ascii="宋体" w:hAnsi="宋体"/>
                <w:color w:val="auto"/>
                <w:szCs w:val="21"/>
              </w:rPr>
              <w:t>聚合危害: 无资料</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强氧化剂、卤素</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79" w:type="pct"/>
            <w:vMerge w:val="continue"/>
            <w:noWrap w:val="0"/>
            <w:vAlign w:val="center"/>
          </w:tcPr>
          <w:p>
            <w:pPr>
              <w:rPr>
                <w:rFonts w:ascii="宋体" w:hAnsi="宋体"/>
                <w:color w:val="auto"/>
                <w:szCs w:val="21"/>
              </w:rPr>
            </w:pPr>
          </w:p>
        </w:tc>
        <w:tc>
          <w:tcPr>
            <w:tcW w:w="2343"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皮肤接触可为主要吸收途径，可致急性肾脏损害。柴油吸入可引起接触性皮炎、油性痤疮。吸入其雾滴或液体呛入可引起吸入性肺炎。能经胎盘进入胎儿体内。柴油废气可引起眼、鼻刺激症状，头晕及头痛。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9"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 xml:space="preserve">食入: </w:t>
            </w:r>
            <w:r>
              <w:rPr>
                <w:rFonts w:ascii="宋体" w:hAnsi="宋体"/>
                <w:color w:val="auto"/>
                <w:szCs w:val="21"/>
              </w:rPr>
              <w:t>给饮牛奶或用植物油洗胃和灌肠。就医。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呼吸系统防护:</w:t>
            </w:r>
            <w:r>
              <w:rPr>
                <w:rFonts w:ascii="宋体" w:hAnsi="宋体"/>
                <w:color w:val="auto"/>
                <w:szCs w:val="21"/>
              </w:rPr>
              <w:t xml:space="preserve"> 一般不需要特殊防护，高浓度接触时可佩戴自吸过滤式防毒面具(半面罩)。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3"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6"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储存时防止泄漏，防止明火源，加强储存区通风。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hint="eastAsia" w:ascii="宋体" w:hAnsi="宋体"/>
                <w:color w:val="auto"/>
                <w:szCs w:val="21"/>
              </w:rPr>
            </w:pPr>
            <w:r>
              <w:rPr>
                <w:rFonts w:ascii="宋体" w:hAnsi="宋体"/>
                <w:color w:val="auto"/>
                <w:szCs w:val="21"/>
              </w:rPr>
              <w:t>手防护：戴防苯耐油手套。</w:t>
            </w:r>
          </w:p>
        </w:tc>
        <w:tc>
          <w:tcPr>
            <w:tcW w:w="179" w:type="pct"/>
            <w:vMerge w:val="continue"/>
            <w:noWrap w:val="0"/>
            <w:vAlign w:val="center"/>
          </w:tcPr>
          <w:p>
            <w:pPr>
              <w:jc w:val="center"/>
              <w:rPr>
                <w:rFonts w:hint="eastAsia" w:ascii="宋体" w:hAnsi="宋体"/>
                <w:color w:val="auto"/>
                <w:szCs w:val="21"/>
              </w:rPr>
            </w:pPr>
          </w:p>
        </w:tc>
        <w:tc>
          <w:tcPr>
            <w:tcW w:w="2343"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3" w:type="pct"/>
            <w:gridSpan w:val="8"/>
            <w:noWrap w:val="0"/>
            <w:vAlign w:val="top"/>
          </w:tcPr>
          <w:p>
            <w:pPr>
              <w:rPr>
                <w:rFonts w:hint="eastAsia" w:ascii="宋体" w:hAnsi="宋体"/>
                <w:color w:val="auto"/>
                <w:szCs w:val="21"/>
              </w:rPr>
            </w:pPr>
            <w:r>
              <w:rPr>
                <w:rFonts w:hint="eastAsia" w:ascii="宋体" w:hAnsi="宋体"/>
                <w:color w:val="auto"/>
                <w:szCs w:val="21"/>
              </w:rPr>
              <w:t>运输时避免泄漏。</w:t>
            </w:r>
          </w:p>
        </w:tc>
      </w:tr>
    </w:tbl>
    <w:p>
      <w:pPr>
        <w:pStyle w:val="5"/>
        <w:rPr>
          <w:rFonts w:hint="eastAsia" w:ascii="宋体" w:hAnsi="宋体" w:eastAsia="宋体" w:cs="宋体"/>
          <w:color w:val="auto"/>
          <w:szCs w:val="28"/>
          <w:lang w:val="en-US" w:eastAsia="zh-CN"/>
        </w:rPr>
      </w:pPr>
      <w:bookmarkStart w:id="36" w:name="_Toc1951"/>
      <w:r>
        <w:rPr>
          <w:rFonts w:hint="eastAsia" w:ascii="宋体" w:hAnsi="宋体" w:eastAsia="宋体" w:cs="宋体"/>
          <w:color w:val="auto"/>
          <w:szCs w:val="28"/>
          <w:lang w:val="en-US" w:eastAsia="zh-CN"/>
        </w:rPr>
        <w:t>1.2站场及周边环境的危险、有害因素分析</w:t>
      </w:r>
      <w:bookmarkEnd w:id="32"/>
      <w:bookmarkEnd w:id="33"/>
      <w:bookmarkEnd w:id="34"/>
      <w:bookmarkEnd w:id="36"/>
    </w:p>
    <w:p>
      <w:pPr>
        <w:pStyle w:val="6"/>
        <w:rPr>
          <w:rFonts w:hint="eastAsia" w:ascii="宋体" w:hAnsi="宋体" w:eastAsia="宋体" w:cs="宋体"/>
          <w:color w:val="auto"/>
          <w:sz w:val="30"/>
          <w:szCs w:val="30"/>
          <w:highlight w:val="none"/>
          <w:lang w:val="en-US" w:eastAsia="zh-CN"/>
        </w:rPr>
      </w:pPr>
      <w:bookmarkStart w:id="37" w:name="_Toc4905"/>
      <w:bookmarkStart w:id="38" w:name="_Toc83757045"/>
      <w:r>
        <w:rPr>
          <w:rFonts w:hint="eastAsia" w:ascii="宋体" w:hAnsi="宋体" w:cs="宋体"/>
          <w:color w:val="auto"/>
          <w:sz w:val="30"/>
          <w:szCs w:val="30"/>
          <w:highlight w:val="none"/>
          <w:lang w:val="en-US" w:eastAsia="zh-CN"/>
        </w:rPr>
        <w:t>1.2.1</w:t>
      </w:r>
      <w:r>
        <w:rPr>
          <w:rFonts w:hint="eastAsia" w:ascii="宋体" w:hAnsi="宋体" w:eastAsia="宋体" w:cs="宋体"/>
          <w:color w:val="auto"/>
          <w:sz w:val="30"/>
          <w:szCs w:val="30"/>
          <w:highlight w:val="none"/>
          <w:lang w:val="en-US" w:eastAsia="zh-CN"/>
        </w:rPr>
        <w:t>站址及周边环境的危险、有害因素辨识</w:t>
      </w:r>
      <w:bookmarkEnd w:id="37"/>
      <w:bookmarkEnd w:id="38"/>
    </w:p>
    <w:p>
      <w:pPr>
        <w:ind w:firstLine="560" w:firstLineChars="200"/>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加油站设置在</w:t>
      </w:r>
      <w:r>
        <w:rPr>
          <w:rFonts w:hint="eastAsia" w:ascii="宋体" w:hAnsi="宋体" w:cs="宋体"/>
          <w:color w:val="000000" w:themeColor="text1"/>
          <w:sz w:val="28"/>
          <w:szCs w:val="28"/>
          <w:lang w:val="en-US" w:eastAsia="zh-CN"/>
        </w:rPr>
        <w:t>靠近公路</w:t>
      </w:r>
      <w:r>
        <w:rPr>
          <w:rFonts w:hint="eastAsia" w:ascii="宋体" w:hAnsi="宋体" w:eastAsia="宋体" w:cs="宋体"/>
          <w:color w:val="000000" w:themeColor="text1"/>
          <w:sz w:val="28"/>
          <w:szCs w:val="28"/>
          <w:lang w:val="en-US" w:eastAsia="zh-CN"/>
        </w:rPr>
        <w:t>一侧，如车辆组织不畅，不加油车辆也大量借用加油站作业区道路行驶，一方面会对加油站内工艺设备、加油车辆及人员等造成车辆伤害等事故；另一方面加油站固有的火灾、爆炸等危险有害因素也可能对外来车辆及人员通行构成威胁。</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址如选择在公共建筑物旁和人口集中区域内，站内的危险会波及到附近的建筑物及人员，同时站外的不安全因素会影响到站内。站内发生火灾爆炸，缺少自备的消防设施，无法进行自控，远离公共消防救护机构，在失去自救能力情况下，得不到及时救援。</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易燃易爆区应与站内外居住区、人员集中场所、主要人流出入口、道路干线和产生明火地点保持安全距离；可能泄漏、散发气体及相对密度大于0.7（空气＝1）的可燃气体和可燃蒸气的装置不宜毗邻生产控制室、变电所布置。</w:t>
      </w:r>
    </w:p>
    <w:p>
      <w:pPr>
        <w:pStyle w:val="6"/>
        <w:rPr>
          <w:rFonts w:hint="eastAsia" w:ascii="宋体" w:hAnsi="宋体" w:cs="宋体"/>
          <w:color w:val="auto"/>
          <w:sz w:val="30"/>
          <w:szCs w:val="30"/>
          <w:lang w:val="en-US" w:eastAsia="zh-CN"/>
        </w:rPr>
      </w:pPr>
      <w:bookmarkStart w:id="39" w:name="_Toc83757046"/>
      <w:bookmarkStart w:id="40" w:name="_Toc1126"/>
      <w:r>
        <w:rPr>
          <w:rFonts w:hint="eastAsia" w:ascii="宋体" w:hAnsi="宋体" w:cs="宋体"/>
          <w:color w:val="auto"/>
          <w:sz w:val="30"/>
          <w:szCs w:val="30"/>
          <w:lang w:val="en-US" w:eastAsia="zh-CN"/>
        </w:rPr>
        <w:t>1.2.2平面布置的危险、有害因素辨识</w:t>
      </w:r>
      <w:bookmarkEnd w:id="39"/>
      <w:bookmarkEnd w:id="40"/>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场内应将作业区、辅助服务区按功能相对集中分别布置，布置时应考虑工艺流程、工艺特点和火灾爆炸危险性，结合周边地形、风向等条件，以减少危险、有害因素的交叉影响。辅助服务区一般应布置在全年或夏季主导风向的上风侧或全年最小风频风向的下风侧。加油站内厕所、变配电室和发电机房应远离防爆区域；厕所内可能存在人员吸烟，变配电室和发电机房内电气设备不防爆，如上述设施设置在防爆区域内，极易引发火灾爆炸事故。</w:t>
      </w:r>
    </w:p>
    <w:p>
      <w:pPr>
        <w:pStyle w:val="6"/>
        <w:rPr>
          <w:rFonts w:hint="eastAsia" w:ascii="宋体" w:hAnsi="宋体" w:cs="宋体"/>
          <w:color w:val="auto"/>
          <w:sz w:val="30"/>
          <w:szCs w:val="30"/>
          <w:lang w:val="en-US" w:eastAsia="zh-CN"/>
        </w:rPr>
      </w:pPr>
      <w:bookmarkStart w:id="41" w:name="_Toc83757047"/>
      <w:bookmarkStart w:id="42" w:name="_Toc11152"/>
      <w:r>
        <w:rPr>
          <w:rFonts w:hint="eastAsia" w:ascii="宋体" w:hAnsi="宋体" w:cs="宋体"/>
          <w:color w:val="auto"/>
          <w:sz w:val="30"/>
          <w:szCs w:val="30"/>
          <w:lang w:val="en-US" w:eastAsia="zh-CN"/>
        </w:rPr>
        <w:t>1.2.3站内道路的危险、有害因素辨识</w:t>
      </w:r>
      <w:bookmarkEnd w:id="41"/>
      <w:bookmarkEnd w:id="42"/>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为保证运输作业安全以及消防救援的顺利进行，站场内的道路布局、宽度、坡度、转弯半径、净空高度、安全界线及安全视线、建筑物与道路间距和装卸布局等应符合标准要求。</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cs="宋体"/>
          <w:color w:val="auto"/>
          <w:sz w:val="28"/>
          <w:szCs w:val="28"/>
          <w:lang w:val="en-US" w:eastAsia="zh-CN"/>
        </w:rPr>
        <w:t>本站</w:t>
      </w:r>
      <w:r>
        <w:rPr>
          <w:rFonts w:hint="eastAsia" w:ascii="宋体" w:hAnsi="宋体" w:eastAsia="宋体" w:cs="宋体"/>
          <w:color w:val="auto"/>
          <w:sz w:val="28"/>
          <w:szCs w:val="28"/>
          <w:lang w:val="en-US" w:eastAsia="zh-CN"/>
        </w:rPr>
        <w:t>新建项目的特点，进出站区的车辆较多，如加油站道路设置不合理，交通组织不畅，极易导致站内车辆拥堵，从而导致车辆伤害事故发生。</w:t>
      </w:r>
    </w:p>
    <w:p>
      <w:pPr>
        <w:pStyle w:val="5"/>
        <w:rPr>
          <w:rFonts w:hint="eastAsia" w:ascii="宋体" w:hAnsi="宋体" w:eastAsia="宋体" w:cs="宋体"/>
          <w:color w:val="auto"/>
          <w:szCs w:val="28"/>
          <w:lang w:val="en-US" w:eastAsia="zh-CN"/>
        </w:rPr>
      </w:pPr>
      <w:bookmarkStart w:id="43" w:name="_Toc32576"/>
      <w:bookmarkStart w:id="44" w:name="_Toc449348747"/>
      <w:bookmarkStart w:id="45" w:name="_Toc26446"/>
      <w:bookmarkStart w:id="46" w:name="_Toc25124"/>
      <w:r>
        <w:rPr>
          <w:rFonts w:hint="eastAsia" w:ascii="宋体" w:hAnsi="宋体" w:eastAsia="宋体" w:cs="宋体"/>
          <w:color w:val="auto"/>
          <w:szCs w:val="28"/>
          <w:lang w:val="en-US" w:eastAsia="zh-CN"/>
        </w:rPr>
        <w:t>1.3 建(构)筑物危险有害因素分析</w:t>
      </w:r>
      <w:bookmarkEnd w:id="43"/>
      <w:bookmarkEnd w:id="44"/>
      <w:bookmarkEnd w:id="45"/>
      <w:bookmarkEnd w:id="46"/>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1-5</w:t>
      </w:r>
      <w:r>
        <w:rPr>
          <w:rFonts w:hint="eastAsia" w:ascii="宋体" w:hAnsi="宋体" w:eastAsia="宋体" w:cs="宋体"/>
          <w:color w:val="auto"/>
        </w:rPr>
        <w:t xml:space="preserve"> 建(构)筑物危险有害因素分析表</w:t>
      </w:r>
    </w:p>
    <w:tbl>
      <w:tblPr>
        <w:tblStyle w:val="5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1089"/>
        <w:gridCol w:w="1172"/>
        <w:gridCol w:w="5182"/>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危险危害</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存在部位/方式</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形成原因</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事故后果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建、构筑物坍塌</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1.站内设施设备、建构筑物等的设计、建设未按照本地区抗震烈度进行设防，遭遇强震时，可能造成建构筑物损坏或坍塌、设施设备破坏，引发人员伤亡事故。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2.站内排水设施不完善或日常维护工作不到位，若遇极端暴雨天气，可能造成站内积水过深，引起坍塌，对站内的设施设备造成破坏。</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3.未按</w:t>
            </w:r>
            <w:r>
              <w:rPr>
                <w:rFonts w:hint="eastAsia" w:ascii="宋体" w:hAnsi="宋体" w:eastAsia="宋体" w:cs="宋体"/>
                <w:color w:val="auto"/>
                <w:sz w:val="21"/>
                <w:szCs w:val="21"/>
                <w:lang w:eastAsia="zh-CN"/>
              </w:rPr>
              <w:t>GB 50156-2021</w:t>
            </w:r>
            <w:r>
              <w:rPr>
                <w:rFonts w:hint="eastAsia" w:ascii="宋体" w:hAnsi="宋体" w:eastAsia="宋体" w:cs="宋体"/>
                <w:color w:val="auto"/>
                <w:sz w:val="21"/>
                <w:szCs w:val="21"/>
              </w:rPr>
              <w:t>的要求配置防雷设施。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火灾爆炸事故</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1.建构筑物的防雷防静电设施未按GB50156中的标准配置，雷击或静电产生火花引起火灾爆炸事故；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2.建构筑物的防火防爆措施不满足要求，油品泄漏在建构筑物内部造成油蒸气积聚遇点火能源发生爆炸；</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3.建构筑物电气线路敷设不合格或故障引起火灾。</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4.若站内未设置围墙或隔离墙，将不能有效隔绝一般火种及禁止无关人员进入，给站内安全带来火灾事故隐患。</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高处坠落事故</w:t>
            </w:r>
          </w:p>
        </w:tc>
        <w:tc>
          <w:tcPr>
            <w:tcW w:w="63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站房顶部及罩棚顶部</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在站房顶部及罩棚顶部进行检修作业中，若未按要求设置安全防护设施或安全防护设施不可靠，人员未按高空作业要求穿戴防护用品，操作处置失误等，易发生高处坠落。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物体打击</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站房、罩棚</w:t>
            </w:r>
          </w:p>
        </w:tc>
        <w:tc>
          <w:tcPr>
            <w:tcW w:w="2789" w:type="pct"/>
            <w:vAlign w:val="center"/>
          </w:tcPr>
          <w:p>
            <w:pPr>
              <w:pStyle w:val="2"/>
              <w:jc w:val="left"/>
              <w:rPr>
                <w:rFonts w:hint="eastAsia" w:ascii="宋体" w:hAnsi="宋体" w:eastAsia="宋体" w:cs="宋体"/>
                <w:color w:val="auto"/>
                <w:sz w:val="21"/>
                <w:szCs w:val="21"/>
              </w:rPr>
            </w:pPr>
            <w:bookmarkStart w:id="47" w:name="OLE_LINK28"/>
            <w:r>
              <w:rPr>
                <w:rFonts w:hint="eastAsia" w:ascii="宋体" w:hAnsi="宋体" w:eastAsia="宋体" w:cs="宋体"/>
                <w:color w:val="auto"/>
                <w:sz w:val="21"/>
                <w:szCs w:val="21"/>
              </w:rPr>
              <w:t>站房、罩棚</w:t>
            </w:r>
            <w:bookmarkEnd w:id="47"/>
            <w:r>
              <w:rPr>
                <w:rFonts w:hint="eastAsia" w:ascii="宋体" w:hAnsi="宋体" w:eastAsia="宋体" w:cs="宋体"/>
                <w:color w:val="auto"/>
                <w:sz w:val="21"/>
                <w:szCs w:val="21"/>
              </w:rPr>
              <w:t>设计施工未按相关规范进行，或维护措施不当，附属设施掉落造成人员伤亡事故。</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车辆伤害事故</w:t>
            </w:r>
          </w:p>
        </w:tc>
        <w:tc>
          <w:tcPr>
            <w:tcW w:w="631" w:type="pct"/>
            <w:vAlign w:val="center"/>
          </w:tcPr>
          <w:p>
            <w:pPr>
              <w:pStyle w:val="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加油区</w:t>
            </w:r>
          </w:p>
        </w:tc>
        <w:tc>
          <w:tcPr>
            <w:tcW w:w="2789"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加油岛的</w:t>
            </w:r>
            <w:r>
              <w:rPr>
                <w:rFonts w:hint="eastAsia" w:ascii="宋体" w:hAnsi="宋体" w:eastAsia="宋体" w:cs="宋体"/>
                <w:color w:val="auto"/>
                <w:sz w:val="21"/>
                <w:szCs w:val="21"/>
                <w:highlight w:val="none"/>
              </w:rPr>
              <w:t>设置或修建不符合《</w:t>
            </w:r>
            <w:r>
              <w:rPr>
                <w:rFonts w:hint="eastAsia" w:ascii="宋体" w:hAnsi="宋体" w:eastAsia="宋体" w:cs="宋体"/>
                <w:color w:val="auto"/>
                <w:sz w:val="21"/>
                <w:szCs w:val="21"/>
                <w:highlight w:val="none"/>
                <w:lang w:eastAsia="zh-CN"/>
              </w:rPr>
              <w:t>汽车加油加气加氢站技术标准</w:t>
            </w:r>
            <w:r>
              <w:rPr>
                <w:rFonts w:hint="eastAsia" w:ascii="宋体" w:hAnsi="宋体" w:eastAsia="宋体" w:cs="宋体"/>
                <w:color w:val="auto"/>
                <w:sz w:val="21"/>
                <w:szCs w:val="21"/>
                <w:highlight w:val="none"/>
              </w:rPr>
              <w:t>》（GB50156-</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）第12.2.3条的规定，可能导致汽车碰撞加油机和操作人员</w:t>
            </w:r>
            <w:r>
              <w:rPr>
                <w:rFonts w:hint="eastAsia" w:ascii="宋体" w:hAnsi="宋体" w:eastAsia="宋体" w:cs="宋体"/>
                <w:color w:val="auto"/>
                <w:sz w:val="21"/>
                <w:szCs w:val="21"/>
              </w:rPr>
              <w:t>，引发车辆伤害事故。</w:t>
            </w:r>
          </w:p>
        </w:tc>
        <w:tc>
          <w:tcPr>
            <w:tcW w:w="640"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bl>
    <w:p>
      <w:pPr>
        <w:bidi w:val="0"/>
        <w:rPr>
          <w:rFonts w:hint="eastAsia"/>
          <w:color w:val="auto"/>
        </w:rPr>
      </w:pPr>
      <w:bookmarkStart w:id="48" w:name="_Toc24822"/>
    </w:p>
    <w:p>
      <w:pPr>
        <w:pStyle w:val="5"/>
        <w:rPr>
          <w:rFonts w:hint="eastAsia" w:ascii="宋体" w:hAnsi="宋体" w:eastAsia="宋体" w:cs="宋体"/>
          <w:color w:val="auto"/>
          <w:szCs w:val="28"/>
          <w:lang w:val="en-US" w:eastAsia="zh-CN"/>
        </w:rPr>
      </w:pPr>
      <w:bookmarkStart w:id="49" w:name="_Toc9251"/>
      <w:r>
        <w:rPr>
          <w:rFonts w:hint="eastAsia" w:ascii="宋体" w:hAnsi="宋体" w:eastAsia="宋体" w:cs="宋体"/>
          <w:color w:val="auto"/>
          <w:szCs w:val="28"/>
          <w:lang w:val="en-US" w:eastAsia="zh-CN"/>
        </w:rPr>
        <w:t>1.4 经营过程危险有害因素</w:t>
      </w:r>
      <w:bookmarkEnd w:id="35"/>
      <w:r>
        <w:rPr>
          <w:rFonts w:hint="eastAsia" w:ascii="宋体" w:hAnsi="宋体" w:eastAsia="宋体" w:cs="宋体"/>
          <w:color w:val="auto"/>
          <w:szCs w:val="28"/>
          <w:lang w:val="en-US" w:eastAsia="zh-CN"/>
        </w:rPr>
        <w:t>分析</w:t>
      </w:r>
      <w:bookmarkEnd w:id="48"/>
      <w:bookmarkEnd w:id="49"/>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加油站运行过程主要包括油品的加油、装卸、储存以及检修等过程，存在火灾、爆炸、中毒、触电、车辆伤害等危险、有害因素，其中火灾事故的破坏性、危害性最为突出，也最为常见。</w:t>
      </w:r>
      <w:bookmarkStart w:id="50" w:name="OLE_LINK14"/>
      <w:r>
        <w:rPr>
          <w:rFonts w:hint="eastAsia" w:ascii="宋体" w:hAnsi="宋体" w:eastAsia="宋体" w:cs="宋体"/>
          <w:color w:val="auto"/>
          <w:sz w:val="28"/>
          <w:szCs w:val="28"/>
        </w:rPr>
        <w:t>分析如下：</w:t>
      </w:r>
      <w:bookmarkEnd w:id="50"/>
    </w:p>
    <w:p>
      <w:pPr>
        <w:pStyle w:val="6"/>
        <w:rPr>
          <w:rFonts w:hint="eastAsia" w:ascii="宋体" w:hAnsi="宋体" w:eastAsia="宋体" w:cs="宋体"/>
          <w:color w:val="auto"/>
          <w:sz w:val="30"/>
          <w:szCs w:val="30"/>
          <w:lang w:val="en-US" w:eastAsia="zh-CN"/>
        </w:rPr>
      </w:pPr>
      <w:bookmarkStart w:id="51" w:name="_Toc1206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.4.1 卸油过程</w:t>
      </w:r>
      <w:bookmarkEnd w:id="51"/>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1.成品油的槽车进入加油站，若未在汽车排气管上装阻火器，未使用静电导电夹与油罐车牢固</w:t>
      </w:r>
      <w:r>
        <w:rPr>
          <w:rFonts w:hint="eastAsia" w:ascii="宋体" w:hAnsi="宋体" w:cs="宋体"/>
          <w:color w:val="auto"/>
          <w:sz w:val="28"/>
          <w:szCs w:val="28"/>
          <w:lang w:eastAsia="zh-CN"/>
        </w:rPr>
        <w:t>连接</w:t>
      </w:r>
      <w:r>
        <w:rPr>
          <w:rFonts w:hint="eastAsia" w:ascii="宋体" w:hAnsi="宋体" w:eastAsia="宋体" w:cs="宋体"/>
          <w:color w:val="auto"/>
          <w:sz w:val="28"/>
          <w:szCs w:val="28"/>
        </w:rPr>
        <w:t>导除静电，就开始卸装油品，一旦产生火星或静电放电，有引起火灾，爆炸的危险。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卸油过程中，由于油品流动、摩擦，油品流速过大，易产生静电，若未采用导静电耐油软管，油品在卸车过程中静电大量积聚，可能引发火灾爆炸。此外卸油员上岗时未穿防静电工作服装、带铁钉鞋产生电火花，遇油品泄漏形成爆炸性油气混合气体可能引发火灾爆炸。</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3.在卸油过程中若管道、设备连接不可靠，密封不严或拉脱，产生泄漏、喷射，泄漏后遇明火或静电火花点燃，有发生火灾、爆炸的危险。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4.在卸油作业过程中，若违章操作或员工未坚守岗位，卸油处于无人监视状态，致使油品满溢，一旦遇点火源，有发生火灾、爆炸的危险。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5.卸油时超过充装系数，将造成进油冒罐或油品体积受热膨胀形成冒罐导致油品泄漏。</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6.在卸油作业现场若作业人员未严格执行禁火制度，带入火种，不防爆的</w:t>
      </w:r>
      <w:r>
        <w:rPr>
          <w:rFonts w:hint="eastAsia" w:ascii="宋体" w:hAnsi="宋体" w:cs="宋体"/>
          <w:color w:val="auto"/>
          <w:sz w:val="28"/>
          <w:szCs w:val="28"/>
          <w:lang w:eastAsia="zh-CN"/>
        </w:rPr>
        <w:t>通信器材</w:t>
      </w:r>
      <w:r>
        <w:rPr>
          <w:rFonts w:hint="eastAsia" w:ascii="宋体" w:hAnsi="宋体" w:eastAsia="宋体" w:cs="宋体"/>
          <w:color w:val="auto"/>
          <w:sz w:val="28"/>
          <w:szCs w:val="28"/>
        </w:rPr>
        <w:t>（如：手机等）进入现场；防爆电器存在质量问题等一系列隐患有可能导致火灾的危险。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7.存在着各种点火源的危险。加油站建立在车辆来往频繁的交通干道旁边，周围环境比较复杂，受外部点火源的威胁较大，频繁出入的车辆，人为带入的火种等，均可成为加油站火灾的点火源。</w:t>
      </w:r>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8.未按卸油操作规程作业，在卸油前未对储油罐内空容量进行计量或液位报警设施失灵致使发生满溢现象。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9.卸油时作业人员擅离职守，</w:t>
      </w:r>
      <w:r>
        <w:rPr>
          <w:rFonts w:hint="eastAsia" w:ascii="宋体" w:hAnsi="宋体" w:cs="宋体"/>
          <w:color w:val="auto"/>
          <w:sz w:val="28"/>
          <w:szCs w:val="28"/>
          <w:lang w:eastAsia="zh-CN"/>
        </w:rPr>
        <w:t>以致</w:t>
      </w:r>
      <w:r>
        <w:rPr>
          <w:rFonts w:hint="eastAsia" w:ascii="宋体" w:hAnsi="宋体" w:eastAsia="宋体" w:cs="宋体"/>
          <w:color w:val="auto"/>
          <w:sz w:val="28"/>
          <w:szCs w:val="28"/>
        </w:rPr>
        <w:t>造成油罐溢油，遇点火源可能造成火灾、爆炸事故。</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10.雷雨天进行卸油作业，遇雷击，可能造成火灾、爆炸事故。</w:t>
      </w:r>
    </w:p>
    <w:p>
      <w:pPr>
        <w:pStyle w:val="6"/>
        <w:rPr>
          <w:rFonts w:hint="eastAsia" w:ascii="宋体" w:hAnsi="宋体" w:eastAsia="宋体" w:cs="宋体"/>
          <w:color w:val="auto"/>
          <w:sz w:val="30"/>
          <w:szCs w:val="30"/>
        </w:rPr>
      </w:pPr>
      <w:bookmarkStart w:id="52" w:name="_Toc2165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.4.2 加油过程</w:t>
      </w:r>
      <w:bookmarkEnd w:id="52"/>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1.作业人员在加油过程中若不遵守安全规章，不严格按正确的规程作业或操作失误，可能造成漏油、油品溢出等情况，遇加油机接地松动而接触不重复良引起静电大量积聚放电或遇明火极易发生火灾，甚至爆炸。</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作业人员若违反规程向塑料容器加注油品，易造成静电积聚放电，若遇油品或油蒸气，可能发生火灾爆炸。加油枪、加油管损坏、加油机内接管密封垫损坏均会造成油品泄漏，遇点火源可能发生燃烧、爆炸事故。</w:t>
      </w:r>
    </w:p>
    <w:p>
      <w:pPr>
        <w:spacing w:line="360" w:lineRule="auto"/>
        <w:ind w:firstLine="544"/>
        <w:jc w:val="left"/>
        <w:rPr>
          <w:rFonts w:hint="eastAsia" w:ascii="宋体" w:hAnsi="宋体" w:eastAsia="宋体" w:cs="宋体"/>
          <w:color w:val="auto"/>
          <w:sz w:val="28"/>
          <w:szCs w:val="28"/>
        </w:rPr>
      </w:pPr>
      <w:r>
        <w:rPr>
          <w:rFonts w:hint="eastAsia" w:ascii="宋体" w:hAnsi="宋体" w:eastAsia="宋体" w:cs="宋体"/>
          <w:color w:val="auto"/>
          <w:sz w:val="28"/>
          <w:szCs w:val="28"/>
        </w:rPr>
        <w:t>3.加油时油品流动会产生静电，可能使静电积聚，甚至放电，若油品流速大于60L/min或加油站静电接地装置失效，遇油品蒸汽有发生火灾爆炸危险。</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4.有点火能源存在（明火、雷电、静电、高温热源、撞击火花、电气火花等），可能造成火灾、爆炸事故；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5.车辆进入作业区未限速，未熄火加油，可能造成火灾、爆炸事故；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6.作业人员未穿戴防静电工作服，可能造成火灾、爆炸事故。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7.进出加油站车辆较多，机动车辆驾驶人员操作不当，有可能伤害加油站作业人员；如果撞坏加油设施可导致油品泄漏，引发火灾。</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8.给摩托车加油，摩托车驾驶员未提前下车或未下车直接加油，摩托车余热等造成车辆自燃，发生火灾爆炸及伤人事故。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9.加散装汽油、柴油未对油品用途、加油人员身份进行核查和身份证留底，恐暴</w:t>
      </w:r>
      <w:r>
        <w:rPr>
          <w:rFonts w:hint="eastAsia" w:ascii="宋体" w:hAnsi="宋体" w:cs="宋体"/>
          <w:color w:val="auto"/>
          <w:sz w:val="28"/>
          <w:szCs w:val="28"/>
          <w:lang w:eastAsia="zh-CN"/>
        </w:rPr>
        <w:t>分子</w:t>
      </w:r>
      <w:r>
        <w:rPr>
          <w:rFonts w:hint="eastAsia" w:ascii="宋体" w:hAnsi="宋体" w:eastAsia="宋体" w:cs="宋体"/>
          <w:color w:val="auto"/>
          <w:sz w:val="28"/>
          <w:szCs w:val="28"/>
        </w:rPr>
        <w:t>利用散装油品自燃或放火等造成人员伤害和火灾事故。</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10.加散装汽油、柴油的工具不符合（如塑料桶、盆子等），发生泄漏或与身体静电接触发生火灾事故。</w:t>
      </w:r>
    </w:p>
    <w:p>
      <w:pPr>
        <w:tabs>
          <w:tab w:val="left" w:pos="1160"/>
        </w:tabs>
        <w:ind w:firstLine="560" w:firstLineChars="200"/>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加油过程因加油机管线渗漏或加油工作人员操作不当，造成油品质量问题或数量缺少，发生与顾客的数质量纠纷。</w:t>
      </w:r>
    </w:p>
    <w:p>
      <w:pPr>
        <w:pStyle w:val="6"/>
        <w:rPr>
          <w:rFonts w:hint="eastAsia" w:ascii="宋体" w:hAnsi="宋体" w:eastAsia="宋体" w:cs="宋体"/>
          <w:color w:val="auto"/>
          <w:sz w:val="30"/>
          <w:szCs w:val="30"/>
        </w:rPr>
      </w:pPr>
      <w:bookmarkStart w:id="53" w:name="_Toc937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.4.3 储油过程</w:t>
      </w:r>
      <w:bookmarkEnd w:id="53"/>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储罐区若避雷（防静电）设施失效，一旦遭遇雷击（或静电积累），会引起火灾、爆炸。</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储罐区消防器材失效，遇事故时不能及时扑救，导致事故扩大。</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若储罐区的工作人员未经过一定专业知识、专业技能的培训或未按有关规定配备具有专业知识的技术人员，则会因不了解成品油的性能、危险性而导致意外事件的发生。</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在设备检修过程中，对储罐或输油管道没有按规定清洗彻底且违章动火等也会形成火灾、爆炸事故。</w:t>
      </w:r>
    </w:p>
    <w:p>
      <w:pPr>
        <w:pStyle w:val="5"/>
        <w:rPr>
          <w:rFonts w:hint="eastAsia" w:ascii="宋体" w:hAnsi="宋体" w:eastAsia="宋体" w:cs="宋体"/>
          <w:color w:val="auto"/>
          <w:szCs w:val="28"/>
          <w:lang w:val="en-US" w:eastAsia="zh-CN"/>
        </w:rPr>
      </w:pPr>
      <w:bookmarkStart w:id="54" w:name="_Toc83757040"/>
      <w:bookmarkStart w:id="55" w:name="_Toc30799"/>
      <w:bookmarkStart w:id="56" w:name="_Toc23463"/>
      <w:bookmarkStart w:id="57" w:name="_Toc354416286"/>
      <w:r>
        <w:rPr>
          <w:rFonts w:hint="eastAsia" w:ascii="宋体" w:hAnsi="宋体" w:eastAsia="宋体" w:cs="宋体"/>
          <w:color w:val="auto"/>
          <w:szCs w:val="28"/>
          <w:lang w:val="en-US" w:eastAsia="zh-CN"/>
        </w:rPr>
        <w:t>1.5工艺操作</w:t>
      </w:r>
      <w:r>
        <w:rPr>
          <w:rFonts w:hint="eastAsia" w:ascii="宋体" w:hAnsi="宋体" w:cs="宋体"/>
          <w:color w:val="auto"/>
          <w:szCs w:val="28"/>
          <w:lang w:val="en-US" w:eastAsia="zh-CN"/>
        </w:rPr>
        <w:t>过程</w:t>
      </w:r>
      <w:r>
        <w:rPr>
          <w:rFonts w:hint="eastAsia" w:ascii="宋体" w:hAnsi="宋体" w:eastAsia="宋体" w:cs="宋体"/>
          <w:color w:val="auto"/>
          <w:szCs w:val="28"/>
          <w:lang w:val="en-US" w:eastAsia="zh-CN"/>
        </w:rPr>
        <w:t>的危险、有害因素</w:t>
      </w:r>
      <w:bookmarkEnd w:id="54"/>
      <w:r>
        <w:rPr>
          <w:rFonts w:hint="eastAsia" w:ascii="宋体" w:hAnsi="宋体" w:eastAsia="宋体" w:cs="宋体"/>
          <w:color w:val="auto"/>
          <w:szCs w:val="28"/>
          <w:lang w:val="en-US" w:eastAsia="zh-CN"/>
        </w:rPr>
        <w:t>分析</w:t>
      </w:r>
      <w:bookmarkEnd w:id="55"/>
    </w:p>
    <w:p>
      <w:pPr>
        <w:pStyle w:val="6"/>
        <w:rPr>
          <w:rFonts w:hint="eastAsia" w:ascii="宋体" w:hAnsi="宋体" w:eastAsia="宋体" w:cs="宋体"/>
          <w:color w:val="auto"/>
          <w:sz w:val="30"/>
          <w:szCs w:val="30"/>
          <w:lang w:val="en-US" w:eastAsia="zh-CN"/>
        </w:rPr>
      </w:pPr>
      <w:bookmarkStart w:id="58" w:name="_Toc317177226"/>
      <w:bookmarkStart w:id="59" w:name="_Toc83757041"/>
      <w:bookmarkStart w:id="60" w:name="_Toc25321"/>
      <w:r>
        <w:rPr>
          <w:rFonts w:hint="eastAsia" w:ascii="宋体" w:hAnsi="宋体" w:eastAsia="宋体" w:cs="宋体"/>
          <w:color w:val="auto"/>
          <w:sz w:val="30"/>
          <w:szCs w:val="30"/>
          <w:lang w:val="en-US" w:eastAsia="zh-CN"/>
        </w:rPr>
        <w:t>1.5.1油料作业过程危险、有害因素</w:t>
      </w:r>
      <w:bookmarkEnd w:id="58"/>
      <w:bookmarkEnd w:id="59"/>
      <w:r>
        <w:rPr>
          <w:rFonts w:hint="eastAsia" w:ascii="宋体" w:hAnsi="宋体" w:eastAsia="宋体" w:cs="宋体"/>
          <w:color w:val="auto"/>
          <w:sz w:val="30"/>
          <w:szCs w:val="30"/>
          <w:lang w:val="en-US" w:eastAsia="zh-CN"/>
        </w:rPr>
        <w:t>分析</w:t>
      </w:r>
      <w:bookmarkEnd w:id="60"/>
    </w:p>
    <w:p>
      <w:pPr>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卸油操作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当油罐车进站后应按规定停靠，尽快卸收，不得积压车辆。卸油时，按规定将导静电装置接在油罐车卸油口的金属部位上或者静电接地装置失效，可能会造成静电</w:t>
      </w:r>
      <w:r>
        <w:rPr>
          <w:rFonts w:hint="eastAsia" w:ascii="宋体" w:hAnsi="宋体"/>
          <w:color w:val="auto"/>
          <w:sz w:val="28"/>
          <w:szCs w:val="28"/>
          <w:lang w:eastAsia="zh-CN"/>
        </w:rPr>
        <w:t>聚集</w:t>
      </w:r>
      <w:r>
        <w:rPr>
          <w:rFonts w:hint="eastAsia" w:ascii="宋体" w:hAnsi="宋体"/>
          <w:color w:val="auto"/>
          <w:sz w:val="28"/>
          <w:szCs w:val="28"/>
        </w:rPr>
        <w:t>会产生火花；操作人员严禁穿铁钉鞋、化纤服上油车作业，否则会因摩擦生成静电而产生火花，遇油气引起燃烧，如灭火不及时会发生爆炸。遇雷雨、风沙天气应暂停卸油，避免因雷电而引发的火灾爆炸事故。卸油作业时，若周边存在动火作业且未按照要求采取防护措施，遇油气引起燃烧。卸油完毕后，应及时清理卸油现场，保持干净整洁，防止因地面余油遇到火源而引发火灾事故。如果阻火器失效，外界火星则可能进入油罐引发油罐爆炸事故。如果卸油作业时现场配置灭火器不足，若发生意外事故，不能及时处置可能造成事故后果扩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加油操作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加油区周围分布的油气浓度相对比较高，加油机加油时，油气向外扩散，导致瞬间局部区域油气浓度升高，遇明火会产生燃烧，甚至引发爆炸。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加油站车辆进入加油区，若车辆未经熄火就开始加油，车辆排气管产生的火花会成为火源，从而引发火灾爆炸事故。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加油枪与车辆油箱撞击或放置时与加油机相撞，极易产生火花，造成火灾。加油站操作人员身着化纤服装，化纤易产生静电，加油时拍打衣服，会产生火花。拨打手机也易产生火花。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油气处理</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汽油的储运和装卸及加油过程中，油罐或汽车油箱会因压力波动而产生大量的油气。加油站所散发出来的油品蒸气，不但有易燃、易爆的危险，而且还有一定的毒性。这些油气直接排入大气，不但污染环境而且会造成大量的油品损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当槽车向油罐内卸油时产生的大量汽油蒸汽即通过呼吸阀直接排入大气，此时若有一点火星或静电火花就会引起爆炸。</w:t>
      </w:r>
    </w:p>
    <w:p>
      <w:pPr>
        <w:pStyle w:val="6"/>
        <w:rPr>
          <w:rFonts w:hint="eastAsia" w:ascii="宋体" w:hAnsi="宋体" w:eastAsia="宋体" w:cs="宋体"/>
          <w:color w:val="auto"/>
          <w:sz w:val="30"/>
          <w:szCs w:val="30"/>
          <w:lang w:val="en-US" w:eastAsia="zh-CN"/>
        </w:rPr>
      </w:pPr>
      <w:bookmarkStart w:id="61" w:name="_Toc83757042"/>
      <w:bookmarkStart w:id="62" w:name="_Toc7850"/>
      <w:r>
        <w:rPr>
          <w:rFonts w:hint="eastAsia" w:ascii="宋体" w:hAnsi="宋体" w:cs="宋体"/>
          <w:color w:val="auto"/>
          <w:sz w:val="30"/>
          <w:szCs w:val="30"/>
          <w:lang w:val="en-US" w:eastAsia="zh-CN"/>
        </w:rPr>
        <w:t>1.5.2</w:t>
      </w:r>
      <w:r>
        <w:rPr>
          <w:rFonts w:hint="eastAsia" w:ascii="宋体" w:hAnsi="宋体" w:eastAsia="宋体" w:cs="宋体"/>
          <w:color w:val="auto"/>
          <w:sz w:val="30"/>
          <w:szCs w:val="30"/>
          <w:lang w:val="en-US" w:eastAsia="zh-CN"/>
        </w:rPr>
        <w:t>营业和检修过程危险、有害因素</w:t>
      </w:r>
      <w:bookmarkEnd w:id="61"/>
      <w:r>
        <w:rPr>
          <w:rFonts w:hint="eastAsia" w:ascii="宋体" w:hAnsi="宋体" w:eastAsia="宋体" w:cs="宋体"/>
          <w:color w:val="auto"/>
          <w:sz w:val="30"/>
          <w:szCs w:val="30"/>
          <w:lang w:val="en-US" w:eastAsia="zh-CN"/>
        </w:rPr>
        <w:t>分析</w:t>
      </w:r>
      <w:bookmarkEnd w:id="6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项目建成试营业</w:t>
      </w:r>
      <w:r>
        <w:rPr>
          <w:rFonts w:hint="eastAsia" w:ascii="宋体" w:hAnsi="宋体"/>
          <w:color w:val="auto"/>
          <w:sz w:val="28"/>
          <w:szCs w:val="28"/>
          <w:lang w:val="en-US" w:eastAsia="zh-CN"/>
        </w:rPr>
        <w:t>之前，应先进行生产安全事故应急救援预案备案。试营业</w:t>
      </w:r>
      <w:r>
        <w:rPr>
          <w:rFonts w:hint="eastAsia" w:ascii="宋体" w:hAnsi="宋体"/>
          <w:color w:val="auto"/>
          <w:sz w:val="28"/>
          <w:szCs w:val="28"/>
        </w:rPr>
        <w:t>期间，设备处于调试阶段，其稳定性和安全性尚未得到验证，是事故频发的阶段。建设单位若对试营业过程的安全性未加重视，容易发生事故。试营业期间，建设单位应加强安全管理，对设备及人员操作进行监护运行。</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运行到一定程度必须进行检修，检修时若不按操作规程进行，例如设施设备内的残余气体没有放空或置换就开始检修，遇检修火源设施设备中的油品就会燃烧，发生火灾事故；如设施、设备中油品没有完全放完，未进行惰性气体置换，或未达到置换要求，混入空气，使气体的浓度在爆炸极限范围内，遇检修火源就易发生爆炸。在检修过程中，会使用人力移动一些设备，如果操作不当，有可能造成人体损伤。在检修过程中使用到电气设备，有可能造成人员触电事故。检修作业不彻底，或操作不到位，给设施、设备留下隐患，更</w:t>
      </w:r>
      <w:r>
        <w:rPr>
          <w:rFonts w:hint="eastAsia" w:ascii="宋体" w:hAnsi="宋体"/>
          <w:color w:val="auto"/>
          <w:sz w:val="28"/>
          <w:szCs w:val="28"/>
          <w:lang w:eastAsia="zh-CN"/>
        </w:rPr>
        <w:t>容易</w:t>
      </w:r>
      <w:r>
        <w:rPr>
          <w:rFonts w:hint="eastAsia" w:ascii="宋体" w:hAnsi="宋体"/>
          <w:color w:val="auto"/>
          <w:sz w:val="28"/>
          <w:szCs w:val="28"/>
        </w:rPr>
        <w:t>造成事故。</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检修作业过程中，进入受限空间作业，如未对受限空间进行危害辨识和风向评估，也未采取相应的安全措施，可能发生人员中毒和窒息、火灾、爆炸等事故。高处检修作业时，未配备安全绳、安全防护不到位、脚手架搭建不规范等，都可能造成高处坠落事故的发生。</w:t>
      </w:r>
    </w:p>
    <w:p>
      <w:pPr>
        <w:pStyle w:val="5"/>
        <w:rPr>
          <w:rFonts w:hint="eastAsia" w:ascii="宋体" w:hAnsi="宋体" w:eastAsia="宋体" w:cs="宋体"/>
          <w:color w:val="auto"/>
          <w:szCs w:val="28"/>
          <w:lang w:val="en-US" w:eastAsia="zh-CN"/>
        </w:rPr>
      </w:pPr>
      <w:bookmarkStart w:id="63" w:name="_Toc13162"/>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6</w:t>
      </w:r>
      <w:r>
        <w:rPr>
          <w:rFonts w:hint="eastAsia" w:ascii="宋体" w:hAnsi="宋体" w:eastAsia="宋体"/>
          <w:bCs w:val="0"/>
          <w:color w:val="auto"/>
        </w:rPr>
        <w:t>工艺设备、设施的危险、有害因素</w:t>
      </w:r>
      <w:r>
        <w:rPr>
          <w:rFonts w:hint="eastAsia" w:ascii="宋体" w:hAnsi="宋体" w:eastAsia="宋体" w:cs="宋体"/>
          <w:color w:val="auto"/>
          <w:szCs w:val="28"/>
          <w:lang w:val="en-US" w:eastAsia="zh-CN"/>
        </w:rPr>
        <w:t>分析</w:t>
      </w:r>
      <w:bookmarkEnd w:id="56"/>
      <w:bookmarkEnd w:id="57"/>
      <w:bookmarkEnd w:id="63"/>
    </w:p>
    <w:p>
      <w:pPr>
        <w:pStyle w:val="6"/>
        <w:rPr>
          <w:rFonts w:hint="eastAsia" w:ascii="宋体" w:hAnsi="宋体" w:eastAsia="宋体" w:cs="宋体"/>
          <w:color w:val="auto"/>
          <w:sz w:val="30"/>
          <w:szCs w:val="30"/>
        </w:rPr>
      </w:pPr>
      <w:bookmarkStart w:id="64" w:name="_Toc1153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.1 油罐</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4"/>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卸油管道破损未及时发现，在进行卸油作业油料泄漏，遇点火源，造成火灾、爆炸事故；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卸油场所存在明火、电火花、高温高热物质等引火源点燃油气混合体，可能造成火灾、爆炸事故；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油罐的卸油管未按《</w:t>
      </w:r>
      <w:r>
        <w:rPr>
          <w:rFonts w:hint="eastAsia" w:ascii="宋体" w:hAnsi="宋体" w:cs="宋体"/>
          <w:color w:val="auto"/>
          <w:sz w:val="28"/>
          <w:szCs w:val="28"/>
          <w:lang w:eastAsia="zh-CN"/>
        </w:rPr>
        <w:t>汽车加油加气加氢站技术标准</w:t>
      </w:r>
      <w:r>
        <w:rPr>
          <w:rFonts w:hint="eastAsia" w:ascii="宋体" w:hAnsi="宋体" w:eastAsia="宋体" w:cs="宋体"/>
          <w:color w:val="auto"/>
          <w:sz w:val="28"/>
          <w:szCs w:val="28"/>
        </w:rPr>
        <w:t>》</w:t>
      </w:r>
      <w:r>
        <w:rPr>
          <w:rFonts w:hint="eastAsia" w:ascii="宋体" w:hAnsi="宋体" w:cs="宋体"/>
          <w:color w:val="auto"/>
          <w:sz w:val="28"/>
          <w:szCs w:val="28"/>
          <w:lang w:eastAsia="zh-CN"/>
        </w:rPr>
        <w:t>GB 50156-2021</w:t>
      </w:r>
      <w:r>
        <w:rPr>
          <w:rFonts w:hint="eastAsia" w:ascii="宋体" w:hAnsi="宋体" w:eastAsia="宋体" w:cs="宋体"/>
          <w:color w:val="auto"/>
          <w:sz w:val="28"/>
          <w:szCs w:val="28"/>
        </w:rPr>
        <w:t>中的要求插入罐内有效深度，油品流动造成静电积聚、放电，发生火灾、爆炸事故。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若与储罐的相连的泵、阀门、管道等密封不严，容易发生泄漏，泄漏后遇明火或静电火花等点火源有发生火灾的危险。</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埋地油罐若没有良好的静电接地装置或接地装置失效，静电不能及时释放，产生静电火花，可导致火灾。</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埋地油罐一旦制造或安装存在缺陷或长期使用未进行检测，容易引起泄漏，若遇明火或静电火花，会导致火灾事故。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的防腐层若老化或损坏脱落，造成油罐罐壁腐蚀穿孔，可引起油品泄漏，油品泄漏后经砂土渗透上升至地表面挥发为蒸气，油气与空气形成爆炸性混合气体向低洼处积聚，当达到爆炸极限时，遇点火源可能引起火灾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油罐人孔处的操作井内的各管道接口处的密封料若老化，导致油品泄漏，可能在井内形成爆炸性混合气体，遇点火源，将引起着火爆炸。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埋地储罐防上浮措施失效，遇大暴雨，地下水位上涨，可能导致储罐上浮，导致管道破裂油品泄漏。</w:t>
      </w:r>
    </w:p>
    <w:p>
      <w:pPr>
        <w:pStyle w:val="17"/>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埋地油罐为承重式过载油罐，油罐人孔井因油气挥发存在可燃气体，人员进入人孔井检查发生中毒与窒息事故；人孔井因油气聚集发生火灾爆炸事故。</w:t>
      </w:r>
    </w:p>
    <w:p>
      <w:pPr>
        <w:pStyle w:val="6"/>
        <w:rPr>
          <w:rFonts w:hint="eastAsia" w:ascii="宋体" w:hAnsi="宋体" w:eastAsia="宋体" w:cs="宋体"/>
          <w:color w:val="auto"/>
          <w:sz w:val="30"/>
          <w:szCs w:val="30"/>
        </w:rPr>
      </w:pPr>
      <w:bookmarkStart w:id="65" w:name="_Toc10390"/>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.2 加油机</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5"/>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加油机如存在制造、安装等质量问题，引起加油机及油枪渗漏、胶管破损等造成漏油，一旦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明火有引起火灾、爆炸的危险。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若由于设备、管线腐蚀、穿孔，引起油品泄漏，一旦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明火有发生火灾、爆炸的危险。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加油设备密封不严导致柴油蒸气逸出，遇点火源造成火灾、爆炸事故；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未对加油枪的自封设备做定期检查，致使自封不严未及时发现而导致油蒸气逸出，可能造成火灾、爆炸事故；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撞击事故致使加油机倾斜导致输油管线拉扯断裂油品泄漏，遇点火源可能导致火灾、爆炸事故。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若不严格遵守停车熄火再加油的规定，发动机尾气（火星）可能点燃油箱内散发的油蒸气，引起火灾、爆炸事故。</w:t>
      </w:r>
    </w:p>
    <w:p>
      <w:pPr>
        <w:pStyle w:val="6"/>
        <w:rPr>
          <w:rFonts w:hint="eastAsia" w:ascii="宋体" w:hAnsi="宋体" w:eastAsia="宋体" w:cs="宋体"/>
          <w:color w:val="auto"/>
          <w:sz w:val="30"/>
          <w:szCs w:val="30"/>
        </w:rPr>
      </w:pPr>
      <w:bookmarkStart w:id="66" w:name="_Toc3075"/>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.3 输油管道</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6"/>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设备管道接头密封不严，可能造成油气泄漏，遇点火源引发火灾、爆炸事故；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因腐蚀等原因造成管道、管件损伤，引发油气泄漏，遇点火源可能造成火灾、爆炸事故；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若输油管道始末端和分支处防静电接地失效，易引起静电积聚放电，在油品泄漏时，有引起火灾爆炸的危险。</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输油管周围未按要求充沙回填，致使管沟中积聚油蒸气达到爆炸极限，遇点火源可能造成爆炸事故。</w:t>
      </w:r>
    </w:p>
    <w:p>
      <w:pPr>
        <w:pStyle w:val="5"/>
        <w:rPr>
          <w:rFonts w:hint="eastAsia" w:ascii="宋体" w:hAnsi="宋体" w:eastAsia="宋体" w:cs="宋体"/>
          <w:color w:val="auto"/>
          <w:szCs w:val="28"/>
          <w:lang w:val="en-US" w:eastAsia="zh-CN"/>
        </w:rPr>
      </w:pPr>
      <w:bookmarkStart w:id="67" w:name="_Toc3653"/>
      <w:bookmarkStart w:id="68" w:name="_Toc29058"/>
      <w:bookmarkStart w:id="69" w:name="_Toc154931170"/>
      <w:bookmarkStart w:id="70" w:name="_Toc354416287"/>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7</w:t>
      </w:r>
      <w:r>
        <w:rPr>
          <w:rFonts w:hint="eastAsia" w:ascii="宋体" w:hAnsi="宋体" w:eastAsia="宋体" w:cs="宋体"/>
          <w:color w:val="auto"/>
          <w:szCs w:val="28"/>
          <w:lang w:val="en-US" w:eastAsia="zh-CN"/>
        </w:rPr>
        <w:t xml:space="preserve"> </w:t>
      </w:r>
      <w:bookmarkEnd w:id="67"/>
      <w:r>
        <w:rPr>
          <w:rFonts w:hint="eastAsia" w:ascii="宋体" w:hAnsi="宋体" w:eastAsia="宋体" w:cs="宋体"/>
          <w:color w:val="auto"/>
          <w:szCs w:val="28"/>
          <w:lang w:val="en-US" w:eastAsia="zh-CN"/>
        </w:rPr>
        <w:t>辅助设备、设施的危险、有害因素</w:t>
      </w:r>
      <w:r>
        <w:rPr>
          <w:rFonts w:hint="eastAsia" w:ascii="宋体" w:hAnsi="宋体" w:cs="宋体"/>
          <w:color w:val="auto"/>
          <w:szCs w:val="28"/>
          <w:lang w:val="en-US" w:eastAsia="zh-CN"/>
        </w:rPr>
        <w:t>分析</w:t>
      </w:r>
      <w:bookmarkEnd w:id="68"/>
    </w:p>
    <w:p>
      <w:pPr>
        <w:pStyle w:val="6"/>
        <w:rPr>
          <w:rFonts w:hint="eastAsia" w:ascii="宋体" w:hAnsi="宋体" w:eastAsia="宋体" w:cs="宋体"/>
          <w:color w:val="auto"/>
          <w:sz w:val="30"/>
          <w:szCs w:val="30"/>
          <w:lang w:val="en-US" w:eastAsia="zh-CN"/>
        </w:rPr>
      </w:pPr>
      <w:bookmarkStart w:id="71" w:name="_Toc449348757"/>
      <w:bookmarkStart w:id="72" w:name="_Toc19739"/>
      <w:bookmarkStart w:id="73" w:name="_Toc7330"/>
      <w:bookmarkStart w:id="74" w:name="OLE_LINK64"/>
      <w:r>
        <w:rPr>
          <w:rFonts w:hint="eastAsia" w:ascii="宋体" w:hAnsi="宋体" w:eastAsia="宋体" w:cs="宋体"/>
          <w:color w:val="auto"/>
          <w:sz w:val="30"/>
          <w:szCs w:val="30"/>
          <w:lang w:val="en-US" w:eastAsia="zh-CN"/>
        </w:rPr>
        <w:t>1.7.1 电气设备</w:t>
      </w:r>
      <w:bookmarkEnd w:id="71"/>
      <w:bookmarkEnd w:id="72"/>
      <w:r>
        <w:rPr>
          <w:rFonts w:hint="eastAsia" w:ascii="宋体" w:hAnsi="宋体" w:eastAsia="宋体" w:cs="宋体"/>
          <w:color w:val="auto"/>
          <w:sz w:val="30"/>
          <w:szCs w:val="30"/>
          <w:lang w:val="en-US" w:eastAsia="zh-CN"/>
        </w:rPr>
        <w:t>危险、有害因素分析</w:t>
      </w:r>
      <w:bookmarkEnd w:id="73"/>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站内爆炸危险区域内的灯具和控制开关及电气设备防爆性能失效，遇油品泄漏时，可能引起触电和火灾爆炸事故。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配电室、电气开关或电气连接点，由于电气设施故障或损坏使电气导体外露，以及人员误操作、电气短路、超负荷运行、雷击、静电等都易引发电气事故，造成人员触电伤害。若未采取电涌保护措施，发生电涌时，容易损坏电气设施，并引起电气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加油作业场所的避雷设施失效，一旦遭遇雷击，有引起火灾、爆炸的危险。</w:t>
      </w:r>
    </w:p>
    <w:p>
      <w:pPr>
        <w:pStyle w:val="18"/>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未设置备用电源、事故照明设施等，一旦站内发生停电或其他事故时，不能及时处理，造成事故扩大。</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若避雷装置失效，雷电或雷电感应直接击中站内设备、管线，产生放电火花, 可能点燃油气与空气的混合气体，导致火灾、爆炸事故。</w:t>
      </w:r>
    </w:p>
    <w:p>
      <w:pPr>
        <w:pStyle w:val="6"/>
        <w:rPr>
          <w:rFonts w:hint="eastAsia" w:ascii="宋体" w:hAnsi="宋体" w:eastAsia="宋体" w:cs="宋体"/>
          <w:color w:val="auto"/>
          <w:sz w:val="30"/>
          <w:szCs w:val="30"/>
          <w:lang w:val="en-US" w:eastAsia="zh-CN"/>
        </w:rPr>
      </w:pPr>
      <w:bookmarkStart w:id="75" w:name="_Toc15360"/>
      <w:bookmarkStart w:id="76" w:name="_Toc449348758"/>
      <w:bookmarkStart w:id="77" w:name="_Toc10136"/>
      <w:r>
        <w:rPr>
          <w:rFonts w:hint="eastAsia" w:ascii="宋体" w:hAnsi="宋体" w:eastAsia="宋体" w:cs="宋体"/>
          <w:color w:val="auto"/>
          <w:sz w:val="30"/>
          <w:szCs w:val="30"/>
          <w:lang w:val="en-US" w:eastAsia="zh-CN"/>
        </w:rPr>
        <w:t>1.7.2 消防设施</w:t>
      </w:r>
      <w:bookmarkEnd w:id="75"/>
      <w:bookmarkEnd w:id="76"/>
      <w:r>
        <w:rPr>
          <w:rFonts w:hint="eastAsia" w:ascii="宋体" w:hAnsi="宋体" w:eastAsia="宋体" w:cs="宋体"/>
          <w:color w:val="auto"/>
          <w:sz w:val="30"/>
          <w:szCs w:val="30"/>
          <w:lang w:val="en-US" w:eastAsia="zh-CN"/>
        </w:rPr>
        <w:t>危险、有害因素分析</w:t>
      </w:r>
      <w:bookmarkEnd w:id="77"/>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灭火器材配备不足或失效</w:t>
      </w:r>
      <w:r>
        <w:rPr>
          <w:rFonts w:hint="eastAsia" w:ascii="宋体" w:hAnsi="宋体" w:cs="宋体"/>
          <w:color w:val="auto"/>
          <w:sz w:val="28"/>
          <w:szCs w:val="28"/>
          <w:lang w:eastAsia="zh-CN"/>
        </w:rPr>
        <w:t>或</w:t>
      </w:r>
      <w:r>
        <w:rPr>
          <w:rFonts w:hint="eastAsia" w:ascii="宋体" w:hAnsi="宋体" w:eastAsia="宋体" w:cs="宋体"/>
          <w:color w:val="auto"/>
          <w:sz w:val="28"/>
          <w:szCs w:val="28"/>
        </w:rPr>
        <w:t>未放置在明显且便于取用的地点，当站内发生危险事故时，因不能及时进行扑救，容易扩大事故。</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消防设施、器材如日常维护不当或缺乏维护，遇事故时可能失去应有功效，影响事故救援或扩大事故后果。</w:t>
      </w:r>
    </w:p>
    <w:p>
      <w:pPr>
        <w:pStyle w:val="18"/>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从业人员不能正确使用消防器材，可能导致事故后果扩大。</w:t>
      </w:r>
    </w:p>
    <w:p>
      <w:pPr>
        <w:pStyle w:val="6"/>
        <w:rPr>
          <w:rFonts w:hint="eastAsia" w:ascii="宋体" w:hAnsi="宋体" w:eastAsia="宋体" w:cs="宋体"/>
          <w:color w:val="auto"/>
          <w:sz w:val="30"/>
          <w:szCs w:val="30"/>
          <w:lang w:val="en-US" w:eastAsia="zh-CN"/>
        </w:rPr>
      </w:pPr>
      <w:bookmarkStart w:id="78" w:name="_Toc83757049"/>
      <w:bookmarkStart w:id="79" w:name="_Toc17445"/>
      <w:r>
        <w:rPr>
          <w:rFonts w:hint="eastAsia" w:ascii="宋体" w:hAnsi="宋体" w:cs="宋体"/>
          <w:color w:val="auto"/>
          <w:sz w:val="30"/>
          <w:szCs w:val="30"/>
          <w:lang w:val="en-US" w:eastAsia="zh-CN"/>
        </w:rPr>
        <w:t>1.7.3</w:t>
      </w:r>
      <w:r>
        <w:rPr>
          <w:rFonts w:hint="eastAsia" w:ascii="宋体" w:hAnsi="宋体" w:eastAsia="宋体" w:cs="宋体"/>
          <w:color w:val="auto"/>
          <w:sz w:val="30"/>
          <w:szCs w:val="30"/>
          <w:lang w:val="en-US" w:eastAsia="zh-CN"/>
        </w:rPr>
        <w:t>防雷装置</w:t>
      </w:r>
      <w:bookmarkEnd w:id="78"/>
      <w:r>
        <w:rPr>
          <w:rFonts w:hint="eastAsia" w:ascii="宋体" w:hAnsi="宋体" w:eastAsia="宋体" w:cs="宋体"/>
          <w:color w:val="auto"/>
          <w:sz w:val="30"/>
          <w:szCs w:val="30"/>
          <w:lang w:val="en-US" w:eastAsia="zh-CN"/>
        </w:rPr>
        <w:t>危险、有害因素分析</w:t>
      </w:r>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站内建筑物及设施未采取防雷保护措施，遇雷击易使建筑物垮塌，造成站内财产损失及人员伤亡。防雷装置承受雷击时，其接闪器、引下线和接地装置呈现很高的冲击电压，可击穿与邻近的导体之间的绝缘，造成二次放电，二次放电可引起火灾和爆炸，也可造成电击。雷击低压线路时，雷电侵入波将沿着低压线路传入户内，特别是采用木杆或木横担的低压线路，由于其对地冲击绝缘水平很高，会使很高的电压进入户内酿成大面积雷害事故，对于建筑物，雷电波侵入可引起火灾或爆炸，也可能伤及人身。</w:t>
      </w:r>
    </w:p>
    <w:p>
      <w:pPr>
        <w:pStyle w:val="6"/>
        <w:rPr>
          <w:rFonts w:hint="eastAsia" w:ascii="宋体" w:hAnsi="宋体" w:cs="宋体"/>
          <w:color w:val="auto"/>
          <w:sz w:val="30"/>
          <w:szCs w:val="30"/>
          <w:lang w:val="en-US" w:eastAsia="zh-CN"/>
        </w:rPr>
      </w:pPr>
      <w:bookmarkStart w:id="80" w:name="_Toc83757050"/>
      <w:bookmarkStart w:id="81" w:name="_Toc20195"/>
      <w:r>
        <w:rPr>
          <w:rFonts w:hint="eastAsia" w:ascii="宋体" w:hAnsi="宋体" w:cs="宋体"/>
          <w:color w:val="auto"/>
          <w:sz w:val="30"/>
          <w:szCs w:val="30"/>
          <w:lang w:val="en-US" w:eastAsia="zh-CN"/>
        </w:rPr>
        <w:t>1.7.4电气线路</w:t>
      </w:r>
      <w:bookmarkEnd w:id="80"/>
      <w:r>
        <w:rPr>
          <w:rFonts w:hint="eastAsia" w:ascii="宋体" w:hAnsi="宋体" w:cs="宋体"/>
          <w:color w:val="auto"/>
          <w:sz w:val="30"/>
          <w:szCs w:val="30"/>
          <w:lang w:val="en-US" w:eastAsia="zh-CN"/>
        </w:rPr>
        <w:t>危险、有害因素分析</w:t>
      </w:r>
      <w:bookmarkEnd w:id="8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老化或线路裸露，易引起漏电、短路，产生火花；电源开关闭合瞬间接触易引起强烈电弧产生火花；为泄漏的可燃气体燃烧提供条件。电源线路凌乱或破裂，容易使人遭电击。防雷装置缺少，遇雷击站内会产生强烈火花；平时操作产生的静电不能及时导走，易形成火花，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电气设备不应在国家颁布的淘汰产品行列内，应具有国家指定机构的认证标志。如在爆炸、火灾危险环境，属于粉尘、潮湿或腐蚀环境中工作，防爆电器应达到相应的防爆等级。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电气设备应设置触电保护、漏电保护、短路保护、过载保护、屏护装置。线路应有良好的绝缘效果。根据作业环境和条件选择安全电压，安全电压值和电气设备。防静电、防雷击等电气</w:t>
      </w:r>
      <w:r>
        <w:rPr>
          <w:rFonts w:hint="eastAsia" w:ascii="宋体" w:hAnsi="宋体"/>
          <w:color w:val="auto"/>
          <w:sz w:val="28"/>
          <w:szCs w:val="28"/>
          <w:lang w:eastAsia="zh-CN"/>
        </w:rPr>
        <w:t>联接</w:t>
      </w:r>
      <w:r>
        <w:rPr>
          <w:rFonts w:hint="eastAsia" w:ascii="宋体" w:hAnsi="宋体"/>
          <w:color w:val="auto"/>
          <w:sz w:val="28"/>
          <w:szCs w:val="28"/>
        </w:rPr>
        <w:t>措施必须可靠。应保证在事故状态下有可靠的照明、消防、疏散用电及应急措施用电。</w:t>
      </w:r>
    </w:p>
    <w:p>
      <w:pPr>
        <w:spacing w:line="360" w:lineRule="auto"/>
        <w:ind w:firstLine="560" w:firstLineChars="200"/>
        <w:rPr>
          <w:rFonts w:hint="eastAsia" w:ascii="宋体" w:hAnsi="宋体"/>
          <w:color w:val="auto"/>
          <w:spacing w:val="-6"/>
          <w:sz w:val="28"/>
          <w:szCs w:val="28"/>
        </w:rPr>
      </w:pPr>
      <w:r>
        <w:rPr>
          <w:rFonts w:hint="eastAsia" w:ascii="宋体" w:hAnsi="宋体"/>
          <w:color w:val="auto"/>
          <w:sz w:val="28"/>
          <w:szCs w:val="28"/>
        </w:rPr>
        <w:t>加油站内使用手机、无线通信设备、电动玩具和其他电子产品等，</w:t>
      </w:r>
      <w:r>
        <w:rPr>
          <w:rFonts w:hint="eastAsia" w:ascii="宋体" w:hAnsi="宋体"/>
          <w:color w:val="auto"/>
          <w:spacing w:val="-6"/>
          <w:sz w:val="28"/>
          <w:szCs w:val="28"/>
        </w:rPr>
        <w:t>在使用过程中会产生电火花，若遇油气</w:t>
      </w:r>
      <w:r>
        <w:rPr>
          <w:rFonts w:hint="eastAsia" w:ascii="宋体" w:hAnsi="宋体"/>
          <w:color w:val="auto"/>
          <w:spacing w:val="-6"/>
          <w:sz w:val="28"/>
          <w:szCs w:val="28"/>
          <w:lang w:eastAsia="zh-CN"/>
        </w:rPr>
        <w:t>积聚</w:t>
      </w:r>
      <w:r>
        <w:rPr>
          <w:rFonts w:hint="eastAsia" w:ascii="宋体" w:hAnsi="宋体"/>
          <w:color w:val="auto"/>
          <w:spacing w:val="-6"/>
          <w:sz w:val="28"/>
          <w:szCs w:val="28"/>
        </w:rPr>
        <w:t>，可能导致火灾、爆炸等事故。</w:t>
      </w:r>
    </w:p>
    <w:p>
      <w:pPr>
        <w:pStyle w:val="6"/>
        <w:rPr>
          <w:rFonts w:hint="eastAsia" w:ascii="宋体" w:hAnsi="宋体" w:cs="宋体"/>
          <w:color w:val="auto"/>
          <w:sz w:val="30"/>
          <w:szCs w:val="30"/>
          <w:lang w:val="en-US" w:eastAsia="zh-CN"/>
        </w:rPr>
      </w:pPr>
      <w:bookmarkStart w:id="82" w:name="_Toc83757051"/>
      <w:bookmarkStart w:id="83" w:name="_Toc875"/>
      <w:r>
        <w:rPr>
          <w:rFonts w:hint="eastAsia" w:ascii="宋体" w:hAnsi="宋体" w:cs="宋体"/>
          <w:color w:val="auto"/>
          <w:sz w:val="30"/>
          <w:szCs w:val="30"/>
          <w:lang w:val="en-US" w:eastAsia="zh-CN"/>
        </w:rPr>
        <w:t>1.7.5防静电装置</w:t>
      </w:r>
      <w:bookmarkEnd w:id="82"/>
      <w:r>
        <w:rPr>
          <w:rFonts w:hint="eastAsia" w:ascii="宋体" w:hAnsi="宋体" w:cs="宋体"/>
          <w:color w:val="auto"/>
          <w:sz w:val="30"/>
          <w:szCs w:val="30"/>
          <w:lang w:val="en-US" w:eastAsia="zh-CN"/>
        </w:rPr>
        <w:t>危险、有害因素分析</w:t>
      </w:r>
      <w:bookmarkEnd w:id="8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生产设备和管道如未采用静电接地装置，汽油在管道中流动会产生静电，静电积聚易形成火花，引发火灾爆炸事故。生产现场使用的静电导体制作的操作工具未接地,会因静电积聚产生火花引发火灾爆炸事故。工作人员作业时穿戴化纤、丝绸衣物，因摩擦产生静电火花，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因经常发生接触、摩擦、分离而起电的物料和生产设备，生产设备宜采用合理的物质组合，使产生的正、负电荷相互抵消，最终达到起电最小的目的。选用导电性能较好的材料，限制静电的产生和积累。生产设备和管道内外表面应光滑平整、无棱角，容器内避免有静电放电条件的细长导电性突出物，同时应设置静电接地线，保证产生的静电能得到有效的传导。在易发生静电聚集和静电火花的场合，尽量避免爆炸性</w:t>
      </w:r>
      <w:r>
        <w:rPr>
          <w:rFonts w:hint="eastAsia" w:ascii="宋体" w:hAnsi="宋体"/>
          <w:color w:val="auto"/>
          <w:sz w:val="28"/>
          <w:szCs w:val="28"/>
          <w:lang w:eastAsia="zh-CN"/>
        </w:rPr>
        <w:t>混合物</w:t>
      </w:r>
      <w:r>
        <w:rPr>
          <w:rFonts w:hint="eastAsia" w:ascii="宋体" w:hAnsi="宋体"/>
          <w:color w:val="auto"/>
          <w:sz w:val="28"/>
          <w:szCs w:val="28"/>
        </w:rPr>
        <w:t>的形成。</w:t>
      </w:r>
    </w:p>
    <w:bookmarkEnd w:id="74"/>
    <w:p>
      <w:pPr>
        <w:pStyle w:val="5"/>
        <w:rPr>
          <w:rFonts w:hint="eastAsia" w:ascii="宋体" w:hAnsi="宋体" w:eastAsia="宋体" w:cs="宋体"/>
          <w:color w:val="auto"/>
          <w:szCs w:val="28"/>
          <w:lang w:val="en-US" w:eastAsia="zh-CN"/>
        </w:rPr>
      </w:pPr>
      <w:bookmarkStart w:id="84" w:name="_Toc296007134"/>
      <w:bookmarkStart w:id="85" w:name="_Toc13216"/>
      <w:bookmarkStart w:id="86" w:name="_Toc17853"/>
      <w:bookmarkStart w:id="87" w:name="_Toc29943"/>
      <w:bookmarkStart w:id="88" w:name="_Toc16714"/>
      <w:bookmarkStart w:id="89" w:name="_Toc449348759"/>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8</w:t>
      </w:r>
      <w:r>
        <w:rPr>
          <w:rFonts w:hint="eastAsia" w:ascii="宋体" w:hAnsi="宋体" w:eastAsia="宋体" w:cs="宋体"/>
          <w:color w:val="auto"/>
          <w:szCs w:val="28"/>
          <w:lang w:val="en-US" w:eastAsia="zh-CN"/>
        </w:rPr>
        <w:t xml:space="preserve"> </w:t>
      </w:r>
      <w:r>
        <w:rPr>
          <w:rFonts w:hint="eastAsia" w:ascii="宋体" w:hAnsi="宋体" w:cs="宋体"/>
          <w:color w:val="auto"/>
          <w:szCs w:val="28"/>
          <w:lang w:val="en-US" w:eastAsia="zh-CN"/>
        </w:rPr>
        <w:t>施工、</w:t>
      </w:r>
      <w:r>
        <w:rPr>
          <w:rFonts w:hint="eastAsia" w:ascii="宋体" w:hAnsi="宋体" w:eastAsia="宋体" w:cs="宋体"/>
          <w:color w:val="auto"/>
          <w:szCs w:val="28"/>
          <w:lang w:val="en-US" w:eastAsia="zh-CN"/>
        </w:rPr>
        <w:t>维护清理、检修过程中的</w:t>
      </w:r>
      <w:bookmarkEnd w:id="84"/>
      <w:bookmarkEnd w:id="85"/>
      <w:r>
        <w:rPr>
          <w:rFonts w:hint="eastAsia" w:ascii="宋体" w:hAnsi="宋体" w:eastAsia="宋体" w:cs="宋体"/>
          <w:color w:val="auto"/>
          <w:szCs w:val="28"/>
          <w:lang w:val="en-US" w:eastAsia="zh-CN"/>
        </w:rPr>
        <w:t>危险有害因素分析</w:t>
      </w:r>
      <w:bookmarkEnd w:id="86"/>
      <w:bookmarkEnd w:id="87"/>
      <w:bookmarkEnd w:id="88"/>
      <w:bookmarkEnd w:id="89"/>
    </w:p>
    <w:p>
      <w:pPr>
        <w:pStyle w:val="6"/>
        <w:rPr>
          <w:rFonts w:hint="eastAsia" w:ascii="宋体" w:hAnsi="宋体" w:eastAsia="宋体" w:cs="宋体"/>
          <w:color w:val="auto"/>
          <w:sz w:val="30"/>
          <w:szCs w:val="30"/>
        </w:rPr>
      </w:pPr>
      <w:bookmarkStart w:id="90" w:name="_Toc449348760"/>
      <w:bookmarkStart w:id="91" w:name="_Toc21455"/>
      <w:bookmarkStart w:id="92" w:name="_Toc1144"/>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8</w:t>
      </w:r>
      <w:r>
        <w:rPr>
          <w:rFonts w:hint="eastAsia" w:ascii="宋体" w:hAnsi="宋体" w:eastAsia="宋体" w:cs="宋体"/>
          <w:color w:val="auto"/>
          <w:sz w:val="30"/>
          <w:szCs w:val="30"/>
        </w:rPr>
        <w:t>.1 设备维护清理作业</w:t>
      </w:r>
      <w:bookmarkEnd w:id="90"/>
      <w:bookmarkEnd w:id="91"/>
      <w:r>
        <w:rPr>
          <w:rFonts w:hint="eastAsia" w:ascii="宋体" w:hAnsi="宋体" w:cs="宋体"/>
          <w:color w:val="auto"/>
          <w:sz w:val="30"/>
          <w:szCs w:val="30"/>
          <w:lang w:val="en-US" w:eastAsia="zh-CN"/>
        </w:rPr>
        <w:t>危险、有害因素分析</w:t>
      </w:r>
      <w:bookmarkEnd w:id="92"/>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设备设施维护作业带有一定的危险性。在作业时，不坚持在无明火、无油品或无油气的条件下作业，或不按作业规程作业，产生的各种火花、明火极有可能引起油品燃烧或混合性爆炸气体的回燃、爆炸。</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油罐清洗作业时，由于罐内油气和沉淀物清除不彻底，残余油气遇静电、摩擦、电火花等点火源，可能导致火灾、爆炸事故；此外，清罐作业废水若不采取集中收集处理，随意倾倒也有可能引发火灾事故。</w:t>
      </w:r>
    </w:p>
    <w:p>
      <w:pPr>
        <w:numPr>
          <w:ilvl w:val="0"/>
          <w:numId w:val="9"/>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油罐清洗作业时，未按《</w:t>
      </w:r>
      <w:r>
        <w:rPr>
          <w:rFonts w:hint="eastAsia" w:ascii="宋体" w:hAnsi="宋体" w:eastAsia="宋体" w:cs="宋体"/>
          <w:color w:val="auto"/>
          <w:sz w:val="28"/>
          <w:szCs w:val="28"/>
          <w:highlight w:val="none"/>
          <w:lang w:eastAsia="zh-CN"/>
        </w:rPr>
        <w:t>危险化学品企业特殊作业安全规范</w:t>
      </w:r>
      <w:r>
        <w:rPr>
          <w:rFonts w:hint="eastAsia" w:ascii="宋体" w:hAnsi="宋体" w:eastAsia="宋体" w:cs="宋体"/>
          <w:color w:val="auto"/>
          <w:sz w:val="28"/>
          <w:szCs w:val="28"/>
          <w:highlight w:val="none"/>
        </w:rPr>
        <w:t>》（GB30871-</w:t>
      </w:r>
      <w:r>
        <w:rPr>
          <w:rFonts w:hint="eastAsia" w:ascii="宋体" w:hAnsi="宋体" w:cs="宋体"/>
          <w:color w:val="auto"/>
          <w:sz w:val="28"/>
          <w:szCs w:val="28"/>
          <w:highlight w:val="none"/>
          <w:lang w:val="en-US" w:eastAsia="zh-CN"/>
        </w:rPr>
        <w:t>2022</w:t>
      </w:r>
      <w:r>
        <w:rPr>
          <w:rFonts w:hint="eastAsia" w:ascii="宋体" w:hAnsi="宋体" w:eastAsia="宋体" w:cs="宋体"/>
          <w:color w:val="auto"/>
          <w:sz w:val="28"/>
          <w:szCs w:val="28"/>
          <w:highlight w:val="none"/>
        </w:rPr>
        <w:t>）进行操作可能造成人员中毒窒息。</w:t>
      </w:r>
    </w:p>
    <w:p>
      <w:pPr>
        <w:pStyle w:val="6"/>
        <w:rPr>
          <w:rFonts w:hint="eastAsia" w:ascii="宋体" w:hAnsi="宋体" w:eastAsia="宋体" w:cs="宋体"/>
          <w:color w:val="auto"/>
          <w:sz w:val="30"/>
          <w:szCs w:val="30"/>
          <w:lang w:val="en-US" w:eastAsia="zh-CN"/>
        </w:rPr>
      </w:pPr>
      <w:bookmarkStart w:id="93" w:name="_Toc2565"/>
      <w:bookmarkStart w:id="94" w:name="_Toc449348761"/>
      <w:bookmarkStart w:id="95" w:name="_Toc1764"/>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 xml:space="preserve">.2 </w:t>
      </w:r>
      <w:r>
        <w:rPr>
          <w:rFonts w:hint="eastAsia" w:ascii="宋体" w:hAnsi="宋体" w:eastAsia="宋体" w:cs="宋体"/>
          <w:color w:val="auto"/>
          <w:sz w:val="30"/>
          <w:szCs w:val="30"/>
          <w:lang w:val="zh-CN" w:eastAsia="zh-CN"/>
        </w:rPr>
        <w:t>施工</w:t>
      </w:r>
      <w:bookmarkEnd w:id="93"/>
      <w:bookmarkEnd w:id="94"/>
      <w:r>
        <w:rPr>
          <w:rFonts w:hint="eastAsia" w:ascii="宋体" w:hAnsi="宋体" w:eastAsia="宋体" w:cs="宋体"/>
          <w:color w:val="auto"/>
          <w:sz w:val="30"/>
          <w:szCs w:val="30"/>
          <w:lang w:val="en-US" w:eastAsia="zh-CN"/>
        </w:rPr>
        <w:t>作业</w:t>
      </w:r>
      <w:r>
        <w:rPr>
          <w:rFonts w:hint="eastAsia" w:ascii="宋体" w:hAnsi="宋体" w:cs="宋体"/>
          <w:color w:val="auto"/>
          <w:sz w:val="30"/>
          <w:szCs w:val="30"/>
          <w:lang w:val="en-US" w:eastAsia="zh-CN"/>
        </w:rPr>
        <w:t>危险、有害因素分析</w:t>
      </w:r>
      <w:bookmarkEnd w:id="9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在施工作业过程中，因施工种类较多，施工人员也多，且存在交叉作业，在进行地基施工、地表施工、以及高空作业施工过程中，可能发生如下事故：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1.</w:t>
      </w:r>
      <w:r>
        <w:rPr>
          <w:rFonts w:hint="eastAsia" w:ascii="宋体" w:hAnsi="宋体"/>
          <w:color w:val="auto"/>
          <w:sz w:val="28"/>
          <w:szCs w:val="28"/>
          <w:lang w:val="zh-CN"/>
        </w:rPr>
        <w:t>火灾</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施工现场存在多种可燃物体，如：油漆、材料包装物、木材等，作业现场还存在焊接等多种点火源，一旦可燃物体与点火源接触将发生火灾事故。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2.</w:t>
      </w:r>
      <w:r>
        <w:rPr>
          <w:rFonts w:hint="eastAsia" w:ascii="宋体" w:hAnsi="宋体"/>
          <w:color w:val="auto"/>
          <w:sz w:val="28"/>
          <w:szCs w:val="28"/>
          <w:lang w:val="zh-CN"/>
        </w:rPr>
        <w:t>容器爆炸</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施工作业场所使用的空压机及储气罐，氧气、乙炔等工业气瓶在使用过程中，违规操作、剧烈碰撞，均可能发生容器爆炸事故。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3.</w:t>
      </w:r>
      <w:r>
        <w:rPr>
          <w:rFonts w:hint="eastAsia" w:ascii="宋体" w:hAnsi="宋体"/>
          <w:color w:val="auto"/>
          <w:sz w:val="28"/>
          <w:szCs w:val="28"/>
          <w:lang w:val="zh-CN"/>
        </w:rPr>
        <w:t>坍塌</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基坑施工过程中，若坑壁未进行必要的支护、坑壁坡度过大、基坑顶部边缘有较大荷载或因雨水作用造成失稳，均可能造成坍塌事故。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高处坠落</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地基开挖后，在施工现场存在较多的基坑、桩坑等与基准面有较大高差的场所，若未设置警示标志，未进行施工的坑洞没有盖板，均有可能造成高处坠落事故。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5.</w:t>
      </w:r>
      <w:r>
        <w:rPr>
          <w:rFonts w:hint="eastAsia" w:ascii="宋体" w:hAnsi="宋体"/>
          <w:color w:val="auto"/>
          <w:sz w:val="28"/>
          <w:szCs w:val="28"/>
          <w:lang w:val="zh-CN"/>
        </w:rPr>
        <w:t>物体打击</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在基坑内施工人员，由于所处基准面较低，若在地面施工人员，疏忽大意使石块、物料等掉落基坑，将造成物体打击事故。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6.</w:t>
      </w:r>
      <w:r>
        <w:rPr>
          <w:rFonts w:hint="eastAsia" w:ascii="宋体" w:hAnsi="宋体"/>
          <w:color w:val="auto"/>
          <w:sz w:val="28"/>
          <w:szCs w:val="28"/>
          <w:lang w:val="zh-CN"/>
        </w:rPr>
        <w:t>触电伤害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触电伤害发生在电气设备维修、停送电操作、电工、焊接作业等。</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7.</w:t>
      </w:r>
      <w:r>
        <w:rPr>
          <w:rFonts w:hint="eastAsia" w:ascii="宋体" w:hAnsi="宋体"/>
          <w:color w:val="auto"/>
          <w:sz w:val="28"/>
          <w:szCs w:val="28"/>
          <w:lang w:val="zh-CN"/>
        </w:rPr>
        <w:t>机械伤害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施工中电锯、钢筋加工等易造成机械伤害，尤其是起重机械，一旦出现事故，将会造成重大人员伤亡及财产损失。</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8.</w:t>
      </w:r>
      <w:r>
        <w:rPr>
          <w:rFonts w:hint="eastAsia" w:ascii="宋体" w:hAnsi="宋体"/>
          <w:color w:val="auto"/>
          <w:sz w:val="28"/>
          <w:szCs w:val="28"/>
          <w:lang w:val="zh-CN"/>
        </w:rPr>
        <w:t>淹溺</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由于基坑位于地表以下，由于雨水、地表水、地下水的汇集，坑内一般积水较多，若施工人员掉落积水坑或坑内施工时未探明水深，可能造成淹溺事故。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9.</w:t>
      </w:r>
      <w:r>
        <w:rPr>
          <w:rFonts w:hint="eastAsia" w:ascii="宋体" w:hAnsi="宋体"/>
          <w:color w:val="auto"/>
          <w:sz w:val="28"/>
          <w:szCs w:val="28"/>
          <w:lang w:val="zh-CN"/>
        </w:rPr>
        <w:t>车辆伤害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施工现场造成交通事故的原因主要有：施工现场内道路转角处视野不开阔、疲劳作业、违章驾驶、车辆机械故障等。</w:t>
      </w:r>
    </w:p>
    <w:p>
      <w:pPr>
        <w:pStyle w:val="6"/>
        <w:rPr>
          <w:rFonts w:hint="eastAsia" w:ascii="宋体" w:hAnsi="宋体" w:eastAsia="宋体" w:cs="宋体"/>
          <w:color w:val="auto"/>
          <w:sz w:val="30"/>
          <w:szCs w:val="30"/>
          <w:lang w:val="en-US" w:eastAsia="zh-CN"/>
        </w:rPr>
      </w:pPr>
      <w:bookmarkStart w:id="96" w:name="_Toc5298"/>
      <w:r>
        <w:rPr>
          <w:rFonts w:hint="eastAsia" w:ascii="宋体" w:hAnsi="宋体" w:eastAsia="宋体" w:cs="宋体"/>
          <w:color w:val="auto"/>
          <w:sz w:val="30"/>
          <w:szCs w:val="30"/>
          <w:lang w:val="en-US" w:eastAsia="zh-CN"/>
        </w:rPr>
        <w:t>1.8.</w:t>
      </w:r>
      <w:r>
        <w:rPr>
          <w:rFonts w:hint="eastAsia" w:ascii="宋体" w:hAnsi="宋体" w:cs="宋体"/>
          <w:color w:val="auto"/>
          <w:sz w:val="30"/>
          <w:szCs w:val="30"/>
          <w:lang w:val="en-US" w:eastAsia="zh-CN"/>
        </w:rPr>
        <w:t>3</w:t>
      </w:r>
      <w:r>
        <w:rPr>
          <w:rFonts w:hint="eastAsia" w:ascii="宋体" w:hAnsi="宋体" w:eastAsia="宋体" w:cs="宋体"/>
          <w:color w:val="auto"/>
          <w:sz w:val="30"/>
          <w:szCs w:val="30"/>
          <w:lang w:val="en-US" w:eastAsia="zh-CN"/>
        </w:rPr>
        <w:t xml:space="preserve"> 检修作业</w:t>
      </w:r>
      <w:r>
        <w:rPr>
          <w:rFonts w:hint="eastAsia" w:ascii="宋体" w:hAnsi="宋体" w:cs="宋体"/>
          <w:color w:val="auto"/>
          <w:sz w:val="30"/>
          <w:szCs w:val="30"/>
          <w:lang w:val="en-US" w:eastAsia="zh-CN"/>
        </w:rPr>
        <w:t>危险、有害因素分析</w:t>
      </w:r>
      <w:bookmarkEnd w:id="96"/>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若在检修作业时未制定严格的储油、加油等装置的各项安全操作规程和安全措施，储油和加油装置周围存在点火源，导致发生火灾爆炸事故。</w:t>
      </w:r>
    </w:p>
    <w:p>
      <w:pPr>
        <w:numPr>
          <w:ilvl w:val="0"/>
          <w:numId w:val="10"/>
        </w:numPr>
        <w:rPr>
          <w:rFonts w:hint="eastAsia" w:ascii="宋体" w:hAnsi="宋体" w:eastAsia="宋体" w:cs="宋体"/>
          <w:color w:val="auto"/>
          <w:sz w:val="28"/>
          <w:szCs w:val="28"/>
        </w:rPr>
      </w:pPr>
      <w:bookmarkStart w:id="97" w:name="OLE_LINK67"/>
      <w:r>
        <w:rPr>
          <w:rFonts w:hint="eastAsia" w:ascii="宋体" w:hAnsi="宋体" w:eastAsia="宋体" w:cs="宋体"/>
          <w:color w:val="auto"/>
          <w:sz w:val="28"/>
          <w:szCs w:val="28"/>
        </w:rPr>
        <w:t>在停工检修现场和油罐清理等，未严格按规定进行停工后油罐置换、吹扫与清洗等作业或作业工作完成不完全彻底，或未切断待检设备的电源，安全交接工作未交接清楚明白，易导致发生火灾爆炸、人员中毒或触电事故。</w:t>
      </w:r>
    </w:p>
    <w:bookmarkEnd w:id="97"/>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设备内作业时未按规定办理“设备内安全作业证”，并严格履行审批手续，未使用安全电压，可能由于电气火花发生火灾爆炸事故或触电事故；或未严格落实专人监护，罐未清洗、置换、吹扫并检测合格，违规动火作业可能发生火灾爆炸事故；罐内作业未进行氧含量分析或通风不良、未严格落实专人监护、个体防护、应急救护措施可能发生人员中毒与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设备进行焊接或气割等检修工作时，未设置专人对作业现场监督检查，未重点检查罐内和周边环境的通风是否良好、检修地点周边是否有危险源、经营场地是否保持安全距离、设备是否接地良好、氧气和乙炔气瓶是否有专人控制、工作间歇时焊枪是否从罐内移出，焊枪和气瓶是否渗漏等现象，均导致发生火灾爆炸、人员中毒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在检修作业现场若检修工具放于高处掉下</w:t>
      </w:r>
      <w:r>
        <w:rPr>
          <w:rFonts w:hint="eastAsia" w:ascii="宋体" w:hAnsi="宋体" w:cs="宋体"/>
          <w:color w:val="auto"/>
          <w:sz w:val="28"/>
          <w:szCs w:val="28"/>
          <w:lang w:eastAsia="zh-CN"/>
        </w:rPr>
        <w:t>或</w:t>
      </w:r>
      <w:r>
        <w:rPr>
          <w:rFonts w:hint="eastAsia" w:ascii="宋体" w:hAnsi="宋体" w:eastAsia="宋体" w:cs="宋体"/>
          <w:color w:val="auto"/>
          <w:sz w:val="28"/>
          <w:szCs w:val="28"/>
        </w:rPr>
        <w:t>其他高处物体放置不牢跌落等均可能造成物体打击。</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在加油站内建筑物、高处设备和操作平台进行检修作业中，若未按要求设置安全防护设施或安全防护设施因腐蚀等原因而不可靠，人员未按高处作业要求穿戴防护用品，操作处置失误等，易发生高处坠落；</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安装、检修设备、管道时，或操作检修机械设备等运转设备时，安全措施不完善，劳动保护不到位等，易发生机械伤害事故；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对电器设备维护检修时，由于电器设备或电气线路漏电，或检修时在开关上未悬挂“正在检修，禁止合闸”警示标志，或使用电器设备时未配电绝缘手套等防护用品，使用移动电器设备未设置漏电保护开关，或违规操作等现象，可造成人员触电；</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检修过程中使用电焊、气焊操作中，由于焊接产生的电弧及焊接后工件表面具有较高的温度，一旦因人员操作不当或未佩戴防护用品或佩戴不合格的防护用品，可能对工作人员带来非电离辐射伤害、灼烫伤害。</w:t>
      </w:r>
    </w:p>
    <w:p>
      <w:pPr>
        <w:pStyle w:val="5"/>
        <w:rPr>
          <w:rFonts w:hint="eastAsia" w:ascii="宋体" w:hAnsi="宋体" w:eastAsia="宋体" w:cs="宋体"/>
          <w:color w:val="auto"/>
          <w:szCs w:val="28"/>
          <w:lang w:val="en-US" w:eastAsia="zh-CN"/>
        </w:rPr>
      </w:pPr>
      <w:bookmarkStart w:id="98" w:name="_Hlk517879821"/>
      <w:bookmarkStart w:id="99" w:name="_Toc31045"/>
      <w:bookmarkStart w:id="100" w:name="_Toc73462398"/>
      <w:r>
        <w:rPr>
          <w:rFonts w:hint="eastAsia" w:ascii="宋体" w:hAnsi="宋体" w:cs="宋体"/>
          <w:color w:val="auto"/>
          <w:szCs w:val="28"/>
          <w:lang w:val="en-US" w:eastAsia="zh-CN"/>
        </w:rPr>
        <w:t>1.9</w:t>
      </w:r>
      <w:r>
        <w:rPr>
          <w:rFonts w:hint="eastAsia" w:ascii="宋体" w:hAnsi="宋体" w:eastAsia="宋体" w:cs="宋体"/>
          <w:color w:val="auto"/>
          <w:szCs w:val="28"/>
          <w:lang w:val="en-US" w:eastAsia="zh-CN"/>
        </w:rPr>
        <w:t>受限空间作业危险性分析</w:t>
      </w:r>
      <w:bookmarkEnd w:id="98"/>
      <w:bookmarkEnd w:id="99"/>
      <w:bookmarkEnd w:id="100"/>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加油站人孔井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化粪池、操作井、污水处理池等</w:t>
      </w:r>
      <w:r>
        <w:rPr>
          <w:rFonts w:hint="eastAsia" w:ascii="宋体" w:hAnsi="宋体" w:eastAsia="宋体" w:cs="宋体"/>
          <w:color w:val="auto"/>
          <w:sz w:val="28"/>
          <w:szCs w:val="28"/>
        </w:rPr>
        <w:t>属于受限空间作业，检维修时人员进入，若通风不彻底，氧浓度不合格，滞留在受限空间内易致使作业人员中毒或窒息，或由于作业人员安全意识不强，监护人监护不到位，在传递工具等过程中发生物体打击伤害。 由于通风不良，受限空间内的可燃气体在空间内不断聚集，当其达到爆炸极限后，遇明火即会发生爆炸事故。</w:t>
      </w:r>
    </w:p>
    <w:p>
      <w:pPr>
        <w:pStyle w:val="5"/>
        <w:rPr>
          <w:rFonts w:hint="eastAsia" w:ascii="宋体" w:hAnsi="宋体" w:eastAsia="宋体" w:cs="宋体"/>
          <w:color w:val="auto"/>
          <w:szCs w:val="28"/>
          <w:lang w:val="en-US" w:eastAsia="zh-CN"/>
        </w:rPr>
      </w:pPr>
      <w:bookmarkStart w:id="101" w:name="_Toc14189"/>
      <w:bookmarkStart w:id="102" w:name="_Toc296007137"/>
      <w:bookmarkStart w:id="103" w:name="_Toc24408"/>
      <w:bookmarkStart w:id="104" w:name="_Toc28362"/>
      <w:bookmarkStart w:id="105" w:name="_Toc31240"/>
      <w:bookmarkStart w:id="106" w:name="_Toc449348762"/>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10</w:t>
      </w:r>
      <w:r>
        <w:rPr>
          <w:rFonts w:hint="eastAsia" w:ascii="宋体" w:hAnsi="宋体" w:eastAsia="宋体" w:cs="宋体"/>
          <w:color w:val="auto"/>
          <w:szCs w:val="28"/>
          <w:lang w:val="en-US" w:eastAsia="zh-CN"/>
        </w:rPr>
        <w:t xml:space="preserve"> 安全管理</w:t>
      </w:r>
      <w:bookmarkEnd w:id="101"/>
      <w:bookmarkEnd w:id="102"/>
      <w:r>
        <w:rPr>
          <w:rFonts w:hint="eastAsia" w:ascii="宋体" w:hAnsi="宋体" w:eastAsia="宋体" w:cs="宋体"/>
          <w:color w:val="auto"/>
          <w:szCs w:val="28"/>
          <w:lang w:val="en-US" w:eastAsia="zh-CN"/>
        </w:rPr>
        <w:t>中存在的危险有害因素分析</w:t>
      </w:r>
      <w:bookmarkEnd w:id="103"/>
      <w:bookmarkEnd w:id="104"/>
      <w:bookmarkEnd w:id="105"/>
      <w:bookmarkEnd w:id="106"/>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加油站安全管理机构不健全、安全规章制度和安全操作规程不完善或执行不力、人员违章和失误、缺乏事故应急处理机制、应急救护及装备不到位等往往是导致各类安全事故发生的最直接的原因。</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安全管理组织机构不健全，不能有效地控制和监督经营储存过程的安全进行，避免和减少各类事故发生，且一旦发生事故，缺少有组织、有纪律的应急救援，导致事故扩大，增加财产损失和人员伤亡。</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安全责任制不健全或不落实，人员职责不明确，不能做到预防为主，严格管理，一旦事故发生后，不能有效实施事故责任追究制，存在潜在的安全隐患。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安全负责人和安全生产管理人员未定期进行继续安全教育培训，不具备进行安全管理的能力，造成经营过程中安全管理混乱，从而酿成各类事故发生。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未制定严格、完善的安全管理规章制度和岗位操作规程，致使员工在经营过程中无规可依、无章可循，导致违章操作、违章指挥、违反劳动纪律等现象发生。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作业人员未进行专业培训或培训考核不合格就上岗，不熟悉有关的安全经营规章制度和掌握本岗位的安全操作规程，专业技术、技能差，导致操作失误，引发安全事故。</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作业人员未进行日常安全知识培训和应急教育，在紧急情况下不能采取正确的应急方法，事故发生初期自救、互救能力低。</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作业人员素质低、安全意识差，工作过程中出现思想麻痹、粗心大意、疲劳作业、醉酒上岗等现象，减少人的不安全行为、改善安全环境带来了极大的困难，存在事故隐患。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未制定完善重大事故应急救援预案和进行事故演练，发生紧急情况时不能做出快速反应，不能按照预先布置及时投入救援，消除和降低事故影响，导致事故蔓延、扩大，从而造成更大的损失和后果。</w:t>
      </w:r>
    </w:p>
    <w:p>
      <w:pPr>
        <w:pStyle w:val="5"/>
        <w:rPr>
          <w:rFonts w:hint="eastAsia" w:ascii="宋体" w:hAnsi="宋体" w:eastAsia="宋体" w:cs="宋体"/>
          <w:color w:val="auto"/>
          <w:szCs w:val="28"/>
          <w:lang w:val="en-US" w:eastAsia="zh-CN"/>
        </w:rPr>
      </w:pPr>
      <w:bookmarkStart w:id="107" w:name="_Toc296007139"/>
      <w:bookmarkStart w:id="108" w:name="_Toc12776"/>
      <w:bookmarkStart w:id="109" w:name="_Toc449348763"/>
      <w:bookmarkStart w:id="110" w:name="_Toc26350"/>
      <w:bookmarkStart w:id="111" w:name="_Toc23819"/>
      <w:bookmarkStart w:id="112" w:name="_Toc8951"/>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11其他</w:t>
      </w:r>
      <w:bookmarkEnd w:id="107"/>
      <w:bookmarkEnd w:id="108"/>
      <w:r>
        <w:rPr>
          <w:rFonts w:hint="eastAsia" w:ascii="宋体" w:hAnsi="宋体" w:eastAsia="宋体" w:cs="宋体"/>
          <w:color w:val="auto"/>
          <w:szCs w:val="28"/>
          <w:lang w:val="en-US" w:eastAsia="zh-CN"/>
        </w:rPr>
        <w:t>危险有害因素分析</w:t>
      </w:r>
      <w:bookmarkEnd w:id="109"/>
      <w:bookmarkEnd w:id="110"/>
      <w:bookmarkEnd w:id="111"/>
      <w:bookmarkEnd w:id="112"/>
    </w:p>
    <w:p>
      <w:pPr>
        <w:ind w:firstLine="560" w:firstLineChars="200"/>
        <w:rPr>
          <w:rFonts w:hint="eastAsia" w:ascii="宋体" w:hAnsi="宋体" w:eastAsia="宋体" w:cs="宋体"/>
          <w:color w:val="auto"/>
          <w:sz w:val="28"/>
          <w:szCs w:val="28"/>
        </w:rPr>
      </w:pPr>
      <w:bookmarkStart w:id="113" w:name="OLE_LINK68"/>
      <w:r>
        <w:rPr>
          <w:rFonts w:hint="eastAsia" w:ascii="宋体" w:hAnsi="宋体" w:eastAsia="宋体" w:cs="宋体"/>
          <w:color w:val="auto"/>
          <w:sz w:val="28"/>
          <w:szCs w:val="28"/>
        </w:rPr>
        <w:t>1.操作人员在工作中经常接触柴油，可能引起</w:t>
      </w:r>
      <w:r>
        <w:rPr>
          <w:rFonts w:hint="eastAsia" w:ascii="宋体" w:hAnsi="宋体" w:cs="宋体"/>
          <w:color w:val="auto"/>
          <w:sz w:val="28"/>
          <w:szCs w:val="28"/>
          <w:lang w:eastAsia="zh-CN"/>
        </w:rPr>
        <w:t>各类</w:t>
      </w:r>
      <w:r>
        <w:rPr>
          <w:rFonts w:hint="eastAsia" w:ascii="宋体" w:hAnsi="宋体" w:eastAsia="宋体" w:cs="宋体"/>
          <w:color w:val="auto"/>
          <w:sz w:val="28"/>
          <w:szCs w:val="28"/>
        </w:rPr>
        <w:t>神经症，头晕、头痛、失眠、记忆力减退、恶心、乏力、食欲不振等。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2.站内的设备、部件或工具直接与人体接触可能引起夹击、碰撞等事故，在设备检修和清洗作业时，容易发生机械伤害事故。</w:t>
      </w:r>
    </w:p>
    <w:bookmarkEnd w:id="69"/>
    <w:bookmarkEnd w:id="70"/>
    <w:bookmarkEnd w:id="113"/>
    <w:p>
      <w:pPr>
        <w:pStyle w:val="5"/>
        <w:rPr>
          <w:rFonts w:hint="eastAsia" w:ascii="宋体" w:hAnsi="宋体" w:eastAsia="宋体" w:cs="宋体"/>
          <w:color w:val="auto"/>
          <w:szCs w:val="28"/>
          <w:lang w:val="en-US" w:eastAsia="zh-CN"/>
        </w:rPr>
      </w:pPr>
      <w:bookmarkStart w:id="114" w:name="_Toc17016"/>
      <w:bookmarkStart w:id="115" w:name="_Toc8788"/>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12</w:t>
      </w:r>
      <w:r>
        <w:rPr>
          <w:rFonts w:hint="eastAsia" w:ascii="宋体" w:hAnsi="宋体" w:eastAsia="宋体" w:cs="宋体"/>
          <w:color w:val="auto"/>
          <w:szCs w:val="28"/>
          <w:lang w:val="en-US" w:eastAsia="zh-CN"/>
        </w:rPr>
        <w:t xml:space="preserve"> 重大危险源辨识</w:t>
      </w:r>
      <w:bookmarkEnd w:id="114"/>
      <w:bookmarkEnd w:id="115"/>
    </w:p>
    <w:p>
      <w:pPr>
        <w:pStyle w:val="6"/>
        <w:rPr>
          <w:rFonts w:hint="eastAsia" w:ascii="宋体" w:hAnsi="宋体" w:eastAsia="宋体" w:cs="宋体"/>
          <w:color w:val="auto"/>
          <w:sz w:val="30"/>
          <w:szCs w:val="30"/>
        </w:rPr>
      </w:pPr>
      <w:bookmarkStart w:id="116" w:name="_Toc317"/>
      <w:bookmarkStart w:id="117" w:name="_Toc28975"/>
      <w:bookmarkStart w:id="118" w:name="_Toc29253"/>
      <w:bookmarkStart w:id="119" w:name="_Toc34568244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12</w:t>
      </w:r>
      <w:r>
        <w:rPr>
          <w:rFonts w:hint="eastAsia" w:ascii="宋体" w:hAnsi="宋体" w:eastAsia="宋体" w:cs="宋体"/>
          <w:color w:val="auto"/>
          <w:sz w:val="30"/>
          <w:szCs w:val="30"/>
        </w:rPr>
        <w:t>.1危险化学品重大危险源辨识依据</w:t>
      </w:r>
      <w:bookmarkEnd w:id="116"/>
      <w:bookmarkEnd w:id="117"/>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加油站</w:t>
      </w:r>
      <w:r>
        <w:rPr>
          <w:rFonts w:hint="eastAsia" w:ascii="宋体" w:hAnsi="宋体" w:eastAsia="宋体" w:cs="宋体"/>
          <w:color w:val="auto"/>
          <w:sz w:val="28"/>
          <w:szCs w:val="28"/>
        </w:rPr>
        <w:t>主要为汽油、柴油的储存，不涉及生产。根据《危险化学品重大危险源辨识》（GB18218-2018）的辨识依据及查找，经查找汽油、柴油属于易燃液体，属于危险化学品重大危险源辨识物质，因此本项目辨识物质为汽油、柴油。</w:t>
      </w:r>
    </w:p>
    <w:p>
      <w:pPr>
        <w:pStyle w:val="6"/>
        <w:rPr>
          <w:rFonts w:hint="eastAsia" w:ascii="宋体" w:hAnsi="宋体" w:eastAsia="宋体" w:cs="宋体"/>
          <w:color w:val="auto"/>
          <w:sz w:val="30"/>
          <w:szCs w:val="30"/>
        </w:rPr>
      </w:pPr>
      <w:bookmarkStart w:id="120" w:name="_Toc18795"/>
      <w:bookmarkStart w:id="121" w:name="_Toc2675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.2重大危险源</w:t>
      </w:r>
      <w:bookmarkEnd w:id="118"/>
      <w:bookmarkEnd w:id="119"/>
      <w:r>
        <w:rPr>
          <w:rFonts w:hint="eastAsia" w:ascii="宋体" w:hAnsi="宋体" w:eastAsia="宋体" w:cs="宋体"/>
          <w:color w:val="auto"/>
          <w:sz w:val="30"/>
          <w:szCs w:val="30"/>
        </w:rPr>
        <w:t>流程</w:t>
      </w:r>
      <w:bookmarkEnd w:id="120"/>
      <w:bookmarkEnd w:id="121"/>
    </w:p>
    <w:p>
      <w:pPr>
        <w:tabs>
          <w:tab w:val="left" w:pos="7500"/>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根据《危险化学品重大危险源辨识》（GB18218-2018），危险化学品重大危险源按图</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.2划分。</w:t>
      </w:r>
    </w:p>
    <w:p>
      <w:pPr>
        <w:pStyle w:val="6"/>
        <w:rPr>
          <w:rFonts w:hint="eastAsia" w:ascii="宋体" w:hAnsi="宋体" w:eastAsia="宋体" w:cs="宋体"/>
          <w:color w:val="auto"/>
          <w:sz w:val="30"/>
          <w:szCs w:val="30"/>
        </w:rPr>
      </w:pPr>
      <w:bookmarkStart w:id="122" w:name="_Toc8093"/>
      <w:bookmarkStart w:id="123" w:name="_Toc11952"/>
      <w:bookmarkStart w:id="124" w:name="_Toc5523"/>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.3重大危险源辨识</w:t>
      </w:r>
      <w:bookmarkEnd w:id="122"/>
      <w:r>
        <w:rPr>
          <w:rFonts w:hint="eastAsia" w:ascii="宋体" w:hAnsi="宋体" w:eastAsia="宋体" w:cs="宋体"/>
          <w:color w:val="auto"/>
          <w:sz w:val="30"/>
          <w:szCs w:val="30"/>
        </w:rPr>
        <w:t>单元划分</w:t>
      </w:r>
      <w:bookmarkEnd w:id="123"/>
      <w:bookmarkEnd w:id="124"/>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根据危险化学品重大危险源辨识流程图，应按照生产单元和储存单元划分，本项目不涉及生产，只涉及储存，因此本项目单元划分只有储存单元，需辨识的储存危险化学品有汽油、柴油。</w:t>
      </w: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1-6</w:t>
      </w:r>
      <w:r>
        <w:rPr>
          <w:rFonts w:hint="eastAsia" w:ascii="宋体" w:hAnsi="宋体" w:eastAsia="宋体" w:cs="宋体"/>
          <w:color w:val="auto"/>
        </w:rPr>
        <w:t>主要危险化学品的临界量</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28"/>
        <w:gridCol w:w="428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89"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序号</w:t>
            </w:r>
          </w:p>
        </w:tc>
        <w:tc>
          <w:tcPr>
            <w:tcW w:w="984" w:type="pct"/>
            <w:tcBorders>
              <w:bottom w:val="nil"/>
            </w:tcBorders>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油料名称</w:t>
            </w:r>
          </w:p>
        </w:tc>
        <w:tc>
          <w:tcPr>
            <w:tcW w:w="2308"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油料种类</w:t>
            </w:r>
          </w:p>
        </w:tc>
        <w:tc>
          <w:tcPr>
            <w:tcW w:w="1216"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1</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柴油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23℃≤闪点＜61℃的易燃液体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汽油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闪点＜23℃的易燃液体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200</w:t>
            </w:r>
          </w:p>
        </w:tc>
      </w:tr>
    </w:tbl>
    <w:p>
      <w:pPr>
        <w:pStyle w:val="24"/>
        <w:jc w:val="both"/>
        <w:rPr>
          <w:rFonts w:hint="eastAsia" w:ascii="宋体" w:hAnsi="宋体" w:eastAsia="宋体" w:cs="宋体"/>
          <w:color w:val="auto"/>
        </w:rPr>
      </w:pPr>
    </w:p>
    <w:p>
      <w:pPr>
        <w:pStyle w:val="6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drawing>
          <wp:anchor distT="0" distB="0" distL="114300" distR="114300" simplePos="0" relativeHeight="251659264" behindDoc="0" locked="0" layoutInCell="1" allowOverlap="1">
            <wp:simplePos x="0" y="0"/>
            <wp:positionH relativeFrom="column">
              <wp:posOffset>549275</wp:posOffset>
            </wp:positionH>
            <wp:positionV relativeFrom="paragraph">
              <wp:posOffset>136525</wp:posOffset>
            </wp:positionV>
            <wp:extent cx="4010025" cy="4648200"/>
            <wp:effectExtent l="0" t="0" r="9525" b="0"/>
            <wp:wrapTopAndBottom/>
            <wp:docPr id="1" name="图片 36" descr="QQ截图2019040915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QQ截图20190409150159"/>
                    <pic:cNvPicPr>
                      <a:picLocks noChangeAspect="1"/>
                    </pic:cNvPicPr>
                  </pic:nvPicPr>
                  <pic:blipFill>
                    <a:blip r:embed="rId7"/>
                    <a:stretch>
                      <a:fillRect/>
                    </a:stretch>
                  </pic:blipFill>
                  <pic:spPr>
                    <a:xfrm>
                      <a:off x="0" y="0"/>
                      <a:ext cx="4010025" cy="4648200"/>
                    </a:xfrm>
                    <a:prstGeom prst="rect">
                      <a:avLst/>
                    </a:prstGeom>
                    <a:noFill/>
                    <a:ln w="9525">
                      <a:noFill/>
                    </a:ln>
                  </pic:spPr>
                </pic:pic>
              </a:graphicData>
            </a:graphic>
          </wp:anchor>
        </w:drawing>
      </w:r>
      <w:r>
        <w:rPr>
          <w:rFonts w:hint="eastAsia" w:ascii="宋体" w:hAnsi="宋体" w:cs="宋体"/>
          <w:b/>
          <w:bCs/>
          <w:color w:val="auto"/>
          <w:sz w:val="24"/>
          <w:szCs w:val="24"/>
          <w:lang w:eastAsia="zh-CN"/>
        </w:rPr>
        <w:t>图</w:t>
      </w:r>
      <w:r>
        <w:rPr>
          <w:rFonts w:hint="eastAsia" w:ascii="宋体" w:hAnsi="宋体" w:cs="宋体"/>
          <w:b/>
          <w:bCs/>
          <w:color w:val="auto"/>
          <w:sz w:val="24"/>
          <w:szCs w:val="24"/>
          <w:lang w:val="en-US" w:eastAsia="zh-CN"/>
        </w:rPr>
        <w:t xml:space="preserve">1-1 </w:t>
      </w:r>
      <w:r>
        <w:rPr>
          <w:rFonts w:hint="eastAsia" w:ascii="宋体" w:hAnsi="宋体" w:eastAsia="宋体" w:cs="宋体"/>
          <w:b/>
          <w:bCs/>
          <w:color w:val="auto"/>
          <w:sz w:val="24"/>
          <w:szCs w:val="24"/>
        </w:rPr>
        <w:t>危险化学品重大危险源辨识流程图</w:t>
      </w:r>
    </w:p>
    <w:p>
      <w:pPr>
        <w:pStyle w:val="6"/>
        <w:rPr>
          <w:rFonts w:hint="eastAsia" w:ascii="宋体" w:hAnsi="宋体" w:eastAsia="宋体" w:cs="宋体"/>
          <w:color w:val="auto"/>
          <w:sz w:val="30"/>
          <w:szCs w:val="30"/>
          <w:lang w:val="en-US" w:eastAsia="zh-CN"/>
        </w:rPr>
      </w:pPr>
      <w:bookmarkStart w:id="125" w:name="_Toc21474"/>
      <w:bookmarkStart w:id="126" w:name="_Toc15521"/>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.4 危险化学品重大危险源的辨识方法</w:t>
      </w:r>
      <w:bookmarkEnd w:id="125"/>
      <w:bookmarkEnd w:id="126"/>
    </w:p>
    <w:p>
      <w:pPr>
        <w:spacing w:line="360" w:lineRule="auto"/>
        <w:ind w:firstLine="544"/>
        <w:rPr>
          <w:rFonts w:hint="eastAsia" w:ascii="宋体" w:hAnsi="宋体" w:eastAsia="宋体" w:cs="宋体"/>
          <w:color w:val="auto"/>
          <w:sz w:val="28"/>
          <w:szCs w:val="28"/>
        </w:rPr>
      </w:pPr>
      <w:r>
        <w:rPr>
          <w:rFonts w:hint="eastAsia" w:ascii="宋体" w:hAnsi="宋体" w:eastAsia="宋体" w:cs="宋体"/>
          <w:color w:val="auto"/>
          <w:sz w:val="28"/>
          <w:szCs w:val="28"/>
        </w:rPr>
        <w:t>1.油罐区内存在危险化学品为单一品种，则该油料的数量即为单元内危险化学品总量，若等于或超过相应的临界量，则定为重大危险源；</w:t>
      </w:r>
    </w:p>
    <w:p>
      <w:pPr>
        <w:spacing w:line="360" w:lineRule="auto"/>
        <w:ind w:firstLine="544"/>
        <w:rPr>
          <w:rFonts w:hint="eastAsia" w:ascii="宋体" w:hAnsi="宋体" w:eastAsia="宋体" w:cs="宋体"/>
          <w:color w:val="auto"/>
        </w:rPr>
      </w:pPr>
      <w:r>
        <w:rPr>
          <w:rFonts w:hint="eastAsia" w:ascii="宋体" w:hAnsi="宋体" w:eastAsia="宋体" w:cs="宋体"/>
          <w:color w:val="auto"/>
          <w:sz w:val="28"/>
          <w:szCs w:val="28"/>
        </w:rPr>
        <w:t>2.油罐区内存在多种油料时，则按式（1）计算，若满足式（1），则定为重大危险源：</w:t>
      </w:r>
    </w:p>
    <w:p>
      <w:pPr>
        <w:spacing w:line="360" w:lineRule="auto"/>
        <w:ind w:firstLine="560"/>
        <w:rPr>
          <w:rFonts w:hint="eastAsia" w:ascii="宋体" w:hAnsi="宋体" w:eastAsia="宋体" w:cs="宋体"/>
          <w:color w:val="auto"/>
        </w:rPr>
      </w:pPr>
      <w:r>
        <w:rPr>
          <w:rFonts w:hint="eastAsia" w:ascii="宋体" w:hAnsi="宋体" w:eastAsia="宋体" w:cs="宋体"/>
          <w:color w:val="auto"/>
        </w:rPr>
        <w:t>S=</w:t>
      </w:r>
      <w:r>
        <w:rPr>
          <w:rFonts w:hint="eastAsia" w:ascii="宋体" w:hAnsi="宋体" w:eastAsia="宋体" w:cs="宋体"/>
          <w:color w:val="auto"/>
        </w:rPr>
        <w:drawing>
          <wp:inline distT="0" distB="0" distL="114300" distR="114300">
            <wp:extent cx="3810635" cy="551815"/>
            <wp:effectExtent l="0" t="0" r="18415" b="635"/>
            <wp:docPr id="3" name="图片 3" descr="gb18218-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18218-2000-6"/>
                    <pic:cNvPicPr>
                      <a:picLocks noChangeAspect="1"/>
                    </pic:cNvPicPr>
                  </pic:nvPicPr>
                  <pic:blipFill>
                    <a:blip r:embed="rId8"/>
                    <a:stretch>
                      <a:fillRect/>
                    </a:stretch>
                  </pic:blipFill>
                  <pic:spPr>
                    <a:xfrm>
                      <a:off x="0" y="0"/>
                      <a:ext cx="3810635" cy="551815"/>
                    </a:xfrm>
                    <a:prstGeom prst="rect">
                      <a:avLst/>
                    </a:prstGeom>
                    <a:noFill/>
                    <a:ln w="9525">
                      <a:noFill/>
                    </a:ln>
                  </pic:spPr>
                </pic:pic>
              </a:graphicData>
            </a:graphic>
          </wp:inline>
        </w:drawing>
      </w:r>
    </w:p>
    <w:p>
      <w:pPr>
        <w:spacing w:line="360" w:lineRule="auto"/>
        <w:ind w:firstLine="490" w:firstLineChars="175"/>
        <w:rPr>
          <w:rFonts w:hint="eastAsia" w:ascii="宋体" w:hAnsi="宋体" w:eastAsia="宋体" w:cs="宋体"/>
          <w:color w:val="auto"/>
          <w:sz w:val="28"/>
          <w:szCs w:val="28"/>
        </w:rPr>
      </w:pPr>
      <w:r>
        <w:rPr>
          <w:rFonts w:hint="eastAsia" w:ascii="宋体" w:hAnsi="宋体" w:eastAsia="宋体" w:cs="宋体"/>
          <w:color w:val="auto"/>
          <w:sz w:val="28"/>
          <w:szCs w:val="28"/>
        </w:rPr>
        <w:t>式中：S为计算的结果</w:t>
      </w:r>
    </w:p>
    <w:p>
      <w:pPr>
        <w:spacing w:line="360" w:lineRule="auto"/>
        <w:ind w:left="214" w:leftChars="102" w:firstLine="210" w:firstLineChars="75"/>
        <w:rPr>
          <w:rFonts w:hint="eastAsia" w:ascii="宋体" w:hAnsi="宋体" w:eastAsia="宋体" w:cs="宋体"/>
          <w:color w:val="auto"/>
          <w:sz w:val="28"/>
          <w:szCs w:val="28"/>
          <w:lang w:eastAsia="zh-CN"/>
        </w:rPr>
      </w:pP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——每种危险化学品实际存在量，t。</w:t>
      </w:r>
    </w:p>
    <w:p>
      <w:pPr>
        <w:spacing w:line="360" w:lineRule="auto"/>
        <w:ind w:left="214" w:leftChars="102" w:firstLine="210" w:firstLineChars="75"/>
        <w:rPr>
          <w:rFonts w:hint="eastAsia" w:ascii="宋体" w:hAnsi="宋体" w:eastAsia="宋体" w:cs="宋体"/>
          <w:color w:val="auto"/>
          <w:sz w:val="28"/>
          <w:szCs w:val="28"/>
        </w:rPr>
      </w:pPr>
      <w:r>
        <w:rPr>
          <w:rFonts w:hint="eastAsia" w:ascii="宋体" w:hAnsi="宋体" w:eastAsia="宋体" w:cs="宋体"/>
          <w:color w:val="auto"/>
          <w:sz w:val="28"/>
          <w:szCs w:val="28"/>
        </w:rPr>
        <w:t>Q1，Q2……Qn——与各危险化学品相对应的生产场所或贮存区的临界量，t。</w:t>
      </w:r>
    </w:p>
    <w:p>
      <w:pPr>
        <w:pStyle w:val="6"/>
        <w:rPr>
          <w:rFonts w:hint="eastAsia" w:ascii="宋体" w:hAnsi="宋体" w:eastAsia="宋体" w:cs="宋体"/>
          <w:color w:val="auto"/>
          <w:sz w:val="30"/>
          <w:szCs w:val="30"/>
          <w:lang w:val="en-US" w:eastAsia="zh-CN"/>
        </w:rPr>
      </w:pPr>
      <w:bookmarkStart w:id="127" w:name="_Toc30728"/>
      <w:bookmarkStart w:id="128" w:name="_Toc18558"/>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.5 危险化学品重大危险源辨识结果</w:t>
      </w:r>
      <w:bookmarkEnd w:id="127"/>
      <w:bookmarkEnd w:id="128"/>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1-7 </w:t>
      </w:r>
      <w:r>
        <w:rPr>
          <w:rFonts w:hint="eastAsia" w:ascii="宋体" w:hAnsi="宋体"/>
          <w:b/>
          <w:color w:val="auto"/>
          <w:sz w:val="24"/>
          <w:szCs w:val="24"/>
        </w:rPr>
        <w:t>储存单元危险化学品重大危险源辨识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166"/>
        <w:gridCol w:w="1134"/>
        <w:gridCol w:w="119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实际储量（m³）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临界量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储存设施或</w:t>
            </w:r>
          </w:p>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包装物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储存部位</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lang w:val="en-US" w:eastAsia="zh-CN"/>
              </w:rPr>
              <w:t>5</w:t>
            </w:r>
            <w:r>
              <w:rPr>
                <w:rFonts w:hint="eastAsia" w:hAnsi="宋体" w:cs="Aparajita"/>
                <w:color w:val="auto"/>
                <w:sz w:val="18"/>
                <w:szCs w:val="18"/>
              </w:rPr>
              <w:t>0m³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200t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rPr>
            </w:pPr>
            <w:r>
              <w:rPr>
                <w:rFonts w:hint="eastAsia" w:hAnsi="宋体" w:cs="Aparajita"/>
                <w:color w:val="auto"/>
                <w:sz w:val="18"/>
                <w:szCs w:val="18"/>
              </w:rPr>
              <w:t>汽油密度取值0.7</w:t>
            </w:r>
            <w:r>
              <w:rPr>
                <w:rFonts w:hAnsi="宋体" w:cs="Aparajita"/>
                <w:color w:val="auto"/>
                <w:sz w:val="18"/>
                <w:szCs w:val="18"/>
              </w:rPr>
              <w:t>75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int="eastAsia" w:hAnsi="宋体" w:cs="Aparajita"/>
                <w:color w:val="auto"/>
                <w:sz w:val="18"/>
                <w:szCs w:val="18"/>
                <w:lang w:val="en-US" w:eastAsia="zh-CN"/>
              </w:rPr>
              <w:t>5</w:t>
            </w:r>
            <w:r>
              <w:rPr>
                <w:rFonts w:hAnsi="宋体" w:cs="Aparajita"/>
                <w:color w:val="auto"/>
                <w:sz w:val="18"/>
                <w:szCs w:val="18"/>
              </w:rPr>
              <w:t>0</w:t>
            </w:r>
            <w:r>
              <w:rPr>
                <w:rFonts w:hint="eastAsia" w:hAnsi="宋体" w:cs="Aparajita"/>
                <w:color w:val="auto"/>
                <w:sz w:val="18"/>
                <w:szCs w:val="18"/>
              </w:rPr>
              <w:t>*0.7</w:t>
            </w:r>
            <w:r>
              <w:rPr>
                <w:rFonts w:hAnsi="宋体" w:cs="Aparajita"/>
                <w:color w:val="auto"/>
                <w:sz w:val="18"/>
                <w:szCs w:val="18"/>
              </w:rPr>
              <w:t>75</w:t>
            </w:r>
            <w:r>
              <w:rPr>
                <w:rFonts w:hint="eastAsia" w:hAnsi="宋体" w:cs="Aparajita"/>
                <w:color w:val="auto"/>
                <w:sz w:val="18"/>
                <w:szCs w:val="18"/>
              </w:rPr>
              <w:t>/200+</w:t>
            </w:r>
            <w:r>
              <w:rPr>
                <w:rFonts w:hint="eastAsia" w:hAnsi="宋体" w:cs="Aparajita"/>
                <w:color w:val="auto"/>
                <w:sz w:val="18"/>
                <w:szCs w:val="18"/>
                <w:lang w:val="en-US" w:eastAsia="zh-CN"/>
              </w:rPr>
              <w:t>3</w:t>
            </w:r>
            <w:bookmarkStart w:id="141" w:name="_GoBack"/>
            <w:bookmarkEnd w:id="141"/>
            <w:r>
              <w:rPr>
                <w:rFonts w:hint="eastAsia" w:hAnsi="宋体" w:cs="Aparajita"/>
                <w:color w:val="auto"/>
                <w:sz w:val="18"/>
                <w:szCs w:val="18"/>
                <w:lang w:val="en-US" w:eastAsia="zh-CN"/>
              </w:rPr>
              <w:t>0</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/5000=0.</w:t>
            </w:r>
            <w:r>
              <w:rPr>
                <w:rFonts w:hint="eastAsia" w:hAnsi="宋体" w:cs="Aparajita"/>
                <w:color w:val="auto"/>
                <w:sz w:val="18"/>
                <w:szCs w:val="18"/>
                <w:lang w:val="en-US" w:eastAsia="zh-CN"/>
              </w:rPr>
              <w:t>24264</w:t>
            </w:r>
            <w:r>
              <w:rPr>
                <w:rFonts w:hint="eastAsia" w:hAnsi="宋体" w:cs="Aparajita"/>
                <w:color w:val="auto"/>
                <w:sz w:val="18"/>
                <w:szCs w:val="18"/>
              </w:rPr>
              <w:t>＜1，故储存单元不构成危险化学品重大危险源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lang w:val="en-US" w:eastAsia="zh-CN"/>
              </w:rPr>
              <w:t>3</w:t>
            </w:r>
            <w:r>
              <w:rPr>
                <w:rFonts w:hAnsi="宋体" w:cs="Aparajita"/>
                <w:color w:val="auto"/>
                <w:sz w:val="18"/>
                <w:szCs w:val="18"/>
              </w:rPr>
              <w:t>0</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rPr>
                <w:rFonts w:ascii="宋体" w:hAnsi="宋体"/>
                <w:color w:val="auto"/>
              </w:rPr>
            </w:pPr>
          </w:p>
        </w:tc>
      </w:tr>
    </w:tbl>
    <w:p>
      <w:pPr>
        <w:pStyle w:val="48"/>
        <w:rPr>
          <w:rFonts w:hint="eastAsia"/>
        </w:rPr>
      </w:pPr>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1-8 </w:t>
      </w:r>
      <w:r>
        <w:rPr>
          <w:rFonts w:hint="eastAsia" w:ascii="宋体" w:hAnsi="宋体"/>
          <w:b/>
          <w:color w:val="auto"/>
          <w:sz w:val="24"/>
          <w:szCs w:val="24"/>
        </w:rPr>
        <w:t>生产单元危险化学品重大危险源辨识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7"/>
        <w:gridCol w:w="851"/>
        <w:gridCol w:w="1692"/>
        <w:gridCol w:w="1001"/>
        <w:gridCol w:w="105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实际数量（m³）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临界量</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使用的装置及设施</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使用部位</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olor w:val="auto"/>
                <w:sz w:val="18"/>
                <w:szCs w:val="18"/>
              </w:rPr>
              <w:t>0.</w:t>
            </w:r>
            <w:r>
              <w:rPr>
                <w:rFonts w:hAnsi="宋体"/>
                <w:color w:val="auto"/>
                <w:sz w:val="18"/>
                <w:szCs w:val="18"/>
              </w:rPr>
              <w:t>19625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200t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汽油密度取值0.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19625</w:t>
            </w:r>
            <w:r>
              <w:rPr>
                <w:rFonts w:hint="eastAsia" w:hAnsi="宋体" w:cs="Aparajita"/>
                <w:color w:val="auto"/>
                <w:sz w:val="18"/>
                <w:szCs w:val="18"/>
              </w:rPr>
              <w:t>*0.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/200+0.</w:t>
            </w:r>
            <w:r>
              <w:rPr>
                <w:rFonts w:hAnsi="宋体" w:cs="Aparajita"/>
                <w:color w:val="auto"/>
                <w:sz w:val="18"/>
                <w:szCs w:val="18"/>
              </w:rPr>
              <w:t>098125</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/5000＜1，故生产单元不构成危险化学品重大危险源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098125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Ansi="宋体" w:cs="Aparajita"/>
                <w:color w:val="auto"/>
                <w:sz w:val="18"/>
                <w:szCs w:val="18"/>
              </w:rPr>
            </w:pPr>
          </w:p>
        </w:tc>
      </w:tr>
    </w:tbl>
    <w:p>
      <w:pPr>
        <w:adjustRightInd w:val="0"/>
        <w:snapToGrid w:val="0"/>
        <w:spacing w:before="156" w:beforeLines="50" w:after="156" w:afterLines="50" w:line="360" w:lineRule="auto"/>
        <w:ind w:firstLine="420" w:firstLineChars="200"/>
        <w:rPr>
          <w:rFonts w:ascii="宋体" w:hAnsi="宋体"/>
          <w:color w:val="auto"/>
          <w:szCs w:val="21"/>
        </w:rPr>
      </w:pPr>
      <w:r>
        <w:rPr>
          <w:rFonts w:hint="eastAsia" w:ascii="宋体" w:hAnsi="宋体"/>
          <w:color w:val="auto"/>
          <w:szCs w:val="21"/>
        </w:rPr>
        <w:t>注：按输油管线汽油每根</w:t>
      </w:r>
      <w:r>
        <w:rPr>
          <w:rFonts w:ascii="宋体" w:hAnsi="宋体"/>
          <w:color w:val="auto"/>
          <w:szCs w:val="21"/>
        </w:rPr>
        <w:t>5</w:t>
      </w:r>
      <w:r>
        <w:rPr>
          <w:rFonts w:hint="eastAsia" w:ascii="宋体" w:hAnsi="宋体"/>
          <w:color w:val="auto"/>
          <w:szCs w:val="21"/>
        </w:rPr>
        <w:t>0</w:t>
      </w:r>
      <w:r>
        <w:rPr>
          <w:rFonts w:ascii="宋体" w:hAnsi="宋体"/>
          <w:color w:val="auto"/>
          <w:szCs w:val="21"/>
        </w:rPr>
        <w:t>m</w:t>
      </w:r>
      <w:r>
        <w:rPr>
          <w:rFonts w:hint="eastAsia" w:ascii="宋体" w:hAnsi="宋体"/>
          <w:color w:val="auto"/>
          <w:szCs w:val="21"/>
        </w:rPr>
        <w:t>，柴油每根</w:t>
      </w:r>
      <w:r>
        <w:rPr>
          <w:rFonts w:ascii="宋体" w:hAnsi="宋体"/>
          <w:color w:val="auto"/>
          <w:szCs w:val="21"/>
        </w:rPr>
        <w:t>50m</w:t>
      </w:r>
      <w:r>
        <w:rPr>
          <w:rFonts w:hint="eastAsia" w:ascii="宋体" w:hAnsi="宋体"/>
          <w:color w:val="auto"/>
          <w:szCs w:val="21"/>
        </w:rPr>
        <w:t>，D</w:t>
      </w:r>
      <w:r>
        <w:rPr>
          <w:rFonts w:ascii="宋体" w:hAnsi="宋体"/>
          <w:color w:val="auto"/>
          <w:szCs w:val="21"/>
        </w:rPr>
        <w:t>N</w:t>
      </w:r>
      <w:r>
        <w:rPr>
          <w:rFonts w:hint="eastAsia" w:ascii="宋体" w:hAnsi="宋体"/>
          <w:color w:val="auto"/>
          <w:szCs w:val="21"/>
        </w:rPr>
        <w:t>50计算，生产单元汽油数量为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2</w:t>
      </w:r>
      <w:r>
        <w:rPr>
          <w:rFonts w:hint="eastAsia" w:ascii="宋体" w:hAnsi="宋体"/>
          <w:color w:val="auto"/>
          <w:szCs w:val="21"/>
        </w:rPr>
        <w:t>×3.14×0.025×0.025=0.</w:t>
      </w:r>
      <w:r>
        <w:rPr>
          <w:rFonts w:ascii="宋体" w:hAnsi="宋体"/>
          <w:color w:val="auto"/>
          <w:szCs w:val="21"/>
        </w:rPr>
        <w:t>19625</w:t>
      </w:r>
      <w:r>
        <w:rPr>
          <w:rFonts w:hint="eastAsia" w:ascii="宋体" w:hAnsi="宋体"/>
          <w:color w:val="auto"/>
          <w:szCs w:val="21"/>
        </w:rPr>
        <w:t>m³；生产单元柴油数量为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1</w:t>
      </w:r>
      <w:r>
        <w:rPr>
          <w:rFonts w:hint="eastAsia" w:ascii="宋体" w:hAnsi="宋体"/>
          <w:color w:val="auto"/>
          <w:szCs w:val="21"/>
        </w:rPr>
        <w:t>×3.14×0.025×0.025=0.</w:t>
      </w:r>
      <w:r>
        <w:rPr>
          <w:rFonts w:ascii="宋体" w:hAnsi="宋体"/>
          <w:color w:val="auto"/>
          <w:szCs w:val="21"/>
        </w:rPr>
        <w:t>098125</w:t>
      </w:r>
      <w:r>
        <w:rPr>
          <w:rFonts w:hint="eastAsia" w:ascii="宋体" w:hAnsi="宋体"/>
          <w:color w:val="auto"/>
          <w:szCs w:val="21"/>
        </w:rPr>
        <w:t>m³。</w:t>
      </w:r>
    </w:p>
    <w:p>
      <w:pPr>
        <w:adjustRightInd w:val="0"/>
        <w:snapToGrid w:val="0"/>
        <w:spacing w:before="156" w:beforeLines="50" w:after="156" w:afterLines="50" w:line="360" w:lineRule="auto"/>
        <w:ind w:firstLine="562" w:firstLineChars="200"/>
        <w:rPr>
          <w:rFonts w:ascii="宋体" w:hAnsi="宋体"/>
          <w:b/>
          <w:bCs/>
          <w:color w:val="auto"/>
          <w:sz w:val="28"/>
        </w:rPr>
      </w:pPr>
      <w:r>
        <w:rPr>
          <w:rFonts w:ascii="宋体" w:hAnsi="宋体"/>
          <w:b/>
          <w:bCs/>
          <w:color w:val="auto"/>
          <w:sz w:val="28"/>
        </w:rPr>
        <w:t>故</w:t>
      </w:r>
      <w:r>
        <w:rPr>
          <w:rFonts w:hint="eastAsia" w:ascii="宋体" w:hAnsi="宋体"/>
          <w:b/>
          <w:bCs/>
          <w:color w:val="auto"/>
          <w:sz w:val="28"/>
          <w:lang w:eastAsia="zh-CN"/>
        </w:rPr>
        <w:t>南充市顺庆区顺芦加油站</w:t>
      </w:r>
      <w:r>
        <w:rPr>
          <w:rFonts w:hint="eastAsia" w:ascii="宋体" w:hAnsi="宋体"/>
          <w:b/>
          <w:bCs/>
          <w:color w:val="auto"/>
          <w:sz w:val="28"/>
        </w:rPr>
        <w:t>生产单元和储存单元均</w:t>
      </w:r>
      <w:r>
        <w:rPr>
          <w:rFonts w:ascii="宋体" w:hAnsi="宋体"/>
          <w:b/>
          <w:bCs/>
          <w:color w:val="auto"/>
          <w:sz w:val="28"/>
        </w:rPr>
        <w:t>不构成危险化学品重大危险源。</w:t>
      </w:r>
    </w:p>
    <w:p>
      <w:pPr>
        <w:spacing w:before="156" w:after="156"/>
        <w:ind w:firstLine="562" w:firstLineChars="200"/>
        <w:rPr>
          <w:rFonts w:hint="eastAsia" w:ascii="宋体" w:hAnsi="宋体" w:eastAsia="宋体" w:cs="宋体"/>
          <w:b/>
          <w:bCs/>
          <w:color w:val="auto"/>
          <w:sz w:val="28"/>
          <w:szCs w:val="28"/>
        </w:rPr>
      </w:pPr>
    </w:p>
    <w:p>
      <w:pPr>
        <w:spacing w:line="360" w:lineRule="auto"/>
        <w:ind w:firstLine="560" w:firstLineChars="200"/>
        <w:rPr>
          <w:rFonts w:hint="eastAsia" w:ascii="宋体" w:hAnsi="宋体" w:eastAsia="宋体" w:cs="宋体"/>
          <w:bCs/>
          <w:color w:val="auto"/>
          <w:sz w:val="28"/>
          <w:szCs w:val="28"/>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pStyle w:val="4"/>
        <w:bidi w:val="0"/>
        <w:rPr>
          <w:rFonts w:hint="eastAsia" w:ascii="宋体" w:hAnsi="宋体" w:eastAsia="宋体" w:cs="宋体"/>
          <w:color w:val="auto"/>
          <w:lang w:val="en-US" w:eastAsia="zh-CN"/>
        </w:rPr>
      </w:pPr>
      <w:bookmarkStart w:id="129" w:name="_Toc17040"/>
      <w:bookmarkStart w:id="130" w:name="_Toc14231"/>
      <w:r>
        <w:rPr>
          <w:rFonts w:hint="eastAsia" w:ascii="宋体" w:hAnsi="宋体" w:eastAsia="宋体" w:cs="宋体"/>
          <w:color w:val="auto"/>
          <w:lang w:val="en-US" w:eastAsia="zh-CN"/>
        </w:rPr>
        <w:t>2 事故风险分析</w:t>
      </w:r>
      <w:bookmarkEnd w:id="129"/>
      <w:bookmarkEnd w:id="130"/>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加油站危险区域为油罐区、</w:t>
      </w:r>
      <w:r>
        <w:rPr>
          <w:rFonts w:hint="eastAsia" w:ascii="宋体" w:hAnsi="宋体" w:eastAsia="宋体" w:cs="宋体"/>
          <w:color w:val="auto"/>
          <w:sz w:val="28"/>
          <w:szCs w:val="28"/>
        </w:rPr>
        <w:t>卸油点、</w:t>
      </w:r>
      <w:r>
        <w:rPr>
          <w:rFonts w:hint="eastAsia" w:ascii="宋体" w:hAnsi="宋体" w:eastAsia="宋体" w:cs="宋体"/>
          <w:bCs/>
          <w:color w:val="auto"/>
          <w:sz w:val="28"/>
          <w:szCs w:val="28"/>
        </w:rPr>
        <w:t>加油区、</w:t>
      </w:r>
      <w:r>
        <w:rPr>
          <w:rFonts w:hint="eastAsia" w:ascii="宋体" w:hAnsi="宋体" w:eastAsia="宋体" w:cs="宋体"/>
          <w:color w:val="auto"/>
          <w:sz w:val="28"/>
          <w:szCs w:val="28"/>
        </w:rPr>
        <w:t>配电室</w:t>
      </w:r>
      <w:r>
        <w:rPr>
          <w:rFonts w:hint="eastAsia" w:ascii="宋体" w:hAnsi="宋体" w:eastAsia="宋体" w:cs="宋体"/>
          <w:bCs/>
          <w:color w:val="auto"/>
          <w:sz w:val="28"/>
          <w:szCs w:val="28"/>
        </w:rPr>
        <w:t>，危险生产过程为卸油、加油和计量操作</w:t>
      </w:r>
      <w:r>
        <w:rPr>
          <w:rFonts w:hint="eastAsia" w:ascii="宋体" w:hAnsi="宋体" w:eastAsia="宋体" w:cs="宋体"/>
          <w:color w:val="auto"/>
          <w:sz w:val="28"/>
          <w:szCs w:val="28"/>
        </w:rPr>
        <w:t>，</w:t>
      </w:r>
      <w:r>
        <w:rPr>
          <w:rFonts w:hint="eastAsia" w:ascii="宋体" w:hAnsi="宋体" w:eastAsia="宋体" w:cs="宋体"/>
          <w:bCs/>
          <w:color w:val="auto"/>
          <w:sz w:val="28"/>
          <w:szCs w:val="28"/>
        </w:rPr>
        <w:t>存在火灾、爆炸、车辆伤害等事故风险。详见</w:t>
      </w:r>
      <w:r>
        <w:rPr>
          <w:rFonts w:hint="eastAsia" w:ascii="宋体" w:hAnsi="宋体" w:eastAsia="宋体" w:cs="宋体"/>
          <w:bCs/>
          <w:color w:val="auto"/>
          <w:sz w:val="28"/>
          <w:szCs w:val="28"/>
          <w:lang w:eastAsia="zh-CN"/>
        </w:rPr>
        <w:t>下表</w:t>
      </w:r>
      <w:r>
        <w:rPr>
          <w:rFonts w:hint="eastAsia" w:ascii="宋体" w:hAnsi="宋体" w:eastAsia="宋体" w:cs="宋体"/>
          <w:bCs/>
          <w:color w:val="auto"/>
          <w:sz w:val="28"/>
          <w:szCs w:val="28"/>
        </w:rPr>
        <w:t>。</w:t>
      </w:r>
    </w:p>
    <w:tbl>
      <w:tblPr>
        <w:tblStyle w:val="5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40"/>
        <w:gridCol w:w="2592"/>
        <w:gridCol w:w="735"/>
        <w:gridCol w:w="916"/>
        <w:gridCol w:w="684"/>
        <w:gridCol w:w="1949"/>
        <w:gridCol w:w="1038"/>
        <w:gridCol w:w="9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5000" w:type="pct"/>
            <w:gridSpan w:val="8"/>
            <w:tcBorders>
              <w:top w:val="single" w:color="000000" w:sz="12" w:space="0"/>
            </w:tcBorders>
            <w:vAlign w:val="center"/>
          </w:tcPr>
          <w:p>
            <w:pPr>
              <w:jc w:val="center"/>
              <w:rPr>
                <w:rFonts w:hint="eastAsia" w:ascii="宋体" w:eastAsia="宋体" w:cs="宋体"/>
                <w:b/>
                <w:bCs/>
                <w:color w:val="auto"/>
                <w:lang w:eastAsia="zh-CN"/>
              </w:rPr>
            </w:pPr>
            <w:r>
              <w:rPr>
                <w:rFonts w:hint="eastAsia" w:ascii="宋体" w:hAnsi="宋体" w:cs="宋体"/>
                <w:b/>
                <w:bCs/>
                <w:color w:val="auto"/>
                <w:lang w:eastAsia="zh-CN"/>
              </w:rPr>
              <w:t>事故</w:t>
            </w:r>
            <w:r>
              <w:rPr>
                <w:rFonts w:hint="eastAsia" w:ascii="宋体" w:hAnsi="宋体" w:cs="宋体"/>
                <w:b/>
                <w:bCs/>
                <w:color w:val="auto"/>
              </w:rPr>
              <w:t>风险</w:t>
            </w:r>
            <w:r>
              <w:rPr>
                <w:rFonts w:hint="eastAsia" w:ascii="宋体" w:hAnsi="宋体" w:cs="宋体"/>
                <w:b/>
                <w:bCs/>
                <w:color w:val="auto"/>
                <w:lang w:eastAsia="zh-CN"/>
              </w:rPr>
              <w:t>分级表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6" w:type="pct"/>
            <w:vAlign w:val="center"/>
          </w:tcPr>
          <w:p>
            <w:pPr>
              <w:jc w:val="center"/>
              <w:rPr>
                <w:rFonts w:ascii="宋体" w:cs="宋体"/>
                <w:b/>
                <w:bCs/>
                <w:color w:val="auto"/>
              </w:rPr>
            </w:pPr>
            <w:r>
              <w:rPr>
                <w:rFonts w:hint="eastAsia" w:ascii="宋体" w:hAnsi="宋体" w:cs="宋体"/>
                <w:b/>
                <w:bCs/>
                <w:color w:val="auto"/>
              </w:rPr>
              <w:t>序号</w:t>
            </w:r>
          </w:p>
        </w:tc>
        <w:tc>
          <w:tcPr>
            <w:tcW w:w="1396" w:type="pct"/>
            <w:vAlign w:val="center"/>
          </w:tcPr>
          <w:p>
            <w:pPr>
              <w:jc w:val="center"/>
              <w:rPr>
                <w:rFonts w:ascii="宋体" w:cs="宋体"/>
                <w:b/>
                <w:bCs/>
                <w:color w:val="auto"/>
              </w:rPr>
            </w:pPr>
            <w:r>
              <w:rPr>
                <w:rFonts w:hint="eastAsia" w:ascii="宋体" w:hAnsi="宋体" w:cs="宋体"/>
                <w:b/>
                <w:bCs/>
                <w:color w:val="auto"/>
              </w:rPr>
              <w:t>危害因素</w:t>
            </w:r>
          </w:p>
        </w:tc>
        <w:tc>
          <w:tcPr>
            <w:tcW w:w="396" w:type="pct"/>
            <w:vAlign w:val="center"/>
          </w:tcPr>
          <w:p>
            <w:pPr>
              <w:jc w:val="center"/>
              <w:rPr>
                <w:rFonts w:ascii="宋体" w:cs="宋体"/>
                <w:b/>
                <w:bCs/>
                <w:color w:val="auto"/>
              </w:rPr>
            </w:pPr>
            <w:r>
              <w:rPr>
                <w:rFonts w:hint="eastAsia" w:ascii="宋体" w:hAnsi="宋体" w:cs="宋体"/>
                <w:b/>
                <w:bCs/>
                <w:color w:val="auto"/>
              </w:rPr>
              <w:t>存在位置</w:t>
            </w:r>
          </w:p>
        </w:tc>
        <w:tc>
          <w:tcPr>
            <w:tcW w:w="493" w:type="pct"/>
            <w:vAlign w:val="center"/>
          </w:tcPr>
          <w:p>
            <w:pPr>
              <w:jc w:val="center"/>
              <w:rPr>
                <w:rFonts w:ascii="宋体" w:cs="宋体"/>
                <w:b/>
                <w:bCs/>
                <w:color w:val="auto"/>
              </w:rPr>
            </w:pPr>
            <w:r>
              <w:rPr>
                <w:rFonts w:hint="eastAsia" w:ascii="宋体" w:hAnsi="宋体" w:cs="宋体"/>
                <w:b/>
                <w:bCs/>
                <w:color w:val="auto"/>
              </w:rPr>
              <w:t>后果</w:t>
            </w:r>
          </w:p>
        </w:tc>
        <w:tc>
          <w:tcPr>
            <w:tcW w:w="368" w:type="pct"/>
            <w:vAlign w:val="center"/>
          </w:tcPr>
          <w:p>
            <w:pPr>
              <w:jc w:val="center"/>
              <w:rPr>
                <w:rFonts w:ascii="宋体" w:cs="宋体"/>
                <w:b/>
                <w:bCs/>
                <w:color w:val="auto"/>
              </w:rPr>
            </w:pPr>
            <w:r>
              <w:rPr>
                <w:rFonts w:hint="eastAsia" w:ascii="宋体" w:hAnsi="宋体" w:cs="宋体"/>
                <w:b/>
                <w:bCs/>
                <w:color w:val="auto"/>
              </w:rPr>
              <w:t>风险等级</w:t>
            </w:r>
          </w:p>
        </w:tc>
        <w:tc>
          <w:tcPr>
            <w:tcW w:w="1049" w:type="pct"/>
            <w:vAlign w:val="center"/>
          </w:tcPr>
          <w:p>
            <w:pPr>
              <w:jc w:val="center"/>
              <w:rPr>
                <w:rFonts w:ascii="宋体" w:cs="宋体"/>
                <w:b/>
                <w:bCs/>
                <w:color w:val="auto"/>
              </w:rPr>
            </w:pPr>
            <w:r>
              <w:rPr>
                <w:rFonts w:hint="eastAsia" w:ascii="宋体" w:hAnsi="宋体" w:cs="宋体"/>
                <w:b/>
                <w:bCs/>
                <w:color w:val="auto"/>
              </w:rPr>
              <w:t>管控措施</w:t>
            </w:r>
          </w:p>
        </w:tc>
        <w:tc>
          <w:tcPr>
            <w:tcW w:w="559" w:type="pct"/>
            <w:vAlign w:val="center"/>
          </w:tcPr>
          <w:p>
            <w:pPr>
              <w:jc w:val="center"/>
              <w:rPr>
                <w:rFonts w:ascii="宋体" w:cs="宋体"/>
                <w:b/>
                <w:bCs/>
                <w:color w:val="auto"/>
              </w:rPr>
            </w:pPr>
            <w:r>
              <w:rPr>
                <w:rFonts w:hint="eastAsia" w:ascii="宋体" w:hAnsi="宋体" w:cs="宋体"/>
                <w:b/>
                <w:bCs/>
                <w:color w:val="auto"/>
              </w:rPr>
              <w:t>管控责任单位（部门）</w:t>
            </w:r>
          </w:p>
        </w:tc>
        <w:tc>
          <w:tcPr>
            <w:tcW w:w="500" w:type="pct"/>
            <w:vAlign w:val="center"/>
          </w:tcPr>
          <w:p>
            <w:pPr>
              <w:jc w:val="center"/>
              <w:rPr>
                <w:rFonts w:ascii="宋体" w:cs="宋体"/>
                <w:b/>
                <w:bCs/>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建筑物耐火等级不符，安全疏散不符</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每三年进行安全评价，定期对罩棚、站房进行维护</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vAlign w:val="center"/>
          </w:tcPr>
          <w:p>
            <w:pPr>
              <w:jc w:val="left"/>
              <w:rPr>
                <w:rFonts w:ascii="宋体" w:cs="宋体"/>
                <w:color w:val="auto"/>
              </w:rPr>
            </w:pPr>
            <w:r>
              <w:rPr>
                <w:rFonts w:hint="eastAsia" w:ascii="宋体" w:hAnsi="宋体" w:cs="宋体"/>
                <w:color w:val="auto"/>
                <w:kern w:val="0"/>
              </w:rPr>
              <w:t>爆炸危险区域内的电气设备选型、安装、电力线路敷设等，不符合现行国家标准</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3</w:t>
            </w:r>
          </w:p>
        </w:tc>
        <w:tc>
          <w:tcPr>
            <w:tcW w:w="1396" w:type="pct"/>
            <w:vAlign w:val="center"/>
          </w:tcPr>
          <w:p>
            <w:pPr>
              <w:jc w:val="left"/>
              <w:rPr>
                <w:rFonts w:cs="Times New Roman"/>
                <w:color w:val="auto"/>
              </w:rPr>
            </w:pPr>
            <w:r>
              <w:rPr>
                <w:rFonts w:hint="eastAsia" w:cs="宋体"/>
                <w:color w:val="auto"/>
              </w:rPr>
              <w:t>油罐车安全设施不齐全，如静电片缺失或锈蚀等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4</w:t>
            </w:r>
          </w:p>
        </w:tc>
        <w:tc>
          <w:tcPr>
            <w:tcW w:w="1396" w:type="pct"/>
            <w:vAlign w:val="center"/>
          </w:tcPr>
          <w:p>
            <w:pPr>
              <w:jc w:val="left"/>
              <w:rPr>
                <w:rFonts w:cs="Times New Roman"/>
                <w:color w:val="auto"/>
              </w:rPr>
            </w:pPr>
            <w:r>
              <w:rPr>
                <w:rFonts w:hint="eastAsia" w:cs="宋体"/>
                <w:color w:val="auto"/>
              </w:rPr>
              <w:t>未严格执行卸油操作规程，如槽车静止稳油、静电接地、车辆轮档等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就操作流程对员工进行培训，对明知故犯者予以纪律处分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5</w:t>
            </w:r>
          </w:p>
        </w:tc>
        <w:tc>
          <w:tcPr>
            <w:tcW w:w="1396" w:type="pct"/>
            <w:vAlign w:val="center"/>
          </w:tcPr>
          <w:p>
            <w:pPr>
              <w:jc w:val="left"/>
              <w:rPr>
                <w:rFonts w:cs="Times New Roman"/>
                <w:color w:val="auto"/>
              </w:rPr>
            </w:pPr>
            <w:r>
              <w:rPr>
                <w:rFonts w:hint="eastAsia" w:cs="宋体"/>
                <w:color w:val="auto"/>
              </w:rPr>
              <w:t>卸油员违反规定携带火种、通讯设备等进入卸油现场</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定期对卸油员进行抽查，发现违规者予以严肃处理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6</w:t>
            </w:r>
          </w:p>
        </w:tc>
        <w:tc>
          <w:tcPr>
            <w:tcW w:w="1396" w:type="pct"/>
            <w:vAlign w:val="center"/>
          </w:tcPr>
          <w:p>
            <w:pPr>
              <w:jc w:val="left"/>
              <w:rPr>
                <w:rFonts w:cs="Times New Roman"/>
                <w:color w:val="auto"/>
              </w:rPr>
            </w:pPr>
            <w:r>
              <w:rPr>
                <w:rFonts w:hint="eastAsia" w:cs="宋体"/>
                <w:color w:val="auto"/>
              </w:rPr>
              <w:t>雷雨天气进行卸油作业</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严格按要求执行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7</w:t>
            </w:r>
          </w:p>
        </w:tc>
        <w:tc>
          <w:tcPr>
            <w:tcW w:w="1396" w:type="pct"/>
            <w:vAlign w:val="center"/>
          </w:tcPr>
          <w:p>
            <w:pPr>
              <w:jc w:val="left"/>
              <w:rPr>
                <w:rFonts w:ascii="宋体" w:cs="宋体"/>
                <w:color w:val="auto"/>
              </w:rPr>
            </w:pPr>
            <w:r>
              <w:rPr>
                <w:rFonts w:hint="eastAsia" w:ascii="宋体" w:hAnsi="宋体" w:cs="宋体"/>
                <w:color w:val="auto"/>
              </w:rPr>
              <w:t>卸车场未设静电报警仪或报警仪失效</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ascii="宋体" w:hAnsi="宋体" w:cs="宋体"/>
                <w:color w:val="auto"/>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定期对静电报警仪进行检测，卸车前对报警仪进行检查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8</w:t>
            </w:r>
          </w:p>
        </w:tc>
        <w:tc>
          <w:tcPr>
            <w:tcW w:w="1396" w:type="pct"/>
            <w:vAlign w:val="center"/>
          </w:tcPr>
          <w:p>
            <w:pPr>
              <w:jc w:val="left"/>
              <w:rPr>
                <w:rFonts w:cs="Times New Roman"/>
                <w:color w:val="auto"/>
              </w:rPr>
            </w:pPr>
            <w:r>
              <w:rPr>
                <w:rFonts w:hint="eastAsia" w:cs="宋体"/>
                <w:color w:val="auto"/>
              </w:rPr>
              <w:t>卸油员未穿着防静电工装，作业前未触摸静电释放求等发生静电释放</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规程中明确要求</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9</w:t>
            </w:r>
          </w:p>
        </w:tc>
        <w:tc>
          <w:tcPr>
            <w:tcW w:w="1396" w:type="pct"/>
            <w:vAlign w:val="center"/>
          </w:tcPr>
          <w:p>
            <w:pPr>
              <w:jc w:val="left"/>
              <w:rPr>
                <w:rFonts w:cs="Times New Roman"/>
                <w:color w:val="auto"/>
              </w:rPr>
            </w:pPr>
            <w:r>
              <w:rPr>
                <w:rFonts w:hint="eastAsia" w:cs="宋体"/>
                <w:color w:val="auto"/>
              </w:rPr>
              <w:t>油罐强度不足，防腐层破损</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泄漏、火灾、爆炸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定期进行清罐作业，并进行检查和测罐壁厚</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10</w:t>
            </w:r>
          </w:p>
        </w:tc>
        <w:tc>
          <w:tcPr>
            <w:tcW w:w="1396" w:type="pct"/>
            <w:vAlign w:val="center"/>
          </w:tcPr>
          <w:p>
            <w:pPr>
              <w:jc w:val="left"/>
              <w:rPr>
                <w:rFonts w:cs="Times New Roman"/>
                <w:color w:val="auto"/>
              </w:rPr>
            </w:pPr>
            <w:r>
              <w:rPr>
                <w:rFonts w:hint="eastAsia" w:cs="宋体"/>
                <w:color w:val="auto"/>
              </w:rPr>
              <w:t>卸油口标识不清或无标识、未认真核对油品数量和质量</w:t>
            </w:r>
          </w:p>
        </w:tc>
        <w:tc>
          <w:tcPr>
            <w:tcW w:w="396" w:type="pct"/>
            <w:vAlign w:val="center"/>
          </w:tcPr>
          <w:p>
            <w:pPr>
              <w:jc w:val="center"/>
              <w:rPr>
                <w:rFonts w:cs="Times New Roman"/>
                <w:color w:val="auto"/>
              </w:rPr>
            </w:pPr>
            <w:r>
              <w:rPr>
                <w:rFonts w:hint="eastAsia" w:cs="宋体"/>
                <w:color w:val="auto"/>
              </w:rPr>
              <w:t>油罐区</w:t>
            </w:r>
          </w:p>
        </w:tc>
        <w:tc>
          <w:tcPr>
            <w:tcW w:w="493" w:type="pct"/>
            <w:vAlign w:val="center"/>
          </w:tcPr>
          <w:p>
            <w:pPr>
              <w:jc w:val="center"/>
              <w:rPr>
                <w:rFonts w:cs="Times New Roman"/>
                <w:color w:val="auto"/>
              </w:rPr>
            </w:pPr>
            <w:r>
              <w:rPr>
                <w:rFonts w:hint="eastAsia" w:cs="宋体"/>
                <w:color w:val="auto"/>
              </w:rPr>
              <w:t>环境污染人员伤亡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cs="Times New Roman"/>
                <w:color w:val="auto"/>
              </w:rPr>
            </w:pPr>
            <w:r>
              <w:rPr>
                <w:rFonts w:hint="eastAsia" w:cs="宋体"/>
                <w:color w:val="auto"/>
              </w:rPr>
              <w:t>定期清理检查标识的清晰度，严格按操作规程执行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11</w:t>
            </w:r>
          </w:p>
        </w:tc>
        <w:tc>
          <w:tcPr>
            <w:tcW w:w="1396" w:type="pct"/>
            <w:vAlign w:val="center"/>
          </w:tcPr>
          <w:p>
            <w:pPr>
              <w:jc w:val="left"/>
              <w:rPr>
                <w:rFonts w:ascii="宋体" w:cs="宋体"/>
                <w:color w:val="auto"/>
              </w:rPr>
            </w:pPr>
            <w:r>
              <w:rPr>
                <w:rFonts w:hint="eastAsia" w:ascii="宋体" w:hAnsi="宋体" w:cs="宋体"/>
                <w:color w:val="auto"/>
              </w:rPr>
              <w:t>油罐避雷接地不符</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12</w:t>
            </w:r>
          </w:p>
        </w:tc>
        <w:tc>
          <w:tcPr>
            <w:tcW w:w="1396" w:type="pct"/>
            <w:vAlign w:val="center"/>
          </w:tcPr>
          <w:p>
            <w:pPr>
              <w:jc w:val="left"/>
              <w:rPr>
                <w:rFonts w:ascii="宋体" w:cs="宋体"/>
                <w:color w:val="auto"/>
              </w:rPr>
            </w:pPr>
            <w:r>
              <w:rPr>
                <w:rFonts w:hint="eastAsia" w:ascii="宋体" w:hAnsi="宋体" w:cs="宋体"/>
                <w:color w:val="auto"/>
              </w:rPr>
              <w:t>油罐区内的油品管道上的法兰、胶管等连接处未采用金属线跨接</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13</w:t>
            </w:r>
          </w:p>
        </w:tc>
        <w:tc>
          <w:tcPr>
            <w:tcW w:w="1396" w:type="pct"/>
            <w:vAlign w:val="center"/>
          </w:tcPr>
          <w:p>
            <w:pPr>
              <w:jc w:val="left"/>
              <w:rPr>
                <w:rFonts w:cs="Times New Roman"/>
                <w:color w:val="auto"/>
              </w:rPr>
            </w:pPr>
            <w:r>
              <w:rPr>
                <w:rFonts w:hint="eastAsia" w:cs="宋体"/>
                <w:color w:val="auto"/>
              </w:rPr>
              <w:t>油罐区消防器材配备不全或失效</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定期对消防设施进行检查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14</w:t>
            </w:r>
          </w:p>
        </w:tc>
        <w:tc>
          <w:tcPr>
            <w:tcW w:w="1396" w:type="pct"/>
            <w:vAlign w:val="center"/>
          </w:tcPr>
          <w:p>
            <w:pPr>
              <w:jc w:val="left"/>
              <w:rPr>
                <w:rFonts w:cs="Times New Roman"/>
                <w:color w:val="auto"/>
              </w:rPr>
            </w:pPr>
            <w:r>
              <w:rPr>
                <w:rFonts w:hint="eastAsia" w:cs="宋体"/>
                <w:color w:val="auto"/>
              </w:rPr>
              <w:t>加油机、加油车辆、加油枪漏油</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15</w:t>
            </w:r>
          </w:p>
        </w:tc>
        <w:tc>
          <w:tcPr>
            <w:tcW w:w="1396" w:type="pct"/>
            <w:vAlign w:val="center"/>
          </w:tcPr>
          <w:p>
            <w:pPr>
              <w:jc w:val="left"/>
              <w:rPr>
                <w:rFonts w:ascii="宋体" w:cs="宋体"/>
                <w:color w:val="auto"/>
              </w:rPr>
            </w:pPr>
            <w:r>
              <w:rPr>
                <w:rFonts w:hint="eastAsia" w:cs="宋体"/>
                <w:color w:val="auto"/>
              </w:rPr>
              <w:t>加油机线路、电机、接线盒不防爆、</w:t>
            </w:r>
            <w:r>
              <w:rPr>
                <w:rFonts w:hint="eastAsia" w:ascii="宋体" w:hAnsi="宋体" w:cs="宋体"/>
                <w:color w:val="auto"/>
              </w:rPr>
              <w:t>管道上的法兰、胶管等连接处未采用金属线跨接或</w:t>
            </w:r>
            <w:r>
              <w:rPr>
                <w:rFonts w:hint="eastAsia" w:cs="宋体"/>
                <w:color w:val="auto"/>
              </w:rPr>
              <w:t>静电接地失灵</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16</w:t>
            </w:r>
          </w:p>
        </w:tc>
        <w:tc>
          <w:tcPr>
            <w:tcW w:w="1396" w:type="pct"/>
            <w:vAlign w:val="center"/>
          </w:tcPr>
          <w:p>
            <w:pPr>
              <w:ind w:firstLine="25"/>
              <w:rPr>
                <w:rFonts w:ascii="宋体" w:cs="宋体"/>
                <w:color w:val="auto"/>
                <w:kern w:val="0"/>
              </w:rPr>
            </w:pPr>
            <w:r>
              <w:rPr>
                <w:rFonts w:hint="eastAsia" w:ascii="宋体" w:hAnsi="宋体" w:cs="宋体"/>
                <w:color w:val="auto"/>
                <w:kern w:val="0"/>
              </w:rPr>
              <w:t>加油软管长期磨损、车辆碾压等发生泄漏</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hint="eastAsia" w:eastAsia="宋体" w:cs="Times New Roman"/>
                <w:color w:val="auto"/>
                <w:lang w:eastAsia="zh-CN"/>
              </w:rPr>
            </w:pPr>
            <w:r>
              <w:rPr>
                <w:rFonts w:hint="eastAsia"/>
                <w:color w:val="auto"/>
                <w:lang w:val="en-US" w:eastAsia="zh-CN"/>
              </w:rPr>
              <w:t>3级</w:t>
            </w:r>
          </w:p>
        </w:tc>
        <w:tc>
          <w:tcPr>
            <w:tcW w:w="1049" w:type="pct"/>
            <w:vAlign w:val="center"/>
          </w:tcPr>
          <w:p>
            <w:pPr>
              <w:spacing w:line="280" w:lineRule="exact"/>
              <w:jc w:val="left"/>
              <w:rPr>
                <w:rFonts w:cs="Times New Roman"/>
                <w:color w:val="auto"/>
              </w:rPr>
            </w:pPr>
            <w:r>
              <w:rPr>
                <w:rFonts w:hint="eastAsia" w:cs="宋体"/>
                <w:color w:val="auto"/>
              </w:rPr>
              <w:t>定期对软管进行检查，严格执行操作规程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17</w:t>
            </w:r>
          </w:p>
        </w:tc>
        <w:tc>
          <w:tcPr>
            <w:tcW w:w="1396" w:type="pct"/>
            <w:vAlign w:val="center"/>
          </w:tcPr>
          <w:p>
            <w:pPr>
              <w:ind w:firstLine="25"/>
              <w:rPr>
                <w:rFonts w:ascii="宋体" w:cs="宋体"/>
                <w:color w:val="auto"/>
                <w:kern w:val="0"/>
              </w:rPr>
            </w:pPr>
            <w:r>
              <w:rPr>
                <w:rFonts w:hint="eastAsia" w:ascii="宋体" w:hAnsi="宋体" w:cs="宋体"/>
                <w:color w:val="auto"/>
                <w:kern w:val="0"/>
              </w:rPr>
              <w:t>加油区未设置防撞柱，防撞柱设置不符合要求</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定期对防撞柱进行检查，及时维修更换</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18</w:t>
            </w:r>
          </w:p>
        </w:tc>
        <w:tc>
          <w:tcPr>
            <w:tcW w:w="1396" w:type="pct"/>
            <w:vAlign w:val="center"/>
          </w:tcPr>
          <w:p>
            <w:pPr>
              <w:jc w:val="left"/>
              <w:rPr>
                <w:rFonts w:cs="Times New Roman"/>
                <w:color w:val="auto"/>
              </w:rPr>
            </w:pPr>
            <w:r>
              <w:rPr>
                <w:rFonts w:hint="eastAsia" w:cs="宋体"/>
                <w:color w:val="auto"/>
              </w:rPr>
              <w:t>加油员违反操作规程作业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19</w:t>
            </w:r>
          </w:p>
        </w:tc>
        <w:tc>
          <w:tcPr>
            <w:tcW w:w="1396" w:type="pct"/>
            <w:vAlign w:val="center"/>
          </w:tcPr>
          <w:p>
            <w:pPr>
              <w:jc w:val="left"/>
              <w:rPr>
                <w:rFonts w:cs="Times New Roman"/>
                <w:color w:val="auto"/>
              </w:rPr>
            </w:pPr>
            <w:r>
              <w:rPr>
                <w:rFonts w:hint="eastAsia" w:cs="宋体"/>
                <w:color w:val="auto"/>
              </w:rPr>
              <w:t>司乘人员违反规定吸烟、使用通讯工具、穿脱化纤衣物或车辆未熄火加油</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发现司乘人员违反规定，加油员要及时责令其停止不安全行为</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20</w:t>
            </w:r>
          </w:p>
        </w:tc>
        <w:tc>
          <w:tcPr>
            <w:tcW w:w="1396" w:type="pct"/>
            <w:vAlign w:val="center"/>
          </w:tcPr>
          <w:p>
            <w:pPr>
              <w:jc w:val="left"/>
              <w:rPr>
                <w:rFonts w:cs="Times New Roman"/>
                <w:color w:val="auto"/>
              </w:rPr>
            </w:pPr>
            <w:r>
              <w:rPr>
                <w:rFonts w:hint="eastAsia" w:cs="宋体"/>
                <w:color w:val="auto"/>
              </w:rPr>
              <w:t>有高强闪电或雷击频繁时，进行加油作业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highlight w:val="yellow"/>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在规程中明确要求：闪电或雷击时停止加油</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21</w:t>
            </w:r>
          </w:p>
        </w:tc>
        <w:tc>
          <w:tcPr>
            <w:tcW w:w="1396" w:type="pct"/>
            <w:vAlign w:val="center"/>
          </w:tcPr>
          <w:p>
            <w:pPr>
              <w:spacing w:line="280" w:lineRule="exact"/>
              <w:rPr>
                <w:rFonts w:ascii="宋体" w:cs="宋体"/>
                <w:color w:val="auto"/>
              </w:rPr>
            </w:pPr>
            <w:r>
              <w:rPr>
                <w:rFonts w:hint="eastAsia" w:ascii="宋体" w:hAnsi="宋体" w:cs="宋体"/>
                <w:color w:val="auto"/>
              </w:rPr>
              <w:t>配电柜前未设置绝缘胶板或绝缘胶板不符合要求</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ascii="宋体" w:cs="宋体"/>
                <w:color w:val="auto"/>
              </w:rPr>
            </w:pPr>
            <w:r>
              <w:rPr>
                <w:rFonts w:hint="eastAsia" w:ascii="宋体" w:hAnsi="宋体" w:cs="宋体"/>
                <w:color w:val="auto"/>
              </w:rPr>
              <w:t>触电</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22</w:t>
            </w:r>
          </w:p>
        </w:tc>
        <w:tc>
          <w:tcPr>
            <w:tcW w:w="1396" w:type="pct"/>
            <w:vAlign w:val="center"/>
          </w:tcPr>
          <w:p>
            <w:pPr>
              <w:spacing w:line="280" w:lineRule="exact"/>
              <w:rPr>
                <w:rFonts w:ascii="宋体" w:cs="宋体"/>
                <w:color w:val="auto"/>
              </w:rPr>
            </w:pPr>
            <w:r>
              <w:rPr>
                <w:rFonts w:hint="eastAsia" w:ascii="宋体" w:hAnsi="宋体" w:cs="宋体"/>
                <w:color w:val="auto"/>
              </w:rPr>
              <w:t>配电柜缺少工作接地保护接地或接地电阻值不符</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23</w:t>
            </w:r>
          </w:p>
        </w:tc>
        <w:tc>
          <w:tcPr>
            <w:tcW w:w="1396" w:type="pct"/>
            <w:vAlign w:val="center"/>
          </w:tcPr>
          <w:p>
            <w:pPr>
              <w:spacing w:line="280" w:lineRule="exact"/>
              <w:rPr>
                <w:rFonts w:ascii="宋体" w:cs="宋体"/>
                <w:color w:val="auto"/>
              </w:rPr>
            </w:pPr>
            <w:r>
              <w:rPr>
                <w:rFonts w:hint="eastAsia" w:ascii="宋体" w:hAnsi="宋体" w:cs="宋体"/>
                <w:color w:val="auto"/>
              </w:rPr>
              <w:t>配电室内缺少应急照明灯具</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000" w:type="pct"/>
            <w:gridSpan w:val="8"/>
            <w:vAlign w:val="bottom"/>
          </w:tcPr>
          <w:p>
            <w:pPr>
              <w:jc w:val="center"/>
              <w:rPr>
                <w:rFonts w:ascii="宋体" w:cs="宋体"/>
                <w:color w:val="auto"/>
              </w:rPr>
            </w:pPr>
            <w:r>
              <w:rPr>
                <w:rFonts w:hint="eastAsia" w:ascii="宋体" w:hAnsi="宋体" w:cs="宋体"/>
                <w:b/>
                <w:bCs/>
                <w:color w:val="auto"/>
              </w:rPr>
              <w:t>职业卫生风险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36" w:type="pct"/>
            <w:vAlign w:val="center"/>
          </w:tcPr>
          <w:p>
            <w:pPr>
              <w:jc w:val="center"/>
              <w:rPr>
                <w:rFonts w:ascii="Calibri Light" w:hAnsi="Calibri Light" w:cs="Calibri Light"/>
                <w:color w:val="auto"/>
                <w:sz w:val="22"/>
                <w:szCs w:val="22"/>
              </w:rPr>
            </w:pPr>
            <w:r>
              <w:rPr>
                <w:rFonts w:hint="eastAsia" w:ascii="宋体" w:hAnsi="宋体" w:cs="宋体"/>
                <w:b/>
                <w:bCs/>
                <w:color w:val="auto"/>
              </w:rPr>
              <w:t>序号</w:t>
            </w:r>
          </w:p>
        </w:tc>
        <w:tc>
          <w:tcPr>
            <w:tcW w:w="1396" w:type="pct"/>
            <w:vAlign w:val="center"/>
          </w:tcPr>
          <w:p>
            <w:pPr>
              <w:jc w:val="center"/>
              <w:rPr>
                <w:rFonts w:ascii="宋体" w:cs="宋体"/>
                <w:color w:val="auto"/>
              </w:rPr>
            </w:pPr>
            <w:r>
              <w:rPr>
                <w:rFonts w:hint="eastAsia" w:ascii="宋体" w:hAnsi="宋体" w:cs="宋体"/>
                <w:b/>
                <w:bCs/>
                <w:color w:val="auto"/>
              </w:rPr>
              <w:t>危害因素</w:t>
            </w:r>
          </w:p>
        </w:tc>
        <w:tc>
          <w:tcPr>
            <w:tcW w:w="396" w:type="pct"/>
            <w:vAlign w:val="center"/>
          </w:tcPr>
          <w:p>
            <w:pPr>
              <w:jc w:val="center"/>
              <w:rPr>
                <w:rFonts w:cs="Times New Roman"/>
                <w:color w:val="auto"/>
              </w:rPr>
            </w:pPr>
            <w:r>
              <w:rPr>
                <w:rFonts w:hint="eastAsia" w:ascii="宋体" w:hAnsi="宋体" w:cs="宋体"/>
                <w:b/>
                <w:bCs/>
                <w:color w:val="auto"/>
              </w:rPr>
              <w:t>存在位置</w:t>
            </w:r>
          </w:p>
        </w:tc>
        <w:tc>
          <w:tcPr>
            <w:tcW w:w="493" w:type="pct"/>
            <w:vAlign w:val="center"/>
          </w:tcPr>
          <w:p>
            <w:pPr>
              <w:jc w:val="center"/>
              <w:rPr>
                <w:rFonts w:ascii="宋体" w:cs="宋体"/>
                <w:color w:val="auto"/>
              </w:rPr>
            </w:pPr>
            <w:r>
              <w:rPr>
                <w:rFonts w:hint="eastAsia" w:ascii="宋体" w:hAnsi="宋体" w:cs="宋体"/>
                <w:b/>
                <w:bCs/>
                <w:color w:val="auto"/>
              </w:rPr>
              <w:t>后果</w:t>
            </w:r>
          </w:p>
        </w:tc>
        <w:tc>
          <w:tcPr>
            <w:tcW w:w="368" w:type="pct"/>
            <w:vAlign w:val="center"/>
          </w:tcPr>
          <w:p>
            <w:pPr>
              <w:jc w:val="center"/>
              <w:rPr>
                <w:rFonts w:ascii="宋体" w:cs="宋体"/>
                <w:color w:val="auto"/>
              </w:rPr>
            </w:pPr>
            <w:r>
              <w:rPr>
                <w:rFonts w:hint="eastAsia" w:ascii="宋体" w:hAnsi="宋体" w:cs="宋体"/>
                <w:b/>
                <w:bCs/>
                <w:color w:val="auto"/>
              </w:rPr>
              <w:t>风险等级</w:t>
            </w:r>
          </w:p>
        </w:tc>
        <w:tc>
          <w:tcPr>
            <w:tcW w:w="1049" w:type="pct"/>
            <w:vAlign w:val="center"/>
          </w:tcPr>
          <w:p>
            <w:pPr>
              <w:jc w:val="center"/>
              <w:rPr>
                <w:rFonts w:ascii="宋体" w:cs="宋体"/>
                <w:color w:val="auto"/>
              </w:rPr>
            </w:pPr>
            <w:r>
              <w:rPr>
                <w:rFonts w:hint="eastAsia" w:ascii="宋体" w:hAnsi="宋体" w:cs="宋体"/>
                <w:b/>
                <w:bCs/>
                <w:color w:val="auto"/>
              </w:rPr>
              <w:t>管控措施</w:t>
            </w:r>
          </w:p>
        </w:tc>
        <w:tc>
          <w:tcPr>
            <w:tcW w:w="559" w:type="pct"/>
            <w:vAlign w:val="center"/>
          </w:tcPr>
          <w:p>
            <w:pPr>
              <w:jc w:val="center"/>
              <w:rPr>
                <w:rFonts w:ascii="宋体" w:cs="宋体"/>
                <w:color w:val="auto"/>
              </w:rPr>
            </w:pPr>
            <w:r>
              <w:rPr>
                <w:rFonts w:hint="eastAsia" w:ascii="宋体" w:hAnsi="宋体" w:cs="宋体"/>
                <w:b/>
                <w:bCs/>
                <w:color w:val="auto"/>
              </w:rPr>
              <w:t>管控责任单位（部门）</w:t>
            </w:r>
          </w:p>
        </w:tc>
        <w:tc>
          <w:tcPr>
            <w:tcW w:w="500" w:type="pct"/>
            <w:vAlign w:val="center"/>
          </w:tcPr>
          <w:p>
            <w:pPr>
              <w:jc w:val="center"/>
              <w:rPr>
                <w:rFonts w:ascii="宋体" w:cs="宋体"/>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236" w:type="pct"/>
            <w:vAlign w:val="center"/>
          </w:tcPr>
          <w:p>
            <w:pPr>
              <w:widowControl/>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接触汽油、柴油</w:t>
            </w:r>
          </w:p>
        </w:tc>
        <w:tc>
          <w:tcPr>
            <w:tcW w:w="396" w:type="pct"/>
            <w:vAlign w:val="center"/>
          </w:tcPr>
          <w:p>
            <w:pPr>
              <w:rPr>
                <w:rFonts w:cs="Times New Roman"/>
                <w:color w:val="auto"/>
              </w:rPr>
            </w:pPr>
            <w:r>
              <w:rPr>
                <w:rFonts w:hint="eastAsia"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过敏、腐蚀皮肤</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236" w:type="pct"/>
            <w:tcBorders>
              <w:bottom w:val="single" w:color="000000" w:sz="12" w:space="0"/>
            </w:tcBorders>
            <w:vAlign w:val="center"/>
          </w:tcPr>
          <w:p>
            <w:pPr>
              <w:widowControl/>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tcBorders>
              <w:bottom w:val="single" w:color="000000" w:sz="12" w:space="0"/>
            </w:tcBorders>
            <w:vAlign w:val="center"/>
          </w:tcPr>
          <w:p>
            <w:pPr>
              <w:jc w:val="left"/>
              <w:rPr>
                <w:rFonts w:ascii="宋体" w:cs="宋体"/>
                <w:color w:val="auto"/>
              </w:rPr>
            </w:pPr>
            <w:r>
              <w:rPr>
                <w:rFonts w:hint="eastAsia" w:ascii="宋体" w:hAnsi="宋体" w:cs="宋体"/>
                <w:color w:val="auto"/>
              </w:rPr>
              <w:t>闻汽油、柴油</w:t>
            </w:r>
          </w:p>
        </w:tc>
        <w:tc>
          <w:tcPr>
            <w:tcW w:w="396" w:type="pct"/>
            <w:tcBorders>
              <w:bottom w:val="single" w:color="000000" w:sz="12" w:space="0"/>
            </w:tcBorders>
            <w:vAlign w:val="center"/>
          </w:tcPr>
          <w:p>
            <w:pPr>
              <w:jc w:val="center"/>
              <w:rPr>
                <w:rFonts w:ascii="宋体" w:cs="宋体"/>
                <w:color w:val="auto"/>
              </w:rPr>
            </w:pPr>
            <w:r>
              <w:rPr>
                <w:rFonts w:hint="eastAsia" w:ascii="宋体" w:hAnsi="宋体" w:cs="宋体"/>
                <w:color w:val="auto"/>
              </w:rPr>
              <w:t>卸油区</w:t>
            </w:r>
          </w:p>
        </w:tc>
        <w:tc>
          <w:tcPr>
            <w:tcW w:w="493" w:type="pct"/>
            <w:tcBorders>
              <w:bottom w:val="single" w:color="000000" w:sz="12" w:space="0"/>
            </w:tcBorders>
            <w:vAlign w:val="center"/>
          </w:tcPr>
          <w:p>
            <w:pPr>
              <w:jc w:val="center"/>
              <w:rPr>
                <w:rFonts w:ascii="宋体" w:cs="宋体"/>
                <w:color w:val="auto"/>
              </w:rPr>
            </w:pPr>
            <w:r>
              <w:rPr>
                <w:rFonts w:hint="eastAsia" w:ascii="宋体" w:hAnsi="宋体" w:cs="宋体"/>
                <w:color w:val="auto"/>
              </w:rPr>
              <w:t>过敏、腐蚀皮肤</w:t>
            </w:r>
          </w:p>
        </w:tc>
        <w:tc>
          <w:tcPr>
            <w:tcW w:w="368" w:type="pct"/>
            <w:tcBorders>
              <w:bottom w:val="single" w:color="000000" w:sz="12" w:space="0"/>
            </w:tcBorders>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tcBorders>
              <w:bottom w:val="single" w:color="000000" w:sz="12" w:space="0"/>
            </w:tcBorders>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tcBorders>
              <w:bottom w:val="single" w:color="000000" w:sz="12" w:space="0"/>
            </w:tcBorders>
            <w:vAlign w:val="center"/>
          </w:tcPr>
          <w:p>
            <w:pPr>
              <w:jc w:val="center"/>
              <w:rPr>
                <w:rFonts w:ascii="宋体" w:cs="宋体"/>
                <w:color w:val="auto"/>
              </w:rPr>
            </w:pPr>
            <w:r>
              <w:rPr>
                <w:rFonts w:hint="eastAsia" w:ascii="宋体" w:hAnsi="宋体" w:cs="宋体"/>
                <w:color w:val="auto"/>
              </w:rPr>
              <w:t>加油站</w:t>
            </w:r>
          </w:p>
        </w:tc>
        <w:tc>
          <w:tcPr>
            <w:tcW w:w="500" w:type="pct"/>
            <w:tcBorders>
              <w:bottom w:val="single" w:color="000000" w:sz="12" w:space="0"/>
            </w:tcBorders>
            <w:vAlign w:val="center"/>
          </w:tcPr>
          <w:p>
            <w:pPr>
              <w:jc w:val="center"/>
              <w:rPr>
                <w:rFonts w:ascii="宋体" w:cs="宋体"/>
                <w:color w:val="auto"/>
              </w:rPr>
            </w:pPr>
            <w:r>
              <w:rPr>
                <w:rFonts w:hint="eastAsia" w:ascii="宋体" w:hAnsi="宋体" w:cs="宋体"/>
                <w:color w:val="auto"/>
              </w:rPr>
              <w:t>站长</w:t>
            </w:r>
          </w:p>
        </w:tc>
      </w:tr>
    </w:tbl>
    <w:p>
      <w:pPr>
        <w:rPr>
          <w:rFonts w:hint="eastAsia"/>
          <w:color w:val="auto"/>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2</w:t>
      </w:r>
      <w:r>
        <w:rPr>
          <w:rFonts w:hint="eastAsia" w:ascii="宋体" w:hAnsi="宋体" w:eastAsia="宋体" w:cs="宋体"/>
          <w:b/>
          <w:bCs/>
          <w:color w:val="auto"/>
          <w:kern w:val="0"/>
          <w:sz w:val="24"/>
          <w:lang w:eastAsia="zh-CN"/>
        </w:rPr>
        <w:t xml:space="preserve"> 加油站主要事故风险分布</w:t>
      </w:r>
      <w:r>
        <w:rPr>
          <w:rFonts w:hint="eastAsia" w:ascii="宋体" w:hAnsi="宋体" w:cs="宋体"/>
          <w:b/>
          <w:bCs/>
          <w:color w:val="auto"/>
          <w:kern w:val="0"/>
          <w:sz w:val="24"/>
          <w:lang w:eastAsia="zh-CN"/>
        </w:rPr>
        <w:t>汇总</w:t>
      </w:r>
      <w:r>
        <w:rPr>
          <w:rFonts w:hint="eastAsia" w:ascii="宋体" w:hAnsi="宋体" w:eastAsia="宋体" w:cs="宋体"/>
          <w:b/>
          <w:bCs/>
          <w:color w:val="auto"/>
          <w:kern w:val="0"/>
          <w:sz w:val="24"/>
          <w:lang w:eastAsia="zh-CN"/>
        </w:rPr>
        <w:t>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事故</w:t>
            </w:r>
          </w:p>
          <w:p>
            <w:pPr>
              <w:ind w:left="420" w:leftChars="200" w:firstLine="600" w:firstLineChars="250"/>
              <w:rPr>
                <w:rFonts w:hint="eastAsia" w:ascii="宋体" w:hAnsi="宋体" w:eastAsia="宋体" w:cs="宋体"/>
                <w:color w:val="auto"/>
                <w:sz w:val="24"/>
              </w:rPr>
            </w:pPr>
            <w:r>
              <w:rPr>
                <w:rFonts w:hint="eastAsia" w:ascii="宋体" w:hAnsi="宋体" w:eastAsia="宋体" w:cs="宋体"/>
                <w:color w:val="auto"/>
                <w:sz w:val="24"/>
              </w:rPr>
              <w:t>风险</w:t>
            </w:r>
          </w:p>
          <w:p>
            <w:pPr>
              <w:rPr>
                <w:rFonts w:hint="eastAsia" w:ascii="宋体" w:hAnsi="宋体" w:eastAsia="宋体" w:cs="宋体"/>
                <w:color w:val="auto"/>
                <w:sz w:val="24"/>
              </w:rPr>
            </w:pPr>
            <w:r>
              <w:rPr>
                <w:rFonts w:hint="eastAsia" w:ascii="宋体" w:hAnsi="宋体" w:eastAsia="宋体" w:cs="宋体"/>
                <w:color w:val="auto"/>
                <w:sz w:val="24"/>
              </w:rPr>
              <w:t>作业场所</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泄漏</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火灾</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爆炸</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车辆</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机械</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42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高处</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坠落</w:t>
            </w:r>
          </w:p>
        </w:tc>
        <w:tc>
          <w:tcPr>
            <w:tcW w:w="53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油罐区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加油区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p>
        </w:tc>
        <w:tc>
          <w:tcPr>
            <w:tcW w:w="422" w:type="pct"/>
            <w:noWrap w:val="0"/>
            <w:vAlign w:val="center"/>
          </w:tcPr>
          <w:p>
            <w:pPr>
              <w:spacing w:line="440" w:lineRule="exact"/>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配电室</w:t>
            </w:r>
          </w:p>
        </w:tc>
        <w:tc>
          <w:tcPr>
            <w:tcW w:w="515" w:type="pct"/>
            <w:noWrap w:val="0"/>
            <w:vAlign w:val="center"/>
          </w:tcPr>
          <w:p>
            <w:pPr>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辅助用房</w:t>
            </w:r>
          </w:p>
        </w:tc>
        <w:tc>
          <w:tcPr>
            <w:tcW w:w="515"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p>
        </w:tc>
      </w:tr>
    </w:tbl>
    <w:p>
      <w:pPr>
        <w:jc w:val="center"/>
        <w:rPr>
          <w:rFonts w:hint="eastAsia" w:ascii="宋体" w:hAnsi="宋体" w:eastAsia="宋体" w:cs="宋体"/>
          <w:b/>
          <w:bCs/>
          <w:color w:val="auto"/>
          <w:kern w:val="0"/>
          <w:sz w:val="24"/>
          <w:lang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bidi w:val="0"/>
        <w:rPr>
          <w:rFonts w:hint="eastAsia" w:ascii="宋体" w:hAnsi="宋体" w:eastAsia="宋体" w:cs="宋体"/>
          <w:color w:val="auto"/>
          <w:lang w:val="en-US" w:eastAsia="zh-CN"/>
        </w:rPr>
      </w:pPr>
      <w:bookmarkStart w:id="131" w:name="_Toc369"/>
      <w:r>
        <w:rPr>
          <w:rFonts w:hint="eastAsia" w:ascii="宋体" w:hAnsi="宋体" w:eastAsia="宋体" w:cs="宋体"/>
          <w:color w:val="auto"/>
          <w:lang w:val="en-US" w:eastAsia="zh-CN"/>
        </w:rPr>
        <w:t>3 事故风险评价</w:t>
      </w:r>
      <w:bookmarkEnd w:id="131"/>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根据《生产安全事故报告与调查处理条例》（以下简称条例）规定，生产安全事故按照其性质、严重程度和影响范围等因素，一般分为四个等级，本站按照事故性质、灾害程度、影响范围等因素，结合自身及周边单位的实际情况，将生产安全事故分为以下三个等级</w:t>
      </w:r>
      <w:r>
        <w:rPr>
          <w:rFonts w:hint="eastAsia" w:ascii="宋体" w:hAnsi="宋体" w:eastAsia="宋体" w:cs="宋体"/>
          <w:color w:val="auto"/>
          <w:sz w:val="28"/>
          <w:szCs w:val="28"/>
          <w:lang w:eastAsia="zh-CN"/>
        </w:rPr>
        <w:t>：</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严重事故：造成1人以上死亡或重伤的事故；或者造成20万元以上经济损失的事故。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较大事故：无人员重伤或死亡，2人轻伤的；或者造成10万元以上，20万元以下经济损失的事故。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一般事故：无人员重伤或死亡，2人以下轻伤的；或者造成10万元以下经济损失的事故。</w:t>
      </w:r>
    </w:p>
    <w:p>
      <w:pPr>
        <w:tabs>
          <w:tab w:val="center" w:pos="4535"/>
          <w:tab w:val="right" w:pos="9070"/>
        </w:tabs>
        <w:ind w:firstLine="560" w:firstLineChars="200"/>
        <w:jc w:val="left"/>
        <w:rPr>
          <w:rFonts w:hint="eastAsia" w:ascii="宋体" w:hAnsi="宋体" w:eastAsia="宋体" w:cs="宋体"/>
          <w:color w:val="auto"/>
        </w:rPr>
      </w:pPr>
      <w:r>
        <w:rPr>
          <w:rFonts w:hint="eastAsia" w:ascii="宋体" w:hAnsi="宋体" w:eastAsia="宋体" w:cs="宋体"/>
          <w:color w:val="auto"/>
          <w:sz w:val="28"/>
          <w:szCs w:val="28"/>
        </w:rPr>
        <w:t>注：上述“以上”含本数；如“1人以上死亡”，指“含1人及以上的死亡”。</w:t>
      </w:r>
    </w:p>
    <w:tbl>
      <w:tblPr>
        <w:tblStyle w:val="50"/>
        <w:tblpPr w:leftFromText="180" w:rightFromText="180" w:vertAnchor="text" w:horzAnchor="margin" w:tblpX="269" w:tblpY="347"/>
        <w:tblW w:w="4999" w:type="pct"/>
        <w:tblInd w:w="0" w:type="dxa"/>
        <w:tblLayout w:type="autofit"/>
        <w:tblCellMar>
          <w:top w:w="0" w:type="dxa"/>
          <w:left w:w="108" w:type="dxa"/>
          <w:bottom w:w="0" w:type="dxa"/>
          <w:right w:w="108" w:type="dxa"/>
        </w:tblCellMar>
      </w:tblPr>
      <w:tblGrid>
        <w:gridCol w:w="1672"/>
        <w:gridCol w:w="7614"/>
      </w:tblGrid>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事故等级</w:t>
            </w:r>
          </w:p>
        </w:tc>
        <w:tc>
          <w:tcPr>
            <w:tcW w:w="4099" w:type="pct"/>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分级依据</w:t>
            </w:r>
          </w:p>
        </w:tc>
      </w:tr>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严重事故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造成1人以上死亡或重伤的事故；或者造成20万元以上经济损失的事故。</w:t>
            </w:r>
          </w:p>
        </w:tc>
      </w:tr>
      <w:tr>
        <w:tblPrEx>
          <w:tblCellMar>
            <w:top w:w="0" w:type="dxa"/>
            <w:left w:w="108" w:type="dxa"/>
            <w:bottom w:w="0" w:type="dxa"/>
            <w:right w:w="108" w:type="dxa"/>
          </w:tblCellMar>
        </w:tblPrEx>
        <w:trPr>
          <w:trHeight w:val="90"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较大事故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无人员重伤或死亡，2人轻伤的；或者造成10万元以上，20万元以下经济损失的事故。</w:t>
            </w:r>
          </w:p>
        </w:tc>
      </w:tr>
      <w:tr>
        <w:tblPrEx>
          <w:tblCellMar>
            <w:top w:w="0" w:type="dxa"/>
            <w:left w:w="108" w:type="dxa"/>
            <w:bottom w:w="0" w:type="dxa"/>
            <w:right w:w="108" w:type="dxa"/>
          </w:tblCellMar>
        </w:tblPrEx>
        <w:trPr>
          <w:trHeight w:val="244"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无人员重伤或死亡，2人以下轻伤的；或者造成10万元以下经济损失的事故。</w:t>
            </w:r>
          </w:p>
        </w:tc>
      </w:tr>
    </w:tbl>
    <w:p>
      <w:pPr>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w:t>
      </w:r>
      <w:r>
        <w:rPr>
          <w:rFonts w:hint="eastAsia" w:ascii="宋体" w:hAnsi="宋体" w:eastAsia="宋体" w:cs="宋体"/>
          <w:b/>
          <w:bCs/>
          <w:color w:val="auto"/>
          <w:kern w:val="0"/>
          <w:sz w:val="24"/>
          <w:lang w:val="en-US" w:eastAsia="zh-CN"/>
        </w:rPr>
        <w:t>事故等级</w:t>
      </w:r>
    </w:p>
    <w:p>
      <w:pPr>
        <w:jc w:val="center"/>
        <w:rPr>
          <w:rFonts w:hint="eastAsia" w:ascii="宋体" w:hAnsi="宋体" w:eastAsia="宋体" w:cs="宋体"/>
          <w:b/>
          <w:bCs/>
          <w:color w:val="auto"/>
          <w:kern w:val="0"/>
          <w:sz w:val="24"/>
          <w:lang w:eastAsia="zh-CN"/>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加油站主要事故风险分析结果</w:t>
      </w:r>
    </w:p>
    <w:tbl>
      <w:tblPr>
        <w:tblStyle w:val="50"/>
        <w:tblpPr w:leftFromText="180" w:rightFromText="180" w:vertAnchor="text" w:horzAnchor="page" w:tblpX="1678" w:tblpY="33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24"/>
        <w:gridCol w:w="3870"/>
        <w:gridCol w:w="20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7"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128"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7"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128"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7"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12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7"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128"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jc w:val="center"/>
        <w:rPr>
          <w:rFonts w:hint="eastAsia" w:ascii="宋体" w:hAnsi="宋体" w:eastAsia="宋体" w:cs="宋体"/>
          <w:b/>
          <w:bCs/>
          <w:color w:val="auto"/>
          <w:kern w:val="0"/>
          <w:sz w:val="24"/>
          <w:lang w:eastAsia="zh-CN"/>
        </w:rPr>
      </w:pPr>
    </w:p>
    <w:p>
      <w:pPr>
        <w:spacing w:before="156" w:after="156"/>
        <w:rPr>
          <w:rFonts w:hint="eastAsia" w:ascii="宋体" w:hAnsi="宋体" w:eastAsia="宋体" w:cs="宋体"/>
          <w:b/>
          <w:bCs/>
          <w:color w:val="auto"/>
          <w:sz w:val="28"/>
          <w:szCs w:val="28"/>
        </w:rPr>
      </w:pPr>
    </w:p>
    <w:p>
      <w:pPr>
        <w:pStyle w:val="4"/>
        <w:rPr>
          <w:rFonts w:hint="eastAsia" w:ascii="宋体" w:hAnsi="宋体" w:eastAsia="宋体" w:cs="宋体"/>
          <w:color w:val="auto"/>
        </w:rPr>
      </w:pPr>
      <w:r>
        <w:rPr>
          <w:rFonts w:hint="eastAsia" w:ascii="宋体" w:hAnsi="宋体" w:eastAsia="宋体" w:cs="宋体"/>
          <w:color w:val="auto"/>
        </w:rPr>
        <w:br w:type="page"/>
      </w:r>
      <w:bookmarkStart w:id="132" w:name="_Toc27477"/>
      <w:bookmarkStart w:id="133" w:name="_Toc2846969"/>
      <w:bookmarkStart w:id="134" w:name="_Toc2847161"/>
      <w:r>
        <w:rPr>
          <w:rFonts w:hint="eastAsia" w:ascii="宋体" w:hAnsi="宋体" w:eastAsia="宋体" w:cs="宋体"/>
          <w:color w:val="auto"/>
          <w:lang w:val="en-US" w:eastAsia="zh-CN"/>
        </w:rPr>
        <w:t>4 评估结论与建议</w:t>
      </w:r>
      <w:bookmarkEnd w:id="132"/>
      <w:bookmarkEnd w:id="133"/>
      <w:bookmarkEnd w:id="134"/>
    </w:p>
    <w:p>
      <w:pPr>
        <w:pStyle w:val="5"/>
        <w:bidi w:val="0"/>
        <w:rPr>
          <w:rFonts w:hint="eastAsia" w:ascii="宋体" w:hAnsi="宋体" w:eastAsia="宋体" w:cs="宋体"/>
          <w:color w:val="auto"/>
          <w:lang w:val="en-US" w:eastAsia="zh-CN"/>
        </w:rPr>
      </w:pPr>
      <w:bookmarkStart w:id="135" w:name="_Toc2846970"/>
      <w:bookmarkStart w:id="136" w:name="_Toc29759"/>
      <w:bookmarkStart w:id="137" w:name="_Toc2847162"/>
      <w:r>
        <w:rPr>
          <w:rFonts w:hint="eastAsia" w:ascii="宋体" w:hAnsi="宋体" w:eastAsia="宋体" w:cs="宋体"/>
          <w:color w:val="auto"/>
          <w:lang w:val="en-US" w:eastAsia="zh-CN"/>
        </w:rPr>
        <w:t>4.1 结论</w:t>
      </w:r>
      <w:bookmarkEnd w:id="135"/>
      <w:bookmarkEnd w:id="136"/>
      <w:bookmarkEnd w:id="137"/>
    </w:p>
    <w:p>
      <w:pPr>
        <w:spacing w:line="360" w:lineRule="auto"/>
        <w:ind w:firstLine="560" w:firstLineChars="200"/>
        <w:rPr>
          <w:rFonts w:hint="eastAsia" w:ascii="宋体" w:hAnsi="宋体" w:eastAsia="宋体" w:cs="宋体"/>
          <w:bCs/>
          <w:color w:val="000000" w:themeColor="text1"/>
          <w:sz w:val="28"/>
          <w:szCs w:val="28"/>
        </w:rPr>
      </w:pPr>
      <w:bookmarkStart w:id="138" w:name="_Toc2847163"/>
      <w:bookmarkStart w:id="139" w:name="_Toc2846971"/>
      <w:r>
        <w:rPr>
          <w:rFonts w:hint="eastAsia" w:ascii="宋体" w:hAnsi="宋体" w:eastAsia="宋体" w:cs="宋体"/>
          <w:bCs/>
          <w:color w:val="000000" w:themeColor="text1"/>
          <w:sz w:val="28"/>
          <w:szCs w:val="28"/>
        </w:rPr>
        <w:t>加油站危险区域为油罐区、</w:t>
      </w:r>
      <w:r>
        <w:rPr>
          <w:rFonts w:hint="eastAsia" w:ascii="宋体" w:hAnsi="宋体" w:eastAsia="宋体" w:cs="宋体"/>
          <w:color w:val="000000" w:themeColor="text1"/>
          <w:sz w:val="28"/>
          <w:szCs w:val="28"/>
        </w:rPr>
        <w:t>卸油点、</w:t>
      </w:r>
      <w:r>
        <w:rPr>
          <w:rFonts w:hint="eastAsia" w:ascii="宋体" w:hAnsi="宋体" w:eastAsia="宋体" w:cs="宋体"/>
          <w:bCs/>
          <w:color w:val="000000" w:themeColor="text1"/>
          <w:sz w:val="28"/>
          <w:szCs w:val="28"/>
        </w:rPr>
        <w:t>加油区、</w:t>
      </w:r>
      <w:r>
        <w:rPr>
          <w:rFonts w:hint="eastAsia" w:ascii="宋体" w:hAnsi="宋体" w:eastAsia="宋体" w:cs="宋体"/>
          <w:color w:val="000000" w:themeColor="text1"/>
          <w:sz w:val="28"/>
          <w:szCs w:val="28"/>
        </w:rPr>
        <w:t>配电室</w:t>
      </w:r>
      <w:r>
        <w:rPr>
          <w:rFonts w:hint="eastAsia" w:ascii="宋体" w:hAnsi="宋体" w:eastAsia="宋体" w:cs="宋体"/>
          <w:bCs/>
          <w:color w:val="000000" w:themeColor="text1"/>
          <w:sz w:val="28"/>
          <w:szCs w:val="28"/>
        </w:rPr>
        <w:t>，危险生产过程为卸油、加油和计量操作</w:t>
      </w:r>
      <w:r>
        <w:rPr>
          <w:rFonts w:hint="eastAsia" w:ascii="宋体" w:hAnsi="宋体" w:eastAsia="宋体" w:cs="宋体"/>
          <w:color w:val="000000" w:themeColor="text1"/>
          <w:sz w:val="28"/>
          <w:szCs w:val="28"/>
        </w:rPr>
        <w:t>，</w:t>
      </w:r>
      <w:r>
        <w:rPr>
          <w:rFonts w:hint="eastAsia" w:ascii="宋体" w:hAnsi="宋体" w:eastAsia="宋体" w:cs="宋体"/>
          <w:bCs/>
          <w:color w:val="000000" w:themeColor="text1"/>
          <w:sz w:val="28"/>
          <w:szCs w:val="28"/>
        </w:rPr>
        <w:t>存在火灾、爆炸、车辆伤害等事故风险。详见</w:t>
      </w:r>
      <w:r>
        <w:rPr>
          <w:rFonts w:hint="eastAsia" w:ascii="宋体" w:hAnsi="宋体" w:eastAsia="宋体" w:cs="宋体"/>
          <w:bCs/>
          <w:color w:val="000000" w:themeColor="text1"/>
          <w:sz w:val="28"/>
          <w:szCs w:val="28"/>
          <w:lang w:eastAsia="zh-CN"/>
        </w:rPr>
        <w:t>下表</w:t>
      </w:r>
      <w:r>
        <w:rPr>
          <w:rFonts w:hint="eastAsia" w:ascii="宋体" w:hAnsi="宋体" w:eastAsia="宋体" w:cs="宋体"/>
          <w:bCs/>
          <w:color w:val="000000" w:themeColor="text1"/>
          <w:sz w:val="28"/>
          <w:szCs w:val="28"/>
        </w:rPr>
        <w:t>。</w:t>
      </w: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1</w:t>
      </w:r>
      <w:r>
        <w:rPr>
          <w:rFonts w:hint="eastAsia" w:ascii="宋体" w:hAnsi="宋体" w:eastAsia="宋体" w:cs="宋体"/>
          <w:b/>
          <w:bCs/>
          <w:color w:val="000000" w:themeColor="text1"/>
          <w:kern w:val="0"/>
          <w:sz w:val="24"/>
          <w:lang w:eastAsia="zh-CN"/>
        </w:rPr>
        <w:t>加油站主要事故风险分布表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000000" w:themeColor="text1"/>
                <w:sz w:val="24"/>
              </w:rPr>
            </w:pPr>
            <w:r>
              <w:rPr>
                <w:rFonts w:hint="eastAsia" w:ascii="宋体" w:hAnsi="宋体" w:eastAsia="宋体" w:cs="宋体"/>
                <w:color w:val="000000" w:themeColor="text1"/>
                <w:sz w:val="24"/>
              </w:rPr>
              <w:t>事故</w:t>
            </w:r>
          </w:p>
          <w:p>
            <w:pPr>
              <w:ind w:left="420" w:leftChars="200" w:firstLine="600" w:firstLineChars="250"/>
              <w:rPr>
                <w:rFonts w:hint="eastAsia" w:ascii="宋体" w:hAnsi="宋体" w:eastAsia="宋体" w:cs="宋体"/>
                <w:color w:val="000000" w:themeColor="text1"/>
                <w:sz w:val="24"/>
              </w:rPr>
            </w:pPr>
            <w:r>
              <w:rPr>
                <w:rFonts w:hint="eastAsia" w:ascii="宋体" w:hAnsi="宋体" w:eastAsia="宋体" w:cs="宋体"/>
                <w:color w:val="000000" w:themeColor="text1"/>
                <w:sz w:val="24"/>
              </w:rPr>
              <w:t>风险</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作业场所</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泄漏</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火灾</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爆炸</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触电</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车辆</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机械</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42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高处</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坠落</w:t>
            </w:r>
          </w:p>
        </w:tc>
        <w:tc>
          <w:tcPr>
            <w:tcW w:w="53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油罐区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加油区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p>
        </w:tc>
        <w:tc>
          <w:tcPr>
            <w:tcW w:w="422" w:type="pct"/>
            <w:noWrap w:val="0"/>
            <w:vAlign w:val="center"/>
          </w:tcPr>
          <w:p>
            <w:pPr>
              <w:spacing w:line="440" w:lineRule="exact"/>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配电室</w:t>
            </w:r>
          </w:p>
        </w:tc>
        <w:tc>
          <w:tcPr>
            <w:tcW w:w="515"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辅助用房</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p>
        </w:tc>
      </w:tr>
    </w:tbl>
    <w:p>
      <w:pPr>
        <w:jc w:val="center"/>
        <w:rPr>
          <w:rFonts w:hint="eastAsia" w:ascii="宋体" w:hAnsi="宋体" w:eastAsia="宋体" w:cs="宋体"/>
          <w:b/>
          <w:bCs/>
          <w:color w:val="000000" w:themeColor="text1"/>
          <w:kern w:val="0"/>
          <w:sz w:val="24"/>
          <w:lang w:eastAsia="zh-CN"/>
        </w:rPr>
      </w:pP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2</w:t>
      </w:r>
      <w:r>
        <w:rPr>
          <w:rFonts w:hint="eastAsia" w:ascii="宋体" w:hAnsi="宋体" w:eastAsia="宋体" w:cs="宋体"/>
          <w:b/>
          <w:bCs/>
          <w:color w:val="000000" w:themeColor="text1"/>
          <w:kern w:val="0"/>
          <w:sz w:val="24"/>
          <w:lang w:eastAsia="zh-CN"/>
        </w:rPr>
        <w:t>加油站主要事故风险分析结果</w:t>
      </w:r>
    </w:p>
    <w:tbl>
      <w:tblPr>
        <w:tblStyle w:val="50"/>
        <w:tblpPr w:leftFromText="180" w:rightFromText="180" w:vertAnchor="text" w:horzAnchor="page" w:tblpX="1487" w:tblpY="23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23"/>
        <w:gridCol w:w="3870"/>
        <w:gridCol w:w="20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6"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128"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128"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12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128"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pStyle w:val="5"/>
        <w:rPr>
          <w:rFonts w:hint="eastAsia" w:ascii="宋体" w:hAnsi="宋体" w:eastAsia="宋体" w:cs="宋体"/>
          <w:color w:val="auto"/>
          <w:szCs w:val="28"/>
          <w:lang w:val="en-US" w:eastAsia="zh-CN"/>
        </w:rPr>
      </w:pPr>
      <w:bookmarkStart w:id="140" w:name="_Toc5937"/>
      <w:r>
        <w:rPr>
          <w:rFonts w:hint="eastAsia" w:ascii="宋体" w:hAnsi="宋体" w:eastAsia="宋体" w:cs="宋体"/>
          <w:color w:val="auto"/>
          <w:szCs w:val="28"/>
          <w:lang w:val="en-US" w:eastAsia="zh-CN"/>
        </w:rPr>
        <w:t>4.2 建议</w:t>
      </w:r>
      <w:bookmarkEnd w:id="138"/>
      <w:bookmarkEnd w:id="139"/>
      <w:bookmarkEnd w:id="140"/>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（2）应增加应急救援器材，确保事故发生或作业人员发生人身伤害时，能够及时采取有效救援措施，减轻伤害程度，控制事故的发展。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（3）应不定期组织开展突发事件应急演练，锻炼突发事件应对能力。</w:t>
      </w:r>
    </w:p>
    <w:p>
      <w:pPr>
        <w:pStyle w:val="62"/>
        <w:rPr>
          <w:rFonts w:hint="eastAsia" w:ascii="宋体" w:hAnsi="宋体" w:eastAsia="宋体" w:cs="宋体"/>
          <w:color w:val="auto"/>
        </w:rPr>
      </w:pPr>
    </w:p>
    <w:p>
      <w:pPr>
        <w:pStyle w:val="62"/>
        <w:rPr>
          <w:rFonts w:hint="eastAsia" w:ascii="宋体" w:hAnsi="宋体" w:eastAsia="宋体" w:cs="宋体"/>
          <w:color w:val="auto"/>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華康中楷體">
    <w:altName w:val="Microsoft JhengHei"/>
    <w:panose1 w:val="00000000000000000000"/>
    <w:charset w:val="88"/>
    <w:family w:val="modern"/>
    <w:pitch w:val="default"/>
    <w:sig w:usb0="00000000" w:usb1="00000000" w:usb2="00000010" w:usb3="00000000" w:csb0="00100000" w:csb1="00000000"/>
  </w:font>
  <w:font w:name="AdobeHeitiStd-Regular">
    <w:altName w:val="黑体"/>
    <w:panose1 w:val="00000000000000000000"/>
    <w:charset w:val="86"/>
    <w:family w:val="auto"/>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Condensed">
    <w:altName w:val="Segoe Print"/>
    <w:panose1 w:val="00000000000000000000"/>
    <w:charset w:val="00"/>
    <w:family w:val="swiss"/>
    <w:pitch w:val="default"/>
    <w:sig w:usb0="00000000" w:usb1="00000000" w:usb2="00000000" w:usb3="00000000" w:csb0="00000093"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parajit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rPr>
        <w:rStyle w:val="54"/>
      </w:rPr>
      <w:instrText xml:space="preserve"> PAGE </w:instrText>
    </w:r>
    <w:r>
      <w:fldChar w:fldCharType="separate"/>
    </w:r>
    <w:r>
      <w:rPr>
        <w:rStyle w:val="54"/>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b/>
        <w:color w:val="auto"/>
        <w:w w:val="90"/>
        <w:sz w:val="21"/>
        <w:szCs w:val="21"/>
      </w:rPr>
    </w:pPr>
    <w:r>
      <w:rPr>
        <w:rFonts w:hint="eastAsia" w:ascii="宋体" w:hAnsi="宋体"/>
        <w:b/>
        <w:color w:val="auto"/>
        <w:w w:val="90"/>
        <w:sz w:val="21"/>
        <w:szCs w:val="21"/>
        <w:lang w:val="en-US" w:eastAsia="zh-CN"/>
      </w:rPr>
      <w:t xml:space="preserve"> </w:t>
    </w:r>
    <w:r>
      <w:rPr>
        <w:rFonts w:hint="eastAsia" w:ascii="宋体" w:hAnsi="宋体"/>
        <w:b/>
        <w:color w:val="auto"/>
        <w:w w:val="90"/>
        <w:sz w:val="21"/>
        <w:szCs w:val="21"/>
        <w:lang w:eastAsia="zh-CN"/>
      </w:rPr>
      <w:t>南充市顺庆区顺芦加油站</w:t>
    </w:r>
    <w:r>
      <w:rPr>
        <w:rFonts w:hint="eastAsia" w:ascii="宋体" w:hAnsi="宋体"/>
        <w:b/>
        <w:color w:val="auto"/>
        <w:w w:val="90"/>
        <w:sz w:val="21"/>
        <w:szCs w:val="21"/>
        <w:lang w:val="en-US" w:eastAsia="zh-CN"/>
      </w:rPr>
      <w:t>生产安全</w:t>
    </w:r>
    <w:r>
      <w:rPr>
        <w:rFonts w:hint="eastAsia" w:ascii="宋体" w:hAnsi="宋体"/>
        <w:b/>
        <w:color w:val="auto"/>
        <w:w w:val="90"/>
        <w:sz w:val="21"/>
        <w:szCs w:val="21"/>
      </w:rPr>
      <w:t>事故风险辨识评估报告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B6DB"/>
    <w:multiLevelType w:val="singleLevel"/>
    <w:tmpl w:val="8743B6DB"/>
    <w:lvl w:ilvl="0" w:tentative="0">
      <w:start w:val="1"/>
      <w:numFmt w:val="decimal"/>
      <w:suff w:val="nothing"/>
      <w:lvlText w:val="%1．"/>
      <w:lvlJc w:val="left"/>
      <w:pPr>
        <w:ind w:left="0" w:firstLine="400"/>
      </w:pPr>
      <w:rPr>
        <w:rFonts w:hint="default"/>
      </w:rPr>
    </w:lvl>
  </w:abstractNum>
  <w:abstractNum w:abstractNumId="1">
    <w:nsid w:val="9E4BA9AA"/>
    <w:multiLevelType w:val="singleLevel"/>
    <w:tmpl w:val="9E4BA9AA"/>
    <w:lvl w:ilvl="0" w:tentative="0">
      <w:start w:val="1"/>
      <w:numFmt w:val="decimal"/>
      <w:suff w:val="nothing"/>
      <w:lvlText w:val="%1．"/>
      <w:lvlJc w:val="left"/>
      <w:pPr>
        <w:ind w:left="0" w:firstLine="400"/>
      </w:pPr>
      <w:rPr>
        <w:rFonts w:hint="default"/>
      </w:rPr>
    </w:lvl>
  </w:abstractNum>
  <w:abstractNum w:abstractNumId="2">
    <w:nsid w:val="B1B68DD7"/>
    <w:multiLevelType w:val="singleLevel"/>
    <w:tmpl w:val="B1B68DD7"/>
    <w:lvl w:ilvl="0" w:tentative="0">
      <w:start w:val="1"/>
      <w:numFmt w:val="decimal"/>
      <w:suff w:val="nothing"/>
      <w:lvlText w:val="%1．"/>
      <w:lvlJc w:val="left"/>
      <w:pPr>
        <w:ind w:left="0" w:firstLine="400"/>
      </w:pPr>
      <w:rPr>
        <w:rFonts w:hint="default"/>
      </w:rPr>
    </w:lvl>
  </w:abstractNum>
  <w:abstractNum w:abstractNumId="3">
    <w:nsid w:val="B7FDF71A"/>
    <w:multiLevelType w:val="singleLevel"/>
    <w:tmpl w:val="B7FDF71A"/>
    <w:lvl w:ilvl="0" w:tentative="0">
      <w:start w:val="1"/>
      <w:numFmt w:val="decimal"/>
      <w:suff w:val="nothing"/>
      <w:lvlText w:val="%1．"/>
      <w:lvlJc w:val="left"/>
      <w:pPr>
        <w:ind w:left="0" w:firstLine="400"/>
      </w:pPr>
      <w:rPr>
        <w:rFonts w:hint="default"/>
      </w:rPr>
    </w:lvl>
  </w:abstractNum>
  <w:abstractNum w:abstractNumId="4">
    <w:nsid w:val="D2F218E7"/>
    <w:multiLevelType w:val="singleLevel"/>
    <w:tmpl w:val="D2F218E7"/>
    <w:lvl w:ilvl="0" w:tentative="0">
      <w:start w:val="1"/>
      <w:numFmt w:val="decimal"/>
      <w:suff w:val="nothing"/>
      <w:lvlText w:val="%1．"/>
      <w:lvlJc w:val="left"/>
      <w:pPr>
        <w:ind w:left="0" w:firstLine="400"/>
      </w:pPr>
      <w:rPr>
        <w:rFonts w:hint="default"/>
      </w:rPr>
    </w:lvl>
  </w:abstractNum>
  <w:abstractNum w:abstractNumId="5">
    <w:nsid w:val="E82AA661"/>
    <w:multiLevelType w:val="singleLevel"/>
    <w:tmpl w:val="E82AA661"/>
    <w:lvl w:ilvl="0" w:tentative="0">
      <w:start w:val="1"/>
      <w:numFmt w:val="decimal"/>
      <w:suff w:val="nothing"/>
      <w:lvlText w:val="%1．"/>
      <w:lvlJc w:val="left"/>
      <w:pPr>
        <w:ind w:left="0" w:firstLine="400"/>
      </w:pPr>
      <w:rPr>
        <w:rFonts w:hint="default"/>
      </w:rPr>
    </w:lvl>
  </w:abstractNum>
  <w:abstractNum w:abstractNumId="6">
    <w:nsid w:val="0000001A"/>
    <w:multiLevelType w:val="singleLevel"/>
    <w:tmpl w:val="0000001A"/>
    <w:lvl w:ilvl="0" w:tentative="0">
      <w:start w:val="4"/>
      <w:numFmt w:val="decimal"/>
      <w:pStyle w:val="89"/>
      <w:lvlText w:val="(%1)"/>
      <w:lvlJc w:val="left"/>
      <w:pPr>
        <w:tabs>
          <w:tab w:val="left" w:pos="1300"/>
        </w:tabs>
        <w:ind w:left="1300" w:hanging="495"/>
      </w:pPr>
      <w:rPr>
        <w:rFonts w:hint="default"/>
      </w:rPr>
    </w:lvl>
  </w:abstractNum>
  <w:abstractNum w:abstractNumId="7">
    <w:nsid w:val="2D9CD7A9"/>
    <w:multiLevelType w:val="singleLevel"/>
    <w:tmpl w:val="2D9CD7A9"/>
    <w:lvl w:ilvl="0" w:tentative="0">
      <w:start w:val="1"/>
      <w:numFmt w:val="decimal"/>
      <w:suff w:val="nothing"/>
      <w:lvlText w:val="%1．"/>
      <w:lvlJc w:val="left"/>
      <w:pPr>
        <w:ind w:left="0" w:firstLine="400"/>
      </w:pPr>
      <w:rPr>
        <w:rFonts w:hint="default"/>
      </w:rPr>
    </w:lvl>
  </w:abstractNum>
  <w:abstractNum w:abstractNumId="8">
    <w:nsid w:val="68ABD7F2"/>
    <w:multiLevelType w:val="singleLevel"/>
    <w:tmpl w:val="68ABD7F2"/>
    <w:lvl w:ilvl="0" w:tentative="0">
      <w:start w:val="1"/>
      <w:numFmt w:val="decimal"/>
      <w:suff w:val="nothing"/>
      <w:lvlText w:val="%1．"/>
      <w:lvlJc w:val="left"/>
      <w:pPr>
        <w:ind w:left="0" w:firstLine="400"/>
      </w:pPr>
      <w:rPr>
        <w:rFonts w:hint="default"/>
      </w:rPr>
    </w:lvl>
  </w:abstractNum>
  <w:abstractNum w:abstractNumId="9">
    <w:nsid w:val="6C3501A3"/>
    <w:multiLevelType w:val="multilevel"/>
    <w:tmpl w:val="6C3501A3"/>
    <w:lvl w:ilvl="0" w:tentative="0">
      <w:start w:val="1"/>
      <w:numFmt w:val="decimal"/>
      <w:pStyle w:val="78"/>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6177EF"/>
    <w:multiLevelType w:val="singleLevel"/>
    <w:tmpl w:val="7D6177EF"/>
    <w:lvl w:ilvl="0" w:tentative="0">
      <w:start w:val="1"/>
      <w:numFmt w:val="decimal"/>
      <w:suff w:val="nothing"/>
      <w:lvlText w:val="%1．"/>
      <w:lvlJc w:val="left"/>
      <w:pPr>
        <w:ind w:left="0" w:firstLine="400"/>
      </w:pPr>
      <w:rPr>
        <w:rFonts w:hint="default"/>
      </w:rPr>
    </w:lvl>
  </w:abstractNum>
  <w:num w:numId="1">
    <w:abstractNumId w:val="9"/>
  </w:num>
  <w:num w:numId="2">
    <w:abstractNumId w:val="6"/>
  </w:num>
  <w:num w:numId="3">
    <w:abstractNumId w:val="3"/>
  </w:num>
  <w:num w:numId="4">
    <w:abstractNumId w:val="2"/>
  </w:num>
  <w:num w:numId="5">
    <w:abstractNumId w:val="10"/>
  </w:num>
  <w:num w:numId="6">
    <w:abstractNumId w:val="8"/>
  </w:num>
  <w:num w:numId="7">
    <w:abstractNumId w:val="4"/>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ZDk5YzZmNmIwZjFmNjI4MzQ0MDYyNzVmMmQwYzAxOGYifQ=="/>
  </w:docVars>
  <w:rsids>
    <w:rsidRoot w:val="009A0B21"/>
    <w:rsid w:val="000005B9"/>
    <w:rsid w:val="00004CEF"/>
    <w:rsid w:val="000116DF"/>
    <w:rsid w:val="000136C3"/>
    <w:rsid w:val="00017319"/>
    <w:rsid w:val="000225CE"/>
    <w:rsid w:val="00030E1A"/>
    <w:rsid w:val="00035FF6"/>
    <w:rsid w:val="000420E3"/>
    <w:rsid w:val="00044B10"/>
    <w:rsid w:val="000618BB"/>
    <w:rsid w:val="00063EF1"/>
    <w:rsid w:val="00077E4E"/>
    <w:rsid w:val="000A77AE"/>
    <w:rsid w:val="000B062D"/>
    <w:rsid w:val="000E4AFD"/>
    <w:rsid w:val="000E4B55"/>
    <w:rsid w:val="000F6667"/>
    <w:rsid w:val="001121D6"/>
    <w:rsid w:val="00112703"/>
    <w:rsid w:val="00117428"/>
    <w:rsid w:val="00126410"/>
    <w:rsid w:val="00132F3C"/>
    <w:rsid w:val="00143F97"/>
    <w:rsid w:val="001467B2"/>
    <w:rsid w:val="001519D9"/>
    <w:rsid w:val="0016386E"/>
    <w:rsid w:val="0018099E"/>
    <w:rsid w:val="0018303C"/>
    <w:rsid w:val="00185B4B"/>
    <w:rsid w:val="00192844"/>
    <w:rsid w:val="001A4254"/>
    <w:rsid w:val="001A4EBE"/>
    <w:rsid w:val="001B39F4"/>
    <w:rsid w:val="001C1C4F"/>
    <w:rsid w:val="00224954"/>
    <w:rsid w:val="0023030B"/>
    <w:rsid w:val="00230A45"/>
    <w:rsid w:val="00255887"/>
    <w:rsid w:val="002615AE"/>
    <w:rsid w:val="0026543C"/>
    <w:rsid w:val="00270699"/>
    <w:rsid w:val="002740DA"/>
    <w:rsid w:val="00284E5C"/>
    <w:rsid w:val="00286258"/>
    <w:rsid w:val="00287E03"/>
    <w:rsid w:val="002925C5"/>
    <w:rsid w:val="002A0572"/>
    <w:rsid w:val="002A6647"/>
    <w:rsid w:val="002E29CC"/>
    <w:rsid w:val="003049F6"/>
    <w:rsid w:val="003077C1"/>
    <w:rsid w:val="00314288"/>
    <w:rsid w:val="00320C04"/>
    <w:rsid w:val="00334F46"/>
    <w:rsid w:val="00337FD9"/>
    <w:rsid w:val="0034118F"/>
    <w:rsid w:val="003513FF"/>
    <w:rsid w:val="00365231"/>
    <w:rsid w:val="0036569F"/>
    <w:rsid w:val="00381853"/>
    <w:rsid w:val="00392C69"/>
    <w:rsid w:val="00394CE5"/>
    <w:rsid w:val="003B48B8"/>
    <w:rsid w:val="003B7ABA"/>
    <w:rsid w:val="003C1731"/>
    <w:rsid w:val="003E2770"/>
    <w:rsid w:val="00407B69"/>
    <w:rsid w:val="0041045E"/>
    <w:rsid w:val="00420BE7"/>
    <w:rsid w:val="00420E71"/>
    <w:rsid w:val="00424D97"/>
    <w:rsid w:val="004403DF"/>
    <w:rsid w:val="004468BF"/>
    <w:rsid w:val="00467D9C"/>
    <w:rsid w:val="00475F98"/>
    <w:rsid w:val="00476761"/>
    <w:rsid w:val="00490A51"/>
    <w:rsid w:val="00494E63"/>
    <w:rsid w:val="00495565"/>
    <w:rsid w:val="004968B9"/>
    <w:rsid w:val="004A75A2"/>
    <w:rsid w:val="004D1D2B"/>
    <w:rsid w:val="004F0D79"/>
    <w:rsid w:val="004F520D"/>
    <w:rsid w:val="004F53E4"/>
    <w:rsid w:val="005015D1"/>
    <w:rsid w:val="00503CC5"/>
    <w:rsid w:val="00506600"/>
    <w:rsid w:val="005117C2"/>
    <w:rsid w:val="0052059C"/>
    <w:rsid w:val="005221C8"/>
    <w:rsid w:val="00530E87"/>
    <w:rsid w:val="00541183"/>
    <w:rsid w:val="00557169"/>
    <w:rsid w:val="0056062D"/>
    <w:rsid w:val="0056482E"/>
    <w:rsid w:val="00573C31"/>
    <w:rsid w:val="005840F8"/>
    <w:rsid w:val="005965A9"/>
    <w:rsid w:val="005D12D3"/>
    <w:rsid w:val="005E7BCB"/>
    <w:rsid w:val="005F5BFE"/>
    <w:rsid w:val="005F6A97"/>
    <w:rsid w:val="00605B01"/>
    <w:rsid w:val="00607248"/>
    <w:rsid w:val="0061388D"/>
    <w:rsid w:val="0061515F"/>
    <w:rsid w:val="00616468"/>
    <w:rsid w:val="00616871"/>
    <w:rsid w:val="00623B47"/>
    <w:rsid w:val="00625F86"/>
    <w:rsid w:val="00630041"/>
    <w:rsid w:val="00633E0C"/>
    <w:rsid w:val="00641A45"/>
    <w:rsid w:val="00643075"/>
    <w:rsid w:val="00647D65"/>
    <w:rsid w:val="00652B56"/>
    <w:rsid w:val="00686AC6"/>
    <w:rsid w:val="00686BB0"/>
    <w:rsid w:val="006872FF"/>
    <w:rsid w:val="006B070C"/>
    <w:rsid w:val="006D7B74"/>
    <w:rsid w:val="006E52BC"/>
    <w:rsid w:val="00703898"/>
    <w:rsid w:val="00707D80"/>
    <w:rsid w:val="0071252F"/>
    <w:rsid w:val="0071333A"/>
    <w:rsid w:val="00713F20"/>
    <w:rsid w:val="007261AC"/>
    <w:rsid w:val="0073032B"/>
    <w:rsid w:val="00730940"/>
    <w:rsid w:val="00745B6B"/>
    <w:rsid w:val="00754097"/>
    <w:rsid w:val="0079240F"/>
    <w:rsid w:val="007A03AE"/>
    <w:rsid w:val="007A41BA"/>
    <w:rsid w:val="007B6975"/>
    <w:rsid w:val="007C002A"/>
    <w:rsid w:val="007C58AF"/>
    <w:rsid w:val="007D2AE2"/>
    <w:rsid w:val="007E2EF7"/>
    <w:rsid w:val="007E34D2"/>
    <w:rsid w:val="007F65E3"/>
    <w:rsid w:val="0080635C"/>
    <w:rsid w:val="00811C10"/>
    <w:rsid w:val="00813303"/>
    <w:rsid w:val="00816B1E"/>
    <w:rsid w:val="00830A42"/>
    <w:rsid w:val="00835ED9"/>
    <w:rsid w:val="008529B6"/>
    <w:rsid w:val="00854D13"/>
    <w:rsid w:val="00862C88"/>
    <w:rsid w:val="0087570D"/>
    <w:rsid w:val="00880B83"/>
    <w:rsid w:val="00892B62"/>
    <w:rsid w:val="008A32BF"/>
    <w:rsid w:val="008B61A8"/>
    <w:rsid w:val="008C390F"/>
    <w:rsid w:val="008C58D5"/>
    <w:rsid w:val="008C5FE7"/>
    <w:rsid w:val="008D4B70"/>
    <w:rsid w:val="008E2B74"/>
    <w:rsid w:val="008F0F86"/>
    <w:rsid w:val="008F7999"/>
    <w:rsid w:val="00902955"/>
    <w:rsid w:val="009114DC"/>
    <w:rsid w:val="009176C8"/>
    <w:rsid w:val="00920FFF"/>
    <w:rsid w:val="00926139"/>
    <w:rsid w:val="00933826"/>
    <w:rsid w:val="00972BA9"/>
    <w:rsid w:val="0097625D"/>
    <w:rsid w:val="00996B4C"/>
    <w:rsid w:val="009A0B21"/>
    <w:rsid w:val="009A1D4A"/>
    <w:rsid w:val="009A606E"/>
    <w:rsid w:val="009B0547"/>
    <w:rsid w:val="009D7164"/>
    <w:rsid w:val="009D742F"/>
    <w:rsid w:val="00A00749"/>
    <w:rsid w:val="00A0555B"/>
    <w:rsid w:val="00A20ECD"/>
    <w:rsid w:val="00A31BAF"/>
    <w:rsid w:val="00A37A0F"/>
    <w:rsid w:val="00A6616B"/>
    <w:rsid w:val="00AB3235"/>
    <w:rsid w:val="00AB655E"/>
    <w:rsid w:val="00AB7A64"/>
    <w:rsid w:val="00AC169E"/>
    <w:rsid w:val="00AC7E14"/>
    <w:rsid w:val="00AF50CB"/>
    <w:rsid w:val="00AF5776"/>
    <w:rsid w:val="00B040FB"/>
    <w:rsid w:val="00B15B5B"/>
    <w:rsid w:val="00B249AC"/>
    <w:rsid w:val="00B27F58"/>
    <w:rsid w:val="00B31796"/>
    <w:rsid w:val="00B513DF"/>
    <w:rsid w:val="00B527B3"/>
    <w:rsid w:val="00B556FD"/>
    <w:rsid w:val="00B70D22"/>
    <w:rsid w:val="00B80817"/>
    <w:rsid w:val="00B87258"/>
    <w:rsid w:val="00B9650F"/>
    <w:rsid w:val="00B97EF0"/>
    <w:rsid w:val="00BB0CD4"/>
    <w:rsid w:val="00BB0EDC"/>
    <w:rsid w:val="00BB6049"/>
    <w:rsid w:val="00BC27EB"/>
    <w:rsid w:val="00BD0EE5"/>
    <w:rsid w:val="00BD714A"/>
    <w:rsid w:val="00C21A13"/>
    <w:rsid w:val="00C356B3"/>
    <w:rsid w:val="00C36179"/>
    <w:rsid w:val="00C37AC2"/>
    <w:rsid w:val="00C61495"/>
    <w:rsid w:val="00C623F2"/>
    <w:rsid w:val="00C745BF"/>
    <w:rsid w:val="00C83984"/>
    <w:rsid w:val="00C877F6"/>
    <w:rsid w:val="00C900E3"/>
    <w:rsid w:val="00C94291"/>
    <w:rsid w:val="00C979B5"/>
    <w:rsid w:val="00CB00C9"/>
    <w:rsid w:val="00CB36AF"/>
    <w:rsid w:val="00CB4993"/>
    <w:rsid w:val="00CE79A0"/>
    <w:rsid w:val="00CF5BCC"/>
    <w:rsid w:val="00D03791"/>
    <w:rsid w:val="00D068CA"/>
    <w:rsid w:val="00D26923"/>
    <w:rsid w:val="00D37DE6"/>
    <w:rsid w:val="00D449C9"/>
    <w:rsid w:val="00D504E0"/>
    <w:rsid w:val="00D57FEE"/>
    <w:rsid w:val="00D72703"/>
    <w:rsid w:val="00D73D06"/>
    <w:rsid w:val="00D7497E"/>
    <w:rsid w:val="00DA4470"/>
    <w:rsid w:val="00DA5BF8"/>
    <w:rsid w:val="00DB7003"/>
    <w:rsid w:val="00DD2E50"/>
    <w:rsid w:val="00DD4773"/>
    <w:rsid w:val="00DD47FA"/>
    <w:rsid w:val="00DD7AD6"/>
    <w:rsid w:val="00DE1D79"/>
    <w:rsid w:val="00DE394C"/>
    <w:rsid w:val="00DE4423"/>
    <w:rsid w:val="00DF3127"/>
    <w:rsid w:val="00DF7CCE"/>
    <w:rsid w:val="00E03734"/>
    <w:rsid w:val="00E04644"/>
    <w:rsid w:val="00E115B1"/>
    <w:rsid w:val="00E11E55"/>
    <w:rsid w:val="00E21A73"/>
    <w:rsid w:val="00E2722E"/>
    <w:rsid w:val="00E333FB"/>
    <w:rsid w:val="00E408AD"/>
    <w:rsid w:val="00E61373"/>
    <w:rsid w:val="00E6398D"/>
    <w:rsid w:val="00E6601B"/>
    <w:rsid w:val="00E73611"/>
    <w:rsid w:val="00E8103B"/>
    <w:rsid w:val="00E82994"/>
    <w:rsid w:val="00E84FAB"/>
    <w:rsid w:val="00E92FF6"/>
    <w:rsid w:val="00E94520"/>
    <w:rsid w:val="00E95ABA"/>
    <w:rsid w:val="00E967F8"/>
    <w:rsid w:val="00EC42B9"/>
    <w:rsid w:val="00EC7D46"/>
    <w:rsid w:val="00EC7EFE"/>
    <w:rsid w:val="00EE1712"/>
    <w:rsid w:val="00EE688B"/>
    <w:rsid w:val="00EF3F60"/>
    <w:rsid w:val="00EF79B8"/>
    <w:rsid w:val="00F06690"/>
    <w:rsid w:val="00F368D9"/>
    <w:rsid w:val="00F44265"/>
    <w:rsid w:val="00F545A5"/>
    <w:rsid w:val="00F56A99"/>
    <w:rsid w:val="00F759A5"/>
    <w:rsid w:val="00FA165C"/>
    <w:rsid w:val="00FA1A8F"/>
    <w:rsid w:val="00FB20FA"/>
    <w:rsid w:val="00FC376F"/>
    <w:rsid w:val="00FC4E20"/>
    <w:rsid w:val="00FD5879"/>
    <w:rsid w:val="00FE69AD"/>
    <w:rsid w:val="00FF241D"/>
    <w:rsid w:val="00FF4661"/>
    <w:rsid w:val="00FF4F48"/>
    <w:rsid w:val="00FF6149"/>
    <w:rsid w:val="00FF788D"/>
    <w:rsid w:val="011078C7"/>
    <w:rsid w:val="011C3153"/>
    <w:rsid w:val="012C4717"/>
    <w:rsid w:val="013950A8"/>
    <w:rsid w:val="017C708E"/>
    <w:rsid w:val="017D7424"/>
    <w:rsid w:val="01910A08"/>
    <w:rsid w:val="01AA53CD"/>
    <w:rsid w:val="01B75D35"/>
    <w:rsid w:val="02101832"/>
    <w:rsid w:val="022573A2"/>
    <w:rsid w:val="02B26E88"/>
    <w:rsid w:val="02C62933"/>
    <w:rsid w:val="030D4076"/>
    <w:rsid w:val="034675D0"/>
    <w:rsid w:val="036B50CA"/>
    <w:rsid w:val="03B13985"/>
    <w:rsid w:val="03B3418E"/>
    <w:rsid w:val="03E06DA4"/>
    <w:rsid w:val="03FC706E"/>
    <w:rsid w:val="04043713"/>
    <w:rsid w:val="04B769D7"/>
    <w:rsid w:val="04D255BF"/>
    <w:rsid w:val="05412745"/>
    <w:rsid w:val="054F4E62"/>
    <w:rsid w:val="0596483F"/>
    <w:rsid w:val="05A36F5B"/>
    <w:rsid w:val="05A827C4"/>
    <w:rsid w:val="05D435B9"/>
    <w:rsid w:val="06147E59"/>
    <w:rsid w:val="065B15E4"/>
    <w:rsid w:val="06792F00"/>
    <w:rsid w:val="06C4362D"/>
    <w:rsid w:val="07501FC9"/>
    <w:rsid w:val="07587438"/>
    <w:rsid w:val="07FE2B6F"/>
    <w:rsid w:val="083A4B7D"/>
    <w:rsid w:val="085602B5"/>
    <w:rsid w:val="09301C6C"/>
    <w:rsid w:val="093A1985"/>
    <w:rsid w:val="095073FA"/>
    <w:rsid w:val="096A1E12"/>
    <w:rsid w:val="09886214"/>
    <w:rsid w:val="09BC74E4"/>
    <w:rsid w:val="0A312D88"/>
    <w:rsid w:val="0A5A7018"/>
    <w:rsid w:val="0A5B1BB3"/>
    <w:rsid w:val="0A614BC8"/>
    <w:rsid w:val="0AA56180"/>
    <w:rsid w:val="0AE56866"/>
    <w:rsid w:val="0B2F7972"/>
    <w:rsid w:val="0B354AFA"/>
    <w:rsid w:val="0B420FC5"/>
    <w:rsid w:val="0B5160ED"/>
    <w:rsid w:val="0B7E4E1C"/>
    <w:rsid w:val="0BE700C4"/>
    <w:rsid w:val="0C380618"/>
    <w:rsid w:val="0C81512D"/>
    <w:rsid w:val="0CF307C8"/>
    <w:rsid w:val="0D1F511A"/>
    <w:rsid w:val="0DC857B1"/>
    <w:rsid w:val="0DDE3227"/>
    <w:rsid w:val="0E460DCC"/>
    <w:rsid w:val="0E562288"/>
    <w:rsid w:val="0E72737A"/>
    <w:rsid w:val="0E7A264F"/>
    <w:rsid w:val="0E935EF1"/>
    <w:rsid w:val="0EAC6E81"/>
    <w:rsid w:val="0EB977F0"/>
    <w:rsid w:val="0EBE54E0"/>
    <w:rsid w:val="0ECB08CC"/>
    <w:rsid w:val="0EE02FCE"/>
    <w:rsid w:val="0F1F3AF7"/>
    <w:rsid w:val="0F2A424A"/>
    <w:rsid w:val="0F4D1D4A"/>
    <w:rsid w:val="0F9D2460"/>
    <w:rsid w:val="0FAC7318"/>
    <w:rsid w:val="10305890"/>
    <w:rsid w:val="103A226A"/>
    <w:rsid w:val="105A454C"/>
    <w:rsid w:val="106B6168"/>
    <w:rsid w:val="10A3316F"/>
    <w:rsid w:val="110762BC"/>
    <w:rsid w:val="114223EE"/>
    <w:rsid w:val="11A42958"/>
    <w:rsid w:val="11A86068"/>
    <w:rsid w:val="11BF188A"/>
    <w:rsid w:val="1224319F"/>
    <w:rsid w:val="12655CC4"/>
    <w:rsid w:val="12A038DC"/>
    <w:rsid w:val="12C329EB"/>
    <w:rsid w:val="12F63E88"/>
    <w:rsid w:val="13525BA9"/>
    <w:rsid w:val="1376180B"/>
    <w:rsid w:val="138A3509"/>
    <w:rsid w:val="142D6017"/>
    <w:rsid w:val="14312C78"/>
    <w:rsid w:val="14621911"/>
    <w:rsid w:val="14B15B3A"/>
    <w:rsid w:val="14EC6001"/>
    <w:rsid w:val="150D7DD7"/>
    <w:rsid w:val="15170DCC"/>
    <w:rsid w:val="151F1CB4"/>
    <w:rsid w:val="1542379F"/>
    <w:rsid w:val="1574621E"/>
    <w:rsid w:val="159A4C5C"/>
    <w:rsid w:val="15A00DC2"/>
    <w:rsid w:val="15A55DC0"/>
    <w:rsid w:val="15A65976"/>
    <w:rsid w:val="15DE18EA"/>
    <w:rsid w:val="162B2D81"/>
    <w:rsid w:val="163C0AFC"/>
    <w:rsid w:val="170A6E3A"/>
    <w:rsid w:val="172A4DE7"/>
    <w:rsid w:val="17365E81"/>
    <w:rsid w:val="1742454D"/>
    <w:rsid w:val="174A5489"/>
    <w:rsid w:val="1783099B"/>
    <w:rsid w:val="17935082"/>
    <w:rsid w:val="17CF5680"/>
    <w:rsid w:val="17E07B9B"/>
    <w:rsid w:val="17E7360E"/>
    <w:rsid w:val="18100480"/>
    <w:rsid w:val="18357EE7"/>
    <w:rsid w:val="185365BF"/>
    <w:rsid w:val="186B3909"/>
    <w:rsid w:val="189469D7"/>
    <w:rsid w:val="18AB63FB"/>
    <w:rsid w:val="198D78AF"/>
    <w:rsid w:val="19947044"/>
    <w:rsid w:val="19D674A8"/>
    <w:rsid w:val="1A3B555D"/>
    <w:rsid w:val="1A4C59BC"/>
    <w:rsid w:val="1AA50C28"/>
    <w:rsid w:val="1AB1581F"/>
    <w:rsid w:val="1AEF6650"/>
    <w:rsid w:val="1B1464DA"/>
    <w:rsid w:val="1B50328A"/>
    <w:rsid w:val="1BC51582"/>
    <w:rsid w:val="1BE53811"/>
    <w:rsid w:val="1BF50795"/>
    <w:rsid w:val="1C161DDD"/>
    <w:rsid w:val="1C202C5C"/>
    <w:rsid w:val="1C35495A"/>
    <w:rsid w:val="1CA76EDA"/>
    <w:rsid w:val="1CE123EB"/>
    <w:rsid w:val="1D216C8C"/>
    <w:rsid w:val="1D4666F2"/>
    <w:rsid w:val="1D4E1D81"/>
    <w:rsid w:val="1D623960"/>
    <w:rsid w:val="1DF83E91"/>
    <w:rsid w:val="1DFE521F"/>
    <w:rsid w:val="1E674B72"/>
    <w:rsid w:val="1E83492E"/>
    <w:rsid w:val="1EC91389"/>
    <w:rsid w:val="1F136AA8"/>
    <w:rsid w:val="1F7C289F"/>
    <w:rsid w:val="1F7F413E"/>
    <w:rsid w:val="1FAF6B18"/>
    <w:rsid w:val="201E74B3"/>
    <w:rsid w:val="20C660D9"/>
    <w:rsid w:val="2120725A"/>
    <w:rsid w:val="2228208E"/>
    <w:rsid w:val="227503E2"/>
    <w:rsid w:val="22FB73EB"/>
    <w:rsid w:val="230431D4"/>
    <w:rsid w:val="24071D33"/>
    <w:rsid w:val="246B62D0"/>
    <w:rsid w:val="24AE34FB"/>
    <w:rsid w:val="255911E8"/>
    <w:rsid w:val="256B330A"/>
    <w:rsid w:val="25951FC5"/>
    <w:rsid w:val="25CC07FC"/>
    <w:rsid w:val="25E46F12"/>
    <w:rsid w:val="262D4A52"/>
    <w:rsid w:val="26621B23"/>
    <w:rsid w:val="269009DE"/>
    <w:rsid w:val="26971D6D"/>
    <w:rsid w:val="26986F7C"/>
    <w:rsid w:val="26D829E9"/>
    <w:rsid w:val="27157DC1"/>
    <w:rsid w:val="272B7E3A"/>
    <w:rsid w:val="27383F09"/>
    <w:rsid w:val="27554DF7"/>
    <w:rsid w:val="27606892"/>
    <w:rsid w:val="278E3170"/>
    <w:rsid w:val="279664C8"/>
    <w:rsid w:val="27D82163"/>
    <w:rsid w:val="27D8263D"/>
    <w:rsid w:val="281861B5"/>
    <w:rsid w:val="281F02C8"/>
    <w:rsid w:val="282F4953"/>
    <w:rsid w:val="284877C3"/>
    <w:rsid w:val="28702875"/>
    <w:rsid w:val="28CC176F"/>
    <w:rsid w:val="28CD1A76"/>
    <w:rsid w:val="28D52108"/>
    <w:rsid w:val="29932DFB"/>
    <w:rsid w:val="29DD218D"/>
    <w:rsid w:val="29E51041"/>
    <w:rsid w:val="29F00BF2"/>
    <w:rsid w:val="2A52389A"/>
    <w:rsid w:val="2A572C85"/>
    <w:rsid w:val="2A9E3A95"/>
    <w:rsid w:val="2B253DEB"/>
    <w:rsid w:val="2B5E554F"/>
    <w:rsid w:val="2B8D77CB"/>
    <w:rsid w:val="2BC140C0"/>
    <w:rsid w:val="2BD82C0B"/>
    <w:rsid w:val="2C3633C9"/>
    <w:rsid w:val="2C536453"/>
    <w:rsid w:val="2C6E32FF"/>
    <w:rsid w:val="2C7069AB"/>
    <w:rsid w:val="2C972AC7"/>
    <w:rsid w:val="2CA174A1"/>
    <w:rsid w:val="2CB97732"/>
    <w:rsid w:val="2CC6515A"/>
    <w:rsid w:val="2CEA6E94"/>
    <w:rsid w:val="2D1063D5"/>
    <w:rsid w:val="2D1B17F5"/>
    <w:rsid w:val="2D320A41"/>
    <w:rsid w:val="2D41565C"/>
    <w:rsid w:val="2D7E61A6"/>
    <w:rsid w:val="2D9A645C"/>
    <w:rsid w:val="2DA134D1"/>
    <w:rsid w:val="2DA777D6"/>
    <w:rsid w:val="2DDF4D60"/>
    <w:rsid w:val="2E5654EE"/>
    <w:rsid w:val="2E5B6B83"/>
    <w:rsid w:val="2E7330BF"/>
    <w:rsid w:val="2ED753FC"/>
    <w:rsid w:val="2EE56198"/>
    <w:rsid w:val="2F144608"/>
    <w:rsid w:val="2F3740ED"/>
    <w:rsid w:val="2F57653D"/>
    <w:rsid w:val="30063245"/>
    <w:rsid w:val="304C1E1A"/>
    <w:rsid w:val="307D3270"/>
    <w:rsid w:val="30895781"/>
    <w:rsid w:val="30923528"/>
    <w:rsid w:val="30952453"/>
    <w:rsid w:val="31161748"/>
    <w:rsid w:val="31EF5438"/>
    <w:rsid w:val="31FE0779"/>
    <w:rsid w:val="31FE7144"/>
    <w:rsid w:val="325C63D8"/>
    <w:rsid w:val="325C73B7"/>
    <w:rsid w:val="326C67A3"/>
    <w:rsid w:val="32A566A5"/>
    <w:rsid w:val="33016EEC"/>
    <w:rsid w:val="33D04B10"/>
    <w:rsid w:val="33DC1707"/>
    <w:rsid w:val="33DE547F"/>
    <w:rsid w:val="33E44D2F"/>
    <w:rsid w:val="34117A13"/>
    <w:rsid w:val="34362BC5"/>
    <w:rsid w:val="34515C51"/>
    <w:rsid w:val="34654533"/>
    <w:rsid w:val="35616A77"/>
    <w:rsid w:val="356D0868"/>
    <w:rsid w:val="35B2271F"/>
    <w:rsid w:val="35F97A12"/>
    <w:rsid w:val="362A675A"/>
    <w:rsid w:val="36435A6D"/>
    <w:rsid w:val="36C247C7"/>
    <w:rsid w:val="36E032BC"/>
    <w:rsid w:val="371A33F9"/>
    <w:rsid w:val="376C68FE"/>
    <w:rsid w:val="37D83F93"/>
    <w:rsid w:val="37F16D59"/>
    <w:rsid w:val="37F267D0"/>
    <w:rsid w:val="3825542A"/>
    <w:rsid w:val="38CF1BFA"/>
    <w:rsid w:val="38E30E42"/>
    <w:rsid w:val="391D25A6"/>
    <w:rsid w:val="398B6EE3"/>
    <w:rsid w:val="3A257426"/>
    <w:rsid w:val="3A3758E9"/>
    <w:rsid w:val="3A706705"/>
    <w:rsid w:val="3AB72586"/>
    <w:rsid w:val="3AC80496"/>
    <w:rsid w:val="3ACA2BFA"/>
    <w:rsid w:val="3AE649A7"/>
    <w:rsid w:val="3B911029"/>
    <w:rsid w:val="3BB67800"/>
    <w:rsid w:val="3BE63123"/>
    <w:rsid w:val="3C4D6F5E"/>
    <w:rsid w:val="3CBF007E"/>
    <w:rsid w:val="3CC735D3"/>
    <w:rsid w:val="3CD97182"/>
    <w:rsid w:val="3D1E68EC"/>
    <w:rsid w:val="3D602C0F"/>
    <w:rsid w:val="3D8B011E"/>
    <w:rsid w:val="3DBB238D"/>
    <w:rsid w:val="3E23326A"/>
    <w:rsid w:val="3E24689A"/>
    <w:rsid w:val="3E375EB7"/>
    <w:rsid w:val="3F673A0C"/>
    <w:rsid w:val="3F740A45"/>
    <w:rsid w:val="40146431"/>
    <w:rsid w:val="40153FD6"/>
    <w:rsid w:val="401656C8"/>
    <w:rsid w:val="402266F3"/>
    <w:rsid w:val="403A3A3D"/>
    <w:rsid w:val="403F27D3"/>
    <w:rsid w:val="40F956A6"/>
    <w:rsid w:val="41566655"/>
    <w:rsid w:val="41C379AF"/>
    <w:rsid w:val="41F67E38"/>
    <w:rsid w:val="42725710"/>
    <w:rsid w:val="42A81A5D"/>
    <w:rsid w:val="42C35F6C"/>
    <w:rsid w:val="43655275"/>
    <w:rsid w:val="442C5E51"/>
    <w:rsid w:val="451D3152"/>
    <w:rsid w:val="458241E7"/>
    <w:rsid w:val="459E485D"/>
    <w:rsid w:val="45A2455E"/>
    <w:rsid w:val="4656488C"/>
    <w:rsid w:val="46F42039"/>
    <w:rsid w:val="46FC5D9D"/>
    <w:rsid w:val="47343C8D"/>
    <w:rsid w:val="478F18FD"/>
    <w:rsid w:val="47924333"/>
    <w:rsid w:val="47AA0E9D"/>
    <w:rsid w:val="48607974"/>
    <w:rsid w:val="486F25FC"/>
    <w:rsid w:val="48943F06"/>
    <w:rsid w:val="48D507A7"/>
    <w:rsid w:val="490B241B"/>
    <w:rsid w:val="492C52AA"/>
    <w:rsid w:val="494C2B65"/>
    <w:rsid w:val="49543DC1"/>
    <w:rsid w:val="49D93B5C"/>
    <w:rsid w:val="4A2C2648"/>
    <w:rsid w:val="4A5B1180"/>
    <w:rsid w:val="4A5B4CDC"/>
    <w:rsid w:val="4AC24D5B"/>
    <w:rsid w:val="4B690DD1"/>
    <w:rsid w:val="4B7047B7"/>
    <w:rsid w:val="4B8957A5"/>
    <w:rsid w:val="4BFB49C8"/>
    <w:rsid w:val="4C030893"/>
    <w:rsid w:val="4C3219D6"/>
    <w:rsid w:val="4C365A00"/>
    <w:rsid w:val="4CA94424"/>
    <w:rsid w:val="4CD11285"/>
    <w:rsid w:val="4CD1365E"/>
    <w:rsid w:val="4D024CBC"/>
    <w:rsid w:val="4D580D86"/>
    <w:rsid w:val="4D862070"/>
    <w:rsid w:val="4DCB3F26"/>
    <w:rsid w:val="4DF3319D"/>
    <w:rsid w:val="4DF353D5"/>
    <w:rsid w:val="4E086503"/>
    <w:rsid w:val="4E864F61"/>
    <w:rsid w:val="4F027E1C"/>
    <w:rsid w:val="4F3A1A7F"/>
    <w:rsid w:val="50175B49"/>
    <w:rsid w:val="50700DB5"/>
    <w:rsid w:val="50B213CE"/>
    <w:rsid w:val="50EC0D83"/>
    <w:rsid w:val="519314D6"/>
    <w:rsid w:val="51C27D36"/>
    <w:rsid w:val="51F8037A"/>
    <w:rsid w:val="522C7B08"/>
    <w:rsid w:val="524338E1"/>
    <w:rsid w:val="52A116FA"/>
    <w:rsid w:val="52A5743C"/>
    <w:rsid w:val="52B753C1"/>
    <w:rsid w:val="52B94C95"/>
    <w:rsid w:val="52F91536"/>
    <w:rsid w:val="534E3095"/>
    <w:rsid w:val="53666DB2"/>
    <w:rsid w:val="53903A16"/>
    <w:rsid w:val="53A70F92"/>
    <w:rsid w:val="53CB30B8"/>
    <w:rsid w:val="546E6337"/>
    <w:rsid w:val="54A21344"/>
    <w:rsid w:val="54C15537"/>
    <w:rsid w:val="552D3719"/>
    <w:rsid w:val="55ED4BD7"/>
    <w:rsid w:val="55F27508"/>
    <w:rsid w:val="55FF7777"/>
    <w:rsid w:val="561F7505"/>
    <w:rsid w:val="56DE0AFD"/>
    <w:rsid w:val="56F95FA8"/>
    <w:rsid w:val="58DD0FB2"/>
    <w:rsid w:val="590F1AB3"/>
    <w:rsid w:val="593257A1"/>
    <w:rsid w:val="5940742A"/>
    <w:rsid w:val="597D6869"/>
    <w:rsid w:val="59815DE1"/>
    <w:rsid w:val="599202D9"/>
    <w:rsid w:val="5A2C0443"/>
    <w:rsid w:val="5A8262B5"/>
    <w:rsid w:val="5A9C7376"/>
    <w:rsid w:val="5AC62645"/>
    <w:rsid w:val="5AC643F3"/>
    <w:rsid w:val="5B3D1AAD"/>
    <w:rsid w:val="5B5B49EB"/>
    <w:rsid w:val="5BB10BFF"/>
    <w:rsid w:val="5BD448EE"/>
    <w:rsid w:val="5BDB5B27"/>
    <w:rsid w:val="5C174628"/>
    <w:rsid w:val="5C545B79"/>
    <w:rsid w:val="5C6A7000"/>
    <w:rsid w:val="5C6B0671"/>
    <w:rsid w:val="5C741C2D"/>
    <w:rsid w:val="5CB659DD"/>
    <w:rsid w:val="5CC20F03"/>
    <w:rsid w:val="5D002039"/>
    <w:rsid w:val="5D1C479E"/>
    <w:rsid w:val="5D705553"/>
    <w:rsid w:val="5DA54FF6"/>
    <w:rsid w:val="5DA72F81"/>
    <w:rsid w:val="5DC10EA2"/>
    <w:rsid w:val="5DCF35BF"/>
    <w:rsid w:val="5E182C79"/>
    <w:rsid w:val="5E323B4E"/>
    <w:rsid w:val="5EB20151"/>
    <w:rsid w:val="5F2F2AB7"/>
    <w:rsid w:val="5F3F4774"/>
    <w:rsid w:val="5F58344B"/>
    <w:rsid w:val="5F7C1524"/>
    <w:rsid w:val="5F7E529D"/>
    <w:rsid w:val="5FB00E30"/>
    <w:rsid w:val="5FB452F4"/>
    <w:rsid w:val="5FCF4CC4"/>
    <w:rsid w:val="5FDC6467"/>
    <w:rsid w:val="603242D9"/>
    <w:rsid w:val="609E371C"/>
    <w:rsid w:val="60D06179"/>
    <w:rsid w:val="61437C30"/>
    <w:rsid w:val="61826B9A"/>
    <w:rsid w:val="61CF0031"/>
    <w:rsid w:val="6204750B"/>
    <w:rsid w:val="62252774"/>
    <w:rsid w:val="624C78D4"/>
    <w:rsid w:val="62A0552A"/>
    <w:rsid w:val="62E25503"/>
    <w:rsid w:val="6387581F"/>
    <w:rsid w:val="639D1046"/>
    <w:rsid w:val="63A93027"/>
    <w:rsid w:val="63BD210C"/>
    <w:rsid w:val="63BD3EBA"/>
    <w:rsid w:val="643C74D4"/>
    <w:rsid w:val="647E189B"/>
    <w:rsid w:val="64864E2F"/>
    <w:rsid w:val="64BF246C"/>
    <w:rsid w:val="64D70FAB"/>
    <w:rsid w:val="64EF6A30"/>
    <w:rsid w:val="64F51D6D"/>
    <w:rsid w:val="65777B3D"/>
    <w:rsid w:val="65960E66"/>
    <w:rsid w:val="65D5198E"/>
    <w:rsid w:val="65F1760B"/>
    <w:rsid w:val="660A0605"/>
    <w:rsid w:val="663F7218"/>
    <w:rsid w:val="66673DE1"/>
    <w:rsid w:val="666A5926"/>
    <w:rsid w:val="66707909"/>
    <w:rsid w:val="66B34A4C"/>
    <w:rsid w:val="66BB7069"/>
    <w:rsid w:val="66C814F3"/>
    <w:rsid w:val="66D460EA"/>
    <w:rsid w:val="66EF6A80"/>
    <w:rsid w:val="66F45E37"/>
    <w:rsid w:val="67526ADC"/>
    <w:rsid w:val="677764A4"/>
    <w:rsid w:val="67A21D44"/>
    <w:rsid w:val="67F31018"/>
    <w:rsid w:val="68073C59"/>
    <w:rsid w:val="68104F00"/>
    <w:rsid w:val="685A43CD"/>
    <w:rsid w:val="688F1299"/>
    <w:rsid w:val="68AD09A1"/>
    <w:rsid w:val="68D9577D"/>
    <w:rsid w:val="69A17E80"/>
    <w:rsid w:val="69DE6A3D"/>
    <w:rsid w:val="6A9242F2"/>
    <w:rsid w:val="6AAB53B4"/>
    <w:rsid w:val="6B2036AC"/>
    <w:rsid w:val="6B39764F"/>
    <w:rsid w:val="6B431148"/>
    <w:rsid w:val="6B82248A"/>
    <w:rsid w:val="6BA71FF7"/>
    <w:rsid w:val="6BDB2AAB"/>
    <w:rsid w:val="6BF11979"/>
    <w:rsid w:val="6C91449F"/>
    <w:rsid w:val="6CB41E0E"/>
    <w:rsid w:val="6CC949B5"/>
    <w:rsid w:val="6CE150BD"/>
    <w:rsid w:val="6CE254B4"/>
    <w:rsid w:val="6D58744D"/>
    <w:rsid w:val="6DD930D6"/>
    <w:rsid w:val="6DE1492D"/>
    <w:rsid w:val="6DE54739"/>
    <w:rsid w:val="6E8517C0"/>
    <w:rsid w:val="6ECF3754"/>
    <w:rsid w:val="6EEA46FD"/>
    <w:rsid w:val="6F2D6397"/>
    <w:rsid w:val="6F4D6A39"/>
    <w:rsid w:val="6F9A5386"/>
    <w:rsid w:val="6FD42F16"/>
    <w:rsid w:val="6FD9146B"/>
    <w:rsid w:val="70074E3A"/>
    <w:rsid w:val="70422653"/>
    <w:rsid w:val="704E2F40"/>
    <w:rsid w:val="705E35FF"/>
    <w:rsid w:val="706C4E27"/>
    <w:rsid w:val="7080699B"/>
    <w:rsid w:val="70CD6084"/>
    <w:rsid w:val="70F80C27"/>
    <w:rsid w:val="7128150C"/>
    <w:rsid w:val="714A76D4"/>
    <w:rsid w:val="71971103"/>
    <w:rsid w:val="720C498A"/>
    <w:rsid w:val="724E6D50"/>
    <w:rsid w:val="7278765C"/>
    <w:rsid w:val="72807126"/>
    <w:rsid w:val="72D02AB7"/>
    <w:rsid w:val="730E64E0"/>
    <w:rsid w:val="73476E09"/>
    <w:rsid w:val="73522870"/>
    <w:rsid w:val="73A62BBC"/>
    <w:rsid w:val="73A73A0A"/>
    <w:rsid w:val="7463285B"/>
    <w:rsid w:val="74C20A5A"/>
    <w:rsid w:val="74E76FE8"/>
    <w:rsid w:val="74FA23AD"/>
    <w:rsid w:val="757552A6"/>
    <w:rsid w:val="75E023B5"/>
    <w:rsid w:val="76425C8F"/>
    <w:rsid w:val="76EB2E75"/>
    <w:rsid w:val="76F97B3F"/>
    <w:rsid w:val="771542E1"/>
    <w:rsid w:val="77521091"/>
    <w:rsid w:val="77562203"/>
    <w:rsid w:val="77626F43"/>
    <w:rsid w:val="777440BB"/>
    <w:rsid w:val="777A05E8"/>
    <w:rsid w:val="77BD24C4"/>
    <w:rsid w:val="77BE04D4"/>
    <w:rsid w:val="77CA6018"/>
    <w:rsid w:val="78462278"/>
    <w:rsid w:val="784A7FBA"/>
    <w:rsid w:val="788F3C1F"/>
    <w:rsid w:val="78B82877"/>
    <w:rsid w:val="791F2D00"/>
    <w:rsid w:val="792A5B24"/>
    <w:rsid w:val="795A5FDB"/>
    <w:rsid w:val="79A6439A"/>
    <w:rsid w:val="79CD67A5"/>
    <w:rsid w:val="7A5A200A"/>
    <w:rsid w:val="7A66061D"/>
    <w:rsid w:val="7A910122"/>
    <w:rsid w:val="7A996FD7"/>
    <w:rsid w:val="7A9B7EA7"/>
    <w:rsid w:val="7AA82373"/>
    <w:rsid w:val="7AF64CB7"/>
    <w:rsid w:val="7B073F40"/>
    <w:rsid w:val="7B1B3E90"/>
    <w:rsid w:val="7BE942E8"/>
    <w:rsid w:val="7C183002"/>
    <w:rsid w:val="7CAC1243"/>
    <w:rsid w:val="7CDB5FF4"/>
    <w:rsid w:val="7D0B583E"/>
    <w:rsid w:val="7D831878"/>
    <w:rsid w:val="7D991979"/>
    <w:rsid w:val="7DD47666"/>
    <w:rsid w:val="7EC87E8B"/>
    <w:rsid w:val="7EE51A9D"/>
    <w:rsid w:val="7F2C0419"/>
    <w:rsid w:val="7F7D0C75"/>
    <w:rsid w:val="7F8A5140"/>
    <w:rsid w:val="7F9F508F"/>
    <w:rsid w:val="7FA206DC"/>
    <w:rsid w:val="7FC7273F"/>
    <w:rsid w:val="7FEC7BA9"/>
    <w:rsid w:val="7FFC251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1"/>
    <w:qFormat/>
    <w:uiPriority w:val="0"/>
    <w:pPr>
      <w:widowControl/>
      <w:adjustRightInd w:val="0"/>
      <w:snapToGrid w:val="0"/>
      <w:spacing w:line="360" w:lineRule="auto"/>
      <w:jc w:val="center"/>
      <w:outlineLvl w:val="0"/>
    </w:pPr>
    <w:rPr>
      <w:rFonts w:ascii="黑体"/>
      <w:b/>
      <w:kern w:val="0"/>
      <w:sz w:val="30"/>
      <w:szCs w:val="28"/>
    </w:rPr>
  </w:style>
  <w:style w:type="paragraph" w:styleId="5">
    <w:name w:val="heading 2"/>
    <w:basedOn w:val="1"/>
    <w:next w:val="1"/>
    <w:link w:val="163"/>
    <w:qFormat/>
    <w:uiPriority w:val="0"/>
    <w:pPr>
      <w:keepNext/>
      <w:keepLines/>
      <w:spacing w:line="360" w:lineRule="auto"/>
      <w:outlineLvl w:val="1"/>
    </w:pPr>
    <w:rPr>
      <w:rFonts w:ascii="Arial" w:hAnsi="Arial"/>
      <w:b/>
      <w:bCs/>
      <w:sz w:val="28"/>
      <w:szCs w:val="32"/>
    </w:rPr>
  </w:style>
  <w:style w:type="paragraph" w:styleId="6">
    <w:name w:val="heading 3"/>
    <w:basedOn w:val="1"/>
    <w:next w:val="1"/>
    <w:link w:val="184"/>
    <w:qFormat/>
    <w:uiPriority w:val="0"/>
    <w:pPr>
      <w:keepNext/>
      <w:keepLines/>
      <w:widowControl/>
      <w:spacing w:line="360" w:lineRule="auto"/>
      <w:jc w:val="left"/>
      <w:outlineLvl w:val="2"/>
    </w:pPr>
    <w:rPr>
      <w:b/>
      <w:bCs/>
      <w:sz w:val="24"/>
      <w:szCs w:val="32"/>
    </w:rPr>
  </w:style>
  <w:style w:type="paragraph" w:styleId="7">
    <w:name w:val="heading 4"/>
    <w:basedOn w:val="1"/>
    <w:next w:val="1"/>
    <w:link w:val="154"/>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5"/>
    <w:basedOn w:val="1"/>
    <w:next w:val="1"/>
    <w:link w:val="121"/>
    <w:qFormat/>
    <w:uiPriority w:val="0"/>
    <w:pPr>
      <w:keepNext/>
      <w:keepLines/>
      <w:widowControl/>
      <w:spacing w:before="280" w:after="290" w:line="376" w:lineRule="auto"/>
      <w:jc w:val="left"/>
      <w:outlineLvl w:val="4"/>
    </w:pPr>
    <w:rPr>
      <w:b/>
      <w:bCs/>
      <w:sz w:val="28"/>
      <w:szCs w:val="28"/>
    </w:rPr>
  </w:style>
  <w:style w:type="paragraph" w:styleId="9">
    <w:name w:val="heading 6"/>
    <w:basedOn w:val="1"/>
    <w:next w:val="1"/>
    <w:qFormat/>
    <w:uiPriority w:val="0"/>
    <w:pPr>
      <w:widowControl/>
      <w:spacing w:before="240" w:after="60"/>
      <w:jc w:val="left"/>
      <w:outlineLvl w:val="5"/>
    </w:pPr>
    <w:rPr>
      <w:rFonts w:cs="宋体"/>
      <w:b/>
      <w:bCs/>
      <w:kern w:val="0"/>
      <w:sz w:val="20"/>
      <w:szCs w:val="20"/>
    </w:rPr>
  </w:style>
  <w:style w:type="paragraph" w:styleId="10">
    <w:name w:val="heading 7"/>
    <w:basedOn w:val="1"/>
    <w:next w:val="1"/>
    <w:link w:val="156"/>
    <w:qFormat/>
    <w:uiPriority w:val="0"/>
    <w:pPr>
      <w:widowControl/>
      <w:spacing w:before="240" w:after="60"/>
      <w:jc w:val="left"/>
      <w:outlineLvl w:val="6"/>
    </w:pPr>
    <w:rPr>
      <w:rFonts w:cs="宋体"/>
      <w:kern w:val="0"/>
      <w:sz w:val="24"/>
    </w:rPr>
  </w:style>
  <w:style w:type="paragraph" w:styleId="11">
    <w:name w:val="heading 8"/>
    <w:basedOn w:val="1"/>
    <w:next w:val="1"/>
    <w:link w:val="147"/>
    <w:qFormat/>
    <w:uiPriority w:val="0"/>
    <w:pPr>
      <w:widowControl/>
      <w:spacing w:before="240" w:after="60"/>
      <w:jc w:val="left"/>
      <w:outlineLvl w:val="7"/>
    </w:pPr>
    <w:rPr>
      <w:rFonts w:cs="宋体"/>
      <w:i/>
      <w:iCs/>
      <w:kern w:val="0"/>
      <w:sz w:val="24"/>
    </w:rPr>
  </w:style>
  <w:style w:type="paragraph" w:styleId="12">
    <w:name w:val="heading 9"/>
    <w:basedOn w:val="1"/>
    <w:next w:val="1"/>
    <w:link w:val="153"/>
    <w:qFormat/>
    <w:uiPriority w:val="0"/>
    <w:pPr>
      <w:widowControl/>
      <w:spacing w:before="240" w:after="60"/>
      <w:jc w:val="left"/>
      <w:outlineLvl w:val="8"/>
    </w:pPr>
    <w:rPr>
      <w:rFonts w:ascii="Cambria" w:hAnsi="Cambria" w:cs="宋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4"/>
    <w:qFormat/>
    <w:uiPriority w:val="0"/>
    <w:rPr>
      <w:rFonts w:ascii="仿宋_GB2312" w:eastAsia="仿宋_GB2312"/>
      <w:sz w:val="30"/>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unhideWhenUsed/>
    <w:qFormat/>
    <w:uiPriority w:val="39"/>
    <w:pPr>
      <w:ind w:left="2520" w:leftChars="1200"/>
    </w:pPr>
    <w:rPr>
      <w:szCs w:val="22"/>
    </w:rPr>
  </w:style>
  <w:style w:type="paragraph" w:styleId="14">
    <w:name w:val="Normal Indent"/>
    <w:basedOn w:val="1"/>
    <w:link w:val="161"/>
    <w:qFormat/>
    <w:uiPriority w:val="0"/>
    <w:pPr>
      <w:ind w:firstLine="420" w:firstLineChars="200"/>
    </w:pPr>
    <w:rPr>
      <w:rFonts w:ascii="宋体"/>
      <w:kern w:val="28"/>
      <w:sz w:val="28"/>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rPr>
      <w:rFonts w:ascii="Arial" w:hAnsi="Arial"/>
      <w:sz w:val="24"/>
    </w:rPr>
  </w:style>
  <w:style w:type="paragraph" w:styleId="18">
    <w:name w:val="annotation text"/>
    <w:basedOn w:val="1"/>
    <w:link w:val="167"/>
    <w:qFormat/>
    <w:uiPriority w:val="0"/>
    <w:pPr>
      <w:jc w:val="left"/>
    </w:pPr>
  </w:style>
  <w:style w:type="paragraph" w:styleId="19">
    <w:name w:val="Salutation"/>
    <w:basedOn w:val="1"/>
    <w:next w:val="1"/>
    <w:qFormat/>
    <w:uiPriority w:val="0"/>
    <w:rPr>
      <w:sz w:val="24"/>
    </w:rPr>
  </w:style>
  <w:style w:type="paragraph" w:styleId="20">
    <w:name w:val="Body Text 3"/>
    <w:basedOn w:val="1"/>
    <w:link w:val="122"/>
    <w:qFormat/>
    <w:uiPriority w:val="0"/>
    <w:pPr>
      <w:spacing w:after="120"/>
    </w:pPr>
    <w:rPr>
      <w:sz w:val="16"/>
      <w:szCs w:val="16"/>
    </w:rPr>
  </w:style>
  <w:style w:type="paragraph" w:styleId="21">
    <w:name w:val="Body Text Indent"/>
    <w:basedOn w:val="1"/>
    <w:next w:val="22"/>
    <w:link w:val="162"/>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2">
    <w:name w:val="index heading"/>
    <w:basedOn w:val="1"/>
    <w:next w:val="23"/>
    <w:qFormat/>
    <w:uiPriority w:val="0"/>
    <w:pPr>
      <w:spacing w:before="120" w:after="120"/>
      <w:jc w:val="left"/>
    </w:pPr>
    <w:rPr>
      <w:rFonts w:ascii="Times New Roman" w:hAnsi="Times New Roman"/>
      <w:b/>
      <w:bCs/>
      <w:i/>
      <w:iCs/>
      <w:sz w:val="20"/>
    </w:rPr>
  </w:style>
  <w:style w:type="paragraph" w:styleId="23">
    <w:name w:val="index 1"/>
    <w:basedOn w:val="1"/>
    <w:next w:val="1"/>
    <w:qFormat/>
    <w:uiPriority w:val="0"/>
    <w:pPr>
      <w:ind w:left="240" w:hanging="240"/>
      <w:jc w:val="left"/>
    </w:pPr>
    <w:rPr>
      <w:rFonts w:ascii="Times New Roman" w:hAnsi="Times New Roman"/>
      <w:sz w:val="20"/>
    </w:rPr>
  </w:style>
  <w:style w:type="paragraph" w:styleId="24">
    <w:name w:val="Block Text"/>
    <w:basedOn w:val="1"/>
    <w:unhideWhenUsed/>
    <w:qFormat/>
    <w:uiPriority w:val="99"/>
    <w:pPr>
      <w:widowControl/>
      <w:adjustRightInd w:val="0"/>
      <w:snapToGrid w:val="0"/>
      <w:ind w:left="-57" w:right="-57"/>
      <w:jc w:val="center"/>
    </w:pPr>
    <w:rPr>
      <w:kern w:val="0"/>
      <w:sz w:val="24"/>
      <w:szCs w:val="20"/>
    </w:rPr>
  </w:style>
  <w:style w:type="paragraph" w:styleId="25">
    <w:name w:val="toc 5"/>
    <w:basedOn w:val="1"/>
    <w:next w:val="1"/>
    <w:unhideWhenUsed/>
    <w:qFormat/>
    <w:uiPriority w:val="39"/>
    <w:pPr>
      <w:ind w:left="1680" w:leftChars="800"/>
    </w:pPr>
    <w:rPr>
      <w:szCs w:val="22"/>
    </w:rPr>
  </w:style>
  <w:style w:type="paragraph" w:styleId="26">
    <w:name w:val="toc 3"/>
    <w:basedOn w:val="1"/>
    <w:next w:val="1"/>
    <w:qFormat/>
    <w:uiPriority w:val="39"/>
    <w:pPr>
      <w:widowControl/>
      <w:spacing w:line="360" w:lineRule="auto"/>
      <w:ind w:left="400" w:leftChars="400"/>
      <w:jc w:val="left"/>
    </w:pPr>
  </w:style>
  <w:style w:type="paragraph" w:styleId="27">
    <w:name w:val="Plain Text"/>
    <w:basedOn w:val="1"/>
    <w:link w:val="177"/>
    <w:qFormat/>
    <w:uiPriority w:val="0"/>
    <w:rPr>
      <w:rFonts w:ascii="宋体" w:hAnsi="Courier New"/>
      <w:sz w:val="28"/>
      <w:szCs w:val="20"/>
    </w:rPr>
  </w:style>
  <w:style w:type="paragraph" w:styleId="28">
    <w:name w:val="toc 8"/>
    <w:basedOn w:val="1"/>
    <w:next w:val="1"/>
    <w:unhideWhenUsed/>
    <w:qFormat/>
    <w:uiPriority w:val="39"/>
    <w:pPr>
      <w:ind w:left="2940" w:leftChars="1400"/>
    </w:pPr>
    <w:rPr>
      <w:szCs w:val="22"/>
    </w:rPr>
  </w:style>
  <w:style w:type="paragraph" w:styleId="29">
    <w:name w:val="Date"/>
    <w:basedOn w:val="1"/>
    <w:next w:val="1"/>
    <w:qFormat/>
    <w:uiPriority w:val="0"/>
    <w:pPr>
      <w:widowControl/>
      <w:ind w:left="100" w:leftChars="2500"/>
      <w:jc w:val="left"/>
    </w:pPr>
  </w:style>
  <w:style w:type="paragraph" w:styleId="30">
    <w:name w:val="Body Text Indent 2"/>
    <w:basedOn w:val="1"/>
    <w:link w:val="145"/>
    <w:qFormat/>
    <w:uiPriority w:val="0"/>
    <w:pPr>
      <w:widowControl/>
      <w:spacing w:after="120" w:line="480" w:lineRule="auto"/>
      <w:ind w:left="420" w:leftChars="200"/>
      <w:jc w:val="left"/>
    </w:pPr>
  </w:style>
  <w:style w:type="paragraph" w:styleId="31">
    <w:name w:val="Balloon Text"/>
    <w:basedOn w:val="1"/>
    <w:link w:val="142"/>
    <w:qFormat/>
    <w:uiPriority w:val="99"/>
    <w:pPr>
      <w:widowControl/>
      <w:jc w:val="left"/>
    </w:pPr>
    <w:rPr>
      <w:sz w:val="18"/>
      <w:szCs w:val="18"/>
    </w:rPr>
  </w:style>
  <w:style w:type="paragraph" w:styleId="32">
    <w:name w:val="footer"/>
    <w:basedOn w:val="1"/>
    <w:link w:val="130"/>
    <w:qFormat/>
    <w:uiPriority w:val="0"/>
    <w:pPr>
      <w:tabs>
        <w:tab w:val="center" w:pos="4153"/>
        <w:tab w:val="right" w:pos="8306"/>
      </w:tabs>
      <w:snapToGrid w:val="0"/>
      <w:jc w:val="left"/>
    </w:pPr>
    <w:rPr>
      <w:sz w:val="18"/>
      <w:szCs w:val="18"/>
    </w:rPr>
  </w:style>
  <w:style w:type="paragraph" w:styleId="3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line="360" w:lineRule="exact"/>
    </w:pPr>
    <w:rPr>
      <w:b/>
    </w:rPr>
  </w:style>
  <w:style w:type="paragraph" w:styleId="35">
    <w:name w:val="toc 4"/>
    <w:basedOn w:val="1"/>
    <w:next w:val="1"/>
    <w:qFormat/>
    <w:uiPriority w:val="39"/>
    <w:pPr>
      <w:ind w:left="1260" w:leftChars="600"/>
    </w:pPr>
  </w:style>
  <w:style w:type="paragraph" w:styleId="36">
    <w:name w:val="Subtitle"/>
    <w:basedOn w:val="1"/>
    <w:next w:val="1"/>
    <w:link w:val="138"/>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7">
    <w:name w:val="List"/>
    <w:basedOn w:val="1"/>
    <w:next w:val="1"/>
    <w:unhideWhenUsed/>
    <w:qFormat/>
    <w:uiPriority w:val="99"/>
    <w:pPr>
      <w:ind w:left="420" w:hanging="420"/>
    </w:pPr>
  </w:style>
  <w:style w:type="paragraph" w:styleId="38">
    <w:name w:val="toc 6"/>
    <w:basedOn w:val="1"/>
    <w:next w:val="1"/>
    <w:unhideWhenUsed/>
    <w:qFormat/>
    <w:uiPriority w:val="39"/>
    <w:pPr>
      <w:ind w:left="2100" w:leftChars="1000"/>
    </w:pPr>
    <w:rPr>
      <w:szCs w:val="22"/>
    </w:rPr>
  </w:style>
  <w:style w:type="paragraph" w:styleId="39">
    <w:name w:val="Body Text Indent 3"/>
    <w:basedOn w:val="1"/>
    <w:qFormat/>
    <w:uiPriority w:val="0"/>
    <w:pPr>
      <w:spacing w:line="560" w:lineRule="exact"/>
      <w:ind w:firstLine="630" w:firstLineChars="225"/>
    </w:pPr>
    <w:rPr>
      <w:rFonts w:ascii="宋体" w:hAnsi="宋体"/>
      <w:sz w:val="28"/>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spacing w:line="360" w:lineRule="auto"/>
      <w:ind w:left="200" w:leftChars="200"/>
    </w:pPr>
  </w:style>
  <w:style w:type="paragraph" w:styleId="42">
    <w:name w:val="toc 9"/>
    <w:basedOn w:val="1"/>
    <w:next w:val="1"/>
    <w:unhideWhenUsed/>
    <w:qFormat/>
    <w:uiPriority w:val="39"/>
    <w:pPr>
      <w:ind w:left="3360" w:leftChars="1600"/>
    </w:pPr>
    <w:rPr>
      <w:szCs w:val="22"/>
    </w:rPr>
  </w:style>
  <w:style w:type="paragraph" w:styleId="43">
    <w:name w:val="Body Text 2"/>
    <w:basedOn w:val="1"/>
    <w:qFormat/>
    <w:uiPriority w:val="0"/>
    <w:pPr>
      <w:spacing w:after="120" w:line="480" w:lineRule="auto"/>
    </w:pPr>
  </w:style>
  <w:style w:type="paragraph" w:styleId="44">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link w:val="165"/>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6">
    <w:name w:val="Title"/>
    <w:basedOn w:val="1"/>
    <w:next w:val="1"/>
    <w:link w:val="159"/>
    <w:qFormat/>
    <w:uiPriority w:val="0"/>
    <w:pPr>
      <w:widowControl/>
      <w:spacing w:before="240" w:after="60"/>
      <w:jc w:val="center"/>
      <w:outlineLvl w:val="0"/>
    </w:pPr>
    <w:rPr>
      <w:rFonts w:ascii="Cambria" w:hAnsi="Cambria"/>
      <w:b/>
      <w:bCs/>
      <w:sz w:val="32"/>
      <w:szCs w:val="32"/>
    </w:rPr>
  </w:style>
  <w:style w:type="paragraph" w:styleId="47">
    <w:name w:val="annotation subject"/>
    <w:basedOn w:val="18"/>
    <w:next w:val="18"/>
    <w:qFormat/>
    <w:uiPriority w:val="0"/>
    <w:rPr>
      <w:b/>
      <w:bCs/>
    </w:rPr>
  </w:style>
  <w:style w:type="paragraph" w:styleId="48">
    <w:name w:val="Body Text First Indent"/>
    <w:basedOn w:val="2"/>
    <w:link w:val="123"/>
    <w:qFormat/>
    <w:uiPriority w:val="0"/>
    <w:pPr>
      <w:spacing w:after="120"/>
      <w:ind w:firstLine="420" w:firstLineChars="100"/>
    </w:pPr>
    <w:rPr>
      <w:sz w:val="21"/>
    </w:rPr>
  </w:style>
  <w:style w:type="paragraph" w:styleId="49">
    <w:name w:val="Body Text First Indent 2"/>
    <w:basedOn w:val="21"/>
    <w:next w:val="2"/>
    <w:qFormat/>
    <w:uiPriority w:val="0"/>
    <w:pPr>
      <w:widowControl w:val="0"/>
      <w:spacing w:after="120" w:line="240" w:lineRule="auto"/>
      <w:ind w:left="420" w:leftChars="200" w:firstLine="420"/>
      <w:jc w:val="both"/>
    </w:pPr>
    <w:rPr>
      <w:sz w:val="21"/>
      <w:szCs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606420"/>
      <w:u w:val="single"/>
    </w:rPr>
  </w:style>
  <w:style w:type="character" w:styleId="56">
    <w:name w:val="Emphasis"/>
    <w:qFormat/>
    <w:uiPriority w:val="0"/>
    <w:rPr>
      <w:rFonts w:ascii="Calibri" w:hAnsi="Calibri"/>
      <w:b/>
      <w:i/>
      <w:iCs/>
    </w:rPr>
  </w:style>
  <w:style w:type="character" w:styleId="57">
    <w:name w:val="HTML Typewriter"/>
    <w:semiHidden/>
    <w:qFormat/>
    <w:uiPriority w:val="0"/>
    <w:rPr>
      <w:rFonts w:ascii="宋体" w:hAnsi="宋体" w:eastAsia="宋体" w:cs="宋体"/>
      <w:sz w:val="24"/>
      <w:szCs w:val="24"/>
    </w:rPr>
  </w:style>
  <w:style w:type="character" w:styleId="58">
    <w:name w:val="Hyperlink"/>
    <w:basedOn w:val="52"/>
    <w:qFormat/>
    <w:uiPriority w:val="99"/>
    <w:rPr>
      <w:color w:val="000000"/>
      <w:u w:val="none"/>
    </w:rPr>
  </w:style>
  <w:style w:type="character" w:styleId="59">
    <w:name w:val="annotation reference"/>
    <w:qFormat/>
    <w:uiPriority w:val="99"/>
    <w:rPr>
      <w:sz w:val="21"/>
      <w:szCs w:val="21"/>
    </w:rPr>
  </w:style>
  <w:style w:type="paragraph" w:customStyle="1" w:styleId="60">
    <w:name w:val="章标题"/>
    <w:next w:val="61"/>
    <w:qFormat/>
    <w:uiPriority w:val="0"/>
    <w:pPr>
      <w:tabs>
        <w:tab w:val="left" w:pos="360"/>
      </w:tabs>
      <w:spacing w:beforeLines="50" w:afterLines="50"/>
      <w:ind w:left="840"/>
      <w:jc w:val="both"/>
      <w:outlineLvl w:val="1"/>
    </w:pPr>
    <w:rPr>
      <w:rFonts w:ascii="黑体" w:hAnsi="Calibri" w:eastAsia="黑体" w:cs="Times New Roman"/>
      <w:sz w:val="21"/>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62">
    <w:name w:val="Default"/>
    <w:semiHidden/>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3">
    <w:name w:val="Char Char Char Char Char Char Char Char Char Char Char"/>
    <w:basedOn w:val="1"/>
    <w:semiHidden/>
    <w:qFormat/>
    <w:uiPriority w:val="0"/>
    <w:rPr>
      <w:szCs w:val="20"/>
    </w:rPr>
  </w:style>
  <w:style w:type="paragraph" w:customStyle="1" w:styleId="64">
    <w:name w:val="reader-word-layer"/>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Char Char Char"/>
    <w:basedOn w:val="1"/>
    <w:next w:val="3"/>
    <w:semiHidden/>
    <w:qFormat/>
    <w:uiPriority w:val="0"/>
    <w:rPr>
      <w:sz w:val="28"/>
      <w:szCs w:val="28"/>
    </w:rPr>
  </w:style>
  <w:style w:type="paragraph" w:customStyle="1" w:styleId="66">
    <w:name w:val="郭表格标题"/>
    <w:basedOn w:val="1"/>
    <w:link w:val="135"/>
    <w:qFormat/>
    <w:uiPriority w:val="0"/>
    <w:pPr>
      <w:spacing w:line="360" w:lineRule="auto"/>
      <w:jc w:val="center"/>
    </w:pPr>
    <w:rPr>
      <w:b/>
      <w:szCs w:val="21"/>
    </w:rPr>
  </w:style>
  <w:style w:type="paragraph" w:customStyle="1" w:styleId="67">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8">
    <w:name w:val="BIG BOLD"/>
    <w:basedOn w:val="1"/>
    <w:semiHidden/>
    <w:qFormat/>
    <w:uiPriority w:val="0"/>
    <w:pPr>
      <w:tabs>
        <w:tab w:val="left" w:leader="underscore" w:pos="1134"/>
      </w:tabs>
    </w:pPr>
    <w:rPr>
      <w:szCs w:val="20"/>
    </w:rPr>
  </w:style>
  <w:style w:type="paragraph" w:customStyle="1" w:styleId="69">
    <w:name w:val="內文1"/>
    <w:basedOn w:val="1"/>
    <w:qFormat/>
    <w:uiPriority w:val="0"/>
    <w:pPr>
      <w:adjustRightInd w:val="0"/>
      <w:spacing w:before="40" w:after="40" w:line="320" w:lineRule="atLeast"/>
      <w:jc w:val="center"/>
      <w:textAlignment w:val="baseline"/>
    </w:pPr>
    <w:rPr>
      <w:rFonts w:eastAsia="華康中楷體"/>
      <w:kern w:val="0"/>
      <w:sz w:val="28"/>
      <w:szCs w:val="20"/>
      <w:lang w:eastAsia="zh-TW"/>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样式 正文+首行缩进 Para Char Char Char Char"/>
    <w:basedOn w:val="1"/>
    <w:next w:val="1"/>
    <w:qFormat/>
    <w:uiPriority w:val="0"/>
    <w:pPr>
      <w:spacing w:before="150" w:after="50" w:line="360" w:lineRule="auto"/>
    </w:pPr>
    <w:rPr>
      <w:rFonts w:cs="AdobeHeitiStd-Regular"/>
      <w:kern w:val="0"/>
      <w:sz w:val="28"/>
      <w:szCs w:val="32"/>
    </w:rPr>
  </w:style>
  <w:style w:type="paragraph" w:customStyle="1" w:styleId="72">
    <w:name w:val="默认段落字体 Para Char Char Char Char"/>
    <w:basedOn w:val="1"/>
    <w:qFormat/>
    <w:uiPriority w:val="0"/>
    <w:pPr>
      <w:widowControl/>
      <w:jc w:val="left"/>
    </w:pPr>
  </w:style>
  <w:style w:type="paragraph" w:customStyle="1" w:styleId="73">
    <w:name w:val="默认段落字体 Para Char Char Char Char Char Char Char Char Char1 Char Char Char Char Char Char Char"/>
    <w:basedOn w:val="16"/>
    <w:qFormat/>
    <w:uiPriority w:val="0"/>
    <w:rPr>
      <w:rFonts w:ascii="Tahoma" w:hAnsi="Tahoma" w:cs="Tahoma"/>
      <w:sz w:val="28"/>
    </w:rPr>
  </w:style>
  <w:style w:type="paragraph" w:customStyle="1" w:styleId="74">
    <w:name w:val="Char1"/>
    <w:basedOn w:val="1"/>
    <w:semiHidden/>
    <w:qFormat/>
    <w:uiPriority w:val="0"/>
    <w:rPr>
      <w:sz w:val="24"/>
    </w:rPr>
  </w:style>
  <w:style w:type="paragraph" w:customStyle="1" w:styleId="75">
    <w:name w:val="正文缩2"/>
    <w:basedOn w:val="1"/>
    <w:link w:val="186"/>
    <w:qFormat/>
    <w:uiPriority w:val="0"/>
    <w:pPr>
      <w:widowControl/>
      <w:spacing w:line="360" w:lineRule="auto"/>
      <w:ind w:firstLine="560" w:firstLineChars="200"/>
      <w:jc w:val="left"/>
    </w:pPr>
    <w:rPr>
      <w:sz w:val="28"/>
      <w:szCs w:val="20"/>
    </w:rPr>
  </w:style>
  <w:style w:type="paragraph" w:customStyle="1" w:styleId="76">
    <w:name w:val="_Style 107"/>
    <w:basedOn w:val="1"/>
    <w:semiHidden/>
    <w:qFormat/>
    <w:uiPriority w:val="0"/>
    <w:pPr>
      <w:snapToGrid w:val="0"/>
      <w:spacing w:line="360" w:lineRule="auto"/>
    </w:pPr>
  </w:style>
  <w:style w:type="paragraph" w:customStyle="1" w:styleId="77">
    <w:name w:val="Char Char Char1 Char Char Char 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78">
    <w:name w:val="Char2"/>
    <w:basedOn w:val="1"/>
    <w:semiHidden/>
    <w:qFormat/>
    <w:uiPriority w:val="0"/>
    <w:pPr>
      <w:numPr>
        <w:ilvl w:val="0"/>
        <w:numId w:val="1"/>
      </w:numPr>
      <w:tabs>
        <w:tab w:val="left" w:pos="920"/>
      </w:tabs>
      <w:ind w:firstLine="0"/>
    </w:pPr>
    <w:rPr>
      <w:szCs w:val="20"/>
    </w:rPr>
  </w:style>
  <w:style w:type="paragraph" w:customStyle="1" w:styleId="79">
    <w:name w:val="前言、引言标题"/>
    <w:next w:val="1"/>
    <w:qFormat/>
    <w:uiPriority w:val="0"/>
    <w:p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80">
    <w:name w:val="Char"/>
    <w:basedOn w:val="1"/>
    <w:semiHidden/>
    <w:qFormat/>
    <w:uiPriority w:val="0"/>
    <w:pPr>
      <w:ind w:firstLine="200" w:firstLineChars="200"/>
    </w:pPr>
    <w:rPr>
      <w:sz w:val="28"/>
      <w:szCs w:val="28"/>
    </w:rPr>
  </w:style>
  <w:style w:type="paragraph" w:customStyle="1" w:styleId="81">
    <w:name w:val="Char Char Char Char1"/>
    <w:basedOn w:val="1"/>
    <w:semiHidden/>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2">
    <w:name w:val="scoring"/>
    <w:basedOn w:val="1"/>
    <w:semiHidden/>
    <w:qFormat/>
    <w:uiPriority w:val="0"/>
    <w:pPr>
      <w:widowControl/>
      <w:ind w:left="1267" w:right="2520" w:hanging="979"/>
      <w:jc w:val="left"/>
    </w:pPr>
    <w:rPr>
      <w:rFonts w:ascii="Univers Condensed" w:hAnsi="Univers Condensed" w:eastAsia="Times New Roman"/>
      <w:b/>
      <w:kern w:val="0"/>
      <w:sz w:val="20"/>
      <w:szCs w:val="20"/>
      <w:lang w:val="en-GB" w:eastAsia="en-US"/>
    </w:rPr>
  </w:style>
  <w:style w:type="paragraph" w:customStyle="1" w:styleId="83">
    <w:name w:val="样式2"/>
    <w:basedOn w:val="1"/>
    <w:link w:val="137"/>
    <w:qFormat/>
    <w:uiPriority w:val="0"/>
    <w:pPr>
      <w:spacing w:line="288" w:lineRule="auto"/>
      <w:ind w:firstLine="420" w:firstLineChars="200"/>
    </w:pPr>
    <w:rPr>
      <w:rFonts w:ascii="方正书宋简体" w:eastAsia="方正书宋简体"/>
      <w:szCs w:val="21"/>
      <w:lang w:val="zh-CN"/>
    </w:rPr>
  </w:style>
  <w:style w:type="paragraph" w:customStyle="1" w:styleId="84">
    <w:name w:val="xl30"/>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5">
    <w:name w:val="安评小4表格正文左对齐"/>
    <w:qFormat/>
    <w:uiPriority w:val="0"/>
    <w:pPr>
      <w:widowControl w:val="0"/>
      <w:adjustRightInd w:val="0"/>
      <w:snapToGrid w:val="0"/>
      <w:spacing w:line="440" w:lineRule="exact"/>
    </w:pPr>
    <w:rPr>
      <w:rFonts w:ascii="Calibri" w:hAnsi="Calibri" w:eastAsia="宋体" w:cs="宋体"/>
      <w:snapToGrid w:val="0"/>
      <w:sz w:val="24"/>
      <w:szCs w:val="24"/>
      <w:lang w:val="en-US" w:eastAsia="zh-CN" w:bidi="ar-SA"/>
    </w:rPr>
  </w:style>
  <w:style w:type="paragraph" w:customStyle="1" w:styleId="86">
    <w:name w:val="三级条标题"/>
    <w:basedOn w:val="87"/>
    <w:next w:val="1"/>
    <w:qFormat/>
    <w:uiPriority w:val="0"/>
    <w:pPr>
      <w:tabs>
        <w:tab w:val="left" w:pos="360"/>
      </w:tabs>
      <w:ind w:left="840"/>
      <w:outlineLvl w:val="4"/>
    </w:pPr>
  </w:style>
  <w:style w:type="paragraph" w:customStyle="1" w:styleId="87">
    <w:name w:val="二级条标题"/>
    <w:basedOn w:val="88"/>
    <w:next w:val="1"/>
    <w:qFormat/>
    <w:uiPriority w:val="0"/>
    <w:pPr>
      <w:tabs>
        <w:tab w:val="left" w:pos="360"/>
      </w:tabs>
      <w:ind w:left="735"/>
      <w:outlineLvl w:val="3"/>
    </w:pPr>
  </w:style>
  <w:style w:type="paragraph" w:customStyle="1" w:styleId="88">
    <w:name w:val="一级条标题"/>
    <w:basedOn w:val="60"/>
    <w:next w:val="1"/>
    <w:qFormat/>
    <w:uiPriority w:val="0"/>
    <w:pPr>
      <w:spacing w:beforeLines="0" w:afterLines="0"/>
      <w:ind w:left="525"/>
      <w:outlineLvl w:val="2"/>
    </w:pPr>
  </w:style>
  <w:style w:type="paragraph" w:customStyle="1" w:styleId="89">
    <w:name w:val="段落编号"/>
    <w:basedOn w:val="30"/>
    <w:qFormat/>
    <w:uiPriority w:val="0"/>
    <w:pPr>
      <w:widowControl w:val="0"/>
      <w:numPr>
        <w:ilvl w:val="0"/>
        <w:numId w:val="2"/>
      </w:numPr>
      <w:adjustRightInd w:val="0"/>
      <w:spacing w:before="60" w:after="60" w:line="500" w:lineRule="exact"/>
      <w:ind w:left="0" w:leftChars="0"/>
      <w:jc w:val="both"/>
      <w:textAlignment w:val="baseline"/>
    </w:pPr>
    <w:rPr>
      <w:spacing w:val="6"/>
      <w:kern w:val="0"/>
      <w:sz w:val="28"/>
      <w:szCs w:val="20"/>
    </w:rPr>
  </w:style>
  <w:style w:type="paragraph" w:customStyle="1" w:styleId="90">
    <w:name w:val="2"/>
    <w:basedOn w:val="1"/>
    <w:semiHidden/>
    <w:qFormat/>
    <w:uiPriority w:val="0"/>
    <w:pPr>
      <w:tabs>
        <w:tab w:val="left" w:pos="540"/>
      </w:tabs>
      <w:spacing w:line="440" w:lineRule="exact"/>
    </w:pPr>
    <w:rPr>
      <w:kern w:val="0"/>
      <w:szCs w:val="32"/>
    </w:rPr>
  </w:style>
  <w:style w:type="paragraph" w:customStyle="1" w:styleId="91">
    <w:name w:val="样式4"/>
    <w:basedOn w:val="40"/>
    <w:qFormat/>
    <w:uiPriority w:val="0"/>
    <w:pPr>
      <w:spacing w:line="360" w:lineRule="auto"/>
      <w:ind w:left="0" w:leftChars="0" w:firstLine="0" w:firstLineChars="0"/>
      <w:jc w:val="center"/>
    </w:pPr>
  </w:style>
  <w:style w:type="paragraph" w:customStyle="1" w:styleId="92">
    <w:name w:val="四级条标题"/>
    <w:basedOn w:val="86"/>
    <w:next w:val="1"/>
    <w:qFormat/>
    <w:uiPriority w:val="0"/>
    <w:pPr>
      <w:ind w:left="0"/>
      <w:outlineLvl w:val="5"/>
    </w:pPr>
  </w:style>
  <w:style w:type="paragraph" w:customStyle="1" w:styleId="93">
    <w:name w:val="Char Char Char Char Char Char"/>
    <w:basedOn w:val="1"/>
    <w:next w:val="3"/>
    <w:semiHidden/>
    <w:qFormat/>
    <w:uiPriority w:val="0"/>
    <w:rPr>
      <w:sz w:val="28"/>
      <w:szCs w:val="28"/>
    </w:rPr>
  </w:style>
  <w:style w:type="paragraph" w:customStyle="1" w:styleId="94">
    <w:name w:val="纯文本2"/>
    <w:basedOn w:val="1"/>
    <w:qFormat/>
    <w:uiPriority w:val="0"/>
    <w:pPr>
      <w:adjustRightInd w:val="0"/>
      <w:textAlignment w:val="baseline"/>
    </w:pPr>
    <w:rPr>
      <w:rFonts w:ascii="宋体" w:hAnsi="Courier New"/>
      <w:szCs w:val="20"/>
    </w:rPr>
  </w:style>
  <w:style w:type="paragraph" w:customStyle="1" w:styleId="95">
    <w:name w:val="缩进正文"/>
    <w:basedOn w:val="21"/>
    <w:qFormat/>
    <w:uiPriority w:val="0"/>
    <w:pPr>
      <w:spacing w:beforeLines="0" w:line="300" w:lineRule="auto"/>
      <w:ind w:firstLine="200" w:firstLineChars="0"/>
    </w:pPr>
    <w:rPr>
      <w:rFonts w:hAnsi="Times New Roman" w:cs="宋体"/>
      <w:kern w:val="0"/>
      <w:szCs w:val="20"/>
    </w:rPr>
  </w:style>
  <w:style w:type="paragraph" w:customStyle="1" w:styleId="96">
    <w:name w:val="_Style 94"/>
    <w:basedOn w:val="4"/>
    <w:next w:val="1"/>
    <w:semiHidden/>
    <w:qFormat/>
    <w:uiPriority w:val="39"/>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97">
    <w:name w:val="标题3"/>
    <w:basedOn w:val="6"/>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98">
    <w:name w:val="列出段落1"/>
    <w:basedOn w:val="1"/>
    <w:qFormat/>
    <w:uiPriority w:val="0"/>
    <w:pPr>
      <w:ind w:firstLine="420" w:firstLineChars="200"/>
    </w:pPr>
    <w:rPr>
      <w:szCs w:val="21"/>
    </w:rPr>
  </w:style>
  <w:style w:type="paragraph" w:customStyle="1" w:styleId="99">
    <w:name w:val="Char Char Char Char Char Char Char Char Char"/>
    <w:basedOn w:val="1"/>
    <w:next w:val="3"/>
    <w:semiHidden/>
    <w:qFormat/>
    <w:uiPriority w:val="0"/>
    <w:rPr>
      <w:sz w:val="28"/>
      <w:szCs w:val="28"/>
    </w:rPr>
  </w:style>
  <w:style w:type="paragraph" w:customStyle="1" w:styleId="100">
    <w:name w:val="郭表格"/>
    <w:basedOn w:val="1"/>
    <w:link w:val="133"/>
    <w:qFormat/>
    <w:uiPriority w:val="0"/>
    <w:pPr>
      <w:jc w:val="center"/>
    </w:pPr>
    <w:rPr>
      <w:kern w:val="0"/>
      <w:szCs w:val="21"/>
    </w:rPr>
  </w:style>
  <w:style w:type="paragraph" w:customStyle="1" w:styleId="101">
    <w:name w:val="4"/>
    <w:basedOn w:val="1"/>
    <w:semiHidden/>
    <w:qFormat/>
    <w:uiPriority w:val="0"/>
    <w:pPr>
      <w:spacing w:line="360" w:lineRule="auto"/>
      <w:ind w:firstLine="200" w:firstLineChars="200"/>
    </w:pPr>
  </w:style>
  <w:style w:type="paragraph" w:customStyle="1" w:styleId="102">
    <w:name w:val="表格"/>
    <w:basedOn w:val="1"/>
    <w:link w:val="170"/>
    <w:qFormat/>
    <w:uiPriority w:val="0"/>
    <w:pPr>
      <w:spacing w:before="50" w:after="50"/>
      <w:jc w:val="center"/>
    </w:pPr>
    <w:rPr>
      <w:rFonts w:ascii="宋体"/>
      <w:szCs w:val="20"/>
    </w:rPr>
  </w:style>
  <w:style w:type="paragraph" w:customStyle="1" w:styleId="103">
    <w:name w:val="正文自己"/>
    <w:basedOn w:val="1"/>
    <w:qFormat/>
    <w:uiPriority w:val="0"/>
    <w:pPr>
      <w:spacing w:line="560" w:lineRule="exact"/>
      <w:ind w:firstLine="629"/>
    </w:pPr>
    <w:rPr>
      <w:bCs/>
      <w:sz w:val="28"/>
    </w:rPr>
  </w:style>
  <w:style w:type="paragraph" w:customStyle="1" w:styleId="104">
    <w:name w:val="样式 标题 2"/>
    <w:basedOn w:val="5"/>
    <w:link w:val="125"/>
    <w:qFormat/>
    <w:uiPriority w:val="0"/>
    <w:pPr>
      <w:spacing w:line="480" w:lineRule="auto"/>
      <w:jc w:val="center"/>
    </w:pPr>
    <w:rPr>
      <w:rFonts w:eastAsia="楷体_GB2312"/>
      <w:kern w:val="32"/>
      <w:sz w:val="32"/>
      <w:szCs w:val="20"/>
    </w:rPr>
  </w:style>
  <w:style w:type="paragraph" w:customStyle="1" w:styleId="105">
    <w:name w:val="xl34"/>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06">
    <w:name w:val="char"/>
    <w:basedOn w:val="1"/>
    <w:semiHidden/>
    <w:qFormat/>
    <w:uiPriority w:val="0"/>
    <w:pPr>
      <w:widowControl/>
      <w:spacing w:after="160"/>
      <w:jc w:val="left"/>
    </w:pPr>
  </w:style>
  <w:style w:type="paragraph" w:customStyle="1" w:styleId="107">
    <w:name w:val="Char7"/>
    <w:basedOn w:val="1"/>
    <w:semiHidden/>
    <w:qFormat/>
    <w:uiPriority w:val="0"/>
  </w:style>
  <w:style w:type="paragraph" w:customStyle="1" w:styleId="108">
    <w:name w:val="Char Char Char Char Char Char Char Char Char1"/>
    <w:basedOn w:val="1"/>
    <w:next w:val="3"/>
    <w:semiHidden/>
    <w:qFormat/>
    <w:uiPriority w:val="0"/>
    <w:rPr>
      <w:sz w:val="28"/>
      <w:szCs w:val="28"/>
    </w:rPr>
  </w:style>
  <w:style w:type="paragraph" w:styleId="109">
    <w:name w:val="List Paragraph"/>
    <w:basedOn w:val="1"/>
    <w:qFormat/>
    <w:uiPriority w:val="34"/>
    <w:pPr>
      <w:widowControl/>
      <w:ind w:left="720"/>
      <w:contextualSpacing/>
      <w:jc w:val="left"/>
    </w:pPr>
    <w:rPr>
      <w:rFonts w:cs="宋体"/>
      <w:kern w:val="0"/>
      <w:sz w:val="24"/>
      <w:lang w:eastAsia="en-US" w:bidi="en-US"/>
    </w:rPr>
  </w:style>
  <w:style w:type="paragraph" w:styleId="110">
    <w:name w:val="Intense Quote"/>
    <w:basedOn w:val="1"/>
    <w:next w:val="1"/>
    <w:link w:val="179"/>
    <w:qFormat/>
    <w:uiPriority w:val="0"/>
    <w:pPr>
      <w:widowControl/>
      <w:ind w:left="720" w:right="720"/>
      <w:jc w:val="left"/>
    </w:pPr>
    <w:rPr>
      <w:rFonts w:cs="宋体"/>
      <w:b/>
      <w:i/>
      <w:kern w:val="0"/>
      <w:sz w:val="24"/>
      <w:szCs w:val="20"/>
    </w:rPr>
  </w:style>
  <w:style w:type="paragraph" w:customStyle="1" w:styleId="111">
    <w:name w:val="p0"/>
    <w:basedOn w:val="1"/>
    <w:qFormat/>
    <w:uiPriority w:val="0"/>
    <w:pPr>
      <w:widowControl/>
    </w:pPr>
    <w:rPr>
      <w:kern w:val="0"/>
      <w:szCs w:val="21"/>
    </w:rPr>
  </w:style>
  <w:style w:type="paragraph" w:customStyle="1" w:styleId="112">
    <w:name w:val="正文（修改）"/>
    <w:basedOn w:val="1"/>
    <w:qFormat/>
    <w:uiPriority w:val="0"/>
    <w:pPr>
      <w:snapToGrid w:val="0"/>
      <w:spacing w:line="360" w:lineRule="auto"/>
      <w:ind w:firstLine="200" w:firstLineChars="200"/>
    </w:pPr>
    <w:rPr>
      <w:rFonts w:cs="宋体"/>
      <w:kern w:val="0"/>
      <w:sz w:val="24"/>
      <w:szCs w:val="28"/>
    </w:rPr>
  </w:style>
  <w:style w:type="paragraph" w:customStyle="1" w:styleId="113">
    <w:name w:val="标题4"/>
    <w:basedOn w:val="1"/>
    <w:next w:val="1"/>
    <w:qFormat/>
    <w:uiPriority w:val="0"/>
    <w:pPr>
      <w:tabs>
        <w:tab w:val="left" w:pos="360"/>
        <w:tab w:val="left" w:pos="840"/>
      </w:tabs>
      <w:snapToGrid w:val="0"/>
      <w:spacing w:line="360" w:lineRule="auto"/>
    </w:pPr>
    <w:rPr>
      <w:sz w:val="28"/>
      <w:szCs w:val="20"/>
    </w:rPr>
  </w:style>
  <w:style w:type="paragraph" w:customStyle="1" w:styleId="114">
    <w:name w:val="Char Char Char Char Char Char Char Char Char Char Char1"/>
    <w:basedOn w:val="1"/>
    <w:semiHidden/>
    <w:qFormat/>
    <w:uiPriority w:val="0"/>
  </w:style>
  <w:style w:type="paragraph" w:customStyle="1" w:styleId="115">
    <w:name w:val="表内容中"/>
    <w:basedOn w:val="29"/>
    <w:qFormat/>
    <w:uiPriority w:val="0"/>
    <w:pPr>
      <w:widowControl w:val="0"/>
      <w:adjustRightInd w:val="0"/>
      <w:snapToGrid w:val="0"/>
      <w:spacing w:line="360" w:lineRule="exact"/>
      <w:ind w:left="0" w:leftChars="0"/>
      <w:jc w:val="center"/>
    </w:pPr>
    <w:rPr>
      <w:rFonts w:ascii="Arial" w:hAnsi="Arial"/>
      <w:color w:val="000000"/>
      <w:kern w:val="16"/>
      <w:szCs w:val="20"/>
    </w:rPr>
  </w:style>
  <w:style w:type="paragraph" w:customStyle="1" w:styleId="116">
    <w:name w:val="安评小4表格正文居中"/>
    <w:qFormat/>
    <w:uiPriority w:val="0"/>
    <w:pPr>
      <w:widowControl w:val="0"/>
      <w:adjustRightInd w:val="0"/>
      <w:snapToGrid w:val="0"/>
      <w:spacing w:line="440" w:lineRule="exact"/>
      <w:jc w:val="center"/>
    </w:pPr>
    <w:rPr>
      <w:rFonts w:ascii="宋体" w:hAnsi="Calibri" w:eastAsia="宋体" w:cs="Times New Roman"/>
      <w:bCs/>
      <w:snapToGrid w:val="0"/>
      <w:sz w:val="24"/>
      <w:szCs w:val="21"/>
      <w:lang w:val="en-US" w:eastAsia="zh-CN" w:bidi="ar-SA"/>
    </w:rPr>
  </w:style>
  <w:style w:type="paragraph" w:customStyle="1" w:styleId="117">
    <w:name w:val="default paragraph font Char"/>
    <w:basedOn w:val="1"/>
    <w:semiHidden/>
    <w:qFormat/>
    <w:uiPriority w:val="0"/>
    <w:pPr>
      <w:spacing w:line="240" w:lineRule="atLeast"/>
      <w:ind w:left="420" w:firstLine="420"/>
    </w:pPr>
    <w:rPr>
      <w:kern w:val="0"/>
      <w:szCs w:val="21"/>
    </w:rPr>
  </w:style>
  <w:style w:type="paragraph" w:customStyle="1" w:styleId="118">
    <w:name w:val="Char Char Char Char Char1"/>
    <w:basedOn w:val="1"/>
    <w:semiHidden/>
    <w:qFormat/>
    <w:uiPriority w:val="0"/>
    <w:rPr>
      <w:szCs w:val="21"/>
    </w:rPr>
  </w:style>
  <w:style w:type="paragraph" w:styleId="119">
    <w:name w:val="No Spacing"/>
    <w:basedOn w:val="1"/>
    <w:qFormat/>
    <w:uiPriority w:val="0"/>
    <w:pPr>
      <w:widowControl/>
      <w:jc w:val="left"/>
    </w:pPr>
    <w:rPr>
      <w:rFonts w:cs="宋体"/>
      <w:kern w:val="0"/>
      <w:sz w:val="24"/>
      <w:szCs w:val="32"/>
      <w:lang w:eastAsia="en-US" w:bidi="en-US"/>
    </w:rPr>
  </w:style>
  <w:style w:type="paragraph" w:styleId="120">
    <w:name w:val="Quote"/>
    <w:basedOn w:val="1"/>
    <w:next w:val="1"/>
    <w:link w:val="149"/>
    <w:qFormat/>
    <w:uiPriority w:val="0"/>
    <w:pPr>
      <w:widowControl/>
      <w:jc w:val="left"/>
    </w:pPr>
    <w:rPr>
      <w:rFonts w:cs="宋体"/>
      <w:i/>
      <w:kern w:val="0"/>
      <w:sz w:val="24"/>
    </w:rPr>
  </w:style>
  <w:style w:type="character" w:customStyle="1" w:styleId="121">
    <w:name w:val="标题 5 Char"/>
    <w:link w:val="8"/>
    <w:qFormat/>
    <w:uiPriority w:val="0"/>
    <w:rPr>
      <w:rFonts w:eastAsia="宋体"/>
      <w:b/>
      <w:bCs/>
      <w:kern w:val="2"/>
      <w:sz w:val="28"/>
      <w:szCs w:val="28"/>
      <w:lang w:val="en-US" w:eastAsia="zh-CN" w:bidi="ar-SA"/>
    </w:rPr>
  </w:style>
  <w:style w:type="character" w:customStyle="1" w:styleId="122">
    <w:name w:val="正文文本 3 Char"/>
    <w:link w:val="20"/>
    <w:qFormat/>
    <w:uiPriority w:val="0"/>
    <w:rPr>
      <w:kern w:val="2"/>
      <w:sz w:val="16"/>
      <w:szCs w:val="16"/>
    </w:rPr>
  </w:style>
  <w:style w:type="character" w:customStyle="1" w:styleId="123">
    <w:name w:val="正文首行缩进 Char"/>
    <w:link w:val="48"/>
    <w:qFormat/>
    <w:uiPriority w:val="0"/>
    <w:rPr>
      <w:rFonts w:ascii="仿宋_GB2312" w:eastAsia="仿宋_GB2312"/>
      <w:kern w:val="2"/>
      <w:sz w:val="21"/>
      <w:szCs w:val="24"/>
    </w:rPr>
  </w:style>
  <w:style w:type="character" w:customStyle="1" w:styleId="124">
    <w:name w:val="fontstyle51"/>
    <w:semiHidden/>
    <w:qFormat/>
    <w:uiPriority w:val="0"/>
    <w:rPr>
      <w:rFonts w:hint="default" w:ascii="楷体" w:hAnsi="楷体"/>
      <w:color w:val="000000"/>
      <w:sz w:val="32"/>
      <w:szCs w:val="32"/>
    </w:rPr>
  </w:style>
  <w:style w:type="character" w:customStyle="1" w:styleId="125">
    <w:name w:val="样式 标题 2 Char Char"/>
    <w:link w:val="104"/>
    <w:qFormat/>
    <w:uiPriority w:val="0"/>
    <w:rPr>
      <w:rFonts w:ascii="Arial" w:hAnsi="Arial" w:eastAsia="楷体_GB2312" w:cs="宋体"/>
      <w:b/>
      <w:bCs/>
      <w:kern w:val="32"/>
      <w:sz w:val="32"/>
    </w:rPr>
  </w:style>
  <w:style w:type="character" w:customStyle="1" w:styleId="126">
    <w:name w:val="_Style 124"/>
    <w:qFormat/>
    <w:uiPriority w:val="0"/>
    <w:rPr>
      <w:i/>
      <w:color w:val="5A5A5A"/>
    </w:rPr>
  </w:style>
  <w:style w:type="character" w:customStyle="1" w:styleId="127">
    <w:name w:val="cur4"/>
    <w:basedOn w:val="52"/>
    <w:qFormat/>
    <w:uiPriority w:val="0"/>
    <w:rPr>
      <w:color w:val="146EAA"/>
    </w:rPr>
  </w:style>
  <w:style w:type="character" w:customStyle="1" w:styleId="128">
    <w:name w:val="fontstyle41"/>
    <w:semiHidden/>
    <w:qFormat/>
    <w:uiPriority w:val="0"/>
    <w:rPr>
      <w:rFonts w:hint="eastAsia" w:ascii="宋体" w:hAnsi="宋体" w:eastAsia="宋体"/>
      <w:color w:val="000000"/>
      <w:sz w:val="28"/>
      <w:szCs w:val="28"/>
    </w:rPr>
  </w:style>
  <w:style w:type="character" w:customStyle="1" w:styleId="129">
    <w:name w:val="cur1"/>
    <w:basedOn w:val="52"/>
    <w:qFormat/>
    <w:uiPriority w:val="0"/>
    <w:rPr>
      <w:color w:val="06355B"/>
    </w:rPr>
  </w:style>
  <w:style w:type="character" w:customStyle="1" w:styleId="130">
    <w:name w:val="页脚 Char"/>
    <w:link w:val="32"/>
    <w:qFormat/>
    <w:uiPriority w:val="0"/>
    <w:rPr>
      <w:rFonts w:eastAsia="宋体"/>
      <w:kern w:val="2"/>
      <w:sz w:val="18"/>
      <w:szCs w:val="18"/>
      <w:lang w:val="en-US" w:eastAsia="zh-CN" w:bidi="ar-SA"/>
    </w:rPr>
  </w:style>
  <w:style w:type="character" w:customStyle="1" w:styleId="131">
    <w:name w:val="_Style 129"/>
    <w:qFormat/>
    <w:uiPriority w:val="0"/>
    <w:rPr>
      <w:b/>
      <w:sz w:val="24"/>
      <w:u w:val="single"/>
    </w:rPr>
  </w:style>
  <w:style w:type="character" w:customStyle="1" w:styleId="132">
    <w:name w:val="title"/>
    <w:basedOn w:val="52"/>
    <w:semiHidden/>
    <w:qFormat/>
    <w:uiPriority w:val="0"/>
  </w:style>
  <w:style w:type="character" w:customStyle="1" w:styleId="133">
    <w:name w:val="郭表格 Char Char"/>
    <w:link w:val="100"/>
    <w:qFormat/>
    <w:uiPriority w:val="0"/>
    <w:rPr>
      <w:sz w:val="21"/>
      <w:szCs w:val="21"/>
    </w:rPr>
  </w:style>
  <w:style w:type="character" w:customStyle="1" w:styleId="134">
    <w:name w:val="headline-content2"/>
    <w:basedOn w:val="52"/>
    <w:semiHidden/>
    <w:qFormat/>
    <w:uiPriority w:val="0"/>
  </w:style>
  <w:style w:type="character" w:customStyle="1" w:styleId="135">
    <w:name w:val="郭表格标题 Char Char"/>
    <w:link w:val="66"/>
    <w:qFormat/>
    <w:uiPriority w:val="0"/>
    <w:rPr>
      <w:b/>
      <w:kern w:val="2"/>
      <w:sz w:val="21"/>
      <w:szCs w:val="21"/>
    </w:rPr>
  </w:style>
  <w:style w:type="character" w:customStyle="1" w:styleId="136">
    <w:name w:val="Char Char Char"/>
    <w:semiHidden/>
    <w:qFormat/>
    <w:uiPriority w:val="0"/>
    <w:rPr>
      <w:rFonts w:ascii="Tahoma" w:hAnsi="Tahoma" w:eastAsia="宋体"/>
      <w:kern w:val="2"/>
      <w:sz w:val="24"/>
      <w:szCs w:val="24"/>
      <w:lang w:val="en-US" w:eastAsia="zh-CN" w:bidi="ar-SA"/>
    </w:rPr>
  </w:style>
  <w:style w:type="character" w:customStyle="1" w:styleId="137">
    <w:name w:val="样式2 Char"/>
    <w:link w:val="83"/>
    <w:qFormat/>
    <w:uiPriority w:val="0"/>
    <w:rPr>
      <w:rFonts w:ascii="方正书宋简体" w:eastAsia="方正书宋简体"/>
      <w:kern w:val="2"/>
      <w:sz w:val="21"/>
      <w:szCs w:val="21"/>
      <w:lang w:val="zh-CN" w:eastAsia="zh-CN" w:bidi="ar-SA"/>
    </w:rPr>
  </w:style>
  <w:style w:type="character" w:customStyle="1" w:styleId="138">
    <w:name w:val="副标题 Char"/>
    <w:link w:val="36"/>
    <w:qFormat/>
    <w:uiPriority w:val="0"/>
    <w:rPr>
      <w:rFonts w:ascii="宋体" w:hAnsi="宋体" w:eastAsia="宋体"/>
      <w:b/>
      <w:sz w:val="24"/>
      <w:szCs w:val="24"/>
      <w:lang w:val="en-US" w:eastAsia="zh-CN" w:bidi="ar-SA"/>
    </w:rPr>
  </w:style>
  <w:style w:type="character" w:customStyle="1" w:styleId="139">
    <w:name w:val="tpc_content1"/>
    <w:semiHidden/>
    <w:qFormat/>
    <w:uiPriority w:val="0"/>
    <w:rPr>
      <w:rFonts w:ascii="Tahoma" w:hAnsi="Tahoma" w:cs="Tahoma"/>
      <w:sz w:val="20"/>
      <w:szCs w:val="20"/>
    </w:rPr>
  </w:style>
  <w:style w:type="character" w:customStyle="1" w:styleId="140">
    <w:name w:val="font51"/>
    <w:semiHidden/>
    <w:qFormat/>
    <w:uiPriority w:val="0"/>
    <w:rPr>
      <w:rFonts w:hint="eastAsia" w:ascii="宋体" w:hAnsi="宋体" w:eastAsia="宋体" w:cs="宋体"/>
      <w:color w:val="000000"/>
      <w:sz w:val="20"/>
      <w:szCs w:val="20"/>
      <w:u w:val="none"/>
    </w:rPr>
  </w:style>
  <w:style w:type="character" w:customStyle="1" w:styleId="141">
    <w:name w:val="标题 1 Char1"/>
    <w:link w:val="4"/>
    <w:qFormat/>
    <w:uiPriority w:val="0"/>
    <w:rPr>
      <w:rFonts w:ascii="黑体" w:eastAsia="宋体"/>
      <w:b/>
      <w:sz w:val="30"/>
      <w:szCs w:val="28"/>
    </w:rPr>
  </w:style>
  <w:style w:type="character" w:customStyle="1" w:styleId="142">
    <w:name w:val="批注框文本 Char"/>
    <w:link w:val="31"/>
    <w:qFormat/>
    <w:uiPriority w:val="99"/>
    <w:rPr>
      <w:rFonts w:eastAsia="宋体"/>
      <w:kern w:val="2"/>
      <w:sz w:val="18"/>
      <w:szCs w:val="18"/>
      <w:lang w:val="en-US" w:eastAsia="zh-CN" w:bidi="ar-SA"/>
    </w:rPr>
  </w:style>
  <w:style w:type="character" w:customStyle="1" w:styleId="143">
    <w:name w:val="fontstyle31"/>
    <w:semiHidden/>
    <w:qFormat/>
    <w:uiPriority w:val="0"/>
    <w:rPr>
      <w:rFonts w:hint="eastAsia" w:ascii="黑体" w:hAnsi="黑体" w:eastAsia="黑体"/>
      <w:color w:val="000000"/>
      <w:sz w:val="28"/>
      <w:szCs w:val="28"/>
    </w:rPr>
  </w:style>
  <w:style w:type="character" w:customStyle="1" w:styleId="144">
    <w:name w:val="正文文本 Char"/>
    <w:link w:val="2"/>
    <w:qFormat/>
    <w:uiPriority w:val="0"/>
    <w:rPr>
      <w:rFonts w:ascii="仿宋_GB2312" w:eastAsia="仿宋_GB2312"/>
      <w:kern w:val="2"/>
      <w:sz w:val="30"/>
      <w:szCs w:val="24"/>
    </w:rPr>
  </w:style>
  <w:style w:type="character" w:customStyle="1" w:styleId="145">
    <w:name w:val="正文文本缩进 2 Char"/>
    <w:link w:val="30"/>
    <w:qFormat/>
    <w:uiPriority w:val="0"/>
    <w:rPr>
      <w:rFonts w:eastAsia="宋体"/>
      <w:kern w:val="2"/>
      <w:sz w:val="21"/>
      <w:szCs w:val="24"/>
      <w:lang w:val="en-US" w:eastAsia="zh-CN" w:bidi="ar-SA"/>
    </w:rPr>
  </w:style>
  <w:style w:type="character" w:customStyle="1" w:styleId="146">
    <w:name w:val="标题 1 Char"/>
    <w:semiHidden/>
    <w:qFormat/>
    <w:uiPriority w:val="0"/>
    <w:rPr>
      <w:b/>
      <w:bCs/>
      <w:kern w:val="44"/>
      <w:sz w:val="44"/>
      <w:szCs w:val="44"/>
    </w:rPr>
  </w:style>
  <w:style w:type="character" w:customStyle="1" w:styleId="147">
    <w:name w:val="标题 8 Char"/>
    <w:link w:val="11"/>
    <w:qFormat/>
    <w:uiPriority w:val="0"/>
    <w:rPr>
      <w:rFonts w:ascii="Calibri" w:hAnsi="Calibri" w:eastAsia="宋体" w:cs="宋体"/>
      <w:i/>
      <w:iCs/>
      <w:sz w:val="24"/>
      <w:szCs w:val="24"/>
      <w:lang w:bidi="ar-SA"/>
    </w:rPr>
  </w:style>
  <w:style w:type="character" w:customStyle="1" w:styleId="148">
    <w:name w:val="标题 3 Char2"/>
    <w:qFormat/>
    <w:uiPriority w:val="0"/>
    <w:rPr>
      <w:rFonts w:eastAsia="宋体"/>
      <w:b/>
      <w:bCs/>
      <w:kern w:val="2"/>
      <w:sz w:val="32"/>
      <w:szCs w:val="32"/>
      <w:lang w:val="en-US" w:eastAsia="zh-CN" w:bidi="ar-SA"/>
    </w:rPr>
  </w:style>
  <w:style w:type="character" w:customStyle="1" w:styleId="149">
    <w:name w:val="引用 Char"/>
    <w:link w:val="120"/>
    <w:qFormat/>
    <w:uiPriority w:val="0"/>
    <w:rPr>
      <w:rFonts w:ascii="Calibri" w:hAnsi="Calibri" w:eastAsia="宋体" w:cs="宋体"/>
      <w:i/>
      <w:sz w:val="24"/>
      <w:szCs w:val="24"/>
      <w:lang w:bidi="ar-SA"/>
    </w:rPr>
  </w:style>
  <w:style w:type="character" w:customStyle="1" w:styleId="150">
    <w:name w:val="Char Char5"/>
    <w:semiHidden/>
    <w:qFormat/>
    <w:uiPriority w:val="0"/>
    <w:rPr>
      <w:kern w:val="2"/>
      <w:sz w:val="18"/>
      <w:szCs w:val="18"/>
    </w:rPr>
  </w:style>
  <w:style w:type="character" w:customStyle="1" w:styleId="151">
    <w:name w:val="hover25"/>
    <w:basedOn w:val="52"/>
    <w:qFormat/>
    <w:uiPriority w:val="0"/>
    <w:rPr>
      <w:color w:val="FFFFFF"/>
      <w:shd w:val="clear" w:color="auto" w:fill="4B97D0"/>
    </w:rPr>
  </w:style>
  <w:style w:type="character" w:customStyle="1" w:styleId="152">
    <w:name w:val="Part Char"/>
    <w:semiHidden/>
    <w:qFormat/>
    <w:uiPriority w:val="0"/>
    <w:rPr>
      <w:rFonts w:ascii="Cambria" w:hAnsi="Cambria"/>
      <w:b/>
      <w:bCs/>
      <w:kern w:val="32"/>
      <w:sz w:val="32"/>
      <w:szCs w:val="32"/>
    </w:rPr>
  </w:style>
  <w:style w:type="character" w:customStyle="1" w:styleId="153">
    <w:name w:val="标题 9 Char"/>
    <w:link w:val="12"/>
    <w:qFormat/>
    <w:uiPriority w:val="0"/>
    <w:rPr>
      <w:rFonts w:ascii="Cambria" w:hAnsi="Cambria" w:eastAsia="宋体" w:cs="宋体"/>
      <w:lang w:bidi="ar-SA"/>
    </w:rPr>
  </w:style>
  <w:style w:type="character" w:customStyle="1" w:styleId="154">
    <w:name w:val="标题 4 Char"/>
    <w:link w:val="7"/>
    <w:qFormat/>
    <w:uiPriority w:val="0"/>
    <w:rPr>
      <w:rFonts w:ascii="Arial" w:hAnsi="Arial" w:eastAsia="黑体"/>
      <w:b/>
      <w:bCs/>
      <w:kern w:val="2"/>
      <w:sz w:val="28"/>
      <w:szCs w:val="28"/>
      <w:lang w:val="en-US" w:eastAsia="zh-CN" w:bidi="ar-SA"/>
    </w:rPr>
  </w:style>
  <w:style w:type="character" w:customStyle="1" w:styleId="155">
    <w:name w:val="标题 2 Char1"/>
    <w:semiHidden/>
    <w:qFormat/>
    <w:uiPriority w:val="0"/>
    <w:rPr>
      <w:rFonts w:ascii="Arial" w:hAnsi="Arial" w:eastAsia="黑体" w:cs="Tahoma"/>
      <w:b/>
      <w:bCs/>
      <w:kern w:val="2"/>
      <w:sz w:val="32"/>
      <w:szCs w:val="32"/>
      <w:lang w:val="en-US" w:eastAsia="zh-CN" w:bidi="ar-SA"/>
    </w:rPr>
  </w:style>
  <w:style w:type="character" w:customStyle="1" w:styleId="156">
    <w:name w:val="标题 7 Char"/>
    <w:link w:val="10"/>
    <w:qFormat/>
    <w:uiPriority w:val="0"/>
    <w:rPr>
      <w:rFonts w:ascii="Calibri" w:hAnsi="Calibri" w:eastAsia="宋体" w:cs="宋体"/>
      <w:sz w:val="24"/>
      <w:szCs w:val="24"/>
      <w:lang w:bidi="ar-SA"/>
    </w:rPr>
  </w:style>
  <w:style w:type="character" w:customStyle="1" w:styleId="157">
    <w:name w:val="标题 3 Char1"/>
    <w:qFormat/>
    <w:uiPriority w:val="0"/>
    <w:rPr>
      <w:rFonts w:ascii="Tahoma" w:hAnsi="Tahoma" w:eastAsia="宋体" w:cs="Tahoma"/>
      <w:b/>
      <w:bCs/>
      <w:kern w:val="2"/>
      <w:sz w:val="32"/>
      <w:szCs w:val="32"/>
      <w:lang w:val="en-US" w:eastAsia="zh-CN" w:bidi="ar-SA"/>
    </w:rPr>
  </w:style>
  <w:style w:type="character" w:customStyle="1" w:styleId="158">
    <w:name w:val="fontstyle11"/>
    <w:semiHidden/>
    <w:qFormat/>
    <w:uiPriority w:val="0"/>
    <w:rPr>
      <w:rFonts w:hint="eastAsia" w:ascii="黑体" w:hAnsi="黑体" w:eastAsia="黑体"/>
      <w:color w:val="000000"/>
      <w:sz w:val="28"/>
      <w:szCs w:val="28"/>
    </w:rPr>
  </w:style>
  <w:style w:type="character" w:customStyle="1" w:styleId="159">
    <w:name w:val="标题 Char"/>
    <w:link w:val="46"/>
    <w:qFormat/>
    <w:uiPriority w:val="0"/>
    <w:rPr>
      <w:rFonts w:ascii="Cambria" w:hAnsi="Cambria" w:eastAsia="宋体"/>
      <w:b/>
      <w:bCs/>
      <w:kern w:val="2"/>
      <w:sz w:val="32"/>
      <w:szCs w:val="32"/>
      <w:lang w:val="en-US" w:eastAsia="zh-CN" w:bidi="ar-SA"/>
    </w:rPr>
  </w:style>
  <w:style w:type="character" w:customStyle="1" w:styleId="160">
    <w:name w:val="apple-converted-space"/>
    <w:basedOn w:val="52"/>
    <w:semiHidden/>
    <w:qFormat/>
    <w:uiPriority w:val="0"/>
  </w:style>
  <w:style w:type="character" w:customStyle="1" w:styleId="161">
    <w:name w:val="正文缩进 Char"/>
    <w:link w:val="14"/>
    <w:qFormat/>
    <w:uiPriority w:val="0"/>
    <w:rPr>
      <w:rFonts w:ascii="宋体" w:eastAsia="宋体"/>
      <w:kern w:val="28"/>
      <w:sz w:val="28"/>
      <w:szCs w:val="24"/>
      <w:lang w:val="en-US" w:eastAsia="zh-CN" w:bidi="ar-SA"/>
    </w:rPr>
  </w:style>
  <w:style w:type="character" w:customStyle="1" w:styleId="162">
    <w:name w:val="正文文本缩进 Char"/>
    <w:link w:val="21"/>
    <w:qFormat/>
    <w:uiPriority w:val="0"/>
    <w:rPr>
      <w:rFonts w:ascii="宋体" w:hAnsi="宋体" w:eastAsia="宋体"/>
      <w:kern w:val="2"/>
      <w:sz w:val="28"/>
      <w:szCs w:val="28"/>
      <w:lang w:val="en-US" w:eastAsia="zh-CN" w:bidi="ar-SA"/>
    </w:rPr>
  </w:style>
  <w:style w:type="character" w:customStyle="1" w:styleId="163">
    <w:name w:val="标题 2 Char"/>
    <w:link w:val="5"/>
    <w:qFormat/>
    <w:uiPriority w:val="0"/>
    <w:rPr>
      <w:rFonts w:ascii="Arial" w:hAnsi="Arial" w:eastAsia="宋体"/>
      <w:b/>
      <w:bCs/>
      <w:kern w:val="2"/>
      <w:sz w:val="28"/>
      <w:szCs w:val="32"/>
    </w:rPr>
  </w:style>
  <w:style w:type="character" w:customStyle="1" w:styleId="164">
    <w:name w:val="wsxf"/>
    <w:basedOn w:val="52"/>
    <w:qFormat/>
    <w:uiPriority w:val="0"/>
  </w:style>
  <w:style w:type="character" w:customStyle="1" w:styleId="165">
    <w:name w:val="普通(网站) Char"/>
    <w:link w:val="45"/>
    <w:qFormat/>
    <w:uiPriority w:val="0"/>
    <w:rPr>
      <w:rFonts w:ascii="Arial Unicode MS" w:hAnsi="Arial Unicode MS" w:eastAsia="Arial Unicode MS" w:cs="Arial Unicode MS"/>
      <w:sz w:val="24"/>
      <w:szCs w:val="24"/>
      <w:lang w:val="en-US" w:eastAsia="zh-CN" w:bidi="ar-SA"/>
    </w:rPr>
  </w:style>
  <w:style w:type="character" w:customStyle="1" w:styleId="166">
    <w:name w:val="xmt"/>
    <w:basedOn w:val="52"/>
    <w:qFormat/>
    <w:uiPriority w:val="0"/>
  </w:style>
  <w:style w:type="character" w:customStyle="1" w:styleId="167">
    <w:name w:val="批注文字 Char"/>
    <w:link w:val="18"/>
    <w:qFormat/>
    <w:uiPriority w:val="0"/>
    <w:rPr>
      <w:rFonts w:eastAsia="宋体"/>
      <w:kern w:val="2"/>
      <w:sz w:val="21"/>
      <w:szCs w:val="24"/>
      <w:lang w:val="en-US" w:eastAsia="zh-CN" w:bidi="ar-SA"/>
    </w:rPr>
  </w:style>
  <w:style w:type="character" w:customStyle="1" w:styleId="168">
    <w:name w:val="bt21"/>
    <w:semiHidden/>
    <w:qFormat/>
    <w:uiPriority w:val="0"/>
    <w:rPr>
      <w:rFonts w:hint="eastAsia" w:ascii="黑体" w:eastAsia="黑体"/>
      <w:sz w:val="22"/>
      <w:szCs w:val="22"/>
    </w:rPr>
  </w:style>
  <w:style w:type="character" w:customStyle="1" w:styleId="169">
    <w:name w:val="标题 2 Char Char"/>
    <w:semiHidden/>
    <w:qFormat/>
    <w:uiPriority w:val="0"/>
    <w:rPr>
      <w:rFonts w:ascii="Arial" w:hAnsi="Arial" w:eastAsia="黑体"/>
      <w:b/>
      <w:bCs/>
      <w:kern w:val="2"/>
      <w:sz w:val="32"/>
      <w:szCs w:val="32"/>
      <w:lang w:val="en-US" w:eastAsia="zh-CN" w:bidi="ar-SA"/>
    </w:rPr>
  </w:style>
  <w:style w:type="character" w:customStyle="1" w:styleId="170">
    <w:name w:val="表格 Char"/>
    <w:link w:val="102"/>
    <w:qFormat/>
    <w:uiPriority w:val="0"/>
    <w:rPr>
      <w:rFonts w:ascii="宋体" w:eastAsia="宋体"/>
      <w:kern w:val="2"/>
      <w:sz w:val="21"/>
      <w:lang w:val="en-US" w:eastAsia="zh-CN" w:bidi="ar-SA"/>
    </w:rPr>
  </w:style>
  <w:style w:type="character" w:customStyle="1" w:styleId="171">
    <w:name w:val="_Style 169"/>
    <w:qFormat/>
    <w:uiPriority w:val="0"/>
    <w:rPr>
      <w:b/>
      <w:i/>
      <w:sz w:val="24"/>
      <w:szCs w:val="24"/>
      <w:u w:val="single"/>
    </w:rPr>
  </w:style>
  <w:style w:type="character" w:customStyle="1" w:styleId="172">
    <w:name w:val="search_content1"/>
    <w:semiHidden/>
    <w:qFormat/>
    <w:uiPriority w:val="0"/>
    <w:rPr>
      <w:sz w:val="16"/>
      <w:szCs w:val="16"/>
    </w:rPr>
  </w:style>
  <w:style w:type="character" w:customStyle="1" w:styleId="173">
    <w:name w:val="正文1"/>
    <w:qFormat/>
    <w:uiPriority w:val="0"/>
    <w:rPr>
      <w:rFonts w:hint="eastAsia" w:ascii="宋体" w:hAnsi="宋体" w:eastAsia="宋体"/>
      <w:sz w:val="22"/>
      <w:szCs w:val="22"/>
    </w:rPr>
  </w:style>
  <w:style w:type="character" w:customStyle="1" w:styleId="174">
    <w:name w:val="bt11"/>
    <w:semiHidden/>
    <w:qFormat/>
    <w:uiPriority w:val="0"/>
    <w:rPr>
      <w:rFonts w:hint="eastAsia" w:ascii="黑体" w:eastAsia="黑体"/>
      <w:color w:val="000000"/>
      <w:sz w:val="28"/>
      <w:szCs w:val="28"/>
    </w:rPr>
  </w:style>
  <w:style w:type="character" w:customStyle="1" w:styleId="175">
    <w:name w:val="fontstyle21"/>
    <w:semiHidden/>
    <w:qFormat/>
    <w:uiPriority w:val="0"/>
    <w:rPr>
      <w:rFonts w:hint="default" w:ascii="楷体" w:hAnsi="楷体"/>
      <w:color w:val="000000"/>
      <w:sz w:val="32"/>
      <w:szCs w:val="32"/>
    </w:rPr>
  </w:style>
  <w:style w:type="character" w:customStyle="1" w:styleId="176">
    <w:name w:val="font21"/>
    <w:semiHidden/>
    <w:qFormat/>
    <w:uiPriority w:val="0"/>
    <w:rPr>
      <w:rFonts w:hint="default" w:ascii="Dialog" w:hAnsi="Dialog" w:eastAsia="Dialog" w:cs="Dialog"/>
      <w:color w:val="000000"/>
      <w:sz w:val="20"/>
      <w:szCs w:val="20"/>
      <w:u w:val="none"/>
    </w:rPr>
  </w:style>
  <w:style w:type="character" w:customStyle="1" w:styleId="177">
    <w:name w:val="纯文本 Char"/>
    <w:link w:val="27"/>
    <w:qFormat/>
    <w:uiPriority w:val="0"/>
    <w:rPr>
      <w:rFonts w:ascii="宋体" w:hAnsi="Courier New" w:eastAsia="宋体"/>
      <w:kern w:val="2"/>
      <w:sz w:val="28"/>
      <w:lang w:val="en-US" w:eastAsia="zh-CN" w:bidi="ar-SA"/>
    </w:rPr>
  </w:style>
  <w:style w:type="character" w:customStyle="1" w:styleId="178">
    <w:name w:val="last-child"/>
    <w:basedOn w:val="52"/>
    <w:qFormat/>
    <w:uiPriority w:val="0"/>
  </w:style>
  <w:style w:type="character" w:customStyle="1" w:styleId="179">
    <w:name w:val="明显引用 Char"/>
    <w:link w:val="110"/>
    <w:qFormat/>
    <w:uiPriority w:val="0"/>
    <w:rPr>
      <w:rFonts w:ascii="Calibri" w:hAnsi="Calibri" w:eastAsia="宋体" w:cs="宋体"/>
      <w:b/>
      <w:i/>
      <w:sz w:val="24"/>
      <w:lang w:bidi="ar-SA"/>
    </w:rPr>
  </w:style>
  <w:style w:type="character" w:customStyle="1" w:styleId="180">
    <w:name w:val="_Style 178"/>
    <w:qFormat/>
    <w:uiPriority w:val="0"/>
    <w:rPr>
      <w:sz w:val="24"/>
      <w:szCs w:val="24"/>
      <w:u w:val="single"/>
    </w:rPr>
  </w:style>
  <w:style w:type="character" w:customStyle="1" w:styleId="181">
    <w:name w:val="Char Char1"/>
    <w:semiHidden/>
    <w:qFormat/>
    <w:uiPriority w:val="0"/>
    <w:rPr>
      <w:rFonts w:ascii="宋体" w:hAnsi="Courier New" w:eastAsia="宋体"/>
      <w:kern w:val="2"/>
      <w:sz w:val="28"/>
      <w:lang w:val="en-US" w:eastAsia="zh-CN" w:bidi="ar-SA"/>
    </w:rPr>
  </w:style>
  <w:style w:type="character" w:customStyle="1" w:styleId="182">
    <w:name w:val="nava12"/>
    <w:semiHidden/>
    <w:qFormat/>
    <w:uiPriority w:val="0"/>
    <w:rPr>
      <w:color w:val="333333"/>
      <w:sz w:val="24"/>
      <w:szCs w:val="24"/>
      <w:u w:val="none"/>
    </w:rPr>
  </w:style>
  <w:style w:type="character" w:customStyle="1" w:styleId="183">
    <w:name w:val="cur2"/>
    <w:basedOn w:val="52"/>
    <w:qFormat/>
    <w:uiPriority w:val="0"/>
    <w:rPr>
      <w:color w:val="00558E"/>
    </w:rPr>
  </w:style>
  <w:style w:type="character" w:customStyle="1" w:styleId="184">
    <w:name w:val="标题 3 Char"/>
    <w:link w:val="6"/>
    <w:qFormat/>
    <w:uiPriority w:val="0"/>
    <w:rPr>
      <w:b/>
      <w:bCs/>
      <w:kern w:val="2"/>
      <w:sz w:val="24"/>
      <w:szCs w:val="32"/>
    </w:rPr>
  </w:style>
  <w:style w:type="character" w:customStyle="1" w:styleId="185">
    <w:name w:val="style131"/>
    <w:semiHidden/>
    <w:qFormat/>
    <w:uiPriority w:val="0"/>
    <w:rPr>
      <w:color w:val="333333"/>
      <w:sz w:val="21"/>
      <w:szCs w:val="21"/>
    </w:rPr>
  </w:style>
  <w:style w:type="character" w:customStyle="1" w:styleId="186">
    <w:name w:val="正文缩2 Char Char"/>
    <w:link w:val="75"/>
    <w:qFormat/>
    <w:uiPriority w:val="0"/>
    <w:rPr>
      <w:rFonts w:ascii="Calibri" w:hAnsi="Calibri" w:eastAsia="宋体"/>
      <w:kern w:val="2"/>
      <w:sz w:val="28"/>
      <w:lang w:bidi="ar-SA"/>
    </w:rPr>
  </w:style>
  <w:style w:type="character" w:customStyle="1" w:styleId="187">
    <w:name w:val="cur"/>
    <w:basedOn w:val="52"/>
    <w:qFormat/>
    <w:uiPriority w:val="0"/>
    <w:rPr>
      <w:color w:val="06355B"/>
    </w:rPr>
  </w:style>
  <w:style w:type="character" w:customStyle="1" w:styleId="188">
    <w:name w:val="cur3"/>
    <w:basedOn w:val="52"/>
    <w:qFormat/>
    <w:uiPriority w:val="0"/>
    <w:rPr>
      <w:color w:val="FFFFFF"/>
      <w:shd w:val="clear" w:color="auto" w:fill="4B97D0"/>
    </w:rPr>
  </w:style>
  <w:style w:type="character" w:customStyle="1" w:styleId="189">
    <w:name w:val="hover26"/>
    <w:basedOn w:val="52"/>
    <w:qFormat/>
    <w:uiPriority w:val="0"/>
    <w:rPr>
      <w:color w:val="FFFFFF"/>
      <w:shd w:val="clear" w:color="auto" w:fill="4B97D0"/>
    </w:rPr>
  </w:style>
  <w:style w:type="character" w:customStyle="1" w:styleId="190">
    <w:name w:val="_Style 188"/>
    <w:qFormat/>
    <w:uiPriority w:val="0"/>
    <w:rPr>
      <w:rFonts w:ascii="Cambria" w:hAnsi="Cambria" w:eastAsia="宋体"/>
      <w:b/>
      <w:i/>
      <w:sz w:val="24"/>
      <w:szCs w:val="24"/>
    </w:rPr>
  </w:style>
  <w:style w:type="character" w:customStyle="1" w:styleId="191">
    <w:name w:val="time01"/>
    <w:basedOn w:val="52"/>
    <w:qFormat/>
    <w:uiPriority w:val="0"/>
    <w:rPr>
      <w:color w:val="999999"/>
    </w:rPr>
  </w:style>
  <w:style w:type="character" w:customStyle="1" w:styleId="192">
    <w:name w:val="wenzhang1"/>
    <w:semiHidden/>
    <w:qFormat/>
    <w:uiPriority w:val="0"/>
    <w:rPr>
      <w:sz w:val="18"/>
      <w:szCs w:val="18"/>
      <w:u w:val="none"/>
    </w:rPr>
  </w:style>
  <w:style w:type="character" w:customStyle="1" w:styleId="193">
    <w:name w:val="blacka121"/>
    <w:semiHidden/>
    <w:qFormat/>
    <w:uiPriority w:val="0"/>
    <w:rPr>
      <w:color w:val="000000"/>
      <w:sz w:val="18"/>
      <w:szCs w:val="18"/>
      <w:u w:val="none"/>
    </w:rPr>
  </w:style>
  <w:style w:type="character" w:customStyle="1" w:styleId="194">
    <w:name w:val="fontstyle01"/>
    <w:semiHidden/>
    <w:qFormat/>
    <w:uiPriority w:val="0"/>
    <w:rPr>
      <w:rFonts w:hint="default" w:ascii="TimesNewRomanPSMT" w:hAnsi="TimesNewRomanPSMT"/>
      <w:color w:val="000000"/>
      <w:sz w:val="32"/>
      <w:szCs w:val="32"/>
    </w:rPr>
  </w:style>
  <w:style w:type="character" w:customStyle="1" w:styleId="195">
    <w:name w:val="apple-style-span"/>
    <w:basedOn w:val="52"/>
    <w:semiHidden/>
    <w:qFormat/>
    <w:uiPriority w:val="0"/>
  </w:style>
  <w:style w:type="character" w:customStyle="1" w:styleId="196">
    <w:name w:val="zw1"/>
    <w:semiHidden/>
    <w:qFormat/>
    <w:uiPriority w:val="0"/>
    <w:rPr>
      <w:rFonts w:hint="eastAsia" w:ascii="宋体" w:hAnsi="宋体" w:eastAsia="宋体"/>
      <w:sz w:val="22"/>
      <w:szCs w:val="22"/>
    </w:rPr>
  </w:style>
  <w:style w:type="character" w:customStyle="1" w:styleId="197">
    <w:name w:val="tsjb"/>
    <w:basedOn w:val="52"/>
    <w:qFormat/>
    <w:uiPriority w:val="0"/>
  </w:style>
  <w:style w:type="paragraph" w:customStyle="1" w:styleId="198">
    <w:name w:val="填表4小中单倍行距"/>
    <w:basedOn w:val="1"/>
    <w:qFormat/>
    <w:uiPriority w:val="0"/>
    <w:pPr>
      <w:jc w:val="center"/>
    </w:pPr>
    <w:rPr>
      <w:rFonts w:ascii="宋体" w:cs="宋体"/>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34</Pages>
  <Words>15935</Words>
  <Characters>16897</Characters>
  <Lines>65</Lines>
  <Paragraphs>69</Paragraphs>
  <TotalTime>2</TotalTime>
  <ScaleCrop>false</ScaleCrop>
  <LinksUpToDate>false</LinksUpToDate>
  <CharactersWithSpaces>17087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2022-03-14T09:48:00Z</cp:lastPrinted>
  <dcterms:modified xsi:type="dcterms:W3CDTF">2023-07-07T04:07:09Z</dcterms:modified>
  <dc:title>达州市泰恒通新能源有限公司</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652AA12490D14A1B8E45AC94CC2D9354</vt:lpwstr>
  </property>
</Properties>
</file>