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Default Extension="png" ContentType="image/pn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Bdr>
          <w:top w:val="none" w:sz="0" w:space="0" w:color="auto"/>
          <w:left w:val="none" w:sz="0" w:space="0" w:color="auto"/>
          <w:bottom w:val="none" w:sz="0" w:space="0" w:color="auto"/>
          <w:right w:val="none" w:sz="0" w:space="0" w:color="auto"/>
        </w:pBdr>
        <w:jc w:val="center"/>
        <w:rPr>
          <w:rFonts w:ascii="宋体" w:eastAsia="宋体" w:hint="eastAsia"/>
          <w:b/>
          <w:bCs w:val="0"/>
          <w:vanish w:val="0"/>
          <w:kern w:val="2"/>
          <w:sz w:val="52"/>
          <w:szCs w:val="52"/>
        </w:rPr>
      </w:pPr>
      <w:r>
        <w:rPr>
          <w:rFonts w:ascii="宋体" w:eastAsia="宋体" w:hint="eastAsia"/>
          <w:b/>
          <w:bCs w:val="0"/>
          <w:vanish w:val="0"/>
          <w:kern w:val="2"/>
          <w:sz w:val="52"/>
          <w:szCs w:val="52"/>
        </w:rPr>
        <w:t xml:space="preserve">南充市博灵燃气有限公司  </w:t>
      </w:r>
    </w:p>
    <w:p>
      <w:pPr>
        <w:pBdr>
          <w:top w:val="none" w:sz="0" w:space="0" w:color="auto"/>
          <w:left w:val="none" w:sz="0" w:space="0" w:color="auto"/>
          <w:bottom w:val="none" w:sz="0" w:space="0" w:color="auto"/>
          <w:right w:val="none" w:sz="0" w:space="0" w:color="auto"/>
        </w:pBdr>
        <w:spacing w:line="360" w:lineRule="auto"/>
        <w:jc w:val="center"/>
        <w:rPr>
          <w:rFonts w:ascii="宋体" w:eastAsia="宋体" w:hint="eastAsia"/>
          <w:b/>
          <w:bCs/>
          <w:caps/>
          <w:smallCaps w:val="0"/>
          <w:vanish w:val="0"/>
          <w:kern w:val="2"/>
          <w:sz w:val="48"/>
          <w:szCs w:val="48"/>
        </w:rPr>
      </w:pPr>
      <w:r>
        <w:rPr>
          <w:rFonts w:ascii="宋体" w:eastAsia="宋体" w:hint="eastAsia"/>
          <w:b/>
          <w:bCs w:val="0"/>
          <w:vanish w:val="0"/>
          <w:kern w:val="2"/>
          <w:sz w:val="52"/>
          <w:szCs w:val="52"/>
        </w:rPr>
        <w:t>滨江路加油加气站</w:t>
      </w:r>
    </w:p>
    <w:p>
      <w:pPr>
        <w:pStyle w:val="78"/>
        <w:pBdr>
          <w:top w:val="none" w:sz="0" w:space="0" w:color="auto"/>
          <w:left w:val="none" w:sz="0" w:space="0" w:color="auto"/>
          <w:bottom w:val="none" w:sz="0" w:space="0" w:color="auto"/>
          <w:right w:val="none" w:sz="0" w:space="0" w:color="auto"/>
        </w:pBdr>
        <w:spacing w:before="156" w:beforeAutospacing="0"/>
        <w:rPr>
          <w:rFonts w:ascii="宋体" w:eastAsia="宋体" w:hint="eastAsia"/>
          <w:vanish w:val="0"/>
          <w:kern w:val="2"/>
          <w:sz w:val="21"/>
          <w:szCs w:val="21"/>
        </w:rPr>
      </w:pPr>
    </w:p>
    <w:p>
      <w:pPr>
        <w:pBdr>
          <w:top w:val="none" w:sz="0" w:space="0" w:color="auto"/>
          <w:left w:val="none" w:sz="0" w:space="0" w:color="auto"/>
          <w:bottom w:val="none" w:sz="0" w:space="0" w:color="auto"/>
          <w:right w:val="none" w:sz="0" w:space="0" w:color="auto"/>
        </w:pBdr>
        <w:spacing w:line="360" w:lineRule="auto"/>
        <w:jc w:val="center"/>
        <w:rPr>
          <w:rFonts w:ascii="宋体" w:eastAsia="宋体" w:hint="eastAsia"/>
          <w:b/>
          <w:bCs/>
          <w:caps/>
          <w:smallCaps w:val="0"/>
          <w:vanish w:val="0"/>
          <w:kern w:val="2"/>
          <w:sz w:val="48"/>
          <w:szCs w:val="48"/>
        </w:rPr>
      </w:pPr>
      <w:r>
        <w:rPr>
          <w:rFonts w:ascii="宋体" w:eastAsia="宋体" w:hint="eastAsia"/>
          <w:b/>
          <w:bCs/>
          <w:caps/>
          <w:smallCaps w:val="0"/>
          <w:vanish w:val="0"/>
          <w:kern w:val="2"/>
          <w:sz w:val="48"/>
          <w:szCs w:val="48"/>
        </w:rPr>
        <w:t>生产安全事故风险辨识评估报告</w:t>
      </w:r>
    </w:p>
    <w:p>
      <w:pPr>
        <w:pBdr>
          <w:top w:val="none" w:sz="0" w:space="0" w:color="auto"/>
          <w:left w:val="none" w:sz="0" w:space="0" w:color="auto"/>
          <w:bottom w:val="none" w:sz="0" w:space="0" w:color="auto"/>
          <w:right w:val="none" w:sz="0" w:space="0" w:color="auto"/>
        </w:pBdr>
        <w:jc w:val="center"/>
        <w:rPr>
          <w:rFonts w:ascii="宋体" w:eastAsia="宋体" w:hint="eastAsia"/>
          <w:vanish w:val="0"/>
          <w:kern w:val="2"/>
          <w:sz w:val="32"/>
          <w:szCs w:val="32"/>
        </w:rPr>
      </w:pPr>
    </w:p>
    <w:p>
      <w:pPr>
        <w:pBdr>
          <w:top w:val="none" w:sz="0" w:space="0" w:color="auto"/>
          <w:left w:val="none" w:sz="0" w:space="0" w:color="auto"/>
          <w:bottom w:val="none" w:sz="0" w:space="0" w:color="auto"/>
          <w:right w:val="none" w:sz="0" w:space="0" w:color="auto"/>
        </w:pBdr>
        <w:jc w:val="center"/>
        <w:rPr>
          <w:rFonts w:ascii="宋体" w:eastAsia="宋体" w:hint="eastAsia"/>
          <w:vanish w:val="0"/>
          <w:kern w:val="2"/>
          <w:sz w:val="32"/>
          <w:szCs w:val="32"/>
        </w:rPr>
      </w:pPr>
    </w:p>
    <w:p>
      <w:pPr>
        <w:rPr>
          <w:rFonts w:ascii="宋体" w:eastAsia="宋体" w:hint="eastAsia"/>
          <w:kern w:val="2"/>
          <w:sz w:val="32"/>
          <w:szCs w:val="32"/>
        </w:rPr>
      </w:pPr>
    </w:p>
    <w:p>
      <w:pPr>
        <w:pBdr>
          <w:top w:val="none" w:sz="0" w:space="0" w:color="auto"/>
          <w:left w:val="none" w:sz="0" w:space="0" w:color="auto"/>
          <w:bottom w:val="none" w:sz="0" w:space="0" w:color="auto"/>
          <w:right w:val="none" w:sz="0" w:space="0" w:color="auto"/>
        </w:pBdr>
        <w:jc w:val="center"/>
        <w:rPr>
          <w:rFonts w:ascii="宋体" w:eastAsia="宋体" w:hint="eastAsia"/>
          <w:vanish w:val="0"/>
          <w:kern w:val="2"/>
          <w:sz w:val="32"/>
          <w:szCs w:val="32"/>
        </w:rPr>
      </w:pPr>
    </w:p>
    <w:p>
      <w:pPr>
        <w:rPr>
          <w:rFonts w:ascii="宋体" w:eastAsia="宋体" w:hint="eastAsia"/>
          <w:kern w:val="2"/>
          <w:sz w:val="32"/>
          <w:szCs w:val="32"/>
        </w:rPr>
      </w:pPr>
    </w:p>
    <w:p>
      <w:pPr>
        <w:pStyle w:val="133"/>
        <w:rPr>
          <w:rFonts w:ascii="宋体" w:eastAsia="宋体" w:hint="eastAsia"/>
          <w:kern w:val="0"/>
          <w:sz w:val="32"/>
          <w:szCs w:val="32"/>
        </w:rPr>
      </w:pPr>
    </w:p>
    <w:p>
      <w:pPr>
        <w:pStyle w:val="134"/>
        <w:rPr>
          <w:rFonts w:ascii="宋体" w:eastAsia="宋体" w:hint="eastAsia"/>
          <w:kern w:val="0"/>
          <w:sz w:val="32"/>
          <w:szCs w:val="32"/>
        </w:rPr>
      </w:pPr>
    </w:p>
    <w:p>
      <w:pPr>
        <w:rPr>
          <w:rFonts w:ascii="宋体" w:eastAsia="宋体" w:hint="eastAsia"/>
          <w:kern w:val="2"/>
          <w:sz w:val="21"/>
          <w:szCs w:val="21"/>
        </w:rPr>
      </w:pPr>
    </w:p>
    <w:p>
      <w:pPr>
        <w:pStyle w:val="78"/>
        <w:rPr>
          <w:rFonts w:ascii="宋体" w:eastAsia="宋体" w:hint="eastAsia"/>
          <w:kern w:val="2"/>
          <w:sz w:val="21"/>
          <w:szCs w:val="21"/>
        </w:rPr>
      </w:pPr>
    </w:p>
    <w:p>
      <w:pPr>
        <w:rPr>
          <w:rFonts w:ascii="Times New Roman" w:eastAsia="宋体" w:hAnsi="Times New Roman"/>
          <w:kern w:val="2"/>
          <w:sz w:val="21"/>
          <w:szCs w:val="21"/>
        </w:rPr>
      </w:pPr>
    </w:p>
    <w:p>
      <w:pPr>
        <w:pBdr>
          <w:top w:val="none" w:sz="0" w:space="0" w:color="auto"/>
          <w:left w:val="none" w:sz="0" w:space="0" w:color="auto"/>
          <w:bottom w:val="none" w:sz="0" w:space="0" w:color="auto"/>
          <w:right w:val="none" w:sz="0" w:space="0" w:color="auto"/>
        </w:pBdr>
        <w:jc w:val="center"/>
        <w:rPr>
          <w:rFonts w:ascii="宋体" w:eastAsia="宋体" w:hint="eastAsia"/>
          <w:vanish w:val="0"/>
          <w:kern w:val="2"/>
          <w:sz w:val="32"/>
          <w:szCs w:val="32"/>
        </w:rPr>
      </w:pPr>
    </w:p>
    <w:tbl>
      <w:tblPr>
        <w:jc w:val="center"/>
        <w:tblW w:w="844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8448"/>
      </w:tblGrid>
      <w:tr>
        <w:tc>
          <w:tcPr>
            <w:tcW w:w="8448" w:type="dxa"/>
            <w:tcBorders>
              <w:top w:val="nil"/>
              <w:left w:val="nil"/>
              <w:bottom w:val="nil"/>
              <w:right w:val="nil"/>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firstLineChars="100" w:firstLine="280"/>
              <w:jc w:val="center"/>
              <w:rPr>
                <w:rFonts w:ascii="Times New Roman" w:eastAsia="黑体" w:hAnsi="Times New Roman"/>
                <w:bCs/>
                <w:vanish w:val="0"/>
                <w:kern w:val="2"/>
                <w:sz w:val="28"/>
                <w:szCs w:val="28"/>
              </w:rPr>
            </w:pPr>
            <w:r>
              <w:rPr>
                <w:rFonts w:ascii="黑体" w:eastAsia="黑体" w:cs="Times New Roman" w:hint="eastAsia"/>
                <w:bCs/>
                <w:vanish w:val="0"/>
                <w:kern w:val="2"/>
                <w:sz w:val="28"/>
                <w:szCs w:val="28"/>
              </w:rPr>
              <w:t>编制单位：南充市博灵燃气有限公司滨江路加油加气站</w:t>
            </w:r>
          </w:p>
        </w:tc>
      </w:tr>
      <w:tr>
        <w:tc>
          <w:tcPr>
            <w:tcW w:w="8448" w:type="dxa"/>
            <w:tcBorders>
              <w:top w:val="nil"/>
              <w:left w:val="nil"/>
              <w:bottom w:val="nil"/>
              <w:right w:val="nil"/>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firstLineChars="100" w:firstLine="280"/>
              <w:jc w:val="center"/>
              <w:rPr>
                <w:rFonts w:ascii="Times New Roman" w:eastAsia="黑体" w:hAnsi="Times New Roman"/>
                <w:bCs/>
                <w:vanish w:val="0"/>
                <w:kern w:val="2"/>
                <w:sz w:val="28"/>
                <w:szCs w:val="28"/>
              </w:rPr>
            </w:pPr>
            <w:r>
              <w:rPr>
                <w:rFonts w:ascii="黑体" w:eastAsia="黑体" w:cs="Times New Roman" w:hint="eastAsia"/>
                <w:bCs/>
                <w:vanish w:val="0"/>
                <w:kern w:val="2"/>
                <w:sz w:val="28"/>
                <w:szCs w:val="28"/>
              </w:rPr>
              <w:t>编制时间：</w:t>
            </w:r>
            <w:r>
              <w:rPr>
                <w:rFonts w:ascii="Times New Roman" w:eastAsia="黑体" w:cs="Times New Roman" w:hAnsi="Times New Roman"/>
                <w:bCs/>
                <w:vanish w:val="0"/>
                <w:kern w:val="2"/>
                <w:sz w:val="28"/>
                <w:szCs w:val="28"/>
              </w:rPr>
              <w:t>2023</w:t>
            </w:r>
            <w:r>
              <w:rPr>
                <w:rFonts w:ascii="黑体" w:eastAsia="黑体" w:cs="Times New Roman" w:hint="eastAsia"/>
                <w:bCs/>
                <w:vanish w:val="0"/>
                <w:kern w:val="2"/>
                <w:sz w:val="28"/>
                <w:szCs w:val="28"/>
              </w:rPr>
              <w:t>年</w:t>
            </w:r>
            <w:r>
              <w:rPr>
                <w:rFonts w:ascii="Times New Roman" w:eastAsia="黑体" w:cs="Times New Roman" w:hAnsi="Times New Roman"/>
                <w:bCs/>
                <w:vanish w:val="0"/>
                <w:kern w:val="2"/>
                <w:sz w:val="28"/>
                <w:szCs w:val="28"/>
              </w:rPr>
              <w:t>08</w:t>
            </w:r>
            <w:r>
              <w:rPr>
                <w:rFonts w:ascii="黑体" w:eastAsia="黑体" w:cs="Times New Roman" w:hint="eastAsia"/>
                <w:bCs/>
                <w:vanish w:val="0"/>
                <w:kern w:val="2"/>
                <w:sz w:val="28"/>
                <w:szCs w:val="28"/>
              </w:rPr>
              <w:t>月</w:t>
            </w:r>
          </w:p>
        </w:tc>
      </w:tr>
    </w:tbl>
    <w:p>
      <w:pPr>
        <w:sectPr>
          <w:pgSz w:w="11906" w:h="16838"/>
          <w:pgMar w:top="1440" w:right="1800" w:bottom="1440" w:left="1800" w:header="851" w:footer="992" w:gutter="0"/>
          <w:docGrid w:type="lines" w:linePitch="312" w:charSpace="0"/>
        </w:sectPr>
      </w:pPr>
    </w:p>
    <w:p>
      <w:pPr>
        <w:pBdr>
          <w:top w:val="none" w:sz="0" w:space="0" w:color="auto"/>
          <w:left w:val="none" w:sz="0" w:space="0" w:color="auto"/>
          <w:bottom w:val="none" w:sz="0" w:space="0" w:color="auto"/>
          <w:right w:val="none" w:sz="0" w:space="0" w:color="auto"/>
        </w:pBdr>
        <w:jc w:val="center"/>
        <w:rPr>
          <w:rFonts w:ascii="Times New Roman" w:eastAsia="宋体" w:hAnsi="Times New Roman"/>
          <w:b/>
          <w:bCs w:val="0"/>
          <w:vanish w:val="0"/>
          <w:kern w:val="2"/>
          <w:sz w:val="36"/>
          <w:szCs w:val="36"/>
        </w:rPr>
      </w:pPr>
      <w:bookmarkStart w:id="0" w:name="_Toc81"/>
      <w:bookmarkStart w:id="1" w:name="_Toc10102"/>
      <w:bookmarkStart w:id="2" w:name="_Toc29608"/>
      <w:bookmarkStart w:id="3" w:name="_Toc2846926"/>
      <w:bookmarkStart w:id="4" w:name="_Toc497429443"/>
      <w:bookmarkStart w:id="5" w:name="_Toc508113622"/>
      <w:bookmarkStart w:id="6" w:name="_Toc509532245"/>
      <w:bookmarkStart w:id="7" w:name="_Toc518109001"/>
      <w:bookmarkStart w:id="8" w:name="_Toc2847279"/>
      <w:bookmarkStart w:id="9" w:name="_Toc518639222"/>
      <w:bookmarkStart w:id="10" w:name="_Toc504946218"/>
      <w:bookmarkStart w:id="11" w:name="_Toc2847118"/>
      <w:bookmarkStart w:id="12" w:name="_Toc504412374"/>
      <w:bookmarkStart w:id="13" w:name="_Toc14206"/>
      <w:bookmarkStart w:id="14" w:name="_Toc502005957"/>
      <w:bookmarkStart w:id="15" w:name="_Toc488149796"/>
      <w:bookmarkStart w:id="16" w:name="_Toc504407614"/>
      <w:bookmarkStart w:id="17" w:name="_Toc30415"/>
      <w:bookmarkStart w:id="18" w:name="_Toc504674261"/>
      <w:bookmarkStart w:id="19" w:name="_Toc48814985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宋体" w:eastAsia="宋体" w:cs="Times New Roman" w:hint="eastAsia"/>
          <w:b/>
          <w:bCs w:val="0"/>
          <w:vanish w:val="0"/>
          <w:kern w:val="2"/>
          <w:sz w:val="36"/>
          <w:szCs w:val="36"/>
        </w:rPr>
        <w:t>目</w:t>
      </w:r>
      <w:r>
        <w:rPr>
          <w:rFonts w:ascii="Times New Roman" w:eastAsia="宋体" w:cs="Times New Roman" w:hAnsi="Times New Roman" w:hint="eastAsia"/>
          <w:b/>
          <w:bCs w:val="0"/>
          <w:vanish w:val="0"/>
          <w:kern w:val="2"/>
          <w:sz w:val="36"/>
          <w:szCs w:val="36"/>
        </w:rPr>
        <w:t xml:space="preserve">  </w:t>
      </w:r>
      <w:r>
        <w:rPr>
          <w:rFonts w:ascii="宋体" w:eastAsia="宋体" w:cs="Times New Roman" w:hint="eastAsia"/>
          <w:b/>
          <w:bCs w:val="0"/>
          <w:vanish w:val="0"/>
          <w:kern w:val="2"/>
          <w:sz w:val="36"/>
          <w:szCs w:val="36"/>
        </w:rPr>
        <w:t>录</w:t>
      </w:r>
      <w:bookmarkEnd w:id="19"/>
    </w:p>
    <w:p>
      <w:pPr>
        <w:pStyle w:val="20"/>
        <w:rPr>
          <w:rFonts w:ascii="Times New Roman" w:eastAsia="宋体" w:hAnsi="Times New Roman"/>
          <w:kern w:val="2"/>
          <w:sz w:val="21"/>
          <w:szCs w:val="21"/>
        </w:rPr>
      </w:pPr>
    </w:p>
    <w:p>
      <w:pPr>
        <w:pStyle w:val="20"/>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"_Toc23185"</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 主要危险有害因素分析</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_Toc23185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1</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1"/>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"_Toc2580"</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1.1 经营物料危险有害因素分析</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_Toc2580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1</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1"/>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"_Toc9220"</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1.2站址及总平面布置危险有害因素分析</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_Toc9220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14</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1"/>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"_Toc17592"</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1.3 建(构)筑物危险有害因素分析</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_Toc17592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15</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1"/>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"_Toc8001"</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1.4 经营过程危险有害因素分析</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_Toc8001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16</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2"/>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"_Toc299"</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1.4.1 卸油过程</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_Toc299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16</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2"/>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"_Toc20617"</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1.4.2 加油过程</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_Toc20617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17</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2"/>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"_Toc26125"</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1.4.3 储油过程</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_Toc26125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18</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2"/>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"_Toc12764"</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1.4.4天然气卸车过程</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_Toc12764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19</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2"/>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"_Toc9163"</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1.4.5天然气升、卸压过程</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_Toc9163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20</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2"/>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"_Toc7832"</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1.4.6加气过程</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_Toc7832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20</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1"/>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"_Toc2643"</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1.5 设备设施危险有害因素分析</w:t>
      </w:r>
      <w:r>
        <w:rPr>
          <w:rStyle w:val="85"/>
          <w:rFonts w:ascii="Times New Roman" w:eastAsia="宋体" w:hAnsi="Times New Roman"/>
          <w:kern w:val="2"/>
          <w:sz w:val="21"/>
          <w:szCs w:val="21"/>
        </w:rPr>
        <w:tab/>
      </w:r>
      <w:r>
        <w:rPr>
          <w:rStyle w:val="85"/>
          <w:rFonts w:ascii="Times New Roman" w:eastAsia="宋体" w:cs="Times New Roman" w:hAnsi="Times New Roman"/>
          <w:kern w:val="2"/>
          <w:sz w:val="21"/>
          <w:szCs w:val="21"/>
        </w:rPr>
        <w:t>1</w:t>
      </w:r>
      <w:r>
        <w:rPr>
          <w:rStyle w:val="85"/>
          <w:rFonts w:ascii="宋体" w:eastAsia="宋体" w:hint="eastAsia"/>
          <w:kern w:val="2"/>
          <w:sz w:val="21"/>
          <w:szCs w:val="21"/>
        </w:rPr>
        <w:fldChar w:fldCharType="end"/>
      </w:r>
      <w:r>
        <w:rPr>
          <w:rFonts w:ascii="宋体" w:eastAsia="宋体" w:hint="eastAsia"/>
          <w:kern w:val="2"/>
          <w:sz w:val="21"/>
          <w:szCs w:val="21"/>
        </w:rPr>
        <w:t>9</w:t>
      </w:r>
    </w:p>
    <w:p>
      <w:pPr>
        <w:pStyle w:val="22"/>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"_Toc2289"</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1.5.1 油罐</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_Toc2289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21</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2"/>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"_Toc1302"</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1.5.2 加油机</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_Toc1302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22</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2"/>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"_Toc12380"</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1.5.3 输油管道</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_Toc12380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22</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2"/>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"_Toc30809"</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1.5.4 CNG储罐</w:t>
      </w:r>
      <w:r>
        <w:rPr>
          <w:rStyle w:val="85"/>
          <w:rFonts w:ascii="Times New Roman" w:eastAsia="宋体" w:hAnsi="Times New Roman"/>
          <w:kern w:val="2"/>
          <w:sz w:val="21"/>
          <w:szCs w:val="21"/>
        </w:rPr>
        <w:tab/>
      </w:r>
      <w:r>
        <w:rPr>
          <w:rStyle w:val="85"/>
          <w:rFonts w:ascii="Times New Roman" w:eastAsia="宋体" w:cs="Times New Roman" w:hAnsi="Times New Roman"/>
          <w:kern w:val="2"/>
          <w:sz w:val="21"/>
          <w:szCs w:val="21"/>
        </w:rPr>
        <w:t>2</w:t>
      </w:r>
      <w:r>
        <w:rPr>
          <w:rStyle w:val="85"/>
          <w:rFonts w:ascii="宋体" w:eastAsia="宋体" w:hint="eastAsia"/>
          <w:kern w:val="2"/>
          <w:sz w:val="21"/>
          <w:szCs w:val="21"/>
        </w:rPr>
        <w:fldChar w:fldCharType="end"/>
      </w:r>
      <w:r>
        <w:rPr>
          <w:rFonts w:ascii="宋体" w:eastAsia="宋体" w:hint="eastAsia"/>
          <w:kern w:val="2"/>
          <w:sz w:val="21"/>
          <w:szCs w:val="21"/>
        </w:rPr>
        <w:t>2</w:t>
      </w:r>
    </w:p>
    <w:p>
      <w:pPr>
        <w:pStyle w:val="22"/>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"_Toc2084"</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1.5.5 工艺管道</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_Toc2084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24</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2"/>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"_Toc4592"</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1.5.6 调压装置</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_Toc4592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24</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1"/>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"_Toc14264"</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1.6 公用工程危险有害因素分析</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_Toc14264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24</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2"/>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"_Toc28875"</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1.6.1 电气设备</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_Toc28875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24</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2"/>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"_Toc10880"</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1.6.2 消防设施</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_Toc10880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25</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2"/>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"_Toc25093"</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1.6.3 安全辅助设施</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_Toc25093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25</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2"/>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"_Toc4918"</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1.6.4 自控系统及仪表</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_Toc4918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25</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1"/>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"_Toc10069"</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1.7 维护清理、检修过程中的危险有害因素分析</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_Toc10069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26</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2"/>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"_Toc9999"</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1.7.1 设备维护清理作业</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_Toc9999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26</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2"/>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"_Toc6669"</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1.7.2 检修作业</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_Toc6669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27</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1"/>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"_Toc14145"</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1.8 安全管理中存在的危险有害因素分析</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_Toc14145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28</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1"/>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"_Toc22283"</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1.9 其它危险有害因素分析</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_Toc22283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30</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1"/>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"_Toc17320"</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1.10 重大危险源辨识</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_Toc17320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30</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2"/>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"_Toc17231"</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1.10.1危险化学品重大危险源辨识依据</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_Toc17231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30</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2"/>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"_Toc14229"</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1.10.2重大危险源流程</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_Toc14229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30</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2"/>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"_Toc30217"</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1.10.3重大危险源辨识单元划分</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_Toc30217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30</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2"/>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"_Toc18953"</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1.10.4 危险化学品重大危险源的辨识方法</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_Toc18953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31</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2"/>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"_Toc15459"</w:instrText>
      </w:r>
      <w:r>
        <w:rPr>
          <w:rStyle w:val="85"/>
          <w:rFonts w:ascii="宋体" w:eastAsia="宋体" w:hint="eastAsia"/>
          <w:kern w:val="2"/>
          <w:sz w:val="21"/>
          <w:szCs w:val="21"/>
        </w:rPr>
        <w:fldChar w:fldCharType="separate"/>
      </w:r>
      <w:r>
        <w:rPr>
          <w:rStyle w:val="85"/>
          <w:rFonts w:ascii="宋体" w:eastAsia="宋体" w:hint="eastAsia"/>
          <w:kern w:val="2"/>
          <w:sz w:val="21"/>
          <w:szCs w:val="21"/>
        </w:rPr>
        <w:t>1.10.5 危险化学品重大危险源辨识结果</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_Toc15459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32</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0"/>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"_Toc1267"</w:instrText>
      </w:r>
      <w:r>
        <w:rPr>
          <w:rStyle w:val="85"/>
          <w:rFonts w:ascii="宋体" w:eastAsia="宋体" w:hint="eastAsia"/>
          <w:kern w:val="2"/>
          <w:sz w:val="21"/>
          <w:szCs w:val="21"/>
        </w:rPr>
        <w:fldChar w:fldCharType="separate"/>
      </w:r>
      <w:r>
        <w:rPr>
          <w:rStyle w:val="85"/>
          <w:rFonts w:ascii="宋体" w:eastAsia="宋体" w:hint="eastAsia"/>
          <w:kern w:val="2"/>
          <w:sz w:val="21"/>
          <w:szCs w:val="21"/>
        </w:rPr>
        <w:t>2.事故风险分析</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_Toc1267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33</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0"/>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"_Toc19542"</w:instrText>
      </w:r>
      <w:r>
        <w:rPr>
          <w:rStyle w:val="85"/>
          <w:rFonts w:ascii="宋体" w:eastAsia="宋体" w:hint="eastAsia"/>
          <w:kern w:val="2"/>
          <w:sz w:val="21"/>
          <w:szCs w:val="21"/>
        </w:rPr>
        <w:fldChar w:fldCharType="separate"/>
      </w:r>
      <w:r>
        <w:rPr>
          <w:rStyle w:val="85"/>
          <w:rFonts w:ascii="宋体" w:eastAsia="宋体" w:hint="eastAsia"/>
          <w:kern w:val="2"/>
          <w:sz w:val="21"/>
          <w:szCs w:val="21"/>
        </w:rPr>
        <w:t>3 事故风险评价</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_Toc19542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34</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0"/>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"_Toc21286"</w:instrText>
      </w:r>
      <w:r>
        <w:rPr>
          <w:rStyle w:val="85"/>
          <w:rFonts w:ascii="宋体" w:eastAsia="宋体" w:hint="eastAsia"/>
          <w:kern w:val="2"/>
          <w:sz w:val="21"/>
          <w:szCs w:val="21"/>
        </w:rPr>
        <w:fldChar w:fldCharType="separate"/>
      </w:r>
      <w:r>
        <w:rPr>
          <w:rStyle w:val="85"/>
          <w:rFonts w:ascii="宋体" w:eastAsia="宋体" w:hint="eastAsia"/>
          <w:kern w:val="2"/>
          <w:sz w:val="21"/>
          <w:szCs w:val="21"/>
        </w:rPr>
        <w:t>4 评估结论与建议</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_Toc21286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36</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1"/>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"_Toc10045"</w:instrText>
      </w:r>
      <w:r>
        <w:rPr>
          <w:rStyle w:val="85"/>
          <w:rFonts w:ascii="宋体" w:eastAsia="宋体" w:hint="eastAsia"/>
          <w:kern w:val="2"/>
          <w:sz w:val="21"/>
          <w:szCs w:val="21"/>
        </w:rPr>
        <w:fldChar w:fldCharType="separate"/>
      </w:r>
      <w:r>
        <w:rPr>
          <w:rStyle w:val="85"/>
          <w:rFonts w:ascii="宋体" w:eastAsia="宋体" w:hint="eastAsia"/>
          <w:kern w:val="2"/>
          <w:sz w:val="21"/>
          <w:szCs w:val="21"/>
        </w:rPr>
        <w:t>4.1 结论</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_Toc10045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36</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pStyle w:val="21"/>
        <w:rPr>
          <w:rFonts w:ascii="Times New Roman" w:eastAsia="宋体" w:hAnsi="Times New Roman"/>
          <w:kern w:val="2"/>
          <w:sz w:val="21"/>
          <w:szCs w:val="21"/>
        </w:rPr>
      </w:pPr>
      <w:r>
        <w:rPr>
          <w:rStyle w:val="85"/>
          <w:rFonts w:ascii="宋体" w:eastAsia="宋体" w:hint="eastAsia"/>
          <w:kern w:val="2"/>
          <w:sz w:val="21"/>
          <w:szCs w:val="21"/>
        </w:rPr>
        <w:fldChar w:fldCharType="begin"/>
      </w:r>
      <w:r>
        <w:instrText>HYPERLINK  \l "_Toc13081"</w:instrText>
      </w:r>
      <w:r>
        <w:rPr>
          <w:rStyle w:val="85"/>
          <w:rFonts w:ascii="宋体" w:eastAsia="宋体" w:hint="eastAsia"/>
          <w:kern w:val="2"/>
          <w:sz w:val="21"/>
          <w:szCs w:val="21"/>
        </w:rPr>
        <w:fldChar w:fldCharType="separate"/>
      </w:r>
      <w:r>
        <w:rPr>
          <w:rStyle w:val="85"/>
          <w:rFonts w:ascii="宋体" w:eastAsia="宋体" w:hint="eastAsia"/>
          <w:kern w:val="2"/>
          <w:sz w:val="21"/>
          <w:szCs w:val="21"/>
        </w:rPr>
        <w:t>4.2 建议</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_Toc13081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36</w:t>
      </w:r>
      <w:r>
        <w:rPr>
          <w:rStyle w:val="85"/>
          <w:rFonts w:ascii="Times New Roman" w:eastAsia="宋体" w:hAnsi="Times New Roman"/>
          <w:kern w:val="2"/>
          <w:sz w:val="21"/>
          <w:szCs w:val="21"/>
        </w:rPr>
        <w:fldChar w:fldCharType="end"/>
      </w:r>
      <w:r>
        <w:rPr>
          <w:rStyle w:val="85"/>
          <w:rFonts w:ascii="宋体" w:eastAsia="宋体" w:hint="eastAsia"/>
          <w:kern w:val="2"/>
          <w:sz w:val="21"/>
          <w:szCs w:val="21"/>
        </w:rPr>
        <w:fldChar w:fldCharType="end"/>
      </w:r>
    </w:p>
    <w:p>
      <w:pPr>
        <w:rPr>
          <w:rFonts w:ascii="宋体" w:eastAsia="宋体" w:hint="eastAsia"/>
          <w:kern w:val="2"/>
          <w:sz w:val="21"/>
          <w:szCs w:val="21"/>
        </w:rPr>
      </w:pPr>
    </w:p>
    <w:p>
      <w:pPr>
        <w:sectPr>
          <w:pgSz w:w="11906" w:h="16838"/>
          <w:pgMar w:top="1440" w:right="1800" w:bottom="1440" w:left="1800" w:header="851" w:footer="992" w:gutter="0"/>
          <w:docGrid w:type="lines" w:linePitch="312" w:charSpace="0"/>
        </w:sectPr>
      </w:pPr>
    </w:p>
    <w:p>
      <w:pPr>
        <w:pStyle w:val="1"/>
        <w:pBdr>
          <w:top w:val="none" w:sz="0" w:space="0" w:color="auto"/>
          <w:left w:val="none" w:sz="0" w:space="0" w:color="auto"/>
          <w:bottom w:val="none" w:sz="0" w:space="0" w:color="auto"/>
          <w:right w:val="none" w:sz="0" w:space="0" w:color="auto"/>
        </w:pBdr>
        <w:spacing w:beforeLines="0" w:before="156" w:beforeAutospacing="0" w:afterLines="0" w:after="156" w:afterAutospacing="0"/>
        <w:rPr>
          <w:rFonts w:ascii="宋体" w:eastAsia="宋体" w:hint="eastAsia"/>
          <w:b/>
          <w:bCs w:val="0"/>
          <w:vanish w:val="0"/>
          <w:kern w:val="2"/>
          <w:sz w:val="36"/>
          <w:szCs w:val="36"/>
        </w:rPr>
      </w:pPr>
      <w:bookmarkStart w:id="20" w:name="_Toc354416283"/>
      <w:bookmarkStart w:id="21" w:name="_Toc23185"/>
      <w:bookmarkStart w:id="22" w:name="_Toc9342"/>
      <w:bookmarkStart w:id="23" w:name="_Toc9560"/>
      <w:bookmarkEnd w:id="20"/>
      <w:bookmarkEnd w:id="21"/>
      <w:bookmarkEnd w:id="22"/>
      <w:r>
        <w:rPr>
          <w:rFonts w:ascii="宋体" w:eastAsia="宋体" w:hint="eastAsia"/>
          <w:b/>
          <w:bCs w:val="0"/>
          <w:vanish w:val="0"/>
          <w:kern w:val="2"/>
          <w:sz w:val="36"/>
          <w:szCs w:val="36"/>
        </w:rPr>
        <w:t>1 主要危险有害因素分析</w:t>
      </w:r>
      <w:bookmarkEnd w:id="23"/>
    </w:p>
    <w:p>
      <w:pPr>
        <w:pBdr>
          <w:top w:val="none" w:sz="0" w:space="0" w:color="auto"/>
          <w:left w:val="none" w:sz="0" w:space="0" w:color="auto"/>
          <w:bottom w:val="none" w:sz="0" w:space="0" w:color="auto"/>
          <w:right w:val="none" w:sz="0" w:space="0" w:color="auto"/>
        </w:pBdr>
        <w:ind w:firstLineChars="200" w:firstLine="560"/>
        <w:rPr>
          <w:rFonts w:ascii="宋体" w:eastAsia="宋体" w:hint="eastAsia"/>
          <w:vanish w:val="0"/>
          <w:kern w:val="2"/>
          <w:sz w:val="21"/>
          <w:szCs w:val="21"/>
        </w:rPr>
      </w:pPr>
      <w:r>
        <w:rPr>
          <w:rFonts w:ascii="宋体" w:eastAsia="宋体" w:hint="eastAsia"/>
          <w:vanish w:val="0"/>
          <w:kern w:val="2"/>
          <w:sz w:val="28"/>
          <w:szCs w:val="28"/>
        </w:rPr>
        <w:t>本报告中的危险有害因素按照《企业职工伤亡事故分类》（GB6441-86）的规定进行分类。</w:t>
      </w:r>
    </w:p>
    <w:p>
      <w:pPr>
        <w:pStyle w:val="2"/>
        <w:pBdr>
          <w:top w:val="none" w:sz="0" w:space="0" w:color="auto"/>
          <w:left w:val="none" w:sz="0" w:space="0" w:color="auto"/>
          <w:bottom w:val="none" w:sz="0" w:space="0" w:color="auto"/>
          <w:right w:val="none" w:sz="0" w:space="0" w:color="auto"/>
        </w:pBdr>
        <w:spacing w:beforeLines="0" w:before="156" w:beforeAutospacing="0"/>
        <w:rPr>
          <w:rFonts w:ascii="宋体" w:eastAsia="宋体" w:hint="eastAsia"/>
          <w:b/>
          <w:bCs/>
          <w:vanish w:val="0"/>
          <w:kern w:val="2"/>
          <w:sz w:val="32"/>
          <w:szCs w:val="32"/>
        </w:rPr>
      </w:pPr>
      <w:bookmarkStart w:id="24" w:name="_Toc12666"/>
      <w:bookmarkStart w:id="25" w:name="_Toc354416284"/>
      <w:bookmarkStart w:id="26" w:name="_Toc11897"/>
      <w:bookmarkStart w:id="27" w:name="_Toc2580"/>
      <w:bookmarkEnd w:id="24"/>
      <w:bookmarkEnd w:id="25"/>
      <w:bookmarkEnd w:id="26"/>
      <w:r>
        <w:rPr>
          <w:rFonts w:ascii="宋体" w:eastAsia="宋体" w:hint="eastAsia"/>
          <w:b/>
          <w:bCs/>
          <w:vanish w:val="0"/>
          <w:kern w:val="2"/>
          <w:sz w:val="32"/>
          <w:szCs w:val="32"/>
        </w:rPr>
        <w:t>1.1 经营物料危险有害因素分析</w:t>
      </w:r>
      <w:bookmarkEnd w:id="27"/>
    </w:p>
    <w:p>
      <w:pPr>
        <w:pBdr>
          <w:top w:val="none" w:sz="0" w:space="0" w:color="auto"/>
          <w:left w:val="none" w:sz="0" w:space="0" w:color="auto"/>
          <w:bottom w:val="none" w:sz="0" w:space="0" w:color="auto"/>
          <w:right w:val="none" w:sz="0" w:space="0" w:color="auto"/>
        </w:pBdr>
        <w:ind w:firstLineChars="200" w:firstLine="560"/>
        <w:rPr>
          <w:rFonts w:ascii="宋体" w:eastAsia="宋体" w:hint="eastAsia"/>
          <w:vanish w:val="0"/>
          <w:kern w:val="2"/>
          <w:sz w:val="28"/>
          <w:szCs w:val="28"/>
        </w:rPr>
      </w:pPr>
      <w:r>
        <w:rPr>
          <w:rFonts w:ascii="宋体" w:eastAsia="宋体" w:hint="eastAsia"/>
          <w:vanish w:val="0"/>
          <w:kern w:val="2"/>
          <w:sz w:val="28"/>
          <w:szCs w:val="28"/>
        </w:rPr>
        <w:t>加油加气站主要从事汽油（92#、95#）、柴油（0#）和CNG天然气零售业务。依据《危险化学品目录》（2015版）该站经营的油品中汽油、柴油和天然气都属于危险化学品，故本报告对汽油、柴油和天然气进行物质危险有害因素辨识。</w:t>
      </w:r>
    </w:p>
    <w:p>
      <w:pPr>
        <w:pBdr>
          <w:top w:val="none" w:sz="0" w:space="0" w:color="auto"/>
          <w:left w:val="none" w:sz="0" w:space="0" w:color="auto"/>
          <w:bottom w:val="none" w:sz="0" w:space="0" w:color="auto"/>
          <w:right w:val="none" w:sz="0" w:space="0" w:color="auto"/>
        </w:pBdr>
        <w:jc w:val="center"/>
        <w:rPr>
          <w:rFonts w:ascii="宋体" w:eastAsia="宋体" w:hint="eastAsia"/>
          <w:b/>
          <w:bCs/>
          <w:vanish w:val="0"/>
          <w:kern w:val="2"/>
          <w:sz w:val="21"/>
          <w:szCs w:val="21"/>
        </w:rPr>
      </w:pPr>
      <w:r>
        <w:rPr>
          <w:rFonts w:ascii="宋体" w:eastAsia="宋体" w:hint="eastAsia"/>
          <w:b/>
          <w:bCs/>
          <w:vanish w:val="0"/>
          <w:kern w:val="2"/>
          <w:sz w:val="21"/>
          <w:szCs w:val="21"/>
        </w:rPr>
        <w:t>表</w:t>
      </w:r>
      <w:bookmarkStart w:id="28" w:name="_Toc17119"/>
      <w:bookmarkStart w:id="29" w:name="_Toc449348746"/>
      <w:bookmarkStart w:id="30" w:name="_Toc7251"/>
      <w:bookmarkStart w:id="31" w:name="_Toc354416285"/>
      <w:bookmarkEnd w:id="28"/>
      <w:bookmarkEnd w:id="29"/>
      <w:bookmarkEnd w:id="30"/>
      <w:r>
        <w:rPr>
          <w:rFonts w:ascii="宋体" w:eastAsia="宋体" w:hint="eastAsia"/>
          <w:b/>
          <w:bCs/>
          <w:vanish w:val="0"/>
          <w:kern w:val="2"/>
          <w:sz w:val="21"/>
          <w:szCs w:val="21"/>
        </w:rPr>
        <w:t>1.1-1 汽油安全数据表</w:t>
      </w:r>
      <w:bookmarkEnd w:id="31"/>
    </w:p>
    <w:tbl>
      <w:tblPr>
        <w:jc w:val="left"/>
        <w:tblW w:w="5000" w:type="pct"/>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0" w:type="dxa"/>
          <w:left w:w="108" w:type="dxa"/>
          <w:bottom w:w="0" w:type="dxa"/>
          <w:right w:w="108" w:type="dxa"/>
        </w:tblCellMar>
      </w:tblPr>
      <w:tblGrid>
        <w:gridCol w:w="8296"/>
      </w:tblGrid>
      <w:tr>
        <w:tc>
          <w:tcPr>
            <w:tcW w:w="5000" w:type="pct"/>
            <w:tcBorders>
              <w:top w:val="single" w:sz="4" w:space="0" w:color="auto"/>
              <w:left w:val="single" w:sz="4" w:space="0" w:color="auto"/>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化学品安全技术说明书</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第一部分  化学品及企业标识</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b/>
                <w:bCs w:val="0"/>
                <w:vanish w:val="0"/>
                <w:kern w:val="2"/>
                <w:sz w:val="21"/>
                <w:szCs w:val="21"/>
              </w:rPr>
            </w:pPr>
            <w:r>
              <w:rPr>
                <w:rFonts w:ascii="宋体" w:eastAsia="宋体" w:hint="eastAsia"/>
                <w:b/>
                <w:bCs w:val="0"/>
                <w:vanish w:val="0"/>
                <w:kern w:val="2"/>
                <w:sz w:val="21"/>
                <w:szCs w:val="21"/>
              </w:rPr>
              <w:t>化学品中文名：</w:t>
            </w:r>
            <w:r>
              <w:rPr>
                <w:rFonts w:ascii="宋体" w:eastAsia="宋体" w:hint="eastAsia"/>
                <w:bCs/>
                <w:vanish w:val="0"/>
                <w:kern w:val="2"/>
                <w:sz w:val="21"/>
                <w:szCs w:val="21"/>
              </w:rPr>
              <w:t>汽油</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b/>
                <w:bCs w:val="0"/>
                <w:vanish w:val="0"/>
                <w:kern w:val="2"/>
                <w:sz w:val="21"/>
                <w:szCs w:val="21"/>
              </w:rPr>
              <w:t>化学品英文名：</w:t>
            </w:r>
            <w:r>
              <w:rPr>
                <w:rFonts w:ascii="宋体" w:eastAsia="宋体" w:hint="eastAsia"/>
                <w:vanish w:val="0"/>
                <w:kern w:val="2"/>
                <w:sz w:val="21"/>
                <w:szCs w:val="21"/>
              </w:rPr>
              <w:t>Gasoline</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第二部分  成分/组成信息</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纯品×               混合物√</w:t>
            </w:r>
          </w:p>
          <w:tbl>
            <w:tblPr>
              <w:jc w:val="left"/>
              <w:tblW w:w="7614"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3708"/>
              <w:gridCol w:w="2340"/>
              <w:gridCol w:w="1566"/>
            </w:tblGrid>
            <w:tr>
              <w:tc>
                <w:tcPr>
                  <w:tcW w:w="3708" w:type="dxa"/>
                  <w:tcBorders>
                    <w:top w:val="nil"/>
                    <w:left w:val="nil"/>
                    <w:bottom w:val="nil"/>
                    <w:right w:val="nil"/>
                    <w:tl2br w:val="nil"/>
                    <w:tr2bl w:val="nil"/>
                  </w:tcBorders>
                  <w:vAlign w:val="center"/>
                </w:tcPr>
                <w:p>
                  <w:pPr>
                    <w:pBdr>
                      <w:top w:val="none" w:sz="0" w:space="0" w:color="auto"/>
                      <w:left w:val="none" w:sz="0" w:space="0" w:color="auto"/>
                      <w:bottom w:val="none" w:sz="0" w:space="0" w:color="auto"/>
                      <w:right w:val="none" w:sz="0" w:space="0" w:color="auto"/>
                    </w:pBdr>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有害物成分</w:t>
                  </w:r>
                </w:p>
              </w:tc>
              <w:tc>
                <w:tcPr>
                  <w:tcW w:w="2340" w:type="dxa"/>
                  <w:tcBorders>
                    <w:top w:val="nil"/>
                    <w:left w:val="nil"/>
                    <w:bottom w:val="nil"/>
                    <w:right w:val="nil"/>
                    <w:tl2br w:val="nil"/>
                    <w:tr2bl w:val="nil"/>
                  </w:tcBorders>
                  <w:vAlign w:val="center"/>
                </w:tcPr>
                <w:p>
                  <w:pPr>
                    <w:pBdr>
                      <w:top w:val="none" w:sz="0" w:space="0" w:color="auto"/>
                      <w:left w:val="none" w:sz="0" w:space="0" w:color="auto"/>
                      <w:bottom w:val="none" w:sz="0" w:space="0" w:color="auto"/>
                      <w:right w:val="none" w:sz="0" w:space="0" w:color="auto"/>
                    </w:pBdr>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浓度</w:t>
                  </w:r>
                </w:p>
              </w:tc>
              <w:tc>
                <w:tcPr>
                  <w:tcW w:w="1566" w:type="dxa"/>
                  <w:tcBorders>
                    <w:top w:val="nil"/>
                    <w:left w:val="nil"/>
                    <w:bottom w:val="nil"/>
                    <w:right w:val="nil"/>
                    <w:tl2br w:val="nil"/>
                    <w:tr2bl w:val="nil"/>
                  </w:tcBorders>
                  <w:vAlign w:val="center"/>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CAS No.</w:t>
                  </w:r>
                </w:p>
              </w:tc>
            </w:tr>
            <w:tr>
              <w:tc>
                <w:tcPr>
                  <w:tcW w:w="3708" w:type="dxa"/>
                  <w:tcBorders>
                    <w:top w:val="nil"/>
                    <w:left w:val="nil"/>
                    <w:bottom w:val="nil"/>
                    <w:right w:val="nil"/>
                    <w:tl2br w:val="nil"/>
                    <w:tr2bl w:val="nil"/>
                  </w:tcBorders>
                  <w:vAlign w:val="center"/>
                </w:tcPr>
                <w:p>
                  <w:pPr>
                    <w:pBdr>
                      <w:top w:val="none" w:sz="0" w:space="0" w:color="auto"/>
                      <w:left w:val="none" w:sz="0" w:space="0" w:color="auto"/>
                      <w:bottom w:val="none" w:sz="0" w:space="0" w:color="auto"/>
                      <w:right w:val="none" w:sz="0" w:space="0" w:color="auto"/>
                    </w:pBdr>
                    <w:ind w:left="0" w:right="0"/>
                    <w:jc w:val="center"/>
                    <w:rPr>
                      <w:rFonts w:ascii="宋体" w:eastAsia="宋体" w:hint="eastAsia"/>
                      <w:vanish w:val="0"/>
                      <w:kern w:val="2"/>
                      <w:sz w:val="21"/>
                      <w:szCs w:val="21"/>
                    </w:rPr>
                  </w:pPr>
                </w:p>
              </w:tc>
              <w:tc>
                <w:tcPr>
                  <w:tcW w:w="2340" w:type="dxa"/>
                  <w:tcBorders>
                    <w:top w:val="nil"/>
                    <w:left w:val="nil"/>
                    <w:bottom w:val="nil"/>
                    <w:right w:val="nil"/>
                    <w:tl2br w:val="nil"/>
                    <w:tr2bl w:val="nil"/>
                  </w:tcBorders>
                  <w:vAlign w:val="center"/>
                </w:tcPr>
                <w:p>
                  <w:pPr>
                    <w:pBdr>
                      <w:top w:val="none" w:sz="0" w:space="0" w:color="auto"/>
                      <w:left w:val="none" w:sz="0" w:space="0" w:color="auto"/>
                      <w:bottom w:val="none" w:sz="0" w:space="0" w:color="auto"/>
                      <w:right w:val="none" w:sz="0" w:space="0" w:color="auto"/>
                    </w:pBdr>
                    <w:ind w:left="0" w:right="0"/>
                    <w:jc w:val="center"/>
                    <w:rPr>
                      <w:rFonts w:ascii="宋体" w:eastAsia="宋体" w:hint="eastAsia"/>
                      <w:vanish w:val="0"/>
                      <w:kern w:val="2"/>
                      <w:sz w:val="21"/>
                      <w:szCs w:val="21"/>
                    </w:rPr>
                  </w:pPr>
                </w:p>
              </w:tc>
              <w:tc>
                <w:tcPr>
                  <w:tcW w:w="1566" w:type="dxa"/>
                  <w:tcBorders>
                    <w:top w:val="nil"/>
                    <w:left w:val="nil"/>
                    <w:bottom w:val="nil"/>
                    <w:right w:val="nil"/>
                    <w:tl2br w:val="nil"/>
                    <w:tr2bl w:val="nil"/>
                  </w:tcBorders>
                  <w:vAlign w:val="center"/>
                </w:tcPr>
                <w:p>
                  <w:pPr>
                    <w:pBdr>
                      <w:top w:val="none" w:sz="0" w:space="0" w:color="auto"/>
                      <w:left w:val="none" w:sz="0" w:space="0" w:color="auto"/>
                      <w:bottom w:val="none" w:sz="0" w:space="0" w:color="auto"/>
                      <w:right w:val="none" w:sz="0" w:space="0" w:color="auto"/>
                    </w:pBdr>
                    <w:ind w:left="0" w:right="0"/>
                    <w:jc w:val="center"/>
                    <w:rPr>
                      <w:rFonts w:ascii="宋体" w:eastAsia="宋体" w:hint="eastAsia"/>
                      <w:vanish w:val="0"/>
                      <w:kern w:val="2"/>
                      <w:sz w:val="21"/>
                      <w:szCs w:val="21"/>
                    </w:rPr>
                  </w:pPr>
                </w:p>
              </w:tc>
            </w:tr>
          </w:tbl>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第三部分  危险性概述</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危险性类别：</w:t>
            </w:r>
            <w:r>
              <w:rPr>
                <w:rFonts w:ascii="宋体" w:eastAsia="宋体" w:hint="eastAsia"/>
                <w:vanish w:val="0"/>
                <w:kern w:val="2"/>
                <w:sz w:val="21"/>
                <w:szCs w:val="21"/>
              </w:rPr>
              <w:t>第3.1类  低闪点易燃液体</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侵入途径：</w:t>
            </w:r>
            <w:r>
              <w:rPr>
                <w:rFonts w:ascii="宋体" w:eastAsia="宋体" w:hint="eastAsia"/>
                <w:vanish w:val="0"/>
                <w:kern w:val="2"/>
                <w:sz w:val="21"/>
                <w:szCs w:val="21"/>
              </w:rPr>
              <w:t>吸入、食入、经皮吸收</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健康危害：</w:t>
            </w:r>
            <w:r>
              <w:rPr>
                <w:rFonts w:ascii="宋体" w:eastAsia="宋体" w:hint="eastAsia"/>
                <w:vanish w:val="0"/>
                <w:kern w:val="2"/>
                <w:sz w:val="21"/>
                <w:szCs w:val="21"/>
              </w:rPr>
              <w:t>急性中毒：对中枢神经系统有麻醉作用。轻度中毒症状有头晕、头痛、恶心、</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呕吐、步态不稳、共济失调。高浓度吸入出现中毒性脑病。极高浓度吸入引起意识突然</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丧失、反射性呼吸停止。可伴有中毒性周围神经病及化学性肺炎。部分患者出现中毒</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性精神病。液体吸入呼吸道可引起吸入性肺炎。溅入眼内可致角膜溃疡、穿孔，甚至</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失明。皮肤接触致急性接触性皮炎，甚至灼伤。吞咽引起急性胃肠炎，重者出现类似</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急性吸入中毒症状，并可引起肝、肾损害。</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慢性中毒：神经衰弱综合征、植物神经功能紊乱、周围神经病。严重中毒出现中毒性</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vanish w:val="0"/>
                <w:kern w:val="2"/>
                <w:sz w:val="21"/>
                <w:szCs w:val="21"/>
              </w:rPr>
              <w:t>脑病，症状类似精神分裂症。皮肤损害。</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环境危害：</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燃爆危险：</w:t>
            </w:r>
            <w:r>
              <w:rPr>
                <w:rFonts w:ascii="宋体" w:eastAsia="宋体" w:hint="eastAsia"/>
                <w:vanish w:val="0"/>
                <w:kern w:val="2"/>
                <w:sz w:val="21"/>
                <w:szCs w:val="21"/>
              </w:rPr>
              <w:t>本品极度易燃。</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第四部分  急 救 措 施</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皮肤接触：</w:t>
            </w:r>
            <w:r>
              <w:rPr>
                <w:rFonts w:ascii="宋体" w:eastAsia="宋体" w:hint="eastAsia"/>
                <w:vanish w:val="0"/>
                <w:kern w:val="2"/>
                <w:sz w:val="21"/>
                <w:szCs w:val="21"/>
              </w:rPr>
              <w:t>立即脱去污染的衣着，用肥皂水和清水彻底冲洗皮肤。就医。</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眼睛接触：</w:t>
            </w:r>
            <w:r>
              <w:rPr>
                <w:rFonts w:ascii="宋体" w:eastAsia="宋体" w:hint="eastAsia"/>
                <w:vanish w:val="0"/>
                <w:kern w:val="2"/>
                <w:sz w:val="21"/>
                <w:szCs w:val="21"/>
              </w:rPr>
              <w:t>立即提起眼睑，用大量流动清水或生理盐水彻底冲洗至少15分钟。就医。</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吸入：</w:t>
            </w:r>
            <w:r>
              <w:rPr>
                <w:rFonts w:ascii="宋体" w:eastAsia="宋体" w:hint="eastAsia"/>
                <w:vanish w:val="0"/>
                <w:kern w:val="2"/>
                <w:sz w:val="21"/>
                <w:szCs w:val="21"/>
              </w:rPr>
              <w:t>迅速脱离现场至空气新鲜处。保持呼吸道通畅。如呼吸困难，给输氧。如呼吸</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vanish w:val="0"/>
                <w:kern w:val="2"/>
                <w:sz w:val="21"/>
                <w:szCs w:val="21"/>
              </w:rPr>
              <w:t>停止，立即进行人工呼吸。就医。</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食入：</w:t>
            </w:r>
            <w:r>
              <w:rPr>
                <w:rFonts w:ascii="宋体" w:eastAsia="宋体" w:hint="eastAsia"/>
                <w:vanish w:val="0"/>
                <w:kern w:val="2"/>
                <w:sz w:val="21"/>
                <w:szCs w:val="21"/>
              </w:rPr>
              <w:t>给饮牛奶或用植物油洗胃和灌肠。就医。</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第五部分  消 防 措 施</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危险特性：</w:t>
            </w:r>
            <w:r>
              <w:rPr>
                <w:rFonts w:ascii="宋体" w:eastAsia="宋体" w:hint="eastAsia"/>
                <w:vanish w:val="0"/>
                <w:kern w:val="2"/>
                <w:sz w:val="21"/>
                <w:szCs w:val="21"/>
              </w:rPr>
              <w:t>其蒸气与空气可形成爆炸性混合物，遇明火、高热极易燃烧爆炸。与氧化</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剂能发生强烈反应。其蒸气比空气重，能在较低处扩散到相当远的地方，遇火源会着</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vanish w:val="0"/>
                <w:kern w:val="2"/>
                <w:sz w:val="21"/>
                <w:szCs w:val="21"/>
              </w:rPr>
              <w:t>火回燃。</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有害燃烧产物：</w:t>
            </w:r>
            <w:r>
              <w:rPr>
                <w:rFonts w:ascii="宋体" w:eastAsia="宋体" w:hint="eastAsia"/>
                <w:vanish w:val="0"/>
                <w:kern w:val="2"/>
                <w:sz w:val="21"/>
                <w:szCs w:val="21"/>
              </w:rPr>
              <w:t>一氧化碳、二氧化碳。</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灭火方法：</w:t>
            </w:r>
            <w:r>
              <w:rPr>
                <w:rFonts w:ascii="宋体" w:eastAsia="宋体" w:hint="eastAsia"/>
                <w:vanish w:val="0"/>
                <w:kern w:val="2"/>
                <w:sz w:val="21"/>
                <w:szCs w:val="21"/>
              </w:rPr>
              <w:t>喷水冷却容器，可能的话将容器从火场移至空旷处。灭火剂：泡沫、干粉</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、二氧化碳。用水灭火无效。</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第六部分  泄漏应急处理</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应急处理：</w:t>
            </w:r>
            <w:r>
              <w:rPr>
                <w:rFonts w:ascii="宋体" w:eastAsia="宋体" w:hint="eastAsia"/>
                <w:vanish w:val="0"/>
                <w:kern w:val="2"/>
                <w:sz w:val="21"/>
                <w:szCs w:val="21"/>
              </w:rPr>
              <w:t>迅速撤离泄漏污染区人员至安全区，并进行隔离，严格限制出入。切断火</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源。建议应急处理人员戴自给正压式呼吸器，穿防静电工作服。尽可能切断泄漏源。</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防止流入下水道、排洪沟等限制性空间。小量泄漏：用砂土、蛭石或其它惰性材料</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吸收。或在保证安全情况下，就地焚烧。大量泄漏：构筑围堤或挖坑收容。用泡沫</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覆盖，降低蒸气灾害。用防爆泵转移至槽车或专用收集器内，回收或运至废物处理</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vanish w:val="0"/>
                <w:kern w:val="2"/>
                <w:sz w:val="21"/>
                <w:szCs w:val="21"/>
              </w:rPr>
              <w:t>场所处置。</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第七部分  操作处置与储存</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操作注意事项：</w:t>
            </w:r>
            <w:r>
              <w:rPr>
                <w:rFonts w:ascii="宋体" w:eastAsia="宋体" w:hint="eastAsia"/>
                <w:vanish w:val="0"/>
                <w:kern w:val="2"/>
                <w:sz w:val="21"/>
                <w:szCs w:val="21"/>
              </w:rPr>
              <w:t>密闭操作，全面通风。操作人员必须经过专门培训，严格遵守操作</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规程。建议操作人员穿防静电工作服，戴橡胶耐油手套。远离火种、热源，工作场所严</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禁吸烟。使用防爆型的通风系统和设备。防止蒸气泄漏到工作场所空气中。避免与氧化</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剂接触。灌装时应控制流速，且有接地装置，防止静电积聚。搬运时要轻装轻卸，防止</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包装及容器损坏。配备相应品种和数量的消防器材及泄漏应急处理设备。倒空的容器可</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vanish w:val="0"/>
                <w:kern w:val="2"/>
                <w:sz w:val="21"/>
                <w:szCs w:val="21"/>
              </w:rPr>
              <w:t>能残留有害物。</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储存注意事项：</w:t>
            </w:r>
            <w:r>
              <w:rPr>
                <w:rFonts w:ascii="宋体" w:eastAsia="宋体" w:hint="eastAsia"/>
                <w:vanish w:val="0"/>
                <w:kern w:val="2"/>
                <w:sz w:val="21"/>
                <w:szCs w:val="21"/>
              </w:rPr>
              <w:t>储存于阴凉、通风的库房。远离火种、热源。库温不宜超过30℃。保持</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容器密封。应与氧化剂分开存放，切忌混储。采用防爆型照明、通风设施。禁止使用易</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产生火花的机械设备和工具。储区应备有泄漏应急处理设备和合适的收容材料。</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第八部分  接触控制/个体防护</w:t>
            </w:r>
          </w:p>
          <w:tbl>
            <w:tblPr>
              <w:jc w:val="left"/>
              <w:tblW w:w="7599"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468"/>
              <w:gridCol w:w="3780"/>
              <w:gridCol w:w="3351"/>
            </w:tblGrid>
            <w:tr>
              <w:trPr>
                <w:cantSplit/>
              </w:trPr>
              <w:tc>
                <w:tcPr>
                  <w:tcW w:w="7599" w:type="dxa"/>
                  <w:gridSpan w:val="3"/>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职业接触限值：</w:t>
                  </w:r>
                </w:p>
              </w:tc>
            </w:tr>
            <w:tr>
              <w:trPr>
                <w:cantSplit/>
              </w:trPr>
              <w:tc>
                <w:tcPr>
                  <w:tcW w:w="468" w:type="dxa"/>
                  <w:tcBorders>
                    <w:top w:val="nil"/>
                    <w:left w:val="nil"/>
                    <w:bottom w:val="nil"/>
                    <w:right w:val="nil"/>
                    <w:tl2br w:val="nil"/>
                    <w:tr2bl w:val="nil"/>
                  </w:tcBorders>
                </w:tcPr>
                <w:p>
                  <w:pPr>
                    <w:ind w:left="0" w:right="0"/>
                    <w:rPr>
                      <w:rFonts w:ascii="宋体" w:eastAsia="宋体" w:hint="eastAsia"/>
                      <w:vanish w:val="0"/>
                      <w:kern w:val="2"/>
                      <w:sz w:val="21"/>
                      <w:szCs w:val="21"/>
                    </w:rPr>
                  </w:pPr>
                </w:p>
              </w:tc>
              <w:tc>
                <w:tcPr>
                  <w:tcW w:w="3780" w:type="dxa"/>
                  <w:tcBorders>
                    <w:top w:val="nil"/>
                    <w:left w:val="nil"/>
                    <w:bottom w:val="nil"/>
                    <w:right w:val="nil"/>
                    <w:tl2br w:val="nil"/>
                    <w:tr2bl w:val="nil"/>
                  </w:tcBorders>
                </w:tcPr>
                <w:p>
                  <w:pPr>
                    <w:ind w:left="0" w:right="0"/>
                    <w:rPr>
                      <w:rFonts w:ascii="宋体" w:eastAsia="宋体" w:hint="eastAsia"/>
                      <w:vanish w:val="0"/>
                      <w:kern w:val="2"/>
                      <w:sz w:val="21"/>
                      <w:szCs w:val="21"/>
                    </w:rPr>
                  </w:pPr>
                  <w:r>
                    <w:rPr>
                      <w:rFonts w:ascii="宋体" w:eastAsia="宋体" w:hint="eastAsia"/>
                      <w:b/>
                      <w:bCs w:val="0"/>
                      <w:vanish w:val="0"/>
                      <w:kern w:val="2"/>
                      <w:sz w:val="21"/>
                      <w:szCs w:val="21"/>
                    </w:rPr>
                    <w:t>中国MAC(mg/m</w:t>
                  </w:r>
                  <w:r>
                    <w:rPr>
                      <w:rFonts w:ascii="宋体" w:eastAsia="宋体" w:hint="eastAsia"/>
                      <w:b/>
                      <w:bCs w:val="0"/>
                      <w:vanish w:val="0"/>
                      <w:kern w:val="2"/>
                      <w:sz w:val="21"/>
                      <w:szCs w:val="21"/>
                      <w:vertAlign w:val="superscript"/>
                    </w:rPr>
                    <w:t>3</w:t>
                  </w:r>
                  <w:r>
                    <w:rPr>
                      <w:rFonts w:ascii="宋体" w:eastAsia="宋体" w:hint="eastAsia"/>
                      <w:b/>
                      <w:bCs w:val="0"/>
                      <w:vanish w:val="0"/>
                      <w:kern w:val="2"/>
                      <w:sz w:val="21"/>
                      <w:szCs w:val="21"/>
                    </w:rPr>
                    <w:t>)：</w:t>
                  </w:r>
                  <w:r>
                    <w:rPr>
                      <w:rFonts w:ascii="宋体" w:eastAsia="宋体" w:hint="eastAsia"/>
                      <w:vanish w:val="0"/>
                      <w:kern w:val="2"/>
                      <w:sz w:val="21"/>
                      <w:szCs w:val="21"/>
                    </w:rPr>
                    <w:t>300[溶剂汽油]</w:t>
                  </w:r>
                </w:p>
              </w:tc>
              <w:tc>
                <w:tcPr>
                  <w:tcW w:w="3351" w:type="dxa"/>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前苏联MAC(mg/m</w:t>
                  </w:r>
                  <w:r>
                    <w:rPr>
                      <w:rFonts w:ascii="宋体" w:eastAsia="宋体" w:hint="eastAsia"/>
                      <w:b/>
                      <w:bCs w:val="0"/>
                      <w:vanish w:val="0"/>
                      <w:kern w:val="2"/>
                      <w:sz w:val="21"/>
                      <w:szCs w:val="21"/>
                      <w:vertAlign w:val="superscript"/>
                    </w:rPr>
                    <w:t>3</w:t>
                  </w:r>
                  <w:r>
                    <w:rPr>
                      <w:rFonts w:ascii="宋体" w:eastAsia="宋体" w:hint="eastAsia"/>
                      <w:b/>
                      <w:bCs w:val="0"/>
                      <w:vanish w:val="0"/>
                      <w:kern w:val="2"/>
                      <w:sz w:val="21"/>
                      <w:szCs w:val="21"/>
                    </w:rPr>
                    <w:t>)</w:t>
                  </w:r>
                  <w:r>
                    <w:rPr>
                      <w:rFonts w:ascii="宋体" w:eastAsia="宋体" w:hint="eastAsia"/>
                      <w:vanish w:val="0"/>
                      <w:kern w:val="2"/>
                      <w:sz w:val="21"/>
                      <w:szCs w:val="21"/>
                    </w:rPr>
                    <w:t>：300</w:t>
                  </w:r>
                </w:p>
              </w:tc>
            </w:tr>
            <w:tr>
              <w:trPr>
                <w:cantSplit/>
              </w:trPr>
              <w:tc>
                <w:tcPr>
                  <w:tcW w:w="468" w:type="dxa"/>
                  <w:tcBorders>
                    <w:top w:val="nil"/>
                    <w:left w:val="nil"/>
                    <w:bottom w:val="nil"/>
                    <w:right w:val="nil"/>
                    <w:tl2br w:val="nil"/>
                    <w:tr2bl w:val="nil"/>
                  </w:tcBorders>
                </w:tcPr>
                <w:p>
                  <w:pPr>
                    <w:ind w:left="0" w:right="0"/>
                    <w:rPr>
                      <w:rFonts w:ascii="宋体" w:eastAsia="宋体" w:hint="eastAsia"/>
                      <w:vanish w:val="0"/>
                      <w:kern w:val="2"/>
                      <w:sz w:val="21"/>
                      <w:szCs w:val="21"/>
                    </w:rPr>
                  </w:pPr>
                </w:p>
              </w:tc>
              <w:tc>
                <w:tcPr>
                  <w:tcW w:w="7131" w:type="dxa"/>
                  <w:gridSpan w:val="2"/>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TLVTN：</w:t>
                  </w:r>
                  <w:r>
                    <w:rPr>
                      <w:rFonts w:ascii="宋体" w:eastAsia="宋体" w:hint="eastAsia"/>
                      <w:vanish w:val="0"/>
                      <w:kern w:val="2"/>
                      <w:sz w:val="21"/>
                      <w:szCs w:val="21"/>
                    </w:rPr>
                    <w:t>ACGIH 300ppm,890mg/m3</w:t>
                  </w:r>
                </w:p>
              </w:tc>
            </w:tr>
            <w:tr>
              <w:trPr>
                <w:cantSplit/>
              </w:trPr>
              <w:tc>
                <w:tcPr>
                  <w:tcW w:w="468" w:type="dxa"/>
                  <w:tcBorders>
                    <w:top w:val="nil"/>
                    <w:left w:val="nil"/>
                    <w:bottom w:val="nil"/>
                    <w:right w:val="nil"/>
                    <w:tl2br w:val="nil"/>
                    <w:tr2bl w:val="nil"/>
                  </w:tcBorders>
                </w:tcPr>
                <w:p>
                  <w:pPr>
                    <w:ind w:left="0" w:right="0"/>
                    <w:rPr>
                      <w:rFonts w:ascii="宋体" w:eastAsia="宋体" w:hint="eastAsia"/>
                      <w:vanish w:val="0"/>
                      <w:kern w:val="2"/>
                      <w:sz w:val="21"/>
                      <w:szCs w:val="21"/>
                    </w:rPr>
                  </w:pPr>
                </w:p>
              </w:tc>
              <w:tc>
                <w:tcPr>
                  <w:tcW w:w="7131" w:type="dxa"/>
                  <w:gridSpan w:val="2"/>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TLVWN：</w:t>
                  </w:r>
                  <w:r>
                    <w:rPr>
                      <w:rFonts w:ascii="宋体" w:eastAsia="宋体" w:hint="eastAsia"/>
                      <w:vanish w:val="0"/>
                      <w:kern w:val="2"/>
                      <w:sz w:val="21"/>
                      <w:szCs w:val="21"/>
                    </w:rPr>
                    <w:t>ACGIH 500ppm,1480mg/m3</w:t>
                  </w:r>
                </w:p>
              </w:tc>
            </w:tr>
          </w:tbl>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监测方法：</w:t>
            </w:r>
            <w:r>
              <w:rPr>
                <w:rFonts w:ascii="宋体" w:eastAsia="宋体" w:hint="eastAsia"/>
                <w:vanish w:val="0"/>
                <w:kern w:val="2"/>
                <w:sz w:val="21"/>
                <w:szCs w:val="21"/>
              </w:rPr>
              <w:t>气相色谱法</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工程控制：</w:t>
            </w:r>
            <w:r>
              <w:rPr>
                <w:rFonts w:ascii="宋体" w:eastAsia="宋体" w:hint="eastAsia"/>
                <w:vanish w:val="0"/>
                <w:kern w:val="2"/>
                <w:sz w:val="21"/>
                <w:szCs w:val="21"/>
              </w:rPr>
              <w:t>生产过程密闭，全面通风。</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呼吸系统防护：</w:t>
            </w:r>
            <w:r>
              <w:rPr>
                <w:rFonts w:ascii="宋体" w:eastAsia="宋体" w:hint="eastAsia"/>
                <w:vanish w:val="0"/>
                <w:kern w:val="2"/>
                <w:sz w:val="21"/>
                <w:szCs w:val="21"/>
              </w:rPr>
              <w:t>一般不需要特殊防护，高浓度接触时可佩戴自吸过滤式防毒面具</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vanish w:val="0"/>
                <w:kern w:val="2"/>
                <w:sz w:val="21"/>
                <w:szCs w:val="21"/>
              </w:rPr>
              <w:t>（半面罩）。</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眼睛防护：</w:t>
            </w:r>
            <w:r>
              <w:rPr>
                <w:rFonts w:ascii="宋体" w:eastAsia="宋体" w:hint="eastAsia"/>
                <w:vanish w:val="0"/>
                <w:kern w:val="2"/>
                <w:sz w:val="21"/>
                <w:szCs w:val="21"/>
              </w:rPr>
              <w:t>一般不需要特殊防护，高浓度接触时可戴化学安全防护眼镜。</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身体防护：</w:t>
            </w:r>
            <w:r>
              <w:rPr>
                <w:rFonts w:ascii="宋体" w:eastAsia="宋体" w:hint="eastAsia"/>
                <w:vanish w:val="0"/>
                <w:kern w:val="2"/>
                <w:sz w:val="21"/>
                <w:szCs w:val="21"/>
              </w:rPr>
              <w:t>穿防静电工作服。</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手防护：</w:t>
            </w:r>
            <w:r>
              <w:rPr>
                <w:rFonts w:ascii="宋体" w:eastAsia="宋体" w:hint="eastAsia"/>
                <w:vanish w:val="0"/>
                <w:kern w:val="2"/>
                <w:sz w:val="21"/>
                <w:szCs w:val="21"/>
              </w:rPr>
              <w:t>戴橡胶耐油手套。</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其它防护：</w:t>
            </w:r>
            <w:r>
              <w:rPr>
                <w:rFonts w:ascii="宋体" w:eastAsia="宋体" w:hint="eastAsia"/>
                <w:vanish w:val="0"/>
                <w:kern w:val="2"/>
                <w:sz w:val="21"/>
                <w:szCs w:val="21"/>
              </w:rPr>
              <w:t>工作现场严禁吸烟。避免长期反复接触。</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第九部分  理 化 特 性</w:t>
            </w:r>
          </w:p>
          <w:tbl>
            <w:tblPr>
              <w:jc w:val="left"/>
              <w:tblW w:w="7734"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4260"/>
              <w:gridCol w:w="3474"/>
            </w:tblGrid>
            <w:tr>
              <w:trPr>
                <w:cantSplit/>
              </w:trPr>
              <w:tc>
                <w:tcPr>
                  <w:tcW w:w="7734" w:type="dxa"/>
                  <w:gridSpan w:val="2"/>
                  <w:tcBorders>
                    <w:top w:val="nil"/>
                    <w:left w:val="nil"/>
                    <w:bottom w:val="nil"/>
                    <w:right w:val="nil"/>
                    <w:tl2br w:val="nil"/>
                    <w:tr2bl w:val="nil"/>
                  </w:tcBorders>
                  <w:vAlign w:val="center"/>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外观与性状：</w:t>
                  </w:r>
                  <w:r>
                    <w:rPr>
                      <w:rFonts w:ascii="宋体" w:eastAsia="宋体" w:hint="eastAsia"/>
                      <w:vanish w:val="0"/>
                      <w:kern w:val="2"/>
                      <w:sz w:val="21"/>
                      <w:szCs w:val="21"/>
                    </w:rPr>
                    <w:t>无色或淡黄色易挥发液体, 具有特殊臭味。</w:t>
                  </w:r>
                </w:p>
              </w:tc>
            </w:tr>
            <w:tr>
              <w:trPr>
                <w:cantSplit/>
              </w:trPr>
              <w:tc>
                <w:tcPr>
                  <w:tcW w:w="4260" w:type="dxa"/>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pH值：</w:t>
                  </w:r>
                </w:p>
              </w:tc>
              <w:tc>
                <w:tcPr>
                  <w:tcW w:w="3474" w:type="dxa"/>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熔点（℃）：</w:t>
                  </w:r>
                  <w:r>
                    <w:rPr>
                      <w:rFonts w:ascii="宋体" w:eastAsia="宋体" w:hint="eastAsia"/>
                      <w:vanish w:val="0"/>
                      <w:kern w:val="2"/>
                      <w:sz w:val="21"/>
                      <w:szCs w:val="21"/>
                    </w:rPr>
                    <w:t>&lt;-60</w:t>
                  </w:r>
                </w:p>
              </w:tc>
            </w:tr>
            <w:tr>
              <w:trPr>
                <w:cantSplit/>
              </w:trPr>
              <w:tc>
                <w:tcPr>
                  <w:tcW w:w="4260" w:type="dxa"/>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相对密度（水＝1）：</w:t>
                  </w:r>
                  <w:r>
                    <w:rPr>
                      <w:rFonts w:ascii="宋体" w:eastAsia="宋体" w:hint="eastAsia"/>
                      <w:vanish w:val="0"/>
                      <w:kern w:val="2"/>
                      <w:sz w:val="21"/>
                      <w:szCs w:val="21"/>
                    </w:rPr>
                    <w:t>0.70～0.79</w:t>
                  </w:r>
                </w:p>
              </w:tc>
              <w:tc>
                <w:tcPr>
                  <w:tcW w:w="3474" w:type="dxa"/>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沸点（℃）：</w:t>
                  </w:r>
                  <w:r>
                    <w:rPr>
                      <w:rFonts w:ascii="宋体" w:eastAsia="宋体" w:hint="eastAsia"/>
                      <w:vanish w:val="0"/>
                      <w:kern w:val="2"/>
                      <w:sz w:val="21"/>
                      <w:szCs w:val="21"/>
                    </w:rPr>
                    <w:t>40～200</w:t>
                  </w:r>
                </w:p>
              </w:tc>
            </w:tr>
            <w:tr>
              <w:trPr>
                <w:cantSplit/>
              </w:trPr>
              <w:tc>
                <w:tcPr>
                  <w:tcW w:w="4260" w:type="dxa"/>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相对蒸气密度（空气＝1）：</w:t>
                  </w:r>
                  <w:r>
                    <w:rPr>
                      <w:rFonts w:ascii="宋体" w:eastAsia="宋体" w:hint="eastAsia"/>
                      <w:vanish w:val="0"/>
                      <w:kern w:val="2"/>
                      <w:sz w:val="21"/>
                      <w:szCs w:val="21"/>
                    </w:rPr>
                    <w:t>3.5</w:t>
                  </w:r>
                </w:p>
              </w:tc>
              <w:tc>
                <w:tcPr>
                  <w:tcW w:w="3474" w:type="dxa"/>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辛醇/水分配系数：</w:t>
                  </w:r>
                  <w:r>
                    <w:rPr>
                      <w:rFonts w:ascii="宋体" w:eastAsia="宋体" w:hint="eastAsia"/>
                      <w:vanish w:val="0"/>
                      <w:kern w:val="2"/>
                      <w:sz w:val="21"/>
                      <w:szCs w:val="21"/>
                    </w:rPr>
                    <w:t>无资料</w:t>
                  </w:r>
                </w:p>
              </w:tc>
            </w:tr>
            <w:tr>
              <w:trPr>
                <w:cantSplit/>
              </w:trPr>
              <w:tc>
                <w:tcPr>
                  <w:tcW w:w="4260" w:type="dxa"/>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闪点（℃）：</w:t>
                  </w:r>
                  <w:r>
                    <w:rPr>
                      <w:rFonts w:ascii="宋体" w:eastAsia="宋体" w:hint="eastAsia"/>
                      <w:vanish w:val="0"/>
                      <w:kern w:val="2"/>
                      <w:sz w:val="21"/>
                      <w:szCs w:val="21"/>
                    </w:rPr>
                    <w:t>-50</w:t>
                  </w:r>
                </w:p>
              </w:tc>
              <w:tc>
                <w:tcPr>
                  <w:tcW w:w="3474" w:type="dxa"/>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引燃温度（℃）：</w:t>
                  </w:r>
                  <w:r>
                    <w:rPr>
                      <w:rFonts w:ascii="宋体" w:eastAsia="宋体" w:hint="eastAsia"/>
                      <w:vanish w:val="0"/>
                      <w:kern w:val="2"/>
                      <w:sz w:val="21"/>
                      <w:szCs w:val="21"/>
                    </w:rPr>
                    <w:t>415～530</w:t>
                  </w:r>
                </w:p>
              </w:tc>
            </w:tr>
            <w:tr>
              <w:trPr>
                <w:cantSplit/>
              </w:trPr>
              <w:tc>
                <w:tcPr>
                  <w:tcW w:w="4260" w:type="dxa"/>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爆炸上限[％（V/V）]：</w:t>
                  </w:r>
                  <w:r>
                    <w:rPr>
                      <w:rFonts w:ascii="宋体" w:eastAsia="宋体" w:hint="eastAsia"/>
                      <w:vanish w:val="0"/>
                      <w:kern w:val="2"/>
                      <w:sz w:val="21"/>
                      <w:szCs w:val="21"/>
                    </w:rPr>
                    <w:t>6.0</w:t>
                  </w:r>
                </w:p>
              </w:tc>
              <w:tc>
                <w:tcPr>
                  <w:tcW w:w="3474" w:type="dxa"/>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爆炸下限[％（V/V）]：</w:t>
                  </w:r>
                  <w:r>
                    <w:rPr>
                      <w:rFonts w:ascii="宋体" w:eastAsia="宋体" w:hint="eastAsia"/>
                      <w:vanish w:val="0"/>
                      <w:kern w:val="2"/>
                      <w:sz w:val="21"/>
                      <w:szCs w:val="21"/>
                    </w:rPr>
                    <w:t>1.3</w:t>
                  </w:r>
                </w:p>
              </w:tc>
            </w:tr>
            <w:tr>
              <w:trPr>
                <w:cantSplit/>
              </w:trPr>
              <w:tc>
                <w:tcPr>
                  <w:tcW w:w="7734" w:type="dxa"/>
                  <w:gridSpan w:val="2"/>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溶解性：</w:t>
                  </w:r>
                  <w:r>
                    <w:rPr>
                      <w:rFonts w:ascii="宋体" w:eastAsia="宋体" w:hint="eastAsia"/>
                      <w:vanish w:val="0"/>
                      <w:kern w:val="2"/>
                      <w:sz w:val="21"/>
                      <w:szCs w:val="21"/>
                    </w:rPr>
                    <w:t>不溶于水，易溶于苯、二硫化碳、醇、脂肪。</w:t>
                  </w:r>
                </w:p>
              </w:tc>
            </w:tr>
            <w:tr>
              <w:trPr>
                <w:cantSplit/>
              </w:trPr>
              <w:tc>
                <w:tcPr>
                  <w:tcW w:w="7734" w:type="dxa"/>
                  <w:gridSpan w:val="2"/>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主要用途：</w:t>
                  </w:r>
                  <w:r>
                    <w:rPr>
                      <w:rFonts w:ascii="宋体" w:eastAsia="宋体" w:hint="eastAsia"/>
                      <w:vanish w:val="0"/>
                      <w:kern w:val="2"/>
                      <w:sz w:val="21"/>
                      <w:szCs w:val="21"/>
                    </w:rPr>
                    <w:t>主要用作汽油机的燃料, 用于橡胶、制鞋、印刷、制革、颜料等行业, 也可用作机械零件的去污剂。</w:t>
                  </w:r>
                </w:p>
              </w:tc>
            </w:tr>
          </w:tbl>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第十部分  稳定性和反应活性</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稳定性：</w:t>
            </w:r>
            <w:r>
              <w:rPr>
                <w:rFonts w:ascii="宋体" w:eastAsia="宋体" w:hint="eastAsia"/>
                <w:vanish w:val="0"/>
                <w:kern w:val="2"/>
                <w:sz w:val="21"/>
                <w:szCs w:val="21"/>
              </w:rPr>
              <w:t>稳定</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禁配物：</w:t>
            </w:r>
            <w:r>
              <w:rPr>
                <w:rFonts w:ascii="宋体" w:eastAsia="宋体" w:hint="eastAsia"/>
                <w:vanish w:val="0"/>
                <w:kern w:val="2"/>
                <w:sz w:val="21"/>
                <w:szCs w:val="21"/>
              </w:rPr>
              <w:t>强氧化剂。</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避免接触的条件:</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聚合危害：</w:t>
            </w:r>
            <w:r>
              <w:rPr>
                <w:rFonts w:ascii="宋体" w:eastAsia="宋体" w:hint="eastAsia"/>
                <w:vanish w:val="0"/>
                <w:kern w:val="2"/>
                <w:sz w:val="21"/>
                <w:szCs w:val="21"/>
              </w:rPr>
              <w:t>不聚合</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分解产物：</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第十一部分  毒理学资料</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急性毒性： LD</w:t>
            </w:r>
            <w:r>
              <w:rPr>
                <w:rFonts w:ascii="宋体" w:eastAsia="宋体" w:hint="eastAsia"/>
                <w:b/>
                <w:bCs w:val="0"/>
                <w:vanish w:val="0"/>
                <w:kern w:val="2"/>
                <w:sz w:val="21"/>
                <w:szCs w:val="21"/>
                <w:vertAlign w:val="subscript"/>
              </w:rPr>
              <w:t>50</w:t>
            </w:r>
            <w:r>
              <w:rPr>
                <w:rFonts w:ascii="宋体" w:eastAsia="宋体" w:hint="eastAsia"/>
                <w:vanish w:val="0"/>
                <w:kern w:val="2"/>
                <w:sz w:val="21"/>
                <w:szCs w:val="21"/>
              </w:rPr>
              <w:t>：67000 mg/kg(小鼠经口)(120号溶剂汽油)</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LC</w:t>
            </w:r>
            <w:r>
              <w:rPr>
                <w:rFonts w:ascii="宋体" w:eastAsia="宋体" w:hint="eastAsia"/>
                <w:b/>
                <w:bCs w:val="0"/>
                <w:vanish w:val="0"/>
                <w:kern w:val="2"/>
                <w:sz w:val="21"/>
                <w:szCs w:val="21"/>
                <w:vertAlign w:val="subscript"/>
              </w:rPr>
              <w:t>50</w:t>
            </w:r>
            <w:r>
              <w:rPr>
                <w:rFonts w:ascii="宋体" w:eastAsia="宋体" w:hint="eastAsia"/>
                <w:b/>
                <w:bCs w:val="0"/>
                <w:vanish w:val="0"/>
                <w:kern w:val="2"/>
                <w:sz w:val="21"/>
                <w:szCs w:val="21"/>
              </w:rPr>
              <w:t>：</w:t>
            </w:r>
            <w:r>
              <w:rPr>
                <w:rFonts w:ascii="宋体" w:eastAsia="宋体" w:hint="eastAsia"/>
                <w:vanish w:val="0"/>
                <w:kern w:val="2"/>
                <w:sz w:val="21"/>
                <w:szCs w:val="21"/>
              </w:rPr>
              <w:t>103000mg/m3，2小时(小鼠吸入)(120号溶剂汽油)</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刺激性：</w:t>
            </w:r>
            <w:r>
              <w:rPr>
                <w:rFonts w:ascii="宋体" w:eastAsia="宋体" w:hint="eastAsia"/>
                <w:vanish w:val="0"/>
                <w:kern w:val="2"/>
                <w:sz w:val="21"/>
                <w:szCs w:val="21"/>
              </w:rPr>
              <w:t>人经眼：140ppm/8小时，轻度刺激。</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第十二部分  生态学资料</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生态毒性：</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生物降解性：</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非生物降解性：</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其它有害作用：</w:t>
            </w:r>
            <w:r>
              <w:rPr>
                <w:rFonts w:ascii="宋体" w:eastAsia="宋体" w:hint="eastAsia"/>
                <w:vanish w:val="0"/>
                <w:kern w:val="2"/>
                <w:sz w:val="21"/>
                <w:szCs w:val="21"/>
              </w:rPr>
              <w:t>该物质对环境可能有危害，对水体应给予特别注意。</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第十三部分  废 弃 处 置</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废弃物性质：</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废弃处置方法：</w:t>
            </w:r>
            <w:r>
              <w:rPr>
                <w:rFonts w:ascii="宋体" w:eastAsia="宋体" w:hint="eastAsia"/>
                <w:vanish w:val="0"/>
                <w:kern w:val="2"/>
                <w:sz w:val="21"/>
                <w:szCs w:val="21"/>
              </w:rPr>
              <w:t>用焚烧法处置。</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废弃注意事项：</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第十四部分  运 输 信 息</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危险化学品目录序号：</w:t>
            </w:r>
            <w:r>
              <w:rPr>
                <w:rFonts w:ascii="宋体" w:eastAsia="宋体" w:hint="eastAsia"/>
                <w:vanish w:val="0"/>
                <w:kern w:val="2"/>
                <w:sz w:val="21"/>
                <w:szCs w:val="21"/>
              </w:rPr>
              <w:t>1630</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UN编号：</w:t>
            </w:r>
            <w:r>
              <w:rPr>
                <w:rFonts w:ascii="宋体" w:eastAsia="宋体" w:hint="eastAsia"/>
                <w:vanish w:val="0"/>
                <w:kern w:val="2"/>
                <w:sz w:val="21"/>
                <w:szCs w:val="21"/>
              </w:rPr>
              <w:t>1203</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包装标志：</w:t>
            </w:r>
            <w:r>
              <w:rPr>
                <w:rFonts w:ascii="宋体" w:eastAsia="宋体" w:hint="eastAsia"/>
                <w:vanish w:val="0"/>
                <w:kern w:val="2"/>
                <w:sz w:val="21"/>
                <w:szCs w:val="21"/>
              </w:rPr>
              <w:t>易燃液体</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包装类别：</w:t>
            </w:r>
            <w:r>
              <w:rPr>
                <w:rFonts w:ascii="宋体" w:eastAsia="宋体" w:hint="eastAsia"/>
                <w:vanish w:val="0"/>
                <w:kern w:val="2"/>
                <w:sz w:val="21"/>
                <w:szCs w:val="21"/>
              </w:rPr>
              <w:t>O52</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包装方法：</w:t>
            </w:r>
            <w:r>
              <w:rPr>
                <w:rFonts w:ascii="宋体" w:eastAsia="宋体" w:hint="eastAsia"/>
                <w:vanish w:val="0"/>
                <w:kern w:val="2"/>
                <w:sz w:val="21"/>
                <w:szCs w:val="21"/>
              </w:rPr>
              <w:t>小开口钢桶；安瓿瓶外普通木箱；螺纹口玻璃瓶、铁盖压口玻璃瓶、塑料瓶</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或</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金属桶（罐）外普通木箱。</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运输注意事项：</w:t>
            </w:r>
            <w:r>
              <w:rPr>
                <w:rFonts w:ascii="宋体" w:eastAsia="宋体" w:hint="eastAsia"/>
                <w:vanish w:val="0"/>
                <w:kern w:val="2"/>
                <w:sz w:val="21"/>
                <w:szCs w:val="21"/>
              </w:rPr>
              <w:t>本品铁路运输时限使用钢制企业自备罐车装运，装运前需报有关部门批</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准。运输时运输车辆应配备相应品种和数量的消防器材及泄漏应急处理设备。夏季最好</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早晚运输。运输时所用的槽（罐）车应有接地链，槽内可设孔隔板以减少震荡产生静电。</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严禁与氧化剂等混装混运。运输途中应防曝晒、雨淋，防高温。中途停留时应远离火</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种、热源、高温区。装运该物品的车辆排气管必须配备阻火装置，禁止使用易产生火花</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的机械设备和工具装卸。公路运输时要按规定路线行驶，勿在居民区和人口稠密区停留</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。铁路运输时要禁止溜放。严禁用木船、水泥船散装运输。</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nish w:val="0"/>
                <w:kern w:val="2"/>
                <w:sz w:val="21"/>
                <w:szCs w:val="21"/>
              </w:rPr>
            </w:pPr>
            <w:r>
              <w:rPr>
                <w:rFonts w:ascii="宋体" w:eastAsia="宋体" w:hint="eastAsia"/>
                <w:b/>
                <w:bCs/>
                <w:vanish w:val="0"/>
                <w:kern w:val="2"/>
                <w:sz w:val="21"/>
                <w:szCs w:val="21"/>
              </w:rPr>
              <w:t>第十五部分  法 规 信 息</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法规信息：《危险化学品安全管理条例》（国务院令第591号，国务院令第645号），</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《危险化学品经营许可证管理办法》（安监总局令第55号，总局令第79号修订）对生</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产、使用、储存、经营条件做了相关规定；《危险货物分类和品名编号》（GB6944-2012</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）对运输、储存、包装做了相关要求，《化学品分类和危险性公示 通则》（GB13690-</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2009）进行了分类。</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nish w:val="0"/>
                <w:kern w:val="2"/>
                <w:sz w:val="21"/>
                <w:szCs w:val="21"/>
              </w:rPr>
            </w:pPr>
            <w:r>
              <w:rPr>
                <w:rFonts w:ascii="宋体" w:eastAsia="宋体" w:hint="eastAsia"/>
                <w:b/>
                <w:bCs/>
                <w:vanish w:val="0"/>
                <w:kern w:val="2"/>
                <w:sz w:val="21"/>
                <w:szCs w:val="21"/>
              </w:rPr>
              <w:t>第十六部分  其 它 信 息</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无。</w:t>
            </w:r>
          </w:p>
        </w:tc>
      </w:tr>
    </w:tbl>
    <w:p>
      <w:pPr>
        <w:pBdr>
          <w:top w:val="none" w:sz="0" w:space="0" w:color="auto"/>
          <w:left w:val="none" w:sz="0" w:space="0" w:color="auto"/>
          <w:bottom w:val="none" w:sz="0" w:space="0" w:color="auto"/>
          <w:right w:val="none" w:sz="0" w:space="0" w:color="auto"/>
        </w:pBdr>
        <w:jc w:val="center"/>
        <w:rPr>
          <w:rFonts w:ascii="宋体" w:eastAsia="宋体" w:hint="eastAsia"/>
          <w:vanish w:val="0"/>
          <w:kern w:val="2"/>
          <w:sz w:val="24"/>
          <w:szCs w:val="24"/>
        </w:rPr>
      </w:pPr>
    </w:p>
    <w:p>
      <w:pPr>
        <w:pBdr>
          <w:top w:val="none" w:sz="0" w:space="0" w:color="auto"/>
          <w:left w:val="none" w:sz="0" w:space="0" w:color="auto"/>
          <w:bottom w:val="none" w:sz="0" w:space="0" w:color="auto"/>
          <w:right w:val="none" w:sz="0" w:space="0" w:color="auto"/>
        </w:pBdr>
        <w:jc w:val="center"/>
        <w:rPr>
          <w:rFonts w:ascii="宋体" w:eastAsia="宋体" w:hint="eastAsia"/>
          <w:b/>
          <w:bCs/>
          <w:vanish w:val="0"/>
          <w:kern w:val="2"/>
          <w:sz w:val="21"/>
          <w:szCs w:val="21"/>
        </w:rPr>
      </w:pPr>
      <w:r>
        <w:rPr>
          <w:rFonts w:ascii="宋体" w:eastAsia="宋体" w:hint="eastAsia"/>
          <w:b/>
          <w:bCs/>
          <w:vanish w:val="0"/>
          <w:kern w:val="2"/>
          <w:sz w:val="21"/>
          <w:szCs w:val="21"/>
        </w:rPr>
        <w:t>表1.1-2 柴油安全数据表</w:t>
      </w:r>
    </w:p>
    <w:tbl>
      <w:tblPr>
        <w:jc w:val="left"/>
        <w:tblW w:w="5000" w:type="pct"/>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0" w:type="dxa"/>
          <w:left w:w="108" w:type="dxa"/>
          <w:bottom w:w="0" w:type="dxa"/>
          <w:right w:w="108" w:type="dxa"/>
        </w:tblCellMar>
      </w:tblPr>
      <w:tblGrid>
        <w:gridCol w:w="8296"/>
      </w:tblGrid>
      <w:tr>
        <w:tc>
          <w:tcPr>
            <w:tcW w:w="5000" w:type="pct"/>
            <w:tcBorders>
              <w:top w:val="single" w:sz="4" w:space="0" w:color="auto"/>
              <w:left w:val="single" w:sz="4" w:space="0" w:color="auto"/>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化学品安全技术说明书</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第一部分  化学品及企业标识</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b/>
                <w:bCs w:val="0"/>
                <w:vanish w:val="0"/>
                <w:kern w:val="2"/>
                <w:sz w:val="21"/>
                <w:szCs w:val="21"/>
              </w:rPr>
            </w:pPr>
            <w:r>
              <w:rPr>
                <w:rFonts w:ascii="宋体" w:eastAsia="宋体" w:hint="eastAsia"/>
                <w:b/>
                <w:bCs w:val="0"/>
                <w:vanish w:val="0"/>
                <w:kern w:val="2"/>
                <w:sz w:val="21"/>
                <w:szCs w:val="21"/>
              </w:rPr>
              <w:t>化学品中文名：</w:t>
            </w:r>
            <w:r>
              <w:rPr>
                <w:rFonts w:ascii="宋体" w:eastAsia="宋体" w:hint="eastAsia"/>
                <w:bCs/>
                <w:vanish w:val="0"/>
                <w:kern w:val="2"/>
                <w:sz w:val="21"/>
                <w:szCs w:val="21"/>
              </w:rPr>
              <w:t>柴油</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b/>
                <w:bCs w:val="0"/>
                <w:vanish w:val="0"/>
                <w:kern w:val="2"/>
                <w:sz w:val="21"/>
                <w:szCs w:val="21"/>
              </w:rPr>
              <w:t>化学品英文名：</w:t>
            </w:r>
            <w:r>
              <w:rPr>
                <w:rFonts w:ascii="宋体" w:eastAsia="宋体" w:hint="eastAsia"/>
                <w:vanish w:val="0"/>
                <w:kern w:val="2"/>
                <w:sz w:val="21"/>
                <w:szCs w:val="21"/>
              </w:rPr>
              <w:t>Diesel oil</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第二部分  成分/组成信息</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纯品×               混合物√</w:t>
            </w:r>
          </w:p>
          <w:tbl>
            <w:tblPr>
              <w:jc w:val="left"/>
              <w:tblW w:w="7899"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3708"/>
              <w:gridCol w:w="2340"/>
              <w:gridCol w:w="1851"/>
            </w:tblGrid>
            <w:tr>
              <w:tc>
                <w:tcPr>
                  <w:tcW w:w="3708" w:type="dxa"/>
                  <w:tcBorders>
                    <w:top w:val="nil"/>
                    <w:left w:val="nil"/>
                    <w:bottom w:val="nil"/>
                    <w:right w:val="nil"/>
                    <w:tl2br w:val="nil"/>
                    <w:tr2bl w:val="nil"/>
                  </w:tcBorders>
                  <w:vAlign w:val="center"/>
                </w:tcPr>
                <w:p>
                  <w:pPr>
                    <w:pBdr>
                      <w:top w:val="none" w:sz="0" w:space="0" w:color="auto"/>
                      <w:left w:val="none" w:sz="0" w:space="0" w:color="auto"/>
                      <w:bottom w:val="none" w:sz="0" w:space="0" w:color="auto"/>
                      <w:right w:val="none" w:sz="0" w:space="0" w:color="auto"/>
                    </w:pBdr>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有害物成分</w:t>
                  </w:r>
                </w:p>
              </w:tc>
              <w:tc>
                <w:tcPr>
                  <w:tcW w:w="2340" w:type="dxa"/>
                  <w:tcBorders>
                    <w:top w:val="nil"/>
                    <w:left w:val="nil"/>
                    <w:bottom w:val="nil"/>
                    <w:right w:val="nil"/>
                    <w:tl2br w:val="nil"/>
                    <w:tr2bl w:val="nil"/>
                  </w:tcBorders>
                  <w:vAlign w:val="center"/>
                </w:tcPr>
                <w:p>
                  <w:pPr>
                    <w:pBdr>
                      <w:top w:val="none" w:sz="0" w:space="0" w:color="auto"/>
                      <w:left w:val="none" w:sz="0" w:space="0" w:color="auto"/>
                      <w:bottom w:val="none" w:sz="0" w:space="0" w:color="auto"/>
                      <w:right w:val="none" w:sz="0" w:space="0" w:color="auto"/>
                    </w:pBdr>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浓度</w:t>
                  </w:r>
                </w:p>
              </w:tc>
              <w:tc>
                <w:tcPr>
                  <w:tcW w:w="1851" w:type="dxa"/>
                  <w:tcBorders>
                    <w:top w:val="nil"/>
                    <w:left w:val="nil"/>
                    <w:bottom w:val="nil"/>
                    <w:right w:val="nil"/>
                    <w:tl2br w:val="nil"/>
                    <w:tr2bl w:val="nil"/>
                  </w:tcBorders>
                  <w:vAlign w:val="center"/>
                </w:tcPr>
                <w:p>
                  <w:pPr>
                    <w:pBdr>
                      <w:top w:val="none" w:sz="0" w:space="0" w:color="auto"/>
                      <w:left w:val="none" w:sz="0" w:space="0" w:color="auto"/>
                      <w:bottom w:val="none" w:sz="0" w:space="0" w:color="auto"/>
                      <w:right w:val="none" w:sz="0" w:space="0" w:color="auto"/>
                    </w:pBdr>
                    <w:ind w:left="0" w:right="0"/>
                    <w:jc w:val="center"/>
                    <w:rPr>
                      <w:rFonts w:ascii="宋体" w:eastAsia="宋体" w:hint="eastAsia"/>
                      <w:b/>
                      <w:bCs w:val="0"/>
                      <w:i/>
                      <w:iCs/>
                      <w:vanish w:val="0"/>
                      <w:kern w:val="2"/>
                      <w:sz w:val="21"/>
                      <w:szCs w:val="21"/>
                    </w:rPr>
                  </w:pPr>
                  <w:r>
                    <w:rPr>
                      <w:rFonts w:ascii="宋体" w:eastAsia="宋体" w:hint="eastAsia"/>
                      <w:b/>
                      <w:bCs w:val="0"/>
                      <w:i/>
                      <w:iCs/>
                      <w:vanish w:val="0"/>
                      <w:kern w:val="2"/>
                      <w:sz w:val="21"/>
                      <w:szCs w:val="21"/>
                    </w:rPr>
                    <w:t>CAS No.</w:t>
                  </w:r>
                </w:p>
              </w:tc>
            </w:tr>
            <w:tr>
              <w:tc>
                <w:tcPr>
                  <w:tcW w:w="3708" w:type="dxa"/>
                  <w:tcBorders>
                    <w:top w:val="nil"/>
                    <w:left w:val="nil"/>
                    <w:bottom w:val="nil"/>
                    <w:right w:val="nil"/>
                    <w:tl2br w:val="nil"/>
                    <w:tr2bl w:val="nil"/>
                  </w:tcBorders>
                  <w:vAlign w:val="center"/>
                </w:tcPr>
                <w:p>
                  <w:pPr>
                    <w:pBdr>
                      <w:top w:val="none" w:sz="0" w:space="0" w:color="auto"/>
                      <w:left w:val="none" w:sz="0" w:space="0" w:color="auto"/>
                      <w:bottom w:val="none" w:sz="0" w:space="0" w:color="auto"/>
                      <w:right w:val="none" w:sz="0" w:space="0" w:color="auto"/>
                    </w:pBdr>
                    <w:ind w:left="0" w:right="0"/>
                    <w:jc w:val="center"/>
                    <w:rPr>
                      <w:rFonts w:ascii="宋体" w:eastAsia="宋体" w:hint="eastAsia"/>
                      <w:vanish w:val="0"/>
                      <w:kern w:val="2"/>
                      <w:sz w:val="21"/>
                      <w:szCs w:val="21"/>
                    </w:rPr>
                  </w:pPr>
                </w:p>
              </w:tc>
              <w:tc>
                <w:tcPr>
                  <w:tcW w:w="2340" w:type="dxa"/>
                  <w:tcBorders>
                    <w:top w:val="nil"/>
                    <w:left w:val="nil"/>
                    <w:bottom w:val="nil"/>
                    <w:right w:val="nil"/>
                    <w:tl2br w:val="nil"/>
                    <w:tr2bl w:val="nil"/>
                  </w:tcBorders>
                  <w:vAlign w:val="center"/>
                </w:tcPr>
                <w:p>
                  <w:pPr>
                    <w:pBdr>
                      <w:top w:val="none" w:sz="0" w:space="0" w:color="auto"/>
                      <w:left w:val="none" w:sz="0" w:space="0" w:color="auto"/>
                      <w:bottom w:val="none" w:sz="0" w:space="0" w:color="auto"/>
                      <w:right w:val="none" w:sz="0" w:space="0" w:color="auto"/>
                    </w:pBdr>
                    <w:ind w:left="0" w:right="0"/>
                    <w:jc w:val="center"/>
                    <w:rPr>
                      <w:rFonts w:ascii="宋体" w:eastAsia="宋体" w:hint="eastAsia"/>
                      <w:vanish w:val="0"/>
                      <w:kern w:val="2"/>
                      <w:sz w:val="21"/>
                      <w:szCs w:val="21"/>
                    </w:rPr>
                  </w:pPr>
                </w:p>
              </w:tc>
              <w:tc>
                <w:tcPr>
                  <w:tcW w:w="1851" w:type="dxa"/>
                  <w:tcBorders>
                    <w:top w:val="nil"/>
                    <w:left w:val="nil"/>
                    <w:bottom w:val="nil"/>
                    <w:right w:val="nil"/>
                    <w:tl2br w:val="nil"/>
                    <w:tr2bl w:val="nil"/>
                  </w:tcBorders>
                  <w:vAlign w:val="center"/>
                </w:tcPr>
                <w:p>
                  <w:pPr>
                    <w:pBdr>
                      <w:top w:val="none" w:sz="0" w:space="0" w:color="auto"/>
                      <w:left w:val="none" w:sz="0" w:space="0" w:color="auto"/>
                      <w:bottom w:val="none" w:sz="0" w:space="0" w:color="auto"/>
                      <w:right w:val="none" w:sz="0" w:space="0" w:color="auto"/>
                    </w:pBdr>
                    <w:ind w:left="0" w:right="0"/>
                    <w:jc w:val="center"/>
                    <w:rPr>
                      <w:rFonts w:ascii="宋体" w:eastAsia="宋体" w:hint="eastAsia"/>
                      <w:vanish w:val="0"/>
                      <w:kern w:val="2"/>
                      <w:sz w:val="21"/>
                      <w:szCs w:val="21"/>
                    </w:rPr>
                  </w:pPr>
                </w:p>
              </w:tc>
            </w:tr>
          </w:tbl>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第三部分  危险性概述</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危险性类别：</w:t>
            </w:r>
            <w:r>
              <w:rPr>
                <w:rFonts w:ascii="宋体" w:eastAsia="宋体" w:hint="eastAsia"/>
                <w:vanish w:val="0"/>
                <w:kern w:val="2"/>
                <w:sz w:val="21"/>
                <w:szCs w:val="21"/>
              </w:rPr>
              <w:t>第3.3类  高闪点易燃液体</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侵入途径：</w:t>
            </w:r>
            <w:r>
              <w:rPr>
                <w:rFonts w:ascii="宋体" w:eastAsia="宋体" w:hint="eastAsia"/>
                <w:vanish w:val="0"/>
                <w:kern w:val="2"/>
                <w:sz w:val="21"/>
                <w:szCs w:val="21"/>
              </w:rPr>
              <w:t>吸入、食入、经皮吸收</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健康危害：</w:t>
            </w:r>
            <w:r>
              <w:rPr>
                <w:rFonts w:ascii="宋体" w:eastAsia="宋体" w:hint="eastAsia"/>
                <w:vanish w:val="0"/>
                <w:kern w:val="2"/>
                <w:sz w:val="21"/>
                <w:szCs w:val="21"/>
              </w:rPr>
              <w:t>皮肤接触可为主要吸收途径，可致急性肾脏损害。柴油可引起接触性皮炎、油</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性痤疮。吸入其雾滴或液体呛入可引起吸入性肺炎。能经胎盘进入胎儿血中。柴油废气可</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vanish w:val="0"/>
                <w:kern w:val="2"/>
                <w:sz w:val="21"/>
                <w:szCs w:val="21"/>
              </w:rPr>
              <w:t>引起眼、鼻刺激症状，头晕及头痛。</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环境危害：</w:t>
            </w:r>
            <w:r>
              <w:rPr>
                <w:rFonts w:ascii="宋体" w:eastAsia="宋体" w:hint="eastAsia"/>
                <w:vanish w:val="0"/>
                <w:kern w:val="2"/>
                <w:sz w:val="21"/>
                <w:szCs w:val="21"/>
              </w:rPr>
              <w:t>对环境有危害，对水体和大气可造成污染。</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燃爆危险：</w:t>
            </w:r>
            <w:r>
              <w:rPr>
                <w:rFonts w:ascii="宋体" w:eastAsia="宋体" w:hint="eastAsia"/>
                <w:vanish w:val="0"/>
                <w:kern w:val="2"/>
                <w:sz w:val="21"/>
                <w:szCs w:val="21"/>
              </w:rPr>
              <w:t>本品易燃，具刺激性。</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第四部分  急 救 措 施</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皮肤接触：</w:t>
            </w:r>
            <w:r>
              <w:rPr>
                <w:rFonts w:ascii="宋体" w:eastAsia="宋体" w:hint="eastAsia"/>
                <w:vanish w:val="0"/>
                <w:kern w:val="2"/>
                <w:sz w:val="21"/>
                <w:szCs w:val="21"/>
              </w:rPr>
              <w:t>立即脱去污染的衣着，用肥皂水和清水彻底冲洗皮肤。就医。</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眼睛接触：</w:t>
            </w:r>
            <w:r>
              <w:rPr>
                <w:rFonts w:ascii="宋体" w:eastAsia="宋体" w:hint="eastAsia"/>
                <w:vanish w:val="0"/>
                <w:kern w:val="2"/>
                <w:sz w:val="21"/>
                <w:szCs w:val="21"/>
              </w:rPr>
              <w:t>提起眼睑，用流动清水或生理盐水冲洗。就医。</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吸入：</w:t>
            </w:r>
            <w:r>
              <w:rPr>
                <w:rFonts w:ascii="宋体" w:eastAsia="宋体" w:hint="eastAsia"/>
                <w:vanish w:val="0"/>
                <w:kern w:val="2"/>
                <w:sz w:val="21"/>
                <w:szCs w:val="21"/>
              </w:rPr>
              <w:t>迅速脱离现场至空气新鲜处。保持呼吸道通畅。如呼吸困难，给输氧。如呼吸停</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vanish w:val="0"/>
                <w:kern w:val="2"/>
                <w:sz w:val="21"/>
                <w:szCs w:val="21"/>
              </w:rPr>
              <w:t>止，立即进行人工呼吸。就医。</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食入：</w:t>
            </w:r>
            <w:r>
              <w:rPr>
                <w:rFonts w:ascii="宋体" w:eastAsia="宋体" w:hint="eastAsia"/>
                <w:vanish w:val="0"/>
                <w:kern w:val="2"/>
                <w:sz w:val="21"/>
                <w:szCs w:val="21"/>
              </w:rPr>
              <w:t>尽快彻底洗胃。就医。</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第五部分  消 防 措 施</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危险特性：</w:t>
            </w:r>
            <w:r>
              <w:rPr>
                <w:rFonts w:ascii="宋体" w:eastAsia="宋体" w:hint="eastAsia"/>
                <w:vanish w:val="0"/>
                <w:kern w:val="2"/>
                <w:sz w:val="21"/>
                <w:szCs w:val="21"/>
              </w:rPr>
              <w:t>遇明火、高热或与氧化剂接触，有引起燃烧爆炸的危险。若遇高热，容器</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vanish w:val="0"/>
                <w:kern w:val="2"/>
                <w:sz w:val="21"/>
                <w:szCs w:val="21"/>
              </w:rPr>
              <w:t>内压增大，有开裂和爆炸的危险。</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有害燃烧产物：</w:t>
            </w:r>
            <w:r>
              <w:rPr>
                <w:rFonts w:ascii="宋体" w:eastAsia="宋体" w:hint="eastAsia"/>
                <w:vanish w:val="0"/>
                <w:kern w:val="2"/>
                <w:sz w:val="21"/>
                <w:szCs w:val="21"/>
              </w:rPr>
              <w:t>一氧化碳、二氧化碳。</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灭火方法：</w:t>
            </w:r>
            <w:r>
              <w:rPr>
                <w:rFonts w:ascii="宋体" w:eastAsia="宋体" w:hint="eastAsia"/>
                <w:vanish w:val="0"/>
                <w:kern w:val="2"/>
                <w:sz w:val="21"/>
                <w:szCs w:val="21"/>
              </w:rPr>
              <w:t>消防人员须佩戴防毒面具、穿全身消防服，在上风向灭火。尽可能将容器</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从火场移至空旷处。喷水保持火场容器冷却，直至灭火结束。处在火场中的容器若已</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变色或从安全泄压装置中产生声音，必须马上撤离。灭火剂：雾状水、泡沫、干粉、</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二氧化碳、砂土。</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第六部分  泄漏应急处理</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应急处理：</w:t>
            </w:r>
            <w:r>
              <w:rPr>
                <w:rFonts w:ascii="宋体" w:eastAsia="宋体" w:hint="eastAsia"/>
                <w:vanish w:val="0"/>
                <w:kern w:val="2"/>
                <w:sz w:val="21"/>
                <w:szCs w:val="21"/>
              </w:rPr>
              <w:t>迅速撤离泄漏污染区人员至安全区，并进行隔离，严格限制出入。切断火</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源。建议应急处理人员戴自给正压式呼吸器，穿一般作业工作服。尽可能切断泄漏</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源。防止流入下水道、排洪沟等限制性空间。小量泄漏：用活性炭或其它惰性材料吸</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收。大量泄漏：构筑围堤或挖坑收容。用泵转移至槽车或专用收集器内，回收或运</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vanish w:val="0"/>
                <w:kern w:val="2"/>
                <w:sz w:val="21"/>
                <w:szCs w:val="21"/>
              </w:rPr>
              <w:t>至废物处理场所处置。</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第七部分  操作处置与储存</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操作注意事项：</w:t>
            </w:r>
            <w:r>
              <w:rPr>
                <w:rFonts w:ascii="宋体" w:eastAsia="宋体" w:hint="eastAsia"/>
                <w:vanish w:val="0"/>
                <w:kern w:val="2"/>
                <w:sz w:val="21"/>
                <w:szCs w:val="21"/>
              </w:rPr>
              <w:t>密闭操作，注意通风。操作人员必须经过专门培训，严格遵守操作</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规程。建议操作人员佩戴自吸过滤式防毒面具（半面罩），戴化学安全防护眼镜，戴</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橡胶耐油手套。远离火种、热源，工作场所严禁吸烟。使用防爆型的通风系统和设</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备。防止蒸气泄漏到工作场所空气中。避免与氧化剂、卤素接触。充装要控制流速，</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防止静电积聚。搬运时要轻装轻卸，防止包装及容器损坏。配备相应品种和数量的</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vanish w:val="0"/>
                <w:kern w:val="2"/>
                <w:sz w:val="21"/>
                <w:szCs w:val="21"/>
              </w:rPr>
              <w:t>消防器材及泄漏应急处理设备。倒空的容器可能残留有害物。</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储存注意事项：</w:t>
            </w:r>
            <w:r>
              <w:rPr>
                <w:rFonts w:ascii="宋体" w:eastAsia="宋体" w:hint="eastAsia"/>
                <w:vanish w:val="0"/>
                <w:kern w:val="2"/>
                <w:sz w:val="21"/>
                <w:szCs w:val="21"/>
              </w:rPr>
              <w:t>储存于阴凉、通风的库房。远离火种、热源。应与氧化剂、卤素分</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开存放，切忌混储。采用防爆型照明、通风设施。禁止使用易产生火花的机械设备</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和工具。储区应备有泄漏应急处理设备和合适的收容材料。</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第八部分  接触控制/个体防护</w:t>
            </w:r>
          </w:p>
          <w:tbl>
            <w:tblPr>
              <w:jc w:val="left"/>
              <w:tblW w:w="7419"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468"/>
              <w:gridCol w:w="3336"/>
              <w:gridCol w:w="3615"/>
            </w:tblGrid>
            <w:tr>
              <w:trPr>
                <w:cantSplit/>
              </w:trPr>
              <w:tc>
                <w:tcPr>
                  <w:tcW w:w="7419" w:type="dxa"/>
                  <w:gridSpan w:val="3"/>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职业接触限值：</w:t>
                  </w:r>
                </w:p>
              </w:tc>
            </w:tr>
            <w:tr>
              <w:trPr>
                <w:cantSplit/>
              </w:trPr>
              <w:tc>
                <w:tcPr>
                  <w:tcW w:w="468" w:type="dxa"/>
                  <w:tcBorders>
                    <w:top w:val="nil"/>
                    <w:left w:val="nil"/>
                    <w:bottom w:val="nil"/>
                    <w:right w:val="nil"/>
                    <w:tl2br w:val="nil"/>
                    <w:tr2bl w:val="nil"/>
                  </w:tcBorders>
                </w:tcPr>
                <w:p>
                  <w:pPr>
                    <w:ind w:left="0" w:right="0"/>
                    <w:rPr>
                      <w:rFonts w:ascii="宋体" w:eastAsia="宋体" w:hint="eastAsia"/>
                      <w:vanish w:val="0"/>
                      <w:kern w:val="2"/>
                      <w:sz w:val="21"/>
                      <w:szCs w:val="21"/>
                    </w:rPr>
                  </w:pPr>
                </w:p>
              </w:tc>
              <w:tc>
                <w:tcPr>
                  <w:tcW w:w="3336" w:type="dxa"/>
                  <w:tcBorders>
                    <w:top w:val="nil"/>
                    <w:left w:val="nil"/>
                    <w:bottom w:val="nil"/>
                    <w:right w:val="nil"/>
                    <w:tl2br w:val="nil"/>
                    <w:tr2bl w:val="nil"/>
                  </w:tcBorders>
                </w:tcPr>
                <w:p>
                  <w:pPr>
                    <w:ind w:left="0" w:right="0"/>
                    <w:rPr>
                      <w:rFonts w:ascii="宋体" w:eastAsia="宋体" w:hint="eastAsia"/>
                      <w:vanish w:val="0"/>
                      <w:kern w:val="2"/>
                      <w:sz w:val="21"/>
                      <w:szCs w:val="21"/>
                    </w:rPr>
                  </w:pPr>
                  <w:r>
                    <w:rPr>
                      <w:rFonts w:ascii="宋体" w:eastAsia="宋体" w:hint="eastAsia"/>
                      <w:b/>
                      <w:bCs w:val="0"/>
                      <w:vanish w:val="0"/>
                      <w:kern w:val="2"/>
                      <w:sz w:val="21"/>
                      <w:szCs w:val="21"/>
                    </w:rPr>
                    <w:t>中国MAC(mg/m</w:t>
                  </w:r>
                  <w:r>
                    <w:rPr>
                      <w:rFonts w:ascii="宋体" w:eastAsia="宋体" w:hint="eastAsia"/>
                      <w:b/>
                      <w:bCs w:val="0"/>
                      <w:vanish w:val="0"/>
                      <w:kern w:val="2"/>
                      <w:sz w:val="21"/>
                      <w:szCs w:val="21"/>
                      <w:vertAlign w:val="superscript"/>
                    </w:rPr>
                    <w:t>3</w:t>
                  </w:r>
                  <w:r>
                    <w:rPr>
                      <w:rFonts w:ascii="宋体" w:eastAsia="宋体" w:hint="eastAsia"/>
                      <w:b/>
                      <w:bCs w:val="0"/>
                      <w:vanish w:val="0"/>
                      <w:kern w:val="2"/>
                      <w:sz w:val="21"/>
                      <w:szCs w:val="21"/>
                    </w:rPr>
                    <w:t>)：</w:t>
                  </w:r>
                  <w:r>
                    <w:rPr>
                      <w:rFonts w:ascii="宋体" w:eastAsia="宋体" w:hint="eastAsia"/>
                      <w:vanish w:val="0"/>
                      <w:kern w:val="2"/>
                      <w:sz w:val="21"/>
                      <w:szCs w:val="21"/>
                    </w:rPr>
                    <w:t>未制定标准</w:t>
                  </w:r>
                </w:p>
              </w:tc>
              <w:tc>
                <w:tcPr>
                  <w:tcW w:w="3615" w:type="dxa"/>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前苏联MAC(mg/m</w:t>
                  </w:r>
                  <w:r>
                    <w:rPr>
                      <w:rFonts w:ascii="宋体" w:eastAsia="宋体" w:hint="eastAsia"/>
                      <w:b/>
                      <w:bCs w:val="0"/>
                      <w:vanish w:val="0"/>
                      <w:kern w:val="2"/>
                      <w:sz w:val="21"/>
                      <w:szCs w:val="21"/>
                      <w:vertAlign w:val="superscript"/>
                    </w:rPr>
                    <w:t>3</w:t>
                  </w:r>
                  <w:r>
                    <w:rPr>
                      <w:rFonts w:ascii="宋体" w:eastAsia="宋体" w:hint="eastAsia"/>
                      <w:b/>
                      <w:bCs w:val="0"/>
                      <w:vanish w:val="0"/>
                      <w:kern w:val="2"/>
                      <w:sz w:val="21"/>
                      <w:szCs w:val="21"/>
                    </w:rPr>
                    <w:t>)</w:t>
                  </w:r>
                  <w:r>
                    <w:rPr>
                      <w:rFonts w:ascii="宋体" w:eastAsia="宋体" w:hint="eastAsia"/>
                      <w:vanish w:val="0"/>
                      <w:kern w:val="2"/>
                      <w:sz w:val="21"/>
                      <w:szCs w:val="21"/>
                    </w:rPr>
                    <w:t>：未制定标准</w:t>
                  </w:r>
                </w:p>
              </w:tc>
            </w:tr>
            <w:tr>
              <w:trPr>
                <w:cantSplit/>
              </w:trPr>
              <w:tc>
                <w:tcPr>
                  <w:tcW w:w="468" w:type="dxa"/>
                  <w:tcBorders>
                    <w:top w:val="nil"/>
                    <w:left w:val="nil"/>
                    <w:bottom w:val="nil"/>
                    <w:right w:val="nil"/>
                    <w:tl2br w:val="nil"/>
                    <w:tr2bl w:val="nil"/>
                  </w:tcBorders>
                </w:tcPr>
                <w:p>
                  <w:pPr>
                    <w:ind w:left="0" w:right="0"/>
                    <w:rPr>
                      <w:rFonts w:ascii="宋体" w:eastAsia="宋体" w:hint="eastAsia"/>
                      <w:vanish w:val="0"/>
                      <w:kern w:val="2"/>
                      <w:sz w:val="21"/>
                      <w:szCs w:val="21"/>
                    </w:rPr>
                  </w:pPr>
                </w:p>
              </w:tc>
              <w:tc>
                <w:tcPr>
                  <w:tcW w:w="6951" w:type="dxa"/>
                  <w:gridSpan w:val="2"/>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TLVTN：</w:t>
                  </w:r>
                  <w:r>
                    <w:rPr>
                      <w:rFonts w:ascii="宋体" w:eastAsia="宋体" w:hint="eastAsia"/>
                      <w:vanish w:val="0"/>
                      <w:kern w:val="2"/>
                      <w:sz w:val="21"/>
                      <w:szCs w:val="21"/>
                    </w:rPr>
                    <w:t>未制订标准</w:t>
                  </w:r>
                </w:p>
              </w:tc>
            </w:tr>
            <w:tr>
              <w:trPr>
                <w:cantSplit/>
              </w:trPr>
              <w:tc>
                <w:tcPr>
                  <w:tcW w:w="468" w:type="dxa"/>
                  <w:tcBorders>
                    <w:top w:val="nil"/>
                    <w:left w:val="nil"/>
                    <w:bottom w:val="nil"/>
                    <w:right w:val="nil"/>
                    <w:tl2br w:val="nil"/>
                    <w:tr2bl w:val="nil"/>
                  </w:tcBorders>
                </w:tcPr>
                <w:p>
                  <w:pPr>
                    <w:ind w:left="0" w:right="0"/>
                    <w:rPr>
                      <w:rFonts w:ascii="宋体" w:eastAsia="宋体" w:hint="eastAsia"/>
                      <w:vanish w:val="0"/>
                      <w:kern w:val="2"/>
                      <w:sz w:val="21"/>
                      <w:szCs w:val="21"/>
                    </w:rPr>
                  </w:pPr>
                </w:p>
              </w:tc>
              <w:tc>
                <w:tcPr>
                  <w:tcW w:w="6951" w:type="dxa"/>
                  <w:gridSpan w:val="2"/>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TLVWN：</w:t>
                  </w:r>
                  <w:r>
                    <w:rPr>
                      <w:rFonts w:ascii="宋体" w:eastAsia="宋体" w:hint="eastAsia"/>
                      <w:vanish w:val="0"/>
                      <w:kern w:val="2"/>
                      <w:sz w:val="21"/>
                      <w:szCs w:val="21"/>
                    </w:rPr>
                    <w:t>未制订标准</w:t>
                  </w:r>
                </w:p>
              </w:tc>
            </w:tr>
          </w:tbl>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监测方法：</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工程控制：</w:t>
            </w:r>
            <w:r>
              <w:rPr>
                <w:rFonts w:ascii="宋体" w:eastAsia="宋体" w:hint="eastAsia"/>
                <w:vanish w:val="0"/>
                <w:kern w:val="2"/>
                <w:sz w:val="21"/>
                <w:szCs w:val="21"/>
              </w:rPr>
              <w:t>密闭操作，注意通风。</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呼吸系统防护：</w:t>
            </w:r>
            <w:r>
              <w:rPr>
                <w:rFonts w:ascii="宋体" w:eastAsia="宋体" w:hint="eastAsia"/>
                <w:vanish w:val="0"/>
                <w:kern w:val="2"/>
                <w:sz w:val="21"/>
                <w:szCs w:val="21"/>
              </w:rPr>
              <w:t>空气中浓度超标时，建议佩戴自吸过滤式防毒面具（半面罩）。紧</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vanish w:val="0"/>
                <w:kern w:val="2"/>
                <w:sz w:val="21"/>
                <w:szCs w:val="21"/>
              </w:rPr>
              <w:t>急事态抢救或撤离时，应该佩戴空气呼吸器。</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眼睛防护：</w:t>
            </w:r>
            <w:r>
              <w:rPr>
                <w:rFonts w:ascii="宋体" w:eastAsia="宋体" w:hint="eastAsia"/>
                <w:vanish w:val="0"/>
                <w:kern w:val="2"/>
                <w:sz w:val="21"/>
                <w:szCs w:val="21"/>
              </w:rPr>
              <w:t>戴化学安全防护眼镜。</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身体防护：</w:t>
            </w:r>
            <w:r>
              <w:rPr>
                <w:rFonts w:ascii="宋体" w:eastAsia="宋体" w:hint="eastAsia"/>
                <w:vanish w:val="0"/>
                <w:kern w:val="2"/>
                <w:sz w:val="21"/>
                <w:szCs w:val="21"/>
              </w:rPr>
              <w:t>穿一般作业防护服。</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手防护：</w:t>
            </w:r>
            <w:r>
              <w:rPr>
                <w:rFonts w:ascii="宋体" w:eastAsia="宋体" w:hint="eastAsia"/>
                <w:vanish w:val="0"/>
                <w:kern w:val="2"/>
                <w:sz w:val="21"/>
                <w:szCs w:val="21"/>
              </w:rPr>
              <w:t>戴橡胶耐油手套。</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其它防护：</w:t>
            </w:r>
            <w:r>
              <w:rPr>
                <w:rFonts w:ascii="宋体" w:eastAsia="宋体" w:hint="eastAsia"/>
                <w:vanish w:val="0"/>
                <w:kern w:val="2"/>
                <w:sz w:val="21"/>
                <w:szCs w:val="21"/>
              </w:rPr>
              <w:t>工作现场严禁吸烟。避免长期反复接触。</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第九部分  理 化 特 性</w:t>
            </w:r>
          </w:p>
          <w:tbl>
            <w:tblPr>
              <w:jc w:val="left"/>
              <w:tblW w:w="7344"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4260"/>
              <w:gridCol w:w="3084"/>
            </w:tblGrid>
            <w:tr>
              <w:trPr>
                <w:cantSplit/>
              </w:trPr>
              <w:tc>
                <w:tcPr>
                  <w:tcW w:w="7344" w:type="dxa"/>
                  <w:gridSpan w:val="2"/>
                  <w:tcBorders>
                    <w:top w:val="nil"/>
                    <w:left w:val="nil"/>
                    <w:bottom w:val="nil"/>
                    <w:right w:val="nil"/>
                    <w:tl2br w:val="nil"/>
                    <w:tr2bl w:val="nil"/>
                  </w:tcBorders>
                  <w:vAlign w:val="center"/>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外观与性状：</w:t>
                  </w:r>
                  <w:r>
                    <w:rPr>
                      <w:rFonts w:ascii="宋体" w:eastAsia="宋体" w:hint="eastAsia"/>
                      <w:vanish w:val="0"/>
                      <w:kern w:val="2"/>
                      <w:sz w:val="21"/>
                      <w:szCs w:val="21"/>
                    </w:rPr>
                    <w:t>稍有粘性的棕色液体。</w:t>
                  </w:r>
                </w:p>
              </w:tc>
            </w:tr>
            <w:tr>
              <w:trPr>
                <w:cantSplit/>
              </w:trPr>
              <w:tc>
                <w:tcPr>
                  <w:tcW w:w="4260" w:type="dxa"/>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pH值：</w:t>
                  </w:r>
                </w:p>
              </w:tc>
              <w:tc>
                <w:tcPr>
                  <w:tcW w:w="3084" w:type="dxa"/>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熔点（℃）：</w:t>
                  </w:r>
                  <w:r>
                    <w:rPr>
                      <w:rFonts w:ascii="宋体" w:eastAsia="宋体" w:hint="eastAsia"/>
                      <w:vanish w:val="0"/>
                      <w:kern w:val="2"/>
                      <w:sz w:val="21"/>
                      <w:szCs w:val="21"/>
                    </w:rPr>
                    <w:t>-18</w:t>
                  </w:r>
                </w:p>
              </w:tc>
            </w:tr>
            <w:tr>
              <w:trPr>
                <w:cantSplit/>
              </w:trPr>
              <w:tc>
                <w:tcPr>
                  <w:tcW w:w="4260" w:type="dxa"/>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相对密度（水＝1）：</w:t>
                  </w:r>
                  <w:r>
                    <w:rPr>
                      <w:rFonts w:ascii="宋体" w:eastAsia="宋体" w:hint="eastAsia"/>
                      <w:vanish w:val="0"/>
                      <w:kern w:val="2"/>
                      <w:sz w:val="21"/>
                      <w:szCs w:val="21"/>
                    </w:rPr>
                    <w:t>0.87-0.9</w:t>
                  </w:r>
                </w:p>
              </w:tc>
              <w:tc>
                <w:tcPr>
                  <w:tcW w:w="3084" w:type="dxa"/>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沸点（℃）：</w:t>
                  </w:r>
                  <w:r>
                    <w:rPr>
                      <w:rFonts w:ascii="宋体" w:eastAsia="宋体" w:hint="eastAsia"/>
                      <w:vanish w:val="0"/>
                      <w:kern w:val="2"/>
                      <w:sz w:val="21"/>
                      <w:szCs w:val="21"/>
                    </w:rPr>
                    <w:t>282-338</w:t>
                  </w:r>
                </w:p>
              </w:tc>
            </w:tr>
            <w:tr>
              <w:trPr>
                <w:cantSplit/>
              </w:trPr>
              <w:tc>
                <w:tcPr>
                  <w:tcW w:w="4260" w:type="dxa"/>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相对蒸气密度（空气＝1）：</w:t>
                  </w:r>
                  <w:r>
                    <w:rPr>
                      <w:rFonts w:ascii="宋体" w:eastAsia="宋体" w:hint="eastAsia"/>
                      <w:vanish w:val="0"/>
                      <w:kern w:val="2"/>
                      <w:sz w:val="21"/>
                      <w:szCs w:val="21"/>
                    </w:rPr>
                    <w:t>无资料</w:t>
                  </w:r>
                </w:p>
              </w:tc>
              <w:tc>
                <w:tcPr>
                  <w:tcW w:w="3084" w:type="dxa"/>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辛醇/水分配系数：</w:t>
                  </w:r>
                  <w:r>
                    <w:rPr>
                      <w:rFonts w:ascii="宋体" w:eastAsia="宋体" w:hint="eastAsia"/>
                      <w:vanish w:val="0"/>
                      <w:kern w:val="2"/>
                      <w:sz w:val="21"/>
                      <w:szCs w:val="21"/>
                    </w:rPr>
                    <w:t>无资料</w:t>
                  </w:r>
                </w:p>
              </w:tc>
            </w:tr>
            <w:tr>
              <w:trPr>
                <w:cantSplit/>
              </w:trPr>
              <w:tc>
                <w:tcPr>
                  <w:tcW w:w="4260" w:type="dxa"/>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闪点（℃）：</w:t>
                  </w:r>
                  <w:r>
                    <w:rPr>
                      <w:rFonts w:ascii="宋体" w:eastAsia="宋体" w:hint="eastAsia"/>
                      <w:vanish w:val="0"/>
                      <w:kern w:val="2"/>
                      <w:sz w:val="21"/>
                      <w:szCs w:val="21"/>
                    </w:rPr>
                    <w:t>55</w:t>
                  </w:r>
                </w:p>
              </w:tc>
              <w:tc>
                <w:tcPr>
                  <w:tcW w:w="3084" w:type="dxa"/>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引燃温度（℃）：</w:t>
                  </w:r>
                  <w:r>
                    <w:rPr>
                      <w:rFonts w:ascii="宋体" w:eastAsia="宋体" w:hint="eastAsia"/>
                      <w:vanish w:val="0"/>
                      <w:kern w:val="2"/>
                      <w:sz w:val="21"/>
                      <w:szCs w:val="21"/>
                    </w:rPr>
                    <w:t>257</w:t>
                  </w:r>
                </w:p>
              </w:tc>
            </w:tr>
            <w:tr>
              <w:trPr>
                <w:cantSplit/>
              </w:trPr>
              <w:tc>
                <w:tcPr>
                  <w:tcW w:w="4260" w:type="dxa"/>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爆炸上限[％（V/V）]：</w:t>
                  </w:r>
                  <w:r>
                    <w:rPr>
                      <w:rFonts w:ascii="宋体" w:eastAsia="宋体" w:hint="eastAsia"/>
                      <w:vanish w:val="0"/>
                      <w:kern w:val="2"/>
                      <w:sz w:val="21"/>
                      <w:szCs w:val="21"/>
                    </w:rPr>
                    <w:t>无资料</w:t>
                  </w:r>
                </w:p>
              </w:tc>
              <w:tc>
                <w:tcPr>
                  <w:tcW w:w="3084" w:type="dxa"/>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爆炸下限[％（V/V）]：</w:t>
                  </w:r>
                  <w:r>
                    <w:rPr>
                      <w:rFonts w:ascii="宋体" w:eastAsia="宋体" w:hint="eastAsia"/>
                      <w:vanish w:val="0"/>
                      <w:kern w:val="2"/>
                      <w:sz w:val="21"/>
                      <w:szCs w:val="21"/>
                    </w:rPr>
                    <w:t>无资料</w:t>
                  </w:r>
                </w:p>
              </w:tc>
            </w:tr>
            <w:tr>
              <w:trPr>
                <w:cantSplit/>
              </w:trPr>
              <w:tc>
                <w:tcPr>
                  <w:tcW w:w="7344" w:type="dxa"/>
                  <w:gridSpan w:val="2"/>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溶解性：</w:t>
                  </w:r>
                </w:p>
              </w:tc>
            </w:tr>
            <w:tr>
              <w:trPr>
                <w:cantSplit/>
              </w:trPr>
              <w:tc>
                <w:tcPr>
                  <w:tcW w:w="7344" w:type="dxa"/>
                  <w:gridSpan w:val="2"/>
                  <w:tcBorders>
                    <w:top w:val="nil"/>
                    <w:left w:val="nil"/>
                    <w:bottom w:val="nil"/>
                    <w:right w:val="nil"/>
                    <w:tl2br w:val="nil"/>
                    <w:tr2bl w:val="nil"/>
                  </w:tcBorders>
                </w:tcPr>
                <w:p>
                  <w:pPr>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主要用途：</w:t>
                  </w:r>
                  <w:r>
                    <w:rPr>
                      <w:rFonts w:ascii="宋体" w:eastAsia="宋体" w:hint="eastAsia"/>
                      <w:vanish w:val="0"/>
                      <w:kern w:val="2"/>
                      <w:sz w:val="21"/>
                      <w:szCs w:val="21"/>
                    </w:rPr>
                    <w:t>用作柴油机的燃料。</w:t>
                  </w:r>
                </w:p>
              </w:tc>
            </w:tr>
          </w:tbl>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第十部分  稳定性和反应活性</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稳定性：</w:t>
            </w:r>
            <w:r>
              <w:rPr>
                <w:rFonts w:ascii="宋体" w:eastAsia="宋体" w:hint="eastAsia"/>
                <w:vanish w:val="0"/>
                <w:kern w:val="2"/>
                <w:sz w:val="21"/>
                <w:szCs w:val="21"/>
              </w:rPr>
              <w:t>稳定</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禁配物：</w:t>
            </w:r>
            <w:r>
              <w:rPr>
                <w:rFonts w:ascii="宋体" w:eastAsia="宋体" w:hint="eastAsia"/>
                <w:vanish w:val="0"/>
                <w:kern w:val="2"/>
                <w:sz w:val="21"/>
                <w:szCs w:val="21"/>
              </w:rPr>
              <w:t>强氧化剂、卤素。</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避免接触的条件:</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聚合危害：</w:t>
            </w:r>
            <w:r>
              <w:rPr>
                <w:rFonts w:ascii="宋体" w:eastAsia="宋体" w:hint="eastAsia"/>
                <w:vanish w:val="0"/>
                <w:kern w:val="2"/>
                <w:sz w:val="21"/>
                <w:szCs w:val="21"/>
              </w:rPr>
              <w:t>不聚合</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分解产物：</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第十一部分  毒理学资料</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急性毒性： LD</w:t>
            </w:r>
            <w:r>
              <w:rPr>
                <w:rFonts w:ascii="宋体" w:eastAsia="宋体" w:hint="eastAsia"/>
                <w:b/>
                <w:bCs w:val="0"/>
                <w:vanish w:val="0"/>
                <w:kern w:val="2"/>
                <w:sz w:val="21"/>
                <w:szCs w:val="21"/>
                <w:vertAlign w:val="subscript"/>
              </w:rPr>
              <w:t>50</w:t>
            </w:r>
            <w:r>
              <w:rPr>
                <w:rFonts w:ascii="宋体" w:eastAsia="宋体" w:hint="eastAsia"/>
                <w:vanish w:val="0"/>
                <w:kern w:val="2"/>
                <w:sz w:val="21"/>
                <w:szCs w:val="21"/>
              </w:rPr>
              <w:t>：无资料</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LC</w:t>
            </w:r>
            <w:r>
              <w:rPr>
                <w:rFonts w:ascii="宋体" w:eastAsia="宋体" w:hint="eastAsia"/>
                <w:vanish w:val="0"/>
                <w:kern w:val="2"/>
                <w:sz w:val="21"/>
                <w:szCs w:val="21"/>
                <w:vertAlign w:val="subscript"/>
              </w:rPr>
              <w:t>50</w:t>
            </w:r>
            <w:r>
              <w:rPr>
                <w:rFonts w:ascii="宋体" w:eastAsia="宋体" w:hint="eastAsia"/>
                <w:vanish w:val="0"/>
                <w:kern w:val="2"/>
                <w:sz w:val="21"/>
                <w:szCs w:val="21"/>
              </w:rPr>
              <w:t>：无资料</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刺激性：</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第十二部分  生态学资料</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生态毒性：</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生物降解性：</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非生物降解性：</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其它有害作用：</w:t>
            </w:r>
            <w:r>
              <w:rPr>
                <w:rFonts w:ascii="宋体" w:eastAsia="宋体" w:hint="eastAsia"/>
                <w:vanish w:val="0"/>
                <w:kern w:val="2"/>
                <w:sz w:val="21"/>
                <w:szCs w:val="21"/>
              </w:rPr>
              <w:t>该物质对环境有危害，建议不要让其进入环境。对水体和大气可造</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成污染，破坏水生生物呼吸系统。对海藻应给予特别注意。</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第十三部分  废 弃 处 置</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废弃物性质：</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废弃处置方法：</w:t>
            </w:r>
            <w:r>
              <w:rPr>
                <w:rFonts w:ascii="宋体" w:eastAsia="宋体" w:hint="eastAsia"/>
                <w:vanish w:val="0"/>
                <w:kern w:val="2"/>
                <w:sz w:val="21"/>
                <w:szCs w:val="21"/>
              </w:rPr>
              <w:t>处置前应参阅国家和地方有关法规。建议用焚烧法处置。</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废弃注意事项：</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l="0"/>
                <w:vanish w:val="0"/>
                <w:kern w:val="2"/>
                <w:sz w:val="21"/>
                <w:szCs w:val="21"/>
              </w:rPr>
            </w:pPr>
            <w:r>
              <w:rPr>
                <w:rFonts w:ascii="宋体" w:eastAsia="宋体" w:hint="eastAsia"/>
                <w:b/>
                <w:bCs w:val="0"/>
                <w:vanish w:val="0"/>
                <w:kern w:val="2"/>
                <w:sz w:val="21"/>
                <w:szCs w:val="21"/>
              </w:rPr>
              <w:t>第十四部分  运 输 信 息</w:t>
            </w:r>
          </w:p>
          <w:p>
            <w:pPr>
              <w:keepLines w:val="0"/>
              <w:widowControl/>
              <w:suppressLineNumbers w:val="0"/>
              <w:spacing w:after="0" w:afterAutospacing="0"/>
              <w:ind w:left="0" w:right="0"/>
              <w:rPr>
                <w:rFonts w:ascii="宋体" w:eastAsia="宋体" w:hint="eastAsia"/>
                <w:b/>
                <w:bCs/>
                <w:vanish w:val="0"/>
                <w:kern w:val="2"/>
                <w:sz w:val="21"/>
                <w:szCs w:val="21"/>
              </w:rPr>
            </w:pPr>
            <w:r>
              <w:rPr>
                <w:rFonts w:ascii="宋体" w:eastAsia="宋体" w:hint="eastAsia"/>
                <w:b/>
                <w:bCs w:val="0"/>
                <w:vanish w:val="0"/>
                <w:kern w:val="2"/>
                <w:sz w:val="21"/>
                <w:szCs w:val="21"/>
              </w:rPr>
              <w:t>危险化学品目录序号：</w:t>
            </w:r>
            <w:r>
              <w:rPr>
                <w:rFonts w:ascii="宋体" w:eastAsia="宋体" w:hint="eastAsia"/>
                <w:bCs/>
                <w:vanish w:val="0"/>
                <w:kern w:val="2"/>
                <w:sz w:val="21"/>
                <w:szCs w:val="21"/>
              </w:rPr>
              <w:t>1674</w:t>
            </w:r>
          </w:p>
          <w:p>
            <w:pPr>
              <w:keepLines w:val="0"/>
              <w:widowControl/>
              <w:suppressLineNumbers w:val="0"/>
              <w:spacing w:after="0" w:afterAutospacing="0"/>
              <w:ind w:left="0" w:right="0"/>
              <w:rPr>
                <w:rFonts w:ascii="宋体" w:eastAsia="宋体" w:hint="eastAsia"/>
                <w:b/>
                <w:bCs w:val="0"/>
                <w:vanish w:val="0"/>
                <w:kern w:val="2"/>
                <w:sz w:val="21"/>
                <w:szCs w:val="21"/>
              </w:rPr>
            </w:pPr>
            <w:r>
              <w:rPr>
                <w:rFonts w:ascii="宋体" w:eastAsia="宋体" w:hint="eastAsia"/>
                <w:b/>
                <w:bCs w:val="0"/>
                <w:vanish w:val="0"/>
                <w:kern w:val="2"/>
                <w:sz w:val="21"/>
                <w:szCs w:val="21"/>
              </w:rPr>
              <w:t>UN编号：</w:t>
            </w:r>
            <w:r>
              <w:rPr>
                <w:rFonts w:ascii="宋体" w:eastAsia="宋体" w:hint="eastAsia"/>
                <w:vanish w:val="0"/>
                <w:kern w:val="2"/>
                <w:sz w:val="21"/>
                <w:szCs w:val="21"/>
              </w:rPr>
              <w:t>无资料</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包装标志：</w:t>
            </w:r>
            <w:r>
              <w:rPr>
                <w:rFonts w:ascii="宋体" w:eastAsia="宋体" w:hint="eastAsia"/>
                <w:vanish w:val="0"/>
                <w:kern w:val="2"/>
                <w:sz w:val="21"/>
                <w:szCs w:val="21"/>
              </w:rPr>
              <w:t>易燃液体</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包装类别：</w:t>
            </w:r>
            <w:r>
              <w:rPr>
                <w:rFonts w:ascii="宋体" w:eastAsia="宋体" w:hint="eastAsia"/>
                <w:vanish w:val="0"/>
                <w:kern w:val="2"/>
                <w:sz w:val="21"/>
                <w:szCs w:val="21"/>
              </w:rPr>
              <w:t>Z01</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包装方法：</w:t>
            </w:r>
            <w:r>
              <w:rPr>
                <w:rFonts w:ascii="宋体" w:eastAsia="宋体" w:hint="eastAsia"/>
                <w:vanish w:val="0"/>
                <w:kern w:val="2"/>
                <w:sz w:val="21"/>
                <w:szCs w:val="21"/>
              </w:rPr>
              <w:t>小开口钢桶；安瓿瓶外普通木箱；螺纹口玻璃瓶、铁盖压口玻璃瓶、塑</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料瓶或金属桶（罐）外普通木箱。</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b/>
                <w:bCs w:val="0"/>
                <w:vanish w:val="0"/>
                <w:kern w:val="2"/>
                <w:sz w:val="21"/>
                <w:szCs w:val="21"/>
              </w:rPr>
              <w:t>运输注意事项：</w:t>
            </w:r>
            <w:r>
              <w:rPr>
                <w:rFonts w:ascii="宋体" w:eastAsia="宋体" w:hint="eastAsia"/>
                <w:vanish w:val="0"/>
                <w:kern w:val="2"/>
                <w:sz w:val="21"/>
                <w:szCs w:val="21"/>
              </w:rPr>
              <w:t>运输前应先检查包装容器是否完整、密封，运输过程中要确保容</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器不泄漏、不倒塌、不坠落、不损坏。运输时运输车辆应配备相应品种和数量的</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消防器材及泄漏应急处理设备。夏季最好早晚运输。运输时所用的槽（罐）车应</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有接地链，槽内可设孔隔板以减少震荡产生静电。严禁与氧化剂、卤素、食用化</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学品等混装混运。运输途中应防曝晒、雨淋，防高温。中途停留时应远离火种、</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热源、高温区。装运该物品的车辆排气管必须配备阻火装置，禁止使用易产生火</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花的机械设备和工具装卸。运输车船必须彻底清洗、消毒，否则不得装运其它物品。</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船运时，配装位置应远离卧室、厨房，并与机舱、电源、火源等部位隔离。公路运</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输时要按规定路线行驶。</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nish w:val="0"/>
                <w:kern w:val="2"/>
                <w:sz w:val="21"/>
                <w:szCs w:val="21"/>
              </w:rPr>
            </w:pPr>
            <w:r>
              <w:rPr>
                <w:rFonts w:ascii="宋体" w:eastAsia="宋体" w:hint="eastAsia"/>
                <w:b/>
                <w:bCs/>
                <w:vanish w:val="0"/>
                <w:kern w:val="2"/>
                <w:sz w:val="21"/>
                <w:szCs w:val="21"/>
              </w:rPr>
              <w:t>第十五部分  法 规 信 息</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法规信息：《危险化学品安全管理条例》（国务院令第591号，国务院令第645号），</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《危险化学品经营许可证管理办法》（安监总局令第55号，总局令第79号修订）对生</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产、使用、储存、经营条件做了相关规定；《危险货物分类和品名编号》（GB6944-2012）</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对运输、储存、包装做了相关要求，《化学品分类和危险性公示 通则》（GB13690-2009）</w:t>
            </w:r>
          </w:p>
          <w:p>
            <w:pPr>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进行了分类。</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
                <w:bCs/>
                <w:vanish w:val="0"/>
                <w:kern w:val="2"/>
                <w:sz w:val="21"/>
                <w:szCs w:val="21"/>
              </w:rPr>
            </w:pPr>
            <w:r>
              <w:rPr>
                <w:rFonts w:ascii="宋体" w:eastAsia="宋体" w:hint="eastAsia"/>
                <w:b/>
                <w:bCs/>
                <w:vanish w:val="0"/>
                <w:kern w:val="2"/>
                <w:sz w:val="21"/>
                <w:szCs w:val="21"/>
              </w:rPr>
              <w:t>第十六部分  其 它 信 息</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4"/>
                <w:szCs w:val="24"/>
              </w:rPr>
            </w:pPr>
            <w:r>
              <w:rPr>
                <w:rFonts w:ascii="宋体" w:eastAsia="宋体" w:hint="eastAsia"/>
                <w:vanish w:val="0"/>
                <w:kern w:val="2"/>
                <w:sz w:val="21"/>
                <w:szCs w:val="21"/>
              </w:rPr>
              <w:t>无</w:t>
            </w:r>
          </w:p>
        </w:tc>
      </w:tr>
    </w:tbl>
    <w:p>
      <w:pPr>
        <w:pBdr>
          <w:top w:val="none" w:sz="0" w:space="0" w:color="auto"/>
          <w:left w:val="none" w:sz="0" w:space="0" w:color="auto"/>
          <w:bottom w:val="none" w:sz="0" w:space="0" w:color="auto"/>
          <w:right w:val="none" w:sz="0" w:space="0" w:color="auto"/>
        </w:pBdr>
        <w:jc w:val="center"/>
        <w:rPr>
          <w:rFonts w:ascii="宋体" w:eastAsia="宋体" w:hint="eastAsia"/>
          <w:b/>
          <w:bCs/>
          <w:vanish w:val="0"/>
          <w:kern w:val="2"/>
          <w:sz w:val="21"/>
          <w:szCs w:val="21"/>
        </w:rPr>
      </w:pPr>
    </w:p>
    <w:p>
      <w:pPr>
        <w:pBdr>
          <w:top w:val="none" w:sz="0" w:space="0" w:color="auto"/>
          <w:left w:val="none" w:sz="0" w:space="0" w:color="auto"/>
          <w:bottom w:val="none" w:sz="0" w:space="0" w:color="auto"/>
          <w:right w:val="none" w:sz="0" w:space="0" w:color="auto"/>
        </w:pBdr>
        <w:jc w:val="center"/>
        <w:rPr>
          <w:rFonts w:ascii="Times New Roman" w:eastAsia="宋体" w:hAnsi="Times New Roman"/>
          <w:vanish w:val="0"/>
          <w:kern w:val="2"/>
          <w:sz w:val="21"/>
          <w:szCs w:val="21"/>
        </w:rPr>
      </w:pPr>
      <w:r>
        <w:rPr>
          <w:rFonts w:ascii="宋体" w:eastAsia="宋体" w:hint="eastAsia"/>
          <w:b/>
          <w:bCs/>
          <w:vanish w:val="0"/>
          <w:kern w:val="2"/>
          <w:sz w:val="21"/>
          <w:szCs w:val="21"/>
        </w:rPr>
        <w:t>表1.1-3 天然气安全数据表</w:t>
      </w:r>
    </w:p>
    <w:tbl>
      <w:tblPr>
        <w:jc w:val="left"/>
        <w:tblW w:w="4998" w:type="pct"/>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0" w:type="dxa"/>
          <w:left w:w="108" w:type="dxa"/>
          <w:bottom w:w="0" w:type="dxa"/>
          <w:right w:w="108" w:type="dxa"/>
        </w:tblCellMar>
      </w:tblPr>
      <w:tblGrid>
        <w:gridCol w:w="664"/>
        <w:gridCol w:w="889"/>
        <w:gridCol w:w="28"/>
        <w:gridCol w:w="101"/>
        <w:gridCol w:w="229"/>
        <w:gridCol w:w="29"/>
        <w:gridCol w:w="208"/>
        <w:gridCol w:w="138"/>
        <w:gridCol w:w="52"/>
        <w:gridCol w:w="88"/>
        <w:gridCol w:w="137"/>
        <w:gridCol w:w="528"/>
        <w:gridCol w:w="36"/>
        <w:gridCol w:w="187"/>
        <w:gridCol w:w="154"/>
        <w:gridCol w:w="194"/>
        <w:gridCol w:w="197"/>
        <w:gridCol w:w="137"/>
        <w:gridCol w:w="60"/>
        <w:gridCol w:w="129"/>
        <w:gridCol w:w="138"/>
        <w:gridCol w:w="554"/>
        <w:gridCol w:w="85"/>
        <w:gridCol w:w="114"/>
        <w:gridCol w:w="336"/>
        <w:gridCol w:w="239"/>
        <w:gridCol w:w="8"/>
        <w:gridCol w:w="28"/>
        <w:gridCol w:w="359"/>
        <w:gridCol w:w="256"/>
        <w:gridCol w:w="300"/>
        <w:gridCol w:w="49"/>
        <w:gridCol w:w="78"/>
        <w:gridCol w:w="194"/>
        <w:gridCol w:w="286"/>
        <w:gridCol w:w="442"/>
        <w:gridCol w:w="642"/>
      </w:tblGrid>
      <w:tr>
        <w:tc>
          <w:tcPr>
            <w:tcW w:w="9284" w:type="dxa"/>
            <w:gridSpan w:val="3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Times New Roman" w:hAnsi="Times New Roman"/>
                <w:b/>
                <w:bCs/>
                <w:vanish w:val="0"/>
                <w:sz w:val="21"/>
                <w:szCs w:val="21"/>
              </w:rPr>
            </w:pPr>
            <w:r>
              <w:rPr>
                <w:rFonts w:ascii="Times New Roman" w:hAnsi="Times New Roman"/>
                <w:b/>
                <w:bCs/>
                <w:vanish w:val="0"/>
                <w:sz w:val="21"/>
                <w:szCs w:val="21"/>
              </w:rPr>
              <w:t>第一部分  化学品标识</w:t>
            </w:r>
          </w:p>
        </w:tc>
      </w:tr>
      <w:tr>
        <w:tc>
          <w:tcPr>
            <w:tcW w:w="1826" w:type="dxa"/>
            <w:gridSpan w:val="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化学品中文名称：</w:t>
            </w:r>
          </w:p>
        </w:tc>
        <w:tc>
          <w:tcPr>
            <w:tcW w:w="7458" w:type="dxa"/>
            <w:gridSpan w:val="3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天然气[富含甲烷的]</w:t>
            </w:r>
          </w:p>
        </w:tc>
      </w:tr>
      <w:tr>
        <w:tc>
          <w:tcPr>
            <w:tcW w:w="1826" w:type="dxa"/>
            <w:gridSpan w:val="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化学品英文名称：</w:t>
            </w:r>
          </w:p>
        </w:tc>
        <w:tc>
          <w:tcPr>
            <w:tcW w:w="7458" w:type="dxa"/>
            <w:gridSpan w:val="3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natural gas,with a high methane content</w:t>
            </w:r>
          </w:p>
        </w:tc>
      </w:tr>
      <w:tr>
        <w:tc>
          <w:tcPr>
            <w:tcW w:w="1826" w:type="dxa"/>
            <w:gridSpan w:val="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化学品别名：</w:t>
            </w:r>
          </w:p>
        </w:tc>
        <w:tc>
          <w:tcPr>
            <w:tcW w:w="2486" w:type="dxa"/>
            <w:gridSpan w:val="1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沼气</w:t>
            </w:r>
          </w:p>
        </w:tc>
        <w:tc>
          <w:tcPr>
            <w:tcW w:w="2498" w:type="dxa"/>
            <w:gridSpan w:val="1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eastAsia="宋体" w:hAnsi="Times New Roman"/>
                <w:vanish w:val="0"/>
                <w:sz w:val="21"/>
                <w:szCs w:val="21"/>
              </w:rPr>
            </w:pPr>
            <w:r>
              <w:rPr>
                <w:rFonts w:ascii="宋体" w:eastAsia="宋体" w:cs="Times New Roman" w:hint="eastAsia"/>
                <w:vanish w:val="0"/>
                <w:sz w:val="21"/>
                <w:szCs w:val="21"/>
              </w:rPr>
              <w:t>危序号</w:t>
            </w:r>
          </w:p>
        </w:tc>
        <w:tc>
          <w:tcPr>
            <w:tcW w:w="2474" w:type="dxa"/>
            <w:gridSpan w:val="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eastAsia="宋体" w:hAnsi="Times New Roman"/>
                <w:vanish w:val="0"/>
                <w:sz w:val="21"/>
                <w:szCs w:val="21"/>
              </w:rPr>
            </w:pPr>
            <w:r>
              <w:rPr>
                <w:rFonts w:ascii="Times New Roman" w:eastAsia="宋体" w:cs="Times New Roman" w:hAnsi="Times New Roman"/>
                <w:vanish w:val="0"/>
                <w:sz w:val="21"/>
                <w:szCs w:val="21"/>
              </w:rPr>
              <w:t>2123</w:t>
            </w:r>
          </w:p>
        </w:tc>
      </w:tr>
      <w:tr>
        <w:tc>
          <w:tcPr>
            <w:tcW w:w="1826" w:type="dxa"/>
            <w:gridSpan w:val="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CAS No：</w:t>
            </w:r>
          </w:p>
        </w:tc>
        <w:tc>
          <w:tcPr>
            <w:tcW w:w="2486" w:type="dxa"/>
            <w:gridSpan w:val="1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8006-14-2</w:t>
            </w:r>
          </w:p>
        </w:tc>
        <w:tc>
          <w:tcPr>
            <w:tcW w:w="2498" w:type="dxa"/>
            <w:gridSpan w:val="1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UN No：</w:t>
            </w:r>
          </w:p>
        </w:tc>
        <w:tc>
          <w:tcPr>
            <w:tcW w:w="2474" w:type="dxa"/>
            <w:gridSpan w:val="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1971（压缩天然气）</w:t>
            </w:r>
          </w:p>
        </w:tc>
      </w:tr>
      <w:tr>
        <w:tc>
          <w:tcPr>
            <w:tcW w:w="1826" w:type="dxa"/>
            <w:gridSpan w:val="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分子式：</w:t>
            </w:r>
          </w:p>
        </w:tc>
        <w:tc>
          <w:tcPr>
            <w:tcW w:w="2486" w:type="dxa"/>
            <w:gridSpan w:val="1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富含甲烷的烃类混合物</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（甲烷分子式：CH</w:t>
            </w:r>
            <w:r>
              <w:rPr>
                <w:rFonts w:ascii="Times New Roman" w:hAnsi="Times New Roman"/>
                <w:vanish w:val="0"/>
                <w:sz w:val="21"/>
                <w:szCs w:val="21"/>
                <w:vertAlign w:val="subscript"/>
              </w:rPr>
              <w:t>4</w:t>
            </w:r>
            <w:r>
              <w:rPr>
                <w:rFonts w:ascii="Times New Roman" w:hAnsi="Times New Roman"/>
                <w:vanish w:val="0"/>
                <w:sz w:val="21"/>
                <w:szCs w:val="21"/>
              </w:rPr>
              <w:t>）</w:t>
            </w:r>
          </w:p>
        </w:tc>
        <w:tc>
          <w:tcPr>
            <w:tcW w:w="2498" w:type="dxa"/>
            <w:gridSpan w:val="1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分子量：</w:t>
            </w:r>
          </w:p>
        </w:tc>
        <w:tc>
          <w:tcPr>
            <w:tcW w:w="2474" w:type="dxa"/>
            <w:gridSpan w:val="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16.04（甲烷）</w:t>
            </w:r>
          </w:p>
        </w:tc>
      </w:tr>
      <w:tr>
        <w:tc>
          <w:tcPr>
            <w:tcW w:w="1826" w:type="dxa"/>
            <w:gridSpan w:val="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产品推荐用途：</w:t>
            </w:r>
          </w:p>
        </w:tc>
        <w:tc>
          <w:tcPr>
            <w:tcW w:w="2486" w:type="dxa"/>
            <w:gridSpan w:val="1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请咨询生产商。</w:t>
            </w:r>
          </w:p>
        </w:tc>
        <w:tc>
          <w:tcPr>
            <w:tcW w:w="2498" w:type="dxa"/>
            <w:gridSpan w:val="1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产品限制用途：</w:t>
            </w:r>
          </w:p>
        </w:tc>
        <w:tc>
          <w:tcPr>
            <w:tcW w:w="2474" w:type="dxa"/>
            <w:gridSpan w:val="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请咨询生产商。</w:t>
            </w:r>
          </w:p>
        </w:tc>
      </w:tr>
      <w:tr>
        <w:tc>
          <w:tcPr>
            <w:tcW w:w="9284" w:type="dxa"/>
            <w:gridSpan w:val="3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Times New Roman" w:hAnsi="Times New Roman"/>
                <w:b/>
                <w:bCs/>
                <w:vanish w:val="0"/>
                <w:sz w:val="21"/>
                <w:szCs w:val="21"/>
              </w:rPr>
            </w:pPr>
            <w:r>
              <w:rPr>
                <w:rFonts w:ascii="Times New Roman" w:hAnsi="Times New Roman"/>
                <w:b/>
                <w:bCs/>
                <w:vanish w:val="0"/>
                <w:sz w:val="21"/>
                <w:szCs w:val="21"/>
              </w:rPr>
              <w:t>第二部分  危险性概述</w:t>
            </w:r>
          </w:p>
        </w:tc>
      </w:tr>
      <w:tr>
        <w:tc>
          <w:tcPr>
            <w:tcW w:w="1711" w:type="dxa"/>
            <w:gridSpan w:val="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紧急情况概述：</w:t>
            </w:r>
          </w:p>
        </w:tc>
        <w:tc>
          <w:tcPr>
            <w:tcW w:w="7573" w:type="dxa"/>
            <w:gridSpan w:val="34"/>
            <w:tcBorders>
              <w:top w:val="single" w:sz="4" w:space="0" w:color="auto"/>
              <w:left w:val="single" w:sz="4" w:space="0" w:color="auto"/>
              <w:bottom w:val="single" w:sz="4" w:space="0" w:color="auto"/>
              <w:right w:val="single" w:sz="4" w:space="0" w:color="auto"/>
              <w:tl2br w:val="nil"/>
              <w:tr2bl w:val="nil"/>
            </w:tcBorders>
            <w:shd w:val="clear" w:color="auto" w:fill="92D050"/>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极易燃气体。与空气混合可形成爆炸性混合物。遇明火、高热能引起燃烧爆炸。内装高压气体；遇热可能爆炸。单纯窒息性气体。</w:t>
            </w:r>
          </w:p>
        </w:tc>
      </w:tr>
      <w:tr>
        <w:tc>
          <w:tcPr>
            <w:tcW w:w="1711" w:type="dxa"/>
            <w:gridSpan w:val="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GHS危险性类别：</w:t>
            </w:r>
          </w:p>
        </w:tc>
        <w:tc>
          <w:tcPr>
            <w:tcW w:w="3764" w:type="dxa"/>
            <w:gridSpan w:val="1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易燃气体,类别1</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加压气体</w:t>
            </w:r>
          </w:p>
        </w:tc>
        <w:tc>
          <w:tcPr>
            <w:tcW w:w="3809" w:type="dxa"/>
            <w:gridSpan w:val="15"/>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详见《危险化学品分类信息表》（《危险化学品目录（2015版）实施指南（试行） 附录》安监总厅管三〔2015〕80号）、GB30000.××-2013《化学品分类和标签规范》系列标准。</w:t>
            </w:r>
          </w:p>
        </w:tc>
      </w:tr>
      <w:tr>
        <w:tc>
          <w:tcPr>
            <w:tcW w:w="1711" w:type="dxa"/>
            <w:gridSpan w:val="3"/>
            <w:vMerge w:val="restart"/>
            <w:tcBorders>
              <w:top w:val="nil"/>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标签要素：</w:t>
            </w:r>
          </w:p>
          <w:p>
            <w:pPr>
              <w:pStyle w:val="135"/>
              <w:keepLines w:val="0"/>
              <w:widowControl/>
              <w:suppressLineNumbers w:val="0"/>
              <w:spacing w:after="0" w:afterAutospacing="0"/>
              <w:ind w:left="0" w:right="0"/>
              <w:rPr>
                <w:rFonts w:ascii="Times New Roman" w:hAnsi="Times New Roman"/>
                <w:vanish w:val="0"/>
                <w:sz w:val="21"/>
                <w:szCs w:val="21"/>
              </w:rPr>
            </w:pP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详见：GB30000.3-2013《化学品分类和标签规范 第3部分：易燃气体》、GB30000.6-2013《化学品分类和标签规范 第6部分：加压气体》。</w:t>
            </w:r>
          </w:p>
        </w:tc>
        <w:tc>
          <w:tcPr>
            <w:tcW w:w="3991" w:type="dxa"/>
            <w:gridSpan w:val="21"/>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象形图：</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drawing>
                <wp:inline distT="0" distB="0" distL="85723" distR="85723">
                  <wp:extent cx="714364" cy="657215"/>
                  <wp:effectExtent l="0" t="0" r="0" b="0"/>
                  <wp:docPr id="1" name="图片"/>
                  <wp:cNvGraphicFramePr>
                    <a:graphicFrameLocks noChangeAspect="0"/>
                  </wp:cNvGraphicFramePr>
                  <a:graphic>
                    <a:graphicData uri="http://schemas.openxmlformats.org/drawingml/2006/picture">
                      <pic:pic>
                        <pic:nvPicPr>
                          <pic:cNvPr id="3" name="图片 3"/>
                          <pic:cNvPicPr/>
                        </pic:nvPicPr>
                        <pic:blipFill>
                          <a:blip r:embed="rId2"/>
                          <a:stretch>
                            <a:fillRect/>
                          </a:stretch>
                        </pic:blipFill>
                        <pic:spPr>
                          <a:xfrm rot="0">
                            <a:off x="0" y="0"/>
                            <a:ext cx="714364" cy="657215"/>
                          </a:xfrm>
                          <a:prstGeom prst="rect"/>
                          <a:noFill/>
                          <a:ln w="9525" cmpd="sng" cap="flat">
                            <a:noFill/>
                            <a:prstDash val="solid"/>
                            <a:miter/>
                          </a:ln>
                        </pic:spPr>
                      </pic:pic>
                    </a:graphicData>
                  </a:graphic>
                </wp:inline>
              </w:drawing>
            </w:r>
            <w:r>
              <w:rPr>
                <w:rFonts w:ascii="Times New Roman" w:hAnsi="Times New Roman"/>
                <w:vanish w:val="0"/>
                <w:sz w:val="21"/>
                <w:szCs w:val="21"/>
              </w:rPr>
              <w:t xml:space="preserve">  </w:t>
            </w:r>
            <w:r>
              <w:rPr>
                <w:rFonts w:ascii="Times New Roman" w:hAnsi="Times New Roman"/>
                <w:vanish w:val="0"/>
                <w:sz w:val="21"/>
                <w:szCs w:val="21"/>
              </w:rPr>
              <w:drawing>
                <wp:inline distT="0" distB="0" distL="85723" distR="85723">
                  <wp:extent cx="638165" cy="600065"/>
                  <wp:effectExtent l="0" t="0" r="0" b="0"/>
                  <wp:docPr id="4" name="图片"/>
                  <wp:cNvGraphicFramePr>
                    <a:graphicFrameLocks noChangeAspect="0"/>
                  </wp:cNvGraphicFramePr>
                  <a:graphic>
                    <a:graphicData uri="http://schemas.openxmlformats.org/drawingml/2006/picture">
                      <pic:pic>
                        <pic:nvPicPr>
                          <pic:cNvPr id="6" name="图片 6"/>
                          <pic:cNvPicPr/>
                        </pic:nvPicPr>
                        <pic:blipFill>
                          <a:blip r:embed="rId3"/>
                          <a:stretch>
                            <a:fillRect/>
                          </a:stretch>
                        </pic:blipFill>
                        <pic:spPr>
                          <a:xfrm rot="0">
                            <a:off x="0" y="0"/>
                            <a:ext cx="638165" cy="600065"/>
                          </a:xfrm>
                          <a:prstGeom prst="rect"/>
                          <a:noFill/>
                          <a:ln w="9525" cmpd="sng" cap="flat">
                            <a:noFill/>
                            <a:prstDash val="solid"/>
                            <a:miter/>
                          </a:ln>
                        </pic:spPr>
                      </pic:pic>
                    </a:graphicData>
                  </a:graphic>
                </wp:inline>
              </w:drawing>
            </w:r>
          </w:p>
        </w:tc>
        <w:tc>
          <w:tcPr>
            <w:tcW w:w="3582" w:type="dxa"/>
            <w:gridSpan w:val="1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《规章范本》象形图：</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drawing>
                <wp:inline distT="0" distB="0" distL="85723" distR="85723">
                  <wp:extent cx="647690" cy="657215"/>
                  <wp:effectExtent l="0" t="0" r="0" b="0"/>
                  <wp:docPr id="7" name="图片"/>
                  <wp:cNvGraphicFramePr>
                    <a:graphicFrameLocks noChangeAspect="0"/>
                  </wp:cNvGraphicFramePr>
                  <a:graphic>
                    <a:graphicData uri="http://schemas.openxmlformats.org/drawingml/2006/picture">
                      <pic:pic>
                        <pic:nvPicPr>
                          <pic:cNvPr id="9" name="图片 9"/>
                          <pic:cNvPicPr/>
                        </pic:nvPicPr>
                        <pic:blipFill>
                          <a:blip r:embed="rId4"/>
                          <a:stretch>
                            <a:fillRect/>
                          </a:stretch>
                        </pic:blipFill>
                        <pic:spPr>
                          <a:xfrm rot="0">
                            <a:off x="0" y="0"/>
                            <a:ext cx="647690" cy="657215"/>
                          </a:xfrm>
                          <a:prstGeom prst="rect"/>
                          <a:noFill/>
                          <a:ln w="9525" cmpd="sng" cap="flat">
                            <a:noFill/>
                            <a:prstDash val="solid"/>
                            <a:miter/>
                          </a:ln>
                        </pic:spPr>
                      </pic:pic>
                    </a:graphicData>
                  </a:graphic>
                </wp:inline>
              </w:drawing>
            </w:r>
            <w:r>
              <w:rPr>
                <w:rFonts w:ascii="Times New Roman" w:hAnsi="Times New Roman"/>
                <w:vanish w:val="0"/>
                <w:sz w:val="21"/>
                <w:szCs w:val="21"/>
              </w:rPr>
              <w:t xml:space="preserve"> </w:t>
            </w:r>
            <w:r>
              <w:rPr>
                <w:rFonts w:ascii="Times New Roman" w:hAnsi="Times New Roman"/>
                <w:vanish w:val="0"/>
                <w:sz w:val="21"/>
                <w:szCs w:val="21"/>
              </w:rPr>
              <w:drawing>
                <wp:inline distT="0" distB="0" distL="85723" distR="85723">
                  <wp:extent cx="619115" cy="619115"/>
                  <wp:effectExtent l="0" t="0" r="0" b="0"/>
                  <wp:docPr id="10" name="图片"/>
                  <wp:cNvGraphicFramePr>
                    <a:graphicFrameLocks noChangeAspect="0"/>
                  </wp:cNvGraphicFramePr>
                  <a:graphic>
                    <a:graphicData uri="http://schemas.openxmlformats.org/drawingml/2006/picture">
                      <pic:pic>
                        <pic:nvPicPr>
                          <pic:cNvPr id="12" name="图片 12"/>
                          <pic:cNvPicPr/>
                        </pic:nvPicPr>
                        <pic:blipFill>
                          <a:blip r:embed="rId5"/>
                          <a:stretch>
                            <a:fillRect/>
                          </a:stretch>
                        </pic:blipFill>
                        <pic:spPr>
                          <a:xfrm rot="0">
                            <a:off x="0" y="0"/>
                            <a:ext cx="619115" cy="619115"/>
                          </a:xfrm>
                          <a:prstGeom prst="rect"/>
                          <a:noFill/>
                          <a:ln w="9525" cmpd="sng" cap="flat">
                            <a:noFill/>
                            <a:prstDash val="solid"/>
                            <a:miter/>
                          </a:ln>
                        </pic:spPr>
                      </pic:pic>
                    </a:graphicData>
                  </a:graphic>
                </wp:inline>
              </w:drawing>
            </w:r>
          </w:p>
        </w:tc>
      </w:tr>
      <w:tr>
        <w:tc>
          <w:tcPr>
            <w:gridSpan w:val="3"/>
            <w:vMerge/>
            <w:tcBorders>
              <w:top w:val="nil"/>
              <w:left w:val="single" w:sz="4" w:space="0" w:color="auto"/>
              <w:bottom w:val="single" w:sz="4" w:space="0" w:color="auto"/>
              <w:right w:val="single" w:sz="4" w:space="0" w:color="auto"/>
              <w:tl2br w:val="nil"/>
              <w:tr2bl w:val="nil"/>
            </w:tcBorders>
          </w:tcPr>
          <w:p/>
        </w:tc>
        <w:tc>
          <w:tcPr>
            <w:tcW w:w="1121" w:type="dxa"/>
            <w:gridSpan w:val="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信号词：</w:t>
            </w:r>
          </w:p>
        </w:tc>
        <w:tc>
          <w:tcPr>
            <w:tcW w:w="6452" w:type="dxa"/>
            <w:gridSpan w:val="2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危险</w:t>
            </w:r>
          </w:p>
        </w:tc>
      </w:tr>
      <w:tr>
        <w:tc>
          <w:tcPr>
            <w:gridSpan w:val="3"/>
            <w:vMerge/>
            <w:tcBorders>
              <w:top w:val="nil"/>
              <w:left w:val="single" w:sz="4" w:space="0" w:color="auto"/>
              <w:bottom w:val="single" w:sz="4" w:space="0" w:color="auto"/>
              <w:right w:val="single" w:sz="4" w:space="0" w:color="auto"/>
              <w:tl2br w:val="nil"/>
              <w:tr2bl w:val="nil"/>
            </w:tcBorders>
          </w:tcPr>
          <w:p/>
        </w:tc>
        <w:tc>
          <w:tcPr>
            <w:tcW w:w="1121" w:type="dxa"/>
            <w:gridSpan w:val="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危险说明：</w:t>
            </w:r>
          </w:p>
        </w:tc>
        <w:tc>
          <w:tcPr>
            <w:tcW w:w="6452" w:type="dxa"/>
            <w:gridSpan w:val="2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H220：极易燃气体。</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H280：内装高压气体；遇热可能爆炸。</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H281：内装冷冻气体。</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单纯窒息性气体，高浓度下使空气氧分压降低，导致机体缺氧窒息。</w:t>
            </w:r>
          </w:p>
        </w:tc>
      </w:tr>
      <w:tr>
        <w:trPr>
          <w:trHeight w:val="480"/>
        </w:trPr>
        <w:tc>
          <w:tcPr>
            <w:gridSpan w:val="3"/>
            <w:vMerge/>
            <w:tcBorders>
              <w:top w:val="nil"/>
              <w:left w:val="single" w:sz="4" w:space="0" w:color="auto"/>
              <w:bottom w:val="single" w:sz="4" w:space="0" w:color="auto"/>
              <w:right w:val="single" w:sz="4" w:space="0" w:color="auto"/>
              <w:tl2br w:val="nil"/>
              <w:tr2bl w:val="nil"/>
            </w:tcBorders>
          </w:tcPr>
          <w:p/>
        </w:tc>
        <w:tc>
          <w:tcPr>
            <w:tcW w:w="1121" w:type="dxa"/>
            <w:gridSpan w:val="8"/>
            <w:vMerge w:val="restart"/>
            <w:tcBorders>
              <w:top w:val="nil"/>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防范说明：</w:t>
            </w:r>
          </w:p>
        </w:tc>
        <w:tc>
          <w:tcPr>
            <w:tcW w:w="644" w:type="dxa"/>
            <w:gridSpan w:val="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一般</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公众</w:t>
            </w:r>
          </w:p>
        </w:tc>
        <w:tc>
          <w:tcPr>
            <w:tcW w:w="5808" w:type="dxa"/>
            <w:gridSpan w:val="2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P101：如需就医：请随身携带产品容器或标签。</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P102：放在儿童无法触及之处。</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P103：使用前请阅读标签。</w:t>
            </w:r>
          </w:p>
        </w:tc>
      </w:tr>
      <w:tr>
        <w:trPr>
          <w:trHeight w:val="480"/>
        </w:trPr>
        <w:tc>
          <w:tcPr>
            <w:gridSpan w:val="3"/>
            <w:vMerge/>
            <w:tcBorders>
              <w:top w:val="nil"/>
              <w:left w:val="single" w:sz="4" w:space="0" w:color="auto"/>
              <w:bottom w:val="single" w:sz="4" w:space="0" w:color="auto"/>
              <w:right w:val="single" w:sz="4" w:space="0" w:color="auto"/>
              <w:tl2br w:val="nil"/>
              <w:tr2bl w:val="nil"/>
            </w:tcBorders>
          </w:tcPr>
          <w:p/>
        </w:tc>
        <w:tc>
          <w:tcPr>
            <w:gridSpan w:val="8"/>
            <w:vMerge/>
            <w:tcBorders>
              <w:top w:val="nil"/>
              <w:left w:val="single" w:sz="4" w:space="0" w:color="auto"/>
              <w:bottom w:val="single" w:sz="4" w:space="0" w:color="auto"/>
              <w:right w:val="single" w:sz="4" w:space="0" w:color="auto"/>
              <w:tl2br w:val="nil"/>
              <w:tr2bl w:val="nil"/>
            </w:tcBorders>
          </w:tcPr>
          <w:p/>
        </w:tc>
        <w:tc>
          <w:tcPr>
            <w:tcW w:w="644" w:type="dxa"/>
            <w:gridSpan w:val="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预防</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措施</w:t>
            </w:r>
          </w:p>
        </w:tc>
        <w:tc>
          <w:tcPr>
            <w:tcW w:w="5808" w:type="dxa"/>
            <w:gridSpan w:val="2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P210：远离火源/火花/明火/热表面。禁止吸烟。</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P282：戴防寒手套/防护面具/防护眼罩。</w:t>
            </w:r>
          </w:p>
        </w:tc>
      </w:tr>
      <w:tr>
        <w:trPr>
          <w:trHeight w:val="460"/>
        </w:trPr>
        <w:tc>
          <w:tcPr>
            <w:gridSpan w:val="3"/>
            <w:vMerge/>
            <w:tcBorders>
              <w:top w:val="nil"/>
              <w:left w:val="single" w:sz="4" w:space="0" w:color="auto"/>
              <w:bottom w:val="single" w:sz="4" w:space="0" w:color="auto"/>
              <w:right w:val="single" w:sz="4" w:space="0" w:color="auto"/>
              <w:tl2br w:val="nil"/>
              <w:tr2bl w:val="nil"/>
            </w:tcBorders>
          </w:tcPr>
          <w:p/>
        </w:tc>
        <w:tc>
          <w:tcPr>
            <w:gridSpan w:val="8"/>
            <w:vMerge/>
            <w:tcBorders>
              <w:top w:val="nil"/>
              <w:left w:val="single" w:sz="4" w:space="0" w:color="auto"/>
              <w:bottom w:val="single" w:sz="4" w:space="0" w:color="auto"/>
              <w:right w:val="single" w:sz="4" w:space="0" w:color="auto"/>
              <w:tl2br w:val="nil"/>
              <w:tr2bl w:val="nil"/>
            </w:tcBorders>
          </w:tcPr>
          <w:p/>
        </w:tc>
        <w:tc>
          <w:tcPr>
            <w:tcW w:w="644" w:type="dxa"/>
            <w:gridSpan w:val="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事故</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响应</w:t>
            </w:r>
          </w:p>
        </w:tc>
        <w:tc>
          <w:tcPr>
            <w:tcW w:w="5808" w:type="dxa"/>
            <w:gridSpan w:val="2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P377：漏气着火：切勿灭火，除非漏气能够安全地制止。</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P315：立即就医。</w:t>
            </w:r>
          </w:p>
        </w:tc>
      </w:tr>
      <w:tr>
        <w:trPr>
          <w:trHeight w:val="456"/>
        </w:trPr>
        <w:tc>
          <w:tcPr>
            <w:gridSpan w:val="3"/>
            <w:vMerge/>
            <w:tcBorders>
              <w:top w:val="nil"/>
              <w:left w:val="single" w:sz="4" w:space="0" w:color="auto"/>
              <w:bottom w:val="single" w:sz="4" w:space="0" w:color="auto"/>
              <w:right w:val="single" w:sz="4" w:space="0" w:color="auto"/>
              <w:tl2br w:val="nil"/>
              <w:tr2bl w:val="nil"/>
            </w:tcBorders>
          </w:tcPr>
          <w:p/>
        </w:tc>
        <w:tc>
          <w:tcPr>
            <w:gridSpan w:val="8"/>
            <w:vMerge/>
            <w:tcBorders>
              <w:top w:val="nil"/>
              <w:left w:val="single" w:sz="4" w:space="0" w:color="auto"/>
              <w:bottom w:val="single" w:sz="4" w:space="0" w:color="auto"/>
              <w:right w:val="single" w:sz="4" w:space="0" w:color="auto"/>
              <w:tl2br w:val="nil"/>
              <w:tr2bl w:val="nil"/>
            </w:tcBorders>
          </w:tcPr>
          <w:p/>
        </w:tc>
        <w:tc>
          <w:tcPr>
            <w:tcW w:w="644" w:type="dxa"/>
            <w:gridSpan w:val="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安全</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储存</w:t>
            </w:r>
          </w:p>
        </w:tc>
        <w:tc>
          <w:tcPr>
            <w:tcW w:w="5808" w:type="dxa"/>
            <w:gridSpan w:val="2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P403：存放在通风良好的地方。</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P410+P403：防日晒。存放于通风良好处。</w:t>
            </w:r>
          </w:p>
        </w:tc>
      </w:tr>
      <w:tr>
        <w:trPr>
          <w:trHeight w:val="167"/>
        </w:trPr>
        <w:tc>
          <w:tcPr>
            <w:gridSpan w:val="3"/>
            <w:vMerge/>
            <w:tcBorders>
              <w:top w:val="nil"/>
              <w:left w:val="single" w:sz="4" w:space="0" w:color="auto"/>
              <w:bottom w:val="single" w:sz="4" w:space="0" w:color="auto"/>
              <w:right w:val="single" w:sz="4" w:space="0" w:color="auto"/>
              <w:tl2br w:val="nil"/>
              <w:tr2bl w:val="nil"/>
            </w:tcBorders>
          </w:tcPr>
          <w:p/>
        </w:tc>
        <w:tc>
          <w:tcPr>
            <w:gridSpan w:val="8"/>
            <w:vMerge/>
            <w:tcBorders>
              <w:top w:val="nil"/>
              <w:left w:val="single" w:sz="4" w:space="0" w:color="auto"/>
              <w:bottom w:val="single" w:sz="4" w:space="0" w:color="auto"/>
              <w:right w:val="single" w:sz="4" w:space="0" w:color="auto"/>
              <w:tl2br w:val="nil"/>
              <w:tr2bl w:val="nil"/>
            </w:tcBorders>
          </w:tcPr>
          <w:p/>
        </w:tc>
        <w:tc>
          <w:tcPr>
            <w:tcW w:w="644" w:type="dxa"/>
            <w:gridSpan w:val="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废弃处置</w:t>
            </w:r>
          </w:p>
        </w:tc>
        <w:tc>
          <w:tcPr>
            <w:tcW w:w="5808" w:type="dxa"/>
            <w:gridSpan w:val="2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P501：按国家和地方有关法规处置内装物/容器。详见第部十三分：废弃处置。</w:t>
            </w:r>
          </w:p>
        </w:tc>
      </w:tr>
      <w:tr>
        <w:tc>
          <w:tcPr>
            <w:tcW w:w="1711" w:type="dxa"/>
            <w:gridSpan w:val="3"/>
            <w:vMerge w:val="restart"/>
            <w:tcBorders>
              <w:top w:val="nil"/>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危害描述：</w:t>
            </w:r>
          </w:p>
        </w:tc>
        <w:tc>
          <w:tcPr>
            <w:tcW w:w="1765" w:type="dxa"/>
            <w:gridSpan w:val="10"/>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物理化学危险：</w:t>
            </w:r>
          </w:p>
        </w:tc>
        <w:tc>
          <w:tcPr>
            <w:tcW w:w="5808" w:type="dxa"/>
            <w:gridSpan w:val="2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极易燃气体。与空气混合可形成爆炸性混合物。遇明火、高热能引起燃烧爆炸。内装高压气体；遇热可能爆炸。</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与五氧化溴、氯气、次氯酸、三氟化氮、液氧、二氟化氧及其他强氧化剂剧烈反应。</w:t>
            </w:r>
          </w:p>
        </w:tc>
      </w:tr>
      <w:tr>
        <w:tc>
          <w:tcPr>
            <w:gridSpan w:val="3"/>
            <w:vMerge/>
            <w:tcBorders>
              <w:top w:val="nil"/>
              <w:left w:val="single" w:sz="4" w:space="0" w:color="auto"/>
              <w:bottom w:val="single" w:sz="4" w:space="0" w:color="auto"/>
              <w:right w:val="single" w:sz="4" w:space="0" w:color="auto"/>
              <w:tl2br w:val="nil"/>
              <w:tr2bl w:val="nil"/>
            </w:tcBorders>
          </w:tcPr>
          <w:p/>
        </w:tc>
        <w:tc>
          <w:tcPr>
            <w:tcW w:w="1765" w:type="dxa"/>
            <w:gridSpan w:val="10"/>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健康危害：</w:t>
            </w:r>
          </w:p>
        </w:tc>
        <w:tc>
          <w:tcPr>
            <w:tcW w:w="5808" w:type="dxa"/>
            <w:gridSpan w:val="2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高浓度下使空气氧分压降低，导致机体缺氧窒息。</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从事含硫化氢天然气采集与处理企业及相关作业场所（如开采、输送管道及站场、天然气处理厂等），可能因硫化氢等毒性物质含量较高，导致中毒。</w:t>
            </w:r>
          </w:p>
        </w:tc>
      </w:tr>
      <w:tr>
        <w:tc>
          <w:tcPr>
            <w:gridSpan w:val="3"/>
            <w:vMerge/>
            <w:tcBorders>
              <w:top w:val="nil"/>
              <w:left w:val="single" w:sz="4" w:space="0" w:color="auto"/>
              <w:bottom w:val="single" w:sz="4" w:space="0" w:color="auto"/>
              <w:right w:val="single" w:sz="4" w:space="0" w:color="auto"/>
              <w:tl2br w:val="nil"/>
              <w:tr2bl w:val="nil"/>
            </w:tcBorders>
          </w:tcPr>
          <w:p/>
        </w:tc>
        <w:tc>
          <w:tcPr>
            <w:tcW w:w="1765" w:type="dxa"/>
            <w:gridSpan w:val="10"/>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环境危害：</w:t>
            </w:r>
          </w:p>
        </w:tc>
        <w:tc>
          <w:tcPr>
            <w:tcW w:w="5808" w:type="dxa"/>
            <w:gridSpan w:val="2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请参阅第十二部分。</w:t>
            </w:r>
          </w:p>
        </w:tc>
      </w:tr>
      <w:tr>
        <w:tc>
          <w:tcPr>
            <w:tcW w:w="9284" w:type="dxa"/>
            <w:gridSpan w:val="3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Times New Roman" w:hAnsi="Times New Roman"/>
                <w:b/>
                <w:bCs/>
                <w:vanish w:val="0"/>
                <w:sz w:val="21"/>
                <w:szCs w:val="21"/>
              </w:rPr>
            </w:pPr>
            <w:r>
              <w:rPr>
                <w:rFonts w:ascii="Times New Roman" w:hAnsi="Times New Roman"/>
                <w:b/>
                <w:bCs/>
                <w:vanish w:val="0"/>
                <w:sz w:val="21"/>
                <w:szCs w:val="21"/>
              </w:rPr>
              <w:t>第三部分  成分/组成信息</w:t>
            </w:r>
          </w:p>
        </w:tc>
      </w:tr>
      <w:tr>
        <w:trPr>
          <w:trHeight w:val="277"/>
        </w:trPr>
        <w:tc>
          <w:tcPr>
            <w:tcW w:w="3476" w:type="dxa"/>
            <w:gridSpan w:val="1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危险组分</w:t>
            </w:r>
          </w:p>
        </w:tc>
        <w:tc>
          <w:tcPr>
            <w:tcW w:w="2892" w:type="dxa"/>
            <w:gridSpan w:val="1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浓度或浓度范围</w:t>
            </w:r>
          </w:p>
        </w:tc>
        <w:tc>
          <w:tcPr>
            <w:tcW w:w="2916" w:type="dxa"/>
            <w:gridSpan w:val="10"/>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CAS No.</w:t>
            </w:r>
          </w:p>
        </w:tc>
      </w:tr>
      <w:tr>
        <w:trPr>
          <w:trHeight w:val="276"/>
        </w:trPr>
        <w:tc>
          <w:tcPr>
            <w:tcW w:w="3476" w:type="dxa"/>
            <w:gridSpan w:val="1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天然气</w:t>
            </w:r>
          </w:p>
        </w:tc>
        <w:tc>
          <w:tcPr>
            <w:tcW w:w="2892" w:type="dxa"/>
            <w:gridSpan w:val="1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≥99%</w:t>
            </w:r>
          </w:p>
        </w:tc>
        <w:tc>
          <w:tcPr>
            <w:tcW w:w="2916" w:type="dxa"/>
            <w:gridSpan w:val="10"/>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8006-14-2</w:t>
            </w:r>
          </w:p>
        </w:tc>
      </w:tr>
      <w:tr>
        <w:tc>
          <w:tcPr>
            <w:tcW w:w="9284" w:type="dxa"/>
            <w:gridSpan w:val="3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Times New Roman" w:hAnsi="Times New Roman"/>
                <w:b/>
                <w:bCs/>
                <w:vanish w:val="0"/>
                <w:sz w:val="21"/>
                <w:szCs w:val="21"/>
              </w:rPr>
            </w:pPr>
            <w:r>
              <w:rPr>
                <w:rFonts w:ascii="Times New Roman" w:hAnsi="Times New Roman"/>
                <w:b/>
                <w:bCs/>
                <w:vanish w:val="0"/>
                <w:sz w:val="21"/>
                <w:szCs w:val="21"/>
              </w:rPr>
              <w:t>第四部分  急救措施</w:t>
            </w:r>
          </w:p>
        </w:tc>
      </w:tr>
      <w:tr>
        <w:trPr>
          <w:trHeight w:val="334"/>
        </w:trPr>
        <w:tc>
          <w:tcPr>
            <w:tcW w:w="1679" w:type="dxa"/>
            <w:gridSpan w:val="2"/>
            <w:vMerge w:val="restart"/>
            <w:tcBorders>
              <w:top w:val="nil"/>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急救措施描述：</w:t>
            </w:r>
          </w:p>
        </w:tc>
        <w:tc>
          <w:tcPr>
            <w:tcW w:w="2187" w:type="dxa"/>
            <w:gridSpan w:val="1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一般性建议：</w:t>
            </w:r>
          </w:p>
        </w:tc>
        <w:tc>
          <w:tcPr>
            <w:tcW w:w="5418" w:type="dxa"/>
            <w:gridSpan w:val="2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急救措施通常是需要的，请将本SDS出示给到达现场的医生。</w:t>
            </w:r>
          </w:p>
        </w:tc>
      </w:tr>
      <w:tr>
        <w:trPr>
          <w:trHeight w:val="278"/>
        </w:trPr>
        <w:tc>
          <w:tcPr>
            <w:gridSpan w:val="2"/>
            <w:vMerge/>
            <w:tcBorders>
              <w:top w:val="nil"/>
              <w:left w:val="single" w:sz="4" w:space="0" w:color="auto"/>
              <w:bottom w:val="single" w:sz="4" w:space="0" w:color="auto"/>
              <w:right w:val="single" w:sz="4" w:space="0" w:color="auto"/>
              <w:tl2br w:val="nil"/>
              <w:tr2bl w:val="nil"/>
            </w:tcBorders>
          </w:tcPr>
          <w:p/>
        </w:tc>
        <w:tc>
          <w:tcPr>
            <w:tcW w:w="2187" w:type="dxa"/>
            <w:gridSpan w:val="1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皮肤接触：</w:t>
            </w:r>
          </w:p>
        </w:tc>
        <w:tc>
          <w:tcPr>
            <w:tcW w:w="5418" w:type="dxa"/>
            <w:gridSpan w:val="2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立即脱去污染的衣物。用大量清水或肥皂水彻底冲洗皮肤。如有不适，就医。</w:t>
            </w:r>
          </w:p>
        </w:tc>
      </w:tr>
      <w:tr>
        <w:trPr>
          <w:trHeight w:val="278"/>
        </w:trPr>
        <w:tc>
          <w:tcPr>
            <w:gridSpan w:val="2"/>
            <w:vMerge/>
            <w:tcBorders>
              <w:top w:val="nil"/>
              <w:left w:val="single" w:sz="4" w:space="0" w:color="auto"/>
              <w:bottom w:val="single" w:sz="4" w:space="0" w:color="auto"/>
              <w:right w:val="single" w:sz="4" w:space="0" w:color="auto"/>
              <w:tl2br w:val="nil"/>
              <w:tr2bl w:val="nil"/>
            </w:tcBorders>
          </w:tcPr>
          <w:p/>
        </w:tc>
        <w:tc>
          <w:tcPr>
            <w:tcW w:w="2187" w:type="dxa"/>
            <w:gridSpan w:val="1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眼睛接触：</w:t>
            </w:r>
          </w:p>
        </w:tc>
        <w:tc>
          <w:tcPr>
            <w:tcW w:w="5418" w:type="dxa"/>
            <w:gridSpan w:val="2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如果接触，先用大量水冲洗几分钟（如可能易行，摘除隐形眼镜），然后就医。</w:t>
            </w:r>
          </w:p>
        </w:tc>
      </w:tr>
      <w:tr>
        <w:trPr>
          <w:trHeight w:val="278"/>
        </w:trPr>
        <w:tc>
          <w:tcPr>
            <w:gridSpan w:val="2"/>
            <w:vMerge/>
            <w:tcBorders>
              <w:top w:val="nil"/>
              <w:left w:val="single" w:sz="4" w:space="0" w:color="auto"/>
              <w:bottom w:val="single" w:sz="4" w:space="0" w:color="auto"/>
              <w:right w:val="single" w:sz="4" w:space="0" w:color="auto"/>
              <w:tl2br w:val="nil"/>
              <w:tr2bl w:val="nil"/>
            </w:tcBorders>
          </w:tcPr>
          <w:p/>
        </w:tc>
        <w:tc>
          <w:tcPr>
            <w:tcW w:w="2187" w:type="dxa"/>
            <w:gridSpan w:val="1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吸入：</w:t>
            </w:r>
          </w:p>
        </w:tc>
        <w:tc>
          <w:tcPr>
            <w:tcW w:w="5418" w:type="dxa"/>
            <w:gridSpan w:val="2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迅速将患者移至新鲜空气处保持呼吸道通畅，如呼吸困难，给输氧，如呼吸停止，立即进行人工呼吸，就医。</w:t>
            </w:r>
          </w:p>
        </w:tc>
      </w:tr>
      <w:tr>
        <w:trPr>
          <w:trHeight w:val="278"/>
        </w:trPr>
        <w:tc>
          <w:tcPr>
            <w:gridSpan w:val="2"/>
            <w:vMerge/>
            <w:tcBorders>
              <w:top w:val="nil"/>
              <w:left w:val="single" w:sz="4" w:space="0" w:color="auto"/>
              <w:bottom w:val="single" w:sz="4" w:space="0" w:color="auto"/>
              <w:right w:val="single" w:sz="4" w:space="0" w:color="auto"/>
              <w:tl2br w:val="nil"/>
              <w:tr2bl w:val="nil"/>
            </w:tcBorders>
          </w:tcPr>
          <w:p/>
        </w:tc>
        <w:tc>
          <w:tcPr>
            <w:tcW w:w="2187" w:type="dxa"/>
            <w:gridSpan w:val="1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食入：</w:t>
            </w:r>
          </w:p>
        </w:tc>
        <w:tc>
          <w:tcPr>
            <w:tcW w:w="5418" w:type="dxa"/>
            <w:gridSpan w:val="2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r>
      <w:tr>
        <w:trPr>
          <w:trHeight w:val="278"/>
        </w:trPr>
        <w:tc>
          <w:tcPr>
            <w:gridSpan w:val="2"/>
            <w:vMerge/>
            <w:tcBorders>
              <w:top w:val="nil"/>
              <w:left w:val="single" w:sz="4" w:space="0" w:color="auto"/>
              <w:bottom w:val="single" w:sz="4" w:space="0" w:color="auto"/>
              <w:right w:val="single" w:sz="4" w:space="0" w:color="auto"/>
              <w:tl2br w:val="nil"/>
              <w:tr2bl w:val="nil"/>
            </w:tcBorders>
          </w:tcPr>
          <w:p/>
        </w:tc>
        <w:tc>
          <w:tcPr>
            <w:tcW w:w="2187" w:type="dxa"/>
            <w:gridSpan w:val="1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对保护施救者的忠告：</w:t>
            </w:r>
          </w:p>
        </w:tc>
        <w:tc>
          <w:tcPr>
            <w:tcW w:w="5418" w:type="dxa"/>
            <w:gridSpan w:val="2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清除所有火源，增强通风。避免接触皮肤和眼睛。避免吸入蒸气。使用防护装备,包括呼吸面具。</w:t>
            </w:r>
          </w:p>
        </w:tc>
      </w:tr>
      <w:tr>
        <w:trPr>
          <w:trHeight w:val="278"/>
        </w:trPr>
        <w:tc>
          <w:tcPr>
            <w:gridSpan w:val="2"/>
            <w:vMerge/>
            <w:tcBorders>
              <w:top w:val="nil"/>
              <w:left w:val="single" w:sz="4" w:space="0" w:color="auto"/>
              <w:bottom w:val="single" w:sz="4" w:space="0" w:color="auto"/>
              <w:right w:val="single" w:sz="4" w:space="0" w:color="auto"/>
              <w:tl2br w:val="nil"/>
              <w:tr2bl w:val="nil"/>
            </w:tcBorders>
          </w:tcPr>
          <w:p/>
        </w:tc>
        <w:tc>
          <w:tcPr>
            <w:tcW w:w="2187" w:type="dxa"/>
            <w:gridSpan w:val="1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对医生的特别提示：</w:t>
            </w:r>
          </w:p>
        </w:tc>
        <w:tc>
          <w:tcPr>
            <w:tcW w:w="5418" w:type="dxa"/>
            <w:gridSpan w:val="2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 xml:space="preserve">根据出现的症状进行针对性处理。注意症状可能会出现延迟。 </w:t>
            </w:r>
          </w:p>
        </w:tc>
      </w:tr>
      <w:tr>
        <w:tc>
          <w:tcPr>
            <w:tcW w:w="9284" w:type="dxa"/>
            <w:gridSpan w:val="3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Times New Roman" w:hAnsi="Times New Roman"/>
                <w:b/>
                <w:bCs/>
                <w:vanish w:val="0"/>
                <w:sz w:val="21"/>
                <w:szCs w:val="21"/>
              </w:rPr>
            </w:pPr>
            <w:r>
              <w:rPr>
                <w:rFonts w:ascii="Times New Roman" w:hAnsi="Times New Roman"/>
                <w:b/>
                <w:bCs/>
                <w:vanish w:val="0"/>
                <w:sz w:val="21"/>
                <w:szCs w:val="21"/>
              </w:rPr>
              <w:t>第五部分  消防措施</w:t>
            </w:r>
          </w:p>
        </w:tc>
      </w:tr>
      <w:tr>
        <w:tc>
          <w:tcPr>
            <w:tcW w:w="2359" w:type="dxa"/>
            <w:gridSpan w:val="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特别危险性：</w:t>
            </w:r>
          </w:p>
        </w:tc>
        <w:tc>
          <w:tcPr>
            <w:tcW w:w="6925" w:type="dxa"/>
            <w:gridSpan w:val="30"/>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极易燃气体。与空气混合可形成爆炸性混合物。遇明火、高热能引起燃烧爆炸。内装高压气体；遇热可能爆炸。</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与五氧化溴、氯气、次氯酸、三氟化氮、液氧、二氟化氧及其他强氧化剂剧烈反应。</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高浓度下使空气氧分压降低，导致机体缺氧窒息。</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从事含硫化氢天然气采集与处理企业及相关作业场所（如开采、输送管道及站场、天然气处理厂等），可能因硫化氢等毒性物质含量较高，导致中毒。</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与液化天然气接触，可能造成低温灼伤或损伤。</w:t>
            </w:r>
          </w:p>
        </w:tc>
      </w:tr>
      <w:tr>
        <w:tc>
          <w:tcPr>
            <w:tcW w:w="2359" w:type="dxa"/>
            <w:gridSpan w:val="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灭火方法与灭火剂：</w:t>
            </w:r>
          </w:p>
        </w:tc>
        <w:tc>
          <w:tcPr>
            <w:tcW w:w="6925" w:type="dxa"/>
            <w:gridSpan w:val="30"/>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灭火方法：遇大火切勿轻易接近。在物料附近失火，须用水保持冷却。</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合适的灭火介质：用雾状水、泡沫、二氧化碳、干粉灭火剂灭火。</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不合适的灭火介质：避免用太强烈的水汽灭火因为它可能会使火苗蔓延分散。避免水流接触泄漏物。禁止用水直接冲击泄漏物或泄漏源。</w:t>
            </w:r>
          </w:p>
        </w:tc>
      </w:tr>
      <w:tr>
        <w:tc>
          <w:tcPr>
            <w:tcW w:w="2359" w:type="dxa"/>
            <w:gridSpan w:val="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灭火注意事项及措施：</w:t>
            </w:r>
          </w:p>
        </w:tc>
        <w:tc>
          <w:tcPr>
            <w:tcW w:w="6925" w:type="dxa"/>
            <w:gridSpan w:val="30"/>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灭火时，消防人员须佩戴携气式呼吸器，穿全身防毒消防服，在上风向、安全距离处、有充足防护的情况下灭火。</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切断泄漏源。若不能切断泄漏源，则不允许熄灭泄漏处的火焰。在确保安全的前提下尽可能将容器移离火场。将容器用大量水冷却容器，直至火扑灭。切勿开动已处于火场中的车辆或货船。</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处在火场中的容器若已变色或从安全泄压装置中产生声音，必须马上撤离。</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收容和处理消防水，防止污染环境。</w:t>
            </w:r>
          </w:p>
        </w:tc>
      </w:tr>
      <w:tr>
        <w:tc>
          <w:tcPr>
            <w:tcW w:w="9284" w:type="dxa"/>
            <w:gridSpan w:val="3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Times New Roman" w:hAnsi="Times New Roman"/>
                <w:b/>
                <w:bCs/>
                <w:vanish w:val="0"/>
                <w:sz w:val="21"/>
                <w:szCs w:val="21"/>
              </w:rPr>
            </w:pPr>
            <w:r>
              <w:rPr>
                <w:rFonts w:ascii="Times New Roman" w:hAnsi="Times New Roman"/>
                <w:b/>
                <w:bCs/>
                <w:vanish w:val="0"/>
                <w:sz w:val="21"/>
                <w:szCs w:val="21"/>
              </w:rPr>
              <w:t>第六部分  泄漏应急处理</w:t>
            </w:r>
          </w:p>
        </w:tc>
      </w:tr>
      <w:tr>
        <w:tc>
          <w:tcPr>
            <w:tcW w:w="2359" w:type="dxa"/>
            <w:gridSpan w:val="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作业人员防护措施、防护装备和应急处置程序：</w:t>
            </w:r>
          </w:p>
        </w:tc>
        <w:tc>
          <w:tcPr>
            <w:tcW w:w="6925" w:type="dxa"/>
            <w:gridSpan w:val="30"/>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建议应急处理人员穿戴正压自给式空气呼吸器，穿防静电服，戴橡胶耐油手套。不要直接接触或跨越泄漏物。</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作业时使用的所有设备应接地。</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尽可能切断泄漏源。消除所有点火源。保证充分的通风。</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根据气体的影响区域划定警戒区，无关人员从侧风、上风向撤离至安全区。</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喷雾状水抑制蒸气或改变蒸气云流向，避免水流接触泄漏物。</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避免吸入蒸气、烟雾、气体或风尘。</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防止气体通过下水道、通风系统和密闭性空间扩散。</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若可能翻转容器，使之逸出气体而非液体。</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如果钢瓶发生泄漏，无法封堵时可浸入水中。</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储罐区建议设置水或稀酸喷洒设施。</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天然气输送管道泄漏时，首先关闭泄漏管段上下游最近的截断阀，放空或回收（如果具备回收条件）该管段内天然气，然后用惰性气体进行置换后对泄漏点进行抢修。</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隔离泄漏区直至气体散尽。漏气容器要妥善处理，修复、检验后再用。</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迅速将泄漏区中禁配物转移至安全地带，避免与其接触发生更大危险。</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隔离与疏散距离：泄漏隔离距离至少为100m。如果为大量泄漏，下风向的初始疏散距离应至少为800m。</w:t>
            </w:r>
          </w:p>
        </w:tc>
      </w:tr>
      <w:tr>
        <w:tc>
          <w:tcPr>
            <w:tcW w:w="2359" w:type="dxa"/>
            <w:gridSpan w:val="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环境保护措施：</w:t>
            </w:r>
          </w:p>
        </w:tc>
        <w:tc>
          <w:tcPr>
            <w:tcW w:w="6925" w:type="dxa"/>
            <w:gridSpan w:val="30"/>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在确保安全的情况下，采取措施防止进一步的泄漏或溢出。防止气体通过下水道、通风系统和密闭性空间扩散。</w:t>
            </w:r>
          </w:p>
        </w:tc>
      </w:tr>
      <w:tr>
        <w:tc>
          <w:tcPr>
            <w:tcW w:w="2359" w:type="dxa"/>
            <w:gridSpan w:val="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泄漏的收容、清除</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方法及处置材料：</w:t>
            </w:r>
          </w:p>
        </w:tc>
        <w:tc>
          <w:tcPr>
            <w:tcW w:w="6925" w:type="dxa"/>
            <w:gridSpan w:val="30"/>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小量泄漏：现场通风，加速扩散，使其汽化。禁止冲入下水道。</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大量泄漏：利用水源或消防水枪建立水幕墙，喷雾状水中和、稀释、溶解，然后抽排（室内）或强力通风（室外）。如条件具备，对泄漏天然气进行回收。</w:t>
            </w:r>
          </w:p>
        </w:tc>
      </w:tr>
      <w:tr>
        <w:tc>
          <w:tcPr>
            <w:tcW w:w="9284" w:type="dxa"/>
            <w:gridSpan w:val="3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Times New Roman" w:hAnsi="Times New Roman"/>
                <w:b/>
                <w:bCs/>
                <w:vanish w:val="0"/>
                <w:sz w:val="21"/>
                <w:szCs w:val="21"/>
              </w:rPr>
            </w:pPr>
            <w:r>
              <w:rPr>
                <w:rFonts w:ascii="Times New Roman" w:hAnsi="Times New Roman"/>
                <w:b/>
                <w:bCs/>
                <w:vanish w:val="0"/>
                <w:sz w:val="21"/>
                <w:szCs w:val="21"/>
              </w:rPr>
              <w:t>第七部分  操作处置与储存</w:t>
            </w:r>
          </w:p>
        </w:tc>
      </w:tr>
      <w:tr>
        <w:tc>
          <w:tcPr>
            <w:tcW w:w="2359" w:type="dxa"/>
            <w:gridSpan w:val="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操作注意事项：</w:t>
            </w:r>
          </w:p>
        </w:tc>
        <w:tc>
          <w:tcPr>
            <w:tcW w:w="6925" w:type="dxa"/>
            <w:gridSpan w:val="30"/>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操作人员必须经过专门培训，严格遵守操作规程，熟练掌握操作技能，具备应急处置知识。</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操作处置应在具备局部通风或全面通风换气设施的场所进行。</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使用防爆型的通风系统和设备。禁止使用易产生火花的机械设备和工具。</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避免眼和皮肤的接触，避免吸入蒸汽。</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在通风良好处进行操作。穿戴合适的个人防护用具。避免接触皮肤和进入眼睛。用后洗手，禁止在工作场所进饮食。个体防护措施参见第8部分。</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远离火种、热源，工作场所严禁吸烟。</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使用防爆型的通风系统和设备。</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如需充装，应符合GB/T14194《压缩气体气瓶充装规定》、GB</w:t>
            </w:r>
            <w:r>
              <w:rPr>
                <w:rFonts w:ascii="Times New Roman" w:eastAsia="宋体" w:cs="Times New Roman" w:hAnsi="Times New Roman"/>
                <w:vanish w:val="0"/>
                <w:sz w:val="21"/>
                <w:szCs w:val="21"/>
              </w:rPr>
              <w:t>/T</w:t>
            </w:r>
            <w:r>
              <w:rPr>
                <w:rFonts w:ascii="Times New Roman" w:hAnsi="Times New Roman"/>
                <w:vanish w:val="0"/>
                <w:sz w:val="21"/>
                <w:szCs w:val="21"/>
              </w:rPr>
              <w:t>28051《焊接绝热气瓶充装规定》、GB/T34528-2017《气瓶集束装置充装规定》</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生产、使用场所应设置泄漏检测报警仪。</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储罐等压力容器和设备应设置安全阀、压力表、液位计、温度计，并应装有带压力、液位、温度远传记录和报警功能的安全装置。</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设置必要的安全联锁及紧急排放系统、易燃物质检测报警系统以及正常及事故通风设施，通风设施应每年进行一次检查。</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在输送过程中，容器、管道必须接地和跨接，防止产生静电。</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保持设备的压力正常，有关管线要畅通。维护保养好设备，消除跑、冒、滴、漏等现象，使设备处于完好状态。</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生产区域内，严禁明火和可能产生明火、火花的作业。生产需要或检修期间需动火时，必须办理动火审批手续。</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避免与禁配物、食用化学品接触。（禁配物参见第10部分）。</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生产区域应设置安全警示标志。</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搬运时要轻装轻卸，防止包装及容器损坏。</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倒空的容器可能残留有害物或易燃易爆物，未对其进行惰性气体置换前，严禁进入容器或对容器进行动火作业。</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配备相应品种和数量的消防器材及泄漏应急处理设备。</w:t>
            </w:r>
          </w:p>
        </w:tc>
      </w:tr>
      <w:tr>
        <w:tc>
          <w:tcPr>
            <w:tcW w:w="2359" w:type="dxa"/>
            <w:gridSpan w:val="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储存注意事项：</w:t>
            </w:r>
          </w:p>
        </w:tc>
        <w:tc>
          <w:tcPr>
            <w:tcW w:w="6925" w:type="dxa"/>
            <w:gridSpan w:val="30"/>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储存于阴凉、干燥、通风良好、避免阳光直射或雨淋，远离火种、热源。库房温度不宜超过30℃。储罐应设置防雷防静电设施。</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应与禁配物、食用化学品分开存放，切忌混储（禁配物参见第10部分）。</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采用防爆型照明、通风设施。</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禁止使用易产生火花的机械设备和工具。</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储区应备有泄漏应急处理设备和合适的收容材料。</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搬运时要轻装轻卸，防止包装及容器损坏。</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贮存场所应设置泄漏检测报警仪。</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储罐等压力容器和设备应设置安全阀、压力表、液位计、温度计，并应装有带压力、液位、温度远传记录和报警功能的安全装置。</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储存区域应设置安全警示标志。</w:t>
            </w:r>
          </w:p>
        </w:tc>
      </w:tr>
      <w:tr>
        <w:tc>
          <w:tcPr>
            <w:tcW w:w="9284" w:type="dxa"/>
            <w:gridSpan w:val="3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Times New Roman" w:hAnsi="Times New Roman"/>
                <w:b/>
                <w:bCs/>
                <w:vanish w:val="0"/>
                <w:sz w:val="21"/>
                <w:szCs w:val="21"/>
              </w:rPr>
            </w:pPr>
            <w:r>
              <w:rPr>
                <w:rFonts w:ascii="Times New Roman" w:hAnsi="Times New Roman"/>
                <w:b/>
                <w:bCs/>
                <w:vanish w:val="0"/>
                <w:sz w:val="21"/>
                <w:szCs w:val="21"/>
              </w:rPr>
              <w:t>第八部分  接触控制/个体防护</w:t>
            </w:r>
          </w:p>
        </w:tc>
      </w:tr>
      <w:tr>
        <w:tc>
          <w:tcPr>
            <w:tcW w:w="1826" w:type="dxa"/>
            <w:gridSpan w:val="4"/>
            <w:vMerge w:val="restart"/>
            <w:tcBorders>
              <w:top w:val="nil"/>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控制参数：</w:t>
            </w:r>
          </w:p>
        </w:tc>
        <w:tc>
          <w:tcPr>
            <w:tcW w:w="7458" w:type="dxa"/>
            <w:gridSpan w:val="3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职业接触限值：</w:t>
            </w:r>
          </w:p>
        </w:tc>
      </w:tr>
      <w:tr>
        <w:tc>
          <w:tcPr>
            <w:gridSpan w:val="4"/>
            <w:vMerge/>
            <w:tcBorders>
              <w:top w:val="nil"/>
              <w:left w:val="single" w:sz="4" w:space="0" w:color="auto"/>
              <w:bottom w:val="single" w:sz="4" w:space="0" w:color="auto"/>
              <w:right w:val="single" w:sz="4" w:space="0" w:color="auto"/>
              <w:tl2br w:val="nil"/>
              <w:tr2bl w:val="nil"/>
            </w:tcBorders>
          </w:tcPr>
          <w:p/>
        </w:tc>
        <w:tc>
          <w:tcPr>
            <w:tcW w:w="850"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组分</w:t>
            </w:r>
          </w:p>
        </w:tc>
        <w:tc>
          <w:tcPr>
            <w:tcW w:w="1861" w:type="dxa"/>
            <w:gridSpan w:val="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标准来源</w:t>
            </w:r>
          </w:p>
        </w:tc>
        <w:tc>
          <w:tcPr>
            <w:tcW w:w="1863" w:type="dxa"/>
            <w:gridSpan w:val="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职业接触限值类别</w:t>
            </w:r>
          </w:p>
        </w:tc>
        <w:tc>
          <w:tcPr>
            <w:tcW w:w="1100" w:type="dxa"/>
            <w:gridSpan w:val="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类型</w:t>
            </w:r>
          </w:p>
        </w:tc>
        <w:tc>
          <w:tcPr>
            <w:tcW w:w="1142" w:type="dxa"/>
            <w:gridSpan w:val="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标准值</w:t>
            </w:r>
          </w:p>
        </w:tc>
        <w:tc>
          <w:tcPr>
            <w:tcW w:w="642" w:type="dxa"/>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备注</w:t>
            </w:r>
          </w:p>
        </w:tc>
      </w:tr>
      <w:tr>
        <w:tc>
          <w:tcPr>
            <w:gridSpan w:val="4"/>
            <w:vMerge/>
            <w:tcBorders>
              <w:top w:val="nil"/>
              <w:left w:val="single" w:sz="4" w:space="0" w:color="auto"/>
              <w:bottom w:val="single" w:sz="4" w:space="0" w:color="auto"/>
              <w:right w:val="single" w:sz="4" w:space="0" w:color="auto"/>
              <w:tl2br w:val="nil"/>
              <w:tr2bl w:val="nil"/>
            </w:tcBorders>
          </w:tcPr>
          <w:p/>
        </w:tc>
        <w:tc>
          <w:tcPr>
            <w:tcW w:w="850" w:type="dxa"/>
            <w:gridSpan w:val="6"/>
            <w:vMerge w:val="restart"/>
            <w:tcBorders>
              <w:top w:val="nil"/>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天然气</w:t>
            </w:r>
          </w:p>
        </w:tc>
        <w:tc>
          <w:tcPr>
            <w:tcW w:w="1861" w:type="dxa"/>
            <w:gridSpan w:val="9"/>
            <w:vMerge w:val="restart"/>
            <w:tcBorders>
              <w:top w:val="nil"/>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GBZ2.1-2019《工作场所有害因素职业接触限值 第1部分：化学有害因素》</w:t>
            </w:r>
          </w:p>
        </w:tc>
        <w:tc>
          <w:tcPr>
            <w:tcW w:w="1863" w:type="dxa"/>
            <w:gridSpan w:val="9"/>
            <w:vMerge w:val="restart"/>
            <w:tcBorders>
              <w:top w:val="nil"/>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工作场所空气中</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化学物质容许浓度</w:t>
            </w:r>
          </w:p>
        </w:tc>
        <w:tc>
          <w:tcPr>
            <w:tcW w:w="1100" w:type="dxa"/>
            <w:gridSpan w:val="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MAC</w:t>
            </w:r>
          </w:p>
        </w:tc>
        <w:tc>
          <w:tcPr>
            <w:tcW w:w="1142" w:type="dxa"/>
            <w:gridSpan w:val="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c>
          <w:tcPr>
            <w:tcW w:w="642" w:type="dxa"/>
            <w:vMerge w:val="restart"/>
            <w:tcBorders>
              <w:top w:val="nil"/>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r>
      <w:tr>
        <w:tc>
          <w:tcPr>
            <w:gridSpan w:val="4"/>
            <w:vMerge/>
            <w:tcBorders>
              <w:top w:val="nil"/>
              <w:left w:val="single" w:sz="4" w:space="0" w:color="auto"/>
              <w:bottom w:val="single" w:sz="4" w:space="0" w:color="auto"/>
              <w:right w:val="single" w:sz="4" w:space="0" w:color="auto"/>
              <w:tl2br w:val="nil"/>
              <w:tr2bl w:val="nil"/>
            </w:tcBorders>
          </w:tcPr>
          <w:p/>
        </w:tc>
        <w:tc>
          <w:tcPr>
            <w:gridSpan w:val="6"/>
            <w:vMerge/>
            <w:tcBorders>
              <w:top w:val="nil"/>
              <w:left w:val="single" w:sz="4" w:space="0" w:color="auto"/>
              <w:bottom w:val="single" w:sz="4" w:space="0" w:color="auto"/>
              <w:right w:val="single" w:sz="4" w:space="0" w:color="auto"/>
              <w:tl2br w:val="nil"/>
              <w:tr2bl w:val="nil"/>
            </w:tcBorders>
          </w:tcPr>
          <w:p/>
        </w:tc>
        <w:tc>
          <w:tcPr>
            <w:gridSpan w:val="9"/>
            <w:vMerge/>
            <w:tcBorders>
              <w:top w:val="nil"/>
              <w:left w:val="single" w:sz="4" w:space="0" w:color="auto"/>
              <w:bottom w:val="single" w:sz="4" w:space="0" w:color="auto"/>
              <w:right w:val="single" w:sz="4" w:space="0" w:color="auto"/>
              <w:tl2br w:val="nil"/>
              <w:tr2bl w:val="nil"/>
            </w:tcBorders>
          </w:tcPr>
          <w:p/>
        </w:tc>
        <w:tc>
          <w:tcPr>
            <w:gridSpan w:val="9"/>
            <w:vMerge/>
            <w:tcBorders>
              <w:top w:val="nil"/>
              <w:left w:val="single" w:sz="4" w:space="0" w:color="auto"/>
              <w:bottom w:val="single" w:sz="4" w:space="0" w:color="auto"/>
              <w:right w:val="single" w:sz="4" w:space="0" w:color="auto"/>
              <w:tl2br w:val="nil"/>
              <w:tr2bl w:val="nil"/>
            </w:tcBorders>
          </w:tcPr>
          <w:p/>
        </w:tc>
        <w:tc>
          <w:tcPr>
            <w:tcW w:w="1100" w:type="dxa"/>
            <w:gridSpan w:val="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PC-TWA</w:t>
            </w:r>
          </w:p>
        </w:tc>
        <w:tc>
          <w:tcPr>
            <w:tcW w:w="1142" w:type="dxa"/>
            <w:gridSpan w:val="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c>
          <w:tcPr>
            <w:vMerge/>
            <w:tcBorders>
              <w:top w:val="nil"/>
              <w:left w:val="single" w:sz="4" w:space="0" w:color="auto"/>
              <w:bottom w:val="single" w:sz="4" w:space="0" w:color="auto"/>
              <w:right w:val="single" w:sz="4" w:space="0" w:color="auto"/>
              <w:tl2br w:val="nil"/>
              <w:tr2bl w:val="nil"/>
            </w:tcBorders>
          </w:tcPr>
          <w:p/>
        </w:tc>
      </w:tr>
      <w:tr>
        <w:tc>
          <w:tcPr>
            <w:gridSpan w:val="4"/>
            <w:vMerge/>
            <w:tcBorders>
              <w:top w:val="nil"/>
              <w:left w:val="single" w:sz="4" w:space="0" w:color="auto"/>
              <w:bottom w:val="single" w:sz="4" w:space="0" w:color="auto"/>
              <w:right w:val="single" w:sz="4" w:space="0" w:color="auto"/>
              <w:tl2br w:val="nil"/>
              <w:tr2bl w:val="nil"/>
            </w:tcBorders>
          </w:tcPr>
          <w:p/>
        </w:tc>
        <w:tc>
          <w:tcPr>
            <w:gridSpan w:val="6"/>
            <w:vMerge/>
            <w:tcBorders>
              <w:top w:val="nil"/>
              <w:left w:val="single" w:sz="4" w:space="0" w:color="auto"/>
              <w:bottom w:val="single" w:sz="4" w:space="0" w:color="auto"/>
              <w:right w:val="single" w:sz="4" w:space="0" w:color="auto"/>
              <w:tl2br w:val="nil"/>
              <w:tr2bl w:val="nil"/>
            </w:tcBorders>
          </w:tcPr>
          <w:p/>
        </w:tc>
        <w:tc>
          <w:tcPr>
            <w:gridSpan w:val="9"/>
            <w:vMerge/>
            <w:tcBorders>
              <w:top w:val="nil"/>
              <w:left w:val="single" w:sz="4" w:space="0" w:color="auto"/>
              <w:bottom w:val="single" w:sz="4" w:space="0" w:color="auto"/>
              <w:right w:val="single" w:sz="4" w:space="0" w:color="auto"/>
              <w:tl2br w:val="nil"/>
              <w:tr2bl w:val="nil"/>
            </w:tcBorders>
          </w:tcPr>
          <w:p/>
        </w:tc>
        <w:tc>
          <w:tcPr>
            <w:gridSpan w:val="9"/>
            <w:vMerge/>
            <w:tcBorders>
              <w:top w:val="nil"/>
              <w:left w:val="single" w:sz="4" w:space="0" w:color="auto"/>
              <w:bottom w:val="single" w:sz="4" w:space="0" w:color="auto"/>
              <w:right w:val="single" w:sz="4" w:space="0" w:color="auto"/>
              <w:tl2br w:val="nil"/>
              <w:tr2bl w:val="nil"/>
            </w:tcBorders>
          </w:tcPr>
          <w:p/>
        </w:tc>
        <w:tc>
          <w:tcPr>
            <w:tcW w:w="1100" w:type="dxa"/>
            <w:gridSpan w:val="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PC-STEL</w:t>
            </w:r>
          </w:p>
        </w:tc>
        <w:tc>
          <w:tcPr>
            <w:tcW w:w="1142" w:type="dxa"/>
            <w:gridSpan w:val="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c>
          <w:tcPr>
            <w:vMerge/>
            <w:tcBorders>
              <w:top w:val="nil"/>
              <w:left w:val="single" w:sz="4" w:space="0" w:color="auto"/>
              <w:bottom w:val="single" w:sz="4" w:space="0" w:color="auto"/>
              <w:right w:val="single" w:sz="4" w:space="0" w:color="auto"/>
              <w:tl2br w:val="nil"/>
              <w:tr2bl w:val="nil"/>
            </w:tcBorders>
          </w:tcPr>
          <w:p/>
        </w:tc>
      </w:tr>
      <w:tr>
        <w:tc>
          <w:tcPr>
            <w:gridSpan w:val="4"/>
            <w:vMerge/>
            <w:tcBorders>
              <w:top w:val="nil"/>
              <w:left w:val="single" w:sz="4" w:space="0" w:color="auto"/>
              <w:bottom w:val="single" w:sz="4" w:space="0" w:color="auto"/>
              <w:right w:val="single" w:sz="4" w:space="0" w:color="auto"/>
              <w:tl2br w:val="nil"/>
              <w:tr2bl w:val="nil"/>
            </w:tcBorders>
          </w:tcPr>
          <w:p/>
        </w:tc>
        <w:tc>
          <w:tcPr>
            <w:gridSpan w:val="6"/>
            <w:vMerge/>
            <w:tcBorders>
              <w:top w:val="nil"/>
              <w:left w:val="single" w:sz="4" w:space="0" w:color="auto"/>
              <w:bottom w:val="single" w:sz="4" w:space="0" w:color="auto"/>
              <w:right w:val="single" w:sz="4" w:space="0" w:color="auto"/>
              <w:tl2br w:val="nil"/>
              <w:tr2bl w:val="nil"/>
            </w:tcBorders>
          </w:tcPr>
          <w:p/>
        </w:tc>
        <w:tc>
          <w:tcPr>
            <w:gridSpan w:val="9"/>
            <w:vMerge/>
            <w:tcBorders>
              <w:top w:val="nil"/>
              <w:left w:val="single" w:sz="4" w:space="0" w:color="auto"/>
              <w:bottom w:val="single" w:sz="4" w:space="0" w:color="auto"/>
              <w:right w:val="single" w:sz="4" w:space="0" w:color="auto"/>
              <w:tl2br w:val="nil"/>
              <w:tr2bl w:val="nil"/>
            </w:tcBorders>
          </w:tcPr>
          <w:p/>
        </w:tc>
        <w:tc>
          <w:tcPr>
            <w:tcW w:w="1863" w:type="dxa"/>
            <w:gridSpan w:val="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粉尘容许浓度</w:t>
            </w:r>
          </w:p>
        </w:tc>
        <w:tc>
          <w:tcPr>
            <w:tcW w:w="1100" w:type="dxa"/>
            <w:gridSpan w:val="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c>
          <w:tcPr>
            <w:tcW w:w="1142" w:type="dxa"/>
            <w:gridSpan w:val="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c>
          <w:tcPr>
            <w:tcW w:w="642" w:type="dxa"/>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r>
      <w:tr>
        <w:tc>
          <w:tcPr>
            <w:gridSpan w:val="4"/>
            <w:vMerge/>
            <w:tcBorders>
              <w:top w:val="nil"/>
              <w:left w:val="single" w:sz="4" w:space="0" w:color="auto"/>
              <w:bottom w:val="single" w:sz="4" w:space="0" w:color="auto"/>
              <w:right w:val="single" w:sz="4" w:space="0" w:color="auto"/>
              <w:tl2br w:val="nil"/>
              <w:tr2bl w:val="nil"/>
            </w:tcBorders>
          </w:tcPr>
          <w:p/>
        </w:tc>
        <w:tc>
          <w:tcPr>
            <w:tcW w:w="7458" w:type="dxa"/>
            <w:gridSpan w:val="3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生物限值：</w:t>
            </w:r>
          </w:p>
        </w:tc>
      </w:tr>
      <w:tr>
        <w:tc>
          <w:tcPr>
            <w:gridSpan w:val="4"/>
            <w:vMerge/>
            <w:tcBorders>
              <w:top w:val="nil"/>
              <w:left w:val="single" w:sz="4" w:space="0" w:color="auto"/>
              <w:bottom w:val="single" w:sz="4" w:space="0" w:color="auto"/>
              <w:right w:val="single" w:sz="4" w:space="0" w:color="auto"/>
              <w:tl2br w:val="nil"/>
              <w:tr2bl w:val="nil"/>
            </w:tcBorders>
          </w:tcPr>
          <w:p/>
        </w:tc>
        <w:tc>
          <w:tcPr>
            <w:tcW w:w="850"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组分</w:t>
            </w:r>
          </w:p>
        </w:tc>
        <w:tc>
          <w:tcPr>
            <w:tcW w:w="1411"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来源</w:t>
            </w:r>
          </w:p>
        </w:tc>
        <w:tc>
          <w:tcPr>
            <w:tcW w:w="1485" w:type="dxa"/>
            <w:gridSpan w:val="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生物监测指标</w:t>
            </w:r>
          </w:p>
        </w:tc>
        <w:tc>
          <w:tcPr>
            <w:tcW w:w="1872" w:type="dxa"/>
            <w:gridSpan w:val="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生物限值</w:t>
            </w:r>
          </w:p>
        </w:tc>
        <w:tc>
          <w:tcPr>
            <w:tcW w:w="1198" w:type="dxa"/>
            <w:gridSpan w:val="5"/>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采样时间</w:t>
            </w:r>
          </w:p>
        </w:tc>
        <w:tc>
          <w:tcPr>
            <w:tcW w:w="642" w:type="dxa"/>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备注</w:t>
            </w:r>
          </w:p>
        </w:tc>
      </w:tr>
      <w:tr>
        <w:tc>
          <w:tcPr>
            <w:gridSpan w:val="4"/>
            <w:vMerge/>
            <w:tcBorders>
              <w:top w:val="nil"/>
              <w:left w:val="single" w:sz="4" w:space="0" w:color="auto"/>
              <w:bottom w:val="single" w:sz="4" w:space="0" w:color="auto"/>
              <w:right w:val="single" w:sz="4" w:space="0" w:color="auto"/>
              <w:tl2br w:val="nil"/>
              <w:tr2bl w:val="nil"/>
            </w:tcBorders>
          </w:tcPr>
          <w:p/>
        </w:tc>
        <w:tc>
          <w:tcPr>
            <w:tcW w:w="850"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天然气</w:t>
            </w:r>
          </w:p>
        </w:tc>
        <w:tc>
          <w:tcPr>
            <w:tcW w:w="1411"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c>
          <w:tcPr>
            <w:tcW w:w="1485" w:type="dxa"/>
            <w:gridSpan w:val="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c>
          <w:tcPr>
            <w:tcW w:w="1872" w:type="dxa"/>
            <w:gridSpan w:val="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c>
          <w:tcPr>
            <w:tcW w:w="1198" w:type="dxa"/>
            <w:gridSpan w:val="5"/>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c>
          <w:tcPr>
            <w:tcW w:w="642" w:type="dxa"/>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r>
      <w:tr>
        <w:tc>
          <w:tcPr>
            <w:gridSpan w:val="4"/>
            <w:vMerge/>
            <w:tcBorders>
              <w:top w:val="nil"/>
              <w:left w:val="single" w:sz="4" w:space="0" w:color="auto"/>
              <w:bottom w:val="single" w:sz="4" w:space="0" w:color="auto"/>
              <w:right w:val="single" w:sz="4" w:space="0" w:color="auto"/>
              <w:tl2br w:val="nil"/>
              <w:tr2bl w:val="nil"/>
            </w:tcBorders>
          </w:tcPr>
          <w:p/>
        </w:tc>
        <w:tc>
          <w:tcPr>
            <w:tcW w:w="7458" w:type="dxa"/>
            <w:gridSpan w:val="3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监测方法：GBZ/T300.×-2017（-2018）《工作场所空气有毒物质测定 第×部分》系列标准、EN14042《工作场所空气 用于评估暴露于化学或生物试剂的程序指南》。</w:t>
            </w:r>
          </w:p>
        </w:tc>
      </w:tr>
      <w:tr>
        <w:tc>
          <w:tcPr>
            <w:tcW w:w="1826" w:type="dxa"/>
            <w:gridSpan w:val="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工程控制：</w:t>
            </w:r>
          </w:p>
        </w:tc>
        <w:tc>
          <w:tcPr>
            <w:tcW w:w="7458" w:type="dxa"/>
            <w:gridSpan w:val="3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作业场所建议与其它作业场所分开。</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密闭操作，防止泄漏。</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保持充分的通风，特别在封闭区内。</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使用防爆电器、通风、照明等设备。</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设置自动报警装置和事故通风设施。</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设置应急撤离通道和必要的泻险区。</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设置红色区域警示线、警示标识和中文警示说明，并设置通讯报警系统。</w:t>
            </w:r>
          </w:p>
        </w:tc>
      </w:tr>
      <w:tr>
        <w:tc>
          <w:tcPr>
            <w:tcW w:w="1826" w:type="dxa"/>
            <w:gridSpan w:val="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呼吸系统防护：</w:t>
            </w:r>
          </w:p>
        </w:tc>
        <w:tc>
          <w:tcPr>
            <w:tcW w:w="7458" w:type="dxa"/>
            <w:gridSpan w:val="3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空气中浓度超标时，佩戴过滤式防毒面具（半面罩）。紧急事态抢救或撤离时，应该佩戴携气式呼吸防护器。</w:t>
            </w:r>
          </w:p>
        </w:tc>
      </w:tr>
      <w:tr>
        <w:tc>
          <w:tcPr>
            <w:tcW w:w="1826" w:type="dxa"/>
            <w:gridSpan w:val="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眼睛防护：</w:t>
            </w:r>
          </w:p>
        </w:tc>
        <w:tc>
          <w:tcPr>
            <w:tcW w:w="7458" w:type="dxa"/>
            <w:gridSpan w:val="3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佩戴化学护目镜</w:t>
            </w:r>
          </w:p>
        </w:tc>
      </w:tr>
      <w:tr>
        <w:tc>
          <w:tcPr>
            <w:tcW w:w="1826" w:type="dxa"/>
            <w:gridSpan w:val="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皮肤和身体防护：</w:t>
            </w:r>
          </w:p>
        </w:tc>
        <w:tc>
          <w:tcPr>
            <w:tcW w:w="7458" w:type="dxa"/>
            <w:gridSpan w:val="3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穿阻燃防静电防毒物渗透防护服和抗静电的防护靴。</w:t>
            </w:r>
          </w:p>
        </w:tc>
      </w:tr>
      <w:tr>
        <w:tc>
          <w:tcPr>
            <w:tcW w:w="1826" w:type="dxa"/>
            <w:gridSpan w:val="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手防护：</w:t>
            </w:r>
          </w:p>
        </w:tc>
        <w:tc>
          <w:tcPr>
            <w:tcW w:w="7458" w:type="dxa"/>
            <w:gridSpan w:val="3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戴化学防护手套。</w:t>
            </w:r>
          </w:p>
        </w:tc>
      </w:tr>
      <w:tr>
        <w:tc>
          <w:tcPr>
            <w:tcW w:w="1826" w:type="dxa"/>
            <w:gridSpan w:val="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其他防护：</w:t>
            </w:r>
          </w:p>
        </w:tc>
        <w:tc>
          <w:tcPr>
            <w:tcW w:w="7458" w:type="dxa"/>
            <w:gridSpan w:val="3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工作现场禁止吸烟、进食和饮水。工作完毕，淋浴更衣。保持良好的卫生习惯。</w:t>
            </w:r>
          </w:p>
        </w:tc>
      </w:tr>
      <w:tr>
        <w:tc>
          <w:tcPr>
            <w:tcW w:w="9284" w:type="dxa"/>
            <w:gridSpan w:val="3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Times New Roman" w:hAnsi="Times New Roman"/>
                <w:b/>
                <w:bCs/>
                <w:vanish w:val="0"/>
                <w:sz w:val="21"/>
                <w:szCs w:val="21"/>
              </w:rPr>
            </w:pPr>
            <w:r>
              <w:rPr>
                <w:rFonts w:ascii="Times New Roman" w:hAnsi="Times New Roman"/>
                <w:b/>
                <w:bCs/>
                <w:vanish w:val="0"/>
                <w:sz w:val="21"/>
                <w:szCs w:val="21"/>
              </w:rPr>
              <w:t>第九部分  理化特性</w:t>
            </w:r>
          </w:p>
        </w:tc>
      </w:tr>
      <w:tr>
        <w:tc>
          <w:tcPr>
            <w:tcW w:w="2576" w:type="dxa"/>
            <w:gridSpan w:val="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外观与性状：</w:t>
            </w:r>
          </w:p>
        </w:tc>
        <w:tc>
          <w:tcPr>
            <w:tcW w:w="6708" w:type="dxa"/>
            <w:gridSpan w:val="2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无色压缩或液化气体。</w:t>
            </w:r>
          </w:p>
        </w:tc>
      </w:tr>
      <w:tr>
        <w:trPr>
          <w:trHeight w:val="268"/>
        </w:trPr>
        <w:tc>
          <w:tcPr>
            <w:tcW w:w="2576" w:type="dxa"/>
            <w:gridSpan w:val="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pH值（指明浓度）：</w:t>
            </w:r>
          </w:p>
        </w:tc>
        <w:tc>
          <w:tcPr>
            <w:tcW w:w="2266" w:type="dxa"/>
            <w:gridSpan w:val="1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不适用</w:t>
            </w:r>
          </w:p>
        </w:tc>
        <w:tc>
          <w:tcPr>
            <w:tcW w:w="2260" w:type="dxa"/>
            <w:gridSpan w:val="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气味：</w:t>
            </w:r>
          </w:p>
        </w:tc>
        <w:tc>
          <w:tcPr>
            <w:tcW w:w="2182" w:type="dxa"/>
            <w:gridSpan w:val="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无气味。</w:t>
            </w:r>
          </w:p>
        </w:tc>
      </w:tr>
      <w:tr>
        <w:tc>
          <w:tcPr>
            <w:tcW w:w="2576" w:type="dxa"/>
            <w:gridSpan w:val="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沸点、初沸点和沸程(℃)：</w:t>
            </w:r>
          </w:p>
        </w:tc>
        <w:tc>
          <w:tcPr>
            <w:tcW w:w="2266" w:type="dxa"/>
            <w:gridSpan w:val="1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-161.5</w:t>
            </w:r>
          </w:p>
        </w:tc>
        <w:tc>
          <w:tcPr>
            <w:tcW w:w="2260" w:type="dxa"/>
            <w:gridSpan w:val="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熔点/凝固点(℃)：</w:t>
            </w:r>
          </w:p>
        </w:tc>
        <w:tc>
          <w:tcPr>
            <w:tcW w:w="2182" w:type="dxa"/>
            <w:gridSpan w:val="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-182.5</w:t>
            </w:r>
          </w:p>
        </w:tc>
      </w:tr>
      <w:tr>
        <w:tc>
          <w:tcPr>
            <w:tcW w:w="2576" w:type="dxa"/>
            <w:gridSpan w:val="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相对蒸气密度(空气=1)：</w:t>
            </w:r>
          </w:p>
        </w:tc>
        <w:tc>
          <w:tcPr>
            <w:tcW w:w="2266" w:type="dxa"/>
            <w:gridSpan w:val="1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0.6</w:t>
            </w:r>
          </w:p>
        </w:tc>
        <w:tc>
          <w:tcPr>
            <w:tcW w:w="2260" w:type="dxa"/>
            <w:gridSpan w:val="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相对密度(水=1)：</w:t>
            </w:r>
          </w:p>
        </w:tc>
        <w:tc>
          <w:tcPr>
            <w:tcW w:w="2182" w:type="dxa"/>
            <w:gridSpan w:val="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0.42（-164℃）</w:t>
            </w:r>
          </w:p>
        </w:tc>
      </w:tr>
      <w:tr>
        <w:tc>
          <w:tcPr>
            <w:tcW w:w="2576" w:type="dxa"/>
            <w:gridSpan w:val="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饱和蒸气压(kPa)：</w:t>
            </w:r>
          </w:p>
        </w:tc>
        <w:tc>
          <w:tcPr>
            <w:tcW w:w="2266" w:type="dxa"/>
            <w:gridSpan w:val="1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53.32（-168.8℃）</w:t>
            </w:r>
          </w:p>
        </w:tc>
        <w:tc>
          <w:tcPr>
            <w:tcW w:w="2260" w:type="dxa"/>
            <w:gridSpan w:val="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气味临界值：</w:t>
            </w:r>
          </w:p>
        </w:tc>
        <w:tc>
          <w:tcPr>
            <w:tcW w:w="2182" w:type="dxa"/>
            <w:gridSpan w:val="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无资料</w:t>
            </w:r>
          </w:p>
        </w:tc>
      </w:tr>
      <w:tr>
        <w:tc>
          <w:tcPr>
            <w:tcW w:w="2576" w:type="dxa"/>
            <w:gridSpan w:val="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临界压力（MPa）：</w:t>
            </w:r>
          </w:p>
        </w:tc>
        <w:tc>
          <w:tcPr>
            <w:tcW w:w="2266" w:type="dxa"/>
            <w:gridSpan w:val="1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4.59</w:t>
            </w:r>
          </w:p>
        </w:tc>
        <w:tc>
          <w:tcPr>
            <w:tcW w:w="2260" w:type="dxa"/>
            <w:gridSpan w:val="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临界温度（℃）：</w:t>
            </w:r>
          </w:p>
        </w:tc>
        <w:tc>
          <w:tcPr>
            <w:tcW w:w="2182" w:type="dxa"/>
            <w:gridSpan w:val="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-82.6</w:t>
            </w:r>
          </w:p>
        </w:tc>
      </w:tr>
      <w:tr>
        <w:tc>
          <w:tcPr>
            <w:tcW w:w="2576" w:type="dxa"/>
            <w:gridSpan w:val="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蒸发速率：</w:t>
            </w:r>
          </w:p>
        </w:tc>
        <w:tc>
          <w:tcPr>
            <w:tcW w:w="2266" w:type="dxa"/>
            <w:gridSpan w:val="1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无资料</w:t>
            </w:r>
          </w:p>
        </w:tc>
        <w:tc>
          <w:tcPr>
            <w:tcW w:w="2260" w:type="dxa"/>
            <w:gridSpan w:val="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黏度(mm2/s)：</w:t>
            </w:r>
          </w:p>
        </w:tc>
        <w:tc>
          <w:tcPr>
            <w:tcW w:w="2182" w:type="dxa"/>
            <w:gridSpan w:val="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不适用</w:t>
            </w:r>
          </w:p>
        </w:tc>
      </w:tr>
      <w:tr>
        <w:tc>
          <w:tcPr>
            <w:tcW w:w="2576" w:type="dxa"/>
            <w:gridSpan w:val="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闪点(℃)：</w:t>
            </w:r>
          </w:p>
        </w:tc>
        <w:tc>
          <w:tcPr>
            <w:tcW w:w="2266" w:type="dxa"/>
            <w:gridSpan w:val="1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气体</w:t>
            </w:r>
          </w:p>
        </w:tc>
        <w:tc>
          <w:tcPr>
            <w:tcW w:w="2260" w:type="dxa"/>
            <w:gridSpan w:val="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n-辛醇/水分配系数：</w:t>
            </w:r>
          </w:p>
        </w:tc>
        <w:tc>
          <w:tcPr>
            <w:tcW w:w="2182" w:type="dxa"/>
            <w:gridSpan w:val="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1.09</w:t>
            </w:r>
          </w:p>
        </w:tc>
      </w:tr>
      <w:tr>
        <w:tc>
          <w:tcPr>
            <w:tcW w:w="2576" w:type="dxa"/>
            <w:gridSpan w:val="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分解温度(℃)：</w:t>
            </w:r>
          </w:p>
        </w:tc>
        <w:tc>
          <w:tcPr>
            <w:tcW w:w="2266" w:type="dxa"/>
            <w:gridSpan w:val="1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无资料</w:t>
            </w:r>
          </w:p>
        </w:tc>
        <w:tc>
          <w:tcPr>
            <w:tcW w:w="2260" w:type="dxa"/>
            <w:gridSpan w:val="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引燃温度(℃)：</w:t>
            </w:r>
          </w:p>
        </w:tc>
        <w:tc>
          <w:tcPr>
            <w:tcW w:w="2182" w:type="dxa"/>
            <w:gridSpan w:val="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537</w:t>
            </w:r>
          </w:p>
        </w:tc>
      </w:tr>
      <w:tr>
        <w:tc>
          <w:tcPr>
            <w:tcW w:w="2576" w:type="dxa"/>
            <w:gridSpan w:val="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爆炸上限/下限﹝％(V/V)﹞：</w:t>
            </w:r>
          </w:p>
        </w:tc>
        <w:tc>
          <w:tcPr>
            <w:tcW w:w="2266" w:type="dxa"/>
            <w:gridSpan w:val="1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5%～16%</w:t>
            </w:r>
          </w:p>
        </w:tc>
        <w:tc>
          <w:tcPr>
            <w:tcW w:w="2260" w:type="dxa"/>
            <w:gridSpan w:val="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易燃性：</w:t>
            </w:r>
          </w:p>
        </w:tc>
        <w:tc>
          <w:tcPr>
            <w:tcW w:w="2182" w:type="dxa"/>
            <w:gridSpan w:val="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极易燃（最小点火能0.28mJ）</w:t>
            </w:r>
          </w:p>
        </w:tc>
      </w:tr>
      <w:tr>
        <w:tc>
          <w:tcPr>
            <w:tcW w:w="2576" w:type="dxa"/>
            <w:gridSpan w:val="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高位发热量（MJ/m3）：</w:t>
            </w:r>
          </w:p>
        </w:tc>
        <w:tc>
          <w:tcPr>
            <w:tcW w:w="6708" w:type="dxa"/>
            <w:gridSpan w:val="2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≥34.0（一类）、≥31.4（二类）</w:t>
            </w:r>
          </w:p>
        </w:tc>
      </w:tr>
      <w:tr>
        <w:trPr>
          <w:trHeight w:val="286"/>
        </w:trPr>
        <w:tc>
          <w:tcPr>
            <w:tcW w:w="2576" w:type="dxa"/>
            <w:gridSpan w:val="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溶解性：</w:t>
            </w:r>
          </w:p>
        </w:tc>
        <w:tc>
          <w:tcPr>
            <w:tcW w:w="6708" w:type="dxa"/>
            <w:gridSpan w:val="2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微溶于水，溶于醇、乙醚等有机溶剂。水中溶解度: 20℃时3.3ml/100mL。</w:t>
            </w:r>
          </w:p>
        </w:tc>
      </w:tr>
      <w:tr>
        <w:tc>
          <w:tcPr>
            <w:tcW w:w="9284" w:type="dxa"/>
            <w:gridSpan w:val="3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Times New Roman" w:hAnsi="Times New Roman"/>
                <w:b/>
                <w:bCs/>
                <w:vanish w:val="0"/>
                <w:sz w:val="21"/>
                <w:szCs w:val="21"/>
              </w:rPr>
            </w:pPr>
            <w:r>
              <w:rPr>
                <w:rFonts w:ascii="Times New Roman" w:hAnsi="Times New Roman"/>
                <w:b/>
                <w:bCs/>
                <w:vanish w:val="0"/>
                <w:sz w:val="21"/>
                <w:szCs w:val="21"/>
              </w:rPr>
              <w:t>第十部分  稳定性和反应性</w:t>
            </w:r>
          </w:p>
        </w:tc>
      </w:tr>
      <w:tr>
        <w:tc>
          <w:tcPr>
            <w:tcW w:w="2121"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稳定性：</w:t>
            </w:r>
          </w:p>
        </w:tc>
        <w:tc>
          <w:tcPr>
            <w:tcW w:w="7163" w:type="dxa"/>
            <w:gridSpan w:val="31"/>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在正确的使用和存储条件下是稳定的。</w:t>
            </w:r>
          </w:p>
        </w:tc>
      </w:tr>
      <w:tr>
        <w:tc>
          <w:tcPr>
            <w:tcW w:w="2121"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禁配物：</w:t>
            </w:r>
          </w:p>
        </w:tc>
        <w:tc>
          <w:tcPr>
            <w:tcW w:w="7163" w:type="dxa"/>
            <w:gridSpan w:val="31"/>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五氧化溴、氯气、次氯酸、三氟化氮、液氧、二氟化氧、强氧化剂。</w:t>
            </w:r>
          </w:p>
        </w:tc>
      </w:tr>
      <w:tr>
        <w:tc>
          <w:tcPr>
            <w:tcW w:w="2121"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应避免的条件：</w:t>
            </w:r>
          </w:p>
        </w:tc>
        <w:tc>
          <w:tcPr>
            <w:tcW w:w="7163" w:type="dxa"/>
            <w:gridSpan w:val="31"/>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禁配物，点火源，热源等。</w:t>
            </w:r>
          </w:p>
        </w:tc>
      </w:tr>
      <w:tr>
        <w:tc>
          <w:tcPr>
            <w:tcW w:w="2121"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危险反应：</w:t>
            </w:r>
          </w:p>
        </w:tc>
        <w:tc>
          <w:tcPr>
            <w:tcW w:w="7163" w:type="dxa"/>
            <w:gridSpan w:val="31"/>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与五氧化溴、氯气、次氯酸、三氟化氮、液氧、二氟化氧及其他强氧化剂剧烈反应。</w:t>
            </w:r>
          </w:p>
        </w:tc>
      </w:tr>
      <w:tr>
        <w:tc>
          <w:tcPr>
            <w:tcW w:w="2121"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危险的分解产物：</w:t>
            </w:r>
          </w:p>
        </w:tc>
        <w:tc>
          <w:tcPr>
            <w:tcW w:w="7163" w:type="dxa"/>
            <w:gridSpan w:val="31"/>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无资料。</w:t>
            </w:r>
          </w:p>
        </w:tc>
      </w:tr>
      <w:tr>
        <w:tc>
          <w:tcPr>
            <w:tcW w:w="9284" w:type="dxa"/>
            <w:gridSpan w:val="3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Times New Roman" w:hAnsi="Times New Roman"/>
                <w:b/>
                <w:bCs/>
                <w:vanish w:val="0"/>
                <w:sz w:val="21"/>
                <w:szCs w:val="21"/>
              </w:rPr>
            </w:pPr>
            <w:r>
              <w:rPr>
                <w:rFonts w:ascii="Times New Roman" w:hAnsi="Times New Roman"/>
                <w:b/>
                <w:bCs/>
                <w:vanish w:val="0"/>
                <w:sz w:val="21"/>
                <w:szCs w:val="21"/>
              </w:rPr>
              <w:t>第十一部分  毒理学资料</w:t>
            </w:r>
          </w:p>
        </w:tc>
      </w:tr>
      <w:tr>
        <w:tc>
          <w:tcPr>
            <w:tcW w:w="2121" w:type="dxa"/>
            <w:gridSpan w:val="6"/>
            <w:vMerge w:val="restart"/>
            <w:tcBorders>
              <w:top w:val="nil"/>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急性毒性：</w:t>
            </w:r>
          </w:p>
        </w:tc>
        <w:tc>
          <w:tcPr>
            <w:tcW w:w="1314"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组分</w:t>
            </w:r>
          </w:p>
        </w:tc>
        <w:tc>
          <w:tcPr>
            <w:tcW w:w="1033"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CAS No.</w:t>
            </w:r>
          </w:p>
        </w:tc>
        <w:tc>
          <w:tcPr>
            <w:tcW w:w="1891" w:type="dxa"/>
            <w:gridSpan w:val="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LD50（经口）</w:t>
            </w:r>
          </w:p>
        </w:tc>
        <w:tc>
          <w:tcPr>
            <w:tcW w:w="1451" w:type="dxa"/>
            <w:gridSpan w:val="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LD50（经皮）</w:t>
            </w:r>
          </w:p>
        </w:tc>
        <w:tc>
          <w:tcPr>
            <w:tcW w:w="1474" w:type="dxa"/>
            <w:gridSpan w:val="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LC50（吸入）</w:t>
            </w:r>
          </w:p>
        </w:tc>
      </w:tr>
      <w:tr>
        <w:tc>
          <w:tcPr>
            <w:gridSpan w:val="6"/>
            <w:vMerge/>
            <w:tcBorders>
              <w:top w:val="nil"/>
              <w:left w:val="single" w:sz="4" w:space="0" w:color="auto"/>
              <w:bottom w:val="single" w:sz="4" w:space="0" w:color="auto"/>
              <w:right w:val="single" w:sz="4" w:space="0" w:color="auto"/>
              <w:tl2br w:val="nil"/>
              <w:tr2bl w:val="nil"/>
            </w:tcBorders>
          </w:tcPr>
          <w:p/>
        </w:tc>
        <w:tc>
          <w:tcPr>
            <w:tcW w:w="1314"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天然气</w:t>
            </w:r>
          </w:p>
        </w:tc>
        <w:tc>
          <w:tcPr>
            <w:tcW w:w="1033"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8006-14-2</w:t>
            </w:r>
          </w:p>
        </w:tc>
        <w:tc>
          <w:tcPr>
            <w:tcW w:w="1891" w:type="dxa"/>
            <w:gridSpan w:val="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c>
          <w:tcPr>
            <w:tcW w:w="1451" w:type="dxa"/>
            <w:gridSpan w:val="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c>
          <w:tcPr>
            <w:tcW w:w="1474" w:type="dxa"/>
            <w:gridSpan w:val="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r>
      <w:tr>
        <w:tc>
          <w:tcPr>
            <w:tcW w:w="2121" w:type="dxa"/>
            <w:gridSpan w:val="6"/>
            <w:vMerge w:val="restart"/>
            <w:tcBorders>
              <w:top w:val="nil"/>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致癌性：</w:t>
            </w:r>
          </w:p>
        </w:tc>
        <w:tc>
          <w:tcPr>
            <w:tcW w:w="1314"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ID</w:t>
            </w:r>
          </w:p>
        </w:tc>
        <w:tc>
          <w:tcPr>
            <w:tcW w:w="1033"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CAS No.</w:t>
            </w:r>
          </w:p>
        </w:tc>
        <w:tc>
          <w:tcPr>
            <w:tcW w:w="1891" w:type="dxa"/>
            <w:gridSpan w:val="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组分名称</w:t>
            </w:r>
          </w:p>
        </w:tc>
        <w:tc>
          <w:tcPr>
            <w:tcW w:w="1451" w:type="dxa"/>
            <w:gridSpan w:val="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IARC-世界卫生组织国际癌症研究机构致癌物清单</w:t>
            </w:r>
          </w:p>
        </w:tc>
        <w:tc>
          <w:tcPr>
            <w:tcW w:w="1474" w:type="dxa"/>
            <w:gridSpan w:val="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NTP-致癌物报告（美国卫生及公共服务部 第14版）</w:t>
            </w:r>
          </w:p>
        </w:tc>
      </w:tr>
      <w:tr>
        <w:tc>
          <w:tcPr>
            <w:gridSpan w:val="6"/>
            <w:vMerge/>
            <w:tcBorders>
              <w:top w:val="nil"/>
              <w:left w:val="single" w:sz="4" w:space="0" w:color="auto"/>
              <w:bottom w:val="single" w:sz="4" w:space="0" w:color="auto"/>
              <w:right w:val="single" w:sz="4" w:space="0" w:color="auto"/>
              <w:tl2br w:val="nil"/>
              <w:tr2bl w:val="nil"/>
            </w:tcBorders>
          </w:tcPr>
          <w:p/>
        </w:tc>
        <w:tc>
          <w:tcPr>
            <w:tcW w:w="1314"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1</w:t>
            </w:r>
          </w:p>
        </w:tc>
        <w:tc>
          <w:tcPr>
            <w:tcW w:w="1033"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8006-14-2</w:t>
            </w:r>
          </w:p>
        </w:tc>
        <w:tc>
          <w:tcPr>
            <w:tcW w:w="1891" w:type="dxa"/>
            <w:gridSpan w:val="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天然气</w:t>
            </w:r>
          </w:p>
        </w:tc>
        <w:tc>
          <w:tcPr>
            <w:tcW w:w="1451" w:type="dxa"/>
            <w:gridSpan w:val="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未列入</w:t>
            </w:r>
          </w:p>
        </w:tc>
        <w:tc>
          <w:tcPr>
            <w:tcW w:w="1474" w:type="dxa"/>
            <w:gridSpan w:val="3"/>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未列入</w:t>
            </w:r>
          </w:p>
        </w:tc>
      </w:tr>
      <w:tr>
        <w:tc>
          <w:tcPr>
            <w:tcW w:w="2121"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皮肤刺激及腐蚀：</w:t>
            </w:r>
          </w:p>
        </w:tc>
        <w:tc>
          <w:tcPr>
            <w:tcW w:w="7163" w:type="dxa"/>
            <w:gridSpan w:val="31"/>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接触液化天然气会冻伤。</w:t>
            </w:r>
          </w:p>
        </w:tc>
      </w:tr>
      <w:tr>
        <w:tc>
          <w:tcPr>
            <w:tcW w:w="2121"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眼睛刺激及腐蚀：</w:t>
            </w:r>
          </w:p>
        </w:tc>
        <w:tc>
          <w:tcPr>
            <w:tcW w:w="7163" w:type="dxa"/>
            <w:gridSpan w:val="31"/>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液化天然气溅入造成严重眼损伤。</w:t>
            </w:r>
          </w:p>
        </w:tc>
      </w:tr>
      <w:tr>
        <w:tc>
          <w:tcPr>
            <w:tcW w:w="2121"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呼吸及皮肤过敏：</w:t>
            </w:r>
          </w:p>
        </w:tc>
        <w:tc>
          <w:tcPr>
            <w:tcW w:w="7163" w:type="dxa"/>
            <w:gridSpan w:val="31"/>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r>
      <w:tr>
        <w:tc>
          <w:tcPr>
            <w:tcW w:w="2121"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生殖细胞突变性：</w:t>
            </w:r>
          </w:p>
        </w:tc>
        <w:tc>
          <w:tcPr>
            <w:tcW w:w="7163" w:type="dxa"/>
            <w:gridSpan w:val="31"/>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r>
      <w:tr>
        <w:tc>
          <w:tcPr>
            <w:tcW w:w="2121"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生殖毒性：</w:t>
            </w:r>
          </w:p>
        </w:tc>
        <w:tc>
          <w:tcPr>
            <w:tcW w:w="7163" w:type="dxa"/>
            <w:gridSpan w:val="31"/>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r>
      <w:tr>
        <w:tc>
          <w:tcPr>
            <w:tcW w:w="2121"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特异性靶向器官系统毒性—一次性接触：</w:t>
            </w:r>
          </w:p>
        </w:tc>
        <w:tc>
          <w:tcPr>
            <w:tcW w:w="7163" w:type="dxa"/>
            <w:gridSpan w:val="31"/>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r>
      <w:tr>
        <w:tc>
          <w:tcPr>
            <w:tcW w:w="2121"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特异性靶向器官系统毒性—反复接触：</w:t>
            </w:r>
          </w:p>
        </w:tc>
        <w:tc>
          <w:tcPr>
            <w:tcW w:w="7163" w:type="dxa"/>
            <w:gridSpan w:val="31"/>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r>
      <w:tr>
        <w:tc>
          <w:tcPr>
            <w:tcW w:w="2121"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吸入危害：</w:t>
            </w:r>
          </w:p>
        </w:tc>
        <w:tc>
          <w:tcPr>
            <w:tcW w:w="7163" w:type="dxa"/>
            <w:gridSpan w:val="31"/>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高浓度下使空气氧分压降低，导致机体缺氧窒息。</w:t>
            </w:r>
          </w:p>
        </w:tc>
      </w:tr>
      <w:tr>
        <w:tc>
          <w:tcPr>
            <w:tcW w:w="9284" w:type="dxa"/>
            <w:gridSpan w:val="3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Times New Roman" w:hAnsi="Times New Roman"/>
                <w:b/>
                <w:bCs/>
                <w:vanish w:val="0"/>
                <w:sz w:val="21"/>
                <w:szCs w:val="21"/>
              </w:rPr>
            </w:pPr>
            <w:r>
              <w:rPr>
                <w:rFonts w:ascii="Times New Roman" w:hAnsi="Times New Roman"/>
                <w:b/>
                <w:bCs/>
                <w:vanish w:val="0"/>
                <w:sz w:val="21"/>
                <w:szCs w:val="21"/>
              </w:rPr>
              <w:t>第十二部分  生态学资料</w:t>
            </w:r>
          </w:p>
        </w:tc>
      </w:tr>
      <w:tr>
        <w:tc>
          <w:tcPr>
            <w:tcW w:w="2121" w:type="dxa"/>
            <w:gridSpan w:val="6"/>
            <w:vMerge w:val="restart"/>
            <w:tcBorders>
              <w:top w:val="nil"/>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生态毒性：</w:t>
            </w:r>
          </w:p>
        </w:tc>
        <w:tc>
          <w:tcPr>
            <w:tcW w:w="1569" w:type="dxa"/>
            <w:gridSpan w:val="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组分</w:t>
            </w:r>
          </w:p>
        </w:tc>
        <w:tc>
          <w:tcPr>
            <w:tcW w:w="994"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CAS No.</w:t>
            </w:r>
          </w:p>
        </w:tc>
        <w:tc>
          <w:tcPr>
            <w:tcW w:w="1402" w:type="dxa"/>
            <w:gridSpan w:val="5"/>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鱼类</w:t>
            </w:r>
          </w:p>
        </w:tc>
        <w:tc>
          <w:tcPr>
            <w:tcW w:w="1503" w:type="dxa"/>
            <w:gridSpan w:val="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甲壳纲动物</w:t>
            </w:r>
          </w:p>
        </w:tc>
        <w:tc>
          <w:tcPr>
            <w:tcW w:w="1695" w:type="dxa"/>
            <w:gridSpan w:val="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藻类/水生植物</w:t>
            </w:r>
          </w:p>
        </w:tc>
      </w:tr>
      <w:tr>
        <w:tc>
          <w:tcPr>
            <w:gridSpan w:val="6"/>
            <w:vMerge/>
            <w:tcBorders>
              <w:top w:val="nil"/>
              <w:left w:val="single" w:sz="4" w:space="0" w:color="auto"/>
              <w:bottom w:val="single" w:sz="4" w:space="0" w:color="auto"/>
              <w:right w:val="single" w:sz="4" w:space="0" w:color="auto"/>
              <w:tl2br w:val="nil"/>
              <w:tr2bl w:val="nil"/>
            </w:tcBorders>
          </w:tcPr>
          <w:p/>
        </w:tc>
        <w:tc>
          <w:tcPr>
            <w:tcW w:w="1569" w:type="dxa"/>
            <w:gridSpan w:val="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天然气</w:t>
            </w:r>
          </w:p>
        </w:tc>
        <w:tc>
          <w:tcPr>
            <w:tcW w:w="994"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8006-14-2</w:t>
            </w:r>
          </w:p>
        </w:tc>
        <w:tc>
          <w:tcPr>
            <w:tcW w:w="1402" w:type="dxa"/>
            <w:gridSpan w:val="5"/>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c>
          <w:tcPr>
            <w:tcW w:w="1503" w:type="dxa"/>
            <w:gridSpan w:val="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c>
          <w:tcPr>
            <w:tcW w:w="1695" w:type="dxa"/>
            <w:gridSpan w:val="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r>
      <w:tr>
        <w:tc>
          <w:tcPr>
            <w:tcW w:w="2121"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持久性和降解性：</w:t>
            </w:r>
          </w:p>
        </w:tc>
        <w:tc>
          <w:tcPr>
            <w:tcW w:w="7163" w:type="dxa"/>
            <w:gridSpan w:val="31"/>
            <w:vMerge w:val="restart"/>
            <w:tcBorders>
              <w:top w:val="nil"/>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无资料。</w:t>
            </w:r>
          </w:p>
        </w:tc>
      </w:tr>
      <w:tr>
        <w:tc>
          <w:tcPr>
            <w:tcW w:w="2121"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潜在的生物累积性：</w:t>
            </w:r>
          </w:p>
        </w:tc>
        <w:tc>
          <w:tcPr>
            <w:gridSpan w:val="31"/>
            <w:vMerge/>
            <w:tcBorders>
              <w:top w:val="nil"/>
              <w:left w:val="single" w:sz="4" w:space="0" w:color="auto"/>
              <w:bottom w:val="single" w:sz="4" w:space="0" w:color="auto"/>
              <w:right w:val="single" w:sz="4" w:space="0" w:color="auto"/>
              <w:tl2br w:val="nil"/>
              <w:tr2bl w:val="nil"/>
            </w:tcBorders>
          </w:tcPr>
          <w:p/>
        </w:tc>
      </w:tr>
      <w:tr>
        <w:tc>
          <w:tcPr>
            <w:tcW w:w="2121" w:type="dxa"/>
            <w:gridSpan w:val="6"/>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土壤中的迁移性：</w:t>
            </w:r>
          </w:p>
        </w:tc>
        <w:tc>
          <w:tcPr>
            <w:gridSpan w:val="31"/>
            <w:vMerge/>
            <w:tcBorders>
              <w:top w:val="nil"/>
              <w:left w:val="single" w:sz="4" w:space="0" w:color="auto"/>
              <w:bottom w:val="single" w:sz="4" w:space="0" w:color="auto"/>
              <w:right w:val="single" w:sz="4" w:space="0" w:color="auto"/>
              <w:tl2br w:val="nil"/>
              <w:tr2bl w:val="nil"/>
            </w:tcBorders>
          </w:tcPr>
          <w:p/>
        </w:tc>
      </w:tr>
      <w:tr>
        <w:tc>
          <w:tcPr>
            <w:tcW w:w="9284" w:type="dxa"/>
            <w:gridSpan w:val="3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Times New Roman" w:hAnsi="Times New Roman"/>
                <w:b/>
                <w:bCs/>
                <w:vanish w:val="0"/>
                <w:sz w:val="21"/>
                <w:szCs w:val="21"/>
              </w:rPr>
            </w:pPr>
            <w:r>
              <w:rPr>
                <w:rFonts w:ascii="Times New Roman" w:hAnsi="Times New Roman"/>
                <w:b/>
                <w:bCs/>
                <w:vanish w:val="0"/>
                <w:sz w:val="21"/>
                <w:szCs w:val="21"/>
              </w:rPr>
              <w:t>第十三部分  废弃处置</w:t>
            </w:r>
          </w:p>
        </w:tc>
      </w:tr>
      <w:tr>
        <w:trPr>
          <w:trHeight w:val="293"/>
        </w:trPr>
        <w:tc>
          <w:tcPr>
            <w:tcW w:w="2088" w:type="dxa"/>
            <w:gridSpan w:val="5"/>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废弃处置方法：</w:t>
            </w:r>
          </w:p>
        </w:tc>
        <w:tc>
          <w:tcPr>
            <w:tcW w:w="7196" w:type="dxa"/>
            <w:gridSpan w:val="3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处置前应参阅国家和地方有关法规。尽可能回收利用，如果不能回收利用，建议采用焚烧方法进行处置或尽可能返还给生产商统一处置。不得采用排放到下水道的方式废弃处置本品。</w:t>
            </w:r>
          </w:p>
        </w:tc>
      </w:tr>
      <w:tr>
        <w:trPr>
          <w:trHeight w:val="293"/>
        </w:trPr>
        <w:tc>
          <w:tcPr>
            <w:tcW w:w="2088" w:type="dxa"/>
            <w:gridSpan w:val="5"/>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受污染的容器或包装物处置方法：</w:t>
            </w:r>
          </w:p>
        </w:tc>
        <w:tc>
          <w:tcPr>
            <w:tcW w:w="7196" w:type="dxa"/>
            <w:gridSpan w:val="3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受污染的容器或包装物清空后仍可能存在残留物，应远离热和火源。建议返还生产商或按照国家和地方法规处置。</w:t>
            </w:r>
          </w:p>
        </w:tc>
      </w:tr>
      <w:tr>
        <w:trPr>
          <w:trHeight w:val="293"/>
        </w:trPr>
        <w:tc>
          <w:tcPr>
            <w:tcW w:w="2088" w:type="dxa"/>
            <w:gridSpan w:val="5"/>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废弃注意事项：</w:t>
            </w:r>
          </w:p>
        </w:tc>
        <w:tc>
          <w:tcPr>
            <w:tcW w:w="7196" w:type="dxa"/>
            <w:gridSpan w:val="3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废弃处置前应参阅国家和地方有关法规。处置人员的安全防范措施参见第8部分。</w:t>
            </w:r>
          </w:p>
        </w:tc>
      </w:tr>
      <w:tr>
        <w:tc>
          <w:tcPr>
            <w:tcW w:w="9284" w:type="dxa"/>
            <w:gridSpan w:val="3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Times New Roman" w:hAnsi="Times New Roman"/>
                <w:b/>
                <w:bCs/>
                <w:vanish w:val="0"/>
                <w:sz w:val="21"/>
                <w:szCs w:val="21"/>
              </w:rPr>
            </w:pPr>
            <w:r>
              <w:rPr>
                <w:rFonts w:ascii="Times New Roman" w:hAnsi="Times New Roman"/>
                <w:b/>
                <w:bCs/>
                <w:vanish w:val="0"/>
                <w:sz w:val="21"/>
                <w:szCs w:val="21"/>
              </w:rPr>
              <w:t>第十四部分  运输信息</w:t>
            </w:r>
          </w:p>
        </w:tc>
      </w:tr>
      <w:tr>
        <w:tc>
          <w:tcPr>
            <w:tcW w:w="2517" w:type="dxa"/>
            <w:gridSpan w:val="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联合国危险货物编号（UN)：</w:t>
            </w:r>
          </w:p>
        </w:tc>
        <w:tc>
          <w:tcPr>
            <w:tcW w:w="6767" w:type="dxa"/>
            <w:gridSpan w:val="2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1971（压缩天然气）</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1972（液化天然气）</w:t>
            </w:r>
          </w:p>
        </w:tc>
      </w:tr>
      <w:tr>
        <w:tc>
          <w:tcPr>
            <w:tcW w:w="2517" w:type="dxa"/>
            <w:gridSpan w:val="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联合国运输名称：</w:t>
            </w:r>
          </w:p>
        </w:tc>
        <w:tc>
          <w:tcPr>
            <w:tcW w:w="6767" w:type="dxa"/>
            <w:gridSpan w:val="2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天然气</w:t>
            </w:r>
          </w:p>
        </w:tc>
      </w:tr>
      <w:tr>
        <w:tc>
          <w:tcPr>
            <w:tcW w:w="2517" w:type="dxa"/>
            <w:gridSpan w:val="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联合国危险性分类：</w:t>
            </w:r>
          </w:p>
        </w:tc>
        <w:tc>
          <w:tcPr>
            <w:tcW w:w="6767" w:type="dxa"/>
            <w:gridSpan w:val="2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2.1</w:t>
            </w:r>
          </w:p>
        </w:tc>
      </w:tr>
      <w:tr>
        <w:tc>
          <w:tcPr>
            <w:tcW w:w="2517" w:type="dxa"/>
            <w:gridSpan w:val="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包装类别：</w:t>
            </w:r>
          </w:p>
        </w:tc>
        <w:tc>
          <w:tcPr>
            <w:tcW w:w="6767" w:type="dxa"/>
            <w:gridSpan w:val="2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不适用</w:t>
            </w:r>
          </w:p>
        </w:tc>
      </w:tr>
      <w:tr>
        <w:tc>
          <w:tcPr>
            <w:tcW w:w="2517" w:type="dxa"/>
            <w:gridSpan w:val="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包装标签：</w:t>
            </w:r>
          </w:p>
        </w:tc>
        <w:tc>
          <w:tcPr>
            <w:tcW w:w="6767" w:type="dxa"/>
            <w:gridSpan w:val="2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drawing>
                <wp:inline distT="0" distB="0" distL="85723" distR="85723">
                  <wp:extent cx="685789" cy="657215"/>
                  <wp:effectExtent l="0" t="0" r="0" b="0"/>
                  <wp:docPr id="13" name="图片"/>
                  <wp:cNvGraphicFramePr>
                    <a:graphicFrameLocks noChangeAspect="0"/>
                  </wp:cNvGraphicFramePr>
                  <a:graphic>
                    <a:graphicData uri="http://schemas.openxmlformats.org/drawingml/2006/picture">
                      <pic:pic>
                        <pic:nvPicPr>
                          <pic:cNvPr id="15" name="图片 15"/>
                          <pic:cNvPicPr/>
                        </pic:nvPicPr>
                        <pic:blipFill>
                          <a:blip r:embed="rId6"/>
                          <a:stretch>
                            <a:fillRect/>
                          </a:stretch>
                        </pic:blipFill>
                        <pic:spPr>
                          <a:xfrm rot="0">
                            <a:off x="0" y="0"/>
                            <a:ext cx="685789" cy="657215"/>
                          </a:xfrm>
                          <a:prstGeom prst="rect"/>
                          <a:noFill/>
                          <a:ln w="9525" cmpd="sng" cap="flat">
                            <a:noFill/>
                            <a:prstDash val="solid"/>
                            <a:miter/>
                          </a:ln>
                        </pic:spPr>
                      </pic:pic>
                    </a:graphicData>
                  </a:graphic>
                </wp:inline>
              </w:drawing>
            </w:r>
            <w:r>
              <w:rPr>
                <w:rFonts w:ascii="Times New Roman" w:hAnsi="Times New Roman"/>
                <w:vanish w:val="0"/>
                <w:sz w:val="21"/>
                <w:szCs w:val="21"/>
              </w:rPr>
              <w:t xml:space="preserve"> </w:t>
            </w:r>
            <w:r>
              <w:rPr>
                <w:rFonts w:ascii="Times New Roman" w:hAnsi="Times New Roman"/>
                <w:vanish w:val="0"/>
                <w:sz w:val="21"/>
                <w:szCs w:val="21"/>
              </w:rPr>
              <w:drawing>
                <wp:inline distT="0" distB="0" distL="85723" distR="85723">
                  <wp:extent cx="647690" cy="647690"/>
                  <wp:effectExtent l="0" t="0" r="0" b="0"/>
                  <wp:docPr id="16" name="图片"/>
                  <wp:cNvGraphicFramePr>
                    <a:graphicFrameLocks noChangeAspect="0"/>
                  </wp:cNvGraphicFramePr>
                  <a:graphic>
                    <a:graphicData uri="http://schemas.openxmlformats.org/drawingml/2006/picture">
                      <pic:pic>
                        <pic:nvPicPr>
                          <pic:cNvPr id="18" name="图片 18"/>
                          <pic:cNvPicPr/>
                        </pic:nvPicPr>
                        <pic:blipFill>
                          <a:blip r:embed="rId7"/>
                          <a:stretch>
                            <a:fillRect/>
                          </a:stretch>
                        </pic:blipFill>
                        <pic:spPr>
                          <a:xfrm rot="0">
                            <a:off x="0" y="0"/>
                            <a:ext cx="647690" cy="647690"/>
                          </a:xfrm>
                          <a:prstGeom prst="rect"/>
                          <a:noFill/>
                          <a:ln w="9525" cmpd="sng" cap="flat">
                            <a:noFill/>
                            <a:prstDash val="solid"/>
                            <a:miter/>
                          </a:ln>
                        </pic:spPr>
                      </pic:pic>
                    </a:graphicData>
                  </a:graphic>
                </wp:inline>
              </w:drawing>
            </w:r>
          </w:p>
        </w:tc>
      </w:tr>
      <w:tr>
        <w:tc>
          <w:tcPr>
            <w:tcW w:w="2517" w:type="dxa"/>
            <w:gridSpan w:val="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海洋污染物（是/否）：</w:t>
            </w:r>
          </w:p>
        </w:tc>
        <w:tc>
          <w:tcPr>
            <w:tcW w:w="6767" w:type="dxa"/>
            <w:gridSpan w:val="2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否</w:t>
            </w:r>
          </w:p>
        </w:tc>
      </w:tr>
      <w:tr>
        <w:tc>
          <w:tcPr>
            <w:tcW w:w="2517" w:type="dxa"/>
            <w:gridSpan w:val="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包装方法：</w:t>
            </w:r>
          </w:p>
        </w:tc>
        <w:tc>
          <w:tcPr>
            <w:tcW w:w="6767" w:type="dxa"/>
            <w:gridSpan w:val="2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采用钢质气瓶等压力容器包装。按照生产商推荐的方法进行包装。</w:t>
            </w:r>
          </w:p>
        </w:tc>
      </w:tr>
      <w:tr>
        <w:tc>
          <w:tcPr>
            <w:tcW w:w="2517" w:type="dxa"/>
            <w:gridSpan w:val="8"/>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运输注意事项：</w:t>
            </w:r>
          </w:p>
        </w:tc>
        <w:tc>
          <w:tcPr>
            <w:tcW w:w="6767" w:type="dxa"/>
            <w:gridSpan w:val="29"/>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拥有齐全的危险化学品运输资质，必须配备押运人员，并随时处于押运人员的监管之下，不得超装、超载。</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未经公安机关批准，运输车辆不得进入危险化学品运输车辆限制通行的区域。</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运输时车速不宜过快，不得强行超车。</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运输车辆应有危险货物运输标志、安装具有行驶记录功能的卫星定位装置。</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采用专用槽罐车运输，配备相应品种和数量的消防器材及泄漏应急处理设备。</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装运该物品的车辆排气管必须配备阻火装置。</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使用槽(罐)车和运输卡车运输时应有接地链。</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不准让无关人员搭车。</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运输途中远离火种，防暴晒，防雨淋，防高温。高温季节最好早晚运输。</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中途停留时应远离火种、热源、高温区。不准在有明火地点或人多地段停车，</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停车时要有人看管。</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发生泄漏或火灾要开到安全地方进行灭火或堵漏。</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禁止使用易产生火花的机械设备和工具装卸。</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运输前应先检查包装容器是否完整、密封。</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严禁与氧化剂等禁配物、食用化学品等混装混运。</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公路运输时要按规定路线行驶，不得进入居民区和人口稠密区等危险化学品</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运输车辆禁止通行的区域；确需进入禁止通行区域的，应当事先向当地公安部门报告。</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铁路运输时要禁止溜放。严禁用木船、水泥船散装运输。</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运输工具上应根据相关运输要求张贴危险标志、公告。</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按GB190中“易燃气体”规定标识。</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天然气严禁航空运输。</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装运天然气的钢瓶和槽车，应符合JT617要求。在运输过程中应避免受热，严禁烟火。</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采用钢瓶运输时必须戴好钢瓶上的安全帽；钢瓶一般平放，并将瓶口朝向车辆行驶方向的右方，不可交叉，高度不得超过车辆的防护栏版；瓶体应装配胶质防震圈，并采用三角木垫卡牢，防止滚动。</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采用管道输送时：</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——输气管道不应通过城市水源地、飞机场、军事设施、车站、码头。因条件限制无法避开时，应采取保护措施并经国家有关部门批准；</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——输气管道沿线应设置里程桩、转角桩、标志桩和测试桩；</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——输气管道采用地上敷设时，应在人员活动较多和易遭车辆、外来物撞击的地段，采取保护措施并设置明显的警示标志；</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——输气管道管理单位应设专人定期对管道进行巡线检查，及时处理输气管道沿线的异常情况，并依据天然气管道保护的有关法律法规保护管道。</w:t>
            </w:r>
          </w:p>
        </w:tc>
      </w:tr>
      <w:tr>
        <w:tc>
          <w:tcPr>
            <w:tcW w:w="9284" w:type="dxa"/>
            <w:gridSpan w:val="3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Times New Roman" w:hAnsi="Times New Roman"/>
                <w:b/>
                <w:bCs/>
                <w:vanish w:val="0"/>
                <w:sz w:val="21"/>
                <w:szCs w:val="21"/>
              </w:rPr>
            </w:pPr>
            <w:r>
              <w:rPr>
                <w:rFonts w:ascii="Times New Roman" w:hAnsi="Times New Roman"/>
                <w:b/>
                <w:bCs/>
                <w:vanish w:val="0"/>
                <w:sz w:val="21"/>
                <w:szCs w:val="21"/>
              </w:rPr>
              <w:t>第十五部分  法规信息</w:t>
            </w:r>
          </w:p>
        </w:tc>
      </w:tr>
      <w:tr>
        <w:tc>
          <w:tcPr>
            <w:tcW w:w="9284" w:type="dxa"/>
            <w:gridSpan w:val="3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下列法律、法规、规章和标准对该化学品做出了相应的规定：</w:t>
            </w:r>
          </w:p>
        </w:tc>
      </w:tr>
      <w:tr>
        <w:tc>
          <w:tcPr>
            <w:tcW w:w="9284" w:type="dxa"/>
            <w:gridSpan w:val="3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1）《中华人民共和国安全生产法》（中华人民共和国主席令[2021]第88号修正）</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2）《危险化学品安全管理条例》（中华人民共和国国务院令[2013]第645号修订）</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3）《危险化学品安全使用许可证实施办法》（原国家安全生产监督管理总局令[2017]第89号修正）</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4）《中华人民共和国职业病防治法》（中华人民共和国主席令[2018]第24号修正）</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5）《使用有毒物品作业场所劳动保护条例》（中华人民共和国国务院令[2002]第352号发布）</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6）《危险化学品重大危险源监督管理暂行规定》（原国家安全生产监督管理总局令[2015]第79号令修订）</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7）《危险化学品重大危险源辨识》（GB 18218-2018）—天然气GHS类别：易燃气体，类别1。天然气危险化学品重大危险源临界量见下表：</w:t>
            </w:r>
          </w:p>
          <w:tbl>
            <w:tblPr>
              <w:jc w:val="center"/>
              <w:tblW w:w="5000" w:type="pct"/>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0" w:type="dxa"/>
                <w:left w:w="108" w:type="dxa"/>
                <w:bottom w:w="0" w:type="dxa"/>
                <w:right w:w="108" w:type="dxa"/>
              </w:tblCellMar>
            </w:tblPr>
            <w:tblGrid>
              <w:gridCol w:w="2168"/>
              <w:gridCol w:w="4096"/>
              <w:gridCol w:w="1638"/>
              <w:gridCol w:w="1156"/>
            </w:tblGrid>
            <w:tr>
              <w:trPr>
                <w:trHeight w:val="20"/>
              </w:trPr>
              <w:tc>
                <w:tcPr>
                  <w:tcW w:w="2168" w:type="dxa"/>
                  <w:tcBorders>
                    <w:top w:val="single" w:sz="4" w:space="0" w:color="auto"/>
                    <w:left w:val="single" w:sz="4" w:space="0" w:color="auto"/>
                    <w:bottom w:val="single" w:sz="4" w:space="0" w:color="auto"/>
                    <w:right w:val="single" w:sz="4" w:space="0" w:color="auto"/>
                    <w:tl2br w:val="nil"/>
                    <w:tr2bl w:val="nil"/>
                  </w:tcBorders>
                  <w:vAlign w:val="center"/>
                </w:tcPr>
                <w:p>
                  <w:pPr>
                    <w:pStyle w:val="135"/>
                    <w:ind w:left="0" w:right="0"/>
                    <w:rPr>
                      <w:rFonts w:ascii="Times New Roman" w:hAnsi="Times New Roman"/>
                      <w:vanish w:val="0"/>
                      <w:sz w:val="21"/>
                      <w:szCs w:val="21"/>
                    </w:rPr>
                  </w:pPr>
                  <w:r>
                    <w:rPr>
                      <w:rFonts w:ascii="Times New Roman" w:hAnsi="Times New Roman"/>
                      <w:vanish w:val="0"/>
                      <w:sz w:val="21"/>
                      <w:szCs w:val="21"/>
                    </w:rPr>
                    <w:t>符号</w:t>
                  </w:r>
                </w:p>
              </w:tc>
              <w:tc>
                <w:tcPr>
                  <w:tcW w:w="4096" w:type="dxa"/>
                  <w:tcBorders>
                    <w:top w:val="single" w:sz="4" w:space="0" w:color="auto"/>
                    <w:left w:val="single" w:sz="4" w:space="0" w:color="auto"/>
                    <w:bottom w:val="single" w:sz="4" w:space="0" w:color="auto"/>
                    <w:right w:val="single" w:sz="4" w:space="0" w:color="auto"/>
                    <w:tl2br w:val="nil"/>
                    <w:tr2bl w:val="nil"/>
                  </w:tcBorders>
                  <w:vAlign w:val="center"/>
                </w:tcPr>
                <w:p>
                  <w:pPr>
                    <w:pStyle w:val="135"/>
                    <w:ind w:left="0" w:right="0"/>
                    <w:rPr>
                      <w:rFonts w:ascii="Times New Roman" w:hAnsi="Times New Roman"/>
                      <w:vanish w:val="0"/>
                      <w:sz w:val="21"/>
                      <w:szCs w:val="21"/>
                    </w:rPr>
                  </w:pPr>
                  <w:r>
                    <w:rPr>
                      <w:rFonts w:ascii="Times New Roman" w:hAnsi="Times New Roman"/>
                      <w:vanish w:val="0"/>
                      <w:sz w:val="21"/>
                      <w:szCs w:val="21"/>
                    </w:rPr>
                    <w:t>危险性分类及说明</w:t>
                  </w:r>
                </w:p>
              </w:tc>
              <w:tc>
                <w:tcPr>
                  <w:tcW w:w="1638" w:type="dxa"/>
                  <w:tcBorders>
                    <w:top w:val="single" w:sz="4" w:space="0" w:color="auto"/>
                    <w:left w:val="single" w:sz="4" w:space="0" w:color="auto"/>
                    <w:bottom w:val="single" w:sz="4" w:space="0" w:color="auto"/>
                    <w:right w:val="single" w:sz="4" w:space="0" w:color="auto"/>
                    <w:tl2br w:val="nil"/>
                    <w:tr2bl w:val="nil"/>
                  </w:tcBorders>
                  <w:vAlign w:val="center"/>
                </w:tcPr>
                <w:p>
                  <w:pPr>
                    <w:pStyle w:val="135"/>
                    <w:ind w:left="0" w:right="0"/>
                    <w:rPr>
                      <w:rFonts w:ascii="Times New Roman" w:hAnsi="Times New Roman"/>
                      <w:vanish w:val="0"/>
                      <w:sz w:val="21"/>
                      <w:szCs w:val="21"/>
                    </w:rPr>
                  </w:pPr>
                  <w:r>
                    <w:rPr>
                      <w:rFonts w:ascii="Times New Roman" w:hAnsi="Times New Roman"/>
                      <w:vanish w:val="0"/>
                      <w:sz w:val="21"/>
                      <w:szCs w:val="21"/>
                    </w:rPr>
                    <w:t>临界量（t）</w:t>
                  </w:r>
                </w:p>
              </w:tc>
              <w:tc>
                <w:tcPr>
                  <w:tcW w:w="1156" w:type="dxa"/>
                  <w:tcBorders>
                    <w:top w:val="single" w:sz="4" w:space="0" w:color="auto"/>
                    <w:left w:val="single" w:sz="4" w:space="0" w:color="auto"/>
                    <w:bottom w:val="single" w:sz="4" w:space="0" w:color="auto"/>
                    <w:right w:val="single" w:sz="4" w:space="0" w:color="auto"/>
                    <w:tl2br w:val="nil"/>
                    <w:tr2bl w:val="nil"/>
                  </w:tcBorders>
                </w:tcPr>
                <w:p>
                  <w:pPr>
                    <w:pStyle w:val="135"/>
                    <w:ind w:left="0" w:right="0"/>
                    <w:rPr>
                      <w:rFonts w:ascii="Times New Roman" w:hAnsi="Times New Roman"/>
                      <w:vanish w:val="0"/>
                      <w:sz w:val="21"/>
                      <w:szCs w:val="21"/>
                    </w:rPr>
                  </w:pPr>
                  <w:r>
                    <w:rPr>
                      <w:rFonts w:ascii="Times New Roman" w:hAnsi="Times New Roman"/>
                      <w:vanish w:val="0"/>
                      <w:sz w:val="21"/>
                      <w:szCs w:val="21"/>
                    </w:rPr>
                    <w:t>备注</w:t>
                  </w:r>
                </w:p>
              </w:tc>
            </w:tr>
            <w:tr>
              <w:trPr>
                <w:trHeight w:val="20"/>
              </w:trPr>
              <w:tc>
                <w:tcPr>
                  <w:tcW w:w="2168" w:type="dxa"/>
                  <w:tcBorders>
                    <w:top w:val="single" w:sz="4" w:space="0" w:color="auto"/>
                    <w:left w:val="single" w:sz="4" w:space="0" w:color="auto"/>
                    <w:bottom w:val="single" w:sz="4" w:space="0" w:color="auto"/>
                    <w:right w:val="single" w:sz="4" w:space="0" w:color="auto"/>
                    <w:tl2br w:val="nil"/>
                    <w:tr2bl w:val="nil"/>
                  </w:tcBorders>
                  <w:vAlign w:val="center"/>
                </w:tcPr>
                <w:p>
                  <w:pPr>
                    <w:pStyle w:val="135"/>
                    <w:ind w:left="0" w:right="0"/>
                    <w:rPr>
                      <w:rFonts w:ascii="Times New Roman" w:hAnsi="Times New Roman"/>
                      <w:vanish w:val="0"/>
                      <w:sz w:val="21"/>
                      <w:szCs w:val="21"/>
                    </w:rPr>
                  </w:pPr>
                  <w:r>
                    <w:rPr>
                      <w:rFonts w:ascii="Times New Roman" w:hAnsi="Times New Roman"/>
                      <w:vanish w:val="0"/>
                      <w:sz w:val="21"/>
                      <w:szCs w:val="21"/>
                    </w:rPr>
                    <w:t>----</w:t>
                  </w:r>
                </w:p>
              </w:tc>
              <w:tc>
                <w:tcPr>
                  <w:tcW w:w="4096" w:type="dxa"/>
                  <w:tcBorders>
                    <w:top w:val="single" w:sz="4" w:space="0" w:color="auto"/>
                    <w:left w:val="single" w:sz="4" w:space="0" w:color="auto"/>
                    <w:bottom w:val="single" w:sz="4" w:space="0" w:color="auto"/>
                    <w:right w:val="single" w:sz="4" w:space="0" w:color="auto"/>
                    <w:tl2br w:val="nil"/>
                    <w:tr2bl w:val="nil"/>
                  </w:tcBorders>
                  <w:vAlign w:val="center"/>
                </w:tcPr>
                <w:p>
                  <w:pPr>
                    <w:pStyle w:val="135"/>
                    <w:ind w:left="0" w:right="0"/>
                    <w:rPr>
                      <w:rFonts w:ascii="Times New Roman" w:hAnsi="Times New Roman"/>
                      <w:vanish w:val="0"/>
                      <w:sz w:val="21"/>
                      <w:szCs w:val="21"/>
                    </w:rPr>
                  </w:pPr>
                  <w:r>
                    <w:rPr>
                      <w:rFonts w:ascii="Times New Roman" w:hAnsi="Times New Roman"/>
                      <w:vanish w:val="0"/>
                      <w:sz w:val="21"/>
                      <w:szCs w:val="21"/>
                    </w:rPr>
                    <w:t>天然气易燃气体、类别1</w:t>
                  </w:r>
                </w:p>
              </w:tc>
              <w:tc>
                <w:tcPr>
                  <w:tcW w:w="1638" w:type="dxa"/>
                  <w:tcBorders>
                    <w:top w:val="single" w:sz="4" w:space="0" w:color="auto"/>
                    <w:left w:val="single" w:sz="4" w:space="0" w:color="auto"/>
                    <w:bottom w:val="single" w:sz="4" w:space="0" w:color="auto"/>
                    <w:right w:val="single" w:sz="4" w:space="0" w:color="auto"/>
                    <w:tl2br w:val="nil"/>
                    <w:tr2bl w:val="nil"/>
                  </w:tcBorders>
                  <w:vAlign w:val="center"/>
                </w:tcPr>
                <w:p>
                  <w:pPr>
                    <w:pStyle w:val="135"/>
                    <w:ind w:left="0" w:right="0"/>
                    <w:rPr>
                      <w:rFonts w:ascii="Times New Roman" w:hAnsi="Times New Roman"/>
                      <w:vanish w:val="0"/>
                      <w:sz w:val="21"/>
                      <w:szCs w:val="21"/>
                    </w:rPr>
                  </w:pPr>
                  <w:r>
                    <w:rPr>
                      <w:rFonts w:ascii="Times New Roman" w:hAnsi="Times New Roman"/>
                      <w:vanish w:val="0"/>
                      <w:sz w:val="21"/>
                      <w:szCs w:val="21"/>
                    </w:rPr>
                    <w:t>50</w:t>
                  </w:r>
                </w:p>
              </w:tc>
              <w:tc>
                <w:tcPr>
                  <w:tcW w:w="1156" w:type="dxa"/>
                  <w:tcBorders>
                    <w:top w:val="single" w:sz="4" w:space="0" w:color="auto"/>
                    <w:left w:val="single" w:sz="4" w:space="0" w:color="auto"/>
                    <w:bottom w:val="single" w:sz="4" w:space="0" w:color="auto"/>
                    <w:right w:val="single" w:sz="4" w:space="0" w:color="auto"/>
                    <w:tl2br w:val="nil"/>
                    <w:tr2bl w:val="nil"/>
                  </w:tcBorders>
                </w:tcPr>
                <w:p>
                  <w:pPr>
                    <w:pStyle w:val="135"/>
                    <w:ind w:left="0" w:right="0"/>
                    <w:rPr>
                      <w:rFonts w:ascii="Times New Roman" w:hAnsi="Times New Roman"/>
                      <w:vanish w:val="0"/>
                      <w:sz w:val="21"/>
                      <w:szCs w:val="21"/>
                    </w:rPr>
                  </w:pPr>
                  <w:r>
                    <w:rPr>
                      <w:rFonts w:ascii="Times New Roman" w:hAnsi="Times New Roman"/>
                      <w:vanish w:val="0"/>
                      <w:sz w:val="21"/>
                      <w:szCs w:val="21"/>
                    </w:rPr>
                    <w:t>表一</w:t>
                  </w:r>
                </w:p>
              </w:tc>
            </w:tr>
          </w:tbl>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8）GB17820-2018《天然气》</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9）AQ2017-2008《含硫化氢天然气井公众危害程度分级方法》</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10）AQ2018-2008《含硫化氢天然气井公众危害防护距离》</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11）SY/T4212-2017《石油天然气建设工程施工质量验收规范 高含硫化氢气田集输场站工程》</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12）SY/T4213-2017《石油天然气建设工程施工质量验收规范 高含硫化氢气田集输管道工程》</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13）SY/T6137-2017《硫化氢环境天然气采集与处理安全规范》</w:t>
            </w:r>
          </w:p>
        </w:tc>
      </w:tr>
      <w:tr>
        <w:trPr>
          <w:trHeight w:val="285"/>
        </w:trPr>
        <w:tc>
          <w:tcPr>
            <w:tcW w:w="9284" w:type="dxa"/>
            <w:gridSpan w:val="3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被列入化学品管理目录（或名录）情况一览表</w:t>
            </w:r>
          </w:p>
        </w:tc>
      </w:tr>
      <w:tr>
        <w:trPr>
          <w:trHeight w:val="285"/>
        </w:trPr>
        <w:tc>
          <w:tcPr>
            <w:tcW w:w="664" w:type="dxa"/>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序号</w:t>
            </w:r>
          </w:p>
        </w:tc>
        <w:tc>
          <w:tcPr>
            <w:tcW w:w="7473" w:type="dxa"/>
            <w:gridSpan w:val="3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相关化学品管理目录（或名录）名称及文号</w:t>
            </w:r>
          </w:p>
        </w:tc>
        <w:tc>
          <w:tcPr>
            <w:tcW w:w="1147" w:type="dxa"/>
            <w:gridSpan w:val="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列入情况</w:t>
            </w:r>
          </w:p>
        </w:tc>
      </w:tr>
      <w:tr>
        <w:trPr>
          <w:trHeight w:val="283"/>
        </w:trPr>
        <w:tc>
          <w:tcPr>
            <w:tcW w:w="664" w:type="dxa"/>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1</w:t>
            </w:r>
          </w:p>
        </w:tc>
        <w:tc>
          <w:tcPr>
            <w:tcW w:w="7473" w:type="dxa"/>
            <w:gridSpan w:val="3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《危险化学品目录（2015年版）》（安监总局等十部门公告2015年第5号）</w:t>
            </w:r>
          </w:p>
        </w:tc>
        <w:tc>
          <w:tcPr>
            <w:tcW w:w="1147" w:type="dxa"/>
            <w:gridSpan w:val="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r>
      <w:tr>
        <w:trPr>
          <w:trHeight w:val="283"/>
        </w:trPr>
        <w:tc>
          <w:tcPr>
            <w:tcW w:w="664" w:type="dxa"/>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2</w:t>
            </w:r>
          </w:p>
        </w:tc>
        <w:tc>
          <w:tcPr>
            <w:tcW w:w="7473" w:type="dxa"/>
            <w:gridSpan w:val="3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《重点监管的危险化学品名录（第1和第2批）》（安监总管三〔2011〕95号、安监总管三〔2013〕12号）</w:t>
            </w:r>
          </w:p>
        </w:tc>
        <w:tc>
          <w:tcPr>
            <w:tcW w:w="1147" w:type="dxa"/>
            <w:gridSpan w:val="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r>
      <w:tr>
        <w:trPr>
          <w:trHeight w:val="283"/>
        </w:trPr>
        <w:tc>
          <w:tcPr>
            <w:tcW w:w="664" w:type="dxa"/>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3</w:t>
            </w:r>
          </w:p>
        </w:tc>
        <w:tc>
          <w:tcPr>
            <w:tcW w:w="7473" w:type="dxa"/>
            <w:gridSpan w:val="3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《职业病危害因素分类目录》（国卫疾控发〔2015〕92号）</w:t>
            </w:r>
          </w:p>
        </w:tc>
        <w:tc>
          <w:tcPr>
            <w:tcW w:w="1147" w:type="dxa"/>
            <w:gridSpan w:val="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√（甲烷）</w:t>
            </w:r>
          </w:p>
        </w:tc>
      </w:tr>
      <w:tr>
        <w:trPr>
          <w:trHeight w:val="283"/>
        </w:trPr>
        <w:tc>
          <w:tcPr>
            <w:tcW w:w="664" w:type="dxa"/>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4</w:t>
            </w:r>
          </w:p>
        </w:tc>
        <w:tc>
          <w:tcPr>
            <w:tcW w:w="7473" w:type="dxa"/>
            <w:gridSpan w:val="3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《易制毒化学品的分类和品种目录》（《易制毒化学品管理条例》中华人民共和国国务院令﹝2005﹞第445号附表）</w:t>
            </w:r>
          </w:p>
        </w:tc>
        <w:tc>
          <w:tcPr>
            <w:tcW w:w="1147" w:type="dxa"/>
            <w:gridSpan w:val="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r>
      <w:tr>
        <w:trPr>
          <w:trHeight w:val="283"/>
        </w:trPr>
        <w:tc>
          <w:tcPr>
            <w:tcW w:w="664" w:type="dxa"/>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5</w:t>
            </w:r>
          </w:p>
        </w:tc>
        <w:tc>
          <w:tcPr>
            <w:tcW w:w="7473" w:type="dxa"/>
            <w:gridSpan w:val="3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《易制爆危险化学品名录（2011年版）》（中华人民共和国公安部2011年11月25日公告）</w:t>
            </w:r>
          </w:p>
        </w:tc>
        <w:tc>
          <w:tcPr>
            <w:tcW w:w="1147" w:type="dxa"/>
            <w:gridSpan w:val="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r>
      <w:tr>
        <w:trPr>
          <w:trHeight w:val="283"/>
        </w:trPr>
        <w:tc>
          <w:tcPr>
            <w:tcW w:w="664" w:type="dxa"/>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6</w:t>
            </w:r>
          </w:p>
        </w:tc>
        <w:tc>
          <w:tcPr>
            <w:tcW w:w="7473" w:type="dxa"/>
            <w:gridSpan w:val="3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《各类监控化学品名录》（中华人民共和国化学工业部令﹝1996﹞第11号）</w:t>
            </w:r>
          </w:p>
        </w:tc>
        <w:tc>
          <w:tcPr>
            <w:tcW w:w="1147" w:type="dxa"/>
            <w:gridSpan w:val="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r>
      <w:tr>
        <w:trPr>
          <w:trHeight w:val="283"/>
        </w:trPr>
        <w:tc>
          <w:tcPr>
            <w:tcW w:w="664" w:type="dxa"/>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7</w:t>
            </w:r>
          </w:p>
        </w:tc>
        <w:tc>
          <w:tcPr>
            <w:tcW w:w="7473" w:type="dxa"/>
            <w:gridSpan w:val="3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《高毒物品目录》（卫法监发﹝2003﹞142号）</w:t>
            </w:r>
          </w:p>
        </w:tc>
        <w:tc>
          <w:tcPr>
            <w:tcW w:w="1147" w:type="dxa"/>
            <w:gridSpan w:val="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r>
      <w:tr>
        <w:trPr>
          <w:trHeight w:val="283"/>
        </w:trPr>
        <w:tc>
          <w:tcPr>
            <w:tcW w:w="664" w:type="dxa"/>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8</w:t>
            </w:r>
          </w:p>
        </w:tc>
        <w:tc>
          <w:tcPr>
            <w:tcW w:w="7473" w:type="dxa"/>
            <w:gridSpan w:val="3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《重点环境管理危险化学品目录》（环境保护部办公厅  环办﹝2014﹞33号）</w:t>
            </w:r>
          </w:p>
        </w:tc>
        <w:tc>
          <w:tcPr>
            <w:tcW w:w="1147" w:type="dxa"/>
            <w:gridSpan w:val="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r>
      <w:tr>
        <w:trPr>
          <w:trHeight w:val="283"/>
        </w:trPr>
        <w:tc>
          <w:tcPr>
            <w:tcW w:w="664" w:type="dxa"/>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9</w:t>
            </w:r>
          </w:p>
        </w:tc>
        <w:tc>
          <w:tcPr>
            <w:tcW w:w="7473" w:type="dxa"/>
            <w:gridSpan w:val="3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《中国严格限制进出口的有毒化学品目录（2014年）》（环境保护部 海关总署公告2013年第85号）</w:t>
            </w:r>
          </w:p>
        </w:tc>
        <w:tc>
          <w:tcPr>
            <w:tcW w:w="1147" w:type="dxa"/>
            <w:gridSpan w:val="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r>
      <w:tr>
        <w:trPr>
          <w:trHeight w:val="283"/>
        </w:trPr>
        <w:tc>
          <w:tcPr>
            <w:tcW w:w="664" w:type="dxa"/>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10</w:t>
            </w:r>
          </w:p>
        </w:tc>
        <w:tc>
          <w:tcPr>
            <w:tcW w:w="7473" w:type="dxa"/>
            <w:gridSpan w:val="3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《麻醉药品和精神药品品种目录 2013 年版》（食药监药化监〔2013〕230号  ）</w:t>
            </w:r>
          </w:p>
        </w:tc>
        <w:tc>
          <w:tcPr>
            <w:tcW w:w="1147" w:type="dxa"/>
            <w:gridSpan w:val="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r>
      <w:tr>
        <w:trPr>
          <w:trHeight w:val="283"/>
        </w:trPr>
        <w:tc>
          <w:tcPr>
            <w:tcW w:w="664" w:type="dxa"/>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11</w:t>
            </w:r>
          </w:p>
        </w:tc>
        <w:tc>
          <w:tcPr>
            <w:tcW w:w="7473" w:type="dxa"/>
            <w:gridSpan w:val="34"/>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《中国进出口受控消耗臭氧层物质名录（第1到6批）》（环保部 2000年至2012系列公告）</w:t>
            </w:r>
          </w:p>
        </w:tc>
        <w:tc>
          <w:tcPr>
            <w:tcW w:w="1147" w:type="dxa"/>
            <w:gridSpan w:val="2"/>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w:t>
            </w:r>
          </w:p>
        </w:tc>
      </w:tr>
      <w:tr>
        <w:trPr>
          <w:trHeight w:val="141"/>
        </w:trPr>
        <w:tc>
          <w:tcPr>
            <w:tcW w:w="9284" w:type="dxa"/>
            <w:gridSpan w:val="3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Times New Roman" w:hAnsi="Times New Roman"/>
                <w:b/>
                <w:bCs/>
                <w:vanish w:val="0"/>
                <w:sz w:val="21"/>
                <w:szCs w:val="21"/>
              </w:rPr>
            </w:pPr>
            <w:r>
              <w:rPr>
                <w:rFonts w:ascii="Times New Roman" w:hAnsi="Times New Roman"/>
                <w:b/>
                <w:bCs/>
                <w:vanish w:val="0"/>
                <w:sz w:val="21"/>
                <w:szCs w:val="21"/>
              </w:rPr>
              <w:t>第十六部分  其他信息</w:t>
            </w:r>
          </w:p>
        </w:tc>
      </w:tr>
      <w:tr>
        <w:trPr>
          <w:trHeight w:val="141"/>
        </w:trPr>
        <w:tc>
          <w:tcPr>
            <w:tcW w:w="9284" w:type="dxa"/>
            <w:gridSpan w:val="37"/>
            <w:tcBorders>
              <w:top w:val="single" w:sz="4" w:space="0" w:color="auto"/>
              <w:left w:val="single" w:sz="4" w:space="0" w:color="auto"/>
              <w:bottom w:val="single" w:sz="4" w:space="0" w:color="auto"/>
              <w:right w:val="single" w:sz="4" w:space="0" w:color="auto"/>
              <w:tl2br w:val="nil"/>
              <w:tr2bl w:val="nil"/>
            </w:tcBorders>
          </w:tcPr>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本表依据GB/T16483-2008《化学品安全技术说明书 内容和项目顺序》和GB/T17519-2013《化学品安全技术说明书编写指南》等标准编制。</w:t>
            </w:r>
          </w:p>
          <w:p>
            <w:pPr>
              <w:pStyle w:val="135"/>
              <w:keepLines w:val="0"/>
              <w:widowControl/>
              <w:suppressLineNumbers w:val="0"/>
              <w:spacing w:after="0" w:afterAutospacing="0"/>
              <w:ind w:left="0" w:right="0"/>
              <w:rPr>
                <w:rFonts w:ascii="Times New Roman" w:hAnsi="Times New Roman"/>
                <w:vanish w:val="0"/>
                <w:sz w:val="21"/>
                <w:szCs w:val="21"/>
              </w:rPr>
            </w:pPr>
            <w:r>
              <w:rPr>
                <w:rFonts w:ascii="Times New Roman" w:hAnsi="Times New Roman"/>
                <w:vanish w:val="0"/>
                <w:sz w:val="21"/>
                <w:szCs w:val="21"/>
              </w:rPr>
              <w:t>化学品GHS分类依据为《危险化学品目录（2015版）实施指南 附件：危险化学品分类信息表》（安监总厅管三〔2015〕80号）和GB30000.2-2013～GB30000.29-2013《化学品分类和标签规范》系列标准。</w:t>
            </w:r>
          </w:p>
        </w:tc>
      </w:tr>
    </w:tbl>
    <w:p>
      <w:pPr>
        <w:pStyle w:val="2"/>
        <w:pBdr>
          <w:top w:val="none" w:sz="0" w:space="0" w:color="auto"/>
          <w:left w:val="none" w:sz="0" w:space="0" w:color="auto"/>
          <w:bottom w:val="none" w:sz="0" w:space="0" w:color="auto"/>
          <w:right w:val="none" w:sz="0" w:space="0" w:color="auto"/>
        </w:pBdr>
        <w:spacing w:beforeLines="0" w:before="156" w:beforeAutospacing="0"/>
        <w:rPr>
          <w:rFonts w:ascii="宋体" w:eastAsia="宋体" w:hint="eastAsia"/>
          <w:b/>
          <w:bCs/>
          <w:vanish w:val="0"/>
          <w:kern w:val="2"/>
          <w:sz w:val="32"/>
          <w:szCs w:val="32"/>
        </w:rPr>
      </w:pPr>
      <w:bookmarkStart w:id="32" w:name="_Toc9220"/>
      <w:bookmarkStart w:id="33" w:name="_Toc19756"/>
      <w:bookmarkEnd w:id="32"/>
      <w:r>
        <w:rPr>
          <w:rFonts w:ascii="宋体" w:eastAsia="宋体" w:hint="eastAsia"/>
          <w:b/>
          <w:bCs/>
          <w:vanish w:val="0"/>
          <w:kern w:val="2"/>
          <w:sz w:val="32"/>
          <w:szCs w:val="32"/>
        </w:rPr>
        <w:t>1.2站址及总平面布置危险有害因素分析</w:t>
      </w:r>
      <w:bookmarkEnd w:id="33"/>
    </w:p>
    <w:p>
      <w:pPr>
        <w:pStyle w:val="103"/>
        <w:pBdr>
          <w:top w:val="none" w:sz="0" w:space="0" w:color="auto"/>
          <w:left w:val="none" w:sz="0" w:space="0" w:color="auto"/>
          <w:bottom w:val="none" w:sz="0" w:space="0" w:color="auto"/>
          <w:right w:val="none" w:sz="0" w:space="0" w:color="auto"/>
        </w:pBdr>
        <w:jc w:val="center"/>
        <w:rPr>
          <w:rFonts w:ascii="宋体" w:eastAsia="宋体" w:hint="eastAsia"/>
          <w:b/>
          <w:bCs/>
          <w:vanish w:val="0"/>
          <w:kern w:val="2"/>
          <w:sz w:val="21"/>
          <w:szCs w:val="21"/>
        </w:rPr>
      </w:pPr>
      <w:bookmarkStart w:id="34" w:name="OLE_LINK45"/>
      <w:bookmarkStart w:id="35" w:name="_Toc207680248"/>
      <w:bookmarkStart w:id="36" w:name="_Toc205916029"/>
      <w:bookmarkStart w:id="37" w:name="_Toc205957396"/>
      <w:bookmarkStart w:id="38" w:name="_Toc206408165"/>
      <w:bookmarkEnd w:id="34"/>
      <w:bookmarkEnd w:id="35"/>
      <w:bookmarkEnd w:id="36"/>
      <w:bookmarkEnd w:id="37"/>
      <w:r>
        <w:rPr>
          <w:rFonts w:ascii="宋体" w:eastAsia="宋体" w:hint="eastAsia"/>
          <w:b/>
          <w:bCs/>
          <w:vanish w:val="0"/>
          <w:kern w:val="2"/>
          <w:sz w:val="21"/>
          <w:szCs w:val="21"/>
        </w:rPr>
        <w:t>表1.2站址及总平面布置危险、有害因素分析</w:t>
      </w:r>
      <w:bookmarkEnd w:id="38"/>
    </w:p>
    <w:tbl>
      <w:tblPr>
        <w:jc w:val="left"/>
        <w:tblW w:w="4998" w:type="pct"/>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0" w:type="dxa"/>
          <w:left w:w="108" w:type="dxa"/>
          <w:bottom w:w="0" w:type="dxa"/>
          <w:right w:w="108" w:type="dxa"/>
        </w:tblCellMar>
      </w:tblPr>
      <w:tblGrid>
        <w:gridCol w:w="572"/>
        <w:gridCol w:w="3090"/>
        <w:gridCol w:w="4629"/>
      </w:tblGrid>
      <w:tr>
        <w:trPr>
          <w:trHeight w:val="577"/>
        </w:trPr>
        <w:tc>
          <w:tcPr>
            <w:tcW w:w="345"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序号</w:t>
            </w:r>
          </w:p>
        </w:tc>
        <w:tc>
          <w:tcPr>
            <w:tcW w:w="1863" w:type="pct"/>
            <w:tcBorders>
              <w:top w:val="single" w:sz="4" w:space="0" w:color="auto"/>
              <w:left w:val="nil"/>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可能存在的危险、有害因素</w:t>
            </w:r>
          </w:p>
        </w:tc>
        <w:tc>
          <w:tcPr>
            <w:tcW w:w="2791" w:type="pct"/>
            <w:tcBorders>
              <w:top w:val="single" w:sz="4" w:space="0" w:color="auto"/>
              <w:left w:val="nil"/>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危害后果</w:t>
            </w:r>
          </w:p>
        </w:tc>
      </w:tr>
      <w:tr>
        <w:trPr>
          <w:trHeight w:val="481"/>
        </w:trPr>
        <w:tc>
          <w:tcPr>
            <w:tcW w:w="345"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一</w:t>
            </w:r>
          </w:p>
        </w:tc>
        <w:tc>
          <w:tcPr>
            <w:tcW w:w="4654" w:type="pct"/>
            <w:gridSpan w:val="2"/>
            <w:tcBorders>
              <w:top w:val="single" w:sz="4" w:space="0" w:color="auto"/>
              <w:left w:val="nil"/>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站址选择</w:t>
            </w:r>
          </w:p>
        </w:tc>
      </w:tr>
      <w:tr>
        <w:trPr>
          <w:trHeight w:val="434"/>
        </w:trPr>
        <w:tc>
          <w:tcPr>
            <w:tcW w:w="345" w:type="pct"/>
            <w:vMerge w:val="restart"/>
            <w:tcBorders>
              <w:top w:val="nil"/>
              <w:left w:val="single" w:sz="4" w:space="0" w:color="auto"/>
              <w:bottom w:val="single" w:sz="4" w:space="0" w:color="auto"/>
              <w:right w:val="single" w:sz="4" w:space="0" w:color="auto"/>
              <w:tl2br w:val="nil"/>
              <w:tr2bl w:val="nil"/>
            </w:tcBorders>
            <w:vAlign w:val="center"/>
          </w:tcPr>
          <w:p>
            <w:pPr>
              <w:pStyle w:val="66"/>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1</w:t>
            </w:r>
          </w:p>
        </w:tc>
        <w:tc>
          <w:tcPr>
            <w:tcW w:w="1863" w:type="pct"/>
            <w:vMerge w:val="restart"/>
            <w:tcBorders>
              <w:top w:val="nil"/>
              <w:left w:val="nil"/>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站址选择若不符合城镇规划、环境保护和防火安全的要求，交通不便利。</w:t>
            </w:r>
          </w:p>
        </w:tc>
        <w:tc>
          <w:tcPr>
            <w:tcW w:w="2791" w:type="pct"/>
            <w:tcBorders>
              <w:top w:val="single" w:sz="4" w:space="0" w:color="auto"/>
              <w:left w:val="nil"/>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影响站周边群众安全。</w:t>
            </w:r>
          </w:p>
        </w:tc>
      </w:tr>
      <w:tr>
        <w:trPr>
          <w:trHeight w:val="780"/>
        </w:trPr>
        <w:tc>
          <w:tcPr>
            <w:vMerge/>
            <w:tcBorders>
              <w:top w:val="nil"/>
              <w:left w:val="single" w:sz="4" w:space="0" w:color="auto"/>
              <w:bottom w:val="single" w:sz="4" w:space="0" w:color="auto"/>
              <w:right w:val="single" w:sz="4" w:space="0" w:color="auto"/>
              <w:tl2br w:val="nil"/>
              <w:tr2bl w:val="nil"/>
            </w:tcBorders>
            <w:vAlign w:val="center"/>
          </w:tcPr>
          <w:p/>
        </w:tc>
        <w:tc>
          <w:tcPr>
            <w:vMerge/>
            <w:tcBorders>
              <w:top w:val="nil"/>
              <w:left w:val="nil"/>
              <w:bottom w:val="single" w:sz="4" w:space="0" w:color="auto"/>
              <w:right w:val="single" w:sz="4" w:space="0" w:color="auto"/>
              <w:tl2br w:val="nil"/>
              <w:tr2bl w:val="nil"/>
            </w:tcBorders>
            <w:vAlign w:val="center"/>
          </w:tcPr>
          <w:p/>
        </w:tc>
        <w:tc>
          <w:tcPr>
            <w:tcW w:w="2791" w:type="pct"/>
            <w:tcBorders>
              <w:top w:val="single" w:sz="4" w:space="0" w:color="auto"/>
              <w:left w:val="nil"/>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油品大量泄漏时，引发火灾爆炸事故发生会危及附近居民生命财产的安全。</w:t>
            </w:r>
          </w:p>
        </w:tc>
      </w:tr>
      <w:tr>
        <w:trPr>
          <w:trHeight w:val="1071"/>
        </w:trPr>
        <w:tc>
          <w:tcPr>
            <w:vMerge/>
            <w:tcBorders>
              <w:top w:val="nil"/>
              <w:left w:val="single" w:sz="4" w:space="0" w:color="auto"/>
              <w:bottom w:val="single" w:sz="4" w:space="0" w:color="auto"/>
              <w:right w:val="single" w:sz="4" w:space="0" w:color="auto"/>
              <w:tl2br w:val="nil"/>
              <w:tr2bl w:val="nil"/>
            </w:tcBorders>
            <w:vAlign w:val="center"/>
          </w:tcPr>
          <w:p/>
        </w:tc>
        <w:tc>
          <w:tcPr>
            <w:vMerge/>
            <w:tcBorders>
              <w:top w:val="nil"/>
              <w:left w:val="nil"/>
              <w:bottom w:val="single" w:sz="4" w:space="0" w:color="auto"/>
              <w:right w:val="single" w:sz="4" w:space="0" w:color="auto"/>
              <w:tl2br w:val="nil"/>
              <w:tr2bl w:val="nil"/>
            </w:tcBorders>
            <w:vAlign w:val="center"/>
          </w:tcPr>
          <w:p/>
        </w:tc>
        <w:tc>
          <w:tcPr>
            <w:tcW w:w="2791" w:type="pct"/>
            <w:tcBorders>
              <w:top w:val="single" w:sz="4" w:space="0" w:color="auto"/>
              <w:left w:val="nil"/>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自然灾害（如地震）发生时，站内设施将受到破坏，发生油罐位移、油品泄漏、火灾爆炸等事故。</w:t>
            </w:r>
          </w:p>
        </w:tc>
      </w:tr>
      <w:tr>
        <w:trPr>
          <w:trHeight w:val="744"/>
        </w:trPr>
        <w:tc>
          <w:tcPr>
            <w:vMerge/>
            <w:tcBorders>
              <w:top w:val="nil"/>
              <w:left w:val="single" w:sz="4" w:space="0" w:color="auto"/>
              <w:bottom w:val="single" w:sz="4" w:space="0" w:color="auto"/>
              <w:right w:val="single" w:sz="4" w:space="0" w:color="auto"/>
              <w:tl2br w:val="nil"/>
              <w:tr2bl w:val="nil"/>
            </w:tcBorders>
            <w:vAlign w:val="center"/>
          </w:tcPr>
          <w:p/>
        </w:tc>
        <w:tc>
          <w:tcPr>
            <w:vMerge/>
            <w:tcBorders>
              <w:top w:val="nil"/>
              <w:left w:val="nil"/>
              <w:bottom w:val="single" w:sz="4" w:space="0" w:color="auto"/>
              <w:right w:val="single" w:sz="4" w:space="0" w:color="auto"/>
              <w:tl2br w:val="nil"/>
              <w:tr2bl w:val="nil"/>
            </w:tcBorders>
            <w:vAlign w:val="center"/>
          </w:tcPr>
          <w:p/>
        </w:tc>
        <w:tc>
          <w:tcPr>
            <w:tcW w:w="2791" w:type="pct"/>
            <w:tcBorders>
              <w:top w:val="single" w:sz="4" w:space="0" w:color="auto"/>
              <w:left w:val="nil"/>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加油加气站发生事故时救援力量不能及时到达，会延误救援时机，导致事故扩大。</w:t>
            </w:r>
          </w:p>
        </w:tc>
      </w:tr>
      <w:tr>
        <w:trPr>
          <w:trHeight w:val="768"/>
        </w:trPr>
        <w:tc>
          <w:tcPr>
            <w:vMerge/>
            <w:tcBorders>
              <w:top w:val="nil"/>
              <w:left w:val="single" w:sz="4" w:space="0" w:color="auto"/>
              <w:bottom w:val="single" w:sz="4" w:space="0" w:color="auto"/>
              <w:right w:val="single" w:sz="4" w:space="0" w:color="auto"/>
              <w:tl2br w:val="nil"/>
              <w:tr2bl w:val="nil"/>
            </w:tcBorders>
            <w:vAlign w:val="center"/>
          </w:tcPr>
          <w:p/>
        </w:tc>
        <w:tc>
          <w:tcPr>
            <w:vMerge/>
            <w:tcBorders>
              <w:top w:val="nil"/>
              <w:left w:val="nil"/>
              <w:bottom w:val="single" w:sz="4" w:space="0" w:color="auto"/>
              <w:right w:val="single" w:sz="4" w:space="0" w:color="auto"/>
              <w:tl2br w:val="nil"/>
              <w:tr2bl w:val="nil"/>
            </w:tcBorders>
            <w:vAlign w:val="center"/>
          </w:tcPr>
          <w:p/>
        </w:tc>
        <w:tc>
          <w:tcPr>
            <w:tcW w:w="2791" w:type="pct"/>
            <w:tcBorders>
              <w:top w:val="single" w:sz="4" w:space="0" w:color="auto"/>
              <w:left w:val="nil"/>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危害因素相互交叉影响，一方发生事故，将影响另一方人员、设施的安全。</w:t>
            </w:r>
          </w:p>
        </w:tc>
      </w:tr>
      <w:tr>
        <w:trPr>
          <w:trHeight w:val="1236"/>
        </w:trPr>
        <w:tc>
          <w:tcPr>
            <w:tcW w:w="345"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2</w:t>
            </w:r>
          </w:p>
        </w:tc>
        <w:tc>
          <w:tcPr>
            <w:tcW w:w="1863" w:type="pct"/>
            <w:tcBorders>
              <w:top w:val="single" w:sz="4" w:space="0" w:color="auto"/>
              <w:left w:val="nil"/>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加油加气站的油罐、加油机和通气管管口与站外建、构筑物的防火距离若不符合安全要求。</w:t>
            </w:r>
          </w:p>
        </w:tc>
        <w:tc>
          <w:tcPr>
            <w:tcW w:w="2791" w:type="pct"/>
            <w:tcBorders>
              <w:top w:val="single" w:sz="4" w:space="0" w:color="auto"/>
              <w:left w:val="nil"/>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站内设施发生油品泄漏或火灾爆炸事故时，将影响到站外车辆及人员的安全；同样站外不安全因素对站内危险设施也会构成威胁。</w:t>
            </w:r>
          </w:p>
        </w:tc>
      </w:tr>
      <w:tr>
        <w:trPr>
          <w:trHeight w:val="463"/>
        </w:trPr>
        <w:tc>
          <w:tcPr>
            <w:tcW w:w="345"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二</w:t>
            </w:r>
          </w:p>
        </w:tc>
        <w:tc>
          <w:tcPr>
            <w:tcW w:w="4654" w:type="pct"/>
            <w:gridSpan w:val="2"/>
            <w:tcBorders>
              <w:top w:val="single" w:sz="4" w:space="0" w:color="auto"/>
              <w:left w:val="nil"/>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总平面布置</w:t>
            </w:r>
          </w:p>
        </w:tc>
      </w:tr>
      <w:tr>
        <w:trPr>
          <w:trHeight w:val="450"/>
        </w:trPr>
        <w:tc>
          <w:tcPr>
            <w:tcW w:w="345"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1</w:t>
            </w:r>
          </w:p>
        </w:tc>
        <w:tc>
          <w:tcPr>
            <w:tcW w:w="1863" w:type="pct"/>
            <w:tcBorders>
              <w:top w:val="single" w:sz="4" w:space="0" w:color="auto"/>
              <w:left w:val="nil"/>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加油加气站的围墙设置若不符合《汽车加油加气站设计与施工规范》GB50156之规定。</w:t>
            </w:r>
          </w:p>
        </w:tc>
        <w:tc>
          <w:tcPr>
            <w:tcW w:w="2791" w:type="pct"/>
            <w:tcBorders>
              <w:top w:val="single" w:sz="4" w:space="0" w:color="auto"/>
              <w:left w:val="nil"/>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不能起到隔绝一般火种及禁止无关人员进入的作用。</w:t>
            </w:r>
          </w:p>
        </w:tc>
      </w:tr>
      <w:tr>
        <w:trPr>
          <w:trHeight w:val="450"/>
        </w:trPr>
        <w:tc>
          <w:tcPr>
            <w:tcW w:w="345"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2</w:t>
            </w:r>
          </w:p>
        </w:tc>
        <w:tc>
          <w:tcPr>
            <w:tcW w:w="1863" w:type="pct"/>
            <w:tcBorders>
              <w:top w:val="single" w:sz="4" w:space="0" w:color="auto"/>
              <w:left w:val="nil"/>
              <w:bottom w:val="single" w:sz="4" w:space="0" w:color="auto"/>
              <w:right w:val="single" w:sz="4" w:space="0" w:color="auto"/>
              <w:tl2br w:val="nil"/>
              <w:tr2bl w:val="nil"/>
            </w:tcBorders>
            <w:vAlign w:val="center"/>
          </w:tcPr>
          <w:p>
            <w:pPr>
              <w:pStyle w:val="66"/>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车辆入口和出口若未分开设置。</w:t>
            </w:r>
          </w:p>
        </w:tc>
        <w:tc>
          <w:tcPr>
            <w:tcW w:w="2791" w:type="pct"/>
            <w:tcBorders>
              <w:top w:val="single" w:sz="4" w:space="0" w:color="auto"/>
              <w:left w:val="nil"/>
              <w:bottom w:val="single" w:sz="4" w:space="0" w:color="auto"/>
              <w:right w:val="single" w:sz="4" w:space="0" w:color="auto"/>
              <w:tl2br w:val="nil"/>
              <w:tr2bl w:val="nil"/>
            </w:tcBorders>
            <w:vAlign w:val="center"/>
          </w:tcPr>
          <w:p>
            <w:pPr>
              <w:pStyle w:val="66"/>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事故发生时加油车辆、槽车不能迅速撤离。且容易发生擦、挂、互撞等事故，严重时会导致二次事故（油箱爆炸、油品爆炸等）发生。</w:t>
            </w:r>
          </w:p>
        </w:tc>
      </w:tr>
      <w:tr>
        <w:trPr>
          <w:trHeight w:val="450"/>
        </w:trPr>
        <w:tc>
          <w:tcPr>
            <w:tcW w:w="345"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3</w:t>
            </w:r>
          </w:p>
        </w:tc>
        <w:tc>
          <w:tcPr>
            <w:tcW w:w="1863" w:type="pct"/>
            <w:tcBorders>
              <w:top w:val="single" w:sz="4" w:space="0" w:color="auto"/>
              <w:left w:val="nil"/>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站区内的停车场和道路若不符合《汽车加油加气站设计与施工规范》GB50156规定。</w:t>
            </w:r>
          </w:p>
        </w:tc>
        <w:tc>
          <w:tcPr>
            <w:tcW w:w="2791" w:type="pct"/>
            <w:tcBorders>
              <w:top w:val="single" w:sz="4" w:space="0" w:color="auto"/>
              <w:left w:val="nil"/>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因安全通道设置不符合要求，火灾发生时，影响及时有效的扑救与疏散。</w:t>
            </w:r>
          </w:p>
        </w:tc>
      </w:tr>
      <w:tr>
        <w:trPr>
          <w:trHeight w:val="750"/>
        </w:trPr>
        <w:tc>
          <w:tcPr>
            <w:tcW w:w="345"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4</w:t>
            </w:r>
          </w:p>
        </w:tc>
        <w:tc>
          <w:tcPr>
            <w:tcW w:w="1863" w:type="pct"/>
            <w:tcBorders>
              <w:top w:val="single" w:sz="4" w:space="0" w:color="auto"/>
              <w:left w:val="nil"/>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罩棚的设计若不符合《汽车加油加气站设计与施工规范》GB50156规定</w:t>
            </w:r>
          </w:p>
        </w:tc>
        <w:tc>
          <w:tcPr>
            <w:tcW w:w="2791" w:type="pct"/>
            <w:tcBorders>
              <w:top w:val="single" w:sz="4" w:space="0" w:color="auto"/>
              <w:left w:val="nil"/>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人员和设备长期处于雨淋和日晒状态，易造成人员的职业伤害和设备损伤。</w:t>
            </w:r>
          </w:p>
        </w:tc>
      </w:tr>
      <w:tr>
        <w:trPr>
          <w:trHeight w:val="1077"/>
        </w:trPr>
        <w:tc>
          <w:tcPr>
            <w:tcW w:w="345"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5</w:t>
            </w:r>
          </w:p>
        </w:tc>
        <w:tc>
          <w:tcPr>
            <w:tcW w:w="1863" w:type="pct"/>
            <w:tcBorders>
              <w:top w:val="single" w:sz="4" w:space="0" w:color="auto"/>
              <w:left w:val="nil"/>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加油岛的设计若不符合《汽车加油加气站设计与施工规范》GB50156规定。</w:t>
            </w:r>
          </w:p>
        </w:tc>
        <w:tc>
          <w:tcPr>
            <w:tcW w:w="2791" w:type="pct"/>
            <w:tcBorders>
              <w:top w:val="single" w:sz="4" w:space="0" w:color="auto"/>
              <w:left w:val="nil"/>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汽车加油时，加油机和罩棚、操作人员易受汽车碰撞造成事故。</w:t>
            </w:r>
          </w:p>
        </w:tc>
      </w:tr>
      <w:tr>
        <w:trPr>
          <w:trHeight w:val="1076"/>
        </w:trPr>
        <w:tc>
          <w:tcPr>
            <w:tcW w:w="345"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6</w:t>
            </w:r>
          </w:p>
        </w:tc>
        <w:tc>
          <w:tcPr>
            <w:tcW w:w="1863" w:type="pct"/>
            <w:tcBorders>
              <w:top w:val="single" w:sz="4" w:space="0" w:color="auto"/>
              <w:left w:val="nil"/>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站内设施间的防火间距若不符合《汽车加油加气站设计与施工规范》GB50156规定。</w:t>
            </w:r>
          </w:p>
        </w:tc>
        <w:tc>
          <w:tcPr>
            <w:tcW w:w="2791" w:type="pct"/>
            <w:tcBorders>
              <w:top w:val="single" w:sz="4" w:space="0" w:color="auto"/>
              <w:left w:val="nil"/>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建、构筑物间防火间距不够，一旦发生火灾，将会蔓延扩大，加重伤亡与损失。</w:t>
            </w:r>
          </w:p>
        </w:tc>
      </w:tr>
    </w:tbl>
    <w:p>
      <w:pPr>
        <w:pStyle w:val="2"/>
        <w:pBdr>
          <w:top w:val="none" w:sz="0" w:space="0" w:color="auto"/>
          <w:left w:val="none" w:sz="0" w:space="0" w:color="auto"/>
          <w:bottom w:val="none" w:sz="0" w:space="0" w:color="auto"/>
          <w:right w:val="none" w:sz="0" w:space="0" w:color="auto"/>
        </w:pBdr>
        <w:spacing w:beforeLines="0" w:before="156" w:beforeAutospacing="0"/>
        <w:rPr>
          <w:rFonts w:ascii="宋体" w:eastAsia="宋体" w:hint="eastAsia"/>
          <w:b/>
          <w:bCs/>
          <w:vanish w:val="0"/>
          <w:kern w:val="2"/>
          <w:sz w:val="32"/>
          <w:szCs w:val="32"/>
        </w:rPr>
      </w:pPr>
      <w:bookmarkStart w:id="39" w:name="_Toc17592"/>
      <w:bookmarkStart w:id="40" w:name="_Toc32576"/>
      <w:bookmarkStart w:id="41" w:name="_Toc449348747"/>
      <w:bookmarkStart w:id="42" w:name="_Toc1920"/>
      <w:bookmarkStart w:id="43" w:name="_Toc26446"/>
      <w:bookmarkEnd w:id="39"/>
      <w:bookmarkEnd w:id="40"/>
      <w:bookmarkEnd w:id="41"/>
      <w:bookmarkEnd w:id="42"/>
      <w:r>
        <w:rPr>
          <w:rFonts w:ascii="宋体" w:eastAsia="宋体" w:hint="eastAsia"/>
          <w:b/>
          <w:bCs/>
          <w:vanish w:val="0"/>
          <w:kern w:val="2"/>
          <w:sz w:val="32"/>
          <w:szCs w:val="32"/>
        </w:rPr>
        <w:t>1.3 建(构)筑物危险有害因素分析</w:t>
      </w:r>
      <w:bookmarkEnd w:id="43"/>
    </w:p>
    <w:p>
      <w:pPr>
        <w:pStyle w:val="103"/>
        <w:pBdr>
          <w:top w:val="none" w:sz="0" w:space="0" w:color="auto"/>
          <w:left w:val="none" w:sz="0" w:space="0" w:color="auto"/>
          <w:bottom w:val="none" w:sz="0" w:space="0" w:color="auto"/>
          <w:right w:val="none" w:sz="0" w:space="0" w:color="auto"/>
        </w:pBdr>
        <w:jc w:val="center"/>
        <w:rPr>
          <w:rFonts w:ascii="宋体" w:eastAsia="宋体" w:hint="eastAsia"/>
          <w:b/>
          <w:bCs/>
          <w:vanish w:val="0"/>
          <w:kern w:val="2"/>
          <w:sz w:val="21"/>
          <w:szCs w:val="21"/>
        </w:rPr>
      </w:pPr>
      <w:r>
        <w:rPr>
          <w:rFonts w:ascii="宋体" w:eastAsia="宋体" w:hint="eastAsia"/>
          <w:b/>
          <w:bCs/>
          <w:vanish w:val="0"/>
          <w:kern w:val="2"/>
          <w:sz w:val="21"/>
          <w:szCs w:val="21"/>
        </w:rPr>
        <w:t>表1.3 建(构)筑物危险有害因素分析表</w:t>
      </w:r>
    </w:p>
    <w:tbl>
      <w:tblPr>
        <w:jc w:val="left"/>
        <w:tblW w:w="4998" w:type="pct"/>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0" w:type="dxa"/>
          <w:left w:w="108" w:type="dxa"/>
          <w:bottom w:w="0" w:type="dxa"/>
          <w:right w:w="108" w:type="dxa"/>
        </w:tblCellMar>
      </w:tblPr>
      <w:tblGrid>
        <w:gridCol w:w="582"/>
        <w:gridCol w:w="972"/>
        <w:gridCol w:w="1047"/>
        <w:gridCol w:w="4626"/>
        <w:gridCol w:w="1061"/>
      </w:tblGrid>
      <w:tr>
        <w:trPr>
          <w:trHeight w:val="868"/>
        </w:trPr>
        <w:tc>
          <w:tcPr>
            <w:tcW w:w="351"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序号</w:t>
            </w:r>
          </w:p>
        </w:tc>
        <w:tc>
          <w:tcPr>
            <w:tcW w:w="586"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危险危害</w:t>
            </w:r>
          </w:p>
        </w:tc>
        <w:tc>
          <w:tcPr>
            <w:tcW w:w="631"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存在部位/方式</w:t>
            </w:r>
          </w:p>
        </w:tc>
        <w:tc>
          <w:tcPr>
            <w:tcW w:w="2789"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形成原因</w:t>
            </w:r>
          </w:p>
        </w:tc>
        <w:tc>
          <w:tcPr>
            <w:tcW w:w="640"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事故后果</w:t>
            </w:r>
          </w:p>
        </w:tc>
      </w:tr>
      <w:tr>
        <w:tc>
          <w:tcPr>
            <w:tcW w:w="351"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1</w:t>
            </w:r>
          </w:p>
        </w:tc>
        <w:tc>
          <w:tcPr>
            <w:tcW w:w="586"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建、构筑物坍塌</w:t>
            </w:r>
          </w:p>
        </w:tc>
        <w:tc>
          <w:tcPr>
            <w:tcW w:w="631"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站内建、构筑物</w:t>
            </w:r>
          </w:p>
        </w:tc>
        <w:tc>
          <w:tcPr>
            <w:tcW w:w="2789"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1.站内设施设备、建构筑物等的设计、建设未按照本地区抗震烈度进行设防，遭遇强震时，可能造成建构筑物损坏或坍塌、设施设备破坏，引发人员伤亡事故。</w:t>
            </w:r>
          </w:p>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2.站内排水设施不完善或日常维护工作不到位，若遇极端暴雨天气，可能造成站内积水过深，引起坍塌，对站内的设施设备造成破坏。</w:t>
            </w:r>
          </w:p>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3.未按GB50156的要求配置防雷设施。</w:t>
            </w:r>
          </w:p>
        </w:tc>
        <w:tc>
          <w:tcPr>
            <w:tcW w:w="640"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设备损毁人员伤亡</w:t>
            </w:r>
          </w:p>
        </w:tc>
      </w:tr>
      <w:tr>
        <w:tc>
          <w:tcPr>
            <w:tcW w:w="351"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2</w:t>
            </w:r>
          </w:p>
        </w:tc>
        <w:tc>
          <w:tcPr>
            <w:tcW w:w="586"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火灾爆炸事故</w:t>
            </w:r>
          </w:p>
        </w:tc>
        <w:tc>
          <w:tcPr>
            <w:tcW w:w="631"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站内建、构筑物</w:t>
            </w:r>
          </w:p>
        </w:tc>
        <w:tc>
          <w:tcPr>
            <w:tcW w:w="2789"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1.建构筑物的防雷防静电设施未按GB50156中的标准配置，雷击或静电产生火花引起火灾爆炸事故；</w:t>
            </w:r>
          </w:p>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2.建构筑物的防火防爆措施不满足要求，油品泄漏在建构筑物内部造成油蒸气积聚遇点火能源发生爆炸；</w:t>
            </w:r>
          </w:p>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3.建构筑物电气线路敷设不合格或故障引起火灾。</w:t>
            </w:r>
          </w:p>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4.若站内未设置围墙或隔离墙，将不能有效隔绝一般火种及禁止无关人员进入，给站内安全带来火灾事故隐患。</w:t>
            </w:r>
          </w:p>
        </w:tc>
        <w:tc>
          <w:tcPr>
            <w:tcW w:w="640"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设备损毁人员伤亡</w:t>
            </w:r>
          </w:p>
        </w:tc>
      </w:tr>
      <w:tr>
        <w:tc>
          <w:tcPr>
            <w:tcW w:w="351"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3</w:t>
            </w:r>
          </w:p>
        </w:tc>
        <w:tc>
          <w:tcPr>
            <w:tcW w:w="586"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高处坠落事故</w:t>
            </w:r>
          </w:p>
        </w:tc>
        <w:tc>
          <w:tcPr>
            <w:tcW w:w="631"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站房顶部及罩棚顶部</w:t>
            </w:r>
          </w:p>
        </w:tc>
        <w:tc>
          <w:tcPr>
            <w:tcW w:w="2789"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在站房顶部及罩棚顶部进行检修作业中，若未按要求设置安全防护设施或安全防护设施不可靠，人员未按高空作业要求穿戴防护用品，操作处置失误等，易发生高处坠落。</w:t>
            </w:r>
          </w:p>
        </w:tc>
        <w:tc>
          <w:tcPr>
            <w:tcW w:w="640"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人员伤亡</w:t>
            </w:r>
          </w:p>
        </w:tc>
      </w:tr>
      <w:tr>
        <w:tc>
          <w:tcPr>
            <w:tcW w:w="351"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4</w:t>
            </w:r>
          </w:p>
        </w:tc>
        <w:tc>
          <w:tcPr>
            <w:tcW w:w="586"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物体打击</w:t>
            </w:r>
          </w:p>
        </w:tc>
        <w:tc>
          <w:tcPr>
            <w:tcW w:w="631"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站房、罩棚</w:t>
            </w:r>
          </w:p>
        </w:tc>
        <w:tc>
          <w:tcPr>
            <w:tcW w:w="2789"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bookmarkStart w:id="44" w:name="OLE_LINK28"/>
            <w:r>
              <w:rPr>
                <w:rFonts w:ascii="宋体" w:eastAsia="宋体" w:hint="eastAsia"/>
                <w:vanish w:val="0"/>
                <w:kern w:val="2"/>
                <w:sz w:val="21"/>
                <w:szCs w:val="21"/>
              </w:rPr>
              <w:t>站房、罩棚</w:t>
            </w:r>
            <w:bookmarkEnd w:id="44"/>
            <w:r>
              <w:rPr>
                <w:rFonts w:ascii="宋体" w:eastAsia="宋体" w:hint="eastAsia"/>
                <w:vanish w:val="0"/>
                <w:kern w:val="2"/>
                <w:sz w:val="21"/>
                <w:szCs w:val="21"/>
              </w:rPr>
              <w:t>设计施工未按相关规范进行，或维护措施不当，附属设施掉落造成人员伤亡事故。</w:t>
            </w:r>
          </w:p>
        </w:tc>
        <w:tc>
          <w:tcPr>
            <w:tcW w:w="640"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人员伤亡</w:t>
            </w:r>
          </w:p>
        </w:tc>
      </w:tr>
      <w:tr>
        <w:tc>
          <w:tcPr>
            <w:tcW w:w="351"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5</w:t>
            </w:r>
          </w:p>
        </w:tc>
        <w:tc>
          <w:tcPr>
            <w:tcW w:w="586"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车辆伤害事故</w:t>
            </w:r>
          </w:p>
        </w:tc>
        <w:tc>
          <w:tcPr>
            <w:tcW w:w="631"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left"/>
              <w:rPr>
                <w:rFonts w:ascii="宋体" w:eastAsia="宋体" w:hint="eastAsia"/>
                <w:vanish w:val="0"/>
                <w:kern w:val="2"/>
                <w:sz w:val="21"/>
                <w:szCs w:val="21"/>
              </w:rPr>
            </w:pPr>
            <w:r>
              <w:rPr>
                <w:rFonts w:ascii="宋体" w:eastAsia="宋体" w:hint="eastAsia"/>
                <w:vanish w:val="0"/>
                <w:kern w:val="2"/>
                <w:sz w:val="21"/>
                <w:szCs w:val="21"/>
              </w:rPr>
              <w:t>加油区</w:t>
            </w:r>
          </w:p>
        </w:tc>
        <w:tc>
          <w:tcPr>
            <w:tcW w:w="2789"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加油岛的设置或修建不符合《汽车加油加气站设计与施工规范》（GB50156-2012，2014年版）第12.2.3条的规定，可能导致汽车碰撞加油机和操作人员，引发车辆伤害事故。</w:t>
            </w:r>
          </w:p>
        </w:tc>
        <w:tc>
          <w:tcPr>
            <w:tcW w:w="640" w:type="pct"/>
            <w:tcBorders>
              <w:top w:val="single" w:sz="4" w:space="0" w:color="auto"/>
              <w:left w:val="single" w:sz="4" w:space="0" w:color="auto"/>
              <w:bottom w:val="single" w:sz="4" w:space="0" w:color="auto"/>
              <w:right w:val="single" w:sz="4" w:space="0" w:color="auto"/>
              <w:tl2br w:val="nil"/>
              <w:tr2bl w:val="nil"/>
            </w:tcBorders>
            <w:vAlign w:val="center"/>
          </w:tcPr>
          <w:p>
            <w:pPr>
              <w:pStyle w:val="66"/>
              <w:keepLines w:val="0"/>
              <w:widowControl/>
              <w:suppressLineNumbers w:val="0"/>
              <w:spacing w:after="0" w:afterAutospacing="0"/>
              <w:ind w:left="0" w:right="0"/>
              <w:rPr>
                <w:rFonts w:ascii="宋体" w:eastAsia="宋体" w:hint="eastAsia"/>
                <w:vanish w:val="0"/>
                <w:kern w:val="2"/>
                <w:sz w:val="21"/>
                <w:szCs w:val="21"/>
              </w:rPr>
            </w:pPr>
            <w:r>
              <w:rPr>
                <w:rFonts w:ascii="宋体" w:eastAsia="宋体" w:hint="eastAsia"/>
                <w:vanish w:val="0"/>
                <w:kern w:val="2"/>
                <w:sz w:val="21"/>
                <w:szCs w:val="21"/>
              </w:rPr>
              <w:t>设备损毁人员伤亡</w:t>
            </w:r>
          </w:p>
        </w:tc>
      </w:tr>
    </w:tbl>
    <w:p>
      <w:pPr>
        <w:pStyle w:val="78"/>
        <w:pBdr>
          <w:top w:val="none" w:sz="0" w:space="0" w:color="auto"/>
          <w:left w:val="none" w:sz="0" w:space="0" w:color="auto"/>
          <w:bottom w:val="none" w:sz="0" w:space="0" w:color="auto"/>
          <w:right w:val="none" w:sz="0" w:space="0" w:color="auto"/>
        </w:pBdr>
        <w:spacing w:before="156" w:beforeAutospacing="0"/>
        <w:ind w:firstLineChars="0" w:firstLine="0"/>
        <w:rPr>
          <w:rFonts w:ascii="宋体" w:eastAsia="宋体" w:hint="eastAsia"/>
          <w:vanish w:val="0"/>
          <w:kern w:val="2"/>
          <w:sz w:val="21"/>
          <w:szCs w:val="21"/>
        </w:rPr>
      </w:pPr>
      <w:bookmarkStart w:id="45" w:name="_Toc24822"/>
      <w:bookmarkEnd w:id="45"/>
    </w:p>
    <w:p>
      <w:pPr>
        <w:pStyle w:val="2"/>
        <w:pBdr>
          <w:top w:val="none" w:sz="0" w:space="0" w:color="auto"/>
          <w:left w:val="none" w:sz="0" w:space="0" w:color="auto"/>
          <w:bottom w:val="none" w:sz="0" w:space="0" w:color="auto"/>
          <w:right w:val="none" w:sz="0" w:space="0" w:color="auto"/>
        </w:pBdr>
        <w:spacing w:beforeLines="0" w:before="156" w:beforeAutospacing="0"/>
        <w:rPr>
          <w:rFonts w:ascii="宋体" w:eastAsia="宋体" w:hint="eastAsia"/>
          <w:b/>
          <w:bCs/>
          <w:vanish w:val="0"/>
          <w:kern w:val="2"/>
          <w:sz w:val="32"/>
          <w:szCs w:val="32"/>
        </w:rPr>
      </w:pPr>
      <w:bookmarkStart w:id="46" w:name="_Toc1851"/>
      <w:bookmarkStart w:id="47" w:name="_Toc8001"/>
      <w:bookmarkEnd w:id="46"/>
      <w:r>
        <w:rPr>
          <w:rFonts w:ascii="宋体" w:eastAsia="宋体" w:hint="eastAsia"/>
          <w:b/>
          <w:bCs/>
          <w:vanish w:val="0"/>
          <w:kern w:val="2"/>
          <w:sz w:val="32"/>
          <w:szCs w:val="32"/>
        </w:rPr>
        <w:t>1.4 经营过程危险有害因素</w:t>
      </w:r>
      <w:bookmarkEnd w:id="47"/>
      <w:r>
        <w:rPr>
          <w:rFonts w:ascii="宋体" w:eastAsia="宋体" w:hint="eastAsia"/>
          <w:b/>
          <w:bCs/>
          <w:vanish w:val="0"/>
          <w:kern w:val="2"/>
          <w:sz w:val="32"/>
          <w:szCs w:val="32"/>
        </w:rPr>
        <w:t>分析</w:t>
      </w:r>
    </w:p>
    <w:p>
      <w:pPr>
        <w:pStyle w:val="31"/>
        <w:pBdr>
          <w:top w:val="none" w:sz="0" w:space="0" w:color="auto"/>
          <w:left w:val="none" w:sz="0" w:space="0" w:color="auto"/>
          <w:bottom w:val="none" w:sz="0" w:space="0" w:color="auto"/>
          <w:right w:val="none" w:sz="0" w:space="0" w:color="auto"/>
        </w:pBdr>
        <w:ind w:firstLineChars="200" w:firstLine="560"/>
        <w:rPr>
          <w:rFonts w:ascii="宋体" w:eastAsia="宋体" w:hint="eastAsia"/>
          <w:vanish w:val="0"/>
          <w:kern w:val="2"/>
          <w:sz w:val="28"/>
          <w:szCs w:val="28"/>
        </w:rPr>
      </w:pPr>
      <w:r>
        <w:rPr>
          <w:rFonts w:ascii="宋体" w:eastAsia="宋体" w:hint="eastAsia"/>
          <w:vanish w:val="0"/>
          <w:kern w:val="2"/>
          <w:sz w:val="28"/>
          <w:szCs w:val="28"/>
        </w:rPr>
        <w:t>加油加气站运行过程主要包括油品的加油、装卸、储存以及检修等过程，存在火灾、爆炸、中毒、触电、车辆伤害等危险、有害因素，其中火灾事故的破坏性、危害性最为突出，也最为常见。</w:t>
      </w:r>
      <w:bookmarkStart w:id="48" w:name="OLE_LINK14"/>
      <w:r>
        <w:rPr>
          <w:rFonts w:ascii="宋体" w:eastAsia="宋体" w:hint="eastAsia"/>
          <w:vanish w:val="0"/>
          <w:kern w:val="2"/>
          <w:sz w:val="28"/>
          <w:szCs w:val="28"/>
        </w:rPr>
        <w:t>分析如下：</w:t>
      </w:r>
      <w:bookmarkEnd w:id="48"/>
    </w:p>
    <w:p>
      <w:pPr>
        <w:pStyle w:val="3"/>
        <w:rPr>
          <w:rFonts w:ascii="宋体" w:eastAsia="宋体" w:hint="eastAsia"/>
          <w:b/>
          <w:bCs/>
          <w:kern w:val="2"/>
          <w:sz w:val="30"/>
          <w:szCs w:val="30"/>
        </w:rPr>
      </w:pPr>
      <w:bookmarkStart w:id="49" w:name="_Toc299"/>
      <w:bookmarkStart w:id="50" w:name="_Toc14105"/>
      <w:bookmarkEnd w:id="49"/>
      <w:r>
        <w:rPr>
          <w:rFonts w:ascii="宋体" w:eastAsia="宋体" w:hint="eastAsia"/>
          <w:b/>
          <w:bCs/>
          <w:kern w:val="2"/>
          <w:sz w:val="30"/>
          <w:szCs w:val="30"/>
        </w:rPr>
        <w:t>1.4.1 卸油过程</w:t>
      </w:r>
      <w:bookmarkEnd w:id="50"/>
    </w:p>
    <w:p>
      <w:pPr>
        <w:pBdr>
          <w:top w:val="none" w:sz="0" w:space="0" w:color="auto"/>
          <w:left w:val="none" w:sz="0" w:space="0" w:color="auto"/>
          <w:bottom w:val="none" w:sz="0" w:space="0" w:color="auto"/>
          <w:right w:val="none" w:sz="0" w:space="0" w:color="auto"/>
        </w:pBdr>
        <w:ind w:firstLineChars="200" w:firstLine="560"/>
        <w:rPr>
          <w:rFonts w:ascii="宋体" w:eastAsia="宋体" w:hint="eastAsia"/>
          <w:vanish w:val="0"/>
          <w:kern w:val="2"/>
          <w:sz w:val="28"/>
          <w:szCs w:val="28"/>
        </w:rPr>
      </w:pPr>
      <w:r>
        <w:rPr>
          <w:rFonts w:ascii="宋体" w:eastAsia="宋体" w:hint="eastAsia"/>
          <w:vanish w:val="0"/>
          <w:kern w:val="2"/>
          <w:sz w:val="28"/>
          <w:szCs w:val="28"/>
        </w:rPr>
        <w:t>1.成品油的槽车进入加油加气站，若未在汽车排气管上装阻火器，未使用静电导电夹与油罐车牢固联接导除静电，就开始卸装油品，一旦产生火星或静电放电，有引起火灾，爆炸的危险。</w:t>
      </w:r>
    </w:p>
    <w:p>
      <w:pPr>
        <w:pBdr>
          <w:top w:val="none" w:sz="0" w:space="0" w:color="auto"/>
          <w:left w:val="none" w:sz="0" w:space="0" w:color="auto"/>
          <w:bottom w:val="none" w:sz="0" w:space="0" w:color="auto"/>
          <w:right w:val="none" w:sz="0" w:space="0" w:color="auto"/>
        </w:pBdr>
        <w:ind w:firstLineChars="200" w:firstLine="560"/>
        <w:rPr>
          <w:rFonts w:ascii="宋体" w:eastAsia="宋体" w:hint="eastAsia"/>
          <w:vanish w:val="0"/>
          <w:kern w:val="2"/>
          <w:sz w:val="28"/>
          <w:szCs w:val="28"/>
        </w:rPr>
      </w:pPr>
      <w:r>
        <w:rPr>
          <w:rFonts w:ascii="宋体" w:eastAsia="宋体" w:hint="eastAsia"/>
          <w:vanish w:val="0"/>
          <w:kern w:val="2"/>
          <w:sz w:val="28"/>
          <w:szCs w:val="28"/>
        </w:rPr>
        <w:t>2.在卸油过程中，由于油品流动、摩擦，油品流速过大，易产生静电，若未采用导静电耐油软管，油品在卸车过程中静电大量积聚，可能引发火灾爆炸。此外卸油员上岗时未穿防静电工作服装、带铁钉鞋产生电火花，遇油品泄漏形成爆炸性油气混合气体可能引发火灾爆炸。</w:t>
      </w:r>
    </w:p>
    <w:p>
      <w:pPr>
        <w:pBdr>
          <w:top w:val="none" w:sz="0" w:space="0" w:color="auto"/>
          <w:left w:val="none" w:sz="0" w:space="0" w:color="auto"/>
          <w:bottom w:val="none" w:sz="0" w:space="0" w:color="auto"/>
          <w:right w:val="none" w:sz="0" w:space="0" w:color="auto"/>
        </w:pBdr>
        <w:ind w:firstLineChars="200" w:firstLine="560"/>
        <w:rPr>
          <w:rFonts w:ascii="宋体" w:eastAsia="宋体" w:hint="eastAsia"/>
          <w:vanish w:val="0"/>
          <w:kern w:val="2"/>
          <w:sz w:val="28"/>
          <w:szCs w:val="28"/>
        </w:rPr>
      </w:pPr>
      <w:r>
        <w:rPr>
          <w:rFonts w:ascii="宋体" w:eastAsia="宋体" w:hint="eastAsia"/>
          <w:vanish w:val="0"/>
          <w:kern w:val="2"/>
          <w:sz w:val="28"/>
          <w:szCs w:val="28"/>
        </w:rPr>
        <w:t>3.在卸油过程中若管道、设备连接不可靠，密封不严或拉脱，产生泄漏、喷射，泄漏后遇明火或静电火花点燃，有发生火灾、爆炸的危险。</w:t>
      </w:r>
    </w:p>
    <w:p>
      <w:pPr>
        <w:pBdr>
          <w:top w:val="none" w:sz="0" w:space="0" w:color="auto"/>
          <w:left w:val="none" w:sz="0" w:space="0" w:color="auto"/>
          <w:bottom w:val="none" w:sz="0" w:space="0" w:color="auto"/>
          <w:right w:val="none" w:sz="0" w:space="0" w:color="auto"/>
        </w:pBdr>
        <w:ind w:firstLineChars="200" w:firstLine="560"/>
        <w:rPr>
          <w:rFonts w:ascii="宋体" w:eastAsia="宋体" w:hint="eastAsia"/>
          <w:vanish w:val="0"/>
          <w:kern w:val="2"/>
          <w:sz w:val="28"/>
          <w:szCs w:val="28"/>
        </w:rPr>
      </w:pPr>
      <w:r>
        <w:rPr>
          <w:rFonts w:ascii="宋体" w:eastAsia="宋体" w:hint="eastAsia"/>
          <w:vanish w:val="0"/>
          <w:kern w:val="2"/>
          <w:sz w:val="28"/>
          <w:szCs w:val="28"/>
        </w:rPr>
        <w:t>4.在卸油作业过程中，若违章操作或员工未坚守岗位，卸油处于无人监视状态，致使油品满溢，一旦遇点火源，有发生火灾、爆炸的危险。</w:t>
      </w:r>
    </w:p>
    <w:p>
      <w:pPr>
        <w:pBdr>
          <w:top w:val="none" w:sz="0" w:space="0" w:color="auto"/>
          <w:left w:val="none" w:sz="0" w:space="0" w:color="auto"/>
          <w:bottom w:val="none" w:sz="0" w:space="0" w:color="auto"/>
          <w:right w:val="none" w:sz="0" w:space="0" w:color="auto"/>
        </w:pBdr>
        <w:ind w:firstLineChars="200" w:firstLine="560"/>
        <w:rPr>
          <w:rFonts w:ascii="宋体" w:eastAsia="宋体" w:hint="eastAsia"/>
          <w:vanish w:val="0"/>
          <w:kern w:val="2"/>
          <w:sz w:val="28"/>
          <w:szCs w:val="28"/>
        </w:rPr>
      </w:pPr>
      <w:r>
        <w:rPr>
          <w:rFonts w:ascii="宋体" w:eastAsia="宋体" w:hint="eastAsia"/>
          <w:vanish w:val="0"/>
          <w:kern w:val="2"/>
          <w:sz w:val="28"/>
          <w:szCs w:val="28"/>
        </w:rPr>
        <w:t>5.卸油时超过充装系数，将造成进油冒罐或油品体积受热膨胀形成冒罐导致油品泄漏。</w:t>
      </w:r>
    </w:p>
    <w:p>
      <w:pPr>
        <w:pBdr>
          <w:top w:val="none" w:sz="0" w:space="0" w:color="auto"/>
          <w:left w:val="none" w:sz="0" w:space="0" w:color="auto"/>
          <w:bottom w:val="none" w:sz="0" w:space="0" w:color="auto"/>
          <w:right w:val="none" w:sz="0" w:space="0" w:color="auto"/>
        </w:pBdr>
        <w:ind w:firstLineChars="200" w:firstLine="560"/>
        <w:rPr>
          <w:rFonts w:ascii="宋体" w:eastAsia="宋体" w:hint="eastAsia"/>
          <w:vanish w:val="0"/>
          <w:kern w:val="2"/>
          <w:sz w:val="28"/>
          <w:szCs w:val="28"/>
        </w:rPr>
      </w:pPr>
      <w:r>
        <w:rPr>
          <w:rFonts w:ascii="宋体" w:eastAsia="宋体" w:hint="eastAsia"/>
          <w:vanish w:val="0"/>
          <w:kern w:val="2"/>
          <w:sz w:val="28"/>
          <w:szCs w:val="28"/>
        </w:rPr>
        <w:t>6.在卸油作业现场若作业人员未严格执行禁火制度，带入火种，不防爆的通讯器材（如：手机等）进入现场；防爆电器存在质量问题等一系列隐患有可能导致火灾的危险。</w:t>
      </w:r>
    </w:p>
    <w:p>
      <w:pPr>
        <w:pBdr>
          <w:top w:val="none" w:sz="0" w:space="0" w:color="auto"/>
          <w:left w:val="none" w:sz="0" w:space="0" w:color="auto"/>
          <w:bottom w:val="none" w:sz="0" w:space="0" w:color="auto"/>
          <w:right w:val="none" w:sz="0" w:space="0" w:color="auto"/>
        </w:pBdr>
        <w:ind w:firstLineChars="200" w:firstLine="560"/>
        <w:rPr>
          <w:rFonts w:ascii="宋体" w:eastAsia="宋体" w:hint="eastAsia"/>
          <w:vanish w:val="0"/>
          <w:kern w:val="2"/>
          <w:sz w:val="28"/>
          <w:szCs w:val="28"/>
        </w:rPr>
      </w:pPr>
      <w:r>
        <w:rPr>
          <w:rFonts w:ascii="宋体" w:eastAsia="宋体" w:hint="eastAsia"/>
          <w:vanish w:val="0"/>
          <w:kern w:val="2"/>
          <w:sz w:val="28"/>
          <w:szCs w:val="28"/>
        </w:rPr>
        <w:t>7.存在着各种点火源的危险。加油加气站建立在车辆来往频繁的交通干道旁边，周围环境比较复杂，受外部点火源的威胁较大，频繁出入的车辆，人为带入的火种等，均可成为加油加气站火灾的点火源。</w:t>
      </w:r>
    </w:p>
    <w:p>
      <w:pPr>
        <w:pStyle w:val="31"/>
        <w:pBdr>
          <w:top w:val="none" w:sz="0" w:space="0" w:color="auto"/>
          <w:left w:val="none" w:sz="0" w:space="0" w:color="auto"/>
          <w:bottom w:val="none" w:sz="0" w:space="0" w:color="auto"/>
          <w:right w:val="none" w:sz="0" w:space="0" w:color="auto"/>
        </w:pBdr>
        <w:ind w:firstLineChars="200" w:firstLine="560"/>
        <w:rPr>
          <w:rFonts w:ascii="宋体" w:eastAsia="宋体" w:hint="eastAsia"/>
          <w:vanish w:val="0"/>
          <w:kern w:val="2"/>
          <w:sz w:val="28"/>
          <w:szCs w:val="28"/>
        </w:rPr>
      </w:pPr>
      <w:r>
        <w:rPr>
          <w:rFonts w:ascii="宋体" w:eastAsia="宋体" w:hint="eastAsia"/>
          <w:vanish w:val="0"/>
          <w:kern w:val="2"/>
          <w:sz w:val="28"/>
          <w:szCs w:val="28"/>
        </w:rPr>
        <w:t>8.未按卸油操作规程作业，在卸油前未对储油罐内空容量进行计量或液位报警设施失灵致使发生满溢现象。</w:t>
      </w:r>
    </w:p>
    <w:p>
      <w:pPr>
        <w:pBdr>
          <w:top w:val="none" w:sz="0" w:space="0" w:color="auto"/>
          <w:left w:val="none" w:sz="0" w:space="0" w:color="auto"/>
          <w:bottom w:val="none" w:sz="0" w:space="0" w:color="auto"/>
          <w:right w:val="none" w:sz="0" w:space="0" w:color="auto"/>
        </w:pBdr>
        <w:ind w:firstLineChars="200" w:firstLine="560"/>
        <w:rPr>
          <w:rFonts w:ascii="宋体" w:eastAsia="宋体" w:hint="eastAsia"/>
          <w:vanish w:val="0"/>
          <w:kern w:val="2"/>
          <w:sz w:val="28"/>
          <w:szCs w:val="28"/>
        </w:rPr>
      </w:pPr>
      <w:r>
        <w:rPr>
          <w:rFonts w:ascii="宋体" w:eastAsia="宋体" w:hint="eastAsia"/>
          <w:vanish w:val="0"/>
          <w:kern w:val="2"/>
          <w:sz w:val="28"/>
          <w:szCs w:val="28"/>
        </w:rPr>
        <w:t>9.卸油时作业人员擅离职守，以至造成油罐溢油，遇点火源可能造成火灾、爆炸事故。</w:t>
      </w:r>
    </w:p>
    <w:p>
      <w:pPr>
        <w:pBdr>
          <w:top w:val="none" w:sz="0" w:space="0" w:color="auto"/>
          <w:left w:val="none" w:sz="0" w:space="0" w:color="auto"/>
          <w:bottom w:val="none" w:sz="0" w:space="0" w:color="auto"/>
          <w:right w:val="none" w:sz="0" w:space="0" w:color="auto"/>
        </w:pBdr>
        <w:ind w:firstLineChars="200" w:firstLine="560"/>
        <w:rPr>
          <w:rFonts w:ascii="宋体" w:eastAsia="宋体" w:hint="eastAsia"/>
          <w:vanish w:val="0"/>
          <w:kern w:val="2"/>
          <w:sz w:val="28"/>
          <w:szCs w:val="28"/>
        </w:rPr>
      </w:pPr>
      <w:r>
        <w:rPr>
          <w:rFonts w:ascii="宋体" w:eastAsia="宋体" w:hint="eastAsia"/>
          <w:vanish w:val="0"/>
          <w:kern w:val="2"/>
          <w:sz w:val="28"/>
          <w:szCs w:val="28"/>
        </w:rPr>
        <w:t>10.雷雨天进行卸油作业，遇雷击，可能造成火灾、爆炸事故。</w:t>
      </w:r>
    </w:p>
    <w:p>
      <w:pPr>
        <w:pStyle w:val="3"/>
        <w:rPr>
          <w:rFonts w:ascii="宋体" w:eastAsia="宋体" w:hint="eastAsia"/>
          <w:b/>
          <w:bCs/>
          <w:kern w:val="2"/>
          <w:sz w:val="30"/>
          <w:szCs w:val="30"/>
        </w:rPr>
      </w:pPr>
      <w:bookmarkStart w:id="51" w:name="_Toc10427"/>
      <w:bookmarkStart w:id="52" w:name="_Toc20617"/>
      <w:bookmarkEnd w:id="51"/>
      <w:r>
        <w:rPr>
          <w:rFonts w:ascii="宋体" w:eastAsia="宋体" w:hint="eastAsia"/>
          <w:b/>
          <w:bCs/>
          <w:kern w:val="2"/>
          <w:sz w:val="30"/>
          <w:szCs w:val="30"/>
        </w:rPr>
        <w:t>1.4.2 加油过程</w:t>
      </w:r>
      <w:bookmarkEnd w:id="52"/>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hint="eastAsia"/>
          <w:vanish w:val="0"/>
          <w:kern w:val="2"/>
          <w:sz w:val="28"/>
          <w:szCs w:val="28"/>
        </w:rPr>
      </w:pPr>
      <w:r>
        <w:rPr>
          <w:rFonts w:ascii="宋体" w:eastAsia="宋体" w:hint="eastAsia"/>
          <w:vanish w:val="0"/>
          <w:kern w:val="2"/>
          <w:sz w:val="28"/>
          <w:szCs w:val="28"/>
        </w:rPr>
        <w:t>1.作业人员在加油过程中若不遵守安全规章，不严格按正确的规程作业或操作失误，可能造成漏油、油品溢出等情况，遇加油机接地松动而接触不重复良引起静电大量积聚放电或遇明火极易发生火灾，甚至爆炸。</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hint="eastAsia"/>
          <w:vanish w:val="0"/>
          <w:kern w:val="2"/>
          <w:sz w:val="28"/>
          <w:szCs w:val="28"/>
        </w:rPr>
      </w:pPr>
      <w:r>
        <w:rPr>
          <w:rFonts w:ascii="宋体" w:eastAsia="宋体" w:hint="eastAsia"/>
          <w:vanish w:val="0"/>
          <w:kern w:val="2"/>
          <w:sz w:val="28"/>
          <w:szCs w:val="28"/>
        </w:rPr>
        <w:t>2.作业人员若违反规程向塑料容器加注油品，易造成静电积聚放电，若遇油品或油蒸气，可能发生火灾爆炸。加油枪、加油管损坏、加油机内接管密封垫损坏均会造成油品泄漏，遇点火源可能发生燃烧、爆炸事故。</w:t>
      </w:r>
    </w:p>
    <w:p>
      <w:pPr>
        <w:pBdr>
          <w:top w:val="none" w:sz="0" w:space="0" w:color="auto"/>
          <w:left w:val="none" w:sz="0" w:space="0" w:color="auto"/>
          <w:bottom w:val="none" w:sz="0" w:space="0" w:color="auto"/>
          <w:right w:val="none" w:sz="0" w:space="0" w:color="auto"/>
        </w:pBdr>
        <w:spacing w:line="360" w:lineRule="auto"/>
        <w:ind w:firstLine="544"/>
        <w:jc w:val="left"/>
        <w:rPr>
          <w:rFonts w:ascii="宋体" w:eastAsia="宋体" w:hint="eastAsia"/>
          <w:vanish w:val="0"/>
          <w:kern w:val="2"/>
          <w:sz w:val="28"/>
          <w:szCs w:val="28"/>
        </w:rPr>
      </w:pPr>
      <w:r>
        <w:rPr>
          <w:rFonts w:ascii="宋体" w:eastAsia="宋体" w:hint="eastAsia"/>
          <w:vanish w:val="0"/>
          <w:kern w:val="2"/>
          <w:sz w:val="28"/>
          <w:szCs w:val="28"/>
        </w:rPr>
        <w:t>3.加油时油品流动会产生静电，可能使静电积聚，甚至放电，若油品流速大于60L/min或加油加气站静电接地装置失效，遇油品蒸汽有发生火灾爆炸危险。</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hint="eastAsia"/>
          <w:vanish w:val="0"/>
          <w:kern w:val="2"/>
          <w:sz w:val="28"/>
          <w:szCs w:val="28"/>
        </w:rPr>
      </w:pPr>
      <w:r>
        <w:rPr>
          <w:rFonts w:ascii="宋体" w:eastAsia="宋体" w:hint="eastAsia"/>
          <w:vanish w:val="0"/>
          <w:kern w:val="2"/>
          <w:sz w:val="28"/>
          <w:szCs w:val="28"/>
        </w:rPr>
        <w:t>4.有点火能源存在（明火、雷电、静电、高温热源、撞击火花、电气火花等），可能造成火灾、爆炸事故；</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hint="eastAsia"/>
          <w:vanish w:val="0"/>
          <w:kern w:val="2"/>
          <w:sz w:val="28"/>
          <w:szCs w:val="28"/>
        </w:rPr>
      </w:pPr>
      <w:r>
        <w:rPr>
          <w:rFonts w:ascii="宋体" w:eastAsia="宋体" w:hint="eastAsia"/>
          <w:vanish w:val="0"/>
          <w:kern w:val="2"/>
          <w:sz w:val="28"/>
          <w:szCs w:val="28"/>
        </w:rPr>
        <w:t>5.车辆进入作业区未限速，未熄火加油，可能造成火灾、爆炸事故；</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hint="eastAsia"/>
          <w:vanish w:val="0"/>
          <w:kern w:val="2"/>
          <w:sz w:val="28"/>
          <w:szCs w:val="28"/>
        </w:rPr>
      </w:pPr>
      <w:r>
        <w:rPr>
          <w:rFonts w:ascii="宋体" w:eastAsia="宋体" w:hint="eastAsia"/>
          <w:vanish w:val="0"/>
          <w:kern w:val="2"/>
          <w:sz w:val="28"/>
          <w:szCs w:val="28"/>
        </w:rPr>
        <w:t>6.作业人员未穿戴防静电工作服，可能造成火灾、爆炸事故。</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hint="eastAsia"/>
          <w:vanish w:val="0"/>
          <w:kern w:val="2"/>
          <w:sz w:val="28"/>
          <w:szCs w:val="28"/>
        </w:rPr>
      </w:pPr>
      <w:r>
        <w:rPr>
          <w:rFonts w:ascii="宋体" w:eastAsia="宋体" w:hint="eastAsia"/>
          <w:vanish w:val="0"/>
          <w:kern w:val="2"/>
          <w:sz w:val="28"/>
          <w:szCs w:val="28"/>
        </w:rPr>
        <w:t>7.进出加油加气站车辆较多，机动车辆驾驶人员操作不当，有可能伤害加油加气站作业人员；如果撞坏加油设施可导致油品泄漏，引发火灾。</w:t>
      </w:r>
    </w:p>
    <w:p>
      <w:pPr>
        <w:pStyle w:val="47"/>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hint="eastAsia"/>
          <w:vanish w:val="0"/>
          <w:kern w:val="2"/>
          <w:sz w:val="28"/>
          <w:szCs w:val="28"/>
        </w:rPr>
      </w:pPr>
      <w:r>
        <w:rPr>
          <w:rFonts w:ascii="宋体" w:eastAsia="宋体" w:hint="eastAsia"/>
          <w:vanish w:val="0"/>
          <w:kern w:val="2"/>
          <w:sz w:val="28"/>
          <w:szCs w:val="28"/>
        </w:rPr>
        <w:t>8.给摩托车加油，摩托车驾驶员未提前下车或未下车直接加油，摩托车余热等造成车辆自燃，发生火灾爆炸及伤人事故。</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hint="eastAsia"/>
          <w:vanish w:val="0"/>
          <w:kern w:val="2"/>
          <w:sz w:val="28"/>
          <w:szCs w:val="28"/>
        </w:rPr>
      </w:pPr>
      <w:r>
        <w:rPr>
          <w:rFonts w:ascii="宋体" w:eastAsia="宋体" w:hint="eastAsia"/>
          <w:vanish w:val="0"/>
          <w:kern w:val="2"/>
          <w:sz w:val="28"/>
          <w:szCs w:val="28"/>
        </w:rPr>
        <w:t>9.加散装汽油、柴油未对油品用途、加油人员身份进行核查和身份证留底，恐暴份子利用散装油品自燃或放火等造成人员伤害和火灾事故。</w:t>
      </w:r>
    </w:p>
    <w:p>
      <w:pPr>
        <w:pStyle w:val="47"/>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hint="eastAsia"/>
          <w:vanish w:val="0"/>
          <w:kern w:val="2"/>
          <w:sz w:val="28"/>
          <w:szCs w:val="28"/>
        </w:rPr>
      </w:pPr>
      <w:r>
        <w:rPr>
          <w:rFonts w:ascii="宋体" w:eastAsia="宋体" w:hint="eastAsia"/>
          <w:vanish w:val="0"/>
          <w:kern w:val="2"/>
          <w:sz w:val="28"/>
          <w:szCs w:val="28"/>
        </w:rPr>
        <w:t>10.加散装汽油、柴油的工具不符合（如塑料桶、盆子等），发生泄漏或与身体静电接触发生火灾事故。</w:t>
      </w:r>
    </w:p>
    <w:p>
      <w:pPr>
        <w:pBdr>
          <w:top w:val="none" w:sz="0" w:space="0" w:color="auto"/>
          <w:left w:val="none" w:sz="0" w:space="0" w:color="auto"/>
          <w:bottom w:val="none" w:sz="0" w:space="0" w:color="auto"/>
          <w:right w:val="none" w:sz="0" w:space="0" w:color="auto"/>
        </w:pBdr>
        <w:ind w:firstLineChars="200" w:firstLine="560"/>
        <w:rPr>
          <w:rFonts w:ascii="宋体" w:eastAsia="宋体" w:hint="eastAsia"/>
          <w:vanish w:val="0"/>
          <w:kern w:val="2"/>
          <w:sz w:val="21"/>
          <w:szCs w:val="21"/>
        </w:rPr>
      </w:pPr>
      <w:r>
        <w:rPr>
          <w:rFonts w:ascii="宋体" w:eastAsia="宋体" w:hint="eastAsia"/>
          <w:vanish w:val="0"/>
          <w:kern w:val="2"/>
          <w:sz w:val="28"/>
          <w:szCs w:val="28"/>
        </w:rPr>
        <w:t>11.</w:t>
        <w:tab/>
        <w:t>加油过程因加油机管线渗漏或加油工作人员操作不当，造成油品质量问题或数量缺少，发生与顾客的数质量纠纷。</w:t>
      </w:r>
    </w:p>
    <w:p>
      <w:pPr>
        <w:pStyle w:val="3"/>
        <w:rPr>
          <w:rFonts w:ascii="宋体" w:eastAsia="宋体" w:hint="eastAsia"/>
          <w:b/>
          <w:bCs/>
          <w:kern w:val="2"/>
          <w:sz w:val="30"/>
          <w:szCs w:val="30"/>
        </w:rPr>
      </w:pPr>
      <w:bookmarkStart w:id="53" w:name="_Toc26125"/>
      <w:bookmarkStart w:id="54" w:name="_Toc25805"/>
      <w:bookmarkEnd w:id="53"/>
      <w:r>
        <w:rPr>
          <w:rFonts w:ascii="宋体" w:eastAsia="宋体" w:hint="eastAsia"/>
          <w:b/>
          <w:bCs/>
          <w:kern w:val="2"/>
          <w:sz w:val="30"/>
          <w:szCs w:val="30"/>
        </w:rPr>
        <w:t>1.4.3 储油过程</w:t>
      </w:r>
      <w:bookmarkEnd w:id="54"/>
    </w:p>
    <w:p>
      <w:pPr>
        <w:numPr>
          <w:ilvl w:val="0"/>
          <w:numId w:val="1"/>
        </w:numPr>
        <w:pBdr>
          <w:top w:val="none" w:sz="0" w:space="0" w:color="auto"/>
          <w:left w:val="none" w:sz="0" w:space="0" w:color="auto"/>
          <w:bottom w:val="none" w:sz="0" w:space="0" w:color="auto"/>
          <w:right w:val="none" w:sz="0" w:space="0" w:color="auto"/>
        </w:pBdr>
        <w:ind w:left="0" w:firstLineChars="200" w:firstLine="560"/>
        <w:rPr>
          <w:rFonts w:ascii="宋体" w:eastAsia="宋体" w:hint="eastAsia"/>
          <w:vanish w:val="0"/>
          <w:kern w:val="2"/>
          <w:sz w:val="28"/>
          <w:szCs w:val="28"/>
        </w:rPr>
      </w:pPr>
      <w:r>
        <w:rPr>
          <w:rFonts w:ascii="宋体" w:eastAsia="宋体" w:hint="eastAsia"/>
          <w:vanish w:val="0"/>
          <w:kern w:val="2"/>
          <w:sz w:val="28"/>
          <w:szCs w:val="28"/>
        </w:rPr>
        <w:t>储罐区若避雷（防静电）设施失效，一旦遭遇雷击（或静电积累），会引起火灾、爆炸。</w:t>
      </w:r>
    </w:p>
    <w:p>
      <w:pPr>
        <w:numPr>
          <w:ilvl w:val="0"/>
          <w:numId w:val="1"/>
        </w:numPr>
        <w:pBdr>
          <w:top w:val="none" w:sz="0" w:space="0" w:color="auto"/>
          <w:left w:val="none" w:sz="0" w:space="0" w:color="auto"/>
          <w:bottom w:val="none" w:sz="0" w:space="0" w:color="auto"/>
          <w:right w:val="none" w:sz="0" w:space="0" w:color="auto"/>
        </w:pBdr>
        <w:ind w:left="0" w:firstLineChars="200" w:firstLine="560"/>
        <w:rPr>
          <w:rFonts w:ascii="宋体" w:eastAsia="宋体" w:hint="eastAsia"/>
          <w:vanish w:val="0"/>
          <w:kern w:val="2"/>
          <w:sz w:val="28"/>
          <w:szCs w:val="28"/>
        </w:rPr>
      </w:pPr>
      <w:r>
        <w:rPr>
          <w:rFonts w:ascii="宋体" w:eastAsia="宋体" w:hint="eastAsia"/>
          <w:vanish w:val="0"/>
          <w:kern w:val="2"/>
          <w:sz w:val="28"/>
          <w:szCs w:val="28"/>
        </w:rPr>
        <w:t>储罐区消防器材失效，遇事故时不能及时扑救，导致事故扩大。</w:t>
      </w:r>
    </w:p>
    <w:p>
      <w:pPr>
        <w:numPr>
          <w:ilvl w:val="0"/>
          <w:numId w:val="1"/>
        </w:numPr>
        <w:pBdr>
          <w:top w:val="none" w:sz="0" w:space="0" w:color="auto"/>
          <w:left w:val="none" w:sz="0" w:space="0" w:color="auto"/>
          <w:bottom w:val="none" w:sz="0" w:space="0" w:color="auto"/>
          <w:right w:val="none" w:sz="0" w:space="0" w:color="auto"/>
        </w:pBdr>
        <w:ind w:left="0" w:firstLineChars="200" w:firstLine="560"/>
        <w:rPr>
          <w:rFonts w:ascii="宋体" w:eastAsia="宋体" w:hint="eastAsia"/>
          <w:vanish w:val="0"/>
          <w:kern w:val="2"/>
          <w:sz w:val="28"/>
          <w:szCs w:val="28"/>
        </w:rPr>
      </w:pPr>
      <w:r>
        <w:rPr>
          <w:rFonts w:ascii="宋体" w:eastAsia="宋体" w:hint="eastAsia"/>
          <w:vanish w:val="0"/>
          <w:kern w:val="2"/>
          <w:sz w:val="28"/>
          <w:szCs w:val="28"/>
        </w:rPr>
        <w:t>若储罐区的工作人员未经过一定专业知识、专业技能的培训或未按有关规定配备具有专业知识的技术人员，则会因不了解成品油的性能、危险性而导致意外事件的发生。</w:t>
      </w:r>
    </w:p>
    <w:p>
      <w:pPr>
        <w:numPr>
          <w:ilvl w:val="0"/>
          <w:numId w:val="1"/>
        </w:numPr>
        <w:pBdr>
          <w:top w:val="none" w:sz="0" w:space="0" w:color="auto"/>
          <w:left w:val="none" w:sz="0" w:space="0" w:color="auto"/>
          <w:bottom w:val="none" w:sz="0" w:space="0" w:color="auto"/>
          <w:right w:val="none" w:sz="0" w:space="0" w:color="auto"/>
        </w:pBdr>
        <w:ind w:left="0" w:firstLineChars="200" w:firstLine="560"/>
        <w:rPr>
          <w:rFonts w:ascii="宋体" w:eastAsia="宋体" w:hint="eastAsia"/>
          <w:vanish w:val="0"/>
          <w:kern w:val="2"/>
          <w:sz w:val="28"/>
          <w:szCs w:val="28"/>
        </w:rPr>
      </w:pPr>
      <w:r>
        <w:rPr>
          <w:rFonts w:ascii="宋体" w:eastAsia="宋体" w:hint="eastAsia"/>
          <w:vanish w:val="0"/>
          <w:kern w:val="2"/>
          <w:sz w:val="28"/>
          <w:szCs w:val="28"/>
        </w:rPr>
        <w:t>在设备检修过程中，对储罐或输油管道没有按规定清洗彻底且违章动火等也会形成火灾、爆炸事故。</w:t>
      </w:r>
    </w:p>
    <w:p>
      <w:pPr>
        <w:pStyle w:val="3"/>
        <w:rPr>
          <w:rFonts w:ascii="宋体" w:eastAsia="宋体" w:hint="eastAsia"/>
          <w:b/>
          <w:bCs/>
          <w:kern w:val="2"/>
          <w:sz w:val="30"/>
          <w:szCs w:val="30"/>
        </w:rPr>
      </w:pPr>
      <w:bookmarkStart w:id="55" w:name="_Toc32673"/>
      <w:bookmarkStart w:id="56" w:name="_Toc12764"/>
      <w:bookmarkEnd w:id="55"/>
      <w:r>
        <w:rPr>
          <w:rFonts w:ascii="宋体" w:eastAsia="宋体" w:hint="eastAsia"/>
          <w:b/>
          <w:bCs/>
          <w:kern w:val="2"/>
          <w:sz w:val="30"/>
          <w:szCs w:val="30"/>
        </w:rPr>
        <w:t>1.4.4天然气卸车过程</w:t>
      </w:r>
      <w:bookmarkEnd w:id="56"/>
    </w:p>
    <w:p>
      <w:pPr>
        <w:pBdr>
          <w:top w:val="none" w:sz="0" w:space="0" w:color="auto"/>
          <w:left w:val="none" w:sz="0" w:space="0" w:color="auto"/>
          <w:bottom w:val="none" w:sz="0" w:space="0" w:color="auto"/>
          <w:right w:val="none" w:sz="0" w:space="0" w:color="auto"/>
        </w:pBdr>
        <w:kinsoku/>
        <w:wordWrap/>
        <w:overflowPunct/>
        <w:topLinePunct w:val="0"/>
        <w:autoSpaceDE w:val="0"/>
        <w:autoSpaceDN w:val="0"/>
        <w:adjustRightInd w:val="0"/>
        <w:snapToGrid/>
        <w:spacing w:line="360" w:lineRule="auto"/>
        <w:ind w:rightChars="-85" w:right="-178" w:firstLine="560"/>
        <w:contextualSpacing w:val="0"/>
        <w:rPr>
          <w:rFonts w:ascii="宋体" w:eastAsia="宋体" w:cs="Times New Roman" w:hint="eastAsia"/>
          <w:vanish w:val="0"/>
          <w:color w:val="auto"/>
          <w:kern w:val="2"/>
          <w:sz w:val="28"/>
          <w:szCs w:val="28"/>
        </w:rPr>
      </w:pPr>
      <w:r>
        <w:rPr>
          <w:rFonts w:ascii="宋体" w:eastAsia="宋体" w:cs="Times New Roman" w:hint="eastAsia"/>
          <w:vanish w:val="0"/>
          <w:color w:val="auto"/>
          <w:kern w:val="2"/>
          <w:sz w:val="28"/>
          <w:szCs w:val="28"/>
        </w:rPr>
        <w:t>1）卸车管道破损未及时发现，在进行卸车作业时致使空气中天然气含量增加达到燃烧爆炸极限可能发生爆炸事故。</w:t>
      </w:r>
    </w:p>
    <w:p>
      <w:pPr>
        <w:pBdr>
          <w:top w:val="none" w:sz="0" w:space="0" w:color="auto"/>
          <w:left w:val="none" w:sz="0" w:space="0" w:color="auto"/>
          <w:bottom w:val="none" w:sz="0" w:space="0" w:color="auto"/>
          <w:right w:val="none" w:sz="0" w:space="0" w:color="auto"/>
        </w:pBdr>
        <w:kinsoku/>
        <w:wordWrap/>
        <w:overflowPunct/>
        <w:topLinePunct w:val="0"/>
        <w:autoSpaceDE w:val="0"/>
        <w:autoSpaceDN w:val="0"/>
        <w:adjustRightInd w:val="0"/>
        <w:snapToGrid/>
        <w:spacing w:line="360" w:lineRule="auto"/>
        <w:ind w:rightChars="-85" w:right="-178" w:firstLine="560"/>
        <w:contextualSpacing w:val="0"/>
        <w:rPr>
          <w:rFonts w:ascii="宋体" w:eastAsia="宋体" w:cs="Times New Roman" w:hint="eastAsia"/>
          <w:vanish w:val="0"/>
          <w:color w:val="auto"/>
          <w:kern w:val="2"/>
          <w:sz w:val="28"/>
          <w:szCs w:val="28"/>
        </w:rPr>
      </w:pPr>
      <w:r>
        <w:rPr>
          <w:rFonts w:ascii="宋体" w:eastAsia="宋体" w:cs="Times New Roman" w:hint="eastAsia"/>
          <w:vanish w:val="0"/>
          <w:color w:val="auto"/>
          <w:kern w:val="2"/>
          <w:sz w:val="28"/>
          <w:szCs w:val="28"/>
        </w:rPr>
        <w:t>2）卸车时卸车装置未可靠接地，卸车速度过快致使静电积聚放电产生静电火花。</w:t>
      </w:r>
    </w:p>
    <w:p>
      <w:pPr>
        <w:pBdr>
          <w:top w:val="none" w:sz="0" w:space="0" w:color="auto"/>
          <w:left w:val="none" w:sz="0" w:space="0" w:color="auto"/>
          <w:bottom w:val="none" w:sz="0" w:space="0" w:color="auto"/>
          <w:right w:val="none" w:sz="0" w:space="0" w:color="auto"/>
        </w:pBdr>
        <w:kinsoku/>
        <w:wordWrap/>
        <w:overflowPunct/>
        <w:topLinePunct w:val="0"/>
        <w:autoSpaceDE w:val="0"/>
        <w:autoSpaceDN w:val="0"/>
        <w:adjustRightInd w:val="0"/>
        <w:snapToGrid/>
        <w:spacing w:line="360" w:lineRule="auto"/>
        <w:ind w:rightChars="-85" w:right="-178" w:firstLine="560"/>
        <w:contextualSpacing w:val="0"/>
        <w:rPr>
          <w:rFonts w:ascii="宋体" w:eastAsia="宋体" w:cs="Times New Roman" w:hint="eastAsia"/>
          <w:vanish w:val="0"/>
          <w:color w:val="auto"/>
          <w:kern w:val="2"/>
          <w:sz w:val="28"/>
          <w:szCs w:val="28"/>
        </w:rPr>
      </w:pPr>
      <w:r>
        <w:rPr>
          <w:rFonts w:ascii="宋体" w:eastAsia="宋体" w:cs="Times New Roman" w:hint="eastAsia"/>
          <w:vanish w:val="0"/>
          <w:color w:val="auto"/>
          <w:kern w:val="2"/>
          <w:sz w:val="28"/>
          <w:szCs w:val="28"/>
        </w:rPr>
        <w:t>3）未按卸车操作规程作业，在卸车前未对储罐内空容量进行计量致使发生超装，从而引起事故。</w:t>
      </w:r>
    </w:p>
    <w:p>
      <w:pPr>
        <w:pBdr>
          <w:top w:val="none" w:sz="0" w:space="0" w:color="auto"/>
          <w:left w:val="none" w:sz="0" w:space="0" w:color="auto"/>
          <w:bottom w:val="none" w:sz="0" w:space="0" w:color="auto"/>
          <w:right w:val="none" w:sz="0" w:space="0" w:color="auto"/>
        </w:pBdr>
        <w:kinsoku/>
        <w:wordWrap/>
        <w:overflowPunct/>
        <w:topLinePunct w:val="0"/>
        <w:autoSpaceDE w:val="0"/>
        <w:autoSpaceDN w:val="0"/>
        <w:adjustRightInd w:val="0"/>
        <w:snapToGrid/>
        <w:spacing w:line="360" w:lineRule="auto"/>
        <w:ind w:rightChars="-85" w:right="-178" w:firstLine="560"/>
        <w:contextualSpacing w:val="0"/>
        <w:rPr>
          <w:rFonts w:ascii="宋体" w:eastAsia="宋体" w:cs="Times New Roman" w:hint="eastAsia"/>
          <w:vanish w:val="0"/>
          <w:color w:val="auto"/>
          <w:kern w:val="2"/>
          <w:sz w:val="28"/>
          <w:szCs w:val="28"/>
        </w:rPr>
      </w:pPr>
      <w:r>
        <w:rPr>
          <w:rFonts w:ascii="宋体" w:eastAsia="宋体" w:cs="Times New Roman" w:hint="eastAsia"/>
          <w:vanish w:val="0"/>
          <w:color w:val="auto"/>
          <w:kern w:val="2"/>
          <w:sz w:val="28"/>
          <w:szCs w:val="28"/>
        </w:rPr>
        <w:t>4）卸车时槽车司机和作业人员擅离职守，在发生事故时，不能及时停止充装，将槽车移出站区，可能造成事故损失扩大。</w:t>
      </w:r>
    </w:p>
    <w:p>
      <w:pPr>
        <w:pBdr>
          <w:top w:val="none" w:sz="0" w:space="0" w:color="auto"/>
          <w:left w:val="none" w:sz="0" w:space="0" w:color="auto"/>
          <w:bottom w:val="none" w:sz="0" w:space="0" w:color="auto"/>
          <w:right w:val="none" w:sz="0" w:space="0" w:color="auto"/>
        </w:pBdr>
        <w:kinsoku/>
        <w:wordWrap/>
        <w:overflowPunct/>
        <w:topLinePunct w:val="0"/>
        <w:autoSpaceDE w:val="0"/>
        <w:autoSpaceDN w:val="0"/>
        <w:adjustRightInd w:val="0"/>
        <w:snapToGrid/>
        <w:spacing w:line="360" w:lineRule="auto"/>
        <w:ind w:rightChars="-85" w:right="-178" w:firstLine="560"/>
        <w:contextualSpacing w:val="0"/>
        <w:rPr>
          <w:rFonts w:ascii="宋体" w:eastAsia="宋体" w:cs="Times New Roman" w:hint="eastAsia"/>
          <w:vanish w:val="0"/>
          <w:color w:val="auto"/>
          <w:kern w:val="2"/>
          <w:sz w:val="28"/>
          <w:szCs w:val="28"/>
        </w:rPr>
      </w:pPr>
      <w:r>
        <w:rPr>
          <w:rFonts w:ascii="宋体" w:eastAsia="宋体" w:cs="Times New Roman" w:hint="eastAsia"/>
          <w:vanish w:val="0"/>
          <w:color w:val="auto"/>
          <w:kern w:val="2"/>
          <w:sz w:val="28"/>
          <w:szCs w:val="28"/>
        </w:rPr>
        <w:t>5）雷雨天气进行卸车作业可能因雷击发生事故。</w:t>
      </w:r>
    </w:p>
    <w:p>
      <w:pPr>
        <w:pBdr>
          <w:top w:val="none" w:sz="0" w:space="0" w:color="auto"/>
          <w:left w:val="none" w:sz="0" w:space="0" w:color="auto"/>
          <w:bottom w:val="none" w:sz="0" w:space="0" w:color="auto"/>
          <w:right w:val="none" w:sz="0" w:space="0" w:color="auto"/>
        </w:pBdr>
        <w:kinsoku/>
        <w:wordWrap/>
        <w:overflowPunct/>
        <w:topLinePunct w:val="0"/>
        <w:autoSpaceDE w:val="0"/>
        <w:autoSpaceDN w:val="0"/>
        <w:adjustRightInd w:val="0"/>
        <w:snapToGrid/>
        <w:spacing w:line="360" w:lineRule="auto"/>
        <w:ind w:rightChars="-85" w:right="-178" w:firstLine="560"/>
        <w:contextualSpacing w:val="0"/>
        <w:rPr>
          <w:rFonts w:ascii="宋体" w:eastAsia="宋体" w:cs="Times New Roman" w:hint="eastAsia"/>
          <w:vanish w:val="0"/>
          <w:color w:val="auto"/>
          <w:kern w:val="2"/>
          <w:sz w:val="28"/>
          <w:szCs w:val="28"/>
        </w:rPr>
      </w:pPr>
      <w:r>
        <w:rPr>
          <w:rFonts w:ascii="宋体" w:eastAsia="宋体" w:cs="Times New Roman" w:hint="eastAsia"/>
          <w:vanish w:val="0"/>
          <w:color w:val="auto"/>
          <w:kern w:val="2"/>
          <w:sz w:val="28"/>
          <w:szCs w:val="28"/>
        </w:rPr>
        <w:t>6）卸车场所存在明火、电火花、高温高热物资等点火源点燃空气中的天然气发生火灾爆炸事故。</w:t>
      </w:r>
    </w:p>
    <w:p>
      <w:pPr>
        <w:pBdr>
          <w:top w:val="none" w:sz="0" w:space="0" w:color="auto"/>
          <w:left w:val="none" w:sz="0" w:space="0" w:color="auto"/>
          <w:bottom w:val="none" w:sz="0" w:space="0" w:color="auto"/>
          <w:right w:val="none" w:sz="0" w:space="0" w:color="auto"/>
        </w:pBdr>
        <w:kinsoku/>
        <w:wordWrap/>
        <w:overflowPunct/>
        <w:topLinePunct w:val="0"/>
        <w:autoSpaceDE w:val="0"/>
        <w:autoSpaceDN w:val="0"/>
        <w:adjustRightInd w:val="0"/>
        <w:snapToGrid/>
        <w:spacing w:line="360" w:lineRule="auto"/>
        <w:ind w:rightChars="-85" w:right="-178" w:firstLine="560"/>
        <w:contextualSpacing w:val="0"/>
        <w:rPr>
          <w:rFonts w:ascii="宋体" w:eastAsia="宋体" w:cs="Times New Roman" w:hint="eastAsia"/>
          <w:vanish w:val="0"/>
          <w:color w:val="auto"/>
          <w:kern w:val="2"/>
          <w:sz w:val="28"/>
          <w:szCs w:val="28"/>
        </w:rPr>
      </w:pPr>
      <w:r>
        <w:rPr>
          <w:rFonts w:ascii="宋体" w:eastAsia="宋体" w:cs="Times New Roman" w:hint="eastAsia"/>
          <w:vanish w:val="0"/>
          <w:color w:val="auto"/>
          <w:kern w:val="2"/>
          <w:sz w:val="28"/>
          <w:szCs w:val="28"/>
        </w:rPr>
        <w:t>7）槽车未熄火即进行卸车作业，可能发生火灾爆炸事故。</w:t>
      </w:r>
    </w:p>
    <w:p>
      <w:pPr>
        <w:pBdr>
          <w:top w:val="none" w:sz="0" w:space="0" w:color="auto"/>
          <w:left w:val="none" w:sz="0" w:space="0" w:color="auto"/>
          <w:bottom w:val="none" w:sz="0" w:space="0" w:color="auto"/>
          <w:right w:val="none" w:sz="0" w:space="0" w:color="auto"/>
        </w:pBdr>
        <w:kinsoku/>
        <w:wordWrap/>
        <w:overflowPunct/>
        <w:topLinePunct w:val="0"/>
        <w:autoSpaceDE w:val="0"/>
        <w:autoSpaceDN w:val="0"/>
        <w:adjustRightInd w:val="0"/>
        <w:snapToGrid/>
        <w:spacing w:line="360" w:lineRule="auto"/>
        <w:ind w:rightChars="-85" w:right="-178" w:firstLine="560"/>
        <w:contextualSpacing w:val="0"/>
        <w:rPr>
          <w:rFonts w:ascii="宋体" w:eastAsia="宋体" w:cs="Times New Roman" w:hint="eastAsia"/>
          <w:vanish w:val="0"/>
          <w:color w:val="auto"/>
          <w:kern w:val="2"/>
          <w:sz w:val="28"/>
          <w:szCs w:val="28"/>
        </w:rPr>
      </w:pPr>
      <w:r>
        <w:rPr>
          <w:rFonts w:ascii="宋体" w:eastAsia="宋体" w:cs="Times New Roman" w:hint="eastAsia"/>
          <w:vanish w:val="0"/>
          <w:color w:val="auto"/>
          <w:kern w:val="2"/>
          <w:sz w:val="28"/>
          <w:szCs w:val="28"/>
        </w:rPr>
        <w:t>8）卸车接头不紧、胶管老化有损伤，可能发生泄漏继而引起火灾爆炸事故。</w:t>
      </w:r>
    </w:p>
    <w:p>
      <w:pPr>
        <w:pBdr>
          <w:top w:val="none" w:sz="0" w:space="0" w:color="auto"/>
          <w:left w:val="none" w:sz="0" w:space="0" w:color="auto"/>
          <w:bottom w:val="none" w:sz="0" w:space="0" w:color="auto"/>
          <w:right w:val="none" w:sz="0" w:space="0" w:color="auto"/>
        </w:pBdr>
        <w:kinsoku/>
        <w:wordWrap/>
        <w:overflowPunct/>
        <w:topLinePunct w:val="0"/>
        <w:autoSpaceDE w:val="0"/>
        <w:autoSpaceDN w:val="0"/>
        <w:adjustRightInd w:val="0"/>
        <w:snapToGrid/>
        <w:spacing w:line="360" w:lineRule="auto"/>
        <w:ind w:rightChars="-85" w:right="-178" w:firstLine="560"/>
        <w:contextualSpacing w:val="0"/>
        <w:rPr>
          <w:rFonts w:ascii="宋体" w:eastAsia="宋体" w:cs="Times New Roman" w:hint="eastAsia"/>
          <w:vanish w:val="0"/>
          <w:color w:val="auto"/>
          <w:kern w:val="2"/>
          <w:sz w:val="28"/>
          <w:szCs w:val="28"/>
        </w:rPr>
      </w:pPr>
      <w:r>
        <w:rPr>
          <w:rFonts w:ascii="宋体" w:eastAsia="宋体" w:cs="Times New Roman" w:hint="eastAsia"/>
          <w:vanish w:val="0"/>
          <w:color w:val="auto"/>
          <w:kern w:val="2"/>
          <w:sz w:val="28"/>
          <w:szCs w:val="28"/>
        </w:rPr>
        <w:t>9）作业人员未穿戴防静电工作服，可能因静电火花发生火灾爆炸事故。</w:t>
      </w:r>
    </w:p>
    <w:p>
      <w:pPr>
        <w:pStyle w:val="77"/>
        <w:pBdr>
          <w:top w:val="none" w:sz="0" w:space="0" w:color="auto"/>
          <w:left w:val="none" w:sz="0" w:space="0" w:color="auto"/>
          <w:bottom w:val="none" w:sz="0" w:space="0" w:color="auto"/>
          <w:right w:val="none" w:sz="0" w:space="0" w:color="auto"/>
        </w:pBdr>
        <w:ind w:firstLineChars="200" w:firstLine="560"/>
        <w:rPr>
          <w:rFonts w:ascii="宋体" w:eastAsia="宋体" w:cs="Times New Roman" w:hint="eastAsia"/>
          <w:vanish w:val="0"/>
          <w:color w:val="auto"/>
          <w:kern w:val="2"/>
          <w:sz w:val="28"/>
          <w:szCs w:val="28"/>
        </w:rPr>
      </w:pPr>
      <w:r>
        <w:rPr>
          <w:rFonts w:ascii="宋体" w:eastAsia="宋体" w:cs="Times New Roman" w:hint="eastAsia"/>
          <w:vanish w:val="0"/>
          <w:color w:val="auto"/>
          <w:kern w:val="2"/>
          <w:sz w:val="28"/>
          <w:szCs w:val="28"/>
        </w:rPr>
        <w:t>10）未制定卸车作业操作规程，未按卸车操作规程进行操作，可能发生火灾爆炸事故。</w:t>
      </w:r>
    </w:p>
    <w:p>
      <w:pPr>
        <w:pStyle w:val="3"/>
        <w:rPr>
          <w:rFonts w:ascii="宋体" w:eastAsia="宋体" w:hint="eastAsia"/>
          <w:b/>
          <w:bCs/>
          <w:kern w:val="2"/>
          <w:sz w:val="30"/>
          <w:szCs w:val="30"/>
        </w:rPr>
      </w:pPr>
      <w:bookmarkStart w:id="57" w:name="_Toc31803"/>
      <w:bookmarkStart w:id="58" w:name="_Toc9163"/>
      <w:bookmarkEnd w:id="57"/>
      <w:r>
        <w:rPr>
          <w:rFonts w:ascii="宋体" w:eastAsia="宋体" w:hint="eastAsia"/>
          <w:b/>
          <w:bCs/>
          <w:kern w:val="2"/>
          <w:sz w:val="30"/>
          <w:szCs w:val="30"/>
        </w:rPr>
        <w:t>1.4.5天然气升、卸压过程</w:t>
      </w:r>
      <w:bookmarkEnd w:id="58"/>
    </w:p>
    <w:p>
      <w:pPr>
        <w:pStyle w:val="77"/>
        <w:pBdr>
          <w:top w:val="none" w:sz="0" w:space="0" w:color="auto"/>
          <w:left w:val="none" w:sz="0" w:space="0" w:color="auto"/>
          <w:bottom w:val="none" w:sz="0" w:space="0" w:color="auto"/>
          <w:right w:val="none" w:sz="0" w:space="0" w:color="auto"/>
        </w:pBdr>
        <w:ind w:firstLineChars="200" w:firstLine="560"/>
        <w:rPr>
          <w:rFonts w:ascii="宋体" w:eastAsia="宋体" w:cs="Times New Roman" w:hint="eastAsia"/>
          <w:vanish w:val="0"/>
          <w:color w:val="auto"/>
          <w:kern w:val="2"/>
          <w:sz w:val="28"/>
          <w:szCs w:val="28"/>
        </w:rPr>
      </w:pPr>
      <w:r>
        <w:rPr>
          <w:rFonts w:ascii="宋体" w:eastAsia="宋体" w:cs="Times New Roman" w:hint="eastAsia"/>
          <w:vanish w:val="0"/>
          <w:color w:val="auto"/>
          <w:kern w:val="2"/>
          <w:sz w:val="28"/>
          <w:szCs w:val="28"/>
        </w:rPr>
        <w:t>在升、卸压过程中，若压力过高，安全阀不能及时起跳，可能造成压力容器、管道或其连接处膨胀爆裂，导致天然气泄漏，身体接触造成冻伤，泄漏的天然气遇点火源还会发生燃烧爆炸。</w:t>
      </w:r>
    </w:p>
    <w:p>
      <w:pPr>
        <w:pStyle w:val="3"/>
        <w:rPr>
          <w:rFonts w:ascii="宋体" w:eastAsia="宋体" w:hint="eastAsia"/>
          <w:b/>
          <w:bCs/>
          <w:kern w:val="2"/>
          <w:sz w:val="30"/>
          <w:szCs w:val="30"/>
        </w:rPr>
      </w:pPr>
      <w:bookmarkStart w:id="59" w:name="_Toc7832"/>
      <w:bookmarkStart w:id="60" w:name="_Toc12443"/>
      <w:bookmarkEnd w:id="59"/>
      <w:r>
        <w:rPr>
          <w:rFonts w:ascii="宋体" w:eastAsia="宋体" w:hint="eastAsia"/>
          <w:b/>
          <w:bCs/>
          <w:kern w:val="2"/>
          <w:sz w:val="30"/>
          <w:szCs w:val="30"/>
        </w:rPr>
        <w:t>1.4.6加气过程</w:t>
      </w:r>
      <w:bookmarkEnd w:id="60"/>
    </w:p>
    <w:p>
      <w:pPr>
        <w:pBdr>
          <w:top w:val="none" w:sz="0" w:space="0" w:color="auto"/>
          <w:left w:val="none" w:sz="0" w:space="0" w:color="auto"/>
          <w:bottom w:val="none" w:sz="0" w:space="0" w:color="auto"/>
          <w:right w:val="none" w:sz="0" w:space="0" w:color="auto"/>
        </w:pBdr>
        <w:spacing w:line="360" w:lineRule="auto"/>
        <w:ind w:firstLineChars="192" w:firstLine="538"/>
        <w:rPr>
          <w:rFonts w:ascii="宋体" w:eastAsia="宋体" w:cs="Times New Roman" w:hint="eastAsia"/>
          <w:vanish w:val="0"/>
          <w:color w:val="auto"/>
          <w:kern w:val="2"/>
          <w:sz w:val="28"/>
          <w:szCs w:val="28"/>
        </w:rPr>
      </w:pPr>
      <w:r>
        <w:rPr>
          <w:rFonts w:ascii="宋体" w:eastAsia="宋体" w:cs="Times New Roman" w:hint="eastAsia"/>
          <w:vanish w:val="0"/>
          <w:color w:val="auto"/>
          <w:kern w:val="2"/>
          <w:sz w:val="28"/>
          <w:szCs w:val="28"/>
        </w:rPr>
        <w:t>1）工作人员在加气前若不检查车载气瓶是否定检过期、是否有外部损伤、漆色标记是否完整，可能因气瓶本身质量不符合安全要求，在加气过程中发生事故。</w:t>
      </w:r>
    </w:p>
    <w:p>
      <w:pPr>
        <w:pBdr>
          <w:top w:val="none" w:sz="0" w:space="0" w:color="auto"/>
          <w:left w:val="none" w:sz="0" w:space="0" w:color="auto"/>
          <w:bottom w:val="none" w:sz="0" w:space="0" w:color="auto"/>
          <w:right w:val="none" w:sz="0" w:space="0" w:color="auto"/>
        </w:pBdr>
        <w:spacing w:line="360" w:lineRule="auto"/>
        <w:ind w:firstLineChars="192" w:firstLine="538"/>
        <w:rPr>
          <w:rFonts w:ascii="宋体" w:eastAsia="宋体" w:cs="Times New Roman" w:hint="eastAsia"/>
          <w:vanish w:val="0"/>
          <w:color w:val="auto"/>
          <w:kern w:val="2"/>
          <w:sz w:val="28"/>
          <w:szCs w:val="28"/>
        </w:rPr>
      </w:pPr>
      <w:r>
        <w:rPr>
          <w:rFonts w:ascii="宋体" w:eastAsia="宋体" w:cs="Times New Roman" w:hint="eastAsia"/>
          <w:vanish w:val="0"/>
          <w:color w:val="auto"/>
          <w:kern w:val="2"/>
          <w:sz w:val="28"/>
          <w:szCs w:val="28"/>
        </w:rPr>
        <w:t>2）工作人员在加气过程中若不按正确的规程操作，加气接头未固定好就进行充装，高压气流易引起加气嘴脱落反弹，可能伤及操作人员或损坏设备设施。</w:t>
      </w:r>
    </w:p>
    <w:p>
      <w:pPr>
        <w:pBdr>
          <w:top w:val="none" w:sz="0" w:space="0" w:color="auto"/>
          <w:left w:val="none" w:sz="0" w:space="0" w:color="auto"/>
          <w:bottom w:val="none" w:sz="0" w:space="0" w:color="auto"/>
          <w:right w:val="none" w:sz="0" w:space="0" w:color="auto"/>
        </w:pBdr>
        <w:spacing w:line="360" w:lineRule="auto"/>
        <w:ind w:firstLineChars="192" w:firstLine="538"/>
        <w:rPr>
          <w:rFonts w:ascii="宋体" w:eastAsia="宋体" w:cs="Times New Roman" w:hint="eastAsia"/>
          <w:vanish w:val="0"/>
          <w:color w:val="auto"/>
          <w:kern w:val="2"/>
          <w:sz w:val="28"/>
          <w:szCs w:val="28"/>
        </w:rPr>
      </w:pPr>
      <w:r>
        <w:rPr>
          <w:rFonts w:ascii="宋体" w:eastAsia="宋体" w:cs="Times New Roman" w:hint="eastAsia"/>
          <w:vanish w:val="0"/>
          <w:color w:val="auto"/>
          <w:kern w:val="2"/>
          <w:sz w:val="28"/>
          <w:szCs w:val="28"/>
        </w:rPr>
        <w:t>3）工作人员在加气过程中若不按正确的规程操作或电脑控制加气程序出现异常情况，可能使汽车气瓶温度升高，甚至导致气瓶爆裂，泄漏气体若遇点火源，引起燃烧爆炸。</w:t>
      </w:r>
    </w:p>
    <w:p>
      <w:pPr>
        <w:pBdr>
          <w:top w:val="none" w:sz="0" w:space="0" w:color="auto"/>
          <w:left w:val="none" w:sz="0" w:space="0" w:color="auto"/>
          <w:bottom w:val="none" w:sz="0" w:space="0" w:color="auto"/>
          <w:right w:val="none" w:sz="0" w:space="0" w:color="auto"/>
        </w:pBdr>
        <w:spacing w:line="360" w:lineRule="auto"/>
        <w:ind w:firstLineChars="192" w:firstLine="538"/>
        <w:rPr>
          <w:rFonts w:ascii="宋体" w:eastAsia="宋体" w:cs="Times New Roman" w:hint="eastAsia"/>
          <w:vanish w:val="0"/>
          <w:color w:val="auto"/>
          <w:kern w:val="2"/>
          <w:sz w:val="28"/>
          <w:szCs w:val="28"/>
        </w:rPr>
      </w:pPr>
      <w:r>
        <w:rPr>
          <w:rFonts w:ascii="宋体" w:eastAsia="宋体" w:cs="Times New Roman" w:hint="eastAsia"/>
          <w:vanish w:val="0"/>
          <w:color w:val="auto"/>
          <w:kern w:val="2"/>
          <w:sz w:val="28"/>
          <w:szCs w:val="28"/>
        </w:rPr>
        <w:t>4）加气时未严格执行安全操作规程，让乘客在站内随意下车、走动，容易带来意外火源，一旦发生事故，还将会使人员伤亡扩大。</w:t>
      </w:r>
    </w:p>
    <w:p>
      <w:pPr>
        <w:pBdr>
          <w:top w:val="none" w:sz="0" w:space="0" w:color="auto"/>
          <w:left w:val="none" w:sz="0" w:space="0" w:color="auto"/>
          <w:bottom w:val="none" w:sz="0" w:space="0" w:color="auto"/>
          <w:right w:val="none" w:sz="0" w:space="0" w:color="auto"/>
        </w:pBdr>
        <w:spacing w:line="360" w:lineRule="auto"/>
        <w:ind w:firstLineChars="192" w:firstLine="538"/>
        <w:rPr>
          <w:rFonts w:ascii="宋体" w:eastAsia="宋体" w:cs="Times New Roman" w:hint="eastAsia"/>
          <w:vanish w:val="0"/>
          <w:color w:val="auto"/>
          <w:kern w:val="2"/>
          <w:sz w:val="28"/>
          <w:szCs w:val="28"/>
        </w:rPr>
      </w:pPr>
      <w:r>
        <w:rPr>
          <w:rFonts w:ascii="宋体" w:eastAsia="宋体" w:cs="Times New Roman" w:hint="eastAsia"/>
          <w:vanish w:val="0"/>
          <w:color w:val="auto"/>
          <w:kern w:val="2"/>
          <w:sz w:val="28"/>
          <w:szCs w:val="28"/>
        </w:rPr>
        <w:t>5）加气后若不检查车载气瓶嘴密闭性，可能因泄漏而发生事故。</w:t>
      </w:r>
    </w:p>
    <w:p>
      <w:pPr>
        <w:pBdr>
          <w:top w:val="none" w:sz="0" w:space="0" w:color="auto"/>
          <w:left w:val="none" w:sz="0" w:space="0" w:color="auto"/>
          <w:bottom w:val="none" w:sz="0" w:space="0" w:color="auto"/>
          <w:right w:val="none" w:sz="0" w:space="0" w:color="auto"/>
        </w:pBdr>
        <w:spacing w:line="360" w:lineRule="auto"/>
        <w:ind w:firstLineChars="192" w:firstLine="538"/>
        <w:rPr>
          <w:rFonts w:ascii="宋体" w:eastAsia="宋体" w:cs="Times New Roman" w:hint="eastAsia"/>
          <w:vanish w:val="0"/>
          <w:color w:val="auto"/>
          <w:kern w:val="2"/>
          <w:sz w:val="28"/>
          <w:szCs w:val="28"/>
        </w:rPr>
      </w:pPr>
      <w:r>
        <w:rPr>
          <w:rFonts w:ascii="宋体" w:eastAsia="宋体" w:cs="Times New Roman" w:hint="eastAsia"/>
          <w:vanish w:val="0"/>
          <w:color w:val="auto"/>
          <w:kern w:val="2"/>
          <w:sz w:val="28"/>
          <w:szCs w:val="28"/>
        </w:rPr>
        <w:t>6）加气机前无防撞栏（柱），当汽车驾驶失误时，可能撞坏加气机，而发生天然气大量泄漏。</w:t>
      </w:r>
    </w:p>
    <w:p>
      <w:pPr>
        <w:pBdr>
          <w:top w:val="none" w:sz="0" w:space="0" w:color="auto"/>
          <w:left w:val="none" w:sz="0" w:space="0" w:color="auto"/>
          <w:bottom w:val="none" w:sz="0" w:space="0" w:color="auto"/>
          <w:right w:val="none" w:sz="0" w:space="0" w:color="auto"/>
        </w:pBdr>
        <w:spacing w:line="360" w:lineRule="auto"/>
        <w:ind w:firstLineChars="192" w:firstLine="538"/>
        <w:rPr>
          <w:rFonts w:ascii="宋体" w:eastAsia="宋体" w:cs="Times New Roman" w:hint="eastAsia"/>
          <w:vanish w:val="0"/>
          <w:color w:val="auto"/>
          <w:kern w:val="2"/>
          <w:sz w:val="28"/>
          <w:szCs w:val="28"/>
        </w:rPr>
      </w:pPr>
      <w:r>
        <w:rPr>
          <w:rFonts w:ascii="宋体" w:eastAsia="宋体" w:cs="Times New Roman" w:hint="eastAsia"/>
          <w:vanish w:val="0"/>
          <w:color w:val="auto"/>
          <w:kern w:val="2"/>
          <w:sz w:val="28"/>
          <w:szCs w:val="28"/>
        </w:rPr>
        <w:t>7）汽车启动前，若不确认是否卸下加气管，可能造成拉断加气管的事故，当拉断阀失灵时，会造成天然气大量泄漏事故。</w:t>
      </w:r>
    </w:p>
    <w:p>
      <w:pPr>
        <w:pStyle w:val="77"/>
        <w:pBdr>
          <w:top w:val="none" w:sz="0" w:space="0" w:color="auto"/>
          <w:left w:val="none" w:sz="0" w:space="0" w:color="auto"/>
          <w:bottom w:val="none" w:sz="0" w:space="0" w:color="auto"/>
          <w:right w:val="none" w:sz="0" w:space="0" w:color="auto"/>
        </w:pBdr>
        <w:ind w:firstLineChars="200" w:firstLine="560"/>
        <w:rPr>
          <w:rFonts w:ascii="宋体" w:eastAsia="宋体" w:cs="Times New Roman" w:hint="eastAsia"/>
          <w:vanish w:val="0"/>
          <w:color w:val="auto"/>
          <w:kern w:val="2"/>
          <w:sz w:val="28"/>
          <w:szCs w:val="28"/>
        </w:rPr>
      </w:pPr>
      <w:r>
        <w:rPr>
          <w:rFonts w:ascii="宋体" w:eastAsia="宋体" w:cs="Times New Roman" w:hint="eastAsia"/>
          <w:vanish w:val="0"/>
          <w:color w:val="auto"/>
          <w:kern w:val="2"/>
          <w:sz w:val="28"/>
          <w:szCs w:val="28"/>
        </w:rPr>
        <w:t>8）若不经常检查加气嘴的密封面的完好性、拉断阀的密封性，在加气过程中可能造成泄漏。</w:t>
      </w:r>
    </w:p>
    <w:p>
      <w:pPr>
        <w:pStyle w:val="2"/>
        <w:pBdr>
          <w:top w:val="none" w:sz="0" w:space="0" w:color="auto"/>
          <w:left w:val="none" w:sz="0" w:space="0" w:color="auto"/>
          <w:bottom w:val="none" w:sz="0" w:space="0" w:color="auto"/>
          <w:right w:val="none" w:sz="0" w:space="0" w:color="auto"/>
        </w:pBdr>
        <w:spacing w:beforeLines="0" w:before="156" w:beforeAutospacing="0"/>
        <w:rPr>
          <w:rFonts w:ascii="宋体" w:eastAsia="宋体" w:hint="eastAsia"/>
          <w:b/>
          <w:bCs/>
          <w:vanish w:val="0"/>
          <w:kern w:val="2"/>
          <w:sz w:val="32"/>
          <w:szCs w:val="32"/>
        </w:rPr>
      </w:pPr>
      <w:bookmarkStart w:id="61" w:name="_Toc8351"/>
      <w:bookmarkStart w:id="62" w:name="_Toc23463"/>
      <w:bookmarkStart w:id="63" w:name="_Toc354416286"/>
      <w:bookmarkEnd w:id="61"/>
      <w:bookmarkEnd w:id="62"/>
      <w:r>
        <w:rPr>
          <w:rFonts w:ascii="宋体" w:eastAsia="宋体" w:hint="eastAsia"/>
          <w:b/>
          <w:bCs/>
          <w:vanish w:val="0"/>
          <w:kern w:val="2"/>
          <w:sz w:val="32"/>
          <w:szCs w:val="32"/>
        </w:rPr>
        <w:t>1.5 设备设施危险有害因素分析</w:t>
      </w:r>
      <w:bookmarkEnd w:id="63"/>
    </w:p>
    <w:p>
      <w:pPr>
        <w:pStyle w:val="3"/>
        <w:rPr>
          <w:rFonts w:ascii="宋体" w:eastAsia="宋体" w:hint="eastAsia"/>
          <w:b/>
          <w:bCs/>
          <w:kern w:val="2"/>
          <w:sz w:val="30"/>
          <w:szCs w:val="30"/>
        </w:rPr>
      </w:pPr>
      <w:bookmarkStart w:id="64" w:name="_Toc2289"/>
      <w:bookmarkStart w:id="65" w:name="_Toc17948"/>
      <w:bookmarkEnd w:id="64"/>
      <w:r>
        <w:rPr>
          <w:rFonts w:ascii="宋体" w:eastAsia="宋体" w:hint="eastAsia"/>
          <w:b/>
          <w:bCs/>
          <w:kern w:val="2"/>
          <w:sz w:val="30"/>
          <w:szCs w:val="30"/>
        </w:rPr>
        <w:t>1.5.1 油罐</w:t>
      </w:r>
      <w:bookmarkEnd w:id="65"/>
    </w:p>
    <w:p>
      <w:pPr>
        <w:numPr>
          <w:ilvl w:val="0"/>
          <w:numId w:val="2"/>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卸油管道破损未及时发现，在进行卸油作业油料泄漏，遇点火源，造成火灾、爆炸事故；</w:t>
      </w:r>
    </w:p>
    <w:p>
      <w:pPr>
        <w:numPr>
          <w:ilvl w:val="0"/>
          <w:numId w:val="2"/>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卸油场所存在明火、电火花、高温高热物质等引火源点燃油气混合体，可能造成火灾、爆炸事故；</w:t>
      </w:r>
    </w:p>
    <w:p>
      <w:pPr>
        <w:numPr>
          <w:ilvl w:val="0"/>
          <w:numId w:val="2"/>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油罐的卸油管未按《汽车加油加气站设计与施工规范》GB50156中的要求插入罐内有效深度，油品流动造成静电积聚、放电，发生火灾、爆炸事故。</w:t>
      </w:r>
    </w:p>
    <w:p>
      <w:pPr>
        <w:numPr>
          <w:ilvl w:val="0"/>
          <w:numId w:val="2"/>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若与储罐的相连的泵、阀门、管道等密封不严，容易发生泄漏，泄漏后遇明火或静电火花等点火源有发生火灾的危险。</w:t>
      </w:r>
    </w:p>
    <w:p>
      <w:pPr>
        <w:numPr>
          <w:ilvl w:val="0"/>
          <w:numId w:val="2"/>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埋地油罐若没有良好的静电接地装置或接地装置失效，静电不能及时释放，产生静电火花，可导致火灾。</w:t>
      </w:r>
    </w:p>
    <w:p>
      <w:pPr>
        <w:numPr>
          <w:ilvl w:val="0"/>
          <w:numId w:val="2"/>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埋地油罐一旦制造或安装存在缺陷或长期使用未进行检测，容易引起泄漏，若遇明火或静电火花，会导致火灾事故。</w:t>
      </w:r>
    </w:p>
    <w:p>
      <w:pPr>
        <w:numPr>
          <w:ilvl w:val="0"/>
          <w:numId w:val="2"/>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埋地油罐的防腐层若老化或损坏脱落，造成油罐罐壁腐蚀穿孔，可引起油品泄漏，油品泄漏后经砂土渗透上升至地表面挥发为蒸气，油气与空气形成爆炸性混合气体向低洼处积聚，当达到爆炸极限时，遇点火源可能引起火灾爆炸。</w:t>
      </w:r>
    </w:p>
    <w:p>
      <w:pPr>
        <w:numPr>
          <w:ilvl w:val="0"/>
          <w:numId w:val="2"/>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油罐人孔处的操作井内的各管道接口处的密封料若老化，导致油品泄漏，可能在井内形成爆炸性混合气体，遇点火源，将引起着火爆炸。</w:t>
      </w:r>
    </w:p>
    <w:p>
      <w:pPr>
        <w:numPr>
          <w:ilvl w:val="0"/>
          <w:numId w:val="2"/>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埋地储罐防上浮措施失效，遇大暴雨，地下水位上涨，可能导致储罐上浮，导致管道破裂油品泄漏。</w:t>
      </w:r>
    </w:p>
    <w:p>
      <w:pPr>
        <w:pStyle w:val="47"/>
        <w:numPr>
          <w:ilvl w:val="0"/>
          <w:numId w:val="2"/>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埋地油罐为承重式过载油罐，油罐人孔井因油气挥发存在可燃气体，人员进入人孔井检查发生中毒与窒息事故；人孔井因油气聚集发生火灾爆炸事故。</w:t>
      </w:r>
    </w:p>
    <w:p>
      <w:pPr>
        <w:pStyle w:val="3"/>
        <w:rPr>
          <w:rFonts w:ascii="宋体" w:eastAsia="宋体" w:hint="eastAsia"/>
          <w:b/>
          <w:bCs/>
          <w:kern w:val="2"/>
          <w:sz w:val="30"/>
          <w:szCs w:val="30"/>
        </w:rPr>
      </w:pPr>
      <w:bookmarkStart w:id="66" w:name="_Toc24123"/>
      <w:bookmarkStart w:id="67" w:name="_Toc1302"/>
      <w:bookmarkEnd w:id="66"/>
      <w:r>
        <w:rPr>
          <w:rFonts w:ascii="宋体" w:eastAsia="宋体" w:hint="eastAsia"/>
          <w:b/>
          <w:bCs/>
          <w:kern w:val="2"/>
          <w:sz w:val="30"/>
          <w:szCs w:val="30"/>
        </w:rPr>
        <w:t>1.5.2 加油机</w:t>
      </w:r>
      <w:bookmarkEnd w:id="67"/>
    </w:p>
    <w:p>
      <w:pPr>
        <w:numPr>
          <w:ilvl w:val="0"/>
          <w:numId w:val="3"/>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加油机如存在制造、安装等质量问题，引起加油机及油枪渗漏、胶管破损等造成漏油，一旦遇明火有引起火灾、爆炸的危险。</w:t>
      </w:r>
    </w:p>
    <w:p>
      <w:pPr>
        <w:numPr>
          <w:ilvl w:val="0"/>
          <w:numId w:val="3"/>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若由于设备、管线腐蚀、穿孔，引起油品泄漏，一旦遇明火有发生火灾、爆炸的危险。</w:t>
      </w:r>
    </w:p>
    <w:p>
      <w:pPr>
        <w:numPr>
          <w:ilvl w:val="0"/>
          <w:numId w:val="3"/>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加油设备密封不严导致柴油蒸气逸出，遇点火源造成火灾、爆炸事故；</w:t>
      </w:r>
    </w:p>
    <w:p>
      <w:pPr>
        <w:numPr>
          <w:ilvl w:val="0"/>
          <w:numId w:val="3"/>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未对加油枪的自封设备做定期检查，致使自封不严未及时发现而导致油蒸气逸出，可能造成火灾、爆炸事故；</w:t>
      </w:r>
    </w:p>
    <w:p>
      <w:pPr>
        <w:numPr>
          <w:ilvl w:val="0"/>
          <w:numId w:val="3"/>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撞击事故致使加油机倾斜导致输油管线拉扯断裂油品泄漏，遇点火源可能导致火灾、爆炸事故。</w:t>
      </w:r>
    </w:p>
    <w:p>
      <w:pPr>
        <w:numPr>
          <w:ilvl w:val="0"/>
          <w:numId w:val="3"/>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若不严格遵守停车熄火再加油的规定，发动机尾气（火星）可能点燃油箱内散发的油蒸气，引起火灾、爆炸事故。</w:t>
      </w:r>
    </w:p>
    <w:p>
      <w:pPr>
        <w:pStyle w:val="3"/>
        <w:rPr>
          <w:rFonts w:ascii="宋体" w:eastAsia="宋体" w:hint="eastAsia"/>
          <w:b/>
          <w:bCs/>
          <w:kern w:val="2"/>
          <w:sz w:val="30"/>
          <w:szCs w:val="30"/>
        </w:rPr>
      </w:pPr>
      <w:bookmarkStart w:id="68" w:name="_Toc139"/>
      <w:bookmarkStart w:id="69" w:name="_Toc12380"/>
      <w:bookmarkEnd w:id="68"/>
      <w:r>
        <w:rPr>
          <w:rFonts w:ascii="宋体" w:eastAsia="宋体" w:hint="eastAsia"/>
          <w:b/>
          <w:bCs/>
          <w:kern w:val="2"/>
          <w:sz w:val="30"/>
          <w:szCs w:val="30"/>
        </w:rPr>
        <w:t>1.5.3 输油管道</w:t>
      </w:r>
      <w:bookmarkEnd w:id="69"/>
    </w:p>
    <w:p>
      <w:pPr>
        <w:numPr>
          <w:ilvl w:val="0"/>
          <w:numId w:val="4"/>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设备管道接头密封不严，可能造成油气泄漏，遇点火源引发火灾、爆炸事故；</w:t>
      </w:r>
    </w:p>
    <w:p>
      <w:pPr>
        <w:numPr>
          <w:ilvl w:val="0"/>
          <w:numId w:val="4"/>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因腐蚀等原因造成管道、管件损伤，引发油气泄漏，遇点火源可能造成火灾、爆炸事故；</w:t>
      </w:r>
    </w:p>
    <w:p>
      <w:pPr>
        <w:numPr>
          <w:ilvl w:val="0"/>
          <w:numId w:val="4"/>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若输油管道始末端和分支处防静电接地失效，易引起静电积聚放电，在油品泄漏时，有引起火灾爆炸的危险。</w:t>
      </w:r>
    </w:p>
    <w:p>
      <w:pPr>
        <w:numPr>
          <w:ilvl w:val="0"/>
          <w:numId w:val="4"/>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输油管周围未按要求充沙回填，致使管沟中积聚油蒸气达到爆炸极限，遇点火源可能造成爆炸事故。</w:t>
      </w:r>
    </w:p>
    <w:p>
      <w:pPr>
        <w:pStyle w:val="3"/>
        <w:rPr>
          <w:rFonts w:ascii="宋体" w:eastAsia="宋体" w:hint="eastAsia"/>
          <w:b/>
          <w:bCs/>
          <w:kern w:val="2"/>
          <w:sz w:val="30"/>
          <w:szCs w:val="30"/>
        </w:rPr>
      </w:pPr>
      <w:bookmarkStart w:id="70" w:name="_Toc3141"/>
      <w:bookmarkEnd w:id="70"/>
      <w:r>
        <w:rPr>
          <w:rFonts w:ascii="宋体" w:eastAsia="宋体" w:hint="eastAsia"/>
          <w:b/>
          <w:bCs/>
          <w:kern w:val="2"/>
          <w:sz w:val="30"/>
          <w:szCs w:val="30"/>
        </w:rPr>
        <w:t>1.5.4 CNG储罐</w:t>
      </w:r>
    </w:p>
    <w:p>
      <w:pPr>
        <w:pBdr>
          <w:top w:val="none" w:sz="0" w:space="0" w:color="auto"/>
          <w:left w:val="none" w:sz="0" w:space="0" w:color="auto"/>
          <w:bottom w:val="none" w:sz="0" w:space="0" w:color="auto"/>
          <w:right w:val="none" w:sz="0" w:space="0" w:color="auto"/>
        </w:pBdr>
        <w:kinsoku/>
        <w:wordWrap/>
        <w:overflowPunct/>
        <w:topLinePunct w:val="0"/>
        <w:autoSpaceDE w:val="0"/>
        <w:autoSpaceDN w:val="0"/>
        <w:adjustRightInd w:val="0"/>
        <w:snapToGrid/>
        <w:spacing w:line="360" w:lineRule="auto"/>
        <w:ind w:rightChars="-85" w:right="-178" w:firstLine="560"/>
        <w:contextualSpacing w:val="0"/>
        <w:rPr>
          <w:rFonts w:ascii="宋体" w:eastAsia="宋体" w:cs="Times New Roman" w:hint="eastAsia"/>
          <w:vanish w:val="0"/>
          <w:color w:val="auto"/>
          <w:kern w:val="2"/>
          <w:sz w:val="28"/>
          <w:szCs w:val="28"/>
        </w:rPr>
      </w:pPr>
      <w:r>
        <w:rPr>
          <w:rFonts w:ascii="宋体" w:eastAsia="宋体" w:cs="Times New Roman" w:hint="eastAsia"/>
          <w:vanish w:val="0"/>
          <w:color w:val="auto"/>
          <w:kern w:val="2"/>
          <w:sz w:val="28"/>
          <w:szCs w:val="28"/>
        </w:rPr>
        <w:t>（1）储罐的设计压力不符合要求，设计时未考虑储罐最高工作温度下CNG的饱和蒸气压泵工作时加给储罐的压力，管道的余压等相关压力，使储罐设计压力过低，可能发生超压爆炸事故，从而引发更大的火灾爆炸事故。</w:t>
      </w:r>
    </w:p>
    <w:p>
      <w:pPr>
        <w:pBdr>
          <w:top w:val="none" w:sz="0" w:space="0" w:color="auto"/>
          <w:left w:val="none" w:sz="0" w:space="0" w:color="auto"/>
          <w:bottom w:val="none" w:sz="0" w:space="0" w:color="auto"/>
          <w:right w:val="none" w:sz="0" w:space="0" w:color="auto"/>
        </w:pBdr>
        <w:kinsoku/>
        <w:wordWrap/>
        <w:overflowPunct/>
        <w:topLinePunct w:val="0"/>
        <w:autoSpaceDE w:val="0"/>
        <w:autoSpaceDN w:val="0"/>
        <w:adjustRightInd w:val="0"/>
        <w:snapToGrid/>
        <w:spacing w:line="360" w:lineRule="auto"/>
        <w:ind w:rightChars="-85" w:right="-178" w:firstLine="560"/>
        <w:contextualSpacing w:val="0"/>
        <w:rPr>
          <w:rFonts w:ascii="宋体" w:eastAsia="宋体" w:cs="Times New Roman" w:hint="eastAsia"/>
          <w:vanish w:val="0"/>
          <w:color w:val="auto"/>
          <w:kern w:val="2"/>
          <w:sz w:val="28"/>
          <w:szCs w:val="28"/>
        </w:rPr>
      </w:pPr>
      <w:r>
        <w:rPr>
          <w:rFonts w:ascii="宋体" w:eastAsia="宋体" w:cs="Times New Roman" w:hint="eastAsia"/>
          <w:vanish w:val="0"/>
          <w:color w:val="auto"/>
          <w:kern w:val="2"/>
          <w:sz w:val="28"/>
          <w:szCs w:val="28"/>
        </w:rPr>
        <w:t>（2）储罐的进液管、液相回流管和气相回流管上未设止回阀，当系统压力发生变化时，气液倒流可能发生爆炸事故。</w:t>
      </w:r>
    </w:p>
    <w:p>
      <w:pPr>
        <w:pBdr>
          <w:top w:val="none" w:sz="0" w:space="0" w:color="auto"/>
          <w:left w:val="none" w:sz="0" w:space="0" w:color="auto"/>
          <w:bottom w:val="none" w:sz="0" w:space="0" w:color="auto"/>
          <w:right w:val="none" w:sz="0" w:space="0" w:color="auto"/>
        </w:pBdr>
        <w:kinsoku/>
        <w:wordWrap/>
        <w:overflowPunct/>
        <w:topLinePunct w:val="0"/>
        <w:autoSpaceDE w:val="0"/>
        <w:autoSpaceDN w:val="0"/>
        <w:adjustRightInd w:val="0"/>
        <w:snapToGrid/>
        <w:spacing w:line="360" w:lineRule="auto"/>
        <w:ind w:rightChars="-85" w:right="-178" w:firstLine="560"/>
        <w:contextualSpacing w:val="0"/>
        <w:rPr>
          <w:rFonts w:ascii="宋体" w:eastAsia="宋体" w:cs="Times New Roman" w:hint="eastAsia"/>
          <w:vanish w:val="0"/>
          <w:color w:val="auto"/>
          <w:kern w:val="2"/>
          <w:sz w:val="28"/>
          <w:szCs w:val="28"/>
        </w:rPr>
      </w:pPr>
      <w:r>
        <w:rPr>
          <w:rFonts w:ascii="宋体" w:eastAsia="宋体" w:cs="Times New Roman" w:hint="eastAsia"/>
          <w:vanish w:val="0"/>
          <w:color w:val="auto"/>
          <w:kern w:val="2"/>
          <w:sz w:val="28"/>
          <w:szCs w:val="28"/>
        </w:rPr>
        <w:t>（3）储罐未设置全启式安全阀，安全阀的开启压力超过贮罐的设计压力等，使储罐超压，安全阀不动作，从而发生储罐超压爆炸事故。</w:t>
      </w:r>
    </w:p>
    <w:p>
      <w:pPr>
        <w:pBdr>
          <w:top w:val="none" w:sz="0" w:space="0" w:color="auto"/>
          <w:left w:val="none" w:sz="0" w:space="0" w:color="auto"/>
          <w:bottom w:val="none" w:sz="0" w:space="0" w:color="auto"/>
          <w:right w:val="none" w:sz="0" w:space="0" w:color="auto"/>
        </w:pBdr>
        <w:kinsoku/>
        <w:wordWrap/>
        <w:overflowPunct/>
        <w:topLinePunct w:val="0"/>
        <w:autoSpaceDE w:val="0"/>
        <w:autoSpaceDN w:val="0"/>
        <w:adjustRightInd w:val="0"/>
        <w:snapToGrid/>
        <w:spacing w:line="360" w:lineRule="auto"/>
        <w:ind w:rightChars="-85" w:right="-178" w:firstLine="560"/>
        <w:contextualSpacing w:val="0"/>
        <w:rPr>
          <w:rFonts w:ascii="宋体" w:eastAsia="宋体" w:cs="Times New Roman" w:hint="eastAsia"/>
          <w:vanish w:val="0"/>
          <w:color w:val="auto"/>
          <w:kern w:val="2"/>
          <w:sz w:val="28"/>
          <w:szCs w:val="28"/>
        </w:rPr>
      </w:pPr>
      <w:r>
        <w:rPr>
          <w:rFonts w:ascii="宋体" w:eastAsia="宋体" w:cs="Times New Roman" w:hint="eastAsia"/>
          <w:vanish w:val="0"/>
          <w:color w:val="auto"/>
          <w:kern w:val="2"/>
          <w:sz w:val="28"/>
          <w:szCs w:val="28"/>
        </w:rPr>
        <w:t>（4）储罐及储罐的安全阀未设放散管，放散管管口高度不符合要求，管口低于操作平台，在储罐超压天然气放散时，放散管所放出的天然气可能在放散管附近地面积聚，在空气中的含量达到爆炸极限、可能发生燃烧爆炸事故。</w:t>
      </w:r>
    </w:p>
    <w:p>
      <w:pPr>
        <w:pBdr>
          <w:top w:val="none" w:sz="0" w:space="0" w:color="auto"/>
          <w:left w:val="none" w:sz="0" w:space="0" w:color="auto"/>
          <w:bottom w:val="none" w:sz="0" w:space="0" w:color="auto"/>
          <w:right w:val="none" w:sz="0" w:space="0" w:color="auto"/>
        </w:pBdr>
        <w:kinsoku/>
        <w:wordWrap/>
        <w:overflowPunct/>
        <w:topLinePunct w:val="0"/>
        <w:autoSpaceDE w:val="0"/>
        <w:autoSpaceDN w:val="0"/>
        <w:adjustRightInd w:val="0"/>
        <w:snapToGrid/>
        <w:spacing w:line="360" w:lineRule="auto"/>
        <w:ind w:rightChars="-85" w:right="-178" w:firstLine="560"/>
        <w:contextualSpacing w:val="0"/>
        <w:rPr>
          <w:rFonts w:ascii="宋体" w:eastAsia="宋体" w:cs="Times New Roman" w:hint="eastAsia"/>
          <w:vanish w:val="0"/>
          <w:color w:val="auto"/>
          <w:kern w:val="2"/>
          <w:sz w:val="28"/>
          <w:szCs w:val="28"/>
        </w:rPr>
      </w:pPr>
      <w:r>
        <w:rPr>
          <w:rFonts w:ascii="宋体" w:eastAsia="宋体" w:cs="Times New Roman" w:hint="eastAsia"/>
          <w:vanish w:val="0"/>
          <w:color w:val="auto"/>
          <w:kern w:val="2"/>
          <w:sz w:val="28"/>
          <w:szCs w:val="28"/>
        </w:rPr>
        <w:t>（5）储罐未设置就地指示的压力表、温度计，可能导致储罐超装、超压、超温而发生火灾爆炸事故。</w:t>
      </w:r>
    </w:p>
    <w:p>
      <w:pPr>
        <w:pBdr>
          <w:top w:val="none" w:sz="0" w:space="0" w:color="auto"/>
          <w:left w:val="none" w:sz="0" w:space="0" w:color="auto"/>
          <w:bottom w:val="none" w:sz="0" w:space="0" w:color="auto"/>
          <w:right w:val="none" w:sz="0" w:space="0" w:color="auto"/>
        </w:pBdr>
        <w:kinsoku/>
        <w:wordWrap/>
        <w:overflowPunct/>
        <w:topLinePunct w:val="0"/>
        <w:autoSpaceDE w:val="0"/>
        <w:autoSpaceDN w:val="0"/>
        <w:adjustRightInd w:val="0"/>
        <w:snapToGrid/>
        <w:spacing w:line="360" w:lineRule="auto"/>
        <w:ind w:rightChars="-85" w:right="-178" w:firstLine="560"/>
        <w:contextualSpacing w:val="0"/>
        <w:rPr>
          <w:rFonts w:ascii="宋体" w:eastAsia="宋体" w:cs="Times New Roman" w:hint="eastAsia"/>
          <w:vanish w:val="0"/>
          <w:color w:val="auto"/>
          <w:kern w:val="2"/>
          <w:sz w:val="28"/>
          <w:szCs w:val="28"/>
        </w:rPr>
      </w:pPr>
      <w:r>
        <w:rPr>
          <w:rFonts w:ascii="宋体" w:eastAsia="宋体" w:cs="Times New Roman" w:hint="eastAsia"/>
          <w:vanish w:val="0"/>
          <w:color w:val="auto"/>
          <w:kern w:val="2"/>
          <w:sz w:val="28"/>
          <w:szCs w:val="28"/>
        </w:rPr>
        <w:t>（6）储罐、增压器以及管道等在投入使用前，未进行气密性试验和水压试验，可能因漏气发生火灾爆炸事故。</w:t>
      </w:r>
    </w:p>
    <w:p>
      <w:pPr>
        <w:pStyle w:val="3"/>
        <w:rPr>
          <w:rFonts w:ascii="宋体" w:eastAsia="宋体" w:hint="eastAsia"/>
          <w:b/>
          <w:bCs/>
          <w:kern w:val="2"/>
          <w:sz w:val="30"/>
          <w:szCs w:val="30"/>
        </w:rPr>
      </w:pPr>
      <w:bookmarkStart w:id="71" w:name="_Toc2084"/>
      <w:bookmarkStart w:id="72" w:name="_Toc2827"/>
      <w:bookmarkEnd w:id="71"/>
      <w:r>
        <w:rPr>
          <w:rFonts w:ascii="宋体" w:eastAsia="宋体" w:hint="eastAsia"/>
          <w:b/>
          <w:bCs/>
          <w:kern w:val="2"/>
          <w:sz w:val="30"/>
          <w:szCs w:val="30"/>
        </w:rPr>
        <w:t>1.5.5 工艺管道</w:t>
      </w:r>
      <w:bookmarkEnd w:id="72"/>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cs="Times New Roman" w:hint="eastAsia"/>
          <w:vanish w:val="0"/>
          <w:color w:val="auto"/>
          <w:kern w:val="2"/>
          <w:sz w:val="28"/>
          <w:szCs w:val="28"/>
        </w:rPr>
      </w:pPr>
      <w:r>
        <w:rPr>
          <w:rFonts w:ascii="宋体" w:eastAsia="宋体" w:cs="Times New Roman" w:hint="eastAsia"/>
          <w:vanish w:val="0"/>
          <w:color w:val="auto"/>
          <w:kern w:val="2"/>
          <w:sz w:val="28"/>
          <w:szCs w:val="28"/>
        </w:rPr>
        <w:t>工艺管道直埋地下，存在腐蚀，腐蚀穿后造成泄漏。</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cs="Times New Roman" w:hint="eastAsia"/>
          <w:vanish w:val="0"/>
          <w:color w:val="auto"/>
          <w:kern w:val="2"/>
          <w:sz w:val="28"/>
          <w:szCs w:val="28"/>
        </w:rPr>
      </w:pPr>
      <w:r>
        <w:rPr>
          <w:rFonts w:ascii="宋体" w:eastAsia="宋体" w:cs="Times New Roman" w:hint="eastAsia"/>
          <w:vanish w:val="0"/>
          <w:color w:val="auto"/>
          <w:kern w:val="2"/>
          <w:sz w:val="28"/>
          <w:szCs w:val="28"/>
        </w:rPr>
        <w:t>工艺管道在站场内埋地较浅或未加套管，受车辆或其它重物碾压，造成管道变形或开裂，造成泄漏。</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cs="Times New Roman" w:hint="eastAsia"/>
          <w:vanish w:val="0"/>
          <w:color w:val="auto"/>
          <w:kern w:val="2"/>
          <w:sz w:val="28"/>
          <w:szCs w:val="28"/>
        </w:rPr>
      </w:pPr>
      <w:r>
        <w:rPr>
          <w:rFonts w:ascii="宋体" w:eastAsia="宋体" w:cs="Times New Roman" w:hint="eastAsia"/>
          <w:vanish w:val="0"/>
          <w:color w:val="auto"/>
          <w:kern w:val="2"/>
          <w:sz w:val="28"/>
          <w:szCs w:val="28"/>
        </w:rPr>
        <w:t>工艺管道露出地面，易受外界影响变形，一是使用寿命短，二是容易造成泄漏。</w:t>
      </w:r>
    </w:p>
    <w:p>
      <w:pPr>
        <w:pBdr>
          <w:top w:val="none" w:sz="0" w:space="0" w:color="auto"/>
          <w:left w:val="none" w:sz="0" w:space="0" w:color="auto"/>
          <w:bottom w:val="none" w:sz="0" w:space="0" w:color="auto"/>
          <w:right w:val="none" w:sz="0" w:space="0" w:color="auto"/>
        </w:pBdr>
        <w:ind w:firstLineChars="200" w:firstLine="560"/>
        <w:rPr>
          <w:rFonts w:ascii="Times New Roman" w:eastAsia="宋体" w:hAnsi="Times New Roman"/>
          <w:vanish w:val="0"/>
          <w:kern w:val="2"/>
          <w:sz w:val="21"/>
          <w:szCs w:val="21"/>
        </w:rPr>
      </w:pPr>
      <w:r>
        <w:rPr>
          <w:rFonts w:ascii="宋体" w:eastAsia="宋体" w:cs="Times New Roman" w:hint="eastAsia"/>
          <w:vanish w:val="0"/>
          <w:color w:val="auto"/>
          <w:kern w:val="2"/>
          <w:sz w:val="28"/>
          <w:szCs w:val="28"/>
        </w:rPr>
        <w:t>工艺管道是静电的良好导体，为防止静电积聚，除管道自身应有很好的连接外，还应与地良好连接，防止火花产生。</w:t>
      </w:r>
    </w:p>
    <w:p>
      <w:pPr>
        <w:pStyle w:val="3"/>
        <w:rPr>
          <w:rFonts w:ascii="宋体" w:eastAsia="宋体" w:hint="eastAsia"/>
          <w:b/>
          <w:bCs/>
          <w:kern w:val="2"/>
          <w:sz w:val="30"/>
          <w:szCs w:val="30"/>
        </w:rPr>
      </w:pPr>
      <w:bookmarkStart w:id="73" w:name="_Toc29570"/>
      <w:bookmarkStart w:id="74" w:name="_Toc4592"/>
      <w:bookmarkEnd w:id="73"/>
      <w:r>
        <w:rPr>
          <w:rFonts w:ascii="宋体" w:eastAsia="宋体" w:hint="eastAsia"/>
          <w:b/>
          <w:bCs/>
          <w:kern w:val="2"/>
          <w:sz w:val="30"/>
          <w:szCs w:val="30"/>
        </w:rPr>
        <w:t>1.5.6 调压装置</w:t>
      </w:r>
      <w:bookmarkEnd w:id="74"/>
    </w:p>
    <w:p>
      <w:pPr>
        <w:pStyle w:val="77"/>
        <w:pBdr>
          <w:top w:val="none" w:sz="0" w:space="0" w:color="auto"/>
          <w:left w:val="none" w:sz="0" w:space="0" w:color="auto"/>
          <w:bottom w:val="none" w:sz="0" w:space="0" w:color="auto"/>
          <w:right w:val="none" w:sz="0" w:space="0" w:color="auto"/>
        </w:pBdr>
        <w:ind w:firstLineChars="200" w:firstLine="560"/>
        <w:rPr>
          <w:rFonts w:ascii="宋体" w:eastAsia="宋体" w:cs="Times New Roman" w:hint="eastAsia"/>
          <w:vanish w:val="0"/>
          <w:color w:val="auto"/>
          <w:kern w:val="2"/>
          <w:sz w:val="28"/>
          <w:szCs w:val="28"/>
        </w:rPr>
      </w:pPr>
      <w:r>
        <w:rPr>
          <w:rFonts w:ascii="宋体" w:eastAsia="宋体" w:cs="Times New Roman" w:hint="eastAsia"/>
          <w:vanish w:val="0"/>
          <w:color w:val="auto"/>
          <w:kern w:val="2"/>
          <w:sz w:val="28"/>
          <w:szCs w:val="28"/>
        </w:rPr>
        <w:t>若增压器输气管道上的调压装置失效，进气压力产生脉动增大，导致天然气泄漏，遇点火源发生火灾、爆炸等事故。</w:t>
      </w:r>
    </w:p>
    <w:p>
      <w:pPr>
        <w:pStyle w:val="2"/>
        <w:pBdr>
          <w:top w:val="none" w:sz="0" w:space="0" w:color="auto"/>
          <w:left w:val="none" w:sz="0" w:space="0" w:color="auto"/>
          <w:bottom w:val="none" w:sz="0" w:space="0" w:color="auto"/>
          <w:right w:val="none" w:sz="0" w:space="0" w:color="auto"/>
        </w:pBdr>
        <w:spacing w:beforeLines="0" w:before="156" w:beforeAutospacing="0"/>
        <w:rPr>
          <w:rFonts w:ascii="宋体" w:eastAsia="宋体" w:hint="eastAsia"/>
          <w:b/>
          <w:bCs/>
          <w:vanish w:val="0"/>
          <w:kern w:val="2"/>
          <w:sz w:val="32"/>
          <w:szCs w:val="32"/>
        </w:rPr>
      </w:pPr>
      <w:bookmarkStart w:id="75" w:name="_Toc3653"/>
      <w:bookmarkStart w:id="76" w:name="_Toc14264"/>
      <w:bookmarkStart w:id="77" w:name="_Toc10345"/>
      <w:bookmarkStart w:id="78" w:name="_Toc154931170"/>
      <w:bookmarkStart w:id="79" w:name="_Toc354416287"/>
      <w:bookmarkEnd w:id="75"/>
      <w:bookmarkEnd w:id="76"/>
      <w:bookmarkEnd w:id="77"/>
      <w:bookmarkEnd w:id="78"/>
      <w:r>
        <w:rPr>
          <w:rFonts w:ascii="宋体" w:eastAsia="宋体" w:hint="eastAsia"/>
          <w:b/>
          <w:bCs/>
          <w:vanish w:val="0"/>
          <w:kern w:val="2"/>
          <w:sz w:val="32"/>
          <w:szCs w:val="32"/>
        </w:rPr>
        <w:t>1.6 公用工程危险有害因素分析</w:t>
      </w:r>
      <w:bookmarkEnd w:id="79"/>
    </w:p>
    <w:p>
      <w:pPr>
        <w:pStyle w:val="3"/>
        <w:rPr>
          <w:rFonts w:ascii="宋体" w:eastAsia="宋体" w:hint="eastAsia"/>
          <w:b/>
          <w:bCs/>
          <w:kern w:val="2"/>
          <w:sz w:val="30"/>
          <w:szCs w:val="30"/>
        </w:rPr>
      </w:pPr>
      <w:bookmarkStart w:id="80" w:name="_Toc449348757"/>
      <w:bookmarkStart w:id="81" w:name="OLE_LINK64"/>
      <w:bookmarkStart w:id="82" w:name="_Toc28875"/>
      <w:bookmarkStart w:id="83" w:name="_Toc25023"/>
      <w:bookmarkStart w:id="84" w:name="_Toc19739"/>
      <w:bookmarkEnd w:id="80"/>
      <w:bookmarkEnd w:id="81"/>
      <w:bookmarkEnd w:id="82"/>
      <w:bookmarkEnd w:id="83"/>
      <w:r>
        <w:rPr>
          <w:rFonts w:ascii="宋体" w:eastAsia="宋体" w:hint="eastAsia"/>
          <w:b/>
          <w:bCs/>
          <w:kern w:val="2"/>
          <w:sz w:val="30"/>
          <w:szCs w:val="30"/>
        </w:rPr>
        <w:t>1.6.1 电气设备</w:t>
      </w:r>
      <w:bookmarkEnd w:id="84"/>
    </w:p>
    <w:p>
      <w:pPr>
        <w:numPr>
          <w:ilvl w:val="0"/>
          <w:numId w:val="5"/>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站内爆炸危险区域内的灯具和控制开关及电气设备防爆性能失效，遇油品泄漏时，可能引起触电和火灾爆炸事故。</w:t>
      </w:r>
    </w:p>
    <w:p>
      <w:pPr>
        <w:numPr>
          <w:ilvl w:val="0"/>
          <w:numId w:val="5"/>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站内配电室、电气开关或电气连接点，由于电气设施故障或损坏使电气导体外露，以及人员误操作、电气短路、超负荷运行、雷击、静电等都易引发电气事故，造成人员触电伤害。若未采取电涌保护措施，发生电涌时，容易损坏电气设施，并引起电气事故。</w:t>
      </w:r>
    </w:p>
    <w:p>
      <w:pPr>
        <w:numPr>
          <w:ilvl w:val="0"/>
          <w:numId w:val="5"/>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加油作业场所的避雷设施失效，一旦遭遇雷击，有引起火灾、爆炸的危险。</w:t>
      </w:r>
    </w:p>
    <w:p>
      <w:pPr>
        <w:pStyle w:val="31"/>
        <w:numPr>
          <w:ilvl w:val="0"/>
          <w:numId w:val="5"/>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未设置备用电源、事故照明设施等，一旦站内发生停电或其他事故时，不能及时处理，造成事故扩大。</w:t>
      </w:r>
    </w:p>
    <w:p>
      <w:pPr>
        <w:numPr>
          <w:ilvl w:val="0"/>
          <w:numId w:val="5"/>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若避雷装置失效，雷电或雷电感应直接击中站内设备、管线，产生放电火花，可能点燃油气与空气的混合气体，导致火灾、爆炸事故。</w:t>
      </w:r>
    </w:p>
    <w:p>
      <w:pPr>
        <w:pStyle w:val="3"/>
        <w:rPr>
          <w:rFonts w:ascii="宋体" w:eastAsia="宋体" w:hint="eastAsia"/>
          <w:b/>
          <w:bCs/>
          <w:kern w:val="2"/>
          <w:sz w:val="30"/>
          <w:szCs w:val="30"/>
        </w:rPr>
      </w:pPr>
      <w:bookmarkStart w:id="85" w:name="_Toc10880"/>
      <w:bookmarkStart w:id="86" w:name="_Toc1227"/>
      <w:bookmarkStart w:id="87" w:name="_Toc15360"/>
      <w:bookmarkStart w:id="88" w:name="_Toc449348758"/>
      <w:bookmarkEnd w:id="85"/>
      <w:bookmarkEnd w:id="86"/>
      <w:bookmarkEnd w:id="87"/>
      <w:r>
        <w:rPr>
          <w:rFonts w:ascii="宋体" w:eastAsia="宋体" w:hint="eastAsia"/>
          <w:b/>
          <w:bCs/>
          <w:kern w:val="2"/>
          <w:sz w:val="30"/>
          <w:szCs w:val="30"/>
        </w:rPr>
        <w:t>1.6.2 消防设施</w:t>
      </w:r>
      <w:bookmarkEnd w:id="88"/>
    </w:p>
    <w:p>
      <w:pPr>
        <w:numPr>
          <w:ilvl w:val="0"/>
          <w:numId w:val="6"/>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灭火器材配备不足或失效、或未放置在明显且便于取用的地点，当站内发生危险事故时，因不能及时进行扑救，容易扩大事故。</w:t>
      </w:r>
    </w:p>
    <w:p>
      <w:pPr>
        <w:numPr>
          <w:ilvl w:val="0"/>
          <w:numId w:val="6"/>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消防设施、器材如日常维护不当或缺乏维护，遇事故时可能失去应有功效，影响事故救援或扩大事故后果。</w:t>
      </w:r>
    </w:p>
    <w:p>
      <w:pPr>
        <w:pStyle w:val="31"/>
        <w:numPr>
          <w:ilvl w:val="0"/>
          <w:numId w:val="6"/>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从业人员不能正确使用消防器材，可能导致事故后果扩大。</w:t>
      </w:r>
    </w:p>
    <w:p>
      <w:pPr>
        <w:pStyle w:val="3"/>
        <w:rPr>
          <w:rFonts w:ascii="宋体" w:eastAsia="宋体" w:hint="eastAsia"/>
          <w:b/>
          <w:bCs/>
          <w:kern w:val="2"/>
          <w:sz w:val="30"/>
          <w:szCs w:val="30"/>
        </w:rPr>
      </w:pPr>
      <w:bookmarkStart w:id="89" w:name="_Toc25093"/>
      <w:bookmarkStart w:id="90" w:name="_Toc26867"/>
      <w:bookmarkEnd w:id="89"/>
      <w:r>
        <w:rPr>
          <w:rFonts w:ascii="宋体" w:eastAsia="宋体" w:hint="eastAsia"/>
          <w:b/>
          <w:bCs/>
          <w:kern w:val="2"/>
          <w:sz w:val="30"/>
          <w:szCs w:val="30"/>
        </w:rPr>
        <w:t>1.6.3 安全辅助设施</w:t>
      </w:r>
      <w:bookmarkEnd w:id="90"/>
    </w:p>
    <w:p>
      <w:pPr>
        <w:pBdr>
          <w:top w:val="none" w:sz="0" w:space="0" w:color="auto"/>
          <w:left w:val="none" w:sz="0" w:space="0" w:color="auto"/>
          <w:bottom w:val="none" w:sz="0" w:space="0" w:color="auto"/>
          <w:right w:val="none" w:sz="0" w:space="0" w:color="auto"/>
        </w:pBdr>
        <w:spacing w:line="360" w:lineRule="auto"/>
        <w:ind w:firstLineChars="192" w:firstLine="538"/>
        <w:jc w:val="left"/>
        <w:rPr>
          <w:rFonts w:ascii="宋体" w:eastAsia="宋体" w:cs="Times New Roman" w:hint="eastAsia"/>
          <w:bCs/>
          <w:vanish w:val="0"/>
          <w:color w:val="auto"/>
          <w:kern w:val="2"/>
          <w:sz w:val="28"/>
          <w:szCs w:val="28"/>
        </w:rPr>
      </w:pPr>
      <w:r>
        <w:rPr>
          <w:rFonts w:ascii="宋体" w:eastAsia="宋体" w:cs="Times New Roman" w:hint="eastAsia"/>
          <w:bCs/>
          <w:vanish w:val="0"/>
          <w:color w:val="auto"/>
          <w:kern w:val="2"/>
          <w:sz w:val="28"/>
          <w:szCs w:val="28"/>
        </w:rPr>
        <w:t>（1）若各设备、容器，天然气管路上安装的压力表未正常维护及定期校验，可能出现错误指示，特别是在实际压力过高未正确指示，遇安全阀未及时校验而不能开启卸压，而造成重大事故。</w:t>
      </w:r>
    </w:p>
    <w:p>
      <w:pPr>
        <w:pBdr>
          <w:top w:val="none" w:sz="0" w:space="0" w:color="auto"/>
          <w:left w:val="none" w:sz="0" w:space="0" w:color="auto"/>
          <w:bottom w:val="none" w:sz="0" w:space="0" w:color="auto"/>
          <w:right w:val="none" w:sz="0" w:space="0" w:color="auto"/>
        </w:pBdr>
        <w:spacing w:line="360" w:lineRule="auto"/>
        <w:ind w:firstLineChars="192" w:firstLine="538"/>
        <w:jc w:val="left"/>
        <w:rPr>
          <w:rFonts w:ascii="宋体" w:eastAsia="宋体" w:cs="Times New Roman" w:hint="eastAsia"/>
          <w:bCs/>
          <w:vanish w:val="0"/>
          <w:color w:val="auto"/>
          <w:kern w:val="2"/>
          <w:sz w:val="28"/>
          <w:szCs w:val="28"/>
        </w:rPr>
      </w:pPr>
      <w:r>
        <w:rPr>
          <w:rFonts w:ascii="宋体" w:eastAsia="宋体" w:cs="Times New Roman" w:hint="eastAsia"/>
          <w:bCs/>
          <w:vanish w:val="0"/>
          <w:color w:val="auto"/>
          <w:kern w:val="2"/>
          <w:sz w:val="28"/>
          <w:szCs w:val="28"/>
        </w:rPr>
        <w:t>（2）天然气放散管若不高出操作人员、检修人员可能达到的工作面2m以上，可能在放空时危及操作及检修人员的安全。</w:t>
      </w:r>
    </w:p>
    <w:p>
      <w:pPr>
        <w:pBdr>
          <w:top w:val="none" w:sz="0" w:space="0" w:color="auto"/>
          <w:left w:val="none" w:sz="0" w:space="0" w:color="auto"/>
          <w:bottom w:val="none" w:sz="0" w:space="0" w:color="auto"/>
          <w:right w:val="none" w:sz="0" w:space="0" w:color="auto"/>
        </w:pBdr>
        <w:spacing w:line="360" w:lineRule="auto"/>
        <w:ind w:firstLineChars="192" w:firstLine="538"/>
        <w:rPr>
          <w:rFonts w:ascii="宋体" w:eastAsia="宋体" w:cs="Times New Roman" w:hint="eastAsia"/>
          <w:vanish w:val="0"/>
          <w:color w:val="auto"/>
          <w:kern w:val="2"/>
          <w:sz w:val="28"/>
          <w:szCs w:val="28"/>
        </w:rPr>
      </w:pPr>
      <w:r>
        <w:rPr>
          <w:rFonts w:ascii="宋体" w:eastAsia="宋体" w:cs="Times New Roman" w:hint="eastAsia"/>
          <w:vanish w:val="0"/>
          <w:color w:val="auto"/>
          <w:kern w:val="2"/>
          <w:sz w:val="28"/>
          <w:szCs w:val="28"/>
        </w:rPr>
        <w:t>（3）若未经常检查</w:t>
      </w:r>
      <w:r>
        <w:rPr>
          <w:rFonts w:ascii="宋体" w:eastAsia="宋体" w:cs="Times New Roman" w:hint="eastAsia"/>
          <w:bCs/>
          <w:vanish w:val="0"/>
          <w:color w:val="auto"/>
          <w:kern w:val="2"/>
          <w:sz w:val="28"/>
          <w:szCs w:val="28"/>
        </w:rPr>
        <w:t>可燃气体浓度检测器的可靠性，当其失灵时，则不能及时发现危险区域内的天然气泄漏情况，无法避免火灾、爆炸事故。</w:t>
      </w:r>
    </w:p>
    <w:p>
      <w:pPr>
        <w:pStyle w:val="77"/>
        <w:pBdr>
          <w:top w:val="none" w:sz="0" w:space="0" w:color="auto"/>
          <w:left w:val="none" w:sz="0" w:space="0" w:color="auto"/>
          <w:bottom w:val="none" w:sz="0" w:space="0" w:color="auto"/>
          <w:right w:val="none" w:sz="0" w:space="0" w:color="auto"/>
        </w:pBdr>
        <w:ind w:firstLineChars="200" w:firstLine="560"/>
        <w:rPr>
          <w:rFonts w:ascii="宋体" w:eastAsia="宋体" w:cs="Times New Roman" w:hint="eastAsia"/>
          <w:bCs/>
          <w:vanish w:val="0"/>
          <w:color w:val="auto"/>
          <w:kern w:val="2"/>
          <w:sz w:val="28"/>
          <w:szCs w:val="28"/>
        </w:rPr>
      </w:pPr>
      <w:r>
        <w:rPr>
          <w:rFonts w:ascii="宋体" w:eastAsia="宋体" w:cs="Times New Roman" w:hint="eastAsia"/>
          <w:bCs/>
          <w:vanish w:val="0"/>
          <w:color w:val="auto"/>
          <w:kern w:val="2"/>
          <w:sz w:val="28"/>
          <w:szCs w:val="28"/>
        </w:rPr>
        <w:t>（4）若发生超压、超温等情况时，自控系统以及紧急切断系统不能及时动作，可能造成事故的发生。</w:t>
      </w:r>
    </w:p>
    <w:p>
      <w:pPr>
        <w:pStyle w:val="3"/>
        <w:rPr>
          <w:rFonts w:ascii="宋体" w:eastAsia="宋体" w:hint="eastAsia"/>
          <w:b/>
          <w:bCs/>
          <w:kern w:val="2"/>
          <w:sz w:val="30"/>
          <w:szCs w:val="30"/>
        </w:rPr>
      </w:pPr>
      <w:bookmarkStart w:id="91" w:name="_Toc25926"/>
      <w:bookmarkStart w:id="92" w:name="_Toc4918"/>
      <w:bookmarkEnd w:id="91"/>
      <w:r>
        <w:rPr>
          <w:rFonts w:ascii="宋体" w:eastAsia="宋体" w:hint="eastAsia"/>
          <w:b/>
          <w:bCs/>
          <w:kern w:val="2"/>
          <w:sz w:val="30"/>
          <w:szCs w:val="30"/>
        </w:rPr>
        <w:t>1.6.4 自控系统及仪表</w:t>
      </w:r>
      <w:bookmarkEnd w:id="92"/>
    </w:p>
    <w:p>
      <w:pPr>
        <w:pBdr>
          <w:top w:val="none" w:sz="0" w:space="0" w:color="auto"/>
          <w:left w:val="none" w:sz="0" w:space="0" w:color="auto"/>
          <w:bottom w:val="none" w:sz="0" w:space="0" w:color="auto"/>
          <w:right w:val="none" w:sz="0" w:space="0" w:color="auto"/>
        </w:pBdr>
        <w:kinsoku/>
        <w:wordWrap/>
        <w:overflowPunct/>
        <w:topLinePunct w:val="0"/>
        <w:autoSpaceDE w:val="0"/>
        <w:autoSpaceDN w:val="0"/>
        <w:adjustRightInd w:val="0"/>
        <w:snapToGrid/>
        <w:spacing w:line="360" w:lineRule="auto"/>
        <w:ind w:firstLineChars="150" w:firstLine="420"/>
        <w:contextualSpacing w:val="0"/>
        <w:jc w:val="left"/>
        <w:rPr>
          <w:rFonts w:ascii="宋体" w:eastAsia="宋体" w:hint="eastAsia"/>
          <w:vanish w:val="0"/>
          <w:color w:val="auto"/>
          <w:kern w:val="0"/>
          <w:sz w:val="28"/>
          <w:szCs w:val="28"/>
        </w:rPr>
      </w:pPr>
      <w:r>
        <w:rPr>
          <w:rFonts w:ascii="宋体" w:eastAsia="宋体" w:hint="eastAsia"/>
          <w:vanish w:val="0"/>
          <w:color w:val="auto"/>
          <w:kern w:val="0"/>
          <w:sz w:val="28"/>
          <w:szCs w:val="28"/>
        </w:rPr>
        <w:t>自动化系统及仪表设计包括：生产管理及自动控制系统及仪表等三部分，自控仪表系统一旦出现故障，将严重影响运营安全，自控系统及仪表主要发生故障和现实数据出现误差的原因如下：</w:t>
      </w:r>
    </w:p>
    <w:p>
      <w:pPr>
        <w:pBdr>
          <w:top w:val="none" w:sz="0" w:space="0" w:color="auto"/>
          <w:left w:val="none" w:sz="0" w:space="0" w:color="auto"/>
          <w:bottom w:val="none" w:sz="0" w:space="0" w:color="auto"/>
          <w:right w:val="none" w:sz="0" w:space="0" w:color="auto"/>
        </w:pBdr>
        <w:kinsoku/>
        <w:wordWrap/>
        <w:overflowPunct/>
        <w:topLinePunct w:val="0"/>
        <w:autoSpaceDE w:val="0"/>
        <w:autoSpaceDN w:val="0"/>
        <w:adjustRightInd w:val="0"/>
        <w:snapToGrid/>
        <w:spacing w:line="360" w:lineRule="auto"/>
        <w:ind w:firstLineChars="150" w:firstLine="420"/>
        <w:contextualSpacing w:val="0"/>
        <w:jc w:val="left"/>
        <w:rPr>
          <w:rFonts w:ascii="宋体" w:eastAsia="宋体" w:hint="eastAsia"/>
          <w:vanish w:val="0"/>
          <w:color w:val="auto"/>
          <w:kern w:val="0"/>
          <w:sz w:val="28"/>
          <w:szCs w:val="28"/>
        </w:rPr>
      </w:pPr>
      <w:r>
        <w:rPr>
          <w:rFonts w:ascii="宋体" w:eastAsia="宋体" w:hint="eastAsia"/>
          <w:vanish w:val="0"/>
          <w:color w:val="auto"/>
          <w:kern w:val="0"/>
          <w:sz w:val="28"/>
          <w:szCs w:val="28"/>
        </w:rPr>
        <w:t>（1）未制定自动化系统维护管理制度。</w:t>
      </w:r>
    </w:p>
    <w:p>
      <w:pPr>
        <w:pBdr>
          <w:top w:val="none" w:sz="0" w:space="0" w:color="auto"/>
          <w:left w:val="none" w:sz="0" w:space="0" w:color="auto"/>
          <w:bottom w:val="none" w:sz="0" w:space="0" w:color="auto"/>
          <w:right w:val="none" w:sz="0" w:space="0" w:color="auto"/>
        </w:pBdr>
        <w:kinsoku/>
        <w:wordWrap/>
        <w:overflowPunct/>
        <w:topLinePunct w:val="0"/>
        <w:autoSpaceDE w:val="0"/>
        <w:autoSpaceDN w:val="0"/>
        <w:adjustRightInd w:val="0"/>
        <w:snapToGrid/>
        <w:spacing w:line="360" w:lineRule="auto"/>
        <w:ind w:firstLineChars="150" w:firstLine="420"/>
        <w:contextualSpacing w:val="0"/>
        <w:jc w:val="left"/>
        <w:rPr>
          <w:rFonts w:ascii="宋体" w:eastAsia="宋体" w:hint="eastAsia"/>
          <w:vanish w:val="0"/>
          <w:color w:val="auto"/>
          <w:kern w:val="0"/>
          <w:sz w:val="28"/>
          <w:szCs w:val="28"/>
        </w:rPr>
      </w:pPr>
      <w:r>
        <w:rPr>
          <w:rFonts w:ascii="宋体" w:eastAsia="宋体" w:hint="eastAsia"/>
          <w:vanish w:val="0"/>
          <w:color w:val="auto"/>
          <w:kern w:val="0"/>
          <w:sz w:val="28"/>
          <w:szCs w:val="28"/>
        </w:rPr>
        <w:t>（2）未定期检查网络设备工作状态，网络速度、运行参数是否与设计一致。</w:t>
      </w:r>
    </w:p>
    <w:p>
      <w:pPr>
        <w:pBdr>
          <w:top w:val="none" w:sz="0" w:space="0" w:color="auto"/>
          <w:left w:val="none" w:sz="0" w:space="0" w:color="auto"/>
          <w:bottom w:val="none" w:sz="0" w:space="0" w:color="auto"/>
          <w:right w:val="none" w:sz="0" w:space="0" w:color="auto"/>
        </w:pBdr>
        <w:kinsoku/>
        <w:wordWrap/>
        <w:overflowPunct/>
        <w:topLinePunct w:val="0"/>
        <w:autoSpaceDE w:val="0"/>
        <w:autoSpaceDN w:val="0"/>
        <w:adjustRightInd w:val="0"/>
        <w:snapToGrid/>
        <w:spacing w:line="360" w:lineRule="auto"/>
        <w:ind w:firstLineChars="150" w:firstLine="420"/>
        <w:contextualSpacing w:val="0"/>
        <w:jc w:val="left"/>
        <w:rPr>
          <w:rFonts w:ascii="宋体" w:eastAsia="宋体" w:hint="eastAsia"/>
          <w:vanish w:val="0"/>
          <w:color w:val="auto"/>
          <w:kern w:val="0"/>
          <w:sz w:val="28"/>
          <w:szCs w:val="28"/>
        </w:rPr>
      </w:pPr>
      <w:r>
        <w:rPr>
          <w:rFonts w:ascii="宋体" w:eastAsia="宋体" w:hint="eastAsia"/>
          <w:vanish w:val="0"/>
          <w:color w:val="auto"/>
          <w:kern w:val="0"/>
          <w:sz w:val="28"/>
          <w:szCs w:val="28"/>
        </w:rPr>
        <w:t>（3）对控制系统中测量点的连锁值、报警值、量程、正反作用方式等信息修改时未先办理审批手续，未经分管技术人员签字确认后方可实施。</w:t>
      </w:r>
    </w:p>
    <w:p>
      <w:pPr>
        <w:pBdr>
          <w:top w:val="none" w:sz="0" w:space="0" w:color="auto"/>
          <w:left w:val="none" w:sz="0" w:space="0" w:color="auto"/>
          <w:bottom w:val="none" w:sz="0" w:space="0" w:color="auto"/>
          <w:right w:val="none" w:sz="0" w:space="0" w:color="auto"/>
        </w:pBdr>
        <w:kinsoku/>
        <w:wordWrap/>
        <w:overflowPunct/>
        <w:topLinePunct w:val="0"/>
        <w:autoSpaceDE w:val="0"/>
        <w:autoSpaceDN w:val="0"/>
        <w:adjustRightInd w:val="0"/>
        <w:snapToGrid/>
        <w:spacing w:line="360" w:lineRule="auto"/>
        <w:ind w:firstLineChars="150" w:firstLine="420"/>
        <w:contextualSpacing w:val="0"/>
        <w:jc w:val="left"/>
        <w:rPr>
          <w:rFonts w:ascii="宋体" w:eastAsia="宋体" w:hint="eastAsia"/>
          <w:vanish w:val="0"/>
          <w:color w:val="auto"/>
          <w:kern w:val="0"/>
          <w:sz w:val="28"/>
          <w:szCs w:val="28"/>
        </w:rPr>
      </w:pPr>
      <w:r>
        <w:rPr>
          <w:rFonts w:ascii="宋体" w:eastAsia="宋体" w:hint="eastAsia"/>
          <w:vanish w:val="0"/>
          <w:color w:val="auto"/>
          <w:kern w:val="0"/>
          <w:sz w:val="28"/>
          <w:szCs w:val="28"/>
        </w:rPr>
        <w:t>（4）控制系统使用的系统安装盘、驱动程序、监控软件防病毒软件等未采用正版软件，未存储备份。</w:t>
      </w:r>
    </w:p>
    <w:p>
      <w:pPr>
        <w:pBdr>
          <w:top w:val="none" w:sz="0" w:space="0" w:color="auto"/>
          <w:left w:val="none" w:sz="0" w:space="0" w:color="auto"/>
          <w:bottom w:val="none" w:sz="0" w:space="0" w:color="auto"/>
          <w:right w:val="none" w:sz="0" w:space="0" w:color="auto"/>
        </w:pBdr>
        <w:kinsoku/>
        <w:wordWrap/>
        <w:overflowPunct/>
        <w:topLinePunct w:val="0"/>
        <w:autoSpaceDE w:val="0"/>
        <w:autoSpaceDN w:val="0"/>
        <w:adjustRightInd w:val="0"/>
        <w:snapToGrid/>
        <w:spacing w:line="360" w:lineRule="auto"/>
        <w:ind w:firstLineChars="150" w:firstLine="420"/>
        <w:contextualSpacing w:val="0"/>
        <w:jc w:val="left"/>
        <w:rPr>
          <w:rFonts w:ascii="宋体" w:eastAsia="宋体" w:hint="eastAsia"/>
          <w:vanish w:val="0"/>
          <w:color w:val="auto"/>
          <w:kern w:val="0"/>
          <w:sz w:val="28"/>
          <w:szCs w:val="28"/>
        </w:rPr>
      </w:pPr>
      <w:r>
        <w:rPr>
          <w:rFonts w:ascii="宋体" w:eastAsia="宋体" w:hint="eastAsia"/>
          <w:vanish w:val="0"/>
          <w:color w:val="auto"/>
          <w:kern w:val="0"/>
          <w:sz w:val="28"/>
          <w:szCs w:val="28"/>
        </w:rPr>
        <w:t>（5）未对重要数据定期备份。</w:t>
      </w:r>
    </w:p>
    <w:p>
      <w:pPr>
        <w:pBdr>
          <w:top w:val="none" w:sz="0" w:space="0" w:color="auto"/>
          <w:left w:val="none" w:sz="0" w:space="0" w:color="auto"/>
          <w:bottom w:val="none" w:sz="0" w:space="0" w:color="auto"/>
          <w:right w:val="none" w:sz="0" w:space="0" w:color="auto"/>
        </w:pBdr>
        <w:kinsoku/>
        <w:wordWrap/>
        <w:overflowPunct/>
        <w:topLinePunct w:val="0"/>
        <w:autoSpaceDE w:val="0"/>
        <w:autoSpaceDN w:val="0"/>
        <w:adjustRightInd w:val="0"/>
        <w:snapToGrid/>
        <w:spacing w:line="360" w:lineRule="auto"/>
        <w:ind w:firstLineChars="150" w:firstLine="420"/>
        <w:contextualSpacing w:val="0"/>
        <w:jc w:val="left"/>
        <w:rPr>
          <w:rFonts w:ascii="宋体" w:eastAsia="宋体" w:hint="eastAsia"/>
          <w:vanish w:val="0"/>
          <w:color w:val="auto"/>
          <w:kern w:val="0"/>
          <w:sz w:val="28"/>
          <w:szCs w:val="28"/>
        </w:rPr>
      </w:pPr>
      <w:r>
        <w:rPr>
          <w:rFonts w:ascii="宋体" w:eastAsia="宋体" w:hint="eastAsia"/>
          <w:vanish w:val="0"/>
          <w:color w:val="auto"/>
          <w:kern w:val="0"/>
          <w:sz w:val="28"/>
          <w:szCs w:val="28"/>
        </w:rPr>
        <w:t>（6）关键工艺段现场监控站未采用热备冗余配置。重要设备无带电插拔、故障自诊断功能。</w:t>
      </w:r>
    </w:p>
    <w:p>
      <w:pPr>
        <w:pBdr>
          <w:top w:val="none" w:sz="0" w:space="0" w:color="auto"/>
          <w:left w:val="none" w:sz="0" w:space="0" w:color="auto"/>
          <w:bottom w:val="none" w:sz="0" w:space="0" w:color="auto"/>
          <w:right w:val="none" w:sz="0" w:space="0" w:color="auto"/>
        </w:pBdr>
        <w:kinsoku/>
        <w:wordWrap/>
        <w:overflowPunct/>
        <w:topLinePunct w:val="0"/>
        <w:autoSpaceDE w:val="0"/>
        <w:autoSpaceDN w:val="0"/>
        <w:adjustRightInd w:val="0"/>
        <w:snapToGrid/>
        <w:spacing w:line="360" w:lineRule="auto"/>
        <w:ind w:firstLineChars="150" w:firstLine="420"/>
        <w:contextualSpacing w:val="0"/>
        <w:jc w:val="left"/>
        <w:rPr>
          <w:rFonts w:ascii="宋体" w:eastAsia="宋体" w:hint="eastAsia"/>
          <w:vanish w:val="0"/>
          <w:color w:val="auto"/>
          <w:kern w:val="0"/>
          <w:sz w:val="28"/>
          <w:szCs w:val="28"/>
        </w:rPr>
      </w:pPr>
      <w:r>
        <w:rPr>
          <w:rFonts w:ascii="宋体" w:eastAsia="宋体" w:hint="eastAsia"/>
          <w:vanish w:val="0"/>
          <w:color w:val="auto"/>
          <w:kern w:val="0"/>
          <w:sz w:val="28"/>
          <w:szCs w:val="28"/>
        </w:rPr>
        <w:t>（7）未按周期清洗探头，检查量程与精度、零点漂移、温度漂移的标定，更换过滤器，更新内置电池，整机维护等工作。</w:t>
      </w:r>
    </w:p>
    <w:p>
      <w:pPr>
        <w:pBdr>
          <w:top w:val="none" w:sz="0" w:space="0" w:color="auto"/>
          <w:left w:val="none" w:sz="0" w:space="0" w:color="auto"/>
          <w:bottom w:val="none" w:sz="0" w:space="0" w:color="auto"/>
          <w:right w:val="none" w:sz="0" w:space="0" w:color="auto"/>
        </w:pBdr>
        <w:kinsoku/>
        <w:wordWrap/>
        <w:overflowPunct/>
        <w:topLinePunct w:val="0"/>
        <w:autoSpaceDE w:val="0"/>
        <w:autoSpaceDN w:val="0"/>
        <w:adjustRightInd w:val="0"/>
        <w:snapToGrid/>
        <w:spacing w:line="360" w:lineRule="auto"/>
        <w:ind w:firstLineChars="150" w:firstLine="420"/>
        <w:contextualSpacing w:val="0"/>
        <w:jc w:val="left"/>
        <w:rPr>
          <w:rFonts w:ascii="宋体" w:eastAsia="宋体" w:hint="eastAsia"/>
          <w:vanish w:val="0"/>
          <w:color w:val="auto"/>
          <w:kern w:val="0"/>
          <w:sz w:val="28"/>
          <w:szCs w:val="28"/>
        </w:rPr>
      </w:pPr>
      <w:r>
        <w:rPr>
          <w:rFonts w:ascii="宋体" w:eastAsia="宋体" w:hint="eastAsia"/>
          <w:vanish w:val="0"/>
          <w:color w:val="auto"/>
          <w:kern w:val="0"/>
          <w:sz w:val="28"/>
          <w:szCs w:val="28"/>
        </w:rPr>
        <w:t>（8）信号输出接口、进行量程\输入输出信号、开关动作、DC4-20mA模拟信号方式、0/1状态信号方式未定期进行校验调整。</w:t>
      </w:r>
    </w:p>
    <w:p>
      <w:pPr>
        <w:pStyle w:val="31"/>
        <w:pBdr>
          <w:top w:val="none" w:sz="0" w:space="0" w:color="auto"/>
          <w:left w:val="none" w:sz="0" w:space="0" w:color="auto"/>
          <w:bottom w:val="none" w:sz="0" w:space="0" w:color="auto"/>
          <w:right w:val="none" w:sz="0" w:space="0" w:color="auto"/>
        </w:pBdr>
        <w:ind w:left="400"/>
        <w:rPr>
          <w:rFonts w:ascii="宋体" w:eastAsia="宋体" w:hint="eastAsia"/>
          <w:vanish w:val="0"/>
          <w:kern w:val="2"/>
          <w:sz w:val="28"/>
          <w:szCs w:val="28"/>
        </w:rPr>
      </w:pPr>
      <w:r>
        <w:rPr>
          <w:rFonts w:ascii="宋体" w:eastAsia="宋体" w:hint="eastAsia"/>
          <w:vanish w:val="0"/>
          <w:color w:val="auto"/>
          <w:kern w:val="0"/>
          <w:sz w:val="28"/>
          <w:szCs w:val="28"/>
        </w:rPr>
        <w:t>（9）执行器、驱动器的动作开关、执行机构未进行检查、调整与维护。</w:t>
      </w:r>
    </w:p>
    <w:p>
      <w:pPr>
        <w:pStyle w:val="2"/>
        <w:pBdr>
          <w:top w:val="none" w:sz="0" w:space="0" w:color="auto"/>
          <w:left w:val="none" w:sz="0" w:space="0" w:color="auto"/>
          <w:bottom w:val="none" w:sz="0" w:space="0" w:color="auto"/>
          <w:right w:val="none" w:sz="0" w:space="0" w:color="auto"/>
        </w:pBdr>
        <w:spacing w:beforeLines="0" w:before="156" w:beforeAutospacing="0"/>
        <w:rPr>
          <w:rFonts w:ascii="宋体" w:eastAsia="宋体" w:hint="eastAsia"/>
          <w:b/>
          <w:bCs/>
          <w:vanish w:val="0"/>
          <w:kern w:val="2"/>
          <w:sz w:val="32"/>
          <w:szCs w:val="32"/>
        </w:rPr>
      </w:pPr>
      <w:bookmarkStart w:id="93" w:name="_Toc296007134"/>
      <w:bookmarkStart w:id="94" w:name="_Toc449348759"/>
      <w:bookmarkStart w:id="95" w:name="_Toc10069"/>
      <w:bookmarkStart w:id="96" w:name="_Toc29943"/>
      <w:bookmarkStart w:id="97" w:name="_Toc988"/>
      <w:bookmarkStart w:id="98" w:name="_Toc16714"/>
      <w:bookmarkStart w:id="99" w:name="_Toc13216"/>
      <w:bookmarkEnd w:id="93"/>
      <w:bookmarkEnd w:id="94"/>
      <w:bookmarkEnd w:id="95"/>
      <w:bookmarkEnd w:id="96"/>
      <w:bookmarkEnd w:id="97"/>
      <w:bookmarkEnd w:id="98"/>
      <w:r>
        <w:rPr>
          <w:rFonts w:ascii="宋体" w:eastAsia="宋体" w:hint="eastAsia"/>
          <w:b/>
          <w:bCs/>
          <w:vanish w:val="0"/>
          <w:kern w:val="2"/>
          <w:sz w:val="32"/>
          <w:szCs w:val="32"/>
        </w:rPr>
        <w:t>1.7 维护清理、检修过程中的</w:t>
      </w:r>
      <w:bookmarkEnd w:id="99"/>
      <w:r>
        <w:rPr>
          <w:rFonts w:ascii="宋体" w:eastAsia="宋体" w:hint="eastAsia"/>
          <w:b/>
          <w:bCs/>
          <w:vanish w:val="0"/>
          <w:kern w:val="2"/>
          <w:sz w:val="32"/>
          <w:szCs w:val="32"/>
        </w:rPr>
        <w:t>危险有害因素分析</w:t>
      </w:r>
    </w:p>
    <w:p>
      <w:pPr>
        <w:pStyle w:val="3"/>
        <w:rPr>
          <w:rFonts w:ascii="宋体" w:eastAsia="宋体" w:hint="eastAsia"/>
          <w:b/>
          <w:bCs/>
          <w:kern w:val="2"/>
          <w:sz w:val="30"/>
          <w:szCs w:val="30"/>
        </w:rPr>
      </w:pPr>
      <w:bookmarkStart w:id="100" w:name="_Toc9999"/>
      <w:bookmarkStart w:id="101" w:name="_Toc21455"/>
      <w:bookmarkStart w:id="102" w:name="_Toc922"/>
      <w:bookmarkStart w:id="103" w:name="_Toc449348760"/>
      <w:bookmarkEnd w:id="100"/>
      <w:bookmarkEnd w:id="101"/>
      <w:bookmarkEnd w:id="102"/>
      <w:r>
        <w:rPr>
          <w:rFonts w:ascii="宋体" w:eastAsia="宋体" w:hint="eastAsia"/>
          <w:b/>
          <w:bCs/>
          <w:kern w:val="2"/>
          <w:sz w:val="30"/>
          <w:szCs w:val="30"/>
        </w:rPr>
        <w:t>1.7.1 设备维护清理作业</w:t>
      </w:r>
      <w:bookmarkEnd w:id="103"/>
    </w:p>
    <w:p>
      <w:pPr>
        <w:numPr>
          <w:ilvl w:val="0"/>
          <w:numId w:val="7"/>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设备设施维护作业带有一定的危险性。在作业时，不坚持在无明火、无油品或无油气的条件下作业，或不按作业规程作业，产生的各种火花、明火极有可能引起油品燃烧或混合性爆炸气体的回燃、爆炸。</w:t>
      </w:r>
    </w:p>
    <w:p>
      <w:pPr>
        <w:numPr>
          <w:ilvl w:val="0"/>
          <w:numId w:val="7"/>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油罐清洗作业时，由于罐内油气和沉淀物清除不彻底，残余油气遇静电、摩擦、电火花等点火源，可能导致火灾、爆炸事故；此外，清罐作业废水若不采取集中收集处理，随意倾倒也有可能引发火灾事故。</w:t>
      </w:r>
    </w:p>
    <w:p>
      <w:pPr>
        <w:numPr>
          <w:ilvl w:val="0"/>
          <w:numId w:val="7"/>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油罐清洗作业时，未按《工贸企业有限空间作业安全管理与监督暂行规定》（原国家安监总局令[2013]第59号，根据原国家安监总局令[2015]第80号修订）进行操作可能造成人员中毒窒息。</w:t>
      </w:r>
    </w:p>
    <w:p>
      <w:pPr>
        <w:pStyle w:val="3"/>
        <w:rPr>
          <w:rFonts w:ascii="宋体" w:eastAsia="宋体" w:hint="eastAsia"/>
          <w:b/>
          <w:bCs/>
          <w:kern w:val="2"/>
          <w:sz w:val="30"/>
          <w:szCs w:val="30"/>
        </w:rPr>
      </w:pPr>
      <w:bookmarkStart w:id="104" w:name="_Toc449348761"/>
      <w:bookmarkStart w:id="105" w:name="_Toc2565"/>
      <w:bookmarkStart w:id="106" w:name="_Toc28495"/>
      <w:bookmarkStart w:id="107" w:name="_Toc6669"/>
      <w:bookmarkEnd w:id="104"/>
      <w:bookmarkEnd w:id="105"/>
      <w:bookmarkEnd w:id="106"/>
      <w:r>
        <w:rPr>
          <w:rFonts w:ascii="宋体" w:eastAsia="宋体" w:hint="eastAsia"/>
          <w:b/>
          <w:bCs/>
          <w:kern w:val="2"/>
          <w:sz w:val="30"/>
          <w:szCs w:val="30"/>
        </w:rPr>
        <w:t>1.7.2 检修</w:t>
      </w:r>
      <w:bookmarkEnd w:id="107"/>
      <w:r>
        <w:rPr>
          <w:rFonts w:ascii="宋体" w:eastAsia="宋体" w:hint="eastAsia"/>
          <w:b/>
          <w:bCs/>
          <w:kern w:val="2"/>
          <w:sz w:val="30"/>
          <w:szCs w:val="30"/>
        </w:rPr>
        <w:t>作业</w:t>
      </w:r>
    </w:p>
    <w:p>
      <w:pPr>
        <w:numPr>
          <w:ilvl w:val="0"/>
          <w:numId w:val="8"/>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若在检修作业时未制定严格的储油、加油等装置的各项安全操作规程和安全措施，储油和加油装置周围存在点火源，导致发生火灾爆炸事故。</w:t>
      </w:r>
    </w:p>
    <w:p>
      <w:pPr>
        <w:numPr>
          <w:ilvl w:val="0"/>
          <w:numId w:val="8"/>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bookmarkStart w:id="108" w:name="OLE_LINK67"/>
      <w:bookmarkEnd w:id="108"/>
      <w:r>
        <w:rPr>
          <w:rFonts w:ascii="宋体" w:eastAsia="宋体" w:hint="eastAsia"/>
          <w:vanish w:val="0"/>
          <w:kern w:val="2"/>
          <w:sz w:val="28"/>
          <w:szCs w:val="28"/>
        </w:rPr>
        <w:t>在停工检修现场和油罐清理等，未严格按规定进行停工后油罐置换、吹扫与清洗等作业或作业工作完成不完全彻底，或未切断待检设备的电源，安全交接工作未交接清楚明白，易导致发生火灾爆炸、人员中毒或触电事故。</w:t>
      </w:r>
    </w:p>
    <w:p>
      <w:pPr>
        <w:numPr>
          <w:ilvl w:val="0"/>
          <w:numId w:val="8"/>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检修设备内作业时未按规定办理“设备内安全作业证”，并严格履行审批手续，未使用安全电压，可能由于电气火花发生火灾爆炸事故或触电事故；或未严格落实专人监护，罐未清洗、置换、吹扫并检测合格，违规动火作业可能发生火灾爆炸事故；罐内作业未进行氧含量分析或通风不良、未严格落实专人监护、个体防护、应急救护措施可能发生人员中毒与窒息事故。</w:t>
      </w:r>
    </w:p>
    <w:p>
      <w:pPr>
        <w:numPr>
          <w:ilvl w:val="0"/>
          <w:numId w:val="8"/>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在设备进行焊接或气割等检修工作时，未设置专人对作业现场监督检查，未重点检查罐内和周边环境的通风是否良好、检修地点周边是否有危险源、经营场地是否保持安全距离、设备是否接地良好、氧气和乙炔气瓶是否有专人控制、工作间歇时焊枪是否从罐内移出，焊枪和气瓶是否渗漏等现象，均导致发生火灾爆炸、人员中毒窒息事故。</w:t>
      </w:r>
    </w:p>
    <w:p>
      <w:pPr>
        <w:numPr>
          <w:ilvl w:val="0"/>
          <w:numId w:val="8"/>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在检修作业现场若检修工具放于高处掉下、或其他高处物体放置不牢跌落等均可能造成物体打击。</w:t>
      </w:r>
    </w:p>
    <w:p>
      <w:pPr>
        <w:numPr>
          <w:ilvl w:val="0"/>
          <w:numId w:val="8"/>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在加油加气站内建筑物、高处设备和操作平台进行检修作业中，若未按要求设置安全防护设施或安全防护设施因腐蚀等原因而不可靠，人员未按高处作业要求穿戴防护用品，操作处置失误等，易发生高处坠落；</w:t>
      </w:r>
    </w:p>
    <w:p>
      <w:pPr>
        <w:numPr>
          <w:ilvl w:val="0"/>
          <w:numId w:val="8"/>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安装、检修设备、管道时，或操作检修机械设备等运转设备时，安全措施不完善，劳动保护不到位等，易发生机械伤害事故；</w:t>
      </w:r>
    </w:p>
    <w:p>
      <w:pPr>
        <w:numPr>
          <w:ilvl w:val="0"/>
          <w:numId w:val="8"/>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在对电器设备维护检修时，由于电器设备或电气线路漏电，或检修时在开关上未悬挂“正在检修，禁止合闸”警示标志，或使用电器设备时未配电绝缘手套等防护用品，使用移动电器设备未设置漏电保护开关，或违规操作等现象，可造成人员触电；</w:t>
      </w:r>
    </w:p>
    <w:p>
      <w:pPr>
        <w:numPr>
          <w:ilvl w:val="0"/>
          <w:numId w:val="8"/>
        </w:numPr>
        <w:pBdr>
          <w:top w:val="none" w:sz="0" w:space="0" w:color="auto"/>
          <w:left w:val="none" w:sz="0" w:space="0" w:color="auto"/>
          <w:bottom w:val="none" w:sz="0" w:space="0" w:color="auto"/>
          <w:right w:val="none" w:sz="0" w:space="0" w:color="auto"/>
        </w:pBdr>
        <w:ind w:left="0" w:firstLine="400"/>
        <w:rPr>
          <w:rFonts w:ascii="宋体" w:eastAsia="宋体" w:hint="eastAsia"/>
          <w:vanish w:val="0"/>
          <w:kern w:val="2"/>
          <w:sz w:val="28"/>
          <w:szCs w:val="28"/>
        </w:rPr>
      </w:pPr>
      <w:r>
        <w:rPr>
          <w:rFonts w:ascii="宋体" w:eastAsia="宋体" w:hint="eastAsia"/>
          <w:vanish w:val="0"/>
          <w:kern w:val="2"/>
          <w:sz w:val="28"/>
          <w:szCs w:val="28"/>
        </w:rPr>
        <w:t>检修过程中使用电焊、气焊操作中，由于焊接产生的电弧及焊接后工件表面具有较高的温度，一旦因人员操作不当或未佩戴防护用品或佩戴不合格的防护用品，可能对工作人员带来非电离辐射伤害、灼烫伤害。</w:t>
      </w:r>
    </w:p>
    <w:p>
      <w:pPr>
        <w:pStyle w:val="2"/>
        <w:pBdr>
          <w:top w:val="none" w:sz="0" w:space="0" w:color="auto"/>
          <w:left w:val="none" w:sz="0" w:space="0" w:color="auto"/>
          <w:bottom w:val="none" w:sz="0" w:space="0" w:color="auto"/>
          <w:right w:val="none" w:sz="0" w:space="0" w:color="auto"/>
        </w:pBdr>
        <w:spacing w:beforeLines="0" w:before="156" w:beforeAutospacing="0"/>
        <w:rPr>
          <w:rFonts w:ascii="宋体" w:eastAsia="宋体" w:hint="eastAsia"/>
          <w:b/>
          <w:bCs/>
          <w:vanish w:val="0"/>
          <w:kern w:val="2"/>
          <w:sz w:val="32"/>
          <w:szCs w:val="32"/>
        </w:rPr>
      </w:pPr>
      <w:bookmarkStart w:id="109" w:name="_Toc296007137"/>
      <w:bookmarkStart w:id="110" w:name="_Toc28362"/>
      <w:bookmarkStart w:id="111" w:name="_Toc449348762"/>
      <w:bookmarkStart w:id="112" w:name="_Toc24408"/>
      <w:bookmarkStart w:id="113" w:name="_Toc14145"/>
      <w:bookmarkStart w:id="114" w:name="_Toc13077"/>
      <w:bookmarkStart w:id="115" w:name="_Toc14189"/>
      <w:bookmarkEnd w:id="109"/>
      <w:bookmarkEnd w:id="110"/>
      <w:bookmarkEnd w:id="111"/>
      <w:bookmarkEnd w:id="112"/>
      <w:bookmarkEnd w:id="113"/>
      <w:bookmarkEnd w:id="114"/>
      <w:r>
        <w:rPr>
          <w:rFonts w:ascii="宋体" w:eastAsia="宋体" w:hint="eastAsia"/>
          <w:b/>
          <w:bCs/>
          <w:vanish w:val="0"/>
          <w:kern w:val="2"/>
          <w:sz w:val="32"/>
          <w:szCs w:val="32"/>
        </w:rPr>
        <w:t>1.8 安全管理</w:t>
      </w:r>
      <w:bookmarkEnd w:id="115"/>
      <w:r>
        <w:rPr>
          <w:rFonts w:ascii="宋体" w:eastAsia="宋体" w:hint="eastAsia"/>
          <w:b/>
          <w:bCs/>
          <w:vanish w:val="0"/>
          <w:kern w:val="2"/>
          <w:sz w:val="32"/>
          <w:szCs w:val="32"/>
        </w:rPr>
        <w:t>中存在的危险有害因素分析</w:t>
      </w:r>
    </w:p>
    <w:p>
      <w:pPr>
        <w:numPr>
          <w:ilvl w:val="0"/>
          <w:numId w:val="9"/>
        </w:numPr>
        <w:pBdr>
          <w:top w:val="none" w:sz="0" w:space="0" w:color="auto"/>
          <w:left w:val="none" w:sz="0" w:space="0" w:color="auto"/>
          <w:bottom w:val="none" w:sz="0" w:space="0" w:color="auto"/>
          <w:right w:val="none" w:sz="0" w:space="0" w:color="auto"/>
        </w:pBdr>
        <w:ind w:left="0" w:firstLineChars="200" w:firstLine="560"/>
        <w:rPr>
          <w:rFonts w:ascii="宋体" w:eastAsia="宋体" w:hint="eastAsia"/>
          <w:vanish w:val="0"/>
          <w:kern w:val="2"/>
          <w:sz w:val="28"/>
          <w:szCs w:val="28"/>
        </w:rPr>
      </w:pPr>
      <w:r>
        <w:rPr>
          <w:rFonts w:ascii="宋体" w:eastAsia="宋体" w:hint="eastAsia"/>
          <w:vanish w:val="0"/>
          <w:kern w:val="2"/>
          <w:sz w:val="28"/>
          <w:szCs w:val="28"/>
        </w:rPr>
        <w:t>加油加气站安全管理机构不健全、安全规章制度和安全操作规程不完善或执行不力、人员违章和失误、缺乏事故应急处理机制、应急救护及装备不到位等往往是导致各类安全事故发生的最直接的原因。</w:t>
      </w:r>
    </w:p>
    <w:p>
      <w:pPr>
        <w:numPr>
          <w:ilvl w:val="0"/>
          <w:numId w:val="9"/>
        </w:numPr>
        <w:pBdr>
          <w:top w:val="none" w:sz="0" w:space="0" w:color="auto"/>
          <w:left w:val="none" w:sz="0" w:space="0" w:color="auto"/>
          <w:bottom w:val="none" w:sz="0" w:space="0" w:color="auto"/>
          <w:right w:val="none" w:sz="0" w:space="0" w:color="auto"/>
        </w:pBdr>
        <w:ind w:left="0" w:firstLineChars="200" w:firstLine="560"/>
        <w:rPr>
          <w:rFonts w:ascii="宋体" w:eastAsia="宋体" w:hint="eastAsia"/>
          <w:vanish w:val="0"/>
          <w:kern w:val="2"/>
          <w:sz w:val="28"/>
          <w:szCs w:val="28"/>
        </w:rPr>
      </w:pPr>
      <w:r>
        <w:rPr>
          <w:rFonts w:ascii="宋体" w:eastAsia="宋体" w:hint="eastAsia"/>
          <w:vanish w:val="0"/>
          <w:kern w:val="2"/>
          <w:sz w:val="28"/>
          <w:szCs w:val="28"/>
        </w:rPr>
        <w:t>安全管理组织机构不健全，不能有效地控制和监督经营储存过程的安全进行，避免和减少各类事故发生，且一旦发生事故，缺少有组织、有纪律的应急救援，导致事故扩大，增加财产损失和人员伤亡。</w:t>
      </w:r>
    </w:p>
    <w:p>
      <w:pPr>
        <w:numPr>
          <w:ilvl w:val="0"/>
          <w:numId w:val="9"/>
        </w:numPr>
        <w:pBdr>
          <w:top w:val="none" w:sz="0" w:space="0" w:color="auto"/>
          <w:left w:val="none" w:sz="0" w:space="0" w:color="auto"/>
          <w:bottom w:val="none" w:sz="0" w:space="0" w:color="auto"/>
          <w:right w:val="none" w:sz="0" w:space="0" w:color="auto"/>
        </w:pBdr>
        <w:ind w:left="0" w:firstLineChars="200" w:firstLine="560"/>
        <w:rPr>
          <w:rFonts w:ascii="宋体" w:eastAsia="宋体" w:hint="eastAsia"/>
          <w:vanish w:val="0"/>
          <w:kern w:val="2"/>
          <w:sz w:val="28"/>
          <w:szCs w:val="28"/>
        </w:rPr>
      </w:pPr>
      <w:r>
        <w:rPr>
          <w:rFonts w:ascii="宋体" w:eastAsia="宋体" w:hint="eastAsia"/>
          <w:vanish w:val="0"/>
          <w:kern w:val="2"/>
          <w:sz w:val="28"/>
          <w:szCs w:val="28"/>
        </w:rPr>
        <w:t>安全责任制不健全或不落实，人员职责不明确，不能做到预防为主，严格管理，一旦事故发生后，不能有效实施事故责任追究制，存在潜在的安全隐患。</w:t>
      </w:r>
    </w:p>
    <w:p>
      <w:pPr>
        <w:numPr>
          <w:ilvl w:val="0"/>
          <w:numId w:val="9"/>
        </w:numPr>
        <w:pBdr>
          <w:top w:val="none" w:sz="0" w:space="0" w:color="auto"/>
          <w:left w:val="none" w:sz="0" w:space="0" w:color="auto"/>
          <w:bottom w:val="none" w:sz="0" w:space="0" w:color="auto"/>
          <w:right w:val="none" w:sz="0" w:space="0" w:color="auto"/>
        </w:pBdr>
        <w:ind w:left="0" w:firstLineChars="200" w:firstLine="560"/>
        <w:rPr>
          <w:rFonts w:ascii="宋体" w:eastAsia="宋体" w:hint="eastAsia"/>
          <w:vanish w:val="0"/>
          <w:kern w:val="2"/>
          <w:sz w:val="28"/>
          <w:szCs w:val="28"/>
        </w:rPr>
      </w:pPr>
      <w:r>
        <w:rPr>
          <w:rFonts w:ascii="宋体" w:eastAsia="宋体" w:hint="eastAsia"/>
          <w:vanish w:val="0"/>
          <w:kern w:val="2"/>
          <w:sz w:val="28"/>
          <w:szCs w:val="28"/>
        </w:rPr>
        <w:t>安全负责人和安全生产管理人员未定期进行继续安全教育培训，不具备进行安全管理的能力，造成经营过程中安全管理混乱，从而酿成各类事故发生。</w:t>
      </w:r>
    </w:p>
    <w:p>
      <w:pPr>
        <w:numPr>
          <w:ilvl w:val="0"/>
          <w:numId w:val="9"/>
        </w:numPr>
        <w:pBdr>
          <w:top w:val="none" w:sz="0" w:space="0" w:color="auto"/>
          <w:left w:val="none" w:sz="0" w:space="0" w:color="auto"/>
          <w:bottom w:val="none" w:sz="0" w:space="0" w:color="auto"/>
          <w:right w:val="none" w:sz="0" w:space="0" w:color="auto"/>
        </w:pBdr>
        <w:ind w:left="0" w:firstLineChars="200" w:firstLine="560"/>
        <w:rPr>
          <w:rFonts w:ascii="宋体" w:eastAsia="宋体" w:hint="eastAsia"/>
          <w:vanish w:val="0"/>
          <w:kern w:val="2"/>
          <w:sz w:val="28"/>
          <w:szCs w:val="28"/>
        </w:rPr>
      </w:pPr>
      <w:r>
        <w:rPr>
          <w:rFonts w:ascii="宋体" w:eastAsia="宋体" w:hint="eastAsia"/>
          <w:vanish w:val="0"/>
          <w:kern w:val="2"/>
          <w:sz w:val="28"/>
          <w:szCs w:val="28"/>
        </w:rPr>
        <w:t>未制定严格、完善的安全管理规章制度和岗位操作规程，致使员工在经营过程中无规可依、无章可循，导致违章操作、违章指挥、违反劳动纪律等现象发生。</w:t>
      </w:r>
    </w:p>
    <w:p>
      <w:pPr>
        <w:numPr>
          <w:ilvl w:val="0"/>
          <w:numId w:val="9"/>
        </w:numPr>
        <w:pBdr>
          <w:top w:val="none" w:sz="0" w:space="0" w:color="auto"/>
          <w:left w:val="none" w:sz="0" w:space="0" w:color="auto"/>
          <w:bottom w:val="none" w:sz="0" w:space="0" w:color="auto"/>
          <w:right w:val="none" w:sz="0" w:space="0" w:color="auto"/>
        </w:pBdr>
        <w:ind w:left="0" w:firstLineChars="200" w:firstLine="560"/>
        <w:rPr>
          <w:rFonts w:ascii="宋体" w:eastAsia="宋体" w:hint="eastAsia"/>
          <w:vanish w:val="0"/>
          <w:kern w:val="2"/>
          <w:sz w:val="28"/>
          <w:szCs w:val="28"/>
        </w:rPr>
      </w:pPr>
      <w:r>
        <w:rPr>
          <w:rFonts w:ascii="宋体" w:eastAsia="宋体" w:hint="eastAsia"/>
          <w:vanish w:val="0"/>
          <w:kern w:val="2"/>
          <w:sz w:val="28"/>
          <w:szCs w:val="28"/>
        </w:rPr>
        <w:t>作业人员未进行专业培训或培训考核不合格就上岗，不熟悉有关的安全经营规章制度和掌握本岗位的安全操作规程，专业技术、技能差，导致操作失误，引发安全事故。</w:t>
      </w:r>
    </w:p>
    <w:p>
      <w:pPr>
        <w:numPr>
          <w:ilvl w:val="0"/>
          <w:numId w:val="9"/>
        </w:numPr>
        <w:pBdr>
          <w:top w:val="none" w:sz="0" w:space="0" w:color="auto"/>
          <w:left w:val="none" w:sz="0" w:space="0" w:color="auto"/>
          <w:bottom w:val="none" w:sz="0" w:space="0" w:color="auto"/>
          <w:right w:val="none" w:sz="0" w:space="0" w:color="auto"/>
        </w:pBdr>
        <w:ind w:left="0" w:firstLineChars="200" w:firstLine="560"/>
        <w:rPr>
          <w:rFonts w:ascii="宋体" w:eastAsia="宋体" w:hint="eastAsia"/>
          <w:vanish w:val="0"/>
          <w:kern w:val="2"/>
          <w:sz w:val="28"/>
          <w:szCs w:val="28"/>
        </w:rPr>
      </w:pPr>
      <w:r>
        <w:rPr>
          <w:rFonts w:ascii="宋体" w:eastAsia="宋体" w:hint="eastAsia"/>
          <w:vanish w:val="0"/>
          <w:kern w:val="2"/>
          <w:sz w:val="28"/>
          <w:szCs w:val="28"/>
        </w:rPr>
        <w:t>作业人员未进行日常安全知识培训和应急教育，在紧急情况下不能采取正确的应急方法，事故发生初期自救、互救能力低。</w:t>
      </w:r>
    </w:p>
    <w:p>
      <w:pPr>
        <w:numPr>
          <w:ilvl w:val="0"/>
          <w:numId w:val="9"/>
        </w:numPr>
        <w:pBdr>
          <w:top w:val="none" w:sz="0" w:space="0" w:color="auto"/>
          <w:left w:val="none" w:sz="0" w:space="0" w:color="auto"/>
          <w:bottom w:val="none" w:sz="0" w:space="0" w:color="auto"/>
          <w:right w:val="none" w:sz="0" w:space="0" w:color="auto"/>
        </w:pBdr>
        <w:ind w:left="0" w:firstLineChars="200" w:firstLine="560"/>
        <w:rPr>
          <w:rFonts w:ascii="宋体" w:eastAsia="宋体" w:hint="eastAsia"/>
          <w:vanish w:val="0"/>
          <w:kern w:val="2"/>
          <w:sz w:val="28"/>
          <w:szCs w:val="28"/>
        </w:rPr>
      </w:pPr>
      <w:r>
        <w:rPr>
          <w:rFonts w:ascii="宋体" w:eastAsia="宋体" w:hint="eastAsia"/>
          <w:vanish w:val="0"/>
          <w:kern w:val="2"/>
          <w:sz w:val="28"/>
          <w:szCs w:val="28"/>
        </w:rPr>
        <w:t>作业人员素质低、安全意识差，工作过程中出现思想麻痹、粗心大意、疲劳作业、醉酒上岗等现象，减少人的不安全行为、改善安全环境带来了极大的困难，存在事故隐患。</w:t>
      </w:r>
    </w:p>
    <w:p>
      <w:pPr>
        <w:numPr>
          <w:ilvl w:val="0"/>
          <w:numId w:val="9"/>
        </w:numPr>
        <w:pBdr>
          <w:top w:val="none" w:sz="0" w:space="0" w:color="auto"/>
          <w:left w:val="none" w:sz="0" w:space="0" w:color="auto"/>
          <w:bottom w:val="none" w:sz="0" w:space="0" w:color="auto"/>
          <w:right w:val="none" w:sz="0" w:space="0" w:color="auto"/>
        </w:pBdr>
        <w:ind w:left="0" w:firstLineChars="200" w:firstLine="560"/>
        <w:rPr>
          <w:rFonts w:ascii="宋体" w:eastAsia="宋体" w:hint="eastAsia"/>
          <w:vanish w:val="0"/>
          <w:kern w:val="2"/>
          <w:sz w:val="28"/>
          <w:szCs w:val="28"/>
        </w:rPr>
      </w:pPr>
      <w:r>
        <w:rPr>
          <w:rFonts w:ascii="宋体" w:eastAsia="宋体" w:hint="eastAsia"/>
          <w:vanish w:val="0"/>
          <w:kern w:val="2"/>
          <w:sz w:val="28"/>
          <w:szCs w:val="28"/>
        </w:rPr>
        <w:t>未制定完善重大事故应急救援预案和进行事故演练，发生紧急情况时不能做出快速反应，不能按照预先布置及时投入救援，消除和降低事故影响，导致事故蔓延、扩大，从而造成更大的损失和后果。</w:t>
      </w:r>
    </w:p>
    <w:p>
      <w:pPr>
        <w:pStyle w:val="2"/>
        <w:pBdr>
          <w:top w:val="none" w:sz="0" w:space="0" w:color="auto"/>
          <w:left w:val="none" w:sz="0" w:space="0" w:color="auto"/>
          <w:bottom w:val="none" w:sz="0" w:space="0" w:color="auto"/>
          <w:right w:val="none" w:sz="0" w:space="0" w:color="auto"/>
        </w:pBdr>
        <w:spacing w:beforeLines="0" w:before="156" w:beforeAutospacing="0"/>
        <w:rPr>
          <w:rFonts w:ascii="宋体" w:eastAsia="宋体" w:hint="eastAsia"/>
          <w:b/>
          <w:bCs/>
          <w:vanish w:val="0"/>
          <w:kern w:val="2"/>
          <w:sz w:val="32"/>
          <w:szCs w:val="32"/>
        </w:rPr>
      </w:pPr>
      <w:bookmarkStart w:id="116" w:name="_Toc12776"/>
      <w:bookmarkStart w:id="117" w:name="_Toc296007139"/>
      <w:bookmarkStart w:id="118" w:name="_Toc26350"/>
      <w:bookmarkStart w:id="119" w:name="_Toc23819"/>
      <w:bookmarkStart w:id="120" w:name="_Toc15362"/>
      <w:bookmarkStart w:id="121" w:name="_Toc449348763"/>
      <w:bookmarkStart w:id="122" w:name="_Toc22283"/>
      <w:bookmarkEnd w:id="116"/>
      <w:bookmarkEnd w:id="117"/>
      <w:bookmarkEnd w:id="118"/>
      <w:bookmarkEnd w:id="119"/>
      <w:bookmarkEnd w:id="120"/>
      <w:bookmarkEnd w:id="121"/>
      <w:r>
        <w:rPr>
          <w:rFonts w:ascii="宋体" w:eastAsia="宋体" w:hint="eastAsia"/>
          <w:b/>
          <w:bCs/>
          <w:vanish w:val="0"/>
          <w:kern w:val="2"/>
          <w:sz w:val="32"/>
          <w:szCs w:val="32"/>
        </w:rPr>
        <w:t>1.9 其它</w:t>
      </w:r>
      <w:bookmarkEnd w:id="122"/>
      <w:r>
        <w:rPr>
          <w:rFonts w:ascii="宋体" w:eastAsia="宋体" w:hint="eastAsia"/>
          <w:b/>
          <w:bCs/>
          <w:vanish w:val="0"/>
          <w:kern w:val="2"/>
          <w:sz w:val="32"/>
          <w:szCs w:val="32"/>
        </w:rPr>
        <w:t>危险有害因素分析</w:t>
      </w:r>
    </w:p>
    <w:p>
      <w:pPr>
        <w:pBdr>
          <w:top w:val="none" w:sz="0" w:space="0" w:color="auto"/>
          <w:left w:val="none" w:sz="0" w:space="0" w:color="auto"/>
          <w:bottom w:val="none" w:sz="0" w:space="0" w:color="auto"/>
          <w:right w:val="none" w:sz="0" w:space="0" w:color="auto"/>
        </w:pBdr>
        <w:ind w:firstLineChars="200" w:firstLine="560"/>
        <w:rPr>
          <w:rFonts w:ascii="宋体" w:eastAsia="宋体" w:hint="eastAsia"/>
          <w:vanish w:val="0"/>
          <w:kern w:val="2"/>
          <w:sz w:val="28"/>
          <w:szCs w:val="28"/>
        </w:rPr>
      </w:pPr>
      <w:bookmarkStart w:id="123" w:name="OLE_LINK68"/>
      <w:bookmarkEnd w:id="123"/>
      <w:r>
        <w:rPr>
          <w:rFonts w:ascii="宋体" w:eastAsia="宋体" w:hint="eastAsia"/>
          <w:vanish w:val="0"/>
          <w:kern w:val="2"/>
          <w:sz w:val="28"/>
          <w:szCs w:val="28"/>
        </w:rPr>
        <w:t>1.操作人员在工作中经常接触柴油，可能引起类神经症，头晕、头痛、失眠、记忆力减退、恶心、乏力、食欲不振等。</w:t>
      </w:r>
    </w:p>
    <w:p>
      <w:pPr>
        <w:pBdr>
          <w:top w:val="none" w:sz="0" w:space="0" w:color="auto"/>
          <w:left w:val="none" w:sz="0" w:space="0" w:color="auto"/>
          <w:bottom w:val="none" w:sz="0" w:space="0" w:color="auto"/>
          <w:right w:val="none" w:sz="0" w:space="0" w:color="auto"/>
        </w:pBdr>
        <w:ind w:firstLineChars="200" w:firstLine="560"/>
        <w:rPr>
          <w:rFonts w:ascii="宋体" w:eastAsia="宋体" w:hint="eastAsia"/>
          <w:vanish w:val="0"/>
          <w:kern w:val="2"/>
          <w:sz w:val="28"/>
          <w:szCs w:val="28"/>
        </w:rPr>
      </w:pPr>
      <w:r>
        <w:rPr>
          <w:rFonts w:ascii="宋体" w:eastAsia="宋体" w:hint="eastAsia"/>
          <w:vanish w:val="0"/>
          <w:kern w:val="2"/>
          <w:sz w:val="28"/>
          <w:szCs w:val="28"/>
        </w:rPr>
        <w:t>2.站内的设备、部件或工具直接与人体接触可能引起夹击、碰撞等事故，在设备检修和清洗作业时，容易发生机械伤害事故。</w:t>
      </w:r>
    </w:p>
    <w:p>
      <w:pPr>
        <w:pStyle w:val="2"/>
        <w:pBdr>
          <w:top w:val="none" w:sz="0" w:space="0" w:color="auto"/>
          <w:left w:val="none" w:sz="0" w:space="0" w:color="auto"/>
          <w:bottom w:val="none" w:sz="0" w:space="0" w:color="auto"/>
          <w:right w:val="none" w:sz="0" w:space="0" w:color="auto"/>
        </w:pBdr>
        <w:spacing w:beforeLines="0" w:before="156" w:beforeAutospacing="0"/>
        <w:rPr>
          <w:rFonts w:ascii="宋体" w:eastAsia="宋体" w:hint="eastAsia"/>
          <w:b/>
          <w:bCs/>
          <w:vanish w:val="0"/>
          <w:kern w:val="2"/>
          <w:sz w:val="32"/>
          <w:szCs w:val="32"/>
        </w:rPr>
      </w:pPr>
      <w:bookmarkStart w:id="124" w:name="_Toc17320"/>
      <w:bookmarkStart w:id="125" w:name="_Toc10668"/>
      <w:bookmarkStart w:id="126" w:name="_Toc8788"/>
      <w:bookmarkEnd w:id="124"/>
      <w:bookmarkEnd w:id="125"/>
      <w:bookmarkEnd w:id="126"/>
      <w:r>
        <w:rPr>
          <w:rFonts w:ascii="宋体" w:eastAsia="宋体" w:hint="eastAsia"/>
          <w:b/>
          <w:bCs/>
          <w:vanish w:val="0"/>
          <w:kern w:val="2"/>
          <w:sz w:val="32"/>
          <w:szCs w:val="32"/>
        </w:rPr>
        <w:t>1.10 重大危险源辨识</w:t>
      </w:r>
    </w:p>
    <w:p>
      <w:pPr>
        <w:pStyle w:val="3"/>
        <w:rPr>
          <w:rFonts w:ascii="宋体" w:eastAsia="宋体" w:hint="eastAsia"/>
          <w:b/>
          <w:bCs/>
          <w:kern w:val="2"/>
          <w:sz w:val="30"/>
          <w:szCs w:val="30"/>
        </w:rPr>
      </w:pPr>
      <w:bookmarkStart w:id="127" w:name="_Toc30668"/>
      <w:bookmarkStart w:id="128" w:name="_Toc28975"/>
      <w:bookmarkStart w:id="129" w:name="_Toc17231"/>
      <w:bookmarkStart w:id="130" w:name="_Toc345682441"/>
      <w:bookmarkStart w:id="131" w:name="_Toc29253"/>
      <w:bookmarkEnd w:id="127"/>
      <w:bookmarkEnd w:id="128"/>
      <w:bookmarkEnd w:id="129"/>
      <w:bookmarkEnd w:id="130"/>
      <w:r>
        <w:rPr>
          <w:rFonts w:ascii="宋体" w:eastAsia="宋体" w:hint="eastAsia"/>
          <w:b/>
          <w:bCs/>
          <w:kern w:val="2"/>
          <w:sz w:val="30"/>
          <w:szCs w:val="30"/>
        </w:rPr>
        <w:t>1.10.1危险化学品重大危险源辨识依据</w:t>
      </w:r>
      <w:bookmarkEnd w:id="131"/>
    </w:p>
    <w:p>
      <w:pPr>
        <w:pBdr>
          <w:top w:val="none" w:sz="0" w:space="0" w:color="auto"/>
          <w:left w:val="none" w:sz="0" w:space="0" w:color="auto"/>
          <w:bottom w:val="none" w:sz="0" w:space="0" w:color="auto"/>
          <w:right w:val="none" w:sz="0" w:space="0" w:color="auto"/>
        </w:pBdr>
        <w:spacing w:line="560" w:lineRule="exact"/>
        <w:ind w:firstLine="560"/>
        <w:rPr>
          <w:rFonts w:ascii="宋体" w:eastAsia="宋体" w:hint="eastAsia"/>
          <w:vanish w:val="0"/>
          <w:kern w:val="2"/>
          <w:sz w:val="28"/>
          <w:szCs w:val="28"/>
        </w:rPr>
      </w:pPr>
      <w:r>
        <w:rPr>
          <w:rFonts w:ascii="宋体" w:eastAsia="宋体" w:hint="eastAsia"/>
          <w:vanish w:val="0"/>
          <w:kern w:val="2"/>
          <w:sz w:val="28"/>
          <w:szCs w:val="28"/>
        </w:rPr>
        <w:t>本加油加气站主要为汽油、柴油、天然气的储存，不涉及生产。根据《危险化学品重大危险源辨识》（GB18218-2018）的辨识依据及查找，经查找汽油、柴油属于易燃液体，天然气属于易燃气体，属于危险化学品重大危险源辨识物质，因此本项目辨识物质为汽油、柴油、天然气。</w:t>
      </w:r>
    </w:p>
    <w:p>
      <w:pPr>
        <w:pStyle w:val="3"/>
        <w:rPr>
          <w:rFonts w:ascii="宋体" w:eastAsia="宋体" w:hint="eastAsia"/>
          <w:b/>
          <w:bCs/>
          <w:kern w:val="2"/>
          <w:sz w:val="30"/>
          <w:szCs w:val="30"/>
        </w:rPr>
      </w:pPr>
      <w:bookmarkStart w:id="132" w:name="_Toc18795"/>
      <w:bookmarkStart w:id="133" w:name="_Toc14229"/>
      <w:bookmarkStart w:id="134" w:name="_Toc30408"/>
      <w:bookmarkEnd w:id="132"/>
      <w:bookmarkEnd w:id="133"/>
      <w:r>
        <w:rPr>
          <w:rFonts w:ascii="宋体" w:eastAsia="宋体" w:hint="eastAsia"/>
          <w:b/>
          <w:bCs/>
          <w:kern w:val="2"/>
          <w:sz w:val="30"/>
          <w:szCs w:val="30"/>
        </w:rPr>
        <w:t>1.10.2重大危险源</w:t>
      </w:r>
      <w:bookmarkEnd w:id="134"/>
      <w:r>
        <w:rPr>
          <w:rFonts w:ascii="宋体" w:eastAsia="宋体" w:hint="eastAsia"/>
          <w:b/>
          <w:bCs/>
          <w:kern w:val="2"/>
          <w:sz w:val="30"/>
          <w:szCs w:val="30"/>
        </w:rPr>
        <w:t>流程</w:t>
      </w:r>
    </w:p>
    <w:p>
      <w:pPr>
        <w:pBdr>
          <w:top w:val="none" w:sz="0" w:space="0" w:color="auto"/>
          <w:left w:val="none" w:sz="0" w:space="0" w:color="auto"/>
          <w:bottom w:val="none" w:sz="0" w:space="0" w:color="auto"/>
          <w:right w:val="none" w:sz="0" w:space="0" w:color="auto"/>
        </w:pBdr>
        <w:spacing w:line="560" w:lineRule="exact"/>
        <w:ind w:firstLineChars="200" w:firstLine="560"/>
        <w:rPr>
          <w:rFonts w:ascii="宋体" w:eastAsia="宋体" w:hint="eastAsia"/>
          <w:vanish w:val="0"/>
          <w:kern w:val="2"/>
          <w:sz w:val="28"/>
          <w:szCs w:val="28"/>
        </w:rPr>
      </w:pPr>
      <w:r>
        <w:rPr>
          <w:rFonts w:ascii="宋体" w:eastAsia="宋体" w:hint="eastAsia"/>
          <w:vanish w:val="0"/>
          <w:kern w:val="2"/>
          <w:sz w:val="28"/>
          <w:szCs w:val="28"/>
        </w:rPr>
        <w:t>根据《危险化学品重大危险源辨识》（GB18218-2018），危险化学品重大危险源按图3.11.2划分。</w:t>
      </w:r>
    </w:p>
    <w:p>
      <w:pPr>
        <w:pStyle w:val="3"/>
        <w:rPr>
          <w:rFonts w:ascii="宋体" w:eastAsia="宋体" w:hint="eastAsia"/>
          <w:b/>
          <w:bCs/>
          <w:kern w:val="2"/>
          <w:sz w:val="30"/>
          <w:szCs w:val="30"/>
        </w:rPr>
      </w:pPr>
      <w:bookmarkStart w:id="135" w:name="_Toc8093"/>
      <w:bookmarkStart w:id="136" w:name="_Toc29101"/>
      <w:bookmarkStart w:id="137" w:name="_Toc11952"/>
      <w:bookmarkStart w:id="138" w:name="_Toc30217"/>
      <w:bookmarkEnd w:id="135"/>
      <w:bookmarkEnd w:id="136"/>
      <w:bookmarkEnd w:id="137"/>
      <w:r>
        <w:rPr>
          <w:rFonts w:ascii="宋体" w:eastAsia="宋体" w:hint="eastAsia"/>
          <w:b/>
          <w:bCs/>
          <w:kern w:val="2"/>
          <w:sz w:val="30"/>
          <w:szCs w:val="30"/>
        </w:rPr>
        <w:t>1.10.3重大危险源辨识</w:t>
      </w:r>
      <w:bookmarkEnd w:id="138"/>
      <w:r>
        <w:rPr>
          <w:rFonts w:ascii="宋体" w:eastAsia="宋体" w:hint="eastAsia"/>
          <w:b/>
          <w:bCs/>
          <w:kern w:val="2"/>
          <w:sz w:val="30"/>
          <w:szCs w:val="30"/>
        </w:rPr>
        <w:t>单元划分</w:t>
      </w:r>
    </w:p>
    <w:p>
      <w:pPr>
        <w:pBdr>
          <w:top w:val="none" w:sz="0" w:space="0" w:color="auto"/>
          <w:left w:val="none" w:sz="0" w:space="0" w:color="auto"/>
          <w:bottom w:val="none" w:sz="0" w:space="0" w:color="auto"/>
          <w:right w:val="none" w:sz="0" w:space="0" w:color="auto"/>
        </w:pBdr>
        <w:spacing w:line="560" w:lineRule="exact"/>
        <w:ind w:firstLine="560"/>
        <w:rPr>
          <w:rFonts w:ascii="宋体" w:eastAsia="宋体" w:hint="eastAsia"/>
          <w:vanish w:val="0"/>
          <w:kern w:val="2"/>
          <w:sz w:val="28"/>
          <w:szCs w:val="28"/>
        </w:rPr>
      </w:pPr>
      <w:r>
        <w:rPr>
          <w:rFonts w:ascii="宋体" w:eastAsia="宋体" w:hint="eastAsia"/>
          <w:vanish w:val="0"/>
          <w:kern w:val="2"/>
          <w:sz w:val="28"/>
          <w:szCs w:val="28"/>
        </w:rPr>
        <w:t>根据危险化学品重大危险源辨识流程图，应按照生产单元和储存单元划分，本项目不涉及生产，只涉及储存，因此本项目单元划分只有储存单元，需辨识的储存危险化学品有汽油、柴油、天然气。</w:t>
      </w:r>
    </w:p>
    <w:p>
      <w:pPr>
        <w:pStyle w:val="103"/>
        <w:pBdr>
          <w:top w:val="none" w:sz="0" w:space="0" w:color="auto"/>
          <w:left w:val="none" w:sz="0" w:space="0" w:color="auto"/>
          <w:bottom w:val="none" w:sz="0" w:space="0" w:color="auto"/>
          <w:right w:val="none" w:sz="0" w:space="0" w:color="auto"/>
        </w:pBdr>
        <w:jc w:val="center"/>
        <w:rPr>
          <w:rFonts w:ascii="宋体" w:eastAsia="宋体" w:hint="eastAsia"/>
          <w:b/>
          <w:bCs/>
          <w:vanish w:val="0"/>
          <w:kern w:val="2"/>
          <w:sz w:val="21"/>
          <w:szCs w:val="21"/>
        </w:rPr>
      </w:pPr>
      <w:r>
        <w:rPr>
          <w:rFonts w:ascii="宋体" w:eastAsia="宋体" w:hint="eastAsia"/>
          <w:b/>
          <w:bCs/>
          <w:vanish w:val="0"/>
          <w:kern w:val="2"/>
          <w:sz w:val="21"/>
          <w:szCs w:val="21"/>
        </w:rPr>
        <w:t>表1.10.1主要危险化学品的临界量</w:t>
      </w:r>
    </w:p>
    <w:tbl>
      <w:tblPr>
        <w:jc w:val="left"/>
        <w:tblW w:w="4998" w:type="pct"/>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CellMar>
          <w:top w:w="0" w:type="dxa"/>
          <w:left w:w="108" w:type="dxa"/>
          <w:bottom w:w="0" w:type="dxa"/>
          <w:right w:w="108" w:type="dxa"/>
        </w:tblCellMar>
      </w:tblPr>
      <w:tblGrid>
        <w:gridCol w:w="983"/>
        <w:gridCol w:w="1653"/>
        <w:gridCol w:w="2983"/>
        <w:gridCol w:w="2649"/>
      </w:tblGrid>
      <w:tr>
        <w:trPr>
          <w:cantSplit/>
          <w:trHeight w:val="510"/>
        </w:trPr>
        <w:tc>
          <w:tcPr>
            <w:tcW w:w="594" w:type="pct"/>
            <w:tcBorders>
              <w:top w:val="single" w:sz="12" w:space="0" w:color="auto"/>
              <w:left w:val="single" w:sz="12"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360" w:lineRule="auto"/>
              <w:ind w:left="0" w:right="0"/>
              <w:jc w:val="center"/>
              <w:rPr>
                <w:rFonts w:ascii="宋体" w:eastAsia="宋体" w:cs="Times New Roman" w:hint="eastAsia"/>
                <w:vanish w:val="0"/>
                <w:color w:val="auto"/>
                <w:kern w:val="2"/>
                <w:sz w:val="21"/>
                <w:szCs w:val="21"/>
              </w:rPr>
            </w:pPr>
            <w:r>
              <w:rPr>
                <w:rFonts w:ascii="宋体" w:eastAsia="宋体" w:cs="Times New Roman" w:hint="eastAsia"/>
                <w:vanish w:val="0"/>
                <w:color w:val="auto"/>
                <w:kern w:val="2"/>
                <w:sz w:val="21"/>
                <w:szCs w:val="21"/>
              </w:rPr>
              <w:t>序号</w:t>
            </w:r>
          </w:p>
        </w:tc>
        <w:tc>
          <w:tcPr>
            <w:tcW w:w="999" w:type="pct"/>
            <w:tcBorders>
              <w:top w:val="single" w:sz="12" w:space="0" w:color="auto"/>
              <w:left w:val="single" w:sz="4" w:space="0" w:color="auto"/>
              <w:bottom w:val="single" w:sz="4" w:space="0" w:color="auto"/>
              <w:right w:val="single" w:sz="4" w:space="0" w:color="auto"/>
              <w:tl2br w:val="nil"/>
              <w:tr2bl w:val="nil"/>
            </w:tcBorders>
            <w:vAlign w:val="center"/>
          </w:tcPr>
          <w:p>
            <w:pPr>
              <w:pStyle w:val="136"/>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uto"/>
              <w:ind w:left="0" w:right="0"/>
              <w:rPr>
                <w:rFonts w:ascii="宋体" w:eastAsia="宋体" w:cs="Times New Roman" w:hint="eastAsia"/>
                <w:vanish w:val="0"/>
                <w:color w:val="auto"/>
                <w:kern w:val="2"/>
                <w:sz w:val="21"/>
                <w:szCs w:val="21"/>
              </w:rPr>
            </w:pPr>
            <w:r>
              <w:rPr>
                <w:rFonts w:ascii="宋体" w:eastAsia="宋体" w:cs="Times New Roman" w:hint="eastAsia"/>
                <w:vanish w:val="0"/>
                <w:color w:val="auto"/>
                <w:kern w:val="2"/>
                <w:sz w:val="21"/>
                <w:szCs w:val="21"/>
              </w:rPr>
              <w:t>物质名称</w:t>
            </w:r>
          </w:p>
        </w:tc>
        <w:tc>
          <w:tcPr>
            <w:tcW w:w="1803" w:type="pct"/>
            <w:tcBorders>
              <w:top w:val="single" w:sz="12" w:space="0" w:color="auto"/>
              <w:left w:val="single" w:sz="4" w:space="0" w:color="auto"/>
              <w:bottom w:val="single" w:sz="4" w:space="0" w:color="auto"/>
              <w:right w:val="single" w:sz="4" w:space="0" w:color="auto"/>
              <w:tl2br w:val="nil"/>
              <w:tr2bl w:val="nil"/>
            </w:tcBorders>
            <w:vAlign w:val="center"/>
          </w:tcPr>
          <w:p>
            <w:pPr>
              <w:pStyle w:val="136"/>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uto"/>
              <w:ind w:left="0" w:right="0"/>
              <w:rPr>
                <w:rFonts w:ascii="宋体" w:eastAsia="宋体" w:cs="Times New Roman" w:hint="eastAsia"/>
                <w:vanish w:val="0"/>
                <w:color w:val="auto"/>
                <w:kern w:val="2"/>
                <w:sz w:val="21"/>
                <w:szCs w:val="21"/>
              </w:rPr>
            </w:pPr>
            <w:r>
              <w:rPr>
                <w:rFonts w:ascii="宋体" w:eastAsia="宋体" w:cs="Times New Roman" w:hint="eastAsia"/>
                <w:vanish w:val="0"/>
                <w:color w:val="auto"/>
                <w:kern w:val="2"/>
                <w:sz w:val="21"/>
                <w:szCs w:val="21"/>
              </w:rPr>
              <w:t>物质种类</w:t>
            </w:r>
          </w:p>
        </w:tc>
        <w:tc>
          <w:tcPr>
            <w:tcW w:w="1601" w:type="pct"/>
            <w:tcBorders>
              <w:top w:val="single" w:sz="12" w:space="0" w:color="auto"/>
              <w:left w:val="single" w:sz="4" w:space="0" w:color="auto"/>
              <w:bottom w:val="single" w:sz="4" w:space="0" w:color="auto"/>
              <w:right w:val="single" w:sz="12"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360" w:lineRule="auto"/>
              <w:ind w:left="0" w:right="0"/>
              <w:jc w:val="center"/>
              <w:rPr>
                <w:rFonts w:ascii="宋体" w:eastAsia="宋体" w:cs="Times New Roman" w:hint="eastAsia"/>
                <w:vanish w:val="0"/>
                <w:color w:val="auto"/>
                <w:kern w:val="2"/>
                <w:sz w:val="21"/>
                <w:szCs w:val="21"/>
              </w:rPr>
            </w:pPr>
            <w:r>
              <w:rPr>
                <w:rFonts w:ascii="宋体" w:eastAsia="宋体" w:cs="Times New Roman" w:hint="eastAsia"/>
                <w:vanish w:val="0"/>
                <w:color w:val="auto"/>
                <w:kern w:val="2"/>
                <w:sz w:val="21"/>
                <w:szCs w:val="21"/>
              </w:rPr>
              <w:t>临界量Ｑi（t）</w:t>
            </w:r>
          </w:p>
        </w:tc>
      </w:tr>
      <w:tr>
        <w:trPr>
          <w:trHeight w:val="510"/>
        </w:trPr>
        <w:tc>
          <w:tcPr>
            <w:tcW w:w="594" w:type="pct"/>
            <w:tcBorders>
              <w:top w:val="single" w:sz="4" w:space="0" w:color="auto"/>
              <w:left w:val="single" w:sz="12"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cs="Times New Roman" w:hint="eastAsia"/>
                <w:vanish w:val="0"/>
                <w:color w:val="auto"/>
                <w:kern w:val="2"/>
                <w:sz w:val="21"/>
                <w:szCs w:val="21"/>
              </w:rPr>
            </w:pPr>
            <w:r>
              <w:rPr>
                <w:rFonts w:ascii="宋体" w:eastAsia="宋体" w:cs="Times New Roman" w:hint="eastAsia"/>
                <w:vanish w:val="0"/>
                <w:color w:val="auto"/>
                <w:kern w:val="2"/>
                <w:sz w:val="21"/>
                <w:szCs w:val="21"/>
              </w:rPr>
              <w:t>1</w:t>
            </w:r>
          </w:p>
        </w:tc>
        <w:tc>
          <w:tcPr>
            <w:tcW w:w="999"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cs="Times New Roman" w:hint="eastAsia"/>
                <w:vanish w:val="0"/>
                <w:color w:val="auto"/>
                <w:kern w:val="2"/>
                <w:sz w:val="21"/>
                <w:szCs w:val="21"/>
              </w:rPr>
            </w:pPr>
            <w:r>
              <w:rPr>
                <w:rFonts w:ascii="宋体" w:eastAsia="宋体" w:cs="Times New Roman" w:hint="eastAsia"/>
                <w:vanish w:val="0"/>
                <w:color w:val="auto"/>
                <w:kern w:val="2"/>
                <w:sz w:val="21"/>
                <w:szCs w:val="21"/>
              </w:rPr>
              <w:t>天然气</w:t>
            </w:r>
          </w:p>
        </w:tc>
        <w:tc>
          <w:tcPr>
            <w:tcW w:w="1803"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cs="Times New Roman" w:hint="eastAsia"/>
                <w:vanish w:val="0"/>
                <w:color w:val="auto"/>
                <w:kern w:val="2"/>
                <w:sz w:val="21"/>
                <w:szCs w:val="21"/>
              </w:rPr>
            </w:pPr>
            <w:r>
              <w:rPr>
                <w:rFonts w:ascii="宋体" w:eastAsia="宋体" w:cs="Times New Roman" w:hint="eastAsia"/>
                <w:vanish w:val="0"/>
                <w:color w:val="auto"/>
                <w:kern w:val="2"/>
                <w:sz w:val="21"/>
                <w:szCs w:val="21"/>
              </w:rPr>
              <w:t>易燃气体</w:t>
            </w:r>
          </w:p>
        </w:tc>
        <w:tc>
          <w:tcPr>
            <w:tcW w:w="1601" w:type="pct"/>
            <w:tcBorders>
              <w:top w:val="single" w:sz="4" w:space="0" w:color="auto"/>
              <w:left w:val="single" w:sz="4" w:space="0" w:color="auto"/>
              <w:bottom w:val="single" w:sz="4" w:space="0" w:color="auto"/>
              <w:right w:val="single" w:sz="12"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cs="Times New Roman" w:hint="eastAsia"/>
                <w:vanish w:val="0"/>
                <w:color w:val="auto"/>
                <w:kern w:val="2"/>
                <w:sz w:val="21"/>
                <w:szCs w:val="21"/>
              </w:rPr>
            </w:pPr>
            <w:r>
              <w:rPr>
                <w:rFonts w:ascii="宋体" w:eastAsia="宋体" w:cs="Times New Roman" w:hint="eastAsia"/>
                <w:vanish w:val="0"/>
                <w:color w:val="auto"/>
                <w:kern w:val="2"/>
                <w:sz w:val="21"/>
                <w:szCs w:val="21"/>
              </w:rPr>
              <w:t>50</w:t>
            </w:r>
          </w:p>
        </w:tc>
      </w:tr>
      <w:tr>
        <w:trPr>
          <w:trHeight w:val="510"/>
        </w:trPr>
        <w:tc>
          <w:tcPr>
            <w:tcW w:w="594" w:type="pct"/>
            <w:tcBorders>
              <w:top w:val="single" w:sz="4" w:space="0" w:color="auto"/>
              <w:left w:val="single" w:sz="12"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cs="Times New Roman" w:hint="eastAsia"/>
                <w:vanish w:val="0"/>
                <w:color w:val="auto"/>
                <w:kern w:val="2"/>
                <w:sz w:val="21"/>
                <w:szCs w:val="21"/>
              </w:rPr>
            </w:pPr>
            <w:r>
              <w:rPr>
                <w:rFonts w:ascii="宋体" w:eastAsia="宋体" w:cs="Times New Roman" w:hint="eastAsia"/>
                <w:vanish w:val="0"/>
                <w:color w:val="auto"/>
                <w:kern w:val="2"/>
                <w:sz w:val="21"/>
                <w:szCs w:val="21"/>
              </w:rPr>
              <w:t>2</w:t>
            </w:r>
          </w:p>
        </w:tc>
        <w:tc>
          <w:tcPr>
            <w:tcW w:w="999"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cs="Times New Roman" w:hint="eastAsia"/>
                <w:vanish w:val="0"/>
                <w:color w:val="auto"/>
                <w:kern w:val="2"/>
                <w:sz w:val="21"/>
                <w:szCs w:val="21"/>
              </w:rPr>
            </w:pPr>
            <w:r>
              <w:rPr>
                <w:rFonts w:ascii="宋体" w:eastAsia="宋体" w:cs="Times New Roman" w:hint="eastAsia"/>
                <w:vanish w:val="0"/>
                <w:color w:val="auto"/>
                <w:kern w:val="2"/>
                <w:sz w:val="21"/>
                <w:szCs w:val="21"/>
              </w:rPr>
              <w:t>汽油</w:t>
            </w:r>
          </w:p>
        </w:tc>
        <w:tc>
          <w:tcPr>
            <w:tcW w:w="1803"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cs="Times New Roman" w:hint="eastAsia"/>
                <w:vanish w:val="0"/>
                <w:color w:val="auto"/>
                <w:kern w:val="2"/>
                <w:sz w:val="21"/>
                <w:szCs w:val="21"/>
              </w:rPr>
            </w:pPr>
            <w:r>
              <w:rPr>
                <w:rFonts w:ascii="宋体" w:eastAsia="宋体" w:cs="Times New Roman" w:hint="eastAsia"/>
                <w:vanish w:val="0"/>
                <w:color w:val="auto"/>
                <w:kern w:val="2"/>
                <w:sz w:val="21"/>
                <w:szCs w:val="21"/>
              </w:rPr>
              <w:t>易燃液体</w:t>
            </w:r>
          </w:p>
        </w:tc>
        <w:tc>
          <w:tcPr>
            <w:tcW w:w="1601" w:type="pct"/>
            <w:tcBorders>
              <w:top w:val="single" w:sz="4" w:space="0" w:color="auto"/>
              <w:left w:val="single" w:sz="4" w:space="0" w:color="auto"/>
              <w:bottom w:val="single" w:sz="4" w:space="0" w:color="auto"/>
              <w:right w:val="single" w:sz="12"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cs="Times New Roman" w:hint="eastAsia"/>
                <w:vanish w:val="0"/>
                <w:color w:val="auto"/>
                <w:kern w:val="2"/>
                <w:sz w:val="21"/>
                <w:szCs w:val="21"/>
              </w:rPr>
            </w:pPr>
            <w:r>
              <w:rPr>
                <w:rFonts w:ascii="宋体" w:eastAsia="宋体" w:cs="Times New Roman" w:hint="eastAsia"/>
                <w:vanish w:val="0"/>
                <w:color w:val="auto"/>
                <w:kern w:val="2"/>
                <w:sz w:val="21"/>
                <w:szCs w:val="21"/>
              </w:rPr>
              <w:t>200</w:t>
            </w:r>
          </w:p>
        </w:tc>
      </w:tr>
      <w:tr>
        <w:trPr>
          <w:trHeight w:val="510"/>
        </w:trPr>
        <w:tc>
          <w:tcPr>
            <w:tcW w:w="594" w:type="pct"/>
            <w:tcBorders>
              <w:top w:val="single" w:sz="4" w:space="0" w:color="auto"/>
              <w:left w:val="single" w:sz="12" w:space="0" w:color="auto"/>
              <w:bottom w:val="single" w:sz="12"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cs="Times New Roman" w:hint="eastAsia"/>
                <w:vanish w:val="0"/>
                <w:color w:val="auto"/>
                <w:kern w:val="2"/>
                <w:sz w:val="21"/>
                <w:szCs w:val="21"/>
              </w:rPr>
            </w:pPr>
            <w:r>
              <w:rPr>
                <w:rFonts w:ascii="宋体" w:eastAsia="宋体" w:cs="Times New Roman" w:hint="eastAsia"/>
                <w:vanish w:val="0"/>
                <w:color w:val="auto"/>
                <w:kern w:val="2"/>
                <w:sz w:val="21"/>
                <w:szCs w:val="21"/>
              </w:rPr>
              <w:t>3</w:t>
            </w:r>
          </w:p>
        </w:tc>
        <w:tc>
          <w:tcPr>
            <w:tcW w:w="999" w:type="pct"/>
            <w:tcBorders>
              <w:top w:val="single" w:sz="4" w:space="0" w:color="auto"/>
              <w:left w:val="single" w:sz="4" w:space="0" w:color="auto"/>
              <w:bottom w:val="single" w:sz="12"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cs="Times New Roman" w:hint="eastAsia"/>
                <w:vanish w:val="0"/>
                <w:color w:val="auto"/>
                <w:kern w:val="2"/>
                <w:sz w:val="21"/>
                <w:szCs w:val="21"/>
              </w:rPr>
            </w:pPr>
            <w:r>
              <w:rPr>
                <w:rFonts w:ascii="宋体" w:eastAsia="宋体" w:cs="Times New Roman" w:hint="eastAsia"/>
                <w:vanish w:val="0"/>
                <w:color w:val="auto"/>
                <w:kern w:val="2"/>
                <w:sz w:val="21"/>
                <w:szCs w:val="21"/>
              </w:rPr>
              <w:t>柴油</w:t>
            </w:r>
          </w:p>
        </w:tc>
        <w:tc>
          <w:tcPr>
            <w:tcW w:w="1803" w:type="pct"/>
            <w:tcBorders>
              <w:top w:val="single" w:sz="4" w:space="0" w:color="auto"/>
              <w:left w:val="single" w:sz="4" w:space="0" w:color="auto"/>
              <w:bottom w:val="single" w:sz="12"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cs="Times New Roman" w:hint="eastAsia"/>
                <w:vanish w:val="0"/>
                <w:color w:val="auto"/>
                <w:kern w:val="2"/>
                <w:sz w:val="21"/>
                <w:szCs w:val="21"/>
              </w:rPr>
            </w:pPr>
            <w:r>
              <w:rPr>
                <w:rFonts w:ascii="宋体" w:eastAsia="宋体" w:cs="Times New Roman" w:hint="eastAsia"/>
                <w:vanish w:val="0"/>
                <w:color w:val="auto"/>
                <w:kern w:val="2"/>
                <w:sz w:val="21"/>
                <w:szCs w:val="21"/>
              </w:rPr>
              <w:t>易燃液体</w:t>
            </w:r>
          </w:p>
        </w:tc>
        <w:tc>
          <w:tcPr>
            <w:tcW w:w="1601" w:type="pct"/>
            <w:tcBorders>
              <w:top w:val="single" w:sz="4" w:space="0" w:color="auto"/>
              <w:left w:val="single" w:sz="4" w:space="0" w:color="auto"/>
              <w:bottom w:val="single" w:sz="12" w:space="0" w:color="auto"/>
              <w:right w:val="single" w:sz="12"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cs="Times New Roman" w:hint="eastAsia"/>
                <w:vanish w:val="0"/>
                <w:color w:val="auto"/>
                <w:kern w:val="2"/>
                <w:sz w:val="21"/>
                <w:szCs w:val="21"/>
              </w:rPr>
            </w:pPr>
            <w:r>
              <w:rPr>
                <w:rFonts w:ascii="宋体" w:eastAsia="宋体" w:cs="Times New Roman" w:hint="eastAsia"/>
                <w:vanish w:val="0"/>
                <w:color w:val="auto"/>
                <w:kern w:val="2"/>
                <w:sz w:val="21"/>
                <w:szCs w:val="21"/>
              </w:rPr>
              <w:t>5000</w:t>
            </w:r>
          </w:p>
        </w:tc>
      </w:tr>
    </w:tbl>
    <w:p>
      <w:pPr>
        <w:pStyle w:val="84"/>
        <w:pBdr>
          <w:top w:val="none" w:sz="0" w:space="0" w:color="auto"/>
          <w:left w:val="none" w:sz="0" w:space="0" w:color="auto"/>
          <w:bottom w:val="none" w:sz="0" w:space="0" w:color="auto"/>
          <w:right w:val="none" w:sz="0" w:space="0" w:color="auto"/>
        </w:pBdr>
        <w:ind w:leftChars="0" w:left="1470" w:rightChars="0" w:right="1470"/>
        <w:rPr>
          <w:rFonts w:ascii="宋体" w:eastAsia="宋体" w:hint="eastAsia"/>
          <w:vanish w:val="0"/>
          <w:kern w:val="2"/>
          <w:sz w:val="21"/>
          <w:szCs w:val="21"/>
        </w:rPr>
      </w:pPr>
    </w:p>
    <w:tbl>
      <w:tblPr>
        <w:jc w:val="left"/>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865"/>
        <w:gridCol w:w="6325"/>
      </w:tblGrid>
      <w:tr>
        <w:trPr>
          <w:gridAfter w:val="1"/>
          <w:wAfter w:w="6325" w:type="dxa"/>
        </w:trPr>
        <w:tc>
          <w:tcPr>
            <w:tcW w:w="865" w:type="dxa"/>
            <w:vAlign w:val="center"/>
          </w:tcPr>
          <w:p>
            <w:pPr>
              <w:jc w:val="left"/>
            </w:pPr>
          </w:p>
        </w:tc>
      </w:tr>
      <w:tr>
        <w:tc>
          <w:tcPr>
            <w:vAlign w:val="center"/>
          </w:tcPr>
          <w:p>
            <w:pPr>
              <w:jc w:val="left"/>
            </w:pPr>
          </w:p>
        </w:tc>
        <w:tc>
          <w:tcPr>
            <w:vAlign w:val="center"/>
          </w:tcPr>
          <w:p>
            <w:pPr>
              <w:jc w:val="left"/>
            </w:pPr>
            <w:r>
              <w:drawing>
                <wp:inline distT="0" distB="0" distL="85723" distR="85723">
                  <wp:extent cx="4009963" cy="4648129"/>
                  <wp:effectExtent l="0" t="0" r="1" b="0"/>
                  <wp:docPr id="19" name="图片"/>
                  <wp:cNvGraphicFramePr>
                    <a:graphicFrameLocks noChangeAspect="0"/>
                  </wp:cNvGraphicFramePr>
                  <a:graphic>
                    <a:graphicData uri="http://schemas.openxmlformats.org/drawingml/2006/picture">
                      <pic:pic>
                        <pic:nvPicPr>
                          <pic:cNvPr id="21" name="图片 21"/>
                          <pic:cNvPicPr/>
                        </pic:nvPicPr>
                        <pic:blipFill>
                          <a:blip r:embed="rId8"/>
                          <a:stretch>
                            <a:fillRect/>
                          </a:stretch>
                        </pic:blipFill>
                        <pic:spPr>
                          <a:xfrm rot="0">
                            <a:off x="0" y="0"/>
                            <a:ext cx="4009963" cy="4648129"/>
                          </a:xfrm>
                          <a:prstGeom prst="rect"/>
                          <a:noFill/>
                          <a:ln w="9525" cmpd="sng" cap="flat">
                            <a:noFill/>
                            <a:prstDash val="solid"/>
                            <a:miter/>
                          </a:ln>
                        </pic:spPr>
                      </pic:pic>
                    </a:graphicData>
                  </a:graphic>
                </wp:inline>
              </w:drawing>
            </w:r>
          </w:p>
        </w:tc>
      </w:tr>
    </w:tbl>
    <w:p>
      <w:pPr>
        <w:pStyle w:val="137"/>
        <w:pBdr>
          <w:top w:val="none" w:sz="0" w:space="0" w:color="auto"/>
          <w:left w:val="none" w:sz="0" w:space="0" w:color="auto"/>
          <w:bottom w:val="none" w:sz="0" w:space="0" w:color="auto"/>
          <w:right w:val="none" w:sz="0" w:space="0" w:color="auto"/>
        </w:pBdr>
        <w:jc w:val="center"/>
        <w:rPr>
          <w:rFonts w:ascii="宋体" w:eastAsia="宋体" w:hint="eastAsia"/>
          <w:vanish w:val="0"/>
          <w:sz w:val="24"/>
          <w:szCs w:val="24"/>
        </w:rPr>
      </w:pPr>
      <w:r>
        <w:rPr>
          <w:rFonts w:ascii="宋体" w:eastAsia="宋体" w:hint="eastAsia"/>
          <w:vanish w:val="0"/>
          <w:sz w:val="24"/>
          <w:szCs w:val="24"/>
        </w:rPr>
        <w:t>1.10.2危险化学品重大危险源辨识流程图</w:t>
      </w:r>
    </w:p>
    <w:p>
      <w:pPr>
        <w:pStyle w:val="3"/>
        <w:rPr>
          <w:rFonts w:ascii="宋体" w:eastAsia="宋体" w:hint="eastAsia"/>
          <w:b/>
          <w:bCs/>
          <w:kern w:val="2"/>
          <w:sz w:val="30"/>
          <w:szCs w:val="30"/>
        </w:rPr>
      </w:pPr>
      <w:bookmarkStart w:id="139" w:name="_Toc15772"/>
      <w:bookmarkStart w:id="140" w:name="_Toc18953"/>
      <w:bookmarkEnd w:id="139"/>
      <w:r>
        <w:rPr>
          <w:rFonts w:ascii="宋体" w:eastAsia="宋体" w:hint="eastAsia"/>
          <w:b/>
          <w:bCs/>
          <w:kern w:val="2"/>
          <w:sz w:val="30"/>
          <w:szCs w:val="30"/>
        </w:rPr>
        <w:t>1.10.4 危险化学品重大危险源的辨识方法</w:t>
      </w:r>
      <w:bookmarkEnd w:id="140"/>
    </w:p>
    <w:p>
      <w:pPr>
        <w:pBdr>
          <w:top w:val="none" w:sz="0" w:space="0" w:color="auto"/>
          <w:left w:val="none" w:sz="0" w:space="0" w:color="auto"/>
          <w:bottom w:val="none" w:sz="0" w:space="0" w:color="auto"/>
          <w:right w:val="none" w:sz="0" w:space="0" w:color="auto"/>
        </w:pBdr>
        <w:spacing w:line="360" w:lineRule="auto"/>
        <w:ind w:firstLine="544"/>
        <w:rPr>
          <w:rFonts w:ascii="宋体" w:eastAsia="宋体" w:hint="eastAsia"/>
          <w:vanish w:val="0"/>
          <w:kern w:val="2"/>
          <w:sz w:val="28"/>
          <w:szCs w:val="28"/>
        </w:rPr>
      </w:pPr>
      <w:r>
        <w:rPr>
          <w:rFonts w:ascii="宋体" w:eastAsia="宋体" w:hint="eastAsia"/>
          <w:vanish w:val="0"/>
          <w:kern w:val="2"/>
          <w:sz w:val="28"/>
          <w:szCs w:val="28"/>
        </w:rPr>
        <w:t>1.油罐区内存在危险化学品为单一品种，则该油料的数量即为单元内危险化学品总量，若等于或超过相应的临界量，则定为重大危险源；</w:t>
      </w:r>
    </w:p>
    <w:p>
      <w:pPr>
        <w:pBdr>
          <w:top w:val="none" w:sz="0" w:space="0" w:color="auto"/>
          <w:left w:val="none" w:sz="0" w:space="0" w:color="auto"/>
          <w:bottom w:val="none" w:sz="0" w:space="0" w:color="auto"/>
          <w:right w:val="none" w:sz="0" w:space="0" w:color="auto"/>
        </w:pBdr>
        <w:spacing w:line="360" w:lineRule="auto"/>
        <w:ind w:firstLine="544"/>
        <w:rPr>
          <w:rFonts w:ascii="宋体" w:eastAsia="宋体" w:hint="eastAsia"/>
          <w:vanish w:val="0"/>
          <w:kern w:val="2"/>
          <w:sz w:val="21"/>
          <w:szCs w:val="21"/>
        </w:rPr>
      </w:pPr>
      <w:r>
        <w:rPr>
          <w:rFonts w:ascii="宋体" w:eastAsia="宋体" w:hint="eastAsia"/>
          <w:vanish w:val="0"/>
          <w:kern w:val="2"/>
          <w:sz w:val="28"/>
          <w:szCs w:val="28"/>
        </w:rPr>
        <w:t>2.油罐区内存在多种油料时，则按式（1）计算，若满足式（1），则定为重大危险源：</w:t>
      </w:r>
    </w:p>
    <w:p>
      <w:pPr>
        <w:pBdr>
          <w:top w:val="none" w:sz="0" w:space="0" w:color="auto"/>
          <w:left w:val="none" w:sz="0" w:space="0" w:color="auto"/>
          <w:bottom w:val="none" w:sz="0" w:space="0" w:color="auto"/>
          <w:right w:val="none" w:sz="0" w:space="0" w:color="auto"/>
        </w:pBdr>
        <w:spacing w:line="360" w:lineRule="auto"/>
        <w:ind w:firstLine="560"/>
        <w:rPr>
          <w:rFonts w:ascii="宋体" w:eastAsia="宋体" w:hint="eastAsia"/>
          <w:vanish w:val="0"/>
          <w:kern w:val="2"/>
          <w:sz w:val="21"/>
          <w:szCs w:val="21"/>
        </w:rPr>
      </w:pPr>
      <w:r>
        <w:rPr>
          <w:rFonts w:ascii="宋体" w:eastAsia="宋体" w:hint="eastAsia"/>
          <w:vanish w:val="0"/>
          <w:kern w:val="2"/>
          <w:sz w:val="21"/>
          <w:szCs w:val="21"/>
        </w:rPr>
        <w:t>S=</w:t>
      </w:r>
      <w:r>
        <w:rPr>
          <w:vanish w:val="0"/>
        </w:rPr>
        <w:drawing>
          <wp:inline distT="0" distB="0" distL="85723" distR="85723">
            <wp:extent cx="3819466" cy="552441"/>
            <wp:effectExtent l="0" t="0" r="0" b="0"/>
            <wp:docPr id="22" name="图片"/>
            <wp:cNvGraphicFramePr>
              <a:graphicFrameLocks noChangeAspect="0"/>
            </wp:cNvGraphicFramePr>
            <a:graphic>
              <a:graphicData uri="http://schemas.openxmlformats.org/drawingml/2006/picture">
                <pic:pic>
                  <pic:nvPicPr>
                    <pic:cNvPr id="24" name="图片 24"/>
                    <pic:cNvPicPr/>
                  </pic:nvPicPr>
                  <pic:blipFill>
                    <a:blip r:embed="rId9"/>
                    <a:stretch>
                      <a:fillRect/>
                    </a:stretch>
                  </pic:blipFill>
                  <pic:spPr>
                    <a:xfrm rot="0">
                      <a:off x="0" y="0"/>
                      <a:ext cx="3819466" cy="552441"/>
                    </a:xfrm>
                    <a:prstGeom prst="rect"/>
                    <a:noFill/>
                    <a:ln w="9525" cmpd="sng" cap="flat">
                      <a:noFill/>
                      <a:prstDash val="solid"/>
                      <a:miter/>
                    </a:ln>
                  </pic:spPr>
                </pic:pic>
              </a:graphicData>
            </a:graphic>
          </wp:inline>
        </w:drawing>
      </w:r>
    </w:p>
    <w:p>
      <w:pPr>
        <w:pBdr>
          <w:top w:val="none" w:sz="0" w:space="0" w:color="auto"/>
          <w:left w:val="none" w:sz="0" w:space="0" w:color="auto"/>
          <w:bottom w:val="none" w:sz="0" w:space="0" w:color="auto"/>
          <w:right w:val="none" w:sz="0" w:space="0" w:color="auto"/>
        </w:pBdr>
        <w:spacing w:line="360" w:lineRule="auto"/>
        <w:ind w:firstLineChars="175" w:firstLine="490"/>
        <w:rPr>
          <w:rFonts w:ascii="宋体" w:eastAsia="宋体" w:hint="eastAsia"/>
          <w:vanish w:val="0"/>
          <w:kern w:val="2"/>
          <w:sz w:val="28"/>
          <w:szCs w:val="28"/>
        </w:rPr>
      </w:pPr>
      <w:r>
        <w:rPr>
          <w:rFonts w:ascii="宋体" w:eastAsia="宋体" w:hint="eastAsia"/>
          <w:vanish w:val="0"/>
          <w:kern w:val="2"/>
          <w:sz w:val="28"/>
          <w:szCs w:val="28"/>
        </w:rPr>
        <w:t>式中：S为计算的结果</w:t>
      </w:r>
    </w:p>
    <w:p>
      <w:pPr>
        <w:pBdr>
          <w:top w:val="none" w:sz="0" w:space="0" w:color="auto"/>
          <w:left w:val="none" w:sz="0" w:space="0" w:color="auto"/>
          <w:bottom w:val="none" w:sz="0" w:space="0" w:color="auto"/>
          <w:right w:val="none" w:sz="0" w:space="0" w:color="auto"/>
        </w:pBdr>
        <w:spacing w:line="360" w:lineRule="auto"/>
        <w:ind w:leftChars="102" w:left="214" w:firstLineChars="75" w:firstLine="210"/>
        <w:rPr>
          <w:rFonts w:ascii="宋体" w:eastAsia="宋体" w:hint="eastAsia"/>
          <w:vanish w:val="0"/>
          <w:kern w:val="2"/>
          <w:sz w:val="28"/>
          <w:szCs w:val="28"/>
        </w:rPr>
      </w:pPr>
      <w:r>
        <w:rPr>
          <w:rFonts w:ascii="宋体" w:eastAsia="宋体" w:hint="eastAsia"/>
          <w:vanish w:val="0"/>
          <w:kern w:val="2"/>
          <w:sz w:val="28"/>
          <w:szCs w:val="28"/>
        </w:rPr>
        <w:t>q</w:t>
      </w:r>
      <w:r>
        <w:rPr>
          <w:rFonts w:ascii="宋体" w:eastAsia="宋体" w:hint="eastAsia"/>
          <w:vanish w:val="0"/>
          <w:kern w:val="2"/>
          <w:sz w:val="28"/>
          <w:szCs w:val="28"/>
          <w:vertAlign w:val="subscript"/>
        </w:rPr>
        <w:t>1</w:t>
      </w:r>
      <w:r>
        <w:rPr>
          <w:rFonts w:ascii="宋体" w:eastAsia="宋体" w:hint="eastAsia"/>
          <w:vanish w:val="0"/>
          <w:kern w:val="2"/>
          <w:sz w:val="28"/>
          <w:szCs w:val="28"/>
        </w:rPr>
        <w:t>，q</w:t>
      </w:r>
      <w:r>
        <w:rPr>
          <w:rFonts w:ascii="宋体" w:eastAsia="宋体" w:hint="eastAsia"/>
          <w:vanish w:val="0"/>
          <w:kern w:val="2"/>
          <w:sz w:val="28"/>
          <w:szCs w:val="28"/>
          <w:vertAlign w:val="subscript"/>
        </w:rPr>
        <w:t>2</w:t>
      </w:r>
      <w:r>
        <w:rPr>
          <w:rFonts w:ascii="宋体" w:eastAsia="宋体" w:hint="eastAsia"/>
          <w:vanish w:val="0"/>
          <w:kern w:val="2"/>
          <w:sz w:val="28"/>
          <w:szCs w:val="28"/>
        </w:rPr>
        <w:t>……q</w:t>
      </w:r>
      <w:r>
        <w:rPr>
          <w:rFonts w:ascii="宋体" w:eastAsia="宋体" w:hint="eastAsia"/>
          <w:vanish w:val="0"/>
          <w:kern w:val="2"/>
          <w:sz w:val="28"/>
          <w:szCs w:val="28"/>
          <w:vertAlign w:val="subscript"/>
        </w:rPr>
        <w:t>n</w:t>
      </w:r>
      <w:r>
        <w:rPr>
          <w:rFonts w:ascii="宋体" w:eastAsia="宋体" w:hint="eastAsia"/>
          <w:vanish w:val="0"/>
          <w:kern w:val="2"/>
          <w:sz w:val="28"/>
          <w:szCs w:val="28"/>
        </w:rPr>
        <w:t>——每种危险化学品实际存在量，t。</w:t>
        <w:br/>
        <w:t>Q1，Q2……Qn——与各危险化学品相对应的生产场所或贮存区的临界量，t。</w:t>
      </w:r>
    </w:p>
    <w:p>
      <w:pPr>
        <w:pStyle w:val="3"/>
        <w:rPr>
          <w:rFonts w:ascii="宋体" w:eastAsia="宋体" w:hint="eastAsia"/>
          <w:b/>
          <w:bCs/>
          <w:kern w:val="2"/>
          <w:sz w:val="30"/>
          <w:szCs w:val="30"/>
        </w:rPr>
      </w:pPr>
      <w:bookmarkStart w:id="141" w:name="_Toc15459"/>
      <w:bookmarkStart w:id="142" w:name="_Toc30565"/>
      <w:bookmarkStart w:id="143" w:name="_Toc18558"/>
      <w:bookmarkEnd w:id="141"/>
      <w:bookmarkEnd w:id="142"/>
      <w:r>
        <w:rPr>
          <w:rFonts w:ascii="宋体" w:eastAsia="宋体" w:hint="eastAsia"/>
          <w:b/>
          <w:bCs/>
          <w:kern w:val="2"/>
          <w:sz w:val="30"/>
          <w:szCs w:val="30"/>
        </w:rPr>
        <w:t>1.10.5 危险化学品重大危险源辨识结果</w:t>
      </w:r>
      <w:bookmarkEnd w:id="143"/>
    </w:p>
    <w:p>
      <w:pPr>
        <w:pBdr>
          <w:top w:val="none" w:sz="0" w:space="0" w:color="auto"/>
          <w:left w:val="none" w:sz="0" w:space="0" w:color="auto"/>
          <w:bottom w:val="none" w:sz="0" w:space="0" w:color="auto"/>
          <w:right w:val="none" w:sz="0" w:space="0" w:color="auto"/>
        </w:pBdr>
        <w:spacing w:line="360" w:lineRule="auto"/>
        <w:ind w:firstLineChars="200" w:firstLine="560"/>
        <w:jc w:val="left"/>
        <w:rPr>
          <w:rStyle w:val="138"/>
          <w:rFonts w:ascii="宋体" w:eastAsia="宋体" w:hint="eastAsia"/>
          <w:vanish w:val="0"/>
          <w:sz w:val="28"/>
          <w:szCs w:val="28"/>
        </w:rPr>
      </w:pPr>
      <w:r>
        <w:rPr>
          <w:rStyle w:val="138"/>
          <w:rFonts w:ascii="宋体" w:eastAsia="宋体" w:hint="eastAsia"/>
          <w:vanish w:val="0"/>
          <w:sz w:val="28"/>
          <w:szCs w:val="28"/>
        </w:rPr>
        <w:t>根据《危险化学品重大危险源辨识》(GB18218-2009)，滨江路加油加气站共设4座油罐，其中有3座15m</w:t>
      </w:r>
      <w:r>
        <w:rPr>
          <w:rStyle w:val="138"/>
          <w:rFonts w:ascii="宋体" w:eastAsia="宋体" w:hint="eastAsia"/>
          <w:vanish w:val="0"/>
          <w:sz w:val="28"/>
          <w:szCs w:val="28"/>
          <w:vertAlign w:val="superscript"/>
        </w:rPr>
        <w:t>3</w:t>
      </w:r>
      <w:r>
        <w:rPr>
          <w:rStyle w:val="138"/>
          <w:rFonts w:ascii="宋体" w:eastAsia="宋体" w:hint="eastAsia"/>
          <w:vanish w:val="0"/>
          <w:sz w:val="28"/>
          <w:szCs w:val="28"/>
        </w:rPr>
        <w:t>的汽油罐，密度0.75t/m</w:t>
      </w:r>
      <w:r>
        <w:rPr>
          <w:rStyle w:val="138"/>
          <w:rFonts w:ascii="宋体" w:eastAsia="宋体" w:hint="eastAsia"/>
          <w:vanish w:val="0"/>
          <w:sz w:val="28"/>
          <w:szCs w:val="28"/>
          <w:vertAlign w:val="superscript"/>
        </w:rPr>
        <w:t>3</w:t>
      </w:r>
      <w:r>
        <w:rPr>
          <w:rStyle w:val="138"/>
          <w:rFonts w:ascii="宋体" w:eastAsia="宋体" w:hint="eastAsia"/>
          <w:vanish w:val="0"/>
          <w:sz w:val="28"/>
          <w:szCs w:val="28"/>
        </w:rPr>
        <w:t>，合计33.75t；1座15m3的柴油罐，密度0.85t/m3，合计12.75t；CNG储罐区设置了6座容积为2m</w:t>
      </w:r>
      <w:r>
        <w:rPr>
          <w:rStyle w:val="138"/>
          <w:rFonts w:ascii="宋体" w:eastAsia="宋体" w:hint="eastAsia"/>
          <w:vanish w:val="0"/>
          <w:sz w:val="28"/>
          <w:szCs w:val="28"/>
          <w:vertAlign w:val="superscript"/>
        </w:rPr>
        <w:t>3</w:t>
      </w:r>
      <w:r>
        <w:rPr>
          <w:rStyle w:val="138"/>
          <w:rFonts w:ascii="宋体" w:eastAsia="宋体" w:hint="eastAsia"/>
          <w:vanish w:val="0"/>
          <w:sz w:val="28"/>
          <w:szCs w:val="28"/>
        </w:rPr>
        <w:t>的储气井，额定工作压力为25MPa，实际储存压力为20MPa，计算值选择20MPa；温度为25℃，则该储存区域的压缩天然气最大储存量计算如下：PV=nRT     n=m/M       m=MPV/RT</w:t>
      </w:r>
    </w:p>
    <w:p>
      <w:pPr>
        <w:pBdr>
          <w:top w:val="none" w:sz="0" w:space="0" w:color="auto"/>
          <w:left w:val="none" w:sz="0" w:space="0" w:color="auto"/>
          <w:bottom w:val="none" w:sz="0" w:space="0" w:color="auto"/>
          <w:right w:val="none" w:sz="0" w:space="0" w:color="auto"/>
        </w:pBdr>
        <w:spacing w:line="360" w:lineRule="auto"/>
        <w:ind w:firstLineChars="200" w:firstLine="560"/>
        <w:jc w:val="left"/>
        <w:rPr>
          <w:rStyle w:val="138"/>
          <w:rFonts w:ascii="宋体" w:eastAsia="宋体" w:hint="eastAsia"/>
          <w:vanish w:val="0"/>
          <w:sz w:val="28"/>
          <w:szCs w:val="28"/>
        </w:rPr>
      </w:pPr>
      <w:r>
        <w:rPr>
          <w:rStyle w:val="138"/>
          <w:rFonts w:ascii="宋体" w:eastAsia="宋体" w:hint="eastAsia"/>
          <w:vanish w:val="0"/>
          <w:sz w:val="28"/>
          <w:szCs w:val="28"/>
        </w:rPr>
        <w:t>=16×2×107Pa×12m³/(8.314×298.15K×106)</w:t>
      </w:r>
    </w:p>
    <w:p>
      <w:pPr>
        <w:pBdr>
          <w:top w:val="none" w:sz="0" w:space="0" w:color="auto"/>
          <w:left w:val="none" w:sz="0" w:space="0" w:color="auto"/>
          <w:bottom w:val="none" w:sz="0" w:space="0" w:color="auto"/>
          <w:right w:val="none" w:sz="0" w:space="0" w:color="auto"/>
        </w:pBdr>
        <w:spacing w:line="360" w:lineRule="auto"/>
        <w:ind w:firstLineChars="200" w:firstLine="560"/>
        <w:jc w:val="left"/>
        <w:rPr>
          <w:rStyle w:val="138"/>
          <w:rFonts w:ascii="宋体" w:eastAsia="宋体" w:hint="eastAsia"/>
          <w:vanish w:val="0"/>
          <w:sz w:val="28"/>
          <w:szCs w:val="28"/>
        </w:rPr>
      </w:pPr>
      <w:r>
        <w:rPr>
          <w:rStyle w:val="138"/>
          <w:rFonts w:ascii="宋体" w:eastAsia="宋体" w:hint="eastAsia"/>
          <w:vanish w:val="0"/>
          <w:sz w:val="28"/>
          <w:szCs w:val="28"/>
        </w:rPr>
        <w:t>≈1.55t</w:t>
      </w:r>
    </w:p>
    <w:p>
      <w:pPr>
        <w:pBdr>
          <w:top w:val="none" w:sz="0" w:space="0" w:color="auto"/>
          <w:left w:val="none" w:sz="0" w:space="0" w:color="auto"/>
          <w:bottom w:val="none" w:sz="0" w:space="0" w:color="auto"/>
          <w:right w:val="none" w:sz="0" w:space="0" w:color="auto"/>
        </w:pBdr>
        <w:spacing w:line="360" w:lineRule="auto"/>
        <w:ind w:firstLineChars="200" w:firstLine="560"/>
        <w:jc w:val="left"/>
        <w:rPr>
          <w:rStyle w:val="138"/>
          <w:rFonts w:ascii="宋体" w:eastAsia="宋体" w:hint="eastAsia"/>
          <w:vanish w:val="0"/>
          <w:sz w:val="28"/>
          <w:szCs w:val="28"/>
        </w:rPr>
      </w:pPr>
      <w:r>
        <w:rPr>
          <w:rStyle w:val="138"/>
          <w:rFonts w:ascii="宋体" w:eastAsia="宋体" w:hint="eastAsia"/>
          <w:vanish w:val="0"/>
          <w:sz w:val="28"/>
          <w:szCs w:val="28"/>
        </w:rPr>
        <w:t>则：33.75/200+12.75/5000+1.55/50</w:t>
      </w:r>
    </w:p>
    <w:p>
      <w:pPr>
        <w:pBdr>
          <w:top w:val="none" w:sz="0" w:space="0" w:color="auto"/>
          <w:left w:val="none" w:sz="0" w:space="0" w:color="auto"/>
          <w:bottom w:val="none" w:sz="0" w:space="0" w:color="auto"/>
          <w:right w:val="none" w:sz="0" w:space="0" w:color="auto"/>
        </w:pBdr>
        <w:spacing w:line="360" w:lineRule="auto"/>
        <w:ind w:firstLineChars="200" w:firstLine="560"/>
        <w:jc w:val="left"/>
        <w:rPr>
          <w:rStyle w:val="138"/>
          <w:rFonts w:ascii="宋体" w:eastAsia="宋体" w:hint="eastAsia"/>
          <w:vanish w:val="0"/>
          <w:sz w:val="28"/>
          <w:szCs w:val="28"/>
        </w:rPr>
      </w:pPr>
      <w:r>
        <w:rPr>
          <w:rStyle w:val="138"/>
          <w:rFonts w:ascii="宋体" w:eastAsia="宋体" w:hint="eastAsia"/>
          <w:vanish w:val="0"/>
          <w:sz w:val="28"/>
          <w:szCs w:val="28"/>
        </w:rPr>
        <w:t>=0.16875+0.00255+0.031</w:t>
      </w:r>
    </w:p>
    <w:p>
      <w:pPr>
        <w:pBdr>
          <w:top w:val="none" w:sz="0" w:space="0" w:color="auto"/>
          <w:left w:val="none" w:sz="0" w:space="0" w:color="auto"/>
          <w:bottom w:val="none" w:sz="0" w:space="0" w:color="auto"/>
          <w:right w:val="none" w:sz="0" w:space="0" w:color="auto"/>
        </w:pBdr>
        <w:spacing w:line="360" w:lineRule="auto"/>
        <w:ind w:firstLineChars="200" w:firstLine="560"/>
        <w:jc w:val="left"/>
        <w:rPr>
          <w:rStyle w:val="138"/>
          <w:rFonts w:ascii="宋体" w:eastAsia="宋体" w:hint="eastAsia"/>
          <w:vanish w:val="0"/>
          <w:sz w:val="28"/>
          <w:szCs w:val="28"/>
        </w:rPr>
      </w:pPr>
      <w:r>
        <w:rPr>
          <w:rStyle w:val="138"/>
          <w:rFonts w:ascii="宋体" w:eastAsia="宋体" w:hint="eastAsia"/>
          <w:vanish w:val="0"/>
          <w:sz w:val="28"/>
          <w:szCs w:val="28"/>
        </w:rPr>
        <w:t>=0.2023＜1</w:t>
      </w:r>
    </w:p>
    <w:p>
      <w:pPr>
        <w:pBdr>
          <w:top w:val="none" w:sz="0" w:space="0" w:color="auto"/>
          <w:left w:val="none" w:sz="0" w:space="0" w:color="auto"/>
          <w:bottom w:val="none" w:sz="0" w:space="0" w:color="auto"/>
          <w:right w:val="none" w:sz="0" w:space="0" w:color="auto"/>
        </w:pBdr>
        <w:spacing w:before="156" w:beforeAutospacing="0" w:after="156" w:afterAutospacing="0"/>
        <w:ind w:firstLineChars="200" w:firstLine="560"/>
        <w:rPr>
          <w:rFonts w:ascii="宋体" w:eastAsia="宋体" w:hint="eastAsia"/>
          <w:b/>
          <w:bCs/>
          <w:vanish w:val="0"/>
          <w:kern w:val="2"/>
          <w:sz w:val="28"/>
          <w:szCs w:val="28"/>
        </w:rPr>
      </w:pPr>
      <w:r>
        <w:rPr>
          <w:rFonts w:ascii="宋体" w:eastAsia="宋体" w:hint="eastAsia"/>
          <w:b/>
          <w:bCs w:val="0"/>
          <w:vanish w:val="0"/>
          <w:kern w:val="2"/>
          <w:sz w:val="28"/>
          <w:szCs w:val="28"/>
        </w:rPr>
        <w:t>故，本加</w:t>
      </w:r>
      <w:r>
        <w:rPr>
          <w:rFonts w:ascii="宋体" w:eastAsia="宋体" w:hint="eastAsia"/>
          <w:b/>
          <w:bCs/>
          <w:vanish w:val="0"/>
          <w:kern w:val="2"/>
          <w:sz w:val="28"/>
          <w:szCs w:val="28"/>
        </w:rPr>
        <w:t>油加气站储存的危险化学品总量未构成危险化学品重大危险源。</w:t>
      </w:r>
    </w:p>
    <w:p>
      <w:pPr>
        <w:sectPr>
          <w:pgSz w:w="11906" w:h="16838"/>
          <w:pgMar w:top="1440" w:right="1800" w:bottom="1440" w:left="1800" w:header="851" w:footer="992" w:gutter="0"/>
          <w:docGrid w:type="lines" w:linePitch="312" w:charSpace="0"/>
        </w:sectPr>
      </w:pPr>
    </w:p>
    <w:p>
      <w:pPr>
        <w:pStyle w:val="1"/>
        <w:pBdr>
          <w:top w:val="none" w:sz="0" w:space="0" w:color="auto"/>
          <w:left w:val="none" w:sz="0" w:space="0" w:color="auto"/>
          <w:bottom w:val="none" w:sz="0" w:space="0" w:color="auto"/>
          <w:right w:val="none" w:sz="0" w:space="0" w:color="auto"/>
        </w:pBdr>
        <w:spacing w:beforeLines="0" w:before="156" w:beforeAutospacing="0" w:afterLines="0" w:after="156" w:afterAutospacing="0"/>
        <w:rPr>
          <w:rFonts w:ascii="宋体" w:eastAsia="宋体" w:hint="eastAsia"/>
          <w:b/>
          <w:bCs w:val="0"/>
          <w:vanish w:val="0"/>
          <w:kern w:val="2"/>
          <w:sz w:val="36"/>
          <w:szCs w:val="36"/>
        </w:rPr>
      </w:pPr>
      <w:bookmarkStart w:id="144" w:name="_Toc1267"/>
      <w:bookmarkStart w:id="145" w:name="_Toc14075"/>
      <w:bookmarkEnd w:id="144"/>
      <w:r>
        <w:rPr>
          <w:rFonts w:ascii="宋体" w:eastAsia="宋体" w:hint="eastAsia"/>
          <w:b/>
          <w:bCs w:val="0"/>
          <w:vanish w:val="0"/>
          <w:kern w:val="2"/>
          <w:sz w:val="36"/>
          <w:szCs w:val="36"/>
        </w:rPr>
        <w:t>2.事故风险分析</w:t>
      </w:r>
      <w:bookmarkEnd w:id="145"/>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hint="eastAsia"/>
          <w:bCs/>
          <w:vanish w:val="0"/>
          <w:kern w:val="2"/>
          <w:sz w:val="28"/>
          <w:szCs w:val="28"/>
        </w:rPr>
      </w:pPr>
      <w:r>
        <w:rPr>
          <w:rFonts w:ascii="宋体" w:eastAsia="宋体" w:hint="eastAsia"/>
          <w:bCs/>
          <w:vanish w:val="0"/>
          <w:kern w:val="2"/>
          <w:sz w:val="28"/>
          <w:szCs w:val="28"/>
        </w:rPr>
        <w:t>加油加气站危险区域为储罐区、</w:t>
      </w:r>
      <w:r>
        <w:rPr>
          <w:rFonts w:ascii="宋体" w:eastAsia="宋体" w:hint="eastAsia"/>
          <w:vanish w:val="0"/>
          <w:kern w:val="2"/>
          <w:sz w:val="28"/>
          <w:szCs w:val="28"/>
        </w:rPr>
        <w:t>卸油点、</w:t>
      </w:r>
      <w:r>
        <w:rPr>
          <w:rFonts w:ascii="宋体" w:eastAsia="宋体" w:hint="eastAsia"/>
          <w:bCs/>
          <w:vanish w:val="0"/>
          <w:kern w:val="2"/>
          <w:sz w:val="28"/>
          <w:szCs w:val="28"/>
        </w:rPr>
        <w:t>加油区、加气区区、</w:t>
      </w:r>
      <w:r>
        <w:rPr>
          <w:rFonts w:ascii="宋体" w:eastAsia="宋体" w:hint="eastAsia"/>
          <w:vanish w:val="0"/>
          <w:kern w:val="2"/>
          <w:sz w:val="28"/>
          <w:szCs w:val="28"/>
        </w:rPr>
        <w:t>配电室</w:t>
      </w:r>
      <w:r>
        <w:rPr>
          <w:rFonts w:ascii="宋体" w:eastAsia="宋体" w:hint="eastAsia"/>
          <w:bCs/>
          <w:vanish w:val="0"/>
          <w:kern w:val="2"/>
          <w:sz w:val="28"/>
          <w:szCs w:val="28"/>
        </w:rPr>
        <w:t>，危险生产过程为卸油、加油和计量操作</w:t>
      </w:r>
      <w:r>
        <w:rPr>
          <w:rFonts w:ascii="宋体" w:eastAsia="宋体" w:hint="eastAsia"/>
          <w:vanish w:val="0"/>
          <w:kern w:val="2"/>
          <w:sz w:val="28"/>
          <w:szCs w:val="28"/>
        </w:rPr>
        <w:t>，</w:t>
      </w:r>
      <w:r>
        <w:rPr>
          <w:rFonts w:ascii="宋体" w:eastAsia="宋体" w:hint="eastAsia"/>
          <w:bCs/>
          <w:vanish w:val="0"/>
          <w:kern w:val="2"/>
          <w:sz w:val="28"/>
          <w:szCs w:val="28"/>
        </w:rPr>
        <w:t>存在火灾、爆炸、车辆伤害等事故风险。详见下表。</w:t>
      </w:r>
    </w:p>
    <w:p>
      <w:pPr>
        <w:pBdr>
          <w:top w:val="none" w:sz="0" w:space="0" w:color="auto"/>
          <w:left w:val="none" w:sz="0" w:space="0" w:color="auto"/>
          <w:bottom w:val="none" w:sz="0" w:space="0" w:color="auto"/>
          <w:right w:val="none" w:sz="0" w:space="0" w:color="auto"/>
        </w:pBdr>
        <w:jc w:val="center"/>
        <w:rPr>
          <w:rFonts w:ascii="宋体" w:eastAsia="宋体" w:hint="eastAsia"/>
          <w:b/>
          <w:bCs/>
          <w:vanish w:val="0"/>
          <w:kern w:val="0"/>
          <w:sz w:val="24"/>
          <w:szCs w:val="24"/>
        </w:rPr>
      </w:pPr>
      <w:r>
        <w:rPr>
          <w:rFonts w:ascii="宋体" w:eastAsia="宋体" w:hint="eastAsia"/>
          <w:b/>
          <w:bCs/>
          <w:vanish w:val="0"/>
          <w:kern w:val="0"/>
          <w:sz w:val="24"/>
          <w:szCs w:val="24"/>
        </w:rPr>
        <w:t>表2-1 加油加气站主要事故风险分布表</w:t>
      </w:r>
    </w:p>
    <w:tbl>
      <w:tblPr>
        <w:jc w:val="center"/>
        <w:tblW w:w="4530" w:type="pct"/>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0" w:type="dxa"/>
          <w:left w:w="108" w:type="dxa"/>
          <w:bottom w:w="0" w:type="dxa"/>
          <w:right w:w="108" w:type="dxa"/>
        </w:tblCellMar>
      </w:tblPr>
      <w:tblGrid>
        <w:gridCol w:w="1476"/>
        <w:gridCol w:w="770"/>
        <w:gridCol w:w="770"/>
        <w:gridCol w:w="768"/>
        <w:gridCol w:w="770"/>
        <w:gridCol w:w="768"/>
        <w:gridCol w:w="770"/>
        <w:gridCol w:w="629"/>
        <w:gridCol w:w="795"/>
      </w:tblGrid>
      <w:tr>
        <w:trPr>
          <w:trHeight w:val="613"/>
        </w:trPr>
        <w:tc>
          <w:tcPr>
            <w:tcW w:w="954" w:type="pct"/>
            <w:tcBorders>
              <w:top w:val="single" w:sz="4" w:space="0" w:color="auto"/>
              <w:left w:val="single" w:sz="4" w:space="0" w:color="auto"/>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480" w:right="0" w:hangingChars="200" w:hanging="480"/>
              <w:rPr>
                <w:rFonts w:ascii="宋体" w:eastAsia="宋体" w:hint="eastAsia"/>
                <w:vanish w:val="0"/>
                <w:kern w:val="2"/>
                <w:sz w:val="24"/>
                <w:szCs w:val="24"/>
              </w:rPr>
            </w:pPr>
            <w:r>
              <w:rPr>
                <w:rFonts w:ascii="宋体" w:eastAsia="宋体" w:hint="eastAsia"/>
                <w:vanish w:val="0"/>
                <w:kern w:val="2"/>
                <w:sz w:val="24"/>
                <w:szCs w:val="24"/>
              </w:rPr>
              <w:t>事故</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200" w:left="420" w:right="0" w:firstLineChars="250" w:firstLine="600"/>
              <w:rPr>
                <w:rFonts w:ascii="宋体" w:eastAsia="宋体" w:hint="eastAsia"/>
                <w:vanish w:val="0"/>
                <w:kern w:val="2"/>
                <w:sz w:val="24"/>
                <w:szCs w:val="24"/>
              </w:rPr>
            </w:pPr>
            <w:r>
              <w:rPr>
                <w:rFonts w:ascii="宋体" w:eastAsia="宋体" w:hint="eastAsia"/>
                <w:vanish w:val="0"/>
                <w:kern w:val="2"/>
                <w:sz w:val="24"/>
                <w:szCs w:val="24"/>
              </w:rPr>
              <w:t>风险</w:t>
            </w:r>
          </w:p>
          <w:p>
            <w:pPr>
              <w:keepLines w:val="0"/>
              <w:widowControl/>
              <w:suppressLineNumbers w:val="0"/>
              <w:spacing w:after="0" w:afterAutospacing="0"/>
              <w:ind w:left="0" w:right="0"/>
              <w:rPr>
                <w:rFonts w:ascii="宋体" w:eastAsia="宋体" w:hint="eastAsia"/>
                <w:vanish w:val="0"/>
                <w:kern w:val="2"/>
                <w:sz w:val="24"/>
                <w:szCs w:val="24"/>
              </w:rPr>
            </w:pPr>
            <w:r>
              <w:rPr>
                <w:rFonts w:ascii="宋体" w:eastAsia="宋体" w:hint="eastAsia"/>
                <w:vanish w:val="0"/>
                <w:kern w:val="2"/>
                <w:sz w:val="24"/>
                <w:szCs w:val="24"/>
              </w:rPr>
              <w:t>作业场所</w:t>
            </w:r>
          </w:p>
        </w:tc>
        <w:tc>
          <w:tcPr>
            <w:tcW w:w="515"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4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泄漏</w:t>
            </w:r>
          </w:p>
        </w:tc>
        <w:tc>
          <w:tcPr>
            <w:tcW w:w="515"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4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火灾</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4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爆炸</w:t>
            </w:r>
          </w:p>
        </w:tc>
        <w:tc>
          <w:tcPr>
            <w:tcW w:w="515"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4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触电</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4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车辆</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line="44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伤害</w:t>
            </w:r>
          </w:p>
        </w:tc>
        <w:tc>
          <w:tcPr>
            <w:tcW w:w="515"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4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机械</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line="44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伤害</w:t>
            </w:r>
          </w:p>
        </w:tc>
        <w:tc>
          <w:tcPr>
            <w:tcW w:w="421"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4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高处</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line="44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坠落</w:t>
            </w:r>
          </w:p>
        </w:tc>
        <w:tc>
          <w:tcPr>
            <w:tcW w:w="532"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4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治安事件</w:t>
            </w:r>
          </w:p>
        </w:tc>
      </w:tr>
      <w:tr>
        <w:trPr>
          <w:trHeight w:val="323"/>
        </w:trPr>
        <w:tc>
          <w:tcPr>
            <w:tcW w:w="954"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4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储罐区</w:t>
            </w:r>
          </w:p>
        </w:tc>
        <w:tc>
          <w:tcPr>
            <w:tcW w:w="515"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515"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4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515"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4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515"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40" w:lineRule="exact"/>
              <w:ind w:left="0" w:right="0"/>
              <w:jc w:val="center"/>
              <w:rPr>
                <w:rFonts w:ascii="宋体" w:eastAsia="宋体" w:hint="eastAsia"/>
                <w:vanish w:val="0"/>
                <w:kern w:val="2"/>
                <w:sz w:val="24"/>
                <w:szCs w:val="24"/>
              </w:rPr>
            </w:pPr>
          </w:p>
        </w:tc>
        <w:tc>
          <w:tcPr>
            <w:tcW w:w="421"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532"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r>
      <w:tr>
        <w:tc>
          <w:tcPr>
            <w:tcW w:w="954"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4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加油区</w:t>
            </w:r>
          </w:p>
        </w:tc>
        <w:tc>
          <w:tcPr>
            <w:tcW w:w="515"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515"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515"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4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515"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p>
        </w:tc>
        <w:tc>
          <w:tcPr>
            <w:tcW w:w="421"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40" w:lineRule="exact"/>
              <w:ind w:left="0" w:right="0"/>
              <w:jc w:val="center"/>
              <w:rPr>
                <w:rFonts w:ascii="宋体" w:eastAsia="宋体" w:hint="eastAsia"/>
                <w:vanish w:val="0"/>
                <w:kern w:val="2"/>
                <w:sz w:val="24"/>
                <w:szCs w:val="24"/>
              </w:rPr>
            </w:pPr>
          </w:p>
        </w:tc>
        <w:tc>
          <w:tcPr>
            <w:tcW w:w="532"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r>
      <w:tr>
        <w:tc>
          <w:tcPr>
            <w:tcW w:w="954"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4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加气区</w:t>
            </w:r>
          </w:p>
        </w:tc>
        <w:tc>
          <w:tcPr>
            <w:tcW w:w="515"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515"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515"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4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515"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p>
        </w:tc>
        <w:tc>
          <w:tcPr>
            <w:tcW w:w="421"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40" w:lineRule="exact"/>
              <w:ind w:left="0" w:right="0"/>
              <w:jc w:val="center"/>
              <w:rPr>
                <w:rFonts w:ascii="宋体" w:eastAsia="宋体" w:hint="eastAsia"/>
                <w:vanish w:val="0"/>
                <w:kern w:val="2"/>
                <w:sz w:val="24"/>
                <w:szCs w:val="24"/>
              </w:rPr>
            </w:pPr>
          </w:p>
        </w:tc>
        <w:tc>
          <w:tcPr>
            <w:tcW w:w="532"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r>
      <w:tr>
        <w:tc>
          <w:tcPr>
            <w:tcW w:w="954"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4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卸油区</w:t>
            </w:r>
          </w:p>
        </w:tc>
        <w:tc>
          <w:tcPr>
            <w:tcW w:w="515"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515"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515"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4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515"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421"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40" w:lineRule="exact"/>
              <w:ind w:left="0" w:right="0"/>
              <w:jc w:val="center"/>
              <w:rPr>
                <w:rFonts w:ascii="宋体" w:eastAsia="宋体" w:hint="eastAsia"/>
                <w:vanish w:val="0"/>
                <w:kern w:val="2"/>
                <w:sz w:val="24"/>
                <w:szCs w:val="24"/>
              </w:rPr>
            </w:pPr>
          </w:p>
        </w:tc>
        <w:tc>
          <w:tcPr>
            <w:tcW w:w="532"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p>
        </w:tc>
      </w:tr>
      <w:tr>
        <w:trPr>
          <w:trHeight w:val="349"/>
        </w:trPr>
        <w:tc>
          <w:tcPr>
            <w:tcW w:w="954"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4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站房</w:t>
            </w:r>
          </w:p>
        </w:tc>
        <w:tc>
          <w:tcPr>
            <w:tcW w:w="515"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p>
        </w:tc>
        <w:tc>
          <w:tcPr>
            <w:tcW w:w="515"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p>
        </w:tc>
        <w:tc>
          <w:tcPr>
            <w:tcW w:w="515"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p>
        </w:tc>
        <w:tc>
          <w:tcPr>
            <w:tcW w:w="515"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40" w:lineRule="exact"/>
              <w:ind w:left="0" w:right="0"/>
              <w:jc w:val="center"/>
              <w:rPr>
                <w:rFonts w:ascii="宋体" w:eastAsia="宋体" w:hint="eastAsia"/>
                <w:vanish w:val="0"/>
                <w:kern w:val="2"/>
                <w:sz w:val="24"/>
                <w:szCs w:val="24"/>
              </w:rPr>
            </w:pPr>
          </w:p>
        </w:tc>
        <w:tc>
          <w:tcPr>
            <w:tcW w:w="421"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532"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p>
        </w:tc>
      </w:tr>
      <w:tr>
        <w:tc>
          <w:tcPr>
            <w:tcW w:w="954"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4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辅助用房</w:t>
            </w:r>
          </w:p>
        </w:tc>
        <w:tc>
          <w:tcPr>
            <w:tcW w:w="515"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40" w:lineRule="exact"/>
              <w:ind w:left="0" w:right="0"/>
              <w:jc w:val="center"/>
              <w:rPr>
                <w:rFonts w:ascii="宋体" w:eastAsia="宋体" w:hint="eastAsia"/>
                <w:vanish w:val="0"/>
                <w:kern w:val="2"/>
                <w:sz w:val="24"/>
                <w:szCs w:val="24"/>
              </w:rPr>
            </w:pPr>
          </w:p>
        </w:tc>
        <w:tc>
          <w:tcPr>
            <w:tcW w:w="515"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40" w:lineRule="exact"/>
              <w:ind w:left="0" w:right="0"/>
              <w:jc w:val="center"/>
              <w:rPr>
                <w:rFonts w:ascii="宋体" w:eastAsia="宋体" w:hint="eastAsia"/>
                <w:vanish w:val="0"/>
                <w:kern w:val="2"/>
                <w:sz w:val="24"/>
                <w:szCs w:val="24"/>
              </w:rPr>
            </w:pPr>
          </w:p>
        </w:tc>
        <w:tc>
          <w:tcPr>
            <w:tcW w:w="515"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p>
        </w:tc>
        <w:tc>
          <w:tcPr>
            <w:tcW w:w="515"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4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421"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532"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p>
        </w:tc>
      </w:tr>
    </w:tbl>
    <w:p>
      <w:pPr>
        <w:pBdr>
          <w:top w:val="none" w:sz="0" w:space="0" w:color="auto"/>
          <w:left w:val="none" w:sz="0" w:space="0" w:color="auto"/>
          <w:bottom w:val="none" w:sz="0" w:space="0" w:color="auto"/>
          <w:right w:val="none" w:sz="0" w:space="0" w:color="auto"/>
        </w:pBdr>
        <w:jc w:val="center"/>
        <w:rPr>
          <w:rFonts w:ascii="宋体" w:eastAsia="宋体" w:hint="eastAsia"/>
          <w:b/>
          <w:bCs/>
          <w:vanish w:val="0"/>
          <w:kern w:val="0"/>
          <w:sz w:val="24"/>
          <w:szCs w:val="24"/>
        </w:rPr>
      </w:pPr>
    </w:p>
    <w:p>
      <w:pPr>
        <w:rPr>
          <w:rFonts w:ascii="宋体" w:eastAsia="宋体" w:hint="eastAsia"/>
          <w:kern w:val="2"/>
          <w:sz w:val="21"/>
          <w:szCs w:val="21"/>
        </w:rPr>
      </w:pPr>
      <w:r>
        <w:rPr>
          <w:rFonts w:ascii="宋体" w:eastAsia="宋体" w:hint="eastAsia"/>
          <w:kern w:val="2"/>
          <w:sz w:val="21"/>
          <w:szCs w:val="21"/>
        </w:rPr>
        <w:br w:type="page"/>
      </w:r>
    </w:p>
    <w:p>
      <w:pPr>
        <w:pStyle w:val="1"/>
        <w:pBdr>
          <w:top w:val="none" w:sz="0" w:space="0" w:color="auto"/>
          <w:left w:val="none" w:sz="0" w:space="0" w:color="auto"/>
          <w:bottom w:val="none" w:sz="0" w:space="0" w:color="auto"/>
          <w:right w:val="none" w:sz="0" w:space="0" w:color="auto"/>
        </w:pBdr>
        <w:spacing w:beforeLines="0" w:before="156" w:beforeAutospacing="0" w:afterLines="0" w:after="156" w:afterAutospacing="0"/>
        <w:rPr>
          <w:rFonts w:ascii="宋体" w:eastAsia="宋体" w:hint="eastAsia"/>
          <w:b/>
          <w:bCs w:val="0"/>
          <w:vanish w:val="0"/>
          <w:kern w:val="2"/>
          <w:sz w:val="36"/>
          <w:szCs w:val="36"/>
        </w:rPr>
      </w:pPr>
      <w:bookmarkStart w:id="146" w:name="_Toc8282"/>
      <w:bookmarkStart w:id="147" w:name="_Toc19542"/>
      <w:bookmarkEnd w:id="146"/>
      <w:r>
        <w:rPr>
          <w:rFonts w:ascii="宋体" w:eastAsia="宋体" w:hint="eastAsia"/>
          <w:b/>
          <w:bCs w:val="0"/>
          <w:vanish w:val="0"/>
          <w:kern w:val="2"/>
          <w:sz w:val="36"/>
          <w:szCs w:val="36"/>
        </w:rPr>
        <w:t>3 事故风险评价</w:t>
      </w:r>
      <w:bookmarkEnd w:id="147"/>
    </w:p>
    <w:p>
      <w:pPr>
        <w:pBdr>
          <w:top w:val="none" w:sz="0" w:space="0" w:color="auto"/>
          <w:left w:val="none" w:sz="0" w:space="0" w:color="auto"/>
          <w:bottom w:val="none" w:sz="0" w:space="0" w:color="auto"/>
          <w:right w:val="none" w:sz="0" w:space="0" w:color="auto"/>
        </w:pBdr>
        <w:ind w:firstLineChars="200" w:firstLine="560"/>
        <w:rPr>
          <w:rFonts w:ascii="宋体" w:eastAsia="宋体" w:hint="eastAsia"/>
          <w:vanish w:val="0"/>
          <w:kern w:val="2"/>
          <w:sz w:val="28"/>
          <w:szCs w:val="28"/>
        </w:rPr>
      </w:pPr>
      <w:r>
        <w:rPr>
          <w:rFonts w:ascii="宋体" w:eastAsia="宋体" w:hint="eastAsia"/>
          <w:vanish w:val="0"/>
          <w:kern w:val="2"/>
          <w:sz w:val="28"/>
          <w:szCs w:val="28"/>
        </w:rPr>
        <w:t>根据《生产安全事故报告与调查处理条例》（以下简称条例）规定，生产安全事故按照其性质、严重程度和影响范围等因棊，一般分为四个等级，本站按照事故性质、灾害程度、影响范围等因素，结合自身及周边单位的实际情况，将生产安全事故分为以下三个等级：</w:t>
      </w:r>
    </w:p>
    <w:p>
      <w:pPr>
        <w:pBdr>
          <w:top w:val="none" w:sz="0" w:space="0" w:color="auto"/>
          <w:left w:val="none" w:sz="0" w:space="0" w:color="auto"/>
          <w:bottom w:val="none" w:sz="0" w:space="0" w:color="auto"/>
          <w:right w:val="none" w:sz="0" w:space="0" w:color="auto"/>
        </w:pBdr>
        <w:ind w:firstLineChars="200" w:firstLine="560"/>
        <w:jc w:val="left"/>
        <w:rPr>
          <w:rFonts w:ascii="宋体" w:eastAsia="宋体" w:hint="eastAsia"/>
          <w:vanish w:val="0"/>
          <w:kern w:val="2"/>
          <w:sz w:val="28"/>
          <w:szCs w:val="28"/>
        </w:rPr>
      </w:pPr>
      <w:r>
        <w:rPr>
          <w:rFonts w:ascii="宋体" w:eastAsia="宋体" w:hint="eastAsia"/>
          <w:vanish w:val="0"/>
          <w:kern w:val="2"/>
          <w:sz w:val="28"/>
          <w:szCs w:val="28"/>
        </w:rPr>
        <w:t>1）严重事故：造成1人以上死亡或重伤的事故；或者造成20万元以上经济损失的事故。</w:t>
      </w:r>
    </w:p>
    <w:p>
      <w:pPr>
        <w:pBdr>
          <w:top w:val="none" w:sz="0" w:space="0" w:color="auto"/>
          <w:left w:val="none" w:sz="0" w:space="0" w:color="auto"/>
          <w:bottom w:val="none" w:sz="0" w:space="0" w:color="auto"/>
          <w:right w:val="none" w:sz="0" w:space="0" w:color="auto"/>
        </w:pBdr>
        <w:ind w:firstLineChars="200" w:firstLine="560"/>
        <w:jc w:val="left"/>
        <w:rPr>
          <w:rFonts w:ascii="宋体" w:eastAsia="宋体" w:hint="eastAsia"/>
          <w:vanish w:val="0"/>
          <w:kern w:val="2"/>
          <w:sz w:val="28"/>
          <w:szCs w:val="28"/>
        </w:rPr>
      </w:pPr>
      <w:r>
        <w:rPr>
          <w:rFonts w:ascii="宋体" w:eastAsia="宋体" w:hint="eastAsia"/>
          <w:vanish w:val="0"/>
          <w:kern w:val="2"/>
          <w:sz w:val="28"/>
          <w:szCs w:val="28"/>
        </w:rPr>
        <w:t>2）较大事故：无人员重伤或死亡，2人轻伤的；或者造成10万元以上，20万元以下经济损失的事故。</w:t>
      </w:r>
    </w:p>
    <w:p>
      <w:pPr>
        <w:pBdr>
          <w:top w:val="none" w:sz="0" w:space="0" w:color="auto"/>
          <w:left w:val="none" w:sz="0" w:space="0" w:color="auto"/>
          <w:bottom w:val="none" w:sz="0" w:space="0" w:color="auto"/>
          <w:right w:val="none" w:sz="0" w:space="0" w:color="auto"/>
        </w:pBdr>
        <w:ind w:firstLineChars="200" w:firstLine="560"/>
        <w:jc w:val="left"/>
        <w:rPr>
          <w:rFonts w:ascii="宋体" w:eastAsia="宋体" w:hint="eastAsia"/>
          <w:vanish w:val="0"/>
          <w:kern w:val="2"/>
          <w:sz w:val="28"/>
          <w:szCs w:val="28"/>
        </w:rPr>
      </w:pPr>
      <w:r>
        <w:rPr>
          <w:rFonts w:ascii="宋体" w:eastAsia="宋体" w:hint="eastAsia"/>
          <w:vanish w:val="0"/>
          <w:kern w:val="2"/>
          <w:sz w:val="28"/>
          <w:szCs w:val="28"/>
        </w:rPr>
        <w:t>3）一般事故：无人员重伤或死亡，2人以下轻伤的；或者造成10万元以下经济损失的事故。</w:t>
      </w:r>
    </w:p>
    <w:p>
      <w:pPr>
        <w:pBdr>
          <w:top w:val="none" w:sz="0" w:space="0" w:color="auto"/>
          <w:left w:val="none" w:sz="0" w:space="0" w:color="auto"/>
          <w:bottom w:val="none" w:sz="0" w:space="0" w:color="auto"/>
          <w:right w:val="none" w:sz="0" w:space="0" w:color="auto"/>
        </w:pBdr>
        <w:ind w:firstLineChars="200" w:firstLine="560"/>
        <w:jc w:val="left"/>
        <w:rPr>
          <w:rFonts w:ascii="宋体" w:eastAsia="宋体" w:hint="eastAsia"/>
          <w:vanish w:val="0"/>
          <w:kern w:val="2"/>
          <w:sz w:val="21"/>
          <w:szCs w:val="21"/>
        </w:rPr>
      </w:pPr>
      <w:r>
        <w:rPr>
          <w:rFonts w:ascii="宋体" w:eastAsia="宋体" w:hint="eastAsia"/>
          <w:vanish w:val="0"/>
          <w:kern w:val="2"/>
          <w:sz w:val="28"/>
          <w:szCs w:val="28"/>
        </w:rPr>
        <w:t>注：上述“以上”含本数；如“1人以上死亡”，指“含1人及以上的死亡”。</w:t>
      </w:r>
    </w:p>
    <w:tbl>
      <w:tblPr>
        <w:jc w:val="left"/>
        <w:tblInd w:w="135" w:type="dxa"/>
        <w:tblW w:w="4999"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493"/>
        <w:gridCol w:w="6801"/>
      </w:tblGrid>
      <w:tr>
        <w:trPr>
          <w:trHeight w:val="75"/>
        </w:trPr>
        <w:tc>
          <w:tcPr>
            <w:tcW w:w="900" w:type="pct"/>
            <w:tcBorders>
              <w:top w:val="single" w:sz="4" w:space="0" w:color="auto"/>
              <w:left w:val="single" w:sz="4" w:space="0" w:color="auto"/>
              <w:bottom w:val="single" w:sz="4" w:space="0" w:color="auto"/>
              <w:right w:val="single" w:sz="4" w:space="0" w:color="auto"/>
              <w:tl2br w:val="nil"/>
              <w:tr2bl w:val="nil"/>
            </w:tcBorders>
            <w:shd w:val="clear" w:color="auto" w:fill="FFFFFF"/>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00" w:lineRule="exact"/>
              <w:ind w:left="0" w:right="0"/>
              <w:jc w:val="center"/>
              <w:rPr>
                <w:rFonts w:ascii="宋体" w:eastAsia="宋体" w:hint="eastAsia"/>
                <w:b/>
                <w:bCs/>
                <w:vanish w:val="0"/>
                <w:kern w:val="0"/>
                <w:sz w:val="24"/>
                <w:szCs w:val="24"/>
              </w:rPr>
            </w:pPr>
            <w:r>
              <w:rPr>
                <w:rFonts w:ascii="宋体" w:eastAsia="宋体" w:hint="eastAsia"/>
                <w:b/>
                <w:bCs/>
                <w:vanish w:val="0"/>
                <w:kern w:val="0"/>
                <w:sz w:val="24"/>
                <w:szCs w:val="24"/>
              </w:rPr>
              <w:t>事故等级</w:t>
            </w:r>
          </w:p>
        </w:tc>
        <w:tc>
          <w:tcPr>
            <w:tcW w:w="4099" w:type="pct"/>
            <w:tcBorders>
              <w:top w:val="single" w:sz="4" w:space="0" w:color="auto"/>
              <w:left w:val="nil"/>
              <w:bottom w:val="single" w:sz="4" w:space="0" w:color="auto"/>
              <w:right w:val="single" w:sz="4" w:space="0" w:color="auto"/>
              <w:tl2br w:val="nil"/>
              <w:tr2bl w:val="nil"/>
            </w:tcBorders>
            <w:shd w:val="clear" w:color="auto" w:fill="FFFFFF"/>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00" w:lineRule="exact"/>
              <w:ind w:left="0" w:right="0"/>
              <w:jc w:val="center"/>
              <w:rPr>
                <w:rFonts w:ascii="宋体" w:eastAsia="宋体" w:hint="eastAsia"/>
                <w:b/>
                <w:bCs/>
                <w:vanish w:val="0"/>
                <w:kern w:val="0"/>
                <w:sz w:val="24"/>
                <w:szCs w:val="24"/>
              </w:rPr>
            </w:pPr>
            <w:r>
              <w:rPr>
                <w:rFonts w:ascii="宋体" w:eastAsia="宋体" w:hint="eastAsia"/>
                <w:b/>
                <w:bCs/>
                <w:vanish w:val="0"/>
                <w:kern w:val="0"/>
                <w:sz w:val="24"/>
                <w:szCs w:val="24"/>
              </w:rPr>
              <w:t>分级依据</w:t>
            </w:r>
          </w:p>
        </w:tc>
      </w:tr>
      <w:tr>
        <w:trPr>
          <w:trHeight w:val="75"/>
        </w:trPr>
        <w:tc>
          <w:tcPr>
            <w:tcW w:w="900"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00" w:lineRule="exact"/>
              <w:ind w:left="0" w:right="0"/>
              <w:jc w:val="center"/>
              <w:rPr>
                <w:rFonts w:ascii="宋体" w:eastAsia="宋体" w:hint="eastAsia"/>
                <w:vanish w:val="0"/>
                <w:kern w:val="0"/>
                <w:sz w:val="24"/>
                <w:szCs w:val="24"/>
              </w:rPr>
            </w:pPr>
            <w:r>
              <w:rPr>
                <w:rFonts w:ascii="宋体" w:eastAsia="宋体" w:hint="eastAsia"/>
                <w:vanish w:val="0"/>
                <w:kern w:val="0"/>
                <w:sz w:val="24"/>
                <w:szCs w:val="24"/>
              </w:rPr>
              <w:t>严重事故</w:t>
            </w:r>
          </w:p>
        </w:tc>
        <w:tc>
          <w:tcPr>
            <w:tcW w:w="4099" w:type="pct"/>
            <w:tcBorders>
              <w:top w:val="single" w:sz="4" w:space="0" w:color="auto"/>
              <w:left w:val="nil"/>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00" w:lineRule="exact"/>
              <w:ind w:left="0" w:right="0"/>
              <w:rPr>
                <w:rFonts w:ascii="宋体" w:eastAsia="宋体" w:hint="eastAsia"/>
                <w:vanish w:val="0"/>
                <w:kern w:val="0"/>
                <w:sz w:val="24"/>
                <w:szCs w:val="24"/>
              </w:rPr>
            </w:pPr>
            <w:r>
              <w:rPr>
                <w:rFonts w:ascii="宋体" w:eastAsia="宋体" w:hint="eastAsia"/>
                <w:vanish w:val="0"/>
                <w:kern w:val="0"/>
                <w:sz w:val="24"/>
                <w:szCs w:val="24"/>
              </w:rPr>
              <w:t>造成1人以上死亡或重伤的事故；或者造成20万元以上经济损失的事故。</w:t>
            </w:r>
          </w:p>
        </w:tc>
      </w:tr>
      <w:tr>
        <w:trPr>
          <w:trHeight w:val="90"/>
        </w:trPr>
        <w:tc>
          <w:tcPr>
            <w:tcW w:w="900"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00" w:lineRule="exact"/>
              <w:ind w:left="0" w:right="0"/>
              <w:jc w:val="center"/>
              <w:rPr>
                <w:rFonts w:ascii="宋体" w:eastAsia="宋体" w:hint="eastAsia"/>
                <w:vanish w:val="0"/>
                <w:kern w:val="0"/>
                <w:sz w:val="24"/>
                <w:szCs w:val="24"/>
              </w:rPr>
            </w:pPr>
            <w:r>
              <w:rPr>
                <w:rFonts w:ascii="宋体" w:eastAsia="宋体" w:hint="eastAsia"/>
                <w:vanish w:val="0"/>
                <w:kern w:val="0"/>
                <w:sz w:val="24"/>
                <w:szCs w:val="24"/>
              </w:rPr>
              <w:t>较大事故</w:t>
            </w:r>
          </w:p>
        </w:tc>
        <w:tc>
          <w:tcPr>
            <w:tcW w:w="4099" w:type="pct"/>
            <w:tcBorders>
              <w:top w:val="single" w:sz="4" w:space="0" w:color="auto"/>
              <w:left w:val="nil"/>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00" w:lineRule="exact"/>
              <w:ind w:left="0" w:right="0"/>
              <w:rPr>
                <w:rFonts w:ascii="宋体" w:eastAsia="宋体" w:hint="eastAsia"/>
                <w:vanish w:val="0"/>
                <w:kern w:val="0"/>
                <w:sz w:val="24"/>
                <w:szCs w:val="24"/>
              </w:rPr>
            </w:pPr>
            <w:r>
              <w:rPr>
                <w:rFonts w:ascii="宋体" w:eastAsia="宋体" w:hint="eastAsia"/>
                <w:vanish w:val="0"/>
                <w:kern w:val="0"/>
                <w:sz w:val="24"/>
                <w:szCs w:val="24"/>
              </w:rPr>
              <w:t>无人员重伤或死亡，2人轻伤的；或者造成10万元以上，20万元以下经济损失的事故。</w:t>
            </w:r>
          </w:p>
        </w:tc>
      </w:tr>
      <w:tr>
        <w:trPr>
          <w:trHeight w:val="244"/>
        </w:trPr>
        <w:tc>
          <w:tcPr>
            <w:tcW w:w="900"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00" w:lineRule="exact"/>
              <w:ind w:left="0" w:right="0"/>
              <w:jc w:val="center"/>
              <w:rPr>
                <w:rFonts w:ascii="宋体" w:eastAsia="宋体" w:hint="eastAsia"/>
                <w:vanish w:val="0"/>
                <w:kern w:val="0"/>
                <w:sz w:val="24"/>
                <w:szCs w:val="24"/>
              </w:rPr>
            </w:pPr>
            <w:r>
              <w:rPr>
                <w:rFonts w:ascii="宋体" w:eastAsia="宋体" w:hint="eastAsia"/>
                <w:vanish w:val="0"/>
                <w:kern w:val="0"/>
                <w:sz w:val="24"/>
                <w:szCs w:val="24"/>
              </w:rPr>
              <w:t>一般事故</w:t>
            </w:r>
          </w:p>
        </w:tc>
        <w:tc>
          <w:tcPr>
            <w:tcW w:w="4099" w:type="pct"/>
            <w:tcBorders>
              <w:top w:val="single" w:sz="4" w:space="0" w:color="auto"/>
              <w:left w:val="nil"/>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00" w:lineRule="exact"/>
              <w:ind w:left="0" w:right="0"/>
              <w:rPr>
                <w:rFonts w:ascii="宋体" w:eastAsia="宋体" w:hint="eastAsia"/>
                <w:vanish w:val="0"/>
                <w:kern w:val="0"/>
                <w:sz w:val="24"/>
                <w:szCs w:val="24"/>
              </w:rPr>
            </w:pPr>
            <w:r>
              <w:rPr>
                <w:rFonts w:ascii="宋体" w:eastAsia="宋体" w:hint="eastAsia"/>
                <w:vanish w:val="0"/>
                <w:kern w:val="0"/>
                <w:sz w:val="24"/>
                <w:szCs w:val="24"/>
              </w:rPr>
              <w:t>无人员重伤或死亡，2人以下轻伤的；或者造成10万元以下经济损失的事故。</w:t>
            </w:r>
          </w:p>
        </w:tc>
      </w:tr>
    </w:tbl>
    <w:p>
      <w:pPr>
        <w:pBdr>
          <w:top w:val="none" w:sz="0" w:space="0" w:color="auto"/>
          <w:left w:val="none" w:sz="0" w:space="0" w:color="auto"/>
          <w:bottom w:val="none" w:sz="0" w:space="0" w:color="auto"/>
          <w:right w:val="none" w:sz="0" w:space="0" w:color="auto"/>
        </w:pBdr>
        <w:jc w:val="center"/>
        <w:rPr>
          <w:rFonts w:ascii="宋体" w:eastAsia="宋体" w:hint="eastAsia"/>
          <w:b/>
          <w:bCs/>
          <w:vanish w:val="0"/>
          <w:kern w:val="0"/>
          <w:sz w:val="24"/>
          <w:szCs w:val="24"/>
        </w:rPr>
      </w:pPr>
      <w:r>
        <w:rPr>
          <w:rFonts w:ascii="宋体" w:eastAsia="宋体" w:hint="eastAsia"/>
          <w:b/>
          <w:bCs/>
          <w:vanish w:val="0"/>
          <w:kern w:val="0"/>
          <w:sz w:val="24"/>
          <w:szCs w:val="24"/>
        </w:rPr>
        <w:t>表2-2 事故等级</w:t>
      </w:r>
    </w:p>
    <w:p>
      <w:pPr>
        <w:pBdr>
          <w:top w:val="none" w:sz="0" w:space="0" w:color="auto"/>
          <w:left w:val="none" w:sz="0" w:space="0" w:color="auto"/>
          <w:bottom w:val="none" w:sz="0" w:space="0" w:color="auto"/>
          <w:right w:val="none" w:sz="0" w:space="0" w:color="auto"/>
        </w:pBdr>
        <w:jc w:val="center"/>
        <w:rPr>
          <w:rFonts w:ascii="宋体" w:eastAsia="宋体" w:hint="eastAsia"/>
          <w:b/>
          <w:bCs/>
          <w:vanish w:val="0"/>
          <w:kern w:val="0"/>
          <w:sz w:val="24"/>
          <w:szCs w:val="24"/>
        </w:rPr>
      </w:pPr>
    </w:p>
    <w:p>
      <w:pPr>
        <w:pBdr>
          <w:top w:val="none" w:sz="0" w:space="0" w:color="auto"/>
          <w:left w:val="none" w:sz="0" w:space="0" w:color="auto"/>
          <w:bottom w:val="none" w:sz="0" w:space="0" w:color="auto"/>
          <w:right w:val="none" w:sz="0" w:space="0" w:color="auto"/>
        </w:pBdr>
        <w:jc w:val="center"/>
        <w:rPr>
          <w:rFonts w:ascii="宋体" w:eastAsia="宋体" w:hint="eastAsia"/>
          <w:b/>
          <w:bCs/>
          <w:vanish w:val="0"/>
          <w:kern w:val="0"/>
          <w:sz w:val="24"/>
          <w:szCs w:val="24"/>
        </w:rPr>
      </w:pPr>
      <w:r>
        <w:rPr>
          <w:rFonts w:ascii="宋体" w:eastAsia="宋体" w:hint="eastAsia"/>
          <w:b/>
          <w:bCs/>
          <w:vanish w:val="0"/>
          <w:kern w:val="0"/>
          <w:sz w:val="24"/>
          <w:szCs w:val="24"/>
        </w:rPr>
        <w:t>表2-3 加油加气站主要事故风险分析结果</w:t>
      </w:r>
    </w:p>
    <w:tbl>
      <w:tblPr>
        <w:jc w:val="center"/>
        <w:tblW w:w="4996" w:type="pct"/>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0" w:type="dxa"/>
          <w:left w:w="108" w:type="dxa"/>
          <w:bottom w:w="0" w:type="dxa"/>
          <w:right w:w="108" w:type="dxa"/>
        </w:tblCellMar>
      </w:tblPr>
      <w:tblGrid>
        <w:gridCol w:w="584"/>
        <w:gridCol w:w="1190"/>
        <w:gridCol w:w="3734"/>
        <w:gridCol w:w="1688"/>
        <w:gridCol w:w="1091"/>
      </w:tblGrid>
      <w:tr>
        <w:trPr>
          <w:trHeight w:val="540"/>
        </w:trPr>
        <w:tc>
          <w:tcPr>
            <w:tcW w:w="352"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序号</w:t>
            </w:r>
          </w:p>
        </w:tc>
        <w:tc>
          <w:tcPr>
            <w:tcW w:w="718"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事故类型</w:t>
            </w:r>
          </w:p>
        </w:tc>
        <w:tc>
          <w:tcPr>
            <w:tcW w:w="2252"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存在部位/方式</w:t>
            </w:r>
          </w:p>
        </w:tc>
        <w:tc>
          <w:tcPr>
            <w:tcW w:w="1018"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事故后果</w:t>
            </w:r>
          </w:p>
        </w:tc>
        <w:tc>
          <w:tcPr>
            <w:tcW w:w="658"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危害级别</w:t>
            </w:r>
          </w:p>
        </w:tc>
      </w:tr>
      <w:tr>
        <w:trPr>
          <w:trHeight w:val="540"/>
        </w:trPr>
        <w:tc>
          <w:tcPr>
            <w:tcW w:w="352"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1</w:t>
            </w:r>
          </w:p>
        </w:tc>
        <w:tc>
          <w:tcPr>
            <w:tcW w:w="718"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火灾爆炸</w:t>
            </w:r>
          </w:p>
        </w:tc>
        <w:tc>
          <w:tcPr>
            <w:tcW w:w="2252"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站内，重点在卸油处、加油处、加气区、油罐区</w:t>
            </w:r>
          </w:p>
        </w:tc>
        <w:tc>
          <w:tcPr>
            <w:tcW w:w="1018"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致人伤亡，致设备、设施损毁</w:t>
            </w:r>
          </w:p>
        </w:tc>
        <w:tc>
          <w:tcPr>
            <w:tcW w:w="658"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二级</w:t>
            </w:r>
          </w:p>
        </w:tc>
      </w:tr>
      <w:tr>
        <w:trPr>
          <w:trHeight w:val="540"/>
        </w:trPr>
        <w:tc>
          <w:tcPr>
            <w:tcW w:w="352"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2</w:t>
            </w:r>
          </w:p>
        </w:tc>
        <w:tc>
          <w:tcPr>
            <w:tcW w:w="718"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中毒</w:t>
            </w:r>
          </w:p>
        </w:tc>
        <w:tc>
          <w:tcPr>
            <w:tcW w:w="2252"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站内，重点在卸油处、加油处、加气区、油罐区</w:t>
            </w:r>
          </w:p>
        </w:tc>
        <w:tc>
          <w:tcPr>
            <w:tcW w:w="1018"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人员中毒</w:t>
            </w:r>
          </w:p>
        </w:tc>
        <w:tc>
          <w:tcPr>
            <w:tcW w:w="658"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三级</w:t>
            </w:r>
          </w:p>
        </w:tc>
      </w:tr>
      <w:tr>
        <w:trPr>
          <w:trHeight w:val="540"/>
        </w:trPr>
        <w:tc>
          <w:tcPr>
            <w:tcW w:w="352"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3</w:t>
            </w:r>
          </w:p>
        </w:tc>
        <w:tc>
          <w:tcPr>
            <w:tcW w:w="718"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触电</w:t>
            </w:r>
          </w:p>
        </w:tc>
        <w:tc>
          <w:tcPr>
            <w:tcW w:w="2252"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电气线路，电气设备</w:t>
            </w:r>
          </w:p>
        </w:tc>
        <w:tc>
          <w:tcPr>
            <w:tcW w:w="1018"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火灾、触电</w:t>
            </w:r>
          </w:p>
        </w:tc>
        <w:tc>
          <w:tcPr>
            <w:tcW w:w="658"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三级</w:t>
            </w:r>
          </w:p>
        </w:tc>
      </w:tr>
      <w:tr>
        <w:trPr>
          <w:trHeight w:val="540"/>
        </w:trPr>
        <w:tc>
          <w:tcPr>
            <w:tcW w:w="352"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4</w:t>
            </w:r>
          </w:p>
        </w:tc>
        <w:tc>
          <w:tcPr>
            <w:tcW w:w="718"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高处坠落</w:t>
            </w:r>
          </w:p>
        </w:tc>
        <w:tc>
          <w:tcPr>
            <w:tcW w:w="2252"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加油区，罩棚等高处维修作业时</w:t>
            </w:r>
          </w:p>
        </w:tc>
        <w:tc>
          <w:tcPr>
            <w:tcW w:w="1018"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人员摔伤</w:t>
            </w:r>
          </w:p>
        </w:tc>
        <w:tc>
          <w:tcPr>
            <w:tcW w:w="658"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三级</w:t>
            </w:r>
          </w:p>
        </w:tc>
      </w:tr>
      <w:tr>
        <w:trPr>
          <w:trHeight w:val="496"/>
        </w:trPr>
        <w:tc>
          <w:tcPr>
            <w:tcW w:w="352"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5</w:t>
            </w:r>
          </w:p>
        </w:tc>
        <w:tc>
          <w:tcPr>
            <w:tcW w:w="718"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车辆伤害</w:t>
            </w:r>
          </w:p>
        </w:tc>
        <w:tc>
          <w:tcPr>
            <w:tcW w:w="2252"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加气区、加油区、卸油区</w:t>
            </w:r>
          </w:p>
        </w:tc>
        <w:tc>
          <w:tcPr>
            <w:tcW w:w="1018"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人员伤亡，火灾爆炸</w:t>
            </w:r>
          </w:p>
        </w:tc>
        <w:tc>
          <w:tcPr>
            <w:tcW w:w="658"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三级</w:t>
            </w:r>
          </w:p>
        </w:tc>
      </w:tr>
      <w:tr>
        <w:trPr>
          <w:trHeight w:val="195"/>
        </w:trPr>
        <w:tc>
          <w:tcPr>
            <w:tcW w:w="352"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6</w:t>
            </w:r>
          </w:p>
        </w:tc>
        <w:tc>
          <w:tcPr>
            <w:tcW w:w="718"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泄漏</w:t>
            </w:r>
          </w:p>
        </w:tc>
        <w:tc>
          <w:tcPr>
            <w:tcW w:w="2252"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加气区、加油区、卸油区、油罐区</w:t>
            </w:r>
          </w:p>
        </w:tc>
        <w:tc>
          <w:tcPr>
            <w:tcW w:w="1018"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火灾爆炸、环境污染</w:t>
            </w:r>
          </w:p>
        </w:tc>
        <w:tc>
          <w:tcPr>
            <w:tcW w:w="658"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二级</w:t>
            </w:r>
          </w:p>
        </w:tc>
      </w:tr>
      <w:tr>
        <w:trPr>
          <w:trHeight w:val="195"/>
        </w:trPr>
        <w:tc>
          <w:tcPr>
            <w:tcW w:w="352"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7</w:t>
            </w:r>
          </w:p>
        </w:tc>
        <w:tc>
          <w:tcPr>
            <w:tcW w:w="718"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治安事件</w:t>
            </w:r>
          </w:p>
        </w:tc>
        <w:tc>
          <w:tcPr>
            <w:tcW w:w="2252"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加油（气）区、营业室</w:t>
            </w:r>
          </w:p>
        </w:tc>
        <w:tc>
          <w:tcPr>
            <w:tcW w:w="1018"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人员伤亡</w:t>
            </w:r>
          </w:p>
        </w:tc>
        <w:tc>
          <w:tcPr>
            <w:tcW w:w="658"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二级</w:t>
            </w:r>
          </w:p>
        </w:tc>
      </w:tr>
    </w:tbl>
    <w:p>
      <w:pPr>
        <w:pBdr>
          <w:top w:val="none" w:sz="0" w:space="0" w:color="auto"/>
          <w:left w:val="none" w:sz="0" w:space="0" w:color="auto"/>
          <w:bottom w:val="none" w:sz="0" w:space="0" w:color="auto"/>
          <w:right w:val="none" w:sz="0" w:space="0" w:color="auto"/>
        </w:pBdr>
        <w:spacing w:before="156" w:beforeAutospacing="0" w:after="156" w:afterAutospacing="0"/>
        <w:rPr>
          <w:rFonts w:ascii="宋体" w:eastAsia="宋体" w:hint="eastAsia"/>
          <w:b/>
          <w:bCs/>
          <w:vanish w:val="0"/>
          <w:kern w:val="2"/>
          <w:sz w:val="28"/>
          <w:szCs w:val="28"/>
        </w:rPr>
      </w:pPr>
    </w:p>
    <w:p>
      <w:pPr>
        <w:pBdr>
          <w:top w:val="none" w:sz="0" w:space="0" w:color="auto"/>
          <w:left w:val="none" w:sz="0" w:space="0" w:color="auto"/>
          <w:bottom w:val="none" w:sz="0" w:space="0" w:color="auto"/>
          <w:right w:val="none" w:sz="0" w:space="0" w:color="auto"/>
        </w:pBdr>
        <w:spacing w:before="156" w:beforeAutospacing="0" w:after="156" w:afterAutospacing="0"/>
        <w:rPr>
          <w:rFonts w:ascii="宋体" w:eastAsia="宋体" w:hint="eastAsia"/>
          <w:b/>
          <w:bCs/>
          <w:vanish w:val="0"/>
          <w:kern w:val="2"/>
          <w:sz w:val="28"/>
          <w:szCs w:val="28"/>
        </w:rPr>
      </w:pPr>
    </w:p>
    <w:p>
      <w:pPr>
        <w:pStyle w:val="1"/>
        <w:pBdr>
          <w:top w:val="none" w:sz="0" w:space="0" w:color="auto"/>
          <w:left w:val="none" w:sz="0" w:space="0" w:color="auto"/>
          <w:bottom w:val="none" w:sz="0" w:space="0" w:color="auto"/>
          <w:right w:val="none" w:sz="0" w:space="0" w:color="auto"/>
        </w:pBdr>
        <w:spacing w:beforeLines="0" w:before="156" w:beforeAutospacing="0" w:afterLines="0" w:after="156" w:afterAutospacing="0"/>
        <w:rPr>
          <w:rFonts w:ascii="宋体" w:eastAsia="宋体" w:hint="eastAsia"/>
          <w:b/>
          <w:bCs w:val="0"/>
          <w:vanish w:val="0"/>
          <w:kern w:val="2"/>
          <w:sz w:val="36"/>
          <w:szCs w:val="36"/>
        </w:rPr>
      </w:pPr>
      <w:r>
        <w:rPr>
          <w:rFonts w:ascii="宋体" w:eastAsia="宋体" w:hint="eastAsia"/>
          <w:b/>
          <w:bCs w:val="0"/>
          <w:vanish w:val="0"/>
          <w:kern w:val="2"/>
          <w:sz w:val="36"/>
          <w:szCs w:val="36"/>
        </w:rPr>
        <w:br w:type="page"/>
      </w:r>
      <w:bookmarkStart w:id="148" w:name="_Toc21286"/>
      <w:bookmarkStart w:id="149" w:name="_Toc24324"/>
      <w:bookmarkStart w:id="150" w:name="_Toc2846969"/>
      <w:bookmarkStart w:id="151" w:name="_Toc2847161"/>
      <w:bookmarkEnd w:id="148"/>
      <w:bookmarkEnd w:id="149"/>
      <w:bookmarkEnd w:id="150"/>
      <w:r>
        <w:rPr>
          <w:rFonts w:ascii="宋体" w:eastAsia="宋体" w:hint="eastAsia"/>
          <w:b/>
          <w:bCs w:val="0"/>
          <w:vanish w:val="0"/>
          <w:kern w:val="2"/>
          <w:sz w:val="36"/>
          <w:szCs w:val="36"/>
        </w:rPr>
        <w:t>4 评估结论与建议</w:t>
      </w:r>
      <w:bookmarkEnd w:id="151"/>
    </w:p>
    <w:p>
      <w:pPr>
        <w:pStyle w:val="2"/>
        <w:pBdr>
          <w:top w:val="none" w:sz="0" w:space="0" w:color="auto"/>
          <w:left w:val="none" w:sz="0" w:space="0" w:color="auto"/>
          <w:bottom w:val="none" w:sz="0" w:space="0" w:color="auto"/>
          <w:right w:val="none" w:sz="0" w:space="0" w:color="auto"/>
        </w:pBdr>
        <w:spacing w:beforeLines="0" w:before="156" w:beforeAutospacing="0"/>
        <w:rPr>
          <w:rFonts w:ascii="宋体" w:eastAsia="宋体" w:hint="eastAsia"/>
          <w:b/>
          <w:bCs/>
          <w:vanish w:val="0"/>
          <w:kern w:val="2"/>
          <w:sz w:val="32"/>
          <w:szCs w:val="32"/>
        </w:rPr>
      </w:pPr>
      <w:bookmarkStart w:id="152" w:name="_Toc6433"/>
      <w:bookmarkStart w:id="153" w:name="_Toc10045"/>
      <w:bookmarkStart w:id="154" w:name="_Toc2846970"/>
      <w:bookmarkStart w:id="155" w:name="_Toc2847162"/>
      <w:bookmarkEnd w:id="152"/>
      <w:bookmarkEnd w:id="153"/>
      <w:bookmarkEnd w:id="154"/>
      <w:r>
        <w:rPr>
          <w:rFonts w:ascii="宋体" w:eastAsia="宋体" w:hint="eastAsia"/>
          <w:b/>
          <w:bCs/>
          <w:vanish w:val="0"/>
          <w:kern w:val="2"/>
          <w:sz w:val="32"/>
          <w:szCs w:val="32"/>
        </w:rPr>
        <w:t>4.1 结论</w:t>
      </w:r>
      <w:bookmarkEnd w:id="155"/>
    </w:p>
    <w:p>
      <w:pPr>
        <w:pBdr>
          <w:top w:val="none" w:sz="0" w:space="0" w:color="auto"/>
          <w:left w:val="none" w:sz="0" w:space="0" w:color="auto"/>
          <w:bottom w:val="none" w:sz="0" w:space="0" w:color="auto"/>
          <w:right w:val="none" w:sz="0" w:space="0" w:color="auto"/>
        </w:pBdr>
        <w:spacing w:line="360" w:lineRule="auto"/>
        <w:ind w:firstLine="561"/>
        <w:rPr>
          <w:rFonts w:ascii="宋体" w:eastAsia="宋体" w:hint="eastAsia"/>
          <w:vanish w:val="0"/>
          <w:kern w:val="2"/>
          <w:sz w:val="28"/>
          <w:szCs w:val="28"/>
        </w:rPr>
      </w:pPr>
      <w:r>
        <w:rPr>
          <w:rFonts w:ascii="宋体" w:eastAsia="宋体" w:hint="eastAsia"/>
          <w:vanish w:val="0"/>
          <w:kern w:val="2"/>
          <w:sz w:val="28"/>
          <w:szCs w:val="28"/>
        </w:rPr>
        <w:t>本加油加气站各类危险源均处在动态监控中，在日常生产过程中发现隐患问题，能够及时得到整改，加强员工教育，杜绝“三违”现象，就能够做到事故可防可控。本加油加气站《生产安全事故应急救援预案》内容具有可操作性，对事故应急总的处置方案和具体岗位的应急操作流程进行了详细规定，通过对应急救援机构、应急救援队伍、应急救援装备、应急救援物质储备、应急救援医疗保障的调查，与实际情况相符。</w:t>
      </w:r>
    </w:p>
    <w:p>
      <w:pPr>
        <w:pStyle w:val="2"/>
        <w:pBdr>
          <w:top w:val="none" w:sz="0" w:space="0" w:color="auto"/>
          <w:left w:val="none" w:sz="0" w:space="0" w:color="auto"/>
          <w:bottom w:val="none" w:sz="0" w:space="0" w:color="auto"/>
          <w:right w:val="none" w:sz="0" w:space="0" w:color="auto"/>
        </w:pBdr>
        <w:spacing w:beforeLines="0" w:before="156" w:beforeAutospacing="0"/>
        <w:rPr>
          <w:rFonts w:ascii="宋体" w:eastAsia="宋体" w:hint="eastAsia"/>
          <w:b/>
          <w:bCs/>
          <w:vanish w:val="0"/>
          <w:kern w:val="2"/>
          <w:sz w:val="32"/>
          <w:szCs w:val="32"/>
        </w:rPr>
      </w:pPr>
      <w:bookmarkStart w:id="156" w:name="_Toc2846971"/>
      <w:bookmarkStart w:id="157" w:name="_Toc2847163"/>
      <w:bookmarkStart w:id="158" w:name="_Toc13081"/>
      <w:bookmarkStart w:id="159" w:name="_Toc5416"/>
      <w:bookmarkEnd w:id="156"/>
      <w:bookmarkEnd w:id="157"/>
      <w:bookmarkEnd w:id="158"/>
      <w:r>
        <w:rPr>
          <w:rFonts w:ascii="宋体" w:eastAsia="宋体" w:hint="eastAsia"/>
          <w:b/>
          <w:bCs/>
          <w:vanish w:val="0"/>
          <w:kern w:val="2"/>
          <w:sz w:val="32"/>
          <w:szCs w:val="32"/>
        </w:rPr>
        <w:t>4.2 建议</w:t>
      </w:r>
      <w:bookmarkEnd w:id="159"/>
    </w:p>
    <w:p>
      <w:pPr>
        <w:pBdr>
          <w:top w:val="none" w:sz="0" w:space="0" w:color="auto"/>
          <w:left w:val="none" w:sz="0" w:space="0" w:color="auto"/>
          <w:bottom w:val="none" w:sz="0" w:space="0" w:color="auto"/>
          <w:right w:val="none" w:sz="0" w:space="0" w:color="auto"/>
        </w:pBdr>
        <w:spacing w:line="360" w:lineRule="auto"/>
        <w:ind w:firstLine="561"/>
        <w:rPr>
          <w:rFonts w:ascii="宋体" w:eastAsia="宋体" w:hint="eastAsia"/>
          <w:vanish w:val="0"/>
          <w:kern w:val="2"/>
          <w:sz w:val="28"/>
          <w:szCs w:val="28"/>
        </w:rPr>
      </w:pPr>
      <w:r>
        <w:rPr>
          <w:rFonts w:ascii="宋体" w:eastAsia="宋体" w:hint="eastAsia"/>
          <w:vanish w:val="0"/>
          <w:kern w:val="2"/>
          <w:sz w:val="28"/>
          <w:szCs w:val="28"/>
        </w:rPr>
        <w:t>（1）应加强对现有安全措施及消防装置的维护检查，确保安全设施及消防措施的可靠性，在发生险情时能有效地发挥其作用。对损坏、失效的消防设备设施要作到及时修复和更换。</w:t>
      </w:r>
    </w:p>
    <w:p>
      <w:pPr>
        <w:pBdr>
          <w:top w:val="none" w:sz="0" w:space="0" w:color="auto"/>
          <w:left w:val="none" w:sz="0" w:space="0" w:color="auto"/>
          <w:bottom w:val="none" w:sz="0" w:space="0" w:color="auto"/>
          <w:right w:val="none" w:sz="0" w:space="0" w:color="auto"/>
        </w:pBdr>
        <w:spacing w:line="360" w:lineRule="auto"/>
        <w:ind w:firstLine="561"/>
        <w:rPr>
          <w:rFonts w:ascii="宋体" w:eastAsia="宋体" w:hint="eastAsia"/>
          <w:vanish w:val="0"/>
          <w:kern w:val="2"/>
          <w:sz w:val="28"/>
          <w:szCs w:val="28"/>
        </w:rPr>
      </w:pPr>
      <w:r>
        <w:rPr>
          <w:rFonts w:ascii="宋体" w:eastAsia="宋体" w:hint="eastAsia"/>
          <w:vanish w:val="0"/>
          <w:kern w:val="2"/>
          <w:sz w:val="28"/>
          <w:szCs w:val="28"/>
        </w:rPr>
        <w:t>（2）应增加应急救援器材，确保事故发生或作业人员发生人身伤害时，能够及时采取有效救援措施，减轻伤害程度，控制事故的发展。</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hint="eastAsia"/>
          <w:vanish w:val="0"/>
          <w:kern w:val="2"/>
          <w:sz w:val="28"/>
          <w:szCs w:val="28"/>
        </w:rPr>
      </w:pPr>
      <w:r>
        <w:rPr>
          <w:rFonts w:ascii="宋体" w:eastAsia="宋体" w:hint="eastAsia"/>
          <w:vanish w:val="0"/>
          <w:kern w:val="2"/>
          <w:sz w:val="28"/>
          <w:szCs w:val="28"/>
        </w:rPr>
        <w:t>（3）应不定期组织开展突发事件应急演练，锻炼突发事件应对能力。</w:t>
      </w:r>
    </w:p>
    <w:p>
      <w:pPr>
        <w:pStyle w:val="137"/>
        <w:rPr>
          <w:rFonts w:ascii="宋体" w:eastAsia="宋体" w:hint="eastAsia"/>
          <w:sz w:val="24"/>
          <w:szCs w:val="24"/>
        </w:rPr>
      </w:pPr>
    </w:p>
    <w:p>
      <w:r>
        <w:rPr>
          <w:rFonts w:ascii="Times New Roman" w:eastAsia="宋体" w:hAnsi="Times New Roman"/>
          <w:vanish w:val="0"/>
          <w:kern w:val="2"/>
          <w:sz w:val="21"/>
          <w:szCs w:val="21"/>
        </w:rPr>
        <w:br w:type="page"/>
      </w:r>
      <w:bookmarkStart w:id="160" w:name="_GoBack"/>
      <w:bookmarkEnd w:id="160"/>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86"/>
    <w:family w:val="auto"/>
    <w:pitch w:val="variable"/>
    <w:sig w:usb0="00000003" w:usb1="080E0000" w:usb2="00000000" w:usb3="00000000" w:csb0="00040001" w:csb1="00000000"/>
  </w:font>
  <w:font w:name="Times New Roman">
    <w:altName w:val="DejaVu Sans"/>
    <w:panose1 w:val="02020603050405020304"/>
    <w:charset w:val="00"/>
    <w:family w:val="auto"/>
    <w:pitch w:val="variable"/>
    <w:sig w:usb0="00000A87" w:usb1="00000000" w:usb2="00000000" w:usb3="00000000" w:csb0="400001BF" w:csb1="DFF70000"/>
  </w:font>
  <w:font w:name="黑体">
    <w:altName w:val="方正黑体_GBK"/>
    <w:panose1 w:val="02010600030101010101"/>
    <w:charset w:val="86"/>
    <w:family w:val="auto"/>
    <w:pitch w:val="variable"/>
    <w:sig w:usb0="00000001" w:usb1="080E0000" w:usb2="00000000" w:usb3="00000000" w:csb0="00040000" w:csb1="00000000"/>
  </w:font>
  <w:font w:name="仿宋">
    <w:panose1 w:val="00000000000000000000"/>
    <w:charset w:val="00"/>
    <w:family w:val="auto"/>
    <w:pitch w:val="variable"/>
    <w:sig w:usb0="00000000" w:usb1="00000000" w:usb2="00000000" w:usb3="00000000" w:csb0="00000000" w:csb1="00000000"/>
  </w:font>
  <w:font w:name="楷体">
    <w:panose1 w:val="00000000000000000000"/>
    <w:charset w:val="00"/>
    <w:family w:val="auto"/>
    <w:pitch w:val="variable"/>
    <w:sig w:usb0="00000000" w:usb1="00000000" w:usb2="00000000" w:usb3="00000000" w:csb0="00000000" w:csb1="00000000"/>
  </w:font>
  <w:font w:name="Arial">
    <w:altName w:val="DejaVu Sans"/>
    <w:panose1 w:val="020B0604020202020204"/>
    <w:charset w:val="00"/>
    <w:family w:val="auto"/>
    <w:pitch w:val="variable"/>
    <w:sig w:usb0="00007A87" w:usb1="80000000" w:usb2="00000008" w:usb3="00000000" w:csb0="400001FF" w:csb1="FFFF0000"/>
  </w:font>
  <w:font w:name="Calibri">
    <w:panose1 w:val="00000000000000000000"/>
    <w:charset w:val="00"/>
    <w:family w:val="auto"/>
    <w:pitch w:val="variable"/>
    <w:sig w:usb0="00000000" w:usb1="00000000" w:usb2="00000000" w:usb3="00000000" w:csb0="0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0000008"/>
    <w:multiLevelType w:val="hybridMultilevel"/>
    <w:tmpl w:val="00000000"/>
    <w:lvl w:ilvl="0">
      <w:start w:val="1"/>
      <w:numFmt w:val="decimal"/>
      <w:lvlRestart w:val="0"/>
      <w:suff w:val="nothing"/>
      <w:lvlText w:val="%1．"/>
      <w:lvlJc w:val="left"/>
      <w:pPr>
        <w:tabs>
          <w:tab w:val="num" w:pos="0"/>
        </w:tabs>
        <w:ind w:left="0" w:firstLine="400"/>
      </w:pPr>
      <w:rPr>
        <w:rFonts w:ascii="Times New Roman" w:hAnsi="Times New Roman" w:hint="default"/>
      </w:rPr>
    </w:lvl>
    <w:lvl w:ilvl="1">
      <w:start w:val="1"/>
      <w:numFmt w:val="decimal"/>
      <w:lvlRestart w:val="0"/>
      <w:suff w:val="nothing"/>
      <w:lvlText w:val="%1．"/>
      <w:lvlJc w:val="left"/>
      <w:pPr>
        <w:tabs>
          <w:tab w:val="num" w:pos="0"/>
        </w:tabs>
        <w:ind w:left="0" w:firstLine="400"/>
      </w:pPr>
      <w:rPr>
        <w:rFonts w:ascii="Times New Roman" w:hAnsi="Times New Roman" w:hint="default"/>
      </w:rPr>
    </w:lvl>
    <w:lvl w:ilvl="2">
      <w:start w:val="1"/>
      <w:numFmt w:val="decimal"/>
      <w:lvlRestart w:val="0"/>
      <w:suff w:val="nothing"/>
      <w:lvlText w:val="%1．"/>
      <w:lvlJc w:val="left"/>
      <w:pPr>
        <w:tabs>
          <w:tab w:val="num" w:pos="0"/>
        </w:tabs>
        <w:ind w:left="0" w:firstLine="400"/>
      </w:pPr>
      <w:rPr>
        <w:rFonts w:ascii="Times New Roman" w:hAnsi="Times New Roman" w:hint="default"/>
      </w:rPr>
    </w:lvl>
    <w:lvl w:ilvl="3">
      <w:start w:val="1"/>
      <w:numFmt w:val="decimal"/>
      <w:lvlRestart w:val="0"/>
      <w:suff w:val="nothing"/>
      <w:lvlText w:val="%1．"/>
      <w:lvlJc w:val="left"/>
      <w:pPr>
        <w:tabs>
          <w:tab w:val="num" w:pos="0"/>
        </w:tabs>
        <w:ind w:left="0" w:firstLine="400"/>
      </w:pPr>
      <w:rPr>
        <w:rFonts w:ascii="Times New Roman" w:hAnsi="Times New Roman" w:hint="default"/>
      </w:rPr>
    </w:lvl>
    <w:lvl w:ilvl="4">
      <w:start w:val="1"/>
      <w:numFmt w:val="decimal"/>
      <w:lvlRestart w:val="0"/>
      <w:suff w:val="nothing"/>
      <w:lvlText w:val="%1．"/>
      <w:lvlJc w:val="left"/>
      <w:pPr>
        <w:tabs>
          <w:tab w:val="num" w:pos="0"/>
        </w:tabs>
        <w:ind w:left="0" w:firstLine="400"/>
      </w:pPr>
      <w:rPr>
        <w:rFonts w:ascii="Times New Roman" w:hAnsi="Times New Roman" w:hint="default"/>
      </w:rPr>
    </w:lvl>
    <w:lvl w:ilvl="5">
      <w:start w:val="1"/>
      <w:numFmt w:val="decimal"/>
      <w:lvlRestart w:val="0"/>
      <w:suff w:val="nothing"/>
      <w:lvlText w:val="%1．"/>
      <w:lvlJc w:val="left"/>
      <w:pPr>
        <w:tabs>
          <w:tab w:val="num" w:pos="0"/>
        </w:tabs>
        <w:ind w:left="0" w:firstLine="400"/>
      </w:pPr>
      <w:rPr>
        <w:rFonts w:ascii="Times New Roman" w:hAnsi="Times New Roman" w:hint="default"/>
      </w:rPr>
    </w:lvl>
    <w:lvl w:ilvl="6">
      <w:start w:val="1"/>
      <w:numFmt w:val="decimal"/>
      <w:lvlRestart w:val="0"/>
      <w:suff w:val="nothing"/>
      <w:lvlText w:val="%1．"/>
      <w:lvlJc w:val="left"/>
      <w:pPr>
        <w:tabs>
          <w:tab w:val="num" w:pos="0"/>
        </w:tabs>
        <w:ind w:left="0" w:firstLine="400"/>
      </w:pPr>
      <w:rPr>
        <w:rFonts w:ascii="Times New Roman" w:hAnsi="Times New Roman" w:hint="default"/>
      </w:rPr>
    </w:lvl>
    <w:lvl w:ilvl="7">
      <w:start w:val="1"/>
      <w:numFmt w:val="decimal"/>
      <w:lvlRestart w:val="0"/>
      <w:suff w:val="nothing"/>
      <w:lvlText w:val="%1．"/>
      <w:lvlJc w:val="left"/>
      <w:pPr>
        <w:tabs>
          <w:tab w:val="num" w:pos="0"/>
        </w:tabs>
        <w:ind w:left="0" w:firstLine="400"/>
      </w:pPr>
      <w:rPr>
        <w:rFonts w:ascii="Times New Roman" w:hAnsi="Times New Roman" w:hint="default"/>
      </w:rPr>
    </w:lvl>
    <w:lvl w:ilvl="8">
      <w:start w:val="1"/>
      <w:numFmt w:val="decimal"/>
      <w:lvlRestart w:val="0"/>
      <w:suff w:val="nothing"/>
      <w:lvlText w:val="%1．"/>
      <w:lvlJc w:val="left"/>
      <w:pPr>
        <w:tabs>
          <w:tab w:val="num" w:pos="0"/>
        </w:tabs>
        <w:ind w:left="0" w:firstLine="400"/>
      </w:pPr>
      <w:rPr>
        <w:rFonts w:ascii="Times New Roman" w:hAnsi="Times New Roman" w:hint="default"/>
      </w:rPr>
    </w:lvl>
  </w:abstractNum>
  <w:abstractNum w:abstractNumId="1">
    <w:nsid w:val="00000006"/>
    <w:multiLevelType w:val="hybridMultilevel"/>
    <w:tmpl w:val="00000000"/>
    <w:lvl w:ilvl="0">
      <w:start w:val="1"/>
      <w:numFmt w:val="decimal"/>
      <w:lvlRestart w:val="0"/>
      <w:suff w:val="nothing"/>
      <w:lvlText w:val="%1．"/>
      <w:lvlJc w:val="left"/>
      <w:pPr>
        <w:tabs>
          <w:tab w:val="num" w:pos="0"/>
        </w:tabs>
        <w:ind w:left="0" w:firstLine="400"/>
      </w:pPr>
      <w:rPr>
        <w:rFonts w:ascii="Times New Roman" w:hAnsi="Times New Roman" w:hint="default"/>
      </w:rPr>
    </w:lvl>
    <w:lvl w:ilvl="1">
      <w:start w:val="1"/>
      <w:numFmt w:val="decimal"/>
      <w:lvlRestart w:val="0"/>
      <w:suff w:val="nothing"/>
      <w:lvlText w:val="%1．"/>
      <w:lvlJc w:val="left"/>
      <w:pPr>
        <w:tabs>
          <w:tab w:val="num" w:pos="0"/>
        </w:tabs>
        <w:ind w:left="0" w:firstLine="400"/>
      </w:pPr>
      <w:rPr>
        <w:rFonts w:ascii="Times New Roman" w:hAnsi="Times New Roman" w:hint="default"/>
      </w:rPr>
    </w:lvl>
    <w:lvl w:ilvl="2">
      <w:start w:val="1"/>
      <w:numFmt w:val="decimal"/>
      <w:lvlRestart w:val="0"/>
      <w:suff w:val="nothing"/>
      <w:lvlText w:val="%1．"/>
      <w:lvlJc w:val="left"/>
      <w:pPr>
        <w:tabs>
          <w:tab w:val="num" w:pos="0"/>
        </w:tabs>
        <w:ind w:left="0" w:firstLine="400"/>
      </w:pPr>
      <w:rPr>
        <w:rFonts w:ascii="Times New Roman" w:hAnsi="Times New Roman" w:hint="default"/>
      </w:rPr>
    </w:lvl>
    <w:lvl w:ilvl="3">
      <w:start w:val="1"/>
      <w:numFmt w:val="decimal"/>
      <w:lvlRestart w:val="0"/>
      <w:suff w:val="nothing"/>
      <w:lvlText w:val="%1．"/>
      <w:lvlJc w:val="left"/>
      <w:pPr>
        <w:tabs>
          <w:tab w:val="num" w:pos="0"/>
        </w:tabs>
        <w:ind w:left="0" w:firstLine="400"/>
      </w:pPr>
      <w:rPr>
        <w:rFonts w:ascii="Times New Roman" w:hAnsi="Times New Roman" w:hint="default"/>
      </w:rPr>
    </w:lvl>
    <w:lvl w:ilvl="4">
      <w:start w:val="1"/>
      <w:numFmt w:val="decimal"/>
      <w:lvlRestart w:val="0"/>
      <w:suff w:val="nothing"/>
      <w:lvlText w:val="%1．"/>
      <w:lvlJc w:val="left"/>
      <w:pPr>
        <w:tabs>
          <w:tab w:val="num" w:pos="0"/>
        </w:tabs>
        <w:ind w:left="0" w:firstLine="400"/>
      </w:pPr>
      <w:rPr>
        <w:rFonts w:ascii="Times New Roman" w:hAnsi="Times New Roman" w:hint="default"/>
      </w:rPr>
    </w:lvl>
    <w:lvl w:ilvl="5">
      <w:start w:val="1"/>
      <w:numFmt w:val="decimal"/>
      <w:lvlRestart w:val="0"/>
      <w:suff w:val="nothing"/>
      <w:lvlText w:val="%1．"/>
      <w:lvlJc w:val="left"/>
      <w:pPr>
        <w:tabs>
          <w:tab w:val="num" w:pos="0"/>
        </w:tabs>
        <w:ind w:left="0" w:firstLine="400"/>
      </w:pPr>
      <w:rPr>
        <w:rFonts w:ascii="Times New Roman" w:hAnsi="Times New Roman" w:hint="default"/>
      </w:rPr>
    </w:lvl>
    <w:lvl w:ilvl="6">
      <w:start w:val="1"/>
      <w:numFmt w:val="decimal"/>
      <w:lvlRestart w:val="0"/>
      <w:suff w:val="nothing"/>
      <w:lvlText w:val="%1．"/>
      <w:lvlJc w:val="left"/>
      <w:pPr>
        <w:tabs>
          <w:tab w:val="num" w:pos="0"/>
        </w:tabs>
        <w:ind w:left="0" w:firstLine="400"/>
      </w:pPr>
      <w:rPr>
        <w:rFonts w:ascii="Times New Roman" w:hAnsi="Times New Roman" w:hint="default"/>
      </w:rPr>
    </w:lvl>
    <w:lvl w:ilvl="7">
      <w:start w:val="1"/>
      <w:numFmt w:val="decimal"/>
      <w:lvlRestart w:val="0"/>
      <w:suff w:val="nothing"/>
      <w:lvlText w:val="%1．"/>
      <w:lvlJc w:val="left"/>
      <w:pPr>
        <w:tabs>
          <w:tab w:val="num" w:pos="0"/>
        </w:tabs>
        <w:ind w:left="0" w:firstLine="400"/>
      </w:pPr>
      <w:rPr>
        <w:rFonts w:ascii="Times New Roman" w:hAnsi="Times New Roman" w:hint="default"/>
      </w:rPr>
    </w:lvl>
    <w:lvl w:ilvl="8">
      <w:start w:val="1"/>
      <w:numFmt w:val="decimal"/>
      <w:lvlRestart w:val="0"/>
      <w:suff w:val="nothing"/>
      <w:lvlText w:val="%1．"/>
      <w:lvlJc w:val="left"/>
      <w:pPr>
        <w:tabs>
          <w:tab w:val="num" w:pos="0"/>
        </w:tabs>
        <w:ind w:left="0" w:firstLine="400"/>
      </w:pPr>
      <w:rPr>
        <w:rFonts w:ascii="Times New Roman" w:hAnsi="Times New Roman" w:hint="default"/>
      </w:rPr>
    </w:lvl>
  </w:abstractNum>
  <w:abstractNum w:abstractNumId="2">
    <w:nsid w:val="00000001"/>
    <w:multiLevelType w:val="hybridMultilevel"/>
    <w:tmpl w:val="00000000"/>
    <w:lvl w:ilvl="0">
      <w:start w:val="1"/>
      <w:numFmt w:val="decimal"/>
      <w:lvlRestart w:val="0"/>
      <w:suff w:val="nothing"/>
      <w:lvlText w:val="%1．"/>
      <w:lvlJc w:val="left"/>
      <w:pPr>
        <w:tabs>
          <w:tab w:val="num" w:pos="0"/>
        </w:tabs>
        <w:ind w:left="0" w:firstLine="400"/>
      </w:pPr>
      <w:rPr>
        <w:rFonts w:ascii="Times New Roman" w:hAnsi="Times New Roman" w:hint="default"/>
      </w:rPr>
    </w:lvl>
    <w:lvl w:ilvl="1">
      <w:start w:val="1"/>
      <w:numFmt w:val="decimal"/>
      <w:lvlRestart w:val="0"/>
      <w:suff w:val="nothing"/>
      <w:lvlText w:val="%1．"/>
      <w:lvlJc w:val="left"/>
      <w:pPr>
        <w:tabs>
          <w:tab w:val="num" w:pos="0"/>
        </w:tabs>
        <w:ind w:left="0" w:firstLine="400"/>
      </w:pPr>
      <w:rPr>
        <w:rFonts w:ascii="Times New Roman" w:hAnsi="Times New Roman" w:hint="default"/>
      </w:rPr>
    </w:lvl>
    <w:lvl w:ilvl="2">
      <w:start w:val="1"/>
      <w:numFmt w:val="decimal"/>
      <w:lvlRestart w:val="0"/>
      <w:suff w:val="nothing"/>
      <w:lvlText w:val="%1．"/>
      <w:lvlJc w:val="left"/>
      <w:pPr>
        <w:tabs>
          <w:tab w:val="num" w:pos="0"/>
        </w:tabs>
        <w:ind w:left="0" w:firstLine="400"/>
      </w:pPr>
      <w:rPr>
        <w:rFonts w:ascii="Times New Roman" w:hAnsi="Times New Roman" w:hint="default"/>
      </w:rPr>
    </w:lvl>
    <w:lvl w:ilvl="3">
      <w:start w:val="1"/>
      <w:numFmt w:val="decimal"/>
      <w:lvlRestart w:val="0"/>
      <w:suff w:val="nothing"/>
      <w:lvlText w:val="%1．"/>
      <w:lvlJc w:val="left"/>
      <w:pPr>
        <w:tabs>
          <w:tab w:val="num" w:pos="0"/>
        </w:tabs>
        <w:ind w:left="0" w:firstLine="400"/>
      </w:pPr>
      <w:rPr>
        <w:rFonts w:ascii="Times New Roman" w:hAnsi="Times New Roman" w:hint="default"/>
      </w:rPr>
    </w:lvl>
    <w:lvl w:ilvl="4">
      <w:start w:val="1"/>
      <w:numFmt w:val="decimal"/>
      <w:lvlRestart w:val="0"/>
      <w:suff w:val="nothing"/>
      <w:lvlText w:val="%1．"/>
      <w:lvlJc w:val="left"/>
      <w:pPr>
        <w:tabs>
          <w:tab w:val="num" w:pos="0"/>
        </w:tabs>
        <w:ind w:left="0" w:firstLine="400"/>
      </w:pPr>
      <w:rPr>
        <w:rFonts w:ascii="Times New Roman" w:hAnsi="Times New Roman" w:hint="default"/>
      </w:rPr>
    </w:lvl>
    <w:lvl w:ilvl="5">
      <w:start w:val="1"/>
      <w:numFmt w:val="decimal"/>
      <w:lvlRestart w:val="0"/>
      <w:suff w:val="nothing"/>
      <w:lvlText w:val="%1．"/>
      <w:lvlJc w:val="left"/>
      <w:pPr>
        <w:tabs>
          <w:tab w:val="num" w:pos="0"/>
        </w:tabs>
        <w:ind w:left="0" w:firstLine="400"/>
      </w:pPr>
      <w:rPr>
        <w:rFonts w:ascii="Times New Roman" w:hAnsi="Times New Roman" w:hint="default"/>
      </w:rPr>
    </w:lvl>
    <w:lvl w:ilvl="6">
      <w:start w:val="1"/>
      <w:numFmt w:val="decimal"/>
      <w:lvlRestart w:val="0"/>
      <w:suff w:val="nothing"/>
      <w:lvlText w:val="%1．"/>
      <w:lvlJc w:val="left"/>
      <w:pPr>
        <w:tabs>
          <w:tab w:val="num" w:pos="0"/>
        </w:tabs>
        <w:ind w:left="0" w:firstLine="400"/>
      </w:pPr>
      <w:rPr>
        <w:rFonts w:ascii="Times New Roman" w:hAnsi="Times New Roman" w:hint="default"/>
      </w:rPr>
    </w:lvl>
    <w:lvl w:ilvl="7">
      <w:start w:val="1"/>
      <w:numFmt w:val="decimal"/>
      <w:lvlRestart w:val="0"/>
      <w:suff w:val="nothing"/>
      <w:lvlText w:val="%1．"/>
      <w:lvlJc w:val="left"/>
      <w:pPr>
        <w:tabs>
          <w:tab w:val="num" w:pos="0"/>
        </w:tabs>
        <w:ind w:left="0" w:firstLine="400"/>
      </w:pPr>
      <w:rPr>
        <w:rFonts w:ascii="Times New Roman" w:hAnsi="Times New Roman" w:hint="default"/>
      </w:rPr>
    </w:lvl>
    <w:lvl w:ilvl="8">
      <w:start w:val="1"/>
      <w:numFmt w:val="decimal"/>
      <w:lvlRestart w:val="0"/>
      <w:suff w:val="nothing"/>
      <w:lvlText w:val="%1．"/>
      <w:lvlJc w:val="left"/>
      <w:pPr>
        <w:tabs>
          <w:tab w:val="num" w:pos="0"/>
        </w:tabs>
        <w:ind w:left="0" w:firstLine="400"/>
      </w:pPr>
      <w:rPr>
        <w:rFonts w:ascii="Times New Roman" w:hAnsi="Times New Roman" w:hint="default"/>
      </w:rPr>
    </w:lvl>
  </w:abstractNum>
  <w:abstractNum w:abstractNumId="3">
    <w:nsid w:val="003AB357"/>
    <w:multiLevelType w:val="hybridMultilevel"/>
    <w:tmpl w:val="00000000"/>
    <w:lvl w:ilvl="0">
      <w:start w:val="1"/>
      <w:numFmt w:val="decimal"/>
      <w:lvlRestart w:val="0"/>
      <w:suff w:val="nothing"/>
      <w:lvlText w:val="%1．"/>
      <w:lvlJc w:val="left"/>
      <w:pPr>
        <w:tabs>
          <w:tab w:val="num" w:pos="0"/>
        </w:tabs>
        <w:ind w:left="0" w:firstLine="400"/>
      </w:pPr>
      <w:rPr>
        <w:rFonts w:ascii="Times New Roman" w:hAnsi="Times New Roman" w:hint="default"/>
      </w:rPr>
    </w:lvl>
    <w:lvl w:ilvl="1">
      <w:start w:val="1"/>
      <w:numFmt w:val="decimal"/>
      <w:lvlRestart w:val="0"/>
      <w:suff w:val="nothing"/>
      <w:lvlText w:val="%1．"/>
      <w:lvlJc w:val="left"/>
      <w:pPr>
        <w:tabs>
          <w:tab w:val="num" w:pos="0"/>
        </w:tabs>
        <w:ind w:left="0" w:firstLine="400"/>
      </w:pPr>
      <w:rPr>
        <w:rFonts w:ascii="Times New Roman" w:hAnsi="Times New Roman" w:hint="default"/>
      </w:rPr>
    </w:lvl>
    <w:lvl w:ilvl="2">
      <w:start w:val="1"/>
      <w:numFmt w:val="decimal"/>
      <w:lvlRestart w:val="0"/>
      <w:suff w:val="nothing"/>
      <w:lvlText w:val="%1．"/>
      <w:lvlJc w:val="left"/>
      <w:pPr>
        <w:tabs>
          <w:tab w:val="num" w:pos="0"/>
        </w:tabs>
        <w:ind w:left="0" w:firstLine="400"/>
      </w:pPr>
      <w:rPr>
        <w:rFonts w:ascii="Times New Roman" w:hAnsi="Times New Roman" w:hint="default"/>
      </w:rPr>
    </w:lvl>
    <w:lvl w:ilvl="3">
      <w:start w:val="1"/>
      <w:numFmt w:val="decimal"/>
      <w:lvlRestart w:val="0"/>
      <w:suff w:val="nothing"/>
      <w:lvlText w:val="%1．"/>
      <w:lvlJc w:val="left"/>
      <w:pPr>
        <w:tabs>
          <w:tab w:val="num" w:pos="0"/>
        </w:tabs>
        <w:ind w:left="0" w:firstLine="400"/>
      </w:pPr>
      <w:rPr>
        <w:rFonts w:ascii="Times New Roman" w:hAnsi="Times New Roman" w:hint="default"/>
      </w:rPr>
    </w:lvl>
    <w:lvl w:ilvl="4">
      <w:start w:val="1"/>
      <w:numFmt w:val="decimal"/>
      <w:lvlRestart w:val="0"/>
      <w:suff w:val="nothing"/>
      <w:lvlText w:val="%1．"/>
      <w:lvlJc w:val="left"/>
      <w:pPr>
        <w:tabs>
          <w:tab w:val="num" w:pos="0"/>
        </w:tabs>
        <w:ind w:left="0" w:firstLine="400"/>
      </w:pPr>
      <w:rPr>
        <w:rFonts w:ascii="Times New Roman" w:hAnsi="Times New Roman" w:hint="default"/>
      </w:rPr>
    </w:lvl>
    <w:lvl w:ilvl="5">
      <w:start w:val="1"/>
      <w:numFmt w:val="decimal"/>
      <w:lvlRestart w:val="0"/>
      <w:suff w:val="nothing"/>
      <w:lvlText w:val="%1．"/>
      <w:lvlJc w:val="left"/>
      <w:pPr>
        <w:tabs>
          <w:tab w:val="num" w:pos="0"/>
        </w:tabs>
        <w:ind w:left="0" w:firstLine="400"/>
      </w:pPr>
      <w:rPr>
        <w:rFonts w:ascii="Times New Roman" w:hAnsi="Times New Roman" w:hint="default"/>
      </w:rPr>
    </w:lvl>
    <w:lvl w:ilvl="6">
      <w:start w:val="1"/>
      <w:numFmt w:val="decimal"/>
      <w:lvlRestart w:val="0"/>
      <w:suff w:val="nothing"/>
      <w:lvlText w:val="%1．"/>
      <w:lvlJc w:val="left"/>
      <w:pPr>
        <w:tabs>
          <w:tab w:val="num" w:pos="0"/>
        </w:tabs>
        <w:ind w:left="0" w:firstLine="400"/>
      </w:pPr>
      <w:rPr>
        <w:rFonts w:ascii="Times New Roman" w:hAnsi="Times New Roman" w:hint="default"/>
      </w:rPr>
    </w:lvl>
    <w:lvl w:ilvl="7">
      <w:start w:val="1"/>
      <w:numFmt w:val="decimal"/>
      <w:lvlRestart w:val="0"/>
      <w:suff w:val="nothing"/>
      <w:lvlText w:val="%1．"/>
      <w:lvlJc w:val="left"/>
      <w:pPr>
        <w:tabs>
          <w:tab w:val="num" w:pos="0"/>
        </w:tabs>
        <w:ind w:left="0" w:firstLine="400"/>
      </w:pPr>
      <w:rPr>
        <w:rFonts w:ascii="Times New Roman" w:hAnsi="Times New Roman" w:hint="default"/>
      </w:rPr>
    </w:lvl>
    <w:lvl w:ilvl="8">
      <w:start w:val="1"/>
      <w:numFmt w:val="decimal"/>
      <w:lvlRestart w:val="0"/>
      <w:suff w:val="nothing"/>
      <w:lvlText w:val="%1．"/>
      <w:lvlJc w:val="left"/>
      <w:pPr>
        <w:tabs>
          <w:tab w:val="num" w:pos="0"/>
        </w:tabs>
        <w:ind w:left="0" w:firstLine="400"/>
      </w:pPr>
      <w:rPr>
        <w:rFonts w:ascii="Times New Roman" w:hAnsi="Times New Roman" w:hint="default"/>
      </w:rPr>
    </w:lvl>
  </w:abstractNum>
  <w:abstractNum w:abstractNumId="4">
    <w:nsid w:val="00000003"/>
    <w:multiLevelType w:val="hybridMultilevel"/>
    <w:tmpl w:val="00000000"/>
    <w:lvl w:ilvl="0">
      <w:start w:val="1"/>
      <w:numFmt w:val="decimal"/>
      <w:lvlRestart w:val="0"/>
      <w:suff w:val="nothing"/>
      <w:lvlText w:val="%1．"/>
      <w:lvlJc w:val="left"/>
      <w:pPr>
        <w:tabs>
          <w:tab w:val="num" w:pos="0"/>
        </w:tabs>
        <w:ind w:left="0" w:firstLine="400"/>
      </w:pPr>
      <w:rPr>
        <w:rFonts w:ascii="Times New Roman" w:hAnsi="Times New Roman" w:hint="default"/>
      </w:rPr>
    </w:lvl>
    <w:lvl w:ilvl="1">
      <w:start w:val="1"/>
      <w:numFmt w:val="decimal"/>
      <w:lvlRestart w:val="0"/>
      <w:suff w:val="nothing"/>
      <w:lvlText w:val="%1．"/>
      <w:lvlJc w:val="left"/>
      <w:pPr>
        <w:tabs>
          <w:tab w:val="num" w:pos="0"/>
        </w:tabs>
        <w:ind w:left="0" w:firstLine="400"/>
      </w:pPr>
      <w:rPr>
        <w:rFonts w:ascii="Times New Roman" w:hAnsi="Times New Roman" w:hint="default"/>
      </w:rPr>
    </w:lvl>
    <w:lvl w:ilvl="2">
      <w:start w:val="1"/>
      <w:numFmt w:val="decimal"/>
      <w:lvlRestart w:val="0"/>
      <w:suff w:val="nothing"/>
      <w:lvlText w:val="%1．"/>
      <w:lvlJc w:val="left"/>
      <w:pPr>
        <w:tabs>
          <w:tab w:val="num" w:pos="0"/>
        </w:tabs>
        <w:ind w:left="0" w:firstLine="400"/>
      </w:pPr>
      <w:rPr>
        <w:rFonts w:ascii="Times New Roman" w:hAnsi="Times New Roman" w:hint="default"/>
      </w:rPr>
    </w:lvl>
    <w:lvl w:ilvl="3">
      <w:start w:val="1"/>
      <w:numFmt w:val="decimal"/>
      <w:lvlRestart w:val="0"/>
      <w:suff w:val="nothing"/>
      <w:lvlText w:val="%1．"/>
      <w:lvlJc w:val="left"/>
      <w:pPr>
        <w:tabs>
          <w:tab w:val="num" w:pos="0"/>
        </w:tabs>
        <w:ind w:left="0" w:firstLine="400"/>
      </w:pPr>
      <w:rPr>
        <w:rFonts w:ascii="Times New Roman" w:hAnsi="Times New Roman" w:hint="default"/>
      </w:rPr>
    </w:lvl>
    <w:lvl w:ilvl="4">
      <w:start w:val="1"/>
      <w:numFmt w:val="decimal"/>
      <w:lvlRestart w:val="0"/>
      <w:suff w:val="nothing"/>
      <w:lvlText w:val="%1．"/>
      <w:lvlJc w:val="left"/>
      <w:pPr>
        <w:tabs>
          <w:tab w:val="num" w:pos="0"/>
        </w:tabs>
        <w:ind w:left="0" w:firstLine="400"/>
      </w:pPr>
      <w:rPr>
        <w:rFonts w:ascii="Times New Roman" w:hAnsi="Times New Roman" w:hint="default"/>
      </w:rPr>
    </w:lvl>
    <w:lvl w:ilvl="5">
      <w:start w:val="1"/>
      <w:numFmt w:val="decimal"/>
      <w:lvlRestart w:val="0"/>
      <w:suff w:val="nothing"/>
      <w:lvlText w:val="%1．"/>
      <w:lvlJc w:val="left"/>
      <w:pPr>
        <w:tabs>
          <w:tab w:val="num" w:pos="0"/>
        </w:tabs>
        <w:ind w:left="0" w:firstLine="400"/>
      </w:pPr>
      <w:rPr>
        <w:rFonts w:ascii="Times New Roman" w:hAnsi="Times New Roman" w:hint="default"/>
      </w:rPr>
    </w:lvl>
    <w:lvl w:ilvl="6">
      <w:start w:val="1"/>
      <w:numFmt w:val="decimal"/>
      <w:lvlRestart w:val="0"/>
      <w:suff w:val="nothing"/>
      <w:lvlText w:val="%1．"/>
      <w:lvlJc w:val="left"/>
      <w:pPr>
        <w:tabs>
          <w:tab w:val="num" w:pos="0"/>
        </w:tabs>
        <w:ind w:left="0" w:firstLine="400"/>
      </w:pPr>
      <w:rPr>
        <w:rFonts w:ascii="Times New Roman" w:hAnsi="Times New Roman" w:hint="default"/>
      </w:rPr>
    </w:lvl>
    <w:lvl w:ilvl="7">
      <w:start w:val="1"/>
      <w:numFmt w:val="decimal"/>
      <w:lvlRestart w:val="0"/>
      <w:suff w:val="nothing"/>
      <w:lvlText w:val="%1．"/>
      <w:lvlJc w:val="left"/>
      <w:pPr>
        <w:tabs>
          <w:tab w:val="num" w:pos="0"/>
        </w:tabs>
        <w:ind w:left="0" w:firstLine="400"/>
      </w:pPr>
      <w:rPr>
        <w:rFonts w:ascii="Times New Roman" w:hAnsi="Times New Roman" w:hint="default"/>
      </w:rPr>
    </w:lvl>
    <w:lvl w:ilvl="8">
      <w:start w:val="1"/>
      <w:numFmt w:val="decimal"/>
      <w:lvlRestart w:val="0"/>
      <w:suff w:val="nothing"/>
      <w:lvlText w:val="%1．"/>
      <w:lvlJc w:val="left"/>
      <w:pPr>
        <w:tabs>
          <w:tab w:val="num" w:pos="0"/>
        </w:tabs>
        <w:ind w:left="0" w:firstLine="400"/>
      </w:pPr>
      <w:rPr>
        <w:rFonts w:ascii="Times New Roman" w:hAnsi="Times New Roman" w:hint="default"/>
      </w:rPr>
    </w:lvl>
  </w:abstractNum>
  <w:abstractNum w:abstractNumId="5">
    <w:nsid w:val="00000005"/>
    <w:multiLevelType w:val="hybridMultilevel"/>
    <w:tmpl w:val="00000000"/>
    <w:lvl w:ilvl="0">
      <w:start w:val="1"/>
      <w:numFmt w:val="decimal"/>
      <w:lvlRestart w:val="0"/>
      <w:suff w:val="nothing"/>
      <w:lvlText w:val="%1．"/>
      <w:lvlJc w:val="left"/>
      <w:pPr>
        <w:tabs>
          <w:tab w:val="num" w:pos="0"/>
        </w:tabs>
        <w:ind w:left="0" w:firstLine="400"/>
      </w:pPr>
      <w:rPr>
        <w:rFonts w:ascii="Times New Roman" w:hAnsi="Times New Roman" w:hint="default"/>
      </w:rPr>
    </w:lvl>
    <w:lvl w:ilvl="1">
      <w:start w:val="1"/>
      <w:numFmt w:val="decimal"/>
      <w:lvlRestart w:val="0"/>
      <w:suff w:val="nothing"/>
      <w:lvlText w:val="%1．"/>
      <w:lvlJc w:val="left"/>
      <w:pPr>
        <w:tabs>
          <w:tab w:val="num" w:pos="0"/>
        </w:tabs>
        <w:ind w:left="0" w:firstLine="400"/>
      </w:pPr>
      <w:rPr>
        <w:rFonts w:ascii="Times New Roman" w:hAnsi="Times New Roman" w:hint="default"/>
      </w:rPr>
    </w:lvl>
    <w:lvl w:ilvl="2">
      <w:start w:val="1"/>
      <w:numFmt w:val="decimal"/>
      <w:lvlRestart w:val="0"/>
      <w:suff w:val="nothing"/>
      <w:lvlText w:val="%1．"/>
      <w:lvlJc w:val="left"/>
      <w:pPr>
        <w:tabs>
          <w:tab w:val="num" w:pos="0"/>
        </w:tabs>
        <w:ind w:left="0" w:firstLine="400"/>
      </w:pPr>
      <w:rPr>
        <w:rFonts w:ascii="Times New Roman" w:hAnsi="Times New Roman" w:hint="default"/>
      </w:rPr>
    </w:lvl>
    <w:lvl w:ilvl="3">
      <w:start w:val="1"/>
      <w:numFmt w:val="decimal"/>
      <w:lvlRestart w:val="0"/>
      <w:suff w:val="nothing"/>
      <w:lvlText w:val="%1．"/>
      <w:lvlJc w:val="left"/>
      <w:pPr>
        <w:tabs>
          <w:tab w:val="num" w:pos="0"/>
        </w:tabs>
        <w:ind w:left="0" w:firstLine="400"/>
      </w:pPr>
      <w:rPr>
        <w:rFonts w:ascii="Times New Roman" w:hAnsi="Times New Roman" w:hint="default"/>
      </w:rPr>
    </w:lvl>
    <w:lvl w:ilvl="4">
      <w:start w:val="1"/>
      <w:numFmt w:val="decimal"/>
      <w:lvlRestart w:val="0"/>
      <w:suff w:val="nothing"/>
      <w:lvlText w:val="%1．"/>
      <w:lvlJc w:val="left"/>
      <w:pPr>
        <w:tabs>
          <w:tab w:val="num" w:pos="0"/>
        </w:tabs>
        <w:ind w:left="0" w:firstLine="400"/>
      </w:pPr>
      <w:rPr>
        <w:rFonts w:ascii="Times New Roman" w:hAnsi="Times New Roman" w:hint="default"/>
      </w:rPr>
    </w:lvl>
    <w:lvl w:ilvl="5">
      <w:start w:val="1"/>
      <w:numFmt w:val="decimal"/>
      <w:lvlRestart w:val="0"/>
      <w:suff w:val="nothing"/>
      <w:lvlText w:val="%1．"/>
      <w:lvlJc w:val="left"/>
      <w:pPr>
        <w:tabs>
          <w:tab w:val="num" w:pos="0"/>
        </w:tabs>
        <w:ind w:left="0" w:firstLine="400"/>
      </w:pPr>
      <w:rPr>
        <w:rFonts w:ascii="Times New Roman" w:hAnsi="Times New Roman" w:hint="default"/>
      </w:rPr>
    </w:lvl>
    <w:lvl w:ilvl="6">
      <w:start w:val="1"/>
      <w:numFmt w:val="decimal"/>
      <w:lvlRestart w:val="0"/>
      <w:suff w:val="nothing"/>
      <w:lvlText w:val="%1．"/>
      <w:lvlJc w:val="left"/>
      <w:pPr>
        <w:tabs>
          <w:tab w:val="num" w:pos="0"/>
        </w:tabs>
        <w:ind w:left="0" w:firstLine="400"/>
      </w:pPr>
      <w:rPr>
        <w:rFonts w:ascii="Times New Roman" w:hAnsi="Times New Roman" w:hint="default"/>
      </w:rPr>
    </w:lvl>
    <w:lvl w:ilvl="7">
      <w:start w:val="1"/>
      <w:numFmt w:val="decimal"/>
      <w:lvlRestart w:val="0"/>
      <w:suff w:val="nothing"/>
      <w:lvlText w:val="%1．"/>
      <w:lvlJc w:val="left"/>
      <w:pPr>
        <w:tabs>
          <w:tab w:val="num" w:pos="0"/>
        </w:tabs>
        <w:ind w:left="0" w:firstLine="400"/>
      </w:pPr>
      <w:rPr>
        <w:rFonts w:ascii="Times New Roman" w:hAnsi="Times New Roman" w:hint="default"/>
      </w:rPr>
    </w:lvl>
    <w:lvl w:ilvl="8">
      <w:start w:val="1"/>
      <w:numFmt w:val="decimal"/>
      <w:lvlRestart w:val="0"/>
      <w:suff w:val="nothing"/>
      <w:lvlText w:val="%1．"/>
      <w:lvlJc w:val="left"/>
      <w:pPr>
        <w:tabs>
          <w:tab w:val="num" w:pos="0"/>
        </w:tabs>
        <w:ind w:left="0" w:firstLine="400"/>
      </w:pPr>
      <w:rPr>
        <w:rFonts w:ascii="Times New Roman" w:hAnsi="Times New Roman" w:hint="default"/>
      </w:rPr>
    </w:lvl>
  </w:abstractNum>
  <w:abstractNum w:abstractNumId="6">
    <w:nsid w:val="00000002"/>
    <w:multiLevelType w:val="hybridMultilevel"/>
    <w:tmpl w:val="00000000"/>
    <w:lvl w:ilvl="0">
      <w:start w:val="1"/>
      <w:numFmt w:val="decimal"/>
      <w:lvlRestart w:val="0"/>
      <w:suff w:val="nothing"/>
      <w:lvlText w:val="%1．"/>
      <w:lvlJc w:val="left"/>
      <w:pPr>
        <w:tabs>
          <w:tab w:val="num" w:pos="0"/>
        </w:tabs>
        <w:ind w:left="0" w:firstLine="400"/>
      </w:pPr>
      <w:rPr>
        <w:rFonts w:ascii="Times New Roman" w:hAnsi="Times New Roman" w:hint="default"/>
      </w:rPr>
    </w:lvl>
    <w:lvl w:ilvl="1">
      <w:start w:val="1"/>
      <w:numFmt w:val="decimal"/>
      <w:lvlRestart w:val="0"/>
      <w:suff w:val="nothing"/>
      <w:lvlText w:val="%1．"/>
      <w:lvlJc w:val="left"/>
      <w:pPr>
        <w:tabs>
          <w:tab w:val="num" w:pos="0"/>
        </w:tabs>
        <w:ind w:left="0" w:firstLine="400"/>
      </w:pPr>
      <w:rPr>
        <w:rFonts w:ascii="Times New Roman" w:hAnsi="Times New Roman" w:hint="default"/>
      </w:rPr>
    </w:lvl>
    <w:lvl w:ilvl="2">
      <w:start w:val="1"/>
      <w:numFmt w:val="decimal"/>
      <w:lvlRestart w:val="0"/>
      <w:suff w:val="nothing"/>
      <w:lvlText w:val="%1．"/>
      <w:lvlJc w:val="left"/>
      <w:pPr>
        <w:tabs>
          <w:tab w:val="num" w:pos="0"/>
        </w:tabs>
        <w:ind w:left="0" w:firstLine="400"/>
      </w:pPr>
      <w:rPr>
        <w:rFonts w:ascii="Times New Roman" w:hAnsi="Times New Roman" w:hint="default"/>
      </w:rPr>
    </w:lvl>
    <w:lvl w:ilvl="3">
      <w:start w:val="1"/>
      <w:numFmt w:val="decimal"/>
      <w:lvlRestart w:val="0"/>
      <w:suff w:val="nothing"/>
      <w:lvlText w:val="%1．"/>
      <w:lvlJc w:val="left"/>
      <w:pPr>
        <w:tabs>
          <w:tab w:val="num" w:pos="0"/>
        </w:tabs>
        <w:ind w:left="0" w:firstLine="400"/>
      </w:pPr>
      <w:rPr>
        <w:rFonts w:ascii="Times New Roman" w:hAnsi="Times New Roman" w:hint="default"/>
      </w:rPr>
    </w:lvl>
    <w:lvl w:ilvl="4">
      <w:start w:val="1"/>
      <w:numFmt w:val="decimal"/>
      <w:lvlRestart w:val="0"/>
      <w:suff w:val="nothing"/>
      <w:lvlText w:val="%1．"/>
      <w:lvlJc w:val="left"/>
      <w:pPr>
        <w:tabs>
          <w:tab w:val="num" w:pos="0"/>
        </w:tabs>
        <w:ind w:left="0" w:firstLine="400"/>
      </w:pPr>
      <w:rPr>
        <w:rFonts w:ascii="Times New Roman" w:hAnsi="Times New Roman" w:hint="default"/>
      </w:rPr>
    </w:lvl>
    <w:lvl w:ilvl="5">
      <w:start w:val="1"/>
      <w:numFmt w:val="decimal"/>
      <w:lvlRestart w:val="0"/>
      <w:suff w:val="nothing"/>
      <w:lvlText w:val="%1．"/>
      <w:lvlJc w:val="left"/>
      <w:pPr>
        <w:tabs>
          <w:tab w:val="num" w:pos="0"/>
        </w:tabs>
        <w:ind w:left="0" w:firstLine="400"/>
      </w:pPr>
      <w:rPr>
        <w:rFonts w:ascii="Times New Roman" w:hAnsi="Times New Roman" w:hint="default"/>
      </w:rPr>
    </w:lvl>
    <w:lvl w:ilvl="6">
      <w:start w:val="1"/>
      <w:numFmt w:val="decimal"/>
      <w:lvlRestart w:val="0"/>
      <w:suff w:val="nothing"/>
      <w:lvlText w:val="%1．"/>
      <w:lvlJc w:val="left"/>
      <w:pPr>
        <w:tabs>
          <w:tab w:val="num" w:pos="0"/>
        </w:tabs>
        <w:ind w:left="0" w:firstLine="400"/>
      </w:pPr>
      <w:rPr>
        <w:rFonts w:ascii="Times New Roman" w:hAnsi="Times New Roman" w:hint="default"/>
      </w:rPr>
    </w:lvl>
    <w:lvl w:ilvl="7">
      <w:start w:val="1"/>
      <w:numFmt w:val="decimal"/>
      <w:lvlRestart w:val="0"/>
      <w:suff w:val="nothing"/>
      <w:lvlText w:val="%1．"/>
      <w:lvlJc w:val="left"/>
      <w:pPr>
        <w:tabs>
          <w:tab w:val="num" w:pos="0"/>
        </w:tabs>
        <w:ind w:left="0" w:firstLine="400"/>
      </w:pPr>
      <w:rPr>
        <w:rFonts w:ascii="Times New Roman" w:hAnsi="Times New Roman" w:hint="default"/>
      </w:rPr>
    </w:lvl>
    <w:lvl w:ilvl="8">
      <w:start w:val="1"/>
      <w:numFmt w:val="decimal"/>
      <w:lvlRestart w:val="0"/>
      <w:suff w:val="nothing"/>
      <w:lvlText w:val="%1．"/>
      <w:lvlJc w:val="left"/>
      <w:pPr>
        <w:tabs>
          <w:tab w:val="num" w:pos="0"/>
        </w:tabs>
        <w:ind w:left="0" w:firstLine="400"/>
      </w:pPr>
      <w:rPr>
        <w:rFonts w:ascii="Times New Roman" w:hAnsi="Times New Roman" w:hint="default"/>
      </w:rPr>
    </w:lvl>
  </w:abstractNum>
  <w:abstractNum w:abstractNumId="7">
    <w:nsid w:val="00000007"/>
    <w:multiLevelType w:val="hybridMultilevel"/>
    <w:tmpl w:val="00000000"/>
    <w:lvl w:ilvl="0">
      <w:start w:val="1"/>
      <w:numFmt w:val="decimal"/>
      <w:lvlRestart w:val="0"/>
      <w:suff w:val="nothing"/>
      <w:lvlText w:val="%1．"/>
      <w:lvlJc w:val="left"/>
      <w:pPr>
        <w:tabs>
          <w:tab w:val="num" w:pos="0"/>
        </w:tabs>
        <w:ind w:left="0" w:firstLine="400"/>
      </w:pPr>
      <w:rPr>
        <w:rFonts w:ascii="Times New Roman" w:hAnsi="Times New Roman" w:hint="default"/>
      </w:rPr>
    </w:lvl>
    <w:lvl w:ilvl="1">
      <w:start w:val="1"/>
      <w:numFmt w:val="decimal"/>
      <w:lvlRestart w:val="0"/>
      <w:suff w:val="nothing"/>
      <w:lvlText w:val="%1．"/>
      <w:lvlJc w:val="left"/>
      <w:pPr>
        <w:tabs>
          <w:tab w:val="num" w:pos="0"/>
        </w:tabs>
        <w:ind w:left="0" w:firstLine="400"/>
      </w:pPr>
      <w:rPr>
        <w:rFonts w:ascii="Times New Roman" w:hAnsi="Times New Roman" w:hint="default"/>
      </w:rPr>
    </w:lvl>
    <w:lvl w:ilvl="2">
      <w:start w:val="1"/>
      <w:numFmt w:val="decimal"/>
      <w:lvlRestart w:val="0"/>
      <w:suff w:val="nothing"/>
      <w:lvlText w:val="%1．"/>
      <w:lvlJc w:val="left"/>
      <w:pPr>
        <w:tabs>
          <w:tab w:val="num" w:pos="0"/>
        </w:tabs>
        <w:ind w:left="0" w:firstLine="400"/>
      </w:pPr>
      <w:rPr>
        <w:rFonts w:ascii="Times New Roman" w:hAnsi="Times New Roman" w:hint="default"/>
      </w:rPr>
    </w:lvl>
    <w:lvl w:ilvl="3">
      <w:start w:val="1"/>
      <w:numFmt w:val="decimal"/>
      <w:lvlRestart w:val="0"/>
      <w:suff w:val="nothing"/>
      <w:lvlText w:val="%1．"/>
      <w:lvlJc w:val="left"/>
      <w:pPr>
        <w:tabs>
          <w:tab w:val="num" w:pos="0"/>
        </w:tabs>
        <w:ind w:left="0" w:firstLine="400"/>
      </w:pPr>
      <w:rPr>
        <w:rFonts w:ascii="Times New Roman" w:hAnsi="Times New Roman" w:hint="default"/>
      </w:rPr>
    </w:lvl>
    <w:lvl w:ilvl="4">
      <w:start w:val="1"/>
      <w:numFmt w:val="decimal"/>
      <w:lvlRestart w:val="0"/>
      <w:suff w:val="nothing"/>
      <w:lvlText w:val="%1．"/>
      <w:lvlJc w:val="left"/>
      <w:pPr>
        <w:tabs>
          <w:tab w:val="num" w:pos="0"/>
        </w:tabs>
        <w:ind w:left="0" w:firstLine="400"/>
      </w:pPr>
      <w:rPr>
        <w:rFonts w:ascii="Times New Roman" w:hAnsi="Times New Roman" w:hint="default"/>
      </w:rPr>
    </w:lvl>
    <w:lvl w:ilvl="5">
      <w:start w:val="1"/>
      <w:numFmt w:val="decimal"/>
      <w:lvlRestart w:val="0"/>
      <w:suff w:val="nothing"/>
      <w:lvlText w:val="%1．"/>
      <w:lvlJc w:val="left"/>
      <w:pPr>
        <w:tabs>
          <w:tab w:val="num" w:pos="0"/>
        </w:tabs>
        <w:ind w:left="0" w:firstLine="400"/>
      </w:pPr>
      <w:rPr>
        <w:rFonts w:ascii="Times New Roman" w:hAnsi="Times New Roman" w:hint="default"/>
      </w:rPr>
    </w:lvl>
    <w:lvl w:ilvl="6">
      <w:start w:val="1"/>
      <w:numFmt w:val="decimal"/>
      <w:lvlRestart w:val="0"/>
      <w:suff w:val="nothing"/>
      <w:lvlText w:val="%1．"/>
      <w:lvlJc w:val="left"/>
      <w:pPr>
        <w:tabs>
          <w:tab w:val="num" w:pos="0"/>
        </w:tabs>
        <w:ind w:left="0" w:firstLine="400"/>
      </w:pPr>
      <w:rPr>
        <w:rFonts w:ascii="Times New Roman" w:hAnsi="Times New Roman" w:hint="default"/>
      </w:rPr>
    </w:lvl>
    <w:lvl w:ilvl="7">
      <w:start w:val="1"/>
      <w:numFmt w:val="decimal"/>
      <w:lvlRestart w:val="0"/>
      <w:suff w:val="nothing"/>
      <w:lvlText w:val="%1．"/>
      <w:lvlJc w:val="left"/>
      <w:pPr>
        <w:tabs>
          <w:tab w:val="num" w:pos="0"/>
        </w:tabs>
        <w:ind w:left="0" w:firstLine="400"/>
      </w:pPr>
      <w:rPr>
        <w:rFonts w:ascii="Times New Roman" w:hAnsi="Times New Roman" w:hint="default"/>
      </w:rPr>
    </w:lvl>
    <w:lvl w:ilvl="8">
      <w:start w:val="1"/>
      <w:numFmt w:val="decimal"/>
      <w:lvlRestart w:val="0"/>
      <w:suff w:val="nothing"/>
      <w:lvlText w:val="%1．"/>
      <w:lvlJc w:val="left"/>
      <w:pPr>
        <w:tabs>
          <w:tab w:val="num" w:pos="0"/>
        </w:tabs>
        <w:ind w:left="0" w:firstLine="400"/>
      </w:pPr>
      <w:rPr>
        <w:rFonts w:ascii="Times New Roman" w:hAnsi="Times New Roman" w:hint="default"/>
      </w:rPr>
    </w:lvl>
  </w:abstractNum>
  <w:abstractNum w:abstractNumId="8">
    <w:nsid w:val="00000004"/>
    <w:multiLevelType w:val="hybridMultilevel"/>
    <w:tmpl w:val="00000000"/>
    <w:lvl w:ilvl="0">
      <w:start w:val="1"/>
      <w:numFmt w:val="decimal"/>
      <w:lvlRestart w:val="0"/>
      <w:suff w:val="nothing"/>
      <w:lvlText w:val="%1．"/>
      <w:lvlJc w:val="left"/>
      <w:pPr>
        <w:tabs>
          <w:tab w:val="num" w:pos="0"/>
        </w:tabs>
        <w:ind w:left="0" w:firstLine="400"/>
      </w:pPr>
      <w:rPr>
        <w:rFonts w:ascii="Times New Roman" w:hAnsi="Times New Roman" w:hint="default"/>
      </w:rPr>
    </w:lvl>
    <w:lvl w:ilvl="1">
      <w:start w:val="1"/>
      <w:numFmt w:val="decimal"/>
      <w:lvlRestart w:val="0"/>
      <w:suff w:val="nothing"/>
      <w:lvlText w:val="%1．"/>
      <w:lvlJc w:val="left"/>
      <w:pPr>
        <w:tabs>
          <w:tab w:val="num" w:pos="0"/>
        </w:tabs>
        <w:ind w:left="0" w:firstLine="400"/>
      </w:pPr>
      <w:rPr>
        <w:rFonts w:ascii="Times New Roman" w:hAnsi="Times New Roman" w:hint="default"/>
      </w:rPr>
    </w:lvl>
    <w:lvl w:ilvl="2">
      <w:start w:val="1"/>
      <w:numFmt w:val="decimal"/>
      <w:lvlRestart w:val="0"/>
      <w:suff w:val="nothing"/>
      <w:lvlText w:val="%1．"/>
      <w:lvlJc w:val="left"/>
      <w:pPr>
        <w:tabs>
          <w:tab w:val="num" w:pos="0"/>
        </w:tabs>
        <w:ind w:left="0" w:firstLine="400"/>
      </w:pPr>
      <w:rPr>
        <w:rFonts w:ascii="Times New Roman" w:hAnsi="Times New Roman" w:hint="default"/>
      </w:rPr>
    </w:lvl>
    <w:lvl w:ilvl="3">
      <w:start w:val="1"/>
      <w:numFmt w:val="decimal"/>
      <w:lvlRestart w:val="0"/>
      <w:suff w:val="nothing"/>
      <w:lvlText w:val="%1．"/>
      <w:lvlJc w:val="left"/>
      <w:pPr>
        <w:tabs>
          <w:tab w:val="num" w:pos="0"/>
        </w:tabs>
        <w:ind w:left="0" w:firstLine="400"/>
      </w:pPr>
      <w:rPr>
        <w:rFonts w:ascii="Times New Roman" w:hAnsi="Times New Roman" w:hint="default"/>
      </w:rPr>
    </w:lvl>
    <w:lvl w:ilvl="4">
      <w:start w:val="1"/>
      <w:numFmt w:val="decimal"/>
      <w:lvlRestart w:val="0"/>
      <w:suff w:val="nothing"/>
      <w:lvlText w:val="%1．"/>
      <w:lvlJc w:val="left"/>
      <w:pPr>
        <w:tabs>
          <w:tab w:val="num" w:pos="0"/>
        </w:tabs>
        <w:ind w:left="0" w:firstLine="400"/>
      </w:pPr>
      <w:rPr>
        <w:rFonts w:ascii="Times New Roman" w:hAnsi="Times New Roman" w:hint="default"/>
      </w:rPr>
    </w:lvl>
    <w:lvl w:ilvl="5">
      <w:start w:val="1"/>
      <w:numFmt w:val="decimal"/>
      <w:lvlRestart w:val="0"/>
      <w:suff w:val="nothing"/>
      <w:lvlText w:val="%1．"/>
      <w:lvlJc w:val="left"/>
      <w:pPr>
        <w:tabs>
          <w:tab w:val="num" w:pos="0"/>
        </w:tabs>
        <w:ind w:left="0" w:firstLine="400"/>
      </w:pPr>
      <w:rPr>
        <w:rFonts w:ascii="Times New Roman" w:hAnsi="Times New Roman" w:hint="default"/>
      </w:rPr>
    </w:lvl>
    <w:lvl w:ilvl="6">
      <w:start w:val="1"/>
      <w:numFmt w:val="decimal"/>
      <w:lvlRestart w:val="0"/>
      <w:suff w:val="nothing"/>
      <w:lvlText w:val="%1．"/>
      <w:lvlJc w:val="left"/>
      <w:pPr>
        <w:tabs>
          <w:tab w:val="num" w:pos="0"/>
        </w:tabs>
        <w:ind w:left="0" w:firstLine="400"/>
      </w:pPr>
      <w:rPr>
        <w:rFonts w:ascii="Times New Roman" w:hAnsi="Times New Roman" w:hint="default"/>
      </w:rPr>
    </w:lvl>
    <w:lvl w:ilvl="7">
      <w:start w:val="1"/>
      <w:numFmt w:val="decimal"/>
      <w:lvlRestart w:val="0"/>
      <w:suff w:val="nothing"/>
      <w:lvlText w:val="%1．"/>
      <w:lvlJc w:val="left"/>
      <w:pPr>
        <w:tabs>
          <w:tab w:val="num" w:pos="0"/>
        </w:tabs>
        <w:ind w:left="0" w:firstLine="400"/>
      </w:pPr>
      <w:rPr>
        <w:rFonts w:ascii="Times New Roman" w:hAnsi="Times New Roman" w:hint="default"/>
      </w:rPr>
    </w:lvl>
    <w:lvl w:ilvl="8">
      <w:start w:val="1"/>
      <w:numFmt w:val="decimal"/>
      <w:lvlRestart w:val="0"/>
      <w:suff w:val="nothing"/>
      <w:lvlText w:val="%1．"/>
      <w:lvlJc w:val="left"/>
      <w:pPr>
        <w:tabs>
          <w:tab w:val="num" w:pos="0"/>
        </w:tabs>
        <w:ind w:left="0" w:firstLine="400"/>
      </w:pPr>
      <w:rPr>
        <w:rFonts w:ascii="Times New Roman" w:hAnsi="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hAnsi="Times New Roman"/>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rPr>
  </w:style>
  <w:style w:type="paragraph" w:styleId="1">
    <w:name w:val="heading 1"/>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Lines="50" w:before="50" w:beforeAutospacing="0" w:afterLines="50" w:after="50" w:afterAutospacing="0" w:line="360" w:lineRule="auto"/>
      <w:ind w:left="0" w:right="0" w:firstLine="0"/>
      <w:contextualSpacing w:val="0"/>
      <w:jc w:val="center"/>
      <w:textAlignment w:val="auto"/>
      <w:outlineLvl w:val="0"/>
    </w:pPr>
    <w:rPr>
      <w:rFonts w:ascii="仿宋" w:eastAsia="仿宋" w:cs="Times New Roman"/>
      <w:b/>
      <w:i w:val="0"/>
      <w:caps w:val="0"/>
      <w:smallCaps w:val="0"/>
      <w:strike w:val="0"/>
      <w:dstrike w:val="0"/>
      <w:snapToGrid/>
      <w:vanish w:val="0"/>
      <w:color w:val="auto"/>
      <w:spacing w:val="0"/>
      <w:w w:val="100"/>
      <w:kern w:val="2"/>
      <w:position w:val="0"/>
      <w:sz w:val="36"/>
      <w:szCs w:val="36"/>
      <w:u w:val="none" w:color="auto"/>
      <w:shd w:val="clear" w:color="auto" w:fill="auto"/>
      <w:vertAlign w:val="baseline"/>
      <w:em w:val="none"/>
      <w:lang w:val="en-US" w:eastAsia="zh-CN"/>
    </w:rPr>
  </w:style>
  <w:style w:type="paragraph" w:styleId="2">
    <w:name w:val="heading 2"/>
    <w:next w:val="0"/>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val="0"/>
      <w:snapToGrid w:val="0"/>
      <w:spacing w:beforeLines="50" w:before="50" w:beforeAutospacing="0" w:after="100" w:afterAutospacing="1" w:line="360" w:lineRule="auto"/>
      <w:ind w:left="0" w:right="0" w:firstLine="0"/>
      <w:contextualSpacing w:val="0"/>
      <w:jc w:val="center"/>
      <w:textAlignment w:val="auto"/>
      <w:outlineLvl w:val="1"/>
    </w:pPr>
    <w:rPr>
      <w:rFonts w:ascii="仿宋" w:eastAsia="楷体" w:cs="Times New Roman" w:hAnsi="仿宋"/>
      <w:b/>
      <w:bCs/>
      <w:i w:val="0"/>
      <w:caps w:val="0"/>
      <w:smallCaps w:val="0"/>
      <w:strike w:val="0"/>
      <w:dstrike w:val="0"/>
      <w:snapToGrid/>
      <w:vanish w:val="0"/>
      <w:color w:val="auto"/>
      <w:spacing w:val="0"/>
      <w:w w:val="100"/>
      <w:kern w:val="2"/>
      <w:position w:val="0"/>
      <w:sz w:val="32"/>
      <w:szCs w:val="32"/>
      <w:u w:val="none" w:color="auto"/>
      <w:shd w:val="clear" w:color="auto" w:fill="auto"/>
      <w:vertAlign w:val="baseline"/>
      <w:em w:val="none"/>
      <w:lang w:val="en-US" w:eastAsia="zh-CN"/>
    </w:rPr>
  </w:style>
  <w:style w:type="paragraph" w:styleId="3">
    <w:name w:val="heading 3"/>
    <w:next w:val="0"/>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val="0"/>
      <w:snapToGrid w:val="0"/>
      <w:spacing w:before="0" w:beforeAutospacing="0" w:after="0" w:afterAutospacing="0" w:line="360" w:lineRule="auto"/>
      <w:ind w:left="0" w:right="0" w:firstLine="0"/>
      <w:contextualSpacing w:val="0"/>
      <w:jc w:val="left"/>
      <w:textAlignment w:val="auto"/>
      <w:outlineLvl w:val="2"/>
    </w:pPr>
    <w:rPr>
      <w:rFonts w:ascii="仿宋" w:eastAsia="宋体" w:cs="Times New Roman" w:hAnsi="仿宋"/>
      <w:b/>
      <w:bCs/>
      <w:i w:val="0"/>
      <w:caps w:val="0"/>
      <w:smallCaps w:val="0"/>
      <w:strike w:val="0"/>
      <w:dstrike w:val="0"/>
      <w:snapToGrid/>
      <w:vanish w:val="0"/>
      <w:color w:val="auto"/>
      <w:spacing w:val="0"/>
      <w:w w:val="100"/>
      <w:kern w:val="2"/>
      <w:position w:val="0"/>
      <w:sz w:val="28"/>
      <w:szCs w:val="28"/>
      <w:u w:val="none" w:color="auto"/>
      <w:shd w:val="clear" w:color="auto" w:fill="auto"/>
      <w:vertAlign w:val="baseline"/>
      <w:em w:val="none"/>
      <w:lang w:val="en-US" w:eastAsia="zh-CN"/>
    </w:rPr>
  </w:style>
  <w:style w:type="character" w:default="1" w:styleId="10">
    <w:name w:val="Default Paragraph Font"/>
  </w:style>
  <w:style w:type="paragraph" w:styleId="15">
    <w:name w:val="index 5"/>
    <w:basedOn w:val="0"/>
    <w:autoRedefine/>
    <w:next w:val="0"/>
    <w:pPr>
      <w:ind w:left="1680"/>
    </w:pPr>
  </w:style>
  <w:style w:type="paragraph" w:styleId="16">
    <w:name w:val="index 6"/>
    <w:basedOn w:val="0"/>
    <w:autoRedefine/>
    <w:next w:val="0"/>
    <w:pPr>
      <w:ind w:left="2100"/>
    </w:pPr>
  </w:style>
  <w:style w:type="paragraph" w:styleId="20">
    <w:name w:val="toc 1"/>
    <w:autoRedefine/>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hAnsi="Times New Roman"/>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rPr>
  </w:style>
  <w:style w:type="paragraph" w:styleId="21">
    <w:name w:val="toc 2"/>
    <w:autoRedefine/>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Chars="200" w:left="200" w:right="0" w:firstLine="0"/>
      <w:contextualSpacing w:val="0"/>
      <w:jc w:val="both"/>
      <w:textAlignment w:val="auto"/>
      <w:outlineLvl w:val="9"/>
    </w:pPr>
    <w:rPr>
      <w:rFonts w:ascii="Times New Roman" w:eastAsia="宋体" w:hAnsi="Times New Roman"/>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rPr>
  </w:style>
  <w:style w:type="paragraph" w:styleId="22">
    <w:name w:val="toc 3"/>
    <w:autoRedefine/>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Chars="400" w:left="400" w:right="0" w:firstLine="0"/>
      <w:contextualSpacing w:val="0"/>
      <w:jc w:val="both"/>
      <w:textAlignment w:val="auto"/>
      <w:outlineLvl w:val="9"/>
    </w:pPr>
    <w:rPr>
      <w:rFonts w:ascii="Times New Roman" w:eastAsia="宋体" w:hAnsi="Times New Roman"/>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rPr>
  </w:style>
  <w:style w:type="paragraph" w:styleId="27">
    <w:name w:val="toc 8"/>
    <w:basedOn w:val="0"/>
    <w:autoRedefine/>
    <w:next w:val="0"/>
    <w:pPr>
      <w:ind w:left="2940"/>
    </w:pPr>
  </w:style>
  <w:style w:type="paragraph" w:styleId="31">
    <w:name w:val="annotation text"/>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Times New Roman" w:eastAsia="宋体" w:hAnsi="Times New Roman"/>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rPr>
  </w:style>
  <w:style w:type="paragraph" w:styleId="32">
    <w:name w:val="header"/>
    <w:basedOn w:val="0"/>
    <w:pPr>
      <w:pBdr>
        <w:bottom w:val="single" w:sz="6" w:space="1" w:color="auto"/>
      </w:pBdr>
      <w:tabs>
        <w:tab w:val="center" w:pos="4153"/>
        <w:tab w:val="right" w:pos="8307"/>
      </w:tabs>
      <w:snapToGrid w:val="0"/>
      <w:jc w:val="center"/>
    </w:pPr>
    <w:rPr>
      <w:sz w:val="18"/>
    </w:rPr>
  </w:style>
  <w:style w:type="paragraph" w:styleId="47">
    <w:name w:val="toa heading"/>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120" w:beforeAutospacing="0" w:after="100" w:afterAutospacing="1" w:line="240" w:lineRule="auto"/>
      <w:ind w:left="0" w:right="0" w:firstLine="0"/>
      <w:contextualSpacing w:val="0"/>
      <w:jc w:val="both"/>
      <w:textAlignment w:val="auto"/>
      <w:outlineLvl w:val="9"/>
    </w:pPr>
    <w:rPr>
      <w:rFonts w:ascii="Arial" w:eastAsia="宋体" w:cs="Times New Roman" w:hAnsi="Arial"/>
      <w:b w:val="0"/>
      <w:i w:val="0"/>
      <w:caps w:val="0"/>
      <w:smallCaps w:val="0"/>
      <w:strike w:val="0"/>
      <w:dstrike w:val="0"/>
      <w:snapToGrid/>
      <w:vanish w:val="0"/>
      <w:color w:val="auto"/>
      <w:spacing w:val="0"/>
      <w:w w:val="100"/>
      <w:kern w:val="2"/>
      <w:position w:val="0"/>
      <w:sz w:val="24"/>
      <w:szCs w:val="24"/>
      <w:u w:val="none" w:color="auto"/>
      <w:shd w:val="clear" w:color="auto" w:fill="auto"/>
      <w:vertAlign w:val="baseline"/>
      <w:em w:val="none"/>
      <w:lang w:val="en-US" w:eastAsia="zh-CN"/>
    </w:rPr>
  </w:style>
  <w:style w:type="paragraph" w:styleId="66">
    <w:name w:val="Body Text"/>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100" w:beforeAutospacing="1" w:after="120" w:afterAutospacing="0" w:line="240" w:lineRule="auto"/>
      <w:ind w:left="0" w:right="0" w:firstLine="0"/>
      <w:contextualSpacing w:val="0"/>
      <w:jc w:val="both"/>
      <w:textAlignment w:val="auto"/>
      <w:outlineLvl w:val="9"/>
    </w:pPr>
    <w:rPr>
      <w:rFonts w:ascii="Times New Roman" w:eastAsia="宋体" w:hAnsi="Times New Roman"/>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rPr>
  </w:style>
  <w:style w:type="paragraph" w:styleId="77">
    <w:name w:val="Body Text First Indent"/>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100" w:beforeAutospacing="1" w:after="120" w:afterAutospacing="0" w:line="240" w:lineRule="auto"/>
      <w:ind w:left="0" w:right="0" w:firstLineChars="100" w:firstLine="100"/>
      <w:contextualSpacing w:val="0"/>
      <w:jc w:val="both"/>
      <w:textAlignment w:val="auto"/>
      <w:outlineLvl w:val="9"/>
    </w:pPr>
    <w:rPr>
      <w:rFonts w:ascii="Times New Roman" w:eastAsia="宋体" w:hAnsi="Times New Roman"/>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rPr>
  </w:style>
  <w:style w:type="paragraph" w:styleId="78">
    <w:name w:val="Body Text First Indent 2"/>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宋体" w:hAnsi="Times New Roman"/>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rPr>
  </w:style>
  <w:style w:type="paragraph" w:styleId="84">
    <w:name w:val="Block Text"/>
    <w:next w:val="2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100" w:beforeAutospacing="1" w:after="120" w:afterAutospacing="0" w:line="240" w:lineRule="auto"/>
      <w:ind w:leftChars="700" w:left="700" w:rightChars="700" w:right="700" w:firstLine="0"/>
      <w:contextualSpacing w:val="0"/>
      <w:jc w:val="both"/>
      <w:textAlignment w:val="auto"/>
      <w:outlineLvl w:val="9"/>
    </w:pPr>
    <w:rPr>
      <w:rFonts w:ascii="Times New Roman" w:eastAsia="宋体" w:hAnsi="Times New Roman"/>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rPr>
  </w:style>
  <w:style w:type="character" w:styleId="85">
    <w:name w:val="Hyperlink"/>
    <w:rPr>
      <w:color w:val="0000FF"/>
      <w:u w:val="single"/>
    </w:rPr>
  </w:style>
  <w:style w:type="paragraph" w:styleId="103">
    <w:name w:val="annotation subject"/>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Times New Roman" w:eastAsia="宋体" w:hAnsi="Times New Roman"/>
      <w:b/>
      <w:bCs/>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rPr>
  </w:style>
  <w:style w:type="paragraph" w:customStyle="1" w:styleId="133">
    <w:name w:val="章标题"/>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158" w:beforeAutospacing="0" w:after="153" w:afterAutospacing="0" w:line="323" w:lineRule="atLeast"/>
      <w:ind w:left="0" w:right="-120" w:firstLine="0"/>
      <w:contextualSpacing w:val="0"/>
      <w:jc w:val="center"/>
      <w:textAlignment w:val="baseline"/>
      <w:outlineLvl w:val="9"/>
    </w:pPr>
    <w:rPr>
      <w:rFonts w:ascii="Times New Roman" w:eastAsia="宋体" w:hAnsi="Times New Roman"/>
      <w:b w:val="0"/>
      <w:i w:val="0"/>
      <w:caps w:val="0"/>
      <w:smallCaps w:val="0"/>
      <w:strike w:val="0"/>
      <w:dstrike w:val="0"/>
      <w:snapToGrid/>
      <w:vanish w:val="0"/>
      <w:color w:val="FF0000"/>
      <w:spacing w:val="0"/>
      <w:w w:val="100"/>
      <w:kern w:val="0"/>
      <w:position w:val="0"/>
      <w:sz w:val="18"/>
      <w:szCs w:val="18"/>
      <w:u w:val="none" w:color="auto"/>
      <w:shd w:val="clear" w:color="auto" w:fill="auto"/>
      <w:vertAlign w:val="baseline"/>
      <w:em w:val="none"/>
      <w:lang w:val="en-US" w:eastAsia="zh-CN"/>
    </w:rPr>
  </w:style>
  <w:style w:type="paragraph" w:customStyle="1" w:styleId="134">
    <w:name w:val="节标题"/>
    <w:next w:val="0"/>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89" w:lineRule="atLeast"/>
      <w:ind w:left="0" w:right="0" w:firstLine="0"/>
      <w:contextualSpacing w:val="0"/>
      <w:jc w:val="center"/>
      <w:textAlignment w:val="baseline"/>
      <w:outlineLvl w:val="9"/>
    </w:pPr>
    <w:rPr>
      <w:rFonts w:ascii="Times New Roman" w:eastAsia="宋体" w:hAnsi="Times New Roman"/>
      <w:b w:val="0"/>
      <w:i w:val="0"/>
      <w:caps w:val="0"/>
      <w:smallCaps w:val="0"/>
      <w:strike w:val="0"/>
      <w:dstrike w:val="0"/>
      <w:snapToGrid/>
      <w:vanish w:val="0"/>
      <w:color w:val="auto"/>
      <w:spacing w:val="0"/>
      <w:w w:val="100"/>
      <w:kern w:val="0"/>
      <w:position w:val="0"/>
      <w:sz w:val="28"/>
      <w:szCs w:val="28"/>
      <w:u w:val="none" w:color="auto"/>
      <w:shd w:val="clear" w:color="auto" w:fill="auto"/>
      <w:vertAlign w:val="baseline"/>
      <w:em w:val="none"/>
      <w:lang w:val="en-US" w:eastAsia="zh-CN"/>
    </w:rPr>
  </w:style>
  <w:style w:type="paragraph" w:customStyle="1" w:styleId="135">
    <w:name w:val="1正文表内文字两端"/>
    <w:next w:val="27"/>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hAnsi="Times New Roman"/>
      <w:b w:val="0"/>
      <w:i w:val="0"/>
      <w:caps w:val="0"/>
      <w:smallCaps w:val="0"/>
      <w:strike w:val="0"/>
      <w:dstrike w:val="0"/>
      <w:snapToGrid/>
      <w:vanish w:val="0"/>
      <w:color w:val="auto"/>
      <w:spacing w:val="0"/>
      <w:w w:val="100"/>
      <w:kern w:val="0"/>
      <w:position w:val="0"/>
      <w:sz w:val="21"/>
      <w:szCs w:val="21"/>
      <w:u w:val="none" w:color="auto"/>
      <w:shd w:val="clear" w:color="auto" w:fill="auto"/>
      <w:vertAlign w:val="baseline"/>
      <w:em w:val="none"/>
      <w:lang w:val="en-US" w:eastAsia="zh-CN"/>
    </w:rPr>
  </w:style>
  <w:style w:type="paragraph" w:customStyle="1" w:styleId="136">
    <w:name w:val="表格"/>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50" w:beforeAutospacing="0" w:after="50" w:afterAutospacing="0" w:line="240" w:lineRule="auto"/>
      <w:ind w:left="0" w:right="0" w:firstLine="0"/>
      <w:contextualSpacing w:val="0"/>
      <w:jc w:val="center"/>
      <w:textAlignment w:val="auto"/>
      <w:outlineLvl w:val="9"/>
    </w:pPr>
    <w:rPr>
      <w:rFonts w:ascii="宋体" w:eastAsia="宋体" w:cs="Times New Roman"/>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rPr>
  </w:style>
  <w:style w:type="paragraph" w:customStyle="1" w:styleId="137">
    <w:name w:val="Default"/>
    <w:next w:val="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0"/>
      <w:contextualSpacing w:val="0"/>
      <w:jc w:val="left"/>
      <w:textAlignment w:val="auto"/>
      <w:outlineLvl w:val="9"/>
    </w:pPr>
    <w:rPr>
      <w:rFonts w:ascii="Calibri" w:eastAsia="宋体" w:cs="Times New Roman" w:hAnsi="Calibri"/>
      <w:b w:val="0"/>
      <w:i w:val="0"/>
      <w:caps w:val="0"/>
      <w:smallCaps w:val="0"/>
      <w:strike w:val="0"/>
      <w:dstrike w:val="0"/>
      <w:snapToGrid/>
      <w:vanish w:val="0"/>
      <w:color w:val="auto"/>
      <w:spacing w:val="0"/>
      <w:w w:val="100"/>
      <w:kern w:val="0"/>
      <w:position w:val="0"/>
      <w:sz w:val="24"/>
      <w:szCs w:val="24"/>
      <w:u w:val="none" w:color="auto"/>
      <w:shd w:val="clear" w:color="auto" w:fill="auto"/>
      <w:vertAlign w:val="baseline"/>
      <w:em w:val="none"/>
      <w:lang w:val="en-US" w:eastAsia="zh-CN"/>
    </w:rPr>
  </w:style>
  <w:style w:type="character" w:customStyle="1" w:styleId="138">
    <w:name w:val="15"/>
    <w:rPr>
      <w:rFonts w:ascii="宋体" w:eastAsia="宋体"/>
      <w:sz w:val="22"/>
      <w:szCs w:val="2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jpg"/><Relationship Id="rId3" Type="http://schemas.openxmlformats.org/officeDocument/2006/relationships/image" Target="media/5.jpg"/><Relationship Id="rId4" Type="http://schemas.openxmlformats.org/officeDocument/2006/relationships/image" Target="media/8.jpg"/><Relationship Id="rId5" Type="http://schemas.openxmlformats.org/officeDocument/2006/relationships/image" Target="media/11.jpg"/><Relationship Id="rId6" Type="http://schemas.openxmlformats.org/officeDocument/2006/relationships/image" Target="media/14.jpg"/><Relationship Id="rId7" Type="http://schemas.openxmlformats.org/officeDocument/2006/relationships/image" Target="media/17.jpg"/><Relationship Id="rId8" Type="http://schemas.openxmlformats.org/officeDocument/2006/relationships/image" Target="media/20.png"/><Relationship Id="rId9" Type="http://schemas.openxmlformats.org/officeDocument/2006/relationships/image" Target="media/23.jpg"/><Relationship Id="rId10" Type="http://schemas.openxmlformats.org/officeDocument/2006/relationships/styles" Target="styles.xml"/><Relationship Id="rId11" Type="http://schemas.openxmlformats.org/officeDocument/2006/relationships/numbering" Target="numbering.xml"/><Relationship Id="rId12"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Yozo_Office27021597764231179</Application>
  <Pages>43</Pages>
  <Words>22422</Words>
  <Characters>24094</Characters>
  <Lines>1609</Lines>
  <Paragraphs>1108</Paragraphs>
  <CharactersWithSpaces>24439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1</cp:revision>
  <dcterms:created xsi:type="dcterms:W3CDTF">2023-09-11T02:15:39Z</dcterms:created>
  <dcterms:modified xsi:type="dcterms:W3CDTF">2023-09-11T02:17:19Z</dcterms:modified>
</cp:coreProperties>
</file>