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Times New Roman" w:hAnsi="Times New Roman" w:eastAsia="仿宋_GB2312" w:cs="Times New Roman"/>
          <w:b/>
          <w:color w:val="auto"/>
          <w:sz w:val="44"/>
          <w:szCs w:val="44"/>
        </w:rPr>
      </w:pPr>
      <w:bookmarkStart w:id="0" w:name="_Toc532507624"/>
      <w:r>
        <w:rPr>
          <w:rFonts w:ascii="Times New Roman" w:hAnsi="Times New Roman" w:eastAsia="仿宋_GB2312" w:cs="Times New Roman"/>
          <w:b/>
          <w:color w:val="auto"/>
          <w:sz w:val="44"/>
          <w:szCs w:val="44"/>
        </w:rPr>
        <w:drawing>
          <wp:anchor distT="0" distB="0" distL="114300" distR="114300" simplePos="0" relativeHeight="251661312" behindDoc="0" locked="0" layoutInCell="1" allowOverlap="1">
            <wp:simplePos x="0" y="0"/>
            <wp:positionH relativeFrom="column">
              <wp:posOffset>428625</wp:posOffset>
            </wp:positionH>
            <wp:positionV relativeFrom="paragraph">
              <wp:posOffset>104775</wp:posOffset>
            </wp:positionV>
            <wp:extent cx="521335" cy="3263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1335" cy="326390"/>
                    </a:xfrm>
                    <a:prstGeom prst="rect">
                      <a:avLst/>
                    </a:prstGeom>
                    <a:noFill/>
                    <a:ln>
                      <a:noFill/>
                    </a:ln>
                  </pic:spPr>
                </pic:pic>
              </a:graphicData>
            </a:graphic>
          </wp:anchor>
        </w:drawing>
      </w:r>
      <w:r>
        <w:rPr>
          <w:rFonts w:ascii="Times New Roman" w:hAnsi="Times New Roman" w:eastAsia="仿宋_GB2312" w:cs="Times New Roman"/>
          <w:b/>
          <w:color w:val="auto"/>
          <w:sz w:val="44"/>
          <w:szCs w:val="44"/>
        </w:rPr>
        <w:drawing>
          <wp:anchor distT="0" distB="0" distL="114300" distR="114300" simplePos="0" relativeHeight="251659264" behindDoc="0" locked="0" layoutInCell="1" allowOverlap="1">
            <wp:simplePos x="0" y="0"/>
            <wp:positionH relativeFrom="page">
              <wp:posOffset>686435</wp:posOffset>
            </wp:positionH>
            <wp:positionV relativeFrom="paragraph">
              <wp:posOffset>26670</wp:posOffset>
            </wp:positionV>
            <wp:extent cx="391795" cy="4413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l="14877" r="15390" b="24419"/>
                    <a:stretch>
                      <a:fillRect/>
                    </a:stretch>
                  </pic:blipFill>
                  <pic:spPr>
                    <a:xfrm>
                      <a:off x="0" y="0"/>
                      <a:ext cx="391795" cy="441325"/>
                    </a:xfrm>
                    <a:prstGeom prst="rect">
                      <a:avLst/>
                    </a:prstGeom>
                    <a:noFill/>
                    <a:ln>
                      <a:noFill/>
                    </a:ln>
                  </pic:spPr>
                </pic:pic>
              </a:graphicData>
            </a:graphic>
          </wp:anchor>
        </w:drawing>
      </w:r>
    </w:p>
    <w:p>
      <w:pPr>
        <w:adjustRightInd w:val="0"/>
        <w:snapToGrid w:val="0"/>
        <w:jc w:val="center"/>
        <w:rPr>
          <w:rFonts w:ascii="Times New Roman" w:hAnsi="Times New Roman" w:eastAsia="仿宋_GB2312" w:cs="Times New Roman"/>
          <w:b/>
          <w:color w:val="auto"/>
          <w:sz w:val="44"/>
          <w:szCs w:val="44"/>
        </w:rPr>
      </w:pPr>
    </w:p>
    <w:p>
      <w:pPr>
        <w:adjustRightInd w:val="0"/>
        <w:snapToGrid w:val="0"/>
        <w:jc w:val="center"/>
        <w:rPr>
          <w:rFonts w:ascii="Times New Roman" w:hAnsi="Times New Roman" w:eastAsia="仿宋_GB2312" w:cs="Times New Roman"/>
          <w:b/>
          <w:color w:val="auto"/>
          <w:sz w:val="44"/>
          <w:szCs w:val="44"/>
        </w:rPr>
      </w:pPr>
    </w:p>
    <w:p>
      <w:pPr>
        <w:adjustRightInd w:val="0"/>
        <w:snapToGrid w:val="0"/>
        <w:jc w:val="center"/>
        <w:rPr>
          <w:rFonts w:ascii="Times New Roman" w:hAnsi="Times New Roman" w:eastAsia="仿宋_GB2312" w:cs="Times New Roman"/>
          <w:b/>
          <w:color w:val="auto"/>
          <w:sz w:val="44"/>
          <w:szCs w:val="44"/>
        </w:rPr>
      </w:pPr>
    </w:p>
    <w:p>
      <w:pPr>
        <w:adjustRightInd w:val="0"/>
        <w:snapToGrid w:val="0"/>
        <w:jc w:val="center"/>
        <w:rPr>
          <w:rFonts w:ascii="Times New Roman" w:hAnsi="Times New Roman" w:eastAsia="仿宋_GB2312" w:cs="Times New Roman"/>
          <w:b/>
          <w:color w:val="auto"/>
          <w:sz w:val="44"/>
          <w:szCs w:val="44"/>
        </w:rPr>
      </w:pPr>
    </w:p>
    <w:p>
      <w:pPr>
        <w:jc w:val="center"/>
        <w:rPr>
          <w:rFonts w:ascii="方正小标宋简体" w:hAnsi="Times New Roman" w:eastAsia="方正小标宋简体" w:cs="Times New Roman"/>
          <w:color w:val="auto"/>
          <w:sz w:val="52"/>
          <w:szCs w:val="52"/>
        </w:rPr>
      </w:pPr>
      <w:r>
        <w:rPr>
          <w:rFonts w:hint="eastAsia" w:ascii="方正小标宋简体" w:hAnsi="Times New Roman" w:eastAsia="方正小标宋简体" w:cs="Times New Roman"/>
          <w:color w:val="auto"/>
          <w:sz w:val="52"/>
          <w:szCs w:val="52"/>
        </w:rPr>
        <w:t>四川能投化学新材料有限公司</w:t>
      </w:r>
    </w:p>
    <w:p>
      <w:pPr>
        <w:jc w:val="center"/>
        <w:rPr>
          <w:rFonts w:ascii="方正小标宋简体" w:hAnsi="Times New Roman" w:eastAsia="方正小标宋简体" w:cs="Times New Roman"/>
          <w:color w:val="auto"/>
          <w:sz w:val="52"/>
          <w:szCs w:val="52"/>
        </w:rPr>
      </w:pPr>
    </w:p>
    <w:p>
      <w:pPr>
        <w:jc w:val="center"/>
        <w:rPr>
          <w:rFonts w:ascii="方正小标宋简体" w:hAnsi="Times New Roman" w:eastAsia="方正小标宋简体" w:cs="Times New Roman"/>
          <w:color w:val="auto"/>
          <w:sz w:val="52"/>
          <w:szCs w:val="52"/>
        </w:rPr>
      </w:pPr>
      <w:r>
        <w:rPr>
          <w:rFonts w:hint="eastAsia" w:ascii="方正小标宋简体" w:hAnsi="Times New Roman" w:eastAsia="方正小标宋简体" w:cs="Times New Roman"/>
          <w:color w:val="auto"/>
          <w:sz w:val="52"/>
          <w:szCs w:val="52"/>
        </w:rPr>
        <w:t>生产安全事故应急资源调查报告</w:t>
      </w:r>
    </w:p>
    <w:p>
      <w:pPr>
        <w:pStyle w:val="8"/>
        <w:spacing w:before="0" w:beforeAutospacing="0" w:after="0" w:afterAutospacing="0" w:line="240" w:lineRule="auto"/>
        <w:jc w:val="center"/>
        <w:rPr>
          <w:rFonts w:ascii="Times New Roman" w:hAnsi="Times New Roman" w:eastAsia="仿宋_GB2312" w:cs="Times New Roman"/>
          <w:b/>
          <w:color w:val="auto"/>
          <w:sz w:val="30"/>
          <w:szCs w:val="30"/>
        </w:rPr>
      </w:pPr>
    </w:p>
    <w:p>
      <w:pPr>
        <w:jc w:val="center"/>
        <w:rPr>
          <w:rFonts w:ascii="Times New Roman" w:hAnsi="Times New Roman" w:eastAsia="仿宋_GB2312" w:cs="Times New Roman"/>
          <w:b/>
          <w:color w:val="auto"/>
          <w:spacing w:val="-8"/>
          <w:sz w:val="32"/>
          <w:szCs w:val="32"/>
        </w:rPr>
      </w:pPr>
    </w:p>
    <w:p>
      <w:pPr>
        <w:jc w:val="center"/>
        <w:rPr>
          <w:rFonts w:ascii="Times New Roman" w:hAnsi="Times New Roman" w:eastAsia="仿宋_GB2312" w:cs="Times New Roman"/>
          <w:b/>
          <w:color w:val="auto"/>
          <w:sz w:val="48"/>
          <w:szCs w:val="48"/>
        </w:rPr>
      </w:pPr>
    </w:p>
    <w:p>
      <w:pPr>
        <w:jc w:val="center"/>
        <w:rPr>
          <w:rFonts w:ascii="Times New Roman" w:hAnsi="Times New Roman" w:eastAsia="仿宋_GB2312" w:cs="Times New Roman"/>
          <w:b/>
          <w:color w:val="auto"/>
          <w:spacing w:val="-8"/>
          <w:sz w:val="32"/>
          <w:szCs w:val="32"/>
        </w:rPr>
      </w:pPr>
    </w:p>
    <w:p>
      <w:pPr>
        <w:jc w:val="center"/>
        <w:rPr>
          <w:rFonts w:ascii="Times New Roman" w:hAnsi="Times New Roman" w:eastAsia="仿宋_GB2312" w:cs="Times New Roman"/>
          <w:b/>
          <w:color w:val="auto"/>
          <w:spacing w:val="-8"/>
          <w:sz w:val="32"/>
          <w:szCs w:val="32"/>
        </w:rPr>
      </w:pPr>
    </w:p>
    <w:p>
      <w:pPr>
        <w:jc w:val="center"/>
        <w:rPr>
          <w:rFonts w:ascii="Times New Roman" w:hAnsi="Times New Roman" w:eastAsia="仿宋_GB2312" w:cs="Times New Roman"/>
          <w:b/>
          <w:color w:val="auto"/>
          <w:sz w:val="48"/>
          <w:szCs w:val="48"/>
        </w:rPr>
      </w:pPr>
    </w:p>
    <w:p>
      <w:pPr>
        <w:jc w:val="center"/>
        <w:rPr>
          <w:rFonts w:ascii="Times New Roman" w:hAnsi="Times New Roman" w:eastAsia="仿宋_GB2312" w:cs="Times New Roman"/>
          <w:b/>
          <w:color w:val="auto"/>
          <w:sz w:val="48"/>
          <w:szCs w:val="48"/>
        </w:rPr>
      </w:pPr>
    </w:p>
    <w:p>
      <w:pPr>
        <w:jc w:val="center"/>
        <w:rPr>
          <w:rFonts w:ascii="Times New Roman" w:hAnsi="Times New Roman" w:eastAsia="仿宋_GB2312" w:cs="Times New Roman"/>
          <w:b/>
          <w:color w:val="auto"/>
          <w:sz w:val="48"/>
          <w:szCs w:val="48"/>
        </w:rPr>
      </w:pPr>
    </w:p>
    <w:p>
      <w:pPr>
        <w:jc w:val="center"/>
        <w:rPr>
          <w:rFonts w:ascii="Times New Roman" w:hAnsi="Times New Roman" w:eastAsia="仿宋_GB2312" w:cs="Times New Roman"/>
          <w:b/>
          <w:color w:val="auto"/>
          <w:sz w:val="48"/>
          <w:szCs w:val="48"/>
        </w:rPr>
      </w:pPr>
    </w:p>
    <w:p>
      <w:pPr>
        <w:jc w:val="center"/>
        <w:rPr>
          <w:rFonts w:ascii="Times New Roman" w:hAnsi="Times New Roman" w:eastAsia="仿宋_GB2312" w:cs="Times New Roman"/>
          <w:b/>
          <w:color w:val="auto"/>
          <w:sz w:val="48"/>
          <w:szCs w:val="48"/>
        </w:rPr>
      </w:pPr>
    </w:p>
    <w:p>
      <w:pPr>
        <w:adjustRightInd w:val="0"/>
        <w:snapToGrid w:val="0"/>
        <w:jc w:val="center"/>
        <w:rPr>
          <w:rFonts w:ascii="方正小标宋简体" w:hAnsi="Times New Roman" w:eastAsia="方正小标宋简体" w:cs="Times New Roman"/>
          <w:color w:val="auto"/>
          <w:spacing w:val="-8"/>
          <w:sz w:val="32"/>
          <w:szCs w:val="32"/>
        </w:rPr>
      </w:pPr>
      <w:r>
        <w:rPr>
          <w:rFonts w:hint="eastAsia" w:ascii="方正小标宋简体" w:hAnsi="Times New Roman" w:eastAsia="方正小标宋简体" w:cs="Times New Roman"/>
          <w:color w:val="auto"/>
          <w:spacing w:val="-8"/>
          <w:sz w:val="32"/>
          <w:szCs w:val="32"/>
        </w:rPr>
        <w:t>四川能投化学新材料有限公司编制</w:t>
      </w:r>
    </w:p>
    <w:p>
      <w:pPr>
        <w:adjustRightInd w:val="0"/>
        <w:snapToGrid w:val="0"/>
        <w:jc w:val="center"/>
        <w:rPr>
          <w:rFonts w:ascii="方正小标宋简体" w:hAnsi="Times New Roman" w:eastAsia="方正小标宋简体" w:cs="Times New Roman"/>
          <w:color w:val="auto"/>
          <w:spacing w:val="-8"/>
          <w:sz w:val="32"/>
          <w:szCs w:val="32"/>
        </w:rPr>
      </w:pPr>
    </w:p>
    <w:p>
      <w:pPr>
        <w:adjustRightInd w:val="0"/>
        <w:snapToGrid w:val="0"/>
        <w:jc w:val="center"/>
        <w:rPr>
          <w:rFonts w:ascii="方正小标宋简体" w:hAnsi="Times New Roman" w:eastAsia="方正小标宋简体" w:cs="Times New Roman"/>
          <w:color w:val="auto"/>
          <w:spacing w:val="-8"/>
          <w:sz w:val="32"/>
          <w:szCs w:val="32"/>
        </w:rPr>
      </w:pPr>
      <w:r>
        <w:rPr>
          <w:rFonts w:hint="eastAsia" w:ascii="方正小标宋简体" w:hAnsi="Times New Roman" w:eastAsia="方正小标宋简体" w:cs="Times New Roman"/>
          <w:color w:val="auto"/>
          <w:spacing w:val="-8"/>
          <w:sz w:val="32"/>
          <w:szCs w:val="32"/>
        </w:rPr>
        <w:t>202</w:t>
      </w:r>
      <w:r>
        <w:rPr>
          <w:rFonts w:hint="eastAsia" w:ascii="方正小标宋简体" w:hAnsi="Times New Roman" w:eastAsia="方正小标宋简体" w:cs="Times New Roman"/>
          <w:color w:val="auto"/>
          <w:spacing w:val="-8"/>
          <w:sz w:val="32"/>
          <w:szCs w:val="32"/>
          <w:lang w:val="en-US" w:eastAsia="zh-CN"/>
        </w:rPr>
        <w:t>3</w:t>
      </w:r>
      <w:r>
        <w:rPr>
          <w:rFonts w:hint="eastAsia" w:ascii="方正小标宋简体" w:hAnsi="Times New Roman" w:eastAsia="方正小标宋简体" w:cs="Times New Roman"/>
          <w:color w:val="auto"/>
          <w:spacing w:val="-8"/>
          <w:sz w:val="32"/>
          <w:szCs w:val="32"/>
        </w:rPr>
        <w:t>年</w:t>
      </w:r>
      <w:r>
        <w:rPr>
          <w:rFonts w:hint="eastAsia" w:ascii="方正小标宋简体" w:hAnsi="Times New Roman" w:eastAsia="方正小标宋简体" w:cs="Times New Roman"/>
          <w:color w:val="auto"/>
          <w:spacing w:val="-8"/>
          <w:sz w:val="32"/>
          <w:szCs w:val="32"/>
          <w:lang w:val="en-US" w:eastAsia="zh-CN"/>
        </w:rPr>
        <w:t>4</w:t>
      </w:r>
      <w:r>
        <w:rPr>
          <w:rFonts w:hint="eastAsia" w:ascii="方正小标宋简体" w:hAnsi="Times New Roman" w:eastAsia="方正小标宋简体" w:cs="Times New Roman"/>
          <w:color w:val="auto"/>
          <w:spacing w:val="-8"/>
          <w:sz w:val="32"/>
          <w:szCs w:val="32"/>
        </w:rPr>
        <w:t>月</w:t>
      </w:r>
    </w:p>
    <w:p>
      <w:pPr>
        <w:adjustRightInd w:val="0"/>
        <w:snapToGrid w:val="0"/>
        <w:jc w:val="center"/>
        <w:rPr>
          <w:rFonts w:ascii="Times New Roman" w:hAnsi="Times New Roman" w:eastAsia="仿宋_GB2312" w:cs="Times New Roman"/>
          <w:b/>
          <w:color w:val="auto"/>
          <w:spacing w:val="-8"/>
          <w:sz w:val="32"/>
          <w:szCs w:val="32"/>
        </w:rPr>
        <w:sectPr>
          <w:headerReference r:id="rId3" w:type="default"/>
          <w:footerReference r:id="rId4" w:type="default"/>
          <w:footerReference r:id="rId5" w:type="even"/>
          <w:pgSz w:w="11906" w:h="16838"/>
          <w:pgMar w:top="1440" w:right="1080" w:bottom="1440" w:left="1080" w:header="851" w:footer="992" w:gutter="0"/>
          <w:cols w:space="425" w:num="1"/>
          <w:titlePg/>
          <w:docGrid w:type="lines" w:linePitch="312" w:charSpace="0"/>
        </w:sectPr>
      </w:pPr>
    </w:p>
    <w:p>
      <w:pPr>
        <w:widowControl/>
        <w:jc w:val="center"/>
        <w:rPr>
          <w:color w:val="auto"/>
        </w:rPr>
      </w:pPr>
      <w:r>
        <w:rPr>
          <w:rFonts w:ascii="Times New Roman" w:hAnsi="Times New Roman" w:eastAsia="仿宋_GB2312" w:cs="Times New Roman"/>
          <w:bCs/>
          <w:color w:val="auto"/>
          <w:kern w:val="0"/>
          <w:sz w:val="32"/>
          <w:szCs w:val="32"/>
        </w:rPr>
        <w:t>目  录</w:t>
      </w:r>
      <w:r>
        <w:rPr>
          <w:rFonts w:ascii="Times New Roman" w:hAnsi="Times New Roman" w:eastAsia="仿宋_GB2312" w:cs="Times New Roman"/>
          <w:bCs/>
          <w:color w:val="auto"/>
          <w:kern w:val="0"/>
        </w:rPr>
        <w:fldChar w:fldCharType="begin"/>
      </w:r>
      <w:r>
        <w:rPr>
          <w:rFonts w:ascii="Times New Roman" w:hAnsi="Times New Roman" w:eastAsia="仿宋_GB2312" w:cs="Times New Roman"/>
          <w:bCs/>
          <w:color w:val="auto"/>
          <w:kern w:val="0"/>
        </w:rPr>
        <w:instrText xml:space="preserve"> TOC \o "1-3" \h \z \u </w:instrText>
      </w:r>
      <w:r>
        <w:rPr>
          <w:rFonts w:ascii="Times New Roman" w:hAnsi="Times New Roman" w:eastAsia="仿宋_GB2312" w:cs="Times New Roman"/>
          <w:bCs/>
          <w:color w:val="auto"/>
          <w:kern w:val="0"/>
        </w:rPr>
        <w:fldChar w:fldCharType="separate"/>
      </w:r>
    </w:p>
    <w:p>
      <w:pPr>
        <w:pStyle w:val="16"/>
        <w:tabs>
          <w:tab w:val="right" w:leader="dot" w:pos="9736"/>
        </w:tabs>
        <w:rPr>
          <w:color w:val="auto"/>
          <w:kern w:val="2"/>
          <w:sz w:val="21"/>
        </w:rPr>
      </w:pPr>
      <w:r>
        <w:rPr>
          <w:color w:val="auto"/>
        </w:rPr>
        <w:fldChar w:fldCharType="begin"/>
      </w:r>
      <w:r>
        <w:rPr>
          <w:color w:val="auto"/>
        </w:rPr>
        <w:instrText xml:space="preserve"> HYPERLINK \l "_Toc52291735" </w:instrText>
      </w:r>
      <w:r>
        <w:rPr>
          <w:color w:val="auto"/>
        </w:rPr>
        <w:fldChar w:fldCharType="separate"/>
      </w:r>
      <w:r>
        <w:rPr>
          <w:rStyle w:val="25"/>
          <w:rFonts w:ascii="Times New Roman" w:hAnsi="Times New Roman" w:eastAsia="仿宋_GB2312" w:cs="Times New Roman"/>
          <w:color w:val="auto"/>
        </w:rPr>
        <w:t>1</w:t>
      </w:r>
      <w:r>
        <w:rPr>
          <w:rStyle w:val="25"/>
          <w:rFonts w:hint="eastAsia" w:ascii="Times New Roman" w:hAnsi="Times New Roman" w:eastAsia="仿宋_GB2312" w:cs="Times New Roman"/>
          <w:color w:val="auto"/>
        </w:rPr>
        <w:t>总则</w:t>
      </w:r>
      <w:r>
        <w:rPr>
          <w:color w:val="auto"/>
        </w:rPr>
        <w:tab/>
      </w:r>
      <w:r>
        <w:rPr>
          <w:color w:val="auto"/>
        </w:rPr>
        <w:fldChar w:fldCharType="begin"/>
      </w:r>
      <w:r>
        <w:rPr>
          <w:color w:val="auto"/>
        </w:rPr>
        <w:instrText xml:space="preserve"> PAGEREF _Toc52291735 \h </w:instrText>
      </w:r>
      <w:r>
        <w:rPr>
          <w:color w:val="auto"/>
        </w:rPr>
        <w:fldChar w:fldCharType="separate"/>
      </w:r>
      <w:r>
        <w:rPr>
          <w:color w:val="auto"/>
        </w:rPr>
        <w:t>1</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"_Toc52291736" </w:instrText>
      </w:r>
      <w:r>
        <w:rPr>
          <w:color w:val="auto"/>
        </w:rPr>
        <w:fldChar w:fldCharType="separate"/>
      </w:r>
      <w:r>
        <w:rPr>
          <w:rStyle w:val="25"/>
          <w:rFonts w:ascii="Times New Roman" w:hAnsi="Times New Roman" w:eastAsia="仿宋_GB2312" w:cs="Times New Roman"/>
          <w:color w:val="auto"/>
        </w:rPr>
        <w:t>1.1</w:t>
      </w:r>
      <w:r>
        <w:rPr>
          <w:rStyle w:val="25"/>
          <w:rFonts w:hint="eastAsia" w:ascii="Times New Roman" w:hAnsi="Times New Roman" w:eastAsia="仿宋_GB2312" w:cs="Times New Roman"/>
          <w:color w:val="auto"/>
        </w:rPr>
        <w:t>调查目的</w:t>
      </w:r>
      <w:r>
        <w:rPr>
          <w:color w:val="auto"/>
        </w:rPr>
        <w:tab/>
      </w:r>
      <w:r>
        <w:rPr>
          <w:color w:val="auto"/>
        </w:rPr>
        <w:fldChar w:fldCharType="begin"/>
      </w:r>
      <w:r>
        <w:rPr>
          <w:color w:val="auto"/>
        </w:rPr>
        <w:instrText xml:space="preserve"> PAGEREF _Toc52291736 \h </w:instrText>
      </w:r>
      <w:r>
        <w:rPr>
          <w:color w:val="auto"/>
        </w:rPr>
        <w:fldChar w:fldCharType="separate"/>
      </w:r>
      <w:r>
        <w:rPr>
          <w:color w:val="auto"/>
        </w:rPr>
        <w:t>1</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"_Toc52291737" </w:instrText>
      </w:r>
      <w:r>
        <w:rPr>
          <w:color w:val="auto"/>
        </w:rPr>
        <w:fldChar w:fldCharType="separate"/>
      </w:r>
      <w:r>
        <w:rPr>
          <w:rStyle w:val="25"/>
          <w:rFonts w:ascii="Times New Roman" w:hAnsi="Times New Roman" w:eastAsia="仿宋_GB2312" w:cs="Times New Roman"/>
          <w:color w:val="auto"/>
        </w:rPr>
        <w:t>1.2</w:t>
      </w:r>
      <w:r>
        <w:rPr>
          <w:rStyle w:val="25"/>
          <w:rFonts w:hint="eastAsia" w:ascii="Times New Roman" w:hAnsi="Times New Roman" w:eastAsia="仿宋_GB2312" w:cs="Times New Roman"/>
          <w:color w:val="auto"/>
        </w:rPr>
        <w:t>调查对象及范围</w:t>
      </w:r>
      <w:r>
        <w:rPr>
          <w:color w:val="auto"/>
        </w:rPr>
        <w:tab/>
      </w:r>
      <w:r>
        <w:rPr>
          <w:color w:val="auto"/>
        </w:rPr>
        <w:fldChar w:fldCharType="begin"/>
      </w:r>
      <w:r>
        <w:rPr>
          <w:color w:val="auto"/>
        </w:rPr>
        <w:instrText xml:space="preserve"> PAGEREF _Toc52291737 \h </w:instrText>
      </w:r>
      <w:r>
        <w:rPr>
          <w:color w:val="auto"/>
        </w:rPr>
        <w:fldChar w:fldCharType="separate"/>
      </w:r>
      <w:r>
        <w:rPr>
          <w:color w:val="auto"/>
        </w:rPr>
        <w:t>1</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"_Toc52291738" </w:instrText>
      </w:r>
      <w:r>
        <w:rPr>
          <w:color w:val="auto"/>
        </w:rPr>
        <w:fldChar w:fldCharType="separate"/>
      </w:r>
      <w:r>
        <w:rPr>
          <w:rStyle w:val="25"/>
          <w:rFonts w:ascii="Times New Roman" w:hAnsi="Times New Roman" w:eastAsia="仿宋_GB2312" w:cs="Times New Roman"/>
          <w:color w:val="auto"/>
        </w:rPr>
        <w:t>1.3</w:t>
      </w:r>
      <w:r>
        <w:rPr>
          <w:rStyle w:val="25"/>
          <w:rFonts w:hint="eastAsia" w:ascii="Times New Roman" w:hAnsi="Times New Roman" w:eastAsia="仿宋_GB2312" w:cs="Times New Roman"/>
          <w:color w:val="auto"/>
        </w:rPr>
        <w:t>报告编制依据</w:t>
      </w:r>
      <w:r>
        <w:rPr>
          <w:color w:val="auto"/>
        </w:rPr>
        <w:tab/>
      </w:r>
      <w:r>
        <w:rPr>
          <w:color w:val="auto"/>
        </w:rPr>
        <w:fldChar w:fldCharType="begin"/>
      </w:r>
      <w:r>
        <w:rPr>
          <w:color w:val="auto"/>
        </w:rPr>
        <w:instrText xml:space="preserve"> PAGEREF _Toc52291738 \h </w:instrText>
      </w:r>
      <w:r>
        <w:rPr>
          <w:color w:val="auto"/>
        </w:rPr>
        <w:fldChar w:fldCharType="separate"/>
      </w:r>
      <w:r>
        <w:rPr>
          <w:color w:val="auto"/>
        </w:rPr>
        <w:t>1</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"_Toc52291739" </w:instrText>
      </w:r>
      <w:r>
        <w:rPr>
          <w:color w:val="auto"/>
        </w:rPr>
        <w:fldChar w:fldCharType="separate"/>
      </w:r>
      <w:r>
        <w:rPr>
          <w:rStyle w:val="25"/>
          <w:rFonts w:ascii="Times New Roman" w:hAnsi="Times New Roman" w:eastAsia="仿宋_GB2312" w:cs="Times New Roman"/>
          <w:color w:val="auto"/>
        </w:rPr>
        <w:t>1.4</w:t>
      </w:r>
      <w:r>
        <w:rPr>
          <w:rStyle w:val="25"/>
          <w:rFonts w:hint="eastAsia" w:ascii="Times New Roman" w:hAnsi="Times New Roman" w:eastAsia="仿宋_GB2312" w:cs="Times New Roman"/>
          <w:color w:val="auto"/>
        </w:rPr>
        <w:t>调查工作程序</w:t>
      </w:r>
      <w:r>
        <w:rPr>
          <w:color w:val="auto"/>
        </w:rPr>
        <w:tab/>
      </w:r>
      <w:r>
        <w:rPr>
          <w:color w:val="auto"/>
        </w:rPr>
        <w:fldChar w:fldCharType="begin"/>
      </w:r>
      <w:r>
        <w:rPr>
          <w:color w:val="auto"/>
        </w:rPr>
        <w:instrText xml:space="preserve"> PAGEREF _Toc52291739 \h </w:instrText>
      </w:r>
      <w:r>
        <w:rPr>
          <w:color w:val="auto"/>
        </w:rPr>
        <w:fldChar w:fldCharType="separate"/>
      </w:r>
      <w:r>
        <w:rPr>
          <w:color w:val="auto"/>
        </w:rPr>
        <w:t>3</w:t>
      </w:r>
      <w:r>
        <w:rPr>
          <w:color w:val="auto"/>
        </w:rPr>
        <w:fldChar w:fldCharType="end"/>
      </w:r>
      <w:r>
        <w:rPr>
          <w:color w:val="auto"/>
        </w:rPr>
        <w:fldChar w:fldCharType="end"/>
      </w:r>
    </w:p>
    <w:p>
      <w:pPr>
        <w:pStyle w:val="16"/>
        <w:tabs>
          <w:tab w:val="right" w:leader="dot" w:pos="9736"/>
        </w:tabs>
        <w:rPr>
          <w:color w:val="auto"/>
          <w:kern w:val="2"/>
          <w:sz w:val="21"/>
        </w:rPr>
      </w:pPr>
      <w:r>
        <w:rPr>
          <w:color w:val="auto"/>
        </w:rPr>
        <w:fldChar w:fldCharType="begin"/>
      </w:r>
      <w:r>
        <w:rPr>
          <w:color w:val="auto"/>
        </w:rPr>
        <w:instrText xml:space="preserve"> HYPERLINK \l "_Toc52291740" </w:instrText>
      </w:r>
      <w:r>
        <w:rPr>
          <w:color w:val="auto"/>
        </w:rPr>
        <w:fldChar w:fldCharType="separate"/>
      </w:r>
      <w:r>
        <w:rPr>
          <w:rStyle w:val="25"/>
          <w:rFonts w:ascii="Times New Roman" w:hAnsi="Times New Roman" w:eastAsia="仿宋_GB2312" w:cs="Times New Roman"/>
          <w:color w:val="auto"/>
        </w:rPr>
        <w:t>2</w:t>
      </w:r>
      <w:r>
        <w:rPr>
          <w:rStyle w:val="25"/>
          <w:rFonts w:hint="eastAsia" w:ascii="Times New Roman" w:hAnsi="Times New Roman" w:eastAsia="仿宋_GB2312" w:cs="Times New Roman"/>
          <w:color w:val="auto"/>
        </w:rPr>
        <w:t>重大危险源辨识、分级的符合性分析</w:t>
      </w:r>
      <w:r>
        <w:rPr>
          <w:color w:val="auto"/>
        </w:rPr>
        <w:tab/>
      </w:r>
      <w:r>
        <w:rPr>
          <w:color w:val="auto"/>
        </w:rPr>
        <w:fldChar w:fldCharType="begin"/>
      </w:r>
      <w:r>
        <w:rPr>
          <w:color w:val="auto"/>
        </w:rPr>
        <w:instrText xml:space="preserve"> PAGEREF _Toc52291740 \h </w:instrText>
      </w:r>
      <w:r>
        <w:rPr>
          <w:color w:val="auto"/>
        </w:rPr>
        <w:fldChar w:fldCharType="separate"/>
      </w:r>
      <w:r>
        <w:rPr>
          <w:color w:val="auto"/>
        </w:rPr>
        <w:t>3</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"_Toc52291741" </w:instrText>
      </w:r>
      <w:r>
        <w:rPr>
          <w:color w:val="auto"/>
        </w:rPr>
        <w:fldChar w:fldCharType="separate"/>
      </w:r>
      <w:r>
        <w:rPr>
          <w:rStyle w:val="25"/>
          <w:rFonts w:ascii="Times New Roman" w:hAnsi="Times New Roman" w:eastAsia="仿宋_GB2312" w:cs="Times New Roman"/>
          <w:color w:val="auto"/>
        </w:rPr>
        <w:t>2.1</w:t>
      </w:r>
      <w:r>
        <w:rPr>
          <w:rStyle w:val="25"/>
          <w:rFonts w:hint="eastAsia" w:ascii="Times New Roman" w:hAnsi="Times New Roman" w:eastAsia="仿宋_GB2312" w:cs="Times New Roman"/>
          <w:color w:val="auto"/>
        </w:rPr>
        <w:t>公司基本情况</w:t>
      </w:r>
      <w:r>
        <w:rPr>
          <w:color w:val="auto"/>
        </w:rPr>
        <w:tab/>
      </w:r>
      <w:r>
        <w:rPr>
          <w:color w:val="auto"/>
        </w:rPr>
        <w:fldChar w:fldCharType="begin"/>
      </w:r>
      <w:r>
        <w:rPr>
          <w:color w:val="auto"/>
        </w:rPr>
        <w:instrText xml:space="preserve"> PAGEREF _Toc52291741 \h </w:instrText>
      </w:r>
      <w:r>
        <w:rPr>
          <w:color w:val="auto"/>
        </w:rPr>
        <w:fldChar w:fldCharType="separate"/>
      </w:r>
      <w:r>
        <w:rPr>
          <w:color w:val="auto"/>
        </w:rPr>
        <w:t>3</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"_Toc52291742" </w:instrText>
      </w:r>
      <w:r>
        <w:rPr>
          <w:color w:val="auto"/>
        </w:rPr>
        <w:fldChar w:fldCharType="separate"/>
      </w:r>
      <w:r>
        <w:rPr>
          <w:rStyle w:val="25"/>
          <w:rFonts w:ascii="Times New Roman" w:hAnsi="Times New Roman" w:eastAsia="仿宋_GB2312" w:cs="Times New Roman"/>
          <w:color w:val="auto"/>
        </w:rPr>
        <w:t>2.2</w:t>
      </w:r>
      <w:r>
        <w:rPr>
          <w:rStyle w:val="25"/>
          <w:rFonts w:hint="eastAsia" w:ascii="Times New Roman" w:hAnsi="Times New Roman" w:eastAsia="仿宋_GB2312" w:cs="Times New Roman"/>
          <w:color w:val="auto"/>
        </w:rPr>
        <w:t>重大危险源辨识、分级过程</w:t>
      </w:r>
      <w:r>
        <w:rPr>
          <w:color w:val="auto"/>
        </w:rPr>
        <w:tab/>
      </w:r>
      <w:r>
        <w:rPr>
          <w:color w:val="auto"/>
        </w:rPr>
        <w:fldChar w:fldCharType="begin"/>
      </w:r>
      <w:r>
        <w:rPr>
          <w:color w:val="auto"/>
        </w:rPr>
        <w:instrText xml:space="preserve"> PAGEREF _Toc52291742 \h </w:instrText>
      </w:r>
      <w:r>
        <w:rPr>
          <w:color w:val="auto"/>
        </w:rPr>
        <w:fldChar w:fldCharType="separate"/>
      </w:r>
      <w:r>
        <w:rPr>
          <w:color w:val="auto"/>
        </w:rPr>
        <w:t>5</w:t>
      </w:r>
      <w:r>
        <w:rPr>
          <w:color w:val="auto"/>
        </w:rPr>
        <w:fldChar w:fldCharType="end"/>
      </w:r>
      <w:r>
        <w:rPr>
          <w:color w:val="auto"/>
        </w:rPr>
        <w:fldChar w:fldCharType="end"/>
      </w:r>
    </w:p>
    <w:p>
      <w:pPr>
        <w:pStyle w:val="10"/>
        <w:tabs>
          <w:tab w:val="right" w:leader="dot" w:pos="9736"/>
        </w:tabs>
        <w:rPr>
          <w:color w:val="auto"/>
          <w:kern w:val="2"/>
          <w:sz w:val="21"/>
        </w:rPr>
      </w:pPr>
      <w:r>
        <w:rPr>
          <w:color w:val="auto"/>
        </w:rPr>
        <w:fldChar w:fldCharType="begin"/>
      </w:r>
      <w:r>
        <w:rPr>
          <w:color w:val="auto"/>
        </w:rPr>
        <w:instrText xml:space="preserve"> HYPERLINK \l "_Toc52291743" </w:instrText>
      </w:r>
      <w:r>
        <w:rPr>
          <w:color w:val="auto"/>
        </w:rPr>
        <w:fldChar w:fldCharType="separate"/>
      </w:r>
      <w:r>
        <w:rPr>
          <w:rStyle w:val="25"/>
          <w:rFonts w:ascii="Times New Roman" w:hAnsi="Times New Roman" w:eastAsia="仿宋_GB2312" w:cs="Times New Roman"/>
          <w:color w:val="auto"/>
        </w:rPr>
        <w:t xml:space="preserve">2.2.1 </w:t>
      </w:r>
      <w:r>
        <w:rPr>
          <w:rStyle w:val="25"/>
          <w:rFonts w:hint="eastAsia" w:ascii="Times New Roman" w:hAnsi="Times New Roman" w:eastAsia="仿宋_GB2312" w:cs="Times New Roman"/>
          <w:color w:val="auto"/>
        </w:rPr>
        <w:t>危险化学品重大危险源辨识</w:t>
      </w:r>
      <w:r>
        <w:rPr>
          <w:color w:val="auto"/>
        </w:rPr>
        <w:tab/>
      </w:r>
      <w:r>
        <w:rPr>
          <w:color w:val="auto"/>
        </w:rPr>
        <w:fldChar w:fldCharType="begin"/>
      </w:r>
      <w:r>
        <w:rPr>
          <w:color w:val="auto"/>
        </w:rPr>
        <w:instrText xml:space="preserve"> PAGEREF _Toc52291743 \h </w:instrText>
      </w:r>
      <w:r>
        <w:rPr>
          <w:color w:val="auto"/>
        </w:rPr>
        <w:fldChar w:fldCharType="separate"/>
      </w:r>
      <w:r>
        <w:rPr>
          <w:color w:val="auto"/>
        </w:rPr>
        <w:t>5</w:t>
      </w:r>
      <w:r>
        <w:rPr>
          <w:color w:val="auto"/>
        </w:rPr>
        <w:fldChar w:fldCharType="end"/>
      </w:r>
      <w:r>
        <w:rPr>
          <w:color w:val="auto"/>
        </w:rPr>
        <w:fldChar w:fldCharType="end"/>
      </w:r>
    </w:p>
    <w:p>
      <w:pPr>
        <w:pStyle w:val="10"/>
        <w:tabs>
          <w:tab w:val="right" w:leader="dot" w:pos="9736"/>
        </w:tabs>
        <w:rPr>
          <w:color w:val="auto"/>
          <w:kern w:val="2"/>
          <w:sz w:val="21"/>
        </w:rPr>
      </w:pPr>
      <w:r>
        <w:rPr>
          <w:color w:val="auto"/>
        </w:rPr>
        <w:fldChar w:fldCharType="begin"/>
      </w:r>
      <w:r>
        <w:rPr>
          <w:color w:val="auto"/>
        </w:rPr>
        <w:instrText xml:space="preserve"> HYPERLINK \l "_Toc52291744" </w:instrText>
      </w:r>
      <w:r>
        <w:rPr>
          <w:color w:val="auto"/>
        </w:rPr>
        <w:fldChar w:fldCharType="separate"/>
      </w:r>
      <w:r>
        <w:rPr>
          <w:rStyle w:val="25"/>
          <w:rFonts w:ascii="Times New Roman" w:hAnsi="Times New Roman" w:eastAsia="仿宋_GB2312" w:cs="Times New Roman"/>
          <w:color w:val="auto"/>
        </w:rPr>
        <w:t>2.2.2</w:t>
      </w:r>
      <w:r>
        <w:rPr>
          <w:rStyle w:val="25"/>
          <w:rFonts w:hint="eastAsia" w:ascii="Times New Roman" w:hAnsi="Times New Roman" w:eastAsia="仿宋_GB2312" w:cs="Times New Roman"/>
          <w:color w:val="auto"/>
        </w:rPr>
        <w:t>危险化学品重大危险源分级过程</w:t>
      </w:r>
      <w:r>
        <w:rPr>
          <w:color w:val="auto"/>
        </w:rPr>
        <w:tab/>
      </w:r>
      <w:r>
        <w:rPr>
          <w:color w:val="auto"/>
        </w:rPr>
        <w:fldChar w:fldCharType="begin"/>
      </w:r>
      <w:r>
        <w:rPr>
          <w:color w:val="auto"/>
        </w:rPr>
        <w:instrText xml:space="preserve"> PAGEREF _Toc52291744 \h </w:instrText>
      </w:r>
      <w:r>
        <w:rPr>
          <w:color w:val="auto"/>
        </w:rPr>
        <w:fldChar w:fldCharType="separate"/>
      </w:r>
      <w:r>
        <w:rPr>
          <w:color w:val="auto"/>
        </w:rPr>
        <w:t>7</w:t>
      </w:r>
      <w:r>
        <w:rPr>
          <w:color w:val="auto"/>
        </w:rPr>
        <w:fldChar w:fldCharType="end"/>
      </w:r>
      <w:r>
        <w:rPr>
          <w:color w:val="auto"/>
        </w:rPr>
        <w:fldChar w:fldCharType="end"/>
      </w:r>
    </w:p>
    <w:p>
      <w:pPr>
        <w:pStyle w:val="16"/>
        <w:tabs>
          <w:tab w:val="right" w:leader="dot" w:pos="9736"/>
        </w:tabs>
        <w:rPr>
          <w:color w:val="auto"/>
          <w:kern w:val="2"/>
          <w:sz w:val="21"/>
        </w:rPr>
      </w:pPr>
      <w:r>
        <w:rPr>
          <w:color w:val="auto"/>
        </w:rPr>
        <w:fldChar w:fldCharType="begin"/>
      </w:r>
      <w:r>
        <w:rPr>
          <w:color w:val="auto"/>
        </w:rPr>
        <w:instrText xml:space="preserve"> HYPERLINK \l "_Toc52291745" </w:instrText>
      </w:r>
      <w:r>
        <w:rPr>
          <w:color w:val="auto"/>
        </w:rPr>
        <w:fldChar w:fldCharType="separate"/>
      </w:r>
      <w:r>
        <w:rPr>
          <w:rStyle w:val="25"/>
          <w:rFonts w:ascii="Times New Roman" w:hAnsi="Times New Roman" w:eastAsia="仿宋_GB2312" w:cs="Times New Roman"/>
          <w:color w:val="auto"/>
        </w:rPr>
        <w:t>3</w:t>
      </w:r>
      <w:r>
        <w:rPr>
          <w:rStyle w:val="25"/>
          <w:rFonts w:hint="eastAsia" w:ascii="Times New Roman" w:hAnsi="Times New Roman" w:eastAsia="仿宋_GB2312" w:cs="Times New Roman"/>
          <w:color w:val="auto"/>
        </w:rPr>
        <w:t>生产经营单位应急资源</w:t>
      </w:r>
      <w:r>
        <w:rPr>
          <w:color w:val="auto"/>
        </w:rPr>
        <w:tab/>
      </w:r>
      <w:r>
        <w:rPr>
          <w:color w:val="auto"/>
        </w:rPr>
        <w:fldChar w:fldCharType="begin"/>
      </w:r>
      <w:r>
        <w:rPr>
          <w:color w:val="auto"/>
        </w:rPr>
        <w:instrText xml:space="preserve"> PAGEREF _Toc52291745 \h </w:instrText>
      </w:r>
      <w:r>
        <w:rPr>
          <w:color w:val="auto"/>
        </w:rPr>
        <w:fldChar w:fldCharType="separate"/>
      </w:r>
      <w:r>
        <w:rPr>
          <w:color w:val="auto"/>
        </w:rPr>
        <w:t>12</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"_Toc52291746" </w:instrText>
      </w:r>
      <w:r>
        <w:rPr>
          <w:color w:val="auto"/>
        </w:rPr>
        <w:fldChar w:fldCharType="separate"/>
      </w:r>
      <w:r>
        <w:rPr>
          <w:rStyle w:val="25"/>
          <w:rFonts w:ascii="Times New Roman" w:hAnsi="Times New Roman" w:eastAsia="仿宋_GB2312" w:cs="Times New Roman"/>
          <w:color w:val="auto"/>
        </w:rPr>
        <w:t>3.1</w:t>
      </w:r>
      <w:r>
        <w:rPr>
          <w:rStyle w:val="25"/>
          <w:rFonts w:hint="eastAsia" w:ascii="Times New Roman" w:hAnsi="Times New Roman" w:eastAsia="仿宋_GB2312" w:cs="Times New Roman"/>
          <w:color w:val="auto"/>
        </w:rPr>
        <w:t>人力资源</w:t>
      </w:r>
      <w:r>
        <w:rPr>
          <w:color w:val="auto"/>
        </w:rPr>
        <w:tab/>
      </w:r>
      <w:r>
        <w:rPr>
          <w:color w:val="auto"/>
        </w:rPr>
        <w:fldChar w:fldCharType="begin"/>
      </w:r>
      <w:r>
        <w:rPr>
          <w:color w:val="auto"/>
        </w:rPr>
        <w:instrText xml:space="preserve"> PAGEREF _Toc52291746 \h </w:instrText>
      </w:r>
      <w:r>
        <w:rPr>
          <w:color w:val="auto"/>
        </w:rPr>
        <w:fldChar w:fldCharType="separate"/>
      </w:r>
      <w:r>
        <w:rPr>
          <w:color w:val="auto"/>
        </w:rPr>
        <w:t>12</w:t>
      </w:r>
      <w:r>
        <w:rPr>
          <w:color w:val="auto"/>
        </w:rPr>
        <w:fldChar w:fldCharType="end"/>
      </w:r>
      <w:r>
        <w:rPr>
          <w:color w:val="auto"/>
        </w:rPr>
        <w:fldChar w:fldCharType="end"/>
      </w:r>
    </w:p>
    <w:p>
      <w:pPr>
        <w:pStyle w:val="10"/>
        <w:tabs>
          <w:tab w:val="right" w:leader="dot" w:pos="9736"/>
        </w:tabs>
        <w:rPr>
          <w:color w:val="auto"/>
          <w:kern w:val="2"/>
          <w:sz w:val="21"/>
        </w:rPr>
      </w:pPr>
      <w:r>
        <w:rPr>
          <w:color w:val="auto"/>
        </w:rPr>
        <w:fldChar w:fldCharType="begin"/>
      </w:r>
      <w:r>
        <w:rPr>
          <w:color w:val="auto"/>
        </w:rPr>
        <w:instrText xml:space="preserve"> HYPERLINK \l "_Toc52291747" </w:instrText>
      </w:r>
      <w:r>
        <w:rPr>
          <w:color w:val="auto"/>
        </w:rPr>
        <w:fldChar w:fldCharType="separate"/>
      </w:r>
      <w:r>
        <w:rPr>
          <w:rStyle w:val="25"/>
          <w:rFonts w:ascii="Times New Roman" w:hAnsi="Times New Roman" w:eastAsia="仿宋_GB2312" w:cs="Times New Roman"/>
          <w:color w:val="auto"/>
        </w:rPr>
        <w:t>3.1.1</w:t>
      </w:r>
      <w:r>
        <w:rPr>
          <w:rStyle w:val="25"/>
          <w:rFonts w:hint="eastAsia" w:ascii="Times New Roman" w:hAnsi="Times New Roman" w:eastAsia="仿宋_GB2312" w:cs="Times New Roman"/>
          <w:color w:val="auto"/>
        </w:rPr>
        <w:t>应急指挥部</w:t>
      </w:r>
      <w:r>
        <w:rPr>
          <w:color w:val="auto"/>
        </w:rPr>
        <w:tab/>
      </w:r>
      <w:r>
        <w:rPr>
          <w:color w:val="auto"/>
        </w:rPr>
        <w:fldChar w:fldCharType="begin"/>
      </w:r>
      <w:r>
        <w:rPr>
          <w:color w:val="auto"/>
        </w:rPr>
        <w:instrText xml:space="preserve"> PAGEREF _Toc52291747 \h </w:instrText>
      </w:r>
      <w:r>
        <w:rPr>
          <w:color w:val="auto"/>
        </w:rPr>
        <w:fldChar w:fldCharType="separate"/>
      </w:r>
      <w:r>
        <w:rPr>
          <w:color w:val="auto"/>
        </w:rPr>
        <w:t>12</w:t>
      </w:r>
      <w:r>
        <w:rPr>
          <w:color w:val="auto"/>
        </w:rPr>
        <w:fldChar w:fldCharType="end"/>
      </w:r>
      <w:r>
        <w:rPr>
          <w:color w:val="auto"/>
        </w:rPr>
        <w:fldChar w:fldCharType="end"/>
      </w:r>
    </w:p>
    <w:p>
      <w:pPr>
        <w:pStyle w:val="10"/>
        <w:tabs>
          <w:tab w:val="right" w:leader="dot" w:pos="9736"/>
        </w:tabs>
        <w:rPr>
          <w:color w:val="auto"/>
          <w:kern w:val="2"/>
          <w:sz w:val="21"/>
        </w:rPr>
      </w:pPr>
      <w:r>
        <w:rPr>
          <w:color w:val="auto"/>
        </w:rPr>
        <w:fldChar w:fldCharType="begin"/>
      </w:r>
      <w:r>
        <w:rPr>
          <w:color w:val="auto"/>
        </w:rPr>
        <w:instrText xml:space="preserve"> HYPERLINK \l "_Toc52291748" </w:instrText>
      </w:r>
      <w:r>
        <w:rPr>
          <w:color w:val="auto"/>
        </w:rPr>
        <w:fldChar w:fldCharType="separate"/>
      </w:r>
      <w:r>
        <w:rPr>
          <w:rStyle w:val="25"/>
          <w:rFonts w:ascii="Times New Roman" w:hAnsi="Times New Roman" w:eastAsia="仿宋_GB2312" w:cs="Times New Roman"/>
          <w:color w:val="auto"/>
        </w:rPr>
        <w:t>3.1.2</w:t>
      </w:r>
      <w:r>
        <w:rPr>
          <w:rStyle w:val="25"/>
          <w:rFonts w:hint="eastAsia" w:ascii="Times New Roman" w:hAnsi="Times New Roman" w:eastAsia="仿宋_GB2312" w:cs="Times New Roman"/>
          <w:color w:val="auto"/>
        </w:rPr>
        <w:t>应急办公室</w:t>
      </w:r>
      <w:r>
        <w:rPr>
          <w:color w:val="auto"/>
        </w:rPr>
        <w:tab/>
      </w:r>
      <w:r>
        <w:rPr>
          <w:color w:val="auto"/>
        </w:rPr>
        <w:fldChar w:fldCharType="begin"/>
      </w:r>
      <w:r>
        <w:rPr>
          <w:color w:val="auto"/>
        </w:rPr>
        <w:instrText xml:space="preserve"> PAGEREF _Toc52291748 \h </w:instrText>
      </w:r>
      <w:r>
        <w:rPr>
          <w:color w:val="auto"/>
        </w:rPr>
        <w:fldChar w:fldCharType="separate"/>
      </w:r>
      <w:r>
        <w:rPr>
          <w:color w:val="auto"/>
        </w:rPr>
        <w:t>12</w:t>
      </w:r>
      <w:r>
        <w:rPr>
          <w:color w:val="auto"/>
        </w:rPr>
        <w:fldChar w:fldCharType="end"/>
      </w:r>
      <w:r>
        <w:rPr>
          <w:color w:val="auto"/>
        </w:rPr>
        <w:fldChar w:fldCharType="end"/>
      </w:r>
    </w:p>
    <w:p>
      <w:pPr>
        <w:pStyle w:val="10"/>
        <w:tabs>
          <w:tab w:val="right" w:leader="dot" w:pos="9736"/>
        </w:tabs>
        <w:rPr>
          <w:color w:val="auto"/>
          <w:kern w:val="2"/>
          <w:sz w:val="21"/>
        </w:rPr>
      </w:pPr>
      <w:r>
        <w:rPr>
          <w:color w:val="auto"/>
        </w:rPr>
        <w:fldChar w:fldCharType="begin"/>
      </w:r>
      <w:r>
        <w:rPr>
          <w:color w:val="auto"/>
        </w:rPr>
        <w:instrText xml:space="preserve"> HYPERLINK \l "_Toc52291749" </w:instrText>
      </w:r>
      <w:r>
        <w:rPr>
          <w:color w:val="auto"/>
        </w:rPr>
        <w:fldChar w:fldCharType="separate"/>
      </w:r>
      <w:r>
        <w:rPr>
          <w:rStyle w:val="25"/>
          <w:rFonts w:ascii="Times New Roman" w:hAnsi="Times New Roman" w:eastAsia="仿宋_GB2312" w:cs="Times New Roman"/>
          <w:color w:val="auto"/>
        </w:rPr>
        <w:t>3.1.3</w:t>
      </w:r>
      <w:r>
        <w:rPr>
          <w:rStyle w:val="25"/>
          <w:rFonts w:hint="eastAsia" w:ascii="Times New Roman" w:hAnsi="Times New Roman" w:eastAsia="仿宋_GB2312" w:cs="Times New Roman"/>
          <w:color w:val="auto"/>
        </w:rPr>
        <w:t>应急救援队伍</w:t>
      </w:r>
      <w:r>
        <w:rPr>
          <w:color w:val="auto"/>
        </w:rPr>
        <w:tab/>
      </w:r>
      <w:r>
        <w:rPr>
          <w:color w:val="auto"/>
        </w:rPr>
        <w:fldChar w:fldCharType="begin"/>
      </w:r>
      <w:r>
        <w:rPr>
          <w:color w:val="auto"/>
        </w:rPr>
        <w:instrText xml:space="preserve"> PAGEREF _Toc52291749 \h </w:instrText>
      </w:r>
      <w:r>
        <w:rPr>
          <w:color w:val="auto"/>
        </w:rPr>
        <w:fldChar w:fldCharType="separate"/>
      </w:r>
      <w:r>
        <w:rPr>
          <w:color w:val="auto"/>
        </w:rPr>
        <w:t>13</w:t>
      </w:r>
      <w:r>
        <w:rPr>
          <w:color w:val="auto"/>
        </w:rPr>
        <w:fldChar w:fldCharType="end"/>
      </w:r>
      <w:r>
        <w:rPr>
          <w:color w:val="auto"/>
        </w:rPr>
        <w:fldChar w:fldCharType="end"/>
      </w:r>
    </w:p>
    <w:p>
      <w:pPr>
        <w:pStyle w:val="10"/>
        <w:tabs>
          <w:tab w:val="right" w:leader="dot" w:pos="9736"/>
        </w:tabs>
        <w:rPr>
          <w:color w:val="auto"/>
          <w:kern w:val="2"/>
          <w:sz w:val="21"/>
        </w:rPr>
      </w:pPr>
      <w:r>
        <w:rPr>
          <w:color w:val="auto"/>
        </w:rPr>
        <w:fldChar w:fldCharType="begin"/>
      </w:r>
      <w:r>
        <w:rPr>
          <w:color w:val="auto"/>
        </w:rPr>
        <w:instrText xml:space="preserve"> HYPERLINK \l "_Toc52291750" </w:instrText>
      </w:r>
      <w:r>
        <w:rPr>
          <w:color w:val="auto"/>
        </w:rPr>
        <w:fldChar w:fldCharType="separate"/>
      </w:r>
      <w:r>
        <w:rPr>
          <w:rStyle w:val="25"/>
          <w:rFonts w:ascii="Times New Roman" w:hAnsi="Times New Roman" w:eastAsia="仿宋_GB2312" w:cs="Times New Roman"/>
          <w:color w:val="auto"/>
        </w:rPr>
        <w:t>3.1.4</w:t>
      </w:r>
      <w:r>
        <w:rPr>
          <w:rStyle w:val="25"/>
          <w:rFonts w:hint="eastAsia" w:ascii="Times New Roman" w:hAnsi="Times New Roman" w:eastAsia="仿宋_GB2312" w:cs="Times New Roman"/>
          <w:color w:val="auto"/>
        </w:rPr>
        <w:t>应急指挥部、应急救援队成员及外部资源联系电话</w:t>
      </w:r>
      <w:r>
        <w:rPr>
          <w:color w:val="auto"/>
        </w:rPr>
        <w:tab/>
      </w:r>
      <w:r>
        <w:rPr>
          <w:color w:val="auto"/>
        </w:rPr>
        <w:fldChar w:fldCharType="begin"/>
      </w:r>
      <w:r>
        <w:rPr>
          <w:color w:val="auto"/>
        </w:rPr>
        <w:instrText xml:space="preserve"> PAGEREF _Toc52291750 \h </w:instrText>
      </w:r>
      <w:r>
        <w:rPr>
          <w:color w:val="auto"/>
        </w:rPr>
        <w:fldChar w:fldCharType="separate"/>
      </w:r>
      <w:r>
        <w:rPr>
          <w:color w:val="auto"/>
        </w:rPr>
        <w:t>13</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"_Toc52291751" </w:instrText>
      </w:r>
      <w:r>
        <w:rPr>
          <w:color w:val="auto"/>
        </w:rPr>
        <w:fldChar w:fldCharType="separate"/>
      </w:r>
      <w:r>
        <w:rPr>
          <w:rStyle w:val="25"/>
          <w:rFonts w:ascii="Times New Roman" w:hAnsi="Times New Roman" w:eastAsia="仿宋_GB2312" w:cs="Times New Roman"/>
          <w:color w:val="auto"/>
        </w:rPr>
        <w:t>3.2</w:t>
      </w:r>
      <w:r>
        <w:rPr>
          <w:rStyle w:val="25"/>
          <w:rFonts w:hint="eastAsia" w:ascii="Times New Roman" w:hAnsi="Times New Roman" w:eastAsia="仿宋_GB2312" w:cs="Times New Roman"/>
          <w:color w:val="auto"/>
        </w:rPr>
        <w:t>应急物资及应急装备</w:t>
      </w:r>
      <w:r>
        <w:rPr>
          <w:color w:val="auto"/>
        </w:rPr>
        <w:tab/>
      </w:r>
      <w:r>
        <w:rPr>
          <w:color w:val="auto"/>
        </w:rPr>
        <w:fldChar w:fldCharType="begin"/>
      </w:r>
      <w:r>
        <w:rPr>
          <w:color w:val="auto"/>
        </w:rPr>
        <w:instrText xml:space="preserve"> PAGEREF _Toc52291751 \h </w:instrText>
      </w:r>
      <w:r>
        <w:rPr>
          <w:color w:val="auto"/>
        </w:rPr>
        <w:fldChar w:fldCharType="separate"/>
      </w:r>
      <w:r>
        <w:rPr>
          <w:color w:val="auto"/>
        </w:rPr>
        <w:t>16</w:t>
      </w:r>
      <w:r>
        <w:rPr>
          <w:color w:val="auto"/>
        </w:rPr>
        <w:fldChar w:fldCharType="end"/>
      </w:r>
      <w:r>
        <w:rPr>
          <w:color w:val="auto"/>
        </w:rPr>
        <w:fldChar w:fldCharType="end"/>
      </w:r>
    </w:p>
    <w:p>
      <w:pPr>
        <w:pStyle w:val="10"/>
        <w:tabs>
          <w:tab w:val="right" w:leader="dot" w:pos="9736"/>
        </w:tabs>
        <w:rPr>
          <w:color w:val="auto"/>
          <w:kern w:val="2"/>
          <w:sz w:val="21"/>
        </w:rPr>
      </w:pPr>
      <w:r>
        <w:rPr>
          <w:color w:val="auto"/>
        </w:rPr>
        <w:fldChar w:fldCharType="begin"/>
      </w:r>
      <w:r>
        <w:rPr>
          <w:color w:val="auto"/>
        </w:rPr>
        <w:instrText xml:space="preserve"> HYPERLINK \l "_Toc52291752" </w:instrText>
      </w:r>
      <w:r>
        <w:rPr>
          <w:color w:val="auto"/>
        </w:rPr>
        <w:fldChar w:fldCharType="separate"/>
      </w:r>
      <w:r>
        <w:rPr>
          <w:rStyle w:val="25"/>
          <w:rFonts w:ascii="Times New Roman" w:hAnsi="Times New Roman" w:eastAsia="仿宋_GB2312" w:cs="Times New Roman"/>
          <w:color w:val="auto"/>
        </w:rPr>
        <w:t xml:space="preserve">3.2.1 </w:t>
      </w:r>
      <w:r>
        <w:rPr>
          <w:rStyle w:val="25"/>
          <w:rFonts w:hint="eastAsia" w:ascii="Times New Roman" w:hAnsi="Times New Roman" w:eastAsia="仿宋_GB2312" w:cs="Times New Roman"/>
          <w:color w:val="auto"/>
        </w:rPr>
        <w:t>应急物资及装备</w:t>
      </w:r>
      <w:r>
        <w:rPr>
          <w:color w:val="auto"/>
        </w:rPr>
        <w:tab/>
      </w:r>
      <w:r>
        <w:rPr>
          <w:color w:val="auto"/>
        </w:rPr>
        <w:fldChar w:fldCharType="begin"/>
      </w:r>
      <w:r>
        <w:rPr>
          <w:color w:val="auto"/>
        </w:rPr>
        <w:instrText xml:space="preserve"> PAGEREF _Toc52291752 \h </w:instrText>
      </w:r>
      <w:r>
        <w:rPr>
          <w:color w:val="auto"/>
        </w:rPr>
        <w:fldChar w:fldCharType="separate"/>
      </w:r>
      <w:r>
        <w:rPr>
          <w:color w:val="auto"/>
        </w:rPr>
        <w:t>16</w:t>
      </w:r>
      <w:r>
        <w:rPr>
          <w:color w:val="auto"/>
        </w:rPr>
        <w:fldChar w:fldCharType="end"/>
      </w:r>
      <w:r>
        <w:rPr>
          <w:color w:val="auto"/>
        </w:rPr>
        <w:fldChar w:fldCharType="end"/>
      </w:r>
    </w:p>
    <w:p>
      <w:pPr>
        <w:pStyle w:val="10"/>
        <w:tabs>
          <w:tab w:val="right" w:leader="dot" w:pos="9736"/>
        </w:tabs>
        <w:rPr>
          <w:color w:val="auto"/>
          <w:kern w:val="2"/>
          <w:sz w:val="21"/>
        </w:rPr>
      </w:pPr>
      <w:r>
        <w:rPr>
          <w:color w:val="auto"/>
        </w:rPr>
        <w:fldChar w:fldCharType="begin"/>
      </w:r>
      <w:r>
        <w:rPr>
          <w:color w:val="auto"/>
        </w:rPr>
        <w:instrText xml:space="preserve"> HYPERLINK \l "_Toc52291753" </w:instrText>
      </w:r>
      <w:r>
        <w:rPr>
          <w:color w:val="auto"/>
        </w:rPr>
        <w:fldChar w:fldCharType="separate"/>
      </w:r>
      <w:r>
        <w:rPr>
          <w:rStyle w:val="25"/>
          <w:rFonts w:ascii="Times New Roman" w:hAnsi="Times New Roman" w:eastAsia="仿宋_GB2312" w:cs="Times New Roman"/>
          <w:color w:val="auto"/>
        </w:rPr>
        <w:t>3.2.2</w:t>
      </w:r>
      <w:r>
        <w:rPr>
          <w:rStyle w:val="25"/>
          <w:rFonts w:hint="eastAsia" w:ascii="Times New Roman" w:hAnsi="Times New Roman" w:eastAsia="仿宋_GB2312" w:cs="Times New Roman"/>
          <w:color w:val="auto"/>
        </w:rPr>
        <w:t>消防设施</w:t>
      </w:r>
      <w:r>
        <w:rPr>
          <w:color w:val="auto"/>
        </w:rPr>
        <w:tab/>
      </w:r>
      <w:r>
        <w:rPr>
          <w:color w:val="auto"/>
        </w:rPr>
        <w:fldChar w:fldCharType="begin"/>
      </w:r>
      <w:r>
        <w:rPr>
          <w:color w:val="auto"/>
        </w:rPr>
        <w:instrText xml:space="preserve"> PAGEREF _Toc52291753 \h </w:instrText>
      </w:r>
      <w:r>
        <w:rPr>
          <w:color w:val="auto"/>
        </w:rPr>
        <w:fldChar w:fldCharType="separate"/>
      </w:r>
      <w:r>
        <w:rPr>
          <w:color w:val="auto"/>
        </w:rPr>
        <w:t>22</w:t>
      </w:r>
      <w:r>
        <w:rPr>
          <w:color w:val="auto"/>
        </w:rPr>
        <w:fldChar w:fldCharType="end"/>
      </w:r>
      <w:r>
        <w:rPr>
          <w:color w:val="auto"/>
        </w:rPr>
        <w:fldChar w:fldCharType="end"/>
      </w:r>
    </w:p>
    <w:p>
      <w:pPr>
        <w:pStyle w:val="16"/>
        <w:tabs>
          <w:tab w:val="right" w:leader="dot" w:pos="9736"/>
        </w:tabs>
        <w:rPr>
          <w:color w:val="auto"/>
          <w:kern w:val="2"/>
          <w:sz w:val="21"/>
        </w:rPr>
      </w:pPr>
      <w:r>
        <w:rPr>
          <w:color w:val="auto"/>
        </w:rPr>
        <w:fldChar w:fldCharType="begin"/>
      </w:r>
      <w:r>
        <w:rPr>
          <w:color w:val="auto"/>
        </w:rPr>
        <w:instrText xml:space="preserve"> HYPERLINK \l "_Toc52291754" </w:instrText>
      </w:r>
      <w:r>
        <w:rPr>
          <w:color w:val="auto"/>
        </w:rPr>
        <w:fldChar w:fldCharType="separate"/>
      </w:r>
      <w:r>
        <w:rPr>
          <w:rStyle w:val="25"/>
          <w:rFonts w:ascii="Times New Roman" w:hAnsi="Times New Roman" w:eastAsia="仿宋_GB2312" w:cs="Times New Roman"/>
          <w:color w:val="auto"/>
        </w:rPr>
        <w:t>4</w:t>
      </w:r>
      <w:r>
        <w:rPr>
          <w:rStyle w:val="25"/>
          <w:rFonts w:hint="eastAsia" w:ascii="Times New Roman" w:hAnsi="Times New Roman" w:eastAsia="仿宋_GB2312" w:cs="Times New Roman"/>
          <w:color w:val="auto"/>
        </w:rPr>
        <w:t>周边社会应急资源调查</w:t>
      </w:r>
      <w:r>
        <w:rPr>
          <w:color w:val="auto"/>
        </w:rPr>
        <w:tab/>
      </w:r>
      <w:r>
        <w:rPr>
          <w:color w:val="auto"/>
        </w:rPr>
        <w:fldChar w:fldCharType="begin"/>
      </w:r>
      <w:r>
        <w:rPr>
          <w:color w:val="auto"/>
        </w:rPr>
        <w:instrText xml:space="preserve"> PAGEREF _Toc52291754 \h </w:instrText>
      </w:r>
      <w:r>
        <w:rPr>
          <w:color w:val="auto"/>
        </w:rPr>
        <w:fldChar w:fldCharType="separate"/>
      </w:r>
      <w:r>
        <w:rPr>
          <w:color w:val="auto"/>
        </w:rPr>
        <w:t>23</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"_Toc52291755" </w:instrText>
      </w:r>
      <w:r>
        <w:rPr>
          <w:color w:val="auto"/>
        </w:rPr>
        <w:fldChar w:fldCharType="separate"/>
      </w:r>
      <w:r>
        <w:rPr>
          <w:rStyle w:val="25"/>
          <w:rFonts w:ascii="Times New Roman" w:hAnsi="Times New Roman" w:eastAsia="仿宋_GB2312" w:cs="Times New Roman"/>
          <w:color w:val="auto"/>
        </w:rPr>
        <w:t>4.1</w:t>
      </w:r>
      <w:r>
        <w:rPr>
          <w:rStyle w:val="25"/>
          <w:rFonts w:hint="eastAsia" w:ascii="Times New Roman" w:hAnsi="Times New Roman" w:eastAsia="仿宋_GB2312" w:cs="Times New Roman"/>
          <w:color w:val="auto"/>
        </w:rPr>
        <w:t>外部救援</w:t>
      </w:r>
      <w:r>
        <w:rPr>
          <w:color w:val="auto"/>
        </w:rPr>
        <w:tab/>
      </w:r>
      <w:r>
        <w:rPr>
          <w:color w:val="auto"/>
        </w:rPr>
        <w:fldChar w:fldCharType="begin"/>
      </w:r>
      <w:r>
        <w:rPr>
          <w:color w:val="auto"/>
        </w:rPr>
        <w:instrText xml:space="preserve"> PAGEREF _Toc52291755 \h </w:instrText>
      </w:r>
      <w:r>
        <w:rPr>
          <w:color w:val="auto"/>
        </w:rPr>
        <w:fldChar w:fldCharType="separate"/>
      </w:r>
      <w:r>
        <w:rPr>
          <w:color w:val="auto"/>
        </w:rPr>
        <w:t>23</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"_Toc52291756" </w:instrText>
      </w:r>
      <w:r>
        <w:rPr>
          <w:color w:val="auto"/>
        </w:rPr>
        <w:fldChar w:fldCharType="separate"/>
      </w:r>
      <w:r>
        <w:rPr>
          <w:rStyle w:val="25"/>
          <w:rFonts w:ascii="Times New Roman" w:hAnsi="Times New Roman" w:eastAsia="仿宋_GB2312" w:cs="Times New Roman"/>
          <w:color w:val="auto"/>
        </w:rPr>
        <w:t>4.2</w:t>
      </w:r>
      <w:r>
        <w:rPr>
          <w:rStyle w:val="25"/>
          <w:rFonts w:hint="eastAsia" w:ascii="Times New Roman" w:hAnsi="Times New Roman" w:eastAsia="仿宋_GB2312" w:cs="Times New Roman"/>
          <w:color w:val="auto"/>
        </w:rPr>
        <w:t>请求政府协调应急救援力量</w:t>
      </w:r>
      <w:r>
        <w:rPr>
          <w:color w:val="auto"/>
        </w:rPr>
        <w:tab/>
      </w:r>
      <w:r>
        <w:rPr>
          <w:color w:val="auto"/>
        </w:rPr>
        <w:fldChar w:fldCharType="begin"/>
      </w:r>
      <w:r>
        <w:rPr>
          <w:color w:val="auto"/>
        </w:rPr>
        <w:instrText xml:space="preserve"> PAGEREF _Toc52291756 \h </w:instrText>
      </w:r>
      <w:r>
        <w:rPr>
          <w:color w:val="auto"/>
        </w:rPr>
        <w:fldChar w:fldCharType="separate"/>
      </w:r>
      <w:r>
        <w:rPr>
          <w:color w:val="auto"/>
        </w:rPr>
        <w:t>23</w:t>
      </w:r>
      <w:r>
        <w:rPr>
          <w:color w:val="auto"/>
        </w:rPr>
        <w:fldChar w:fldCharType="end"/>
      </w:r>
      <w:r>
        <w:rPr>
          <w:color w:val="auto"/>
        </w:rPr>
        <w:fldChar w:fldCharType="end"/>
      </w:r>
    </w:p>
    <w:p>
      <w:pPr>
        <w:pStyle w:val="19"/>
        <w:tabs>
          <w:tab w:val="right" w:leader="dot" w:pos="9736"/>
        </w:tabs>
        <w:rPr>
          <w:color w:val="auto"/>
          <w:kern w:val="2"/>
          <w:sz w:val="21"/>
        </w:rPr>
      </w:pPr>
      <w:r>
        <w:rPr>
          <w:color w:val="auto"/>
        </w:rPr>
        <w:fldChar w:fldCharType="begin"/>
      </w:r>
      <w:r>
        <w:rPr>
          <w:color w:val="auto"/>
        </w:rPr>
        <w:instrText xml:space="preserve"> HYPERLINK \l "_Toc52291757" </w:instrText>
      </w:r>
      <w:r>
        <w:rPr>
          <w:color w:val="auto"/>
        </w:rPr>
        <w:fldChar w:fldCharType="separate"/>
      </w:r>
      <w:r>
        <w:rPr>
          <w:rStyle w:val="25"/>
          <w:rFonts w:ascii="Times New Roman" w:hAnsi="Times New Roman" w:eastAsia="仿宋_GB2312" w:cs="Times New Roman"/>
          <w:color w:val="auto"/>
        </w:rPr>
        <w:t>4.3</w:t>
      </w:r>
      <w:r>
        <w:rPr>
          <w:rStyle w:val="25"/>
          <w:rFonts w:hint="eastAsia" w:ascii="Times New Roman" w:hAnsi="Times New Roman" w:eastAsia="仿宋_GB2312" w:cs="Times New Roman"/>
          <w:color w:val="auto"/>
        </w:rPr>
        <w:t>外部救援联系电话</w:t>
      </w:r>
      <w:r>
        <w:rPr>
          <w:color w:val="auto"/>
        </w:rPr>
        <w:tab/>
      </w:r>
      <w:r>
        <w:rPr>
          <w:color w:val="auto"/>
        </w:rPr>
        <w:fldChar w:fldCharType="begin"/>
      </w:r>
      <w:r>
        <w:rPr>
          <w:color w:val="auto"/>
        </w:rPr>
        <w:instrText xml:space="preserve"> PAGEREF _Toc52291757 \h </w:instrText>
      </w:r>
      <w:r>
        <w:rPr>
          <w:color w:val="auto"/>
        </w:rPr>
        <w:fldChar w:fldCharType="separate"/>
      </w:r>
      <w:r>
        <w:rPr>
          <w:color w:val="auto"/>
        </w:rPr>
        <w:t>23</w:t>
      </w:r>
      <w:r>
        <w:rPr>
          <w:color w:val="auto"/>
        </w:rPr>
        <w:fldChar w:fldCharType="end"/>
      </w:r>
      <w:r>
        <w:rPr>
          <w:color w:val="auto"/>
        </w:rPr>
        <w:fldChar w:fldCharType="end"/>
      </w:r>
    </w:p>
    <w:p>
      <w:pPr>
        <w:pStyle w:val="16"/>
        <w:tabs>
          <w:tab w:val="right" w:leader="dot" w:pos="9736"/>
        </w:tabs>
        <w:rPr>
          <w:color w:val="auto"/>
          <w:kern w:val="2"/>
          <w:sz w:val="21"/>
        </w:rPr>
      </w:pPr>
      <w:r>
        <w:rPr>
          <w:color w:val="auto"/>
        </w:rPr>
        <w:fldChar w:fldCharType="begin"/>
      </w:r>
      <w:r>
        <w:rPr>
          <w:color w:val="auto"/>
        </w:rPr>
        <w:instrText xml:space="preserve"> HYPERLINK \l "_Toc52291758" </w:instrText>
      </w:r>
      <w:r>
        <w:rPr>
          <w:color w:val="auto"/>
        </w:rPr>
        <w:fldChar w:fldCharType="separate"/>
      </w:r>
      <w:r>
        <w:rPr>
          <w:rStyle w:val="25"/>
          <w:rFonts w:ascii="Times New Roman" w:hAnsi="Times New Roman" w:eastAsia="仿宋_GB2312" w:cs="Times New Roman"/>
          <w:color w:val="auto"/>
        </w:rPr>
        <w:t>5</w:t>
      </w:r>
      <w:r>
        <w:rPr>
          <w:rStyle w:val="25"/>
          <w:rFonts w:hint="eastAsia" w:ascii="Times New Roman" w:hAnsi="Times New Roman" w:eastAsia="仿宋_GB2312" w:cs="Times New Roman"/>
          <w:color w:val="auto"/>
        </w:rPr>
        <w:t>应急资源不足或差距分析</w:t>
      </w:r>
      <w:r>
        <w:rPr>
          <w:color w:val="auto"/>
        </w:rPr>
        <w:tab/>
      </w:r>
      <w:r>
        <w:rPr>
          <w:color w:val="auto"/>
        </w:rPr>
        <w:fldChar w:fldCharType="begin"/>
      </w:r>
      <w:r>
        <w:rPr>
          <w:color w:val="auto"/>
        </w:rPr>
        <w:instrText xml:space="preserve"> PAGEREF _Toc52291758 \h </w:instrText>
      </w:r>
      <w:r>
        <w:rPr>
          <w:color w:val="auto"/>
        </w:rPr>
        <w:fldChar w:fldCharType="separate"/>
      </w:r>
      <w:r>
        <w:rPr>
          <w:color w:val="auto"/>
        </w:rPr>
        <w:t>24</w:t>
      </w:r>
      <w:r>
        <w:rPr>
          <w:color w:val="auto"/>
        </w:rPr>
        <w:fldChar w:fldCharType="end"/>
      </w:r>
      <w:r>
        <w:rPr>
          <w:color w:val="auto"/>
        </w:rPr>
        <w:fldChar w:fldCharType="end"/>
      </w:r>
    </w:p>
    <w:p>
      <w:pPr>
        <w:pStyle w:val="16"/>
        <w:tabs>
          <w:tab w:val="right" w:leader="dot" w:pos="9736"/>
        </w:tabs>
        <w:rPr>
          <w:color w:val="auto"/>
          <w:kern w:val="2"/>
          <w:sz w:val="21"/>
        </w:rPr>
      </w:pPr>
      <w:r>
        <w:rPr>
          <w:color w:val="auto"/>
        </w:rPr>
        <w:fldChar w:fldCharType="begin"/>
      </w:r>
      <w:r>
        <w:rPr>
          <w:color w:val="auto"/>
        </w:rPr>
        <w:instrText xml:space="preserve"> HYPERLINK \l "_Toc52291759" </w:instrText>
      </w:r>
      <w:r>
        <w:rPr>
          <w:color w:val="auto"/>
        </w:rPr>
        <w:fldChar w:fldCharType="separate"/>
      </w:r>
      <w:r>
        <w:rPr>
          <w:rStyle w:val="25"/>
          <w:rFonts w:ascii="Times New Roman" w:hAnsi="Times New Roman" w:eastAsia="仿宋_GB2312" w:cs="Times New Roman"/>
          <w:color w:val="auto"/>
        </w:rPr>
        <w:t>6</w:t>
      </w:r>
      <w:r>
        <w:rPr>
          <w:rStyle w:val="25"/>
          <w:rFonts w:hint="eastAsia" w:ascii="Times New Roman" w:hAnsi="Times New Roman" w:eastAsia="仿宋_GB2312" w:cs="Times New Roman"/>
          <w:color w:val="auto"/>
        </w:rPr>
        <w:t>应急资源调查主要结论</w:t>
      </w:r>
      <w:r>
        <w:rPr>
          <w:color w:val="auto"/>
        </w:rPr>
        <w:tab/>
      </w:r>
      <w:r>
        <w:rPr>
          <w:color w:val="auto"/>
        </w:rPr>
        <w:fldChar w:fldCharType="begin"/>
      </w:r>
      <w:r>
        <w:rPr>
          <w:color w:val="auto"/>
        </w:rPr>
        <w:instrText xml:space="preserve"> PAGEREF _Toc52291759 \h </w:instrText>
      </w:r>
      <w:r>
        <w:rPr>
          <w:color w:val="auto"/>
        </w:rPr>
        <w:fldChar w:fldCharType="separate"/>
      </w:r>
      <w:r>
        <w:rPr>
          <w:color w:val="auto"/>
        </w:rPr>
        <w:t>24</w:t>
      </w:r>
      <w:r>
        <w:rPr>
          <w:color w:val="auto"/>
        </w:rPr>
        <w:fldChar w:fldCharType="end"/>
      </w:r>
      <w:r>
        <w:rPr>
          <w:color w:val="auto"/>
        </w:rPr>
        <w:fldChar w:fldCharType="end"/>
      </w:r>
    </w:p>
    <w:p>
      <w:pPr>
        <w:pStyle w:val="16"/>
        <w:tabs>
          <w:tab w:val="right" w:leader="dot" w:pos="9736"/>
        </w:tabs>
        <w:rPr>
          <w:color w:val="auto"/>
          <w:kern w:val="2"/>
          <w:sz w:val="21"/>
        </w:rPr>
      </w:pPr>
      <w:r>
        <w:rPr>
          <w:color w:val="auto"/>
        </w:rPr>
        <w:fldChar w:fldCharType="begin"/>
      </w:r>
      <w:r>
        <w:rPr>
          <w:color w:val="auto"/>
        </w:rPr>
        <w:instrText xml:space="preserve"> HYPERLINK \l "_Toc52291760" </w:instrText>
      </w:r>
      <w:r>
        <w:rPr>
          <w:color w:val="auto"/>
        </w:rPr>
        <w:fldChar w:fldCharType="separate"/>
      </w:r>
      <w:r>
        <w:rPr>
          <w:rStyle w:val="25"/>
          <w:rFonts w:ascii="Times New Roman" w:hAnsi="Times New Roman" w:eastAsia="仿宋_GB2312" w:cs="Times New Roman"/>
          <w:color w:val="auto"/>
        </w:rPr>
        <w:t>7</w:t>
      </w:r>
      <w:r>
        <w:rPr>
          <w:rStyle w:val="25"/>
          <w:rFonts w:hint="eastAsia" w:ascii="Times New Roman" w:hAnsi="Times New Roman" w:eastAsia="仿宋_GB2312" w:cs="Times New Roman"/>
          <w:color w:val="auto"/>
        </w:rPr>
        <w:t>制定完善应急资源的具体措施</w:t>
      </w:r>
      <w:r>
        <w:rPr>
          <w:color w:val="auto"/>
        </w:rPr>
        <w:tab/>
      </w:r>
      <w:r>
        <w:rPr>
          <w:color w:val="auto"/>
        </w:rPr>
        <w:fldChar w:fldCharType="begin"/>
      </w:r>
      <w:r>
        <w:rPr>
          <w:color w:val="auto"/>
        </w:rPr>
        <w:instrText xml:space="preserve"> PAGEREF _Toc52291760 \h </w:instrText>
      </w:r>
      <w:r>
        <w:rPr>
          <w:color w:val="auto"/>
        </w:rPr>
        <w:fldChar w:fldCharType="separate"/>
      </w:r>
      <w:r>
        <w:rPr>
          <w:color w:val="auto"/>
        </w:rPr>
        <w:t>25</w:t>
      </w:r>
      <w:r>
        <w:rPr>
          <w:color w:val="auto"/>
        </w:rPr>
        <w:fldChar w:fldCharType="end"/>
      </w:r>
      <w:r>
        <w:rPr>
          <w:color w:val="auto"/>
        </w:rPr>
        <w:fldChar w:fldCharType="end"/>
      </w:r>
    </w:p>
    <w:p>
      <w:pPr>
        <w:widowControl/>
        <w:jc w:val="center"/>
        <w:rPr>
          <w:rFonts w:ascii="Times New Roman" w:hAnsi="Times New Roman" w:eastAsia="仿宋_GB2312" w:cs="Times New Roman"/>
          <w:bCs/>
          <w:color w:val="auto"/>
          <w:kern w:val="0"/>
        </w:rPr>
      </w:pPr>
      <w:r>
        <w:rPr>
          <w:rFonts w:ascii="Times New Roman" w:hAnsi="Times New Roman" w:eastAsia="仿宋_GB2312" w:cs="Times New Roman"/>
          <w:bCs/>
          <w:color w:val="auto"/>
          <w:kern w:val="0"/>
        </w:rPr>
        <w:fldChar w:fldCharType="end"/>
      </w:r>
    </w:p>
    <w:p>
      <w:pPr>
        <w:widowControl/>
        <w:jc w:val="left"/>
        <w:rPr>
          <w:rFonts w:ascii="Times New Roman" w:hAnsi="Times New Roman" w:eastAsia="仿宋_GB2312" w:cs="Times New Roman"/>
          <w:bCs/>
          <w:color w:val="auto"/>
          <w:kern w:val="0"/>
        </w:rPr>
        <w:sectPr>
          <w:pgSz w:w="11906" w:h="16838"/>
          <w:pgMar w:top="1440" w:right="1080" w:bottom="1440" w:left="1080" w:header="851" w:footer="992" w:gutter="0"/>
          <w:cols w:space="425" w:num="1"/>
          <w:titlePg/>
          <w:docGrid w:type="lines" w:linePitch="312" w:charSpace="0"/>
        </w:sectPr>
      </w:pPr>
    </w:p>
    <w:bookmarkEnd w:id="0"/>
    <w:p>
      <w:pPr>
        <w:pStyle w:val="2"/>
        <w:rPr>
          <w:rFonts w:ascii="Times New Roman" w:hAnsi="Times New Roman" w:eastAsia="仿宋_GB2312" w:cs="Times New Roman"/>
          <w:color w:val="auto"/>
        </w:rPr>
      </w:pPr>
      <w:bookmarkStart w:id="1" w:name="_Toc28026"/>
      <w:bookmarkStart w:id="2" w:name="_Toc9543"/>
      <w:bookmarkStart w:id="3" w:name="_Toc23419"/>
      <w:bookmarkStart w:id="4" w:name="_Toc52291735"/>
      <w:r>
        <w:rPr>
          <w:rFonts w:ascii="Times New Roman" w:hAnsi="Times New Roman" w:eastAsia="仿宋_GB2312" w:cs="Times New Roman"/>
          <w:color w:val="auto"/>
        </w:rPr>
        <w:t>1总则</w:t>
      </w:r>
      <w:bookmarkEnd w:id="1"/>
      <w:bookmarkEnd w:id="2"/>
      <w:bookmarkEnd w:id="3"/>
      <w:bookmarkEnd w:id="4"/>
    </w:p>
    <w:p>
      <w:pPr>
        <w:pStyle w:val="3"/>
        <w:rPr>
          <w:rFonts w:ascii="Times New Roman" w:hAnsi="Times New Roman" w:eastAsia="仿宋_GB2312" w:cs="Times New Roman"/>
          <w:color w:val="auto"/>
        </w:rPr>
      </w:pPr>
      <w:bookmarkStart w:id="5" w:name="_Toc52291736"/>
      <w:r>
        <w:rPr>
          <w:rFonts w:ascii="Times New Roman" w:hAnsi="Times New Roman" w:eastAsia="仿宋_GB2312" w:cs="Times New Roman"/>
          <w:color w:val="auto"/>
        </w:rPr>
        <w:t>1.1调查目的</w:t>
      </w:r>
      <w:bookmarkEnd w:id="5"/>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为贯彻落实“安全第一、预防为主、综合治理”安全生产基本方针，切实加强公司各类突发事件应急管理工作，进一步规范公司的应急响应程序，建立健全与南充市人民政府、南充经济开发区相关职能部门相适应的，指挥统一，功能齐全，反应快捷、运转高效的应急救援管理体系，一旦发生事故，能够及时有效的实施各项应急救援措施，控制和减少事故损失，保障员工生命财产的安全，保证公司正常生产经营秩序，按照《生产经营单位安全生产事故应急预案编制导则》的规定，结合本公司的实际情况，特编制《四川能投化学新材料有限公司生产安全事故应急资源调查报告》</w:t>
      </w:r>
    </w:p>
    <w:p>
      <w:pPr>
        <w:pStyle w:val="3"/>
        <w:rPr>
          <w:rFonts w:ascii="Times New Roman" w:hAnsi="Times New Roman" w:eastAsia="仿宋_GB2312" w:cs="Times New Roman"/>
          <w:color w:val="auto"/>
        </w:rPr>
      </w:pPr>
      <w:bookmarkStart w:id="6" w:name="_Toc52291737"/>
      <w:bookmarkStart w:id="7" w:name="_Toc17066"/>
      <w:bookmarkStart w:id="8" w:name="_Toc29739"/>
      <w:bookmarkStart w:id="9" w:name="_Toc27418"/>
      <w:r>
        <w:rPr>
          <w:rFonts w:ascii="Times New Roman" w:hAnsi="Times New Roman" w:eastAsia="仿宋_GB2312" w:cs="Times New Roman"/>
          <w:color w:val="auto"/>
        </w:rPr>
        <w:t>1.2调查对象及范围</w:t>
      </w:r>
      <w:bookmarkEnd w:id="6"/>
      <w:bookmarkEnd w:id="7"/>
      <w:bookmarkEnd w:id="8"/>
      <w:bookmarkEnd w:id="9"/>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本次调查仅针对本公司范围内可能发生危险化学品泄漏、中毒、火灾、爆炸、机械伤害、环境污染等事故的场所应急资源以及周边可利用的资源进行调查评估。</w:t>
      </w:r>
    </w:p>
    <w:p>
      <w:pPr>
        <w:pStyle w:val="3"/>
        <w:rPr>
          <w:rFonts w:ascii="Times New Roman" w:hAnsi="Times New Roman" w:eastAsia="仿宋_GB2312" w:cs="Times New Roman"/>
          <w:color w:val="auto"/>
        </w:rPr>
      </w:pPr>
      <w:bookmarkStart w:id="10" w:name="_Toc52291738"/>
      <w:r>
        <w:rPr>
          <w:rFonts w:ascii="Times New Roman" w:hAnsi="Times New Roman" w:eastAsia="仿宋_GB2312" w:cs="Times New Roman"/>
          <w:color w:val="auto"/>
        </w:rPr>
        <w:t>1.3报告编制依据</w:t>
      </w:r>
      <w:bookmarkEnd w:id="10"/>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《中华人民共和国安全生产法》</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《中华人民共和国突发事件应对法》</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《中华人民共和国消防法》</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《中华人民共和国特种设备安全法》</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《中华人民共和国职业病防治法》</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《生产安全事故报告和调查处理条例》</w:t>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《危险化学品安全管理条例》</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《特种设备安全监察条例》</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《关于进一步加强企业安全生产工作的通知》</w:t>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《国家安全生产事故灾难应急预案》</w:t>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《生产安全事故应急预案管理办法》</w:t>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《危险化学品目录》</w:t>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《生产经营单位安全生产事故应急预案编制导则》</w:t>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《生产安全事故应急演练指南》</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《工作场所职业病危害警示标识》</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《危险化学品重大危险源辨识》</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《生产过程安全卫生要求总则》</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《建筑物防雷设计规范》</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防止</w:t>
      </w:r>
      <w:r>
        <w:rPr>
          <w:rFonts w:ascii="Times New Roman" w:hAnsi="Times New Roman" w:eastAsia="仿宋_GB2312" w:cs="Times New Roman"/>
          <w:color w:val="auto"/>
          <w:sz w:val="28"/>
          <w:szCs w:val="28"/>
        </w:rPr>
        <w:t>静电事故通用导则》</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《建筑设计防火规范》</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《建筑灭火器配置设计规范》</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《工作场所有害因素职业接触限值第1部分化学有害因素》</w:t>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《压力管道安全技术监督规程-工业管道》</w:t>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《危险化学品重大危险源辨识》</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《固定式压力容器安全技术监察规程》</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tab/>
      </w:r>
    </w:p>
    <w:p>
      <w:pPr>
        <w:pStyle w:val="3"/>
        <w:rPr>
          <w:rFonts w:ascii="Times New Roman" w:hAnsi="Times New Roman" w:eastAsia="仿宋_GB2312" w:cs="Times New Roman"/>
          <w:color w:val="auto"/>
        </w:rPr>
      </w:pPr>
      <w:bookmarkStart w:id="11" w:name="_Toc5165"/>
      <w:bookmarkStart w:id="12" w:name="_Toc22418"/>
      <w:bookmarkStart w:id="13" w:name="_Toc52291739"/>
      <w:bookmarkStart w:id="14" w:name="_Toc23744"/>
      <w:r>
        <w:rPr>
          <w:rFonts w:ascii="Times New Roman" w:hAnsi="Times New Roman" w:eastAsia="仿宋_GB2312" w:cs="Times New Roman"/>
          <w:color w:val="auto"/>
        </w:rPr>
        <w:t>1.4调查工作程序</w:t>
      </w:r>
      <w:bookmarkEnd w:id="11"/>
      <w:bookmarkEnd w:id="12"/>
      <w:bookmarkEnd w:id="13"/>
      <w:bookmarkEnd w:id="14"/>
    </w:p>
    <w:p>
      <w:pPr>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成立以公司分管安全生产的副总为组长，及部门负责人为组员的安全事故应急资源调查小组，根据编写的应急预案和事故风险评估的相关内容以及实际的需求，对公司实际和周边可用资源的情况进行调查和编写《四川能投化学新材料有限公司安全生产事故应急资源调查报告》。</w:t>
      </w:r>
    </w:p>
    <w:p>
      <w:pPr>
        <w:pStyle w:val="2"/>
        <w:rPr>
          <w:rFonts w:ascii="Times New Roman" w:hAnsi="Times New Roman" w:eastAsia="仿宋_GB2312" w:cs="Times New Roman"/>
          <w:color w:val="auto"/>
        </w:rPr>
      </w:pPr>
      <w:bookmarkStart w:id="15" w:name="_Toc25711"/>
      <w:bookmarkStart w:id="16" w:name="_Toc16372"/>
      <w:bookmarkStart w:id="17" w:name="_Toc10176"/>
      <w:bookmarkStart w:id="18" w:name="_Toc52291740"/>
      <w:r>
        <w:rPr>
          <w:rFonts w:ascii="Times New Roman" w:hAnsi="Times New Roman" w:eastAsia="仿宋_GB2312" w:cs="Times New Roman"/>
          <w:color w:val="auto"/>
        </w:rPr>
        <w:t>2</w:t>
      </w:r>
      <w:bookmarkEnd w:id="15"/>
      <w:bookmarkEnd w:id="16"/>
      <w:bookmarkEnd w:id="17"/>
      <w:r>
        <w:rPr>
          <w:rFonts w:ascii="Times New Roman" w:hAnsi="Times New Roman" w:eastAsia="仿宋_GB2312" w:cs="Times New Roman"/>
          <w:color w:val="auto"/>
        </w:rPr>
        <w:t>重大危险源辨识、分级的符合性分析</w:t>
      </w:r>
      <w:bookmarkEnd w:id="18"/>
    </w:p>
    <w:p>
      <w:pPr>
        <w:pStyle w:val="3"/>
        <w:rPr>
          <w:rFonts w:ascii="Times New Roman" w:hAnsi="Times New Roman" w:eastAsia="仿宋_GB2312" w:cs="Times New Roman"/>
          <w:color w:val="auto"/>
        </w:rPr>
      </w:pPr>
      <w:bookmarkStart w:id="19" w:name="_Toc52291741"/>
      <w:r>
        <w:rPr>
          <w:rFonts w:ascii="Times New Roman" w:hAnsi="Times New Roman" w:eastAsia="仿宋_GB2312" w:cs="Times New Roman"/>
          <w:color w:val="auto"/>
        </w:rPr>
        <w:t>2.1公司基本情况</w:t>
      </w:r>
      <w:bookmarkEnd w:id="19"/>
    </w:p>
    <w:p>
      <w:pPr>
        <w:ind w:firstLine="560" w:firstLineChars="200"/>
        <w:rPr>
          <w:rFonts w:ascii="Times New Roman" w:hAnsi="Times New Roman" w:eastAsia="仿宋_GB2312" w:cs="Times New Roman"/>
          <w:color w:val="auto"/>
          <w:sz w:val="28"/>
          <w:szCs w:val="36"/>
        </w:rPr>
      </w:pPr>
      <w:r>
        <w:rPr>
          <w:rFonts w:ascii="Times New Roman" w:hAnsi="Times New Roman" w:eastAsia="仿宋_GB2312" w:cs="Times New Roman"/>
          <w:color w:val="auto"/>
          <w:sz w:val="28"/>
          <w:szCs w:val="36"/>
        </w:rPr>
        <w:t>四川能投化学新材料有限公司成立于2018年9月27日，通过《南充年产100万吨PTA项目合作协议》（简称“五方协议“）租赁四川晟达化学新材料有限责任公司100万吨/年PTA项目生产经营，该装置位于南充市化工园区内，南充市区南端，城市下风向及嘉陵江下游，南充市嘉陵区河西片区。</w:t>
      </w:r>
      <w:bookmarkStart w:id="20" w:name="_Hlk32436183"/>
      <w:r>
        <w:rPr>
          <w:rFonts w:ascii="Times New Roman" w:hAnsi="Times New Roman" w:eastAsia="仿宋_GB2312" w:cs="Times New Roman"/>
          <w:color w:val="auto"/>
          <w:sz w:val="28"/>
          <w:szCs w:val="36"/>
        </w:rPr>
        <w:t>用地北、东、南三面环嘉陵江，西以212国道为界</w:t>
      </w:r>
      <w:bookmarkEnd w:id="20"/>
      <w:r>
        <w:rPr>
          <w:rFonts w:ascii="Times New Roman" w:hAnsi="Times New Roman" w:eastAsia="仿宋_GB2312" w:cs="Times New Roman"/>
          <w:color w:val="auto"/>
          <w:sz w:val="28"/>
          <w:szCs w:val="36"/>
        </w:rPr>
        <w:t>，占地52464m</w:t>
      </w:r>
      <w:r>
        <w:rPr>
          <w:rFonts w:ascii="Times New Roman" w:hAnsi="Times New Roman" w:eastAsia="仿宋_GB2312" w:cs="Times New Roman"/>
          <w:color w:val="auto"/>
          <w:sz w:val="28"/>
          <w:szCs w:val="36"/>
          <w:vertAlign w:val="superscript"/>
        </w:rPr>
        <w:t>2</w:t>
      </w:r>
      <w:r>
        <w:rPr>
          <w:rFonts w:ascii="Times New Roman" w:hAnsi="Times New Roman" w:eastAsia="仿宋_GB2312" w:cs="Times New Roman"/>
          <w:color w:val="auto"/>
          <w:sz w:val="28"/>
          <w:szCs w:val="36"/>
        </w:rPr>
        <w:t>。PTA工艺生产装置位于厂区中部。原料罐区、位于整个厂区的最西面。液碱罐区、甲醇罐区、中间罐区位于PTA装置区。本项目所在园区中的位置，及生产装置和储存装置具体位置图如下图所示：</w:t>
      </w:r>
    </w:p>
    <w:p>
      <w:pPr>
        <w:rPr>
          <w:rFonts w:ascii="Times New Roman" w:hAnsi="Times New Roman" w:eastAsia="仿宋_GB2312" w:cs="Times New Roman"/>
          <w:color w:val="auto"/>
          <w:sz w:val="28"/>
          <w:szCs w:val="36"/>
        </w:rPr>
      </w:pPr>
      <w:r>
        <w:rPr>
          <w:rFonts w:ascii="Times New Roman" w:hAnsi="Times New Roman" w:eastAsia="仿宋_GB2312" w:cs="Times New Roman"/>
          <w:color w:val="auto"/>
          <w:sz w:val="28"/>
          <w:szCs w:val="36"/>
        </w:rPr>
        <w:drawing>
          <wp:anchor distT="0" distB="0" distL="114300" distR="114300" simplePos="0" relativeHeight="251660288" behindDoc="0" locked="0" layoutInCell="1" allowOverlap="1">
            <wp:simplePos x="0" y="0"/>
            <wp:positionH relativeFrom="column">
              <wp:posOffset>1972310</wp:posOffset>
            </wp:positionH>
            <wp:positionV relativeFrom="paragraph">
              <wp:posOffset>977900</wp:posOffset>
            </wp:positionV>
            <wp:extent cx="1917700" cy="177546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28172" cy="1785103"/>
                    </a:xfrm>
                    <a:prstGeom prst="rect">
                      <a:avLst/>
                    </a:prstGeom>
                    <a:noFill/>
                  </pic:spPr>
                </pic:pic>
              </a:graphicData>
            </a:graphic>
          </wp:anchor>
        </w:drawing>
      </w:r>
      <w:r>
        <w:rPr>
          <w:rFonts w:ascii="Times New Roman" w:hAnsi="Times New Roman" w:eastAsia="仿宋_GB2312" w:cs="Times New Roman"/>
          <w:color w:val="auto"/>
        </w:rPr>
        <w:drawing>
          <wp:inline distT="0" distB="0" distL="0" distR="0">
            <wp:extent cx="6198235" cy="4229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srcRect/>
                    <a:stretch>
                      <a:fillRect/>
                    </a:stretch>
                  </pic:blipFill>
                  <pic:spPr>
                    <a:xfrm>
                      <a:off x="0" y="0"/>
                      <a:ext cx="6217229" cy="4242344"/>
                    </a:xfrm>
                    <a:prstGeom prst="rect">
                      <a:avLst/>
                    </a:prstGeom>
                    <a:noFill/>
                    <a:ln w="9525">
                      <a:noFill/>
                      <a:miter lim="800000"/>
                      <a:headEnd/>
                      <a:tailEnd/>
                    </a:ln>
                  </pic:spPr>
                </pic:pic>
              </a:graphicData>
            </a:graphic>
          </wp:inline>
        </w:drawing>
      </w:r>
    </w:p>
    <w:p>
      <w:pPr>
        <w:ind w:firstLine="560" w:firstLineChars="200"/>
        <w:rPr>
          <w:rFonts w:ascii="Times New Roman" w:hAnsi="Times New Roman" w:eastAsia="仿宋_GB2312" w:cs="Times New Roman"/>
          <w:color w:val="auto"/>
          <w:sz w:val="28"/>
          <w:szCs w:val="36"/>
        </w:rPr>
      </w:pPr>
      <w:bookmarkStart w:id="21" w:name="_Hlk32478969"/>
      <w:r>
        <w:rPr>
          <w:rFonts w:ascii="Times New Roman" w:hAnsi="Times New Roman" w:eastAsia="仿宋_GB2312" w:cs="Times New Roman"/>
          <w:color w:val="auto"/>
          <w:sz w:val="28"/>
          <w:szCs w:val="36"/>
        </w:rPr>
        <w:t>本项目厂区周围均为南充化学园区拟建和待建企业，用地北、东、南三面环嘉陵江，项目西侧212国道距离本项目精对苯二甲酸储罐约为600m，距醋酸储罐约为620m，项目南侧嘉陵江距本项目加氢精制装置约为1100m。</w:t>
      </w:r>
      <w:bookmarkEnd w:id="21"/>
    </w:p>
    <w:p>
      <w:pPr>
        <w:ind w:firstLine="560" w:firstLineChars="200"/>
        <w:rPr>
          <w:rFonts w:ascii="Times New Roman" w:hAnsi="Times New Roman" w:eastAsia="仿宋_GB2312" w:cs="Times New Roman"/>
          <w:color w:val="auto"/>
          <w:sz w:val="28"/>
          <w:szCs w:val="36"/>
        </w:rPr>
      </w:pPr>
      <w:r>
        <w:rPr>
          <w:rFonts w:ascii="Times New Roman" w:hAnsi="Times New Roman" w:eastAsia="仿宋_GB2312" w:cs="Times New Roman"/>
          <w:color w:val="auto"/>
          <w:sz w:val="28"/>
          <w:szCs w:val="36"/>
        </w:rPr>
        <w:t>根据对关键装置、要害部位以及重大危险源辨识情况，确定本公司的危险源主要有10种，具体见下表：</w:t>
      </w:r>
    </w:p>
    <w:p>
      <w:pPr>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36"/>
        </w:rPr>
        <w:t>表2.1-1危险源列表</w:t>
      </w:r>
    </w:p>
    <w:tbl>
      <w:tblPr>
        <w:tblStyle w:val="2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281"/>
        <w:gridCol w:w="4253"/>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序号</w:t>
            </w:r>
          </w:p>
        </w:tc>
        <w:tc>
          <w:tcPr>
            <w:tcW w:w="228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危险源</w:t>
            </w:r>
          </w:p>
        </w:tc>
        <w:tc>
          <w:tcPr>
            <w:tcW w:w="4253"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基本情况</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可能会发生的事故类型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1</w:t>
            </w:r>
          </w:p>
        </w:tc>
        <w:tc>
          <w:tcPr>
            <w:tcW w:w="2281" w:type="dxa"/>
            <w:vAlign w:val="center"/>
          </w:tcPr>
          <w:p>
            <w:pPr>
              <w:jc w:val="left"/>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PTA主装置（含氧化单元和加氢精制单元）</w:t>
            </w:r>
          </w:p>
        </w:tc>
        <w:tc>
          <w:tcPr>
            <w:tcW w:w="4253" w:type="dxa"/>
            <w:vAlign w:val="center"/>
          </w:tcPr>
          <w:p>
            <w:pP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D301氧化反应器1013m³、D1301溶解加氢精制反应器213m³，日常储存量对二甲苯91.952吨、醋酸4.0吨、醋酸正丙酯0.05吨、氢气0.0154吨。</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原料液体或气体泄漏引起的人员中毒或者火灾、爆炸等事故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2</w:t>
            </w:r>
          </w:p>
        </w:tc>
        <w:tc>
          <w:tcPr>
            <w:tcW w:w="228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原料罐区</w:t>
            </w:r>
          </w:p>
        </w:tc>
        <w:tc>
          <w:tcPr>
            <w:tcW w:w="4253" w:type="dxa"/>
            <w:vAlign w:val="center"/>
          </w:tcPr>
          <w:p>
            <w:pP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2台20000m³内浮顶对二甲苯储罐、2台2000m³内浮顶醋酸储罐，日常存储量对二甲苯34440吨、醋酸4200吨。</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溶液泄漏引起的人员中毒或者火灾、爆炸等事故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3</w:t>
            </w:r>
          </w:p>
        </w:tc>
        <w:tc>
          <w:tcPr>
            <w:tcW w:w="228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中间罐区</w:t>
            </w:r>
          </w:p>
        </w:tc>
        <w:tc>
          <w:tcPr>
            <w:tcW w:w="4253" w:type="dxa"/>
            <w:vAlign w:val="center"/>
          </w:tcPr>
          <w:p>
            <w:pP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2台1500m³内浮顶对二甲苯缓冲罐、2台250m³固定顶醋酸罐、1台1500m³固定顶醋酸母液罐、1台180m³内浮顶醋酸正丙酯罐，日常存储量对二甲苯2583吨、醋酸2100吨、醋酸正丙酯158.4吨。</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溶液泄漏引起的人员中毒或者火灾、爆炸等事故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0"/>
                <w:szCs w:val="21"/>
              </w:rPr>
            </w:pPr>
            <w:r>
              <w:rPr>
                <w:rFonts w:ascii="Times New Roman" w:hAnsi="Times New Roman" w:eastAsia="仿宋_GB2312" w:cs="Times New Roman"/>
                <w:color w:val="auto"/>
                <w:kern w:val="0"/>
                <w:sz w:val="20"/>
                <w:szCs w:val="21"/>
              </w:rPr>
              <w:t>4</w:t>
            </w:r>
          </w:p>
        </w:tc>
        <w:tc>
          <w:tcPr>
            <w:tcW w:w="2281" w:type="dxa"/>
            <w:vAlign w:val="center"/>
          </w:tcPr>
          <w:p>
            <w:pPr>
              <w:jc w:val="center"/>
              <w:rPr>
                <w:rFonts w:ascii="Times New Roman" w:hAnsi="Times New Roman" w:eastAsia="仿宋_GB2312" w:cs="Times New Roman"/>
                <w:color w:val="auto"/>
                <w:kern w:val="0"/>
                <w:sz w:val="20"/>
                <w:szCs w:val="21"/>
              </w:rPr>
            </w:pPr>
            <w:r>
              <w:rPr>
                <w:rFonts w:ascii="Times New Roman" w:hAnsi="Times New Roman" w:eastAsia="仿宋_GB2312" w:cs="Times New Roman"/>
                <w:color w:val="auto"/>
                <w:kern w:val="0"/>
                <w:sz w:val="20"/>
                <w:szCs w:val="21"/>
              </w:rPr>
              <w:t>危险化学品卸车区</w:t>
            </w:r>
          </w:p>
        </w:tc>
        <w:tc>
          <w:tcPr>
            <w:tcW w:w="4253" w:type="dxa"/>
            <w:vAlign w:val="center"/>
          </w:tcPr>
          <w:p>
            <w:pPr>
              <w:rPr>
                <w:rFonts w:ascii="Times New Roman" w:hAnsi="Times New Roman" w:eastAsia="仿宋_GB2312" w:cs="Times New Roman"/>
                <w:color w:val="auto"/>
                <w:kern w:val="0"/>
                <w:sz w:val="20"/>
                <w:szCs w:val="21"/>
              </w:rPr>
            </w:pPr>
            <w:r>
              <w:rPr>
                <w:rFonts w:ascii="Times New Roman" w:hAnsi="Times New Roman" w:eastAsia="仿宋_GB2312" w:cs="Times New Roman"/>
                <w:color w:val="auto"/>
                <w:kern w:val="0"/>
                <w:sz w:val="20"/>
                <w:szCs w:val="21"/>
              </w:rPr>
              <w:t>危险化学品卸车作业</w:t>
            </w:r>
          </w:p>
        </w:tc>
        <w:tc>
          <w:tcPr>
            <w:tcW w:w="2551" w:type="dxa"/>
            <w:vAlign w:val="center"/>
          </w:tcPr>
          <w:p>
            <w:pPr>
              <w:jc w:val="center"/>
              <w:rPr>
                <w:rFonts w:ascii="Times New Roman" w:hAnsi="Times New Roman" w:eastAsia="仿宋_GB2312" w:cs="Times New Roman"/>
                <w:color w:val="auto"/>
                <w:kern w:val="0"/>
                <w:sz w:val="20"/>
                <w:szCs w:val="21"/>
              </w:rPr>
            </w:pPr>
            <w:r>
              <w:rPr>
                <w:rFonts w:ascii="Times New Roman" w:hAnsi="Times New Roman" w:eastAsia="仿宋_GB2312" w:cs="Times New Roman"/>
                <w:color w:val="auto"/>
                <w:kern w:val="0"/>
                <w:sz w:val="20"/>
                <w:szCs w:val="21"/>
              </w:rPr>
              <w:t>操作不当或车辆、设备故障等可引起人员中毒或者火灾、爆炸等事故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0"/>
                <w:szCs w:val="21"/>
              </w:rPr>
            </w:pPr>
            <w:r>
              <w:rPr>
                <w:rFonts w:ascii="Times New Roman" w:hAnsi="Times New Roman" w:eastAsia="仿宋_GB2312" w:cs="Times New Roman"/>
                <w:color w:val="auto"/>
                <w:kern w:val="0"/>
                <w:sz w:val="20"/>
                <w:szCs w:val="21"/>
              </w:rPr>
              <w:t>5</w:t>
            </w:r>
          </w:p>
        </w:tc>
        <w:tc>
          <w:tcPr>
            <w:tcW w:w="2281" w:type="dxa"/>
            <w:vAlign w:val="center"/>
          </w:tcPr>
          <w:p>
            <w:pPr>
              <w:jc w:val="center"/>
              <w:rPr>
                <w:rFonts w:ascii="Times New Roman" w:hAnsi="Times New Roman" w:eastAsia="仿宋_GB2312" w:cs="Times New Roman"/>
                <w:color w:val="auto"/>
                <w:kern w:val="0"/>
                <w:sz w:val="20"/>
                <w:szCs w:val="21"/>
              </w:rPr>
            </w:pPr>
            <w:r>
              <w:rPr>
                <w:rFonts w:ascii="Times New Roman" w:hAnsi="Times New Roman" w:eastAsia="仿宋_GB2312" w:cs="Times New Roman"/>
                <w:color w:val="auto"/>
                <w:kern w:val="0"/>
                <w:sz w:val="20"/>
                <w:szCs w:val="21"/>
              </w:rPr>
              <w:t>甲醇制氢及氢回收装置区</w:t>
            </w:r>
          </w:p>
        </w:tc>
        <w:tc>
          <w:tcPr>
            <w:tcW w:w="4253" w:type="dxa"/>
            <w:vAlign w:val="center"/>
          </w:tcPr>
          <w:p>
            <w:pPr>
              <w:rPr>
                <w:rFonts w:ascii="Times New Roman" w:hAnsi="Times New Roman" w:eastAsia="仿宋_GB2312" w:cs="Times New Roman"/>
                <w:color w:val="auto"/>
                <w:kern w:val="0"/>
                <w:sz w:val="20"/>
                <w:szCs w:val="21"/>
              </w:rPr>
            </w:pPr>
            <w:r>
              <w:rPr>
                <w:rFonts w:ascii="Times New Roman" w:hAnsi="Times New Roman" w:eastAsia="仿宋_GB2312" w:cs="Times New Roman"/>
                <w:color w:val="auto"/>
                <w:kern w:val="0"/>
                <w:sz w:val="20"/>
                <w:szCs w:val="21"/>
              </w:rPr>
              <w:t>甲醇制氢规模600 Nm</w:t>
            </w:r>
            <w:r>
              <w:rPr>
                <w:rFonts w:ascii="Times New Roman" w:hAnsi="Times New Roman" w:eastAsia="仿宋_GB2312" w:cs="Times New Roman"/>
                <w:color w:val="auto"/>
                <w:kern w:val="0"/>
                <w:sz w:val="20"/>
                <w:szCs w:val="21"/>
                <w:vertAlign w:val="superscript"/>
              </w:rPr>
              <w:t>3</w:t>
            </w:r>
            <w:r>
              <w:rPr>
                <w:rFonts w:ascii="Times New Roman" w:hAnsi="Times New Roman" w:eastAsia="仿宋_GB2312" w:cs="Times New Roman"/>
                <w:color w:val="auto"/>
                <w:kern w:val="0"/>
                <w:sz w:val="20"/>
                <w:szCs w:val="21"/>
              </w:rPr>
              <w:t>，氢回收规模260Nm</w:t>
            </w:r>
            <w:r>
              <w:rPr>
                <w:rFonts w:ascii="Times New Roman" w:hAnsi="Times New Roman" w:eastAsia="仿宋_GB2312" w:cs="Times New Roman"/>
                <w:color w:val="auto"/>
                <w:kern w:val="0"/>
                <w:sz w:val="20"/>
                <w:szCs w:val="21"/>
                <w:vertAlign w:val="superscript"/>
              </w:rPr>
              <w:t>3</w:t>
            </w:r>
            <w:r>
              <w:rPr>
                <w:rFonts w:ascii="Times New Roman" w:hAnsi="Times New Roman" w:eastAsia="仿宋_GB2312" w:cs="Times New Roman"/>
                <w:color w:val="auto"/>
                <w:kern w:val="0"/>
                <w:sz w:val="20"/>
                <w:szCs w:val="21"/>
              </w:rPr>
              <w:t>。</w:t>
            </w:r>
          </w:p>
        </w:tc>
        <w:tc>
          <w:tcPr>
            <w:tcW w:w="2551" w:type="dxa"/>
            <w:vAlign w:val="center"/>
          </w:tcPr>
          <w:p>
            <w:pPr>
              <w:jc w:val="center"/>
              <w:rPr>
                <w:rFonts w:ascii="Times New Roman" w:hAnsi="Times New Roman" w:eastAsia="仿宋_GB2312" w:cs="Times New Roman"/>
                <w:color w:val="auto"/>
                <w:kern w:val="0"/>
                <w:sz w:val="20"/>
                <w:szCs w:val="21"/>
              </w:rPr>
            </w:pPr>
            <w:r>
              <w:rPr>
                <w:rFonts w:ascii="Times New Roman" w:hAnsi="Times New Roman" w:eastAsia="仿宋_GB2312" w:cs="Times New Roman"/>
                <w:color w:val="auto"/>
                <w:kern w:val="0"/>
                <w:sz w:val="20"/>
                <w:szCs w:val="21"/>
              </w:rPr>
              <w:t>甲醇蒸汽、氢气与空气混合后形成爆炸性气体，遇明火或高温能引起燃爆事故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0"/>
                <w:szCs w:val="21"/>
              </w:rPr>
            </w:pPr>
            <w:r>
              <w:rPr>
                <w:rFonts w:ascii="Times New Roman" w:hAnsi="Times New Roman" w:eastAsia="仿宋_GB2312" w:cs="Times New Roman"/>
                <w:color w:val="auto"/>
                <w:kern w:val="0"/>
                <w:sz w:val="20"/>
                <w:szCs w:val="21"/>
              </w:rPr>
              <w:t>6</w:t>
            </w:r>
          </w:p>
        </w:tc>
        <w:tc>
          <w:tcPr>
            <w:tcW w:w="228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酸、碱</w:t>
            </w:r>
          </w:p>
        </w:tc>
        <w:tc>
          <w:tcPr>
            <w:tcW w:w="4253" w:type="dxa"/>
            <w:vAlign w:val="center"/>
          </w:tcPr>
          <w:p>
            <w:pP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公用车间、化验车间、辅助工段都涉及到腐蚀性化学品的作业</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化学灼伤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7</w:t>
            </w:r>
          </w:p>
        </w:tc>
        <w:tc>
          <w:tcPr>
            <w:tcW w:w="228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变配电设备以及电器设备、线路</w:t>
            </w:r>
          </w:p>
        </w:tc>
        <w:tc>
          <w:tcPr>
            <w:tcW w:w="4253" w:type="dxa"/>
            <w:vAlign w:val="center"/>
          </w:tcPr>
          <w:p>
            <w:pP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车间内设有配电室以及设备的电控柜和大量带电设备</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火灾事故和触电事故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8</w:t>
            </w:r>
          </w:p>
        </w:tc>
        <w:tc>
          <w:tcPr>
            <w:tcW w:w="228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蒸汽管路、高温设备</w:t>
            </w:r>
          </w:p>
        </w:tc>
        <w:tc>
          <w:tcPr>
            <w:tcW w:w="4253" w:type="dxa"/>
            <w:vAlign w:val="center"/>
          </w:tcPr>
          <w:p>
            <w:pP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车间内有大量蒸汽管路和高温设备</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高温灼烫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9</w:t>
            </w:r>
          </w:p>
        </w:tc>
        <w:tc>
          <w:tcPr>
            <w:tcW w:w="228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叉车</w:t>
            </w:r>
          </w:p>
        </w:tc>
        <w:tc>
          <w:tcPr>
            <w:tcW w:w="4253" w:type="dxa"/>
            <w:vAlign w:val="center"/>
          </w:tcPr>
          <w:p>
            <w:pP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仓储库区及危废转运叉车作业</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叉车事故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10</w:t>
            </w:r>
          </w:p>
        </w:tc>
        <w:tc>
          <w:tcPr>
            <w:tcW w:w="228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有限空间</w:t>
            </w:r>
          </w:p>
        </w:tc>
        <w:tc>
          <w:tcPr>
            <w:tcW w:w="4253" w:type="dxa"/>
            <w:vAlign w:val="center"/>
          </w:tcPr>
          <w:p>
            <w:pP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公司内炉、塔、釜、罐、仓、槽车、管道、烟道、隧道、下水道、沟、坑、井、池、涵洞等封闭、半封闭的空间或场所</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引发人员窒息或中毒事故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11</w:t>
            </w:r>
          </w:p>
        </w:tc>
        <w:tc>
          <w:tcPr>
            <w:tcW w:w="228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高空作业</w:t>
            </w:r>
          </w:p>
        </w:tc>
        <w:tc>
          <w:tcPr>
            <w:tcW w:w="4253" w:type="dxa"/>
            <w:vAlign w:val="center"/>
          </w:tcPr>
          <w:p>
            <w:pP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公司内有很多高处作业平台或者从事登高作业</w:t>
            </w:r>
          </w:p>
        </w:tc>
        <w:tc>
          <w:tcPr>
            <w:tcW w:w="2551" w:type="dxa"/>
            <w:vAlign w:val="center"/>
          </w:tcPr>
          <w:p>
            <w:pPr>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高空坠落</w:t>
            </w:r>
          </w:p>
        </w:tc>
      </w:tr>
    </w:tbl>
    <w:p>
      <w:pPr>
        <w:pStyle w:val="3"/>
        <w:rPr>
          <w:rFonts w:ascii="Times New Roman" w:hAnsi="Times New Roman" w:eastAsia="仿宋_GB2312" w:cs="Times New Roman"/>
          <w:color w:val="auto"/>
        </w:rPr>
      </w:pPr>
      <w:bookmarkStart w:id="22" w:name="_Toc52291742"/>
      <w:bookmarkStart w:id="23" w:name="_Toc23056"/>
      <w:bookmarkStart w:id="24" w:name="_Toc21517"/>
      <w:bookmarkStart w:id="25" w:name="_Toc24042"/>
      <w:r>
        <w:rPr>
          <w:rFonts w:ascii="Times New Roman" w:hAnsi="Times New Roman" w:eastAsia="仿宋_GB2312" w:cs="Times New Roman"/>
          <w:color w:val="auto"/>
        </w:rPr>
        <w:t>2.2重大危险源辨识、分级过程</w:t>
      </w:r>
      <w:bookmarkEnd w:id="22"/>
    </w:p>
    <w:p>
      <w:pPr>
        <w:pStyle w:val="4"/>
        <w:rPr>
          <w:rFonts w:ascii="Times New Roman" w:hAnsi="Times New Roman" w:eastAsia="仿宋_GB2312" w:cs="Times New Roman"/>
          <w:color w:val="auto"/>
        </w:rPr>
      </w:pPr>
      <w:bookmarkStart w:id="26" w:name="_Toc52291743"/>
      <w:r>
        <w:rPr>
          <w:rFonts w:ascii="Times New Roman" w:hAnsi="Times New Roman" w:eastAsia="仿宋_GB2312" w:cs="Times New Roman"/>
          <w:color w:val="auto"/>
        </w:rPr>
        <w:t>2</w:t>
      </w:r>
      <w:bookmarkStart w:id="27" w:name="_Toc111"/>
      <w:r>
        <w:rPr>
          <w:rFonts w:ascii="Times New Roman" w:hAnsi="Times New Roman" w:eastAsia="仿宋_GB2312" w:cs="Times New Roman"/>
          <w:color w:val="auto"/>
        </w:rPr>
        <w:t>.2.1 危险化学品重大危险源辨识</w:t>
      </w:r>
      <w:bookmarkEnd w:id="26"/>
      <w:bookmarkEnd w:id="27"/>
    </w:p>
    <w:p>
      <w:pPr>
        <w:pStyle w:val="5"/>
        <w:rPr>
          <w:rFonts w:ascii="Times New Roman" w:hAnsi="Times New Roman" w:eastAsia="仿宋_GB2312" w:cs="Times New Roman"/>
          <w:color w:val="auto"/>
        </w:rPr>
      </w:pPr>
      <w:r>
        <w:rPr>
          <w:rFonts w:ascii="Times New Roman" w:hAnsi="Times New Roman" w:eastAsia="仿宋_GB2312" w:cs="Times New Roman"/>
          <w:color w:val="auto"/>
        </w:rPr>
        <w:t>2.2.1.1单元划分</w:t>
      </w:r>
    </w:p>
    <w:p>
      <w:pPr>
        <w:adjustRightInd w:val="0"/>
        <w:snapToGrid w:val="0"/>
        <w:spacing w:line="360" w:lineRule="auto"/>
        <w:ind w:firstLine="570"/>
        <w:rPr>
          <w:rFonts w:ascii="Times New Roman" w:hAnsi="Times New Roman" w:eastAsia="仿宋_GB2312" w:cs="Times New Roman"/>
          <w:color w:val="auto"/>
          <w:kern w:val="0"/>
          <w:sz w:val="28"/>
          <w:szCs w:val="28"/>
        </w:rPr>
      </w:pPr>
      <w:r>
        <w:rPr>
          <w:rFonts w:ascii="Times New Roman" w:hAnsi="Times New Roman" w:eastAsia="仿宋_GB2312" w:cs="Times New Roman"/>
          <w:color w:val="auto"/>
          <w:kern w:val="0"/>
          <w:sz w:val="28"/>
          <w:szCs w:val="28"/>
        </w:rPr>
        <w:t>根据《危险化学品重大危险源辨识》GB18218-2018进行危险化学品重大危险源辨识，四川能投化学新材料有限公司100万吨/年精对苯二甲酸项目涉及危险化学品生产装置和储存装置单元划分如下：</w:t>
      </w:r>
    </w:p>
    <w:p>
      <w:pPr>
        <w:adjustRightInd w:val="0"/>
        <w:snapToGrid w:val="0"/>
        <w:spacing w:line="360" w:lineRule="auto"/>
        <w:ind w:firstLine="570"/>
        <w:rPr>
          <w:rFonts w:ascii="Times New Roman" w:hAnsi="Times New Roman" w:eastAsia="仿宋_GB2312" w:cs="Times New Roman"/>
          <w:color w:val="auto"/>
          <w:kern w:val="0"/>
          <w:sz w:val="28"/>
          <w:szCs w:val="28"/>
        </w:rPr>
      </w:pPr>
      <w:bookmarkStart w:id="28" w:name="_Hlk32479381"/>
      <w:r>
        <w:rPr>
          <w:rFonts w:ascii="Times New Roman" w:hAnsi="Times New Roman" w:eastAsia="仿宋_GB2312" w:cs="Times New Roman"/>
          <w:color w:val="auto"/>
          <w:kern w:val="0"/>
          <w:sz w:val="28"/>
          <w:szCs w:val="28"/>
        </w:rPr>
        <w:t>1、生产单元</w:t>
      </w:r>
    </w:p>
    <w:p>
      <w:pPr>
        <w:adjustRightInd w:val="0"/>
        <w:snapToGrid w:val="0"/>
        <w:spacing w:line="360" w:lineRule="auto"/>
        <w:ind w:firstLine="570"/>
        <w:rPr>
          <w:rFonts w:ascii="Times New Roman" w:hAnsi="Times New Roman" w:eastAsia="仿宋_GB2312" w:cs="Times New Roman"/>
          <w:color w:val="auto"/>
          <w:kern w:val="0"/>
          <w:sz w:val="28"/>
          <w:szCs w:val="28"/>
        </w:rPr>
      </w:pPr>
      <w:bookmarkStart w:id="29" w:name="_Hlk33608066"/>
      <w:bookmarkStart w:id="30" w:name="_Hlk33619190"/>
      <w:r>
        <w:rPr>
          <w:rFonts w:ascii="Times New Roman" w:hAnsi="Times New Roman" w:eastAsia="仿宋_GB2312" w:cs="Times New Roman"/>
          <w:color w:val="auto"/>
          <w:kern w:val="0"/>
          <w:sz w:val="28"/>
          <w:szCs w:val="28"/>
        </w:rPr>
        <w:t>PTA主装置（包括氧化装置、加氢精制装置）</w:t>
      </w:r>
      <w:bookmarkEnd w:id="29"/>
      <w:r>
        <w:rPr>
          <w:rFonts w:ascii="Times New Roman" w:hAnsi="Times New Roman" w:eastAsia="仿宋_GB2312" w:cs="Times New Roman"/>
          <w:color w:val="auto"/>
          <w:kern w:val="0"/>
          <w:sz w:val="28"/>
          <w:szCs w:val="28"/>
        </w:rPr>
        <w:t>、甲醇制氢装置。</w:t>
      </w:r>
      <w:bookmarkEnd w:id="30"/>
    </w:p>
    <w:p>
      <w:pPr>
        <w:adjustRightInd w:val="0"/>
        <w:snapToGrid w:val="0"/>
        <w:spacing w:line="360" w:lineRule="auto"/>
        <w:ind w:firstLine="570"/>
        <w:rPr>
          <w:rFonts w:ascii="Times New Roman" w:hAnsi="Times New Roman" w:eastAsia="仿宋_GB2312" w:cs="Times New Roman"/>
          <w:color w:val="auto"/>
          <w:kern w:val="0"/>
          <w:sz w:val="28"/>
          <w:szCs w:val="28"/>
        </w:rPr>
      </w:pPr>
      <w:r>
        <w:rPr>
          <w:rFonts w:ascii="Times New Roman" w:hAnsi="Times New Roman" w:eastAsia="仿宋_GB2312" w:cs="Times New Roman"/>
          <w:color w:val="auto"/>
          <w:kern w:val="0"/>
          <w:sz w:val="28"/>
          <w:szCs w:val="28"/>
        </w:rPr>
        <w:t>2、储存单元</w:t>
      </w:r>
    </w:p>
    <w:p>
      <w:pPr>
        <w:adjustRightInd w:val="0"/>
        <w:snapToGrid w:val="0"/>
        <w:spacing w:line="360" w:lineRule="auto"/>
        <w:ind w:firstLine="570"/>
        <w:rPr>
          <w:rFonts w:ascii="Times New Roman" w:hAnsi="Times New Roman" w:eastAsia="仿宋_GB2312" w:cs="Times New Roman"/>
          <w:color w:val="auto"/>
          <w:kern w:val="0"/>
          <w:sz w:val="28"/>
          <w:szCs w:val="28"/>
        </w:rPr>
      </w:pPr>
      <w:r>
        <w:rPr>
          <w:rFonts w:ascii="Times New Roman" w:hAnsi="Times New Roman" w:eastAsia="仿宋_GB2312" w:cs="Times New Roman"/>
          <w:color w:val="auto"/>
          <w:kern w:val="0"/>
          <w:sz w:val="28"/>
          <w:szCs w:val="28"/>
        </w:rPr>
        <w:t>原料罐区、中间罐区、甲醇原料装卸站。</w:t>
      </w:r>
      <w:bookmarkEnd w:id="28"/>
    </w:p>
    <w:p>
      <w:pPr>
        <w:pStyle w:val="5"/>
        <w:rPr>
          <w:rFonts w:ascii="Times New Roman" w:hAnsi="Times New Roman" w:eastAsia="仿宋_GB2312" w:cs="Times New Roman"/>
          <w:color w:val="auto"/>
        </w:rPr>
      </w:pPr>
      <w:r>
        <w:rPr>
          <w:rFonts w:ascii="Times New Roman" w:hAnsi="Times New Roman" w:eastAsia="仿宋_GB2312" w:cs="Times New Roman"/>
          <w:color w:val="auto"/>
        </w:rPr>
        <w:t>2.2.1.2重大危险源辨识</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1、危险化学品危险性类别</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按照《危险化学品重大危险源辩识》GB18218-2018的规定对其进行重大危险源辨识，本项目涉及的物料为</w:t>
      </w:r>
      <w:bookmarkStart w:id="31" w:name="_Hlk33282476"/>
      <w:r>
        <w:rPr>
          <w:rFonts w:ascii="Times New Roman" w:hAnsi="Times New Roman" w:eastAsia="仿宋_GB2312" w:cs="Times New Roman"/>
          <w:color w:val="auto"/>
          <w:sz w:val="28"/>
          <w:szCs w:val="28"/>
        </w:rPr>
        <w:t>对二甲苯、醋酸、醋酸正丙酯、氢气、甲醇</w:t>
      </w:r>
      <w:bookmarkEnd w:id="31"/>
      <w:r>
        <w:rPr>
          <w:rFonts w:ascii="Times New Roman" w:hAnsi="Times New Roman" w:eastAsia="仿宋_GB2312" w:cs="Times New Roman"/>
          <w:color w:val="auto"/>
          <w:sz w:val="28"/>
          <w:szCs w:val="28"/>
        </w:rPr>
        <w:t>，各物料危险性类别及其临界量如下。</w:t>
      </w:r>
    </w:p>
    <w:p>
      <w:pPr>
        <w:spacing w:line="360" w:lineRule="auto"/>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表2.2-1 重大危险源物质危险性类别</w:t>
      </w:r>
    </w:p>
    <w:tbl>
      <w:tblPr>
        <w:tblStyle w:val="22"/>
        <w:tblW w:w="98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824"/>
        <w:gridCol w:w="3118"/>
        <w:gridCol w:w="1276"/>
        <w:gridCol w:w="2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序号</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危险化学品名称</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危险性类别</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临界量（t）</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89" w:type="dxa"/>
            <w:gridSpan w:val="5"/>
            <w:vAlign w:val="center"/>
          </w:tcPr>
          <w:p>
            <w:pPr>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生产单元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36" w:type="dxa"/>
            <w:vAlign w:val="center"/>
          </w:tcPr>
          <w:p>
            <w:pPr>
              <w:rPr>
                <w:rFonts w:ascii="Times New Roman" w:hAnsi="Times New Roman" w:eastAsia="仿宋_GB2312" w:cs="Times New Roman"/>
                <w:color w:val="auto"/>
                <w:szCs w:val="21"/>
              </w:rPr>
            </w:pPr>
            <w:bookmarkStart w:id="32" w:name="_Hlk32479360"/>
            <w:r>
              <w:rPr>
                <w:rFonts w:ascii="Times New Roman" w:hAnsi="Times New Roman" w:eastAsia="仿宋_GB2312" w:cs="Times New Roman"/>
                <w:color w:val="auto"/>
                <w:szCs w:val="21"/>
              </w:rPr>
              <w:t>1</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对二甲苯</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易燃液体，WP5.1，类别3</w:t>
            </w:r>
          </w:p>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（工作温度高于沸点）</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GB18218-2018表2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易燃液体，WP5.1,类别3</w:t>
            </w:r>
          </w:p>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（工作温度高于沸点）</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GB18218-2018表2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3</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醋酸正丙酯</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易燃液体，WP5.1,类别2</w:t>
            </w:r>
          </w:p>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（工作温度高于沸点）</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GB18218-2018表2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4</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氢气</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易燃气体，类别1</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GB18218-2018表1，51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甲醇</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易燃液体，类别2</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GB18218-2018表1，65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89" w:type="dxa"/>
            <w:gridSpan w:val="5"/>
            <w:vAlign w:val="center"/>
          </w:tcPr>
          <w:p>
            <w:pPr>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储存单元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对二甲苯</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易燃液体，WP5.4，类别3</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5000</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GB18218-2018表2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易燃液体，WP5.4,类别3</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5000</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GB18218-2018表2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3</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醋酸正丙酯</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易燃液体，WP5.3,类别2</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1000</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GB18218-2018表2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4</w:t>
            </w:r>
          </w:p>
        </w:tc>
        <w:tc>
          <w:tcPr>
            <w:tcW w:w="1824"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甲醇</w:t>
            </w:r>
          </w:p>
        </w:tc>
        <w:tc>
          <w:tcPr>
            <w:tcW w:w="31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易燃液体，WP5.4,类别2</w:t>
            </w:r>
          </w:p>
        </w:tc>
        <w:tc>
          <w:tcPr>
            <w:tcW w:w="127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w:t>
            </w:r>
          </w:p>
        </w:tc>
        <w:tc>
          <w:tcPr>
            <w:tcW w:w="283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GB18218-2018表1</w:t>
            </w:r>
          </w:p>
        </w:tc>
      </w:tr>
      <w:bookmarkEnd w:id="32"/>
    </w:tbl>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2、生产单元危险化学品重大危险源辨识</w:t>
      </w:r>
    </w:p>
    <w:p>
      <w:pPr>
        <w:spacing w:line="360" w:lineRule="auto"/>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表2.2-2 生产单元的物质储存量与临界量</w:t>
      </w:r>
    </w:p>
    <w:tbl>
      <w:tblPr>
        <w:tblStyle w:val="22"/>
        <w:tblW w:w="98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560"/>
        <w:gridCol w:w="2268"/>
        <w:gridCol w:w="1275"/>
        <w:gridCol w:w="1560"/>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809"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单元名称</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物质名称</w:t>
            </w:r>
          </w:p>
        </w:tc>
        <w:tc>
          <w:tcPr>
            <w:tcW w:w="226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设计最大投入量（t）</w:t>
            </w:r>
          </w:p>
        </w:tc>
        <w:tc>
          <w:tcPr>
            <w:tcW w:w="127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临界量（t）</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q/Q</w:t>
            </w:r>
          </w:p>
        </w:tc>
        <w:tc>
          <w:tcPr>
            <w:tcW w:w="1417"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Σq/Q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9" w:type="dxa"/>
            <w:vMerge w:val="restart"/>
            <w:vAlign w:val="center"/>
          </w:tcPr>
          <w:p>
            <w:pPr>
              <w:rPr>
                <w:rFonts w:ascii="Times New Roman" w:hAnsi="Times New Roman" w:eastAsia="仿宋_GB2312" w:cs="Times New Roman"/>
                <w:color w:val="auto"/>
                <w:szCs w:val="21"/>
              </w:rPr>
            </w:pPr>
            <w:bookmarkStart w:id="33" w:name="_Hlk33607694"/>
            <w:r>
              <w:rPr>
                <w:rFonts w:ascii="Times New Roman" w:hAnsi="Times New Roman" w:eastAsia="仿宋_GB2312" w:cs="Times New Roman"/>
                <w:color w:val="auto"/>
                <w:szCs w:val="21"/>
              </w:rPr>
              <w:t>PTA主装置（包括氧化装置、加氢精制装置）</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醋酸正丙酯</w:t>
            </w:r>
          </w:p>
        </w:tc>
        <w:tc>
          <w:tcPr>
            <w:tcW w:w="226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0.07</w:t>
            </w:r>
          </w:p>
        </w:tc>
        <w:tc>
          <w:tcPr>
            <w:tcW w:w="127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0.007</w:t>
            </w:r>
          </w:p>
        </w:tc>
        <w:tc>
          <w:tcPr>
            <w:tcW w:w="1417" w:type="dxa"/>
            <w:vMerge w:val="restart"/>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9.67&gt;1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rPr>
                <w:rFonts w:ascii="Times New Roman" w:hAnsi="Times New Roman" w:eastAsia="仿宋_GB2312" w:cs="Times New Roman"/>
                <w:color w:val="auto"/>
                <w:szCs w:val="21"/>
              </w:rPr>
            </w:pP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氢气</w:t>
            </w:r>
          </w:p>
        </w:tc>
        <w:tc>
          <w:tcPr>
            <w:tcW w:w="226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0.0154</w:t>
            </w:r>
          </w:p>
        </w:tc>
        <w:tc>
          <w:tcPr>
            <w:tcW w:w="127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0.00308</w:t>
            </w:r>
          </w:p>
        </w:tc>
        <w:tc>
          <w:tcPr>
            <w:tcW w:w="1417" w:type="dxa"/>
            <w:vMerge w:val="continue"/>
            <w:vAlign w:val="center"/>
          </w:tcPr>
          <w:p>
            <w:pPr>
              <w:rPr>
                <w:rFonts w:ascii="Times New Roman" w:hAnsi="Times New Roman" w:eastAsia="仿宋_GB2312"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rPr>
                <w:rFonts w:ascii="Times New Roman" w:hAnsi="Times New Roman" w:eastAsia="仿宋_GB2312" w:cs="Times New Roman"/>
                <w:color w:val="auto"/>
                <w:szCs w:val="21"/>
              </w:rPr>
            </w:pP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对二甲苯</w:t>
            </w:r>
          </w:p>
        </w:tc>
        <w:tc>
          <w:tcPr>
            <w:tcW w:w="226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91.952</w:t>
            </w:r>
          </w:p>
        </w:tc>
        <w:tc>
          <w:tcPr>
            <w:tcW w:w="127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9.1952</w:t>
            </w:r>
          </w:p>
        </w:tc>
        <w:tc>
          <w:tcPr>
            <w:tcW w:w="1417" w:type="dxa"/>
            <w:vMerge w:val="continue"/>
            <w:vAlign w:val="center"/>
          </w:tcPr>
          <w:p>
            <w:pPr>
              <w:rPr>
                <w:rFonts w:ascii="Times New Roman" w:hAnsi="Times New Roman" w:eastAsia="仿宋_GB2312"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rPr>
                <w:rFonts w:ascii="Times New Roman" w:hAnsi="Times New Roman" w:eastAsia="仿宋_GB2312" w:cs="Times New Roman"/>
                <w:color w:val="auto"/>
                <w:szCs w:val="21"/>
              </w:rPr>
            </w:pP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w:t>
            </w:r>
          </w:p>
        </w:tc>
        <w:tc>
          <w:tcPr>
            <w:tcW w:w="226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4.62</w:t>
            </w:r>
          </w:p>
        </w:tc>
        <w:tc>
          <w:tcPr>
            <w:tcW w:w="127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0.462</w:t>
            </w:r>
          </w:p>
        </w:tc>
        <w:tc>
          <w:tcPr>
            <w:tcW w:w="1417" w:type="dxa"/>
            <w:vMerge w:val="continue"/>
            <w:vAlign w:val="center"/>
          </w:tcPr>
          <w:p>
            <w:pPr>
              <w:rPr>
                <w:rFonts w:ascii="Times New Roman" w:hAnsi="Times New Roman" w:eastAsia="仿宋_GB2312" w:cs="Times New Roman"/>
                <w:color w:val="auto"/>
                <w:szCs w:val="21"/>
              </w:rPr>
            </w:pPr>
          </w:p>
        </w:tc>
      </w:tr>
      <w:bookmarkEnd w:id="3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9" w:type="dxa"/>
            <w:vMerge w:val="restart"/>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甲醇制氢装置</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氢气</w:t>
            </w:r>
          </w:p>
        </w:tc>
        <w:tc>
          <w:tcPr>
            <w:tcW w:w="226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0.0154</w:t>
            </w:r>
          </w:p>
        </w:tc>
        <w:tc>
          <w:tcPr>
            <w:tcW w:w="127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0.00308</w:t>
            </w:r>
          </w:p>
        </w:tc>
        <w:tc>
          <w:tcPr>
            <w:tcW w:w="1417" w:type="dxa"/>
            <w:vMerge w:val="restart"/>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0.0031＜1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rPr>
                <w:rFonts w:ascii="Times New Roman" w:hAnsi="Times New Roman" w:eastAsia="仿宋_GB2312" w:cs="Times New Roman"/>
                <w:color w:val="auto"/>
                <w:szCs w:val="21"/>
              </w:rPr>
            </w:pP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甲醇</w:t>
            </w:r>
          </w:p>
        </w:tc>
        <w:tc>
          <w:tcPr>
            <w:tcW w:w="226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0.01513</w:t>
            </w:r>
          </w:p>
        </w:tc>
        <w:tc>
          <w:tcPr>
            <w:tcW w:w="127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w:t>
            </w:r>
          </w:p>
        </w:tc>
        <w:tc>
          <w:tcPr>
            <w:tcW w:w="1560"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0.00003026</w:t>
            </w:r>
          </w:p>
        </w:tc>
        <w:tc>
          <w:tcPr>
            <w:tcW w:w="1417" w:type="dxa"/>
            <w:vMerge w:val="continue"/>
            <w:vAlign w:val="center"/>
          </w:tcPr>
          <w:p>
            <w:pPr>
              <w:rPr>
                <w:rFonts w:ascii="Times New Roman" w:hAnsi="Times New Roman" w:eastAsia="仿宋_GB2312" w:cs="Times New Roman"/>
                <w:color w:val="auto"/>
                <w:szCs w:val="21"/>
              </w:rPr>
            </w:pPr>
          </w:p>
        </w:tc>
      </w:tr>
    </w:tbl>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3、储存单元危险化学品重大危险源辨识</w:t>
      </w:r>
    </w:p>
    <w:p>
      <w:pPr>
        <w:spacing w:line="360" w:lineRule="auto"/>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表4.3-3 储存单元的物质储存量与临界量</w:t>
      </w:r>
    </w:p>
    <w:tbl>
      <w:tblPr>
        <w:tblStyle w:val="22"/>
        <w:tblW w:w="98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825"/>
        <w:gridCol w:w="1985"/>
        <w:gridCol w:w="1417"/>
        <w:gridCol w:w="1418"/>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27"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单元名称</w:t>
            </w:r>
          </w:p>
        </w:tc>
        <w:tc>
          <w:tcPr>
            <w:tcW w:w="18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物质名称</w:t>
            </w:r>
          </w:p>
        </w:tc>
        <w:tc>
          <w:tcPr>
            <w:tcW w:w="198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设计最大量（t）</w:t>
            </w:r>
          </w:p>
        </w:tc>
        <w:tc>
          <w:tcPr>
            <w:tcW w:w="1417"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临界量（t）</w:t>
            </w:r>
          </w:p>
        </w:tc>
        <w:tc>
          <w:tcPr>
            <w:tcW w:w="14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q/Q</w:t>
            </w:r>
          </w:p>
        </w:tc>
        <w:tc>
          <w:tcPr>
            <w:tcW w:w="1417" w:type="dxa"/>
            <w:vAlign w:val="center"/>
          </w:tcPr>
          <w:p>
            <w:pPr>
              <w:rPr>
                <w:rFonts w:ascii="Times New Roman" w:hAnsi="Times New Roman" w:eastAsia="仿宋_GB2312" w:cs="Times New Roman"/>
                <w:color w:val="auto"/>
                <w:szCs w:val="21"/>
              </w:rPr>
            </w:pPr>
            <w:bookmarkStart w:id="34" w:name="_Hlk27056019"/>
            <w:r>
              <w:rPr>
                <w:rFonts w:ascii="Times New Roman" w:hAnsi="Times New Roman" w:eastAsia="仿宋_GB2312" w:cs="Times New Roman"/>
                <w:color w:val="auto"/>
                <w:szCs w:val="21"/>
              </w:rPr>
              <w:t>Σq/Q</w:t>
            </w:r>
            <w:bookmarkEnd w:id="3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27" w:type="dxa"/>
            <w:vMerge w:val="restart"/>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原料罐区</w:t>
            </w:r>
          </w:p>
        </w:tc>
        <w:tc>
          <w:tcPr>
            <w:tcW w:w="18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对二甲苯</w:t>
            </w:r>
          </w:p>
        </w:tc>
        <w:tc>
          <w:tcPr>
            <w:tcW w:w="198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34440</w:t>
            </w:r>
          </w:p>
        </w:tc>
        <w:tc>
          <w:tcPr>
            <w:tcW w:w="1417"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5000</w:t>
            </w:r>
          </w:p>
        </w:tc>
        <w:tc>
          <w:tcPr>
            <w:tcW w:w="14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6.888</w:t>
            </w:r>
          </w:p>
        </w:tc>
        <w:tc>
          <w:tcPr>
            <w:tcW w:w="1417" w:type="dxa"/>
            <w:vMerge w:val="restart"/>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7.728&gt;1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27" w:type="dxa"/>
            <w:vMerge w:val="continue"/>
            <w:vAlign w:val="center"/>
          </w:tcPr>
          <w:p>
            <w:pPr>
              <w:rPr>
                <w:rFonts w:ascii="Times New Roman" w:hAnsi="Times New Roman" w:eastAsia="仿宋_GB2312" w:cs="Times New Roman"/>
                <w:color w:val="auto"/>
                <w:szCs w:val="21"/>
              </w:rPr>
            </w:pPr>
          </w:p>
        </w:tc>
        <w:tc>
          <w:tcPr>
            <w:tcW w:w="18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w:t>
            </w:r>
          </w:p>
        </w:tc>
        <w:tc>
          <w:tcPr>
            <w:tcW w:w="198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4200</w:t>
            </w:r>
          </w:p>
        </w:tc>
        <w:tc>
          <w:tcPr>
            <w:tcW w:w="1417" w:type="dxa"/>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5000</w:t>
            </w:r>
          </w:p>
        </w:tc>
        <w:tc>
          <w:tcPr>
            <w:tcW w:w="14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0.84</w:t>
            </w:r>
          </w:p>
        </w:tc>
        <w:tc>
          <w:tcPr>
            <w:tcW w:w="1417" w:type="dxa"/>
            <w:vMerge w:val="continue"/>
            <w:vAlign w:val="center"/>
          </w:tcPr>
          <w:p>
            <w:pPr>
              <w:rPr>
                <w:rFonts w:ascii="Times New Roman" w:hAnsi="Times New Roman" w:eastAsia="仿宋_GB2312"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27" w:type="dxa"/>
            <w:vMerge w:val="restart"/>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中间罐区</w:t>
            </w:r>
          </w:p>
        </w:tc>
        <w:tc>
          <w:tcPr>
            <w:tcW w:w="18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对二甲苯</w:t>
            </w:r>
          </w:p>
        </w:tc>
        <w:tc>
          <w:tcPr>
            <w:tcW w:w="198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2583</w:t>
            </w:r>
          </w:p>
        </w:tc>
        <w:tc>
          <w:tcPr>
            <w:tcW w:w="1417" w:type="dxa"/>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5000</w:t>
            </w:r>
          </w:p>
        </w:tc>
        <w:tc>
          <w:tcPr>
            <w:tcW w:w="14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0.5166</w:t>
            </w:r>
          </w:p>
        </w:tc>
        <w:tc>
          <w:tcPr>
            <w:tcW w:w="1417" w:type="dxa"/>
            <w:vMerge w:val="restart"/>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1.095&lt;1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27" w:type="dxa"/>
            <w:vMerge w:val="continue"/>
            <w:vAlign w:val="center"/>
          </w:tcPr>
          <w:p>
            <w:pPr>
              <w:rPr>
                <w:rFonts w:ascii="Times New Roman" w:hAnsi="Times New Roman" w:eastAsia="仿宋_GB2312" w:cs="Times New Roman"/>
                <w:color w:val="auto"/>
                <w:szCs w:val="21"/>
              </w:rPr>
            </w:pPr>
          </w:p>
        </w:tc>
        <w:tc>
          <w:tcPr>
            <w:tcW w:w="18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w:t>
            </w:r>
          </w:p>
        </w:tc>
        <w:tc>
          <w:tcPr>
            <w:tcW w:w="198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525</w:t>
            </w:r>
          </w:p>
        </w:tc>
        <w:tc>
          <w:tcPr>
            <w:tcW w:w="1417" w:type="dxa"/>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5000</w:t>
            </w:r>
          </w:p>
        </w:tc>
        <w:tc>
          <w:tcPr>
            <w:tcW w:w="14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0.105</w:t>
            </w:r>
          </w:p>
        </w:tc>
        <w:tc>
          <w:tcPr>
            <w:tcW w:w="1417" w:type="dxa"/>
            <w:vMerge w:val="continue"/>
            <w:vAlign w:val="center"/>
          </w:tcPr>
          <w:p>
            <w:pPr>
              <w:rPr>
                <w:rFonts w:ascii="Times New Roman" w:hAnsi="Times New Roman" w:eastAsia="仿宋_GB2312"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27" w:type="dxa"/>
            <w:vMerge w:val="continue"/>
            <w:vAlign w:val="center"/>
          </w:tcPr>
          <w:p>
            <w:pPr>
              <w:rPr>
                <w:rFonts w:ascii="Times New Roman" w:hAnsi="Times New Roman" w:eastAsia="仿宋_GB2312" w:cs="Times New Roman"/>
                <w:color w:val="auto"/>
                <w:szCs w:val="21"/>
              </w:rPr>
            </w:pPr>
          </w:p>
        </w:tc>
        <w:tc>
          <w:tcPr>
            <w:tcW w:w="18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醋酸正丙酯</w:t>
            </w:r>
          </w:p>
        </w:tc>
        <w:tc>
          <w:tcPr>
            <w:tcW w:w="198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158.4</w:t>
            </w:r>
          </w:p>
        </w:tc>
        <w:tc>
          <w:tcPr>
            <w:tcW w:w="1417" w:type="dxa"/>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1000</w:t>
            </w:r>
          </w:p>
        </w:tc>
        <w:tc>
          <w:tcPr>
            <w:tcW w:w="14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0.1584</w:t>
            </w:r>
          </w:p>
        </w:tc>
        <w:tc>
          <w:tcPr>
            <w:tcW w:w="1417" w:type="dxa"/>
            <w:vMerge w:val="continue"/>
            <w:vAlign w:val="center"/>
          </w:tcPr>
          <w:p>
            <w:pPr>
              <w:rPr>
                <w:rFonts w:ascii="Times New Roman" w:hAnsi="Times New Roman" w:eastAsia="仿宋_GB2312"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27" w:type="dxa"/>
            <w:vMerge w:val="continue"/>
            <w:vAlign w:val="center"/>
          </w:tcPr>
          <w:p>
            <w:pPr>
              <w:rPr>
                <w:rFonts w:ascii="Times New Roman" w:hAnsi="Times New Roman" w:eastAsia="仿宋_GB2312" w:cs="Times New Roman"/>
                <w:color w:val="auto"/>
                <w:szCs w:val="21"/>
              </w:rPr>
            </w:pPr>
          </w:p>
        </w:tc>
        <w:tc>
          <w:tcPr>
            <w:tcW w:w="18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醋酸（母液罐）</w:t>
            </w:r>
          </w:p>
        </w:tc>
        <w:tc>
          <w:tcPr>
            <w:tcW w:w="198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1575</w:t>
            </w:r>
          </w:p>
        </w:tc>
        <w:tc>
          <w:tcPr>
            <w:tcW w:w="1417"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5000</w:t>
            </w:r>
          </w:p>
        </w:tc>
        <w:tc>
          <w:tcPr>
            <w:tcW w:w="14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0.315</w:t>
            </w:r>
          </w:p>
        </w:tc>
        <w:tc>
          <w:tcPr>
            <w:tcW w:w="1417" w:type="dxa"/>
            <w:vMerge w:val="continue"/>
            <w:vAlign w:val="center"/>
          </w:tcPr>
          <w:p>
            <w:pPr>
              <w:rPr>
                <w:rFonts w:ascii="Times New Roman" w:hAnsi="Times New Roman" w:eastAsia="仿宋_GB2312"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27"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甲醇原料装卸站</w:t>
            </w:r>
          </w:p>
        </w:tc>
        <w:tc>
          <w:tcPr>
            <w:tcW w:w="18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甲醇</w:t>
            </w:r>
          </w:p>
        </w:tc>
        <w:tc>
          <w:tcPr>
            <w:tcW w:w="198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158.36</w:t>
            </w:r>
          </w:p>
        </w:tc>
        <w:tc>
          <w:tcPr>
            <w:tcW w:w="1417"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500</w:t>
            </w:r>
          </w:p>
        </w:tc>
        <w:tc>
          <w:tcPr>
            <w:tcW w:w="1418"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0.03</w:t>
            </w:r>
          </w:p>
        </w:tc>
        <w:tc>
          <w:tcPr>
            <w:tcW w:w="1417"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0.03＜1</w:t>
            </w:r>
          </w:p>
        </w:tc>
      </w:tr>
    </w:tbl>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4、重大危险源辨识结果</w:t>
      </w:r>
    </w:p>
    <w:p>
      <w:pPr>
        <w:adjustRightInd w:val="0"/>
        <w:snapToGrid w:val="0"/>
        <w:spacing w:line="360" w:lineRule="auto"/>
        <w:ind w:firstLine="570"/>
        <w:rPr>
          <w:rFonts w:ascii="Times New Roman" w:hAnsi="Times New Roman" w:eastAsia="仿宋_GB2312" w:cs="Times New Roman"/>
          <w:color w:val="auto"/>
          <w:kern w:val="0"/>
          <w:sz w:val="28"/>
          <w:szCs w:val="28"/>
        </w:rPr>
      </w:pPr>
      <w:bookmarkStart w:id="35" w:name="_Hlk32479436"/>
      <w:r>
        <w:rPr>
          <w:rFonts w:ascii="Times New Roman" w:hAnsi="Times New Roman" w:eastAsia="仿宋_GB2312" w:cs="Times New Roman"/>
          <w:color w:val="auto"/>
          <w:sz w:val="28"/>
          <w:szCs w:val="28"/>
        </w:rPr>
        <w:t>公司2个生产单元： PTA主装置（包括氧化装置、加氢精制装置）危险化学品存在量构成危险化学品重大危险源，甲醇制氢装置未构成危险化学品重大危险源；3个储存单元：原料罐区、中间罐区构成危险化学品重大危险源，甲醇装卸站未构成为危险化学品重大危险源。</w:t>
      </w:r>
      <w:bookmarkEnd w:id="35"/>
    </w:p>
    <w:p>
      <w:pPr>
        <w:pStyle w:val="4"/>
        <w:rPr>
          <w:rFonts w:ascii="Times New Roman" w:hAnsi="Times New Roman" w:eastAsia="仿宋_GB2312" w:cs="Times New Roman"/>
          <w:color w:val="auto"/>
        </w:rPr>
      </w:pPr>
      <w:bookmarkStart w:id="36" w:name="_Toc4883"/>
      <w:bookmarkStart w:id="37" w:name="_Toc52291744"/>
      <w:r>
        <w:rPr>
          <w:rFonts w:ascii="Times New Roman" w:hAnsi="Times New Roman" w:eastAsia="仿宋_GB2312" w:cs="Times New Roman"/>
          <w:color w:val="auto"/>
        </w:rPr>
        <w:t>2.2.2危险化学品重大危险源分级过程</w:t>
      </w:r>
      <w:bookmarkEnd w:id="36"/>
      <w:bookmarkEnd w:id="37"/>
    </w:p>
    <w:p>
      <w:pPr>
        <w:pStyle w:val="5"/>
        <w:rPr>
          <w:rFonts w:ascii="Times New Roman" w:hAnsi="Times New Roman" w:eastAsia="仿宋_GB2312" w:cs="Times New Roman"/>
          <w:color w:val="auto"/>
        </w:rPr>
      </w:pPr>
      <w:r>
        <w:rPr>
          <w:rFonts w:ascii="Times New Roman" w:hAnsi="Times New Roman" w:eastAsia="仿宋_GB2312" w:cs="Times New Roman"/>
          <w:color w:val="auto"/>
        </w:rPr>
        <w:t>2.2.2.1危险化学品重大危险源分级方法</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根据《危险化学品重大危险源辨识》GB18218-2018对危险化学品重大危险源进行分级。</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1、分级指标</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采用单元内各种危险化学品实际存在（在线）量与其在《危险化学品重大危险源辨识》GB18218-2018中规定的临界量比值，经校正系数校正后的比值之和R作为分级指标。</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2、R的计算方法</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drawing>
          <wp:inline distT="0" distB="0" distL="0" distR="0">
            <wp:extent cx="2766060" cy="594360"/>
            <wp:effectExtent l="0" t="0" r="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noChangeArrowheads="1"/>
                    </pic:cNvPicPr>
                  </pic:nvPicPr>
                  <pic:blipFill>
                    <a:blip r:embed="rId12"/>
                    <a:srcRect/>
                    <a:stretch>
                      <a:fillRect/>
                    </a:stretch>
                  </pic:blipFill>
                  <pic:spPr>
                    <a:xfrm>
                      <a:off x="0" y="0"/>
                      <a:ext cx="2766060" cy="594360"/>
                    </a:xfrm>
                    <a:prstGeom prst="rect">
                      <a:avLst/>
                    </a:prstGeom>
                    <a:noFill/>
                    <a:ln w="9525">
                      <a:noFill/>
                      <a:miter lim="800000"/>
                      <a:headEnd/>
                      <a:tailEnd/>
                    </a:ln>
                  </pic:spPr>
                </pic:pic>
              </a:graphicData>
            </a:graphic>
          </wp:inline>
        </w:drawing>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式中：R——重大危险源分级指标；</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α——该危险化学品重大危险源厂区外暴露人员的校正系数；</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β1，β2…,βn—— 与每种危险化学品相对应的校正系数；</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q1,q2,…,qn ——每种危险化学品实际存在量，单位为吨（t）；</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Q1,Q2,…,Qn ——与每种危险化学品相对应的临界量，单位为吨（t）。</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3、校正系数β的取值</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根据单元内危险化学品的类别不同，设定校正系数β值，见以下2个表格：</w:t>
      </w:r>
    </w:p>
    <w:p>
      <w:pPr>
        <w:spacing w:line="360" w:lineRule="auto"/>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表2.2-3 毒性气体校正系数β值取值表</w:t>
      </w:r>
    </w:p>
    <w:tbl>
      <w:tblPr>
        <w:tblStyle w:val="22"/>
        <w:tblW w:w="97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34"/>
        <w:gridCol w:w="1134"/>
        <w:gridCol w:w="1275"/>
        <w:gridCol w:w="993"/>
        <w:gridCol w:w="992"/>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26" w:type="dxa"/>
            <w:tcBorders>
              <w:top w:val="single" w:color="auto" w:sz="12"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毒性气体名称</w:t>
            </w:r>
          </w:p>
        </w:tc>
        <w:tc>
          <w:tcPr>
            <w:tcW w:w="1276" w:type="dxa"/>
            <w:tcBorders>
              <w:top w:val="single" w:color="auto" w:sz="12"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一氧化碳</w:t>
            </w:r>
          </w:p>
        </w:tc>
        <w:tc>
          <w:tcPr>
            <w:tcW w:w="1134" w:type="dxa"/>
            <w:tcBorders>
              <w:top w:val="single" w:color="auto" w:sz="12"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二氧化硫</w:t>
            </w:r>
          </w:p>
        </w:tc>
        <w:tc>
          <w:tcPr>
            <w:tcW w:w="1134" w:type="dxa"/>
            <w:tcBorders>
              <w:top w:val="single" w:color="auto" w:sz="12"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氨</w:t>
            </w:r>
          </w:p>
        </w:tc>
        <w:tc>
          <w:tcPr>
            <w:tcW w:w="1275" w:type="dxa"/>
            <w:tcBorders>
              <w:top w:val="single" w:color="auto" w:sz="12"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环氧乙烷</w:t>
            </w:r>
          </w:p>
        </w:tc>
        <w:tc>
          <w:tcPr>
            <w:tcW w:w="993" w:type="dxa"/>
            <w:tcBorders>
              <w:top w:val="single" w:color="auto" w:sz="12"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氯化氢</w:t>
            </w:r>
          </w:p>
        </w:tc>
        <w:tc>
          <w:tcPr>
            <w:tcW w:w="992" w:type="dxa"/>
            <w:tcBorders>
              <w:top w:val="single" w:color="auto" w:sz="12"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溴甲烷</w:t>
            </w:r>
          </w:p>
        </w:tc>
        <w:tc>
          <w:tcPr>
            <w:tcW w:w="1417" w:type="dxa"/>
            <w:tcBorders>
              <w:top w:val="single" w:color="auto" w:sz="12"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526"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β</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c>
          <w:tcPr>
            <w:tcW w:w="99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3</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3</w:t>
            </w:r>
          </w:p>
        </w:tc>
        <w:tc>
          <w:tcPr>
            <w:tcW w:w="1417"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26"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毒性气体名称</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硫化氢</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氟化氢</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二氧化氮</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氰化氢</w:t>
            </w:r>
          </w:p>
        </w:tc>
        <w:tc>
          <w:tcPr>
            <w:tcW w:w="99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碳酰氯</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磷化氢</w:t>
            </w:r>
          </w:p>
        </w:tc>
        <w:tc>
          <w:tcPr>
            <w:tcW w:w="1417"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异氰酸甲酯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526" w:type="dxa"/>
            <w:tcBorders>
              <w:top w:val="single" w:color="auto" w:sz="4" w:space="0"/>
              <w:left w:val="single" w:color="auto" w:sz="12"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β</w:t>
            </w:r>
          </w:p>
        </w:tc>
        <w:tc>
          <w:tcPr>
            <w:tcW w:w="1276" w:type="dxa"/>
            <w:tcBorders>
              <w:top w:val="single" w:color="auto" w:sz="4" w:space="0"/>
              <w:left w:val="single" w:color="auto" w:sz="4"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w:t>
            </w:r>
          </w:p>
        </w:tc>
        <w:tc>
          <w:tcPr>
            <w:tcW w:w="1134" w:type="dxa"/>
            <w:tcBorders>
              <w:top w:val="single" w:color="auto" w:sz="4" w:space="0"/>
              <w:left w:val="single" w:color="auto" w:sz="4"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w:t>
            </w:r>
          </w:p>
        </w:tc>
        <w:tc>
          <w:tcPr>
            <w:tcW w:w="1134" w:type="dxa"/>
            <w:tcBorders>
              <w:top w:val="single" w:color="auto" w:sz="4" w:space="0"/>
              <w:left w:val="single" w:color="auto" w:sz="4"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c>
          <w:tcPr>
            <w:tcW w:w="1275" w:type="dxa"/>
            <w:tcBorders>
              <w:top w:val="single" w:color="auto" w:sz="4" w:space="0"/>
              <w:left w:val="single" w:color="auto" w:sz="4"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c>
          <w:tcPr>
            <w:tcW w:w="993" w:type="dxa"/>
            <w:tcBorders>
              <w:top w:val="single" w:color="auto" w:sz="4" w:space="0"/>
              <w:left w:val="single" w:color="auto" w:sz="4"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w:t>
            </w:r>
          </w:p>
        </w:tc>
        <w:tc>
          <w:tcPr>
            <w:tcW w:w="992" w:type="dxa"/>
            <w:tcBorders>
              <w:top w:val="single" w:color="auto" w:sz="4" w:space="0"/>
              <w:left w:val="single" w:color="auto" w:sz="4"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w:t>
            </w:r>
          </w:p>
        </w:tc>
        <w:tc>
          <w:tcPr>
            <w:tcW w:w="1417" w:type="dxa"/>
            <w:tcBorders>
              <w:top w:val="single" w:color="auto" w:sz="4"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w:t>
            </w:r>
          </w:p>
        </w:tc>
      </w:tr>
    </w:tbl>
    <w:p>
      <w:pPr>
        <w:spacing w:line="360" w:lineRule="auto"/>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表2.2-4 校正系数β取值表</w:t>
      </w:r>
    </w:p>
    <w:tbl>
      <w:tblPr>
        <w:tblStyle w:val="22"/>
        <w:tblW w:w="97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30"/>
        <w:gridCol w:w="2692"/>
        <w:gridCol w:w="35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530" w:type="dxa"/>
            <w:tcBorders>
              <w:top w:val="single" w:color="auto" w:sz="12"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危险化学品类别</w:t>
            </w:r>
          </w:p>
        </w:tc>
        <w:tc>
          <w:tcPr>
            <w:tcW w:w="2692" w:type="dxa"/>
            <w:tcBorders>
              <w:top w:val="single" w:color="auto" w:sz="12"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符号</w:t>
            </w:r>
          </w:p>
        </w:tc>
        <w:tc>
          <w:tcPr>
            <w:tcW w:w="3525" w:type="dxa"/>
            <w:tcBorders>
              <w:top w:val="single" w:color="auto" w:sz="12"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β校正系数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restart"/>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急性毒性</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J1</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J2</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J3</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J4</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J5</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restart"/>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爆炸物</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W1.1</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W1.2</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W1.3</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易燃气体</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W2</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气溶胶</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W3</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氧化性气体</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W4</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restart"/>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W5.1</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W5.2</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W5.3</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W5.4</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restart"/>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自反应物质和混合物</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W6.1</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W6.2</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restart"/>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有机过氧化物</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W7.1</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W7.2</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自燃液体和自燃固体</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W8</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restart"/>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氧化性固体和液体</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W9.1</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W9.2</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易燃固体</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W10</w:t>
            </w:r>
          </w:p>
        </w:tc>
        <w:tc>
          <w:tcPr>
            <w:tcW w:w="3525"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30" w:type="dxa"/>
            <w:tcBorders>
              <w:top w:val="single" w:color="auto" w:sz="4" w:space="0"/>
              <w:left w:val="single" w:color="auto" w:sz="12"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遇水放出易燃气体的物质和混合物</w:t>
            </w:r>
          </w:p>
        </w:tc>
        <w:tc>
          <w:tcPr>
            <w:tcW w:w="2692" w:type="dxa"/>
            <w:tcBorders>
              <w:top w:val="single" w:color="auto" w:sz="4" w:space="0"/>
              <w:left w:val="single" w:color="auto" w:sz="4"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W11</w:t>
            </w:r>
          </w:p>
        </w:tc>
        <w:tc>
          <w:tcPr>
            <w:tcW w:w="3525" w:type="dxa"/>
            <w:tcBorders>
              <w:top w:val="single" w:color="auto" w:sz="4"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bl>
    <w:p>
      <w:pPr>
        <w:spacing w:line="360" w:lineRule="auto"/>
        <w:ind w:firstLine="560" w:firstLineChars="200"/>
        <w:jc w:val="lef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4、校正系数α的取值</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根据危险化学品重大危险源的厂区边界向外扩展500m范围内常住人口数量，设定厂外暴露人员校正系数α值，见下表：</w:t>
      </w:r>
    </w:p>
    <w:p>
      <w:pPr>
        <w:spacing w:line="360" w:lineRule="auto"/>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表2.2-5 校正系数α取值表</w:t>
      </w:r>
    </w:p>
    <w:tbl>
      <w:tblPr>
        <w:tblStyle w:val="22"/>
        <w:tblW w:w="98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18"/>
        <w:gridCol w:w="4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12"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厂外可能暴露人员数量</w:t>
            </w:r>
          </w:p>
        </w:tc>
        <w:tc>
          <w:tcPr>
            <w:tcW w:w="4671" w:type="dxa"/>
            <w:tcBorders>
              <w:top w:val="single" w:color="auto" w:sz="12"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100人以上</w:t>
            </w:r>
          </w:p>
        </w:tc>
        <w:tc>
          <w:tcPr>
            <w:tcW w:w="4671"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50人～99人</w:t>
            </w:r>
          </w:p>
        </w:tc>
        <w:tc>
          <w:tcPr>
            <w:tcW w:w="4671"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30人～49人</w:t>
            </w:r>
          </w:p>
        </w:tc>
        <w:tc>
          <w:tcPr>
            <w:tcW w:w="4671"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12" w:space="0"/>
              <w:bottom w:val="single" w:color="auto" w:sz="4" w:space="0"/>
              <w:right w:val="single" w:color="auto" w:sz="4" w:space="0"/>
            </w:tcBorders>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1～29人</w:t>
            </w:r>
          </w:p>
        </w:tc>
        <w:tc>
          <w:tcPr>
            <w:tcW w:w="4671"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12"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0人</w:t>
            </w:r>
          </w:p>
        </w:tc>
        <w:tc>
          <w:tcPr>
            <w:tcW w:w="4671" w:type="dxa"/>
            <w:tcBorders>
              <w:top w:val="single" w:color="auto" w:sz="4"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0.5</w:t>
            </w:r>
          </w:p>
        </w:tc>
      </w:tr>
    </w:tbl>
    <w:p>
      <w:pPr>
        <w:spacing w:line="360" w:lineRule="auto"/>
        <w:ind w:firstLine="560" w:firstLineChars="200"/>
        <w:jc w:val="lef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5、分级标准</w:t>
      </w:r>
    </w:p>
    <w:p>
      <w:pPr>
        <w:spacing w:line="360" w:lineRule="auto"/>
        <w:ind w:firstLine="560" w:firstLineChars="200"/>
        <w:jc w:val="lef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根据计算出来的R值，按下表确定危险化学品重大危险源的级别。</w:t>
      </w:r>
    </w:p>
    <w:p>
      <w:pPr>
        <w:spacing w:line="360" w:lineRule="auto"/>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表2.2-6 危险化学品重大危险源级别和R值的对应关系</w:t>
      </w:r>
    </w:p>
    <w:tbl>
      <w:tblPr>
        <w:tblStyle w:val="22"/>
        <w:tblW w:w="98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87"/>
        <w:gridCol w:w="42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87" w:type="dxa"/>
            <w:tcBorders>
              <w:top w:val="single" w:color="auto" w:sz="12"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危险化学品重大危险源级别</w:t>
            </w:r>
          </w:p>
        </w:tc>
        <w:tc>
          <w:tcPr>
            <w:tcW w:w="4202" w:type="dxa"/>
            <w:tcBorders>
              <w:top w:val="single" w:color="auto" w:sz="12"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R值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87"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一级</w:t>
            </w:r>
          </w:p>
        </w:tc>
        <w:tc>
          <w:tcPr>
            <w:tcW w:w="4202"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R≥100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87"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二级</w:t>
            </w:r>
          </w:p>
        </w:tc>
        <w:tc>
          <w:tcPr>
            <w:tcW w:w="4202"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100&gt;R≥50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87" w:type="dxa"/>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三级</w:t>
            </w:r>
          </w:p>
        </w:tc>
        <w:tc>
          <w:tcPr>
            <w:tcW w:w="4202" w:type="dxa"/>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50&gt;R≥10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87" w:type="dxa"/>
            <w:tcBorders>
              <w:top w:val="single" w:color="auto" w:sz="4" w:space="0"/>
              <w:left w:val="single" w:color="auto" w:sz="12"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四级</w:t>
            </w:r>
          </w:p>
        </w:tc>
        <w:tc>
          <w:tcPr>
            <w:tcW w:w="4202" w:type="dxa"/>
            <w:tcBorders>
              <w:top w:val="single" w:color="auto" w:sz="4"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R&lt;10</w:t>
            </w:r>
          </w:p>
        </w:tc>
      </w:tr>
    </w:tbl>
    <w:p>
      <w:pPr>
        <w:pStyle w:val="5"/>
        <w:rPr>
          <w:rFonts w:ascii="Times New Roman" w:hAnsi="Times New Roman" w:eastAsia="仿宋_GB2312" w:cs="Times New Roman"/>
          <w:color w:val="auto"/>
        </w:rPr>
      </w:pPr>
      <w:r>
        <w:rPr>
          <w:rFonts w:ascii="Times New Roman" w:hAnsi="Times New Roman" w:eastAsia="仿宋_GB2312" w:cs="Times New Roman"/>
          <w:color w:val="auto"/>
        </w:rPr>
        <w:t>2.2.2.2危险化学品重大危险源分级过程及结果</w:t>
      </w:r>
    </w:p>
    <w:p>
      <w:pPr>
        <w:spacing w:line="360" w:lineRule="auto"/>
        <w:ind w:firstLine="560" w:firstLineChars="200"/>
        <w:jc w:val="lef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1、分级计算过程</w:t>
      </w:r>
    </w:p>
    <w:p>
      <w:pPr>
        <w:spacing w:line="360" w:lineRule="auto"/>
        <w:ind w:firstLine="560" w:firstLineChars="200"/>
        <w:jc w:val="lef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储存单元涉及GB18218-2018中规定的危险化学品主要为对二甲苯、醋酸、甲醇、氢气、醋酸正丙酯，根据重大危险源分级辨识方法：</w:t>
      </w:r>
    </w:p>
    <w:p>
      <w:pPr>
        <w:spacing w:line="360" w:lineRule="auto"/>
        <w:ind w:firstLine="560" w:firstLineChars="200"/>
        <w:jc w:val="lef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（1）校正系数β取值见下表：</w:t>
      </w:r>
    </w:p>
    <w:p>
      <w:pPr>
        <w:spacing w:line="360" w:lineRule="auto"/>
        <w:jc w:val="center"/>
        <w:rPr>
          <w:rFonts w:ascii="Times New Roman" w:hAnsi="Times New Roman" w:eastAsia="仿宋_GB2312" w:cs="Times New Roman"/>
          <w:color w:val="auto"/>
          <w:sz w:val="28"/>
          <w:szCs w:val="28"/>
        </w:rPr>
      </w:pPr>
    </w:p>
    <w:p>
      <w:pPr>
        <w:spacing w:line="360" w:lineRule="auto"/>
        <w:jc w:val="center"/>
        <w:rPr>
          <w:rFonts w:ascii="Times New Roman" w:hAnsi="Times New Roman" w:eastAsia="仿宋_GB2312" w:cs="Times New Roman"/>
          <w:color w:val="auto"/>
          <w:sz w:val="28"/>
          <w:szCs w:val="28"/>
        </w:rPr>
      </w:pPr>
    </w:p>
    <w:p>
      <w:pPr>
        <w:spacing w:line="360" w:lineRule="auto"/>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表2.2-7 本项目涉及危险品的校正系数β取值表</w:t>
      </w:r>
    </w:p>
    <w:tbl>
      <w:tblPr>
        <w:tblStyle w:val="22"/>
        <w:tblW w:w="98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966"/>
        <w:gridCol w:w="3562"/>
        <w:gridCol w:w="35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序号</w:t>
            </w:r>
          </w:p>
        </w:tc>
        <w:tc>
          <w:tcPr>
            <w:tcW w:w="196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危险化学品名称</w:t>
            </w:r>
          </w:p>
        </w:tc>
        <w:tc>
          <w:tcPr>
            <w:tcW w:w="3562"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危险性类别</w:t>
            </w:r>
          </w:p>
        </w:tc>
        <w:tc>
          <w:tcPr>
            <w:tcW w:w="35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校正系数β取值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89" w:type="dxa"/>
            <w:gridSpan w:val="4"/>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生产单元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c>
          <w:tcPr>
            <w:tcW w:w="196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对二甲苯</w:t>
            </w:r>
          </w:p>
        </w:tc>
        <w:tc>
          <w:tcPr>
            <w:tcW w:w="3562"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易燃液体，WP5.1，类别3</w:t>
            </w:r>
          </w:p>
        </w:tc>
        <w:tc>
          <w:tcPr>
            <w:tcW w:w="35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c>
          <w:tcPr>
            <w:tcW w:w="196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w:t>
            </w:r>
          </w:p>
        </w:tc>
        <w:tc>
          <w:tcPr>
            <w:tcW w:w="3562"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易燃液体，WP5.1,类别3</w:t>
            </w:r>
          </w:p>
        </w:tc>
        <w:tc>
          <w:tcPr>
            <w:tcW w:w="35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3</w:t>
            </w:r>
          </w:p>
        </w:tc>
        <w:tc>
          <w:tcPr>
            <w:tcW w:w="196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醋酸正丙酯</w:t>
            </w:r>
          </w:p>
        </w:tc>
        <w:tc>
          <w:tcPr>
            <w:tcW w:w="3562"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易燃液体，WP5.1,类别2</w:t>
            </w:r>
          </w:p>
        </w:tc>
        <w:tc>
          <w:tcPr>
            <w:tcW w:w="35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4</w:t>
            </w:r>
          </w:p>
        </w:tc>
        <w:tc>
          <w:tcPr>
            <w:tcW w:w="196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氢气</w:t>
            </w:r>
          </w:p>
        </w:tc>
        <w:tc>
          <w:tcPr>
            <w:tcW w:w="3562"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易燃气体，类别1</w:t>
            </w:r>
          </w:p>
        </w:tc>
        <w:tc>
          <w:tcPr>
            <w:tcW w:w="35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89" w:type="dxa"/>
            <w:gridSpan w:val="4"/>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储存单元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c>
          <w:tcPr>
            <w:tcW w:w="196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对二甲苯</w:t>
            </w:r>
          </w:p>
        </w:tc>
        <w:tc>
          <w:tcPr>
            <w:tcW w:w="3562"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易燃液体，WP5.4，类别3</w:t>
            </w:r>
          </w:p>
        </w:tc>
        <w:tc>
          <w:tcPr>
            <w:tcW w:w="35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c>
          <w:tcPr>
            <w:tcW w:w="196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w:t>
            </w:r>
          </w:p>
        </w:tc>
        <w:tc>
          <w:tcPr>
            <w:tcW w:w="3562"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易燃液体，WP5.4,类别3</w:t>
            </w:r>
          </w:p>
        </w:tc>
        <w:tc>
          <w:tcPr>
            <w:tcW w:w="35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3</w:t>
            </w:r>
          </w:p>
        </w:tc>
        <w:tc>
          <w:tcPr>
            <w:tcW w:w="196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醋酸正丙酯</w:t>
            </w:r>
          </w:p>
        </w:tc>
        <w:tc>
          <w:tcPr>
            <w:tcW w:w="3562"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易燃液体，WP5.3,类别2</w:t>
            </w:r>
          </w:p>
        </w:tc>
        <w:tc>
          <w:tcPr>
            <w:tcW w:w="35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4</w:t>
            </w:r>
          </w:p>
        </w:tc>
        <w:tc>
          <w:tcPr>
            <w:tcW w:w="1966"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甲醇</w:t>
            </w:r>
          </w:p>
        </w:tc>
        <w:tc>
          <w:tcPr>
            <w:tcW w:w="3562"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易燃液体，WP5.4,类别2</w:t>
            </w:r>
          </w:p>
        </w:tc>
        <w:tc>
          <w:tcPr>
            <w:tcW w:w="3525" w:type="dxa"/>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r>
    </w:tbl>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（2）校正系数α取值：</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四川能投化学新材料有限公司厂区周围均为南充化学园区拟建和待建企业，用地北、东、南三面环嘉陵江。本项目环评以项目氧化装置、原料罐区、及项目污水处理站分别划定了900m、100m和500m的卫生防护距离，项目厂址占地及卫生防护距离内住户已完成搬迁工作，现卫生防护距离内无其他民用建筑和保护设施，主要为在建或拟建企业。故校正系数α取值为1。</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（3）故R值的计算结果如下：</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 1 \* GB3 </w:instrText>
      </w:r>
      <w:r>
        <w:rPr>
          <w:rFonts w:ascii="Times New Roman" w:hAnsi="Times New Roman" w:eastAsia="仿宋_GB2312" w:cs="Times New Roman"/>
          <w:color w:val="auto"/>
          <w:sz w:val="28"/>
          <w:szCs w:val="28"/>
        </w:rPr>
        <w:fldChar w:fldCharType="separate"/>
      </w:r>
      <w:r>
        <w:rPr>
          <w:rFonts w:hint="eastAsia" w:ascii="宋体" w:hAnsi="宋体" w:eastAsia="宋体" w:cs="宋体"/>
          <w:color w:val="auto"/>
          <w:sz w:val="28"/>
          <w:szCs w:val="28"/>
        </w:rPr>
        <w:t>①</w:t>
      </w:r>
      <w:r>
        <w:rPr>
          <w:rFonts w:ascii="Times New Roman" w:hAnsi="Times New Roman" w:eastAsia="仿宋_GB2312" w:cs="Times New Roman"/>
          <w:color w:val="auto"/>
          <w:sz w:val="28"/>
          <w:szCs w:val="28"/>
        </w:rPr>
        <w:fldChar w:fldCharType="end"/>
      </w:r>
      <w:bookmarkStart w:id="38" w:name="_Hlk33607871"/>
      <w:r>
        <w:rPr>
          <w:rFonts w:ascii="Times New Roman" w:hAnsi="Times New Roman" w:eastAsia="仿宋_GB2312" w:cs="Times New Roman"/>
          <w:color w:val="auto"/>
          <w:sz w:val="28"/>
          <w:szCs w:val="28"/>
        </w:rPr>
        <w:t>PTA</w:t>
      </w:r>
      <w:bookmarkEnd w:id="38"/>
      <w:r>
        <w:rPr>
          <w:rFonts w:ascii="Times New Roman" w:hAnsi="Times New Roman" w:eastAsia="仿宋_GB2312" w:cs="Times New Roman"/>
          <w:color w:val="auto"/>
          <w:sz w:val="28"/>
          <w:szCs w:val="28"/>
        </w:rPr>
        <w:t xml:space="preserve"> PTA主装置（包括氧化装置、加氢精制装置）</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结合物质重大危险源辨识结果汇总表，本项目PTA生产装置R值的计算结果如下：</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drawing>
          <wp:inline distT="0" distB="0" distL="0" distR="0">
            <wp:extent cx="2750820" cy="586740"/>
            <wp:effectExtent l="0" t="0" r="0" b="0"/>
            <wp:docPr id="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pic:cNvPicPr>
                      <a:picLocks noChangeAspect="1" noChangeArrowheads="1"/>
                    </pic:cNvPicPr>
                  </pic:nvPicPr>
                  <pic:blipFill>
                    <a:blip r:embed="rId13"/>
                    <a:srcRect/>
                    <a:stretch>
                      <a:fillRect/>
                    </a:stretch>
                  </pic:blipFill>
                  <pic:spPr>
                    <a:xfrm>
                      <a:off x="0" y="0"/>
                      <a:ext cx="2750820" cy="586740"/>
                    </a:xfrm>
                    <a:prstGeom prst="rect">
                      <a:avLst/>
                    </a:prstGeom>
                    <a:noFill/>
                    <a:ln w="9525">
                      <a:noFill/>
                      <a:miter lim="800000"/>
                      <a:headEnd/>
                      <a:tailEnd/>
                    </a:ln>
                  </pic:spPr>
                </pic:pic>
              </a:graphicData>
            </a:graphic>
          </wp:inline>
        </w:drawing>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=1×（1.5×0.007+1.5×0.00308+1.5×9.1952+1.5×0.462）</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=14.5</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R属于10＜R＜50范围。因此，该公司PTA生产装置（包括氧化单元、加氢精制单元）的危险化学品的存在量构成三级危险化学品重大危险源。</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 2 \* GB3 </w:instrText>
      </w:r>
      <w:r>
        <w:rPr>
          <w:rFonts w:ascii="Times New Roman" w:hAnsi="Times New Roman" w:eastAsia="仿宋_GB2312" w:cs="Times New Roman"/>
          <w:color w:val="auto"/>
          <w:sz w:val="28"/>
          <w:szCs w:val="28"/>
        </w:rPr>
        <w:fldChar w:fldCharType="separate"/>
      </w:r>
      <w:r>
        <w:rPr>
          <w:rFonts w:hint="eastAsia" w:ascii="宋体" w:hAnsi="宋体" w:eastAsia="宋体" w:cs="宋体"/>
          <w:color w:val="auto"/>
          <w:sz w:val="28"/>
          <w:szCs w:val="28"/>
        </w:rPr>
        <w:t>②</w:t>
      </w:r>
      <w:r>
        <w:rPr>
          <w:rFonts w:ascii="Times New Roman" w:hAnsi="Times New Roman" w:eastAsia="仿宋_GB2312" w:cs="Times New Roman"/>
          <w:color w:val="auto"/>
          <w:sz w:val="28"/>
          <w:szCs w:val="28"/>
        </w:rPr>
        <w:fldChar w:fldCharType="end"/>
      </w:r>
      <w:r>
        <w:rPr>
          <w:rFonts w:ascii="Times New Roman" w:hAnsi="Times New Roman" w:eastAsia="仿宋_GB2312" w:cs="Times New Roman"/>
          <w:color w:val="auto"/>
          <w:sz w:val="28"/>
          <w:szCs w:val="28"/>
        </w:rPr>
        <w:t>原料罐区</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结合物质重大危险源辨识结果汇总表，本项目原料罐区R值的计算结果如下：</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drawing>
          <wp:inline distT="0" distB="0" distL="0" distR="0">
            <wp:extent cx="2750820" cy="59436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3"/>
                    <a:srcRect/>
                    <a:stretch>
                      <a:fillRect/>
                    </a:stretch>
                  </pic:blipFill>
                  <pic:spPr>
                    <a:xfrm>
                      <a:off x="0" y="0"/>
                      <a:ext cx="2750820" cy="594360"/>
                    </a:xfrm>
                    <a:prstGeom prst="rect">
                      <a:avLst/>
                    </a:prstGeom>
                    <a:noFill/>
                    <a:ln w="9525">
                      <a:noFill/>
                      <a:miter lim="800000"/>
                      <a:headEnd/>
                      <a:tailEnd/>
                    </a:ln>
                  </pic:spPr>
                </pic:pic>
              </a:graphicData>
            </a:graphic>
          </wp:inline>
        </w:drawing>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=1×（1×6.888+1×0.84）</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=7.728</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R属于R＜10范围。因此，该公司原料罐区的危险化学品的储存量构成</w:t>
      </w:r>
      <w:bookmarkStart w:id="39" w:name="_Hlk33608195"/>
      <w:r>
        <w:rPr>
          <w:rFonts w:ascii="Times New Roman" w:hAnsi="Times New Roman" w:eastAsia="仿宋_GB2312" w:cs="Times New Roman"/>
          <w:color w:val="auto"/>
          <w:sz w:val="28"/>
          <w:szCs w:val="28"/>
        </w:rPr>
        <w:t>四级危险化学品重大危险源</w:t>
      </w:r>
      <w:bookmarkEnd w:id="39"/>
      <w:r>
        <w:rPr>
          <w:rFonts w:ascii="Times New Roman" w:hAnsi="Times New Roman" w:eastAsia="仿宋_GB2312" w:cs="Times New Roman"/>
          <w:color w:val="auto"/>
          <w:sz w:val="28"/>
          <w:szCs w:val="28"/>
        </w:rPr>
        <w:t>。</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 3 \* GB3 </w:instrText>
      </w:r>
      <w:r>
        <w:rPr>
          <w:rFonts w:ascii="Times New Roman" w:hAnsi="Times New Roman" w:eastAsia="仿宋_GB2312" w:cs="Times New Roman"/>
          <w:color w:val="auto"/>
          <w:sz w:val="28"/>
          <w:szCs w:val="28"/>
        </w:rPr>
        <w:fldChar w:fldCharType="separate"/>
      </w:r>
      <w:r>
        <w:rPr>
          <w:rFonts w:hint="eastAsia" w:ascii="宋体" w:hAnsi="宋体" w:eastAsia="宋体" w:cs="宋体"/>
          <w:color w:val="auto"/>
          <w:sz w:val="28"/>
          <w:szCs w:val="28"/>
        </w:rPr>
        <w:t>③</w:t>
      </w:r>
      <w:r>
        <w:rPr>
          <w:rFonts w:ascii="Times New Roman" w:hAnsi="Times New Roman" w:eastAsia="仿宋_GB2312" w:cs="Times New Roman"/>
          <w:color w:val="auto"/>
          <w:sz w:val="28"/>
          <w:szCs w:val="28"/>
        </w:rPr>
        <w:fldChar w:fldCharType="end"/>
      </w:r>
      <w:r>
        <w:rPr>
          <w:rFonts w:ascii="Times New Roman" w:hAnsi="Times New Roman" w:eastAsia="仿宋_GB2312" w:cs="Times New Roman"/>
          <w:color w:val="auto"/>
          <w:sz w:val="28"/>
          <w:szCs w:val="28"/>
        </w:rPr>
        <w:t>中间罐区</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结合物质重大危险源辨识结果汇总表，本项目中间罐区R值的计算结果如下：</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drawing>
          <wp:inline distT="0" distB="0" distL="0" distR="0">
            <wp:extent cx="2750820" cy="59436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13"/>
                    <a:srcRect/>
                    <a:stretch>
                      <a:fillRect/>
                    </a:stretch>
                  </pic:blipFill>
                  <pic:spPr>
                    <a:xfrm>
                      <a:off x="0" y="0"/>
                      <a:ext cx="2750820" cy="594360"/>
                    </a:xfrm>
                    <a:prstGeom prst="rect">
                      <a:avLst/>
                    </a:prstGeom>
                    <a:noFill/>
                    <a:ln w="9525">
                      <a:noFill/>
                      <a:miter lim="800000"/>
                      <a:headEnd/>
                      <a:tailEnd/>
                    </a:ln>
                  </pic:spPr>
                </pic:pic>
              </a:graphicData>
            </a:graphic>
          </wp:inline>
        </w:drawing>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=1×（1×0.5166+1×0.105+1×0.315+1×0.1584）</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=1.095</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R属于R＜10范围。因此，该公司中间罐区的危险化学品的储存量构成四级危险化学品重大危险源。</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2、分级结果</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根据《危险化学品重大危险源辨识》GB18218-2018对四川能投化学新材料有限公司危险化学品重大危险源进行分级，得出：</w:t>
      </w:r>
    </w:p>
    <w:p>
      <w:pPr>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公司2个生产单元</w:t>
      </w:r>
      <w:bookmarkStart w:id="40" w:name="_Hlk33608137"/>
      <w:r>
        <w:rPr>
          <w:rFonts w:ascii="Times New Roman" w:hAnsi="Times New Roman" w:eastAsia="仿宋_GB2312" w:cs="Times New Roman"/>
          <w:color w:val="auto"/>
          <w:sz w:val="28"/>
          <w:szCs w:val="28"/>
        </w:rPr>
        <w:t>：PTA主装置（包括氧化装置、加氢精制装置）</w:t>
      </w:r>
      <w:bookmarkEnd w:id="40"/>
      <w:r>
        <w:rPr>
          <w:rFonts w:ascii="Times New Roman" w:hAnsi="Times New Roman" w:eastAsia="仿宋_GB2312" w:cs="Times New Roman"/>
          <w:color w:val="auto"/>
          <w:sz w:val="28"/>
          <w:szCs w:val="28"/>
        </w:rPr>
        <w:t>危险化学品存在量构成三级危险化学品重大危险源，甲醇制氢装置未构成危险化学品重大危险源；3个储存单元：原料罐区、中间罐区构成四级危险化学品重大危险源，甲醇原料装卸站未构成为危险化学品重大危险源。</w:t>
      </w:r>
    </w:p>
    <w:p>
      <w:pPr>
        <w:spacing w:line="360" w:lineRule="auto"/>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表2.2-8 重大危险源分级结果</w:t>
      </w:r>
    </w:p>
    <w:tbl>
      <w:tblPr>
        <w:tblStyle w:val="22"/>
        <w:tblW w:w="98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2835"/>
        <w:gridCol w:w="2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12" w:space="0"/>
              <w:left w:val="single" w:color="auto" w:sz="12"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单元</w:t>
            </w:r>
          </w:p>
        </w:tc>
        <w:tc>
          <w:tcPr>
            <w:tcW w:w="2835" w:type="dxa"/>
            <w:tcBorders>
              <w:top w:val="single" w:color="auto" w:sz="12"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R值</w:t>
            </w:r>
          </w:p>
        </w:tc>
        <w:tc>
          <w:tcPr>
            <w:tcW w:w="2693" w:type="dxa"/>
            <w:tcBorders>
              <w:top w:val="single" w:color="auto" w:sz="12"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重大危险源级别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12" w:space="0"/>
              <w:left w:val="single" w:color="auto" w:sz="12"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原料罐区</w:t>
            </w:r>
          </w:p>
        </w:tc>
        <w:tc>
          <w:tcPr>
            <w:tcW w:w="2835" w:type="dxa"/>
            <w:tcBorders>
              <w:top w:val="single" w:color="auto" w:sz="12"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7.728</w:t>
            </w:r>
          </w:p>
        </w:tc>
        <w:tc>
          <w:tcPr>
            <w:tcW w:w="2693" w:type="dxa"/>
            <w:tcBorders>
              <w:top w:val="single" w:color="auto" w:sz="12"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四级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12" w:space="0"/>
              <w:left w:val="single" w:color="auto" w:sz="12" w:space="0"/>
              <w:bottom w:val="single" w:color="auto" w:sz="12"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中间罐区</w:t>
            </w:r>
          </w:p>
        </w:tc>
        <w:tc>
          <w:tcPr>
            <w:tcW w:w="2835" w:type="dxa"/>
            <w:tcBorders>
              <w:top w:val="single" w:color="auto" w:sz="12"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1.095</w:t>
            </w:r>
          </w:p>
        </w:tc>
        <w:tc>
          <w:tcPr>
            <w:tcW w:w="2693" w:type="dxa"/>
            <w:tcBorders>
              <w:top w:val="single" w:color="auto" w:sz="12" w:space="0"/>
              <w:left w:val="single" w:color="auto" w:sz="4" w:space="0"/>
              <w:bottom w:val="single" w:color="auto" w:sz="12"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四级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12" w:space="0"/>
              <w:left w:val="single" w:color="auto" w:sz="12" w:space="0"/>
              <w:bottom w:val="single" w:color="auto" w:sz="4" w:space="0"/>
              <w:right w:val="single" w:color="auto" w:sz="4"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PTA主装置（含氧化单元、加氢精制单元）</w:t>
            </w:r>
          </w:p>
        </w:tc>
        <w:tc>
          <w:tcPr>
            <w:tcW w:w="2835" w:type="dxa"/>
            <w:tcBorders>
              <w:top w:val="single" w:color="auto" w:sz="12"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14.5</w:t>
            </w:r>
          </w:p>
        </w:tc>
        <w:tc>
          <w:tcPr>
            <w:tcW w:w="2693" w:type="dxa"/>
            <w:tcBorders>
              <w:top w:val="single" w:color="auto" w:sz="12" w:space="0"/>
              <w:left w:val="single" w:color="auto" w:sz="4" w:space="0"/>
              <w:bottom w:val="single" w:color="auto" w:sz="4" w:space="0"/>
              <w:right w:val="single" w:color="auto" w:sz="12" w:space="0"/>
            </w:tcBorders>
            <w:vAlign w:val="center"/>
          </w:tcPr>
          <w:p>
            <w:pP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三级</w:t>
            </w:r>
          </w:p>
        </w:tc>
      </w:tr>
    </w:tbl>
    <w:p>
      <w:pPr>
        <w:pStyle w:val="2"/>
        <w:rPr>
          <w:rFonts w:ascii="Times New Roman" w:hAnsi="Times New Roman" w:eastAsia="仿宋_GB2312" w:cs="Times New Roman"/>
          <w:color w:val="auto"/>
        </w:rPr>
      </w:pPr>
      <w:bookmarkStart w:id="41" w:name="_Toc52291745"/>
      <w:r>
        <w:rPr>
          <w:rFonts w:ascii="Times New Roman" w:hAnsi="Times New Roman" w:eastAsia="仿宋_GB2312" w:cs="Times New Roman"/>
          <w:color w:val="auto"/>
        </w:rPr>
        <w:t>3生产经营单位应急资源</w:t>
      </w:r>
      <w:bookmarkEnd w:id="23"/>
      <w:bookmarkEnd w:id="24"/>
      <w:bookmarkEnd w:id="25"/>
      <w:bookmarkEnd w:id="41"/>
    </w:p>
    <w:p>
      <w:pPr>
        <w:pStyle w:val="43"/>
        <w:spacing w:line="360" w:lineRule="auto"/>
        <w:ind w:firstLine="560"/>
        <w:contextualSpacing/>
        <w:rPr>
          <w:rFonts w:ascii="Times New Roman" w:hAnsi="Times New Roman" w:eastAsia="仿宋_GB2312"/>
          <w:color w:val="auto"/>
          <w:sz w:val="28"/>
          <w:szCs w:val="28"/>
        </w:rPr>
      </w:pPr>
      <w:r>
        <w:rPr>
          <w:rFonts w:ascii="Times New Roman" w:hAnsi="Times New Roman" w:eastAsia="仿宋_GB2312"/>
          <w:color w:val="auto"/>
          <w:sz w:val="28"/>
          <w:szCs w:val="28"/>
        </w:rPr>
        <w:t>按照应急资源的分类，公司一共分为如下三大类，分别为人力资源、应急物资及装备三个方面。</w:t>
      </w:r>
    </w:p>
    <w:p>
      <w:pPr>
        <w:pStyle w:val="3"/>
        <w:rPr>
          <w:rFonts w:ascii="Times New Roman" w:hAnsi="Times New Roman" w:eastAsia="仿宋_GB2312" w:cs="Times New Roman"/>
          <w:color w:val="auto"/>
        </w:rPr>
      </w:pPr>
      <w:bookmarkStart w:id="42" w:name="_Toc52291746"/>
      <w:bookmarkStart w:id="43" w:name="_Toc26551"/>
      <w:bookmarkStart w:id="44" w:name="_Toc4613"/>
      <w:bookmarkStart w:id="45" w:name="_Toc8133"/>
      <w:r>
        <w:rPr>
          <w:rFonts w:ascii="Times New Roman" w:hAnsi="Times New Roman" w:eastAsia="仿宋_GB2312" w:cs="Times New Roman"/>
          <w:color w:val="auto"/>
        </w:rPr>
        <w:t>3.1人力资源</w:t>
      </w:r>
      <w:bookmarkEnd w:id="42"/>
      <w:bookmarkEnd w:id="43"/>
      <w:bookmarkEnd w:id="44"/>
      <w:bookmarkEnd w:id="45"/>
    </w:p>
    <w:p>
      <w:pPr>
        <w:tabs>
          <w:tab w:val="left" w:pos="840"/>
        </w:tabs>
        <w:ind w:firstLine="560" w:firstLineChars="200"/>
        <w:jc w:val="left"/>
        <w:rPr>
          <w:rFonts w:ascii="Times New Roman" w:hAnsi="Times New Roman" w:eastAsia="仿宋_GB2312" w:cs="Times New Roman"/>
          <w:color w:val="auto"/>
          <w:sz w:val="28"/>
          <w:szCs w:val="36"/>
        </w:rPr>
      </w:pPr>
      <w:r>
        <w:rPr>
          <w:rFonts w:ascii="Times New Roman" w:hAnsi="Times New Roman" w:eastAsia="仿宋_GB2312" w:cs="Times New Roman"/>
          <w:color w:val="auto"/>
          <w:sz w:val="28"/>
          <w:szCs w:val="28"/>
        </w:rPr>
        <w:t>为了应对公司生产可能发生的安全生产事故，公司成立了生产安全事故应急指挥部</w:t>
      </w:r>
      <w:r>
        <w:rPr>
          <w:rFonts w:ascii="Times New Roman" w:hAnsi="Times New Roman" w:eastAsia="仿宋_GB2312" w:cs="Times New Roman"/>
          <w:color w:val="auto"/>
          <w:sz w:val="28"/>
          <w:szCs w:val="36"/>
        </w:rPr>
        <w:t>，设置应急办公室，同时下设应急救援组、警戒疏散组、通讯联络组、环境监测组、后勤保障组等五个专业应急救援队伍。一旦发生事故，各应急救援队伍能在指挥部的指挥下快速有效地展开应急救援工作。</w:t>
      </w:r>
    </w:p>
    <w:p>
      <w:pPr>
        <w:pStyle w:val="4"/>
        <w:rPr>
          <w:rFonts w:ascii="Times New Roman" w:hAnsi="Times New Roman" w:eastAsia="仿宋_GB2312" w:cs="Times New Roman"/>
          <w:color w:val="auto"/>
        </w:rPr>
      </w:pPr>
      <w:bookmarkStart w:id="46" w:name="_Toc27024"/>
      <w:bookmarkStart w:id="47" w:name="_Toc31154"/>
      <w:bookmarkStart w:id="48" w:name="_Toc23984"/>
      <w:bookmarkStart w:id="49" w:name="_Toc52291747"/>
      <w:r>
        <w:rPr>
          <w:rFonts w:ascii="Times New Roman" w:hAnsi="Times New Roman" w:eastAsia="仿宋_GB2312" w:cs="Times New Roman"/>
          <w:color w:val="auto"/>
        </w:rPr>
        <w:t>3.1.1应急指挥</w:t>
      </w:r>
      <w:bookmarkEnd w:id="46"/>
      <w:bookmarkEnd w:id="47"/>
      <w:bookmarkEnd w:id="48"/>
      <w:r>
        <w:rPr>
          <w:rFonts w:ascii="Times New Roman" w:hAnsi="Times New Roman" w:eastAsia="仿宋_GB2312" w:cs="Times New Roman"/>
          <w:color w:val="auto"/>
        </w:rPr>
        <w:t>部</w:t>
      </w:r>
      <w:bookmarkEnd w:id="49"/>
    </w:p>
    <w:p>
      <w:pPr>
        <w:tabs>
          <w:tab w:val="left" w:pos="840"/>
        </w:tabs>
        <w:ind w:firstLine="560" w:firstLineChars="200"/>
        <w:jc w:val="left"/>
        <w:rPr>
          <w:rFonts w:ascii="Times New Roman" w:hAnsi="Times New Roman" w:eastAsia="仿宋_GB2312" w:cs="Times New Roman"/>
          <w:color w:val="auto"/>
          <w:sz w:val="28"/>
          <w:szCs w:val="36"/>
        </w:rPr>
      </w:pPr>
      <w:r>
        <w:rPr>
          <w:rFonts w:ascii="Times New Roman" w:hAnsi="Times New Roman" w:eastAsia="仿宋_GB2312" w:cs="Times New Roman"/>
          <w:color w:val="auto"/>
          <w:sz w:val="28"/>
          <w:szCs w:val="36"/>
        </w:rPr>
        <w:t>应急指挥中心总指挥由公司总经理担任，副总指挥由分管安全生产的副总担任，成员由各部门负责人组成。一旦发生事故，各成员能够根据总指挥的命令迅速按照各自的职责，指挥抢险队伍开展工作。</w:t>
      </w:r>
    </w:p>
    <w:p>
      <w:pPr>
        <w:pStyle w:val="4"/>
        <w:rPr>
          <w:rFonts w:ascii="Times New Roman" w:hAnsi="Times New Roman" w:eastAsia="仿宋_GB2312" w:cs="Times New Roman"/>
          <w:color w:val="auto"/>
        </w:rPr>
      </w:pPr>
      <w:bookmarkStart w:id="50" w:name="_Toc52291748"/>
      <w:r>
        <w:rPr>
          <w:rFonts w:ascii="Times New Roman" w:hAnsi="Times New Roman" w:eastAsia="仿宋_GB2312" w:cs="Times New Roman"/>
          <w:color w:val="auto"/>
        </w:rPr>
        <w:t>3.1.2应急办公室</w:t>
      </w:r>
      <w:bookmarkEnd w:id="50"/>
    </w:p>
    <w:p>
      <w:pPr>
        <w:tabs>
          <w:tab w:val="left" w:pos="840"/>
        </w:tabs>
        <w:ind w:firstLine="560" w:firstLineChars="200"/>
        <w:jc w:val="left"/>
        <w:rPr>
          <w:rFonts w:ascii="Times New Roman" w:hAnsi="Times New Roman" w:eastAsia="仿宋_GB2312" w:cs="Times New Roman"/>
          <w:color w:val="auto"/>
          <w:sz w:val="28"/>
          <w:szCs w:val="36"/>
        </w:rPr>
      </w:pPr>
      <w:r>
        <w:rPr>
          <w:rFonts w:ascii="Times New Roman" w:hAnsi="Times New Roman" w:eastAsia="仿宋_GB2312" w:cs="Times New Roman"/>
          <w:color w:val="auto"/>
          <w:sz w:val="28"/>
          <w:szCs w:val="36"/>
        </w:rPr>
        <w:t>应急办公室设置在安全环保质量部，负责日常应急工作具体实施管理，监督检查相关部门做好企业应急专业力量的配置和训练、应急物资的储备、应急流程的制定，同时负责公司消气防站应急力量的日常管理，保证企业的应急能力水平。</w:t>
      </w:r>
    </w:p>
    <w:p>
      <w:pPr>
        <w:pStyle w:val="4"/>
        <w:rPr>
          <w:rFonts w:ascii="Times New Roman" w:hAnsi="Times New Roman" w:eastAsia="仿宋_GB2312" w:cs="Times New Roman"/>
          <w:color w:val="auto"/>
        </w:rPr>
      </w:pPr>
      <w:bookmarkStart w:id="51" w:name="_Toc52291749"/>
      <w:bookmarkStart w:id="52" w:name="_Toc16456"/>
      <w:bookmarkStart w:id="53" w:name="_Toc26593"/>
      <w:bookmarkStart w:id="54" w:name="_Toc19689"/>
      <w:r>
        <w:rPr>
          <w:rFonts w:ascii="Times New Roman" w:hAnsi="Times New Roman" w:eastAsia="仿宋_GB2312" w:cs="Times New Roman"/>
          <w:color w:val="auto"/>
        </w:rPr>
        <w:t>3.1.3应急救援队伍</w:t>
      </w:r>
      <w:bookmarkEnd w:id="51"/>
      <w:bookmarkEnd w:id="52"/>
      <w:bookmarkEnd w:id="53"/>
      <w:bookmarkEnd w:id="54"/>
    </w:p>
    <w:p>
      <w:pPr>
        <w:tabs>
          <w:tab w:val="left" w:pos="840"/>
        </w:tabs>
        <w:ind w:firstLine="560" w:firstLineChars="200"/>
        <w:jc w:val="left"/>
        <w:rPr>
          <w:rFonts w:hint="default" w:ascii="Times New Roman" w:hAnsi="Times New Roman" w:eastAsia="仿宋_GB2312" w:cs="Times New Roman"/>
          <w:color w:val="auto"/>
          <w:sz w:val="28"/>
          <w:szCs w:val="36"/>
          <w:lang w:val="en-US" w:eastAsia="zh-CN"/>
        </w:rPr>
      </w:pPr>
      <w:r>
        <w:rPr>
          <w:rFonts w:ascii="Times New Roman" w:hAnsi="Times New Roman" w:eastAsia="仿宋_GB2312" w:cs="Times New Roman"/>
          <w:color w:val="auto"/>
          <w:sz w:val="28"/>
          <w:szCs w:val="36"/>
        </w:rPr>
        <w:t>应急救援队伍成员根据公司本职工作职责对应救援职责进行人员设置。</w:t>
      </w:r>
      <w:r>
        <w:rPr>
          <w:rFonts w:hint="eastAsia" w:ascii="Times New Roman" w:hAnsi="Times New Roman" w:eastAsia="仿宋_GB2312" w:cs="Times New Roman"/>
          <w:color w:val="auto"/>
          <w:sz w:val="28"/>
          <w:szCs w:val="36"/>
          <w:lang w:val="en-US" w:eastAsia="zh-CN"/>
        </w:rPr>
        <w:t>经3年的队伍磨合和实战，队伍运行情况良好。</w:t>
      </w:r>
    </w:p>
    <w:p>
      <w:pPr>
        <w:pStyle w:val="4"/>
        <w:rPr>
          <w:rFonts w:ascii="Times New Roman" w:hAnsi="Times New Roman" w:eastAsia="仿宋_GB2312" w:cs="Times New Roman"/>
          <w:color w:val="auto"/>
        </w:rPr>
      </w:pPr>
      <w:bookmarkStart w:id="55" w:name="_Toc52291750"/>
      <w:r>
        <w:rPr>
          <w:rFonts w:ascii="Times New Roman" w:hAnsi="Times New Roman" w:eastAsia="仿宋_GB2312" w:cs="Times New Roman"/>
          <w:color w:val="auto"/>
        </w:rPr>
        <w:t>3.1.4应急指挥部、应急救援队成员及外部资源联系电话</w:t>
      </w:r>
      <w:bookmarkEnd w:id="55"/>
    </w:p>
    <w:tbl>
      <w:tblPr>
        <w:tblStyle w:val="47"/>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234"/>
        <w:gridCol w:w="1083"/>
        <w:gridCol w:w="1583"/>
        <w:gridCol w:w="1384"/>
        <w:gridCol w:w="1250"/>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17" w:type="dxa"/>
            <w:vMerge w:val="restart"/>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类别</w:t>
            </w:r>
          </w:p>
        </w:tc>
        <w:tc>
          <w:tcPr>
            <w:tcW w:w="2317" w:type="dxa"/>
            <w:gridSpan w:val="2"/>
            <w:vMerge w:val="restart"/>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姓名</w:t>
            </w:r>
          </w:p>
        </w:tc>
        <w:tc>
          <w:tcPr>
            <w:tcW w:w="1583" w:type="dxa"/>
            <w:vMerge w:val="restart"/>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职务</w:t>
            </w:r>
          </w:p>
        </w:tc>
        <w:tc>
          <w:tcPr>
            <w:tcW w:w="2634" w:type="dxa"/>
            <w:gridSpan w:val="2"/>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联系方式</w:t>
            </w:r>
          </w:p>
        </w:tc>
        <w:tc>
          <w:tcPr>
            <w:tcW w:w="832" w:type="dxa"/>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17" w:type="dxa"/>
            <w:vMerge w:val="continue"/>
            <w:tcBorders>
              <w:bottom w:val="single" w:color="auto" w:sz="4" w:space="0"/>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2317" w:type="dxa"/>
            <w:gridSpan w:val="2"/>
            <w:vMerge w:val="continue"/>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583" w:type="dxa"/>
            <w:vMerge w:val="continue"/>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384" w:type="dxa"/>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手机</w:t>
            </w:r>
          </w:p>
        </w:tc>
        <w:tc>
          <w:tcPr>
            <w:tcW w:w="1250" w:type="dxa"/>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固定电话</w:t>
            </w:r>
          </w:p>
        </w:tc>
        <w:tc>
          <w:tcPr>
            <w:tcW w:w="832" w:type="dxa"/>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应急指挥部</w:t>
            </w:r>
          </w:p>
        </w:tc>
        <w:tc>
          <w:tcPr>
            <w:tcW w:w="1234"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总指挥</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李  枫</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董事长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13880669988</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副总指挥</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 xml:space="preserve">陶 </w:t>
            </w:r>
            <w:r>
              <w:rPr>
                <w:rFonts w:ascii="仿宋_GB2312" w:hAnsi="宋体" w:eastAsia="仿宋_GB2312" w:cs="Times New Roman"/>
                <w:color w:val="auto"/>
                <w:szCs w:val="21"/>
              </w:rPr>
              <w:t xml:space="preserve"> </w:t>
            </w:r>
            <w:r>
              <w:rPr>
                <w:rFonts w:hint="eastAsia" w:ascii="仿宋_GB2312" w:hAnsi="宋体" w:eastAsia="仿宋_GB2312" w:cs="Times New Roman"/>
                <w:color w:val="auto"/>
                <w:szCs w:val="21"/>
              </w:rPr>
              <w:t>旗</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总经理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13980980325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top w:val="nil"/>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现场指挥</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 xml:space="preserve">肖 </w:t>
            </w:r>
            <w:r>
              <w:rPr>
                <w:rFonts w:ascii="仿宋_GB2312" w:hAnsi="宋体" w:eastAsia="仿宋_GB2312" w:cs="Times New Roman"/>
                <w:color w:val="auto"/>
                <w:szCs w:val="21"/>
              </w:rPr>
              <w:t xml:space="preserve"> </w:t>
            </w:r>
            <w:r>
              <w:rPr>
                <w:rFonts w:hint="eastAsia" w:ascii="仿宋_GB2312" w:hAnsi="宋体" w:eastAsia="仿宋_GB2312" w:cs="Times New Roman"/>
                <w:color w:val="auto"/>
                <w:szCs w:val="21"/>
              </w:rPr>
              <w:t>云</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副总经理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13980693755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17" w:type="dxa"/>
            <w:tcBorders>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应急办公室</w:t>
            </w:r>
          </w:p>
        </w:tc>
        <w:tc>
          <w:tcPr>
            <w:tcW w:w="1234" w:type="dxa"/>
            <w:tcBorders>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主任</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曾天荣</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13982041823</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成员</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 xml:space="preserve">陈 </w:t>
            </w:r>
            <w:r>
              <w:rPr>
                <w:rFonts w:ascii="仿宋_GB2312" w:hAnsi="宋体" w:eastAsia="仿宋_GB2312" w:cs="Times New Roman"/>
                <w:color w:val="auto"/>
                <w:szCs w:val="21"/>
              </w:rPr>
              <w:t xml:space="preserve"> </w:t>
            </w:r>
            <w:r>
              <w:rPr>
                <w:rFonts w:hint="eastAsia" w:ascii="仿宋_GB2312" w:hAnsi="宋体" w:eastAsia="仿宋_GB2312" w:cs="Times New Roman"/>
                <w:color w:val="auto"/>
                <w:szCs w:val="21"/>
              </w:rPr>
              <w:t>忠</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部长助理</w:t>
            </w:r>
          </w:p>
        </w:tc>
        <w:tc>
          <w:tcPr>
            <w:tcW w:w="1384" w:type="dxa"/>
            <w:vAlign w:val="center"/>
          </w:tcPr>
          <w:p>
            <w:pPr>
              <w:autoSpaceDE w:val="0"/>
              <w:autoSpaceDN w:val="0"/>
              <w:adjustRightInd w:val="0"/>
              <w:spacing w:line="360" w:lineRule="auto"/>
              <w:outlineLvl w:val="9"/>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13882093311</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 xml:space="preserve">周 </w:t>
            </w:r>
            <w:r>
              <w:rPr>
                <w:rFonts w:ascii="仿宋_GB2312" w:hAnsi="宋体" w:eastAsia="仿宋_GB2312" w:cs="Times New Roman"/>
                <w:color w:val="auto"/>
                <w:szCs w:val="21"/>
              </w:rPr>
              <w:t xml:space="preserve"> </w:t>
            </w:r>
            <w:r>
              <w:rPr>
                <w:rFonts w:hint="eastAsia" w:ascii="仿宋_GB2312" w:hAnsi="宋体" w:eastAsia="仿宋_GB2312" w:cs="Times New Roman"/>
                <w:color w:val="auto"/>
                <w:szCs w:val="21"/>
              </w:rPr>
              <w:t>磊</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部长助理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13882201883</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hint="default" w:ascii="仿宋_GB2312" w:hAnsi="宋体" w:eastAsia="仿宋_GB2312" w:cs="Times New Roman"/>
                <w:color w:val="auto"/>
                <w:szCs w:val="21"/>
                <w:lang w:val="en-US" w:eastAsia="zh-CN"/>
              </w:rPr>
            </w:pPr>
            <w:r>
              <w:rPr>
                <w:rFonts w:hint="eastAsia" w:ascii="仿宋_GB2312" w:hAnsi="宋体" w:eastAsia="仿宋_GB2312" w:cs="Times New Roman"/>
                <w:color w:val="auto"/>
                <w:szCs w:val="21"/>
                <w:lang w:val="en-US" w:eastAsia="zh-CN"/>
              </w:rPr>
              <w:t>张云辉</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职业卫生管理</w:t>
            </w:r>
          </w:p>
        </w:tc>
        <w:tc>
          <w:tcPr>
            <w:tcW w:w="1384" w:type="dxa"/>
            <w:vAlign w:val="center"/>
          </w:tcPr>
          <w:p>
            <w:pPr>
              <w:autoSpaceDE w:val="0"/>
              <w:autoSpaceDN w:val="0"/>
              <w:adjustRightInd w:val="0"/>
              <w:spacing w:line="360" w:lineRule="auto"/>
              <w:outlineLvl w:val="9"/>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15982422082</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 xml:space="preserve">杜 </w:t>
            </w:r>
            <w:r>
              <w:rPr>
                <w:rFonts w:ascii="仿宋_GB2312" w:hAnsi="宋体" w:eastAsia="仿宋_GB2312" w:cs="Times New Roman"/>
                <w:color w:val="auto"/>
                <w:szCs w:val="21"/>
              </w:rPr>
              <w:t xml:space="preserve"> </w:t>
            </w:r>
            <w:r>
              <w:rPr>
                <w:rFonts w:hint="eastAsia" w:ascii="仿宋_GB2312" w:hAnsi="宋体" w:eastAsia="仿宋_GB2312" w:cs="Times New Roman"/>
                <w:color w:val="auto"/>
                <w:szCs w:val="21"/>
              </w:rPr>
              <w:t>波</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安全管理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15884519990</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陈明军</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消防管理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13696237075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唐  云</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安全管理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13688433797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徐  杨</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安全环保管理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13594224767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薛昌军</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安全管理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18990751921</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top w:val="nil"/>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 xml:space="preserve">王 </w:t>
            </w:r>
            <w:r>
              <w:rPr>
                <w:rFonts w:ascii="仿宋_GB2312" w:hAnsi="宋体" w:eastAsia="仿宋_GB2312" w:cs="Times New Roman"/>
                <w:color w:val="auto"/>
                <w:szCs w:val="21"/>
              </w:rPr>
              <w:t xml:space="preserve"> </w:t>
            </w:r>
            <w:r>
              <w:rPr>
                <w:rFonts w:hint="eastAsia" w:ascii="仿宋_GB2312" w:hAnsi="宋体" w:eastAsia="仿宋_GB2312" w:cs="Times New Roman"/>
                <w:color w:val="auto"/>
                <w:szCs w:val="21"/>
              </w:rPr>
              <w:t>刘</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安全管理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18282039131</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专家咨询组</w:t>
            </w:r>
          </w:p>
        </w:tc>
        <w:tc>
          <w:tcPr>
            <w:tcW w:w="1234"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肖  云</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副总经理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13980693755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李  燕</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高级顾问</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13890851997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成员</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李楚玉</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Times New Roman" w:eastAsia="仿宋_GB2312" w:cs="Times New Roman"/>
                <w:color w:val="auto"/>
                <w:szCs w:val="21"/>
              </w:rPr>
              <w:t>技术总监</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18181129988</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tcBorders>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应急救援组</w:t>
            </w:r>
          </w:p>
        </w:tc>
        <w:tc>
          <w:tcPr>
            <w:tcW w:w="1234" w:type="dxa"/>
            <w:tcBorders>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任永祥</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副总经理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18908096866</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kern w:val="2"/>
                <w:sz w:val="21"/>
                <w:szCs w:val="21"/>
                <w:lang w:val="en-US" w:eastAsia="zh-CN" w:bidi="ar-SA"/>
              </w:rPr>
            </w:pPr>
            <w:r>
              <w:rPr>
                <w:rFonts w:hint="eastAsia" w:ascii="仿宋_GB2312" w:hAnsi="宋体" w:eastAsia="仿宋_GB2312" w:cs="Times New Roman"/>
                <w:color w:val="auto"/>
                <w:szCs w:val="21"/>
              </w:rPr>
              <w:t>陈  云</w:t>
            </w:r>
          </w:p>
        </w:tc>
        <w:tc>
          <w:tcPr>
            <w:tcW w:w="1583" w:type="dxa"/>
            <w:vAlign w:val="center"/>
          </w:tcPr>
          <w:p>
            <w:pPr>
              <w:autoSpaceDE w:val="0"/>
              <w:autoSpaceDN w:val="0"/>
              <w:adjustRightInd w:val="0"/>
              <w:spacing w:line="360" w:lineRule="auto"/>
              <w:outlineLvl w:val="9"/>
              <w:rPr>
                <w:rFonts w:hint="eastAsia" w:ascii="仿宋_GB2312" w:hAnsi="宋体" w:eastAsia="仿宋_GB2312" w:cs="Times New Roman"/>
                <w:color w:val="auto"/>
                <w:kern w:val="2"/>
                <w:sz w:val="21"/>
                <w:szCs w:val="21"/>
                <w:lang w:val="en-US" w:eastAsia="zh-CN" w:bidi="ar-SA"/>
              </w:rPr>
            </w:pPr>
            <w:r>
              <w:rPr>
                <w:rFonts w:hint="eastAsia" w:ascii="仿宋_GB2312" w:hAnsi="宋体" w:eastAsia="仿宋_GB2312" w:cs="Times New Roman"/>
                <w:color w:val="auto"/>
                <w:szCs w:val="21"/>
                <w:lang w:val="en-US" w:eastAsia="zh-CN"/>
              </w:rPr>
              <w:t>副</w:t>
            </w:r>
            <w:r>
              <w:rPr>
                <w:rFonts w:hint="eastAsia" w:ascii="仿宋_GB2312" w:hAnsi="宋体" w:eastAsia="仿宋_GB2312" w:cs="Times New Roman"/>
                <w:color w:val="auto"/>
                <w:szCs w:val="21"/>
              </w:rPr>
              <w:t>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szCs w:val="21"/>
              </w:rPr>
              <w:t>13880813899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hint="eastAsia" w:ascii="仿宋_GB2312" w:hAnsi="宋体" w:eastAsia="仿宋_GB2312" w:cs="Times New Roman"/>
                <w:color w:val="auto"/>
                <w:szCs w:val="21"/>
              </w:rPr>
            </w:pPr>
            <w:r>
              <w:rPr>
                <w:rFonts w:hint="eastAsia" w:ascii="仿宋_GB2312" w:hAnsi="Times New Roman" w:eastAsia="仿宋_GB2312" w:cs="Times New Roman"/>
                <w:color w:val="auto"/>
                <w:szCs w:val="21"/>
              </w:rPr>
              <w:t>周  健</w:t>
            </w:r>
          </w:p>
        </w:tc>
        <w:tc>
          <w:tcPr>
            <w:tcW w:w="1583" w:type="dxa"/>
            <w:vAlign w:val="center"/>
          </w:tcPr>
          <w:p>
            <w:pPr>
              <w:spacing w:line="360" w:lineRule="auto"/>
              <w:outlineLvl w:val="9"/>
              <w:rPr>
                <w:rFonts w:hint="eastAsia" w:ascii="仿宋_GB2312" w:hAnsi="宋体" w:eastAsia="仿宋_GB2312" w:cs="Times New Roman"/>
                <w:color w:val="auto"/>
                <w:szCs w:val="21"/>
                <w:lang w:val="en-US" w:eastAsia="zh-CN"/>
              </w:rPr>
            </w:pPr>
            <w:r>
              <w:rPr>
                <w:rFonts w:hint="eastAsia" w:ascii="仿宋_GB2312" w:hAnsi="宋体" w:eastAsia="仿宋_GB2312" w:cs="Times New Roman"/>
                <w:color w:val="auto"/>
                <w:szCs w:val="21"/>
                <w:lang w:val="en-US" w:eastAsia="zh-CN"/>
              </w:rPr>
              <w:t>副</w:t>
            </w:r>
            <w:r>
              <w:rPr>
                <w:rFonts w:hint="eastAsia" w:ascii="仿宋_GB2312" w:hAnsi="宋体" w:eastAsia="仿宋_GB2312" w:cs="Times New Roman"/>
                <w:color w:val="auto"/>
                <w:szCs w:val="21"/>
              </w:rPr>
              <w:t>部长</w:t>
            </w:r>
          </w:p>
        </w:tc>
        <w:tc>
          <w:tcPr>
            <w:tcW w:w="1384" w:type="dxa"/>
            <w:vAlign w:val="center"/>
          </w:tcPr>
          <w:p>
            <w:pPr>
              <w:spacing w:line="360" w:lineRule="auto"/>
              <w:jc w:val="center"/>
              <w:outlineLvl w:val="9"/>
              <w:rPr>
                <w:rFonts w:hint="eastAsia" w:ascii="Times New Roman" w:hAnsi="Times New Roman" w:eastAsia="仿宋_GB2312" w:cs="Times New Roman"/>
                <w:color w:val="auto"/>
                <w:szCs w:val="21"/>
              </w:rPr>
            </w:pPr>
            <w:r>
              <w:rPr>
                <w:rFonts w:hint="eastAsia" w:ascii="Times New Roman" w:hAnsi="Times New Roman" w:eastAsia="仿宋_GB2312" w:cs="Times New Roman"/>
                <w:color w:val="auto"/>
                <w:szCs w:val="21"/>
              </w:rPr>
              <w:t>15882998957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hint="eastAsia" w:ascii="仿宋_GB2312" w:hAnsi="宋体" w:eastAsia="仿宋_GB2312" w:cs="Times New Roman"/>
                <w:color w:val="auto"/>
                <w:szCs w:val="21"/>
                <w:lang w:val="en-US" w:eastAsia="zh-CN"/>
              </w:rPr>
            </w:pPr>
            <w:r>
              <w:rPr>
                <w:rFonts w:hint="eastAsia" w:ascii="仿宋_GB2312" w:hAnsi="宋体" w:eastAsia="仿宋_GB2312" w:cs="Times New Roman"/>
                <w:color w:val="auto"/>
                <w:szCs w:val="21"/>
                <w:lang w:val="en-US" w:eastAsia="zh-CN"/>
              </w:rPr>
              <w:t>成员</w:t>
            </w: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汤家泽</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13990765715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吴明卿</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15182966933</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张玉德</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工段长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13540212715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王晓萍</w:t>
            </w:r>
          </w:p>
        </w:tc>
        <w:tc>
          <w:tcPr>
            <w:tcW w:w="1583" w:type="dxa"/>
            <w:vAlign w:val="center"/>
          </w:tcPr>
          <w:p>
            <w:pPr>
              <w:autoSpaceDE w:val="0"/>
              <w:autoSpaceDN w:val="0"/>
              <w:adjustRightInd w:val="0"/>
              <w:spacing w:line="360" w:lineRule="auto"/>
              <w:outlineLvl w:val="9"/>
              <w:rPr>
                <w:rFonts w:hint="eastAsia" w:ascii="仿宋_GB2312" w:hAnsi="宋体" w:eastAsia="仿宋_GB2312" w:cs="Times New Roman"/>
                <w:color w:val="auto"/>
                <w:szCs w:val="21"/>
                <w:lang w:val="en-US" w:eastAsia="zh-CN"/>
              </w:rPr>
            </w:pPr>
            <w:r>
              <w:rPr>
                <w:rFonts w:hint="eastAsia" w:ascii="仿宋_GB2312" w:hAnsi="宋体" w:eastAsia="仿宋_GB2312" w:cs="Times New Roman"/>
                <w:color w:val="auto"/>
                <w:szCs w:val="21"/>
                <w:lang w:val="en-US" w:eastAsia="zh-CN"/>
              </w:rPr>
              <w:t>副</w:t>
            </w:r>
            <w:r>
              <w:rPr>
                <w:rFonts w:hint="eastAsia" w:ascii="仿宋_GB2312" w:hAnsi="宋体" w:eastAsia="仿宋_GB2312" w:cs="Times New Roman"/>
                <w:color w:val="auto"/>
                <w:szCs w:val="21"/>
              </w:rPr>
              <w:t>段</w:t>
            </w:r>
            <w:r>
              <w:rPr>
                <w:rFonts w:hint="eastAsia" w:ascii="仿宋_GB2312" w:hAnsi="宋体" w:eastAsia="仿宋_GB2312" w:cs="Times New Roman"/>
                <w:color w:val="auto"/>
                <w:szCs w:val="21"/>
                <w:lang w:val="en-US" w:eastAsia="zh-CN"/>
              </w:rPr>
              <w:t>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13880205682</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陈明军</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消防管理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13696237075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唐  云</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安全管理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13688433797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郑智友</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设备管理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13309076215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王光润</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工艺管理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13408177750</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蒋道波</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电气管理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13881815688</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617"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曾义勇</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仪表管理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13568853789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7" w:type="dxa"/>
            <w:tcBorders>
              <w:top w:val="nil"/>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李海鑫</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仪表管理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15023770404</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医疗救护组</w:t>
            </w:r>
          </w:p>
        </w:tc>
        <w:tc>
          <w:tcPr>
            <w:tcW w:w="1234" w:type="dxa"/>
            <w:tcBorders>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夏  耘</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副总经理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15680866777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何晓康</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19960856665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Times New Roman" w:eastAsia="仿宋_GB2312" w:cs="Times New Roman"/>
                <w:color w:val="auto"/>
                <w:szCs w:val="21"/>
              </w:rPr>
              <w:t>余  华</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支部书记</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13989196878</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成员</w:t>
            </w: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任永斌</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13830879889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 xml:space="preserve">徐 </w:t>
            </w:r>
            <w:r>
              <w:rPr>
                <w:rFonts w:ascii="仿宋_GB2312" w:hAnsi="Times New Roman" w:eastAsia="仿宋_GB2312" w:cs="Times New Roman"/>
                <w:color w:val="auto"/>
                <w:szCs w:val="21"/>
              </w:rPr>
              <w:t xml:space="preserve"> </w:t>
            </w:r>
            <w:r>
              <w:rPr>
                <w:rFonts w:hint="eastAsia" w:ascii="仿宋_GB2312" w:hAnsi="Times New Roman" w:eastAsia="仿宋_GB2312" w:cs="Times New Roman"/>
                <w:color w:val="auto"/>
                <w:szCs w:val="21"/>
              </w:rPr>
              <w:t>斌</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15984801512</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尹贵强</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13990832447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谢仕君</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13096131918</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single" w:color="auto" w:sz="4" w:space="0"/>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崔建平</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18227375890</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警戒疏散组</w:t>
            </w:r>
          </w:p>
        </w:tc>
        <w:tc>
          <w:tcPr>
            <w:tcW w:w="1234" w:type="dxa"/>
            <w:tcBorders>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曾天荣</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13982041823</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Times New Roman" w:eastAsia="仿宋_GB2312" w:cs="Times New Roman"/>
                <w:color w:val="auto"/>
                <w:szCs w:val="21"/>
              </w:rPr>
              <w:t>李佳金</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车间主任</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15908273317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 xml:space="preserve">陈 </w:t>
            </w:r>
            <w:r>
              <w:rPr>
                <w:rFonts w:ascii="仿宋_GB2312" w:hAnsi="宋体" w:eastAsia="仿宋_GB2312" w:cs="Times New Roman"/>
                <w:color w:val="auto"/>
                <w:szCs w:val="21"/>
              </w:rPr>
              <w:t xml:space="preserve"> </w:t>
            </w:r>
            <w:r>
              <w:rPr>
                <w:rFonts w:hint="eastAsia" w:ascii="仿宋_GB2312" w:hAnsi="宋体" w:eastAsia="仿宋_GB2312" w:cs="Times New Roman"/>
                <w:color w:val="auto"/>
                <w:szCs w:val="21"/>
              </w:rPr>
              <w:t>忠</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部长助理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lang w:val="en-US" w:eastAsia="zh-CN"/>
              </w:rPr>
              <w:t>13882093311</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成员</w:t>
            </w: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蒲  浩</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15181730155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张云辉</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安全</w:t>
            </w:r>
            <w:r>
              <w:rPr>
                <w:rFonts w:ascii="仿宋_GB2312" w:hAnsi="Times New Roman" w:eastAsia="仿宋_GB2312" w:cs="Times New Roman"/>
                <w:color w:val="auto"/>
                <w:szCs w:val="21"/>
              </w:rPr>
              <w:t>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15982422082</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薛昌军</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安全管理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18990751921</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contextualSpacing/>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姚  力</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消气防管理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15818502937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single" w:color="auto" w:sz="4" w:space="0"/>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contextualSpacing/>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龙  海</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消气防管理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17358662686</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现场搜救组</w:t>
            </w:r>
          </w:p>
        </w:tc>
        <w:tc>
          <w:tcPr>
            <w:tcW w:w="1234" w:type="dxa"/>
            <w:tcBorders>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黄  涛</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15228135082</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微软雅黑" w:eastAsia="仿宋_GB2312" w:cs="微软雅黑"/>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程正勇</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15881702228</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微软雅黑" w:eastAsia="仿宋_GB2312" w:cs="微软雅黑"/>
                <w:color w:val="auto"/>
                <w:szCs w:val="21"/>
              </w:rPr>
            </w:pPr>
          </w:p>
        </w:tc>
        <w:tc>
          <w:tcPr>
            <w:tcW w:w="1234" w:type="dxa"/>
            <w:tcBorders>
              <w:top w:val="nil"/>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Times New Roman" w:eastAsia="仿宋_GB2312" w:cs="Times New Roman"/>
                <w:color w:val="auto"/>
                <w:szCs w:val="21"/>
              </w:rPr>
              <w:t>江昌城</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车间主任</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15181721732</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微软雅黑" w:eastAsia="仿宋_GB2312" w:cs="微软雅黑"/>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成员</w:t>
            </w: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肖朝辉</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lang w:val="en-US" w:eastAsia="zh-CN"/>
              </w:rPr>
              <w:t>副</w:t>
            </w:r>
            <w:r>
              <w:rPr>
                <w:rFonts w:hint="eastAsia" w:ascii="仿宋_GB2312" w:hAnsi="Times New Roman" w:eastAsia="仿宋_GB2312" w:cs="Times New Roman"/>
                <w:color w:val="auto"/>
                <w:szCs w:val="21"/>
              </w:rPr>
              <w:t>部长</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17394976156</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微软雅黑" w:eastAsia="仿宋_GB2312" w:cs="微软雅黑"/>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罗德军</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电气管理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18990879949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微软雅黑" w:eastAsia="仿宋_GB2312" w:cs="微软雅黑"/>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冯孟林</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13665915519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微软雅黑" w:eastAsia="仿宋_GB2312" w:cs="微软雅黑"/>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谢  琰</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工艺管理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13320771165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微软雅黑" w:eastAsia="仿宋_GB2312" w:cs="微软雅黑"/>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contextualSpacing/>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李  刚</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消气防管理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13668179660</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single" w:color="auto" w:sz="4" w:space="0"/>
            </w:tcBorders>
            <w:vAlign w:val="center"/>
          </w:tcPr>
          <w:p>
            <w:pPr>
              <w:autoSpaceDE w:val="0"/>
              <w:autoSpaceDN w:val="0"/>
              <w:adjustRightInd w:val="0"/>
              <w:spacing w:line="360" w:lineRule="auto"/>
              <w:jc w:val="center"/>
              <w:outlineLvl w:val="9"/>
              <w:rPr>
                <w:rFonts w:ascii="仿宋_GB2312" w:hAnsi="微软雅黑" w:eastAsia="仿宋_GB2312" w:cs="微软雅黑"/>
                <w:color w:val="auto"/>
                <w:szCs w:val="21"/>
              </w:rPr>
            </w:pPr>
          </w:p>
        </w:tc>
        <w:tc>
          <w:tcPr>
            <w:tcW w:w="1234" w:type="dxa"/>
            <w:tcBorders>
              <w:top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contextualSpacing/>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黄仁涛</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消气防管理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15928706091</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环境监测组</w:t>
            </w:r>
          </w:p>
        </w:tc>
        <w:tc>
          <w:tcPr>
            <w:tcW w:w="1234"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蒋文明</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车间主任</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13990899169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周  磊</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部长助理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13882201883</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kern w:val="2"/>
                <w:sz w:val="21"/>
                <w:szCs w:val="21"/>
                <w:lang w:val="en-US" w:eastAsia="zh-CN" w:bidi="ar-SA"/>
              </w:rPr>
            </w:pPr>
            <w:r>
              <w:rPr>
                <w:rFonts w:hint="eastAsia" w:ascii="仿宋_GB2312" w:hAnsi="宋体" w:eastAsia="仿宋_GB2312" w:cs="Times New Roman"/>
                <w:color w:val="auto"/>
                <w:szCs w:val="21"/>
              </w:rPr>
              <w:t>成员</w:t>
            </w: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杜  波</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安全管理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15884519990</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single" w:color="auto" w:sz="4" w:space="0"/>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 xml:space="preserve">徐 </w:t>
            </w:r>
            <w:r>
              <w:rPr>
                <w:rFonts w:ascii="仿宋_GB2312" w:hAnsi="Times New Roman" w:eastAsia="仿宋_GB2312" w:cs="Times New Roman"/>
                <w:color w:val="auto"/>
                <w:szCs w:val="21"/>
              </w:rPr>
              <w:t xml:space="preserve"> </w:t>
            </w:r>
            <w:r>
              <w:rPr>
                <w:rFonts w:hint="eastAsia" w:ascii="仿宋_GB2312" w:hAnsi="Times New Roman" w:eastAsia="仿宋_GB2312" w:cs="Times New Roman"/>
                <w:color w:val="auto"/>
                <w:szCs w:val="21"/>
              </w:rPr>
              <w:t>杨</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环保管理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13594224767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后勤保障组</w:t>
            </w:r>
          </w:p>
        </w:tc>
        <w:tc>
          <w:tcPr>
            <w:tcW w:w="1234" w:type="dxa"/>
            <w:tcBorders>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 xml:space="preserve">唐 </w:t>
            </w:r>
            <w:r>
              <w:rPr>
                <w:rFonts w:ascii="仿宋_GB2312" w:hAnsi="宋体" w:eastAsia="仿宋_GB2312" w:cs="Times New Roman"/>
                <w:color w:val="auto"/>
                <w:szCs w:val="21"/>
              </w:rPr>
              <w:t xml:space="preserve"> </w:t>
            </w:r>
            <w:r>
              <w:rPr>
                <w:rFonts w:hint="eastAsia" w:ascii="仿宋_GB2312" w:hAnsi="宋体" w:eastAsia="仿宋_GB2312" w:cs="Times New Roman"/>
                <w:color w:val="auto"/>
                <w:szCs w:val="21"/>
              </w:rPr>
              <w:t>勇</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副总经理</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18508301277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杨道金</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13668187890</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Times New Roman" w:eastAsia="仿宋_GB2312" w:cs="Times New Roman"/>
                <w:color w:val="auto"/>
                <w:szCs w:val="21"/>
              </w:rPr>
              <w:t>白春艳</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车间主任</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13909078828</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成员</w:t>
            </w: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马业华</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13890786502</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nil"/>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田  锋</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设备管理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17308107953</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tcBorders>
              <w:top w:val="nil"/>
              <w:bottom w:val="single" w:color="auto" w:sz="4" w:space="0"/>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contextualSpacing/>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吴燕超</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治安、保卫</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15729600190</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restart"/>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通讯联络组</w:t>
            </w:r>
          </w:p>
        </w:tc>
        <w:tc>
          <w:tcPr>
            <w:tcW w:w="1234" w:type="dxa"/>
            <w:tcBorders>
              <w:bottom w:val="single" w:color="auto" w:sz="4" w:space="0"/>
            </w:tcBorders>
            <w:vAlign w:val="center"/>
          </w:tcPr>
          <w:p>
            <w:pPr>
              <w:autoSpaceDE w:val="0"/>
              <w:autoSpaceDN w:val="0"/>
              <w:adjustRightInd w:val="0"/>
              <w:spacing w:line="360" w:lineRule="auto"/>
              <w:outlineLvl w:val="9"/>
              <w:rPr>
                <w:rFonts w:hint="default" w:ascii="仿宋_GB2312" w:hAnsi="宋体" w:eastAsia="仿宋_GB2312" w:cs="Times New Roman"/>
                <w:color w:val="auto"/>
                <w:kern w:val="2"/>
                <w:sz w:val="21"/>
                <w:szCs w:val="21"/>
                <w:lang w:val="en-US" w:eastAsia="zh-CN" w:bidi="ar-SA"/>
              </w:rPr>
            </w:pPr>
            <w:r>
              <w:rPr>
                <w:rFonts w:hint="eastAsia" w:ascii="仿宋_GB2312" w:hAnsi="宋体" w:eastAsia="仿宋_GB2312" w:cs="Times New Roman"/>
                <w:color w:val="auto"/>
                <w:szCs w:val="21"/>
                <w:lang w:val="en-US" w:eastAsia="zh-CN"/>
              </w:rPr>
              <w:t>组长</w:t>
            </w:r>
          </w:p>
        </w:tc>
        <w:tc>
          <w:tcPr>
            <w:tcW w:w="1083" w:type="dxa"/>
            <w:vAlign w:val="center"/>
          </w:tcPr>
          <w:p>
            <w:pPr>
              <w:autoSpaceDE w:val="0"/>
              <w:autoSpaceDN w:val="0"/>
              <w:adjustRightInd w:val="0"/>
              <w:spacing w:line="360" w:lineRule="auto"/>
              <w:outlineLvl w:val="9"/>
              <w:rPr>
                <w:rFonts w:hint="eastAsia" w:ascii="仿宋_GB2312" w:hAnsi="宋体" w:eastAsia="仿宋_GB2312" w:cs="Times New Roman"/>
                <w:strike/>
                <w:dstrike w:val="0"/>
                <w:color w:val="auto"/>
                <w:kern w:val="2"/>
                <w:sz w:val="21"/>
                <w:szCs w:val="21"/>
                <w:lang w:val="en-US" w:eastAsia="zh-CN" w:bidi="ar-SA"/>
              </w:rPr>
            </w:pPr>
            <w:r>
              <w:rPr>
                <w:rFonts w:hint="eastAsia" w:ascii="仿宋_GB2312" w:hAnsi="宋体" w:eastAsia="仿宋_GB2312" w:cs="Times New Roman"/>
                <w:strike w:val="0"/>
                <w:dstrike w:val="0"/>
                <w:color w:val="auto"/>
                <w:szCs w:val="21"/>
                <w:lang w:val="en-US" w:eastAsia="zh-CN"/>
              </w:rPr>
              <w:t>王瑶娟</w:t>
            </w:r>
          </w:p>
        </w:tc>
        <w:tc>
          <w:tcPr>
            <w:tcW w:w="1583" w:type="dxa"/>
            <w:vAlign w:val="center"/>
          </w:tcPr>
          <w:p>
            <w:pPr>
              <w:autoSpaceDE w:val="0"/>
              <w:autoSpaceDN w:val="0"/>
              <w:adjustRightInd w:val="0"/>
              <w:spacing w:line="360" w:lineRule="auto"/>
              <w:outlineLvl w:val="9"/>
              <w:rPr>
                <w:rFonts w:hint="eastAsia" w:ascii="仿宋_GB2312" w:hAnsi="宋体" w:eastAsia="仿宋_GB2312" w:cs="Times New Roman"/>
                <w:strike/>
                <w:dstrike w:val="0"/>
                <w:color w:val="auto"/>
                <w:kern w:val="2"/>
                <w:sz w:val="21"/>
                <w:szCs w:val="21"/>
                <w:lang w:val="en-US" w:eastAsia="zh-CN" w:bidi="ar-SA"/>
              </w:rPr>
            </w:pPr>
            <w:r>
              <w:rPr>
                <w:rFonts w:hint="eastAsia" w:ascii="仿宋_GB2312" w:hAnsi="宋体" w:eastAsia="仿宋_GB2312" w:cs="Times New Roman"/>
                <w:strike w:val="0"/>
                <w:dstrike w:val="0"/>
                <w:color w:val="auto"/>
                <w:szCs w:val="21"/>
                <w:lang w:val="en-US" w:eastAsia="zh-CN"/>
              </w:rPr>
              <w:t>副部长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strike/>
                <w:dstrike w:val="0"/>
                <w:color w:val="auto"/>
                <w:kern w:val="2"/>
                <w:sz w:val="21"/>
                <w:szCs w:val="21"/>
                <w:lang w:val="en-US" w:eastAsia="zh-CN" w:bidi="ar-SA"/>
              </w:rPr>
            </w:pPr>
            <w:r>
              <w:rPr>
                <w:rFonts w:ascii="微软雅黑" w:hAnsi="微软雅黑" w:eastAsia="微软雅黑" w:cs="微软雅黑"/>
                <w:strike w:val="0"/>
                <w:color w:val="auto"/>
                <w:sz w:val="18"/>
                <w:szCs w:val="18"/>
              </w:rPr>
              <w:t>13036562388</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continue"/>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single" w:color="auto" w:sz="4" w:space="0"/>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宋  阳</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18080027025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continue"/>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成员</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章  欣</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信息化</w:t>
            </w:r>
            <w:r>
              <w:rPr>
                <w:rFonts w:ascii="仿宋_GB2312" w:hAnsi="宋体" w:eastAsia="仿宋_GB2312" w:cs="Times New Roman"/>
                <w:color w:val="auto"/>
                <w:szCs w:val="21"/>
              </w:rPr>
              <w:t>建设</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19982827909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continue"/>
            <w:tcBorders>
              <w:bottom w:val="single" w:color="auto" w:sz="4" w:space="0"/>
            </w:tcBorders>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p>
        </w:tc>
        <w:tc>
          <w:tcPr>
            <w:tcW w:w="1234" w:type="dxa"/>
            <w:tcBorders>
              <w:top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王  刘</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安全管理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18282039131</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restart"/>
            <w:vAlign w:val="center"/>
          </w:tcPr>
          <w:p>
            <w:pPr>
              <w:autoSpaceDE w:val="0"/>
              <w:autoSpaceDN w:val="0"/>
              <w:adjustRightInd w:val="0"/>
              <w:spacing w:line="360" w:lineRule="auto"/>
              <w:jc w:val="center"/>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善后处理组</w:t>
            </w:r>
          </w:p>
        </w:tc>
        <w:tc>
          <w:tcPr>
            <w:tcW w:w="1234" w:type="dxa"/>
            <w:tcBorders>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彭  颗</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财务总监</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13558767023</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continue"/>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副组长</w:t>
            </w:r>
          </w:p>
        </w:tc>
        <w:tc>
          <w:tcPr>
            <w:tcW w:w="10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李  忠</w:t>
            </w:r>
          </w:p>
        </w:tc>
        <w:tc>
          <w:tcPr>
            <w:tcW w:w="1583"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副部长</w:t>
            </w:r>
          </w:p>
        </w:tc>
        <w:tc>
          <w:tcPr>
            <w:tcW w:w="1384" w:type="dxa"/>
            <w:vAlign w:val="center"/>
          </w:tcPr>
          <w:p>
            <w:pPr>
              <w:autoSpaceDE w:val="0"/>
              <w:autoSpaceDN w:val="0"/>
              <w:adjustRightInd w:val="0"/>
              <w:spacing w:line="360" w:lineRule="auto"/>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18980505959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continue"/>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single" w:color="auto" w:sz="4" w:space="0"/>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裴  爽</w:t>
            </w:r>
          </w:p>
        </w:tc>
        <w:tc>
          <w:tcPr>
            <w:tcW w:w="1583" w:type="dxa"/>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支部书记</w:t>
            </w:r>
          </w:p>
        </w:tc>
        <w:tc>
          <w:tcPr>
            <w:tcW w:w="1384" w:type="dxa"/>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13508081699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continue"/>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r>
              <w:rPr>
                <w:rFonts w:hint="eastAsia" w:ascii="仿宋_GB2312" w:hAnsi="宋体" w:eastAsia="仿宋_GB2312" w:cs="Times New Roman"/>
                <w:color w:val="auto"/>
                <w:szCs w:val="21"/>
              </w:rPr>
              <w:t>成员</w:t>
            </w: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熊  斌</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13890808383</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continue"/>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汤家泽</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13990765715</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continue"/>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bottom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范  英</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车间副主任</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15182915917</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7" w:type="dxa"/>
            <w:vMerge w:val="continue"/>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234" w:type="dxa"/>
            <w:tcBorders>
              <w:top w:val="nil"/>
            </w:tcBorders>
            <w:vAlign w:val="center"/>
          </w:tcPr>
          <w:p>
            <w:pPr>
              <w:autoSpaceDE w:val="0"/>
              <w:autoSpaceDN w:val="0"/>
              <w:adjustRightInd w:val="0"/>
              <w:spacing w:line="360" w:lineRule="auto"/>
              <w:outlineLvl w:val="9"/>
              <w:rPr>
                <w:rFonts w:ascii="仿宋_GB2312" w:hAnsi="宋体" w:eastAsia="仿宋_GB2312" w:cs="Times New Roman"/>
                <w:color w:val="auto"/>
                <w:szCs w:val="21"/>
              </w:rPr>
            </w:pPr>
          </w:p>
        </w:tc>
        <w:tc>
          <w:tcPr>
            <w:tcW w:w="10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税  炬</w:t>
            </w:r>
          </w:p>
        </w:tc>
        <w:tc>
          <w:tcPr>
            <w:tcW w:w="1583" w:type="dxa"/>
            <w:vAlign w:val="center"/>
          </w:tcPr>
          <w:p>
            <w:pPr>
              <w:spacing w:line="360" w:lineRule="auto"/>
              <w:outlineLvl w:val="9"/>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土建管理</w:t>
            </w:r>
          </w:p>
        </w:tc>
        <w:tc>
          <w:tcPr>
            <w:tcW w:w="1384" w:type="dxa"/>
            <w:vAlign w:val="center"/>
          </w:tcPr>
          <w:p>
            <w:pPr>
              <w:spacing w:line="360" w:lineRule="auto"/>
              <w:jc w:val="center"/>
              <w:outlineLvl w:val="9"/>
              <w:rPr>
                <w:rFonts w:ascii="Times New Roman" w:hAnsi="Times New Roman" w:eastAsia="仿宋_GB2312" w:cs="Times New Roman"/>
                <w:color w:val="auto"/>
                <w:szCs w:val="21"/>
              </w:rPr>
            </w:pPr>
            <w:r>
              <w:rPr>
                <w:rFonts w:ascii="Times New Roman" w:hAnsi="Times New Roman" w:eastAsia="仿宋_GB2312" w:cs="Times New Roman"/>
                <w:color w:val="auto"/>
                <w:szCs w:val="21"/>
              </w:rPr>
              <w:t>15881288279</w:t>
            </w:r>
          </w:p>
        </w:tc>
        <w:tc>
          <w:tcPr>
            <w:tcW w:w="1250"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c>
          <w:tcPr>
            <w:tcW w:w="832" w:type="dxa"/>
            <w:vAlign w:val="center"/>
          </w:tcPr>
          <w:p>
            <w:pPr>
              <w:autoSpaceDE w:val="0"/>
              <w:autoSpaceDN w:val="0"/>
              <w:adjustRightInd w:val="0"/>
              <w:spacing w:line="360" w:lineRule="auto"/>
              <w:outlineLvl w:val="9"/>
              <w:rPr>
                <w:rFonts w:ascii="仿宋_GB2312" w:hAnsi="宋体" w:eastAsia="仿宋_GB2312" w:cs="Times New Roman"/>
                <w:color w:val="auto"/>
                <w:sz w:val="24"/>
                <w:szCs w:val="24"/>
              </w:rPr>
            </w:pPr>
          </w:p>
        </w:tc>
      </w:tr>
    </w:tbl>
    <w:p>
      <w:pPr>
        <w:rPr>
          <w:rFonts w:ascii="Times New Roman" w:hAnsi="Times New Roman" w:eastAsia="仿宋_GB2312" w:cs="Times New Roman"/>
          <w:color w:val="auto"/>
        </w:rPr>
      </w:pPr>
    </w:p>
    <w:p>
      <w:pPr>
        <w:pStyle w:val="3"/>
        <w:rPr>
          <w:rFonts w:ascii="Times New Roman" w:hAnsi="Times New Roman" w:eastAsia="仿宋_GB2312" w:cs="Times New Roman"/>
          <w:color w:val="auto"/>
        </w:rPr>
      </w:pPr>
      <w:bookmarkStart w:id="56" w:name="_Toc20449"/>
      <w:bookmarkStart w:id="57" w:name="_Toc52291751"/>
      <w:bookmarkStart w:id="58" w:name="_Toc10752"/>
      <w:bookmarkStart w:id="59" w:name="_Toc20809"/>
      <w:r>
        <w:rPr>
          <w:rFonts w:ascii="Times New Roman" w:hAnsi="Times New Roman" w:eastAsia="仿宋_GB2312" w:cs="Times New Roman"/>
          <w:color w:val="auto"/>
        </w:rPr>
        <w:t>3.2应急物资及应急装备</w:t>
      </w:r>
      <w:bookmarkEnd w:id="56"/>
      <w:bookmarkEnd w:id="57"/>
      <w:bookmarkEnd w:id="58"/>
      <w:bookmarkEnd w:id="59"/>
    </w:p>
    <w:p>
      <w:pPr>
        <w:pStyle w:val="4"/>
        <w:rPr>
          <w:rFonts w:ascii="Times New Roman" w:hAnsi="Times New Roman" w:eastAsia="仿宋_GB2312" w:cs="Times New Roman"/>
          <w:color w:val="auto"/>
        </w:rPr>
      </w:pPr>
      <w:bookmarkStart w:id="60" w:name="_Toc19694"/>
      <w:bookmarkStart w:id="61" w:name="_Toc28195"/>
      <w:bookmarkStart w:id="62" w:name="_Toc8439"/>
      <w:bookmarkStart w:id="63" w:name="_Toc52291752"/>
      <w:r>
        <w:rPr>
          <w:rFonts w:ascii="Times New Roman" w:hAnsi="Times New Roman" w:eastAsia="仿宋_GB2312" w:cs="Times New Roman"/>
          <w:color w:val="auto"/>
        </w:rPr>
        <w:t>3.2.1 应急物资</w:t>
      </w:r>
      <w:bookmarkEnd w:id="60"/>
      <w:bookmarkEnd w:id="61"/>
      <w:bookmarkEnd w:id="62"/>
      <w:r>
        <w:rPr>
          <w:rFonts w:ascii="Times New Roman" w:hAnsi="Times New Roman" w:eastAsia="仿宋_GB2312" w:cs="Times New Roman"/>
          <w:color w:val="auto"/>
        </w:rPr>
        <w:t>及装备</w:t>
      </w:r>
      <w:bookmarkEnd w:id="63"/>
    </w:p>
    <w:p>
      <w:pPr>
        <w:tabs>
          <w:tab w:val="left" w:pos="840"/>
        </w:tabs>
        <w:jc w:val="center"/>
        <w:rPr>
          <w:rFonts w:ascii="Times New Roman" w:hAnsi="Times New Roman" w:eastAsia="仿宋_GB2312" w:cs="Times New Roman"/>
          <w:color w:val="auto"/>
          <w:sz w:val="28"/>
          <w:szCs w:val="36"/>
        </w:rPr>
      </w:pPr>
      <w:r>
        <w:rPr>
          <w:rFonts w:ascii="Times New Roman" w:hAnsi="Times New Roman" w:eastAsia="仿宋_GB2312" w:cs="Times New Roman"/>
          <w:color w:val="auto"/>
          <w:sz w:val="28"/>
          <w:szCs w:val="36"/>
        </w:rPr>
        <w:t>表3.2-1 应急物资及装备</w:t>
      </w:r>
    </w:p>
    <w:tbl>
      <w:tblPr>
        <w:tblStyle w:val="22"/>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924"/>
        <w:gridCol w:w="1452"/>
        <w:gridCol w:w="2778"/>
        <w:gridCol w:w="1351"/>
        <w:gridCol w:w="1303"/>
        <w:gridCol w:w="168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单位</w:t>
            </w:r>
          </w:p>
        </w:tc>
        <w:tc>
          <w:tcPr>
            <w:tcW w:w="1452"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区域</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名称</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数量</w:t>
            </w:r>
          </w:p>
        </w:tc>
        <w:tc>
          <w:tcPr>
            <w:tcW w:w="1303"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责任人</w:t>
            </w:r>
          </w:p>
        </w:tc>
        <w:tc>
          <w:tcPr>
            <w:tcW w:w="168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联系电话</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公司</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房库</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气密防化服</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4套</w:t>
            </w:r>
          </w:p>
        </w:tc>
        <w:tc>
          <w:tcPr>
            <w:tcW w:w="1303"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熊师辉</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18382981772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气密隔热服</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避火服</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速降自锁装置</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4ea</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移动供气装置</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高压呼吸空气压缩机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空气呼吸器（6.8L）</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8套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自吸式长管呼吸器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10ea</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便携式风向测速仪</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2ea</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热释先个人检测计量计</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25ea</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便携式心肺复苏机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2ea</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被褥和担架</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4ea</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躯干和肢体的真空气囊</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4ea</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综合急救箱</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1ea</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办公区</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川A0867Q（小车）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1辆</w:t>
            </w:r>
          </w:p>
        </w:tc>
        <w:tc>
          <w:tcPr>
            <w:tcW w:w="1303"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程正勇</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15881702228</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川A0277Q（小车）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1辆</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川A37MC0小车）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1辆</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川A86P31（商务车）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1辆</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川RVB698（商务车）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1辆</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川A52800（中巴车）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1辆</w:t>
            </w:r>
          </w:p>
        </w:tc>
        <w:tc>
          <w:tcPr>
            <w:tcW w:w="1303"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杨道金</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13668187890</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大巴车（49座）</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1辆</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氧化</w:t>
            </w:r>
          </w:p>
          <w:p>
            <w:pPr>
              <w:rPr>
                <w:rFonts w:ascii="Times New Roman" w:hAnsi="Times New Roman" w:eastAsia="仿宋_GB2312" w:cs="Times New Roman"/>
                <w:color w:val="auto"/>
              </w:rPr>
            </w:pPr>
            <w:r>
              <w:rPr>
                <w:rFonts w:ascii="Times New Roman" w:hAnsi="Times New Roman" w:eastAsia="仿宋_GB2312" w:cs="Times New Roman"/>
                <w:color w:val="auto"/>
              </w:rPr>
              <w:t>车间</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车间办公区域</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正压式空气呼吸器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4套</w:t>
            </w:r>
          </w:p>
        </w:tc>
        <w:tc>
          <w:tcPr>
            <w:tcW w:w="1303" w:type="dxa"/>
            <w:vMerge w:val="restart"/>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rPr>
              <w:t>李佳金</w:t>
            </w:r>
          </w:p>
        </w:tc>
        <w:tc>
          <w:tcPr>
            <w:tcW w:w="1685" w:type="dxa"/>
            <w:vMerge w:val="restart"/>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rPr>
              <w:t>17313728528</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化学防护服（防酸碱）</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安全警戒带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2盘</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防爆对讲机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5台/班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防爆手机</w:t>
            </w:r>
          </w:p>
        </w:tc>
        <w:tc>
          <w:tcPr>
            <w:tcW w:w="1351" w:type="dxa"/>
            <w:vAlign w:val="center"/>
          </w:tcPr>
          <w:p>
            <w:pP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9个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4把/班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医药急救箱</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班组</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安全绳</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3根</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黄色有帽防护服</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15套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烫伤膏</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正压式空气呼吸器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防爆对讲机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5台/班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4把/班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10部</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堵漏工具</w:t>
            </w:r>
          </w:p>
        </w:tc>
        <w:tc>
          <w:tcPr>
            <w:tcW w:w="1351" w:type="dxa"/>
            <w:vAlign w:val="center"/>
          </w:tcPr>
          <w:p>
            <w:pP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2套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个人</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防酸碱手套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过滤式防毒面具（半面罩）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 套/人</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护目镜</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 xml:space="preserve">1副/人 </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防颗粒物口罩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 xml:space="preserve">1个/人 </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防噪声弹性耳塞</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 xml:space="preserve">1副/人 </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安全帽</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1顶/人</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装置现场</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推车式干粉灭火罐</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8个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1017具</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室外消火栓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17</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风向标</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消防炮</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16个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室外消火栓箱</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消防泡沫栓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防爆型手动报警按钮</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室外型手动报警按钮</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 xml:space="preserve"> 火灾防爆型火焰探测器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风向标</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广播器（大喇叭）</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冲淋洗眼设施</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19个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应急标识、标语警示牌</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50个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防爆型手动报警按钮</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废弃排放设备</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精制</w:t>
            </w:r>
          </w:p>
          <w:p>
            <w:pPr>
              <w:rPr>
                <w:rFonts w:ascii="Times New Roman" w:hAnsi="Times New Roman" w:eastAsia="仿宋_GB2312" w:cs="Times New Roman"/>
                <w:color w:val="auto"/>
              </w:rPr>
            </w:pPr>
            <w:r>
              <w:rPr>
                <w:rFonts w:ascii="Times New Roman" w:hAnsi="Times New Roman" w:eastAsia="仿宋_GB2312" w:cs="Times New Roman"/>
                <w:color w:val="auto"/>
              </w:rPr>
              <w:t>车间</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车间办公区域</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正压式空气呼吸器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4具</w:t>
            </w:r>
          </w:p>
        </w:tc>
        <w:tc>
          <w:tcPr>
            <w:tcW w:w="1303"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江昌城</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19982828368</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化学防护服（防酸碱）</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安全警戒带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100米</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护目镜</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防酸碱手套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过滤式防毒面具（半面罩）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防颗粒物口罩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11副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防冲击眼罩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23副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hint="default" w:ascii="Times New Roman" w:hAnsi="Times New Roman" w:eastAsia="仿宋_GB2312" w:cs="Times New Roman"/>
                <w:color w:val="auto"/>
                <w:kern w:val="2"/>
                <w:sz w:val="21"/>
                <w:szCs w:val="22"/>
                <w:lang w:val="en-US" w:eastAsia="zh-CN" w:bidi="ar-SA"/>
              </w:rPr>
            </w:pPr>
            <w:r>
              <w:rPr>
                <w:rFonts w:hint="eastAsia" w:ascii="Times New Roman" w:hAnsi="Times New Roman" w:eastAsia="仿宋_GB2312" w:cs="Times New Roman"/>
                <w:color w:val="auto"/>
                <w:lang w:val="en-US" w:eastAsia="zh-CN"/>
              </w:rPr>
              <w:t>防爆手机</w:t>
            </w:r>
          </w:p>
        </w:tc>
        <w:tc>
          <w:tcPr>
            <w:tcW w:w="1351" w:type="dxa"/>
            <w:vAlign w:val="center"/>
          </w:tcPr>
          <w:p>
            <w:pPr>
              <w:rPr>
                <w:rFonts w:hint="default" w:ascii="Times New Roman" w:hAnsi="Times New Roman" w:eastAsia="仿宋_GB2312" w:cs="Times New Roman"/>
                <w:color w:val="auto"/>
                <w:kern w:val="2"/>
                <w:sz w:val="21"/>
                <w:szCs w:val="22"/>
                <w:lang w:val="en-US" w:eastAsia="zh-CN" w:bidi="ar-SA"/>
              </w:rPr>
            </w:pPr>
            <w:r>
              <w:rPr>
                <w:rFonts w:hint="eastAsia" w:ascii="Times New Roman" w:hAnsi="Times New Roman" w:eastAsia="仿宋_GB2312" w:cs="Times New Roman"/>
                <w:color w:val="auto"/>
                <w:lang w:val="en-US" w:eastAsia="zh-CN"/>
              </w:rPr>
              <w:t>9个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班组</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安全带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专用工具（防爆F型铜扳手）</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5把/班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应急处置工具箱</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1个/班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防酸碱手套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10副/班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安全警戒带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2盘/班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劳保手套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20双/班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堵漏工具</w:t>
            </w:r>
          </w:p>
        </w:tc>
        <w:tc>
          <w:tcPr>
            <w:tcW w:w="1351" w:type="dxa"/>
            <w:vAlign w:val="center"/>
          </w:tcPr>
          <w:p>
            <w:pP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2套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个人</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护目镜</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 副/人</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防颗粒物口罩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49片</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防冲击眼罩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49副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防噪声弹性耳塞</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49副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安全帽</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49顶</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外操室</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防爆对讲机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5台/班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过滤式防毒面具（半面罩）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化学防护服（防酸碱）</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9套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自吸过滤式防毒面具过滤元件</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ST系列防尘面具专用片</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26片</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4把/班</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报警固定电话</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9部</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便携式可燃气体分析仪</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医药急救箱</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便携式防辐射计量仪</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装置现场</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污水池</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9个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风向标</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防爆电话</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10部</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广播器（大喇叭）</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冲淋洗眼设施</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8个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应急标识、标语</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危险警示牌</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150个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防爆型手动报警按钮</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声光报警按钮</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公用</w:t>
            </w:r>
          </w:p>
          <w:p>
            <w:pPr>
              <w:rPr>
                <w:rFonts w:ascii="Times New Roman" w:hAnsi="Times New Roman" w:eastAsia="仿宋_GB2312" w:cs="Times New Roman"/>
                <w:color w:val="auto"/>
              </w:rPr>
            </w:pPr>
            <w:r>
              <w:rPr>
                <w:rFonts w:ascii="Times New Roman" w:hAnsi="Times New Roman" w:eastAsia="仿宋_GB2312" w:cs="Times New Roman"/>
                <w:color w:val="auto"/>
              </w:rPr>
              <w:t>车间</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车间</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出入口标识牌</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w:t>
            </w:r>
          </w:p>
        </w:tc>
        <w:tc>
          <w:tcPr>
            <w:tcW w:w="1303" w:type="dxa"/>
            <w:vMerge w:val="restart"/>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rPr>
              <w:t>余  华</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 xml:space="preserve">13989196878 </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危险警示牌</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86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急救包</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防爆对讲机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lang w:val="en-US" w:eastAsia="zh-CN"/>
              </w:rPr>
              <w:t>防爆手机</w:t>
            </w:r>
          </w:p>
        </w:tc>
        <w:tc>
          <w:tcPr>
            <w:tcW w:w="1351" w:type="dxa"/>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lang w:val="en-US" w:eastAsia="zh-CN"/>
              </w:rPr>
              <w:t>9个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安全带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防护眼镜</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耳塞</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胶鞋</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空压站、</w:t>
            </w:r>
          </w:p>
          <w:p>
            <w:pPr>
              <w:rPr>
                <w:rFonts w:ascii="Times New Roman" w:hAnsi="Times New Roman" w:eastAsia="仿宋_GB2312" w:cs="Times New Roman"/>
                <w:color w:val="auto"/>
              </w:rPr>
            </w:pPr>
            <w:r>
              <w:rPr>
                <w:rFonts w:ascii="Times New Roman" w:hAnsi="Times New Roman" w:eastAsia="仿宋_GB2312" w:cs="Times New Roman"/>
                <w:color w:val="auto"/>
              </w:rPr>
              <w:t>综合水站</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18</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室外消火栓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脱盐水、</w:t>
            </w:r>
          </w:p>
          <w:p>
            <w:pPr>
              <w:rPr>
                <w:rFonts w:ascii="Times New Roman" w:hAnsi="Times New Roman" w:eastAsia="仿宋_GB2312" w:cs="Times New Roman"/>
                <w:color w:val="auto"/>
              </w:rPr>
            </w:pPr>
            <w:r>
              <w:rPr>
                <w:rFonts w:ascii="Times New Roman" w:hAnsi="Times New Roman" w:eastAsia="仿宋_GB2312" w:cs="Times New Roman"/>
                <w:color w:val="auto"/>
              </w:rPr>
              <w:t>循环水区域</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空气呼吸器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化学防护服</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防化围裙</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耐酸碱手套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过滤式防毒面具（半面罩）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 xml:space="preserve">滤毒盒 P-A-1 </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86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室外消火栓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7</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洗眼器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面屏组</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制氢装置</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风向标</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18</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室外消火栓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洗眼器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储运</w:t>
            </w:r>
          </w:p>
          <w:p>
            <w:pPr>
              <w:rPr>
                <w:rFonts w:ascii="Times New Roman" w:hAnsi="Times New Roman" w:eastAsia="仿宋_GB2312" w:cs="Times New Roman"/>
                <w:color w:val="auto"/>
              </w:rPr>
            </w:pPr>
            <w:r>
              <w:rPr>
                <w:rFonts w:ascii="Times New Roman" w:hAnsi="Times New Roman" w:eastAsia="仿宋_GB2312" w:cs="Times New Roman"/>
                <w:color w:val="auto"/>
              </w:rPr>
              <w:t>车间</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车间</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防爆电话</w:t>
            </w:r>
          </w:p>
        </w:tc>
        <w:tc>
          <w:tcPr>
            <w:tcW w:w="1351" w:type="dxa"/>
            <w:vAlign w:val="center"/>
          </w:tcPr>
          <w:p>
            <w:pPr>
              <w:rPr>
                <w:rFonts w:hint="eastAsia" w:ascii="Times New Roman" w:hAnsi="Times New Roman" w:eastAsia="仿宋_GB2312" w:cs="Times New Roman"/>
                <w:color w:val="auto"/>
                <w:lang w:eastAsia="zh-CN"/>
              </w:rPr>
            </w:pPr>
            <w:r>
              <w:rPr>
                <w:rFonts w:hint="eastAsia" w:ascii="Times New Roman" w:hAnsi="Times New Roman" w:eastAsia="仿宋_GB2312" w:cs="Times New Roman"/>
                <w:color w:val="auto"/>
                <w:lang w:val="en-US" w:eastAsia="zh-CN"/>
              </w:rPr>
              <w:t>9</w:t>
            </w:r>
          </w:p>
        </w:tc>
        <w:tc>
          <w:tcPr>
            <w:tcW w:w="1303"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白春艳</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17381397056</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防爆对讲机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班组</w:t>
            </w: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警戒带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灭火毯</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化学防护服</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便携式防爆灯具</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防爆F扳手</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18</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防爆活动扳手</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堵漏工具</w:t>
            </w:r>
          </w:p>
        </w:tc>
        <w:tc>
          <w:tcPr>
            <w:tcW w:w="1351" w:type="dxa"/>
            <w:vAlign w:val="center"/>
          </w:tcPr>
          <w:p>
            <w:pP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空气呼吸器 巴固C900、梅思安G-F-24</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个人</w:t>
            </w: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过滤式防毒面具（全面罩）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滤毒罐（防有机气体）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过滤式防毒面具（半面罩）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滤毒罐（防有机气体）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过滤式防毒面具（半面罩）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滤毒罐（防有机气体）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76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化学防护手套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防护眼镜</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47</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耳塞</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47</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安全帽</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47</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装置现场</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洗眼器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风向标</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防汛专用沙袋</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消防铲</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室外地上消火栓S150/80-1.6</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泡沫消火栓 PS150/80</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消火栓箱</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二氧化碳灭火器 MT/5</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干粉灭火器 MFZ/ABC4</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干粉灭火器 MFZ/ABC8</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异径接口</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消防水枪</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38</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泡沫水枪</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消防扳手</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消防桶</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化验</w:t>
            </w:r>
          </w:p>
          <w:p>
            <w:pPr>
              <w:rPr>
                <w:rFonts w:ascii="Times New Roman" w:hAnsi="Times New Roman" w:eastAsia="仿宋_GB2312" w:cs="Times New Roman"/>
                <w:color w:val="auto"/>
              </w:rPr>
            </w:pPr>
            <w:r>
              <w:rPr>
                <w:rFonts w:ascii="Times New Roman" w:hAnsi="Times New Roman" w:eastAsia="仿宋_GB2312" w:cs="Times New Roman"/>
                <w:color w:val="auto"/>
              </w:rPr>
              <w:t>车间</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中心化验楼</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防毒面罩（半面罩）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33</w:t>
            </w:r>
          </w:p>
        </w:tc>
        <w:tc>
          <w:tcPr>
            <w:tcW w:w="1303"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蒋文明</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13990899169</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布手套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推车式干粉灭火罐</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38</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可燃气体探测器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编码感烟探测器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编码感烟探测器（防爆型）</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编码手动报警按钮</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声光报警器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O2气体探测器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对讲机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lang w:val="en-US" w:eastAsia="zh-CN"/>
              </w:rPr>
              <w:t>防爆手机</w:t>
            </w:r>
          </w:p>
        </w:tc>
        <w:tc>
          <w:tcPr>
            <w:tcW w:w="1351" w:type="dxa"/>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lang w:val="en-US" w:eastAsia="zh-CN"/>
              </w:rPr>
              <w:t>16个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胶鞋</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急救包</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警戒带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应急报警器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应急标识、标语</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出入口标识牌</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危险警示牌</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仪电</w:t>
            </w:r>
          </w:p>
          <w:p>
            <w:pPr>
              <w:rPr>
                <w:rFonts w:ascii="Times New Roman" w:hAnsi="Times New Roman" w:eastAsia="仿宋_GB2312" w:cs="Times New Roman"/>
                <w:color w:val="auto"/>
              </w:rPr>
            </w:pPr>
            <w:r>
              <w:rPr>
                <w:rFonts w:ascii="Times New Roman" w:hAnsi="Times New Roman" w:eastAsia="仿宋_GB2312" w:cs="Times New Roman"/>
                <w:color w:val="auto"/>
              </w:rPr>
              <w:t>车间</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车间</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对讲机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w:t>
            </w:r>
          </w:p>
        </w:tc>
        <w:tc>
          <w:tcPr>
            <w:tcW w:w="1303" w:type="dxa"/>
            <w:vMerge w:val="restart"/>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rPr>
              <w:t>裴  爽</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13508081699</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lang w:val="en-US" w:eastAsia="zh-CN"/>
              </w:rPr>
              <w:t>防爆手机</w:t>
            </w:r>
          </w:p>
        </w:tc>
        <w:tc>
          <w:tcPr>
            <w:tcW w:w="1351" w:type="dxa"/>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lang w:val="en-US" w:eastAsia="zh-CN"/>
              </w:rPr>
              <w:t>12个</w:t>
            </w:r>
          </w:p>
        </w:tc>
        <w:tc>
          <w:tcPr>
            <w:tcW w:w="1303" w:type="dxa"/>
            <w:vMerge w:val="continue"/>
            <w:vAlign w:val="center"/>
          </w:tcPr>
          <w:p>
            <w:pPr>
              <w:rPr>
                <w:rFonts w:hint="eastAsia"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防毒半面罩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耐酸碱防护服</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急救包</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装置现场</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手提式CO2灭火器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114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雨淋阀组</w:t>
            </w:r>
          </w:p>
        </w:tc>
        <w:tc>
          <w:tcPr>
            <w:tcW w:w="1351" w:type="dxa"/>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tcPr>
          <w:p>
            <w:pPr>
              <w:rPr>
                <w:rFonts w:ascii="Times New Roman" w:hAnsi="Times New Roman" w:eastAsia="仿宋_GB2312" w:cs="Times New Roman"/>
                <w:color w:val="auto"/>
              </w:rPr>
            </w:pPr>
            <w:r>
              <w:rPr>
                <w:rFonts w:ascii="Times New Roman" w:hAnsi="Times New Roman" w:eastAsia="仿宋_GB2312" w:cs="Times New Roman"/>
                <w:color w:val="auto"/>
              </w:rPr>
              <w:t>喷淋装置</w:t>
            </w:r>
          </w:p>
        </w:tc>
        <w:tc>
          <w:tcPr>
            <w:tcW w:w="1351" w:type="dxa"/>
          </w:tcPr>
          <w:p>
            <w:pPr>
              <w:rPr>
                <w:rFonts w:ascii="Times New Roman" w:hAnsi="Times New Roman" w:eastAsia="仿宋_GB2312" w:cs="Times New Roman"/>
                <w:color w:val="auto"/>
              </w:rPr>
            </w:pPr>
            <w:r>
              <w:rPr>
                <w:rFonts w:ascii="Times New Roman" w:hAnsi="Times New Roman" w:eastAsia="仿宋_GB2312" w:cs="Times New Roman"/>
                <w:color w:val="auto"/>
              </w:rPr>
              <w:t>2　</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辅助</w:t>
            </w:r>
          </w:p>
          <w:p>
            <w:pPr>
              <w:rPr>
                <w:rFonts w:ascii="Times New Roman" w:hAnsi="Times New Roman" w:eastAsia="仿宋_GB2312" w:cs="Times New Roman"/>
                <w:color w:val="auto"/>
              </w:rPr>
            </w:pPr>
            <w:r>
              <w:rPr>
                <w:rFonts w:ascii="Times New Roman" w:hAnsi="Times New Roman" w:eastAsia="仿宋_GB2312" w:cs="Times New Roman"/>
                <w:color w:val="auto"/>
              </w:rPr>
              <w:t>工段</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工段</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对讲机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12（部）</w:t>
            </w:r>
          </w:p>
        </w:tc>
        <w:tc>
          <w:tcPr>
            <w:tcW w:w="1303" w:type="dxa"/>
            <w:vMerge w:val="restart"/>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rPr>
              <w:t>张玉德</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13540212715</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1（支）</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防静电鞋</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41（双）</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防毒面罩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27（个）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自给式空气呼吸器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3（具）</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hint="eastAsia" w:ascii="Times New Roman" w:hAnsi="Times New Roman" w:eastAsia="仿宋_GB2312" w:cs="Times New Roman"/>
                <w:color w:val="auto"/>
              </w:rPr>
              <w:t>R2R装置</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布手套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41（双）</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铁锹</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3（把）</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17（卷）</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70（具）</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17（个）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危险警示牌</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25（块）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应急标识、标语</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2（块）</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焚烧装置</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防化围裙</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top"/>
          </w:tcPr>
          <w:p>
            <w:pPr>
              <w:rPr>
                <w:rFonts w:ascii="Times New Roman" w:hAnsi="Times New Roman" w:eastAsia="仿宋_GB2312" w:cs="Times New Roman"/>
                <w:color w:val="auto"/>
              </w:rPr>
            </w:pPr>
            <w:r>
              <w:rPr>
                <w:rFonts w:ascii="Times New Roman" w:hAnsi="Times New Roman" w:eastAsia="仿宋_GB2312" w:cs="Times New Roman"/>
                <w:color w:val="auto"/>
              </w:rPr>
              <w:t>耐酸碱手套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过滤式防毒面具（半面罩）</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 xml:space="preserve">滤毒盒 P-A-1 </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风向标</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手提式二氧化碳灭火器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7</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室外消火栓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7</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洗眼器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面屏组</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采购</w:t>
            </w:r>
          </w:p>
          <w:p>
            <w:pPr>
              <w:rPr>
                <w:rFonts w:ascii="Times New Roman" w:hAnsi="Times New Roman" w:eastAsia="仿宋_GB2312" w:cs="Times New Roman"/>
                <w:color w:val="auto"/>
              </w:rPr>
            </w:pPr>
            <w:r>
              <w:rPr>
                <w:rFonts w:ascii="Times New Roman" w:hAnsi="Times New Roman" w:eastAsia="仿宋_GB2312" w:cs="Times New Roman"/>
                <w:color w:val="auto"/>
              </w:rPr>
              <w:t>部</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库房</w:t>
            </w: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应急标识、标语</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28</w:t>
            </w:r>
          </w:p>
        </w:tc>
        <w:tc>
          <w:tcPr>
            <w:tcW w:w="1303"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赵  辉</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18695261573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危险警示牌</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应急报警器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16</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应急电源</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警戒带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1盒</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消防栓</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20个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32盘</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对讲机</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6台</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布手套</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16双</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闪光警示灯</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9</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52个</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力庆</w:t>
            </w:r>
          </w:p>
          <w:p>
            <w:pPr>
              <w:rPr>
                <w:rFonts w:ascii="Times New Roman" w:hAnsi="Times New Roman" w:eastAsia="仿宋_GB2312" w:cs="Times New Roman"/>
                <w:color w:val="auto"/>
              </w:rPr>
            </w:pPr>
            <w:r>
              <w:rPr>
                <w:rFonts w:ascii="Times New Roman" w:hAnsi="Times New Roman" w:eastAsia="仿宋_GB2312" w:cs="Times New Roman"/>
                <w:color w:val="auto"/>
              </w:rPr>
              <w:t>公司</w:t>
            </w: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物资存放处</w:t>
            </w: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对讲机</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7</w:t>
            </w:r>
          </w:p>
        </w:tc>
        <w:tc>
          <w:tcPr>
            <w:tcW w:w="1303"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王  煜</w:t>
            </w:r>
          </w:p>
        </w:tc>
        <w:tc>
          <w:tcPr>
            <w:tcW w:w="1685"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13880045782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防爆手电筒</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胶鞋</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150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防火毯</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布手套</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500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急救包</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警戒带</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外伤常用药品</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防毒面罩</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30</w:t>
            </w:r>
          </w:p>
        </w:tc>
        <w:tc>
          <w:tcPr>
            <w:tcW w:w="1303" w:type="dxa"/>
            <w:vMerge w:val="continue"/>
            <w:shd w:val="clear" w:color="auto" w:fill="auto"/>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布手套</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500</w:t>
            </w:r>
          </w:p>
        </w:tc>
        <w:tc>
          <w:tcPr>
            <w:tcW w:w="1303" w:type="dxa"/>
            <w:vMerge w:val="continue"/>
            <w:shd w:val="clear" w:color="auto" w:fill="auto"/>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restart"/>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现场</w:t>
            </w: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铁锹</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消防水带</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47</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354</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消防栓</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48</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风向标</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应急报警器</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924" w:type="dxa"/>
            <w:vMerge w:val="continue"/>
            <w:vAlign w:val="center"/>
          </w:tcPr>
          <w:p>
            <w:pPr>
              <w:rPr>
                <w:rFonts w:ascii="Times New Roman" w:hAnsi="Times New Roman" w:eastAsia="仿宋_GB2312" w:cs="Times New Roman"/>
                <w:color w:val="auto"/>
              </w:rPr>
            </w:pPr>
          </w:p>
        </w:tc>
        <w:tc>
          <w:tcPr>
            <w:tcW w:w="1452" w:type="dxa"/>
            <w:vMerge w:val="continue"/>
            <w:vAlign w:val="center"/>
          </w:tcPr>
          <w:p>
            <w:pPr>
              <w:rPr>
                <w:rFonts w:ascii="Times New Roman" w:hAnsi="Times New Roman" w:eastAsia="仿宋_GB2312" w:cs="Times New Roman"/>
                <w:color w:val="auto"/>
              </w:rPr>
            </w:pPr>
          </w:p>
        </w:tc>
        <w:tc>
          <w:tcPr>
            <w:tcW w:w="2778"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应急标识、标语</w:t>
            </w:r>
          </w:p>
        </w:tc>
        <w:tc>
          <w:tcPr>
            <w:tcW w:w="1351" w:type="dxa"/>
            <w:shd w:val="clear" w:color="auto" w:fill="auto"/>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30</w:t>
            </w:r>
          </w:p>
        </w:tc>
        <w:tc>
          <w:tcPr>
            <w:tcW w:w="1303" w:type="dxa"/>
            <w:vMerge w:val="continue"/>
            <w:vAlign w:val="center"/>
          </w:tcPr>
          <w:p>
            <w:pPr>
              <w:rPr>
                <w:rFonts w:ascii="Times New Roman" w:hAnsi="Times New Roman" w:eastAsia="仿宋_GB2312" w:cs="Times New Roman"/>
                <w:color w:val="auto"/>
              </w:rPr>
            </w:pPr>
          </w:p>
        </w:tc>
        <w:tc>
          <w:tcPr>
            <w:tcW w:w="1685" w:type="dxa"/>
            <w:vMerge w:val="continue"/>
            <w:vAlign w:val="center"/>
          </w:tcPr>
          <w:p>
            <w:pPr>
              <w:rPr>
                <w:rFonts w:ascii="Times New Roman" w:hAnsi="Times New Roman" w:eastAsia="仿宋_GB2312" w:cs="Times New Roman"/>
                <w:color w:val="auto"/>
              </w:rPr>
            </w:pPr>
          </w:p>
        </w:tc>
      </w:tr>
    </w:tbl>
    <w:p>
      <w:pPr>
        <w:rPr>
          <w:rFonts w:ascii="Times New Roman" w:hAnsi="Times New Roman" w:eastAsia="仿宋_GB2312" w:cs="Times New Roman"/>
          <w:color w:val="auto"/>
        </w:rPr>
      </w:pPr>
    </w:p>
    <w:p>
      <w:pPr>
        <w:pStyle w:val="4"/>
        <w:rPr>
          <w:rFonts w:ascii="Times New Roman" w:hAnsi="Times New Roman" w:eastAsia="仿宋_GB2312" w:cs="Times New Roman"/>
          <w:color w:val="auto"/>
        </w:rPr>
      </w:pPr>
      <w:bookmarkStart w:id="64" w:name="_Toc15477"/>
      <w:bookmarkStart w:id="65" w:name="_Toc4236"/>
      <w:bookmarkStart w:id="66" w:name="_Toc9037"/>
      <w:bookmarkStart w:id="67" w:name="_Toc52291753"/>
      <w:r>
        <w:rPr>
          <w:rFonts w:ascii="Times New Roman" w:hAnsi="Times New Roman" w:eastAsia="仿宋_GB2312" w:cs="Times New Roman"/>
          <w:color w:val="auto"/>
        </w:rPr>
        <w:t>3.2.2</w:t>
      </w:r>
      <w:bookmarkEnd w:id="64"/>
      <w:bookmarkEnd w:id="65"/>
      <w:bookmarkEnd w:id="66"/>
      <w:r>
        <w:rPr>
          <w:rFonts w:ascii="Times New Roman" w:hAnsi="Times New Roman" w:eastAsia="仿宋_GB2312" w:cs="Times New Roman"/>
          <w:color w:val="auto"/>
        </w:rPr>
        <w:t>消防设施</w:t>
      </w:r>
      <w:bookmarkEnd w:id="67"/>
    </w:p>
    <w:p>
      <w:pPr>
        <w:tabs>
          <w:tab w:val="left" w:pos="840"/>
        </w:tabs>
        <w:jc w:val="center"/>
        <w:rPr>
          <w:rFonts w:ascii="Times New Roman" w:hAnsi="Times New Roman" w:eastAsia="仿宋_GB2312" w:cs="Times New Roman"/>
          <w:color w:val="auto"/>
          <w:sz w:val="28"/>
          <w:szCs w:val="36"/>
        </w:rPr>
      </w:pPr>
      <w:r>
        <w:rPr>
          <w:rFonts w:ascii="Times New Roman" w:hAnsi="Times New Roman" w:eastAsia="仿宋_GB2312" w:cs="Times New Roman"/>
          <w:color w:val="auto"/>
          <w:sz w:val="28"/>
          <w:szCs w:val="36"/>
        </w:rPr>
        <w:t>表3.2-2 消防设施汇总表</w:t>
      </w:r>
    </w:p>
    <w:tbl>
      <w:tblPr>
        <w:tblStyle w:val="22"/>
        <w:tblW w:w="8472"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835"/>
        <w:gridCol w:w="1984"/>
        <w:gridCol w:w="851"/>
        <w:gridCol w:w="992"/>
        <w:gridCol w:w="1276"/>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b/>
                <w:color w:val="auto"/>
              </w:rPr>
            </w:pPr>
            <w:r>
              <w:rPr>
                <w:rFonts w:ascii="Times New Roman" w:hAnsi="Times New Roman" w:eastAsia="仿宋_GB2312" w:cs="Times New Roman"/>
                <w:b/>
                <w:color w:val="auto"/>
              </w:rPr>
              <w:t>序号</w:t>
            </w:r>
          </w:p>
        </w:tc>
        <w:tc>
          <w:tcPr>
            <w:tcW w:w="2835" w:type="dxa"/>
            <w:vAlign w:val="center"/>
          </w:tcPr>
          <w:p>
            <w:pPr>
              <w:rPr>
                <w:rFonts w:ascii="Times New Roman" w:hAnsi="Times New Roman" w:eastAsia="仿宋_GB2312" w:cs="Times New Roman"/>
                <w:b/>
                <w:color w:val="auto"/>
              </w:rPr>
            </w:pPr>
            <w:r>
              <w:rPr>
                <w:rFonts w:ascii="Times New Roman" w:hAnsi="Times New Roman" w:eastAsia="仿宋_GB2312" w:cs="Times New Roman"/>
                <w:b/>
                <w:color w:val="auto"/>
              </w:rPr>
              <w:t>设施器材名称</w:t>
            </w:r>
          </w:p>
        </w:tc>
        <w:tc>
          <w:tcPr>
            <w:tcW w:w="1984" w:type="dxa"/>
            <w:vAlign w:val="center"/>
          </w:tcPr>
          <w:p>
            <w:pPr>
              <w:rPr>
                <w:rFonts w:ascii="Times New Roman" w:hAnsi="Times New Roman" w:eastAsia="仿宋_GB2312" w:cs="Times New Roman"/>
                <w:b/>
                <w:color w:val="auto"/>
              </w:rPr>
            </w:pPr>
            <w:r>
              <w:rPr>
                <w:rFonts w:ascii="Times New Roman" w:hAnsi="Times New Roman" w:eastAsia="仿宋_GB2312" w:cs="Times New Roman"/>
                <w:b/>
                <w:color w:val="auto"/>
              </w:rPr>
              <w:t>规格型号</w:t>
            </w:r>
          </w:p>
        </w:tc>
        <w:tc>
          <w:tcPr>
            <w:tcW w:w="851" w:type="dxa"/>
            <w:vAlign w:val="center"/>
          </w:tcPr>
          <w:p>
            <w:pPr>
              <w:rPr>
                <w:rFonts w:ascii="Times New Roman" w:hAnsi="Times New Roman" w:eastAsia="仿宋_GB2312" w:cs="Times New Roman"/>
                <w:b/>
                <w:color w:val="auto"/>
              </w:rPr>
            </w:pPr>
            <w:r>
              <w:rPr>
                <w:rFonts w:ascii="Times New Roman" w:hAnsi="Times New Roman" w:eastAsia="仿宋_GB2312" w:cs="Times New Roman"/>
                <w:b/>
                <w:color w:val="auto"/>
              </w:rPr>
              <w:t>数量</w:t>
            </w:r>
          </w:p>
        </w:tc>
        <w:tc>
          <w:tcPr>
            <w:tcW w:w="992" w:type="dxa"/>
            <w:vAlign w:val="center"/>
          </w:tcPr>
          <w:p>
            <w:pPr>
              <w:rPr>
                <w:rFonts w:ascii="Times New Roman" w:hAnsi="Times New Roman" w:eastAsia="仿宋_GB2312" w:cs="Times New Roman"/>
                <w:b/>
                <w:color w:val="auto"/>
              </w:rPr>
            </w:pPr>
            <w:r>
              <w:rPr>
                <w:rFonts w:ascii="Times New Roman" w:hAnsi="Times New Roman" w:eastAsia="仿宋_GB2312" w:cs="Times New Roman"/>
                <w:b/>
                <w:color w:val="auto"/>
              </w:rPr>
              <w:t>管理责任人</w:t>
            </w:r>
          </w:p>
        </w:tc>
        <w:tc>
          <w:tcPr>
            <w:tcW w:w="1276" w:type="dxa"/>
            <w:vAlign w:val="center"/>
          </w:tcPr>
          <w:p>
            <w:pPr>
              <w:rPr>
                <w:rFonts w:ascii="Times New Roman" w:hAnsi="Times New Roman" w:eastAsia="仿宋_GB2312" w:cs="Times New Roman"/>
                <w:b/>
                <w:color w:val="auto"/>
              </w:rPr>
            </w:pPr>
            <w:r>
              <w:rPr>
                <w:rFonts w:ascii="Times New Roman" w:hAnsi="Times New Roman" w:eastAsia="仿宋_GB2312" w:cs="Times New Roman"/>
                <w:b/>
                <w:color w:val="auto"/>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消防控制中心</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座</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微型消防站（含配套设施）</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座</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泡沫消防站</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套</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手提式干粉灭火器（8Kg）</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MFZ/ABC8</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326</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手提式干粉灭火器（6Kg）</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MFZ/ABC6</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1788</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手提式干粉灭火器（5Kg）</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MFZ/ABC5</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258</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7</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手提式干粉灭火器（4Kg）</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MFZ/ABC4</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40</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8</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推车式干粉灭火器（50Kg）</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78</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9</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手提式干粉灭火器（3Kg）</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MFZ/ABC3</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94</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10</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手提式二氧化碳灭火（7Kg）</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MT7</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191</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11</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推车式二氧化碳灭火（20Kg）</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MT20</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12</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喷淋环管</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套</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34</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13</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喷淋装置</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套</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14</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雨淋阀组DN100</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套</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5</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15</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雨淋阀组DN150</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套</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16</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雨淋阀组DN200</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套</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17</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室外消防栓</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SS150/80-1.6</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38</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18</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室外消火栓箱</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（含水枪、水带、扳手）</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63</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19</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消防泡沫栓</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PS150/80X2-1.6</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6</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20</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消防炮座</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ZPZ100-1.6</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23</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21</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消防水炮</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PS50W</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23</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22</w:t>
            </w:r>
          </w:p>
        </w:tc>
        <w:tc>
          <w:tcPr>
            <w:tcW w:w="2835"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室内消防栓</w:t>
            </w:r>
          </w:p>
        </w:tc>
        <w:tc>
          <w:tcPr>
            <w:tcW w:w="1984"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04S202/11</w:t>
            </w:r>
          </w:p>
        </w:tc>
        <w:tc>
          <w:tcPr>
            <w:tcW w:w="851" w:type="dxa"/>
            <w:vAlign w:val="center"/>
          </w:tcPr>
          <w:p>
            <w:pPr>
              <w:rPr>
                <w:rFonts w:ascii="Times New Roman" w:hAnsi="Times New Roman" w:eastAsia="仿宋_GB2312" w:cs="Times New Roman"/>
                <w:color w:val="auto"/>
              </w:rPr>
            </w:pPr>
            <w:r>
              <w:rPr>
                <w:rFonts w:ascii="Times New Roman" w:hAnsi="Times New Roman" w:eastAsia="仿宋_GB2312" w:cs="Times New Roman"/>
                <w:color w:val="auto"/>
              </w:rPr>
              <w:t>149</w:t>
            </w:r>
          </w:p>
        </w:tc>
        <w:tc>
          <w:tcPr>
            <w:tcW w:w="992" w:type="dxa"/>
            <w:vAlign w:val="center"/>
          </w:tcPr>
          <w:p>
            <w:pPr>
              <w:rPr>
                <w:rFonts w:ascii="Times New Roman" w:hAnsi="Times New Roman" w:eastAsia="仿宋_GB2312" w:cs="Times New Roman"/>
                <w:color w:val="auto"/>
              </w:rPr>
            </w:pPr>
          </w:p>
        </w:tc>
        <w:tc>
          <w:tcPr>
            <w:tcW w:w="1276" w:type="dxa"/>
            <w:vAlign w:val="center"/>
          </w:tcPr>
          <w:p>
            <w:pPr>
              <w:rPr>
                <w:rFonts w:ascii="Times New Roman" w:hAnsi="Times New Roman" w:eastAsia="仿宋_GB2312" w:cs="Times New Roman"/>
                <w:color w:val="auto"/>
              </w:rPr>
            </w:pPr>
          </w:p>
        </w:tc>
      </w:tr>
    </w:tbl>
    <w:p>
      <w:pPr>
        <w:rPr>
          <w:rFonts w:ascii="Times New Roman" w:hAnsi="Times New Roman" w:eastAsia="仿宋_GB2312" w:cs="Times New Roman"/>
          <w:color w:val="auto"/>
        </w:rPr>
      </w:pPr>
    </w:p>
    <w:p>
      <w:pPr>
        <w:pStyle w:val="2"/>
        <w:rPr>
          <w:rFonts w:ascii="Times New Roman" w:hAnsi="Times New Roman" w:eastAsia="仿宋_GB2312" w:cs="Times New Roman"/>
          <w:color w:val="auto"/>
        </w:rPr>
      </w:pPr>
      <w:bookmarkStart w:id="68" w:name="_Toc7130"/>
      <w:bookmarkStart w:id="69" w:name="_Toc18317"/>
      <w:bookmarkStart w:id="70" w:name="_Toc52291754"/>
      <w:bookmarkStart w:id="71" w:name="_Toc14970"/>
      <w:r>
        <w:rPr>
          <w:rFonts w:ascii="Times New Roman" w:hAnsi="Times New Roman" w:eastAsia="仿宋_GB2312" w:cs="Times New Roman"/>
          <w:color w:val="auto"/>
        </w:rPr>
        <w:t>4周边社会应急资源调查</w:t>
      </w:r>
      <w:bookmarkEnd w:id="68"/>
      <w:bookmarkEnd w:id="69"/>
      <w:bookmarkEnd w:id="70"/>
      <w:bookmarkEnd w:id="71"/>
    </w:p>
    <w:p>
      <w:pPr>
        <w:pStyle w:val="3"/>
        <w:rPr>
          <w:rFonts w:ascii="Times New Roman" w:hAnsi="Times New Roman" w:eastAsia="仿宋_GB2312" w:cs="Times New Roman"/>
          <w:color w:val="auto"/>
        </w:rPr>
      </w:pPr>
      <w:bookmarkStart w:id="72" w:name="_Toc18023"/>
      <w:bookmarkStart w:id="73" w:name="_Toc6637"/>
      <w:bookmarkStart w:id="74" w:name="_Toc30845"/>
      <w:bookmarkStart w:id="75" w:name="_Toc52291755"/>
      <w:r>
        <w:rPr>
          <w:rFonts w:ascii="Times New Roman" w:hAnsi="Times New Roman" w:eastAsia="仿宋_GB2312" w:cs="Times New Roman"/>
          <w:color w:val="auto"/>
        </w:rPr>
        <w:t>4.1外部救援</w:t>
      </w:r>
      <w:bookmarkEnd w:id="72"/>
      <w:bookmarkEnd w:id="73"/>
      <w:bookmarkEnd w:id="74"/>
      <w:bookmarkEnd w:id="75"/>
    </w:p>
    <w:p>
      <w:pPr>
        <w:pStyle w:val="43"/>
        <w:spacing w:line="360" w:lineRule="auto"/>
        <w:ind w:firstLine="560"/>
        <w:contextualSpacing/>
        <w:rPr>
          <w:rFonts w:ascii="Times New Roman" w:hAnsi="Times New Roman" w:eastAsia="仿宋_GB2312"/>
          <w:color w:val="auto"/>
          <w:sz w:val="28"/>
          <w:szCs w:val="28"/>
        </w:rPr>
      </w:pPr>
      <w:r>
        <w:rPr>
          <w:rFonts w:ascii="Times New Roman" w:hAnsi="Times New Roman" w:eastAsia="仿宋_GB2312"/>
          <w:color w:val="auto"/>
          <w:sz w:val="28"/>
          <w:szCs w:val="28"/>
        </w:rPr>
        <w:t>南充经开区园区消防大队距离我公司仅4公里，具有专业的应急救援装备及队伍，能为我公司发生事故提供抢险救援服务；</w:t>
      </w:r>
      <w:r>
        <w:rPr>
          <w:rFonts w:hint="eastAsia" w:ascii="Times New Roman" w:hAnsi="Times New Roman" w:eastAsia="仿宋_GB2312"/>
          <w:color w:val="auto"/>
          <w:sz w:val="28"/>
          <w:szCs w:val="28"/>
          <w:lang w:val="en-US" w:eastAsia="zh-CN"/>
        </w:rPr>
        <w:t>与</w:t>
      </w:r>
      <w:r>
        <w:rPr>
          <w:rFonts w:hint="eastAsia" w:ascii="Times New Roman" w:hAnsi="Times New Roman" w:eastAsia="仿宋_GB2312"/>
          <w:color w:val="auto"/>
          <w:sz w:val="28"/>
          <w:szCs w:val="28"/>
        </w:rPr>
        <w:t>南充市中心医院</w:t>
      </w:r>
      <w:r>
        <w:rPr>
          <w:rFonts w:hint="eastAsia" w:ascii="Times New Roman" w:hAnsi="Times New Roman" w:eastAsia="仿宋_GB2312"/>
          <w:color w:val="auto"/>
          <w:sz w:val="28"/>
          <w:szCs w:val="28"/>
          <w:lang w:val="en-US" w:eastAsia="zh-CN"/>
        </w:rPr>
        <w:t>签订了</w:t>
      </w:r>
      <w:r>
        <w:rPr>
          <w:rFonts w:hint="eastAsia" w:ascii="Times New Roman" w:hAnsi="Times New Roman" w:eastAsia="仿宋_GB2312"/>
          <w:color w:val="auto"/>
          <w:sz w:val="28"/>
          <w:szCs w:val="28"/>
        </w:rPr>
        <w:t>医疗救援绿色通道协议</w:t>
      </w:r>
      <w:r>
        <w:rPr>
          <w:rFonts w:ascii="Times New Roman" w:hAnsi="Times New Roman" w:eastAsia="仿宋_GB2312"/>
          <w:color w:val="auto"/>
          <w:sz w:val="28"/>
          <w:szCs w:val="28"/>
        </w:rPr>
        <w:t>，能提供基础的伤员救护服务。</w:t>
      </w:r>
    </w:p>
    <w:p>
      <w:pPr>
        <w:pStyle w:val="3"/>
        <w:rPr>
          <w:rFonts w:ascii="Times New Roman" w:hAnsi="Times New Roman" w:eastAsia="仿宋_GB2312" w:cs="Times New Roman"/>
          <w:color w:val="auto"/>
        </w:rPr>
      </w:pPr>
      <w:bookmarkStart w:id="76" w:name="_Toc8690"/>
      <w:bookmarkStart w:id="77" w:name="_Toc52291756"/>
      <w:bookmarkStart w:id="78" w:name="_Toc227"/>
      <w:bookmarkStart w:id="79" w:name="_Toc29122"/>
      <w:r>
        <w:rPr>
          <w:rFonts w:ascii="Times New Roman" w:hAnsi="Times New Roman" w:eastAsia="仿宋_GB2312" w:cs="Times New Roman"/>
          <w:color w:val="auto"/>
        </w:rPr>
        <w:t>4.2请求政府协调应急救援力量</w:t>
      </w:r>
      <w:bookmarkEnd w:id="76"/>
      <w:bookmarkEnd w:id="77"/>
      <w:bookmarkEnd w:id="78"/>
      <w:bookmarkEnd w:id="79"/>
    </w:p>
    <w:p>
      <w:pPr>
        <w:pStyle w:val="43"/>
        <w:spacing w:line="360" w:lineRule="auto"/>
        <w:ind w:firstLine="518" w:firstLineChars="185"/>
        <w:contextualSpacing/>
        <w:rPr>
          <w:rFonts w:ascii="Times New Roman" w:hAnsi="Times New Roman" w:eastAsia="仿宋_GB2312"/>
          <w:color w:val="auto"/>
          <w:sz w:val="28"/>
          <w:szCs w:val="28"/>
        </w:rPr>
      </w:pPr>
      <w:r>
        <w:rPr>
          <w:rFonts w:ascii="Times New Roman" w:hAnsi="Times New Roman" w:eastAsia="仿宋_GB2312"/>
          <w:color w:val="auto"/>
          <w:sz w:val="28"/>
          <w:szCs w:val="28"/>
        </w:rPr>
        <w:t>当事故进一步扩大时，可向</w:t>
      </w:r>
      <w:r>
        <w:rPr>
          <w:rFonts w:hint="eastAsia" w:ascii="Times New Roman" w:hAnsi="Times New Roman" w:eastAsia="仿宋_GB2312"/>
          <w:color w:val="auto"/>
          <w:sz w:val="28"/>
          <w:szCs w:val="28"/>
        </w:rPr>
        <w:t>南充市经开区应急管理局、</w:t>
      </w:r>
      <w:r>
        <w:rPr>
          <w:rFonts w:ascii="Times New Roman" w:hAnsi="Times New Roman" w:eastAsia="仿宋_GB2312"/>
          <w:color w:val="auto"/>
          <w:sz w:val="28"/>
          <w:szCs w:val="28"/>
        </w:rPr>
        <w:t>南充市应急管理局及</w:t>
      </w:r>
      <w:r>
        <w:rPr>
          <w:rFonts w:hint="eastAsia" w:ascii="Times New Roman" w:hAnsi="Times New Roman" w:eastAsia="仿宋_GB2312"/>
          <w:color w:val="auto"/>
          <w:sz w:val="28"/>
          <w:szCs w:val="28"/>
        </w:rPr>
        <w:t>南充市</w:t>
      </w:r>
      <w:r>
        <w:rPr>
          <w:rFonts w:ascii="Times New Roman" w:hAnsi="Times New Roman" w:eastAsia="仿宋_GB2312"/>
          <w:color w:val="auto"/>
          <w:sz w:val="28"/>
          <w:szCs w:val="28"/>
        </w:rPr>
        <w:t>人民政府等部门求援，调动相关救援力量进行救护。</w:t>
      </w:r>
    </w:p>
    <w:p>
      <w:pPr>
        <w:pStyle w:val="3"/>
        <w:rPr>
          <w:rFonts w:ascii="Times New Roman" w:hAnsi="Times New Roman" w:eastAsia="仿宋_GB2312" w:cs="Times New Roman"/>
          <w:color w:val="auto"/>
        </w:rPr>
      </w:pPr>
      <w:bookmarkStart w:id="80" w:name="_Toc52291757"/>
      <w:r>
        <w:rPr>
          <w:rFonts w:ascii="Times New Roman" w:hAnsi="Times New Roman" w:eastAsia="仿宋_GB2312" w:cs="Times New Roman"/>
          <w:color w:val="auto"/>
        </w:rPr>
        <w:t>4.3外部救援联系电话</w:t>
      </w:r>
      <w:bookmarkEnd w:id="80"/>
    </w:p>
    <w:p>
      <w:pPr>
        <w:pStyle w:val="43"/>
        <w:spacing w:line="360" w:lineRule="auto"/>
        <w:ind w:firstLine="0" w:firstLineChars="0"/>
        <w:contextualSpacing/>
        <w:jc w:val="center"/>
        <w:rPr>
          <w:rFonts w:ascii="Times New Roman" w:hAnsi="Times New Roman" w:eastAsia="仿宋_GB2312"/>
          <w:color w:val="auto"/>
          <w:sz w:val="28"/>
          <w:szCs w:val="28"/>
        </w:rPr>
      </w:pPr>
    </w:p>
    <w:p>
      <w:pPr>
        <w:pStyle w:val="43"/>
        <w:spacing w:line="360" w:lineRule="auto"/>
        <w:ind w:firstLine="0" w:firstLineChars="0"/>
        <w:contextualSpacing/>
        <w:jc w:val="center"/>
        <w:rPr>
          <w:rFonts w:ascii="Times New Roman" w:hAnsi="Times New Roman" w:eastAsia="仿宋_GB2312"/>
          <w:color w:val="auto"/>
          <w:sz w:val="28"/>
          <w:szCs w:val="28"/>
        </w:rPr>
      </w:pPr>
      <w:r>
        <w:rPr>
          <w:rFonts w:ascii="Times New Roman" w:hAnsi="Times New Roman" w:eastAsia="仿宋_GB2312"/>
          <w:color w:val="auto"/>
          <w:sz w:val="28"/>
          <w:szCs w:val="28"/>
        </w:rPr>
        <w:t>表4.3-1 外部应急救援相关联系电话</w:t>
      </w:r>
    </w:p>
    <w:tbl>
      <w:tblPr>
        <w:tblStyle w:val="22"/>
        <w:tblW w:w="8378"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2119"/>
        <w:gridCol w:w="2126"/>
        <w:gridCol w:w="2108"/>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5" w:type="dxa"/>
            <w:vAlign w:val="center"/>
          </w:tcPr>
          <w:p>
            <w:pPr>
              <w:jc w:val="center"/>
              <w:rPr>
                <w:rFonts w:ascii="Times New Roman" w:hAnsi="Times New Roman" w:eastAsia="仿宋_GB2312" w:cs="Times New Roman"/>
                <w:b/>
                <w:color w:val="auto"/>
                <w:szCs w:val="21"/>
              </w:rPr>
            </w:pPr>
            <w:r>
              <w:rPr>
                <w:rFonts w:ascii="Times New Roman" w:hAnsi="Times New Roman" w:eastAsia="仿宋_GB2312" w:cs="Times New Roman"/>
                <w:b/>
                <w:color w:val="auto"/>
                <w:szCs w:val="21"/>
              </w:rPr>
              <w:t>单位（部门）</w:t>
            </w:r>
          </w:p>
        </w:tc>
        <w:tc>
          <w:tcPr>
            <w:tcW w:w="2119" w:type="dxa"/>
            <w:vAlign w:val="center"/>
          </w:tcPr>
          <w:p>
            <w:pPr>
              <w:jc w:val="center"/>
              <w:rPr>
                <w:rFonts w:ascii="Times New Roman" w:hAnsi="Times New Roman" w:eastAsia="仿宋_GB2312" w:cs="Times New Roman"/>
                <w:b/>
                <w:color w:val="auto"/>
                <w:szCs w:val="21"/>
              </w:rPr>
            </w:pPr>
            <w:r>
              <w:rPr>
                <w:rFonts w:ascii="Times New Roman" w:hAnsi="Times New Roman" w:eastAsia="仿宋_GB2312" w:cs="Times New Roman"/>
                <w:b/>
                <w:color w:val="auto"/>
                <w:szCs w:val="21"/>
              </w:rPr>
              <w:t>电话</w:t>
            </w:r>
          </w:p>
        </w:tc>
        <w:tc>
          <w:tcPr>
            <w:tcW w:w="2126" w:type="dxa"/>
            <w:vAlign w:val="center"/>
          </w:tcPr>
          <w:p>
            <w:pPr>
              <w:jc w:val="center"/>
              <w:rPr>
                <w:rFonts w:ascii="Times New Roman" w:hAnsi="Times New Roman" w:eastAsia="仿宋_GB2312" w:cs="Times New Roman"/>
                <w:b/>
                <w:color w:val="auto"/>
                <w:szCs w:val="21"/>
              </w:rPr>
            </w:pPr>
            <w:r>
              <w:rPr>
                <w:rFonts w:ascii="Times New Roman" w:hAnsi="Times New Roman" w:eastAsia="仿宋_GB2312" w:cs="Times New Roman"/>
                <w:b/>
                <w:color w:val="auto"/>
                <w:szCs w:val="21"/>
              </w:rPr>
              <w:t>单位（部门）</w:t>
            </w:r>
          </w:p>
        </w:tc>
        <w:tc>
          <w:tcPr>
            <w:tcW w:w="2108" w:type="dxa"/>
            <w:vAlign w:val="center"/>
          </w:tcPr>
          <w:p>
            <w:pPr>
              <w:jc w:val="center"/>
              <w:rPr>
                <w:rFonts w:ascii="Times New Roman" w:hAnsi="Times New Roman" w:eastAsia="仿宋_GB2312" w:cs="Times New Roman"/>
                <w:b/>
                <w:color w:val="auto"/>
                <w:szCs w:val="21"/>
              </w:rPr>
            </w:pPr>
            <w:r>
              <w:rPr>
                <w:rFonts w:ascii="Times New Roman" w:hAnsi="Times New Roman" w:eastAsia="仿宋_GB2312" w:cs="Times New Roman"/>
                <w:b/>
                <w:color w:val="auto"/>
                <w:szCs w:val="21"/>
              </w:rPr>
              <w:t>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5"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南充市政府办公室</w:t>
            </w:r>
          </w:p>
        </w:tc>
        <w:tc>
          <w:tcPr>
            <w:tcW w:w="2119"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2225116，2244222</w:t>
            </w:r>
          </w:p>
        </w:tc>
        <w:tc>
          <w:tcPr>
            <w:tcW w:w="2126"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南充市应急管理局</w:t>
            </w:r>
          </w:p>
        </w:tc>
        <w:tc>
          <w:tcPr>
            <w:tcW w:w="2108"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2222419，2666039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5"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南充市环保局</w:t>
            </w:r>
          </w:p>
        </w:tc>
        <w:tc>
          <w:tcPr>
            <w:tcW w:w="2119"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2168192</w:t>
            </w:r>
          </w:p>
        </w:tc>
        <w:tc>
          <w:tcPr>
            <w:tcW w:w="2126"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南充市消防支队</w:t>
            </w:r>
          </w:p>
        </w:tc>
        <w:tc>
          <w:tcPr>
            <w:tcW w:w="2108"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2231233，2222119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5"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南充市特警中队</w:t>
            </w:r>
          </w:p>
        </w:tc>
        <w:tc>
          <w:tcPr>
            <w:tcW w:w="2119"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2763523</w:t>
            </w:r>
          </w:p>
        </w:tc>
        <w:tc>
          <w:tcPr>
            <w:tcW w:w="2126"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经开区管委会</w:t>
            </w:r>
          </w:p>
        </w:tc>
        <w:tc>
          <w:tcPr>
            <w:tcW w:w="2108"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3783373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5"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经开区应急管理局</w:t>
            </w:r>
          </w:p>
        </w:tc>
        <w:tc>
          <w:tcPr>
            <w:tcW w:w="2119"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3698053</w:t>
            </w:r>
          </w:p>
        </w:tc>
        <w:tc>
          <w:tcPr>
            <w:tcW w:w="2126"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经开区环保局</w:t>
            </w:r>
          </w:p>
        </w:tc>
        <w:tc>
          <w:tcPr>
            <w:tcW w:w="2108"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3698062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5"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经开区经发局</w:t>
            </w:r>
          </w:p>
        </w:tc>
        <w:tc>
          <w:tcPr>
            <w:tcW w:w="2119"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3698019</w:t>
            </w:r>
          </w:p>
        </w:tc>
        <w:tc>
          <w:tcPr>
            <w:tcW w:w="2126"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经开区消防大队</w:t>
            </w:r>
          </w:p>
        </w:tc>
        <w:tc>
          <w:tcPr>
            <w:tcW w:w="2108"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7998992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5"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川北医学院附院</w:t>
            </w:r>
          </w:p>
        </w:tc>
        <w:tc>
          <w:tcPr>
            <w:tcW w:w="2119"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2262120</w:t>
            </w:r>
          </w:p>
        </w:tc>
        <w:tc>
          <w:tcPr>
            <w:tcW w:w="2126"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南充市中心医院</w:t>
            </w:r>
          </w:p>
        </w:tc>
        <w:tc>
          <w:tcPr>
            <w:tcW w:w="2108" w:type="dxa"/>
            <w:vAlign w:val="center"/>
          </w:tcPr>
          <w:p>
            <w:pPr>
              <w:jc w:val="left"/>
              <w:rPr>
                <w:rFonts w:hint="eastAsia" w:ascii="Times New Roman" w:hAnsi="Times New Roman" w:eastAsia="仿宋_GB2312" w:cs="Times New Roman"/>
                <w:color w:val="auto"/>
                <w:szCs w:val="21"/>
                <w:lang w:eastAsia="zh-CN"/>
              </w:rPr>
            </w:pPr>
            <w:r>
              <w:rPr>
                <w:rFonts w:ascii="Times New Roman" w:hAnsi="Times New Roman" w:eastAsia="仿宋_GB2312" w:cs="Times New Roman"/>
                <w:color w:val="auto"/>
                <w:szCs w:val="21"/>
              </w:rPr>
              <w:t>2222658</w:t>
            </w:r>
            <w:r>
              <w:rPr>
                <w:rFonts w:hint="eastAsia" w:ascii="Times New Roman" w:hAnsi="Times New Roman" w:eastAsia="仿宋_GB2312" w:cs="Times New Roman"/>
                <w:color w:val="auto"/>
                <w:szCs w:val="21"/>
                <w:lang w:eastAsia="zh-CN"/>
              </w:rPr>
              <w:t>，</w:t>
            </w:r>
            <w:r>
              <w:rPr>
                <w:rFonts w:hint="eastAsia" w:ascii="Times New Roman" w:hAnsi="Times New Roman" w:eastAsia="仿宋_GB2312" w:cs="Times New Roman"/>
                <w:color w:val="auto"/>
                <w:szCs w:val="21"/>
                <w:lang w:val="en-US" w:eastAsia="zh-CN"/>
              </w:rPr>
              <w:t>2797120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5"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嘉陵区人民医院</w:t>
            </w:r>
          </w:p>
        </w:tc>
        <w:tc>
          <w:tcPr>
            <w:tcW w:w="2119" w:type="dxa"/>
            <w:vAlign w:val="center"/>
          </w:tcPr>
          <w:p>
            <w:pPr>
              <w:jc w:val="left"/>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lang w:val="en-US" w:eastAsia="zh-CN"/>
              </w:rPr>
              <w:t>3665120</w:t>
            </w:r>
          </w:p>
        </w:tc>
        <w:tc>
          <w:tcPr>
            <w:tcW w:w="2126"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嘉陵区环境监测站</w:t>
            </w:r>
          </w:p>
        </w:tc>
        <w:tc>
          <w:tcPr>
            <w:tcW w:w="2108" w:type="dxa"/>
            <w:vAlign w:val="center"/>
          </w:tcPr>
          <w:p>
            <w:pPr>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3636826</w:t>
            </w:r>
          </w:p>
        </w:tc>
      </w:tr>
    </w:tbl>
    <w:p>
      <w:pPr>
        <w:rPr>
          <w:rFonts w:ascii="Times New Roman" w:hAnsi="Times New Roman" w:eastAsia="仿宋_GB2312" w:cs="Times New Roman"/>
          <w:color w:val="auto"/>
        </w:rPr>
      </w:pPr>
    </w:p>
    <w:p>
      <w:pPr>
        <w:pStyle w:val="2"/>
        <w:rPr>
          <w:rFonts w:ascii="Times New Roman" w:hAnsi="Times New Roman" w:eastAsia="仿宋_GB2312" w:cs="Times New Roman"/>
          <w:color w:val="auto"/>
        </w:rPr>
      </w:pPr>
      <w:bookmarkStart w:id="81" w:name="_Toc31023"/>
      <w:bookmarkStart w:id="82" w:name="_Toc52291758"/>
      <w:bookmarkStart w:id="83" w:name="_Toc31736"/>
      <w:bookmarkStart w:id="84" w:name="_Toc16299"/>
      <w:r>
        <w:rPr>
          <w:rFonts w:ascii="Times New Roman" w:hAnsi="Times New Roman" w:eastAsia="仿宋_GB2312" w:cs="Times New Roman"/>
          <w:color w:val="auto"/>
        </w:rPr>
        <w:t>5应急资源不足或差距分析</w:t>
      </w:r>
      <w:bookmarkEnd w:id="81"/>
      <w:bookmarkEnd w:id="82"/>
      <w:bookmarkEnd w:id="83"/>
      <w:bookmarkEnd w:id="84"/>
    </w:p>
    <w:p>
      <w:pPr>
        <w:pStyle w:val="43"/>
        <w:spacing w:line="360" w:lineRule="auto"/>
        <w:ind w:firstLine="560"/>
        <w:contextualSpacing/>
        <w:rPr>
          <w:rFonts w:ascii="Times New Roman" w:hAnsi="Times New Roman" w:eastAsia="仿宋_GB2312"/>
          <w:color w:val="auto"/>
          <w:sz w:val="28"/>
          <w:szCs w:val="28"/>
        </w:rPr>
      </w:pPr>
      <w:r>
        <w:rPr>
          <w:rFonts w:ascii="Times New Roman" w:hAnsi="Times New Roman" w:eastAsia="仿宋_GB2312"/>
          <w:color w:val="auto"/>
          <w:sz w:val="28"/>
          <w:szCs w:val="28"/>
        </w:rPr>
        <w:t>本公司的应急资源及周边可依托的社会应急资源基本能够满足应急需求，具备应急救援的资格和能力，完全可以应对公司的安全事故应急救援，应急管理制度不完善，下一步要尽快完善管理制度，本单位应急资源储备以及管理方面也存在问题。</w:t>
      </w:r>
    </w:p>
    <w:p>
      <w:pPr>
        <w:pStyle w:val="2"/>
        <w:rPr>
          <w:rFonts w:ascii="Times New Roman" w:hAnsi="Times New Roman" w:eastAsia="仿宋_GB2312" w:cs="Times New Roman"/>
          <w:color w:val="auto"/>
        </w:rPr>
      </w:pPr>
      <w:bookmarkStart w:id="85" w:name="_Toc2340"/>
      <w:bookmarkStart w:id="86" w:name="_Toc52291759"/>
      <w:bookmarkStart w:id="87" w:name="_Toc22144"/>
      <w:bookmarkStart w:id="88" w:name="_Toc28133"/>
      <w:r>
        <w:rPr>
          <w:rFonts w:ascii="Times New Roman" w:hAnsi="Times New Roman" w:eastAsia="仿宋_GB2312" w:cs="Times New Roman"/>
          <w:color w:val="auto"/>
        </w:rPr>
        <w:t>6应急资源调查主要结论</w:t>
      </w:r>
      <w:bookmarkEnd w:id="85"/>
      <w:bookmarkEnd w:id="86"/>
      <w:bookmarkEnd w:id="87"/>
      <w:bookmarkEnd w:id="88"/>
    </w:p>
    <w:p>
      <w:pPr>
        <w:pStyle w:val="43"/>
        <w:spacing w:line="360" w:lineRule="auto"/>
        <w:ind w:firstLine="560"/>
        <w:contextualSpacing/>
        <w:rPr>
          <w:rFonts w:ascii="Times New Roman" w:hAnsi="Times New Roman" w:eastAsia="仿宋_GB2312"/>
          <w:color w:val="auto"/>
          <w:sz w:val="28"/>
          <w:szCs w:val="28"/>
        </w:rPr>
      </w:pPr>
      <w:r>
        <w:rPr>
          <w:rFonts w:ascii="Times New Roman" w:hAnsi="Times New Roman" w:eastAsia="仿宋_GB2312"/>
          <w:color w:val="auto"/>
          <w:sz w:val="28"/>
          <w:szCs w:val="28"/>
        </w:rPr>
        <w:t>通过本次调查评估，公司在救援队伍的组建上和应急物资、装备的配置方面，基本上能够满足公司各种突发事故的应急救援要求。</w:t>
      </w:r>
    </w:p>
    <w:p>
      <w:pPr>
        <w:pStyle w:val="43"/>
        <w:spacing w:line="360" w:lineRule="auto"/>
        <w:ind w:firstLine="560"/>
        <w:contextualSpacing/>
        <w:rPr>
          <w:rFonts w:ascii="Times New Roman" w:hAnsi="Times New Roman" w:eastAsia="仿宋_GB2312"/>
          <w:color w:val="auto"/>
          <w:sz w:val="28"/>
          <w:szCs w:val="28"/>
        </w:rPr>
      </w:pPr>
      <w:r>
        <w:rPr>
          <w:rFonts w:ascii="Times New Roman" w:hAnsi="Times New Roman" w:eastAsia="仿宋_GB2312"/>
          <w:color w:val="auto"/>
          <w:sz w:val="28"/>
          <w:szCs w:val="28"/>
        </w:rPr>
        <w:t>首先从人力资源上，公司组建了能基本满足各类事故的应急救援队伍，队伍人员稳定，经培训具备相应的应急技能，在事故状态下，能快速投入到事故救援中；</w:t>
      </w:r>
    </w:p>
    <w:p>
      <w:pPr>
        <w:pStyle w:val="43"/>
        <w:spacing w:line="360" w:lineRule="auto"/>
        <w:ind w:firstLine="560"/>
        <w:contextualSpacing/>
        <w:rPr>
          <w:rFonts w:ascii="Times New Roman" w:hAnsi="Times New Roman" w:eastAsia="仿宋_GB2312"/>
          <w:color w:val="auto"/>
          <w:sz w:val="28"/>
          <w:szCs w:val="28"/>
        </w:rPr>
      </w:pPr>
      <w:r>
        <w:rPr>
          <w:rFonts w:ascii="Times New Roman" w:hAnsi="Times New Roman" w:eastAsia="仿宋_GB2312"/>
          <w:color w:val="auto"/>
          <w:sz w:val="28"/>
          <w:szCs w:val="28"/>
        </w:rPr>
        <w:t>其次从应急物资和装备配置方面，公司针对不同的危险源和可能发生的事故类型，现场和附近区域配置了相应的抢险救援所需的装备物资。一旦发生突发事故，能针对事故类型及时利用现场针对事故类型设置的最有效的装备、物资投入到现场抢险中。不足的是公司在应急物质储备方面仍不是很充足。</w:t>
      </w:r>
    </w:p>
    <w:p>
      <w:pPr>
        <w:pStyle w:val="43"/>
        <w:spacing w:line="360" w:lineRule="auto"/>
        <w:ind w:firstLine="560"/>
        <w:contextualSpacing/>
        <w:rPr>
          <w:rFonts w:ascii="Times New Roman" w:hAnsi="Times New Roman" w:eastAsia="仿宋_GB2312"/>
          <w:color w:val="auto"/>
          <w:sz w:val="28"/>
          <w:szCs w:val="28"/>
        </w:rPr>
      </w:pPr>
      <w:r>
        <w:rPr>
          <w:rFonts w:ascii="Times New Roman" w:hAnsi="Times New Roman" w:eastAsia="仿宋_GB2312"/>
          <w:color w:val="auto"/>
          <w:sz w:val="28"/>
          <w:szCs w:val="28"/>
        </w:rPr>
        <w:t>最后调查了周边可依托的政府配套的公共应急资源及队伍，如果预测事故有扩大的可能性，能提早利用这些资源，对事故的控制是非常有利的。</w:t>
      </w:r>
    </w:p>
    <w:p>
      <w:pPr>
        <w:pStyle w:val="2"/>
        <w:rPr>
          <w:rFonts w:ascii="Times New Roman" w:hAnsi="Times New Roman" w:eastAsia="仿宋_GB2312" w:cs="Times New Roman"/>
          <w:color w:val="auto"/>
        </w:rPr>
      </w:pPr>
      <w:bookmarkStart w:id="89" w:name="_Toc52291760"/>
      <w:bookmarkStart w:id="90" w:name="_Toc11355"/>
      <w:bookmarkStart w:id="91" w:name="_Toc4804"/>
      <w:bookmarkStart w:id="92" w:name="_Toc15329"/>
      <w:bookmarkStart w:id="93" w:name="_GoBack"/>
      <w:bookmarkEnd w:id="93"/>
      <w:r>
        <w:rPr>
          <w:rFonts w:ascii="Times New Roman" w:hAnsi="Times New Roman" w:eastAsia="仿宋_GB2312" w:cs="Times New Roman"/>
          <w:color w:val="auto"/>
        </w:rPr>
        <w:t>7制定完善应急资源的具体措施</w:t>
      </w:r>
      <w:bookmarkEnd w:id="89"/>
      <w:bookmarkEnd w:id="90"/>
      <w:bookmarkEnd w:id="91"/>
      <w:bookmarkEnd w:id="92"/>
    </w:p>
    <w:p>
      <w:pPr>
        <w:pStyle w:val="43"/>
        <w:spacing w:line="360" w:lineRule="auto"/>
        <w:ind w:firstLine="560"/>
        <w:contextualSpacing/>
        <w:rPr>
          <w:rFonts w:ascii="Times New Roman" w:hAnsi="Times New Roman" w:eastAsia="仿宋_GB2312"/>
          <w:color w:val="auto"/>
        </w:rPr>
      </w:pPr>
      <w:r>
        <w:rPr>
          <w:rFonts w:ascii="Times New Roman" w:hAnsi="Times New Roman" w:eastAsia="仿宋_GB2312"/>
          <w:color w:val="auto"/>
          <w:sz w:val="28"/>
          <w:szCs w:val="28"/>
        </w:rPr>
        <w:t>通过调查评估分析，公司在应急物资、装备储备方面还存在不足。今后公司会加强并重视应急物资、装备的储备工作,并根据各类事故的发生频率，以及事故救援的难易程度，合理确定应急物资储备的种类和数量，制定相应的管理制度，按照“专业管理、保障急需、专物专用”的原则，落实好储备物资的各项管理工作。</w:t>
      </w:r>
    </w:p>
    <w:p>
      <w:pPr>
        <w:ind w:firstLine="560" w:firstLineChars="200"/>
        <w:rPr>
          <w:rFonts w:ascii="Times New Roman" w:hAnsi="Times New Roman" w:eastAsia="仿宋_GB2312" w:cs="Times New Roman"/>
          <w:color w:val="auto"/>
          <w:sz w:val="28"/>
          <w:szCs w:val="28"/>
        </w:rPr>
      </w:pPr>
    </w:p>
    <w:p>
      <w:pPr>
        <w:ind w:firstLine="560" w:firstLineChars="200"/>
        <w:rPr>
          <w:rFonts w:ascii="Times New Roman" w:hAnsi="Times New Roman" w:eastAsia="仿宋_GB2312" w:cs="Times New Roman"/>
          <w:color w:val="auto"/>
          <w:sz w:val="28"/>
          <w:szCs w:val="28"/>
        </w:rPr>
      </w:pPr>
    </w:p>
    <w:sectPr>
      <w:footerReference r:id="rId6" w:type="first"/>
      <w:pgSz w:w="11906" w:h="16838"/>
      <w:pgMar w:top="1440" w:right="1080" w:bottom="1440" w:left="108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311377"/>
      <w:docPartObj>
        <w:docPartGallery w:val="autotext"/>
      </w:docPartObj>
    </w:sdtPr>
    <w:sdtContent>
      <w:sdt>
        <w:sdtPr>
          <w:id w:val="22311378"/>
          <w:docPartObj>
            <w:docPartGallery w:val="autotext"/>
          </w:docPartObj>
        </w:sdtPr>
        <w:sdtContent>
          <w:p>
            <w:pPr>
              <w:pStyle w:val="14"/>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sz w:val="21"/>
        <w:szCs w:val="21"/>
      </w:rPr>
    </w:pPr>
    <w:r>
      <w:fldChar w:fldCharType="begin"/>
    </w:r>
    <w:r>
      <w:instrText xml:space="preserve">PAGE   \* MERGEFORMAT</w:instrText>
    </w:r>
    <w:r>
      <w:fldChar w:fldCharType="separate"/>
    </w:r>
    <w:r>
      <w:rPr>
        <w:lang w:val="zh-CN"/>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微软雅黑" w:hAnsi="微软雅黑" w:eastAsia="微软雅黑"/>
        <w:sz w:val="21"/>
        <w:szCs w:val="21"/>
      </w:rPr>
    </w:pPr>
    <w:r>
      <w:rPr>
        <w:rFonts w:hint="eastAsia" w:ascii="微软雅黑" w:hAnsi="微软雅黑" w:eastAsia="微软雅黑"/>
        <w:sz w:val="21"/>
        <w:szCs w:val="21"/>
      </w:rPr>
      <w:t>四川能投化学新材料有限公司                                           生产安全事故应急预案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5OTM2OTMzZDdiNzU1MTc0NDNmYzAwZjkzOTBkZTAifQ=="/>
  </w:docVars>
  <w:rsids>
    <w:rsidRoot w:val="00975128"/>
    <w:rsid w:val="00077976"/>
    <w:rsid w:val="00106279"/>
    <w:rsid w:val="00120147"/>
    <w:rsid w:val="00162D0B"/>
    <w:rsid w:val="00176B51"/>
    <w:rsid w:val="001A11F4"/>
    <w:rsid w:val="001C099C"/>
    <w:rsid w:val="001C3B26"/>
    <w:rsid w:val="001C6534"/>
    <w:rsid w:val="00224BFD"/>
    <w:rsid w:val="00235373"/>
    <w:rsid w:val="0025721B"/>
    <w:rsid w:val="00260D95"/>
    <w:rsid w:val="00270B9C"/>
    <w:rsid w:val="00287477"/>
    <w:rsid w:val="003224BB"/>
    <w:rsid w:val="003234AF"/>
    <w:rsid w:val="00340B61"/>
    <w:rsid w:val="003611E7"/>
    <w:rsid w:val="003720FE"/>
    <w:rsid w:val="0039633F"/>
    <w:rsid w:val="0041367A"/>
    <w:rsid w:val="004230BC"/>
    <w:rsid w:val="004338F0"/>
    <w:rsid w:val="004470D1"/>
    <w:rsid w:val="00494938"/>
    <w:rsid w:val="004B1A8E"/>
    <w:rsid w:val="004B5E39"/>
    <w:rsid w:val="004C176C"/>
    <w:rsid w:val="004C6DCA"/>
    <w:rsid w:val="004D7847"/>
    <w:rsid w:val="0050048F"/>
    <w:rsid w:val="00505FDA"/>
    <w:rsid w:val="00526DEE"/>
    <w:rsid w:val="005854CF"/>
    <w:rsid w:val="00587AAB"/>
    <w:rsid w:val="005A2525"/>
    <w:rsid w:val="005A630D"/>
    <w:rsid w:val="005B088F"/>
    <w:rsid w:val="005C1BFF"/>
    <w:rsid w:val="00605173"/>
    <w:rsid w:val="00636C2F"/>
    <w:rsid w:val="00640792"/>
    <w:rsid w:val="00680E52"/>
    <w:rsid w:val="00683297"/>
    <w:rsid w:val="00694149"/>
    <w:rsid w:val="006C2B3B"/>
    <w:rsid w:val="00757963"/>
    <w:rsid w:val="00772CFB"/>
    <w:rsid w:val="00777394"/>
    <w:rsid w:val="00792C0D"/>
    <w:rsid w:val="007A27F1"/>
    <w:rsid w:val="007D101C"/>
    <w:rsid w:val="007F2616"/>
    <w:rsid w:val="00836E0E"/>
    <w:rsid w:val="00874A32"/>
    <w:rsid w:val="008826BC"/>
    <w:rsid w:val="008975AB"/>
    <w:rsid w:val="0091282F"/>
    <w:rsid w:val="00915A55"/>
    <w:rsid w:val="0097230C"/>
    <w:rsid w:val="00974B77"/>
    <w:rsid w:val="00975128"/>
    <w:rsid w:val="009A59C4"/>
    <w:rsid w:val="009C64C4"/>
    <w:rsid w:val="009F0252"/>
    <w:rsid w:val="00A13BD5"/>
    <w:rsid w:val="00A42952"/>
    <w:rsid w:val="00A44216"/>
    <w:rsid w:val="00A53C6A"/>
    <w:rsid w:val="00A67206"/>
    <w:rsid w:val="00AA04BF"/>
    <w:rsid w:val="00AC0D12"/>
    <w:rsid w:val="00AE74F9"/>
    <w:rsid w:val="00B52D20"/>
    <w:rsid w:val="00B66246"/>
    <w:rsid w:val="00B66F20"/>
    <w:rsid w:val="00B90990"/>
    <w:rsid w:val="00B93530"/>
    <w:rsid w:val="00B96D51"/>
    <w:rsid w:val="00BE3650"/>
    <w:rsid w:val="00BF4048"/>
    <w:rsid w:val="00C148B1"/>
    <w:rsid w:val="00C30E9E"/>
    <w:rsid w:val="00C354E6"/>
    <w:rsid w:val="00CB70BD"/>
    <w:rsid w:val="00CD0E56"/>
    <w:rsid w:val="00CF2C42"/>
    <w:rsid w:val="00D03343"/>
    <w:rsid w:val="00D03F3A"/>
    <w:rsid w:val="00D30B3C"/>
    <w:rsid w:val="00D55E4B"/>
    <w:rsid w:val="00DF28C6"/>
    <w:rsid w:val="00DF6950"/>
    <w:rsid w:val="00E05B02"/>
    <w:rsid w:val="00EF1441"/>
    <w:rsid w:val="00EF47F9"/>
    <w:rsid w:val="00F22E80"/>
    <w:rsid w:val="00F318D1"/>
    <w:rsid w:val="00FF35AC"/>
    <w:rsid w:val="16091BA4"/>
    <w:rsid w:val="1FA12D11"/>
    <w:rsid w:val="47B310B1"/>
    <w:rsid w:val="592E69A7"/>
    <w:rsid w:val="5FC03491"/>
    <w:rsid w:val="71384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0"/>
    <w:unhideWhenUsed/>
    <w:qFormat/>
    <w:uiPriority w:val="9"/>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style>
  <w:style w:type="paragraph" w:styleId="8">
    <w:name w:val="Body Text"/>
    <w:basedOn w:val="1"/>
    <w:link w:val="40"/>
    <w:qFormat/>
    <w:uiPriority w:val="0"/>
    <w:pPr>
      <w:widowControl/>
      <w:spacing w:before="100" w:beforeAutospacing="1" w:after="100" w:afterAutospacing="1" w:line="384" w:lineRule="auto"/>
      <w:jc w:val="left"/>
    </w:pPr>
    <w:rPr>
      <w:rFonts w:ascii="宋体" w:hAnsi="宋体"/>
      <w:color w:val="000000"/>
      <w:sz w:val="24"/>
    </w:r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widowControl/>
      <w:spacing w:after="100" w:line="276" w:lineRule="auto"/>
      <w:ind w:left="440"/>
      <w:jc w:val="left"/>
    </w:pPr>
    <w:rPr>
      <w:kern w:val="0"/>
      <w:sz w:val="22"/>
    </w:rPr>
  </w:style>
  <w:style w:type="paragraph" w:styleId="11">
    <w:name w:val="toc 8"/>
    <w:basedOn w:val="1"/>
    <w:next w:val="1"/>
    <w:unhideWhenUsed/>
    <w:qFormat/>
    <w:uiPriority w:val="39"/>
    <w:pPr>
      <w:ind w:left="2940" w:leftChars="1400"/>
    </w:pPr>
  </w:style>
  <w:style w:type="paragraph" w:styleId="12">
    <w:name w:val="Date"/>
    <w:basedOn w:val="1"/>
    <w:next w:val="1"/>
    <w:link w:val="42"/>
    <w:semiHidden/>
    <w:unhideWhenUsed/>
    <w:qFormat/>
    <w:uiPriority w:val="99"/>
    <w:pPr>
      <w:ind w:left="100" w:leftChars="2500"/>
    </w:pPr>
  </w:style>
  <w:style w:type="paragraph" w:styleId="13">
    <w:name w:val="Balloon Text"/>
    <w:basedOn w:val="1"/>
    <w:link w:val="34"/>
    <w:semiHidden/>
    <w:unhideWhenUsed/>
    <w:qFormat/>
    <w:uiPriority w:val="99"/>
    <w:rPr>
      <w:sz w:val="18"/>
      <w:szCs w:val="18"/>
    </w:rPr>
  </w:style>
  <w:style w:type="paragraph" w:styleId="14">
    <w:name w:val="footer"/>
    <w:basedOn w:val="1"/>
    <w:link w:val="36"/>
    <w:unhideWhenUsed/>
    <w:qFormat/>
    <w:uiPriority w:val="99"/>
    <w:pPr>
      <w:tabs>
        <w:tab w:val="center" w:pos="4153"/>
        <w:tab w:val="right" w:pos="8306"/>
      </w:tabs>
      <w:snapToGrid w:val="0"/>
      <w:jc w:val="left"/>
    </w:pPr>
    <w:rPr>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toc 4"/>
    <w:basedOn w:val="1"/>
    <w:next w:val="1"/>
    <w:unhideWhenUsed/>
    <w:qFormat/>
    <w:uiPriority w:val="39"/>
    <w:pPr>
      <w:ind w:left="1260" w:leftChars="600"/>
    </w:pPr>
  </w:style>
  <w:style w:type="paragraph" w:styleId="18">
    <w:name w:val="toc 6"/>
    <w:basedOn w:val="1"/>
    <w:next w:val="1"/>
    <w:unhideWhenUsed/>
    <w:qFormat/>
    <w:uiPriority w:val="39"/>
    <w:pPr>
      <w:ind w:left="2100" w:leftChars="1000"/>
    </w:pPr>
  </w:style>
  <w:style w:type="paragraph" w:styleId="19">
    <w:name w:val="toc 2"/>
    <w:basedOn w:val="1"/>
    <w:next w:val="1"/>
    <w:unhideWhenUsed/>
    <w:qFormat/>
    <w:uiPriority w:val="39"/>
    <w:pPr>
      <w:widowControl/>
      <w:spacing w:after="100" w:line="276" w:lineRule="auto"/>
      <w:ind w:left="220"/>
      <w:jc w:val="left"/>
    </w:pPr>
    <w:rPr>
      <w:kern w:val="0"/>
      <w:sz w:val="22"/>
    </w:rPr>
  </w:style>
  <w:style w:type="paragraph" w:styleId="20">
    <w:name w:val="toc 9"/>
    <w:basedOn w:val="1"/>
    <w:next w:val="1"/>
    <w:unhideWhenUsed/>
    <w:qFormat/>
    <w:uiPriority w:val="39"/>
    <w:pPr>
      <w:ind w:left="3360" w:leftChars="1600"/>
    </w:pPr>
  </w:style>
  <w:style w:type="paragraph" w:styleId="21">
    <w:name w:val="Title"/>
    <w:basedOn w:val="1"/>
    <w:next w:val="1"/>
    <w:link w:val="31"/>
    <w:qFormat/>
    <w:uiPriority w:val="10"/>
    <w:pPr>
      <w:spacing w:before="240" w:after="60"/>
      <w:jc w:val="center"/>
      <w:outlineLvl w:val="0"/>
    </w:pPr>
    <w:rPr>
      <w:rFonts w:eastAsia="宋体" w:asciiTheme="majorHAnsi" w:hAnsiTheme="majorHAnsi" w:cstheme="majorBidi"/>
      <w:b/>
      <w:bCs/>
      <w:sz w:val="32"/>
      <w:szCs w:val="32"/>
    </w:rPr>
  </w:style>
  <w:style w:type="table" w:styleId="23">
    <w:name w:val="Table Grid"/>
    <w:basedOn w:val="2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character" w:customStyle="1" w:styleId="26">
    <w:name w:val="标题 1 Char"/>
    <w:basedOn w:val="24"/>
    <w:link w:val="2"/>
    <w:qFormat/>
    <w:uiPriority w:val="0"/>
    <w:rPr>
      <w:b/>
      <w:bCs/>
      <w:kern w:val="44"/>
      <w:sz w:val="44"/>
      <w:szCs w:val="44"/>
    </w:rPr>
  </w:style>
  <w:style w:type="character" w:customStyle="1" w:styleId="27">
    <w:name w:val="标题 2 Char"/>
    <w:basedOn w:val="24"/>
    <w:link w:val="3"/>
    <w:qFormat/>
    <w:uiPriority w:val="9"/>
    <w:rPr>
      <w:rFonts w:asciiTheme="majorHAnsi" w:hAnsiTheme="majorHAnsi" w:eastAsiaTheme="majorEastAsia" w:cstheme="majorBidi"/>
      <w:b/>
      <w:bCs/>
      <w:sz w:val="32"/>
      <w:szCs w:val="32"/>
    </w:rPr>
  </w:style>
  <w:style w:type="character" w:customStyle="1" w:styleId="28">
    <w:name w:val="标题 3 Char"/>
    <w:basedOn w:val="24"/>
    <w:link w:val="4"/>
    <w:qFormat/>
    <w:uiPriority w:val="9"/>
    <w:rPr>
      <w:b/>
      <w:bCs/>
      <w:sz w:val="32"/>
      <w:szCs w:val="32"/>
    </w:rPr>
  </w:style>
  <w:style w:type="character" w:customStyle="1" w:styleId="29">
    <w:name w:val="标题 4 Char"/>
    <w:basedOn w:val="24"/>
    <w:link w:val="5"/>
    <w:qFormat/>
    <w:uiPriority w:val="9"/>
    <w:rPr>
      <w:rFonts w:asciiTheme="majorHAnsi" w:hAnsiTheme="majorHAnsi" w:eastAsiaTheme="majorEastAsia" w:cstheme="majorBidi"/>
      <w:b/>
      <w:bCs/>
      <w:sz w:val="28"/>
      <w:szCs w:val="28"/>
    </w:rPr>
  </w:style>
  <w:style w:type="character" w:customStyle="1" w:styleId="30">
    <w:name w:val="标题 5 Char"/>
    <w:basedOn w:val="24"/>
    <w:link w:val="6"/>
    <w:qFormat/>
    <w:uiPriority w:val="9"/>
    <w:rPr>
      <w:b/>
      <w:bCs/>
      <w:sz w:val="28"/>
      <w:szCs w:val="28"/>
    </w:rPr>
  </w:style>
  <w:style w:type="character" w:customStyle="1" w:styleId="31">
    <w:name w:val="标题 Char"/>
    <w:basedOn w:val="24"/>
    <w:link w:val="21"/>
    <w:qFormat/>
    <w:uiPriority w:val="10"/>
    <w:rPr>
      <w:rFonts w:eastAsia="宋体" w:asciiTheme="majorHAnsi" w:hAnsiTheme="majorHAnsi" w:cstheme="majorBidi"/>
      <w:b/>
      <w:bCs/>
      <w:sz w:val="32"/>
      <w:szCs w:val="32"/>
    </w:rPr>
  </w:style>
  <w:style w:type="character" w:customStyle="1" w:styleId="32">
    <w:name w:val="样式表格 Char"/>
    <w:link w:val="33"/>
    <w:qFormat/>
    <w:uiPriority w:val="0"/>
    <w:rPr>
      <w:rFonts w:cs="宋体"/>
      <w:sz w:val="24"/>
      <w:szCs w:val="21"/>
    </w:rPr>
  </w:style>
  <w:style w:type="paragraph" w:customStyle="1" w:styleId="33">
    <w:name w:val="样式表格"/>
    <w:basedOn w:val="1"/>
    <w:link w:val="32"/>
    <w:qFormat/>
    <w:uiPriority w:val="0"/>
    <w:rPr>
      <w:rFonts w:cs="宋体"/>
      <w:sz w:val="24"/>
      <w:szCs w:val="21"/>
    </w:rPr>
  </w:style>
  <w:style w:type="character" w:customStyle="1" w:styleId="34">
    <w:name w:val="批注框文本 Char"/>
    <w:basedOn w:val="24"/>
    <w:link w:val="13"/>
    <w:semiHidden/>
    <w:qFormat/>
    <w:uiPriority w:val="99"/>
    <w:rPr>
      <w:sz w:val="18"/>
      <w:szCs w:val="18"/>
    </w:rPr>
  </w:style>
  <w:style w:type="character" w:customStyle="1" w:styleId="35">
    <w:name w:val="页眉 Char"/>
    <w:basedOn w:val="24"/>
    <w:link w:val="15"/>
    <w:qFormat/>
    <w:uiPriority w:val="99"/>
    <w:rPr>
      <w:sz w:val="18"/>
      <w:szCs w:val="18"/>
    </w:rPr>
  </w:style>
  <w:style w:type="character" w:customStyle="1" w:styleId="36">
    <w:name w:val="页脚 Char"/>
    <w:basedOn w:val="24"/>
    <w:link w:val="14"/>
    <w:qFormat/>
    <w:uiPriority w:val="99"/>
    <w:rPr>
      <w:sz w:val="18"/>
      <w:szCs w:val="18"/>
    </w:rPr>
  </w:style>
  <w:style w:type="paragraph" w:customStyle="1" w:styleId="37">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38">
    <w:name w:val="No Spacing"/>
    <w:link w:val="39"/>
    <w:qFormat/>
    <w:uiPriority w:val="1"/>
    <w:rPr>
      <w:rFonts w:asciiTheme="minorHAnsi" w:hAnsiTheme="minorHAnsi" w:eastAsiaTheme="minorEastAsia" w:cstheme="minorBidi"/>
      <w:kern w:val="0"/>
      <w:sz w:val="22"/>
      <w:szCs w:val="22"/>
      <w:lang w:val="en-US" w:eastAsia="zh-CN" w:bidi="ar-SA"/>
    </w:rPr>
  </w:style>
  <w:style w:type="character" w:customStyle="1" w:styleId="39">
    <w:name w:val="无间隔 Char"/>
    <w:basedOn w:val="24"/>
    <w:link w:val="38"/>
    <w:qFormat/>
    <w:uiPriority w:val="1"/>
    <w:rPr>
      <w:kern w:val="0"/>
      <w:sz w:val="22"/>
    </w:rPr>
  </w:style>
  <w:style w:type="character" w:customStyle="1" w:styleId="40">
    <w:name w:val="正文文本 Char"/>
    <w:link w:val="8"/>
    <w:qFormat/>
    <w:uiPriority w:val="0"/>
    <w:rPr>
      <w:rFonts w:ascii="宋体" w:hAnsi="宋体"/>
      <w:color w:val="000000"/>
      <w:sz w:val="24"/>
    </w:rPr>
  </w:style>
  <w:style w:type="character" w:customStyle="1" w:styleId="41">
    <w:name w:val="正文文本 Char1"/>
    <w:basedOn w:val="24"/>
    <w:semiHidden/>
    <w:qFormat/>
    <w:uiPriority w:val="99"/>
  </w:style>
  <w:style w:type="character" w:customStyle="1" w:styleId="42">
    <w:name w:val="日期 Char"/>
    <w:basedOn w:val="24"/>
    <w:link w:val="12"/>
    <w:semiHidden/>
    <w:qFormat/>
    <w:uiPriority w:val="99"/>
  </w:style>
  <w:style w:type="paragraph" w:customStyle="1" w:styleId="43">
    <w:name w:val="段"/>
    <w:qFormat/>
    <w:uiPriority w:val="0"/>
    <w:pPr>
      <w:autoSpaceDE w:val="0"/>
      <w:autoSpaceDN w:val="0"/>
      <w:ind w:firstLine="200" w:firstLineChars="200"/>
      <w:jc w:val="both"/>
    </w:pPr>
    <w:rPr>
      <w:rFonts w:ascii="宋体" w:hAnsi="Calibri" w:eastAsia="宋体" w:cs="Times New Roman"/>
      <w:kern w:val="0"/>
      <w:sz w:val="21"/>
      <w:szCs w:val="22"/>
      <w:lang w:val="en-US" w:eastAsia="zh-CN" w:bidi="ar-SA"/>
    </w:rPr>
  </w:style>
  <w:style w:type="paragraph" w:customStyle="1" w:styleId="44">
    <w:name w:val="Char2"/>
    <w:basedOn w:val="1"/>
    <w:qFormat/>
    <w:uiPriority w:val="0"/>
    <w:rPr>
      <w:rFonts w:ascii="Times New Roman" w:hAnsi="Times New Roman" w:eastAsia="宋体" w:cs="Times New Roman"/>
      <w:sz w:val="24"/>
      <w:szCs w:val="24"/>
    </w:rPr>
  </w:style>
  <w:style w:type="paragraph" w:styleId="45">
    <w:name w:val="List Paragraph"/>
    <w:basedOn w:val="1"/>
    <w:qFormat/>
    <w:uiPriority w:val="34"/>
    <w:pPr>
      <w:ind w:firstLine="420" w:firstLineChars="200"/>
    </w:pPr>
  </w:style>
  <w:style w:type="paragraph" w:customStyle="1" w:styleId="46">
    <w:name w:val="样式 首行缩进:  2 字符"/>
    <w:basedOn w:val="1"/>
    <w:qFormat/>
    <w:uiPriority w:val="0"/>
    <w:pPr>
      <w:snapToGrid w:val="0"/>
      <w:spacing w:line="360" w:lineRule="auto"/>
      <w:ind w:firstLine="200" w:firstLineChars="200"/>
    </w:pPr>
    <w:rPr>
      <w:rFonts w:ascii="Times New Roman" w:hAnsi="Times New Roman" w:eastAsia="宋体" w:cs="宋体"/>
      <w:sz w:val="28"/>
      <w:szCs w:val="20"/>
    </w:rPr>
  </w:style>
  <w:style w:type="table" w:customStyle="1" w:styleId="47">
    <w:name w:val="网格型2"/>
    <w:basedOn w:val="22"/>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58ED7-58D9-4B03-92F3-8FE6564C7BE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27</Pages>
  <Words>9231</Words>
  <Characters>11645</Characters>
  <Lines>125</Lines>
  <Paragraphs>35</Paragraphs>
  <TotalTime>9</TotalTime>
  <ScaleCrop>false</ScaleCrop>
  <LinksUpToDate>false</LinksUpToDate>
  <CharactersWithSpaces>12040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2020-09-24T13:19:00Z</dcterms:created>
  <dc:creator>微软用户</dc:creator>
  <cp:lastModifiedBy>‘_骄傲女子</cp:lastModifiedBy>
  <dcterms:modified xsi:type="dcterms:W3CDTF">2023-05-05T07:21:35Z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439AA408D06449F196486197ECF85646_13</vt:lpwstr>
  </property>
</Properties>
</file>