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napToGrid w:val="0"/>
        <w:spacing w:line="360" w:lineRule="auto"/>
        <w:ind w:left="0" w:leftChars="0" w:right="0"/>
        <w:textAlignment w:val="auto"/>
        <w:rPr>
          <w:rFonts w:hint="default" w:ascii="宋体" w:hAnsi="宋体" w:eastAsia="宋体" w:cs="宋体"/>
          <w:b/>
          <w:bCs/>
          <w:color w:val="auto"/>
          <w:sz w:val="40"/>
          <w:szCs w:val="40"/>
          <w:lang w:val="en-US" w:eastAsia="zh-CN"/>
        </w:rPr>
      </w:pPr>
      <w:bookmarkStart w:id="0" w:name="_Toc459150227"/>
      <w:r>
        <w:rPr>
          <w:rFonts w:hint="eastAsia" w:ascii="宋体" w:hAnsi="宋体" w:cs="宋体"/>
          <w:b/>
          <w:bCs/>
          <w:color w:val="auto"/>
          <w:sz w:val="40"/>
          <w:szCs w:val="40"/>
          <w:lang w:val="en-US" w:eastAsia="zh-CN"/>
        </w:rPr>
        <w:t>附录B</w:t>
      </w:r>
    </w:p>
    <w:p>
      <w:pPr>
        <w:pageBreakBefore w:val="0"/>
        <w:kinsoku/>
        <w:wordWrap/>
        <w:overflowPunct/>
        <w:topLinePunct w:val="0"/>
        <w:bidi w:val="0"/>
        <w:adjustRightInd w:val="0"/>
        <w:snapToGrid w:val="0"/>
        <w:spacing w:line="360" w:lineRule="auto"/>
        <w:ind w:left="0" w:leftChars="0" w:right="0"/>
        <w:jc w:val="both"/>
        <w:textAlignment w:val="auto"/>
        <w:rPr>
          <w:rFonts w:hint="eastAsia" w:ascii="宋体" w:hAnsi="宋体" w:eastAsia="宋体" w:cs="Times New Roman"/>
          <w:b/>
          <w:color w:val="auto"/>
          <w:sz w:val="52"/>
          <w:szCs w:val="20"/>
          <w:lang w:val="en-US" w:eastAsia="zh-CN"/>
        </w:rPr>
      </w:pPr>
    </w:p>
    <w:p>
      <w:pPr>
        <w:pageBreakBefore w:val="0"/>
        <w:kinsoku/>
        <w:wordWrap/>
        <w:overflowPunct/>
        <w:topLinePunct w:val="0"/>
        <w:bidi w:val="0"/>
        <w:adjustRightInd w:val="0"/>
        <w:snapToGrid w:val="0"/>
        <w:spacing w:line="360" w:lineRule="auto"/>
        <w:ind w:left="0" w:leftChars="0" w:right="0"/>
        <w:jc w:val="center"/>
        <w:textAlignment w:val="auto"/>
        <w:rPr>
          <w:rFonts w:hint="eastAsia" w:ascii="宋体" w:hAnsi="宋体" w:cs="Times New Roman"/>
          <w:b/>
          <w:color w:val="auto"/>
          <w:sz w:val="52"/>
          <w:szCs w:val="20"/>
          <w:lang w:val="en-US" w:eastAsia="zh-CN"/>
        </w:rPr>
      </w:pPr>
      <w:r>
        <w:rPr>
          <w:rFonts w:hint="eastAsia" w:ascii="宋体" w:hAnsi="宋体" w:cs="Times New Roman"/>
          <w:b/>
          <w:color w:val="auto"/>
          <w:sz w:val="52"/>
          <w:szCs w:val="20"/>
          <w:lang w:val="en-US" w:eastAsia="zh-CN"/>
        </w:rPr>
        <w:t>南部县南兴加油站</w:t>
      </w:r>
    </w:p>
    <w:p>
      <w:pPr>
        <w:pStyle w:val="24"/>
        <w:rPr>
          <w:rFonts w:hint="eastAsia" w:ascii="宋体" w:hAnsi="宋体" w:cs="Times New Roman"/>
          <w:b/>
          <w:color w:val="auto"/>
          <w:sz w:val="52"/>
          <w:szCs w:val="20"/>
          <w:lang w:val="en-US" w:eastAsia="zh-CN"/>
        </w:rPr>
      </w:pPr>
    </w:p>
    <w:p>
      <w:pPr>
        <w:pStyle w:val="24"/>
        <w:rPr>
          <w:rFonts w:hint="eastAsia" w:ascii="宋体" w:hAnsi="宋体" w:cs="Times New Roman"/>
          <w:b/>
          <w:color w:val="auto"/>
          <w:sz w:val="52"/>
          <w:szCs w:val="20"/>
          <w:lang w:val="en-US" w:eastAsia="zh-CN"/>
        </w:rPr>
      </w:pPr>
    </w:p>
    <w:p>
      <w:pPr>
        <w:pStyle w:val="24"/>
        <w:rPr>
          <w:rFonts w:hint="eastAsia"/>
          <w:lang w:val="en-US" w:eastAsia="zh-CN"/>
        </w:rPr>
      </w:pPr>
    </w:p>
    <w:p>
      <w:pPr>
        <w:pageBreakBefore w:val="0"/>
        <w:kinsoku/>
        <w:wordWrap/>
        <w:overflowPunct/>
        <w:topLinePunct w:val="0"/>
        <w:bidi w:val="0"/>
        <w:adjustRightInd w:val="0"/>
        <w:snapToGrid w:val="0"/>
        <w:spacing w:line="360" w:lineRule="auto"/>
        <w:ind w:left="0" w:leftChars="0" w:right="0"/>
        <w:jc w:val="center"/>
        <w:textAlignment w:val="auto"/>
        <w:rPr>
          <w:rFonts w:hint="eastAsia" w:ascii="宋体" w:hAnsi="宋体" w:eastAsia="宋体" w:cs="Times New Roman"/>
          <w:b/>
          <w:color w:val="auto"/>
          <w:sz w:val="52"/>
          <w:szCs w:val="20"/>
        </w:rPr>
      </w:pPr>
      <w:r>
        <w:rPr>
          <w:rFonts w:hint="eastAsia" w:ascii="宋体" w:hAnsi="宋体" w:eastAsia="宋体" w:cs="Times New Roman"/>
          <w:b/>
          <w:color w:val="auto"/>
          <w:sz w:val="52"/>
          <w:szCs w:val="20"/>
          <w:lang w:eastAsia="zh-CN"/>
        </w:rPr>
        <w:t>生产安全</w:t>
      </w:r>
      <w:r>
        <w:rPr>
          <w:rFonts w:hint="eastAsia" w:ascii="宋体" w:hAnsi="宋体" w:eastAsia="宋体" w:cs="Times New Roman"/>
          <w:b/>
          <w:color w:val="auto"/>
          <w:sz w:val="52"/>
          <w:szCs w:val="20"/>
        </w:rPr>
        <w:t>事故风险辨识评估报告</w:t>
      </w:r>
    </w:p>
    <w:p>
      <w:pPr>
        <w:pageBreakBefore w:val="0"/>
        <w:kinsoku/>
        <w:wordWrap/>
        <w:overflowPunct/>
        <w:topLinePunct w:val="0"/>
        <w:bidi w:val="0"/>
        <w:snapToGrid w:val="0"/>
        <w:spacing w:line="360" w:lineRule="auto"/>
        <w:ind w:left="0" w:leftChars="0" w:right="0"/>
        <w:jc w:val="center"/>
        <w:textAlignment w:val="auto"/>
        <w:rPr>
          <w:rFonts w:hint="eastAsia" w:ascii="宋体" w:hAnsi="宋体" w:eastAsia="宋体" w:cs="宋体"/>
          <w:color w:val="auto"/>
          <w:sz w:val="32"/>
          <w:szCs w:val="32"/>
        </w:rPr>
      </w:pPr>
    </w:p>
    <w:p>
      <w:pPr>
        <w:pageBreakBefore w:val="0"/>
        <w:kinsoku/>
        <w:wordWrap/>
        <w:overflowPunct/>
        <w:topLinePunct w:val="0"/>
        <w:bidi w:val="0"/>
        <w:snapToGrid w:val="0"/>
        <w:spacing w:line="360" w:lineRule="auto"/>
        <w:ind w:left="0" w:leftChars="0" w:right="0"/>
        <w:jc w:val="center"/>
        <w:textAlignment w:val="auto"/>
        <w:rPr>
          <w:rFonts w:hint="eastAsia" w:ascii="宋体" w:hAnsi="宋体" w:eastAsia="宋体" w:cs="宋体"/>
          <w:color w:val="auto"/>
          <w:sz w:val="32"/>
          <w:szCs w:val="32"/>
        </w:rPr>
      </w:pPr>
    </w:p>
    <w:p>
      <w:pPr>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sz w:val="32"/>
          <w:szCs w:val="32"/>
        </w:rPr>
      </w:pPr>
    </w:p>
    <w:p>
      <w:pPr>
        <w:pageBreakBefore w:val="0"/>
        <w:kinsoku/>
        <w:wordWrap/>
        <w:overflowPunct/>
        <w:topLinePunct w:val="0"/>
        <w:bidi w:val="0"/>
        <w:snapToGrid w:val="0"/>
        <w:spacing w:line="360" w:lineRule="auto"/>
        <w:ind w:left="0" w:leftChars="0" w:right="0"/>
        <w:jc w:val="center"/>
        <w:textAlignment w:val="auto"/>
        <w:rPr>
          <w:rFonts w:hint="eastAsia" w:ascii="宋体" w:hAnsi="宋体" w:eastAsia="宋体" w:cs="宋体"/>
          <w:color w:val="auto"/>
          <w:sz w:val="32"/>
          <w:szCs w:val="32"/>
        </w:rPr>
      </w:pPr>
    </w:p>
    <w:p>
      <w:pPr>
        <w:pageBreakBefore w:val="0"/>
        <w:tabs>
          <w:tab w:val="left" w:pos="5453"/>
        </w:tabs>
        <w:kinsoku/>
        <w:wordWrap/>
        <w:overflowPunct/>
        <w:topLinePunct w:val="0"/>
        <w:bidi w:val="0"/>
        <w:snapToGrid w:val="0"/>
        <w:spacing w:line="360" w:lineRule="auto"/>
        <w:ind w:left="0" w:leftChars="0" w:right="0"/>
        <w:jc w:val="both"/>
        <w:textAlignment w:val="auto"/>
        <w:rPr>
          <w:rFonts w:hint="eastAsia" w:ascii="宋体" w:hAnsi="宋体" w:eastAsia="宋体" w:cs="宋体"/>
          <w:color w:val="auto"/>
        </w:rPr>
      </w:pPr>
      <w:r>
        <w:rPr>
          <w:rFonts w:hint="eastAsia" w:ascii="宋体" w:hAnsi="宋体" w:cs="宋体"/>
          <w:color w:val="auto"/>
          <w:sz w:val="32"/>
          <w:szCs w:val="32"/>
          <w:lang w:eastAsia="zh-CN"/>
        </w:rPr>
        <w:tab/>
      </w:r>
    </w:p>
    <w:p>
      <w:pPr>
        <w:pageBreakBefore w:val="0"/>
        <w:kinsoku/>
        <w:wordWrap/>
        <w:overflowPunct/>
        <w:topLinePunct w:val="0"/>
        <w:bidi w:val="0"/>
        <w:snapToGrid w:val="0"/>
        <w:spacing w:line="360" w:lineRule="auto"/>
        <w:ind w:left="0" w:leftChars="0" w:right="0"/>
        <w:textAlignment w:val="auto"/>
        <w:rPr>
          <w:rFonts w:hint="eastAsia"/>
          <w:color w:val="auto"/>
        </w:rPr>
      </w:pPr>
    </w:p>
    <w:p>
      <w:pPr>
        <w:pageBreakBefore w:val="0"/>
        <w:kinsoku/>
        <w:wordWrap/>
        <w:overflowPunct/>
        <w:topLinePunct w:val="0"/>
        <w:bidi w:val="0"/>
        <w:snapToGrid w:val="0"/>
        <w:spacing w:line="360" w:lineRule="auto"/>
        <w:ind w:left="0" w:leftChars="0" w:right="0"/>
        <w:jc w:val="center"/>
        <w:textAlignment w:val="auto"/>
        <w:rPr>
          <w:rFonts w:hint="eastAsia" w:ascii="宋体" w:hAnsi="宋体" w:eastAsia="宋体" w:cs="宋体"/>
          <w:color w:val="auto"/>
          <w:sz w:val="32"/>
          <w:szCs w:val="32"/>
        </w:rPr>
      </w:pPr>
    </w:p>
    <w:p>
      <w:pPr>
        <w:pStyle w:val="24"/>
        <w:rPr>
          <w:rFonts w:hint="eastAsia" w:ascii="宋体" w:hAnsi="宋体" w:eastAsia="宋体" w:cs="宋体"/>
          <w:color w:val="auto"/>
          <w:sz w:val="32"/>
          <w:szCs w:val="32"/>
        </w:rPr>
      </w:pPr>
    </w:p>
    <w:p>
      <w:pPr>
        <w:pStyle w:val="24"/>
        <w:rPr>
          <w:rFonts w:hint="eastAsia" w:ascii="宋体" w:hAnsi="宋体" w:eastAsia="宋体" w:cs="宋体"/>
          <w:color w:val="auto"/>
          <w:sz w:val="32"/>
          <w:szCs w:val="32"/>
        </w:rPr>
      </w:pPr>
    </w:p>
    <w:p>
      <w:pPr>
        <w:pStyle w:val="24"/>
        <w:rPr>
          <w:rFonts w:hint="eastAsia" w:ascii="宋体" w:hAnsi="宋体" w:eastAsia="宋体" w:cs="宋体"/>
          <w:color w:val="auto"/>
          <w:sz w:val="32"/>
          <w:szCs w:val="32"/>
        </w:rPr>
      </w:pPr>
    </w:p>
    <w:p>
      <w:pPr>
        <w:pStyle w:val="24"/>
        <w:ind w:left="0" w:leftChars="0" w:firstLine="0" w:firstLineChars="0"/>
        <w:jc w:val="both"/>
        <w:rPr>
          <w:rFonts w:hint="eastAsia" w:ascii="宋体" w:hAnsi="宋体" w:eastAsia="宋体" w:cs="宋体"/>
          <w:color w:val="auto"/>
          <w:sz w:val="32"/>
          <w:szCs w:val="32"/>
        </w:rPr>
      </w:pPr>
    </w:p>
    <w:p>
      <w:pPr>
        <w:pStyle w:val="2"/>
        <w:pageBreakBefore w:val="0"/>
        <w:kinsoku/>
        <w:wordWrap/>
        <w:overflowPunct/>
        <w:topLinePunct w:val="0"/>
        <w:bidi w:val="0"/>
        <w:snapToGrid w:val="0"/>
        <w:spacing w:line="360" w:lineRule="auto"/>
        <w:ind w:left="0" w:leftChars="0" w:right="0"/>
        <w:textAlignment w:val="auto"/>
        <w:rPr>
          <w:rFonts w:hint="eastAsia"/>
        </w:rPr>
      </w:pPr>
    </w:p>
    <w:tbl>
      <w:tblPr>
        <w:tblStyle w:val="50"/>
        <w:tblpPr w:leftFromText="180" w:rightFromText="180" w:vertAnchor="text" w:horzAnchor="page" w:tblpXSpec="center" w:tblpY="268"/>
        <w:tblOverlap w:val="never"/>
        <w:tblW w:w="9280" w:type="dxa"/>
        <w:jc w:val="center"/>
        <w:tblLayout w:type="fixed"/>
        <w:tblCellMar>
          <w:top w:w="0" w:type="dxa"/>
          <w:left w:w="108" w:type="dxa"/>
          <w:bottom w:w="0" w:type="dxa"/>
          <w:right w:w="108" w:type="dxa"/>
        </w:tblCellMar>
      </w:tblPr>
      <w:tblGrid>
        <w:gridCol w:w="9280"/>
      </w:tblGrid>
      <w:tr>
        <w:trPr>
          <w:trHeight w:val="1206" w:hRule="atLeast"/>
          <w:jc w:val="center"/>
        </w:trPr>
        <w:tc>
          <w:tcPr>
            <w:tcW w:w="9280" w:type="dxa"/>
            <w:vAlign w:val="center"/>
          </w:tcPr>
          <w:p>
            <w:pPr>
              <w:pageBreakBefore w:val="0"/>
              <w:kinsoku/>
              <w:wordWrap/>
              <w:overflowPunct/>
              <w:topLinePunct w:val="0"/>
              <w:bidi w:val="0"/>
              <w:snapToGrid w:val="0"/>
              <w:spacing w:line="360" w:lineRule="auto"/>
              <w:ind w:left="0" w:leftChars="0" w:right="0"/>
              <w:jc w:val="center"/>
              <w:textAlignment w:val="auto"/>
              <w:rPr>
                <w:rFonts w:hint="eastAsia" w:eastAsia="黑体"/>
                <w:b/>
                <w:bCs/>
                <w:color w:val="auto"/>
                <w:sz w:val="28"/>
                <w:szCs w:val="28"/>
                <w:lang w:eastAsia="zh-CN"/>
              </w:rPr>
            </w:pPr>
            <w:r>
              <w:rPr>
                <w:rFonts w:eastAsia="黑体"/>
                <w:bCs/>
                <w:color w:val="auto"/>
                <w:sz w:val="28"/>
                <w:szCs w:val="28"/>
              </w:rPr>
              <w:t>编制单位：</w:t>
            </w:r>
            <w:r>
              <w:rPr>
                <w:rFonts w:hint="eastAsia" w:eastAsia="黑体"/>
                <w:bCs/>
                <w:color w:val="auto"/>
                <w:sz w:val="28"/>
                <w:szCs w:val="28"/>
                <w:lang w:eastAsia="zh-CN"/>
              </w:rPr>
              <w:t>南部县南兴加油站</w:t>
            </w:r>
          </w:p>
        </w:tc>
      </w:tr>
      <w:tr>
        <w:tblPrEx>
          <w:tblCellMar>
            <w:top w:w="0" w:type="dxa"/>
            <w:left w:w="108" w:type="dxa"/>
            <w:bottom w:w="0" w:type="dxa"/>
            <w:right w:w="108" w:type="dxa"/>
          </w:tblCellMar>
        </w:tblPrEx>
        <w:trPr>
          <w:trHeight w:val="603" w:hRule="atLeast"/>
          <w:jc w:val="center"/>
        </w:trPr>
        <w:tc>
          <w:tcPr>
            <w:tcW w:w="9280" w:type="dxa"/>
            <w:vAlign w:val="center"/>
          </w:tcPr>
          <w:p>
            <w:pPr>
              <w:pageBreakBefore w:val="0"/>
              <w:kinsoku/>
              <w:wordWrap/>
              <w:overflowPunct/>
              <w:topLinePunct w:val="0"/>
              <w:bidi w:val="0"/>
              <w:snapToGrid w:val="0"/>
              <w:spacing w:line="360" w:lineRule="auto"/>
              <w:ind w:left="0" w:leftChars="0" w:right="0"/>
              <w:jc w:val="center"/>
              <w:textAlignment w:val="auto"/>
              <w:rPr>
                <w:rFonts w:hint="default" w:eastAsia="黑体"/>
                <w:color w:val="auto"/>
                <w:sz w:val="28"/>
                <w:szCs w:val="28"/>
                <w:lang w:val="en-US" w:eastAsia="zh-CN"/>
              </w:rPr>
            </w:pPr>
            <w:r>
              <w:rPr>
                <w:rFonts w:eastAsia="黑体"/>
                <w:bCs/>
                <w:color w:val="auto"/>
                <w:sz w:val="28"/>
                <w:szCs w:val="28"/>
              </w:rPr>
              <w:t>编制时间：20</w:t>
            </w:r>
            <w:r>
              <w:rPr>
                <w:rFonts w:hint="eastAsia" w:eastAsia="黑体"/>
                <w:bCs/>
                <w:color w:val="auto"/>
                <w:sz w:val="28"/>
                <w:szCs w:val="28"/>
              </w:rPr>
              <w:t>2</w:t>
            </w:r>
            <w:r>
              <w:rPr>
                <w:rFonts w:hint="eastAsia" w:eastAsia="黑体"/>
                <w:bCs/>
                <w:color w:val="auto"/>
                <w:sz w:val="28"/>
                <w:szCs w:val="28"/>
                <w:lang w:val="en-US" w:eastAsia="zh-CN"/>
              </w:rPr>
              <w:t>3</w:t>
            </w:r>
            <w:r>
              <w:rPr>
                <w:rFonts w:eastAsia="黑体"/>
                <w:bCs/>
                <w:color w:val="auto"/>
                <w:sz w:val="28"/>
                <w:szCs w:val="28"/>
              </w:rPr>
              <w:t>年</w:t>
            </w:r>
            <w:r>
              <w:rPr>
                <w:rFonts w:hint="eastAsia" w:eastAsia="黑体"/>
                <w:bCs/>
                <w:color w:val="auto"/>
                <w:sz w:val="28"/>
                <w:szCs w:val="28"/>
                <w:lang w:val="en-US" w:eastAsia="zh-CN"/>
              </w:rPr>
              <w:t>3月</w:t>
            </w:r>
          </w:p>
        </w:tc>
      </w:tr>
    </w:tbl>
    <w:p>
      <w:pPr>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rPr>
        <w:sectPr>
          <w:headerReference r:id="rId3" w:type="default"/>
          <w:pgSz w:w="11906" w:h="16838"/>
          <w:pgMar w:top="1418" w:right="1417" w:bottom="1417" w:left="1417" w:header="851" w:footer="992" w:gutter="0"/>
          <w:cols w:space="720" w:num="1"/>
          <w:docGrid w:type="lines" w:linePitch="312" w:charSpace="0"/>
        </w:sectPr>
      </w:pPr>
      <w:r>
        <w:rPr>
          <w:rFonts w:hint="eastAsia" w:ascii="宋体" w:hAnsi="宋体" w:eastAsia="宋体" w:cs="宋体"/>
          <w:color w:val="auto"/>
        </w:rPr>
        <w:br w:type="page"/>
      </w:r>
      <w:bookmarkStart w:id="1" w:name="_Toc2846926"/>
      <w:bookmarkStart w:id="2" w:name="_Toc485124504"/>
      <w:bookmarkStart w:id="3" w:name="_Toc481937753"/>
      <w:bookmarkStart w:id="4" w:name="_Toc518109001"/>
      <w:bookmarkStart w:id="5" w:name="_Toc504412374"/>
      <w:bookmarkStart w:id="6" w:name="_Toc10102"/>
      <w:bookmarkStart w:id="7" w:name="_Toc2847279"/>
      <w:bookmarkStart w:id="8" w:name="_Toc22537"/>
      <w:bookmarkStart w:id="9" w:name="_Toc504674261"/>
      <w:bookmarkStart w:id="10" w:name="_Toc3382"/>
      <w:bookmarkStart w:id="11" w:name="_Toc508113622"/>
      <w:bookmarkStart w:id="12" w:name="_Toc497429443"/>
      <w:bookmarkStart w:id="13" w:name="_Toc502005957"/>
      <w:bookmarkStart w:id="14" w:name="_Toc504407614"/>
      <w:bookmarkStart w:id="15" w:name="_Toc509532245"/>
      <w:bookmarkStart w:id="16" w:name="_Toc29608"/>
      <w:bookmarkStart w:id="17" w:name="_Toc488149853"/>
      <w:bookmarkStart w:id="18" w:name="_Toc518639222"/>
      <w:bookmarkStart w:id="19" w:name="_Toc10922"/>
      <w:bookmarkStart w:id="20" w:name="_Toc19373"/>
      <w:bookmarkStart w:id="21" w:name="_Toc504946218"/>
      <w:bookmarkStart w:id="22" w:name="_Toc2847118"/>
      <w:bookmarkStart w:id="23" w:name="_Toc488149796"/>
      <w:bookmarkStart w:id="24" w:name="_Toc23466"/>
      <w:bookmarkStart w:id="25" w:name="_Toc81"/>
    </w:p>
    <w:p>
      <w:pPr>
        <w:pStyle w:val="4"/>
        <w:pageBreakBefore w:val="0"/>
        <w:kinsoku/>
        <w:wordWrap/>
        <w:overflowPunct/>
        <w:topLinePunct w:val="0"/>
        <w:bidi w:val="0"/>
        <w:snapToGrid w:val="0"/>
        <w:spacing w:line="360" w:lineRule="auto"/>
        <w:ind w:left="0" w:leftChars="0" w:right="0"/>
        <w:jc w:val="center"/>
        <w:textAlignment w:val="auto"/>
        <w:rPr>
          <w:rFonts w:hint="eastAsia" w:ascii="宋体" w:hAnsi="宋体" w:eastAsia="宋体" w:cs="宋体"/>
          <w:color w:val="auto"/>
        </w:rPr>
      </w:pPr>
      <w:r>
        <w:rPr>
          <w:rFonts w:hint="eastAsia" w:ascii="宋体" w:hAnsi="宋体" w:eastAsia="宋体" w:cs="宋体"/>
          <w:color w:val="auto"/>
        </w:rPr>
        <w:t>目  录</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pPr>
        <w:pStyle w:val="34"/>
        <w:pageBreakBefore w:val="0"/>
        <w:tabs>
          <w:tab w:val="right" w:leader="dot" w:pos="9072"/>
        </w:tabs>
        <w:kinsoku/>
        <w:wordWrap/>
        <w:overflowPunct/>
        <w:topLinePunct w:val="0"/>
        <w:bidi w:val="0"/>
        <w:snapToGrid w:val="0"/>
        <w:spacing w:line="360" w:lineRule="auto"/>
        <w:ind w:left="0" w:leftChars="0" w:right="0"/>
        <w:textAlignment w:val="auto"/>
      </w:pPr>
      <w:r>
        <w:rPr>
          <w:rFonts w:hint="eastAsia" w:ascii="宋体" w:hAnsi="宋体" w:eastAsia="宋体" w:cs="宋体"/>
          <w:color w:val="auto"/>
        </w:rPr>
        <w:fldChar w:fldCharType="begin"/>
      </w:r>
      <w:r>
        <w:rPr>
          <w:rFonts w:hint="eastAsia" w:ascii="宋体" w:hAnsi="宋体" w:eastAsia="宋体" w:cs="宋体"/>
          <w:color w:val="auto"/>
        </w:rPr>
        <w:instrText xml:space="preserve">TOC \o "2-3" \h \z \t "标题 1,1,前言、引言标题,1"</w:instrText>
      </w:r>
      <w:r>
        <w:rPr>
          <w:rFonts w:hint="eastAsia" w:ascii="宋体" w:hAnsi="宋体" w:eastAsia="宋体" w:cs="宋体"/>
          <w:color w:val="auto"/>
        </w:rPr>
        <w:fldChar w:fldCharType="separate"/>
      </w:r>
      <w:r>
        <w:rPr>
          <w:rFonts w:hint="eastAsia" w:ascii="宋体" w:hAnsi="宋体" w:eastAsia="宋体" w:cs="宋体"/>
          <w:color w:val="auto"/>
        </w:rPr>
        <w:fldChar w:fldCharType="begin"/>
      </w:r>
      <w:r>
        <w:rPr>
          <w:rFonts w:hint="eastAsia" w:ascii="宋体" w:hAnsi="宋体" w:eastAsia="宋体" w:cs="宋体"/>
        </w:rPr>
        <w:instrText xml:space="preserve"> HYPERLINK \l _Toc5830 </w:instrText>
      </w:r>
      <w:r>
        <w:rPr>
          <w:rFonts w:hint="eastAsia" w:ascii="宋体" w:hAnsi="宋体" w:eastAsia="宋体" w:cs="宋体"/>
        </w:rPr>
        <w:fldChar w:fldCharType="separate"/>
      </w:r>
      <w:r>
        <w:rPr>
          <w:rFonts w:hint="eastAsia" w:ascii="宋体" w:hAnsi="宋体" w:eastAsia="宋体" w:cs="宋体"/>
          <w:lang w:val="en-US" w:eastAsia="zh-CN"/>
        </w:rPr>
        <w:t>1 危险有害因素</w:t>
      </w:r>
      <w:r>
        <w:rPr>
          <w:rFonts w:hint="eastAsia" w:ascii="宋体" w:hAnsi="宋体" w:cs="宋体"/>
          <w:lang w:val="en-US" w:eastAsia="zh-CN"/>
        </w:rPr>
        <w:t>辨识</w:t>
      </w:r>
      <w:r>
        <w:tab/>
      </w:r>
      <w:r>
        <w:fldChar w:fldCharType="begin"/>
      </w:r>
      <w:r>
        <w:instrText xml:space="preserve"> PAGEREF _Toc5830 \h </w:instrText>
      </w:r>
      <w:r>
        <w:fldChar w:fldCharType="separate"/>
      </w:r>
      <w:r>
        <w:t>1</w:t>
      </w:r>
      <w:r>
        <w:fldChar w:fldCharType="end"/>
      </w:r>
      <w:r>
        <w:rPr>
          <w:rFonts w:hint="eastAsia" w:ascii="宋体" w:hAnsi="宋体" w:eastAsia="宋体" w:cs="宋体"/>
          <w:color w:val="auto"/>
        </w:rPr>
        <w:fldChar w:fldCharType="end"/>
      </w:r>
    </w:p>
    <w:p>
      <w:pPr>
        <w:pStyle w:val="41"/>
        <w:pageBreakBefore w:val="0"/>
        <w:tabs>
          <w:tab w:val="right" w:leader="dot" w:pos="9072"/>
        </w:tabs>
        <w:kinsoku/>
        <w:wordWrap/>
        <w:overflowPunct/>
        <w:topLinePunct w:val="0"/>
        <w:bidi w:val="0"/>
        <w:snapToGrid w:val="0"/>
        <w:spacing w:line="360" w:lineRule="auto"/>
        <w:ind w:left="0" w:leftChars="0" w:right="0" w:firstLine="420" w:firstLineChars="200"/>
        <w:textAlignment w:val="auto"/>
      </w:pPr>
      <w:r>
        <w:rPr>
          <w:rFonts w:hint="eastAsia" w:ascii="宋体" w:hAnsi="宋体" w:eastAsia="宋体" w:cs="宋体"/>
          <w:color w:val="auto"/>
        </w:rPr>
        <w:fldChar w:fldCharType="begin"/>
      </w:r>
      <w:r>
        <w:rPr>
          <w:rFonts w:hint="eastAsia" w:ascii="宋体" w:hAnsi="宋体" w:eastAsia="宋体" w:cs="宋体"/>
        </w:rPr>
        <w:instrText xml:space="preserve"> HYPERLINK \l _Toc7051 </w:instrText>
      </w:r>
      <w:r>
        <w:rPr>
          <w:rFonts w:hint="eastAsia" w:ascii="宋体" w:hAnsi="宋体" w:eastAsia="宋体" w:cs="宋体"/>
        </w:rPr>
        <w:fldChar w:fldCharType="separate"/>
      </w:r>
      <w:r>
        <w:rPr>
          <w:rFonts w:hint="eastAsia" w:ascii="宋体" w:hAnsi="宋体" w:eastAsia="宋体" w:cs="宋体"/>
          <w:szCs w:val="28"/>
          <w:lang w:val="en-US" w:eastAsia="zh-CN"/>
        </w:rPr>
        <w:t>1</w:t>
      </w:r>
      <w:r>
        <w:rPr>
          <w:rFonts w:hint="eastAsia" w:ascii="宋体" w:hAnsi="宋体" w:eastAsia="宋体" w:cs="宋体"/>
          <w:szCs w:val="28"/>
        </w:rPr>
        <w:t>.1经营物料危险有害因素分析</w:t>
      </w:r>
      <w:r>
        <w:tab/>
      </w:r>
      <w:r>
        <w:fldChar w:fldCharType="begin"/>
      </w:r>
      <w:r>
        <w:instrText xml:space="preserve"> PAGEREF _Toc7051 \h </w:instrText>
      </w:r>
      <w:r>
        <w:fldChar w:fldCharType="separate"/>
      </w:r>
      <w:r>
        <w:t>1</w:t>
      </w:r>
      <w:r>
        <w:fldChar w:fldCharType="end"/>
      </w:r>
      <w:r>
        <w:rPr>
          <w:rFonts w:hint="eastAsia" w:ascii="宋体" w:hAnsi="宋体" w:eastAsia="宋体" w:cs="宋体"/>
          <w:color w:val="auto"/>
        </w:rPr>
        <w:fldChar w:fldCharType="end"/>
      </w:r>
    </w:p>
    <w:p>
      <w:pPr>
        <w:pStyle w:val="41"/>
        <w:pageBreakBefore w:val="0"/>
        <w:tabs>
          <w:tab w:val="right" w:leader="dot" w:pos="9072"/>
        </w:tabs>
        <w:kinsoku/>
        <w:wordWrap/>
        <w:overflowPunct/>
        <w:topLinePunct w:val="0"/>
        <w:bidi w:val="0"/>
        <w:snapToGrid w:val="0"/>
        <w:spacing w:line="360" w:lineRule="auto"/>
        <w:ind w:left="0" w:leftChars="0" w:right="0" w:firstLine="420" w:firstLineChars="200"/>
        <w:textAlignment w:val="auto"/>
      </w:pPr>
      <w:r>
        <w:rPr>
          <w:rFonts w:hint="eastAsia" w:ascii="宋体" w:hAnsi="宋体" w:eastAsia="宋体" w:cs="宋体"/>
          <w:color w:val="auto"/>
        </w:rPr>
        <w:fldChar w:fldCharType="begin"/>
      </w:r>
      <w:r>
        <w:rPr>
          <w:rFonts w:hint="eastAsia" w:ascii="宋体" w:hAnsi="宋体" w:eastAsia="宋体" w:cs="宋体"/>
        </w:rPr>
        <w:instrText xml:space="preserve"> HYPERLINK \l _Toc1951 </w:instrText>
      </w:r>
      <w:r>
        <w:rPr>
          <w:rFonts w:hint="eastAsia" w:ascii="宋体" w:hAnsi="宋体" w:eastAsia="宋体" w:cs="宋体"/>
        </w:rPr>
        <w:fldChar w:fldCharType="separate"/>
      </w:r>
      <w:r>
        <w:rPr>
          <w:rFonts w:hint="eastAsia" w:ascii="宋体" w:hAnsi="宋体" w:eastAsia="宋体" w:cs="宋体"/>
          <w:szCs w:val="28"/>
          <w:lang w:val="en-US" w:eastAsia="zh-CN"/>
        </w:rPr>
        <w:t>1.2站场及周边环境的危险、有害因素分析</w:t>
      </w:r>
      <w:r>
        <w:tab/>
      </w:r>
      <w:r>
        <w:fldChar w:fldCharType="begin"/>
      </w:r>
      <w:r>
        <w:instrText xml:space="preserve"> PAGEREF _Toc1951 \h </w:instrText>
      </w:r>
      <w:r>
        <w:fldChar w:fldCharType="separate"/>
      </w:r>
      <w:r>
        <w:t>4</w:t>
      </w:r>
      <w:r>
        <w:fldChar w:fldCharType="end"/>
      </w:r>
      <w:r>
        <w:rPr>
          <w:rFonts w:hint="eastAsia" w:ascii="宋体" w:hAnsi="宋体" w:eastAsia="宋体" w:cs="宋体"/>
          <w:color w:val="auto"/>
        </w:rPr>
        <w:fldChar w:fldCharType="end"/>
      </w:r>
    </w:p>
    <w:p>
      <w:pPr>
        <w:pStyle w:val="26"/>
        <w:keepNext w:val="0"/>
        <w:keepLines w:val="0"/>
        <w:pageBreakBefore w:val="0"/>
        <w:widowControl/>
        <w:tabs>
          <w:tab w:val="right" w:leader="dot" w:pos="9072"/>
        </w:tabs>
        <w:kinsoku/>
        <w:wordWrap/>
        <w:overflowPunct/>
        <w:topLinePunct w:val="0"/>
        <w:autoSpaceDE/>
        <w:autoSpaceDN/>
        <w:bidi w:val="0"/>
        <w:adjustRightInd/>
        <w:snapToGrid w:val="0"/>
        <w:spacing w:line="360" w:lineRule="auto"/>
        <w:ind w:left="0" w:leftChars="0" w:right="0" w:firstLine="840" w:firstLineChars="400"/>
        <w:textAlignment w:val="auto"/>
      </w:pPr>
      <w:r>
        <w:rPr>
          <w:rFonts w:hint="eastAsia" w:ascii="宋体" w:hAnsi="宋体" w:eastAsia="宋体" w:cs="宋体"/>
          <w:color w:val="auto"/>
        </w:rPr>
        <w:fldChar w:fldCharType="begin"/>
      </w:r>
      <w:r>
        <w:rPr>
          <w:rFonts w:hint="eastAsia" w:ascii="宋体" w:hAnsi="宋体" w:eastAsia="宋体" w:cs="宋体"/>
        </w:rPr>
        <w:instrText xml:space="preserve"> HYPERLINK \l _Toc4905 </w:instrText>
      </w:r>
      <w:r>
        <w:rPr>
          <w:rFonts w:hint="eastAsia" w:ascii="宋体" w:hAnsi="宋体" w:eastAsia="宋体" w:cs="宋体"/>
        </w:rPr>
        <w:fldChar w:fldCharType="separate"/>
      </w:r>
      <w:r>
        <w:rPr>
          <w:rFonts w:hint="eastAsia" w:ascii="宋体" w:hAnsi="宋体" w:cs="宋体"/>
          <w:szCs w:val="30"/>
          <w:highlight w:val="none"/>
          <w:lang w:val="en-US" w:eastAsia="zh-CN"/>
        </w:rPr>
        <w:t>1.2.1</w:t>
      </w:r>
      <w:r>
        <w:rPr>
          <w:rFonts w:hint="eastAsia" w:ascii="宋体" w:hAnsi="宋体" w:eastAsia="宋体" w:cs="宋体"/>
          <w:szCs w:val="30"/>
          <w:highlight w:val="none"/>
          <w:lang w:val="en-US" w:eastAsia="zh-CN"/>
        </w:rPr>
        <w:t>站址及周边环境的危险、有害因素辨识</w:t>
      </w:r>
      <w:r>
        <w:tab/>
      </w:r>
      <w:r>
        <w:fldChar w:fldCharType="begin"/>
      </w:r>
      <w:r>
        <w:instrText xml:space="preserve"> PAGEREF _Toc4905 \h </w:instrText>
      </w:r>
      <w:r>
        <w:fldChar w:fldCharType="separate"/>
      </w:r>
      <w:r>
        <w:t>4</w:t>
      </w:r>
      <w:r>
        <w:fldChar w:fldCharType="end"/>
      </w:r>
      <w:r>
        <w:rPr>
          <w:rFonts w:hint="eastAsia" w:ascii="宋体" w:hAnsi="宋体" w:eastAsia="宋体" w:cs="宋体"/>
          <w:color w:val="auto"/>
        </w:rPr>
        <w:fldChar w:fldCharType="end"/>
      </w:r>
    </w:p>
    <w:p>
      <w:pPr>
        <w:pStyle w:val="26"/>
        <w:keepNext w:val="0"/>
        <w:keepLines w:val="0"/>
        <w:pageBreakBefore w:val="0"/>
        <w:widowControl/>
        <w:tabs>
          <w:tab w:val="right" w:leader="dot" w:pos="9072"/>
        </w:tabs>
        <w:kinsoku/>
        <w:wordWrap/>
        <w:overflowPunct/>
        <w:topLinePunct w:val="0"/>
        <w:autoSpaceDE/>
        <w:autoSpaceDN/>
        <w:bidi w:val="0"/>
        <w:adjustRightInd/>
        <w:snapToGrid w:val="0"/>
        <w:spacing w:line="360" w:lineRule="auto"/>
        <w:ind w:left="0" w:leftChars="0" w:right="0" w:firstLine="840" w:firstLineChars="400"/>
        <w:textAlignment w:val="auto"/>
      </w:pPr>
      <w:r>
        <w:rPr>
          <w:rFonts w:hint="eastAsia" w:ascii="宋体" w:hAnsi="宋体" w:eastAsia="宋体" w:cs="宋体"/>
          <w:color w:val="auto"/>
        </w:rPr>
        <w:fldChar w:fldCharType="begin"/>
      </w:r>
      <w:r>
        <w:rPr>
          <w:rFonts w:hint="eastAsia" w:ascii="宋体" w:hAnsi="宋体" w:eastAsia="宋体" w:cs="宋体"/>
        </w:rPr>
        <w:instrText xml:space="preserve"> HYPERLINK \l _Toc1126 </w:instrText>
      </w:r>
      <w:r>
        <w:rPr>
          <w:rFonts w:hint="eastAsia" w:ascii="宋体" w:hAnsi="宋体" w:eastAsia="宋体" w:cs="宋体"/>
        </w:rPr>
        <w:fldChar w:fldCharType="separate"/>
      </w:r>
      <w:r>
        <w:rPr>
          <w:rFonts w:hint="eastAsia" w:ascii="宋体" w:hAnsi="宋体" w:cs="宋体"/>
          <w:szCs w:val="30"/>
          <w:lang w:val="en-US" w:eastAsia="zh-CN"/>
        </w:rPr>
        <w:t>1.2.2平面布置的危险、有害因素辨识</w:t>
      </w:r>
      <w:r>
        <w:tab/>
      </w:r>
      <w:r>
        <w:fldChar w:fldCharType="begin"/>
      </w:r>
      <w:r>
        <w:instrText xml:space="preserve"> PAGEREF _Toc1126 \h </w:instrText>
      </w:r>
      <w:r>
        <w:fldChar w:fldCharType="separate"/>
      </w:r>
      <w:r>
        <w:t>4</w:t>
      </w:r>
      <w:r>
        <w:fldChar w:fldCharType="end"/>
      </w:r>
      <w:r>
        <w:rPr>
          <w:rFonts w:hint="eastAsia" w:ascii="宋体" w:hAnsi="宋体" w:eastAsia="宋体" w:cs="宋体"/>
          <w:color w:val="auto"/>
        </w:rPr>
        <w:fldChar w:fldCharType="end"/>
      </w:r>
    </w:p>
    <w:p>
      <w:pPr>
        <w:pStyle w:val="26"/>
        <w:keepNext w:val="0"/>
        <w:keepLines w:val="0"/>
        <w:pageBreakBefore w:val="0"/>
        <w:widowControl/>
        <w:tabs>
          <w:tab w:val="right" w:leader="dot" w:pos="9072"/>
        </w:tabs>
        <w:kinsoku/>
        <w:wordWrap/>
        <w:overflowPunct/>
        <w:topLinePunct w:val="0"/>
        <w:autoSpaceDE/>
        <w:autoSpaceDN/>
        <w:bidi w:val="0"/>
        <w:adjustRightInd/>
        <w:snapToGrid w:val="0"/>
        <w:spacing w:line="360" w:lineRule="auto"/>
        <w:ind w:left="0" w:leftChars="0" w:right="0" w:firstLine="840" w:firstLineChars="400"/>
        <w:textAlignment w:val="auto"/>
      </w:pPr>
      <w:r>
        <w:rPr>
          <w:rFonts w:hint="eastAsia" w:ascii="宋体" w:hAnsi="宋体" w:eastAsia="宋体" w:cs="宋体"/>
          <w:color w:val="auto"/>
        </w:rPr>
        <w:fldChar w:fldCharType="begin"/>
      </w:r>
      <w:r>
        <w:rPr>
          <w:rFonts w:hint="eastAsia" w:ascii="宋体" w:hAnsi="宋体" w:eastAsia="宋体" w:cs="宋体"/>
        </w:rPr>
        <w:instrText xml:space="preserve"> HYPERLINK \l _Toc11152 </w:instrText>
      </w:r>
      <w:r>
        <w:rPr>
          <w:rFonts w:hint="eastAsia" w:ascii="宋体" w:hAnsi="宋体" w:eastAsia="宋体" w:cs="宋体"/>
        </w:rPr>
        <w:fldChar w:fldCharType="separate"/>
      </w:r>
      <w:r>
        <w:rPr>
          <w:rFonts w:hint="eastAsia" w:ascii="宋体" w:hAnsi="宋体" w:cs="宋体"/>
          <w:szCs w:val="30"/>
          <w:lang w:val="en-US" w:eastAsia="zh-CN"/>
        </w:rPr>
        <w:t>1.2.3站内道路的危险、有害因素辨识</w:t>
      </w:r>
      <w:r>
        <w:tab/>
      </w:r>
      <w:r>
        <w:fldChar w:fldCharType="begin"/>
      </w:r>
      <w:r>
        <w:instrText xml:space="preserve"> PAGEREF _Toc11152 \h </w:instrText>
      </w:r>
      <w:r>
        <w:fldChar w:fldCharType="separate"/>
      </w:r>
      <w:r>
        <w:t>4</w:t>
      </w:r>
      <w:r>
        <w:fldChar w:fldCharType="end"/>
      </w:r>
      <w:r>
        <w:rPr>
          <w:rFonts w:hint="eastAsia" w:ascii="宋体" w:hAnsi="宋体" w:eastAsia="宋体" w:cs="宋体"/>
          <w:color w:val="auto"/>
        </w:rPr>
        <w:fldChar w:fldCharType="end"/>
      </w:r>
    </w:p>
    <w:p>
      <w:pPr>
        <w:pStyle w:val="41"/>
        <w:pageBreakBefore w:val="0"/>
        <w:tabs>
          <w:tab w:val="right" w:leader="dot" w:pos="9072"/>
        </w:tabs>
        <w:kinsoku/>
        <w:wordWrap/>
        <w:overflowPunct/>
        <w:topLinePunct w:val="0"/>
        <w:bidi w:val="0"/>
        <w:snapToGrid w:val="0"/>
        <w:spacing w:line="360" w:lineRule="auto"/>
        <w:ind w:left="0" w:leftChars="0" w:right="0" w:firstLine="420" w:firstLine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_Toc25124 </w:instrText>
      </w:r>
      <w:r>
        <w:rPr>
          <w:rFonts w:hint="eastAsia" w:ascii="宋体" w:hAnsi="宋体" w:eastAsia="宋体" w:cs="宋体"/>
          <w:color w:val="auto"/>
        </w:rPr>
        <w:fldChar w:fldCharType="separate"/>
      </w:r>
      <w:r>
        <w:rPr>
          <w:rFonts w:hint="eastAsia" w:ascii="宋体" w:hAnsi="宋体" w:eastAsia="宋体" w:cs="宋体"/>
          <w:color w:val="auto"/>
          <w:lang w:val="en-US" w:eastAsia="zh-CN"/>
        </w:rPr>
        <w:t>1.3 建(构)筑物危险有害因素分析</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_Toc25124 \h </w:instrText>
      </w:r>
      <w:r>
        <w:rPr>
          <w:rFonts w:hint="eastAsia" w:ascii="宋体" w:hAnsi="宋体" w:eastAsia="宋体" w:cs="宋体"/>
          <w:color w:val="auto"/>
        </w:rPr>
        <w:fldChar w:fldCharType="separate"/>
      </w:r>
      <w:r>
        <w:rPr>
          <w:rFonts w:hint="eastAsia" w:ascii="宋体" w:hAnsi="宋体" w:eastAsia="宋体" w:cs="宋体"/>
          <w:color w:val="auto"/>
        </w:rPr>
        <w:t>5</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41"/>
        <w:pageBreakBefore w:val="0"/>
        <w:tabs>
          <w:tab w:val="right" w:leader="dot" w:pos="9072"/>
        </w:tabs>
        <w:kinsoku/>
        <w:wordWrap/>
        <w:overflowPunct/>
        <w:topLinePunct w:val="0"/>
        <w:bidi w:val="0"/>
        <w:snapToGrid w:val="0"/>
        <w:spacing w:line="360" w:lineRule="auto"/>
        <w:ind w:left="0" w:leftChars="0" w:right="0" w:firstLine="420" w:firstLineChars="200"/>
        <w:textAlignment w:val="auto"/>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_Toc9251 </w:instrText>
      </w:r>
      <w:r>
        <w:rPr>
          <w:rFonts w:hint="eastAsia" w:ascii="宋体" w:hAnsi="宋体" w:eastAsia="宋体" w:cs="宋体"/>
          <w:color w:val="auto"/>
        </w:rPr>
        <w:fldChar w:fldCharType="separate"/>
      </w:r>
      <w:r>
        <w:rPr>
          <w:rFonts w:hint="eastAsia" w:ascii="宋体" w:hAnsi="宋体" w:eastAsia="宋体" w:cs="宋体"/>
          <w:color w:val="auto"/>
          <w:lang w:val="en-US" w:eastAsia="zh-CN"/>
        </w:rPr>
        <w:t>1.4 经营过程危险有害因素分析</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_Toc9251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6"/>
        <w:keepNext w:val="0"/>
        <w:keepLines w:val="0"/>
        <w:pageBreakBefore w:val="0"/>
        <w:widowControl/>
        <w:tabs>
          <w:tab w:val="right" w:leader="dot" w:pos="9072"/>
        </w:tabs>
        <w:kinsoku/>
        <w:wordWrap/>
        <w:overflowPunct/>
        <w:topLinePunct w:val="0"/>
        <w:autoSpaceDE/>
        <w:autoSpaceDN/>
        <w:bidi w:val="0"/>
        <w:adjustRightInd/>
        <w:snapToGrid w:val="0"/>
        <w:spacing w:line="360" w:lineRule="auto"/>
        <w:ind w:left="0" w:leftChars="0" w:right="0" w:firstLine="840" w:firstLineChars="4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_Toc12068 </w:instrText>
      </w:r>
      <w:r>
        <w:rPr>
          <w:rFonts w:hint="eastAsia" w:ascii="宋体" w:hAnsi="宋体" w:eastAsia="宋体" w:cs="宋体"/>
          <w:color w:val="auto"/>
        </w:rPr>
        <w:fldChar w:fldCharType="separate"/>
      </w:r>
      <w:r>
        <w:rPr>
          <w:rFonts w:hint="eastAsia" w:ascii="宋体" w:hAnsi="宋体" w:eastAsia="宋体" w:cs="宋体"/>
          <w:color w:val="auto"/>
          <w:lang w:val="en-US" w:eastAsia="zh-CN"/>
        </w:rPr>
        <w:t>1</w:t>
      </w:r>
      <w:r>
        <w:rPr>
          <w:rFonts w:hint="eastAsia" w:ascii="宋体" w:hAnsi="宋体" w:eastAsia="宋体" w:cs="宋体"/>
          <w:color w:val="auto"/>
        </w:rPr>
        <w:t>.4.1卸油过程</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_Toc12068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6"/>
        <w:keepNext w:val="0"/>
        <w:keepLines w:val="0"/>
        <w:pageBreakBefore w:val="0"/>
        <w:widowControl/>
        <w:tabs>
          <w:tab w:val="right" w:leader="dot" w:pos="9072"/>
        </w:tabs>
        <w:kinsoku/>
        <w:wordWrap/>
        <w:overflowPunct/>
        <w:topLinePunct w:val="0"/>
        <w:autoSpaceDE/>
        <w:autoSpaceDN/>
        <w:bidi w:val="0"/>
        <w:adjustRightInd/>
        <w:snapToGrid w:val="0"/>
        <w:spacing w:line="360" w:lineRule="auto"/>
        <w:ind w:left="0" w:leftChars="0" w:right="0" w:firstLine="840" w:firstLineChars="4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_Toc21651 </w:instrText>
      </w:r>
      <w:r>
        <w:rPr>
          <w:rFonts w:hint="eastAsia" w:ascii="宋体" w:hAnsi="宋体" w:eastAsia="宋体" w:cs="宋体"/>
          <w:color w:val="auto"/>
        </w:rPr>
        <w:fldChar w:fldCharType="separate"/>
      </w:r>
      <w:r>
        <w:rPr>
          <w:rFonts w:hint="eastAsia" w:ascii="宋体" w:hAnsi="宋体" w:eastAsia="宋体" w:cs="宋体"/>
          <w:color w:val="auto"/>
          <w:lang w:val="en-US" w:eastAsia="zh-CN"/>
        </w:rPr>
        <w:t>1</w:t>
      </w:r>
      <w:r>
        <w:rPr>
          <w:rFonts w:hint="eastAsia" w:ascii="宋体" w:hAnsi="宋体" w:eastAsia="宋体" w:cs="宋体"/>
          <w:color w:val="auto"/>
        </w:rPr>
        <w:t>.4.2加油过程</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_Toc21651 \h </w:instrText>
      </w:r>
      <w:r>
        <w:rPr>
          <w:rFonts w:hint="eastAsia" w:ascii="宋体" w:hAnsi="宋体" w:eastAsia="宋体" w:cs="宋体"/>
          <w:color w:val="auto"/>
        </w:rPr>
        <w:fldChar w:fldCharType="separate"/>
      </w:r>
      <w:r>
        <w:rPr>
          <w:rFonts w:hint="eastAsia" w:ascii="宋体" w:hAnsi="宋体" w:eastAsia="宋体" w:cs="宋体"/>
          <w:color w:val="auto"/>
        </w:rPr>
        <w:t>7</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6"/>
        <w:keepNext w:val="0"/>
        <w:keepLines w:val="0"/>
        <w:pageBreakBefore w:val="0"/>
        <w:widowControl/>
        <w:tabs>
          <w:tab w:val="right" w:leader="dot" w:pos="9072"/>
        </w:tabs>
        <w:kinsoku/>
        <w:wordWrap/>
        <w:overflowPunct/>
        <w:topLinePunct w:val="0"/>
        <w:autoSpaceDE/>
        <w:autoSpaceDN/>
        <w:bidi w:val="0"/>
        <w:adjustRightInd/>
        <w:snapToGrid w:val="0"/>
        <w:spacing w:line="360" w:lineRule="auto"/>
        <w:ind w:left="0" w:leftChars="0" w:right="0" w:firstLine="840" w:firstLineChars="400"/>
        <w:textAlignment w:val="auto"/>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_Toc9378 </w:instrText>
      </w:r>
      <w:r>
        <w:rPr>
          <w:rFonts w:hint="eastAsia" w:ascii="宋体" w:hAnsi="宋体" w:eastAsia="宋体" w:cs="宋体"/>
          <w:color w:val="auto"/>
        </w:rPr>
        <w:fldChar w:fldCharType="separate"/>
      </w:r>
      <w:r>
        <w:rPr>
          <w:rFonts w:hint="eastAsia" w:ascii="宋体" w:hAnsi="宋体" w:eastAsia="宋体" w:cs="宋体"/>
          <w:color w:val="auto"/>
          <w:lang w:val="en-US" w:eastAsia="zh-CN"/>
        </w:rPr>
        <w:t>1</w:t>
      </w:r>
      <w:r>
        <w:rPr>
          <w:rFonts w:hint="eastAsia" w:ascii="宋体" w:hAnsi="宋体" w:eastAsia="宋体" w:cs="宋体"/>
          <w:color w:val="auto"/>
        </w:rPr>
        <w:t>.4.3储油过程</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_Toc9378 \h </w:instrText>
      </w:r>
      <w:r>
        <w:rPr>
          <w:rFonts w:hint="eastAsia" w:ascii="宋体" w:hAnsi="宋体" w:eastAsia="宋体" w:cs="宋体"/>
          <w:color w:val="auto"/>
        </w:rPr>
        <w:fldChar w:fldCharType="separate"/>
      </w:r>
      <w:r>
        <w:rPr>
          <w:rFonts w:hint="eastAsia" w:ascii="宋体" w:hAnsi="宋体" w:eastAsia="宋体" w:cs="宋体"/>
          <w:color w:val="auto"/>
        </w:rPr>
        <w:t>8</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6"/>
        <w:keepNext w:val="0"/>
        <w:keepLines w:val="0"/>
        <w:pageBreakBefore w:val="0"/>
        <w:widowControl/>
        <w:tabs>
          <w:tab w:val="right" w:leader="dot" w:pos="9072"/>
        </w:tabs>
        <w:kinsoku/>
        <w:wordWrap/>
        <w:overflowPunct/>
        <w:topLinePunct w:val="0"/>
        <w:autoSpaceDE/>
        <w:autoSpaceDN/>
        <w:bidi w:val="0"/>
        <w:adjustRightInd/>
        <w:snapToGrid w:val="0"/>
        <w:spacing w:line="360" w:lineRule="auto"/>
        <w:ind w:left="0" w:leftChars="0" w:right="0" w:firstLine="420" w:firstLineChars="200"/>
        <w:textAlignment w:val="auto"/>
        <w:rPr>
          <w:rFonts w:hint="eastAsia" w:ascii="宋体" w:hAnsi="宋体" w:eastAsia="宋体" w:cs="宋体"/>
          <w:color w:val="auto"/>
        </w:rPr>
      </w:pPr>
      <w:r>
        <w:rPr>
          <w:rFonts w:hint="eastAsia" w:ascii="宋体" w:hAnsi="宋体" w:eastAsia="宋体" w:cs="宋体"/>
          <w:color w:val="auto"/>
          <w:lang w:val="en-US" w:eastAsia="zh-CN"/>
        </w:rPr>
        <w:t>1.5工艺操作过程的危险、有害因素分析</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_Toc30799 </w:instrText>
      </w:r>
      <w:r>
        <w:rPr>
          <w:rFonts w:hint="eastAsia" w:ascii="宋体" w:hAnsi="宋体" w:eastAsia="宋体" w:cs="宋体"/>
          <w:color w:val="auto"/>
        </w:rPr>
        <w:fldChar w:fldCharType="separate"/>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_Toc30799 \h </w:instrText>
      </w:r>
      <w:r>
        <w:rPr>
          <w:rFonts w:hint="eastAsia" w:ascii="宋体" w:hAnsi="宋体" w:eastAsia="宋体" w:cs="宋体"/>
          <w:color w:val="auto"/>
        </w:rPr>
        <w:fldChar w:fldCharType="separate"/>
      </w:r>
      <w:r>
        <w:rPr>
          <w:rFonts w:hint="eastAsia" w:ascii="宋体" w:hAnsi="宋体" w:eastAsia="宋体" w:cs="宋体"/>
          <w:color w:val="auto"/>
        </w:rPr>
        <w:t>8</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6"/>
        <w:keepNext w:val="0"/>
        <w:keepLines w:val="0"/>
        <w:pageBreakBefore w:val="0"/>
        <w:widowControl/>
        <w:tabs>
          <w:tab w:val="right" w:leader="dot" w:pos="9072"/>
        </w:tabs>
        <w:kinsoku/>
        <w:wordWrap/>
        <w:overflowPunct/>
        <w:topLinePunct w:val="0"/>
        <w:autoSpaceDE/>
        <w:autoSpaceDN/>
        <w:bidi w:val="0"/>
        <w:adjustRightInd/>
        <w:snapToGrid w:val="0"/>
        <w:spacing w:line="360" w:lineRule="auto"/>
        <w:ind w:left="0" w:leftChars="0" w:right="0" w:firstLine="840" w:firstLineChars="4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_Toc25321 </w:instrText>
      </w:r>
      <w:r>
        <w:rPr>
          <w:rFonts w:hint="eastAsia" w:ascii="宋体" w:hAnsi="宋体" w:eastAsia="宋体" w:cs="宋体"/>
          <w:color w:val="auto"/>
        </w:rPr>
        <w:fldChar w:fldCharType="separate"/>
      </w:r>
      <w:r>
        <w:rPr>
          <w:rFonts w:hint="eastAsia" w:ascii="宋体" w:hAnsi="宋体" w:eastAsia="宋体" w:cs="宋体"/>
          <w:color w:val="auto"/>
          <w:lang w:val="en-US" w:eastAsia="zh-CN"/>
        </w:rPr>
        <w:t>1.5.1油料作业过程危险、有害因素分析</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_Toc25321 \h </w:instrText>
      </w:r>
      <w:r>
        <w:rPr>
          <w:rFonts w:hint="eastAsia" w:ascii="宋体" w:hAnsi="宋体" w:eastAsia="宋体" w:cs="宋体"/>
          <w:color w:val="auto"/>
        </w:rPr>
        <w:fldChar w:fldCharType="separate"/>
      </w:r>
      <w:r>
        <w:rPr>
          <w:rFonts w:hint="eastAsia" w:ascii="宋体" w:hAnsi="宋体" w:eastAsia="宋体" w:cs="宋体"/>
          <w:color w:val="auto"/>
        </w:rPr>
        <w:t>8</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6"/>
        <w:keepNext w:val="0"/>
        <w:keepLines w:val="0"/>
        <w:pageBreakBefore w:val="0"/>
        <w:widowControl/>
        <w:tabs>
          <w:tab w:val="right" w:leader="dot" w:pos="9072"/>
        </w:tabs>
        <w:kinsoku/>
        <w:wordWrap/>
        <w:overflowPunct/>
        <w:topLinePunct w:val="0"/>
        <w:autoSpaceDE/>
        <w:autoSpaceDN/>
        <w:bidi w:val="0"/>
        <w:adjustRightInd/>
        <w:snapToGrid w:val="0"/>
        <w:spacing w:line="360" w:lineRule="auto"/>
        <w:ind w:left="0" w:leftChars="0" w:right="0" w:firstLine="840" w:firstLineChars="400"/>
        <w:textAlignment w:val="auto"/>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_Toc7850 </w:instrText>
      </w:r>
      <w:r>
        <w:rPr>
          <w:rFonts w:hint="eastAsia" w:ascii="宋体" w:hAnsi="宋体" w:eastAsia="宋体" w:cs="宋体"/>
          <w:color w:val="auto"/>
        </w:rPr>
        <w:fldChar w:fldCharType="separate"/>
      </w:r>
      <w:r>
        <w:rPr>
          <w:rFonts w:hint="eastAsia" w:ascii="宋体" w:hAnsi="宋体" w:eastAsia="宋体" w:cs="宋体"/>
          <w:color w:val="auto"/>
          <w:lang w:val="en-US" w:eastAsia="zh-CN"/>
        </w:rPr>
        <w:t>1.5.2营业和检修过程危险、有害因素分析</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_Toc7850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41"/>
        <w:pageBreakBefore w:val="0"/>
        <w:tabs>
          <w:tab w:val="right" w:leader="dot" w:pos="9072"/>
        </w:tabs>
        <w:kinsoku/>
        <w:wordWrap/>
        <w:overflowPunct/>
        <w:topLinePunct w:val="0"/>
        <w:bidi w:val="0"/>
        <w:snapToGrid w:val="0"/>
        <w:spacing w:line="360" w:lineRule="auto"/>
        <w:ind w:left="0" w:leftChars="0" w:right="0" w:firstLine="420" w:firstLineChars="200"/>
        <w:textAlignment w:val="auto"/>
      </w:pPr>
      <w:r>
        <w:rPr>
          <w:rFonts w:hint="eastAsia" w:ascii="宋体" w:hAnsi="宋体" w:eastAsia="宋体" w:cs="宋体"/>
          <w:color w:val="auto"/>
        </w:rPr>
        <w:fldChar w:fldCharType="begin"/>
      </w:r>
      <w:r>
        <w:rPr>
          <w:rFonts w:hint="eastAsia" w:ascii="宋体" w:hAnsi="宋体" w:eastAsia="宋体" w:cs="宋体"/>
        </w:rPr>
        <w:instrText xml:space="preserve"> HYPERLINK \l _Toc13162 </w:instrText>
      </w:r>
      <w:r>
        <w:rPr>
          <w:rFonts w:hint="eastAsia" w:ascii="宋体" w:hAnsi="宋体" w:eastAsia="宋体" w:cs="宋体"/>
        </w:rPr>
        <w:fldChar w:fldCharType="separate"/>
      </w:r>
      <w:r>
        <w:rPr>
          <w:rFonts w:hint="eastAsia" w:ascii="宋体" w:hAnsi="宋体" w:eastAsia="宋体" w:cs="宋体"/>
          <w:szCs w:val="28"/>
          <w:lang w:val="en-US" w:eastAsia="zh-CN"/>
        </w:rPr>
        <w:t>1.</w:t>
      </w:r>
      <w:r>
        <w:rPr>
          <w:rFonts w:hint="eastAsia" w:ascii="宋体" w:hAnsi="宋体" w:cs="宋体"/>
          <w:szCs w:val="28"/>
          <w:lang w:val="en-US" w:eastAsia="zh-CN"/>
        </w:rPr>
        <w:t>6</w:t>
      </w:r>
      <w:r>
        <w:rPr>
          <w:rFonts w:hint="eastAsia" w:ascii="宋体" w:hAnsi="宋体" w:eastAsia="宋体"/>
          <w:bCs w:val="0"/>
        </w:rPr>
        <w:t>工艺设备、设施的危险、有害因素</w:t>
      </w:r>
      <w:r>
        <w:rPr>
          <w:rFonts w:hint="eastAsia" w:ascii="宋体" w:hAnsi="宋体" w:eastAsia="宋体" w:cs="宋体"/>
          <w:szCs w:val="28"/>
          <w:lang w:val="en-US" w:eastAsia="zh-CN"/>
        </w:rPr>
        <w:t>分析</w:t>
      </w:r>
      <w:r>
        <w:tab/>
      </w:r>
      <w:r>
        <w:fldChar w:fldCharType="begin"/>
      </w:r>
      <w:r>
        <w:instrText xml:space="preserve"> PAGEREF _Toc13162 \h </w:instrText>
      </w:r>
      <w:r>
        <w:fldChar w:fldCharType="separate"/>
      </w:r>
      <w:r>
        <w:t>10</w:t>
      </w:r>
      <w:r>
        <w:fldChar w:fldCharType="end"/>
      </w:r>
      <w:r>
        <w:rPr>
          <w:rFonts w:hint="eastAsia" w:ascii="宋体" w:hAnsi="宋体" w:eastAsia="宋体" w:cs="宋体"/>
          <w:color w:val="auto"/>
        </w:rPr>
        <w:fldChar w:fldCharType="end"/>
      </w:r>
    </w:p>
    <w:p>
      <w:pPr>
        <w:pStyle w:val="26"/>
        <w:keepNext w:val="0"/>
        <w:keepLines w:val="0"/>
        <w:pageBreakBefore w:val="0"/>
        <w:widowControl/>
        <w:tabs>
          <w:tab w:val="right" w:leader="dot" w:pos="9072"/>
        </w:tabs>
        <w:kinsoku/>
        <w:wordWrap/>
        <w:overflowPunct/>
        <w:topLinePunct w:val="0"/>
        <w:autoSpaceDE/>
        <w:autoSpaceDN/>
        <w:bidi w:val="0"/>
        <w:adjustRightInd/>
        <w:snapToGrid w:val="0"/>
        <w:spacing w:line="360" w:lineRule="auto"/>
        <w:ind w:left="0" w:leftChars="0" w:right="0" w:firstLine="840" w:firstLineChars="4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_Toc11538 </w:instrText>
      </w:r>
      <w:r>
        <w:rPr>
          <w:rFonts w:hint="eastAsia" w:ascii="宋体" w:hAnsi="宋体" w:eastAsia="宋体" w:cs="宋体"/>
          <w:color w:val="auto"/>
        </w:rPr>
        <w:fldChar w:fldCharType="separate"/>
      </w:r>
      <w:r>
        <w:rPr>
          <w:rFonts w:hint="eastAsia" w:ascii="宋体" w:hAnsi="宋体" w:eastAsia="宋体" w:cs="宋体"/>
          <w:color w:val="auto"/>
          <w:lang w:val="en-US" w:eastAsia="zh-CN"/>
        </w:rPr>
        <w:t>1</w:t>
      </w:r>
      <w:r>
        <w:rPr>
          <w:rFonts w:hint="eastAsia" w:ascii="宋体" w:hAnsi="宋体" w:eastAsia="宋体" w:cs="宋体"/>
          <w:color w:val="auto"/>
        </w:rPr>
        <w:t>.</w:t>
      </w:r>
      <w:r>
        <w:rPr>
          <w:rFonts w:hint="eastAsia" w:ascii="宋体" w:hAnsi="宋体" w:eastAsia="宋体" w:cs="宋体"/>
          <w:color w:val="auto"/>
          <w:lang w:val="en-US" w:eastAsia="zh-CN"/>
        </w:rPr>
        <w:t>6</w:t>
      </w:r>
      <w:r>
        <w:rPr>
          <w:rFonts w:hint="eastAsia" w:ascii="宋体" w:hAnsi="宋体" w:eastAsia="宋体" w:cs="宋体"/>
          <w:color w:val="auto"/>
        </w:rPr>
        <w:t>.1油罐</w:t>
      </w:r>
      <w:r>
        <w:rPr>
          <w:rFonts w:hint="eastAsia" w:ascii="宋体" w:hAnsi="宋体" w:eastAsia="宋体" w:cs="宋体"/>
          <w:color w:val="auto"/>
          <w:lang w:val="en-US" w:eastAsia="zh-CN"/>
        </w:rPr>
        <w:t>危险、有害因素分析</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_Toc11538 \h </w:instrText>
      </w:r>
      <w:r>
        <w:rPr>
          <w:rFonts w:hint="eastAsia" w:ascii="宋体" w:hAnsi="宋体" w:eastAsia="宋体" w:cs="宋体"/>
          <w:color w:val="auto"/>
        </w:rPr>
        <w:fldChar w:fldCharType="separate"/>
      </w:r>
      <w:r>
        <w:rPr>
          <w:rFonts w:hint="eastAsia" w:ascii="宋体" w:hAnsi="宋体" w:eastAsia="宋体" w:cs="宋体"/>
          <w:color w:val="auto"/>
        </w:rPr>
        <w:t>10</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6"/>
        <w:keepNext w:val="0"/>
        <w:keepLines w:val="0"/>
        <w:pageBreakBefore w:val="0"/>
        <w:widowControl/>
        <w:tabs>
          <w:tab w:val="right" w:leader="dot" w:pos="9072"/>
        </w:tabs>
        <w:kinsoku/>
        <w:wordWrap/>
        <w:overflowPunct/>
        <w:topLinePunct w:val="0"/>
        <w:autoSpaceDE/>
        <w:autoSpaceDN/>
        <w:bidi w:val="0"/>
        <w:adjustRightInd/>
        <w:snapToGrid w:val="0"/>
        <w:spacing w:line="360" w:lineRule="auto"/>
        <w:ind w:left="0" w:leftChars="0" w:right="0" w:firstLine="840" w:firstLineChars="4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_Toc10390 </w:instrText>
      </w:r>
      <w:r>
        <w:rPr>
          <w:rFonts w:hint="eastAsia" w:ascii="宋体" w:hAnsi="宋体" w:eastAsia="宋体" w:cs="宋体"/>
          <w:color w:val="auto"/>
        </w:rPr>
        <w:fldChar w:fldCharType="separate"/>
      </w:r>
      <w:r>
        <w:rPr>
          <w:rFonts w:hint="eastAsia" w:ascii="宋体" w:hAnsi="宋体" w:eastAsia="宋体" w:cs="宋体"/>
          <w:color w:val="auto"/>
          <w:lang w:val="en-US" w:eastAsia="zh-CN"/>
        </w:rPr>
        <w:t>1</w:t>
      </w:r>
      <w:r>
        <w:rPr>
          <w:rFonts w:hint="eastAsia" w:ascii="宋体" w:hAnsi="宋体" w:eastAsia="宋体" w:cs="宋体"/>
          <w:color w:val="auto"/>
        </w:rPr>
        <w:t>.</w:t>
      </w:r>
      <w:r>
        <w:rPr>
          <w:rFonts w:hint="eastAsia" w:ascii="宋体" w:hAnsi="宋体" w:eastAsia="宋体" w:cs="宋体"/>
          <w:color w:val="auto"/>
          <w:lang w:val="en-US" w:eastAsia="zh-CN"/>
        </w:rPr>
        <w:t>6</w:t>
      </w:r>
      <w:r>
        <w:rPr>
          <w:rFonts w:hint="eastAsia" w:ascii="宋体" w:hAnsi="宋体" w:eastAsia="宋体" w:cs="宋体"/>
          <w:color w:val="auto"/>
        </w:rPr>
        <w:t>.2加油机</w:t>
      </w:r>
      <w:r>
        <w:rPr>
          <w:rFonts w:hint="eastAsia" w:ascii="宋体" w:hAnsi="宋体" w:eastAsia="宋体" w:cs="宋体"/>
          <w:color w:val="auto"/>
          <w:lang w:val="en-US" w:eastAsia="zh-CN"/>
        </w:rPr>
        <w:t>危险、有害因素分析</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_Toc10390 \h </w:instrText>
      </w:r>
      <w:r>
        <w:rPr>
          <w:rFonts w:hint="eastAsia" w:ascii="宋体" w:hAnsi="宋体" w:eastAsia="宋体" w:cs="宋体"/>
          <w:color w:val="auto"/>
        </w:rPr>
        <w:fldChar w:fldCharType="separate"/>
      </w:r>
      <w:r>
        <w:rPr>
          <w:rFonts w:hint="eastAsia" w:ascii="宋体" w:hAnsi="宋体" w:eastAsia="宋体" w:cs="宋体"/>
          <w:color w:val="auto"/>
        </w:rPr>
        <w:t>11</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6"/>
        <w:keepNext w:val="0"/>
        <w:keepLines w:val="0"/>
        <w:pageBreakBefore w:val="0"/>
        <w:widowControl/>
        <w:tabs>
          <w:tab w:val="right" w:leader="dot" w:pos="9072"/>
        </w:tabs>
        <w:kinsoku/>
        <w:wordWrap/>
        <w:overflowPunct/>
        <w:topLinePunct w:val="0"/>
        <w:autoSpaceDE/>
        <w:autoSpaceDN/>
        <w:bidi w:val="0"/>
        <w:adjustRightInd/>
        <w:snapToGrid w:val="0"/>
        <w:spacing w:line="360" w:lineRule="auto"/>
        <w:ind w:left="0" w:leftChars="0" w:right="0" w:firstLine="840" w:firstLineChars="400"/>
        <w:textAlignment w:val="auto"/>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_Toc3075 </w:instrText>
      </w:r>
      <w:r>
        <w:rPr>
          <w:rFonts w:hint="eastAsia" w:ascii="宋体" w:hAnsi="宋体" w:eastAsia="宋体" w:cs="宋体"/>
          <w:color w:val="auto"/>
        </w:rPr>
        <w:fldChar w:fldCharType="separate"/>
      </w:r>
      <w:r>
        <w:rPr>
          <w:rFonts w:hint="eastAsia" w:ascii="宋体" w:hAnsi="宋体" w:eastAsia="宋体" w:cs="宋体"/>
          <w:color w:val="auto"/>
          <w:lang w:val="en-US" w:eastAsia="zh-CN"/>
        </w:rPr>
        <w:t>1</w:t>
      </w:r>
      <w:r>
        <w:rPr>
          <w:rFonts w:hint="eastAsia" w:ascii="宋体" w:hAnsi="宋体" w:eastAsia="宋体" w:cs="宋体"/>
          <w:color w:val="auto"/>
        </w:rPr>
        <w:t>.</w:t>
      </w:r>
      <w:r>
        <w:rPr>
          <w:rFonts w:hint="eastAsia" w:ascii="宋体" w:hAnsi="宋体" w:eastAsia="宋体" w:cs="宋体"/>
          <w:color w:val="auto"/>
          <w:lang w:val="en-US" w:eastAsia="zh-CN"/>
        </w:rPr>
        <w:t>6</w:t>
      </w:r>
      <w:r>
        <w:rPr>
          <w:rFonts w:hint="eastAsia" w:ascii="宋体" w:hAnsi="宋体" w:eastAsia="宋体" w:cs="宋体"/>
          <w:color w:val="auto"/>
        </w:rPr>
        <w:t>.3输油管道</w:t>
      </w:r>
      <w:r>
        <w:rPr>
          <w:rFonts w:hint="eastAsia" w:ascii="宋体" w:hAnsi="宋体" w:eastAsia="宋体" w:cs="宋体"/>
          <w:color w:val="auto"/>
          <w:lang w:val="en-US" w:eastAsia="zh-CN"/>
        </w:rPr>
        <w:t>危险、有害因素分析</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_Toc3075 \h </w:instrText>
      </w:r>
      <w:r>
        <w:rPr>
          <w:rFonts w:hint="eastAsia" w:ascii="宋体" w:hAnsi="宋体" w:eastAsia="宋体" w:cs="宋体"/>
          <w:color w:val="auto"/>
        </w:rPr>
        <w:fldChar w:fldCharType="separate"/>
      </w:r>
      <w:r>
        <w:rPr>
          <w:rFonts w:hint="eastAsia" w:ascii="宋体" w:hAnsi="宋体" w:eastAsia="宋体" w:cs="宋体"/>
          <w:color w:val="auto"/>
        </w:rPr>
        <w:t>11</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41"/>
        <w:pageBreakBefore w:val="0"/>
        <w:tabs>
          <w:tab w:val="right" w:leader="dot" w:pos="9072"/>
        </w:tabs>
        <w:kinsoku/>
        <w:wordWrap/>
        <w:overflowPunct/>
        <w:topLinePunct w:val="0"/>
        <w:bidi w:val="0"/>
        <w:snapToGrid w:val="0"/>
        <w:spacing w:line="360" w:lineRule="auto"/>
        <w:ind w:left="0" w:leftChars="0" w:right="0" w:firstLine="420" w:firstLineChars="200"/>
        <w:textAlignment w:val="auto"/>
      </w:pPr>
      <w:r>
        <w:rPr>
          <w:rFonts w:hint="eastAsia" w:ascii="宋体" w:hAnsi="宋体" w:eastAsia="宋体" w:cs="宋体"/>
          <w:color w:val="auto"/>
        </w:rPr>
        <w:fldChar w:fldCharType="begin"/>
      </w:r>
      <w:r>
        <w:rPr>
          <w:rFonts w:hint="eastAsia" w:ascii="宋体" w:hAnsi="宋体" w:eastAsia="宋体" w:cs="宋体"/>
        </w:rPr>
        <w:instrText xml:space="preserve"> HYPERLINK \l _Toc29058 </w:instrText>
      </w:r>
      <w:r>
        <w:rPr>
          <w:rFonts w:hint="eastAsia" w:ascii="宋体" w:hAnsi="宋体" w:eastAsia="宋体" w:cs="宋体"/>
        </w:rPr>
        <w:fldChar w:fldCharType="separate"/>
      </w:r>
      <w:r>
        <w:rPr>
          <w:rFonts w:hint="eastAsia" w:ascii="宋体" w:hAnsi="宋体" w:eastAsia="宋体" w:cs="宋体"/>
          <w:szCs w:val="28"/>
          <w:lang w:val="en-US" w:eastAsia="zh-CN"/>
        </w:rPr>
        <w:t>1.</w:t>
      </w:r>
      <w:r>
        <w:rPr>
          <w:rFonts w:hint="eastAsia" w:ascii="宋体" w:hAnsi="宋体" w:cs="宋体"/>
          <w:szCs w:val="28"/>
          <w:lang w:val="en-US" w:eastAsia="zh-CN"/>
        </w:rPr>
        <w:t>7</w:t>
      </w:r>
      <w:r>
        <w:rPr>
          <w:rFonts w:hint="eastAsia" w:ascii="宋体" w:hAnsi="宋体" w:eastAsia="宋体" w:cs="宋体"/>
          <w:szCs w:val="28"/>
          <w:lang w:val="en-US" w:eastAsia="zh-CN"/>
        </w:rPr>
        <w:t xml:space="preserve"> 辅助设备、设施的危险、有害因素</w:t>
      </w:r>
      <w:r>
        <w:rPr>
          <w:rFonts w:hint="eastAsia" w:ascii="宋体" w:hAnsi="宋体" w:cs="宋体"/>
          <w:szCs w:val="28"/>
          <w:lang w:val="en-US" w:eastAsia="zh-CN"/>
        </w:rPr>
        <w:t>分析</w:t>
      </w:r>
      <w:r>
        <w:tab/>
      </w:r>
      <w:r>
        <w:fldChar w:fldCharType="begin"/>
      </w:r>
      <w:r>
        <w:instrText xml:space="preserve"> PAGEREF _Toc29058 \h </w:instrText>
      </w:r>
      <w:r>
        <w:fldChar w:fldCharType="separate"/>
      </w:r>
      <w:r>
        <w:t>12</w:t>
      </w:r>
      <w:r>
        <w:fldChar w:fldCharType="end"/>
      </w:r>
      <w:r>
        <w:rPr>
          <w:rFonts w:hint="eastAsia" w:ascii="宋体" w:hAnsi="宋体" w:eastAsia="宋体" w:cs="宋体"/>
          <w:color w:val="auto"/>
        </w:rPr>
        <w:fldChar w:fldCharType="end"/>
      </w:r>
    </w:p>
    <w:p>
      <w:pPr>
        <w:pStyle w:val="26"/>
        <w:keepNext w:val="0"/>
        <w:keepLines w:val="0"/>
        <w:pageBreakBefore w:val="0"/>
        <w:widowControl/>
        <w:tabs>
          <w:tab w:val="right" w:leader="dot" w:pos="9072"/>
        </w:tabs>
        <w:kinsoku/>
        <w:wordWrap/>
        <w:overflowPunct/>
        <w:topLinePunct w:val="0"/>
        <w:autoSpaceDE/>
        <w:autoSpaceDN/>
        <w:bidi w:val="0"/>
        <w:adjustRightInd/>
        <w:snapToGrid w:val="0"/>
        <w:spacing w:line="360" w:lineRule="auto"/>
        <w:ind w:left="0" w:leftChars="0" w:right="0" w:firstLine="840" w:firstLineChars="4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_Toc7330 </w:instrText>
      </w:r>
      <w:r>
        <w:rPr>
          <w:rFonts w:hint="eastAsia" w:ascii="宋体" w:hAnsi="宋体" w:eastAsia="宋体" w:cs="宋体"/>
          <w:color w:val="auto"/>
        </w:rPr>
        <w:fldChar w:fldCharType="separate"/>
      </w:r>
      <w:r>
        <w:rPr>
          <w:rFonts w:hint="eastAsia" w:ascii="宋体" w:hAnsi="宋体" w:eastAsia="宋体" w:cs="宋体"/>
          <w:color w:val="auto"/>
          <w:lang w:val="en-US" w:eastAsia="zh-CN"/>
        </w:rPr>
        <w:t>1.7.1电气设备危险、有害因素分析</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_Toc7330 \h </w:instrText>
      </w:r>
      <w:r>
        <w:rPr>
          <w:rFonts w:hint="eastAsia" w:ascii="宋体" w:hAnsi="宋体" w:eastAsia="宋体" w:cs="宋体"/>
          <w:color w:val="auto"/>
        </w:rPr>
        <w:fldChar w:fldCharType="separate"/>
      </w:r>
      <w:r>
        <w:rPr>
          <w:rFonts w:hint="eastAsia" w:ascii="宋体" w:hAnsi="宋体" w:eastAsia="宋体" w:cs="宋体"/>
          <w:color w:val="auto"/>
        </w:rPr>
        <w:t>12</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6"/>
        <w:keepNext w:val="0"/>
        <w:keepLines w:val="0"/>
        <w:pageBreakBefore w:val="0"/>
        <w:widowControl/>
        <w:tabs>
          <w:tab w:val="right" w:leader="dot" w:pos="9072"/>
        </w:tabs>
        <w:kinsoku/>
        <w:wordWrap/>
        <w:overflowPunct/>
        <w:topLinePunct w:val="0"/>
        <w:autoSpaceDE/>
        <w:autoSpaceDN/>
        <w:bidi w:val="0"/>
        <w:adjustRightInd/>
        <w:snapToGrid w:val="0"/>
        <w:spacing w:line="360" w:lineRule="auto"/>
        <w:ind w:left="0" w:leftChars="0" w:right="0" w:firstLine="840" w:firstLineChars="4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_Toc10136 </w:instrText>
      </w:r>
      <w:r>
        <w:rPr>
          <w:rFonts w:hint="eastAsia" w:ascii="宋体" w:hAnsi="宋体" w:eastAsia="宋体" w:cs="宋体"/>
          <w:color w:val="auto"/>
        </w:rPr>
        <w:fldChar w:fldCharType="separate"/>
      </w:r>
      <w:r>
        <w:rPr>
          <w:rFonts w:hint="eastAsia" w:ascii="宋体" w:hAnsi="宋体" w:eastAsia="宋体" w:cs="宋体"/>
          <w:color w:val="auto"/>
          <w:lang w:val="en-US" w:eastAsia="zh-CN"/>
        </w:rPr>
        <w:t>1.7.2消防设施危险、有害因素分析</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_Toc10136 \h </w:instrText>
      </w:r>
      <w:r>
        <w:rPr>
          <w:rFonts w:hint="eastAsia" w:ascii="宋体" w:hAnsi="宋体" w:eastAsia="宋体" w:cs="宋体"/>
          <w:color w:val="auto"/>
        </w:rPr>
        <w:fldChar w:fldCharType="separate"/>
      </w:r>
      <w:r>
        <w:rPr>
          <w:rFonts w:hint="eastAsia" w:ascii="宋体" w:hAnsi="宋体" w:eastAsia="宋体" w:cs="宋体"/>
          <w:color w:val="auto"/>
        </w:rPr>
        <w:t>12</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6"/>
        <w:keepNext w:val="0"/>
        <w:keepLines w:val="0"/>
        <w:pageBreakBefore w:val="0"/>
        <w:widowControl/>
        <w:tabs>
          <w:tab w:val="right" w:leader="dot" w:pos="9072"/>
        </w:tabs>
        <w:kinsoku/>
        <w:wordWrap/>
        <w:overflowPunct/>
        <w:topLinePunct w:val="0"/>
        <w:autoSpaceDE/>
        <w:autoSpaceDN/>
        <w:bidi w:val="0"/>
        <w:adjustRightInd/>
        <w:snapToGrid w:val="0"/>
        <w:spacing w:line="360" w:lineRule="auto"/>
        <w:ind w:left="0" w:leftChars="0" w:right="0" w:firstLine="840" w:firstLineChars="4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_Toc17445 </w:instrText>
      </w:r>
      <w:r>
        <w:rPr>
          <w:rFonts w:hint="eastAsia" w:ascii="宋体" w:hAnsi="宋体" w:eastAsia="宋体" w:cs="宋体"/>
          <w:color w:val="auto"/>
        </w:rPr>
        <w:fldChar w:fldCharType="separate"/>
      </w:r>
      <w:r>
        <w:rPr>
          <w:rFonts w:hint="eastAsia" w:ascii="宋体" w:hAnsi="宋体" w:eastAsia="宋体" w:cs="宋体"/>
          <w:color w:val="auto"/>
          <w:lang w:val="en-US" w:eastAsia="zh-CN"/>
        </w:rPr>
        <w:t>1.7.3防雷装置危险、有害因素分析</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_Toc17445 \h </w:instrText>
      </w:r>
      <w:r>
        <w:rPr>
          <w:rFonts w:hint="eastAsia" w:ascii="宋体" w:hAnsi="宋体" w:eastAsia="宋体" w:cs="宋体"/>
          <w:color w:val="auto"/>
        </w:rPr>
        <w:fldChar w:fldCharType="separate"/>
      </w:r>
      <w:r>
        <w:rPr>
          <w:rFonts w:hint="eastAsia" w:ascii="宋体" w:hAnsi="宋体" w:eastAsia="宋体" w:cs="宋体"/>
          <w:color w:val="auto"/>
        </w:rPr>
        <w:t>12</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6"/>
        <w:keepNext w:val="0"/>
        <w:keepLines w:val="0"/>
        <w:pageBreakBefore w:val="0"/>
        <w:widowControl/>
        <w:tabs>
          <w:tab w:val="right" w:leader="dot" w:pos="9072"/>
        </w:tabs>
        <w:kinsoku/>
        <w:wordWrap/>
        <w:overflowPunct/>
        <w:topLinePunct w:val="0"/>
        <w:autoSpaceDE/>
        <w:autoSpaceDN/>
        <w:bidi w:val="0"/>
        <w:adjustRightInd/>
        <w:snapToGrid w:val="0"/>
        <w:spacing w:line="360" w:lineRule="auto"/>
        <w:ind w:left="0" w:leftChars="0" w:right="0" w:firstLine="840" w:firstLineChars="4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_Toc20195 </w:instrText>
      </w:r>
      <w:r>
        <w:rPr>
          <w:rFonts w:hint="eastAsia" w:ascii="宋体" w:hAnsi="宋体" w:eastAsia="宋体" w:cs="宋体"/>
          <w:color w:val="auto"/>
        </w:rPr>
        <w:fldChar w:fldCharType="separate"/>
      </w:r>
      <w:r>
        <w:rPr>
          <w:rFonts w:hint="eastAsia" w:ascii="宋体" w:hAnsi="宋体" w:eastAsia="宋体" w:cs="宋体"/>
          <w:color w:val="auto"/>
          <w:lang w:val="en-US" w:eastAsia="zh-CN"/>
        </w:rPr>
        <w:t>1.7.4电气线路危险、有害因素分析</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_Toc20195 \h </w:instrText>
      </w:r>
      <w:r>
        <w:rPr>
          <w:rFonts w:hint="eastAsia" w:ascii="宋体" w:hAnsi="宋体" w:eastAsia="宋体" w:cs="宋体"/>
          <w:color w:val="auto"/>
        </w:rPr>
        <w:fldChar w:fldCharType="separate"/>
      </w:r>
      <w:r>
        <w:rPr>
          <w:rFonts w:hint="eastAsia" w:ascii="宋体" w:hAnsi="宋体" w:eastAsia="宋体" w:cs="宋体"/>
          <w:color w:val="auto"/>
        </w:rPr>
        <w:t>13</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6"/>
        <w:keepNext w:val="0"/>
        <w:keepLines w:val="0"/>
        <w:pageBreakBefore w:val="0"/>
        <w:widowControl/>
        <w:tabs>
          <w:tab w:val="right" w:leader="dot" w:pos="9072"/>
        </w:tabs>
        <w:kinsoku/>
        <w:wordWrap/>
        <w:overflowPunct/>
        <w:topLinePunct w:val="0"/>
        <w:autoSpaceDE/>
        <w:autoSpaceDN/>
        <w:bidi w:val="0"/>
        <w:adjustRightInd/>
        <w:snapToGrid w:val="0"/>
        <w:spacing w:line="360" w:lineRule="auto"/>
        <w:ind w:left="0" w:leftChars="0" w:right="0" w:firstLine="840" w:firstLineChars="400"/>
        <w:textAlignment w:val="auto"/>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_Toc875 </w:instrText>
      </w:r>
      <w:r>
        <w:rPr>
          <w:rFonts w:hint="eastAsia" w:ascii="宋体" w:hAnsi="宋体" w:eastAsia="宋体" w:cs="宋体"/>
          <w:color w:val="auto"/>
        </w:rPr>
        <w:fldChar w:fldCharType="separate"/>
      </w:r>
      <w:r>
        <w:rPr>
          <w:rFonts w:hint="eastAsia" w:ascii="宋体" w:hAnsi="宋体" w:eastAsia="宋体" w:cs="宋体"/>
          <w:color w:val="auto"/>
          <w:lang w:val="en-US" w:eastAsia="zh-CN"/>
        </w:rPr>
        <w:t>1.7.5防静电装置危险、有害因素分析</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_Toc875 \h </w:instrText>
      </w:r>
      <w:r>
        <w:rPr>
          <w:rFonts w:hint="eastAsia" w:ascii="宋体" w:hAnsi="宋体" w:eastAsia="宋体" w:cs="宋体"/>
          <w:color w:val="auto"/>
        </w:rPr>
        <w:fldChar w:fldCharType="separate"/>
      </w:r>
      <w:r>
        <w:rPr>
          <w:rFonts w:hint="eastAsia" w:ascii="宋体" w:hAnsi="宋体" w:eastAsia="宋体" w:cs="宋体"/>
          <w:color w:val="auto"/>
        </w:rPr>
        <w:t>13</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41"/>
        <w:pageBreakBefore w:val="0"/>
        <w:tabs>
          <w:tab w:val="right" w:leader="dot" w:pos="9072"/>
        </w:tabs>
        <w:kinsoku/>
        <w:wordWrap/>
        <w:overflowPunct/>
        <w:topLinePunct w:val="0"/>
        <w:bidi w:val="0"/>
        <w:snapToGrid w:val="0"/>
        <w:spacing w:line="360" w:lineRule="auto"/>
        <w:ind w:left="0" w:leftChars="0" w:right="0" w:firstLine="420" w:firstLineChars="200"/>
        <w:textAlignment w:val="auto"/>
      </w:pPr>
      <w:r>
        <w:rPr>
          <w:rFonts w:hint="eastAsia" w:ascii="宋体" w:hAnsi="宋体" w:eastAsia="宋体" w:cs="宋体"/>
          <w:color w:val="auto"/>
        </w:rPr>
        <w:fldChar w:fldCharType="begin"/>
      </w:r>
      <w:r>
        <w:rPr>
          <w:rFonts w:hint="eastAsia" w:ascii="宋体" w:hAnsi="宋体" w:eastAsia="宋体" w:cs="宋体"/>
        </w:rPr>
        <w:instrText xml:space="preserve"> HYPERLINK \l _Toc17853 </w:instrText>
      </w:r>
      <w:r>
        <w:rPr>
          <w:rFonts w:hint="eastAsia" w:ascii="宋体" w:hAnsi="宋体" w:eastAsia="宋体" w:cs="宋体"/>
        </w:rPr>
        <w:fldChar w:fldCharType="separate"/>
      </w:r>
      <w:r>
        <w:rPr>
          <w:rFonts w:hint="eastAsia" w:ascii="宋体" w:hAnsi="宋体" w:eastAsia="宋体" w:cs="宋体"/>
          <w:szCs w:val="28"/>
          <w:lang w:val="en-US" w:eastAsia="zh-CN"/>
        </w:rPr>
        <w:t>1.</w:t>
      </w:r>
      <w:r>
        <w:rPr>
          <w:rFonts w:hint="eastAsia" w:ascii="宋体" w:hAnsi="宋体" w:cs="宋体"/>
          <w:szCs w:val="28"/>
          <w:lang w:val="en-US" w:eastAsia="zh-CN"/>
        </w:rPr>
        <w:t>8</w:t>
      </w:r>
      <w:r>
        <w:rPr>
          <w:rFonts w:hint="eastAsia" w:ascii="宋体" w:hAnsi="宋体" w:eastAsia="宋体" w:cs="宋体"/>
          <w:szCs w:val="28"/>
          <w:lang w:val="en-US" w:eastAsia="zh-CN"/>
        </w:rPr>
        <w:t xml:space="preserve"> </w:t>
      </w:r>
      <w:r>
        <w:rPr>
          <w:rFonts w:hint="eastAsia" w:ascii="宋体" w:hAnsi="宋体" w:cs="宋体"/>
          <w:szCs w:val="28"/>
          <w:lang w:val="en-US" w:eastAsia="zh-CN"/>
        </w:rPr>
        <w:t>施工、</w:t>
      </w:r>
      <w:r>
        <w:rPr>
          <w:rFonts w:hint="eastAsia" w:ascii="宋体" w:hAnsi="宋体" w:eastAsia="宋体" w:cs="宋体"/>
          <w:szCs w:val="28"/>
          <w:lang w:val="en-US" w:eastAsia="zh-CN"/>
        </w:rPr>
        <w:t>维护清理、检修过程中的危险有害因素分析</w:t>
      </w:r>
      <w:r>
        <w:tab/>
      </w:r>
      <w:r>
        <w:fldChar w:fldCharType="begin"/>
      </w:r>
      <w:r>
        <w:instrText xml:space="preserve"> PAGEREF _Toc17853 \h </w:instrText>
      </w:r>
      <w:r>
        <w:fldChar w:fldCharType="separate"/>
      </w:r>
      <w:r>
        <w:t>14</w:t>
      </w:r>
      <w:r>
        <w:fldChar w:fldCharType="end"/>
      </w:r>
      <w:r>
        <w:rPr>
          <w:rFonts w:hint="eastAsia" w:ascii="宋体" w:hAnsi="宋体" w:eastAsia="宋体" w:cs="宋体"/>
          <w:color w:val="auto"/>
        </w:rPr>
        <w:fldChar w:fldCharType="end"/>
      </w:r>
    </w:p>
    <w:p>
      <w:pPr>
        <w:pStyle w:val="26"/>
        <w:keepNext w:val="0"/>
        <w:keepLines w:val="0"/>
        <w:pageBreakBefore w:val="0"/>
        <w:widowControl/>
        <w:tabs>
          <w:tab w:val="right" w:leader="dot" w:pos="9072"/>
        </w:tabs>
        <w:kinsoku/>
        <w:wordWrap/>
        <w:overflowPunct/>
        <w:topLinePunct w:val="0"/>
        <w:autoSpaceDE/>
        <w:autoSpaceDN/>
        <w:bidi w:val="0"/>
        <w:adjustRightInd/>
        <w:snapToGrid w:val="0"/>
        <w:spacing w:line="360" w:lineRule="auto"/>
        <w:ind w:left="0" w:leftChars="0" w:right="0" w:firstLine="840" w:firstLineChars="4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_Toc1144 </w:instrText>
      </w:r>
      <w:r>
        <w:rPr>
          <w:rFonts w:hint="eastAsia" w:ascii="宋体" w:hAnsi="宋体" w:eastAsia="宋体" w:cs="宋体"/>
          <w:color w:val="auto"/>
        </w:rPr>
        <w:fldChar w:fldCharType="separate"/>
      </w:r>
      <w:r>
        <w:rPr>
          <w:rFonts w:hint="eastAsia" w:ascii="宋体" w:hAnsi="宋体" w:eastAsia="宋体" w:cs="宋体"/>
          <w:color w:val="auto"/>
          <w:lang w:val="en-US" w:eastAsia="zh-CN"/>
        </w:rPr>
        <w:t>1</w:t>
      </w:r>
      <w:r>
        <w:rPr>
          <w:rFonts w:hint="eastAsia" w:ascii="宋体" w:hAnsi="宋体" w:eastAsia="宋体" w:cs="宋体"/>
          <w:color w:val="auto"/>
        </w:rPr>
        <w:t>.</w:t>
      </w:r>
      <w:r>
        <w:rPr>
          <w:rFonts w:hint="eastAsia" w:ascii="宋体" w:hAnsi="宋体" w:eastAsia="宋体" w:cs="宋体"/>
          <w:color w:val="auto"/>
          <w:lang w:val="en-US" w:eastAsia="zh-CN"/>
        </w:rPr>
        <w:t>8</w:t>
      </w:r>
      <w:r>
        <w:rPr>
          <w:rFonts w:hint="eastAsia" w:ascii="宋体" w:hAnsi="宋体" w:eastAsia="宋体" w:cs="宋体"/>
          <w:color w:val="auto"/>
        </w:rPr>
        <w:t>.1设备维护清理作业</w:t>
      </w:r>
      <w:r>
        <w:rPr>
          <w:rFonts w:hint="eastAsia" w:ascii="宋体" w:hAnsi="宋体" w:eastAsia="宋体" w:cs="宋体"/>
          <w:color w:val="auto"/>
          <w:lang w:val="en-US" w:eastAsia="zh-CN"/>
        </w:rPr>
        <w:t>危险、有害因素分析</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_Toc1144 \h </w:instrText>
      </w:r>
      <w:r>
        <w:rPr>
          <w:rFonts w:hint="eastAsia" w:ascii="宋体" w:hAnsi="宋体" w:eastAsia="宋体" w:cs="宋体"/>
          <w:color w:val="auto"/>
        </w:rPr>
        <w:fldChar w:fldCharType="separate"/>
      </w:r>
      <w:r>
        <w:rPr>
          <w:rFonts w:hint="eastAsia" w:ascii="宋体" w:hAnsi="宋体" w:eastAsia="宋体" w:cs="宋体"/>
          <w:color w:val="auto"/>
        </w:rPr>
        <w:t>14</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6"/>
        <w:keepNext w:val="0"/>
        <w:keepLines w:val="0"/>
        <w:pageBreakBefore w:val="0"/>
        <w:widowControl/>
        <w:tabs>
          <w:tab w:val="right" w:leader="dot" w:pos="9072"/>
        </w:tabs>
        <w:kinsoku/>
        <w:wordWrap/>
        <w:overflowPunct/>
        <w:topLinePunct w:val="0"/>
        <w:autoSpaceDE/>
        <w:autoSpaceDN/>
        <w:bidi w:val="0"/>
        <w:adjustRightInd/>
        <w:snapToGrid w:val="0"/>
        <w:spacing w:line="360" w:lineRule="auto"/>
        <w:ind w:left="0" w:leftChars="0" w:right="0" w:firstLine="840" w:firstLineChars="4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_Toc1764 </w:instrText>
      </w:r>
      <w:r>
        <w:rPr>
          <w:rFonts w:hint="eastAsia" w:ascii="宋体" w:hAnsi="宋体" w:eastAsia="宋体" w:cs="宋体"/>
          <w:color w:val="auto"/>
        </w:rPr>
        <w:fldChar w:fldCharType="separate"/>
      </w:r>
      <w:r>
        <w:rPr>
          <w:rFonts w:hint="eastAsia" w:ascii="宋体" w:hAnsi="宋体" w:eastAsia="宋体" w:cs="宋体"/>
          <w:color w:val="auto"/>
          <w:lang w:val="en-US" w:eastAsia="zh-CN"/>
        </w:rPr>
        <w:t>1.8.2</w:t>
      </w:r>
      <w:r>
        <w:rPr>
          <w:rFonts w:hint="eastAsia" w:ascii="宋体" w:hAnsi="宋体" w:eastAsia="宋体" w:cs="宋体"/>
          <w:color w:val="auto"/>
          <w:lang w:val="zh-CN" w:eastAsia="zh-CN"/>
        </w:rPr>
        <w:t>施工</w:t>
      </w:r>
      <w:r>
        <w:rPr>
          <w:rFonts w:hint="eastAsia" w:ascii="宋体" w:hAnsi="宋体" w:eastAsia="宋体" w:cs="宋体"/>
          <w:color w:val="auto"/>
          <w:lang w:val="en-US" w:eastAsia="zh-CN"/>
        </w:rPr>
        <w:t>作业危险、有害因素分析</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_Toc1764 \h </w:instrText>
      </w:r>
      <w:r>
        <w:rPr>
          <w:rFonts w:hint="eastAsia" w:ascii="宋体" w:hAnsi="宋体" w:eastAsia="宋体" w:cs="宋体"/>
          <w:color w:val="auto"/>
        </w:rPr>
        <w:fldChar w:fldCharType="separate"/>
      </w:r>
      <w:r>
        <w:rPr>
          <w:rFonts w:hint="eastAsia" w:ascii="宋体" w:hAnsi="宋体" w:eastAsia="宋体" w:cs="宋体"/>
          <w:color w:val="auto"/>
        </w:rPr>
        <w:t>14</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6"/>
        <w:keepNext w:val="0"/>
        <w:keepLines w:val="0"/>
        <w:pageBreakBefore w:val="0"/>
        <w:widowControl/>
        <w:tabs>
          <w:tab w:val="right" w:leader="dot" w:pos="9072"/>
        </w:tabs>
        <w:kinsoku/>
        <w:wordWrap/>
        <w:overflowPunct/>
        <w:topLinePunct w:val="0"/>
        <w:autoSpaceDE/>
        <w:autoSpaceDN/>
        <w:bidi w:val="0"/>
        <w:adjustRightInd/>
        <w:snapToGrid w:val="0"/>
        <w:spacing w:line="360" w:lineRule="auto"/>
        <w:ind w:left="0" w:leftChars="0" w:right="0" w:firstLine="840" w:firstLineChars="400"/>
        <w:textAlignment w:val="auto"/>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_Toc5298 </w:instrText>
      </w:r>
      <w:r>
        <w:rPr>
          <w:rFonts w:hint="eastAsia" w:ascii="宋体" w:hAnsi="宋体" w:eastAsia="宋体" w:cs="宋体"/>
          <w:color w:val="auto"/>
        </w:rPr>
        <w:fldChar w:fldCharType="separate"/>
      </w:r>
      <w:r>
        <w:rPr>
          <w:rFonts w:hint="eastAsia" w:ascii="宋体" w:hAnsi="宋体" w:eastAsia="宋体" w:cs="宋体"/>
          <w:color w:val="auto"/>
          <w:lang w:val="en-US" w:eastAsia="zh-CN"/>
        </w:rPr>
        <w:t>1.8.3检修作业危险、有害因素分析</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_Toc5298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41"/>
        <w:pageBreakBefore w:val="0"/>
        <w:tabs>
          <w:tab w:val="right" w:leader="dot" w:pos="9072"/>
        </w:tabs>
        <w:kinsoku/>
        <w:wordWrap/>
        <w:overflowPunct/>
        <w:topLinePunct w:val="0"/>
        <w:bidi w:val="0"/>
        <w:snapToGrid w:val="0"/>
        <w:spacing w:line="360" w:lineRule="auto"/>
        <w:ind w:left="0" w:leftChars="0" w:right="0" w:firstLine="420" w:firstLineChars="200"/>
        <w:textAlignment w:val="auto"/>
      </w:pPr>
      <w:r>
        <w:rPr>
          <w:rFonts w:hint="eastAsia" w:ascii="宋体" w:hAnsi="宋体" w:eastAsia="宋体" w:cs="宋体"/>
          <w:color w:val="auto"/>
        </w:rPr>
        <w:fldChar w:fldCharType="begin"/>
      </w:r>
      <w:r>
        <w:rPr>
          <w:rFonts w:hint="eastAsia" w:ascii="宋体" w:hAnsi="宋体" w:eastAsia="宋体" w:cs="宋体"/>
        </w:rPr>
        <w:instrText xml:space="preserve"> HYPERLINK \l _Toc31045 </w:instrText>
      </w:r>
      <w:r>
        <w:rPr>
          <w:rFonts w:hint="eastAsia" w:ascii="宋体" w:hAnsi="宋体" w:eastAsia="宋体" w:cs="宋体"/>
        </w:rPr>
        <w:fldChar w:fldCharType="separate"/>
      </w:r>
      <w:r>
        <w:rPr>
          <w:rFonts w:hint="eastAsia" w:ascii="宋体" w:hAnsi="宋体" w:cs="宋体"/>
          <w:szCs w:val="28"/>
          <w:lang w:val="en-US" w:eastAsia="zh-CN"/>
        </w:rPr>
        <w:t>1.9</w:t>
      </w:r>
      <w:r>
        <w:rPr>
          <w:rFonts w:hint="eastAsia" w:ascii="宋体" w:hAnsi="宋体" w:eastAsia="宋体" w:cs="宋体"/>
          <w:szCs w:val="28"/>
          <w:lang w:val="en-US" w:eastAsia="zh-CN"/>
        </w:rPr>
        <w:t>受限空间作业危险性分析</w:t>
      </w:r>
      <w:r>
        <w:tab/>
      </w:r>
      <w:r>
        <w:fldChar w:fldCharType="begin"/>
      </w:r>
      <w:r>
        <w:instrText xml:space="preserve"> PAGEREF _Toc31045 \h </w:instrText>
      </w:r>
      <w:r>
        <w:fldChar w:fldCharType="separate"/>
      </w:r>
      <w:r>
        <w:t>17</w:t>
      </w:r>
      <w:r>
        <w:fldChar w:fldCharType="end"/>
      </w:r>
      <w:r>
        <w:rPr>
          <w:rFonts w:hint="eastAsia" w:ascii="宋体" w:hAnsi="宋体" w:eastAsia="宋体" w:cs="宋体"/>
          <w:color w:val="auto"/>
        </w:rPr>
        <w:fldChar w:fldCharType="end"/>
      </w:r>
    </w:p>
    <w:p>
      <w:pPr>
        <w:pStyle w:val="41"/>
        <w:pageBreakBefore w:val="0"/>
        <w:tabs>
          <w:tab w:val="right" w:leader="dot" w:pos="9072"/>
        </w:tabs>
        <w:kinsoku/>
        <w:wordWrap/>
        <w:overflowPunct/>
        <w:topLinePunct w:val="0"/>
        <w:bidi w:val="0"/>
        <w:snapToGrid w:val="0"/>
        <w:spacing w:line="360" w:lineRule="auto"/>
        <w:ind w:left="0" w:leftChars="0" w:right="0" w:firstLine="420" w:firstLineChars="200"/>
        <w:textAlignment w:val="auto"/>
      </w:pPr>
      <w:r>
        <w:rPr>
          <w:rFonts w:hint="eastAsia" w:ascii="宋体" w:hAnsi="宋体" w:eastAsia="宋体" w:cs="宋体"/>
          <w:color w:val="auto"/>
        </w:rPr>
        <w:fldChar w:fldCharType="begin"/>
      </w:r>
      <w:r>
        <w:rPr>
          <w:rFonts w:hint="eastAsia" w:ascii="宋体" w:hAnsi="宋体" w:eastAsia="宋体" w:cs="宋体"/>
        </w:rPr>
        <w:instrText xml:space="preserve"> HYPERLINK \l _Toc31240 </w:instrText>
      </w:r>
      <w:r>
        <w:rPr>
          <w:rFonts w:hint="eastAsia" w:ascii="宋体" w:hAnsi="宋体" w:eastAsia="宋体" w:cs="宋体"/>
        </w:rPr>
        <w:fldChar w:fldCharType="separate"/>
      </w:r>
      <w:r>
        <w:rPr>
          <w:rFonts w:hint="eastAsia" w:ascii="宋体" w:hAnsi="宋体" w:eastAsia="宋体" w:cs="宋体"/>
          <w:szCs w:val="28"/>
          <w:lang w:val="en-US" w:eastAsia="zh-CN"/>
        </w:rPr>
        <w:t>1.</w:t>
      </w:r>
      <w:r>
        <w:rPr>
          <w:rFonts w:hint="eastAsia" w:ascii="宋体" w:hAnsi="宋体" w:cs="宋体"/>
          <w:szCs w:val="28"/>
          <w:lang w:val="en-US" w:eastAsia="zh-CN"/>
        </w:rPr>
        <w:t>10</w:t>
      </w:r>
      <w:r>
        <w:rPr>
          <w:rFonts w:hint="eastAsia" w:ascii="宋体" w:hAnsi="宋体" w:eastAsia="宋体" w:cs="宋体"/>
          <w:szCs w:val="28"/>
          <w:lang w:val="en-US" w:eastAsia="zh-CN"/>
        </w:rPr>
        <w:t>安全管理中存在的危险有害因素分析</w:t>
      </w:r>
      <w:r>
        <w:tab/>
      </w:r>
      <w:r>
        <w:fldChar w:fldCharType="begin"/>
      </w:r>
      <w:r>
        <w:instrText xml:space="preserve"> PAGEREF _Toc31240 \h </w:instrText>
      </w:r>
      <w:r>
        <w:fldChar w:fldCharType="separate"/>
      </w:r>
      <w:r>
        <w:t>17</w:t>
      </w:r>
      <w:r>
        <w:fldChar w:fldCharType="end"/>
      </w:r>
      <w:r>
        <w:rPr>
          <w:rFonts w:hint="eastAsia" w:ascii="宋体" w:hAnsi="宋体" w:eastAsia="宋体" w:cs="宋体"/>
          <w:color w:val="auto"/>
        </w:rPr>
        <w:fldChar w:fldCharType="end"/>
      </w:r>
    </w:p>
    <w:p>
      <w:pPr>
        <w:pStyle w:val="41"/>
        <w:pageBreakBefore w:val="0"/>
        <w:tabs>
          <w:tab w:val="right" w:leader="dot" w:pos="9072"/>
        </w:tabs>
        <w:kinsoku/>
        <w:wordWrap/>
        <w:overflowPunct/>
        <w:topLinePunct w:val="0"/>
        <w:bidi w:val="0"/>
        <w:snapToGrid w:val="0"/>
        <w:spacing w:line="360" w:lineRule="auto"/>
        <w:ind w:left="0" w:leftChars="0" w:right="0" w:firstLine="420" w:firstLineChars="200"/>
        <w:textAlignment w:val="auto"/>
      </w:pPr>
      <w:r>
        <w:rPr>
          <w:rFonts w:hint="eastAsia" w:ascii="宋体" w:hAnsi="宋体" w:eastAsia="宋体" w:cs="宋体"/>
          <w:color w:val="auto"/>
        </w:rPr>
        <w:fldChar w:fldCharType="begin"/>
      </w:r>
      <w:r>
        <w:rPr>
          <w:rFonts w:hint="eastAsia" w:ascii="宋体" w:hAnsi="宋体" w:eastAsia="宋体" w:cs="宋体"/>
        </w:rPr>
        <w:instrText xml:space="preserve"> HYPERLINK \l _Toc8951 </w:instrText>
      </w:r>
      <w:r>
        <w:rPr>
          <w:rFonts w:hint="eastAsia" w:ascii="宋体" w:hAnsi="宋体" w:eastAsia="宋体" w:cs="宋体"/>
        </w:rPr>
        <w:fldChar w:fldCharType="separate"/>
      </w:r>
      <w:r>
        <w:rPr>
          <w:rFonts w:hint="eastAsia" w:ascii="宋体" w:hAnsi="宋体" w:eastAsia="宋体" w:cs="宋体"/>
          <w:szCs w:val="28"/>
          <w:lang w:val="en-US" w:eastAsia="zh-CN"/>
        </w:rPr>
        <w:t>1.</w:t>
      </w:r>
      <w:r>
        <w:rPr>
          <w:rFonts w:hint="eastAsia" w:ascii="宋体" w:hAnsi="宋体" w:cs="宋体"/>
          <w:szCs w:val="28"/>
          <w:lang w:val="en-US" w:eastAsia="zh-CN"/>
        </w:rPr>
        <w:t>11其他</w:t>
      </w:r>
      <w:r>
        <w:rPr>
          <w:rFonts w:hint="eastAsia" w:ascii="宋体" w:hAnsi="宋体" w:eastAsia="宋体" w:cs="宋体"/>
          <w:szCs w:val="28"/>
          <w:lang w:val="en-US" w:eastAsia="zh-CN"/>
        </w:rPr>
        <w:t>危险有害因素分析</w:t>
      </w:r>
      <w:r>
        <w:tab/>
      </w:r>
      <w:r>
        <w:fldChar w:fldCharType="begin"/>
      </w:r>
      <w:r>
        <w:instrText xml:space="preserve"> PAGEREF _Toc8951 \h </w:instrText>
      </w:r>
      <w:r>
        <w:fldChar w:fldCharType="separate"/>
      </w:r>
      <w:r>
        <w:t>18</w:t>
      </w:r>
      <w:r>
        <w:fldChar w:fldCharType="end"/>
      </w:r>
      <w:r>
        <w:rPr>
          <w:rFonts w:hint="eastAsia" w:ascii="宋体" w:hAnsi="宋体" w:eastAsia="宋体" w:cs="宋体"/>
          <w:color w:val="auto"/>
        </w:rPr>
        <w:fldChar w:fldCharType="end"/>
      </w:r>
    </w:p>
    <w:p>
      <w:pPr>
        <w:pStyle w:val="41"/>
        <w:pageBreakBefore w:val="0"/>
        <w:tabs>
          <w:tab w:val="right" w:leader="dot" w:pos="9072"/>
        </w:tabs>
        <w:kinsoku/>
        <w:wordWrap/>
        <w:overflowPunct/>
        <w:topLinePunct w:val="0"/>
        <w:bidi w:val="0"/>
        <w:snapToGrid w:val="0"/>
        <w:spacing w:line="360" w:lineRule="auto"/>
        <w:ind w:left="0" w:leftChars="0" w:right="0" w:firstLine="420" w:firstLineChars="200"/>
        <w:textAlignment w:val="auto"/>
      </w:pPr>
      <w:r>
        <w:rPr>
          <w:rFonts w:hint="eastAsia" w:ascii="宋体" w:hAnsi="宋体" w:eastAsia="宋体" w:cs="宋体"/>
          <w:color w:val="auto"/>
        </w:rPr>
        <w:fldChar w:fldCharType="begin"/>
      </w:r>
      <w:r>
        <w:rPr>
          <w:rFonts w:hint="eastAsia" w:ascii="宋体" w:hAnsi="宋体" w:eastAsia="宋体" w:cs="宋体"/>
        </w:rPr>
        <w:instrText xml:space="preserve"> HYPERLINK \l _Toc17016 </w:instrText>
      </w:r>
      <w:r>
        <w:rPr>
          <w:rFonts w:hint="eastAsia" w:ascii="宋体" w:hAnsi="宋体" w:eastAsia="宋体" w:cs="宋体"/>
        </w:rPr>
        <w:fldChar w:fldCharType="separate"/>
      </w:r>
      <w:r>
        <w:rPr>
          <w:rFonts w:hint="eastAsia" w:ascii="宋体" w:hAnsi="宋体" w:eastAsia="宋体" w:cs="宋体"/>
          <w:szCs w:val="28"/>
          <w:lang w:val="en-US" w:eastAsia="zh-CN"/>
        </w:rPr>
        <w:t>1.</w:t>
      </w:r>
      <w:r>
        <w:rPr>
          <w:rFonts w:hint="eastAsia" w:ascii="宋体" w:hAnsi="宋体" w:cs="宋体"/>
          <w:szCs w:val="28"/>
          <w:lang w:val="en-US" w:eastAsia="zh-CN"/>
        </w:rPr>
        <w:t>12</w:t>
      </w:r>
      <w:r>
        <w:rPr>
          <w:rFonts w:hint="eastAsia" w:ascii="宋体" w:hAnsi="宋体" w:eastAsia="宋体" w:cs="宋体"/>
          <w:szCs w:val="28"/>
          <w:lang w:val="en-US" w:eastAsia="zh-CN"/>
        </w:rPr>
        <w:t>重大危险源辨识</w:t>
      </w:r>
      <w:r>
        <w:tab/>
      </w:r>
      <w:r>
        <w:fldChar w:fldCharType="begin"/>
      </w:r>
      <w:r>
        <w:instrText xml:space="preserve"> PAGEREF _Toc17016 \h </w:instrText>
      </w:r>
      <w:r>
        <w:fldChar w:fldCharType="separate"/>
      </w:r>
      <w:r>
        <w:t>18</w:t>
      </w:r>
      <w:r>
        <w:fldChar w:fldCharType="end"/>
      </w:r>
      <w:r>
        <w:rPr>
          <w:rFonts w:hint="eastAsia" w:ascii="宋体" w:hAnsi="宋体" w:eastAsia="宋体" w:cs="宋体"/>
          <w:color w:val="auto"/>
        </w:rPr>
        <w:fldChar w:fldCharType="end"/>
      </w:r>
    </w:p>
    <w:p>
      <w:pPr>
        <w:pStyle w:val="26"/>
        <w:keepNext w:val="0"/>
        <w:keepLines w:val="0"/>
        <w:pageBreakBefore w:val="0"/>
        <w:widowControl/>
        <w:tabs>
          <w:tab w:val="right" w:leader="dot" w:pos="9072"/>
        </w:tabs>
        <w:kinsoku/>
        <w:wordWrap/>
        <w:overflowPunct/>
        <w:topLinePunct w:val="0"/>
        <w:autoSpaceDE/>
        <w:autoSpaceDN/>
        <w:bidi w:val="0"/>
        <w:adjustRightInd/>
        <w:snapToGrid w:val="0"/>
        <w:spacing w:line="360" w:lineRule="auto"/>
        <w:ind w:left="0" w:leftChars="0" w:right="0" w:firstLine="840" w:firstLineChars="4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_Toc317 </w:instrText>
      </w:r>
      <w:r>
        <w:rPr>
          <w:rFonts w:hint="eastAsia" w:ascii="宋体" w:hAnsi="宋体" w:eastAsia="宋体" w:cs="宋体"/>
          <w:color w:val="auto"/>
        </w:rPr>
        <w:fldChar w:fldCharType="separate"/>
      </w:r>
      <w:r>
        <w:rPr>
          <w:rFonts w:hint="eastAsia" w:ascii="宋体" w:hAnsi="宋体" w:eastAsia="宋体" w:cs="宋体"/>
          <w:color w:val="auto"/>
          <w:lang w:val="en-US" w:eastAsia="zh-CN"/>
        </w:rPr>
        <w:t>1</w:t>
      </w:r>
      <w:r>
        <w:rPr>
          <w:rFonts w:hint="eastAsia" w:ascii="宋体" w:hAnsi="宋体" w:eastAsia="宋体" w:cs="宋体"/>
          <w:color w:val="auto"/>
        </w:rPr>
        <w:t>.</w:t>
      </w:r>
      <w:r>
        <w:rPr>
          <w:rFonts w:hint="eastAsia" w:ascii="宋体" w:hAnsi="宋体" w:eastAsia="宋体" w:cs="宋体"/>
          <w:color w:val="auto"/>
          <w:lang w:val="en-US" w:eastAsia="zh-CN"/>
        </w:rPr>
        <w:t>12</w:t>
      </w:r>
      <w:r>
        <w:rPr>
          <w:rFonts w:hint="eastAsia" w:ascii="宋体" w:hAnsi="宋体" w:eastAsia="宋体" w:cs="宋体"/>
          <w:color w:val="auto"/>
        </w:rPr>
        <w:t>.1危险化学品重大危险源辨识依据</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_Toc317 \h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6"/>
        <w:keepNext w:val="0"/>
        <w:keepLines w:val="0"/>
        <w:pageBreakBefore w:val="0"/>
        <w:widowControl/>
        <w:tabs>
          <w:tab w:val="right" w:leader="dot" w:pos="9072"/>
        </w:tabs>
        <w:kinsoku/>
        <w:wordWrap/>
        <w:overflowPunct/>
        <w:topLinePunct w:val="0"/>
        <w:autoSpaceDE/>
        <w:autoSpaceDN/>
        <w:bidi w:val="0"/>
        <w:adjustRightInd/>
        <w:snapToGrid w:val="0"/>
        <w:spacing w:line="360" w:lineRule="auto"/>
        <w:ind w:left="0" w:leftChars="0" w:right="0" w:firstLine="840" w:firstLineChars="4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_Toc26758 </w:instrText>
      </w:r>
      <w:r>
        <w:rPr>
          <w:rFonts w:hint="eastAsia" w:ascii="宋体" w:hAnsi="宋体" w:eastAsia="宋体" w:cs="宋体"/>
          <w:color w:val="auto"/>
        </w:rPr>
        <w:fldChar w:fldCharType="separate"/>
      </w:r>
      <w:r>
        <w:rPr>
          <w:rFonts w:hint="eastAsia" w:ascii="宋体" w:hAnsi="宋体" w:eastAsia="宋体" w:cs="宋体"/>
          <w:color w:val="auto"/>
          <w:lang w:val="en-US" w:eastAsia="zh-CN"/>
        </w:rPr>
        <w:t>1</w:t>
      </w:r>
      <w:r>
        <w:rPr>
          <w:rFonts w:hint="eastAsia" w:ascii="宋体" w:hAnsi="宋体" w:eastAsia="宋体" w:cs="宋体"/>
          <w:color w:val="auto"/>
        </w:rPr>
        <w:t>.</w:t>
      </w:r>
      <w:r>
        <w:rPr>
          <w:rFonts w:hint="eastAsia" w:ascii="宋体" w:hAnsi="宋体" w:eastAsia="宋体" w:cs="宋体"/>
          <w:color w:val="auto"/>
          <w:lang w:eastAsia="zh-CN"/>
        </w:rPr>
        <w:t>12</w:t>
      </w:r>
      <w:r>
        <w:rPr>
          <w:rFonts w:hint="eastAsia" w:ascii="宋体" w:hAnsi="宋体" w:eastAsia="宋体" w:cs="宋体"/>
          <w:color w:val="auto"/>
        </w:rPr>
        <w:t>.2重大危险源流程</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_Toc26758 \h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6"/>
        <w:keepNext w:val="0"/>
        <w:keepLines w:val="0"/>
        <w:pageBreakBefore w:val="0"/>
        <w:widowControl/>
        <w:tabs>
          <w:tab w:val="right" w:leader="dot" w:pos="9072"/>
        </w:tabs>
        <w:kinsoku/>
        <w:wordWrap/>
        <w:overflowPunct/>
        <w:topLinePunct w:val="0"/>
        <w:autoSpaceDE/>
        <w:autoSpaceDN/>
        <w:bidi w:val="0"/>
        <w:adjustRightInd/>
        <w:snapToGrid w:val="0"/>
        <w:spacing w:line="360" w:lineRule="auto"/>
        <w:ind w:left="0" w:leftChars="0" w:right="0" w:firstLine="840" w:firstLineChars="4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_Toc5523 </w:instrText>
      </w:r>
      <w:r>
        <w:rPr>
          <w:rFonts w:hint="eastAsia" w:ascii="宋体" w:hAnsi="宋体" w:eastAsia="宋体" w:cs="宋体"/>
          <w:color w:val="auto"/>
        </w:rPr>
        <w:fldChar w:fldCharType="separate"/>
      </w:r>
      <w:r>
        <w:rPr>
          <w:rFonts w:hint="eastAsia" w:ascii="宋体" w:hAnsi="宋体" w:eastAsia="宋体" w:cs="宋体"/>
          <w:color w:val="auto"/>
          <w:lang w:val="en-US" w:eastAsia="zh-CN"/>
        </w:rPr>
        <w:t>1</w:t>
      </w:r>
      <w:r>
        <w:rPr>
          <w:rFonts w:hint="eastAsia" w:ascii="宋体" w:hAnsi="宋体" w:eastAsia="宋体" w:cs="宋体"/>
          <w:color w:val="auto"/>
        </w:rPr>
        <w:t>.</w:t>
      </w:r>
      <w:r>
        <w:rPr>
          <w:rFonts w:hint="eastAsia" w:ascii="宋体" w:hAnsi="宋体" w:eastAsia="宋体" w:cs="宋体"/>
          <w:color w:val="auto"/>
          <w:lang w:eastAsia="zh-CN"/>
        </w:rPr>
        <w:t>12</w:t>
      </w:r>
      <w:r>
        <w:rPr>
          <w:rFonts w:hint="eastAsia" w:ascii="宋体" w:hAnsi="宋体" w:eastAsia="宋体" w:cs="宋体"/>
          <w:color w:val="auto"/>
        </w:rPr>
        <w:t>.3重大危险源辨识单元划分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_Toc5523 \h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6"/>
        <w:keepNext w:val="0"/>
        <w:keepLines w:val="0"/>
        <w:pageBreakBefore w:val="0"/>
        <w:widowControl/>
        <w:tabs>
          <w:tab w:val="right" w:leader="dot" w:pos="9072"/>
        </w:tabs>
        <w:kinsoku/>
        <w:wordWrap/>
        <w:overflowPunct/>
        <w:topLinePunct w:val="0"/>
        <w:autoSpaceDE/>
        <w:autoSpaceDN/>
        <w:bidi w:val="0"/>
        <w:adjustRightInd/>
        <w:snapToGrid w:val="0"/>
        <w:spacing w:line="360" w:lineRule="auto"/>
        <w:ind w:left="0" w:leftChars="0" w:right="0" w:firstLine="840" w:firstLineChars="4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_Toc15521 </w:instrText>
      </w:r>
      <w:r>
        <w:rPr>
          <w:rFonts w:hint="eastAsia" w:ascii="宋体" w:hAnsi="宋体" w:eastAsia="宋体" w:cs="宋体"/>
          <w:color w:val="auto"/>
        </w:rPr>
        <w:fldChar w:fldCharType="separate"/>
      </w:r>
      <w:r>
        <w:rPr>
          <w:rFonts w:hint="eastAsia" w:ascii="宋体" w:hAnsi="宋体" w:eastAsia="宋体" w:cs="宋体"/>
          <w:color w:val="auto"/>
          <w:lang w:val="en-US" w:eastAsia="zh-CN"/>
        </w:rPr>
        <w:t>1.12.4 危险化学品重大危险源的辨识方法</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_Toc15521 \h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6"/>
        <w:keepNext w:val="0"/>
        <w:keepLines w:val="0"/>
        <w:pageBreakBefore w:val="0"/>
        <w:widowControl/>
        <w:tabs>
          <w:tab w:val="right" w:leader="dot" w:pos="9072"/>
        </w:tabs>
        <w:kinsoku/>
        <w:wordWrap/>
        <w:overflowPunct/>
        <w:topLinePunct w:val="0"/>
        <w:autoSpaceDE/>
        <w:autoSpaceDN/>
        <w:bidi w:val="0"/>
        <w:adjustRightInd/>
        <w:snapToGrid w:val="0"/>
        <w:spacing w:line="360" w:lineRule="auto"/>
        <w:ind w:left="0" w:leftChars="0" w:right="0" w:firstLine="840" w:firstLineChars="400"/>
        <w:textAlignment w:val="auto"/>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_Toc30728 </w:instrText>
      </w:r>
      <w:r>
        <w:rPr>
          <w:rFonts w:hint="eastAsia" w:ascii="宋体" w:hAnsi="宋体" w:eastAsia="宋体" w:cs="宋体"/>
          <w:color w:val="auto"/>
        </w:rPr>
        <w:fldChar w:fldCharType="separate"/>
      </w:r>
      <w:r>
        <w:rPr>
          <w:rFonts w:hint="eastAsia" w:ascii="宋体" w:hAnsi="宋体" w:eastAsia="宋体" w:cs="宋体"/>
          <w:color w:val="auto"/>
          <w:lang w:val="en-US" w:eastAsia="zh-CN"/>
        </w:rPr>
        <w:t>1.12.5 危险化学品重大危险源辨识结果</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_Toc30728 \h </w:instrText>
      </w:r>
      <w:r>
        <w:rPr>
          <w:rFonts w:hint="eastAsia" w:ascii="宋体" w:hAnsi="宋体" w:eastAsia="宋体" w:cs="宋体"/>
          <w:color w:val="auto"/>
        </w:rPr>
        <w:fldChar w:fldCharType="separate"/>
      </w:r>
      <w:r>
        <w:rPr>
          <w:rFonts w:hint="eastAsia" w:ascii="宋体" w:hAnsi="宋体" w:eastAsia="宋体" w:cs="宋体"/>
          <w:color w:val="auto"/>
        </w:rPr>
        <w:t>20</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34"/>
        <w:pageBreakBefore w:val="0"/>
        <w:tabs>
          <w:tab w:val="right" w:leader="dot" w:pos="9072"/>
        </w:tabs>
        <w:kinsoku/>
        <w:wordWrap/>
        <w:overflowPunct/>
        <w:topLinePunct w:val="0"/>
        <w:bidi w:val="0"/>
        <w:snapToGrid w:val="0"/>
        <w:spacing w:line="360" w:lineRule="auto"/>
        <w:ind w:left="0" w:leftChars="0" w:right="0"/>
        <w:textAlignment w:val="auto"/>
      </w:pPr>
      <w:r>
        <w:rPr>
          <w:rFonts w:hint="eastAsia" w:ascii="宋体" w:hAnsi="宋体" w:eastAsia="宋体" w:cs="宋体"/>
          <w:color w:val="auto"/>
        </w:rPr>
        <w:fldChar w:fldCharType="begin"/>
      </w:r>
      <w:r>
        <w:rPr>
          <w:rFonts w:hint="eastAsia" w:ascii="宋体" w:hAnsi="宋体" w:eastAsia="宋体" w:cs="宋体"/>
        </w:rPr>
        <w:instrText xml:space="preserve"> HYPERLINK \l _Toc17040 </w:instrText>
      </w:r>
      <w:r>
        <w:rPr>
          <w:rFonts w:hint="eastAsia" w:ascii="宋体" w:hAnsi="宋体" w:eastAsia="宋体" w:cs="宋体"/>
        </w:rPr>
        <w:fldChar w:fldCharType="separate"/>
      </w:r>
      <w:r>
        <w:rPr>
          <w:rFonts w:hint="eastAsia" w:ascii="宋体" w:hAnsi="宋体" w:eastAsia="宋体" w:cs="宋体"/>
          <w:lang w:val="en-US" w:eastAsia="zh-CN"/>
        </w:rPr>
        <w:t>2 事故风险分析</w:t>
      </w:r>
      <w:r>
        <w:tab/>
      </w:r>
      <w:r>
        <w:fldChar w:fldCharType="begin"/>
      </w:r>
      <w:r>
        <w:instrText xml:space="preserve"> PAGEREF _Toc17040 \h </w:instrText>
      </w:r>
      <w:r>
        <w:fldChar w:fldCharType="separate"/>
      </w:r>
      <w:r>
        <w:t>21</w:t>
      </w:r>
      <w:r>
        <w:fldChar w:fldCharType="end"/>
      </w:r>
      <w:r>
        <w:rPr>
          <w:rFonts w:hint="eastAsia" w:ascii="宋体" w:hAnsi="宋体" w:eastAsia="宋体" w:cs="宋体"/>
          <w:color w:val="auto"/>
        </w:rPr>
        <w:fldChar w:fldCharType="end"/>
      </w:r>
    </w:p>
    <w:p>
      <w:pPr>
        <w:pStyle w:val="34"/>
        <w:pageBreakBefore w:val="0"/>
        <w:tabs>
          <w:tab w:val="right" w:leader="dot" w:pos="9072"/>
        </w:tabs>
        <w:kinsoku/>
        <w:wordWrap/>
        <w:overflowPunct/>
        <w:topLinePunct w:val="0"/>
        <w:bidi w:val="0"/>
        <w:snapToGrid w:val="0"/>
        <w:spacing w:line="360" w:lineRule="auto"/>
        <w:ind w:left="0" w:leftChars="0" w:right="0"/>
        <w:textAlignment w:val="auto"/>
      </w:pPr>
      <w:r>
        <w:rPr>
          <w:rFonts w:hint="eastAsia" w:ascii="宋体" w:hAnsi="宋体" w:eastAsia="宋体" w:cs="宋体"/>
          <w:color w:val="auto"/>
        </w:rPr>
        <w:fldChar w:fldCharType="begin"/>
      </w:r>
      <w:r>
        <w:rPr>
          <w:rFonts w:hint="eastAsia" w:ascii="宋体" w:hAnsi="宋体" w:eastAsia="宋体" w:cs="宋体"/>
        </w:rPr>
        <w:instrText xml:space="preserve"> HYPERLINK \l _Toc369 </w:instrText>
      </w:r>
      <w:r>
        <w:rPr>
          <w:rFonts w:hint="eastAsia" w:ascii="宋体" w:hAnsi="宋体" w:eastAsia="宋体" w:cs="宋体"/>
        </w:rPr>
        <w:fldChar w:fldCharType="separate"/>
      </w:r>
      <w:r>
        <w:rPr>
          <w:rFonts w:hint="eastAsia" w:ascii="宋体" w:hAnsi="宋体" w:eastAsia="宋体" w:cs="宋体"/>
          <w:lang w:val="en-US" w:eastAsia="zh-CN"/>
        </w:rPr>
        <w:t>3 事故风险评价</w:t>
      </w:r>
      <w:r>
        <w:tab/>
      </w:r>
      <w:r>
        <w:fldChar w:fldCharType="begin"/>
      </w:r>
      <w:r>
        <w:instrText xml:space="preserve"> PAGEREF _Toc369 \h </w:instrText>
      </w:r>
      <w:r>
        <w:fldChar w:fldCharType="separate"/>
      </w:r>
      <w:r>
        <w:t>25</w:t>
      </w:r>
      <w:r>
        <w:fldChar w:fldCharType="end"/>
      </w:r>
      <w:r>
        <w:rPr>
          <w:rFonts w:hint="eastAsia" w:ascii="宋体" w:hAnsi="宋体" w:eastAsia="宋体" w:cs="宋体"/>
          <w:color w:val="auto"/>
        </w:rPr>
        <w:fldChar w:fldCharType="end"/>
      </w:r>
    </w:p>
    <w:p>
      <w:pPr>
        <w:pStyle w:val="34"/>
        <w:pageBreakBefore w:val="0"/>
        <w:tabs>
          <w:tab w:val="right" w:leader="dot" w:pos="9072"/>
        </w:tabs>
        <w:kinsoku/>
        <w:wordWrap/>
        <w:overflowPunct/>
        <w:topLinePunct w:val="0"/>
        <w:bidi w:val="0"/>
        <w:snapToGrid w:val="0"/>
        <w:spacing w:line="360" w:lineRule="auto"/>
        <w:ind w:left="0" w:leftChars="0" w:right="0"/>
        <w:textAlignment w:val="auto"/>
      </w:pPr>
      <w:r>
        <w:rPr>
          <w:rFonts w:hint="eastAsia" w:ascii="宋体" w:hAnsi="宋体" w:eastAsia="宋体" w:cs="宋体"/>
          <w:color w:val="auto"/>
        </w:rPr>
        <w:fldChar w:fldCharType="begin"/>
      </w:r>
      <w:r>
        <w:rPr>
          <w:rFonts w:hint="eastAsia" w:ascii="宋体" w:hAnsi="宋体" w:eastAsia="宋体" w:cs="宋体"/>
        </w:rPr>
        <w:instrText xml:space="preserve"> HYPERLINK \l _Toc27477 </w:instrText>
      </w:r>
      <w:r>
        <w:rPr>
          <w:rFonts w:hint="eastAsia" w:ascii="宋体" w:hAnsi="宋体" w:eastAsia="宋体" w:cs="宋体"/>
        </w:rPr>
        <w:fldChar w:fldCharType="separate"/>
      </w:r>
      <w:r>
        <w:rPr>
          <w:rFonts w:hint="eastAsia" w:ascii="宋体" w:hAnsi="宋体" w:eastAsia="宋体" w:cs="宋体"/>
          <w:lang w:val="en-US" w:eastAsia="zh-CN"/>
        </w:rPr>
        <w:t>4 评估结论与建议</w:t>
      </w:r>
      <w:r>
        <w:tab/>
      </w:r>
      <w:r>
        <w:fldChar w:fldCharType="begin"/>
      </w:r>
      <w:r>
        <w:instrText xml:space="preserve"> PAGEREF _Toc27477 \h </w:instrText>
      </w:r>
      <w:r>
        <w:fldChar w:fldCharType="separate"/>
      </w:r>
      <w:r>
        <w:t>27</w:t>
      </w:r>
      <w:r>
        <w:fldChar w:fldCharType="end"/>
      </w:r>
      <w:r>
        <w:rPr>
          <w:rFonts w:hint="eastAsia" w:ascii="宋体" w:hAnsi="宋体" w:eastAsia="宋体" w:cs="宋体"/>
          <w:color w:val="auto"/>
        </w:rPr>
        <w:fldChar w:fldCharType="end"/>
      </w:r>
    </w:p>
    <w:p>
      <w:pPr>
        <w:pStyle w:val="41"/>
        <w:pageBreakBefore w:val="0"/>
        <w:tabs>
          <w:tab w:val="right" w:leader="dot" w:pos="9072"/>
        </w:tabs>
        <w:kinsoku/>
        <w:wordWrap/>
        <w:overflowPunct/>
        <w:topLinePunct w:val="0"/>
        <w:bidi w:val="0"/>
        <w:snapToGrid w:val="0"/>
        <w:spacing w:line="360" w:lineRule="auto"/>
        <w:ind w:left="0" w:leftChars="0" w:right="0" w:firstLine="420" w:firstLineChars="200"/>
        <w:textAlignment w:val="auto"/>
      </w:pPr>
      <w:r>
        <w:rPr>
          <w:rFonts w:hint="eastAsia" w:ascii="宋体" w:hAnsi="宋体" w:eastAsia="宋体" w:cs="宋体"/>
          <w:color w:val="auto"/>
        </w:rPr>
        <w:fldChar w:fldCharType="begin"/>
      </w:r>
      <w:r>
        <w:rPr>
          <w:rFonts w:hint="eastAsia" w:ascii="宋体" w:hAnsi="宋体" w:eastAsia="宋体" w:cs="宋体"/>
        </w:rPr>
        <w:instrText xml:space="preserve"> HYPERLINK \l _Toc29759 </w:instrText>
      </w:r>
      <w:r>
        <w:rPr>
          <w:rFonts w:hint="eastAsia" w:ascii="宋体" w:hAnsi="宋体" w:eastAsia="宋体" w:cs="宋体"/>
        </w:rPr>
        <w:fldChar w:fldCharType="separate"/>
      </w:r>
      <w:r>
        <w:rPr>
          <w:rFonts w:hint="eastAsia" w:ascii="宋体" w:hAnsi="宋体" w:eastAsia="宋体" w:cs="宋体"/>
          <w:lang w:val="en-US" w:eastAsia="zh-CN"/>
        </w:rPr>
        <w:t>4.1 结论</w:t>
      </w:r>
      <w:r>
        <w:tab/>
      </w:r>
      <w:r>
        <w:fldChar w:fldCharType="begin"/>
      </w:r>
      <w:r>
        <w:instrText xml:space="preserve"> PAGEREF _Toc29759 \h </w:instrText>
      </w:r>
      <w:r>
        <w:fldChar w:fldCharType="separate"/>
      </w:r>
      <w:r>
        <w:t>27</w:t>
      </w:r>
      <w:r>
        <w:fldChar w:fldCharType="end"/>
      </w:r>
      <w:r>
        <w:rPr>
          <w:rFonts w:hint="eastAsia" w:ascii="宋体" w:hAnsi="宋体" w:eastAsia="宋体" w:cs="宋体"/>
          <w:color w:val="auto"/>
        </w:rPr>
        <w:fldChar w:fldCharType="end"/>
      </w:r>
    </w:p>
    <w:p>
      <w:pPr>
        <w:pStyle w:val="41"/>
        <w:pageBreakBefore w:val="0"/>
        <w:tabs>
          <w:tab w:val="right" w:leader="dot" w:pos="9072"/>
        </w:tabs>
        <w:kinsoku/>
        <w:wordWrap/>
        <w:overflowPunct/>
        <w:topLinePunct w:val="0"/>
        <w:bidi w:val="0"/>
        <w:snapToGrid w:val="0"/>
        <w:spacing w:line="360" w:lineRule="auto"/>
        <w:ind w:left="0" w:leftChars="0" w:right="0" w:firstLine="420" w:firstLineChars="200"/>
        <w:textAlignment w:val="auto"/>
      </w:pPr>
      <w:r>
        <w:rPr>
          <w:rFonts w:hint="eastAsia" w:ascii="宋体" w:hAnsi="宋体" w:eastAsia="宋体" w:cs="宋体"/>
          <w:color w:val="auto"/>
        </w:rPr>
        <w:fldChar w:fldCharType="begin"/>
      </w:r>
      <w:r>
        <w:rPr>
          <w:rFonts w:hint="eastAsia" w:ascii="宋体" w:hAnsi="宋体" w:eastAsia="宋体" w:cs="宋体"/>
        </w:rPr>
        <w:instrText xml:space="preserve"> HYPERLINK \l _Toc5937 </w:instrText>
      </w:r>
      <w:r>
        <w:rPr>
          <w:rFonts w:hint="eastAsia" w:ascii="宋体" w:hAnsi="宋体" w:eastAsia="宋体" w:cs="宋体"/>
        </w:rPr>
        <w:fldChar w:fldCharType="separate"/>
      </w:r>
      <w:r>
        <w:rPr>
          <w:rFonts w:hint="eastAsia" w:ascii="宋体" w:hAnsi="宋体" w:eastAsia="宋体" w:cs="宋体"/>
          <w:szCs w:val="28"/>
          <w:lang w:val="en-US" w:eastAsia="zh-CN"/>
        </w:rPr>
        <w:t>4.2 建议</w:t>
      </w:r>
      <w:r>
        <w:tab/>
      </w:r>
      <w:r>
        <w:fldChar w:fldCharType="begin"/>
      </w:r>
      <w:r>
        <w:instrText xml:space="preserve"> PAGEREF _Toc5937 \h </w:instrText>
      </w:r>
      <w:r>
        <w:fldChar w:fldCharType="separate"/>
      </w:r>
      <w:r>
        <w:t>28</w:t>
      </w:r>
      <w:r>
        <w:fldChar w:fldCharType="end"/>
      </w:r>
      <w:r>
        <w:rPr>
          <w:rFonts w:hint="eastAsia" w:ascii="宋体" w:hAnsi="宋体" w:eastAsia="宋体" w:cs="宋体"/>
          <w:color w:val="auto"/>
        </w:rPr>
        <w:fldChar w:fldCharType="end"/>
      </w:r>
    </w:p>
    <w:p>
      <w:pPr>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rPr>
      </w:pPr>
      <w:r>
        <w:rPr>
          <w:rFonts w:hint="eastAsia" w:ascii="宋体" w:hAnsi="宋体" w:eastAsia="宋体" w:cs="宋体"/>
          <w:color w:val="auto"/>
        </w:rPr>
        <w:fldChar w:fldCharType="end"/>
      </w:r>
    </w:p>
    <w:p>
      <w:pPr>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rPr>
      </w:pPr>
    </w:p>
    <w:p>
      <w:pPr>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rPr>
        <w:sectPr>
          <w:pgSz w:w="11906" w:h="16838"/>
          <w:pgMar w:top="1418" w:right="1417" w:bottom="1417" w:left="1417" w:header="851" w:footer="992" w:gutter="0"/>
          <w:cols w:space="720" w:num="1"/>
          <w:docGrid w:type="lines" w:linePitch="312" w:charSpace="0"/>
        </w:sectPr>
      </w:pPr>
    </w:p>
    <w:bookmarkEnd w:id="0"/>
    <w:p>
      <w:pPr>
        <w:pStyle w:val="4"/>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lang w:val="en-US" w:eastAsia="zh-CN"/>
        </w:rPr>
      </w:pPr>
      <w:bookmarkStart w:id="26" w:name="_Toc9342"/>
      <w:bookmarkStart w:id="27" w:name="_Toc354416283"/>
      <w:bookmarkStart w:id="28" w:name="_Toc5830"/>
      <w:r>
        <w:rPr>
          <w:rFonts w:hint="eastAsia" w:ascii="宋体" w:hAnsi="宋体" w:eastAsia="宋体" w:cs="宋体"/>
          <w:color w:val="auto"/>
          <w:lang w:val="en-US" w:eastAsia="zh-CN"/>
        </w:rPr>
        <w:t>1 危险有害因素</w:t>
      </w:r>
      <w:bookmarkEnd w:id="26"/>
      <w:bookmarkEnd w:id="27"/>
      <w:r>
        <w:rPr>
          <w:rFonts w:hint="eastAsia" w:ascii="宋体" w:hAnsi="宋体" w:cs="宋体"/>
          <w:color w:val="auto"/>
          <w:lang w:val="en-US" w:eastAsia="zh-CN"/>
        </w:rPr>
        <w:t>辨识</w:t>
      </w:r>
      <w:bookmarkEnd w:id="28"/>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eastAsia="宋体" w:cs="宋体"/>
          <w:color w:val="auto"/>
        </w:rPr>
      </w:pPr>
      <w:r>
        <w:rPr>
          <w:rFonts w:hint="eastAsia" w:ascii="宋体" w:hAnsi="宋体" w:eastAsia="宋体" w:cs="宋体"/>
          <w:color w:val="auto"/>
          <w:sz w:val="28"/>
          <w:szCs w:val="28"/>
        </w:rPr>
        <w:t>本报告中的危险有害因素按照《企业职工伤亡事故分类》（GB6441-86）的规定进行分类。</w:t>
      </w:r>
      <w:bookmarkStart w:id="141" w:name="_GoBack"/>
      <w:bookmarkEnd w:id="141"/>
    </w:p>
    <w:p>
      <w:pPr>
        <w:pStyle w:val="5"/>
        <w:pageBreakBefore w:val="0"/>
        <w:tabs>
          <w:tab w:val="center" w:pos="4536"/>
        </w:tabs>
        <w:kinsoku/>
        <w:wordWrap/>
        <w:overflowPunct/>
        <w:topLinePunct w:val="0"/>
        <w:bidi w:val="0"/>
        <w:snapToGrid w:val="0"/>
        <w:spacing w:line="360" w:lineRule="auto"/>
        <w:ind w:left="0" w:leftChars="0" w:right="0"/>
        <w:textAlignment w:val="auto"/>
        <w:rPr>
          <w:rFonts w:hint="eastAsia" w:ascii="宋体" w:hAnsi="宋体" w:eastAsia="宋体" w:cs="宋体"/>
          <w:color w:val="auto"/>
          <w:szCs w:val="28"/>
          <w:lang w:eastAsia="zh-CN"/>
        </w:rPr>
      </w:pPr>
      <w:bookmarkStart w:id="29" w:name="_Toc354416284"/>
      <w:bookmarkStart w:id="30" w:name="_Toc7051"/>
      <w:bookmarkStart w:id="31" w:name="_Toc11897"/>
      <w:r>
        <w:rPr>
          <w:rFonts w:hint="eastAsia" w:ascii="宋体" w:hAnsi="宋体" w:eastAsia="宋体" w:cs="宋体"/>
          <w:color w:val="auto"/>
          <w:szCs w:val="28"/>
          <w:lang w:val="en-US" w:eastAsia="zh-CN"/>
        </w:rPr>
        <w:t>1</w:t>
      </w:r>
      <w:r>
        <w:rPr>
          <w:rFonts w:hint="eastAsia" w:ascii="宋体" w:hAnsi="宋体" w:eastAsia="宋体" w:cs="宋体"/>
          <w:color w:val="auto"/>
          <w:szCs w:val="28"/>
        </w:rPr>
        <w:t>.1 经营物料危险有害因素分析</w:t>
      </w:r>
      <w:bookmarkEnd w:id="29"/>
      <w:bookmarkEnd w:id="30"/>
      <w:bookmarkEnd w:id="31"/>
      <w:r>
        <w:rPr>
          <w:rFonts w:hint="eastAsia" w:ascii="宋体" w:hAnsi="宋体" w:cs="宋体"/>
          <w:color w:val="auto"/>
          <w:szCs w:val="28"/>
          <w:lang w:eastAsia="zh-CN"/>
        </w:rPr>
        <w:tab/>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加油站主要从事汽油（92#</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95#</w:t>
      </w:r>
      <w:r>
        <w:rPr>
          <w:rFonts w:hint="eastAsia" w:ascii="宋体" w:hAnsi="宋体" w:eastAsia="宋体" w:cs="宋体"/>
          <w:color w:val="auto"/>
          <w:sz w:val="28"/>
          <w:szCs w:val="28"/>
        </w:rPr>
        <w:t>）和柴油（0#）零售业务。主要危险化学品是汽油和柴油。</w:t>
      </w:r>
      <w:r>
        <w:rPr>
          <w:rFonts w:hint="eastAsia" w:ascii="宋体" w:hAnsi="宋体" w:eastAsia="宋体" w:cs="宋体"/>
          <w:color w:val="auto"/>
          <w:sz w:val="28"/>
          <w:szCs w:val="28"/>
          <w:highlight w:val="none"/>
        </w:rPr>
        <w:t>按照《危险化学品目录（2015年版）》的规定，柴油属于危险化学品；故</w:t>
      </w:r>
      <w:r>
        <w:rPr>
          <w:rFonts w:hint="eastAsia" w:ascii="宋体" w:hAnsi="宋体" w:eastAsia="宋体" w:cs="宋体"/>
          <w:color w:val="auto"/>
          <w:sz w:val="28"/>
          <w:szCs w:val="28"/>
        </w:rPr>
        <w:t>本报告对汽油和柴油进行物质危险有害因素辨识。</w:t>
      </w:r>
    </w:p>
    <w:p>
      <w:pPr>
        <w:pageBreakBefore w:val="0"/>
        <w:kinsoku/>
        <w:wordWrap/>
        <w:overflowPunct/>
        <w:topLinePunct w:val="0"/>
        <w:bidi w:val="0"/>
        <w:snapToGrid w:val="0"/>
        <w:spacing w:line="360" w:lineRule="auto"/>
        <w:ind w:left="0" w:leftChars="0" w:right="0" w:firstLine="482" w:firstLineChars="200"/>
        <w:jc w:val="center"/>
        <w:textAlignment w:val="auto"/>
        <w:rPr>
          <w:rFonts w:hint="eastAsia" w:ascii="Times New Roman" w:hAnsi="Times New Roman" w:eastAsia="黑体"/>
          <w:b/>
          <w:color w:val="auto"/>
          <w:sz w:val="24"/>
          <w:lang w:val="en-US" w:eastAsia="zh-CN"/>
        </w:rPr>
      </w:pPr>
      <w:r>
        <w:rPr>
          <w:rFonts w:hint="eastAsia" w:ascii="Times New Roman" w:hAnsi="Times New Roman" w:eastAsia="黑体"/>
          <w:b/>
          <w:color w:val="auto"/>
          <w:sz w:val="24"/>
          <w:lang w:val="en-US" w:eastAsia="zh-CN"/>
        </w:rPr>
        <w:t>表1-1 物质危害特性及控制指标表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866"/>
        <w:gridCol w:w="1134"/>
        <w:gridCol w:w="1417"/>
        <w:gridCol w:w="2400"/>
        <w:gridCol w:w="1357"/>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27" w:type="dxa"/>
            <w:noWrap w:val="0"/>
            <w:vAlign w:val="top"/>
          </w:tcPr>
          <w:p>
            <w:pPr>
              <w:pageBreakBefore w:val="0"/>
              <w:kinsoku/>
              <w:wordWrap/>
              <w:overflowPunct/>
              <w:topLinePunct w:val="0"/>
              <w:bidi w:val="0"/>
              <w:adjustRightInd w:val="0"/>
              <w:snapToGrid w:val="0"/>
              <w:spacing w:line="360" w:lineRule="auto"/>
              <w:ind w:left="0" w:leftChars="0" w:right="0"/>
              <w:jc w:val="center"/>
              <w:textAlignment w:val="auto"/>
              <w:rPr>
                <w:rFonts w:ascii="宋体" w:hAnsi="宋体"/>
                <w:color w:val="auto"/>
                <w:sz w:val="18"/>
                <w:szCs w:val="18"/>
              </w:rPr>
            </w:pPr>
            <w:r>
              <w:rPr>
                <w:rFonts w:ascii="宋体" w:hAnsi="宋体"/>
                <w:color w:val="auto"/>
                <w:sz w:val="18"/>
                <w:szCs w:val="18"/>
              </w:rPr>
              <w:t>序号</w:t>
            </w:r>
          </w:p>
        </w:tc>
        <w:tc>
          <w:tcPr>
            <w:tcW w:w="866" w:type="dxa"/>
            <w:noWrap w:val="0"/>
            <w:vAlign w:val="top"/>
          </w:tcPr>
          <w:p>
            <w:pPr>
              <w:pageBreakBefore w:val="0"/>
              <w:kinsoku/>
              <w:wordWrap/>
              <w:overflowPunct/>
              <w:topLinePunct w:val="0"/>
              <w:bidi w:val="0"/>
              <w:adjustRightInd w:val="0"/>
              <w:snapToGrid w:val="0"/>
              <w:spacing w:line="360" w:lineRule="auto"/>
              <w:ind w:left="0" w:leftChars="0" w:right="0"/>
              <w:jc w:val="center"/>
              <w:textAlignment w:val="auto"/>
              <w:rPr>
                <w:rFonts w:ascii="宋体" w:hAnsi="宋体"/>
                <w:color w:val="auto"/>
                <w:sz w:val="18"/>
                <w:szCs w:val="18"/>
              </w:rPr>
            </w:pPr>
            <w:r>
              <w:rPr>
                <w:rFonts w:ascii="宋体" w:hAnsi="宋体"/>
                <w:color w:val="auto"/>
                <w:sz w:val="18"/>
                <w:szCs w:val="18"/>
              </w:rPr>
              <w:t>名称</w:t>
            </w:r>
          </w:p>
        </w:tc>
        <w:tc>
          <w:tcPr>
            <w:tcW w:w="1134" w:type="dxa"/>
            <w:noWrap w:val="0"/>
            <w:vAlign w:val="top"/>
          </w:tcPr>
          <w:p>
            <w:pPr>
              <w:pageBreakBefore w:val="0"/>
              <w:kinsoku/>
              <w:wordWrap/>
              <w:overflowPunct/>
              <w:topLinePunct w:val="0"/>
              <w:bidi w:val="0"/>
              <w:adjustRightInd w:val="0"/>
              <w:snapToGrid w:val="0"/>
              <w:spacing w:line="360" w:lineRule="auto"/>
              <w:ind w:left="0" w:leftChars="0" w:right="0"/>
              <w:jc w:val="center"/>
              <w:textAlignment w:val="auto"/>
              <w:rPr>
                <w:rFonts w:ascii="宋体" w:hAnsi="宋体"/>
                <w:color w:val="auto"/>
                <w:sz w:val="18"/>
                <w:szCs w:val="18"/>
              </w:rPr>
            </w:pPr>
            <w:r>
              <w:rPr>
                <w:rFonts w:ascii="宋体" w:hAnsi="宋体"/>
                <w:color w:val="auto"/>
                <w:sz w:val="18"/>
                <w:szCs w:val="18"/>
              </w:rPr>
              <w:t>闪点℃</w:t>
            </w:r>
          </w:p>
        </w:tc>
        <w:tc>
          <w:tcPr>
            <w:tcW w:w="1417" w:type="dxa"/>
            <w:noWrap w:val="0"/>
            <w:vAlign w:val="top"/>
          </w:tcPr>
          <w:p>
            <w:pPr>
              <w:pageBreakBefore w:val="0"/>
              <w:kinsoku/>
              <w:wordWrap/>
              <w:overflowPunct/>
              <w:topLinePunct w:val="0"/>
              <w:bidi w:val="0"/>
              <w:adjustRightInd w:val="0"/>
              <w:snapToGrid w:val="0"/>
              <w:spacing w:line="360" w:lineRule="auto"/>
              <w:ind w:left="0" w:leftChars="0" w:right="0"/>
              <w:jc w:val="center"/>
              <w:textAlignment w:val="auto"/>
              <w:rPr>
                <w:rFonts w:ascii="宋体" w:hAnsi="宋体"/>
                <w:color w:val="auto"/>
                <w:sz w:val="18"/>
                <w:szCs w:val="18"/>
              </w:rPr>
            </w:pPr>
            <w:r>
              <w:rPr>
                <w:rFonts w:ascii="宋体" w:hAnsi="宋体"/>
                <w:color w:val="auto"/>
                <w:sz w:val="18"/>
                <w:szCs w:val="18"/>
              </w:rPr>
              <w:t>爆炸极限V%</w:t>
            </w:r>
          </w:p>
        </w:tc>
        <w:tc>
          <w:tcPr>
            <w:tcW w:w="2400" w:type="dxa"/>
            <w:noWrap w:val="0"/>
            <w:vAlign w:val="top"/>
          </w:tcPr>
          <w:p>
            <w:pPr>
              <w:pageBreakBefore w:val="0"/>
              <w:kinsoku/>
              <w:wordWrap/>
              <w:overflowPunct/>
              <w:topLinePunct w:val="0"/>
              <w:bidi w:val="0"/>
              <w:adjustRightInd w:val="0"/>
              <w:snapToGrid w:val="0"/>
              <w:spacing w:line="360" w:lineRule="auto"/>
              <w:ind w:left="0" w:leftChars="0" w:right="0"/>
              <w:jc w:val="center"/>
              <w:textAlignment w:val="auto"/>
              <w:rPr>
                <w:rFonts w:ascii="宋体" w:hAnsi="宋体"/>
                <w:color w:val="auto"/>
                <w:sz w:val="18"/>
                <w:szCs w:val="18"/>
              </w:rPr>
            </w:pPr>
            <w:r>
              <w:rPr>
                <w:rFonts w:ascii="宋体" w:hAnsi="宋体"/>
                <w:color w:val="auto"/>
                <w:sz w:val="18"/>
                <w:szCs w:val="18"/>
              </w:rPr>
              <w:t>备注</w:t>
            </w:r>
          </w:p>
        </w:tc>
        <w:tc>
          <w:tcPr>
            <w:tcW w:w="1357" w:type="dxa"/>
            <w:noWrap w:val="0"/>
            <w:vAlign w:val="top"/>
          </w:tcPr>
          <w:p>
            <w:pPr>
              <w:pageBreakBefore w:val="0"/>
              <w:kinsoku/>
              <w:wordWrap/>
              <w:overflowPunct/>
              <w:topLinePunct w:val="0"/>
              <w:bidi w:val="0"/>
              <w:adjustRightInd w:val="0"/>
              <w:snapToGrid w:val="0"/>
              <w:spacing w:line="360" w:lineRule="auto"/>
              <w:ind w:left="0" w:leftChars="0" w:right="0"/>
              <w:jc w:val="center"/>
              <w:textAlignment w:val="auto"/>
              <w:rPr>
                <w:rFonts w:ascii="宋体" w:hAnsi="宋体"/>
                <w:color w:val="auto"/>
                <w:sz w:val="18"/>
                <w:szCs w:val="18"/>
              </w:rPr>
            </w:pPr>
            <w:r>
              <w:rPr>
                <w:rFonts w:ascii="宋体" w:hAnsi="宋体"/>
                <w:color w:val="auto"/>
                <w:sz w:val="18"/>
                <w:szCs w:val="18"/>
              </w:rPr>
              <w:t>CAS号</w:t>
            </w:r>
          </w:p>
        </w:tc>
        <w:tc>
          <w:tcPr>
            <w:tcW w:w="1350" w:type="dxa"/>
            <w:noWrap w:val="0"/>
            <w:vAlign w:val="top"/>
          </w:tcPr>
          <w:p>
            <w:pPr>
              <w:pageBreakBefore w:val="0"/>
              <w:kinsoku/>
              <w:wordWrap/>
              <w:overflowPunct/>
              <w:topLinePunct w:val="0"/>
              <w:bidi w:val="0"/>
              <w:adjustRightInd w:val="0"/>
              <w:snapToGrid w:val="0"/>
              <w:spacing w:line="360" w:lineRule="auto"/>
              <w:ind w:left="0" w:leftChars="0" w:right="0"/>
              <w:jc w:val="center"/>
              <w:textAlignment w:val="auto"/>
              <w:rPr>
                <w:rFonts w:ascii="宋体" w:hAnsi="宋体"/>
                <w:color w:val="auto"/>
                <w:sz w:val="18"/>
                <w:szCs w:val="18"/>
              </w:rPr>
            </w:pPr>
            <w:r>
              <w:rPr>
                <w:rFonts w:ascii="宋体" w:hAnsi="宋体"/>
                <w:color w:val="auto"/>
                <w:sz w:val="18"/>
                <w:szCs w:val="18"/>
              </w:rPr>
              <w:t>危规序号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727" w:type="dxa"/>
            <w:noWrap w:val="0"/>
            <w:vAlign w:val="center"/>
          </w:tcPr>
          <w:p>
            <w:pPr>
              <w:pageBreakBefore w:val="0"/>
              <w:kinsoku/>
              <w:wordWrap/>
              <w:overflowPunct/>
              <w:topLinePunct w:val="0"/>
              <w:bidi w:val="0"/>
              <w:adjustRightInd w:val="0"/>
              <w:snapToGrid w:val="0"/>
              <w:spacing w:line="360" w:lineRule="auto"/>
              <w:ind w:left="0" w:leftChars="0" w:right="0"/>
              <w:jc w:val="center"/>
              <w:textAlignment w:val="auto"/>
              <w:rPr>
                <w:rFonts w:ascii="宋体" w:hAnsi="宋体"/>
                <w:color w:val="auto"/>
                <w:sz w:val="18"/>
                <w:szCs w:val="18"/>
              </w:rPr>
            </w:pPr>
            <w:r>
              <w:rPr>
                <w:rFonts w:ascii="宋体" w:hAnsi="宋体"/>
                <w:color w:val="auto"/>
                <w:sz w:val="18"/>
                <w:szCs w:val="18"/>
              </w:rPr>
              <w:t>1</w:t>
            </w:r>
          </w:p>
        </w:tc>
        <w:tc>
          <w:tcPr>
            <w:tcW w:w="866" w:type="dxa"/>
            <w:noWrap w:val="0"/>
            <w:vAlign w:val="center"/>
          </w:tcPr>
          <w:p>
            <w:pPr>
              <w:pageBreakBefore w:val="0"/>
              <w:kinsoku/>
              <w:wordWrap/>
              <w:overflowPunct/>
              <w:topLinePunct w:val="0"/>
              <w:bidi w:val="0"/>
              <w:adjustRightInd w:val="0"/>
              <w:snapToGrid w:val="0"/>
              <w:spacing w:line="360" w:lineRule="auto"/>
              <w:ind w:left="0" w:leftChars="0" w:right="0"/>
              <w:jc w:val="center"/>
              <w:textAlignment w:val="auto"/>
              <w:rPr>
                <w:rFonts w:ascii="宋体" w:hAnsi="宋体"/>
                <w:color w:val="auto"/>
                <w:sz w:val="18"/>
                <w:szCs w:val="18"/>
              </w:rPr>
            </w:pPr>
            <w:r>
              <w:rPr>
                <w:rFonts w:ascii="宋体" w:hAnsi="宋体"/>
                <w:color w:val="auto"/>
                <w:sz w:val="18"/>
                <w:szCs w:val="18"/>
              </w:rPr>
              <w:t>柴油</w:t>
            </w:r>
          </w:p>
        </w:tc>
        <w:tc>
          <w:tcPr>
            <w:tcW w:w="1134" w:type="dxa"/>
            <w:noWrap w:val="0"/>
            <w:vAlign w:val="center"/>
          </w:tcPr>
          <w:p>
            <w:pPr>
              <w:pageBreakBefore w:val="0"/>
              <w:kinsoku/>
              <w:wordWrap/>
              <w:overflowPunct/>
              <w:topLinePunct w:val="0"/>
              <w:bidi w:val="0"/>
              <w:adjustRightInd w:val="0"/>
              <w:snapToGrid w:val="0"/>
              <w:spacing w:line="360" w:lineRule="auto"/>
              <w:ind w:left="0" w:leftChars="0" w:right="0"/>
              <w:jc w:val="center"/>
              <w:textAlignment w:val="auto"/>
              <w:rPr>
                <w:rFonts w:ascii="宋体" w:hAnsi="宋体"/>
                <w:color w:val="auto"/>
                <w:sz w:val="18"/>
                <w:szCs w:val="18"/>
              </w:rPr>
            </w:pPr>
          </w:p>
        </w:tc>
        <w:tc>
          <w:tcPr>
            <w:tcW w:w="1417" w:type="dxa"/>
            <w:noWrap w:val="0"/>
            <w:vAlign w:val="center"/>
          </w:tcPr>
          <w:p>
            <w:pPr>
              <w:pageBreakBefore w:val="0"/>
              <w:kinsoku/>
              <w:wordWrap/>
              <w:overflowPunct/>
              <w:topLinePunct w:val="0"/>
              <w:bidi w:val="0"/>
              <w:adjustRightInd w:val="0"/>
              <w:snapToGrid w:val="0"/>
              <w:spacing w:line="360" w:lineRule="auto"/>
              <w:ind w:left="0" w:leftChars="0" w:right="0"/>
              <w:jc w:val="center"/>
              <w:textAlignment w:val="auto"/>
              <w:rPr>
                <w:rFonts w:ascii="宋体" w:hAnsi="宋体"/>
                <w:color w:val="auto"/>
                <w:sz w:val="18"/>
                <w:szCs w:val="18"/>
              </w:rPr>
            </w:pPr>
            <w:r>
              <w:rPr>
                <w:rFonts w:ascii="宋体" w:hAnsi="宋体"/>
                <w:color w:val="auto"/>
                <w:sz w:val="18"/>
                <w:szCs w:val="18"/>
              </w:rPr>
              <w:t>无资料</w:t>
            </w:r>
          </w:p>
        </w:tc>
        <w:tc>
          <w:tcPr>
            <w:tcW w:w="2400" w:type="dxa"/>
            <w:noWrap w:val="0"/>
            <w:vAlign w:val="center"/>
          </w:tcPr>
          <w:p>
            <w:pPr>
              <w:pageBreakBefore w:val="0"/>
              <w:kinsoku/>
              <w:wordWrap/>
              <w:overflowPunct/>
              <w:topLinePunct w:val="0"/>
              <w:bidi w:val="0"/>
              <w:adjustRightInd w:val="0"/>
              <w:snapToGrid w:val="0"/>
              <w:spacing w:line="360" w:lineRule="auto"/>
              <w:ind w:left="0" w:leftChars="0" w:right="0"/>
              <w:jc w:val="center"/>
              <w:textAlignment w:val="auto"/>
              <w:rPr>
                <w:rFonts w:ascii="宋体" w:hAnsi="宋体"/>
                <w:color w:val="auto"/>
                <w:sz w:val="18"/>
                <w:szCs w:val="18"/>
              </w:rPr>
            </w:pPr>
            <w:r>
              <w:rPr>
                <w:rFonts w:ascii="宋体" w:hAnsi="宋体"/>
                <w:color w:val="auto"/>
                <w:sz w:val="18"/>
                <w:szCs w:val="18"/>
              </w:rPr>
              <w:t>根据《石油化工企业设计防火</w:t>
            </w:r>
            <w:r>
              <w:rPr>
                <w:rFonts w:hint="eastAsia" w:ascii="宋体" w:hAnsi="宋体"/>
                <w:color w:val="auto"/>
                <w:sz w:val="18"/>
                <w:szCs w:val="18"/>
              </w:rPr>
              <w:t>标准</w:t>
            </w:r>
            <w:r>
              <w:rPr>
                <w:rFonts w:ascii="宋体" w:hAnsi="宋体"/>
                <w:color w:val="auto"/>
                <w:sz w:val="18"/>
                <w:szCs w:val="18"/>
              </w:rPr>
              <w:t>》（</w:t>
            </w:r>
            <w:r>
              <w:rPr>
                <w:rFonts w:hint="eastAsia" w:ascii="宋体" w:hAnsi="宋体"/>
                <w:color w:val="auto"/>
                <w:sz w:val="18"/>
                <w:szCs w:val="18"/>
                <w:lang w:eastAsia="zh-CN"/>
              </w:rPr>
              <w:t>GB 50160-2008[2018年版]</w:t>
            </w:r>
            <w:r>
              <w:rPr>
                <w:rFonts w:ascii="宋体" w:hAnsi="宋体"/>
                <w:color w:val="auto"/>
                <w:sz w:val="18"/>
                <w:szCs w:val="18"/>
              </w:rPr>
              <w:t>）3.0.2，柴油火灾危险性划分为乙B类</w:t>
            </w:r>
          </w:p>
        </w:tc>
        <w:tc>
          <w:tcPr>
            <w:tcW w:w="1357" w:type="dxa"/>
            <w:noWrap w:val="0"/>
            <w:vAlign w:val="center"/>
          </w:tcPr>
          <w:p>
            <w:pPr>
              <w:pageBreakBefore w:val="0"/>
              <w:kinsoku/>
              <w:wordWrap/>
              <w:overflowPunct/>
              <w:topLinePunct w:val="0"/>
              <w:bidi w:val="0"/>
              <w:adjustRightInd w:val="0"/>
              <w:snapToGrid w:val="0"/>
              <w:spacing w:line="360" w:lineRule="auto"/>
              <w:ind w:left="0" w:leftChars="0" w:right="0"/>
              <w:jc w:val="center"/>
              <w:textAlignment w:val="auto"/>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w:t>
            </w:r>
          </w:p>
        </w:tc>
        <w:tc>
          <w:tcPr>
            <w:tcW w:w="1350" w:type="dxa"/>
            <w:noWrap w:val="0"/>
            <w:vAlign w:val="center"/>
          </w:tcPr>
          <w:p>
            <w:pPr>
              <w:pageBreakBefore w:val="0"/>
              <w:kinsoku/>
              <w:wordWrap/>
              <w:overflowPunct/>
              <w:topLinePunct w:val="0"/>
              <w:bidi w:val="0"/>
              <w:adjustRightInd w:val="0"/>
              <w:snapToGrid w:val="0"/>
              <w:spacing w:line="360" w:lineRule="auto"/>
              <w:ind w:left="0" w:leftChars="0" w:right="0"/>
              <w:jc w:val="center"/>
              <w:textAlignment w:val="auto"/>
              <w:rPr>
                <w:rFonts w:ascii="宋体" w:hAnsi="宋体"/>
                <w:color w:val="auto"/>
                <w:sz w:val="18"/>
                <w:szCs w:val="18"/>
              </w:rPr>
            </w:pPr>
            <w:r>
              <w:rPr>
                <w:rFonts w:ascii="宋体" w:hAnsi="宋体"/>
                <w:color w:val="auto"/>
                <w:sz w:val="18"/>
                <w:szCs w:val="18"/>
              </w:rPr>
              <w:t>1674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jc w:val="center"/>
        </w:trPr>
        <w:tc>
          <w:tcPr>
            <w:tcW w:w="727" w:type="dxa"/>
            <w:noWrap w:val="0"/>
            <w:vAlign w:val="center"/>
          </w:tcPr>
          <w:p>
            <w:pPr>
              <w:pageBreakBefore w:val="0"/>
              <w:kinsoku/>
              <w:wordWrap/>
              <w:overflowPunct/>
              <w:topLinePunct w:val="0"/>
              <w:bidi w:val="0"/>
              <w:adjustRightInd w:val="0"/>
              <w:snapToGrid w:val="0"/>
              <w:spacing w:line="360" w:lineRule="auto"/>
              <w:ind w:left="0" w:leftChars="0" w:right="0"/>
              <w:jc w:val="center"/>
              <w:textAlignment w:val="auto"/>
              <w:rPr>
                <w:rFonts w:ascii="宋体" w:hAnsi="宋体"/>
                <w:color w:val="auto"/>
                <w:sz w:val="18"/>
                <w:szCs w:val="18"/>
              </w:rPr>
            </w:pPr>
            <w:r>
              <w:rPr>
                <w:rFonts w:ascii="宋体" w:hAnsi="宋体"/>
                <w:color w:val="auto"/>
                <w:sz w:val="18"/>
                <w:szCs w:val="18"/>
              </w:rPr>
              <w:t>2</w:t>
            </w:r>
          </w:p>
        </w:tc>
        <w:tc>
          <w:tcPr>
            <w:tcW w:w="866" w:type="dxa"/>
            <w:noWrap w:val="0"/>
            <w:vAlign w:val="center"/>
          </w:tcPr>
          <w:p>
            <w:pPr>
              <w:pageBreakBefore w:val="0"/>
              <w:kinsoku/>
              <w:wordWrap/>
              <w:overflowPunct/>
              <w:topLinePunct w:val="0"/>
              <w:bidi w:val="0"/>
              <w:adjustRightInd w:val="0"/>
              <w:snapToGrid w:val="0"/>
              <w:spacing w:line="360" w:lineRule="auto"/>
              <w:ind w:left="0" w:leftChars="0" w:right="0"/>
              <w:jc w:val="center"/>
              <w:textAlignment w:val="auto"/>
              <w:rPr>
                <w:rFonts w:ascii="宋体" w:hAnsi="宋体"/>
                <w:color w:val="auto"/>
                <w:sz w:val="18"/>
                <w:szCs w:val="18"/>
              </w:rPr>
            </w:pPr>
            <w:r>
              <w:rPr>
                <w:rFonts w:ascii="宋体" w:hAnsi="宋体"/>
                <w:color w:val="auto"/>
                <w:sz w:val="18"/>
                <w:szCs w:val="18"/>
              </w:rPr>
              <w:t>汽油</w:t>
            </w:r>
          </w:p>
        </w:tc>
        <w:tc>
          <w:tcPr>
            <w:tcW w:w="1134" w:type="dxa"/>
            <w:noWrap w:val="0"/>
            <w:vAlign w:val="center"/>
          </w:tcPr>
          <w:p>
            <w:pPr>
              <w:pageBreakBefore w:val="0"/>
              <w:kinsoku/>
              <w:wordWrap/>
              <w:overflowPunct/>
              <w:topLinePunct w:val="0"/>
              <w:bidi w:val="0"/>
              <w:adjustRightInd w:val="0"/>
              <w:snapToGrid w:val="0"/>
              <w:spacing w:line="360" w:lineRule="auto"/>
              <w:ind w:left="0" w:leftChars="0" w:right="0"/>
              <w:jc w:val="center"/>
              <w:textAlignment w:val="auto"/>
              <w:rPr>
                <w:rFonts w:ascii="宋体" w:hAnsi="宋体"/>
                <w:color w:val="auto"/>
                <w:sz w:val="18"/>
                <w:szCs w:val="18"/>
              </w:rPr>
            </w:pPr>
            <w:r>
              <w:rPr>
                <w:rFonts w:ascii="宋体" w:hAnsi="宋体"/>
                <w:color w:val="auto"/>
                <w:sz w:val="18"/>
                <w:szCs w:val="18"/>
              </w:rPr>
              <w:t>&lt;-50℃</w:t>
            </w:r>
          </w:p>
        </w:tc>
        <w:tc>
          <w:tcPr>
            <w:tcW w:w="1417" w:type="dxa"/>
            <w:noWrap w:val="0"/>
            <w:vAlign w:val="center"/>
          </w:tcPr>
          <w:p>
            <w:pPr>
              <w:pageBreakBefore w:val="0"/>
              <w:kinsoku/>
              <w:wordWrap/>
              <w:overflowPunct/>
              <w:topLinePunct w:val="0"/>
              <w:bidi w:val="0"/>
              <w:adjustRightInd w:val="0"/>
              <w:snapToGrid w:val="0"/>
              <w:spacing w:line="360" w:lineRule="auto"/>
              <w:ind w:left="0" w:leftChars="0" w:right="0"/>
              <w:jc w:val="center"/>
              <w:textAlignment w:val="auto"/>
              <w:rPr>
                <w:rFonts w:ascii="宋体" w:hAnsi="宋体"/>
                <w:color w:val="auto"/>
                <w:sz w:val="18"/>
                <w:szCs w:val="18"/>
              </w:rPr>
            </w:pPr>
            <w:r>
              <w:rPr>
                <w:rFonts w:ascii="宋体" w:hAnsi="宋体"/>
                <w:color w:val="auto"/>
                <w:sz w:val="18"/>
                <w:szCs w:val="18"/>
              </w:rPr>
              <w:t>1.3～6</w:t>
            </w:r>
          </w:p>
        </w:tc>
        <w:tc>
          <w:tcPr>
            <w:tcW w:w="2400" w:type="dxa"/>
            <w:noWrap w:val="0"/>
            <w:vAlign w:val="center"/>
          </w:tcPr>
          <w:p>
            <w:pPr>
              <w:pageBreakBefore w:val="0"/>
              <w:kinsoku/>
              <w:wordWrap/>
              <w:overflowPunct/>
              <w:topLinePunct w:val="0"/>
              <w:bidi w:val="0"/>
              <w:adjustRightInd w:val="0"/>
              <w:snapToGrid w:val="0"/>
              <w:spacing w:line="360" w:lineRule="auto"/>
              <w:ind w:left="0" w:leftChars="0" w:right="0"/>
              <w:jc w:val="center"/>
              <w:textAlignment w:val="auto"/>
              <w:rPr>
                <w:rFonts w:ascii="宋体" w:hAnsi="宋体"/>
                <w:color w:val="auto"/>
                <w:sz w:val="18"/>
                <w:szCs w:val="18"/>
              </w:rPr>
            </w:pPr>
            <w:r>
              <w:rPr>
                <w:rFonts w:ascii="宋体" w:hAnsi="宋体"/>
                <w:color w:val="auto"/>
                <w:sz w:val="18"/>
                <w:szCs w:val="18"/>
              </w:rPr>
              <w:t>火灾危险性甲类</w:t>
            </w:r>
          </w:p>
        </w:tc>
        <w:tc>
          <w:tcPr>
            <w:tcW w:w="1357" w:type="dxa"/>
            <w:noWrap w:val="0"/>
            <w:vAlign w:val="center"/>
          </w:tcPr>
          <w:p>
            <w:pPr>
              <w:pageBreakBefore w:val="0"/>
              <w:kinsoku/>
              <w:wordWrap/>
              <w:overflowPunct/>
              <w:topLinePunct w:val="0"/>
              <w:bidi w:val="0"/>
              <w:adjustRightInd w:val="0"/>
              <w:snapToGrid w:val="0"/>
              <w:spacing w:line="360" w:lineRule="auto"/>
              <w:ind w:left="0" w:leftChars="0" w:right="0"/>
              <w:jc w:val="center"/>
              <w:textAlignment w:val="auto"/>
              <w:rPr>
                <w:rFonts w:ascii="宋体" w:hAnsi="宋体"/>
                <w:color w:val="auto"/>
                <w:sz w:val="18"/>
                <w:szCs w:val="18"/>
              </w:rPr>
            </w:pPr>
            <w:r>
              <w:rPr>
                <w:rFonts w:ascii="宋体" w:hAnsi="宋体"/>
                <w:color w:val="auto"/>
                <w:sz w:val="18"/>
                <w:szCs w:val="18"/>
              </w:rPr>
              <w:t>86290-81-5</w:t>
            </w:r>
          </w:p>
        </w:tc>
        <w:tc>
          <w:tcPr>
            <w:tcW w:w="1350" w:type="dxa"/>
            <w:noWrap w:val="0"/>
            <w:vAlign w:val="center"/>
          </w:tcPr>
          <w:p>
            <w:pPr>
              <w:pageBreakBefore w:val="0"/>
              <w:kinsoku/>
              <w:wordWrap/>
              <w:overflowPunct/>
              <w:topLinePunct w:val="0"/>
              <w:bidi w:val="0"/>
              <w:adjustRightInd w:val="0"/>
              <w:snapToGrid w:val="0"/>
              <w:spacing w:line="360" w:lineRule="auto"/>
              <w:ind w:left="0" w:leftChars="0" w:right="0"/>
              <w:jc w:val="center"/>
              <w:textAlignment w:val="auto"/>
              <w:rPr>
                <w:rFonts w:ascii="宋体" w:hAnsi="宋体"/>
                <w:color w:val="auto"/>
                <w:sz w:val="18"/>
                <w:szCs w:val="18"/>
              </w:rPr>
            </w:pPr>
            <w:r>
              <w:rPr>
                <w:rFonts w:ascii="宋体" w:hAnsi="宋体"/>
                <w:color w:val="auto"/>
                <w:sz w:val="18"/>
                <w:szCs w:val="18"/>
              </w:rPr>
              <w:t>1630</w:t>
            </w:r>
          </w:p>
        </w:tc>
      </w:tr>
    </w:tbl>
    <w:p>
      <w:pPr>
        <w:pStyle w:val="48"/>
        <w:pageBreakBefore w:val="0"/>
        <w:kinsoku/>
        <w:wordWrap/>
        <w:overflowPunct/>
        <w:topLinePunct w:val="0"/>
        <w:bidi w:val="0"/>
        <w:snapToGrid w:val="0"/>
        <w:spacing w:after="0" w:line="360" w:lineRule="auto"/>
        <w:ind w:left="0" w:leftChars="0" w:right="0"/>
        <w:textAlignment w:val="auto"/>
        <w:rPr>
          <w:rFonts w:hint="eastAsia"/>
          <w:lang w:val="en-US" w:eastAsia="zh-CN"/>
        </w:rPr>
      </w:pPr>
    </w:p>
    <w:p>
      <w:pPr>
        <w:pageBreakBefore w:val="0"/>
        <w:kinsoku/>
        <w:wordWrap/>
        <w:overflowPunct/>
        <w:topLinePunct w:val="0"/>
        <w:bidi w:val="0"/>
        <w:snapToGrid w:val="0"/>
        <w:spacing w:line="360" w:lineRule="auto"/>
        <w:ind w:left="0" w:leftChars="0" w:right="0" w:firstLine="482" w:firstLineChars="200"/>
        <w:jc w:val="center"/>
        <w:textAlignment w:val="auto"/>
        <w:rPr>
          <w:rFonts w:hint="eastAsia" w:ascii="Times New Roman" w:hAnsi="Times New Roman" w:eastAsia="黑体"/>
          <w:b/>
          <w:color w:val="auto"/>
          <w:sz w:val="24"/>
          <w:lang w:val="en-US" w:eastAsia="zh-CN"/>
        </w:rPr>
      </w:pPr>
      <w:r>
        <w:rPr>
          <w:rFonts w:hint="eastAsia" w:ascii="Times New Roman" w:hAnsi="Times New Roman" w:eastAsia="黑体"/>
          <w:b/>
          <w:color w:val="auto"/>
          <w:sz w:val="24"/>
          <w:lang w:val="en-US" w:eastAsia="zh-CN"/>
        </w:rPr>
        <w:t>表1-2 危险物质危险、有害因素辨识、分析结果表</w:t>
      </w:r>
    </w:p>
    <w:tbl>
      <w:tblPr>
        <w:tblStyle w:val="5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810"/>
        <w:gridCol w:w="1566"/>
        <w:gridCol w:w="935"/>
        <w:gridCol w:w="4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64" w:type="pct"/>
            <w:noWrap w:val="0"/>
            <w:vAlign w:val="center"/>
          </w:tcPr>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r>
              <w:rPr>
                <w:rFonts w:ascii="宋体" w:hAnsi="宋体"/>
                <w:color w:val="auto"/>
                <w:szCs w:val="21"/>
              </w:rPr>
              <w:t>危险</w:t>
            </w:r>
          </w:p>
          <w:p>
            <w:pPr>
              <w:pageBreakBefore w:val="0"/>
              <w:kinsoku/>
              <w:wordWrap/>
              <w:overflowPunct/>
              <w:topLinePunct w:val="0"/>
              <w:bidi w:val="0"/>
              <w:snapToGrid w:val="0"/>
              <w:spacing w:line="360" w:lineRule="auto"/>
              <w:ind w:left="0" w:leftChars="0" w:right="0"/>
              <w:jc w:val="center"/>
              <w:textAlignment w:val="auto"/>
              <w:rPr>
                <w:rFonts w:ascii="宋体" w:hAnsi="宋体"/>
                <w:color w:val="auto"/>
                <w:szCs w:val="21"/>
              </w:rPr>
            </w:pPr>
            <w:r>
              <w:rPr>
                <w:rFonts w:ascii="宋体" w:hAnsi="宋体"/>
                <w:color w:val="auto"/>
                <w:szCs w:val="21"/>
              </w:rPr>
              <w:t>物质</w:t>
            </w:r>
          </w:p>
        </w:tc>
        <w:tc>
          <w:tcPr>
            <w:tcW w:w="436" w:type="pct"/>
            <w:noWrap w:val="0"/>
            <w:vAlign w:val="center"/>
          </w:tcPr>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r>
              <w:rPr>
                <w:rFonts w:hint="eastAsia" w:ascii="宋体" w:hAnsi="宋体"/>
                <w:color w:val="auto"/>
                <w:szCs w:val="21"/>
              </w:rPr>
              <w:t>序号</w:t>
            </w:r>
          </w:p>
        </w:tc>
        <w:tc>
          <w:tcPr>
            <w:tcW w:w="843" w:type="pct"/>
            <w:noWrap w:val="0"/>
            <w:vAlign w:val="center"/>
          </w:tcPr>
          <w:p>
            <w:pPr>
              <w:pageBreakBefore w:val="0"/>
              <w:kinsoku/>
              <w:wordWrap/>
              <w:overflowPunct/>
              <w:topLinePunct w:val="0"/>
              <w:bidi w:val="0"/>
              <w:snapToGrid w:val="0"/>
              <w:spacing w:line="360" w:lineRule="auto"/>
              <w:ind w:left="0" w:leftChars="0" w:right="0"/>
              <w:jc w:val="center"/>
              <w:textAlignment w:val="auto"/>
              <w:rPr>
                <w:rFonts w:ascii="宋体" w:hAnsi="宋体"/>
                <w:color w:val="auto"/>
                <w:szCs w:val="21"/>
              </w:rPr>
            </w:pPr>
            <w:r>
              <w:rPr>
                <w:rFonts w:ascii="宋体" w:hAnsi="宋体"/>
                <w:color w:val="auto"/>
                <w:szCs w:val="21"/>
              </w:rPr>
              <w:t>CAS号</w:t>
            </w:r>
          </w:p>
        </w:tc>
        <w:tc>
          <w:tcPr>
            <w:tcW w:w="503" w:type="pct"/>
            <w:noWrap w:val="0"/>
            <w:vAlign w:val="center"/>
          </w:tcPr>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r>
              <w:rPr>
                <w:rFonts w:ascii="宋体" w:hAnsi="宋体"/>
                <w:color w:val="auto"/>
                <w:szCs w:val="21"/>
              </w:rPr>
              <w:t>危险</w:t>
            </w:r>
          </w:p>
          <w:p>
            <w:pPr>
              <w:pageBreakBefore w:val="0"/>
              <w:kinsoku/>
              <w:wordWrap/>
              <w:overflowPunct/>
              <w:topLinePunct w:val="0"/>
              <w:bidi w:val="0"/>
              <w:snapToGrid w:val="0"/>
              <w:spacing w:line="360" w:lineRule="auto"/>
              <w:ind w:left="0" w:leftChars="0" w:right="0"/>
              <w:jc w:val="center"/>
              <w:textAlignment w:val="auto"/>
              <w:rPr>
                <w:rFonts w:ascii="宋体" w:hAnsi="宋体"/>
                <w:color w:val="auto"/>
                <w:szCs w:val="21"/>
              </w:rPr>
            </w:pPr>
            <w:r>
              <w:rPr>
                <w:rFonts w:ascii="宋体" w:hAnsi="宋体"/>
                <w:color w:val="auto"/>
                <w:szCs w:val="21"/>
              </w:rPr>
              <w:t>类别</w:t>
            </w:r>
          </w:p>
        </w:tc>
        <w:tc>
          <w:tcPr>
            <w:tcW w:w="2651" w:type="pct"/>
            <w:noWrap w:val="0"/>
            <w:vAlign w:val="center"/>
          </w:tcPr>
          <w:p>
            <w:pPr>
              <w:pageBreakBefore w:val="0"/>
              <w:kinsoku/>
              <w:wordWrap/>
              <w:overflowPunct/>
              <w:topLinePunct w:val="0"/>
              <w:bidi w:val="0"/>
              <w:snapToGrid w:val="0"/>
              <w:spacing w:line="360" w:lineRule="auto"/>
              <w:ind w:left="0" w:leftChars="0" w:right="0"/>
              <w:jc w:val="center"/>
              <w:textAlignment w:val="auto"/>
              <w:rPr>
                <w:rFonts w:ascii="宋体" w:hAnsi="宋体"/>
                <w:color w:val="auto"/>
                <w:szCs w:val="21"/>
              </w:rPr>
            </w:pPr>
            <w:r>
              <w:rPr>
                <w:rFonts w:ascii="宋体" w:hAnsi="宋体"/>
                <w:color w:val="auto"/>
                <w:szCs w:val="21"/>
              </w:rPr>
              <w:t>危险有害因素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noWrap w:val="0"/>
            <w:vAlign w:val="center"/>
          </w:tcPr>
          <w:p>
            <w:pPr>
              <w:pStyle w:val="102"/>
              <w:pageBreakBefore w:val="0"/>
              <w:kinsoku/>
              <w:wordWrap/>
              <w:overflowPunct/>
              <w:topLinePunct w:val="0"/>
              <w:bidi w:val="0"/>
              <w:snapToGrid w:val="0"/>
              <w:spacing w:before="0" w:after="0" w:line="360" w:lineRule="auto"/>
              <w:ind w:left="0" w:leftChars="0" w:right="0"/>
              <w:textAlignment w:val="auto"/>
              <w:rPr>
                <w:rFonts w:hint="eastAsia" w:ascii="宋体" w:hAnsi="宋体"/>
                <w:color w:val="auto"/>
                <w:szCs w:val="24"/>
              </w:rPr>
            </w:pPr>
            <w:r>
              <w:rPr>
                <w:rFonts w:hint="eastAsia" w:ascii="宋体" w:hAnsi="宋体"/>
                <w:color w:val="auto"/>
                <w:szCs w:val="24"/>
              </w:rPr>
              <w:t>汽油</w:t>
            </w:r>
          </w:p>
        </w:tc>
        <w:tc>
          <w:tcPr>
            <w:tcW w:w="436" w:type="pct"/>
            <w:noWrap w:val="0"/>
            <w:vAlign w:val="center"/>
          </w:tcPr>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rPr>
            </w:pPr>
            <w:r>
              <w:rPr>
                <w:rFonts w:hint="eastAsia" w:ascii="宋体" w:hAnsi="宋体"/>
                <w:color w:val="auto"/>
              </w:rPr>
              <w:t>1630</w:t>
            </w:r>
          </w:p>
        </w:tc>
        <w:tc>
          <w:tcPr>
            <w:tcW w:w="843" w:type="pct"/>
            <w:noWrap w:val="0"/>
            <w:vAlign w:val="center"/>
          </w:tcPr>
          <w:p>
            <w:pPr>
              <w:pStyle w:val="102"/>
              <w:pageBreakBefore w:val="0"/>
              <w:kinsoku/>
              <w:wordWrap/>
              <w:overflowPunct/>
              <w:topLinePunct w:val="0"/>
              <w:bidi w:val="0"/>
              <w:snapToGrid w:val="0"/>
              <w:spacing w:before="0" w:after="0" w:line="360" w:lineRule="auto"/>
              <w:ind w:left="0" w:leftChars="0" w:right="0"/>
              <w:textAlignment w:val="auto"/>
              <w:rPr>
                <w:rFonts w:ascii="宋体" w:hAnsi="宋体"/>
                <w:color w:val="auto"/>
                <w:szCs w:val="24"/>
              </w:rPr>
            </w:pPr>
            <w:r>
              <w:rPr>
                <w:rFonts w:ascii="宋体" w:hAnsi="宋体"/>
                <w:color w:val="auto"/>
                <w:szCs w:val="24"/>
              </w:rPr>
              <w:t>86290-81-5</w:t>
            </w:r>
          </w:p>
        </w:tc>
        <w:tc>
          <w:tcPr>
            <w:tcW w:w="503" w:type="pct"/>
            <w:noWrap w:val="0"/>
            <w:vAlign w:val="center"/>
          </w:tcPr>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rPr>
            </w:pPr>
            <w:r>
              <w:rPr>
                <w:rFonts w:hint="eastAsia" w:ascii="宋体" w:hAnsi="宋体"/>
                <w:color w:val="auto"/>
              </w:rPr>
              <w:t>易燃</w:t>
            </w:r>
          </w:p>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rPr>
            </w:pPr>
            <w:r>
              <w:rPr>
                <w:rFonts w:hint="eastAsia" w:ascii="宋体" w:hAnsi="宋体"/>
                <w:color w:val="auto"/>
              </w:rPr>
              <w:t>液体</w:t>
            </w:r>
          </w:p>
        </w:tc>
        <w:tc>
          <w:tcPr>
            <w:tcW w:w="2651" w:type="pct"/>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rPr>
            </w:pPr>
            <w:r>
              <w:rPr>
                <w:rFonts w:hint="eastAsia" w:ascii="宋体" w:hAnsi="宋体"/>
                <w:color w:val="auto"/>
                <w:szCs w:val="21"/>
              </w:rPr>
              <w:t>易燃，其蒸汽与空气可形成爆炸性混合物。遇明火、高热极易燃烧爆炸。与氧化剂能发生</w:t>
            </w:r>
            <w:r>
              <w:rPr>
                <w:rFonts w:hint="eastAsia" w:ascii="宋体" w:hAnsi="宋体"/>
                <w:color w:val="auto"/>
                <w:szCs w:val="21"/>
                <w:lang w:eastAsia="zh-CN"/>
              </w:rPr>
              <w:t>强烈反应</w:t>
            </w:r>
            <w:r>
              <w:rPr>
                <w:rFonts w:hint="eastAsia" w:ascii="宋体" w:hAnsi="宋体"/>
                <w:color w:val="auto"/>
                <w:szCs w:val="21"/>
              </w:rPr>
              <w:t>。其蒸汽比空气重，能沿低处扩散到相当远处，遇明火会引起回燃。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noWrap w:val="0"/>
            <w:vAlign w:val="center"/>
          </w:tcPr>
          <w:p>
            <w:pPr>
              <w:pStyle w:val="102"/>
              <w:pageBreakBefore w:val="0"/>
              <w:kinsoku/>
              <w:wordWrap/>
              <w:overflowPunct/>
              <w:topLinePunct w:val="0"/>
              <w:bidi w:val="0"/>
              <w:snapToGrid w:val="0"/>
              <w:spacing w:before="0" w:after="0" w:line="360" w:lineRule="auto"/>
              <w:ind w:left="0" w:leftChars="0" w:right="0"/>
              <w:textAlignment w:val="auto"/>
              <w:rPr>
                <w:rFonts w:hint="eastAsia" w:ascii="宋体" w:hAnsi="宋体"/>
                <w:color w:val="auto"/>
                <w:szCs w:val="24"/>
              </w:rPr>
            </w:pPr>
            <w:r>
              <w:rPr>
                <w:rFonts w:hint="eastAsia" w:ascii="宋体" w:hAnsi="宋体"/>
                <w:color w:val="auto"/>
                <w:szCs w:val="24"/>
              </w:rPr>
              <w:t>柴油</w:t>
            </w:r>
          </w:p>
        </w:tc>
        <w:tc>
          <w:tcPr>
            <w:tcW w:w="436" w:type="pct"/>
            <w:noWrap w:val="0"/>
            <w:vAlign w:val="center"/>
          </w:tcPr>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rPr>
            </w:pPr>
            <w:r>
              <w:rPr>
                <w:rFonts w:hint="eastAsia" w:ascii="宋体" w:hAnsi="宋体"/>
                <w:color w:val="auto"/>
              </w:rPr>
              <w:t>1674</w:t>
            </w:r>
          </w:p>
        </w:tc>
        <w:tc>
          <w:tcPr>
            <w:tcW w:w="843" w:type="pct"/>
            <w:noWrap w:val="0"/>
            <w:vAlign w:val="center"/>
          </w:tcPr>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rPr>
            </w:pPr>
            <w:r>
              <w:rPr>
                <w:rFonts w:hint="eastAsia" w:ascii="宋体" w:hAnsi="宋体"/>
                <w:color w:val="auto"/>
              </w:rPr>
              <w:t>无</w:t>
            </w:r>
          </w:p>
        </w:tc>
        <w:tc>
          <w:tcPr>
            <w:tcW w:w="503" w:type="pct"/>
            <w:noWrap w:val="0"/>
            <w:vAlign w:val="center"/>
          </w:tcPr>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rPr>
            </w:pPr>
            <w:r>
              <w:rPr>
                <w:rFonts w:hint="eastAsia" w:ascii="宋体" w:hAnsi="宋体"/>
                <w:color w:val="auto"/>
              </w:rPr>
              <w:t>易燃</w:t>
            </w:r>
          </w:p>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rPr>
            </w:pPr>
            <w:r>
              <w:rPr>
                <w:rFonts w:hint="eastAsia" w:ascii="宋体" w:hAnsi="宋体"/>
                <w:color w:val="auto"/>
              </w:rPr>
              <w:t>液体</w:t>
            </w:r>
          </w:p>
        </w:tc>
        <w:tc>
          <w:tcPr>
            <w:tcW w:w="2651" w:type="pct"/>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遇明火、高热或与氧化剂接触，有引起燃烧爆炸的危险。若遇高热，容器内压增大，有开裂和爆炸的危险。</w:t>
            </w:r>
          </w:p>
        </w:tc>
      </w:tr>
    </w:tbl>
    <w:p>
      <w:pPr>
        <w:pageBreakBefore w:val="0"/>
        <w:kinsoku/>
        <w:wordWrap/>
        <w:overflowPunct/>
        <w:topLinePunct w:val="0"/>
        <w:bidi w:val="0"/>
        <w:snapToGrid w:val="0"/>
        <w:spacing w:line="360" w:lineRule="auto"/>
        <w:ind w:left="0" w:leftChars="0" w:right="0" w:firstLine="482" w:firstLineChars="200"/>
        <w:jc w:val="center"/>
        <w:textAlignment w:val="auto"/>
        <w:rPr>
          <w:rFonts w:hint="eastAsia" w:ascii="Times New Roman" w:hAnsi="Times New Roman" w:eastAsia="黑体"/>
          <w:b/>
          <w:color w:val="auto"/>
          <w:sz w:val="24"/>
          <w:lang w:val="en-US" w:eastAsia="zh-CN"/>
        </w:rPr>
      </w:pPr>
      <w:r>
        <w:rPr>
          <w:rFonts w:hint="eastAsia" w:ascii="Times New Roman" w:hAnsi="Times New Roman" w:eastAsia="黑体"/>
          <w:b/>
          <w:color w:val="auto"/>
          <w:sz w:val="24"/>
          <w:lang w:val="en-US" w:eastAsia="zh-CN"/>
        </w:rPr>
        <w:t>表</w:t>
      </w:r>
      <w:bookmarkStart w:id="32" w:name="_Toc17119"/>
      <w:bookmarkStart w:id="33" w:name="_Toc449348746"/>
      <w:bookmarkStart w:id="34" w:name="_Toc7251"/>
      <w:bookmarkStart w:id="35" w:name="_Toc354416285"/>
      <w:r>
        <w:rPr>
          <w:rFonts w:hint="eastAsia" w:ascii="Times New Roman" w:hAnsi="Times New Roman" w:eastAsia="黑体"/>
          <w:b/>
          <w:color w:val="auto"/>
          <w:sz w:val="24"/>
          <w:lang w:val="en-US" w:eastAsia="zh-CN"/>
        </w:rPr>
        <w:t>1-3汽油安全数据表</w:t>
      </w:r>
    </w:p>
    <w:tbl>
      <w:tblPr>
        <w:tblStyle w:val="50"/>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8" w:type="dxa"/>
          <w:bottom w:w="0" w:type="dxa"/>
          <w:right w:w="28" w:type="dxa"/>
        </w:tblCellMar>
      </w:tblPr>
      <w:tblGrid>
        <w:gridCol w:w="338"/>
        <w:gridCol w:w="240"/>
        <w:gridCol w:w="386"/>
        <w:gridCol w:w="204"/>
        <w:gridCol w:w="791"/>
        <w:gridCol w:w="314"/>
        <w:gridCol w:w="618"/>
        <w:gridCol w:w="1214"/>
        <w:gridCol w:w="536"/>
        <w:gridCol w:w="314"/>
        <w:gridCol w:w="593"/>
        <w:gridCol w:w="785"/>
        <w:gridCol w:w="221"/>
        <w:gridCol w:w="423"/>
        <w:gridCol w:w="533"/>
        <w:gridCol w:w="613"/>
        <w:gridCol w:w="244"/>
        <w:gridCol w:w="7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58" w:hRule="atLeast"/>
          <w:jc w:val="center"/>
        </w:trPr>
        <w:tc>
          <w:tcPr>
            <w:tcW w:w="334" w:type="pct"/>
            <w:gridSpan w:val="2"/>
            <w:noWrap w:val="0"/>
            <w:vAlign w:val="center"/>
          </w:tcPr>
          <w:p>
            <w:pPr>
              <w:pStyle w:val="27"/>
              <w:pageBreakBefore w:val="0"/>
              <w:kinsoku/>
              <w:wordWrap/>
              <w:overflowPunct/>
              <w:topLinePunct w:val="0"/>
              <w:bidi w:val="0"/>
              <w:snapToGrid w:val="0"/>
              <w:spacing w:line="360" w:lineRule="auto"/>
              <w:ind w:left="0" w:leftChars="0" w:right="0"/>
              <w:textAlignment w:val="auto"/>
              <w:rPr>
                <w:rFonts w:ascii="宋体" w:hAnsi="宋体"/>
                <w:color w:val="auto"/>
                <w:sz w:val="21"/>
                <w:szCs w:val="21"/>
              </w:rPr>
            </w:pPr>
            <w:r>
              <w:rPr>
                <w:rFonts w:hint="eastAsia" w:ascii="宋体" w:hAnsi="宋体"/>
                <w:color w:val="auto"/>
                <w:sz w:val="21"/>
                <w:szCs w:val="21"/>
              </w:rPr>
              <w:t>CAS:</w:t>
            </w:r>
          </w:p>
        </w:tc>
        <w:tc>
          <w:tcPr>
            <w:tcW w:w="2142" w:type="pct"/>
            <w:gridSpan w:val="7"/>
            <w:noWrap w:val="0"/>
            <w:vAlign w:val="center"/>
          </w:tcPr>
          <w:p>
            <w:pPr>
              <w:pStyle w:val="27"/>
              <w:pageBreakBefore w:val="0"/>
              <w:kinsoku/>
              <w:wordWrap/>
              <w:overflowPunct/>
              <w:topLinePunct w:val="0"/>
              <w:bidi w:val="0"/>
              <w:snapToGrid w:val="0"/>
              <w:spacing w:line="360" w:lineRule="auto"/>
              <w:ind w:left="0" w:leftChars="0" w:right="0"/>
              <w:textAlignment w:val="auto"/>
              <w:rPr>
                <w:rFonts w:hint="eastAsia" w:ascii="宋体" w:hAnsi="宋体"/>
                <w:color w:val="auto"/>
                <w:sz w:val="21"/>
                <w:szCs w:val="21"/>
              </w:rPr>
            </w:pPr>
            <w:r>
              <w:rPr>
                <w:rFonts w:ascii="宋体" w:hAnsi="宋体"/>
                <w:color w:val="auto"/>
                <w:sz w:val="21"/>
                <w:szCs w:val="21"/>
              </w:rPr>
              <w:t>86290-81-5</w:t>
            </w:r>
          </w:p>
        </w:tc>
        <w:tc>
          <w:tcPr>
            <w:tcW w:w="513" w:type="pct"/>
            <w:gridSpan w:val="2"/>
            <w:noWrap w:val="0"/>
            <w:vAlign w:val="center"/>
          </w:tcPr>
          <w:p>
            <w:pPr>
              <w:pStyle w:val="27"/>
              <w:pageBreakBefore w:val="0"/>
              <w:kinsoku/>
              <w:wordWrap/>
              <w:overflowPunct/>
              <w:topLinePunct w:val="0"/>
              <w:bidi w:val="0"/>
              <w:snapToGrid w:val="0"/>
              <w:spacing w:line="360" w:lineRule="auto"/>
              <w:ind w:left="0" w:leftChars="0" w:right="0"/>
              <w:textAlignment w:val="auto"/>
              <w:rPr>
                <w:rFonts w:hint="eastAsia" w:ascii="宋体" w:hAnsi="宋体"/>
                <w:color w:val="auto"/>
                <w:sz w:val="21"/>
                <w:szCs w:val="21"/>
              </w:rPr>
            </w:pPr>
            <w:r>
              <w:rPr>
                <w:rFonts w:hint="eastAsia" w:ascii="宋体" w:hAnsi="宋体"/>
                <w:color w:val="auto"/>
                <w:sz w:val="21"/>
                <w:szCs w:val="21"/>
              </w:rPr>
              <w:t>序号</w:t>
            </w:r>
          </w:p>
        </w:tc>
        <w:tc>
          <w:tcPr>
            <w:tcW w:w="2009" w:type="pct"/>
            <w:gridSpan w:val="7"/>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31001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58" w:hRule="atLeast"/>
          <w:jc w:val="center"/>
        </w:trPr>
        <w:tc>
          <w:tcPr>
            <w:tcW w:w="554" w:type="pct"/>
            <w:gridSpan w:val="3"/>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中文名称</w:t>
            </w:r>
          </w:p>
        </w:tc>
        <w:tc>
          <w:tcPr>
            <w:tcW w:w="1922" w:type="pct"/>
            <w:gridSpan w:val="6"/>
            <w:noWrap w:val="0"/>
            <w:vAlign w:val="center"/>
          </w:tcPr>
          <w:p>
            <w:pPr>
              <w:pageBreakBefore w:val="0"/>
              <w:kinsoku/>
              <w:wordWrap/>
              <w:overflowPunct/>
              <w:topLinePunct w:val="0"/>
              <w:autoSpaceDE w:val="0"/>
              <w:autoSpaceDN w:val="0"/>
              <w:bidi w:val="0"/>
              <w:adjustRightInd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汽油</w:t>
            </w:r>
          </w:p>
        </w:tc>
        <w:tc>
          <w:tcPr>
            <w:tcW w:w="180" w:type="pct"/>
            <w:vMerge w:val="restart"/>
            <w:noWrap w:val="0"/>
            <w:vAlign w:val="center"/>
          </w:tcPr>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r>
              <w:rPr>
                <w:rFonts w:hint="eastAsia" w:ascii="宋体" w:hAnsi="宋体"/>
                <w:color w:val="auto"/>
                <w:szCs w:val="21"/>
              </w:rPr>
              <w:t>理化性质</w:t>
            </w:r>
          </w:p>
        </w:tc>
        <w:tc>
          <w:tcPr>
            <w:tcW w:w="2342" w:type="pct"/>
            <w:gridSpan w:val="8"/>
            <w:vMerge w:val="restart"/>
            <w:noWrap w:val="0"/>
            <w:vAlign w:val="top"/>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r>
              <w:rPr>
                <w:rFonts w:hint="eastAsia" w:ascii="宋体" w:hAnsi="宋体"/>
                <w:color w:val="auto"/>
                <w:szCs w:val="21"/>
              </w:rPr>
              <w:t>外观及性状:</w:t>
            </w:r>
            <w:r>
              <w:rPr>
                <w:rFonts w:ascii="宋体" w:hAnsi="宋体"/>
                <w:color w:val="auto"/>
                <w:szCs w:val="21"/>
              </w:rPr>
              <w:t xml:space="preserve"> </w:t>
            </w:r>
            <w:r>
              <w:rPr>
                <w:rFonts w:hint="eastAsia" w:ascii="宋体" w:hAnsi="宋体"/>
                <w:color w:val="auto"/>
                <w:szCs w:val="21"/>
              </w:rPr>
              <w:t>无色或淡黄色易挥发液体，具有特殊的气味。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58" w:hRule="atLeast"/>
          <w:jc w:val="center"/>
        </w:trPr>
        <w:tc>
          <w:tcPr>
            <w:tcW w:w="554" w:type="pct"/>
            <w:gridSpan w:val="3"/>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英文名称</w:t>
            </w:r>
          </w:p>
        </w:tc>
        <w:tc>
          <w:tcPr>
            <w:tcW w:w="1922" w:type="pct"/>
            <w:gridSpan w:val="6"/>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ascii="宋体" w:hAnsi="宋体"/>
                <w:color w:val="auto"/>
                <w:szCs w:val="21"/>
              </w:rPr>
              <w:t>Gasoline</w:t>
            </w:r>
          </w:p>
        </w:tc>
        <w:tc>
          <w:tcPr>
            <w:tcW w:w="180"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342" w:type="pct"/>
            <w:gridSpan w:val="8"/>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32" w:hRule="atLeast"/>
          <w:jc w:val="center"/>
        </w:trPr>
        <w:tc>
          <w:tcPr>
            <w:tcW w:w="554" w:type="pct"/>
            <w:gridSpan w:val="3"/>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分子式</w:t>
            </w:r>
          </w:p>
        </w:tc>
        <w:tc>
          <w:tcPr>
            <w:tcW w:w="1922" w:type="pct"/>
            <w:gridSpan w:val="6"/>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ascii="宋体" w:hAnsi="宋体"/>
                <w:color w:val="auto"/>
                <w:szCs w:val="21"/>
              </w:rPr>
              <w:t>C</w:t>
            </w:r>
            <w:r>
              <w:rPr>
                <w:rFonts w:hint="eastAsia" w:ascii="宋体" w:hAnsi="宋体"/>
                <w:color w:val="auto"/>
                <w:szCs w:val="21"/>
                <w:vertAlign w:val="subscript"/>
              </w:rPr>
              <w:t>5</w:t>
            </w:r>
            <w:r>
              <w:rPr>
                <w:rFonts w:ascii="宋体" w:hAnsi="宋体"/>
                <w:color w:val="auto"/>
                <w:szCs w:val="21"/>
              </w:rPr>
              <w:t>H</w:t>
            </w:r>
            <w:r>
              <w:rPr>
                <w:rFonts w:ascii="宋体" w:hAnsi="宋体"/>
                <w:color w:val="auto"/>
                <w:szCs w:val="21"/>
                <w:vertAlign w:val="subscript"/>
              </w:rPr>
              <w:t>12</w:t>
            </w:r>
            <w:r>
              <w:rPr>
                <w:rFonts w:ascii="宋体" w:hAnsi="宋体"/>
                <w:color w:val="auto"/>
                <w:szCs w:val="21"/>
              </w:rPr>
              <w:t>~C</w:t>
            </w:r>
            <w:r>
              <w:rPr>
                <w:rFonts w:ascii="宋体" w:hAnsi="宋体"/>
                <w:color w:val="auto"/>
                <w:szCs w:val="21"/>
                <w:vertAlign w:val="subscript"/>
              </w:rPr>
              <w:t>12</w:t>
            </w:r>
            <w:r>
              <w:rPr>
                <w:rFonts w:ascii="宋体" w:hAnsi="宋体"/>
                <w:color w:val="auto"/>
                <w:szCs w:val="21"/>
              </w:rPr>
              <w:t>H</w:t>
            </w:r>
            <w:r>
              <w:rPr>
                <w:rFonts w:ascii="宋体" w:hAnsi="宋体"/>
                <w:color w:val="auto"/>
                <w:szCs w:val="21"/>
                <w:vertAlign w:val="subscript"/>
              </w:rPr>
              <w:t>26</w:t>
            </w:r>
          </w:p>
        </w:tc>
        <w:tc>
          <w:tcPr>
            <w:tcW w:w="180"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900" w:type="pct"/>
            <w:gridSpan w:val="3"/>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熔点:</w:t>
            </w:r>
            <w:r>
              <w:rPr>
                <w:rFonts w:ascii="宋体" w:hAnsi="宋体"/>
                <w:color w:val="auto"/>
                <w:szCs w:val="21"/>
              </w:rPr>
              <w:t xml:space="preserve"> </w:t>
            </w:r>
            <w:r>
              <w:rPr>
                <w:rFonts w:hint="eastAsia" w:ascii="宋体" w:hAnsi="宋体"/>
                <w:color w:val="auto"/>
                <w:szCs w:val="21"/>
              </w:rPr>
              <w:t xml:space="preserve"> &lt;</w:t>
            </w:r>
            <w:r>
              <w:rPr>
                <w:rFonts w:ascii="宋体" w:hAnsi="宋体"/>
                <w:color w:val="auto"/>
                <w:szCs w:val="21"/>
              </w:rPr>
              <w:t>-60</w:t>
            </w:r>
          </w:p>
        </w:tc>
        <w:tc>
          <w:tcPr>
            <w:tcW w:w="239" w:type="pct"/>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w:t>
            </w:r>
          </w:p>
        </w:tc>
        <w:tc>
          <w:tcPr>
            <w:tcW w:w="1202" w:type="pct"/>
            <w:gridSpan w:val="4"/>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蒸汽压: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58" w:hRule="atLeast"/>
          <w:jc w:val="center"/>
        </w:trPr>
        <w:tc>
          <w:tcPr>
            <w:tcW w:w="194" w:type="pct"/>
            <w:vMerge w:val="restart"/>
            <w:noWrap w:val="0"/>
            <w:vAlign w:val="center"/>
          </w:tcPr>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r>
              <w:rPr>
                <w:rFonts w:hint="eastAsia" w:ascii="宋体" w:hAnsi="宋体"/>
                <w:color w:val="auto"/>
                <w:szCs w:val="21"/>
              </w:rPr>
              <w:t>燃烧爆炸危险性</w:t>
            </w:r>
          </w:p>
        </w:tc>
        <w:tc>
          <w:tcPr>
            <w:tcW w:w="480" w:type="pct"/>
            <w:gridSpan w:val="3"/>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 xml:space="preserve">闪点: </w:t>
            </w:r>
          </w:p>
        </w:tc>
        <w:tc>
          <w:tcPr>
            <w:tcW w:w="300" w:type="pct"/>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-50</w:t>
            </w:r>
          </w:p>
        </w:tc>
        <w:tc>
          <w:tcPr>
            <w:tcW w:w="180" w:type="pct"/>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w:t>
            </w:r>
          </w:p>
        </w:tc>
        <w:tc>
          <w:tcPr>
            <w:tcW w:w="1020" w:type="pct"/>
            <w:gridSpan w:val="2"/>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 xml:space="preserve">爆炸极限: </w:t>
            </w:r>
            <w:r>
              <w:rPr>
                <w:rFonts w:ascii="宋体" w:hAnsi="宋体"/>
                <w:color w:val="auto"/>
                <w:szCs w:val="21"/>
              </w:rPr>
              <w:t>1.3~6</w:t>
            </w:r>
          </w:p>
        </w:tc>
        <w:tc>
          <w:tcPr>
            <w:tcW w:w="300" w:type="pct"/>
            <w:noWrap w:val="0"/>
            <w:vAlign w:val="center"/>
          </w:tcPr>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r>
              <w:rPr>
                <w:rFonts w:hint="eastAsia" w:ascii="宋体" w:hAnsi="宋体"/>
                <w:color w:val="auto"/>
                <w:szCs w:val="21"/>
              </w:rPr>
              <w:t>(V%)</w:t>
            </w:r>
          </w:p>
        </w:tc>
        <w:tc>
          <w:tcPr>
            <w:tcW w:w="180"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900" w:type="pct"/>
            <w:gridSpan w:val="3"/>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 xml:space="preserve">沸点:  </w:t>
            </w:r>
            <w:r>
              <w:rPr>
                <w:rFonts w:ascii="宋体" w:hAnsi="宋体"/>
                <w:color w:val="auto"/>
                <w:szCs w:val="21"/>
              </w:rPr>
              <w:t>40~200</w:t>
            </w:r>
          </w:p>
        </w:tc>
        <w:tc>
          <w:tcPr>
            <w:tcW w:w="239" w:type="pct"/>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w:t>
            </w:r>
          </w:p>
        </w:tc>
        <w:tc>
          <w:tcPr>
            <w:tcW w:w="300" w:type="pct"/>
            <w:vMerge w:val="restart"/>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相对密度</w:t>
            </w:r>
          </w:p>
        </w:tc>
        <w:tc>
          <w:tcPr>
            <w:tcW w:w="342" w:type="pct"/>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 xml:space="preserve">空气: </w:t>
            </w:r>
          </w:p>
        </w:tc>
        <w:tc>
          <w:tcPr>
            <w:tcW w:w="558" w:type="pct"/>
            <w:gridSpan w:val="2"/>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542" w:hRule="atLeast"/>
          <w:jc w:val="center"/>
        </w:trPr>
        <w:tc>
          <w:tcPr>
            <w:tcW w:w="194"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480" w:type="pct"/>
            <w:gridSpan w:val="3"/>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 xml:space="preserve">自燃点: </w:t>
            </w:r>
          </w:p>
        </w:tc>
        <w:tc>
          <w:tcPr>
            <w:tcW w:w="300" w:type="pct"/>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ascii="宋体" w:hAnsi="宋体"/>
                <w:color w:val="auto"/>
                <w:szCs w:val="21"/>
              </w:rPr>
              <w:t>415-530</w:t>
            </w:r>
          </w:p>
        </w:tc>
        <w:tc>
          <w:tcPr>
            <w:tcW w:w="180" w:type="pct"/>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w:t>
            </w:r>
          </w:p>
        </w:tc>
        <w:tc>
          <w:tcPr>
            <w:tcW w:w="1020" w:type="pct"/>
            <w:gridSpan w:val="2"/>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火灾危险类别: 甲</w:t>
            </w:r>
          </w:p>
        </w:tc>
        <w:tc>
          <w:tcPr>
            <w:tcW w:w="300" w:type="pct"/>
            <w:noWrap w:val="0"/>
            <w:vAlign w:val="center"/>
          </w:tcPr>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r>
              <w:rPr>
                <w:rFonts w:hint="eastAsia" w:ascii="宋体" w:hAnsi="宋体"/>
                <w:color w:val="auto"/>
                <w:szCs w:val="21"/>
              </w:rPr>
              <w:t>类</w:t>
            </w:r>
          </w:p>
        </w:tc>
        <w:tc>
          <w:tcPr>
            <w:tcW w:w="180"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1140" w:type="pct"/>
            <w:gridSpan w:val="4"/>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溶解度: 不溶于水</w:t>
            </w:r>
          </w:p>
        </w:tc>
        <w:tc>
          <w:tcPr>
            <w:tcW w:w="300"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p>
        </w:tc>
        <w:tc>
          <w:tcPr>
            <w:tcW w:w="342" w:type="pct"/>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 xml:space="preserve">水: </w:t>
            </w:r>
          </w:p>
        </w:tc>
        <w:tc>
          <w:tcPr>
            <w:tcW w:w="558" w:type="pct"/>
            <w:gridSpan w:val="2"/>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ascii="宋体" w:hAnsi="宋体"/>
                <w:color w:val="auto"/>
                <w:szCs w:val="21"/>
              </w:rPr>
              <w:t>0.70~0.7</w:t>
            </w:r>
            <w:r>
              <w:rPr>
                <w:rFonts w:hint="eastAsia" w:ascii="宋体" w:hAnsi="宋体"/>
                <w:color w:val="auto"/>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70" w:hRule="atLeast"/>
          <w:jc w:val="center"/>
        </w:trPr>
        <w:tc>
          <w:tcPr>
            <w:tcW w:w="194"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282" w:type="pct"/>
            <w:gridSpan w:val="8"/>
            <w:vMerge w:val="restart"/>
            <w:noWrap w:val="0"/>
            <w:vAlign w:val="top"/>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r>
              <w:rPr>
                <w:rFonts w:hint="eastAsia" w:ascii="宋体" w:hAnsi="宋体"/>
                <w:color w:val="auto"/>
                <w:szCs w:val="21"/>
              </w:rPr>
              <w:t>危险特性:</w:t>
            </w:r>
            <w:r>
              <w:rPr>
                <w:rFonts w:ascii="宋体" w:hAnsi="宋体"/>
                <w:color w:val="auto"/>
                <w:szCs w:val="21"/>
              </w:rPr>
              <w:t xml:space="preserve"> </w:t>
            </w:r>
            <w:r>
              <w:rPr>
                <w:rFonts w:hint="eastAsia" w:ascii="宋体" w:hAnsi="宋体"/>
                <w:color w:val="auto"/>
                <w:szCs w:val="21"/>
              </w:rPr>
              <w:t>易燃，其蒸汽与空气可形成爆炸性混合物。遇明火、高热极易燃烧爆炸。与氧化剂能发生</w:t>
            </w:r>
            <w:r>
              <w:rPr>
                <w:rFonts w:hint="eastAsia" w:ascii="宋体" w:hAnsi="宋体"/>
                <w:color w:val="auto"/>
                <w:szCs w:val="21"/>
                <w:lang w:eastAsia="zh-CN"/>
              </w:rPr>
              <w:t>强烈反应</w:t>
            </w:r>
            <w:r>
              <w:rPr>
                <w:rFonts w:hint="eastAsia" w:ascii="宋体" w:hAnsi="宋体"/>
                <w:color w:val="auto"/>
                <w:szCs w:val="21"/>
              </w:rPr>
              <w:t>。其蒸汽比空气重，能沿低处扩散到相当远处，遇明火会引起回燃。</w:t>
            </w:r>
          </w:p>
        </w:tc>
        <w:tc>
          <w:tcPr>
            <w:tcW w:w="180" w:type="pct"/>
            <w:vMerge w:val="restart"/>
            <w:noWrap w:val="0"/>
            <w:vAlign w:val="center"/>
          </w:tcPr>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r>
              <w:rPr>
                <w:rFonts w:hint="eastAsia" w:ascii="宋体" w:hAnsi="宋体"/>
                <w:color w:val="auto"/>
                <w:szCs w:val="21"/>
              </w:rPr>
              <w:t>毒</w:t>
            </w:r>
          </w:p>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p>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r>
              <w:rPr>
                <w:rFonts w:hint="eastAsia" w:ascii="宋体" w:hAnsi="宋体"/>
                <w:color w:val="auto"/>
                <w:szCs w:val="21"/>
              </w:rPr>
              <w:t>害</w:t>
            </w:r>
          </w:p>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p>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r>
              <w:rPr>
                <w:rFonts w:hint="eastAsia" w:ascii="宋体" w:hAnsi="宋体"/>
                <w:color w:val="auto"/>
                <w:szCs w:val="21"/>
              </w:rPr>
              <w:t>性</w:t>
            </w:r>
          </w:p>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p>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r>
              <w:rPr>
                <w:rFonts w:hint="eastAsia" w:ascii="宋体" w:hAnsi="宋体"/>
                <w:color w:val="auto"/>
                <w:szCs w:val="21"/>
              </w:rPr>
              <w:t>及</w:t>
            </w:r>
          </w:p>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p>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r>
              <w:rPr>
                <w:rFonts w:hint="eastAsia" w:ascii="宋体" w:hAnsi="宋体"/>
                <w:color w:val="auto"/>
                <w:szCs w:val="21"/>
              </w:rPr>
              <w:t>健</w:t>
            </w:r>
          </w:p>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p>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r>
              <w:rPr>
                <w:rFonts w:hint="eastAsia" w:ascii="宋体" w:hAnsi="宋体"/>
                <w:color w:val="auto"/>
                <w:szCs w:val="21"/>
              </w:rPr>
              <w:t>康</w:t>
            </w:r>
          </w:p>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p>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r>
              <w:rPr>
                <w:rFonts w:hint="eastAsia" w:ascii="宋体" w:hAnsi="宋体"/>
                <w:color w:val="auto"/>
                <w:szCs w:val="21"/>
              </w:rPr>
              <w:t>危</w:t>
            </w:r>
          </w:p>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p>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r>
              <w:rPr>
                <w:rFonts w:hint="eastAsia" w:ascii="宋体" w:hAnsi="宋体"/>
                <w:color w:val="auto"/>
                <w:szCs w:val="21"/>
              </w:rPr>
              <w:t>害</w:t>
            </w:r>
          </w:p>
        </w:tc>
        <w:tc>
          <w:tcPr>
            <w:tcW w:w="1784" w:type="pct"/>
            <w:gridSpan w:val="6"/>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r>
              <w:rPr>
                <w:rFonts w:hint="eastAsia" w:ascii="宋体" w:hAnsi="宋体"/>
                <w:color w:val="auto"/>
                <w:szCs w:val="21"/>
              </w:rPr>
              <w:t>职业性接触毒物危害程度分级:</w:t>
            </w:r>
          </w:p>
        </w:tc>
        <w:tc>
          <w:tcPr>
            <w:tcW w:w="558" w:type="pct"/>
            <w:gridSpan w:val="2"/>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ascii="宋体" w:hAnsi="宋体"/>
                <w:color w:val="auto"/>
                <w:szCs w:val="21"/>
              </w:rPr>
              <w:fldChar w:fldCharType="begin"/>
            </w:r>
            <w:r>
              <w:rPr>
                <w:rFonts w:ascii="宋体" w:hAnsi="宋体"/>
                <w:color w:val="auto"/>
                <w:szCs w:val="21"/>
              </w:rPr>
              <w:instrText xml:space="preserve"> </w:instrText>
            </w:r>
            <w:r>
              <w:rPr>
                <w:rFonts w:hint="eastAsia" w:ascii="宋体" w:hAnsi="宋体"/>
                <w:color w:val="auto"/>
                <w:szCs w:val="21"/>
              </w:rPr>
              <w:instrText xml:space="preserve">= 4 \* ROMAN</w:instrText>
            </w:r>
            <w:r>
              <w:rPr>
                <w:rFonts w:ascii="宋体" w:hAnsi="宋体"/>
                <w:color w:val="auto"/>
                <w:szCs w:val="21"/>
              </w:rPr>
              <w:instrText xml:space="preserve"> </w:instrText>
            </w:r>
            <w:r>
              <w:rPr>
                <w:rFonts w:ascii="宋体" w:hAnsi="宋体"/>
                <w:color w:val="auto"/>
                <w:szCs w:val="21"/>
              </w:rPr>
              <w:fldChar w:fldCharType="separate"/>
            </w:r>
            <w:r>
              <w:rPr>
                <w:rFonts w:ascii="宋体" w:hAnsi="宋体"/>
                <w:color w:val="auto"/>
                <w:szCs w:val="21"/>
              </w:rPr>
              <w:t>IV</w:t>
            </w:r>
            <w:r>
              <w:rPr>
                <w:rFonts w:ascii="宋体" w:hAnsi="宋体"/>
                <w:color w:val="auto"/>
                <w:szCs w:val="21"/>
              </w:rPr>
              <w:fldChar w:fldCharType="end"/>
            </w:r>
            <w:r>
              <w:rPr>
                <w:rFonts w:hint="eastAsia" w:ascii="宋体" w:hAnsi="宋体"/>
                <w:color w:val="auto"/>
                <w:szCs w:val="21"/>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468" w:hRule="atLeast"/>
          <w:jc w:val="center"/>
        </w:trPr>
        <w:tc>
          <w:tcPr>
            <w:tcW w:w="194"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282" w:type="pct"/>
            <w:gridSpan w:val="8"/>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180"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342" w:type="pct"/>
            <w:gridSpan w:val="8"/>
            <w:vMerge w:val="restart"/>
            <w:noWrap w:val="0"/>
            <w:vAlign w:val="top"/>
          </w:tcPr>
          <w:p>
            <w:pPr>
              <w:pageBreakBefore w:val="0"/>
              <w:kinsoku/>
              <w:wordWrap/>
              <w:overflowPunct/>
              <w:topLinePunct w:val="0"/>
              <w:bidi w:val="0"/>
              <w:snapToGrid w:val="0"/>
              <w:spacing w:line="360" w:lineRule="auto"/>
              <w:ind w:left="0" w:leftChars="0" w:right="0"/>
              <w:textAlignment w:val="auto"/>
              <w:rPr>
                <w:rFonts w:hint="eastAsia" w:ascii="宋体" w:hAnsi="宋体" w:eastAsia="宋体"/>
                <w:color w:val="auto"/>
                <w:szCs w:val="21"/>
                <w:lang w:eastAsia="zh-CN"/>
              </w:rPr>
            </w:pPr>
            <w:r>
              <w:rPr>
                <w:rFonts w:hint="eastAsia" w:ascii="宋体" w:hAnsi="宋体"/>
                <w:color w:val="auto"/>
                <w:szCs w:val="21"/>
              </w:rPr>
              <w:t>毒性资料:</w:t>
            </w:r>
            <w:r>
              <w:rPr>
                <w:rFonts w:ascii="宋体" w:hAnsi="宋体"/>
                <w:color w:val="auto"/>
                <w:szCs w:val="21"/>
              </w:rPr>
              <w:t xml:space="preserve"> 毒性：属低毒类。</w:t>
            </w:r>
          </w:p>
          <w:p>
            <w:pPr>
              <w:pageBreakBefore w:val="0"/>
              <w:kinsoku/>
              <w:wordWrap/>
              <w:overflowPunct/>
              <w:topLinePunct w:val="0"/>
              <w:bidi w:val="0"/>
              <w:snapToGrid w:val="0"/>
              <w:spacing w:line="360" w:lineRule="auto"/>
              <w:ind w:left="0" w:leftChars="0" w:right="0"/>
              <w:textAlignment w:val="auto"/>
              <w:rPr>
                <w:rFonts w:hint="eastAsia" w:ascii="宋体" w:hAnsi="宋体" w:eastAsia="宋体"/>
                <w:color w:val="auto"/>
                <w:szCs w:val="21"/>
                <w:lang w:eastAsia="zh-CN"/>
              </w:rPr>
            </w:pPr>
            <w:r>
              <w:rPr>
                <w:rFonts w:ascii="宋体" w:hAnsi="宋体"/>
                <w:color w:val="auto"/>
                <w:szCs w:val="21"/>
              </w:rPr>
              <w:t>  急性毒性：LD</w:t>
            </w:r>
            <w:r>
              <w:rPr>
                <w:rFonts w:ascii="宋体" w:hAnsi="宋体"/>
                <w:color w:val="auto"/>
                <w:szCs w:val="21"/>
                <w:vertAlign w:val="subscript"/>
              </w:rPr>
              <w:t>50</w:t>
            </w:r>
            <w:r>
              <w:rPr>
                <w:rFonts w:ascii="宋体" w:hAnsi="宋体"/>
                <w:color w:val="auto"/>
                <w:szCs w:val="21"/>
              </w:rPr>
              <w:t>67000mg/kg(小鼠经口)；LC</w:t>
            </w:r>
            <w:r>
              <w:rPr>
                <w:rFonts w:ascii="宋体" w:hAnsi="宋体"/>
                <w:color w:val="auto"/>
                <w:szCs w:val="21"/>
                <w:vertAlign w:val="subscript"/>
              </w:rPr>
              <w:t>50</w:t>
            </w:r>
            <w:r>
              <w:rPr>
                <w:rFonts w:ascii="宋体" w:hAnsi="宋体"/>
                <w:color w:val="auto"/>
                <w:szCs w:val="21"/>
              </w:rPr>
              <w:t>103000mg/m</w:t>
            </w:r>
            <w:r>
              <w:rPr>
                <w:rFonts w:ascii="宋体" w:hAnsi="宋体"/>
                <w:color w:val="auto"/>
                <w:szCs w:val="21"/>
                <w:vertAlign w:val="superscript"/>
              </w:rPr>
              <w:t>3</w:t>
            </w:r>
            <w:r>
              <w:rPr>
                <w:rFonts w:ascii="宋体" w:hAnsi="宋体"/>
                <w:color w:val="auto"/>
                <w:szCs w:val="21"/>
              </w:rPr>
              <w:t>，2小时(小鼠吸入)</w:t>
            </w:r>
          </w:p>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r>
              <w:rPr>
                <w:rFonts w:ascii="宋体" w:hAnsi="宋体"/>
                <w:color w:val="auto"/>
                <w:szCs w:val="21"/>
              </w:rPr>
              <w:t>  刺激性：人经眼：140ppm(8小时)，轻度刺激。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84" w:hRule="atLeast"/>
          <w:jc w:val="center"/>
        </w:trPr>
        <w:tc>
          <w:tcPr>
            <w:tcW w:w="194"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282" w:type="pct"/>
            <w:gridSpan w:val="8"/>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燃烧(分解)产物:</w:t>
            </w:r>
            <w:r>
              <w:rPr>
                <w:rFonts w:ascii="宋体" w:hAnsi="宋体"/>
                <w:color w:val="auto"/>
                <w:szCs w:val="21"/>
              </w:rPr>
              <w:t xml:space="preserve"> </w:t>
            </w:r>
            <w:r>
              <w:rPr>
                <w:rFonts w:hint="eastAsia" w:ascii="宋体" w:hAnsi="宋体"/>
                <w:color w:val="auto"/>
                <w:szCs w:val="21"/>
              </w:rPr>
              <w:t>二氧化碳和水</w:t>
            </w:r>
          </w:p>
        </w:tc>
        <w:tc>
          <w:tcPr>
            <w:tcW w:w="180"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342" w:type="pct"/>
            <w:gridSpan w:val="8"/>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58" w:hRule="atLeast"/>
          <w:jc w:val="center"/>
        </w:trPr>
        <w:tc>
          <w:tcPr>
            <w:tcW w:w="194"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1307" w:type="pct"/>
            <w:gridSpan w:val="6"/>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r>
              <w:rPr>
                <w:rFonts w:hint="eastAsia" w:ascii="宋体" w:hAnsi="宋体"/>
                <w:color w:val="auto"/>
                <w:szCs w:val="21"/>
              </w:rPr>
              <w:t>稳定性: 稳定</w:t>
            </w:r>
          </w:p>
        </w:tc>
        <w:tc>
          <w:tcPr>
            <w:tcW w:w="974" w:type="pct"/>
            <w:gridSpan w:val="2"/>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r>
              <w:rPr>
                <w:rFonts w:hint="eastAsia" w:ascii="宋体" w:hAnsi="宋体"/>
                <w:color w:val="auto"/>
                <w:szCs w:val="21"/>
              </w:rPr>
              <w:t>聚合危害: /</w:t>
            </w:r>
          </w:p>
        </w:tc>
        <w:tc>
          <w:tcPr>
            <w:tcW w:w="180"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342" w:type="pct"/>
            <w:gridSpan w:val="8"/>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84" w:hRule="atLeast"/>
          <w:jc w:val="center"/>
        </w:trPr>
        <w:tc>
          <w:tcPr>
            <w:tcW w:w="194"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282" w:type="pct"/>
            <w:gridSpan w:val="8"/>
            <w:vMerge w:val="restart"/>
            <w:noWrap w:val="0"/>
            <w:vAlign w:val="top"/>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禁忌物:</w:t>
            </w:r>
            <w:r>
              <w:rPr>
                <w:rFonts w:ascii="宋体" w:hAnsi="宋体" w:cs="Arial"/>
                <w:color w:val="auto"/>
                <w:szCs w:val="21"/>
              </w:rPr>
              <w:t xml:space="preserve"> </w:t>
            </w:r>
            <w:r>
              <w:rPr>
                <w:rFonts w:hint="eastAsia" w:ascii="宋体" w:hAnsi="宋体"/>
                <w:color w:val="auto"/>
                <w:szCs w:val="21"/>
              </w:rPr>
              <w:t>禁止混入</w:t>
            </w:r>
            <w:r>
              <w:rPr>
                <w:rFonts w:hint="eastAsia" w:ascii="宋体" w:hAnsi="宋体"/>
                <w:color w:val="auto"/>
                <w:szCs w:val="21"/>
                <w:lang w:eastAsia="zh-CN"/>
              </w:rPr>
              <w:t>其他</w:t>
            </w:r>
            <w:r>
              <w:rPr>
                <w:rFonts w:hint="eastAsia" w:ascii="宋体" w:hAnsi="宋体"/>
                <w:color w:val="auto"/>
                <w:szCs w:val="21"/>
              </w:rPr>
              <w:t>类别的油品</w:t>
            </w:r>
          </w:p>
        </w:tc>
        <w:tc>
          <w:tcPr>
            <w:tcW w:w="180"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342" w:type="pct"/>
            <w:gridSpan w:val="8"/>
            <w:noWrap w:val="0"/>
            <w:vAlign w:val="center"/>
          </w:tcPr>
          <w:p>
            <w:pPr>
              <w:pageBreakBefore w:val="0"/>
              <w:kinsoku/>
              <w:wordWrap/>
              <w:overflowPunct/>
              <w:topLinePunct w:val="0"/>
              <w:bidi w:val="0"/>
              <w:snapToGrid w:val="0"/>
              <w:spacing w:line="360" w:lineRule="auto"/>
              <w:ind w:left="0" w:leftChars="0" w:right="0"/>
              <w:jc w:val="center"/>
              <w:textAlignment w:val="auto"/>
              <w:rPr>
                <w:rFonts w:ascii="宋体" w:hAnsi="宋体"/>
                <w:color w:val="auto"/>
                <w:szCs w:val="21"/>
              </w:rPr>
            </w:pPr>
            <w:r>
              <w:rPr>
                <w:rFonts w:hint="eastAsia" w:ascii="宋体" w:hAnsi="宋体"/>
                <w:color w:val="auto"/>
                <w:szCs w:val="21"/>
              </w:rPr>
              <w:t>职业接触限值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84" w:hRule="atLeast"/>
          <w:jc w:val="center"/>
        </w:trPr>
        <w:tc>
          <w:tcPr>
            <w:tcW w:w="194"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282" w:type="pct"/>
            <w:gridSpan w:val="8"/>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180"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771" w:type="pct"/>
            <w:gridSpan w:val="2"/>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MAC:</w:t>
            </w:r>
          </w:p>
        </w:tc>
        <w:tc>
          <w:tcPr>
            <w:tcW w:w="1149" w:type="pct"/>
            <w:gridSpan w:val="5"/>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w:t>
            </w:r>
          </w:p>
        </w:tc>
        <w:tc>
          <w:tcPr>
            <w:tcW w:w="421" w:type="pct"/>
            <w:noWrap w:val="0"/>
            <w:vAlign w:val="center"/>
          </w:tcPr>
          <w:p>
            <w:pPr>
              <w:pageBreakBefore w:val="0"/>
              <w:kinsoku/>
              <w:wordWrap/>
              <w:overflowPunct/>
              <w:topLinePunct w:val="0"/>
              <w:bidi w:val="0"/>
              <w:snapToGrid w:val="0"/>
              <w:spacing w:line="360" w:lineRule="auto"/>
              <w:ind w:left="0" w:leftChars="0" w:right="0"/>
              <w:jc w:val="right"/>
              <w:textAlignment w:val="auto"/>
              <w:rPr>
                <w:rFonts w:hint="eastAsia" w:ascii="宋体" w:hAnsi="宋体"/>
                <w:color w:val="auto"/>
                <w:szCs w:val="21"/>
              </w:rPr>
            </w:pPr>
            <w:r>
              <w:rPr>
                <w:rFonts w:hint="eastAsia" w:ascii="宋体" w:hAnsi="宋体"/>
                <w:color w:val="auto"/>
                <w:szCs w:val="21"/>
              </w:rPr>
              <w:t>mg/m</w:t>
            </w:r>
            <w:r>
              <w:rPr>
                <w:rFonts w:hint="eastAsia" w:ascii="宋体" w:hAnsi="宋体"/>
                <w:color w:val="auto"/>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84" w:hRule="atLeast"/>
          <w:jc w:val="center"/>
        </w:trPr>
        <w:tc>
          <w:tcPr>
            <w:tcW w:w="194"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282" w:type="pct"/>
            <w:gridSpan w:val="8"/>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r>
              <w:rPr>
                <w:rFonts w:hint="eastAsia" w:ascii="宋体" w:hAnsi="宋体"/>
                <w:color w:val="auto"/>
                <w:szCs w:val="21"/>
              </w:rPr>
              <w:t>避免接触的条件: 防火星、明火、高热</w:t>
            </w:r>
          </w:p>
        </w:tc>
        <w:tc>
          <w:tcPr>
            <w:tcW w:w="180"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771" w:type="pct"/>
            <w:gridSpan w:val="2"/>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PC-TWA:</w:t>
            </w:r>
          </w:p>
        </w:tc>
        <w:tc>
          <w:tcPr>
            <w:tcW w:w="1149" w:type="pct"/>
            <w:gridSpan w:val="5"/>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300</w:t>
            </w:r>
          </w:p>
        </w:tc>
        <w:tc>
          <w:tcPr>
            <w:tcW w:w="421" w:type="pct"/>
            <w:noWrap w:val="0"/>
            <w:vAlign w:val="center"/>
          </w:tcPr>
          <w:p>
            <w:pPr>
              <w:pageBreakBefore w:val="0"/>
              <w:kinsoku/>
              <w:wordWrap/>
              <w:overflowPunct/>
              <w:topLinePunct w:val="0"/>
              <w:bidi w:val="0"/>
              <w:snapToGrid w:val="0"/>
              <w:spacing w:line="360" w:lineRule="auto"/>
              <w:ind w:left="0" w:leftChars="0" w:right="0"/>
              <w:jc w:val="right"/>
              <w:textAlignment w:val="auto"/>
              <w:rPr>
                <w:rFonts w:ascii="宋体" w:hAnsi="宋体"/>
                <w:color w:val="auto"/>
                <w:szCs w:val="21"/>
              </w:rPr>
            </w:pPr>
            <w:r>
              <w:rPr>
                <w:rFonts w:hint="eastAsia" w:ascii="宋体" w:hAnsi="宋体"/>
                <w:color w:val="auto"/>
                <w:szCs w:val="21"/>
              </w:rPr>
              <w:t>mg/m</w:t>
            </w:r>
            <w:r>
              <w:rPr>
                <w:rFonts w:hint="eastAsia" w:ascii="宋体" w:hAnsi="宋体"/>
                <w:color w:val="auto"/>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542" w:hRule="atLeast"/>
          <w:jc w:val="center"/>
        </w:trPr>
        <w:tc>
          <w:tcPr>
            <w:tcW w:w="194"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282" w:type="pct"/>
            <w:gridSpan w:val="8"/>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r>
              <w:rPr>
                <w:rFonts w:hint="eastAsia" w:ascii="宋体" w:hAnsi="宋体"/>
                <w:color w:val="auto"/>
                <w:szCs w:val="21"/>
              </w:rPr>
              <w:t>灭火剂:</w:t>
            </w:r>
            <w:r>
              <w:rPr>
                <w:rFonts w:ascii="宋体" w:hAnsi="宋体"/>
                <w:color w:val="auto"/>
                <w:szCs w:val="21"/>
              </w:rPr>
              <w:t xml:space="preserve"> </w:t>
            </w:r>
            <w:r>
              <w:rPr>
                <w:rFonts w:hint="eastAsia" w:ascii="宋体" w:hAnsi="宋体"/>
                <w:color w:val="auto"/>
                <w:szCs w:val="21"/>
              </w:rPr>
              <w:t>用沙覆盖，使用泡沫、干粉、二氧化碳做灭火剂。</w:t>
            </w:r>
          </w:p>
        </w:tc>
        <w:tc>
          <w:tcPr>
            <w:tcW w:w="180"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771" w:type="pct"/>
            <w:gridSpan w:val="2"/>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PC-STEL:</w:t>
            </w:r>
          </w:p>
        </w:tc>
        <w:tc>
          <w:tcPr>
            <w:tcW w:w="1149" w:type="pct"/>
            <w:gridSpan w:val="5"/>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450</w:t>
            </w:r>
          </w:p>
        </w:tc>
        <w:tc>
          <w:tcPr>
            <w:tcW w:w="421" w:type="pct"/>
            <w:noWrap w:val="0"/>
            <w:vAlign w:val="center"/>
          </w:tcPr>
          <w:p>
            <w:pPr>
              <w:pageBreakBefore w:val="0"/>
              <w:kinsoku/>
              <w:wordWrap/>
              <w:overflowPunct/>
              <w:topLinePunct w:val="0"/>
              <w:bidi w:val="0"/>
              <w:snapToGrid w:val="0"/>
              <w:spacing w:line="360" w:lineRule="auto"/>
              <w:ind w:left="0" w:leftChars="0" w:right="0"/>
              <w:jc w:val="right"/>
              <w:textAlignment w:val="auto"/>
              <w:rPr>
                <w:rFonts w:ascii="宋体" w:hAnsi="宋体"/>
                <w:color w:val="auto"/>
                <w:szCs w:val="21"/>
              </w:rPr>
            </w:pPr>
            <w:r>
              <w:rPr>
                <w:rFonts w:hint="eastAsia" w:ascii="宋体" w:hAnsi="宋体"/>
                <w:color w:val="auto"/>
                <w:szCs w:val="21"/>
              </w:rPr>
              <w:t>mg/m</w:t>
            </w:r>
            <w:r>
              <w:rPr>
                <w:rFonts w:hint="eastAsia" w:ascii="宋体" w:hAnsi="宋体"/>
                <w:color w:val="auto"/>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58" w:hRule="atLeast"/>
          <w:jc w:val="center"/>
        </w:trPr>
        <w:tc>
          <w:tcPr>
            <w:tcW w:w="194"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282" w:type="pct"/>
            <w:gridSpan w:val="8"/>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r>
              <w:rPr>
                <w:rFonts w:hint="eastAsia" w:ascii="宋体" w:hAnsi="宋体"/>
                <w:color w:val="auto"/>
                <w:szCs w:val="21"/>
              </w:rPr>
              <w:t>禁用灭火剂: 用水灭火无效</w:t>
            </w:r>
          </w:p>
        </w:tc>
        <w:tc>
          <w:tcPr>
            <w:tcW w:w="180"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342" w:type="pct"/>
            <w:gridSpan w:val="8"/>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r>
              <w:rPr>
                <w:rFonts w:hint="eastAsia" w:ascii="宋体" w:hAnsi="宋体"/>
                <w:color w:val="auto"/>
                <w:szCs w:val="21"/>
              </w:rPr>
              <w:t>侵入途径及健康危害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516" w:hRule="atLeast"/>
          <w:jc w:val="center"/>
        </w:trPr>
        <w:tc>
          <w:tcPr>
            <w:tcW w:w="194" w:type="pct"/>
            <w:vMerge w:val="restart"/>
            <w:noWrap w:val="0"/>
            <w:vAlign w:val="center"/>
          </w:tcPr>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r>
              <w:rPr>
                <w:rFonts w:hint="eastAsia" w:ascii="宋体" w:hAnsi="宋体"/>
                <w:color w:val="auto"/>
                <w:szCs w:val="21"/>
              </w:rPr>
              <w:t>急</w:t>
            </w:r>
          </w:p>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r>
              <w:rPr>
                <w:rFonts w:hint="eastAsia" w:ascii="宋体" w:hAnsi="宋体"/>
                <w:color w:val="auto"/>
                <w:szCs w:val="21"/>
              </w:rPr>
              <w:t>救</w:t>
            </w:r>
          </w:p>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r>
              <w:rPr>
                <w:rFonts w:hint="eastAsia" w:ascii="宋体" w:hAnsi="宋体"/>
                <w:color w:val="auto"/>
                <w:szCs w:val="21"/>
              </w:rPr>
              <w:t>措</w:t>
            </w:r>
          </w:p>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r>
              <w:rPr>
                <w:rFonts w:hint="eastAsia" w:ascii="宋体" w:hAnsi="宋体"/>
                <w:color w:val="auto"/>
                <w:szCs w:val="21"/>
              </w:rPr>
              <w:t>施</w:t>
            </w:r>
          </w:p>
        </w:tc>
        <w:tc>
          <w:tcPr>
            <w:tcW w:w="2282" w:type="pct"/>
            <w:gridSpan w:val="8"/>
            <w:noWrap w:val="0"/>
            <w:vAlign w:val="top"/>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r>
              <w:rPr>
                <w:rFonts w:hint="eastAsia" w:ascii="宋体" w:hAnsi="宋体"/>
                <w:color w:val="auto"/>
                <w:szCs w:val="21"/>
              </w:rPr>
              <w:t>皮肤接触:</w:t>
            </w:r>
            <w:r>
              <w:rPr>
                <w:rFonts w:ascii="宋体" w:hAnsi="宋体"/>
                <w:color w:val="auto"/>
                <w:szCs w:val="21"/>
              </w:rPr>
              <w:t xml:space="preserve"> 立即脱去被污染的衣着，用肥皂水和清水彻底冲洗皮肤。就医。</w:t>
            </w:r>
          </w:p>
        </w:tc>
        <w:tc>
          <w:tcPr>
            <w:tcW w:w="180"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342" w:type="pct"/>
            <w:gridSpan w:val="8"/>
            <w:noWrap w:val="0"/>
            <w:vAlign w:val="top"/>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r>
              <w:rPr>
                <w:rFonts w:hint="eastAsia" w:ascii="宋体" w:hAnsi="宋体"/>
                <w:color w:val="auto"/>
                <w:szCs w:val="21"/>
              </w:rPr>
              <w:t>侵入途径:</w:t>
            </w:r>
            <w:r>
              <w:rPr>
                <w:rFonts w:ascii="宋体" w:hAnsi="宋体"/>
                <w:color w:val="auto"/>
                <w:szCs w:val="21"/>
              </w:rPr>
              <w:t xml:space="preserve"> 吸入、食入、经皮吸收。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577" w:hRule="atLeast"/>
          <w:jc w:val="center"/>
        </w:trPr>
        <w:tc>
          <w:tcPr>
            <w:tcW w:w="194"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282" w:type="pct"/>
            <w:gridSpan w:val="8"/>
            <w:noWrap w:val="0"/>
            <w:vAlign w:val="top"/>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r>
              <w:rPr>
                <w:rFonts w:hint="eastAsia" w:ascii="宋体" w:hAnsi="宋体"/>
                <w:color w:val="auto"/>
                <w:szCs w:val="21"/>
              </w:rPr>
              <w:t>眼接触:</w:t>
            </w:r>
            <w:r>
              <w:rPr>
                <w:rFonts w:ascii="宋体" w:hAnsi="宋体"/>
                <w:color w:val="auto"/>
                <w:szCs w:val="21"/>
              </w:rPr>
              <w:t xml:space="preserve"> 立即提起眼睑，用大量流动清水或生理盐水彻底冲洗至少15分钟。就医。</w:t>
            </w:r>
          </w:p>
        </w:tc>
        <w:tc>
          <w:tcPr>
            <w:tcW w:w="180"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342" w:type="pct"/>
            <w:gridSpan w:val="8"/>
            <w:vMerge w:val="restart"/>
            <w:noWrap w:val="0"/>
            <w:vAlign w:val="top"/>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健康危害:</w:t>
            </w:r>
            <w:r>
              <w:rPr>
                <w:rFonts w:ascii="宋体" w:hAnsi="宋体" w:cs="Arial"/>
                <w:color w:val="auto"/>
                <w:szCs w:val="21"/>
              </w:rPr>
              <w:t xml:space="preserve"> </w:t>
            </w:r>
            <w:r>
              <w:rPr>
                <w:rFonts w:hint="eastAsia" w:ascii="宋体" w:hAnsi="宋体"/>
                <w:color w:val="auto"/>
                <w:szCs w:val="21"/>
              </w:rPr>
              <w:t>急性中毒：对中枢神经系统有麻醉作用。轻度中毒症状有头晕、头痛、呕吐、步态不稳、共济失调。高浓度吸入出现中毒性脑病。极高浓度吸入引起意识突然丧失、反射性呼吸停止。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577" w:hRule="atLeast"/>
          <w:jc w:val="center"/>
        </w:trPr>
        <w:tc>
          <w:tcPr>
            <w:tcW w:w="194"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282" w:type="pct"/>
            <w:gridSpan w:val="8"/>
            <w:noWrap w:val="0"/>
            <w:vAlign w:val="top"/>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r>
              <w:rPr>
                <w:rFonts w:hint="eastAsia" w:ascii="宋体" w:hAnsi="宋体"/>
                <w:color w:val="auto"/>
                <w:szCs w:val="21"/>
              </w:rPr>
              <w:t>吸入:</w:t>
            </w:r>
            <w:r>
              <w:rPr>
                <w:rFonts w:ascii="宋体" w:hAnsi="宋体"/>
                <w:color w:val="auto"/>
                <w:szCs w:val="21"/>
              </w:rPr>
              <w:t xml:space="preserve"> 迅速脱离现场至空气新鲜处。保持呼吸道通畅。如呼吸困难，给输氧。如呼吸停止，立即进行人工呼吸。就医。</w:t>
            </w:r>
          </w:p>
        </w:tc>
        <w:tc>
          <w:tcPr>
            <w:tcW w:w="180"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342" w:type="pct"/>
            <w:gridSpan w:val="8"/>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197" w:hRule="atLeast"/>
          <w:jc w:val="center"/>
        </w:trPr>
        <w:tc>
          <w:tcPr>
            <w:tcW w:w="194"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282" w:type="pct"/>
            <w:gridSpan w:val="8"/>
            <w:noWrap w:val="0"/>
            <w:vAlign w:val="top"/>
          </w:tcPr>
          <w:p>
            <w:pPr>
              <w:pageBreakBefore w:val="0"/>
              <w:kinsoku/>
              <w:wordWrap/>
              <w:overflowPunct/>
              <w:topLinePunct w:val="0"/>
              <w:bidi w:val="0"/>
              <w:snapToGrid w:val="0"/>
              <w:spacing w:line="360" w:lineRule="auto"/>
              <w:ind w:left="0" w:leftChars="0" w:right="0"/>
              <w:textAlignment w:val="auto"/>
              <w:rPr>
                <w:rFonts w:ascii="宋体" w:hAnsi="宋体"/>
                <w:color w:val="auto"/>
                <w:spacing w:val="-8"/>
                <w:szCs w:val="21"/>
              </w:rPr>
            </w:pPr>
            <w:r>
              <w:rPr>
                <w:rFonts w:hint="eastAsia" w:ascii="宋体" w:hAnsi="宋体"/>
                <w:color w:val="auto"/>
                <w:spacing w:val="-8"/>
                <w:szCs w:val="21"/>
              </w:rPr>
              <w:t xml:space="preserve">食入: </w:t>
            </w:r>
            <w:r>
              <w:rPr>
                <w:rFonts w:ascii="宋体" w:hAnsi="宋体"/>
                <w:color w:val="auto"/>
                <w:spacing w:val="-8"/>
                <w:szCs w:val="21"/>
              </w:rPr>
              <w:t>给饮牛奶或用植物油洗胃和灌肠。就医。</w:t>
            </w:r>
          </w:p>
        </w:tc>
        <w:tc>
          <w:tcPr>
            <w:tcW w:w="180"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342" w:type="pct"/>
            <w:gridSpan w:val="8"/>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775" w:hRule="atLeast"/>
          <w:jc w:val="center"/>
        </w:trPr>
        <w:tc>
          <w:tcPr>
            <w:tcW w:w="194" w:type="pct"/>
            <w:vMerge w:val="restart"/>
            <w:noWrap w:val="0"/>
            <w:vAlign w:val="center"/>
          </w:tcPr>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r>
              <w:rPr>
                <w:rFonts w:hint="eastAsia" w:ascii="宋体" w:hAnsi="宋体"/>
                <w:color w:val="auto"/>
                <w:szCs w:val="21"/>
              </w:rPr>
              <w:t>防</w:t>
            </w:r>
          </w:p>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p>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r>
              <w:rPr>
                <w:rFonts w:hint="eastAsia" w:ascii="宋体" w:hAnsi="宋体"/>
                <w:color w:val="auto"/>
                <w:szCs w:val="21"/>
              </w:rPr>
              <w:t>护</w:t>
            </w:r>
          </w:p>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p>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r>
              <w:rPr>
                <w:rFonts w:hint="eastAsia" w:ascii="宋体" w:hAnsi="宋体"/>
                <w:color w:val="auto"/>
                <w:szCs w:val="21"/>
              </w:rPr>
              <w:t>措</w:t>
            </w:r>
          </w:p>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p>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r>
              <w:rPr>
                <w:rFonts w:hint="eastAsia" w:ascii="宋体" w:hAnsi="宋体"/>
                <w:color w:val="auto"/>
                <w:szCs w:val="21"/>
              </w:rPr>
              <w:t>施</w:t>
            </w:r>
          </w:p>
        </w:tc>
        <w:tc>
          <w:tcPr>
            <w:tcW w:w="2282" w:type="pct"/>
            <w:gridSpan w:val="8"/>
            <w:noWrap w:val="0"/>
            <w:vAlign w:val="top"/>
          </w:tcPr>
          <w:p>
            <w:pPr>
              <w:pageBreakBefore w:val="0"/>
              <w:kinsoku/>
              <w:wordWrap/>
              <w:overflowPunct/>
              <w:topLinePunct w:val="0"/>
              <w:bidi w:val="0"/>
              <w:snapToGrid w:val="0"/>
              <w:spacing w:line="360" w:lineRule="auto"/>
              <w:ind w:left="0" w:leftChars="0" w:right="0"/>
              <w:textAlignment w:val="auto"/>
              <w:rPr>
                <w:rFonts w:ascii="宋体" w:hAnsi="宋体"/>
                <w:color w:val="auto"/>
                <w:spacing w:val="-6"/>
                <w:szCs w:val="21"/>
              </w:rPr>
            </w:pPr>
            <w:r>
              <w:rPr>
                <w:rFonts w:hint="eastAsia" w:ascii="宋体" w:hAnsi="宋体"/>
                <w:color w:val="auto"/>
                <w:spacing w:val="-6"/>
                <w:szCs w:val="21"/>
              </w:rPr>
              <w:t>呼吸系统防护:</w:t>
            </w:r>
            <w:r>
              <w:rPr>
                <w:rFonts w:ascii="宋体" w:hAnsi="宋体"/>
                <w:color w:val="auto"/>
                <w:spacing w:val="-6"/>
                <w:szCs w:val="21"/>
              </w:rPr>
              <w:t xml:space="preserve"> 一般不需要特殊防护，高浓度接触时可佩戴自吸过滤式防毒面具(半面罩)。</w:t>
            </w:r>
          </w:p>
        </w:tc>
        <w:tc>
          <w:tcPr>
            <w:tcW w:w="180" w:type="pct"/>
            <w:vMerge w:val="restart"/>
            <w:noWrap w:val="0"/>
            <w:vAlign w:val="center"/>
          </w:tcPr>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r>
              <w:rPr>
                <w:rFonts w:hint="eastAsia" w:ascii="宋体" w:hAnsi="宋体"/>
                <w:color w:val="auto"/>
                <w:szCs w:val="21"/>
              </w:rPr>
              <w:t>泄漏处理</w:t>
            </w:r>
          </w:p>
        </w:tc>
        <w:tc>
          <w:tcPr>
            <w:tcW w:w="2342" w:type="pct"/>
            <w:gridSpan w:val="8"/>
            <w:vMerge w:val="restart"/>
            <w:noWrap w:val="0"/>
            <w:vAlign w:val="top"/>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r>
              <w:rPr>
                <w:rFonts w:ascii="宋体" w:hAnsi="宋体"/>
                <w:color w:val="auto"/>
                <w:szCs w:val="21"/>
              </w:rPr>
              <w:t>小量泄漏：用</w:t>
            </w:r>
            <w:r>
              <w:rPr>
                <w:rFonts w:hint="eastAsia" w:ascii="宋体" w:hAnsi="宋体"/>
                <w:color w:val="auto"/>
                <w:szCs w:val="21"/>
                <w:lang w:eastAsia="zh-CN"/>
              </w:rPr>
              <w:t>沙土</w:t>
            </w:r>
            <w:r>
              <w:rPr>
                <w:rFonts w:ascii="宋体" w:hAnsi="宋体"/>
                <w:color w:val="auto"/>
                <w:szCs w:val="21"/>
              </w:rPr>
              <w:t>、蛭石或其它惰性材料吸收。或在保证安全的情况下，就地焚烧。大量泄漏：构筑围堤或挖坑收容；用泡沫覆盖，降低蒸气灾害。用防爆泵转移至槽车或专用收集器内，回收或运至废物处理场所处置。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81" w:hRule="atLeast"/>
          <w:jc w:val="center"/>
        </w:trPr>
        <w:tc>
          <w:tcPr>
            <w:tcW w:w="194"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282" w:type="pct"/>
            <w:gridSpan w:val="8"/>
            <w:noWrap w:val="0"/>
            <w:vAlign w:val="top"/>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r>
              <w:rPr>
                <w:rFonts w:hint="eastAsia" w:ascii="宋体" w:hAnsi="宋体"/>
                <w:color w:val="auto"/>
                <w:szCs w:val="21"/>
              </w:rPr>
              <w:t>眼睛防护:</w:t>
            </w:r>
            <w:r>
              <w:rPr>
                <w:rFonts w:ascii="宋体" w:hAnsi="宋体"/>
                <w:color w:val="auto"/>
                <w:szCs w:val="21"/>
              </w:rPr>
              <w:t xml:space="preserve"> 一般不需要特殊防护，高浓度接触时可戴化学安全防护眼镜。</w:t>
            </w:r>
          </w:p>
        </w:tc>
        <w:tc>
          <w:tcPr>
            <w:tcW w:w="180" w:type="pct"/>
            <w:vMerge w:val="continue"/>
            <w:noWrap w:val="0"/>
            <w:vAlign w:val="center"/>
          </w:tcPr>
          <w:p>
            <w:pPr>
              <w:pageBreakBefore w:val="0"/>
              <w:kinsoku/>
              <w:wordWrap/>
              <w:overflowPunct/>
              <w:topLinePunct w:val="0"/>
              <w:bidi w:val="0"/>
              <w:snapToGrid w:val="0"/>
              <w:spacing w:line="360" w:lineRule="auto"/>
              <w:ind w:left="0" w:leftChars="0" w:right="0"/>
              <w:jc w:val="center"/>
              <w:textAlignment w:val="auto"/>
              <w:rPr>
                <w:rFonts w:ascii="宋体" w:hAnsi="宋体"/>
                <w:color w:val="auto"/>
                <w:szCs w:val="21"/>
              </w:rPr>
            </w:pPr>
          </w:p>
        </w:tc>
        <w:tc>
          <w:tcPr>
            <w:tcW w:w="2342" w:type="pct"/>
            <w:gridSpan w:val="8"/>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58" w:hRule="atLeast"/>
          <w:jc w:val="center"/>
        </w:trPr>
        <w:tc>
          <w:tcPr>
            <w:tcW w:w="194"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282" w:type="pct"/>
            <w:gridSpan w:val="8"/>
            <w:noWrap w:val="0"/>
            <w:vAlign w:val="top"/>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r>
              <w:rPr>
                <w:rFonts w:hint="eastAsia" w:ascii="宋体" w:hAnsi="宋体"/>
                <w:color w:val="auto"/>
                <w:szCs w:val="21"/>
              </w:rPr>
              <w:t>身体防护:</w:t>
            </w:r>
            <w:r>
              <w:rPr>
                <w:rFonts w:ascii="宋体" w:hAnsi="宋体"/>
                <w:color w:val="auto"/>
                <w:szCs w:val="21"/>
              </w:rPr>
              <w:t xml:space="preserve"> 穿防静电工作服。</w:t>
            </w:r>
          </w:p>
        </w:tc>
        <w:tc>
          <w:tcPr>
            <w:tcW w:w="180" w:type="pct"/>
            <w:vMerge w:val="restart"/>
            <w:noWrap w:val="0"/>
            <w:vAlign w:val="center"/>
          </w:tcPr>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r>
              <w:rPr>
                <w:rFonts w:hint="eastAsia" w:ascii="宋体" w:hAnsi="宋体"/>
                <w:color w:val="auto"/>
                <w:szCs w:val="21"/>
              </w:rPr>
              <w:t>储存</w:t>
            </w:r>
          </w:p>
        </w:tc>
        <w:tc>
          <w:tcPr>
            <w:tcW w:w="2342" w:type="pct"/>
            <w:gridSpan w:val="8"/>
            <w:vMerge w:val="restart"/>
            <w:noWrap w:val="0"/>
            <w:vAlign w:val="top"/>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储存时应防止泄漏，加强通风；防止摩擦和碰撞、电气火花、雷电、静电等。防止外来火源。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84" w:hRule="atLeast"/>
          <w:jc w:val="center"/>
        </w:trPr>
        <w:tc>
          <w:tcPr>
            <w:tcW w:w="194"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282" w:type="pct"/>
            <w:gridSpan w:val="8"/>
            <w:noWrap w:val="0"/>
            <w:vAlign w:val="top"/>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ascii="宋体" w:hAnsi="宋体"/>
                <w:color w:val="auto"/>
                <w:szCs w:val="21"/>
              </w:rPr>
              <w:t>手防护：戴防苯耐油手套。</w:t>
            </w:r>
          </w:p>
        </w:tc>
        <w:tc>
          <w:tcPr>
            <w:tcW w:w="180" w:type="pct"/>
            <w:vMerge w:val="continue"/>
            <w:noWrap w:val="0"/>
            <w:vAlign w:val="center"/>
          </w:tcPr>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p>
        </w:tc>
        <w:tc>
          <w:tcPr>
            <w:tcW w:w="2342" w:type="pct"/>
            <w:gridSpan w:val="8"/>
            <w:vMerge w:val="continue"/>
            <w:noWrap w:val="0"/>
            <w:vAlign w:val="top"/>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468" w:hRule="atLeast"/>
          <w:jc w:val="center"/>
        </w:trPr>
        <w:tc>
          <w:tcPr>
            <w:tcW w:w="194"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282" w:type="pct"/>
            <w:gridSpan w:val="8"/>
            <w:vMerge w:val="restart"/>
            <w:noWrap w:val="0"/>
            <w:vAlign w:val="top"/>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r>
              <w:rPr>
                <w:rFonts w:hint="eastAsia" w:ascii="宋体" w:hAnsi="宋体"/>
                <w:color w:val="auto"/>
                <w:szCs w:val="21"/>
              </w:rPr>
              <w:t>其它:</w:t>
            </w:r>
            <w:r>
              <w:rPr>
                <w:rFonts w:ascii="宋体" w:hAnsi="宋体"/>
                <w:color w:val="auto"/>
                <w:szCs w:val="21"/>
              </w:rPr>
              <w:t xml:space="preserve"> 工作现场严禁吸烟。避免长期反复接触。</w:t>
            </w:r>
          </w:p>
        </w:tc>
        <w:tc>
          <w:tcPr>
            <w:tcW w:w="180" w:type="pct"/>
            <w:vMerge w:val="continue"/>
            <w:noWrap w:val="0"/>
            <w:vAlign w:val="center"/>
          </w:tcPr>
          <w:p>
            <w:pPr>
              <w:pageBreakBefore w:val="0"/>
              <w:kinsoku/>
              <w:wordWrap/>
              <w:overflowPunct/>
              <w:topLinePunct w:val="0"/>
              <w:bidi w:val="0"/>
              <w:snapToGrid w:val="0"/>
              <w:spacing w:line="360" w:lineRule="auto"/>
              <w:ind w:left="0" w:leftChars="0" w:right="0"/>
              <w:jc w:val="center"/>
              <w:textAlignment w:val="auto"/>
              <w:rPr>
                <w:rFonts w:ascii="宋体" w:hAnsi="宋体"/>
                <w:color w:val="auto"/>
                <w:szCs w:val="21"/>
              </w:rPr>
            </w:pPr>
          </w:p>
        </w:tc>
        <w:tc>
          <w:tcPr>
            <w:tcW w:w="2342" w:type="pct"/>
            <w:gridSpan w:val="8"/>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81" w:hRule="atLeast"/>
          <w:jc w:val="center"/>
        </w:trPr>
        <w:tc>
          <w:tcPr>
            <w:tcW w:w="194"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282" w:type="pct"/>
            <w:gridSpan w:val="8"/>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180" w:type="pct"/>
            <w:noWrap w:val="0"/>
            <w:vAlign w:val="center"/>
          </w:tcPr>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r>
              <w:rPr>
                <w:rFonts w:hint="eastAsia" w:ascii="宋体" w:hAnsi="宋体"/>
                <w:color w:val="auto"/>
                <w:szCs w:val="21"/>
              </w:rPr>
              <w:t>运输</w:t>
            </w:r>
          </w:p>
        </w:tc>
        <w:tc>
          <w:tcPr>
            <w:tcW w:w="2342" w:type="pct"/>
            <w:gridSpan w:val="8"/>
            <w:noWrap w:val="0"/>
            <w:vAlign w:val="top"/>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pacing w:val="-6"/>
                <w:szCs w:val="21"/>
              </w:rPr>
            </w:pPr>
            <w:r>
              <w:rPr>
                <w:rFonts w:hint="eastAsia" w:ascii="宋体" w:hAnsi="宋体"/>
                <w:color w:val="auto"/>
                <w:spacing w:val="-6"/>
                <w:szCs w:val="21"/>
              </w:rPr>
              <w:t>运输时须贴“易燃液体”标签，防止静电产生。</w:t>
            </w:r>
          </w:p>
        </w:tc>
      </w:tr>
    </w:tbl>
    <w:p>
      <w:pPr>
        <w:pageBreakBefore w:val="0"/>
        <w:kinsoku/>
        <w:wordWrap/>
        <w:overflowPunct/>
        <w:topLinePunct w:val="0"/>
        <w:bidi w:val="0"/>
        <w:snapToGrid w:val="0"/>
        <w:spacing w:line="360" w:lineRule="auto"/>
        <w:ind w:left="0" w:leftChars="0" w:right="0" w:firstLine="482" w:firstLineChars="200"/>
        <w:jc w:val="center"/>
        <w:textAlignment w:val="auto"/>
        <w:rPr>
          <w:rFonts w:hint="eastAsia" w:ascii="Times New Roman" w:hAnsi="Times New Roman" w:eastAsia="黑体"/>
          <w:b/>
          <w:color w:val="auto"/>
          <w:sz w:val="24"/>
          <w:lang w:val="en-US" w:eastAsia="zh-CN"/>
        </w:rPr>
      </w:pPr>
      <w:r>
        <w:rPr>
          <w:rFonts w:hint="eastAsia" w:ascii="Times New Roman" w:hAnsi="Times New Roman" w:eastAsia="黑体"/>
          <w:b/>
          <w:color w:val="auto"/>
          <w:sz w:val="24"/>
          <w:lang w:val="en-US" w:eastAsia="zh-CN"/>
        </w:rPr>
        <w:t>表1-4 柴油安全数据表</w:t>
      </w:r>
    </w:p>
    <w:tbl>
      <w:tblPr>
        <w:tblStyle w:val="50"/>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8" w:type="dxa"/>
          <w:bottom w:w="0" w:type="dxa"/>
          <w:right w:w="28" w:type="dxa"/>
        </w:tblCellMar>
      </w:tblPr>
      <w:tblGrid>
        <w:gridCol w:w="354"/>
        <w:gridCol w:w="657"/>
        <w:gridCol w:w="219"/>
        <w:gridCol w:w="548"/>
        <w:gridCol w:w="327"/>
        <w:gridCol w:w="341"/>
        <w:gridCol w:w="1523"/>
        <w:gridCol w:w="551"/>
        <w:gridCol w:w="327"/>
        <w:gridCol w:w="982"/>
        <w:gridCol w:w="425"/>
        <w:gridCol w:w="236"/>
        <w:gridCol w:w="438"/>
        <w:gridCol w:w="548"/>
        <w:gridCol w:w="626"/>
        <w:gridCol w:w="251"/>
        <w:gridCol w:w="7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554" w:type="pct"/>
            <w:gridSpan w:val="2"/>
            <w:noWrap w:val="0"/>
            <w:vAlign w:val="center"/>
          </w:tcPr>
          <w:p>
            <w:pPr>
              <w:pStyle w:val="27"/>
              <w:pageBreakBefore w:val="0"/>
              <w:kinsoku/>
              <w:wordWrap/>
              <w:overflowPunct/>
              <w:topLinePunct w:val="0"/>
              <w:bidi w:val="0"/>
              <w:snapToGrid w:val="0"/>
              <w:spacing w:line="360" w:lineRule="auto"/>
              <w:ind w:left="0" w:leftChars="0" w:right="0"/>
              <w:textAlignment w:val="auto"/>
              <w:rPr>
                <w:rFonts w:hAnsi="宋体"/>
                <w:color w:val="auto"/>
                <w:sz w:val="21"/>
                <w:szCs w:val="21"/>
              </w:rPr>
            </w:pPr>
            <w:r>
              <w:rPr>
                <w:rFonts w:hint="eastAsia" w:hAnsi="宋体"/>
                <w:color w:val="auto"/>
                <w:sz w:val="21"/>
                <w:szCs w:val="21"/>
              </w:rPr>
              <w:t>CAS:</w:t>
            </w:r>
          </w:p>
        </w:tc>
        <w:tc>
          <w:tcPr>
            <w:tcW w:w="1922" w:type="pct"/>
            <w:gridSpan w:val="6"/>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w:t>
            </w:r>
          </w:p>
        </w:tc>
        <w:tc>
          <w:tcPr>
            <w:tcW w:w="717" w:type="pct"/>
            <w:gridSpan w:val="2"/>
            <w:noWrap w:val="0"/>
            <w:vAlign w:val="center"/>
          </w:tcPr>
          <w:p>
            <w:pPr>
              <w:pStyle w:val="27"/>
              <w:pageBreakBefore w:val="0"/>
              <w:kinsoku/>
              <w:wordWrap/>
              <w:overflowPunct/>
              <w:topLinePunct w:val="0"/>
              <w:bidi w:val="0"/>
              <w:snapToGrid w:val="0"/>
              <w:spacing w:line="360" w:lineRule="auto"/>
              <w:ind w:left="0" w:leftChars="0" w:right="0"/>
              <w:textAlignment w:val="auto"/>
              <w:rPr>
                <w:rFonts w:hint="eastAsia" w:hAnsi="宋体"/>
                <w:color w:val="auto"/>
                <w:sz w:val="21"/>
                <w:szCs w:val="21"/>
              </w:rPr>
            </w:pPr>
            <w:r>
              <w:rPr>
                <w:rFonts w:hint="eastAsia" w:hAnsi="宋体"/>
                <w:color w:val="auto"/>
                <w:sz w:val="21"/>
                <w:szCs w:val="21"/>
              </w:rPr>
              <w:t>序号</w:t>
            </w:r>
          </w:p>
        </w:tc>
        <w:tc>
          <w:tcPr>
            <w:tcW w:w="1805" w:type="pct"/>
            <w:gridSpan w:val="7"/>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1674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554" w:type="pct"/>
            <w:gridSpan w:val="2"/>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中文名称</w:t>
            </w:r>
          </w:p>
        </w:tc>
        <w:tc>
          <w:tcPr>
            <w:tcW w:w="1922" w:type="pct"/>
            <w:gridSpan w:val="6"/>
            <w:noWrap w:val="0"/>
            <w:vAlign w:val="center"/>
          </w:tcPr>
          <w:p>
            <w:pPr>
              <w:pageBreakBefore w:val="0"/>
              <w:kinsoku/>
              <w:wordWrap/>
              <w:overflowPunct/>
              <w:topLinePunct w:val="0"/>
              <w:autoSpaceDE w:val="0"/>
              <w:autoSpaceDN w:val="0"/>
              <w:bidi w:val="0"/>
              <w:adjustRightInd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柴油</w:t>
            </w:r>
          </w:p>
        </w:tc>
        <w:tc>
          <w:tcPr>
            <w:tcW w:w="179" w:type="pct"/>
            <w:vMerge w:val="restart"/>
            <w:noWrap w:val="0"/>
            <w:vAlign w:val="center"/>
          </w:tcPr>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r>
              <w:rPr>
                <w:rFonts w:hint="eastAsia" w:ascii="宋体" w:hAnsi="宋体"/>
                <w:color w:val="auto"/>
                <w:szCs w:val="21"/>
              </w:rPr>
              <w:t>理化性质</w:t>
            </w:r>
          </w:p>
        </w:tc>
        <w:tc>
          <w:tcPr>
            <w:tcW w:w="2343" w:type="pct"/>
            <w:gridSpan w:val="8"/>
            <w:vMerge w:val="restart"/>
            <w:noWrap w:val="0"/>
            <w:vAlign w:val="top"/>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r>
              <w:rPr>
                <w:rFonts w:hint="eastAsia" w:ascii="宋体" w:hAnsi="宋体"/>
                <w:color w:val="auto"/>
                <w:szCs w:val="21"/>
              </w:rPr>
              <w:t>外观及性状:</w:t>
            </w:r>
            <w:r>
              <w:rPr>
                <w:rFonts w:ascii="宋体" w:hAnsi="宋体"/>
                <w:color w:val="auto"/>
                <w:szCs w:val="21"/>
              </w:rPr>
              <w:t xml:space="preserve"> </w:t>
            </w:r>
            <w:r>
              <w:rPr>
                <w:rFonts w:hint="eastAsia" w:ascii="宋体" w:hAnsi="宋体"/>
                <w:color w:val="auto"/>
                <w:szCs w:val="21"/>
              </w:rPr>
              <w:t>淡黄色碳氢化合物液体。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554" w:type="pct"/>
            <w:gridSpan w:val="2"/>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英文名称</w:t>
            </w:r>
          </w:p>
        </w:tc>
        <w:tc>
          <w:tcPr>
            <w:tcW w:w="1922" w:type="pct"/>
            <w:gridSpan w:val="6"/>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ascii="宋体" w:hAnsi="宋体"/>
                <w:color w:val="auto"/>
                <w:szCs w:val="21"/>
              </w:rPr>
              <w:t>dieseloil</w:t>
            </w:r>
          </w:p>
        </w:tc>
        <w:tc>
          <w:tcPr>
            <w:tcW w:w="179"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343" w:type="pct"/>
            <w:gridSpan w:val="8"/>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554" w:type="pct"/>
            <w:gridSpan w:val="2"/>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分子式</w:t>
            </w:r>
          </w:p>
        </w:tc>
        <w:tc>
          <w:tcPr>
            <w:tcW w:w="1922" w:type="pct"/>
            <w:gridSpan w:val="6"/>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ascii="宋体" w:hAnsi="宋体"/>
                <w:color w:val="auto"/>
                <w:szCs w:val="21"/>
              </w:rPr>
              <w:t>C</w:t>
            </w:r>
            <w:r>
              <w:rPr>
                <w:rFonts w:ascii="宋体" w:hAnsi="宋体"/>
                <w:color w:val="auto"/>
                <w:szCs w:val="21"/>
                <w:vertAlign w:val="subscript"/>
              </w:rPr>
              <w:t>15</w:t>
            </w:r>
            <w:r>
              <w:rPr>
                <w:rFonts w:ascii="宋体" w:hAnsi="宋体"/>
                <w:color w:val="auto"/>
                <w:szCs w:val="21"/>
              </w:rPr>
              <w:t>-C</w:t>
            </w:r>
            <w:r>
              <w:rPr>
                <w:rFonts w:ascii="宋体" w:hAnsi="宋体"/>
                <w:color w:val="auto"/>
                <w:szCs w:val="21"/>
                <w:vertAlign w:val="subscript"/>
              </w:rPr>
              <w:t>24</w:t>
            </w:r>
          </w:p>
        </w:tc>
        <w:tc>
          <w:tcPr>
            <w:tcW w:w="179"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900" w:type="pct"/>
            <w:gridSpan w:val="3"/>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熔点:</w:t>
            </w:r>
            <w:r>
              <w:rPr>
                <w:rFonts w:ascii="宋体" w:hAnsi="宋体"/>
                <w:color w:val="auto"/>
                <w:szCs w:val="21"/>
              </w:rPr>
              <w:t xml:space="preserve"> </w:t>
            </w:r>
            <w:r>
              <w:rPr>
                <w:rFonts w:hint="eastAsia" w:ascii="宋体" w:hAnsi="宋体"/>
                <w:color w:val="auto"/>
                <w:szCs w:val="21"/>
              </w:rPr>
              <w:t xml:space="preserve"> -18</w:t>
            </w:r>
          </w:p>
        </w:tc>
        <w:tc>
          <w:tcPr>
            <w:tcW w:w="239" w:type="pct"/>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w:t>
            </w:r>
          </w:p>
        </w:tc>
        <w:tc>
          <w:tcPr>
            <w:tcW w:w="1202" w:type="pct"/>
            <w:gridSpan w:val="4"/>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蒸汽压: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restart"/>
            <w:noWrap w:val="0"/>
            <w:vAlign w:val="center"/>
          </w:tcPr>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r>
              <w:rPr>
                <w:rFonts w:hint="eastAsia" w:ascii="宋体" w:hAnsi="宋体"/>
                <w:color w:val="auto"/>
                <w:szCs w:val="21"/>
              </w:rPr>
              <w:t>燃烧爆炸危险性</w:t>
            </w:r>
          </w:p>
        </w:tc>
        <w:tc>
          <w:tcPr>
            <w:tcW w:w="480" w:type="pct"/>
            <w:gridSpan w:val="2"/>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 xml:space="preserve">闪点: </w:t>
            </w:r>
          </w:p>
        </w:tc>
        <w:tc>
          <w:tcPr>
            <w:tcW w:w="300" w:type="pct"/>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p>
        </w:tc>
        <w:tc>
          <w:tcPr>
            <w:tcW w:w="179" w:type="pct"/>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w:t>
            </w:r>
          </w:p>
        </w:tc>
        <w:tc>
          <w:tcPr>
            <w:tcW w:w="1021" w:type="pct"/>
            <w:gridSpan w:val="2"/>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爆炸极限:无资料</w:t>
            </w:r>
          </w:p>
        </w:tc>
        <w:tc>
          <w:tcPr>
            <w:tcW w:w="301" w:type="pct"/>
            <w:noWrap w:val="0"/>
            <w:vAlign w:val="center"/>
          </w:tcPr>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r>
              <w:rPr>
                <w:rFonts w:hint="eastAsia" w:ascii="宋体" w:hAnsi="宋体"/>
                <w:color w:val="auto"/>
                <w:szCs w:val="21"/>
              </w:rPr>
              <w:t>(V%)</w:t>
            </w:r>
          </w:p>
        </w:tc>
        <w:tc>
          <w:tcPr>
            <w:tcW w:w="179"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900" w:type="pct"/>
            <w:gridSpan w:val="3"/>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 xml:space="preserve">沸点:  </w:t>
            </w:r>
            <w:r>
              <w:rPr>
                <w:rFonts w:ascii="宋体" w:hAnsi="宋体"/>
                <w:color w:val="auto"/>
                <w:szCs w:val="21"/>
              </w:rPr>
              <w:t>282-338</w:t>
            </w:r>
          </w:p>
        </w:tc>
        <w:tc>
          <w:tcPr>
            <w:tcW w:w="239" w:type="pct"/>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w:t>
            </w:r>
          </w:p>
        </w:tc>
        <w:tc>
          <w:tcPr>
            <w:tcW w:w="300" w:type="pct"/>
            <w:vMerge w:val="restart"/>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相对密度</w:t>
            </w:r>
          </w:p>
        </w:tc>
        <w:tc>
          <w:tcPr>
            <w:tcW w:w="342" w:type="pct"/>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 xml:space="preserve">空气: </w:t>
            </w:r>
          </w:p>
        </w:tc>
        <w:tc>
          <w:tcPr>
            <w:tcW w:w="559" w:type="pct"/>
            <w:gridSpan w:val="2"/>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0.87～0.9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480" w:type="pct"/>
            <w:gridSpan w:val="2"/>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 xml:space="preserve">自燃点: </w:t>
            </w:r>
          </w:p>
        </w:tc>
        <w:tc>
          <w:tcPr>
            <w:tcW w:w="300" w:type="pct"/>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ascii="宋体" w:hAnsi="宋体"/>
                <w:color w:val="auto"/>
                <w:szCs w:val="21"/>
              </w:rPr>
              <w:t>257</w:t>
            </w:r>
          </w:p>
        </w:tc>
        <w:tc>
          <w:tcPr>
            <w:tcW w:w="179" w:type="pct"/>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w:t>
            </w:r>
          </w:p>
        </w:tc>
        <w:tc>
          <w:tcPr>
            <w:tcW w:w="1021" w:type="pct"/>
            <w:gridSpan w:val="2"/>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火灾危险类别: 丙</w:t>
            </w:r>
          </w:p>
        </w:tc>
        <w:tc>
          <w:tcPr>
            <w:tcW w:w="301" w:type="pct"/>
            <w:noWrap w:val="0"/>
            <w:vAlign w:val="center"/>
          </w:tcPr>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r>
              <w:rPr>
                <w:rFonts w:hint="eastAsia" w:ascii="宋体" w:hAnsi="宋体"/>
                <w:color w:val="auto"/>
                <w:szCs w:val="21"/>
              </w:rPr>
              <w:t>类</w:t>
            </w:r>
          </w:p>
        </w:tc>
        <w:tc>
          <w:tcPr>
            <w:tcW w:w="179"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1140" w:type="pct"/>
            <w:gridSpan w:val="4"/>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溶解度: 不溶于水</w:t>
            </w:r>
          </w:p>
        </w:tc>
        <w:tc>
          <w:tcPr>
            <w:tcW w:w="300"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p>
        </w:tc>
        <w:tc>
          <w:tcPr>
            <w:tcW w:w="342" w:type="pct"/>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 xml:space="preserve">水: </w:t>
            </w:r>
          </w:p>
        </w:tc>
        <w:tc>
          <w:tcPr>
            <w:tcW w:w="559" w:type="pct"/>
            <w:gridSpan w:val="2"/>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0.85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70" w:hRule="atLeast"/>
          <w:jc w:val="center"/>
        </w:trPr>
        <w:tc>
          <w:tcPr>
            <w:tcW w:w="194"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282" w:type="pct"/>
            <w:gridSpan w:val="7"/>
            <w:vMerge w:val="restart"/>
            <w:noWrap w:val="0"/>
            <w:vAlign w:val="top"/>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r>
              <w:rPr>
                <w:rFonts w:hint="eastAsia" w:ascii="宋体" w:hAnsi="宋体"/>
                <w:color w:val="auto"/>
                <w:szCs w:val="21"/>
              </w:rPr>
              <w:t>危险特性:</w:t>
            </w:r>
            <w:r>
              <w:rPr>
                <w:rFonts w:ascii="宋体" w:hAnsi="宋体"/>
                <w:color w:val="auto"/>
                <w:szCs w:val="21"/>
              </w:rPr>
              <w:t xml:space="preserve"> </w:t>
            </w:r>
            <w:r>
              <w:rPr>
                <w:rFonts w:hint="eastAsia" w:ascii="宋体" w:hAnsi="宋体"/>
                <w:color w:val="auto"/>
                <w:szCs w:val="21"/>
              </w:rPr>
              <w:t>遇明火、高热或与氧化剂接触，有引起燃烧爆炸的危险。若遇高热，容器内压增大，有开裂和爆炸的危险。</w:t>
            </w:r>
          </w:p>
        </w:tc>
        <w:tc>
          <w:tcPr>
            <w:tcW w:w="179" w:type="pct"/>
            <w:vMerge w:val="restart"/>
            <w:noWrap w:val="0"/>
            <w:vAlign w:val="center"/>
          </w:tcPr>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r>
              <w:rPr>
                <w:rFonts w:hint="eastAsia" w:ascii="宋体" w:hAnsi="宋体"/>
                <w:color w:val="auto"/>
                <w:szCs w:val="21"/>
              </w:rPr>
              <w:t>毒</w:t>
            </w:r>
          </w:p>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p>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r>
              <w:rPr>
                <w:rFonts w:hint="eastAsia" w:ascii="宋体" w:hAnsi="宋体"/>
                <w:color w:val="auto"/>
                <w:szCs w:val="21"/>
              </w:rPr>
              <w:t>害</w:t>
            </w:r>
          </w:p>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p>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r>
              <w:rPr>
                <w:rFonts w:hint="eastAsia" w:ascii="宋体" w:hAnsi="宋体"/>
                <w:color w:val="auto"/>
                <w:szCs w:val="21"/>
              </w:rPr>
              <w:t>性</w:t>
            </w:r>
          </w:p>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p>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r>
              <w:rPr>
                <w:rFonts w:hint="eastAsia" w:ascii="宋体" w:hAnsi="宋体"/>
                <w:color w:val="auto"/>
                <w:szCs w:val="21"/>
              </w:rPr>
              <w:t>及</w:t>
            </w:r>
          </w:p>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p>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r>
              <w:rPr>
                <w:rFonts w:hint="eastAsia" w:ascii="宋体" w:hAnsi="宋体"/>
                <w:color w:val="auto"/>
                <w:szCs w:val="21"/>
              </w:rPr>
              <w:t>健</w:t>
            </w:r>
          </w:p>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p>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r>
              <w:rPr>
                <w:rFonts w:hint="eastAsia" w:ascii="宋体" w:hAnsi="宋体"/>
                <w:color w:val="auto"/>
                <w:szCs w:val="21"/>
              </w:rPr>
              <w:t>康</w:t>
            </w:r>
          </w:p>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p>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r>
              <w:rPr>
                <w:rFonts w:hint="eastAsia" w:ascii="宋体" w:hAnsi="宋体"/>
                <w:color w:val="auto"/>
                <w:szCs w:val="21"/>
              </w:rPr>
              <w:t>危</w:t>
            </w:r>
          </w:p>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p>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r>
              <w:rPr>
                <w:rFonts w:hint="eastAsia" w:ascii="宋体" w:hAnsi="宋体"/>
                <w:color w:val="auto"/>
                <w:szCs w:val="21"/>
              </w:rPr>
              <w:t>害</w:t>
            </w:r>
          </w:p>
        </w:tc>
        <w:tc>
          <w:tcPr>
            <w:tcW w:w="1783" w:type="pct"/>
            <w:gridSpan w:val="6"/>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r>
              <w:rPr>
                <w:rFonts w:hint="eastAsia" w:ascii="宋体" w:hAnsi="宋体"/>
                <w:color w:val="auto"/>
                <w:szCs w:val="21"/>
              </w:rPr>
              <w:t>职业性接触毒物危害程度分级:</w:t>
            </w:r>
          </w:p>
        </w:tc>
        <w:tc>
          <w:tcPr>
            <w:tcW w:w="559" w:type="pct"/>
            <w:gridSpan w:val="2"/>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无资料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468" w:hRule="atLeast"/>
          <w:jc w:val="center"/>
        </w:trPr>
        <w:tc>
          <w:tcPr>
            <w:tcW w:w="194"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282" w:type="pct"/>
            <w:gridSpan w:val="7"/>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179"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343" w:type="pct"/>
            <w:gridSpan w:val="8"/>
            <w:vMerge w:val="restart"/>
            <w:noWrap w:val="0"/>
            <w:vAlign w:val="top"/>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毒性资料:</w:t>
            </w:r>
            <w:r>
              <w:rPr>
                <w:rFonts w:ascii="宋体" w:hAnsi="宋体"/>
                <w:color w:val="auto"/>
                <w:szCs w:val="21"/>
              </w:rPr>
              <w:t xml:space="preserve"> </w:t>
            </w:r>
            <w:r>
              <w:rPr>
                <w:rFonts w:hint="eastAsia" w:ascii="宋体" w:hAnsi="宋体"/>
                <w:color w:val="auto"/>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282" w:type="pct"/>
            <w:gridSpan w:val="7"/>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燃烧(分解)产物:</w:t>
            </w:r>
            <w:r>
              <w:rPr>
                <w:rFonts w:ascii="宋体" w:hAnsi="宋体"/>
                <w:color w:val="auto"/>
                <w:szCs w:val="21"/>
              </w:rPr>
              <w:t xml:space="preserve"> </w:t>
            </w:r>
            <w:r>
              <w:rPr>
                <w:rFonts w:hint="eastAsia" w:ascii="宋体" w:hAnsi="宋体"/>
                <w:color w:val="auto"/>
                <w:szCs w:val="21"/>
              </w:rPr>
              <w:t>二氧化碳和一氧化碳</w:t>
            </w:r>
          </w:p>
        </w:tc>
        <w:tc>
          <w:tcPr>
            <w:tcW w:w="179"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343" w:type="pct"/>
            <w:gridSpan w:val="8"/>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1146" w:type="pct"/>
            <w:gridSpan w:val="5"/>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r>
              <w:rPr>
                <w:rFonts w:hint="eastAsia" w:ascii="宋体" w:hAnsi="宋体"/>
                <w:color w:val="auto"/>
                <w:szCs w:val="21"/>
              </w:rPr>
              <w:t>稳定性: 稳定</w:t>
            </w:r>
          </w:p>
        </w:tc>
        <w:tc>
          <w:tcPr>
            <w:tcW w:w="1136" w:type="pct"/>
            <w:gridSpan w:val="2"/>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r>
              <w:rPr>
                <w:rFonts w:hint="eastAsia" w:ascii="宋体" w:hAnsi="宋体"/>
                <w:color w:val="auto"/>
                <w:szCs w:val="21"/>
              </w:rPr>
              <w:t>聚合危害: 无资料</w:t>
            </w:r>
          </w:p>
        </w:tc>
        <w:tc>
          <w:tcPr>
            <w:tcW w:w="179"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343" w:type="pct"/>
            <w:gridSpan w:val="8"/>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282" w:type="pct"/>
            <w:gridSpan w:val="7"/>
            <w:vMerge w:val="restart"/>
            <w:noWrap w:val="0"/>
            <w:vAlign w:val="top"/>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禁忌物:</w:t>
            </w:r>
            <w:r>
              <w:rPr>
                <w:rFonts w:ascii="宋体" w:hAnsi="宋体" w:cs="Arial"/>
                <w:color w:val="auto"/>
                <w:szCs w:val="21"/>
              </w:rPr>
              <w:t xml:space="preserve"> </w:t>
            </w:r>
            <w:r>
              <w:rPr>
                <w:rFonts w:hint="eastAsia" w:ascii="宋体" w:hAnsi="宋体"/>
                <w:color w:val="auto"/>
                <w:szCs w:val="21"/>
              </w:rPr>
              <w:t>强氧化剂、卤素</w:t>
            </w:r>
          </w:p>
        </w:tc>
        <w:tc>
          <w:tcPr>
            <w:tcW w:w="179"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343" w:type="pct"/>
            <w:gridSpan w:val="8"/>
            <w:noWrap w:val="0"/>
            <w:vAlign w:val="center"/>
          </w:tcPr>
          <w:p>
            <w:pPr>
              <w:pageBreakBefore w:val="0"/>
              <w:kinsoku/>
              <w:wordWrap/>
              <w:overflowPunct/>
              <w:topLinePunct w:val="0"/>
              <w:bidi w:val="0"/>
              <w:snapToGrid w:val="0"/>
              <w:spacing w:line="360" w:lineRule="auto"/>
              <w:ind w:left="0" w:leftChars="0" w:right="0"/>
              <w:jc w:val="center"/>
              <w:textAlignment w:val="auto"/>
              <w:rPr>
                <w:rFonts w:ascii="宋体" w:hAnsi="宋体"/>
                <w:color w:val="auto"/>
                <w:szCs w:val="21"/>
              </w:rPr>
            </w:pPr>
            <w:r>
              <w:rPr>
                <w:rFonts w:hint="eastAsia" w:ascii="宋体" w:hAnsi="宋体"/>
                <w:color w:val="auto"/>
                <w:szCs w:val="21"/>
              </w:rPr>
              <w:t>职业接触限值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282" w:type="pct"/>
            <w:gridSpan w:val="7"/>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179"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771" w:type="pct"/>
            <w:gridSpan w:val="2"/>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MAC:</w:t>
            </w:r>
          </w:p>
        </w:tc>
        <w:tc>
          <w:tcPr>
            <w:tcW w:w="1149" w:type="pct"/>
            <w:gridSpan w:val="5"/>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无资料</w:t>
            </w:r>
          </w:p>
        </w:tc>
        <w:tc>
          <w:tcPr>
            <w:tcW w:w="421" w:type="pct"/>
            <w:noWrap w:val="0"/>
            <w:vAlign w:val="center"/>
          </w:tcPr>
          <w:p>
            <w:pPr>
              <w:pageBreakBefore w:val="0"/>
              <w:kinsoku/>
              <w:wordWrap/>
              <w:overflowPunct/>
              <w:topLinePunct w:val="0"/>
              <w:bidi w:val="0"/>
              <w:snapToGrid w:val="0"/>
              <w:spacing w:line="360" w:lineRule="auto"/>
              <w:ind w:left="0" w:leftChars="0" w:right="0"/>
              <w:jc w:val="right"/>
              <w:textAlignment w:val="auto"/>
              <w:rPr>
                <w:rFonts w:hint="eastAsia" w:ascii="宋体" w:hAnsi="宋体"/>
                <w:color w:val="auto"/>
                <w:szCs w:val="21"/>
              </w:rPr>
            </w:pPr>
            <w:r>
              <w:rPr>
                <w:rFonts w:hint="eastAsia" w:ascii="宋体" w:hAnsi="宋体"/>
                <w:color w:val="auto"/>
                <w:szCs w:val="21"/>
              </w:rPr>
              <w:t>mg/m</w:t>
            </w:r>
            <w:r>
              <w:rPr>
                <w:rFonts w:hint="eastAsia" w:ascii="宋体" w:hAnsi="宋体"/>
                <w:color w:val="auto"/>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282" w:type="pct"/>
            <w:gridSpan w:val="7"/>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r>
              <w:rPr>
                <w:rFonts w:hint="eastAsia" w:ascii="宋体" w:hAnsi="宋体"/>
                <w:color w:val="auto"/>
                <w:szCs w:val="21"/>
              </w:rPr>
              <w:t>避免接触的条件: 防火星、明火、高热</w:t>
            </w:r>
          </w:p>
        </w:tc>
        <w:tc>
          <w:tcPr>
            <w:tcW w:w="179"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771" w:type="pct"/>
            <w:gridSpan w:val="2"/>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PC-TWA:</w:t>
            </w:r>
          </w:p>
        </w:tc>
        <w:tc>
          <w:tcPr>
            <w:tcW w:w="1149" w:type="pct"/>
            <w:gridSpan w:val="5"/>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无资料</w:t>
            </w:r>
          </w:p>
        </w:tc>
        <w:tc>
          <w:tcPr>
            <w:tcW w:w="421" w:type="pct"/>
            <w:noWrap w:val="0"/>
            <w:vAlign w:val="center"/>
          </w:tcPr>
          <w:p>
            <w:pPr>
              <w:pageBreakBefore w:val="0"/>
              <w:kinsoku/>
              <w:wordWrap/>
              <w:overflowPunct/>
              <w:topLinePunct w:val="0"/>
              <w:bidi w:val="0"/>
              <w:snapToGrid w:val="0"/>
              <w:spacing w:line="360" w:lineRule="auto"/>
              <w:ind w:left="0" w:leftChars="0" w:right="0"/>
              <w:jc w:val="right"/>
              <w:textAlignment w:val="auto"/>
              <w:rPr>
                <w:rFonts w:ascii="宋体" w:hAnsi="宋体"/>
                <w:color w:val="auto"/>
                <w:szCs w:val="21"/>
              </w:rPr>
            </w:pPr>
            <w:r>
              <w:rPr>
                <w:rFonts w:hint="eastAsia" w:ascii="宋体" w:hAnsi="宋体"/>
                <w:color w:val="auto"/>
                <w:szCs w:val="21"/>
              </w:rPr>
              <w:t>mg/m</w:t>
            </w:r>
            <w:r>
              <w:rPr>
                <w:rFonts w:hint="eastAsia" w:ascii="宋体" w:hAnsi="宋体"/>
                <w:color w:val="auto"/>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282" w:type="pct"/>
            <w:gridSpan w:val="7"/>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r>
              <w:rPr>
                <w:rFonts w:hint="eastAsia" w:ascii="宋体" w:hAnsi="宋体"/>
                <w:color w:val="auto"/>
                <w:szCs w:val="21"/>
              </w:rPr>
              <w:t>灭火剂:</w:t>
            </w:r>
            <w:r>
              <w:rPr>
                <w:rFonts w:ascii="宋体" w:hAnsi="宋体"/>
                <w:color w:val="auto"/>
                <w:szCs w:val="21"/>
              </w:rPr>
              <w:t xml:space="preserve"> </w:t>
            </w:r>
            <w:r>
              <w:rPr>
                <w:rFonts w:hint="eastAsia" w:ascii="宋体" w:hAnsi="宋体"/>
                <w:color w:val="auto"/>
                <w:szCs w:val="21"/>
              </w:rPr>
              <w:t>用沙覆盖，使用泡沫、干粉、二氧化碳做灭火剂。</w:t>
            </w:r>
          </w:p>
        </w:tc>
        <w:tc>
          <w:tcPr>
            <w:tcW w:w="179"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771" w:type="pct"/>
            <w:gridSpan w:val="2"/>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PC-STEL:</w:t>
            </w:r>
          </w:p>
        </w:tc>
        <w:tc>
          <w:tcPr>
            <w:tcW w:w="1149" w:type="pct"/>
            <w:gridSpan w:val="5"/>
            <w:noWrap w:val="0"/>
            <w:vAlign w:val="center"/>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无资料</w:t>
            </w:r>
          </w:p>
        </w:tc>
        <w:tc>
          <w:tcPr>
            <w:tcW w:w="421" w:type="pct"/>
            <w:noWrap w:val="0"/>
            <w:vAlign w:val="center"/>
          </w:tcPr>
          <w:p>
            <w:pPr>
              <w:pageBreakBefore w:val="0"/>
              <w:kinsoku/>
              <w:wordWrap/>
              <w:overflowPunct/>
              <w:topLinePunct w:val="0"/>
              <w:bidi w:val="0"/>
              <w:snapToGrid w:val="0"/>
              <w:spacing w:line="360" w:lineRule="auto"/>
              <w:ind w:left="0" w:leftChars="0" w:right="0"/>
              <w:jc w:val="right"/>
              <w:textAlignment w:val="auto"/>
              <w:rPr>
                <w:rFonts w:ascii="宋体" w:hAnsi="宋体"/>
                <w:color w:val="auto"/>
                <w:szCs w:val="21"/>
              </w:rPr>
            </w:pPr>
            <w:r>
              <w:rPr>
                <w:rFonts w:hint="eastAsia" w:ascii="宋体" w:hAnsi="宋体"/>
                <w:color w:val="auto"/>
                <w:szCs w:val="21"/>
              </w:rPr>
              <w:t>mg/m</w:t>
            </w:r>
            <w:r>
              <w:rPr>
                <w:rFonts w:hint="eastAsia" w:ascii="宋体" w:hAnsi="宋体"/>
                <w:color w:val="auto"/>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282" w:type="pct"/>
            <w:gridSpan w:val="7"/>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r>
              <w:rPr>
                <w:rFonts w:hint="eastAsia" w:ascii="宋体" w:hAnsi="宋体"/>
                <w:color w:val="auto"/>
                <w:szCs w:val="21"/>
              </w:rPr>
              <w:t>禁用灭火剂: 用水灭火无效。</w:t>
            </w:r>
          </w:p>
        </w:tc>
        <w:tc>
          <w:tcPr>
            <w:tcW w:w="179"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343" w:type="pct"/>
            <w:gridSpan w:val="8"/>
            <w:noWrap w:val="0"/>
            <w:vAlign w:val="center"/>
          </w:tcPr>
          <w:p>
            <w:pPr>
              <w:pageBreakBefore w:val="0"/>
              <w:kinsoku/>
              <w:wordWrap/>
              <w:overflowPunct/>
              <w:topLinePunct w:val="0"/>
              <w:bidi w:val="0"/>
              <w:snapToGrid w:val="0"/>
              <w:spacing w:line="360" w:lineRule="auto"/>
              <w:ind w:left="0" w:leftChars="0" w:right="0"/>
              <w:jc w:val="center"/>
              <w:textAlignment w:val="auto"/>
              <w:rPr>
                <w:rFonts w:ascii="宋体" w:hAnsi="宋体"/>
                <w:color w:val="auto"/>
                <w:szCs w:val="21"/>
              </w:rPr>
            </w:pPr>
            <w:r>
              <w:rPr>
                <w:rFonts w:hint="eastAsia" w:ascii="宋体" w:hAnsi="宋体"/>
                <w:color w:val="auto"/>
                <w:szCs w:val="21"/>
              </w:rPr>
              <w:t>侵入途径及健康危害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restart"/>
            <w:noWrap w:val="0"/>
            <w:vAlign w:val="center"/>
          </w:tcPr>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r>
              <w:rPr>
                <w:rFonts w:hint="eastAsia" w:ascii="宋体" w:hAnsi="宋体"/>
                <w:color w:val="auto"/>
                <w:szCs w:val="21"/>
              </w:rPr>
              <w:t>急</w:t>
            </w:r>
          </w:p>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r>
              <w:rPr>
                <w:rFonts w:hint="eastAsia" w:ascii="宋体" w:hAnsi="宋体"/>
                <w:color w:val="auto"/>
                <w:szCs w:val="21"/>
              </w:rPr>
              <w:t>救</w:t>
            </w:r>
          </w:p>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r>
              <w:rPr>
                <w:rFonts w:hint="eastAsia" w:ascii="宋体" w:hAnsi="宋体"/>
                <w:color w:val="auto"/>
                <w:szCs w:val="21"/>
              </w:rPr>
              <w:t>措</w:t>
            </w:r>
          </w:p>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r>
              <w:rPr>
                <w:rFonts w:hint="eastAsia" w:ascii="宋体" w:hAnsi="宋体"/>
                <w:color w:val="auto"/>
                <w:szCs w:val="21"/>
              </w:rPr>
              <w:t>施</w:t>
            </w:r>
          </w:p>
        </w:tc>
        <w:tc>
          <w:tcPr>
            <w:tcW w:w="2282" w:type="pct"/>
            <w:gridSpan w:val="7"/>
            <w:noWrap w:val="0"/>
            <w:vAlign w:val="top"/>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r>
              <w:rPr>
                <w:rFonts w:hint="eastAsia" w:ascii="宋体" w:hAnsi="宋体"/>
                <w:color w:val="auto"/>
                <w:szCs w:val="21"/>
              </w:rPr>
              <w:t>皮肤接触:</w:t>
            </w:r>
            <w:r>
              <w:rPr>
                <w:rFonts w:ascii="宋体" w:hAnsi="宋体"/>
                <w:color w:val="auto"/>
                <w:szCs w:val="21"/>
              </w:rPr>
              <w:t xml:space="preserve"> 立即脱去被污染的衣着，用肥皂水和清水彻底冲洗皮肤。就医。</w:t>
            </w:r>
          </w:p>
        </w:tc>
        <w:tc>
          <w:tcPr>
            <w:tcW w:w="179"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343" w:type="pct"/>
            <w:gridSpan w:val="8"/>
            <w:noWrap w:val="0"/>
            <w:vAlign w:val="top"/>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r>
              <w:rPr>
                <w:rFonts w:hint="eastAsia" w:ascii="宋体" w:hAnsi="宋体"/>
                <w:color w:val="auto"/>
                <w:szCs w:val="21"/>
              </w:rPr>
              <w:t>侵入途径:</w:t>
            </w:r>
            <w:r>
              <w:rPr>
                <w:rFonts w:ascii="宋体" w:hAnsi="宋体"/>
                <w:color w:val="auto"/>
                <w:szCs w:val="21"/>
              </w:rPr>
              <w:t xml:space="preserve"> 吸入、食入、经皮吸收。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670" w:hRule="atLeast"/>
          <w:jc w:val="center"/>
        </w:trPr>
        <w:tc>
          <w:tcPr>
            <w:tcW w:w="194"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282" w:type="pct"/>
            <w:gridSpan w:val="7"/>
            <w:noWrap w:val="0"/>
            <w:vAlign w:val="top"/>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r>
              <w:rPr>
                <w:rFonts w:hint="eastAsia" w:ascii="宋体" w:hAnsi="宋体"/>
                <w:color w:val="auto"/>
                <w:szCs w:val="21"/>
              </w:rPr>
              <w:t>眼接触:</w:t>
            </w:r>
            <w:r>
              <w:rPr>
                <w:rFonts w:ascii="宋体" w:hAnsi="宋体"/>
                <w:color w:val="auto"/>
                <w:szCs w:val="21"/>
              </w:rPr>
              <w:t xml:space="preserve"> 立即提起眼睑，用大量流动清水或生理盐水彻底冲洗至少15分钟。就医。</w:t>
            </w:r>
          </w:p>
        </w:tc>
        <w:tc>
          <w:tcPr>
            <w:tcW w:w="179"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343" w:type="pct"/>
            <w:gridSpan w:val="8"/>
            <w:vMerge w:val="restart"/>
            <w:noWrap w:val="0"/>
            <w:vAlign w:val="top"/>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健康危害:</w:t>
            </w:r>
            <w:r>
              <w:rPr>
                <w:rFonts w:ascii="宋体" w:hAnsi="宋体" w:cs="Arial"/>
                <w:color w:val="auto"/>
                <w:szCs w:val="21"/>
              </w:rPr>
              <w:t xml:space="preserve"> </w:t>
            </w:r>
            <w:r>
              <w:rPr>
                <w:rFonts w:hint="eastAsia" w:ascii="宋体" w:hAnsi="宋体"/>
                <w:color w:val="auto"/>
                <w:szCs w:val="21"/>
              </w:rPr>
              <w:t>皮肤接触可为主要吸收途径，可致急性肾脏损害。柴油吸入可引起接触性皮炎、油性痤疮。吸入其雾滴或液体呛入可引起吸入性肺炎。能经胎盘进入胎儿体内。柴油废气可引起眼、鼻刺激症状，头晕及头痛。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670" w:hRule="atLeast"/>
          <w:jc w:val="center"/>
        </w:trPr>
        <w:tc>
          <w:tcPr>
            <w:tcW w:w="194"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282" w:type="pct"/>
            <w:gridSpan w:val="7"/>
            <w:noWrap w:val="0"/>
            <w:vAlign w:val="top"/>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r>
              <w:rPr>
                <w:rFonts w:hint="eastAsia" w:ascii="宋体" w:hAnsi="宋体"/>
                <w:color w:val="auto"/>
                <w:szCs w:val="21"/>
              </w:rPr>
              <w:t>吸入:</w:t>
            </w:r>
            <w:r>
              <w:rPr>
                <w:rFonts w:ascii="宋体" w:hAnsi="宋体"/>
                <w:color w:val="auto"/>
                <w:szCs w:val="21"/>
              </w:rPr>
              <w:t xml:space="preserve"> 迅速脱离现场至空气新鲜处。保持呼吸道通畅。如呼吸困难，给输氧。如呼吸停止，立即进行人工呼吸。就医。</w:t>
            </w:r>
          </w:p>
        </w:tc>
        <w:tc>
          <w:tcPr>
            <w:tcW w:w="179"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343" w:type="pct"/>
            <w:gridSpan w:val="8"/>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29" w:hRule="atLeast"/>
          <w:jc w:val="center"/>
        </w:trPr>
        <w:tc>
          <w:tcPr>
            <w:tcW w:w="194"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282" w:type="pct"/>
            <w:gridSpan w:val="7"/>
            <w:noWrap w:val="0"/>
            <w:vAlign w:val="top"/>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r>
              <w:rPr>
                <w:rFonts w:hint="eastAsia" w:ascii="宋体" w:hAnsi="宋体"/>
                <w:color w:val="auto"/>
                <w:szCs w:val="21"/>
              </w:rPr>
              <w:t xml:space="preserve">食入: </w:t>
            </w:r>
            <w:r>
              <w:rPr>
                <w:rFonts w:ascii="宋体" w:hAnsi="宋体"/>
                <w:color w:val="auto"/>
                <w:szCs w:val="21"/>
              </w:rPr>
              <w:t>给饮牛奶或用植物油洗胃和灌肠。就医。</w:t>
            </w:r>
          </w:p>
        </w:tc>
        <w:tc>
          <w:tcPr>
            <w:tcW w:w="179"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343" w:type="pct"/>
            <w:gridSpan w:val="8"/>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restart"/>
            <w:noWrap w:val="0"/>
            <w:vAlign w:val="center"/>
          </w:tcPr>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r>
              <w:rPr>
                <w:rFonts w:hint="eastAsia" w:ascii="宋体" w:hAnsi="宋体"/>
                <w:color w:val="auto"/>
                <w:szCs w:val="21"/>
              </w:rPr>
              <w:t>防</w:t>
            </w:r>
          </w:p>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p>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r>
              <w:rPr>
                <w:rFonts w:hint="eastAsia" w:ascii="宋体" w:hAnsi="宋体"/>
                <w:color w:val="auto"/>
                <w:szCs w:val="21"/>
              </w:rPr>
              <w:t>护</w:t>
            </w:r>
          </w:p>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p>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r>
              <w:rPr>
                <w:rFonts w:hint="eastAsia" w:ascii="宋体" w:hAnsi="宋体"/>
                <w:color w:val="auto"/>
                <w:szCs w:val="21"/>
              </w:rPr>
              <w:t>措</w:t>
            </w:r>
          </w:p>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p>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r>
              <w:rPr>
                <w:rFonts w:hint="eastAsia" w:ascii="宋体" w:hAnsi="宋体"/>
                <w:color w:val="auto"/>
                <w:szCs w:val="21"/>
              </w:rPr>
              <w:t>施</w:t>
            </w:r>
          </w:p>
        </w:tc>
        <w:tc>
          <w:tcPr>
            <w:tcW w:w="2282" w:type="pct"/>
            <w:gridSpan w:val="7"/>
            <w:noWrap w:val="0"/>
            <w:vAlign w:val="top"/>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r>
              <w:rPr>
                <w:rFonts w:hint="eastAsia" w:ascii="宋体" w:hAnsi="宋体"/>
                <w:color w:val="auto"/>
                <w:szCs w:val="21"/>
              </w:rPr>
              <w:t>呼吸系统防护:</w:t>
            </w:r>
            <w:r>
              <w:rPr>
                <w:rFonts w:ascii="宋体" w:hAnsi="宋体"/>
                <w:color w:val="auto"/>
                <w:szCs w:val="21"/>
              </w:rPr>
              <w:t xml:space="preserve"> 一般不需要特殊防护，高浓度接触时可佩戴自吸过滤式防毒面具(半面罩)。</w:t>
            </w:r>
          </w:p>
        </w:tc>
        <w:tc>
          <w:tcPr>
            <w:tcW w:w="179" w:type="pct"/>
            <w:vMerge w:val="restart"/>
            <w:noWrap w:val="0"/>
            <w:vAlign w:val="center"/>
          </w:tcPr>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r>
              <w:rPr>
                <w:rFonts w:hint="eastAsia" w:ascii="宋体" w:hAnsi="宋体"/>
                <w:color w:val="auto"/>
                <w:szCs w:val="21"/>
              </w:rPr>
              <w:t>泄漏处理</w:t>
            </w:r>
          </w:p>
        </w:tc>
        <w:tc>
          <w:tcPr>
            <w:tcW w:w="2343" w:type="pct"/>
            <w:gridSpan w:val="8"/>
            <w:vMerge w:val="restart"/>
            <w:noWrap w:val="0"/>
            <w:vAlign w:val="top"/>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r>
              <w:rPr>
                <w:rFonts w:ascii="宋体" w:hAnsi="宋体"/>
                <w:color w:val="auto"/>
                <w:szCs w:val="21"/>
              </w:rPr>
              <w:t>小量泄漏：用</w:t>
            </w:r>
            <w:r>
              <w:rPr>
                <w:rFonts w:hint="eastAsia" w:ascii="宋体" w:hAnsi="宋体"/>
                <w:color w:val="auto"/>
                <w:szCs w:val="21"/>
                <w:lang w:eastAsia="zh-CN"/>
              </w:rPr>
              <w:t>沙土</w:t>
            </w:r>
            <w:r>
              <w:rPr>
                <w:rFonts w:ascii="宋体" w:hAnsi="宋体"/>
                <w:color w:val="auto"/>
                <w:szCs w:val="21"/>
              </w:rPr>
              <w:t>、蛭石或其它惰性材料吸收。或在保证安全的情况下，就地焚烧。大量泄漏：构筑围堤或挖坑收容；用泡沫覆盖，降低蒸气灾害。用防爆泵转移至槽车或专用收集器内，回收或运至废物处理场所处置。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736" w:hRule="atLeast"/>
          <w:jc w:val="center"/>
        </w:trPr>
        <w:tc>
          <w:tcPr>
            <w:tcW w:w="194"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282" w:type="pct"/>
            <w:gridSpan w:val="7"/>
            <w:noWrap w:val="0"/>
            <w:vAlign w:val="top"/>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r>
              <w:rPr>
                <w:rFonts w:hint="eastAsia" w:ascii="宋体" w:hAnsi="宋体"/>
                <w:color w:val="auto"/>
                <w:szCs w:val="21"/>
              </w:rPr>
              <w:t>眼睛防护:</w:t>
            </w:r>
            <w:r>
              <w:rPr>
                <w:rFonts w:ascii="宋体" w:hAnsi="宋体"/>
                <w:color w:val="auto"/>
                <w:szCs w:val="21"/>
              </w:rPr>
              <w:t xml:space="preserve"> 一般不需要特殊防护，高浓度接触时可戴化学安全防护眼镜。</w:t>
            </w:r>
          </w:p>
        </w:tc>
        <w:tc>
          <w:tcPr>
            <w:tcW w:w="179" w:type="pct"/>
            <w:vMerge w:val="continue"/>
            <w:noWrap w:val="0"/>
            <w:vAlign w:val="center"/>
          </w:tcPr>
          <w:p>
            <w:pPr>
              <w:pageBreakBefore w:val="0"/>
              <w:kinsoku/>
              <w:wordWrap/>
              <w:overflowPunct/>
              <w:topLinePunct w:val="0"/>
              <w:bidi w:val="0"/>
              <w:snapToGrid w:val="0"/>
              <w:spacing w:line="360" w:lineRule="auto"/>
              <w:ind w:left="0" w:leftChars="0" w:right="0"/>
              <w:jc w:val="center"/>
              <w:textAlignment w:val="auto"/>
              <w:rPr>
                <w:rFonts w:ascii="宋体" w:hAnsi="宋体"/>
                <w:color w:val="auto"/>
                <w:szCs w:val="21"/>
              </w:rPr>
            </w:pPr>
          </w:p>
        </w:tc>
        <w:tc>
          <w:tcPr>
            <w:tcW w:w="2343" w:type="pct"/>
            <w:gridSpan w:val="8"/>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282" w:type="pct"/>
            <w:gridSpan w:val="7"/>
            <w:noWrap w:val="0"/>
            <w:vAlign w:val="top"/>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r>
              <w:rPr>
                <w:rFonts w:hint="eastAsia" w:ascii="宋体" w:hAnsi="宋体"/>
                <w:color w:val="auto"/>
                <w:szCs w:val="21"/>
              </w:rPr>
              <w:t>身体防护:</w:t>
            </w:r>
            <w:r>
              <w:rPr>
                <w:rFonts w:ascii="宋体" w:hAnsi="宋体"/>
                <w:color w:val="auto"/>
                <w:szCs w:val="21"/>
              </w:rPr>
              <w:t xml:space="preserve"> 穿防静电工作服。</w:t>
            </w:r>
          </w:p>
        </w:tc>
        <w:tc>
          <w:tcPr>
            <w:tcW w:w="179" w:type="pct"/>
            <w:vMerge w:val="restart"/>
            <w:noWrap w:val="0"/>
            <w:vAlign w:val="center"/>
          </w:tcPr>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r>
              <w:rPr>
                <w:rFonts w:hint="eastAsia" w:ascii="宋体" w:hAnsi="宋体"/>
                <w:color w:val="auto"/>
                <w:szCs w:val="21"/>
              </w:rPr>
              <w:t>储存</w:t>
            </w:r>
          </w:p>
        </w:tc>
        <w:tc>
          <w:tcPr>
            <w:tcW w:w="2343" w:type="pct"/>
            <w:gridSpan w:val="8"/>
            <w:vMerge w:val="restart"/>
            <w:noWrap w:val="0"/>
            <w:vAlign w:val="top"/>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储存时防止泄漏，防止明火源，加强储存区通风。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282" w:type="pct"/>
            <w:gridSpan w:val="7"/>
            <w:noWrap w:val="0"/>
            <w:vAlign w:val="top"/>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ascii="宋体" w:hAnsi="宋体"/>
                <w:color w:val="auto"/>
                <w:szCs w:val="21"/>
              </w:rPr>
              <w:t>手防护：戴防苯耐油手套。</w:t>
            </w:r>
          </w:p>
        </w:tc>
        <w:tc>
          <w:tcPr>
            <w:tcW w:w="179" w:type="pct"/>
            <w:vMerge w:val="continue"/>
            <w:noWrap w:val="0"/>
            <w:vAlign w:val="center"/>
          </w:tcPr>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p>
        </w:tc>
        <w:tc>
          <w:tcPr>
            <w:tcW w:w="2343" w:type="pct"/>
            <w:gridSpan w:val="8"/>
            <w:vMerge w:val="continue"/>
            <w:noWrap w:val="0"/>
            <w:vAlign w:val="top"/>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468" w:hRule="atLeast"/>
          <w:jc w:val="center"/>
        </w:trPr>
        <w:tc>
          <w:tcPr>
            <w:tcW w:w="194"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282" w:type="pct"/>
            <w:gridSpan w:val="7"/>
            <w:vMerge w:val="restart"/>
            <w:noWrap w:val="0"/>
            <w:vAlign w:val="top"/>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r>
              <w:rPr>
                <w:rFonts w:hint="eastAsia" w:ascii="宋体" w:hAnsi="宋体"/>
                <w:color w:val="auto"/>
                <w:szCs w:val="21"/>
              </w:rPr>
              <w:t>其它:</w:t>
            </w:r>
            <w:r>
              <w:rPr>
                <w:rFonts w:ascii="宋体" w:hAnsi="宋体"/>
                <w:color w:val="auto"/>
                <w:szCs w:val="21"/>
              </w:rPr>
              <w:t xml:space="preserve"> 工作现场严禁吸烟。避免长期反复接触。</w:t>
            </w:r>
          </w:p>
        </w:tc>
        <w:tc>
          <w:tcPr>
            <w:tcW w:w="179" w:type="pct"/>
            <w:vMerge w:val="continue"/>
            <w:noWrap w:val="0"/>
            <w:vAlign w:val="center"/>
          </w:tcPr>
          <w:p>
            <w:pPr>
              <w:pageBreakBefore w:val="0"/>
              <w:kinsoku/>
              <w:wordWrap/>
              <w:overflowPunct/>
              <w:topLinePunct w:val="0"/>
              <w:bidi w:val="0"/>
              <w:snapToGrid w:val="0"/>
              <w:spacing w:line="360" w:lineRule="auto"/>
              <w:ind w:left="0" w:leftChars="0" w:right="0"/>
              <w:jc w:val="center"/>
              <w:textAlignment w:val="auto"/>
              <w:rPr>
                <w:rFonts w:ascii="宋体" w:hAnsi="宋体"/>
                <w:color w:val="auto"/>
                <w:szCs w:val="21"/>
              </w:rPr>
            </w:pPr>
          </w:p>
        </w:tc>
        <w:tc>
          <w:tcPr>
            <w:tcW w:w="2343" w:type="pct"/>
            <w:gridSpan w:val="8"/>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326" w:hRule="atLeast"/>
          <w:jc w:val="center"/>
        </w:trPr>
        <w:tc>
          <w:tcPr>
            <w:tcW w:w="194" w:type="pct"/>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2282" w:type="pct"/>
            <w:gridSpan w:val="7"/>
            <w:vMerge w:val="continue"/>
            <w:noWrap w:val="0"/>
            <w:vAlign w:val="center"/>
          </w:tcPr>
          <w:p>
            <w:pPr>
              <w:pageBreakBefore w:val="0"/>
              <w:kinsoku/>
              <w:wordWrap/>
              <w:overflowPunct/>
              <w:topLinePunct w:val="0"/>
              <w:bidi w:val="0"/>
              <w:snapToGrid w:val="0"/>
              <w:spacing w:line="360" w:lineRule="auto"/>
              <w:ind w:left="0" w:leftChars="0" w:right="0"/>
              <w:textAlignment w:val="auto"/>
              <w:rPr>
                <w:rFonts w:ascii="宋体" w:hAnsi="宋体"/>
                <w:color w:val="auto"/>
                <w:szCs w:val="21"/>
              </w:rPr>
            </w:pPr>
          </w:p>
        </w:tc>
        <w:tc>
          <w:tcPr>
            <w:tcW w:w="179" w:type="pct"/>
            <w:noWrap w:val="0"/>
            <w:vAlign w:val="center"/>
          </w:tcPr>
          <w:p>
            <w:pPr>
              <w:pageBreakBefore w:val="0"/>
              <w:kinsoku/>
              <w:wordWrap/>
              <w:overflowPunct/>
              <w:topLinePunct w:val="0"/>
              <w:bidi w:val="0"/>
              <w:snapToGrid w:val="0"/>
              <w:spacing w:line="360" w:lineRule="auto"/>
              <w:ind w:left="0" w:leftChars="0" w:right="0"/>
              <w:jc w:val="center"/>
              <w:textAlignment w:val="auto"/>
              <w:rPr>
                <w:rFonts w:hint="eastAsia" w:ascii="宋体" w:hAnsi="宋体"/>
                <w:color w:val="auto"/>
                <w:szCs w:val="21"/>
              </w:rPr>
            </w:pPr>
            <w:r>
              <w:rPr>
                <w:rFonts w:hint="eastAsia" w:ascii="宋体" w:hAnsi="宋体"/>
                <w:color w:val="auto"/>
                <w:szCs w:val="21"/>
              </w:rPr>
              <w:t>运输</w:t>
            </w:r>
          </w:p>
        </w:tc>
        <w:tc>
          <w:tcPr>
            <w:tcW w:w="2343" w:type="pct"/>
            <w:gridSpan w:val="8"/>
            <w:noWrap w:val="0"/>
            <w:vAlign w:val="top"/>
          </w:tcPr>
          <w:p>
            <w:pPr>
              <w:pageBreakBefore w:val="0"/>
              <w:kinsoku/>
              <w:wordWrap/>
              <w:overflowPunct/>
              <w:topLinePunct w:val="0"/>
              <w:bidi w:val="0"/>
              <w:snapToGrid w:val="0"/>
              <w:spacing w:line="360" w:lineRule="auto"/>
              <w:ind w:left="0" w:leftChars="0" w:right="0"/>
              <w:textAlignment w:val="auto"/>
              <w:rPr>
                <w:rFonts w:hint="eastAsia" w:ascii="宋体" w:hAnsi="宋体"/>
                <w:color w:val="auto"/>
                <w:szCs w:val="21"/>
              </w:rPr>
            </w:pPr>
            <w:r>
              <w:rPr>
                <w:rFonts w:hint="eastAsia" w:ascii="宋体" w:hAnsi="宋体"/>
                <w:color w:val="auto"/>
                <w:szCs w:val="21"/>
              </w:rPr>
              <w:t>运输时避免泄漏。</w:t>
            </w:r>
          </w:p>
        </w:tc>
      </w:tr>
    </w:tbl>
    <w:p>
      <w:pPr>
        <w:pStyle w:val="5"/>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szCs w:val="28"/>
          <w:lang w:val="en-US" w:eastAsia="zh-CN"/>
        </w:rPr>
      </w:pPr>
      <w:bookmarkStart w:id="36" w:name="_Toc1951"/>
      <w:r>
        <w:rPr>
          <w:rFonts w:hint="eastAsia" w:ascii="宋体" w:hAnsi="宋体" w:eastAsia="宋体" w:cs="宋体"/>
          <w:color w:val="auto"/>
          <w:szCs w:val="28"/>
          <w:lang w:val="en-US" w:eastAsia="zh-CN"/>
        </w:rPr>
        <w:t>1.2站场及周边环境的危险、有害因素分析</w:t>
      </w:r>
      <w:bookmarkEnd w:id="32"/>
      <w:bookmarkEnd w:id="33"/>
      <w:bookmarkEnd w:id="34"/>
      <w:bookmarkEnd w:id="36"/>
    </w:p>
    <w:p>
      <w:pPr>
        <w:pStyle w:val="6"/>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sz w:val="30"/>
          <w:szCs w:val="30"/>
          <w:highlight w:val="none"/>
          <w:lang w:val="en-US" w:eastAsia="zh-CN"/>
        </w:rPr>
      </w:pPr>
      <w:bookmarkStart w:id="37" w:name="_Toc4905"/>
      <w:bookmarkStart w:id="38" w:name="_Toc83757045"/>
      <w:r>
        <w:rPr>
          <w:rFonts w:hint="eastAsia" w:ascii="宋体" w:hAnsi="宋体" w:cs="宋体"/>
          <w:color w:val="auto"/>
          <w:sz w:val="30"/>
          <w:szCs w:val="30"/>
          <w:highlight w:val="none"/>
          <w:lang w:val="en-US" w:eastAsia="zh-CN"/>
        </w:rPr>
        <w:t>1.2.1</w:t>
      </w:r>
      <w:r>
        <w:rPr>
          <w:rFonts w:hint="eastAsia" w:ascii="宋体" w:hAnsi="宋体" w:eastAsia="宋体" w:cs="宋体"/>
          <w:color w:val="auto"/>
          <w:sz w:val="30"/>
          <w:szCs w:val="30"/>
          <w:highlight w:val="none"/>
          <w:lang w:val="en-US" w:eastAsia="zh-CN"/>
        </w:rPr>
        <w:t>站址及周边环境的危险、有害因素辨识</w:t>
      </w:r>
      <w:bookmarkEnd w:id="37"/>
      <w:bookmarkEnd w:id="38"/>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加油站设置在</w:t>
      </w:r>
      <w:r>
        <w:rPr>
          <w:rFonts w:hint="eastAsia" w:ascii="宋体" w:hAnsi="宋体" w:cs="宋体"/>
          <w:color w:val="000000" w:themeColor="text1"/>
          <w:sz w:val="28"/>
          <w:szCs w:val="28"/>
          <w:lang w:val="en-US" w:eastAsia="zh-CN"/>
          <w14:textFill>
            <w14:solidFill>
              <w14:schemeClr w14:val="tx1"/>
            </w14:solidFill>
          </w14:textFill>
        </w:rPr>
        <w:t>靠近公路</w:t>
      </w:r>
      <w:r>
        <w:rPr>
          <w:rFonts w:hint="eastAsia" w:ascii="宋体" w:hAnsi="宋体" w:eastAsia="宋体" w:cs="宋体"/>
          <w:color w:val="000000" w:themeColor="text1"/>
          <w:sz w:val="28"/>
          <w:szCs w:val="28"/>
          <w:lang w:val="en-US" w:eastAsia="zh-CN"/>
          <w14:textFill>
            <w14:solidFill>
              <w14:schemeClr w14:val="tx1"/>
            </w14:solidFill>
          </w14:textFill>
        </w:rPr>
        <w:t>一侧，如车辆组织不畅，不加油车辆也大量借用加油站作业区道路行驶，一方面会对加油站内工艺设备、加油车辆及人员等造成车辆伤害等事故；另一方面加油站固有的火灾、爆炸等危险有害因素也可能对外来车辆及人员通行构成威胁。</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站址如选择在公共建筑物旁和人口集中区域内，站内的危险会波及到附近的建筑物及人员，同时站外的不安全因素会影响到站内。站内发生火灾爆炸，缺少自备的消防设施，无法进行自控，远离公共消防救护机构，在失去自救能力情况下，得不到及时救援。</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易燃易爆区应与站内外居住区、人员集中场所、主要人流出入口、道路干线和产生明火地点保持安全距离；可能泄漏、散发气体及相对密度大于0.7（空气＝1）的可燃气体和可燃蒸气的装置不宜毗邻生产控制室、变电所布置。</w:t>
      </w:r>
    </w:p>
    <w:p>
      <w:pPr>
        <w:pStyle w:val="6"/>
        <w:pageBreakBefore w:val="0"/>
        <w:kinsoku/>
        <w:wordWrap/>
        <w:overflowPunct/>
        <w:topLinePunct w:val="0"/>
        <w:bidi w:val="0"/>
        <w:snapToGrid w:val="0"/>
        <w:spacing w:line="360" w:lineRule="auto"/>
        <w:ind w:left="0" w:leftChars="0" w:right="0"/>
        <w:textAlignment w:val="auto"/>
        <w:rPr>
          <w:rFonts w:hint="eastAsia" w:ascii="宋体" w:hAnsi="宋体" w:cs="宋体"/>
          <w:color w:val="auto"/>
          <w:sz w:val="30"/>
          <w:szCs w:val="30"/>
          <w:lang w:val="en-US" w:eastAsia="zh-CN"/>
        </w:rPr>
      </w:pPr>
      <w:bookmarkStart w:id="39" w:name="_Toc1126"/>
      <w:bookmarkStart w:id="40" w:name="_Toc83757046"/>
      <w:r>
        <w:rPr>
          <w:rFonts w:hint="eastAsia" w:ascii="宋体" w:hAnsi="宋体" w:cs="宋体"/>
          <w:color w:val="auto"/>
          <w:sz w:val="30"/>
          <w:szCs w:val="30"/>
          <w:lang w:val="en-US" w:eastAsia="zh-CN"/>
        </w:rPr>
        <w:t>1.2.2平面布置的危险、有害因素辨识</w:t>
      </w:r>
      <w:bookmarkEnd w:id="39"/>
      <w:bookmarkEnd w:id="40"/>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站场内应将作业区、辅助服务区按功能相对集中分别布置，布置时应考虑工艺流程、工艺特点和火灾爆炸危险性，结合周边地形、风向等条件，以减少危险、有害因素的交叉影响。辅助服务区一般应布置在全年或夏季主导风向的上风侧或全年最小风频风向的下风侧。加油站内厕所、变配电室和发电机房应远离防爆区域；厕所内可能存在人员吸烟，变配电室和发电机房内电气设备不防爆，如上述设施设置在防爆区域内，极易引发火灾爆炸事故。</w:t>
      </w:r>
    </w:p>
    <w:p>
      <w:pPr>
        <w:pStyle w:val="6"/>
        <w:pageBreakBefore w:val="0"/>
        <w:kinsoku/>
        <w:wordWrap/>
        <w:overflowPunct/>
        <w:topLinePunct w:val="0"/>
        <w:bidi w:val="0"/>
        <w:snapToGrid w:val="0"/>
        <w:spacing w:line="360" w:lineRule="auto"/>
        <w:ind w:left="0" w:leftChars="0" w:right="0"/>
        <w:textAlignment w:val="auto"/>
        <w:rPr>
          <w:rFonts w:hint="eastAsia" w:ascii="宋体" w:hAnsi="宋体" w:cs="宋体"/>
          <w:color w:val="auto"/>
          <w:sz w:val="30"/>
          <w:szCs w:val="30"/>
          <w:lang w:val="en-US" w:eastAsia="zh-CN"/>
        </w:rPr>
      </w:pPr>
      <w:bookmarkStart w:id="41" w:name="_Toc11152"/>
      <w:bookmarkStart w:id="42" w:name="_Toc83757047"/>
      <w:r>
        <w:rPr>
          <w:rFonts w:hint="eastAsia" w:ascii="宋体" w:hAnsi="宋体" w:cs="宋体"/>
          <w:color w:val="auto"/>
          <w:sz w:val="30"/>
          <w:szCs w:val="30"/>
          <w:lang w:val="en-US" w:eastAsia="zh-CN"/>
        </w:rPr>
        <w:t>1.2.3站内道路的危险、有害因素辨识</w:t>
      </w:r>
      <w:bookmarkEnd w:id="41"/>
      <w:bookmarkEnd w:id="42"/>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为保证运输作业安全以及消防救援的顺利进行，站场内的道路布局、宽度、坡度、转弯半径、净空高度、安全界线及安全视线、建筑物与道路间距和装卸布局等应符合标准要求。</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根据</w:t>
      </w:r>
      <w:r>
        <w:rPr>
          <w:rFonts w:hint="eastAsia" w:ascii="宋体" w:hAnsi="宋体" w:cs="宋体"/>
          <w:color w:val="auto"/>
          <w:sz w:val="28"/>
          <w:szCs w:val="28"/>
          <w:lang w:val="en-US" w:eastAsia="zh-CN"/>
        </w:rPr>
        <w:t>本站</w:t>
      </w:r>
      <w:r>
        <w:rPr>
          <w:rFonts w:hint="eastAsia" w:ascii="宋体" w:hAnsi="宋体" w:eastAsia="宋体" w:cs="宋体"/>
          <w:color w:val="auto"/>
          <w:sz w:val="28"/>
          <w:szCs w:val="28"/>
          <w:lang w:val="en-US" w:eastAsia="zh-CN"/>
        </w:rPr>
        <w:t>新建项目的特点，进出站区的车辆较多，如加油站道路设置不合理，交通组织不畅，极易导致站内车辆拥堵，从而导致车辆伤害事故发生。</w:t>
      </w:r>
    </w:p>
    <w:p>
      <w:pPr>
        <w:pStyle w:val="5"/>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rPr>
      </w:pPr>
      <w:bookmarkStart w:id="43" w:name="_Toc32576"/>
      <w:bookmarkStart w:id="44" w:name="_Toc449348747"/>
      <w:bookmarkStart w:id="45" w:name="_Toc26446"/>
      <w:bookmarkStart w:id="46" w:name="_Toc25124"/>
      <w:r>
        <w:rPr>
          <w:rFonts w:hint="eastAsia" w:ascii="宋体" w:hAnsi="宋体" w:eastAsia="宋体" w:cs="宋体"/>
          <w:color w:val="auto"/>
          <w:szCs w:val="28"/>
          <w:lang w:val="en-US" w:eastAsia="zh-CN"/>
        </w:rPr>
        <w:t>1.3 建(构)筑物危险有害因素分析</w:t>
      </w:r>
      <w:bookmarkEnd w:id="43"/>
      <w:bookmarkEnd w:id="44"/>
      <w:bookmarkEnd w:id="45"/>
      <w:bookmarkEnd w:id="46"/>
    </w:p>
    <w:p>
      <w:pPr>
        <w:pStyle w:val="47"/>
        <w:pageBreakBefore w:val="0"/>
        <w:kinsoku/>
        <w:wordWrap/>
        <w:overflowPunct/>
        <w:topLinePunct w:val="0"/>
        <w:bidi w:val="0"/>
        <w:snapToGrid w:val="0"/>
        <w:spacing w:line="360" w:lineRule="auto"/>
        <w:ind w:left="0" w:leftChars="0" w:right="0"/>
        <w:jc w:val="center"/>
        <w:textAlignment w:val="auto"/>
        <w:rPr>
          <w:rFonts w:hint="eastAsia" w:ascii="宋体" w:hAnsi="宋体" w:eastAsia="宋体" w:cs="宋体"/>
          <w:color w:val="auto"/>
        </w:rPr>
      </w:pPr>
      <w:r>
        <w:rPr>
          <w:rFonts w:hint="eastAsia" w:ascii="宋体" w:hAnsi="宋体" w:eastAsia="宋体" w:cs="宋体"/>
          <w:color w:val="auto"/>
        </w:rPr>
        <w:t>表</w:t>
      </w:r>
      <w:r>
        <w:rPr>
          <w:rFonts w:hint="eastAsia" w:ascii="宋体" w:hAnsi="宋体" w:cs="宋体"/>
          <w:color w:val="auto"/>
          <w:lang w:val="en-US" w:eastAsia="zh-CN"/>
        </w:rPr>
        <w:t>1-5</w:t>
      </w:r>
      <w:r>
        <w:rPr>
          <w:rFonts w:hint="eastAsia" w:ascii="宋体" w:hAnsi="宋体" w:eastAsia="宋体" w:cs="宋体"/>
          <w:color w:val="auto"/>
        </w:rPr>
        <w:t xml:space="preserve"> 建(构)筑物危险有害因素分析表</w:t>
      </w:r>
    </w:p>
    <w:tbl>
      <w:tblPr>
        <w:tblStyle w:val="50"/>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2"/>
        <w:gridCol w:w="1089"/>
        <w:gridCol w:w="1172"/>
        <w:gridCol w:w="5182"/>
        <w:gridCol w:w="1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 w:hRule="atLeast"/>
        </w:trPr>
        <w:tc>
          <w:tcPr>
            <w:tcW w:w="351" w:type="pct"/>
            <w:vAlign w:val="center"/>
          </w:tcPr>
          <w:p>
            <w:pPr>
              <w:pStyle w:val="2"/>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586" w:type="pct"/>
            <w:vAlign w:val="center"/>
          </w:tcPr>
          <w:p>
            <w:pPr>
              <w:pStyle w:val="2"/>
              <w:pageBreakBefore w:val="0"/>
              <w:kinsoku/>
              <w:wordWrap/>
              <w:overflowPunct/>
              <w:topLinePunct w:val="0"/>
              <w:bidi w:val="0"/>
              <w:snapToGrid w:val="0"/>
              <w:spacing w:line="360" w:lineRule="auto"/>
              <w:ind w:left="0" w:leftChars="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危险危害</w:t>
            </w:r>
          </w:p>
        </w:tc>
        <w:tc>
          <w:tcPr>
            <w:tcW w:w="631" w:type="pct"/>
            <w:vAlign w:val="center"/>
          </w:tcPr>
          <w:p>
            <w:pPr>
              <w:pStyle w:val="2"/>
              <w:pageBreakBefore w:val="0"/>
              <w:kinsoku/>
              <w:wordWrap/>
              <w:overflowPunct/>
              <w:topLinePunct w:val="0"/>
              <w:bidi w:val="0"/>
              <w:snapToGrid w:val="0"/>
              <w:spacing w:line="360" w:lineRule="auto"/>
              <w:ind w:left="0" w:leftChars="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存在部位/方式</w:t>
            </w:r>
          </w:p>
        </w:tc>
        <w:tc>
          <w:tcPr>
            <w:tcW w:w="2789" w:type="pct"/>
            <w:vAlign w:val="center"/>
          </w:tcPr>
          <w:p>
            <w:pPr>
              <w:pStyle w:val="2"/>
              <w:pageBreakBefore w:val="0"/>
              <w:kinsoku/>
              <w:wordWrap/>
              <w:overflowPunct/>
              <w:topLinePunct w:val="0"/>
              <w:bidi w:val="0"/>
              <w:snapToGrid w:val="0"/>
              <w:spacing w:line="360" w:lineRule="auto"/>
              <w:ind w:left="0" w:leftChars="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形成原因</w:t>
            </w:r>
          </w:p>
        </w:tc>
        <w:tc>
          <w:tcPr>
            <w:tcW w:w="640" w:type="pct"/>
            <w:vAlign w:val="center"/>
          </w:tcPr>
          <w:p>
            <w:pPr>
              <w:pStyle w:val="2"/>
              <w:pageBreakBefore w:val="0"/>
              <w:kinsoku/>
              <w:wordWrap/>
              <w:overflowPunct/>
              <w:topLinePunct w:val="0"/>
              <w:bidi w:val="0"/>
              <w:snapToGrid w:val="0"/>
              <w:spacing w:line="360" w:lineRule="auto"/>
              <w:ind w:left="0" w:leftChars="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事故后果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 w:type="pct"/>
            <w:vAlign w:val="center"/>
          </w:tcPr>
          <w:p>
            <w:pPr>
              <w:pStyle w:val="2"/>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586" w:type="pct"/>
            <w:vAlign w:val="center"/>
          </w:tcPr>
          <w:p>
            <w:pPr>
              <w:pStyle w:val="2"/>
              <w:pageBreakBefore w:val="0"/>
              <w:kinsoku/>
              <w:wordWrap/>
              <w:overflowPunct/>
              <w:topLinePunct w:val="0"/>
              <w:bidi w:val="0"/>
              <w:snapToGrid w:val="0"/>
              <w:spacing w:line="360" w:lineRule="auto"/>
              <w:ind w:left="0" w:leftChars="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建、构筑物坍塌</w:t>
            </w:r>
          </w:p>
        </w:tc>
        <w:tc>
          <w:tcPr>
            <w:tcW w:w="631" w:type="pct"/>
            <w:vAlign w:val="center"/>
          </w:tcPr>
          <w:p>
            <w:pPr>
              <w:pStyle w:val="2"/>
              <w:pageBreakBefore w:val="0"/>
              <w:kinsoku/>
              <w:wordWrap/>
              <w:overflowPunct/>
              <w:topLinePunct w:val="0"/>
              <w:bidi w:val="0"/>
              <w:snapToGrid w:val="0"/>
              <w:spacing w:line="360" w:lineRule="auto"/>
              <w:ind w:left="0" w:leftChars="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站内建、构筑物</w:t>
            </w:r>
          </w:p>
        </w:tc>
        <w:tc>
          <w:tcPr>
            <w:tcW w:w="2789" w:type="pct"/>
            <w:vAlign w:val="center"/>
          </w:tcPr>
          <w:p>
            <w:pPr>
              <w:pStyle w:val="2"/>
              <w:pageBreakBefore w:val="0"/>
              <w:kinsoku/>
              <w:wordWrap/>
              <w:overflowPunct/>
              <w:topLinePunct w:val="0"/>
              <w:bidi w:val="0"/>
              <w:snapToGrid w:val="0"/>
              <w:spacing w:line="360" w:lineRule="auto"/>
              <w:ind w:left="0" w:leftChars="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1.站内设施设备、建构筑物等的设计、建设未按照本地区抗震烈度进行设防，遭遇强震时，可能造成建构筑物损坏或坍塌、设施设备破坏，引发人员伤亡事故。</w:t>
            </w:r>
          </w:p>
          <w:p>
            <w:pPr>
              <w:pStyle w:val="2"/>
              <w:pageBreakBefore w:val="0"/>
              <w:kinsoku/>
              <w:wordWrap/>
              <w:overflowPunct/>
              <w:topLinePunct w:val="0"/>
              <w:bidi w:val="0"/>
              <w:snapToGrid w:val="0"/>
              <w:spacing w:line="360" w:lineRule="auto"/>
              <w:ind w:left="0" w:leftChars="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2.站内排水设施不完善或日常维护工作不到位，若遇极端暴雨天气，可能造成站内积水过深，引起坍塌，对站内的设施设备造成破坏。</w:t>
            </w:r>
          </w:p>
          <w:p>
            <w:pPr>
              <w:pStyle w:val="2"/>
              <w:pageBreakBefore w:val="0"/>
              <w:kinsoku/>
              <w:wordWrap/>
              <w:overflowPunct/>
              <w:topLinePunct w:val="0"/>
              <w:bidi w:val="0"/>
              <w:snapToGrid w:val="0"/>
              <w:spacing w:line="360" w:lineRule="auto"/>
              <w:ind w:left="0" w:leftChars="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3.未按</w:t>
            </w:r>
            <w:r>
              <w:rPr>
                <w:rFonts w:hint="eastAsia" w:ascii="宋体" w:hAnsi="宋体" w:eastAsia="宋体" w:cs="宋体"/>
                <w:color w:val="auto"/>
                <w:sz w:val="21"/>
                <w:szCs w:val="21"/>
                <w:lang w:eastAsia="zh-CN"/>
              </w:rPr>
              <w:t>GB 50156-2021</w:t>
            </w:r>
            <w:r>
              <w:rPr>
                <w:rFonts w:hint="eastAsia" w:ascii="宋体" w:hAnsi="宋体" w:eastAsia="宋体" w:cs="宋体"/>
                <w:color w:val="auto"/>
                <w:sz w:val="21"/>
                <w:szCs w:val="21"/>
              </w:rPr>
              <w:t>的要求配置防雷设施。</w:t>
            </w:r>
          </w:p>
        </w:tc>
        <w:tc>
          <w:tcPr>
            <w:tcW w:w="640" w:type="pct"/>
            <w:vAlign w:val="center"/>
          </w:tcPr>
          <w:p>
            <w:pPr>
              <w:pStyle w:val="2"/>
              <w:pageBreakBefore w:val="0"/>
              <w:kinsoku/>
              <w:wordWrap/>
              <w:overflowPunct/>
              <w:topLinePunct w:val="0"/>
              <w:bidi w:val="0"/>
              <w:snapToGrid w:val="0"/>
              <w:spacing w:line="360" w:lineRule="auto"/>
              <w:ind w:left="0" w:leftChars="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设备损毁人员伤亡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 w:type="pct"/>
            <w:vAlign w:val="center"/>
          </w:tcPr>
          <w:p>
            <w:pPr>
              <w:pStyle w:val="2"/>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586" w:type="pct"/>
            <w:vAlign w:val="center"/>
          </w:tcPr>
          <w:p>
            <w:pPr>
              <w:pStyle w:val="2"/>
              <w:pageBreakBefore w:val="0"/>
              <w:kinsoku/>
              <w:wordWrap/>
              <w:overflowPunct/>
              <w:topLinePunct w:val="0"/>
              <w:bidi w:val="0"/>
              <w:snapToGrid w:val="0"/>
              <w:spacing w:line="360" w:lineRule="auto"/>
              <w:ind w:left="0" w:leftChars="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火灾爆炸事故</w:t>
            </w:r>
          </w:p>
        </w:tc>
        <w:tc>
          <w:tcPr>
            <w:tcW w:w="631" w:type="pct"/>
            <w:vAlign w:val="center"/>
          </w:tcPr>
          <w:p>
            <w:pPr>
              <w:pStyle w:val="2"/>
              <w:pageBreakBefore w:val="0"/>
              <w:kinsoku/>
              <w:wordWrap/>
              <w:overflowPunct/>
              <w:topLinePunct w:val="0"/>
              <w:bidi w:val="0"/>
              <w:snapToGrid w:val="0"/>
              <w:spacing w:line="360" w:lineRule="auto"/>
              <w:ind w:left="0" w:leftChars="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站内建、构筑物</w:t>
            </w:r>
          </w:p>
        </w:tc>
        <w:tc>
          <w:tcPr>
            <w:tcW w:w="2789" w:type="pct"/>
            <w:vAlign w:val="center"/>
          </w:tcPr>
          <w:p>
            <w:pPr>
              <w:pStyle w:val="2"/>
              <w:pageBreakBefore w:val="0"/>
              <w:kinsoku/>
              <w:wordWrap/>
              <w:overflowPunct/>
              <w:topLinePunct w:val="0"/>
              <w:bidi w:val="0"/>
              <w:snapToGrid w:val="0"/>
              <w:spacing w:line="360" w:lineRule="auto"/>
              <w:ind w:left="0" w:leftChars="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1.建构筑物的防雷防静电设施未按GB50156中的标准配置，雷击或静电产生火花引起火灾爆炸事故；</w:t>
            </w:r>
          </w:p>
          <w:p>
            <w:pPr>
              <w:pStyle w:val="2"/>
              <w:pageBreakBefore w:val="0"/>
              <w:kinsoku/>
              <w:wordWrap/>
              <w:overflowPunct/>
              <w:topLinePunct w:val="0"/>
              <w:bidi w:val="0"/>
              <w:snapToGrid w:val="0"/>
              <w:spacing w:line="360" w:lineRule="auto"/>
              <w:ind w:left="0" w:leftChars="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2.建构筑物的防火防爆措施不满足要求，油品泄漏在建构筑物内部造成油蒸气积聚遇点火能源发生爆炸；</w:t>
            </w:r>
          </w:p>
          <w:p>
            <w:pPr>
              <w:pStyle w:val="2"/>
              <w:pageBreakBefore w:val="0"/>
              <w:kinsoku/>
              <w:wordWrap/>
              <w:overflowPunct/>
              <w:topLinePunct w:val="0"/>
              <w:bidi w:val="0"/>
              <w:snapToGrid w:val="0"/>
              <w:spacing w:line="360" w:lineRule="auto"/>
              <w:ind w:left="0" w:leftChars="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3.建构筑物电气线路敷设不合格或故障引起火灾。</w:t>
            </w:r>
          </w:p>
          <w:p>
            <w:pPr>
              <w:pStyle w:val="2"/>
              <w:pageBreakBefore w:val="0"/>
              <w:kinsoku/>
              <w:wordWrap/>
              <w:overflowPunct/>
              <w:topLinePunct w:val="0"/>
              <w:bidi w:val="0"/>
              <w:snapToGrid w:val="0"/>
              <w:spacing w:line="360" w:lineRule="auto"/>
              <w:ind w:left="0" w:leftChars="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4.若站内未设置围墙或隔离墙，将不能有效隔绝一般火种及禁止无关人员进入，给站内安全带来火灾事故隐患。</w:t>
            </w:r>
          </w:p>
        </w:tc>
        <w:tc>
          <w:tcPr>
            <w:tcW w:w="640" w:type="pct"/>
            <w:vAlign w:val="center"/>
          </w:tcPr>
          <w:p>
            <w:pPr>
              <w:pStyle w:val="2"/>
              <w:pageBreakBefore w:val="0"/>
              <w:kinsoku/>
              <w:wordWrap/>
              <w:overflowPunct/>
              <w:topLinePunct w:val="0"/>
              <w:bidi w:val="0"/>
              <w:snapToGrid w:val="0"/>
              <w:spacing w:line="360" w:lineRule="auto"/>
              <w:ind w:left="0" w:leftChars="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设备损毁人员伤亡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 w:type="pct"/>
            <w:vAlign w:val="center"/>
          </w:tcPr>
          <w:p>
            <w:pPr>
              <w:pStyle w:val="2"/>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586" w:type="pct"/>
            <w:vAlign w:val="center"/>
          </w:tcPr>
          <w:p>
            <w:pPr>
              <w:pStyle w:val="2"/>
              <w:pageBreakBefore w:val="0"/>
              <w:kinsoku/>
              <w:wordWrap/>
              <w:overflowPunct/>
              <w:topLinePunct w:val="0"/>
              <w:bidi w:val="0"/>
              <w:snapToGrid w:val="0"/>
              <w:spacing w:line="360" w:lineRule="auto"/>
              <w:ind w:left="0" w:leftChars="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高处坠落事故</w:t>
            </w:r>
          </w:p>
        </w:tc>
        <w:tc>
          <w:tcPr>
            <w:tcW w:w="631" w:type="pct"/>
            <w:vAlign w:val="center"/>
          </w:tcPr>
          <w:p>
            <w:pPr>
              <w:pStyle w:val="2"/>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站房顶部及罩棚顶部</w:t>
            </w:r>
          </w:p>
        </w:tc>
        <w:tc>
          <w:tcPr>
            <w:tcW w:w="2789" w:type="pct"/>
            <w:vAlign w:val="center"/>
          </w:tcPr>
          <w:p>
            <w:pPr>
              <w:pStyle w:val="2"/>
              <w:pageBreakBefore w:val="0"/>
              <w:kinsoku/>
              <w:wordWrap/>
              <w:overflowPunct/>
              <w:topLinePunct w:val="0"/>
              <w:bidi w:val="0"/>
              <w:snapToGrid w:val="0"/>
              <w:spacing w:line="360" w:lineRule="auto"/>
              <w:ind w:left="0" w:leftChars="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在站房顶部及罩棚顶部进行检修作业中，若未按要求设置安全防护设施或安全防护设施不可靠，人员未按高空作业要求穿戴防护用品，操作处置失误等，易发生高处坠落。</w:t>
            </w:r>
          </w:p>
        </w:tc>
        <w:tc>
          <w:tcPr>
            <w:tcW w:w="640" w:type="pct"/>
            <w:vAlign w:val="center"/>
          </w:tcPr>
          <w:p>
            <w:pPr>
              <w:pStyle w:val="2"/>
              <w:pageBreakBefore w:val="0"/>
              <w:kinsoku/>
              <w:wordWrap/>
              <w:overflowPunct/>
              <w:topLinePunct w:val="0"/>
              <w:bidi w:val="0"/>
              <w:snapToGrid w:val="0"/>
              <w:spacing w:line="360" w:lineRule="auto"/>
              <w:ind w:left="0" w:leftChars="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人员伤亡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 w:type="pct"/>
            <w:vAlign w:val="center"/>
          </w:tcPr>
          <w:p>
            <w:pPr>
              <w:pStyle w:val="2"/>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586" w:type="pct"/>
            <w:vAlign w:val="center"/>
          </w:tcPr>
          <w:p>
            <w:pPr>
              <w:pStyle w:val="2"/>
              <w:pageBreakBefore w:val="0"/>
              <w:kinsoku/>
              <w:wordWrap/>
              <w:overflowPunct/>
              <w:topLinePunct w:val="0"/>
              <w:bidi w:val="0"/>
              <w:snapToGrid w:val="0"/>
              <w:spacing w:line="360" w:lineRule="auto"/>
              <w:ind w:left="0" w:leftChars="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物体打击</w:t>
            </w:r>
          </w:p>
        </w:tc>
        <w:tc>
          <w:tcPr>
            <w:tcW w:w="631" w:type="pct"/>
            <w:vAlign w:val="center"/>
          </w:tcPr>
          <w:p>
            <w:pPr>
              <w:pStyle w:val="2"/>
              <w:pageBreakBefore w:val="0"/>
              <w:kinsoku/>
              <w:wordWrap/>
              <w:overflowPunct/>
              <w:topLinePunct w:val="0"/>
              <w:bidi w:val="0"/>
              <w:snapToGrid w:val="0"/>
              <w:spacing w:line="360" w:lineRule="auto"/>
              <w:ind w:left="0" w:leftChars="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站房、罩棚</w:t>
            </w:r>
          </w:p>
        </w:tc>
        <w:tc>
          <w:tcPr>
            <w:tcW w:w="2789" w:type="pct"/>
            <w:vAlign w:val="center"/>
          </w:tcPr>
          <w:p>
            <w:pPr>
              <w:pStyle w:val="2"/>
              <w:pageBreakBefore w:val="0"/>
              <w:kinsoku/>
              <w:wordWrap/>
              <w:overflowPunct/>
              <w:topLinePunct w:val="0"/>
              <w:bidi w:val="0"/>
              <w:snapToGrid w:val="0"/>
              <w:spacing w:line="360" w:lineRule="auto"/>
              <w:ind w:left="0" w:leftChars="0" w:right="0"/>
              <w:jc w:val="left"/>
              <w:textAlignment w:val="auto"/>
              <w:rPr>
                <w:rFonts w:hint="eastAsia" w:ascii="宋体" w:hAnsi="宋体" w:eastAsia="宋体" w:cs="宋体"/>
                <w:color w:val="auto"/>
                <w:sz w:val="21"/>
                <w:szCs w:val="21"/>
              </w:rPr>
            </w:pPr>
            <w:bookmarkStart w:id="47" w:name="OLE_LINK28"/>
            <w:r>
              <w:rPr>
                <w:rFonts w:hint="eastAsia" w:ascii="宋体" w:hAnsi="宋体" w:eastAsia="宋体" w:cs="宋体"/>
                <w:color w:val="auto"/>
                <w:sz w:val="21"/>
                <w:szCs w:val="21"/>
              </w:rPr>
              <w:t>站房、罩棚</w:t>
            </w:r>
            <w:bookmarkEnd w:id="47"/>
            <w:r>
              <w:rPr>
                <w:rFonts w:hint="eastAsia" w:ascii="宋体" w:hAnsi="宋体" w:eastAsia="宋体" w:cs="宋体"/>
                <w:color w:val="auto"/>
                <w:sz w:val="21"/>
                <w:szCs w:val="21"/>
              </w:rPr>
              <w:t>设计施工未按相关规范进行，或维护措施不当，附属设施掉落造成人员伤亡事故。</w:t>
            </w:r>
          </w:p>
        </w:tc>
        <w:tc>
          <w:tcPr>
            <w:tcW w:w="640" w:type="pct"/>
            <w:vAlign w:val="center"/>
          </w:tcPr>
          <w:p>
            <w:pPr>
              <w:pStyle w:val="2"/>
              <w:pageBreakBefore w:val="0"/>
              <w:kinsoku/>
              <w:wordWrap/>
              <w:overflowPunct/>
              <w:topLinePunct w:val="0"/>
              <w:bidi w:val="0"/>
              <w:snapToGrid w:val="0"/>
              <w:spacing w:line="360" w:lineRule="auto"/>
              <w:ind w:left="0" w:leftChars="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人员伤亡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 w:type="pct"/>
            <w:vAlign w:val="center"/>
          </w:tcPr>
          <w:p>
            <w:pPr>
              <w:pStyle w:val="2"/>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586" w:type="pct"/>
            <w:vAlign w:val="center"/>
          </w:tcPr>
          <w:p>
            <w:pPr>
              <w:pStyle w:val="2"/>
              <w:pageBreakBefore w:val="0"/>
              <w:kinsoku/>
              <w:wordWrap/>
              <w:overflowPunct/>
              <w:topLinePunct w:val="0"/>
              <w:bidi w:val="0"/>
              <w:snapToGrid w:val="0"/>
              <w:spacing w:line="360" w:lineRule="auto"/>
              <w:ind w:left="0" w:leftChars="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车辆伤害事故</w:t>
            </w:r>
          </w:p>
        </w:tc>
        <w:tc>
          <w:tcPr>
            <w:tcW w:w="631" w:type="pct"/>
            <w:vAlign w:val="center"/>
          </w:tcPr>
          <w:p>
            <w:pPr>
              <w:pStyle w:val="2"/>
              <w:pageBreakBefore w:val="0"/>
              <w:kinsoku/>
              <w:wordWrap/>
              <w:overflowPunct/>
              <w:topLinePunct w:val="0"/>
              <w:bidi w:val="0"/>
              <w:snapToGrid w:val="0"/>
              <w:spacing w:line="360" w:lineRule="auto"/>
              <w:ind w:left="0" w:leftChars="0" w:righ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加油区</w:t>
            </w:r>
          </w:p>
        </w:tc>
        <w:tc>
          <w:tcPr>
            <w:tcW w:w="2789" w:type="pct"/>
            <w:vAlign w:val="center"/>
          </w:tcPr>
          <w:p>
            <w:pPr>
              <w:pStyle w:val="2"/>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加油岛的</w:t>
            </w:r>
            <w:r>
              <w:rPr>
                <w:rFonts w:hint="eastAsia" w:ascii="宋体" w:hAnsi="宋体" w:eastAsia="宋体" w:cs="宋体"/>
                <w:color w:val="auto"/>
                <w:sz w:val="21"/>
                <w:szCs w:val="21"/>
                <w:highlight w:val="none"/>
              </w:rPr>
              <w:t>设置或修建不符合《</w:t>
            </w:r>
            <w:r>
              <w:rPr>
                <w:rFonts w:hint="eastAsia" w:ascii="宋体" w:hAnsi="宋体" w:eastAsia="宋体" w:cs="宋体"/>
                <w:color w:val="auto"/>
                <w:sz w:val="21"/>
                <w:szCs w:val="21"/>
                <w:highlight w:val="none"/>
                <w:lang w:eastAsia="zh-CN"/>
              </w:rPr>
              <w:t>汽车加油加气加氢站技术标准</w:t>
            </w:r>
            <w:r>
              <w:rPr>
                <w:rFonts w:hint="eastAsia" w:ascii="宋体" w:hAnsi="宋体" w:eastAsia="宋体" w:cs="宋体"/>
                <w:color w:val="auto"/>
                <w:sz w:val="21"/>
                <w:szCs w:val="21"/>
                <w:highlight w:val="none"/>
              </w:rPr>
              <w:t>》（GB50156-</w:t>
            </w:r>
            <w:r>
              <w:rPr>
                <w:rFonts w:hint="eastAsia" w:ascii="宋体" w:hAnsi="宋体" w:eastAsia="宋体" w:cs="宋体"/>
                <w:color w:val="auto"/>
                <w:sz w:val="21"/>
                <w:szCs w:val="21"/>
                <w:highlight w:val="none"/>
                <w:lang w:val="en-US" w:eastAsia="zh-CN"/>
              </w:rPr>
              <w:t>2021</w:t>
            </w:r>
            <w:r>
              <w:rPr>
                <w:rFonts w:hint="eastAsia" w:ascii="宋体" w:hAnsi="宋体" w:eastAsia="宋体" w:cs="宋体"/>
                <w:color w:val="auto"/>
                <w:sz w:val="21"/>
                <w:szCs w:val="21"/>
                <w:highlight w:val="none"/>
              </w:rPr>
              <w:t>）第12.2.3条的规定，可能导致汽车碰撞加油机和操作人员</w:t>
            </w:r>
            <w:r>
              <w:rPr>
                <w:rFonts w:hint="eastAsia" w:ascii="宋体" w:hAnsi="宋体" w:eastAsia="宋体" w:cs="宋体"/>
                <w:color w:val="auto"/>
                <w:sz w:val="21"/>
                <w:szCs w:val="21"/>
              </w:rPr>
              <w:t>，引发车辆伤害事故。</w:t>
            </w:r>
          </w:p>
        </w:tc>
        <w:tc>
          <w:tcPr>
            <w:tcW w:w="640" w:type="pct"/>
            <w:vAlign w:val="center"/>
          </w:tcPr>
          <w:p>
            <w:pPr>
              <w:pStyle w:val="2"/>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设备损毁人员伤亡</w:t>
            </w:r>
          </w:p>
        </w:tc>
      </w:tr>
    </w:tbl>
    <w:p>
      <w:pPr>
        <w:pageBreakBefore w:val="0"/>
        <w:kinsoku/>
        <w:wordWrap/>
        <w:overflowPunct/>
        <w:topLinePunct w:val="0"/>
        <w:bidi w:val="0"/>
        <w:snapToGrid w:val="0"/>
        <w:spacing w:line="360" w:lineRule="auto"/>
        <w:ind w:left="0" w:leftChars="0" w:right="0"/>
        <w:textAlignment w:val="auto"/>
        <w:rPr>
          <w:rFonts w:hint="eastAsia"/>
          <w:color w:val="auto"/>
        </w:rPr>
      </w:pPr>
      <w:bookmarkStart w:id="48" w:name="_Toc24822"/>
    </w:p>
    <w:p>
      <w:pPr>
        <w:pStyle w:val="5"/>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szCs w:val="28"/>
          <w:lang w:val="en-US" w:eastAsia="zh-CN"/>
        </w:rPr>
      </w:pPr>
      <w:bookmarkStart w:id="49" w:name="_Toc9251"/>
      <w:r>
        <w:rPr>
          <w:rFonts w:hint="eastAsia" w:ascii="宋体" w:hAnsi="宋体" w:eastAsia="宋体" w:cs="宋体"/>
          <w:color w:val="auto"/>
          <w:szCs w:val="28"/>
          <w:lang w:val="en-US" w:eastAsia="zh-CN"/>
        </w:rPr>
        <w:t>1.4 经营过程危险有害因素</w:t>
      </w:r>
      <w:bookmarkEnd w:id="35"/>
      <w:r>
        <w:rPr>
          <w:rFonts w:hint="eastAsia" w:ascii="宋体" w:hAnsi="宋体" w:eastAsia="宋体" w:cs="宋体"/>
          <w:color w:val="auto"/>
          <w:szCs w:val="28"/>
          <w:lang w:val="en-US" w:eastAsia="zh-CN"/>
        </w:rPr>
        <w:t>分析</w:t>
      </w:r>
      <w:bookmarkEnd w:id="48"/>
      <w:bookmarkEnd w:id="49"/>
    </w:p>
    <w:p>
      <w:pPr>
        <w:pStyle w:val="18"/>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加油站运行过程主要包括油品的加油、装卸、储存以及检修等过程，存在火灾、爆炸、中毒、触电、车辆伤害等危险、有害因素，其中火灾事故的破坏性、危害性最为突出，也最为常见。</w:t>
      </w:r>
      <w:bookmarkStart w:id="50" w:name="OLE_LINK14"/>
      <w:r>
        <w:rPr>
          <w:rFonts w:hint="eastAsia" w:ascii="宋体" w:hAnsi="宋体" w:eastAsia="宋体" w:cs="宋体"/>
          <w:color w:val="auto"/>
          <w:sz w:val="28"/>
          <w:szCs w:val="28"/>
        </w:rPr>
        <w:t>分析如下：</w:t>
      </w:r>
      <w:bookmarkEnd w:id="50"/>
    </w:p>
    <w:p>
      <w:pPr>
        <w:pStyle w:val="6"/>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sz w:val="30"/>
          <w:szCs w:val="30"/>
          <w:lang w:val="en-US" w:eastAsia="zh-CN"/>
        </w:rPr>
      </w:pPr>
      <w:bookmarkStart w:id="51" w:name="_Toc12068"/>
      <w:r>
        <w:rPr>
          <w:rFonts w:hint="eastAsia" w:ascii="宋体" w:hAnsi="宋体" w:eastAsia="宋体" w:cs="宋体"/>
          <w:color w:val="auto"/>
          <w:sz w:val="30"/>
          <w:szCs w:val="30"/>
          <w:lang w:val="en-US" w:eastAsia="zh-CN"/>
        </w:rPr>
        <w:t>1</w:t>
      </w:r>
      <w:r>
        <w:rPr>
          <w:rFonts w:hint="eastAsia" w:ascii="宋体" w:hAnsi="宋体" w:eastAsia="宋体" w:cs="宋体"/>
          <w:color w:val="auto"/>
          <w:sz w:val="30"/>
          <w:szCs w:val="30"/>
        </w:rPr>
        <w:t>.4.1 卸油过程</w:t>
      </w:r>
      <w:bookmarkEnd w:id="51"/>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1</w:t>
      </w:r>
      <w:r>
        <w:rPr>
          <w:rFonts w:hint="eastAsia" w:ascii="宋体" w:hAnsi="宋体" w:cs="宋体"/>
          <w:color w:val="auto"/>
          <w:sz w:val="28"/>
          <w:szCs w:val="28"/>
          <w:lang w:eastAsia="zh-CN"/>
        </w:rPr>
        <w:t>）</w:t>
      </w:r>
      <w:r>
        <w:rPr>
          <w:rFonts w:hint="eastAsia" w:ascii="宋体" w:hAnsi="宋体" w:eastAsia="宋体" w:cs="宋体"/>
          <w:color w:val="auto"/>
          <w:sz w:val="28"/>
          <w:szCs w:val="28"/>
        </w:rPr>
        <w:t>成品油的槽车进入加油站，若未在汽车排气管上装阻火器，未使用静电导电夹与油罐车牢固</w:t>
      </w:r>
      <w:r>
        <w:rPr>
          <w:rFonts w:hint="eastAsia" w:ascii="宋体" w:hAnsi="宋体" w:cs="宋体"/>
          <w:color w:val="auto"/>
          <w:sz w:val="28"/>
          <w:szCs w:val="28"/>
          <w:lang w:eastAsia="zh-CN"/>
        </w:rPr>
        <w:t>连接</w:t>
      </w:r>
      <w:r>
        <w:rPr>
          <w:rFonts w:hint="eastAsia" w:ascii="宋体" w:hAnsi="宋体" w:eastAsia="宋体" w:cs="宋体"/>
          <w:color w:val="auto"/>
          <w:sz w:val="28"/>
          <w:szCs w:val="28"/>
        </w:rPr>
        <w:t>导除静电，就开始卸装油品，一旦产生火星或静电放电，有引起火灾，爆炸的危险。</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2</w:t>
      </w:r>
      <w:r>
        <w:rPr>
          <w:rFonts w:hint="eastAsia" w:ascii="宋体" w:hAnsi="宋体" w:cs="宋体"/>
          <w:color w:val="auto"/>
          <w:sz w:val="28"/>
          <w:szCs w:val="28"/>
          <w:lang w:eastAsia="zh-CN"/>
        </w:rPr>
        <w:t>）</w:t>
      </w:r>
      <w:r>
        <w:rPr>
          <w:rFonts w:hint="eastAsia" w:ascii="宋体" w:hAnsi="宋体" w:eastAsia="宋体" w:cs="宋体"/>
          <w:color w:val="auto"/>
          <w:sz w:val="28"/>
          <w:szCs w:val="28"/>
        </w:rPr>
        <w:t>在卸油过程中，由于油品流动、摩擦，油品流速过大，易产生静电，若未采用导静电耐油软管，油品在卸车过程中静电大量积聚，可能引发火灾爆炸。此外卸油员上岗时未穿防静电工作服装、带铁钉鞋产生电火花，遇油品泄漏形成爆炸性油气混合气体可能引发火灾爆炸。</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3</w:t>
      </w:r>
      <w:r>
        <w:rPr>
          <w:rFonts w:hint="eastAsia" w:ascii="宋体" w:hAnsi="宋体" w:cs="宋体"/>
          <w:color w:val="auto"/>
          <w:sz w:val="28"/>
          <w:szCs w:val="28"/>
          <w:lang w:eastAsia="zh-CN"/>
        </w:rPr>
        <w:t>）</w:t>
      </w:r>
      <w:r>
        <w:rPr>
          <w:rFonts w:hint="eastAsia" w:ascii="宋体" w:hAnsi="宋体" w:eastAsia="宋体" w:cs="宋体"/>
          <w:color w:val="auto"/>
          <w:sz w:val="28"/>
          <w:szCs w:val="28"/>
        </w:rPr>
        <w:t>在卸油过程中若管道、设备连接不可靠，密封不严或拉脱，产生泄漏、喷射，泄漏后遇明火或静电火花点燃，有发生火灾、爆炸的危险。</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4</w:t>
      </w:r>
      <w:r>
        <w:rPr>
          <w:rFonts w:hint="eastAsia" w:ascii="宋体" w:hAnsi="宋体" w:cs="宋体"/>
          <w:color w:val="auto"/>
          <w:sz w:val="28"/>
          <w:szCs w:val="28"/>
          <w:lang w:eastAsia="zh-CN"/>
        </w:rPr>
        <w:t>）</w:t>
      </w:r>
      <w:r>
        <w:rPr>
          <w:rFonts w:hint="eastAsia" w:ascii="宋体" w:hAnsi="宋体" w:eastAsia="宋体" w:cs="宋体"/>
          <w:color w:val="auto"/>
          <w:sz w:val="28"/>
          <w:szCs w:val="28"/>
        </w:rPr>
        <w:t>在卸油作业过程中，若违章操作或员工未坚守岗位，卸油处于无人监视状态，致使油品满溢，一旦遇点火源，有发生火灾、爆炸的危险。</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5</w:t>
      </w:r>
      <w:r>
        <w:rPr>
          <w:rFonts w:hint="eastAsia" w:ascii="宋体" w:hAnsi="宋体" w:cs="宋体"/>
          <w:color w:val="auto"/>
          <w:sz w:val="28"/>
          <w:szCs w:val="28"/>
          <w:lang w:eastAsia="zh-CN"/>
        </w:rPr>
        <w:t>）</w:t>
      </w:r>
      <w:r>
        <w:rPr>
          <w:rFonts w:hint="eastAsia" w:ascii="宋体" w:hAnsi="宋体" w:eastAsia="宋体" w:cs="宋体"/>
          <w:color w:val="auto"/>
          <w:sz w:val="28"/>
          <w:szCs w:val="28"/>
        </w:rPr>
        <w:t>卸油时超过充装系数，将造成进油冒罐或油品体积受热膨胀形成冒罐导致油品泄漏。</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6</w:t>
      </w:r>
      <w:r>
        <w:rPr>
          <w:rFonts w:hint="eastAsia" w:ascii="宋体" w:hAnsi="宋体" w:cs="宋体"/>
          <w:color w:val="auto"/>
          <w:sz w:val="28"/>
          <w:szCs w:val="28"/>
          <w:lang w:eastAsia="zh-CN"/>
        </w:rPr>
        <w:t>）</w:t>
      </w:r>
      <w:r>
        <w:rPr>
          <w:rFonts w:hint="eastAsia" w:ascii="宋体" w:hAnsi="宋体" w:eastAsia="宋体" w:cs="宋体"/>
          <w:color w:val="auto"/>
          <w:sz w:val="28"/>
          <w:szCs w:val="28"/>
        </w:rPr>
        <w:t>在卸油作业现场若作业人员未严格执行禁火制度，带入火种，不防爆的</w:t>
      </w:r>
      <w:r>
        <w:rPr>
          <w:rFonts w:hint="eastAsia" w:ascii="宋体" w:hAnsi="宋体" w:cs="宋体"/>
          <w:color w:val="auto"/>
          <w:sz w:val="28"/>
          <w:szCs w:val="28"/>
          <w:lang w:eastAsia="zh-CN"/>
        </w:rPr>
        <w:t>通信器材</w:t>
      </w:r>
      <w:r>
        <w:rPr>
          <w:rFonts w:hint="eastAsia" w:ascii="宋体" w:hAnsi="宋体" w:eastAsia="宋体" w:cs="宋体"/>
          <w:color w:val="auto"/>
          <w:sz w:val="28"/>
          <w:szCs w:val="28"/>
        </w:rPr>
        <w:t>（如：手机等）进入现场；防爆电器存在质量问题等一系列隐患有可能导致火灾的危险。</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7</w:t>
      </w:r>
      <w:r>
        <w:rPr>
          <w:rFonts w:hint="eastAsia" w:ascii="宋体" w:hAnsi="宋体" w:cs="宋体"/>
          <w:color w:val="auto"/>
          <w:sz w:val="28"/>
          <w:szCs w:val="28"/>
          <w:lang w:eastAsia="zh-CN"/>
        </w:rPr>
        <w:t>）</w:t>
      </w:r>
      <w:r>
        <w:rPr>
          <w:rFonts w:hint="eastAsia" w:ascii="宋体" w:hAnsi="宋体" w:eastAsia="宋体" w:cs="宋体"/>
          <w:color w:val="auto"/>
          <w:sz w:val="28"/>
          <w:szCs w:val="28"/>
        </w:rPr>
        <w:t>存在着各种点火源的危险。加油站建立在车辆来往频繁的交通干道旁边，周围环境比较复杂，受外部点火源的威胁较大，频繁出入的车辆，人为带入的火种等，均可成为加油站火灾的点火源。</w:t>
      </w:r>
    </w:p>
    <w:p>
      <w:pPr>
        <w:pStyle w:val="18"/>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8</w:t>
      </w:r>
      <w:r>
        <w:rPr>
          <w:rFonts w:hint="eastAsia" w:ascii="宋体" w:hAnsi="宋体" w:cs="宋体"/>
          <w:color w:val="auto"/>
          <w:sz w:val="28"/>
          <w:szCs w:val="28"/>
          <w:lang w:eastAsia="zh-CN"/>
        </w:rPr>
        <w:t>）</w:t>
      </w:r>
      <w:r>
        <w:rPr>
          <w:rFonts w:hint="eastAsia" w:ascii="宋体" w:hAnsi="宋体" w:eastAsia="宋体" w:cs="宋体"/>
          <w:color w:val="auto"/>
          <w:sz w:val="28"/>
          <w:szCs w:val="28"/>
        </w:rPr>
        <w:t>未按卸油操作规程作业，在卸油前未对储油罐内空容量进行计量或液位报警设施失灵致使发生满溢现象。</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9</w:t>
      </w:r>
      <w:r>
        <w:rPr>
          <w:rFonts w:hint="eastAsia" w:ascii="宋体" w:hAnsi="宋体" w:cs="宋体"/>
          <w:color w:val="auto"/>
          <w:sz w:val="28"/>
          <w:szCs w:val="28"/>
          <w:lang w:eastAsia="zh-CN"/>
        </w:rPr>
        <w:t>）</w:t>
      </w:r>
      <w:r>
        <w:rPr>
          <w:rFonts w:hint="eastAsia" w:ascii="宋体" w:hAnsi="宋体" w:eastAsia="宋体" w:cs="宋体"/>
          <w:color w:val="auto"/>
          <w:sz w:val="28"/>
          <w:szCs w:val="28"/>
        </w:rPr>
        <w:t>卸油时作业人员擅离职守，</w:t>
      </w:r>
      <w:r>
        <w:rPr>
          <w:rFonts w:hint="eastAsia" w:ascii="宋体" w:hAnsi="宋体" w:cs="宋体"/>
          <w:color w:val="auto"/>
          <w:sz w:val="28"/>
          <w:szCs w:val="28"/>
          <w:lang w:eastAsia="zh-CN"/>
        </w:rPr>
        <w:t>以致</w:t>
      </w:r>
      <w:r>
        <w:rPr>
          <w:rFonts w:hint="eastAsia" w:ascii="宋体" w:hAnsi="宋体" w:eastAsia="宋体" w:cs="宋体"/>
          <w:color w:val="auto"/>
          <w:sz w:val="28"/>
          <w:szCs w:val="28"/>
        </w:rPr>
        <w:t>造成油罐溢油，遇点火源可能造成火灾、爆炸事故。</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10</w:t>
      </w:r>
      <w:r>
        <w:rPr>
          <w:rFonts w:hint="eastAsia" w:ascii="宋体" w:hAnsi="宋体" w:cs="宋体"/>
          <w:color w:val="auto"/>
          <w:sz w:val="28"/>
          <w:szCs w:val="28"/>
          <w:lang w:eastAsia="zh-CN"/>
        </w:rPr>
        <w:t>）</w:t>
      </w:r>
      <w:r>
        <w:rPr>
          <w:rFonts w:hint="eastAsia" w:ascii="宋体" w:hAnsi="宋体" w:eastAsia="宋体" w:cs="宋体"/>
          <w:color w:val="auto"/>
          <w:sz w:val="28"/>
          <w:szCs w:val="28"/>
        </w:rPr>
        <w:t>雷雨天进行卸油作业，遇雷击，可能造成火灾、爆炸事故。</w:t>
      </w:r>
    </w:p>
    <w:p>
      <w:pPr>
        <w:pStyle w:val="6"/>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sz w:val="30"/>
          <w:szCs w:val="30"/>
        </w:rPr>
      </w:pPr>
      <w:bookmarkStart w:id="52" w:name="_Toc21651"/>
      <w:r>
        <w:rPr>
          <w:rFonts w:hint="eastAsia" w:ascii="宋体" w:hAnsi="宋体" w:eastAsia="宋体" w:cs="宋体"/>
          <w:color w:val="auto"/>
          <w:sz w:val="30"/>
          <w:szCs w:val="30"/>
          <w:lang w:val="en-US" w:eastAsia="zh-CN"/>
        </w:rPr>
        <w:t>1</w:t>
      </w:r>
      <w:r>
        <w:rPr>
          <w:rFonts w:hint="eastAsia" w:ascii="宋体" w:hAnsi="宋体" w:eastAsia="宋体" w:cs="宋体"/>
          <w:color w:val="auto"/>
          <w:sz w:val="30"/>
          <w:szCs w:val="30"/>
        </w:rPr>
        <w:t>.4.2 加油过程</w:t>
      </w:r>
      <w:bookmarkEnd w:id="52"/>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1</w:t>
      </w:r>
      <w:r>
        <w:rPr>
          <w:rFonts w:hint="eastAsia" w:ascii="宋体" w:hAnsi="宋体" w:cs="宋体"/>
          <w:color w:val="auto"/>
          <w:sz w:val="28"/>
          <w:szCs w:val="28"/>
          <w:lang w:eastAsia="zh-CN"/>
        </w:rPr>
        <w:t>）</w:t>
      </w:r>
      <w:r>
        <w:rPr>
          <w:rFonts w:hint="eastAsia" w:ascii="宋体" w:hAnsi="宋体" w:eastAsia="宋体" w:cs="宋体"/>
          <w:color w:val="auto"/>
          <w:sz w:val="28"/>
          <w:szCs w:val="28"/>
        </w:rPr>
        <w:t>作业人员在加油过程中若不遵守安全规章，不严格按正确的规程作业或操作失误，可能造成漏油、油品溢出等情况，遇加油机接地松动而接触不重复良引起静电大量积聚放电或遇明火极易发生火灾，甚至爆炸。</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2</w:t>
      </w:r>
      <w:r>
        <w:rPr>
          <w:rFonts w:hint="eastAsia" w:ascii="宋体" w:hAnsi="宋体" w:cs="宋体"/>
          <w:color w:val="auto"/>
          <w:sz w:val="28"/>
          <w:szCs w:val="28"/>
          <w:lang w:eastAsia="zh-CN"/>
        </w:rPr>
        <w:t>）</w:t>
      </w:r>
      <w:r>
        <w:rPr>
          <w:rFonts w:hint="eastAsia" w:ascii="宋体" w:hAnsi="宋体" w:eastAsia="宋体" w:cs="宋体"/>
          <w:color w:val="auto"/>
          <w:sz w:val="28"/>
          <w:szCs w:val="28"/>
        </w:rPr>
        <w:t>作业人员若违反规程向塑料容器加注油品，易造成静电积聚放电，若遇油品或油蒸气，可能发生火灾爆炸。加油枪、加油管损坏、加油机内接管密封垫损坏均会造成油品泄漏，遇点火源可能发生燃烧、爆炸事故。</w:t>
      </w:r>
    </w:p>
    <w:p>
      <w:pPr>
        <w:pageBreakBefore w:val="0"/>
        <w:kinsoku/>
        <w:wordWrap/>
        <w:overflowPunct/>
        <w:topLinePunct w:val="0"/>
        <w:bidi w:val="0"/>
        <w:snapToGrid w:val="0"/>
        <w:spacing w:line="360" w:lineRule="auto"/>
        <w:ind w:left="0" w:leftChars="0" w:right="0" w:firstLine="544"/>
        <w:jc w:val="left"/>
        <w:textAlignment w:val="auto"/>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3</w:t>
      </w:r>
      <w:r>
        <w:rPr>
          <w:rFonts w:hint="eastAsia" w:ascii="宋体" w:hAnsi="宋体" w:cs="宋体"/>
          <w:color w:val="auto"/>
          <w:sz w:val="28"/>
          <w:szCs w:val="28"/>
          <w:lang w:eastAsia="zh-CN"/>
        </w:rPr>
        <w:t>）</w:t>
      </w:r>
      <w:r>
        <w:rPr>
          <w:rFonts w:hint="eastAsia" w:ascii="宋体" w:hAnsi="宋体" w:eastAsia="宋体" w:cs="宋体"/>
          <w:color w:val="auto"/>
          <w:sz w:val="28"/>
          <w:szCs w:val="28"/>
        </w:rPr>
        <w:t>加油时油品流动会产生静电，可能使静电积聚，甚至放电，若油品流速大于60L/min或加油站静电接地装置失效，遇油品蒸汽有发生火灾爆炸危险。</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4</w:t>
      </w:r>
      <w:r>
        <w:rPr>
          <w:rFonts w:hint="eastAsia" w:ascii="宋体" w:hAnsi="宋体" w:cs="宋体"/>
          <w:color w:val="auto"/>
          <w:sz w:val="28"/>
          <w:szCs w:val="28"/>
          <w:lang w:eastAsia="zh-CN"/>
        </w:rPr>
        <w:t>）</w:t>
      </w:r>
      <w:r>
        <w:rPr>
          <w:rFonts w:hint="eastAsia" w:ascii="宋体" w:hAnsi="宋体" w:eastAsia="宋体" w:cs="宋体"/>
          <w:color w:val="auto"/>
          <w:sz w:val="28"/>
          <w:szCs w:val="28"/>
        </w:rPr>
        <w:t>有点火能源存在（明火、雷电、静电、高温热源、撞击火花、电气火花等），可能造成火灾、爆炸事故；</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5</w:t>
      </w:r>
      <w:r>
        <w:rPr>
          <w:rFonts w:hint="eastAsia" w:ascii="宋体" w:hAnsi="宋体" w:cs="宋体"/>
          <w:color w:val="auto"/>
          <w:sz w:val="28"/>
          <w:szCs w:val="28"/>
          <w:lang w:eastAsia="zh-CN"/>
        </w:rPr>
        <w:t>）</w:t>
      </w:r>
      <w:r>
        <w:rPr>
          <w:rFonts w:hint="eastAsia" w:ascii="宋体" w:hAnsi="宋体" w:eastAsia="宋体" w:cs="宋体"/>
          <w:color w:val="auto"/>
          <w:sz w:val="28"/>
          <w:szCs w:val="28"/>
        </w:rPr>
        <w:t>车辆进入作业区未限速，未熄火加油，可能造成火灾、爆炸事故；</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6</w:t>
      </w:r>
      <w:r>
        <w:rPr>
          <w:rFonts w:hint="eastAsia" w:ascii="宋体" w:hAnsi="宋体" w:cs="宋体"/>
          <w:color w:val="auto"/>
          <w:sz w:val="28"/>
          <w:szCs w:val="28"/>
          <w:lang w:eastAsia="zh-CN"/>
        </w:rPr>
        <w:t>）</w:t>
      </w:r>
      <w:r>
        <w:rPr>
          <w:rFonts w:hint="eastAsia" w:ascii="宋体" w:hAnsi="宋体" w:eastAsia="宋体" w:cs="宋体"/>
          <w:color w:val="auto"/>
          <w:sz w:val="28"/>
          <w:szCs w:val="28"/>
        </w:rPr>
        <w:t>作业人员未穿戴防静电工作服，可能造成火灾、爆炸事故。</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7</w:t>
      </w:r>
      <w:r>
        <w:rPr>
          <w:rFonts w:hint="eastAsia" w:ascii="宋体" w:hAnsi="宋体" w:cs="宋体"/>
          <w:color w:val="auto"/>
          <w:sz w:val="28"/>
          <w:szCs w:val="28"/>
          <w:lang w:eastAsia="zh-CN"/>
        </w:rPr>
        <w:t>）</w:t>
      </w:r>
      <w:r>
        <w:rPr>
          <w:rFonts w:hint="eastAsia" w:ascii="宋体" w:hAnsi="宋体" w:eastAsia="宋体" w:cs="宋体"/>
          <w:color w:val="auto"/>
          <w:sz w:val="28"/>
          <w:szCs w:val="28"/>
        </w:rPr>
        <w:t>进出加油站车辆较多，机动车辆驾驶人员操作不当，有可能伤害加油站作业人员；如果撞坏加油设施可导致油品泄漏，引发火灾。</w:t>
      </w:r>
    </w:p>
    <w:p>
      <w:pPr>
        <w:pStyle w:val="17"/>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8</w:t>
      </w:r>
      <w:r>
        <w:rPr>
          <w:rFonts w:hint="eastAsia" w:ascii="宋体" w:hAnsi="宋体" w:cs="宋体"/>
          <w:color w:val="auto"/>
          <w:sz w:val="28"/>
          <w:szCs w:val="28"/>
          <w:lang w:eastAsia="zh-CN"/>
        </w:rPr>
        <w:t>）</w:t>
      </w:r>
      <w:r>
        <w:rPr>
          <w:rFonts w:hint="eastAsia" w:ascii="宋体" w:hAnsi="宋体" w:eastAsia="宋体" w:cs="宋体"/>
          <w:color w:val="auto"/>
          <w:sz w:val="28"/>
          <w:szCs w:val="28"/>
        </w:rPr>
        <w:t>给摩托车加油，摩托车驾驶员未提前下车或未下车直接加油，摩托车余热等造成车辆自燃，发生火灾爆炸及伤人事故。</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9</w:t>
      </w:r>
      <w:r>
        <w:rPr>
          <w:rFonts w:hint="eastAsia" w:ascii="宋体" w:hAnsi="宋体" w:cs="宋体"/>
          <w:color w:val="auto"/>
          <w:sz w:val="28"/>
          <w:szCs w:val="28"/>
          <w:lang w:eastAsia="zh-CN"/>
        </w:rPr>
        <w:t>）</w:t>
      </w:r>
      <w:r>
        <w:rPr>
          <w:rFonts w:hint="eastAsia" w:ascii="宋体" w:hAnsi="宋体" w:eastAsia="宋体" w:cs="宋体"/>
          <w:color w:val="auto"/>
          <w:sz w:val="28"/>
          <w:szCs w:val="28"/>
        </w:rPr>
        <w:t>加散装汽油、柴油未对油品用途、加油人员身份进行核查和身份证留底，恐暴</w:t>
      </w:r>
      <w:r>
        <w:rPr>
          <w:rFonts w:hint="eastAsia" w:ascii="宋体" w:hAnsi="宋体" w:cs="宋体"/>
          <w:color w:val="auto"/>
          <w:sz w:val="28"/>
          <w:szCs w:val="28"/>
          <w:lang w:eastAsia="zh-CN"/>
        </w:rPr>
        <w:t>分子</w:t>
      </w:r>
      <w:r>
        <w:rPr>
          <w:rFonts w:hint="eastAsia" w:ascii="宋体" w:hAnsi="宋体" w:eastAsia="宋体" w:cs="宋体"/>
          <w:color w:val="auto"/>
          <w:sz w:val="28"/>
          <w:szCs w:val="28"/>
        </w:rPr>
        <w:t>利用散装油品自燃或放火等造成人员伤害和火灾事故。</w:t>
      </w:r>
    </w:p>
    <w:p>
      <w:pPr>
        <w:pStyle w:val="17"/>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10</w:t>
      </w:r>
      <w:r>
        <w:rPr>
          <w:rFonts w:hint="eastAsia" w:ascii="宋体" w:hAnsi="宋体" w:cs="宋体"/>
          <w:color w:val="auto"/>
          <w:sz w:val="28"/>
          <w:szCs w:val="28"/>
          <w:lang w:eastAsia="zh-CN"/>
        </w:rPr>
        <w:t>）</w:t>
      </w:r>
      <w:r>
        <w:rPr>
          <w:rFonts w:hint="eastAsia" w:ascii="宋体" w:hAnsi="宋体" w:eastAsia="宋体" w:cs="宋体"/>
          <w:color w:val="auto"/>
          <w:sz w:val="28"/>
          <w:szCs w:val="28"/>
        </w:rPr>
        <w:t>加散装汽油、柴油的工具不符合（如塑料桶、盆子等），发生泄漏或与身体静电接触发生火灾事故。</w:t>
      </w:r>
    </w:p>
    <w:p>
      <w:pPr>
        <w:pageBreakBefore w:val="0"/>
        <w:tabs>
          <w:tab w:val="left" w:pos="1160"/>
        </w:tabs>
        <w:kinsoku/>
        <w:wordWrap/>
        <w:overflowPunct/>
        <w:topLinePunct w:val="0"/>
        <w:bidi w:val="0"/>
        <w:snapToGrid w:val="0"/>
        <w:spacing w:line="360" w:lineRule="auto"/>
        <w:ind w:left="0" w:leftChars="0" w:right="0" w:firstLine="560" w:firstLineChars="200"/>
        <w:textAlignment w:val="auto"/>
        <w:rPr>
          <w:rFonts w:hint="eastAsia" w:ascii="宋体" w:hAnsi="宋体" w:eastAsia="宋体" w:cs="宋体"/>
          <w:color w:val="auto"/>
          <w:lang w:val="en-US" w:eastAsia="zh-CN"/>
        </w:rPr>
      </w:pPr>
      <w:r>
        <w:rPr>
          <w:rFonts w:hint="eastAsia" w:ascii="宋体" w:hAnsi="宋体" w:cs="宋体"/>
          <w:color w:val="auto"/>
          <w:sz w:val="28"/>
          <w:szCs w:val="28"/>
          <w:lang w:val="en-US" w:eastAsia="zh-CN"/>
        </w:rPr>
        <w:t>（11）</w:t>
      </w:r>
      <w:r>
        <w:rPr>
          <w:rFonts w:hint="eastAsia" w:ascii="宋体" w:hAnsi="宋体" w:eastAsia="宋体" w:cs="宋体"/>
          <w:color w:val="auto"/>
          <w:sz w:val="28"/>
          <w:szCs w:val="28"/>
          <w:lang w:val="en-US" w:eastAsia="zh-CN"/>
        </w:rPr>
        <w:t>加油过程因加油机管线渗漏或加油工作人员操作不当，造成油品质量问题或数量缺少，发生与顾客的数质量纠纷。</w:t>
      </w:r>
    </w:p>
    <w:p>
      <w:pPr>
        <w:pStyle w:val="6"/>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sz w:val="30"/>
          <w:szCs w:val="30"/>
        </w:rPr>
      </w:pPr>
      <w:bookmarkStart w:id="53" w:name="_Toc9378"/>
      <w:r>
        <w:rPr>
          <w:rFonts w:hint="eastAsia" w:ascii="宋体" w:hAnsi="宋体" w:eastAsia="宋体" w:cs="宋体"/>
          <w:color w:val="auto"/>
          <w:sz w:val="30"/>
          <w:szCs w:val="30"/>
          <w:lang w:val="en-US" w:eastAsia="zh-CN"/>
        </w:rPr>
        <w:t>1</w:t>
      </w:r>
      <w:r>
        <w:rPr>
          <w:rFonts w:hint="eastAsia" w:ascii="宋体" w:hAnsi="宋体" w:eastAsia="宋体" w:cs="宋体"/>
          <w:color w:val="auto"/>
          <w:sz w:val="30"/>
          <w:szCs w:val="30"/>
        </w:rPr>
        <w:t>.4.3 储油过程</w:t>
      </w:r>
      <w:bookmarkEnd w:id="53"/>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1</w:t>
      </w:r>
      <w:r>
        <w:rPr>
          <w:rFonts w:hint="eastAsia" w:ascii="宋体" w:hAnsi="宋体" w:cs="宋体"/>
          <w:color w:val="auto"/>
          <w:sz w:val="28"/>
          <w:szCs w:val="28"/>
          <w:lang w:eastAsia="zh-CN"/>
        </w:rPr>
        <w:t>）</w:t>
      </w:r>
      <w:r>
        <w:rPr>
          <w:rFonts w:hint="eastAsia" w:ascii="宋体" w:hAnsi="宋体" w:eastAsia="宋体" w:cs="宋体"/>
          <w:color w:val="auto"/>
          <w:sz w:val="28"/>
          <w:szCs w:val="28"/>
        </w:rPr>
        <w:t>储罐区若避雷（防静电）设施失效，一旦遭遇雷击（或静电积累），会引起火灾、爆炸。</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2</w:t>
      </w:r>
      <w:r>
        <w:rPr>
          <w:rFonts w:hint="eastAsia" w:ascii="宋体" w:hAnsi="宋体" w:cs="宋体"/>
          <w:color w:val="auto"/>
          <w:sz w:val="28"/>
          <w:szCs w:val="28"/>
          <w:lang w:eastAsia="zh-CN"/>
        </w:rPr>
        <w:t>）</w:t>
      </w:r>
      <w:r>
        <w:rPr>
          <w:rFonts w:hint="eastAsia" w:ascii="宋体" w:hAnsi="宋体" w:eastAsia="宋体" w:cs="宋体"/>
          <w:color w:val="auto"/>
          <w:sz w:val="28"/>
          <w:szCs w:val="28"/>
        </w:rPr>
        <w:t>储罐区消防器材失效，遇事故时不能及时扑救，导致事故扩大。</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3</w:t>
      </w:r>
      <w:r>
        <w:rPr>
          <w:rFonts w:hint="eastAsia" w:ascii="宋体" w:hAnsi="宋体" w:cs="宋体"/>
          <w:color w:val="auto"/>
          <w:sz w:val="28"/>
          <w:szCs w:val="28"/>
          <w:lang w:eastAsia="zh-CN"/>
        </w:rPr>
        <w:t>）</w:t>
      </w:r>
      <w:r>
        <w:rPr>
          <w:rFonts w:hint="eastAsia" w:ascii="宋体" w:hAnsi="宋体" w:eastAsia="宋体" w:cs="宋体"/>
          <w:color w:val="auto"/>
          <w:sz w:val="28"/>
          <w:szCs w:val="28"/>
        </w:rPr>
        <w:t>若储罐区的工作人员未经过一定专业知识、专业技能的培训或未按有关规定配备具有专业知识的技术人员，则会因不了解成品油的性能、危险性而导致意外事件的发生。</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4</w:t>
      </w:r>
      <w:r>
        <w:rPr>
          <w:rFonts w:hint="eastAsia" w:ascii="宋体" w:hAnsi="宋体" w:cs="宋体"/>
          <w:color w:val="auto"/>
          <w:sz w:val="28"/>
          <w:szCs w:val="28"/>
          <w:lang w:eastAsia="zh-CN"/>
        </w:rPr>
        <w:t>）</w:t>
      </w:r>
      <w:r>
        <w:rPr>
          <w:rFonts w:hint="eastAsia" w:ascii="宋体" w:hAnsi="宋体" w:eastAsia="宋体" w:cs="宋体"/>
          <w:color w:val="auto"/>
          <w:sz w:val="28"/>
          <w:szCs w:val="28"/>
        </w:rPr>
        <w:t>在设备检修过程中，对储罐或输油管道没有按规定清洗彻底且违章动火等也会形成火灾、爆炸事故。</w:t>
      </w:r>
    </w:p>
    <w:p>
      <w:pPr>
        <w:pStyle w:val="5"/>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szCs w:val="28"/>
          <w:lang w:val="en-US" w:eastAsia="zh-CN"/>
        </w:rPr>
      </w:pPr>
      <w:bookmarkStart w:id="54" w:name="_Toc83757040"/>
      <w:bookmarkStart w:id="55" w:name="_Toc30799"/>
      <w:bookmarkStart w:id="56" w:name="_Toc23463"/>
      <w:bookmarkStart w:id="57" w:name="_Toc354416286"/>
      <w:r>
        <w:rPr>
          <w:rFonts w:hint="eastAsia" w:ascii="宋体" w:hAnsi="宋体" w:eastAsia="宋体" w:cs="宋体"/>
          <w:color w:val="auto"/>
          <w:szCs w:val="28"/>
          <w:lang w:val="en-US" w:eastAsia="zh-CN"/>
        </w:rPr>
        <w:t>1.5工艺操作</w:t>
      </w:r>
      <w:r>
        <w:rPr>
          <w:rFonts w:hint="eastAsia" w:ascii="宋体" w:hAnsi="宋体" w:cs="宋体"/>
          <w:color w:val="auto"/>
          <w:szCs w:val="28"/>
          <w:lang w:val="en-US" w:eastAsia="zh-CN"/>
        </w:rPr>
        <w:t>过程</w:t>
      </w:r>
      <w:r>
        <w:rPr>
          <w:rFonts w:hint="eastAsia" w:ascii="宋体" w:hAnsi="宋体" w:eastAsia="宋体" w:cs="宋体"/>
          <w:color w:val="auto"/>
          <w:szCs w:val="28"/>
          <w:lang w:val="en-US" w:eastAsia="zh-CN"/>
        </w:rPr>
        <w:t>的危险、有害因素</w:t>
      </w:r>
      <w:bookmarkEnd w:id="54"/>
      <w:r>
        <w:rPr>
          <w:rFonts w:hint="eastAsia" w:ascii="宋体" w:hAnsi="宋体" w:eastAsia="宋体" w:cs="宋体"/>
          <w:color w:val="auto"/>
          <w:szCs w:val="28"/>
          <w:lang w:val="en-US" w:eastAsia="zh-CN"/>
        </w:rPr>
        <w:t>分析</w:t>
      </w:r>
      <w:bookmarkEnd w:id="55"/>
    </w:p>
    <w:p>
      <w:pPr>
        <w:pStyle w:val="6"/>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sz w:val="28"/>
          <w:szCs w:val="28"/>
          <w:lang w:val="en-US" w:eastAsia="zh-CN"/>
        </w:rPr>
      </w:pPr>
      <w:bookmarkStart w:id="58" w:name="_Toc317177226"/>
      <w:bookmarkStart w:id="59" w:name="_Toc83757041"/>
      <w:bookmarkStart w:id="60" w:name="_Toc25321"/>
      <w:r>
        <w:rPr>
          <w:rFonts w:hint="eastAsia" w:ascii="宋体" w:hAnsi="宋体" w:eastAsia="宋体" w:cs="宋体"/>
          <w:color w:val="auto"/>
          <w:sz w:val="28"/>
          <w:szCs w:val="28"/>
          <w:lang w:val="en-US" w:eastAsia="zh-CN"/>
        </w:rPr>
        <w:t>1.5.1油料作业过程危险、有害因素</w:t>
      </w:r>
      <w:bookmarkEnd w:id="58"/>
      <w:bookmarkEnd w:id="59"/>
      <w:r>
        <w:rPr>
          <w:rFonts w:hint="eastAsia" w:ascii="宋体" w:hAnsi="宋体" w:eastAsia="宋体" w:cs="宋体"/>
          <w:color w:val="auto"/>
          <w:sz w:val="28"/>
          <w:szCs w:val="28"/>
          <w:lang w:val="en-US" w:eastAsia="zh-CN"/>
        </w:rPr>
        <w:t>分析</w:t>
      </w:r>
      <w:bookmarkEnd w:id="60"/>
    </w:p>
    <w:p>
      <w:pPr>
        <w:pageBreakBefore w:val="0"/>
        <w:kinsoku/>
        <w:wordWrap/>
        <w:overflowPunct/>
        <w:topLinePunct w:val="0"/>
        <w:bidi w:val="0"/>
        <w:snapToGrid w:val="0"/>
        <w:spacing w:line="360" w:lineRule="auto"/>
        <w:ind w:left="0" w:leftChars="0" w:right="0" w:firstLine="560" w:firstLineChars="200"/>
        <w:textAlignment w:val="auto"/>
        <w:rPr>
          <w:rFonts w:ascii="宋体" w:hAnsi="宋体"/>
          <w:color w:val="auto"/>
          <w:sz w:val="28"/>
          <w:szCs w:val="28"/>
        </w:rPr>
      </w:pPr>
      <w:r>
        <w:rPr>
          <w:rFonts w:hint="eastAsia" w:ascii="宋体" w:hAnsi="宋体"/>
          <w:color w:val="auto"/>
          <w:sz w:val="28"/>
          <w:szCs w:val="28"/>
          <w:lang w:val="en-US" w:eastAsia="zh-CN"/>
        </w:rPr>
        <w:t>（1）</w:t>
      </w:r>
      <w:r>
        <w:rPr>
          <w:rFonts w:hint="eastAsia" w:ascii="宋体" w:hAnsi="宋体"/>
          <w:color w:val="auto"/>
          <w:sz w:val="28"/>
          <w:szCs w:val="28"/>
        </w:rPr>
        <w:t>卸油操作</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rPr>
      </w:pPr>
      <w:r>
        <w:rPr>
          <w:rFonts w:hint="eastAsia" w:ascii="宋体" w:hAnsi="宋体"/>
          <w:color w:val="auto"/>
          <w:sz w:val="28"/>
          <w:szCs w:val="28"/>
        </w:rPr>
        <w:t>当油罐车进站后应按规定停靠，尽快卸收，不得积压车辆。卸油时，按规定将导静电装置接在油罐车卸油口的金属部位上或者静电接地装置失效，可能会造成静电</w:t>
      </w:r>
      <w:r>
        <w:rPr>
          <w:rFonts w:hint="eastAsia" w:ascii="宋体" w:hAnsi="宋体"/>
          <w:color w:val="auto"/>
          <w:sz w:val="28"/>
          <w:szCs w:val="28"/>
          <w:lang w:eastAsia="zh-CN"/>
        </w:rPr>
        <w:t>聚集</w:t>
      </w:r>
      <w:r>
        <w:rPr>
          <w:rFonts w:hint="eastAsia" w:ascii="宋体" w:hAnsi="宋体"/>
          <w:color w:val="auto"/>
          <w:sz w:val="28"/>
          <w:szCs w:val="28"/>
        </w:rPr>
        <w:t>会产生火花；操作人员严禁穿铁钉鞋、化纤服上油车作业，否则会因摩擦生成静电而产生火花，遇油气引起燃烧，如灭火不及时会发生爆炸。遇雷雨、风沙天气应暂停卸油，避免因雷电而引发的火灾爆炸事故。卸油作业时，若周边存在动火作业且未按照要求采取防护措施，遇油气引起燃烧。卸油完毕后，应及时清理卸油现场，保持干净整洁，防止因地面余油遇到火源而引发火灾事故。如果阻火器失效，外界火星则可能进入油罐引发油罐爆炸事故。如果卸油作业时现场配置灭火器不足，若发生意外事故，不能及时处置可能造成事故后果扩大。</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（2）</w:t>
      </w:r>
      <w:r>
        <w:rPr>
          <w:rFonts w:hint="eastAsia" w:ascii="宋体" w:hAnsi="宋体"/>
          <w:color w:val="auto"/>
          <w:sz w:val="28"/>
          <w:szCs w:val="28"/>
        </w:rPr>
        <w:t>加油操作</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rPr>
      </w:pPr>
      <w:r>
        <w:rPr>
          <w:rFonts w:hint="eastAsia" w:ascii="宋体" w:hAnsi="宋体"/>
          <w:color w:val="auto"/>
          <w:sz w:val="28"/>
          <w:szCs w:val="28"/>
        </w:rPr>
        <w:t>加油区周围分布的油气浓度相对比较高，加油机加油时，油气向外扩散，导致瞬间局部区域油气浓度升高，遇明火会产生燃烧，甚至引发爆炸。</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rPr>
      </w:pPr>
      <w:r>
        <w:rPr>
          <w:rFonts w:hint="eastAsia" w:ascii="宋体" w:hAnsi="宋体"/>
          <w:color w:val="auto"/>
          <w:sz w:val="28"/>
          <w:szCs w:val="28"/>
        </w:rPr>
        <w:t>加油站车辆进入加油区，若车辆未经熄火就开始加油，车辆排气管产生的火花会成为火源，从而引发火灾爆炸事故。</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rPr>
      </w:pPr>
      <w:r>
        <w:rPr>
          <w:rFonts w:hint="eastAsia" w:ascii="宋体" w:hAnsi="宋体"/>
          <w:color w:val="auto"/>
          <w:sz w:val="28"/>
          <w:szCs w:val="28"/>
        </w:rPr>
        <w:t>加油枪与车辆油箱撞击或放置时与加油机相撞，极易产生火花，造成火灾。加油站操作人员身着化纤服装，化纤易产生静电，加油时拍打衣服，会产生火花。拨打手机也易产生火花。</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油气处理</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rPr>
      </w:pPr>
      <w:r>
        <w:rPr>
          <w:rFonts w:hint="eastAsia" w:ascii="宋体" w:hAnsi="宋体"/>
          <w:color w:val="auto"/>
          <w:sz w:val="28"/>
          <w:szCs w:val="28"/>
        </w:rPr>
        <w:t>汽油的储运和装卸及加油过程中，油罐或汽车油箱会因压力波动而产生大量的油气。加油站所散发出来的油品蒸气，不但有易燃、易爆的危险，而且还有一定的毒性。这些油气直接排入大气，不但污染环境而且会造成大量的油品损失。</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rPr>
      </w:pPr>
      <w:r>
        <w:rPr>
          <w:rFonts w:hint="eastAsia" w:ascii="宋体" w:hAnsi="宋体"/>
          <w:color w:val="auto"/>
          <w:sz w:val="28"/>
          <w:szCs w:val="28"/>
        </w:rPr>
        <w:t>当槽车向油罐内卸油时产生的大量汽油蒸汽即通过呼吸阀直接排入大气，此时若有一点火星或静电火花就会引起爆炸。</w:t>
      </w:r>
    </w:p>
    <w:p>
      <w:pPr>
        <w:pStyle w:val="6"/>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sz w:val="28"/>
          <w:szCs w:val="28"/>
          <w:lang w:val="en-US" w:eastAsia="zh-CN"/>
        </w:rPr>
      </w:pPr>
      <w:bookmarkStart w:id="61" w:name="_Toc83757042"/>
      <w:bookmarkStart w:id="62" w:name="_Toc7850"/>
      <w:r>
        <w:rPr>
          <w:rFonts w:hint="eastAsia" w:ascii="宋体" w:hAnsi="宋体" w:eastAsia="宋体" w:cs="宋体"/>
          <w:color w:val="auto"/>
          <w:sz w:val="28"/>
          <w:szCs w:val="28"/>
          <w:lang w:val="en-US" w:eastAsia="zh-CN"/>
        </w:rPr>
        <w:t>1.5.2营业和检修过程危险、有害因素</w:t>
      </w:r>
      <w:bookmarkEnd w:id="61"/>
      <w:r>
        <w:rPr>
          <w:rFonts w:hint="eastAsia" w:ascii="宋体" w:hAnsi="宋体" w:eastAsia="宋体" w:cs="宋体"/>
          <w:color w:val="auto"/>
          <w:sz w:val="28"/>
          <w:szCs w:val="28"/>
          <w:lang w:val="en-US" w:eastAsia="zh-CN"/>
        </w:rPr>
        <w:t>分析</w:t>
      </w:r>
      <w:bookmarkEnd w:id="62"/>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rPr>
      </w:pPr>
      <w:r>
        <w:rPr>
          <w:rFonts w:hint="eastAsia" w:ascii="宋体" w:hAnsi="宋体"/>
          <w:color w:val="auto"/>
          <w:sz w:val="28"/>
          <w:szCs w:val="28"/>
        </w:rPr>
        <w:t>项目建成试营业</w:t>
      </w:r>
      <w:r>
        <w:rPr>
          <w:rFonts w:hint="eastAsia" w:ascii="宋体" w:hAnsi="宋体"/>
          <w:color w:val="auto"/>
          <w:sz w:val="28"/>
          <w:szCs w:val="28"/>
          <w:lang w:val="en-US" w:eastAsia="zh-CN"/>
        </w:rPr>
        <w:t>之前，应先进行生产安全事故应急救援预案备案。试营业</w:t>
      </w:r>
      <w:r>
        <w:rPr>
          <w:rFonts w:hint="eastAsia" w:ascii="宋体" w:hAnsi="宋体"/>
          <w:color w:val="auto"/>
          <w:sz w:val="28"/>
          <w:szCs w:val="28"/>
        </w:rPr>
        <w:t>期间，设备处于调试阶段，其稳定性和安全性尚未得到验证，是事故频发的阶段。建设单位若对试营业过程的安全性未加重视，容易发生事故。试营业期间，建设单位应加强安全管理，对设备及人员操作进行监护运行。</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rPr>
      </w:pPr>
      <w:r>
        <w:rPr>
          <w:rFonts w:hint="eastAsia" w:ascii="宋体" w:hAnsi="宋体"/>
          <w:color w:val="auto"/>
          <w:sz w:val="28"/>
          <w:szCs w:val="28"/>
        </w:rPr>
        <w:t>设备运行到一定程度必须进行检修，检修时若不按操作规程进行，例如设施设备内的残余气体没有放空或置换就开始检修，遇检修火源设施设备中的油品就会燃烧，发生火灾事故；如设施、设备中油品没有完全放完，未进行惰性气体置换，或未达到置换要求，混入空气，使气体的浓度在爆炸极限范围内，遇检修火源就易发生爆炸。在检修过程中，会使用人力移动一些设备，如果操作不当，有可能造成人体损伤。在检修过程中使用到电气设备，有可能造成人员触电事故。检修作业不彻底，或操作不到位，给设施、设备留下隐患，更</w:t>
      </w:r>
      <w:r>
        <w:rPr>
          <w:rFonts w:hint="eastAsia" w:ascii="宋体" w:hAnsi="宋体"/>
          <w:color w:val="auto"/>
          <w:sz w:val="28"/>
          <w:szCs w:val="28"/>
          <w:lang w:eastAsia="zh-CN"/>
        </w:rPr>
        <w:t>容易</w:t>
      </w:r>
      <w:r>
        <w:rPr>
          <w:rFonts w:hint="eastAsia" w:ascii="宋体" w:hAnsi="宋体"/>
          <w:color w:val="auto"/>
          <w:sz w:val="28"/>
          <w:szCs w:val="28"/>
        </w:rPr>
        <w:t>造成事故。</w:t>
      </w:r>
    </w:p>
    <w:p>
      <w:pPr>
        <w:pageBreakBefore w:val="0"/>
        <w:kinsoku/>
        <w:wordWrap/>
        <w:overflowPunct/>
        <w:topLinePunct w:val="0"/>
        <w:bidi w:val="0"/>
        <w:snapToGrid w:val="0"/>
        <w:spacing w:line="360" w:lineRule="auto"/>
        <w:ind w:left="0" w:leftChars="0" w:right="0" w:firstLine="560" w:firstLineChars="200"/>
        <w:textAlignment w:val="auto"/>
        <w:rPr>
          <w:rFonts w:ascii="宋体" w:hAnsi="宋体"/>
          <w:color w:val="auto"/>
          <w:sz w:val="28"/>
          <w:szCs w:val="28"/>
        </w:rPr>
      </w:pPr>
      <w:r>
        <w:rPr>
          <w:rFonts w:hint="eastAsia" w:ascii="宋体" w:hAnsi="宋体"/>
          <w:color w:val="auto"/>
          <w:sz w:val="28"/>
          <w:szCs w:val="28"/>
        </w:rPr>
        <w:t>检修作业过程中，进入受限空间作业，如未对受限空间进行危害辨识和风向评估，也未采取相应的安全措施，可能发生人员中毒和窒息、火灾、爆炸等事故。高处检修作业时，未配备安全绳、安全防护不到位、脚手架搭建不规范等，都可能造成高处坠落事故的发生。</w:t>
      </w:r>
    </w:p>
    <w:p>
      <w:pPr>
        <w:pStyle w:val="5"/>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szCs w:val="28"/>
          <w:lang w:val="en-US" w:eastAsia="zh-CN"/>
        </w:rPr>
      </w:pPr>
      <w:bookmarkStart w:id="63" w:name="_Toc13162"/>
      <w:r>
        <w:rPr>
          <w:rFonts w:hint="eastAsia" w:ascii="宋体" w:hAnsi="宋体" w:eastAsia="宋体" w:cs="宋体"/>
          <w:color w:val="auto"/>
          <w:szCs w:val="28"/>
          <w:lang w:val="en-US" w:eastAsia="zh-CN"/>
        </w:rPr>
        <w:t>1.</w:t>
      </w:r>
      <w:r>
        <w:rPr>
          <w:rFonts w:hint="eastAsia" w:ascii="宋体" w:hAnsi="宋体" w:cs="宋体"/>
          <w:color w:val="auto"/>
          <w:szCs w:val="28"/>
          <w:lang w:val="en-US" w:eastAsia="zh-CN"/>
        </w:rPr>
        <w:t>6</w:t>
      </w:r>
      <w:r>
        <w:rPr>
          <w:rFonts w:hint="eastAsia" w:ascii="宋体" w:hAnsi="宋体" w:eastAsia="宋体"/>
          <w:bCs w:val="0"/>
          <w:color w:val="auto"/>
        </w:rPr>
        <w:t>工艺设备、设施的危险、有害因素</w:t>
      </w:r>
      <w:r>
        <w:rPr>
          <w:rFonts w:hint="eastAsia" w:ascii="宋体" w:hAnsi="宋体" w:eastAsia="宋体" w:cs="宋体"/>
          <w:color w:val="auto"/>
          <w:szCs w:val="28"/>
          <w:lang w:val="en-US" w:eastAsia="zh-CN"/>
        </w:rPr>
        <w:t>分析</w:t>
      </w:r>
      <w:bookmarkEnd w:id="56"/>
      <w:bookmarkEnd w:id="57"/>
      <w:bookmarkEnd w:id="63"/>
    </w:p>
    <w:p>
      <w:pPr>
        <w:pStyle w:val="6"/>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sz w:val="28"/>
          <w:szCs w:val="28"/>
          <w:lang w:val="en-US" w:eastAsia="zh-CN"/>
        </w:rPr>
      </w:pPr>
      <w:bookmarkStart w:id="64" w:name="_Toc11538"/>
      <w:r>
        <w:rPr>
          <w:rFonts w:hint="eastAsia" w:ascii="宋体" w:hAnsi="宋体" w:eastAsia="宋体" w:cs="宋体"/>
          <w:color w:val="auto"/>
          <w:sz w:val="28"/>
          <w:szCs w:val="28"/>
          <w:lang w:val="en-US" w:eastAsia="zh-CN"/>
        </w:rPr>
        <w:t>1.6.1 油罐危险、有害因素分析</w:t>
      </w:r>
      <w:bookmarkEnd w:id="64"/>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卸油管道破损未及时发现，在进行卸油作业油料泄漏，遇点火源，造成火灾、爆炸事故；</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卸油场所存在明火、电火花、高温高热物质等引火源点燃油气混合体，可能造成火灾、爆炸事故；</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rPr>
        <w:t>油罐的卸油管未按《</w:t>
      </w:r>
      <w:r>
        <w:rPr>
          <w:rFonts w:hint="eastAsia" w:ascii="宋体" w:hAnsi="宋体" w:eastAsia="宋体" w:cs="宋体"/>
          <w:sz w:val="28"/>
          <w:szCs w:val="28"/>
          <w:lang w:eastAsia="zh-CN"/>
        </w:rPr>
        <w:t>汽车加油加气加氢站技术标准</w:t>
      </w:r>
      <w:r>
        <w:rPr>
          <w:rFonts w:hint="eastAsia" w:ascii="宋体" w:hAnsi="宋体" w:eastAsia="宋体" w:cs="宋体"/>
          <w:sz w:val="28"/>
          <w:szCs w:val="28"/>
        </w:rPr>
        <w:t>》</w:t>
      </w:r>
      <w:r>
        <w:rPr>
          <w:rFonts w:hint="eastAsia" w:ascii="宋体" w:hAnsi="宋体" w:eastAsia="宋体" w:cs="宋体"/>
          <w:sz w:val="28"/>
          <w:szCs w:val="28"/>
          <w:lang w:eastAsia="zh-CN"/>
        </w:rPr>
        <w:t>GB 50156-2021</w:t>
      </w:r>
      <w:r>
        <w:rPr>
          <w:rFonts w:hint="eastAsia" w:ascii="宋体" w:hAnsi="宋体" w:eastAsia="宋体" w:cs="宋体"/>
          <w:sz w:val="28"/>
          <w:szCs w:val="28"/>
        </w:rPr>
        <w:t>中的要求插入罐内有效深度，油品流动造成静电积聚、放电，发生火灾、爆炸事故。</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w:t>
      </w:r>
      <w:r>
        <w:rPr>
          <w:rFonts w:hint="eastAsia" w:ascii="宋体" w:hAnsi="宋体" w:eastAsia="宋体" w:cs="宋体"/>
          <w:sz w:val="28"/>
          <w:szCs w:val="28"/>
        </w:rPr>
        <w:t>若与储罐的相连的泵、阀门、管道等密封不严，容易发生泄漏，泄漏后遇明火或静电火花等点火源有发生火灾的危险。</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w:t>
      </w:r>
      <w:r>
        <w:rPr>
          <w:rFonts w:hint="eastAsia" w:ascii="宋体" w:hAnsi="宋体" w:eastAsia="宋体" w:cs="宋体"/>
          <w:sz w:val="28"/>
          <w:szCs w:val="28"/>
        </w:rPr>
        <w:t>埋地油罐若没有良好的静电接地装置或接地装置失效，静电不能及时释放，产生静电火花，可导致火灾。</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w:t>
      </w:r>
      <w:r>
        <w:rPr>
          <w:rFonts w:hint="eastAsia" w:ascii="宋体" w:hAnsi="宋体" w:eastAsia="宋体" w:cs="宋体"/>
          <w:sz w:val="28"/>
          <w:szCs w:val="28"/>
        </w:rPr>
        <w:t>埋地油罐一旦制造或安装存在缺陷或长期使用未进行检测，容易引起泄漏，若遇明火或静电火花，会导致火灾事故。</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7</w:t>
      </w:r>
      <w:r>
        <w:rPr>
          <w:rFonts w:hint="eastAsia" w:ascii="宋体" w:hAnsi="宋体" w:eastAsia="宋体" w:cs="宋体"/>
          <w:sz w:val="28"/>
          <w:szCs w:val="28"/>
          <w:lang w:eastAsia="zh-CN"/>
        </w:rPr>
        <w:t>）</w:t>
      </w:r>
      <w:r>
        <w:rPr>
          <w:rFonts w:hint="eastAsia" w:ascii="宋体" w:hAnsi="宋体" w:eastAsia="宋体" w:cs="宋体"/>
          <w:sz w:val="28"/>
          <w:szCs w:val="28"/>
        </w:rPr>
        <w:t>埋地油罐的防腐层若老化或损坏脱落，造成油罐罐壁腐蚀穿孔，可引起油品泄漏，油品泄漏后经砂土渗透上升至地表面挥发为蒸气，油气与空气形成爆炸性混合气体向低洼处积聚，当达到爆炸极限时，遇点火源可能引起火灾爆炸。</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8</w:t>
      </w:r>
      <w:r>
        <w:rPr>
          <w:rFonts w:hint="eastAsia" w:ascii="宋体" w:hAnsi="宋体" w:eastAsia="宋体" w:cs="宋体"/>
          <w:sz w:val="28"/>
          <w:szCs w:val="28"/>
          <w:lang w:eastAsia="zh-CN"/>
        </w:rPr>
        <w:t>）</w:t>
      </w:r>
      <w:r>
        <w:rPr>
          <w:rFonts w:hint="eastAsia" w:ascii="宋体" w:hAnsi="宋体" w:eastAsia="宋体" w:cs="宋体"/>
          <w:sz w:val="28"/>
          <w:szCs w:val="28"/>
        </w:rPr>
        <w:t>油罐人孔处的操作井内的各管道接口处的密封料若老化，导致油品泄漏，可能在井内形成爆炸性混合气体，遇点火源，将引起着火爆炸。</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9</w:t>
      </w:r>
      <w:r>
        <w:rPr>
          <w:rFonts w:hint="eastAsia" w:ascii="宋体" w:hAnsi="宋体" w:eastAsia="宋体" w:cs="宋体"/>
          <w:sz w:val="28"/>
          <w:szCs w:val="28"/>
          <w:lang w:eastAsia="zh-CN"/>
        </w:rPr>
        <w:t>）</w:t>
      </w:r>
      <w:r>
        <w:rPr>
          <w:rFonts w:hint="eastAsia" w:ascii="宋体" w:hAnsi="宋体" w:eastAsia="宋体" w:cs="宋体"/>
          <w:sz w:val="28"/>
          <w:szCs w:val="28"/>
        </w:rPr>
        <w:t>埋地储罐防上浮措施失效，遇大暴雨，地下水位上涨，可能导致储罐上浮，导致管道破裂油品泄漏。</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w:t>
      </w:r>
      <w:r>
        <w:rPr>
          <w:rFonts w:hint="eastAsia" w:ascii="宋体" w:hAnsi="宋体" w:eastAsia="宋体" w:cs="宋体"/>
          <w:sz w:val="28"/>
          <w:szCs w:val="28"/>
          <w:lang w:eastAsia="zh-CN"/>
        </w:rPr>
        <w:t>）</w:t>
      </w:r>
      <w:r>
        <w:rPr>
          <w:rFonts w:hint="eastAsia" w:ascii="宋体" w:hAnsi="宋体" w:eastAsia="宋体" w:cs="宋体"/>
          <w:sz w:val="28"/>
          <w:szCs w:val="28"/>
        </w:rPr>
        <w:t>埋地油罐为承重式过载油罐，油罐人孔井因油气挥发存在可燃气体，人员进入人孔井检查发生中毒与窒息事故；人孔井因油气聚集发生火灾爆炸事故。</w:t>
      </w:r>
    </w:p>
    <w:p>
      <w:pPr>
        <w:pStyle w:val="6"/>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sz w:val="28"/>
          <w:szCs w:val="28"/>
        </w:rPr>
      </w:pPr>
      <w:bookmarkStart w:id="65" w:name="_Toc10390"/>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6</w:t>
      </w:r>
      <w:r>
        <w:rPr>
          <w:rFonts w:hint="eastAsia" w:ascii="宋体" w:hAnsi="宋体" w:eastAsia="宋体" w:cs="宋体"/>
          <w:color w:val="auto"/>
          <w:sz w:val="28"/>
          <w:szCs w:val="28"/>
        </w:rPr>
        <w:t>.2 加油机</w:t>
      </w:r>
      <w:r>
        <w:rPr>
          <w:rFonts w:hint="eastAsia" w:ascii="宋体" w:hAnsi="宋体" w:cs="宋体"/>
          <w:color w:val="auto"/>
          <w:sz w:val="28"/>
          <w:szCs w:val="28"/>
          <w:lang w:val="en-US" w:eastAsia="zh-CN"/>
        </w:rPr>
        <w:t>危险、有害因素</w:t>
      </w:r>
      <w:r>
        <w:rPr>
          <w:rFonts w:hint="eastAsia" w:ascii="宋体" w:hAnsi="宋体" w:eastAsia="宋体" w:cs="宋体"/>
          <w:color w:val="auto"/>
          <w:sz w:val="28"/>
          <w:szCs w:val="28"/>
          <w:lang w:val="en-US" w:eastAsia="zh-CN"/>
        </w:rPr>
        <w:t>分析</w:t>
      </w:r>
      <w:bookmarkEnd w:id="65"/>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1</w:t>
      </w:r>
      <w:r>
        <w:rPr>
          <w:rFonts w:hint="eastAsia" w:ascii="宋体" w:hAnsi="宋体" w:cs="宋体"/>
          <w:color w:val="auto"/>
          <w:sz w:val="28"/>
          <w:szCs w:val="28"/>
          <w:lang w:eastAsia="zh-CN"/>
        </w:rPr>
        <w:t>）</w:t>
      </w:r>
      <w:r>
        <w:rPr>
          <w:rFonts w:hint="eastAsia" w:ascii="宋体" w:hAnsi="宋体" w:eastAsia="宋体" w:cs="宋体"/>
          <w:color w:val="auto"/>
          <w:sz w:val="28"/>
          <w:szCs w:val="28"/>
        </w:rPr>
        <w:t>加油机如存在制造、安装等质量问题，引起加油机及油枪渗漏、胶管破损等造成漏油，一旦</w:t>
      </w:r>
      <w:r>
        <w:rPr>
          <w:rFonts w:hint="eastAsia" w:ascii="宋体" w:hAnsi="宋体" w:cs="宋体"/>
          <w:color w:val="auto"/>
          <w:sz w:val="28"/>
          <w:szCs w:val="28"/>
          <w:lang w:eastAsia="zh-CN"/>
        </w:rPr>
        <w:t>遇到</w:t>
      </w:r>
      <w:r>
        <w:rPr>
          <w:rFonts w:hint="eastAsia" w:ascii="宋体" w:hAnsi="宋体" w:eastAsia="宋体" w:cs="宋体"/>
          <w:color w:val="auto"/>
          <w:sz w:val="28"/>
          <w:szCs w:val="28"/>
        </w:rPr>
        <w:t>明火有引起火灾、爆炸的危险。</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2</w:t>
      </w:r>
      <w:r>
        <w:rPr>
          <w:rFonts w:hint="eastAsia" w:ascii="宋体" w:hAnsi="宋体" w:cs="宋体"/>
          <w:color w:val="auto"/>
          <w:sz w:val="28"/>
          <w:szCs w:val="28"/>
          <w:lang w:eastAsia="zh-CN"/>
        </w:rPr>
        <w:t>）</w:t>
      </w:r>
      <w:r>
        <w:rPr>
          <w:rFonts w:hint="eastAsia" w:ascii="宋体" w:hAnsi="宋体" w:eastAsia="宋体" w:cs="宋体"/>
          <w:color w:val="auto"/>
          <w:sz w:val="28"/>
          <w:szCs w:val="28"/>
        </w:rPr>
        <w:t>若由于设备、管线腐蚀、穿孔，引起油品泄漏，一旦</w:t>
      </w:r>
      <w:r>
        <w:rPr>
          <w:rFonts w:hint="eastAsia" w:ascii="宋体" w:hAnsi="宋体" w:cs="宋体"/>
          <w:color w:val="auto"/>
          <w:sz w:val="28"/>
          <w:szCs w:val="28"/>
          <w:lang w:eastAsia="zh-CN"/>
        </w:rPr>
        <w:t>遇到</w:t>
      </w:r>
      <w:r>
        <w:rPr>
          <w:rFonts w:hint="eastAsia" w:ascii="宋体" w:hAnsi="宋体" w:eastAsia="宋体" w:cs="宋体"/>
          <w:color w:val="auto"/>
          <w:sz w:val="28"/>
          <w:szCs w:val="28"/>
        </w:rPr>
        <w:t>明火有发生火灾、爆炸的危险。</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3</w:t>
      </w:r>
      <w:r>
        <w:rPr>
          <w:rFonts w:hint="eastAsia" w:ascii="宋体" w:hAnsi="宋体" w:cs="宋体"/>
          <w:color w:val="auto"/>
          <w:sz w:val="28"/>
          <w:szCs w:val="28"/>
          <w:lang w:eastAsia="zh-CN"/>
        </w:rPr>
        <w:t>）</w:t>
      </w:r>
      <w:r>
        <w:rPr>
          <w:rFonts w:hint="eastAsia" w:ascii="宋体" w:hAnsi="宋体" w:eastAsia="宋体" w:cs="宋体"/>
          <w:color w:val="auto"/>
          <w:sz w:val="28"/>
          <w:szCs w:val="28"/>
        </w:rPr>
        <w:t>加油设备密封不严导致柴油蒸气逸出，遇点火源造成火灾、爆炸事故；</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right="0" w:rightChars="0"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4</w:t>
      </w:r>
      <w:r>
        <w:rPr>
          <w:rFonts w:hint="eastAsia" w:ascii="宋体" w:hAnsi="宋体" w:cs="宋体"/>
          <w:color w:val="auto"/>
          <w:sz w:val="28"/>
          <w:szCs w:val="28"/>
          <w:lang w:eastAsia="zh-CN"/>
        </w:rPr>
        <w:t>）</w:t>
      </w:r>
      <w:r>
        <w:rPr>
          <w:rFonts w:hint="eastAsia" w:ascii="宋体" w:hAnsi="宋体" w:eastAsia="宋体" w:cs="宋体"/>
          <w:color w:val="auto"/>
          <w:sz w:val="28"/>
          <w:szCs w:val="28"/>
        </w:rPr>
        <w:t>未对加油枪的自封设备做定期检查，致使自封不严未及时发现而导致油蒸气逸出，可能造成火灾、爆炸事故；</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5</w:t>
      </w:r>
      <w:r>
        <w:rPr>
          <w:rFonts w:hint="eastAsia" w:ascii="宋体" w:hAnsi="宋体" w:cs="宋体"/>
          <w:color w:val="auto"/>
          <w:sz w:val="28"/>
          <w:szCs w:val="28"/>
          <w:lang w:eastAsia="zh-CN"/>
        </w:rPr>
        <w:t>）</w:t>
      </w:r>
      <w:r>
        <w:rPr>
          <w:rFonts w:hint="eastAsia" w:ascii="宋体" w:hAnsi="宋体" w:eastAsia="宋体" w:cs="宋体"/>
          <w:color w:val="auto"/>
          <w:sz w:val="28"/>
          <w:szCs w:val="28"/>
        </w:rPr>
        <w:t>撞击事故致使加油机倾斜导致输油管线拉扯断裂油品泄漏，遇点火源可能导致火灾、爆炸事故。</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6</w:t>
      </w:r>
      <w:r>
        <w:rPr>
          <w:rFonts w:hint="eastAsia" w:ascii="宋体" w:hAnsi="宋体" w:cs="宋体"/>
          <w:color w:val="auto"/>
          <w:sz w:val="28"/>
          <w:szCs w:val="28"/>
          <w:lang w:eastAsia="zh-CN"/>
        </w:rPr>
        <w:t>）</w:t>
      </w:r>
      <w:r>
        <w:rPr>
          <w:rFonts w:hint="eastAsia" w:ascii="宋体" w:hAnsi="宋体" w:eastAsia="宋体" w:cs="宋体"/>
          <w:color w:val="auto"/>
          <w:sz w:val="28"/>
          <w:szCs w:val="28"/>
        </w:rPr>
        <w:t>若不严格遵守停车熄火再加油的规定，发动机尾气（火星）可能点燃油箱内散发的油蒸气，引起火灾、爆炸事故。</w:t>
      </w:r>
    </w:p>
    <w:p>
      <w:pPr>
        <w:pStyle w:val="6"/>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sz w:val="28"/>
          <w:szCs w:val="28"/>
          <w:lang w:val="en-US" w:eastAsia="zh-CN"/>
        </w:rPr>
      </w:pPr>
      <w:bookmarkStart w:id="66" w:name="_Toc3075"/>
      <w:r>
        <w:rPr>
          <w:rFonts w:hint="eastAsia" w:ascii="宋体" w:hAnsi="宋体" w:eastAsia="宋体" w:cs="宋体"/>
          <w:color w:val="auto"/>
          <w:sz w:val="28"/>
          <w:szCs w:val="28"/>
          <w:lang w:val="en-US" w:eastAsia="zh-CN"/>
        </w:rPr>
        <w:t>1.6.3 输油管道危险、有害因素分析</w:t>
      </w:r>
      <w:bookmarkEnd w:id="66"/>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1</w:t>
      </w:r>
      <w:r>
        <w:rPr>
          <w:rFonts w:hint="eastAsia" w:ascii="宋体" w:hAnsi="宋体" w:cs="宋体"/>
          <w:color w:val="auto"/>
          <w:sz w:val="28"/>
          <w:szCs w:val="28"/>
          <w:lang w:eastAsia="zh-CN"/>
        </w:rPr>
        <w:t>）</w:t>
      </w:r>
      <w:r>
        <w:rPr>
          <w:rFonts w:hint="eastAsia" w:ascii="宋体" w:hAnsi="宋体" w:eastAsia="宋体" w:cs="宋体"/>
          <w:color w:val="auto"/>
          <w:sz w:val="28"/>
          <w:szCs w:val="28"/>
        </w:rPr>
        <w:t>设备管道接头密封不严，可能造成油气泄漏，遇点火源引发火灾、爆炸事故；</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2</w:t>
      </w:r>
      <w:r>
        <w:rPr>
          <w:rFonts w:hint="eastAsia" w:ascii="宋体" w:hAnsi="宋体" w:cs="宋体"/>
          <w:color w:val="auto"/>
          <w:sz w:val="28"/>
          <w:szCs w:val="28"/>
          <w:lang w:eastAsia="zh-CN"/>
        </w:rPr>
        <w:t>）</w:t>
      </w:r>
      <w:r>
        <w:rPr>
          <w:rFonts w:hint="eastAsia" w:ascii="宋体" w:hAnsi="宋体" w:eastAsia="宋体" w:cs="宋体"/>
          <w:color w:val="auto"/>
          <w:sz w:val="28"/>
          <w:szCs w:val="28"/>
        </w:rPr>
        <w:t>因腐蚀等原因造成管道、管件损伤，引发油气泄漏，遇点火源可能造成火灾、爆炸事故；</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3</w:t>
      </w:r>
      <w:r>
        <w:rPr>
          <w:rFonts w:hint="eastAsia" w:ascii="宋体" w:hAnsi="宋体" w:cs="宋体"/>
          <w:color w:val="auto"/>
          <w:sz w:val="28"/>
          <w:szCs w:val="28"/>
          <w:lang w:eastAsia="zh-CN"/>
        </w:rPr>
        <w:t>）</w:t>
      </w:r>
      <w:r>
        <w:rPr>
          <w:rFonts w:hint="eastAsia" w:ascii="宋体" w:hAnsi="宋体" w:eastAsia="宋体" w:cs="宋体"/>
          <w:color w:val="auto"/>
          <w:sz w:val="28"/>
          <w:szCs w:val="28"/>
        </w:rPr>
        <w:t>若输油管道始末端和分支处防静电接地失效，易引起静电积聚放电，在油品泄漏时，有引起火灾爆炸的危险。</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4</w:t>
      </w:r>
      <w:r>
        <w:rPr>
          <w:rFonts w:hint="eastAsia" w:ascii="宋体" w:hAnsi="宋体" w:cs="宋体"/>
          <w:color w:val="auto"/>
          <w:sz w:val="28"/>
          <w:szCs w:val="28"/>
          <w:lang w:eastAsia="zh-CN"/>
        </w:rPr>
        <w:t>）</w:t>
      </w:r>
      <w:r>
        <w:rPr>
          <w:rFonts w:hint="eastAsia" w:ascii="宋体" w:hAnsi="宋体" w:eastAsia="宋体" w:cs="宋体"/>
          <w:color w:val="auto"/>
          <w:sz w:val="28"/>
          <w:szCs w:val="28"/>
        </w:rPr>
        <w:t>输油管周围未按要求充沙回填，致使管沟中积聚油蒸气达到爆炸极限，遇点火源可能造成爆炸事故。</w:t>
      </w:r>
    </w:p>
    <w:p>
      <w:pPr>
        <w:pStyle w:val="5"/>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szCs w:val="28"/>
          <w:lang w:val="en-US" w:eastAsia="zh-CN"/>
        </w:rPr>
      </w:pPr>
      <w:bookmarkStart w:id="67" w:name="_Toc3653"/>
      <w:bookmarkStart w:id="68" w:name="_Toc29058"/>
      <w:bookmarkStart w:id="69" w:name="_Toc354416287"/>
      <w:bookmarkStart w:id="70" w:name="_Toc154931170"/>
      <w:r>
        <w:rPr>
          <w:rFonts w:hint="eastAsia" w:ascii="宋体" w:hAnsi="宋体" w:eastAsia="宋体" w:cs="宋体"/>
          <w:color w:val="auto"/>
          <w:szCs w:val="28"/>
          <w:lang w:val="en-US" w:eastAsia="zh-CN"/>
        </w:rPr>
        <w:t>1.</w:t>
      </w:r>
      <w:r>
        <w:rPr>
          <w:rFonts w:hint="eastAsia" w:ascii="宋体" w:hAnsi="宋体" w:cs="宋体"/>
          <w:color w:val="auto"/>
          <w:szCs w:val="28"/>
          <w:lang w:val="en-US" w:eastAsia="zh-CN"/>
        </w:rPr>
        <w:t>7</w:t>
      </w:r>
      <w:r>
        <w:rPr>
          <w:rFonts w:hint="eastAsia" w:ascii="宋体" w:hAnsi="宋体" w:eastAsia="宋体" w:cs="宋体"/>
          <w:color w:val="auto"/>
          <w:szCs w:val="28"/>
          <w:lang w:val="en-US" w:eastAsia="zh-CN"/>
        </w:rPr>
        <w:t xml:space="preserve"> </w:t>
      </w:r>
      <w:bookmarkEnd w:id="67"/>
      <w:r>
        <w:rPr>
          <w:rFonts w:hint="eastAsia" w:ascii="宋体" w:hAnsi="宋体" w:eastAsia="宋体" w:cs="宋体"/>
          <w:color w:val="auto"/>
          <w:szCs w:val="28"/>
          <w:lang w:val="en-US" w:eastAsia="zh-CN"/>
        </w:rPr>
        <w:t>辅助设备、设施的危险、有害因素</w:t>
      </w:r>
      <w:r>
        <w:rPr>
          <w:rFonts w:hint="eastAsia" w:ascii="宋体" w:hAnsi="宋体" w:cs="宋体"/>
          <w:color w:val="auto"/>
          <w:szCs w:val="28"/>
          <w:lang w:val="en-US" w:eastAsia="zh-CN"/>
        </w:rPr>
        <w:t>分析</w:t>
      </w:r>
      <w:bookmarkEnd w:id="68"/>
    </w:p>
    <w:p>
      <w:pPr>
        <w:pStyle w:val="6"/>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sz w:val="28"/>
          <w:szCs w:val="28"/>
          <w:lang w:val="en-US" w:eastAsia="zh-CN"/>
        </w:rPr>
      </w:pPr>
      <w:bookmarkStart w:id="71" w:name="_Toc449348757"/>
      <w:bookmarkStart w:id="72" w:name="_Toc19739"/>
      <w:bookmarkStart w:id="73" w:name="_Toc7330"/>
      <w:bookmarkStart w:id="74" w:name="OLE_LINK64"/>
      <w:r>
        <w:rPr>
          <w:rFonts w:hint="eastAsia" w:ascii="宋体" w:hAnsi="宋体" w:eastAsia="宋体" w:cs="宋体"/>
          <w:color w:val="auto"/>
          <w:sz w:val="28"/>
          <w:szCs w:val="28"/>
          <w:lang w:val="en-US" w:eastAsia="zh-CN"/>
        </w:rPr>
        <w:t>1.7.1 电气设备</w:t>
      </w:r>
      <w:bookmarkEnd w:id="71"/>
      <w:bookmarkEnd w:id="72"/>
      <w:r>
        <w:rPr>
          <w:rFonts w:hint="eastAsia" w:ascii="宋体" w:hAnsi="宋体" w:eastAsia="宋体" w:cs="宋体"/>
          <w:color w:val="auto"/>
          <w:sz w:val="28"/>
          <w:szCs w:val="28"/>
          <w:lang w:val="en-US" w:eastAsia="zh-CN"/>
        </w:rPr>
        <w:t>危险、有害因素分析</w:t>
      </w:r>
      <w:bookmarkEnd w:id="73"/>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1</w:t>
      </w:r>
      <w:r>
        <w:rPr>
          <w:rFonts w:hint="eastAsia" w:ascii="宋体" w:hAnsi="宋体" w:cs="宋体"/>
          <w:color w:val="auto"/>
          <w:sz w:val="28"/>
          <w:szCs w:val="28"/>
          <w:lang w:eastAsia="zh-CN"/>
        </w:rPr>
        <w:t>）</w:t>
      </w:r>
      <w:r>
        <w:rPr>
          <w:rFonts w:hint="eastAsia" w:ascii="宋体" w:hAnsi="宋体" w:eastAsia="宋体" w:cs="宋体"/>
          <w:color w:val="auto"/>
          <w:sz w:val="28"/>
          <w:szCs w:val="28"/>
        </w:rPr>
        <w:t>站内爆炸危险区域内的灯具和控制开关及电气设备防爆性能失效，遇油品泄漏时，可能引起触电和火灾爆炸事故。</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2</w:t>
      </w:r>
      <w:r>
        <w:rPr>
          <w:rFonts w:hint="eastAsia" w:ascii="宋体" w:hAnsi="宋体" w:cs="宋体"/>
          <w:color w:val="auto"/>
          <w:sz w:val="28"/>
          <w:szCs w:val="28"/>
          <w:lang w:eastAsia="zh-CN"/>
        </w:rPr>
        <w:t>）</w:t>
      </w:r>
      <w:r>
        <w:rPr>
          <w:rFonts w:hint="eastAsia" w:ascii="宋体" w:hAnsi="宋体" w:eastAsia="宋体" w:cs="宋体"/>
          <w:color w:val="auto"/>
          <w:sz w:val="28"/>
          <w:szCs w:val="28"/>
        </w:rPr>
        <w:t>站内配电室、电气开关或电气连接点，由于电气设施故障或损坏使电气导体外露，以及人员误操作、电气短路、超负荷运行、雷击、静电等都易引发电气事故，造成人员触电伤害。若未采取电涌保护措施，发生电涌时，容易损坏电气设施，并引起电气事故。</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3</w:t>
      </w:r>
      <w:r>
        <w:rPr>
          <w:rFonts w:hint="eastAsia" w:ascii="宋体" w:hAnsi="宋体" w:cs="宋体"/>
          <w:color w:val="auto"/>
          <w:sz w:val="28"/>
          <w:szCs w:val="28"/>
          <w:lang w:eastAsia="zh-CN"/>
        </w:rPr>
        <w:t>）</w:t>
      </w:r>
      <w:r>
        <w:rPr>
          <w:rFonts w:hint="eastAsia" w:ascii="宋体" w:hAnsi="宋体" w:eastAsia="宋体" w:cs="宋体"/>
          <w:color w:val="auto"/>
          <w:sz w:val="28"/>
          <w:szCs w:val="28"/>
        </w:rPr>
        <w:t>加油作业场所的避雷设施失效，一旦遭遇雷击，有引起火灾、爆炸的危险。</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4</w:t>
      </w:r>
      <w:r>
        <w:rPr>
          <w:rFonts w:hint="eastAsia" w:ascii="宋体" w:hAnsi="宋体" w:cs="宋体"/>
          <w:color w:val="auto"/>
          <w:sz w:val="28"/>
          <w:szCs w:val="28"/>
          <w:lang w:eastAsia="zh-CN"/>
        </w:rPr>
        <w:t>）</w:t>
      </w:r>
      <w:r>
        <w:rPr>
          <w:rFonts w:hint="eastAsia" w:ascii="宋体" w:hAnsi="宋体" w:eastAsia="宋体" w:cs="宋体"/>
          <w:color w:val="auto"/>
          <w:sz w:val="28"/>
          <w:szCs w:val="28"/>
        </w:rPr>
        <w:t>未设置备用电源、事故照明设施等，一旦站内发生停电或其他事故时，不能及时处理，造成事故扩大。</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5</w:t>
      </w:r>
      <w:r>
        <w:rPr>
          <w:rFonts w:hint="eastAsia" w:ascii="宋体" w:hAnsi="宋体" w:cs="宋体"/>
          <w:color w:val="auto"/>
          <w:sz w:val="28"/>
          <w:szCs w:val="28"/>
          <w:lang w:eastAsia="zh-CN"/>
        </w:rPr>
        <w:t>）</w:t>
      </w:r>
      <w:r>
        <w:rPr>
          <w:rFonts w:hint="eastAsia" w:ascii="宋体" w:hAnsi="宋体" w:eastAsia="宋体" w:cs="宋体"/>
          <w:color w:val="auto"/>
          <w:sz w:val="28"/>
          <w:szCs w:val="28"/>
        </w:rPr>
        <w:t>若避雷装置失效，雷电或雷电感应直接击中站内设备、管线，产生放电火花, 可能点燃油气与空气的混合气体，导致火灾、爆炸事故。</w:t>
      </w:r>
    </w:p>
    <w:p>
      <w:pPr>
        <w:pStyle w:val="6"/>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sz w:val="28"/>
          <w:szCs w:val="28"/>
          <w:lang w:val="en-US" w:eastAsia="zh-CN"/>
        </w:rPr>
      </w:pPr>
      <w:bookmarkStart w:id="75" w:name="_Toc449348758"/>
      <w:bookmarkStart w:id="76" w:name="_Toc15360"/>
      <w:bookmarkStart w:id="77" w:name="_Toc10136"/>
      <w:r>
        <w:rPr>
          <w:rFonts w:hint="eastAsia" w:ascii="宋体" w:hAnsi="宋体" w:eastAsia="宋体" w:cs="宋体"/>
          <w:color w:val="auto"/>
          <w:sz w:val="28"/>
          <w:szCs w:val="28"/>
          <w:lang w:val="en-US" w:eastAsia="zh-CN"/>
        </w:rPr>
        <w:t>1.7.2 消防设施</w:t>
      </w:r>
      <w:bookmarkEnd w:id="75"/>
      <w:bookmarkEnd w:id="76"/>
      <w:r>
        <w:rPr>
          <w:rFonts w:hint="eastAsia" w:ascii="宋体" w:hAnsi="宋体" w:eastAsia="宋体" w:cs="宋体"/>
          <w:color w:val="auto"/>
          <w:sz w:val="28"/>
          <w:szCs w:val="28"/>
          <w:lang w:val="en-US" w:eastAsia="zh-CN"/>
        </w:rPr>
        <w:t>危险、有害因素分析</w:t>
      </w:r>
      <w:bookmarkEnd w:id="77"/>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560" w:firstLineChars="200"/>
        <w:textAlignment w:val="auto"/>
        <w:rPr>
          <w:rFonts w:hint="eastAsia" w:ascii="宋体" w:hAnsi="宋体" w:cs="宋体"/>
          <w:color w:val="auto"/>
          <w:sz w:val="28"/>
          <w:szCs w:val="28"/>
          <w:lang w:eastAsia="zh-CN"/>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1</w:t>
      </w:r>
      <w:r>
        <w:rPr>
          <w:rFonts w:hint="eastAsia" w:ascii="宋体" w:hAnsi="宋体" w:cs="宋体"/>
          <w:color w:val="auto"/>
          <w:sz w:val="28"/>
          <w:szCs w:val="28"/>
          <w:lang w:eastAsia="zh-CN"/>
        </w:rPr>
        <w:t>）灭火器材配备不足或失效或未放置在明显且便于取用的地点，当站内发生危险事故时，因不能及时进行扑救，容易扩大事故。</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560" w:firstLineChars="200"/>
        <w:textAlignment w:val="auto"/>
        <w:rPr>
          <w:rFonts w:hint="eastAsia" w:ascii="宋体" w:hAnsi="宋体" w:cs="宋体"/>
          <w:color w:val="auto"/>
          <w:sz w:val="28"/>
          <w:szCs w:val="28"/>
          <w:lang w:eastAsia="zh-CN"/>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2</w:t>
      </w:r>
      <w:r>
        <w:rPr>
          <w:rFonts w:hint="eastAsia" w:ascii="宋体" w:hAnsi="宋体" w:cs="宋体"/>
          <w:color w:val="auto"/>
          <w:sz w:val="28"/>
          <w:szCs w:val="28"/>
          <w:lang w:eastAsia="zh-CN"/>
        </w:rPr>
        <w:t>）消防设施、器材如日常维护不当或缺乏维护，遇事故时可能失去应有功效，影响事故救援或扩大事故后果。</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560" w:firstLineChars="200"/>
        <w:textAlignment w:val="auto"/>
        <w:rPr>
          <w:rFonts w:hint="eastAsia" w:ascii="宋体" w:hAnsi="宋体" w:cs="宋体"/>
          <w:color w:val="auto"/>
          <w:sz w:val="28"/>
          <w:szCs w:val="28"/>
          <w:lang w:eastAsia="zh-CN"/>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3</w:t>
      </w:r>
      <w:r>
        <w:rPr>
          <w:rFonts w:hint="eastAsia" w:ascii="宋体" w:hAnsi="宋体" w:cs="宋体"/>
          <w:color w:val="auto"/>
          <w:sz w:val="28"/>
          <w:szCs w:val="28"/>
          <w:lang w:eastAsia="zh-CN"/>
        </w:rPr>
        <w:t>）从业人员不能正确使用消防器材，可能导致事故后果扩大。</w:t>
      </w:r>
    </w:p>
    <w:p>
      <w:pPr>
        <w:pStyle w:val="6"/>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sz w:val="28"/>
          <w:szCs w:val="28"/>
          <w:lang w:val="en-US" w:eastAsia="zh-CN"/>
        </w:rPr>
      </w:pPr>
      <w:bookmarkStart w:id="78" w:name="_Toc83757049"/>
      <w:bookmarkStart w:id="79" w:name="_Toc17445"/>
      <w:r>
        <w:rPr>
          <w:rFonts w:hint="eastAsia" w:ascii="宋体" w:hAnsi="宋体" w:eastAsia="宋体" w:cs="宋体"/>
          <w:color w:val="auto"/>
          <w:sz w:val="28"/>
          <w:szCs w:val="28"/>
          <w:lang w:val="en-US" w:eastAsia="zh-CN"/>
        </w:rPr>
        <w:t>1.7.3防雷装置</w:t>
      </w:r>
      <w:bookmarkEnd w:id="78"/>
      <w:r>
        <w:rPr>
          <w:rFonts w:hint="eastAsia" w:ascii="宋体" w:hAnsi="宋体" w:eastAsia="宋体" w:cs="宋体"/>
          <w:color w:val="auto"/>
          <w:sz w:val="28"/>
          <w:szCs w:val="28"/>
          <w:lang w:val="en-US" w:eastAsia="zh-CN"/>
        </w:rPr>
        <w:t>危险、有害因素分析</w:t>
      </w:r>
      <w:bookmarkEnd w:id="79"/>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rPr>
      </w:pPr>
      <w:r>
        <w:rPr>
          <w:rFonts w:hint="eastAsia" w:ascii="宋体" w:hAnsi="宋体"/>
          <w:color w:val="auto"/>
          <w:sz w:val="28"/>
          <w:szCs w:val="28"/>
        </w:rPr>
        <w:t>站内建筑物及设施未采取防雷保护措施，遇雷击易使建筑物垮塌，造成站内财产损失及人员伤亡。防雷装置承受雷击时，其接闪器、引下线和接地装置呈现很高的冲击电压，可击穿与邻近的导体之间的绝缘，造成二次放电，二次放电可引起火灾和爆炸，也可造成电击。雷击低压线路时，雷电侵入波将沿着低压线路传入户内，特别是采用木杆或木横担的低压线路，由于其对地冲击绝缘水平很高，会使很高的电压进入户内酿成大面积雷害事故，对于建筑物，雷电波侵入可引起火灾或爆炸，也可能伤及人身。</w:t>
      </w:r>
    </w:p>
    <w:p>
      <w:pPr>
        <w:pStyle w:val="6"/>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sz w:val="28"/>
          <w:szCs w:val="28"/>
          <w:lang w:val="en-US" w:eastAsia="zh-CN"/>
        </w:rPr>
      </w:pPr>
      <w:bookmarkStart w:id="80" w:name="_Toc83757050"/>
      <w:bookmarkStart w:id="81" w:name="_Toc20195"/>
      <w:r>
        <w:rPr>
          <w:rFonts w:hint="eastAsia" w:ascii="宋体" w:hAnsi="宋体" w:eastAsia="宋体" w:cs="宋体"/>
          <w:color w:val="auto"/>
          <w:sz w:val="28"/>
          <w:szCs w:val="28"/>
          <w:lang w:val="en-US" w:eastAsia="zh-CN"/>
        </w:rPr>
        <w:t>1.7.4电气线路</w:t>
      </w:r>
      <w:bookmarkEnd w:id="80"/>
      <w:r>
        <w:rPr>
          <w:rFonts w:hint="eastAsia" w:ascii="宋体" w:hAnsi="宋体" w:eastAsia="宋体" w:cs="宋体"/>
          <w:color w:val="auto"/>
          <w:sz w:val="28"/>
          <w:szCs w:val="28"/>
          <w:lang w:val="en-US" w:eastAsia="zh-CN"/>
        </w:rPr>
        <w:t>危险、有害因素分析</w:t>
      </w:r>
      <w:bookmarkEnd w:id="81"/>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rPr>
      </w:pPr>
      <w:r>
        <w:rPr>
          <w:rFonts w:hint="eastAsia" w:ascii="宋体" w:hAnsi="宋体"/>
          <w:color w:val="auto"/>
          <w:sz w:val="28"/>
          <w:szCs w:val="28"/>
        </w:rPr>
        <w:t>设备老化或线路裸露，易引起漏电、短路，产生火花；电源开关闭合瞬间接触易引起强烈电弧产生火花；为泄漏的可燃气体燃烧提供条件。电源线路凌乱或破裂，容易使人遭电击。防雷装置缺少，遇雷击站内会产生强烈火花；平时操作产生的静电不能及时导走，易形成火花，引发火灾爆炸事故。</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rPr>
      </w:pPr>
      <w:r>
        <w:rPr>
          <w:rFonts w:hint="eastAsia" w:ascii="宋体" w:hAnsi="宋体"/>
          <w:color w:val="auto"/>
          <w:sz w:val="28"/>
          <w:szCs w:val="28"/>
        </w:rPr>
        <w:t>电气设备不应在国家颁布的淘汰产品行列内，应具有国家指定机构的认证标志。如在爆炸、火灾危险环境，属于粉尘、潮湿或腐蚀环境中工作，防爆电器应达到相应的防爆等级。</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rPr>
      </w:pPr>
      <w:r>
        <w:rPr>
          <w:rFonts w:hint="eastAsia" w:ascii="宋体" w:hAnsi="宋体"/>
          <w:color w:val="auto"/>
          <w:sz w:val="28"/>
          <w:szCs w:val="28"/>
        </w:rPr>
        <w:t>电气设备应设置触电保护、漏电保护、短路保护、过载保护、屏护装置。线路应有良好的绝缘效果。根据作业环境和条件选择安全电压，安全电压值和电气设备。防静电、防雷击等电气</w:t>
      </w:r>
      <w:r>
        <w:rPr>
          <w:rFonts w:hint="eastAsia" w:ascii="宋体" w:hAnsi="宋体"/>
          <w:color w:val="auto"/>
          <w:sz w:val="28"/>
          <w:szCs w:val="28"/>
          <w:lang w:eastAsia="zh-CN"/>
        </w:rPr>
        <w:t>联接</w:t>
      </w:r>
      <w:r>
        <w:rPr>
          <w:rFonts w:hint="eastAsia" w:ascii="宋体" w:hAnsi="宋体"/>
          <w:color w:val="auto"/>
          <w:sz w:val="28"/>
          <w:szCs w:val="28"/>
        </w:rPr>
        <w:t>措施必须可靠。应保证在事故状态下有可靠的照明、消防、疏散用电及应急措施用电。</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pacing w:val="-6"/>
          <w:sz w:val="28"/>
          <w:szCs w:val="28"/>
        </w:rPr>
      </w:pPr>
      <w:r>
        <w:rPr>
          <w:rFonts w:hint="eastAsia" w:ascii="宋体" w:hAnsi="宋体"/>
          <w:color w:val="auto"/>
          <w:sz w:val="28"/>
          <w:szCs w:val="28"/>
        </w:rPr>
        <w:t>加油站内使用手机、无线通信设备、电动玩具和其他电子产品等，</w:t>
      </w:r>
      <w:r>
        <w:rPr>
          <w:rFonts w:hint="eastAsia" w:ascii="宋体" w:hAnsi="宋体"/>
          <w:color w:val="auto"/>
          <w:spacing w:val="-6"/>
          <w:sz w:val="28"/>
          <w:szCs w:val="28"/>
        </w:rPr>
        <w:t>在使用过程中会产生电火花，若遇油气</w:t>
      </w:r>
      <w:r>
        <w:rPr>
          <w:rFonts w:hint="eastAsia" w:ascii="宋体" w:hAnsi="宋体"/>
          <w:color w:val="auto"/>
          <w:spacing w:val="-6"/>
          <w:sz w:val="28"/>
          <w:szCs w:val="28"/>
          <w:lang w:eastAsia="zh-CN"/>
        </w:rPr>
        <w:t>积聚</w:t>
      </w:r>
      <w:r>
        <w:rPr>
          <w:rFonts w:hint="eastAsia" w:ascii="宋体" w:hAnsi="宋体"/>
          <w:color w:val="auto"/>
          <w:spacing w:val="-6"/>
          <w:sz w:val="28"/>
          <w:szCs w:val="28"/>
        </w:rPr>
        <w:t>，可能导致火灾、爆炸等事故。</w:t>
      </w:r>
    </w:p>
    <w:p>
      <w:pPr>
        <w:pStyle w:val="6"/>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sz w:val="28"/>
          <w:szCs w:val="28"/>
          <w:lang w:val="en-US" w:eastAsia="zh-CN"/>
        </w:rPr>
      </w:pPr>
      <w:bookmarkStart w:id="82" w:name="_Toc83757051"/>
      <w:bookmarkStart w:id="83" w:name="_Toc875"/>
      <w:r>
        <w:rPr>
          <w:rFonts w:hint="eastAsia" w:ascii="宋体" w:hAnsi="宋体" w:eastAsia="宋体" w:cs="宋体"/>
          <w:color w:val="auto"/>
          <w:sz w:val="28"/>
          <w:szCs w:val="28"/>
          <w:lang w:val="en-US" w:eastAsia="zh-CN"/>
        </w:rPr>
        <w:t>1.7.5防静电装置</w:t>
      </w:r>
      <w:bookmarkEnd w:id="82"/>
      <w:r>
        <w:rPr>
          <w:rFonts w:hint="eastAsia" w:ascii="宋体" w:hAnsi="宋体" w:eastAsia="宋体" w:cs="宋体"/>
          <w:color w:val="auto"/>
          <w:sz w:val="28"/>
          <w:szCs w:val="28"/>
          <w:lang w:val="en-US" w:eastAsia="zh-CN"/>
        </w:rPr>
        <w:t>危险、有害因素分析</w:t>
      </w:r>
      <w:bookmarkEnd w:id="83"/>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rPr>
      </w:pPr>
      <w:r>
        <w:rPr>
          <w:rFonts w:hint="eastAsia" w:ascii="宋体" w:hAnsi="宋体"/>
          <w:color w:val="auto"/>
          <w:sz w:val="28"/>
          <w:szCs w:val="28"/>
        </w:rPr>
        <w:t>生产设备和管道如未采用静电接地装置，汽油在管道中流动会产生静电，静电积聚易形成火花，引发火灾爆炸事故。生产现场使用的静电导体制作的操作工具未接地,会因静电积聚产生火花引发火灾爆炸事故。工作人员作业时穿戴化纤、丝绸衣物，因摩擦产生静电火花，从而引发火灾爆炸事故。</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rPr>
      </w:pPr>
      <w:r>
        <w:rPr>
          <w:rFonts w:hint="eastAsia" w:ascii="宋体" w:hAnsi="宋体"/>
          <w:color w:val="auto"/>
          <w:sz w:val="28"/>
          <w:szCs w:val="28"/>
        </w:rPr>
        <w:t>对因经常发生接触、摩擦、分离而起电的物料和生产设备，生产设备宜采用合理的物质组合，使产生的正、负电荷相互抵消，最终达到起电最小的目的。选用导电性能较好的材料，限制静电的产生和积累。生产设备和管道内外表面应光滑平整、无棱角，容器内避免有静电放电条件的细长导电性突出物，同时应设置静电接地线，保证产生的静电能得到有效的传导。在易发生静电聚集和静电火花的场合，尽量避免爆炸性</w:t>
      </w:r>
      <w:r>
        <w:rPr>
          <w:rFonts w:hint="eastAsia" w:ascii="宋体" w:hAnsi="宋体"/>
          <w:color w:val="auto"/>
          <w:sz w:val="28"/>
          <w:szCs w:val="28"/>
          <w:lang w:eastAsia="zh-CN"/>
        </w:rPr>
        <w:t>混合物</w:t>
      </w:r>
      <w:r>
        <w:rPr>
          <w:rFonts w:hint="eastAsia" w:ascii="宋体" w:hAnsi="宋体"/>
          <w:color w:val="auto"/>
          <w:sz w:val="28"/>
          <w:szCs w:val="28"/>
        </w:rPr>
        <w:t>的形成。</w:t>
      </w:r>
    </w:p>
    <w:bookmarkEnd w:id="74"/>
    <w:p>
      <w:pPr>
        <w:pStyle w:val="5"/>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szCs w:val="28"/>
          <w:lang w:val="en-US" w:eastAsia="zh-CN"/>
        </w:rPr>
      </w:pPr>
      <w:bookmarkStart w:id="84" w:name="_Toc13216"/>
      <w:bookmarkStart w:id="85" w:name="_Toc296007134"/>
      <w:bookmarkStart w:id="86" w:name="_Toc449348759"/>
      <w:bookmarkStart w:id="87" w:name="_Toc17853"/>
      <w:bookmarkStart w:id="88" w:name="_Toc29943"/>
      <w:bookmarkStart w:id="89" w:name="_Toc16714"/>
      <w:r>
        <w:rPr>
          <w:rFonts w:hint="eastAsia" w:ascii="宋体" w:hAnsi="宋体" w:eastAsia="宋体" w:cs="宋体"/>
          <w:color w:val="auto"/>
          <w:szCs w:val="28"/>
          <w:lang w:val="en-US" w:eastAsia="zh-CN"/>
        </w:rPr>
        <w:t>1.</w:t>
      </w:r>
      <w:r>
        <w:rPr>
          <w:rFonts w:hint="eastAsia" w:ascii="宋体" w:hAnsi="宋体" w:cs="宋体"/>
          <w:color w:val="auto"/>
          <w:szCs w:val="28"/>
          <w:lang w:val="en-US" w:eastAsia="zh-CN"/>
        </w:rPr>
        <w:t>8</w:t>
      </w:r>
      <w:r>
        <w:rPr>
          <w:rFonts w:hint="eastAsia" w:ascii="宋体" w:hAnsi="宋体" w:eastAsia="宋体" w:cs="宋体"/>
          <w:color w:val="auto"/>
          <w:szCs w:val="28"/>
          <w:lang w:val="en-US" w:eastAsia="zh-CN"/>
        </w:rPr>
        <w:t xml:space="preserve"> </w:t>
      </w:r>
      <w:r>
        <w:rPr>
          <w:rFonts w:hint="eastAsia" w:ascii="宋体" w:hAnsi="宋体" w:cs="宋体"/>
          <w:color w:val="auto"/>
          <w:szCs w:val="28"/>
          <w:lang w:val="en-US" w:eastAsia="zh-CN"/>
        </w:rPr>
        <w:t>施工、</w:t>
      </w:r>
      <w:r>
        <w:rPr>
          <w:rFonts w:hint="eastAsia" w:ascii="宋体" w:hAnsi="宋体" w:eastAsia="宋体" w:cs="宋体"/>
          <w:color w:val="auto"/>
          <w:szCs w:val="28"/>
          <w:lang w:val="en-US" w:eastAsia="zh-CN"/>
        </w:rPr>
        <w:t>维护清理、检修过程中的</w:t>
      </w:r>
      <w:bookmarkEnd w:id="84"/>
      <w:bookmarkEnd w:id="85"/>
      <w:r>
        <w:rPr>
          <w:rFonts w:hint="eastAsia" w:ascii="宋体" w:hAnsi="宋体" w:eastAsia="宋体" w:cs="宋体"/>
          <w:color w:val="auto"/>
          <w:szCs w:val="28"/>
          <w:lang w:val="en-US" w:eastAsia="zh-CN"/>
        </w:rPr>
        <w:t>危险有害因素分析</w:t>
      </w:r>
      <w:bookmarkEnd w:id="86"/>
      <w:bookmarkEnd w:id="87"/>
      <w:bookmarkEnd w:id="88"/>
      <w:bookmarkEnd w:id="89"/>
    </w:p>
    <w:p>
      <w:pPr>
        <w:pStyle w:val="6"/>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sz w:val="28"/>
          <w:szCs w:val="28"/>
          <w:lang w:val="en-US" w:eastAsia="zh-CN"/>
        </w:rPr>
      </w:pPr>
      <w:bookmarkStart w:id="90" w:name="_Toc21455"/>
      <w:bookmarkStart w:id="91" w:name="_Toc449348760"/>
      <w:bookmarkStart w:id="92" w:name="_Toc1144"/>
      <w:r>
        <w:rPr>
          <w:rFonts w:hint="eastAsia" w:ascii="宋体" w:hAnsi="宋体" w:eastAsia="宋体" w:cs="宋体"/>
          <w:color w:val="auto"/>
          <w:sz w:val="28"/>
          <w:szCs w:val="28"/>
          <w:lang w:val="en-US" w:eastAsia="zh-CN"/>
        </w:rPr>
        <w:t>1.8.1 设备维护清理作业</w:t>
      </w:r>
      <w:bookmarkEnd w:id="90"/>
      <w:bookmarkEnd w:id="91"/>
      <w:r>
        <w:rPr>
          <w:rFonts w:hint="eastAsia" w:ascii="宋体" w:hAnsi="宋体" w:eastAsia="宋体" w:cs="宋体"/>
          <w:color w:val="auto"/>
          <w:sz w:val="28"/>
          <w:szCs w:val="28"/>
          <w:lang w:val="en-US" w:eastAsia="zh-CN"/>
        </w:rPr>
        <w:t>危险、有害因素分析</w:t>
      </w:r>
      <w:bookmarkEnd w:id="92"/>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560" w:firstLineChars="200"/>
        <w:textAlignment w:val="auto"/>
        <w:rPr>
          <w:rFonts w:hint="eastAsia" w:ascii="宋体" w:hAnsi="宋体" w:cs="宋体"/>
          <w:color w:val="auto"/>
          <w:sz w:val="28"/>
          <w:szCs w:val="28"/>
          <w:lang w:eastAsia="zh-CN"/>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1</w:t>
      </w:r>
      <w:r>
        <w:rPr>
          <w:rFonts w:hint="eastAsia" w:ascii="宋体" w:hAnsi="宋体" w:cs="宋体"/>
          <w:color w:val="auto"/>
          <w:sz w:val="28"/>
          <w:szCs w:val="28"/>
          <w:lang w:eastAsia="zh-CN"/>
        </w:rPr>
        <w:t>）设备设施维护作业带有一定的危险性。在作业时，不坚持在无明火、无油品或无油气的条件下作业，或不按作业规程作业，产生的各种火花、明火极有可能引起油品燃烧或混合性爆炸气体的回燃、爆炸。</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560" w:firstLineChars="200"/>
        <w:textAlignment w:val="auto"/>
        <w:rPr>
          <w:rFonts w:hint="eastAsia" w:ascii="宋体" w:hAnsi="宋体" w:cs="宋体"/>
          <w:color w:val="auto"/>
          <w:sz w:val="28"/>
          <w:szCs w:val="28"/>
          <w:lang w:eastAsia="zh-CN"/>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2</w:t>
      </w:r>
      <w:r>
        <w:rPr>
          <w:rFonts w:hint="eastAsia" w:ascii="宋体" w:hAnsi="宋体" w:cs="宋体"/>
          <w:color w:val="auto"/>
          <w:sz w:val="28"/>
          <w:szCs w:val="28"/>
          <w:lang w:eastAsia="zh-CN"/>
        </w:rPr>
        <w:t>）油罐清洗作业时，由于罐内油气和沉淀物清除不彻底，残余油气遇静电、摩擦、电火花等点火源，可能导致火灾、爆炸事故；此外，清罐作业废水若不采取集中收集处理，随意倾倒也有可能引发火灾事故。</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3</w:t>
      </w:r>
      <w:r>
        <w:rPr>
          <w:rFonts w:hint="eastAsia" w:ascii="宋体" w:hAnsi="宋体" w:cs="宋体"/>
          <w:color w:val="auto"/>
          <w:sz w:val="28"/>
          <w:szCs w:val="28"/>
          <w:lang w:eastAsia="zh-CN"/>
        </w:rPr>
        <w:t>）油罐清洗作业时，未按《危险化学品企业特殊作业安全规范》（GB30871-</w:t>
      </w:r>
      <w:r>
        <w:rPr>
          <w:rFonts w:hint="eastAsia" w:ascii="宋体" w:hAnsi="宋体" w:cs="宋体"/>
          <w:color w:val="auto"/>
          <w:sz w:val="28"/>
          <w:szCs w:val="28"/>
          <w:lang w:val="en-US" w:eastAsia="zh-CN"/>
        </w:rPr>
        <w:t>2022</w:t>
      </w:r>
      <w:r>
        <w:rPr>
          <w:rFonts w:hint="eastAsia" w:ascii="宋体" w:hAnsi="宋体" w:cs="宋体"/>
          <w:color w:val="auto"/>
          <w:sz w:val="28"/>
          <w:szCs w:val="28"/>
          <w:lang w:eastAsia="zh-CN"/>
        </w:rPr>
        <w:t>）进行操作可能造成人员中毒窒息。</w:t>
      </w:r>
    </w:p>
    <w:p>
      <w:pPr>
        <w:pStyle w:val="6"/>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sz w:val="28"/>
          <w:szCs w:val="28"/>
          <w:lang w:val="en-US" w:eastAsia="zh-CN"/>
        </w:rPr>
      </w:pPr>
      <w:bookmarkStart w:id="93" w:name="_Toc449348761"/>
      <w:bookmarkStart w:id="94" w:name="_Toc2565"/>
      <w:bookmarkStart w:id="95" w:name="_Toc1764"/>
      <w:r>
        <w:rPr>
          <w:rFonts w:hint="eastAsia" w:ascii="宋体" w:hAnsi="宋体" w:eastAsia="宋体" w:cs="宋体"/>
          <w:color w:val="auto"/>
          <w:sz w:val="28"/>
          <w:szCs w:val="28"/>
          <w:lang w:val="en-US" w:eastAsia="zh-CN"/>
        </w:rPr>
        <w:t xml:space="preserve">1.8.2 </w:t>
      </w:r>
      <w:r>
        <w:rPr>
          <w:rFonts w:hint="eastAsia" w:ascii="宋体" w:hAnsi="宋体" w:eastAsia="宋体" w:cs="宋体"/>
          <w:color w:val="auto"/>
          <w:sz w:val="28"/>
          <w:szCs w:val="28"/>
          <w:lang w:val="zh-CN" w:eastAsia="zh-CN"/>
        </w:rPr>
        <w:t>施工</w:t>
      </w:r>
      <w:bookmarkEnd w:id="93"/>
      <w:bookmarkEnd w:id="94"/>
      <w:r>
        <w:rPr>
          <w:rFonts w:hint="eastAsia" w:ascii="宋体" w:hAnsi="宋体" w:eastAsia="宋体" w:cs="宋体"/>
          <w:color w:val="auto"/>
          <w:sz w:val="28"/>
          <w:szCs w:val="28"/>
          <w:lang w:val="en-US" w:eastAsia="zh-CN"/>
        </w:rPr>
        <w:t>作业危险、有害因素分析</w:t>
      </w:r>
      <w:bookmarkEnd w:id="95"/>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rPr>
      </w:pPr>
      <w:r>
        <w:rPr>
          <w:rFonts w:hint="eastAsia" w:ascii="宋体" w:hAnsi="宋体"/>
          <w:color w:val="auto"/>
          <w:sz w:val="28"/>
          <w:szCs w:val="28"/>
        </w:rPr>
        <w:t>在施工作业过程中，因施工种类较多，施工人员也多，且存在交叉作业，在进行地基施工、地表施工、以及高空作业施工过程中，可能发生如下事故：</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lang w:val="zh-CN"/>
        </w:rPr>
      </w:pPr>
      <w:r>
        <w:rPr>
          <w:rFonts w:hint="eastAsia" w:ascii="宋体" w:hAnsi="宋体"/>
          <w:color w:val="auto"/>
          <w:sz w:val="28"/>
          <w:szCs w:val="28"/>
          <w:lang w:val="en-US" w:eastAsia="zh-CN"/>
        </w:rPr>
        <w:t>（1）</w:t>
      </w:r>
      <w:r>
        <w:rPr>
          <w:rFonts w:hint="eastAsia" w:ascii="宋体" w:hAnsi="宋体"/>
          <w:color w:val="auto"/>
          <w:sz w:val="28"/>
          <w:szCs w:val="28"/>
          <w:lang w:val="zh-CN"/>
        </w:rPr>
        <w:t>火灾</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lang w:val="zh-CN"/>
        </w:rPr>
      </w:pPr>
      <w:r>
        <w:rPr>
          <w:rFonts w:hint="eastAsia" w:ascii="宋体" w:hAnsi="宋体"/>
          <w:color w:val="auto"/>
          <w:sz w:val="28"/>
          <w:szCs w:val="28"/>
          <w:lang w:val="zh-CN"/>
        </w:rPr>
        <w:t>施工现场存在多种可燃物体，如：油漆、材料包装物、木材等，作业现场还存在焊接等多种点火源，一旦可燃物体与点火源接触将发生火灾事故。</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lang w:val="zh-CN"/>
        </w:rPr>
      </w:pPr>
      <w:r>
        <w:rPr>
          <w:rFonts w:hint="eastAsia" w:ascii="宋体" w:hAnsi="宋体"/>
          <w:color w:val="auto"/>
          <w:sz w:val="28"/>
          <w:szCs w:val="28"/>
          <w:lang w:val="en-US" w:eastAsia="zh-CN"/>
        </w:rPr>
        <w:t>（2）</w:t>
      </w:r>
      <w:r>
        <w:rPr>
          <w:rFonts w:hint="eastAsia" w:ascii="宋体" w:hAnsi="宋体"/>
          <w:color w:val="auto"/>
          <w:sz w:val="28"/>
          <w:szCs w:val="28"/>
          <w:lang w:val="zh-CN"/>
        </w:rPr>
        <w:t>容器爆炸</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lang w:val="zh-CN"/>
        </w:rPr>
      </w:pPr>
      <w:r>
        <w:rPr>
          <w:rFonts w:hint="eastAsia" w:ascii="宋体" w:hAnsi="宋体"/>
          <w:color w:val="auto"/>
          <w:sz w:val="28"/>
          <w:szCs w:val="28"/>
          <w:lang w:val="zh-CN"/>
        </w:rPr>
        <w:t>施工作业场所使用的空压机及储气罐，氧气、乙炔等工业气瓶在使用过程中，违规操作、剧烈碰撞，均可能发生容器爆炸事故。</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lang w:val="zh-CN"/>
        </w:rPr>
      </w:pPr>
      <w:r>
        <w:rPr>
          <w:rFonts w:hint="eastAsia" w:ascii="宋体" w:hAnsi="宋体"/>
          <w:color w:val="auto"/>
          <w:sz w:val="28"/>
          <w:szCs w:val="28"/>
          <w:lang w:val="en-US" w:eastAsia="zh-CN"/>
        </w:rPr>
        <w:t>（3）</w:t>
      </w:r>
      <w:r>
        <w:rPr>
          <w:rFonts w:hint="eastAsia" w:ascii="宋体" w:hAnsi="宋体"/>
          <w:color w:val="auto"/>
          <w:sz w:val="28"/>
          <w:szCs w:val="28"/>
          <w:lang w:val="zh-CN"/>
        </w:rPr>
        <w:t>坍塌</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lang w:val="zh-CN"/>
        </w:rPr>
      </w:pPr>
      <w:r>
        <w:rPr>
          <w:rFonts w:hint="eastAsia" w:ascii="宋体" w:hAnsi="宋体"/>
          <w:color w:val="auto"/>
          <w:sz w:val="28"/>
          <w:szCs w:val="28"/>
          <w:lang w:val="zh-CN"/>
        </w:rPr>
        <w:t>基坑施工过程中，若坑壁未进行必要的支护、坑壁坡度过大、基坑顶部边缘有较大荷载或因雨水作用造成失稳，均可能造成坍塌事故。</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lang w:val="zh-CN"/>
        </w:rPr>
      </w:pPr>
      <w:r>
        <w:rPr>
          <w:rFonts w:hint="eastAsia" w:ascii="宋体" w:hAnsi="宋体"/>
          <w:color w:val="auto"/>
          <w:sz w:val="28"/>
          <w:szCs w:val="28"/>
          <w:lang w:val="en-US" w:eastAsia="zh-CN"/>
        </w:rPr>
        <w:t>（4）</w:t>
      </w:r>
      <w:r>
        <w:rPr>
          <w:rFonts w:hint="eastAsia" w:ascii="宋体" w:hAnsi="宋体"/>
          <w:color w:val="auto"/>
          <w:sz w:val="28"/>
          <w:szCs w:val="28"/>
          <w:lang w:val="zh-CN"/>
        </w:rPr>
        <w:t>高处坠落</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lang w:val="zh-CN"/>
        </w:rPr>
      </w:pPr>
      <w:r>
        <w:rPr>
          <w:rFonts w:hint="eastAsia" w:ascii="宋体" w:hAnsi="宋体"/>
          <w:color w:val="auto"/>
          <w:sz w:val="28"/>
          <w:szCs w:val="28"/>
          <w:lang w:val="zh-CN"/>
        </w:rPr>
        <w:t>地基开挖后，在施工现场存在较多的基坑、桩坑等与基准面有较大高差的场所，若未设置警示标志，未进行施工的坑洞没有盖板，均有可能造成高处坠落事故。</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lang w:val="zh-CN"/>
        </w:rPr>
      </w:pPr>
      <w:r>
        <w:rPr>
          <w:rFonts w:hint="eastAsia" w:ascii="宋体" w:hAnsi="宋体"/>
          <w:color w:val="auto"/>
          <w:sz w:val="28"/>
          <w:szCs w:val="28"/>
          <w:lang w:val="en-US" w:eastAsia="zh-CN"/>
        </w:rPr>
        <w:t>（5）</w:t>
      </w:r>
      <w:r>
        <w:rPr>
          <w:rFonts w:hint="eastAsia" w:ascii="宋体" w:hAnsi="宋体"/>
          <w:color w:val="auto"/>
          <w:sz w:val="28"/>
          <w:szCs w:val="28"/>
          <w:lang w:val="zh-CN"/>
        </w:rPr>
        <w:t>物体打击</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lang w:val="zh-CN"/>
        </w:rPr>
      </w:pPr>
      <w:r>
        <w:rPr>
          <w:rFonts w:hint="eastAsia" w:ascii="宋体" w:hAnsi="宋体"/>
          <w:color w:val="auto"/>
          <w:sz w:val="28"/>
          <w:szCs w:val="28"/>
          <w:lang w:val="zh-CN"/>
        </w:rPr>
        <w:t>在基坑内施工人员，由于所处基准面较低，若在地面施工人员，疏忽大意使石块、物料等掉落基坑，将造成物体打击事故。</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lang w:val="zh-CN"/>
        </w:rPr>
      </w:pPr>
      <w:r>
        <w:rPr>
          <w:rFonts w:hint="eastAsia" w:ascii="宋体" w:hAnsi="宋体"/>
          <w:color w:val="auto"/>
          <w:sz w:val="28"/>
          <w:szCs w:val="28"/>
          <w:lang w:val="en-US" w:eastAsia="zh-CN"/>
        </w:rPr>
        <w:t>（6）</w:t>
      </w:r>
      <w:r>
        <w:rPr>
          <w:rFonts w:hint="eastAsia" w:ascii="宋体" w:hAnsi="宋体"/>
          <w:color w:val="auto"/>
          <w:sz w:val="28"/>
          <w:szCs w:val="28"/>
          <w:lang w:val="zh-CN"/>
        </w:rPr>
        <w:t>触电伤害</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lang w:val="zh-CN"/>
        </w:rPr>
      </w:pPr>
      <w:r>
        <w:rPr>
          <w:rFonts w:hint="eastAsia" w:ascii="宋体" w:hAnsi="宋体"/>
          <w:color w:val="auto"/>
          <w:sz w:val="28"/>
          <w:szCs w:val="28"/>
          <w:lang w:val="zh-CN"/>
        </w:rPr>
        <w:t>触电伤害发生在电气设备维修、停送电操作、电工、焊接作业等。</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lang w:val="zh-CN"/>
        </w:rPr>
      </w:pPr>
      <w:r>
        <w:rPr>
          <w:rFonts w:hint="eastAsia" w:ascii="宋体" w:hAnsi="宋体"/>
          <w:color w:val="auto"/>
          <w:sz w:val="28"/>
          <w:szCs w:val="28"/>
          <w:lang w:val="en-US" w:eastAsia="zh-CN"/>
        </w:rPr>
        <w:t>（7）</w:t>
      </w:r>
      <w:r>
        <w:rPr>
          <w:rFonts w:hint="eastAsia" w:ascii="宋体" w:hAnsi="宋体"/>
          <w:color w:val="auto"/>
          <w:sz w:val="28"/>
          <w:szCs w:val="28"/>
          <w:lang w:val="zh-CN"/>
        </w:rPr>
        <w:t>机械伤害</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lang w:val="zh-CN"/>
        </w:rPr>
      </w:pPr>
      <w:r>
        <w:rPr>
          <w:rFonts w:hint="eastAsia" w:ascii="宋体" w:hAnsi="宋体"/>
          <w:color w:val="auto"/>
          <w:sz w:val="28"/>
          <w:szCs w:val="28"/>
          <w:lang w:val="zh-CN"/>
        </w:rPr>
        <w:t>施工中电锯、钢筋加工等易造成机械伤害，尤其是起重机械，一旦出现事故，将会造成重大人员伤亡及财产损失。</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lang w:val="zh-CN"/>
        </w:rPr>
      </w:pPr>
      <w:r>
        <w:rPr>
          <w:rFonts w:hint="eastAsia" w:ascii="宋体" w:hAnsi="宋体"/>
          <w:color w:val="auto"/>
          <w:sz w:val="28"/>
          <w:szCs w:val="28"/>
          <w:lang w:val="en-US" w:eastAsia="zh-CN"/>
        </w:rPr>
        <w:t>（8）</w:t>
      </w:r>
      <w:r>
        <w:rPr>
          <w:rFonts w:hint="eastAsia" w:ascii="宋体" w:hAnsi="宋体"/>
          <w:color w:val="auto"/>
          <w:sz w:val="28"/>
          <w:szCs w:val="28"/>
          <w:lang w:val="zh-CN"/>
        </w:rPr>
        <w:t>淹溺</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lang w:val="zh-CN"/>
        </w:rPr>
      </w:pPr>
      <w:r>
        <w:rPr>
          <w:rFonts w:hint="eastAsia" w:ascii="宋体" w:hAnsi="宋体"/>
          <w:color w:val="auto"/>
          <w:sz w:val="28"/>
          <w:szCs w:val="28"/>
          <w:lang w:val="zh-CN"/>
        </w:rPr>
        <w:t>由于基坑位于地表以下，由于雨水、地表水、地下水的汇集，坑内一般积水较多，若施工人员掉落积水坑或坑内施工时未探明水深，可能造成淹溺事故。</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lang w:val="zh-CN"/>
        </w:rPr>
      </w:pPr>
      <w:r>
        <w:rPr>
          <w:rFonts w:hint="eastAsia" w:ascii="宋体" w:hAnsi="宋体"/>
          <w:color w:val="auto"/>
          <w:sz w:val="28"/>
          <w:szCs w:val="28"/>
          <w:lang w:val="en-US" w:eastAsia="zh-CN"/>
        </w:rPr>
        <w:t>（9）</w:t>
      </w:r>
      <w:r>
        <w:rPr>
          <w:rFonts w:hint="eastAsia" w:ascii="宋体" w:hAnsi="宋体"/>
          <w:color w:val="auto"/>
          <w:sz w:val="28"/>
          <w:szCs w:val="28"/>
          <w:lang w:val="zh-CN"/>
        </w:rPr>
        <w:t>车辆伤害</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lang w:val="zh-CN"/>
        </w:rPr>
      </w:pPr>
      <w:r>
        <w:rPr>
          <w:rFonts w:hint="eastAsia" w:ascii="宋体" w:hAnsi="宋体"/>
          <w:color w:val="auto"/>
          <w:sz w:val="28"/>
          <w:szCs w:val="28"/>
          <w:lang w:val="zh-CN"/>
        </w:rPr>
        <w:t>施工现场造成交通事故的原因主要有：施工现场内道路转角处视野不开阔、疲劳作业、违章驾驶、车辆机械故障等。</w:t>
      </w:r>
    </w:p>
    <w:p>
      <w:pPr>
        <w:pStyle w:val="6"/>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sz w:val="28"/>
          <w:szCs w:val="28"/>
          <w:lang w:val="en-US" w:eastAsia="zh-CN"/>
        </w:rPr>
      </w:pPr>
      <w:bookmarkStart w:id="96" w:name="_Toc5298"/>
      <w:r>
        <w:rPr>
          <w:rFonts w:hint="eastAsia" w:ascii="宋体" w:hAnsi="宋体" w:eastAsia="宋体" w:cs="宋体"/>
          <w:color w:val="auto"/>
          <w:sz w:val="28"/>
          <w:szCs w:val="28"/>
          <w:lang w:val="en-US" w:eastAsia="zh-CN"/>
        </w:rPr>
        <w:t>1.8.</w:t>
      </w: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en-US" w:eastAsia="zh-CN"/>
        </w:rPr>
        <w:t xml:space="preserve"> 检修作业</w:t>
      </w:r>
      <w:r>
        <w:rPr>
          <w:rFonts w:hint="eastAsia" w:ascii="宋体" w:hAnsi="宋体" w:cs="宋体"/>
          <w:color w:val="auto"/>
          <w:sz w:val="28"/>
          <w:szCs w:val="28"/>
          <w:lang w:val="en-US" w:eastAsia="zh-CN"/>
        </w:rPr>
        <w:t>危险、有害因素分析</w:t>
      </w:r>
      <w:bookmarkEnd w:id="96"/>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lang w:val="en-US" w:eastAsia="zh-CN"/>
        </w:rPr>
      </w:pPr>
      <w:r>
        <w:rPr>
          <w:rFonts w:hint="eastAsia" w:ascii="宋体" w:hAnsi="宋体"/>
          <w:color w:val="auto"/>
          <w:sz w:val="28"/>
          <w:szCs w:val="28"/>
          <w:lang w:val="en-US" w:eastAsia="zh-CN"/>
        </w:rPr>
        <w:t>若在检修作业时未制定严格的储油、加油等装置的各项安全操作规程和安全措施，储油和加油装置周围存在点火源，导致发生火灾爆炸事故。</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lang w:val="en-US" w:eastAsia="zh-CN"/>
        </w:rPr>
      </w:pPr>
      <w:bookmarkStart w:id="97" w:name="OLE_LINK67"/>
      <w:r>
        <w:rPr>
          <w:rFonts w:hint="eastAsia" w:ascii="宋体" w:hAnsi="宋体"/>
          <w:color w:val="auto"/>
          <w:sz w:val="28"/>
          <w:szCs w:val="28"/>
          <w:lang w:val="en-US" w:eastAsia="zh-CN"/>
        </w:rPr>
        <w:t>（1）在停工检修现场和油罐清理等，未严格按规定进行停工后油罐置换、吹扫与清洗等作业或作业工作完成不完全彻底，或未切断待检设备的电源，安全交接工作未交接清楚明白，易导致发生火灾爆炸、人员中毒或触电事故。</w:t>
      </w:r>
    </w:p>
    <w:bookmarkEnd w:id="97"/>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lang w:val="en-US" w:eastAsia="zh-CN"/>
        </w:rPr>
      </w:pPr>
      <w:r>
        <w:rPr>
          <w:rFonts w:hint="eastAsia" w:ascii="宋体" w:hAnsi="宋体"/>
          <w:color w:val="auto"/>
          <w:sz w:val="28"/>
          <w:szCs w:val="28"/>
          <w:lang w:val="en-US" w:eastAsia="zh-CN"/>
        </w:rPr>
        <w:t>（2）检修设备内作业时未按规定办理“设备内安全作业证”，并严格履行审批手续，未使用安全电压，可能由于电气火花发生火灾爆炸事故或触电事故；或未严格落实专人监护，罐未清洗、置换、吹扫并检测合格，违规动火作业可能发生火灾爆炸事故；罐内作业未进行氧含量分析或通风不良、未严格落实专人监护、个体防护、应急救护措施可能发生人员中毒与窒息事故。</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lang w:val="en-US" w:eastAsia="zh-CN"/>
        </w:rPr>
      </w:pPr>
      <w:r>
        <w:rPr>
          <w:rFonts w:hint="eastAsia" w:ascii="宋体" w:hAnsi="宋体"/>
          <w:color w:val="auto"/>
          <w:sz w:val="28"/>
          <w:szCs w:val="28"/>
          <w:lang w:val="en-US" w:eastAsia="zh-CN"/>
        </w:rPr>
        <w:t>（3）在设备进行焊接或气割等检修工作时，未设置专人对作业现场监督检查，未重点检查罐内和周边环境的通风是否良好、检修地点周边是否有危险源、经营场地是否保持安全距离、设备是否接地良好、氧气和乙炔气瓶是否有专人控制、工作间歇时焊枪是否从罐内移出，焊枪和气瓶是否渗漏等现象，均导致发生火灾爆炸、人员中毒窒息事故。</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lang w:val="en-US" w:eastAsia="zh-CN"/>
        </w:rPr>
      </w:pPr>
      <w:r>
        <w:rPr>
          <w:rFonts w:hint="eastAsia" w:ascii="宋体" w:hAnsi="宋体"/>
          <w:color w:val="auto"/>
          <w:sz w:val="28"/>
          <w:szCs w:val="28"/>
          <w:lang w:val="en-US" w:eastAsia="zh-CN"/>
        </w:rPr>
        <w:t>（4）在检修作业现场若检修工具放于高处掉下或其他高处物体放置不牢跌落等均可能造成物体打击。</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lang w:val="en-US" w:eastAsia="zh-CN"/>
        </w:rPr>
      </w:pPr>
      <w:r>
        <w:rPr>
          <w:rFonts w:hint="eastAsia" w:ascii="宋体" w:hAnsi="宋体"/>
          <w:color w:val="auto"/>
          <w:sz w:val="28"/>
          <w:szCs w:val="28"/>
          <w:lang w:val="en-US" w:eastAsia="zh-CN"/>
        </w:rPr>
        <w:t>（5）在加油站内建筑物、高处设备和操作平台进行检修作业中，若未按要求设置安全防护设施或安全防护设施因腐蚀等原因而不可靠，人员未按高处作业要求穿戴防护用品，操作处置失误等，易发生高处坠落；</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lang w:val="en-US" w:eastAsia="zh-CN"/>
        </w:rPr>
      </w:pPr>
      <w:r>
        <w:rPr>
          <w:rFonts w:hint="eastAsia" w:ascii="宋体" w:hAnsi="宋体"/>
          <w:color w:val="auto"/>
          <w:sz w:val="28"/>
          <w:szCs w:val="28"/>
          <w:lang w:val="en-US" w:eastAsia="zh-CN"/>
        </w:rPr>
        <w:t>（6）安装、检修设备、管道时，或操作检修机械设备等运转设备时，安全措施不完善，劳动保护不到位等，易发生机械伤害事故；</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lang w:val="en-US" w:eastAsia="zh-CN"/>
        </w:rPr>
      </w:pPr>
      <w:r>
        <w:rPr>
          <w:rFonts w:hint="eastAsia" w:ascii="宋体" w:hAnsi="宋体"/>
          <w:color w:val="auto"/>
          <w:sz w:val="28"/>
          <w:szCs w:val="28"/>
          <w:lang w:val="en-US" w:eastAsia="zh-CN"/>
        </w:rPr>
        <w:t>（7）在对电器设备维护检修时，由于电器设备或电气线路漏电，或检修时在开关上未悬挂“正在检修，禁止合闸”警示标志，或使用电器设备时未配电绝缘手套等防护用品，使用移动电器设备未设置漏电保护开关，或违规操作等现象，可造成人员触电；</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lang w:val="en-US" w:eastAsia="zh-CN"/>
        </w:rPr>
      </w:pPr>
      <w:r>
        <w:rPr>
          <w:rFonts w:hint="eastAsia" w:ascii="宋体" w:hAnsi="宋体"/>
          <w:color w:val="auto"/>
          <w:sz w:val="28"/>
          <w:szCs w:val="28"/>
          <w:lang w:val="en-US" w:eastAsia="zh-CN"/>
        </w:rPr>
        <w:t>（8）检修过程中使用电焊、气焊操作中，由于焊接产生的电弧及焊接后工件表面具有较高的温度，一旦因人员操作不当或未佩戴防护用品或佩戴不合格的防护用品，可能对工作人员带来非电离辐射伤害、灼烫伤害。</w:t>
      </w:r>
    </w:p>
    <w:p>
      <w:pPr>
        <w:pStyle w:val="5"/>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szCs w:val="28"/>
          <w:lang w:val="en-US" w:eastAsia="zh-CN"/>
        </w:rPr>
      </w:pPr>
      <w:bookmarkStart w:id="98" w:name="_Toc73462398"/>
      <w:bookmarkStart w:id="99" w:name="_Toc31045"/>
      <w:bookmarkStart w:id="100" w:name="_Hlk517879821"/>
      <w:r>
        <w:rPr>
          <w:rFonts w:hint="eastAsia" w:ascii="宋体" w:hAnsi="宋体" w:cs="宋体"/>
          <w:color w:val="auto"/>
          <w:szCs w:val="28"/>
          <w:lang w:val="en-US" w:eastAsia="zh-CN"/>
        </w:rPr>
        <w:t>1.9</w:t>
      </w:r>
      <w:r>
        <w:rPr>
          <w:rFonts w:hint="eastAsia" w:ascii="宋体" w:hAnsi="宋体" w:eastAsia="宋体" w:cs="宋体"/>
          <w:color w:val="auto"/>
          <w:szCs w:val="28"/>
          <w:lang w:val="en-US" w:eastAsia="zh-CN"/>
        </w:rPr>
        <w:t>受限空间作业危险性分析</w:t>
      </w:r>
      <w:bookmarkEnd w:id="98"/>
      <w:bookmarkEnd w:id="99"/>
      <w:bookmarkEnd w:id="100"/>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加油站人孔井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化粪池、操作井、污水处理池等</w:t>
      </w:r>
      <w:r>
        <w:rPr>
          <w:rFonts w:hint="eastAsia" w:ascii="宋体" w:hAnsi="宋体" w:eastAsia="宋体" w:cs="宋体"/>
          <w:color w:val="auto"/>
          <w:sz w:val="28"/>
          <w:szCs w:val="28"/>
        </w:rPr>
        <w:t>属于受限空间作业，检维修时人员进入，若通风不彻底，氧浓度不合格，滞留在受限空间内易致使作业人员中毒或窒息，或由于作业人员安全意识不强，监护人监护不到位，在传递工具等过程中发生物体打击伤害。 由于通风不良，受限空间内的可燃气体在空间内不断聚集，当其达到爆炸极限后，遇明火即会发生爆炸事故。</w:t>
      </w:r>
    </w:p>
    <w:p>
      <w:pPr>
        <w:pStyle w:val="5"/>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szCs w:val="28"/>
          <w:lang w:val="en-US" w:eastAsia="zh-CN"/>
        </w:rPr>
      </w:pPr>
      <w:bookmarkStart w:id="101" w:name="_Toc14189"/>
      <w:bookmarkStart w:id="102" w:name="_Toc296007137"/>
      <w:bookmarkStart w:id="103" w:name="_Toc28362"/>
      <w:bookmarkStart w:id="104" w:name="_Toc24408"/>
      <w:bookmarkStart w:id="105" w:name="_Toc449348762"/>
      <w:bookmarkStart w:id="106" w:name="_Toc31240"/>
      <w:r>
        <w:rPr>
          <w:rFonts w:hint="eastAsia" w:ascii="宋体" w:hAnsi="宋体" w:eastAsia="宋体" w:cs="宋体"/>
          <w:color w:val="auto"/>
          <w:szCs w:val="28"/>
          <w:lang w:val="en-US" w:eastAsia="zh-CN"/>
        </w:rPr>
        <w:t>1.</w:t>
      </w:r>
      <w:r>
        <w:rPr>
          <w:rFonts w:hint="eastAsia" w:ascii="宋体" w:hAnsi="宋体" w:cs="宋体"/>
          <w:color w:val="auto"/>
          <w:szCs w:val="28"/>
          <w:lang w:val="en-US" w:eastAsia="zh-CN"/>
        </w:rPr>
        <w:t>10</w:t>
      </w:r>
      <w:r>
        <w:rPr>
          <w:rFonts w:hint="eastAsia" w:ascii="宋体" w:hAnsi="宋体" w:eastAsia="宋体" w:cs="宋体"/>
          <w:color w:val="auto"/>
          <w:szCs w:val="28"/>
          <w:lang w:val="en-US" w:eastAsia="zh-CN"/>
        </w:rPr>
        <w:t xml:space="preserve"> 安全管理</w:t>
      </w:r>
      <w:bookmarkEnd w:id="101"/>
      <w:bookmarkEnd w:id="102"/>
      <w:r>
        <w:rPr>
          <w:rFonts w:hint="eastAsia" w:ascii="宋体" w:hAnsi="宋体" w:eastAsia="宋体" w:cs="宋体"/>
          <w:color w:val="auto"/>
          <w:szCs w:val="28"/>
          <w:lang w:val="en-US" w:eastAsia="zh-CN"/>
        </w:rPr>
        <w:t>中存在的危险有害因素分析</w:t>
      </w:r>
      <w:bookmarkEnd w:id="103"/>
      <w:bookmarkEnd w:id="104"/>
      <w:bookmarkEnd w:id="105"/>
      <w:bookmarkEnd w:id="106"/>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lang w:val="en-US" w:eastAsia="zh-CN"/>
        </w:rPr>
      </w:pPr>
      <w:r>
        <w:rPr>
          <w:rFonts w:hint="eastAsia" w:ascii="宋体" w:hAnsi="宋体"/>
          <w:color w:val="auto"/>
          <w:sz w:val="28"/>
          <w:szCs w:val="28"/>
          <w:lang w:val="en-US" w:eastAsia="zh-CN"/>
        </w:rPr>
        <w:t>（1）加油站安全管理机构不健全、安全规章制度和安全操作规程不完善或执行不力、人员违章和失误、缺乏事故应急处理机制、应急救护及装备不到位等往往是导致各类安全事故发生的最直接的原因。</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lang w:val="en-US" w:eastAsia="zh-CN"/>
        </w:rPr>
      </w:pPr>
      <w:r>
        <w:rPr>
          <w:rFonts w:hint="eastAsia" w:ascii="宋体" w:hAnsi="宋体"/>
          <w:color w:val="auto"/>
          <w:sz w:val="28"/>
          <w:szCs w:val="28"/>
          <w:lang w:val="en-US" w:eastAsia="zh-CN"/>
        </w:rPr>
        <w:t>（2）安全管理组织机构不健全，不能有效地控制和监督经营储存过程的安全进行，避免和减少各类事故发生，且一旦发生事故，缺少有组织、有纪律的应急救援，导致事故扩大，增加财产损失和人员伤亡。</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lang w:val="en-US" w:eastAsia="zh-CN"/>
        </w:rPr>
      </w:pPr>
      <w:r>
        <w:rPr>
          <w:rFonts w:hint="eastAsia" w:ascii="宋体" w:hAnsi="宋体"/>
          <w:color w:val="auto"/>
          <w:sz w:val="28"/>
          <w:szCs w:val="28"/>
          <w:lang w:val="en-US" w:eastAsia="zh-CN"/>
        </w:rPr>
        <w:t>（3）安全责任制不健全或不落实，人员职责不明确，不能做到预防为主，严格管理，一旦事故发生后，不能有效实施事故责任追究制，存在潜在的安全隐患。</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lang w:val="en-US" w:eastAsia="zh-CN"/>
        </w:rPr>
      </w:pPr>
      <w:r>
        <w:rPr>
          <w:rFonts w:hint="eastAsia" w:ascii="宋体" w:hAnsi="宋体"/>
          <w:color w:val="auto"/>
          <w:sz w:val="28"/>
          <w:szCs w:val="28"/>
          <w:lang w:val="en-US" w:eastAsia="zh-CN"/>
        </w:rPr>
        <w:t>（4）安全负责人和安全生产管理人员未定期进行继续安全教育培训，不具备进行安全管理的能力，造成经营过程中安全管理混乱，从而酿成各类事故发生。</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lang w:val="en-US" w:eastAsia="zh-CN"/>
        </w:rPr>
      </w:pPr>
      <w:r>
        <w:rPr>
          <w:rFonts w:hint="eastAsia" w:ascii="宋体" w:hAnsi="宋体"/>
          <w:color w:val="auto"/>
          <w:sz w:val="28"/>
          <w:szCs w:val="28"/>
          <w:lang w:val="en-US" w:eastAsia="zh-CN"/>
        </w:rPr>
        <w:t>（5）未制定严格、完善的安全管理规章制度和岗位操作规程，致使员工在经营过程中无规可依、无章可循，导致违章操作、违章指挥、违反劳动纪律等现象发生。</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lang w:val="en-US" w:eastAsia="zh-CN"/>
        </w:rPr>
      </w:pPr>
      <w:r>
        <w:rPr>
          <w:rFonts w:hint="eastAsia" w:ascii="宋体" w:hAnsi="宋体"/>
          <w:color w:val="auto"/>
          <w:sz w:val="28"/>
          <w:szCs w:val="28"/>
          <w:lang w:val="en-US" w:eastAsia="zh-CN"/>
        </w:rPr>
        <w:t>（6）作业人员未进行专业培训或培训考核不合格就上岗，不熟悉有关的安全经营规章制度和掌握本岗位的安全操作规程，专业技术、技能差，导致操作失误，引发安全事故。</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lang w:val="en-US" w:eastAsia="zh-CN"/>
        </w:rPr>
      </w:pPr>
      <w:r>
        <w:rPr>
          <w:rFonts w:hint="eastAsia" w:ascii="宋体" w:hAnsi="宋体"/>
          <w:color w:val="auto"/>
          <w:sz w:val="28"/>
          <w:szCs w:val="28"/>
          <w:lang w:val="en-US" w:eastAsia="zh-CN"/>
        </w:rPr>
        <w:t>（7）作业人员未进行日常安全知识培训和应急教育，在紧急情况下不能采取正确的应急方法，事故发生初期自救、互救能力低。</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lang w:val="en-US" w:eastAsia="zh-CN"/>
        </w:rPr>
      </w:pPr>
      <w:r>
        <w:rPr>
          <w:rFonts w:hint="eastAsia" w:ascii="宋体" w:hAnsi="宋体"/>
          <w:color w:val="auto"/>
          <w:sz w:val="28"/>
          <w:szCs w:val="28"/>
          <w:lang w:val="en-US" w:eastAsia="zh-CN"/>
        </w:rPr>
        <w:t>（8）作业人员素质低、安全意识差，工作过程中出现思想麻痹、粗心大意、疲劳作业、醉酒上岗等现象，减少人的不安全行为、改善安全环境带来了极大的困难，存在事故隐患。</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lang w:val="en-US" w:eastAsia="zh-CN"/>
        </w:rPr>
      </w:pPr>
      <w:r>
        <w:rPr>
          <w:rFonts w:hint="eastAsia" w:ascii="宋体" w:hAnsi="宋体"/>
          <w:color w:val="auto"/>
          <w:sz w:val="28"/>
          <w:szCs w:val="28"/>
          <w:lang w:val="en-US" w:eastAsia="zh-CN"/>
        </w:rPr>
        <w:t>（9）未制定完善重大事故应急救援预案和进行事故演练，发生紧急情况时不能做出快速反应，不能按照预先布置及时投入救援，消除和降低事故影响，导致事故蔓延、扩大，从而造成更大的损失和后果。</w:t>
      </w:r>
    </w:p>
    <w:p>
      <w:pPr>
        <w:pStyle w:val="5"/>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szCs w:val="28"/>
          <w:lang w:val="en-US" w:eastAsia="zh-CN"/>
        </w:rPr>
      </w:pPr>
      <w:bookmarkStart w:id="107" w:name="_Toc12776"/>
      <w:bookmarkStart w:id="108" w:name="_Toc296007139"/>
      <w:bookmarkStart w:id="109" w:name="_Toc26350"/>
      <w:bookmarkStart w:id="110" w:name="_Toc449348763"/>
      <w:bookmarkStart w:id="111" w:name="_Toc23819"/>
      <w:bookmarkStart w:id="112" w:name="_Toc8951"/>
      <w:r>
        <w:rPr>
          <w:rFonts w:hint="eastAsia" w:ascii="宋体" w:hAnsi="宋体" w:eastAsia="宋体" w:cs="宋体"/>
          <w:color w:val="auto"/>
          <w:szCs w:val="28"/>
          <w:lang w:val="en-US" w:eastAsia="zh-CN"/>
        </w:rPr>
        <w:t>1.</w:t>
      </w:r>
      <w:r>
        <w:rPr>
          <w:rFonts w:hint="eastAsia" w:ascii="宋体" w:hAnsi="宋体" w:cs="宋体"/>
          <w:color w:val="auto"/>
          <w:szCs w:val="28"/>
          <w:lang w:val="en-US" w:eastAsia="zh-CN"/>
        </w:rPr>
        <w:t>11其他</w:t>
      </w:r>
      <w:bookmarkEnd w:id="107"/>
      <w:bookmarkEnd w:id="108"/>
      <w:r>
        <w:rPr>
          <w:rFonts w:hint="eastAsia" w:ascii="宋体" w:hAnsi="宋体" w:eastAsia="宋体" w:cs="宋体"/>
          <w:color w:val="auto"/>
          <w:szCs w:val="28"/>
          <w:lang w:val="en-US" w:eastAsia="zh-CN"/>
        </w:rPr>
        <w:t>危险有害因素分析</w:t>
      </w:r>
      <w:bookmarkEnd w:id="109"/>
      <w:bookmarkEnd w:id="110"/>
      <w:bookmarkEnd w:id="111"/>
      <w:bookmarkEnd w:id="112"/>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lang w:val="en-US" w:eastAsia="zh-CN"/>
        </w:rPr>
      </w:pPr>
      <w:bookmarkStart w:id="113" w:name="OLE_LINK68"/>
      <w:r>
        <w:rPr>
          <w:rFonts w:hint="eastAsia" w:ascii="宋体" w:hAnsi="宋体"/>
          <w:color w:val="auto"/>
          <w:sz w:val="28"/>
          <w:szCs w:val="28"/>
          <w:lang w:val="en-US" w:eastAsia="zh-CN"/>
        </w:rPr>
        <w:t>（1）操作人员在工作中经常接触柴油，可能引起各类神经症，头晕、头痛、失眠、记忆力减退、恶心、乏力、食欲不振等。</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color w:val="auto"/>
          <w:sz w:val="28"/>
          <w:szCs w:val="28"/>
          <w:lang w:val="en-US" w:eastAsia="zh-CN"/>
        </w:rPr>
      </w:pPr>
      <w:r>
        <w:rPr>
          <w:rFonts w:hint="eastAsia" w:ascii="宋体" w:hAnsi="宋体"/>
          <w:color w:val="auto"/>
          <w:sz w:val="28"/>
          <w:szCs w:val="28"/>
          <w:lang w:val="en-US" w:eastAsia="zh-CN"/>
        </w:rPr>
        <w:t>（2）站内的设备、部件或工具直接与人体接触可能引起夹击、碰撞等事故，在设备检修和清洗作业时，容易发生机械伤害事故。</w:t>
      </w:r>
    </w:p>
    <w:bookmarkEnd w:id="69"/>
    <w:bookmarkEnd w:id="70"/>
    <w:bookmarkEnd w:id="113"/>
    <w:p>
      <w:pPr>
        <w:pStyle w:val="5"/>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szCs w:val="28"/>
          <w:lang w:val="en-US" w:eastAsia="zh-CN"/>
        </w:rPr>
      </w:pPr>
      <w:bookmarkStart w:id="114" w:name="_Toc17016"/>
      <w:bookmarkStart w:id="115" w:name="_Toc8788"/>
      <w:r>
        <w:rPr>
          <w:rFonts w:hint="eastAsia" w:ascii="宋体" w:hAnsi="宋体" w:eastAsia="宋体" w:cs="宋体"/>
          <w:color w:val="auto"/>
          <w:szCs w:val="28"/>
          <w:lang w:val="en-US" w:eastAsia="zh-CN"/>
        </w:rPr>
        <w:t>1.</w:t>
      </w:r>
      <w:r>
        <w:rPr>
          <w:rFonts w:hint="eastAsia" w:ascii="宋体" w:hAnsi="宋体" w:cs="宋体"/>
          <w:color w:val="auto"/>
          <w:szCs w:val="28"/>
          <w:lang w:val="en-US" w:eastAsia="zh-CN"/>
        </w:rPr>
        <w:t>12</w:t>
      </w:r>
      <w:r>
        <w:rPr>
          <w:rFonts w:hint="eastAsia" w:ascii="宋体" w:hAnsi="宋体" w:eastAsia="宋体" w:cs="宋体"/>
          <w:color w:val="auto"/>
          <w:szCs w:val="28"/>
          <w:lang w:val="en-US" w:eastAsia="zh-CN"/>
        </w:rPr>
        <w:t xml:space="preserve"> 重大危险源辨识</w:t>
      </w:r>
      <w:bookmarkEnd w:id="114"/>
      <w:bookmarkEnd w:id="115"/>
    </w:p>
    <w:p>
      <w:pPr>
        <w:pStyle w:val="6"/>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sz w:val="30"/>
          <w:szCs w:val="30"/>
        </w:rPr>
      </w:pPr>
      <w:bookmarkStart w:id="116" w:name="_Toc317"/>
      <w:bookmarkStart w:id="117" w:name="_Toc28975"/>
      <w:bookmarkStart w:id="118" w:name="_Toc29253"/>
      <w:bookmarkStart w:id="119" w:name="_Toc345682441"/>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12</w:t>
      </w:r>
      <w:r>
        <w:rPr>
          <w:rFonts w:hint="eastAsia" w:ascii="宋体" w:hAnsi="宋体" w:eastAsia="宋体" w:cs="宋体"/>
          <w:color w:val="auto"/>
          <w:sz w:val="28"/>
          <w:szCs w:val="28"/>
        </w:rPr>
        <w:t>.1危险化学品重大危险源辨识依据</w:t>
      </w:r>
      <w:bookmarkEnd w:id="116"/>
      <w:bookmarkEnd w:id="117"/>
    </w:p>
    <w:p>
      <w:pPr>
        <w:pageBreakBefore w:val="0"/>
        <w:kinsoku/>
        <w:wordWrap/>
        <w:overflowPunct/>
        <w:topLinePunct w:val="0"/>
        <w:bidi w:val="0"/>
        <w:snapToGrid w:val="0"/>
        <w:spacing w:line="360" w:lineRule="auto"/>
        <w:ind w:left="0" w:leftChars="0" w:right="0" w:firstLine="56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w:t>
      </w:r>
      <w:r>
        <w:rPr>
          <w:rFonts w:hint="eastAsia" w:ascii="宋体" w:hAnsi="宋体" w:eastAsia="宋体" w:cs="宋体"/>
          <w:color w:val="auto"/>
          <w:sz w:val="28"/>
          <w:szCs w:val="28"/>
          <w:lang w:val="en-US" w:eastAsia="zh-CN"/>
        </w:rPr>
        <w:t>加油站</w:t>
      </w:r>
      <w:r>
        <w:rPr>
          <w:rFonts w:hint="eastAsia" w:ascii="宋体" w:hAnsi="宋体" w:eastAsia="宋体" w:cs="宋体"/>
          <w:color w:val="auto"/>
          <w:sz w:val="28"/>
          <w:szCs w:val="28"/>
        </w:rPr>
        <w:t>主要为汽油、柴油的储存，不涉及生产。根据《危险化学品重大危险源辨识》（GB18218-2018）的辨识依据及查找，经查找汽油、柴油属于易燃液体，属于危险化学品重大危险源辨识物质，因此本项目辨识物质为汽油、柴油。</w:t>
      </w:r>
    </w:p>
    <w:p>
      <w:pPr>
        <w:pStyle w:val="6"/>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sz w:val="28"/>
          <w:szCs w:val="28"/>
          <w:lang w:val="en-US" w:eastAsia="zh-CN"/>
        </w:rPr>
      </w:pPr>
      <w:bookmarkStart w:id="120" w:name="_Toc18795"/>
      <w:bookmarkStart w:id="121" w:name="_Toc26758"/>
      <w:r>
        <w:rPr>
          <w:rFonts w:hint="eastAsia" w:ascii="宋体" w:hAnsi="宋体" w:eastAsia="宋体" w:cs="宋体"/>
          <w:color w:val="auto"/>
          <w:sz w:val="28"/>
          <w:szCs w:val="28"/>
          <w:lang w:val="en-US" w:eastAsia="zh-CN"/>
        </w:rPr>
        <w:t>1.12.2重大危险源</w:t>
      </w:r>
      <w:bookmarkEnd w:id="118"/>
      <w:bookmarkEnd w:id="119"/>
      <w:r>
        <w:rPr>
          <w:rFonts w:hint="eastAsia" w:ascii="宋体" w:hAnsi="宋体" w:eastAsia="宋体" w:cs="宋体"/>
          <w:color w:val="auto"/>
          <w:sz w:val="28"/>
          <w:szCs w:val="28"/>
          <w:lang w:val="en-US" w:eastAsia="zh-CN"/>
        </w:rPr>
        <w:t>流程</w:t>
      </w:r>
      <w:bookmarkEnd w:id="120"/>
      <w:bookmarkEnd w:id="121"/>
    </w:p>
    <w:p>
      <w:pPr>
        <w:pageBreakBefore w:val="0"/>
        <w:tabs>
          <w:tab w:val="left" w:pos="7500"/>
        </w:tabs>
        <w:kinsoku/>
        <w:wordWrap/>
        <w:overflowPunct/>
        <w:topLinePunct w:val="0"/>
        <w:bidi w:val="0"/>
        <w:snapToGrid w:val="0"/>
        <w:spacing w:line="360" w:lineRule="auto"/>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根据《危险化学品重大危险源辨识》（GB18218-2018），危险化学品重大危险源按图</w:t>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12</w:t>
      </w:r>
      <w:r>
        <w:rPr>
          <w:rFonts w:hint="eastAsia" w:ascii="宋体" w:hAnsi="宋体" w:eastAsia="宋体" w:cs="宋体"/>
          <w:color w:val="auto"/>
          <w:sz w:val="28"/>
          <w:szCs w:val="28"/>
        </w:rPr>
        <w:t>.2划分。</w:t>
      </w:r>
    </w:p>
    <w:p>
      <w:pPr>
        <w:pStyle w:val="6"/>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sz w:val="28"/>
          <w:szCs w:val="28"/>
          <w:lang w:val="en-US" w:eastAsia="zh-CN"/>
        </w:rPr>
      </w:pPr>
      <w:bookmarkStart w:id="122" w:name="_Toc8093"/>
      <w:bookmarkStart w:id="123" w:name="_Toc11952"/>
      <w:bookmarkStart w:id="124" w:name="_Toc5523"/>
      <w:r>
        <w:rPr>
          <w:rFonts w:hint="eastAsia" w:ascii="宋体" w:hAnsi="宋体" w:eastAsia="宋体" w:cs="宋体"/>
          <w:color w:val="auto"/>
          <w:sz w:val="28"/>
          <w:szCs w:val="28"/>
          <w:lang w:val="en-US" w:eastAsia="zh-CN"/>
        </w:rPr>
        <w:t>1.12.3重大危险源辨识</w:t>
      </w:r>
      <w:bookmarkEnd w:id="122"/>
      <w:r>
        <w:rPr>
          <w:rFonts w:hint="eastAsia" w:ascii="宋体" w:hAnsi="宋体" w:eastAsia="宋体" w:cs="宋体"/>
          <w:color w:val="auto"/>
          <w:sz w:val="28"/>
          <w:szCs w:val="28"/>
          <w:lang w:val="en-US" w:eastAsia="zh-CN"/>
        </w:rPr>
        <w:t>单元划分</w:t>
      </w:r>
      <w:bookmarkEnd w:id="123"/>
      <w:bookmarkEnd w:id="124"/>
    </w:p>
    <w:p>
      <w:pPr>
        <w:pageBreakBefore w:val="0"/>
        <w:kinsoku/>
        <w:wordWrap/>
        <w:overflowPunct/>
        <w:topLinePunct w:val="0"/>
        <w:bidi w:val="0"/>
        <w:snapToGrid w:val="0"/>
        <w:spacing w:line="360" w:lineRule="auto"/>
        <w:ind w:left="0" w:leftChars="0" w:right="0" w:firstLine="56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根据危险化学品重大危险源辨识流程图，应按照生产单元和储存单元划分，本项目不涉及生产，只涉及储存，因此本项目单元划分只有储存单元，需辨识的储存危险化学品有汽油、柴油。</w:t>
      </w:r>
    </w:p>
    <w:p>
      <w:pPr>
        <w:pStyle w:val="47"/>
        <w:pageBreakBefore w:val="0"/>
        <w:kinsoku/>
        <w:wordWrap/>
        <w:overflowPunct/>
        <w:topLinePunct w:val="0"/>
        <w:bidi w:val="0"/>
        <w:snapToGrid w:val="0"/>
        <w:spacing w:line="360" w:lineRule="auto"/>
        <w:ind w:left="0" w:leftChars="0" w:right="0"/>
        <w:jc w:val="center"/>
        <w:textAlignment w:val="auto"/>
        <w:rPr>
          <w:rFonts w:hint="eastAsia" w:ascii="宋体" w:hAnsi="宋体" w:eastAsia="宋体" w:cs="宋体"/>
          <w:color w:val="auto"/>
        </w:rPr>
      </w:pPr>
      <w:r>
        <w:rPr>
          <w:rFonts w:hint="eastAsia" w:ascii="宋体" w:hAnsi="宋体" w:eastAsia="宋体" w:cs="宋体"/>
          <w:color w:val="auto"/>
        </w:rPr>
        <w:t>表</w:t>
      </w:r>
      <w:r>
        <w:rPr>
          <w:rFonts w:hint="eastAsia" w:ascii="宋体" w:hAnsi="宋体" w:cs="宋体"/>
          <w:color w:val="auto"/>
          <w:lang w:val="en-US" w:eastAsia="zh-CN"/>
        </w:rPr>
        <w:t>1-6</w:t>
      </w:r>
      <w:r>
        <w:rPr>
          <w:rFonts w:hint="eastAsia" w:ascii="宋体" w:hAnsi="宋体" w:eastAsia="宋体" w:cs="宋体"/>
          <w:color w:val="auto"/>
        </w:rPr>
        <w:t>主要危险化学品的临界量</w:t>
      </w:r>
    </w:p>
    <w:tbl>
      <w:tblPr>
        <w:tblStyle w:val="5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1828"/>
        <w:gridCol w:w="4288"/>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489" w:type="pct"/>
            <w:vAlign w:val="center"/>
          </w:tcPr>
          <w:p>
            <w:pPr>
              <w:pStyle w:val="2"/>
              <w:pageBreakBefore w:val="0"/>
              <w:kinsoku/>
              <w:wordWrap/>
              <w:overflowPunct/>
              <w:topLinePunct w:val="0"/>
              <w:bidi w:val="0"/>
              <w:snapToGrid w:val="0"/>
              <w:spacing w:line="360" w:lineRule="auto"/>
              <w:ind w:left="0" w:leftChars="0" w:right="0"/>
              <w:jc w:val="center"/>
              <w:textAlignment w:val="auto"/>
              <w:rPr>
                <w:rFonts w:hint="eastAsia" w:ascii="宋体" w:hAnsi="宋体" w:eastAsia="宋体" w:cs="Aparajita"/>
                <w:b/>
                <w:bCs/>
                <w:color w:val="auto"/>
                <w:kern w:val="2"/>
                <w:sz w:val="18"/>
                <w:szCs w:val="18"/>
                <w:lang w:val="en-US" w:eastAsia="zh-CN" w:bidi="ar-SA"/>
              </w:rPr>
            </w:pPr>
            <w:r>
              <w:rPr>
                <w:rFonts w:hint="eastAsia" w:ascii="宋体" w:hAnsi="宋体" w:eastAsia="宋体" w:cs="Aparajita"/>
                <w:b/>
                <w:bCs/>
                <w:color w:val="auto"/>
                <w:kern w:val="2"/>
                <w:sz w:val="18"/>
                <w:szCs w:val="18"/>
                <w:lang w:val="en-US" w:eastAsia="zh-CN" w:bidi="ar-SA"/>
              </w:rPr>
              <w:t>序号</w:t>
            </w:r>
          </w:p>
        </w:tc>
        <w:tc>
          <w:tcPr>
            <w:tcW w:w="984" w:type="pct"/>
            <w:tcBorders>
              <w:bottom w:val="nil"/>
            </w:tcBorders>
            <w:vAlign w:val="center"/>
          </w:tcPr>
          <w:p>
            <w:pPr>
              <w:pStyle w:val="2"/>
              <w:pageBreakBefore w:val="0"/>
              <w:kinsoku/>
              <w:wordWrap/>
              <w:overflowPunct/>
              <w:topLinePunct w:val="0"/>
              <w:bidi w:val="0"/>
              <w:snapToGrid w:val="0"/>
              <w:spacing w:line="360" w:lineRule="auto"/>
              <w:ind w:left="0" w:leftChars="0" w:right="0"/>
              <w:jc w:val="center"/>
              <w:textAlignment w:val="auto"/>
              <w:rPr>
                <w:rFonts w:hint="eastAsia" w:ascii="宋体" w:hAnsi="宋体" w:eastAsia="宋体" w:cs="Aparajita"/>
                <w:b/>
                <w:bCs/>
                <w:color w:val="auto"/>
                <w:kern w:val="2"/>
                <w:sz w:val="18"/>
                <w:szCs w:val="18"/>
                <w:lang w:val="en-US" w:eastAsia="zh-CN" w:bidi="ar-SA"/>
              </w:rPr>
            </w:pPr>
            <w:r>
              <w:rPr>
                <w:rFonts w:hint="eastAsia" w:ascii="宋体" w:hAnsi="宋体" w:eastAsia="宋体" w:cs="Aparajita"/>
                <w:b/>
                <w:bCs/>
                <w:color w:val="auto"/>
                <w:kern w:val="2"/>
                <w:sz w:val="18"/>
                <w:szCs w:val="18"/>
                <w:lang w:val="en-US" w:eastAsia="zh-CN" w:bidi="ar-SA"/>
              </w:rPr>
              <w:t>油料名称</w:t>
            </w:r>
          </w:p>
        </w:tc>
        <w:tc>
          <w:tcPr>
            <w:tcW w:w="2308" w:type="pct"/>
            <w:vAlign w:val="center"/>
          </w:tcPr>
          <w:p>
            <w:pPr>
              <w:pStyle w:val="2"/>
              <w:pageBreakBefore w:val="0"/>
              <w:kinsoku/>
              <w:wordWrap/>
              <w:overflowPunct/>
              <w:topLinePunct w:val="0"/>
              <w:bidi w:val="0"/>
              <w:snapToGrid w:val="0"/>
              <w:spacing w:line="360" w:lineRule="auto"/>
              <w:ind w:left="0" w:leftChars="0" w:right="0"/>
              <w:jc w:val="center"/>
              <w:textAlignment w:val="auto"/>
              <w:rPr>
                <w:rFonts w:hint="eastAsia" w:ascii="宋体" w:hAnsi="宋体" w:eastAsia="宋体" w:cs="Aparajita"/>
                <w:b/>
                <w:bCs/>
                <w:color w:val="auto"/>
                <w:kern w:val="2"/>
                <w:sz w:val="18"/>
                <w:szCs w:val="18"/>
                <w:lang w:val="en-US" w:eastAsia="zh-CN" w:bidi="ar-SA"/>
              </w:rPr>
            </w:pPr>
            <w:r>
              <w:rPr>
                <w:rFonts w:hint="eastAsia" w:ascii="宋体" w:hAnsi="宋体" w:eastAsia="宋体" w:cs="Aparajita"/>
                <w:b/>
                <w:bCs/>
                <w:color w:val="auto"/>
                <w:kern w:val="2"/>
                <w:sz w:val="18"/>
                <w:szCs w:val="18"/>
                <w:lang w:val="en-US" w:eastAsia="zh-CN" w:bidi="ar-SA"/>
              </w:rPr>
              <w:t>油料种类</w:t>
            </w:r>
          </w:p>
        </w:tc>
        <w:tc>
          <w:tcPr>
            <w:tcW w:w="1216" w:type="pct"/>
            <w:vAlign w:val="center"/>
          </w:tcPr>
          <w:p>
            <w:pPr>
              <w:pStyle w:val="2"/>
              <w:pageBreakBefore w:val="0"/>
              <w:kinsoku/>
              <w:wordWrap/>
              <w:overflowPunct/>
              <w:topLinePunct w:val="0"/>
              <w:bidi w:val="0"/>
              <w:snapToGrid w:val="0"/>
              <w:spacing w:line="360" w:lineRule="auto"/>
              <w:ind w:left="0" w:leftChars="0" w:right="0"/>
              <w:jc w:val="center"/>
              <w:textAlignment w:val="auto"/>
              <w:rPr>
                <w:rFonts w:hint="eastAsia" w:ascii="宋体" w:hAnsi="宋体" w:eastAsia="宋体" w:cs="Aparajita"/>
                <w:b/>
                <w:bCs/>
                <w:color w:val="auto"/>
                <w:kern w:val="2"/>
                <w:sz w:val="18"/>
                <w:szCs w:val="18"/>
                <w:lang w:val="en-US" w:eastAsia="zh-CN" w:bidi="ar-SA"/>
              </w:rPr>
            </w:pPr>
            <w:r>
              <w:rPr>
                <w:rFonts w:hint="eastAsia" w:ascii="宋体" w:hAnsi="宋体" w:eastAsia="宋体" w:cs="Aparajita"/>
                <w:b/>
                <w:bCs/>
                <w:color w:val="auto"/>
                <w:kern w:val="2"/>
                <w:sz w:val="18"/>
                <w:szCs w:val="18"/>
                <w:lang w:val="en-US" w:eastAsia="zh-CN" w:bidi="ar-SA"/>
              </w:rPr>
              <w:t>临界量/t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89" w:type="pct"/>
            <w:vAlign w:val="center"/>
          </w:tcPr>
          <w:p>
            <w:pPr>
              <w:pStyle w:val="2"/>
              <w:pageBreakBefore w:val="0"/>
              <w:kinsoku/>
              <w:wordWrap/>
              <w:overflowPunct/>
              <w:topLinePunct w:val="0"/>
              <w:bidi w:val="0"/>
              <w:snapToGrid w:val="0"/>
              <w:spacing w:line="360" w:lineRule="auto"/>
              <w:ind w:left="0" w:leftChars="0" w:right="0"/>
              <w:jc w:val="center"/>
              <w:textAlignment w:val="auto"/>
              <w:rPr>
                <w:rFonts w:hint="eastAsia" w:ascii="宋体" w:hAnsi="宋体" w:eastAsia="宋体" w:cs="Aparajita"/>
                <w:color w:val="auto"/>
                <w:kern w:val="2"/>
                <w:sz w:val="18"/>
                <w:szCs w:val="18"/>
                <w:lang w:val="en-US" w:eastAsia="zh-CN" w:bidi="ar-SA"/>
              </w:rPr>
            </w:pPr>
            <w:r>
              <w:rPr>
                <w:rFonts w:hint="eastAsia" w:ascii="宋体" w:hAnsi="宋体" w:eastAsia="宋体" w:cs="Aparajita"/>
                <w:color w:val="auto"/>
                <w:kern w:val="2"/>
                <w:sz w:val="18"/>
                <w:szCs w:val="18"/>
                <w:lang w:val="en-US" w:eastAsia="zh-CN" w:bidi="ar-SA"/>
              </w:rPr>
              <w:t>1</w:t>
            </w:r>
          </w:p>
        </w:tc>
        <w:tc>
          <w:tcPr>
            <w:tcW w:w="984" w:type="pct"/>
            <w:vAlign w:val="center"/>
          </w:tcPr>
          <w:p>
            <w:pPr>
              <w:pStyle w:val="2"/>
              <w:pageBreakBefore w:val="0"/>
              <w:kinsoku/>
              <w:wordWrap/>
              <w:overflowPunct/>
              <w:topLinePunct w:val="0"/>
              <w:bidi w:val="0"/>
              <w:snapToGrid w:val="0"/>
              <w:spacing w:line="360" w:lineRule="auto"/>
              <w:ind w:left="0" w:leftChars="0" w:right="0"/>
              <w:jc w:val="center"/>
              <w:textAlignment w:val="auto"/>
              <w:rPr>
                <w:rFonts w:hint="eastAsia" w:ascii="宋体" w:hAnsi="宋体" w:eastAsia="宋体" w:cs="Aparajita"/>
                <w:color w:val="auto"/>
                <w:kern w:val="2"/>
                <w:sz w:val="18"/>
                <w:szCs w:val="18"/>
                <w:lang w:val="en-US" w:eastAsia="zh-CN" w:bidi="ar-SA"/>
              </w:rPr>
            </w:pPr>
            <w:r>
              <w:rPr>
                <w:rFonts w:hint="eastAsia" w:ascii="宋体" w:hAnsi="宋体" w:eastAsia="宋体" w:cs="Aparajita"/>
                <w:color w:val="auto"/>
                <w:kern w:val="2"/>
                <w:sz w:val="18"/>
                <w:szCs w:val="18"/>
                <w:lang w:val="en-US" w:eastAsia="zh-CN" w:bidi="ar-SA"/>
              </w:rPr>
              <w:t>柴油</w:t>
            </w:r>
          </w:p>
        </w:tc>
        <w:tc>
          <w:tcPr>
            <w:tcW w:w="2308" w:type="pct"/>
            <w:vAlign w:val="center"/>
          </w:tcPr>
          <w:p>
            <w:pPr>
              <w:pStyle w:val="2"/>
              <w:pageBreakBefore w:val="0"/>
              <w:kinsoku/>
              <w:wordWrap/>
              <w:overflowPunct/>
              <w:topLinePunct w:val="0"/>
              <w:bidi w:val="0"/>
              <w:snapToGrid w:val="0"/>
              <w:spacing w:line="360" w:lineRule="auto"/>
              <w:ind w:left="0" w:leftChars="0" w:right="0"/>
              <w:jc w:val="center"/>
              <w:textAlignment w:val="auto"/>
              <w:rPr>
                <w:rFonts w:hint="eastAsia" w:ascii="宋体" w:hAnsi="宋体" w:eastAsia="宋体" w:cs="Aparajita"/>
                <w:color w:val="auto"/>
                <w:kern w:val="2"/>
                <w:sz w:val="18"/>
                <w:szCs w:val="18"/>
                <w:lang w:val="en-US" w:eastAsia="zh-CN" w:bidi="ar-SA"/>
              </w:rPr>
            </w:pPr>
            <w:r>
              <w:rPr>
                <w:rFonts w:hint="eastAsia" w:ascii="宋体" w:hAnsi="宋体" w:eastAsia="宋体" w:cs="Aparajita"/>
                <w:color w:val="auto"/>
                <w:kern w:val="2"/>
                <w:sz w:val="18"/>
                <w:szCs w:val="18"/>
                <w:lang w:val="en-US" w:eastAsia="zh-CN" w:bidi="ar-SA"/>
              </w:rPr>
              <w:t>23℃≤闪点＜61℃的易燃液体</w:t>
            </w:r>
          </w:p>
        </w:tc>
        <w:tc>
          <w:tcPr>
            <w:tcW w:w="1216" w:type="pct"/>
            <w:vAlign w:val="center"/>
          </w:tcPr>
          <w:p>
            <w:pPr>
              <w:pStyle w:val="2"/>
              <w:pageBreakBefore w:val="0"/>
              <w:kinsoku/>
              <w:wordWrap/>
              <w:overflowPunct/>
              <w:topLinePunct w:val="0"/>
              <w:bidi w:val="0"/>
              <w:snapToGrid w:val="0"/>
              <w:spacing w:line="360" w:lineRule="auto"/>
              <w:ind w:left="0" w:leftChars="0" w:right="0"/>
              <w:jc w:val="center"/>
              <w:textAlignment w:val="auto"/>
              <w:rPr>
                <w:rFonts w:hint="eastAsia" w:ascii="宋体" w:hAnsi="宋体" w:eastAsia="宋体" w:cs="Aparajita"/>
                <w:color w:val="auto"/>
                <w:kern w:val="2"/>
                <w:sz w:val="18"/>
                <w:szCs w:val="18"/>
                <w:lang w:val="en-US" w:eastAsia="zh-CN" w:bidi="ar-SA"/>
              </w:rPr>
            </w:pPr>
            <w:r>
              <w:rPr>
                <w:rFonts w:hint="eastAsia" w:ascii="宋体" w:hAnsi="宋体" w:eastAsia="宋体" w:cs="Aparajita"/>
                <w:color w:val="auto"/>
                <w:kern w:val="2"/>
                <w:sz w:val="18"/>
                <w:szCs w:val="18"/>
                <w:lang w:val="en-US" w:eastAsia="zh-CN" w:bidi="ar-SA"/>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89" w:type="pct"/>
            <w:vAlign w:val="center"/>
          </w:tcPr>
          <w:p>
            <w:pPr>
              <w:pStyle w:val="2"/>
              <w:pageBreakBefore w:val="0"/>
              <w:kinsoku/>
              <w:wordWrap/>
              <w:overflowPunct/>
              <w:topLinePunct w:val="0"/>
              <w:bidi w:val="0"/>
              <w:snapToGrid w:val="0"/>
              <w:spacing w:line="360" w:lineRule="auto"/>
              <w:ind w:left="0" w:leftChars="0" w:right="0"/>
              <w:jc w:val="center"/>
              <w:textAlignment w:val="auto"/>
              <w:rPr>
                <w:rFonts w:hint="eastAsia" w:ascii="宋体" w:hAnsi="宋体" w:eastAsia="宋体" w:cs="Aparajita"/>
                <w:color w:val="auto"/>
                <w:kern w:val="2"/>
                <w:sz w:val="18"/>
                <w:szCs w:val="18"/>
                <w:lang w:val="en-US" w:eastAsia="zh-CN" w:bidi="ar-SA"/>
              </w:rPr>
            </w:pPr>
            <w:r>
              <w:rPr>
                <w:rFonts w:hint="eastAsia" w:ascii="宋体" w:hAnsi="宋体" w:eastAsia="宋体" w:cs="Aparajita"/>
                <w:color w:val="auto"/>
                <w:kern w:val="2"/>
                <w:sz w:val="18"/>
                <w:szCs w:val="18"/>
                <w:lang w:val="en-US" w:eastAsia="zh-CN" w:bidi="ar-SA"/>
              </w:rPr>
              <w:t>2</w:t>
            </w:r>
          </w:p>
        </w:tc>
        <w:tc>
          <w:tcPr>
            <w:tcW w:w="984" w:type="pct"/>
            <w:vAlign w:val="center"/>
          </w:tcPr>
          <w:p>
            <w:pPr>
              <w:pStyle w:val="2"/>
              <w:pageBreakBefore w:val="0"/>
              <w:kinsoku/>
              <w:wordWrap/>
              <w:overflowPunct/>
              <w:topLinePunct w:val="0"/>
              <w:bidi w:val="0"/>
              <w:snapToGrid w:val="0"/>
              <w:spacing w:line="360" w:lineRule="auto"/>
              <w:ind w:left="0" w:leftChars="0" w:right="0"/>
              <w:jc w:val="center"/>
              <w:textAlignment w:val="auto"/>
              <w:rPr>
                <w:rFonts w:hint="eastAsia" w:ascii="宋体" w:hAnsi="宋体" w:eastAsia="宋体" w:cs="Aparajita"/>
                <w:color w:val="auto"/>
                <w:kern w:val="2"/>
                <w:sz w:val="18"/>
                <w:szCs w:val="18"/>
                <w:lang w:val="en-US" w:eastAsia="zh-CN" w:bidi="ar-SA"/>
              </w:rPr>
            </w:pPr>
            <w:r>
              <w:rPr>
                <w:rFonts w:hint="eastAsia" w:ascii="宋体" w:hAnsi="宋体" w:eastAsia="宋体" w:cs="Aparajita"/>
                <w:color w:val="auto"/>
                <w:kern w:val="2"/>
                <w:sz w:val="18"/>
                <w:szCs w:val="18"/>
                <w:lang w:val="en-US" w:eastAsia="zh-CN" w:bidi="ar-SA"/>
              </w:rPr>
              <w:t>汽油</w:t>
            </w:r>
          </w:p>
        </w:tc>
        <w:tc>
          <w:tcPr>
            <w:tcW w:w="2308" w:type="pct"/>
            <w:vAlign w:val="center"/>
          </w:tcPr>
          <w:p>
            <w:pPr>
              <w:pStyle w:val="2"/>
              <w:pageBreakBefore w:val="0"/>
              <w:kinsoku/>
              <w:wordWrap/>
              <w:overflowPunct/>
              <w:topLinePunct w:val="0"/>
              <w:bidi w:val="0"/>
              <w:snapToGrid w:val="0"/>
              <w:spacing w:line="360" w:lineRule="auto"/>
              <w:ind w:left="0" w:leftChars="0" w:right="0"/>
              <w:jc w:val="center"/>
              <w:textAlignment w:val="auto"/>
              <w:rPr>
                <w:rFonts w:hint="eastAsia" w:ascii="宋体" w:hAnsi="宋体" w:eastAsia="宋体" w:cs="Aparajita"/>
                <w:color w:val="auto"/>
                <w:kern w:val="2"/>
                <w:sz w:val="18"/>
                <w:szCs w:val="18"/>
                <w:lang w:val="en-US" w:eastAsia="zh-CN" w:bidi="ar-SA"/>
              </w:rPr>
            </w:pPr>
            <w:r>
              <w:rPr>
                <w:rFonts w:hint="eastAsia" w:ascii="宋体" w:hAnsi="宋体" w:eastAsia="宋体" w:cs="Aparajita"/>
                <w:color w:val="auto"/>
                <w:kern w:val="2"/>
                <w:sz w:val="18"/>
                <w:szCs w:val="18"/>
                <w:lang w:val="en-US" w:eastAsia="zh-CN" w:bidi="ar-SA"/>
              </w:rPr>
              <w:t>闪点＜23℃的易燃液体</w:t>
            </w:r>
          </w:p>
        </w:tc>
        <w:tc>
          <w:tcPr>
            <w:tcW w:w="1216" w:type="pct"/>
            <w:vAlign w:val="center"/>
          </w:tcPr>
          <w:p>
            <w:pPr>
              <w:pStyle w:val="2"/>
              <w:pageBreakBefore w:val="0"/>
              <w:kinsoku/>
              <w:wordWrap/>
              <w:overflowPunct/>
              <w:topLinePunct w:val="0"/>
              <w:bidi w:val="0"/>
              <w:snapToGrid w:val="0"/>
              <w:spacing w:line="360" w:lineRule="auto"/>
              <w:ind w:left="0" w:leftChars="0" w:right="0"/>
              <w:jc w:val="center"/>
              <w:textAlignment w:val="auto"/>
              <w:rPr>
                <w:rFonts w:hint="eastAsia" w:ascii="宋体" w:hAnsi="宋体" w:eastAsia="宋体" w:cs="Aparajita"/>
                <w:color w:val="auto"/>
                <w:kern w:val="2"/>
                <w:sz w:val="18"/>
                <w:szCs w:val="18"/>
                <w:lang w:val="en-US" w:eastAsia="zh-CN" w:bidi="ar-SA"/>
              </w:rPr>
            </w:pPr>
            <w:r>
              <w:rPr>
                <w:rFonts w:hint="eastAsia" w:ascii="宋体" w:hAnsi="宋体" w:eastAsia="宋体" w:cs="Aparajita"/>
                <w:color w:val="auto"/>
                <w:kern w:val="2"/>
                <w:sz w:val="18"/>
                <w:szCs w:val="18"/>
                <w:lang w:val="en-US" w:eastAsia="zh-CN" w:bidi="ar-SA"/>
              </w:rPr>
              <w:t>200</w:t>
            </w:r>
          </w:p>
        </w:tc>
      </w:tr>
    </w:tbl>
    <w:p>
      <w:pPr>
        <w:pStyle w:val="24"/>
        <w:pageBreakBefore w:val="0"/>
        <w:kinsoku/>
        <w:wordWrap/>
        <w:overflowPunct/>
        <w:topLinePunct w:val="0"/>
        <w:bidi w:val="0"/>
        <w:snapToGrid w:val="0"/>
        <w:spacing w:line="360" w:lineRule="auto"/>
        <w:ind w:left="0" w:leftChars="0" w:right="0"/>
        <w:jc w:val="both"/>
        <w:textAlignment w:val="auto"/>
        <w:rPr>
          <w:rFonts w:hint="eastAsia" w:ascii="宋体" w:hAnsi="宋体" w:eastAsia="宋体" w:cs="宋体"/>
          <w:color w:val="auto"/>
        </w:rPr>
      </w:pPr>
    </w:p>
    <w:p>
      <w:pPr>
        <w:pStyle w:val="62"/>
        <w:pageBreakBefore w:val="0"/>
        <w:kinsoku/>
        <w:wordWrap/>
        <w:overflowPunct/>
        <w:topLinePunct w:val="0"/>
        <w:bidi w:val="0"/>
        <w:snapToGrid w:val="0"/>
        <w:spacing w:line="360" w:lineRule="auto"/>
        <w:ind w:left="0" w:leftChars="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drawing>
          <wp:anchor distT="0" distB="0" distL="114300" distR="114300" simplePos="0" relativeHeight="251659264" behindDoc="0" locked="0" layoutInCell="1" allowOverlap="1">
            <wp:simplePos x="0" y="0"/>
            <wp:positionH relativeFrom="column">
              <wp:posOffset>549275</wp:posOffset>
            </wp:positionH>
            <wp:positionV relativeFrom="paragraph">
              <wp:posOffset>136525</wp:posOffset>
            </wp:positionV>
            <wp:extent cx="4010025" cy="4648200"/>
            <wp:effectExtent l="0" t="0" r="9525" b="0"/>
            <wp:wrapTopAndBottom/>
            <wp:docPr id="1" name="图片 36" descr="QQ截图20190409150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6" descr="QQ截图20190409150159"/>
                    <pic:cNvPicPr>
                      <a:picLocks noChangeAspect="1"/>
                    </pic:cNvPicPr>
                  </pic:nvPicPr>
                  <pic:blipFill>
                    <a:blip r:embed="rId7"/>
                    <a:stretch>
                      <a:fillRect/>
                    </a:stretch>
                  </pic:blipFill>
                  <pic:spPr>
                    <a:xfrm>
                      <a:off x="0" y="0"/>
                      <a:ext cx="4010025" cy="4648200"/>
                    </a:xfrm>
                    <a:prstGeom prst="rect">
                      <a:avLst/>
                    </a:prstGeom>
                    <a:noFill/>
                    <a:ln w="9525">
                      <a:noFill/>
                    </a:ln>
                  </pic:spPr>
                </pic:pic>
              </a:graphicData>
            </a:graphic>
          </wp:anchor>
        </w:drawing>
      </w:r>
      <w:r>
        <w:rPr>
          <w:rFonts w:hint="eastAsia" w:ascii="宋体" w:hAnsi="宋体" w:cs="宋体"/>
          <w:b/>
          <w:bCs/>
          <w:color w:val="auto"/>
          <w:sz w:val="24"/>
          <w:szCs w:val="24"/>
          <w:lang w:eastAsia="zh-CN"/>
        </w:rPr>
        <w:t>图</w:t>
      </w:r>
      <w:r>
        <w:rPr>
          <w:rFonts w:hint="eastAsia" w:ascii="宋体" w:hAnsi="宋体" w:cs="宋体"/>
          <w:b/>
          <w:bCs/>
          <w:color w:val="auto"/>
          <w:sz w:val="24"/>
          <w:szCs w:val="24"/>
          <w:lang w:val="en-US" w:eastAsia="zh-CN"/>
        </w:rPr>
        <w:t xml:space="preserve">1-1 </w:t>
      </w:r>
      <w:r>
        <w:rPr>
          <w:rFonts w:hint="eastAsia" w:ascii="宋体" w:hAnsi="宋体" w:eastAsia="宋体" w:cs="宋体"/>
          <w:b/>
          <w:bCs/>
          <w:color w:val="auto"/>
          <w:sz w:val="24"/>
          <w:szCs w:val="24"/>
        </w:rPr>
        <w:t>危险化学品重大危险源辨识流程图</w:t>
      </w:r>
    </w:p>
    <w:p>
      <w:pPr>
        <w:pStyle w:val="6"/>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sz w:val="28"/>
          <w:szCs w:val="28"/>
          <w:lang w:val="en-US" w:eastAsia="zh-CN"/>
        </w:rPr>
      </w:pPr>
      <w:bookmarkStart w:id="125" w:name="_Toc21474"/>
      <w:bookmarkStart w:id="126" w:name="_Toc15521"/>
      <w:r>
        <w:rPr>
          <w:rFonts w:hint="eastAsia" w:ascii="宋体" w:hAnsi="宋体" w:eastAsia="宋体" w:cs="宋体"/>
          <w:color w:val="auto"/>
          <w:sz w:val="28"/>
          <w:szCs w:val="28"/>
          <w:lang w:val="en-US" w:eastAsia="zh-CN"/>
        </w:rPr>
        <w:t>1.12.4 危险化学品重大危险源的辨识方法</w:t>
      </w:r>
      <w:bookmarkEnd w:id="125"/>
      <w:bookmarkEnd w:id="126"/>
    </w:p>
    <w:p>
      <w:pPr>
        <w:pageBreakBefore w:val="0"/>
        <w:kinsoku/>
        <w:wordWrap/>
        <w:overflowPunct/>
        <w:topLinePunct w:val="0"/>
        <w:bidi w:val="0"/>
        <w:snapToGrid w:val="0"/>
        <w:spacing w:line="360" w:lineRule="auto"/>
        <w:ind w:left="0" w:leftChars="0" w:right="0" w:firstLine="544"/>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1.油罐区内存在危险化学品为单一品种，则该油料的数量即为单元内危险化学品总量，若等于或超过相应的临界量，则定为重大危险源；</w:t>
      </w:r>
    </w:p>
    <w:p>
      <w:pPr>
        <w:pageBreakBefore w:val="0"/>
        <w:kinsoku/>
        <w:wordWrap/>
        <w:overflowPunct/>
        <w:topLinePunct w:val="0"/>
        <w:bidi w:val="0"/>
        <w:snapToGrid w:val="0"/>
        <w:spacing w:line="360" w:lineRule="auto"/>
        <w:ind w:left="0" w:leftChars="0" w:right="0" w:firstLine="544"/>
        <w:textAlignment w:val="auto"/>
        <w:rPr>
          <w:rFonts w:hint="eastAsia" w:ascii="宋体" w:hAnsi="宋体" w:eastAsia="宋体" w:cs="宋体"/>
          <w:color w:val="auto"/>
        </w:rPr>
      </w:pPr>
      <w:r>
        <w:rPr>
          <w:rFonts w:hint="eastAsia" w:ascii="宋体" w:hAnsi="宋体" w:eastAsia="宋体" w:cs="宋体"/>
          <w:color w:val="auto"/>
          <w:sz w:val="28"/>
          <w:szCs w:val="28"/>
        </w:rPr>
        <w:t>2.油罐区内存在多种油料时，则按式（1）计算，若满足式（1），则定为重大危险源：</w:t>
      </w:r>
    </w:p>
    <w:p>
      <w:pPr>
        <w:pageBreakBefore w:val="0"/>
        <w:kinsoku/>
        <w:wordWrap/>
        <w:overflowPunct/>
        <w:topLinePunct w:val="0"/>
        <w:bidi w:val="0"/>
        <w:snapToGrid w:val="0"/>
        <w:spacing w:line="360" w:lineRule="auto"/>
        <w:ind w:left="0" w:leftChars="0" w:right="0" w:firstLine="560"/>
        <w:textAlignment w:val="auto"/>
        <w:rPr>
          <w:rFonts w:hint="eastAsia" w:ascii="宋体" w:hAnsi="宋体" w:eastAsia="宋体" w:cs="宋体"/>
          <w:color w:val="auto"/>
        </w:rPr>
      </w:pPr>
      <w:r>
        <w:rPr>
          <w:rFonts w:hint="eastAsia" w:ascii="宋体" w:hAnsi="宋体" w:eastAsia="宋体" w:cs="宋体"/>
          <w:color w:val="auto"/>
        </w:rPr>
        <w:t>S=</w:t>
      </w:r>
      <w:r>
        <w:rPr>
          <w:rFonts w:hint="eastAsia" w:ascii="宋体" w:hAnsi="宋体" w:eastAsia="宋体" w:cs="宋体"/>
          <w:color w:val="auto"/>
        </w:rPr>
        <w:drawing>
          <wp:inline distT="0" distB="0" distL="114300" distR="114300">
            <wp:extent cx="3810635" cy="551815"/>
            <wp:effectExtent l="0" t="0" r="18415" b="635"/>
            <wp:docPr id="3" name="图片 3" descr="gb18218-2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gb18218-2000-6"/>
                    <pic:cNvPicPr>
                      <a:picLocks noChangeAspect="1"/>
                    </pic:cNvPicPr>
                  </pic:nvPicPr>
                  <pic:blipFill>
                    <a:blip r:embed="rId8"/>
                    <a:stretch>
                      <a:fillRect/>
                    </a:stretch>
                  </pic:blipFill>
                  <pic:spPr>
                    <a:xfrm>
                      <a:off x="0" y="0"/>
                      <a:ext cx="3810635" cy="551815"/>
                    </a:xfrm>
                    <a:prstGeom prst="rect">
                      <a:avLst/>
                    </a:prstGeom>
                    <a:noFill/>
                    <a:ln w="9525">
                      <a:noFill/>
                    </a:ln>
                  </pic:spPr>
                </pic:pic>
              </a:graphicData>
            </a:graphic>
          </wp:inline>
        </w:drawing>
      </w:r>
    </w:p>
    <w:p>
      <w:pPr>
        <w:pageBreakBefore w:val="0"/>
        <w:kinsoku/>
        <w:wordWrap/>
        <w:overflowPunct/>
        <w:topLinePunct w:val="0"/>
        <w:bidi w:val="0"/>
        <w:snapToGrid w:val="0"/>
        <w:spacing w:line="360" w:lineRule="auto"/>
        <w:ind w:left="0" w:leftChars="0" w:right="0" w:firstLine="490" w:firstLineChars="175"/>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式中：S为计算的结果</w:t>
      </w:r>
    </w:p>
    <w:p>
      <w:pPr>
        <w:pageBreakBefore w:val="0"/>
        <w:kinsoku/>
        <w:wordWrap/>
        <w:overflowPunct/>
        <w:topLinePunct w:val="0"/>
        <w:bidi w:val="0"/>
        <w:snapToGrid w:val="0"/>
        <w:spacing w:line="360" w:lineRule="auto"/>
        <w:ind w:left="0" w:leftChars="0" w:right="0" w:firstLine="210" w:firstLineChars="75"/>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q</w:t>
      </w:r>
      <w:r>
        <w:rPr>
          <w:rFonts w:hint="eastAsia" w:ascii="宋体" w:hAnsi="宋体" w:eastAsia="宋体" w:cs="宋体"/>
          <w:color w:val="auto"/>
          <w:sz w:val="28"/>
          <w:szCs w:val="28"/>
          <w:vertAlign w:val="subscript"/>
        </w:rPr>
        <w:t>1</w:t>
      </w:r>
      <w:r>
        <w:rPr>
          <w:rFonts w:hint="eastAsia" w:ascii="宋体" w:hAnsi="宋体" w:eastAsia="宋体" w:cs="宋体"/>
          <w:color w:val="auto"/>
          <w:sz w:val="28"/>
          <w:szCs w:val="28"/>
        </w:rPr>
        <w:t>，q</w:t>
      </w:r>
      <w:r>
        <w:rPr>
          <w:rFonts w:hint="eastAsia" w:ascii="宋体" w:hAnsi="宋体" w:eastAsia="宋体" w:cs="宋体"/>
          <w:color w:val="auto"/>
          <w:sz w:val="28"/>
          <w:szCs w:val="28"/>
          <w:vertAlign w:val="subscript"/>
        </w:rPr>
        <w:t>2</w:t>
      </w:r>
      <w:r>
        <w:rPr>
          <w:rFonts w:hint="eastAsia" w:ascii="宋体" w:hAnsi="宋体" w:eastAsia="宋体" w:cs="宋体"/>
          <w:color w:val="auto"/>
          <w:sz w:val="28"/>
          <w:szCs w:val="28"/>
        </w:rPr>
        <w:t>……q</w:t>
      </w:r>
      <w:r>
        <w:rPr>
          <w:rFonts w:hint="eastAsia" w:ascii="宋体" w:hAnsi="宋体" w:eastAsia="宋体" w:cs="宋体"/>
          <w:color w:val="auto"/>
          <w:sz w:val="28"/>
          <w:szCs w:val="28"/>
          <w:vertAlign w:val="subscript"/>
        </w:rPr>
        <w:t>n</w:t>
      </w:r>
      <w:r>
        <w:rPr>
          <w:rFonts w:hint="eastAsia" w:ascii="宋体" w:hAnsi="宋体" w:eastAsia="宋体" w:cs="宋体"/>
          <w:color w:val="auto"/>
          <w:sz w:val="28"/>
          <w:szCs w:val="28"/>
        </w:rPr>
        <w:t>——每种危险化学品实际存在量，t。</w:t>
      </w:r>
    </w:p>
    <w:p>
      <w:pPr>
        <w:pageBreakBefore w:val="0"/>
        <w:kinsoku/>
        <w:wordWrap/>
        <w:overflowPunct/>
        <w:topLinePunct w:val="0"/>
        <w:bidi w:val="0"/>
        <w:snapToGrid w:val="0"/>
        <w:spacing w:line="360" w:lineRule="auto"/>
        <w:ind w:left="0" w:leftChars="0" w:right="0" w:firstLine="210" w:firstLineChars="75"/>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Q1，Q2……Qn——与各危险化学品相对应的生产场所或贮存区的临界量，t。</w:t>
      </w:r>
    </w:p>
    <w:p>
      <w:pPr>
        <w:pStyle w:val="6"/>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sz w:val="30"/>
          <w:szCs w:val="30"/>
          <w:lang w:val="en-US" w:eastAsia="zh-CN"/>
        </w:rPr>
      </w:pPr>
      <w:bookmarkStart w:id="127" w:name="_Toc18558"/>
      <w:bookmarkStart w:id="128" w:name="_Toc30728"/>
      <w:r>
        <w:rPr>
          <w:rFonts w:hint="eastAsia" w:ascii="宋体" w:hAnsi="宋体" w:eastAsia="宋体" w:cs="宋体"/>
          <w:color w:val="auto"/>
          <w:sz w:val="30"/>
          <w:szCs w:val="30"/>
          <w:lang w:val="en-US" w:eastAsia="zh-CN"/>
        </w:rPr>
        <w:t>1.</w:t>
      </w:r>
      <w:r>
        <w:rPr>
          <w:rFonts w:hint="eastAsia" w:ascii="宋体" w:hAnsi="宋体" w:cs="宋体"/>
          <w:color w:val="auto"/>
          <w:sz w:val="30"/>
          <w:szCs w:val="30"/>
          <w:lang w:val="en-US" w:eastAsia="zh-CN"/>
        </w:rPr>
        <w:t>12</w:t>
      </w:r>
      <w:r>
        <w:rPr>
          <w:rFonts w:hint="eastAsia" w:ascii="宋体" w:hAnsi="宋体" w:eastAsia="宋体" w:cs="宋体"/>
          <w:color w:val="auto"/>
          <w:sz w:val="30"/>
          <w:szCs w:val="30"/>
          <w:lang w:val="en-US" w:eastAsia="zh-CN"/>
        </w:rPr>
        <w:t>.5 危险化学品重大危险源辨识结果</w:t>
      </w:r>
      <w:bookmarkEnd w:id="127"/>
      <w:bookmarkEnd w:id="128"/>
    </w:p>
    <w:p>
      <w:pPr>
        <w:pageBreakBefore w:val="0"/>
        <w:kinsoku/>
        <w:wordWrap/>
        <w:overflowPunct/>
        <w:topLinePunct w:val="0"/>
        <w:bidi w:val="0"/>
        <w:adjustRightInd w:val="0"/>
        <w:snapToGrid w:val="0"/>
        <w:spacing w:line="360" w:lineRule="auto"/>
        <w:ind w:left="0" w:leftChars="0" w:right="0"/>
        <w:jc w:val="center"/>
        <w:textAlignment w:val="auto"/>
        <w:rPr>
          <w:rFonts w:hint="eastAsia" w:ascii="宋体" w:hAnsi="宋体"/>
          <w:b/>
          <w:color w:val="auto"/>
          <w:sz w:val="24"/>
          <w:szCs w:val="24"/>
        </w:rPr>
      </w:pPr>
      <w:r>
        <w:rPr>
          <w:rFonts w:hint="eastAsia" w:ascii="宋体" w:hAnsi="宋体"/>
          <w:b/>
          <w:color w:val="auto"/>
          <w:sz w:val="24"/>
          <w:szCs w:val="24"/>
          <w:lang w:eastAsia="zh-CN"/>
        </w:rPr>
        <w:t>表</w:t>
      </w:r>
      <w:r>
        <w:rPr>
          <w:rFonts w:hint="eastAsia" w:ascii="宋体" w:hAnsi="宋体"/>
          <w:b/>
          <w:color w:val="auto"/>
          <w:sz w:val="24"/>
          <w:szCs w:val="24"/>
          <w:lang w:val="en-US" w:eastAsia="zh-CN"/>
        </w:rPr>
        <w:t xml:space="preserve">1-7 </w:t>
      </w:r>
      <w:r>
        <w:rPr>
          <w:rFonts w:hint="eastAsia" w:ascii="宋体" w:hAnsi="宋体"/>
          <w:b/>
          <w:color w:val="auto"/>
          <w:sz w:val="24"/>
          <w:szCs w:val="24"/>
        </w:rPr>
        <w:t>储存单元危险化学品重大危险源辨识</w:t>
      </w:r>
    </w:p>
    <w:tbl>
      <w:tblPr>
        <w:tblStyle w:val="50"/>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605"/>
        <w:gridCol w:w="864"/>
        <w:gridCol w:w="1166"/>
        <w:gridCol w:w="1134"/>
        <w:gridCol w:w="1194"/>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noWrap w:val="0"/>
            <w:vAlign w:val="center"/>
          </w:tcPr>
          <w:p>
            <w:pPr>
              <w:pStyle w:val="198"/>
              <w:pageBreakBefore w:val="0"/>
              <w:widowControl/>
              <w:kinsoku/>
              <w:overflowPunct/>
              <w:topLinePunct w:val="0"/>
              <w:bidi w:val="0"/>
              <w:adjustRightInd w:val="0"/>
              <w:snapToGrid w:val="0"/>
              <w:spacing w:beforeAutospacing="0" w:afterAutospacing="0" w:line="360" w:lineRule="auto"/>
              <w:ind w:left="0" w:leftChars="0" w:right="0" w:rightChars="0"/>
              <w:rPr>
                <w:rFonts w:hint="eastAsia" w:hAnsi="宋体" w:cs="Aparajita"/>
                <w:b/>
                <w:bCs/>
                <w:color w:val="auto"/>
                <w:sz w:val="18"/>
                <w:szCs w:val="18"/>
              </w:rPr>
            </w:pPr>
            <w:r>
              <w:rPr>
                <w:rFonts w:hint="eastAsia" w:hAnsi="宋体" w:cs="Aparajita"/>
                <w:b/>
                <w:bCs/>
                <w:color w:val="auto"/>
                <w:sz w:val="18"/>
                <w:szCs w:val="18"/>
              </w:rPr>
              <w:t>危险化学品</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pStyle w:val="198"/>
              <w:pageBreakBefore w:val="0"/>
              <w:widowControl/>
              <w:kinsoku/>
              <w:overflowPunct/>
              <w:topLinePunct w:val="0"/>
              <w:bidi w:val="0"/>
              <w:adjustRightInd w:val="0"/>
              <w:snapToGrid w:val="0"/>
              <w:spacing w:beforeAutospacing="0" w:afterAutospacing="0" w:line="360" w:lineRule="auto"/>
              <w:ind w:left="0" w:leftChars="0" w:right="0" w:rightChars="0"/>
              <w:rPr>
                <w:rFonts w:hint="eastAsia" w:hAnsi="宋体" w:cs="Aparajita"/>
                <w:b/>
                <w:bCs/>
                <w:color w:val="auto"/>
                <w:sz w:val="18"/>
                <w:szCs w:val="18"/>
              </w:rPr>
            </w:pPr>
            <w:r>
              <w:rPr>
                <w:rFonts w:hint="eastAsia" w:hAnsi="宋体" w:cs="Aparajita"/>
                <w:b/>
                <w:bCs/>
                <w:color w:val="auto"/>
                <w:sz w:val="18"/>
                <w:szCs w:val="18"/>
              </w:rPr>
              <w:t>实际储量（m³）</w:t>
            </w:r>
          </w:p>
        </w:tc>
        <w:tc>
          <w:tcPr>
            <w:tcW w:w="864" w:type="dxa"/>
            <w:tcBorders>
              <w:top w:val="single" w:color="auto" w:sz="4" w:space="0"/>
              <w:left w:val="single" w:color="auto" w:sz="4" w:space="0"/>
              <w:bottom w:val="single" w:color="auto" w:sz="4" w:space="0"/>
              <w:right w:val="single" w:color="auto" w:sz="4" w:space="0"/>
            </w:tcBorders>
            <w:noWrap w:val="0"/>
            <w:vAlign w:val="center"/>
          </w:tcPr>
          <w:p>
            <w:pPr>
              <w:pStyle w:val="198"/>
              <w:pageBreakBefore w:val="0"/>
              <w:widowControl/>
              <w:kinsoku/>
              <w:overflowPunct/>
              <w:topLinePunct w:val="0"/>
              <w:bidi w:val="0"/>
              <w:adjustRightInd w:val="0"/>
              <w:snapToGrid w:val="0"/>
              <w:spacing w:beforeAutospacing="0" w:afterAutospacing="0" w:line="360" w:lineRule="auto"/>
              <w:ind w:left="0" w:leftChars="0" w:right="0" w:rightChars="0"/>
              <w:rPr>
                <w:rFonts w:hint="eastAsia" w:hAnsi="宋体" w:cs="Aparajita"/>
                <w:color w:val="auto"/>
              </w:rPr>
            </w:pPr>
            <w:r>
              <w:rPr>
                <w:rFonts w:hint="eastAsia" w:hAnsi="宋体" w:cs="Aparajita"/>
                <w:b/>
                <w:bCs/>
                <w:color w:val="auto"/>
                <w:sz w:val="18"/>
                <w:szCs w:val="18"/>
              </w:rPr>
              <w:t>临界量</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pStyle w:val="198"/>
              <w:pageBreakBefore w:val="0"/>
              <w:widowControl/>
              <w:kinsoku/>
              <w:overflowPunct/>
              <w:topLinePunct w:val="0"/>
              <w:bidi w:val="0"/>
              <w:adjustRightInd w:val="0"/>
              <w:snapToGrid w:val="0"/>
              <w:spacing w:beforeAutospacing="0" w:afterAutospacing="0" w:line="360" w:lineRule="auto"/>
              <w:ind w:left="0" w:leftChars="0" w:right="0" w:rightChars="0"/>
              <w:rPr>
                <w:rFonts w:hint="eastAsia" w:hAnsi="宋体" w:cs="Aparajita"/>
                <w:b/>
                <w:bCs/>
                <w:color w:val="auto"/>
                <w:sz w:val="18"/>
                <w:szCs w:val="18"/>
              </w:rPr>
            </w:pPr>
            <w:r>
              <w:rPr>
                <w:rFonts w:hint="eastAsia" w:hAnsi="宋体" w:cs="Aparajita"/>
                <w:b/>
                <w:bCs/>
                <w:color w:val="auto"/>
                <w:sz w:val="18"/>
                <w:szCs w:val="18"/>
              </w:rPr>
              <w:t>储存设施或</w:t>
            </w:r>
          </w:p>
          <w:p>
            <w:pPr>
              <w:pStyle w:val="198"/>
              <w:pageBreakBefore w:val="0"/>
              <w:widowControl/>
              <w:kinsoku/>
              <w:overflowPunct/>
              <w:topLinePunct w:val="0"/>
              <w:bidi w:val="0"/>
              <w:adjustRightInd w:val="0"/>
              <w:snapToGrid w:val="0"/>
              <w:spacing w:beforeAutospacing="0" w:afterAutospacing="0" w:line="360" w:lineRule="auto"/>
              <w:ind w:left="0" w:leftChars="0" w:right="0" w:rightChars="0"/>
              <w:rPr>
                <w:rFonts w:hint="eastAsia" w:hAnsi="宋体" w:cs="Aparajita"/>
                <w:color w:val="auto"/>
              </w:rPr>
            </w:pPr>
            <w:r>
              <w:rPr>
                <w:rFonts w:hint="eastAsia" w:hAnsi="宋体" w:cs="Aparajita"/>
                <w:b/>
                <w:bCs/>
                <w:color w:val="auto"/>
                <w:sz w:val="18"/>
                <w:szCs w:val="18"/>
              </w:rPr>
              <w:t>包装物</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98"/>
              <w:pageBreakBefore w:val="0"/>
              <w:widowControl/>
              <w:kinsoku/>
              <w:overflowPunct/>
              <w:topLinePunct w:val="0"/>
              <w:bidi w:val="0"/>
              <w:adjustRightInd w:val="0"/>
              <w:snapToGrid w:val="0"/>
              <w:spacing w:beforeAutospacing="0" w:afterAutospacing="0" w:line="360" w:lineRule="auto"/>
              <w:ind w:left="0" w:leftChars="0" w:right="0" w:rightChars="0"/>
              <w:rPr>
                <w:rFonts w:hint="eastAsia" w:hAnsi="宋体" w:cs="Aparajita"/>
                <w:color w:val="auto"/>
              </w:rPr>
            </w:pPr>
            <w:r>
              <w:rPr>
                <w:rFonts w:hint="eastAsia" w:hAnsi="宋体" w:cs="Aparajita"/>
                <w:b/>
                <w:bCs/>
                <w:color w:val="auto"/>
                <w:sz w:val="18"/>
                <w:szCs w:val="18"/>
              </w:rPr>
              <w:t>储存部位</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pStyle w:val="198"/>
              <w:pageBreakBefore w:val="0"/>
              <w:widowControl/>
              <w:kinsoku/>
              <w:overflowPunct/>
              <w:topLinePunct w:val="0"/>
              <w:bidi w:val="0"/>
              <w:adjustRightInd w:val="0"/>
              <w:snapToGrid w:val="0"/>
              <w:spacing w:beforeAutospacing="0" w:afterAutospacing="0" w:line="360" w:lineRule="auto"/>
              <w:ind w:left="0" w:leftChars="0" w:right="0" w:rightChars="0"/>
              <w:rPr>
                <w:rFonts w:hint="eastAsia" w:hAnsi="宋体" w:cs="Aparajita"/>
                <w:color w:val="auto"/>
              </w:rPr>
            </w:pPr>
            <w:r>
              <w:rPr>
                <w:rFonts w:hint="eastAsia" w:hAnsi="宋体" w:cs="Aparajita"/>
                <w:b/>
                <w:bCs/>
                <w:color w:val="auto"/>
                <w:sz w:val="18"/>
                <w:szCs w:val="18"/>
              </w:rPr>
              <w:t>备注</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198"/>
              <w:pageBreakBefore w:val="0"/>
              <w:widowControl/>
              <w:kinsoku/>
              <w:overflowPunct/>
              <w:topLinePunct w:val="0"/>
              <w:bidi w:val="0"/>
              <w:adjustRightInd w:val="0"/>
              <w:snapToGrid w:val="0"/>
              <w:spacing w:beforeAutospacing="0" w:afterAutospacing="0" w:line="360" w:lineRule="auto"/>
              <w:ind w:left="0" w:leftChars="0" w:right="0" w:rightChars="0"/>
              <w:rPr>
                <w:rFonts w:hint="eastAsia" w:hAnsi="宋体" w:cs="Aparajita"/>
                <w:b/>
                <w:bCs/>
                <w:color w:val="auto"/>
                <w:sz w:val="18"/>
                <w:szCs w:val="18"/>
              </w:rPr>
            </w:pPr>
            <w:r>
              <w:rPr>
                <w:rFonts w:hint="eastAsia" w:hAnsi="宋体" w:cs="Aparajita"/>
                <w:b/>
                <w:bCs/>
                <w:color w:val="auto"/>
                <w:sz w:val="18"/>
                <w:szCs w:val="18"/>
              </w:rPr>
              <w:t>是否构成重大危险源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2" w:type="dxa"/>
            <w:tcBorders>
              <w:top w:val="single" w:color="auto" w:sz="4" w:space="0"/>
              <w:left w:val="single" w:color="auto" w:sz="4" w:space="0"/>
              <w:bottom w:val="single" w:color="auto" w:sz="4" w:space="0"/>
              <w:right w:val="single" w:color="auto" w:sz="4" w:space="0"/>
            </w:tcBorders>
            <w:noWrap w:val="0"/>
            <w:vAlign w:val="center"/>
          </w:tcPr>
          <w:p>
            <w:pPr>
              <w:pStyle w:val="198"/>
              <w:pageBreakBefore w:val="0"/>
              <w:widowControl/>
              <w:kinsoku/>
              <w:overflowPunct/>
              <w:topLinePunct w:val="0"/>
              <w:bidi w:val="0"/>
              <w:adjustRightInd w:val="0"/>
              <w:snapToGrid w:val="0"/>
              <w:spacing w:beforeAutospacing="0" w:afterAutospacing="0" w:line="360" w:lineRule="auto"/>
              <w:ind w:left="0" w:leftChars="0" w:right="0" w:rightChars="0"/>
              <w:rPr>
                <w:rFonts w:hint="eastAsia" w:hAnsi="宋体" w:cs="Aparajita"/>
                <w:color w:val="auto"/>
                <w:sz w:val="18"/>
                <w:szCs w:val="18"/>
              </w:rPr>
            </w:pPr>
            <w:r>
              <w:rPr>
                <w:rFonts w:hint="eastAsia" w:hAnsi="宋体" w:cs="Aparajita"/>
                <w:color w:val="auto"/>
                <w:sz w:val="18"/>
                <w:szCs w:val="18"/>
              </w:rPr>
              <w:t>汽油</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pStyle w:val="198"/>
              <w:pageBreakBefore w:val="0"/>
              <w:widowControl/>
              <w:kinsoku/>
              <w:overflowPunct/>
              <w:topLinePunct w:val="0"/>
              <w:bidi w:val="0"/>
              <w:adjustRightInd w:val="0"/>
              <w:snapToGrid w:val="0"/>
              <w:spacing w:beforeAutospacing="0" w:afterAutospacing="0" w:line="360" w:lineRule="auto"/>
              <w:ind w:left="0" w:leftChars="0" w:right="0" w:rightChars="0"/>
              <w:rPr>
                <w:rFonts w:hint="eastAsia" w:hAnsi="宋体" w:cs="Aparajita"/>
                <w:color w:val="auto"/>
                <w:sz w:val="18"/>
                <w:szCs w:val="18"/>
              </w:rPr>
            </w:pPr>
            <w:r>
              <w:rPr>
                <w:rFonts w:hint="eastAsia" w:hAnsi="宋体" w:cs="Aparajita"/>
                <w:color w:val="auto"/>
                <w:sz w:val="18"/>
                <w:szCs w:val="18"/>
                <w:lang w:val="en-US" w:eastAsia="zh-CN"/>
              </w:rPr>
              <w:t>120</w:t>
            </w:r>
            <w:r>
              <w:rPr>
                <w:rFonts w:hint="eastAsia" w:hAnsi="宋体" w:cs="Aparajita"/>
                <w:color w:val="auto"/>
                <w:sz w:val="18"/>
                <w:szCs w:val="18"/>
              </w:rPr>
              <w:t>m³</w:t>
            </w:r>
          </w:p>
        </w:tc>
        <w:tc>
          <w:tcPr>
            <w:tcW w:w="864" w:type="dxa"/>
            <w:tcBorders>
              <w:top w:val="single" w:color="auto" w:sz="4" w:space="0"/>
              <w:left w:val="single" w:color="auto" w:sz="4" w:space="0"/>
              <w:bottom w:val="single" w:color="auto" w:sz="4" w:space="0"/>
              <w:right w:val="single" w:color="auto" w:sz="4" w:space="0"/>
            </w:tcBorders>
            <w:noWrap w:val="0"/>
            <w:vAlign w:val="center"/>
          </w:tcPr>
          <w:p>
            <w:pPr>
              <w:pStyle w:val="198"/>
              <w:pageBreakBefore w:val="0"/>
              <w:widowControl/>
              <w:kinsoku/>
              <w:overflowPunct/>
              <w:topLinePunct w:val="0"/>
              <w:bidi w:val="0"/>
              <w:adjustRightInd w:val="0"/>
              <w:snapToGrid w:val="0"/>
              <w:spacing w:beforeAutospacing="0" w:afterAutospacing="0" w:line="360" w:lineRule="auto"/>
              <w:ind w:left="0" w:leftChars="0" w:right="0" w:rightChars="0"/>
              <w:rPr>
                <w:rFonts w:hint="eastAsia" w:hAnsi="宋体" w:cs="Aparajita"/>
                <w:color w:val="auto"/>
              </w:rPr>
            </w:pPr>
            <w:r>
              <w:rPr>
                <w:rFonts w:hint="eastAsia" w:hAnsi="宋体" w:cs="Aparajita"/>
                <w:color w:val="auto"/>
                <w:sz w:val="18"/>
                <w:szCs w:val="18"/>
              </w:rPr>
              <w:t>200t</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pStyle w:val="198"/>
              <w:pageBreakBefore w:val="0"/>
              <w:widowControl/>
              <w:kinsoku/>
              <w:overflowPunct/>
              <w:topLinePunct w:val="0"/>
              <w:bidi w:val="0"/>
              <w:adjustRightInd w:val="0"/>
              <w:snapToGrid w:val="0"/>
              <w:spacing w:beforeAutospacing="0" w:afterAutospacing="0" w:line="360" w:lineRule="auto"/>
              <w:ind w:left="0" w:leftChars="0" w:right="0" w:rightChars="0"/>
              <w:rPr>
                <w:rFonts w:hint="eastAsia" w:hAnsi="宋体" w:cs="Aparajita"/>
                <w:color w:val="auto"/>
              </w:rPr>
            </w:pPr>
            <w:r>
              <w:rPr>
                <w:rFonts w:hint="eastAsia" w:hAnsi="宋体" w:cs="Aparajita"/>
                <w:color w:val="auto"/>
                <w:sz w:val="18"/>
                <w:szCs w:val="18"/>
              </w:rPr>
              <w:t>埋地储油罐</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98"/>
              <w:pageBreakBefore w:val="0"/>
              <w:widowControl/>
              <w:kinsoku/>
              <w:overflowPunct/>
              <w:topLinePunct w:val="0"/>
              <w:bidi w:val="0"/>
              <w:adjustRightInd w:val="0"/>
              <w:snapToGrid w:val="0"/>
              <w:spacing w:beforeAutospacing="0" w:afterAutospacing="0" w:line="360" w:lineRule="auto"/>
              <w:ind w:left="0" w:leftChars="0" w:right="0" w:rightChars="0"/>
              <w:rPr>
                <w:rFonts w:hint="eastAsia" w:hAnsi="宋体" w:cs="Aparajita"/>
                <w:color w:val="auto"/>
              </w:rPr>
            </w:pPr>
            <w:r>
              <w:rPr>
                <w:rFonts w:hint="eastAsia" w:hAnsi="宋体" w:cs="Aparajita"/>
                <w:color w:val="auto"/>
                <w:sz w:val="18"/>
                <w:szCs w:val="18"/>
              </w:rPr>
              <w:t>油罐区</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pStyle w:val="198"/>
              <w:pageBreakBefore w:val="0"/>
              <w:widowControl/>
              <w:kinsoku/>
              <w:overflowPunct/>
              <w:topLinePunct w:val="0"/>
              <w:bidi w:val="0"/>
              <w:adjustRightInd w:val="0"/>
              <w:snapToGrid w:val="0"/>
              <w:spacing w:beforeAutospacing="0" w:afterAutospacing="0" w:line="360" w:lineRule="auto"/>
              <w:ind w:left="0" w:leftChars="0" w:right="0" w:rightChars="0"/>
              <w:jc w:val="both"/>
              <w:rPr>
                <w:rFonts w:hint="eastAsia" w:hAnsi="宋体" w:cs="Aparajita"/>
                <w:color w:val="auto"/>
              </w:rPr>
            </w:pPr>
            <w:r>
              <w:rPr>
                <w:rFonts w:hint="eastAsia" w:hAnsi="宋体" w:cs="Aparajita"/>
                <w:color w:val="auto"/>
                <w:sz w:val="18"/>
                <w:szCs w:val="18"/>
              </w:rPr>
              <w:t>汽油密度取值0.7</w:t>
            </w:r>
            <w:r>
              <w:rPr>
                <w:rFonts w:hAnsi="宋体" w:cs="Aparajita"/>
                <w:color w:val="auto"/>
                <w:sz w:val="18"/>
                <w:szCs w:val="18"/>
              </w:rPr>
              <w:t>75</w:t>
            </w:r>
            <w:r>
              <w:rPr>
                <w:rFonts w:hint="eastAsia" w:hAnsi="宋体" w:cs="Aparajita"/>
                <w:color w:val="auto"/>
                <w:sz w:val="18"/>
                <w:szCs w:val="18"/>
              </w:rPr>
              <w:t xml:space="preserve"> </w:t>
            </w:r>
          </w:p>
        </w:tc>
        <w:tc>
          <w:tcPr>
            <w:tcW w:w="2085" w:type="dxa"/>
            <w:vMerge w:val="restart"/>
            <w:tcBorders>
              <w:top w:val="single" w:color="auto" w:sz="4" w:space="0"/>
              <w:left w:val="single" w:color="auto" w:sz="4" w:space="0"/>
              <w:right w:val="single" w:color="auto" w:sz="4" w:space="0"/>
            </w:tcBorders>
            <w:noWrap w:val="0"/>
            <w:vAlign w:val="center"/>
          </w:tcPr>
          <w:p>
            <w:pPr>
              <w:pStyle w:val="198"/>
              <w:pageBreakBefore w:val="0"/>
              <w:widowControl/>
              <w:kinsoku/>
              <w:overflowPunct/>
              <w:topLinePunct w:val="0"/>
              <w:bidi w:val="0"/>
              <w:adjustRightInd w:val="0"/>
              <w:snapToGrid w:val="0"/>
              <w:spacing w:beforeAutospacing="0" w:afterAutospacing="0" w:line="360" w:lineRule="auto"/>
              <w:ind w:left="0" w:leftChars="0" w:right="0" w:rightChars="0"/>
              <w:jc w:val="both"/>
              <w:rPr>
                <w:rFonts w:hint="eastAsia" w:hAnsi="宋体" w:cs="Aparajita"/>
                <w:color w:val="auto"/>
                <w:sz w:val="18"/>
                <w:szCs w:val="18"/>
              </w:rPr>
            </w:pPr>
            <w:r>
              <w:rPr>
                <w:rFonts w:hint="eastAsia" w:hAnsi="宋体" w:cs="Aparajita"/>
                <w:color w:val="auto"/>
                <w:sz w:val="18"/>
                <w:szCs w:val="18"/>
                <w:lang w:val="en-US" w:eastAsia="zh-CN"/>
              </w:rPr>
              <w:t>12</w:t>
            </w:r>
            <w:r>
              <w:rPr>
                <w:rFonts w:hAnsi="宋体" w:cs="Aparajita"/>
                <w:color w:val="auto"/>
                <w:sz w:val="18"/>
                <w:szCs w:val="18"/>
              </w:rPr>
              <w:t>0</w:t>
            </w:r>
            <w:r>
              <w:rPr>
                <w:rFonts w:hint="eastAsia" w:hAnsi="宋体" w:cs="Aparajita"/>
                <w:color w:val="auto"/>
                <w:sz w:val="18"/>
                <w:szCs w:val="18"/>
              </w:rPr>
              <w:t>*0.7</w:t>
            </w:r>
            <w:r>
              <w:rPr>
                <w:rFonts w:hAnsi="宋体" w:cs="Aparajita"/>
                <w:color w:val="auto"/>
                <w:sz w:val="18"/>
                <w:szCs w:val="18"/>
              </w:rPr>
              <w:t>75</w:t>
            </w:r>
            <w:r>
              <w:rPr>
                <w:rFonts w:hint="eastAsia" w:hAnsi="宋体" w:cs="Aparajita"/>
                <w:color w:val="auto"/>
                <w:sz w:val="18"/>
                <w:szCs w:val="18"/>
              </w:rPr>
              <w:t>/200+</w:t>
            </w:r>
            <w:r>
              <w:rPr>
                <w:rFonts w:hint="eastAsia" w:hAnsi="宋体" w:cs="Aparajita"/>
                <w:color w:val="auto"/>
                <w:sz w:val="18"/>
                <w:szCs w:val="18"/>
                <w:lang w:val="en-US" w:eastAsia="zh-CN"/>
              </w:rPr>
              <w:t>5</w:t>
            </w:r>
            <w:r>
              <w:rPr>
                <w:rFonts w:hAnsi="宋体" w:cs="Aparajita"/>
                <w:color w:val="auto"/>
                <w:sz w:val="18"/>
                <w:szCs w:val="18"/>
              </w:rPr>
              <w:t>0</w:t>
            </w:r>
            <w:r>
              <w:rPr>
                <w:rFonts w:hint="eastAsia" w:hAnsi="宋体" w:cs="Aparajita"/>
                <w:color w:val="auto"/>
                <w:sz w:val="18"/>
                <w:szCs w:val="18"/>
              </w:rPr>
              <w:t>*0.8</w:t>
            </w:r>
            <w:r>
              <w:rPr>
                <w:rFonts w:hAnsi="宋体" w:cs="Aparajita"/>
                <w:color w:val="auto"/>
                <w:sz w:val="18"/>
                <w:szCs w:val="18"/>
              </w:rPr>
              <w:t>45</w:t>
            </w:r>
            <w:r>
              <w:rPr>
                <w:rFonts w:hint="eastAsia" w:hAnsi="宋体" w:cs="Aparajita"/>
                <w:color w:val="auto"/>
                <w:sz w:val="18"/>
                <w:szCs w:val="18"/>
              </w:rPr>
              <w:t>/5000=0.</w:t>
            </w:r>
            <w:r>
              <w:rPr>
                <w:rFonts w:hint="eastAsia" w:hAnsi="宋体" w:cs="Aparajita"/>
                <w:color w:val="auto"/>
                <w:sz w:val="18"/>
                <w:szCs w:val="18"/>
                <w:lang w:val="en-US" w:eastAsia="zh-CN"/>
              </w:rPr>
              <w:t>473</w:t>
            </w:r>
            <w:r>
              <w:rPr>
                <w:rFonts w:hint="eastAsia" w:hAnsi="宋体" w:cs="Aparajita"/>
                <w:color w:val="auto"/>
                <w:sz w:val="18"/>
                <w:szCs w:val="18"/>
              </w:rPr>
              <w:t>＜1，故储存单元不构成危险化学品重大危险源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2" w:type="dxa"/>
            <w:tcBorders>
              <w:top w:val="single" w:color="auto" w:sz="4" w:space="0"/>
              <w:left w:val="single" w:color="auto" w:sz="4" w:space="0"/>
              <w:bottom w:val="single" w:color="auto" w:sz="4" w:space="0"/>
              <w:right w:val="single" w:color="auto" w:sz="4" w:space="0"/>
            </w:tcBorders>
            <w:noWrap w:val="0"/>
            <w:vAlign w:val="center"/>
          </w:tcPr>
          <w:p>
            <w:pPr>
              <w:pStyle w:val="198"/>
              <w:pageBreakBefore w:val="0"/>
              <w:widowControl/>
              <w:kinsoku/>
              <w:overflowPunct/>
              <w:topLinePunct w:val="0"/>
              <w:bidi w:val="0"/>
              <w:adjustRightInd w:val="0"/>
              <w:snapToGrid w:val="0"/>
              <w:spacing w:beforeAutospacing="0" w:afterAutospacing="0" w:line="360" w:lineRule="auto"/>
              <w:ind w:left="0" w:leftChars="0" w:right="0" w:rightChars="0"/>
              <w:rPr>
                <w:rFonts w:hint="eastAsia" w:hAnsi="宋体" w:cs="Aparajita"/>
                <w:color w:val="auto"/>
                <w:sz w:val="18"/>
                <w:szCs w:val="18"/>
              </w:rPr>
            </w:pPr>
            <w:r>
              <w:rPr>
                <w:rFonts w:hint="eastAsia" w:hAnsi="宋体" w:cs="Aparajita"/>
                <w:color w:val="auto"/>
                <w:sz w:val="18"/>
                <w:szCs w:val="18"/>
              </w:rPr>
              <w:t>柴油</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pStyle w:val="198"/>
              <w:pageBreakBefore w:val="0"/>
              <w:widowControl/>
              <w:kinsoku/>
              <w:overflowPunct/>
              <w:topLinePunct w:val="0"/>
              <w:bidi w:val="0"/>
              <w:adjustRightInd w:val="0"/>
              <w:snapToGrid w:val="0"/>
              <w:spacing w:beforeAutospacing="0" w:afterAutospacing="0" w:line="360" w:lineRule="auto"/>
              <w:ind w:left="0" w:leftChars="0" w:right="0" w:rightChars="0"/>
              <w:rPr>
                <w:rFonts w:hint="eastAsia" w:hAnsi="宋体" w:cs="Aparajita"/>
                <w:color w:val="auto"/>
                <w:sz w:val="18"/>
                <w:szCs w:val="18"/>
              </w:rPr>
            </w:pPr>
            <w:r>
              <w:rPr>
                <w:rFonts w:hint="eastAsia" w:hAnsi="宋体" w:cs="Aparajita"/>
                <w:color w:val="auto"/>
                <w:sz w:val="18"/>
                <w:szCs w:val="18"/>
                <w:lang w:val="en-US" w:eastAsia="zh-CN"/>
              </w:rPr>
              <w:t>5</w:t>
            </w:r>
            <w:r>
              <w:rPr>
                <w:rFonts w:hAnsi="宋体" w:cs="Aparajita"/>
                <w:color w:val="auto"/>
                <w:sz w:val="18"/>
                <w:szCs w:val="18"/>
              </w:rPr>
              <w:t>0</w:t>
            </w:r>
            <w:r>
              <w:rPr>
                <w:rFonts w:hint="eastAsia" w:hAnsi="宋体" w:cs="Aparajita"/>
                <w:color w:val="auto"/>
                <w:sz w:val="18"/>
                <w:szCs w:val="18"/>
              </w:rPr>
              <w:t>m³</w:t>
            </w:r>
          </w:p>
        </w:tc>
        <w:tc>
          <w:tcPr>
            <w:tcW w:w="864" w:type="dxa"/>
            <w:tcBorders>
              <w:top w:val="single" w:color="auto" w:sz="4" w:space="0"/>
              <w:left w:val="single" w:color="auto" w:sz="4" w:space="0"/>
              <w:bottom w:val="single" w:color="auto" w:sz="4" w:space="0"/>
              <w:right w:val="single" w:color="auto" w:sz="4" w:space="0"/>
            </w:tcBorders>
            <w:noWrap w:val="0"/>
            <w:vAlign w:val="center"/>
          </w:tcPr>
          <w:p>
            <w:pPr>
              <w:pStyle w:val="198"/>
              <w:pageBreakBefore w:val="0"/>
              <w:widowControl/>
              <w:kinsoku/>
              <w:overflowPunct/>
              <w:topLinePunct w:val="0"/>
              <w:bidi w:val="0"/>
              <w:adjustRightInd w:val="0"/>
              <w:snapToGrid w:val="0"/>
              <w:spacing w:beforeAutospacing="0" w:afterAutospacing="0" w:line="360" w:lineRule="auto"/>
              <w:ind w:left="0" w:leftChars="0" w:right="0" w:rightChars="0"/>
              <w:rPr>
                <w:rFonts w:hint="eastAsia" w:hAnsi="宋体" w:cs="Aparajita"/>
                <w:color w:val="auto"/>
                <w:sz w:val="18"/>
                <w:szCs w:val="18"/>
              </w:rPr>
            </w:pPr>
            <w:r>
              <w:rPr>
                <w:rFonts w:hint="eastAsia" w:hAnsi="宋体" w:cs="Aparajita"/>
                <w:color w:val="auto"/>
                <w:sz w:val="18"/>
                <w:szCs w:val="18"/>
              </w:rPr>
              <w:t>5000t</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pStyle w:val="198"/>
              <w:pageBreakBefore w:val="0"/>
              <w:widowControl/>
              <w:kinsoku/>
              <w:overflowPunct/>
              <w:topLinePunct w:val="0"/>
              <w:bidi w:val="0"/>
              <w:adjustRightInd w:val="0"/>
              <w:snapToGrid w:val="0"/>
              <w:spacing w:beforeAutospacing="0" w:afterAutospacing="0" w:line="360" w:lineRule="auto"/>
              <w:ind w:left="0" w:leftChars="0" w:right="0" w:rightChars="0"/>
              <w:rPr>
                <w:rFonts w:hint="eastAsia" w:hAnsi="宋体" w:cs="Aparajita"/>
                <w:color w:val="auto"/>
                <w:sz w:val="18"/>
                <w:szCs w:val="18"/>
              </w:rPr>
            </w:pPr>
            <w:r>
              <w:rPr>
                <w:rFonts w:hint="eastAsia" w:hAnsi="宋体" w:cs="Aparajita"/>
                <w:color w:val="auto"/>
                <w:sz w:val="18"/>
                <w:szCs w:val="18"/>
              </w:rPr>
              <w:t>埋地储油罐</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98"/>
              <w:pageBreakBefore w:val="0"/>
              <w:widowControl/>
              <w:kinsoku/>
              <w:overflowPunct/>
              <w:topLinePunct w:val="0"/>
              <w:bidi w:val="0"/>
              <w:adjustRightInd w:val="0"/>
              <w:snapToGrid w:val="0"/>
              <w:spacing w:beforeAutospacing="0" w:afterAutospacing="0" w:line="360" w:lineRule="auto"/>
              <w:ind w:left="0" w:leftChars="0" w:right="0" w:rightChars="0"/>
              <w:rPr>
                <w:rFonts w:hint="eastAsia" w:hAnsi="宋体" w:cs="Aparajita"/>
                <w:color w:val="auto"/>
                <w:sz w:val="18"/>
                <w:szCs w:val="18"/>
              </w:rPr>
            </w:pPr>
            <w:r>
              <w:rPr>
                <w:rFonts w:hint="eastAsia" w:hAnsi="宋体" w:cs="Aparajita"/>
                <w:color w:val="auto"/>
                <w:sz w:val="18"/>
                <w:szCs w:val="18"/>
              </w:rPr>
              <w:t>油罐区</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pStyle w:val="198"/>
              <w:pageBreakBefore w:val="0"/>
              <w:widowControl/>
              <w:kinsoku/>
              <w:overflowPunct/>
              <w:topLinePunct w:val="0"/>
              <w:bidi w:val="0"/>
              <w:adjustRightInd w:val="0"/>
              <w:snapToGrid w:val="0"/>
              <w:spacing w:beforeAutospacing="0" w:afterAutospacing="0" w:line="360" w:lineRule="auto"/>
              <w:ind w:left="0" w:leftChars="0" w:right="0" w:rightChars="0"/>
              <w:jc w:val="both"/>
              <w:rPr>
                <w:rFonts w:hint="eastAsia" w:hAnsi="宋体" w:cs="Aparajita"/>
                <w:color w:val="auto"/>
                <w:sz w:val="18"/>
                <w:szCs w:val="18"/>
              </w:rPr>
            </w:pPr>
            <w:r>
              <w:rPr>
                <w:rFonts w:hint="eastAsia" w:hAnsi="宋体" w:cs="Aparajita"/>
                <w:color w:val="auto"/>
                <w:sz w:val="18"/>
                <w:szCs w:val="18"/>
              </w:rPr>
              <w:t>柴油密度取值0.8</w:t>
            </w:r>
            <w:r>
              <w:rPr>
                <w:rFonts w:hAnsi="宋体" w:cs="Aparajita"/>
                <w:color w:val="auto"/>
                <w:sz w:val="18"/>
                <w:szCs w:val="18"/>
              </w:rPr>
              <w:t>45</w:t>
            </w:r>
          </w:p>
        </w:tc>
        <w:tc>
          <w:tcPr>
            <w:tcW w:w="2085" w:type="dxa"/>
            <w:vMerge w:val="continue"/>
            <w:tcBorders>
              <w:left w:val="single" w:color="auto" w:sz="4" w:space="0"/>
              <w:right w:val="single" w:color="auto" w:sz="4" w:space="0"/>
            </w:tcBorders>
            <w:noWrap w:val="0"/>
            <w:vAlign w:val="center"/>
          </w:tcPr>
          <w:p>
            <w:pPr>
              <w:pageBreakBefore w:val="0"/>
              <w:kinsoku/>
              <w:overflowPunct/>
              <w:topLinePunct w:val="0"/>
              <w:bidi w:val="0"/>
              <w:snapToGrid w:val="0"/>
              <w:spacing w:beforeAutospacing="0" w:afterAutospacing="0" w:line="360" w:lineRule="auto"/>
              <w:ind w:left="0" w:leftChars="0" w:right="0" w:rightChars="0"/>
              <w:rPr>
                <w:rFonts w:ascii="宋体" w:hAnsi="宋体"/>
                <w:color w:val="auto"/>
              </w:rPr>
            </w:pPr>
          </w:p>
        </w:tc>
      </w:tr>
    </w:tbl>
    <w:p>
      <w:pPr>
        <w:pStyle w:val="48"/>
        <w:pageBreakBefore w:val="0"/>
        <w:kinsoku/>
        <w:wordWrap/>
        <w:overflowPunct/>
        <w:topLinePunct w:val="0"/>
        <w:bidi w:val="0"/>
        <w:snapToGrid w:val="0"/>
        <w:spacing w:after="0" w:line="360" w:lineRule="auto"/>
        <w:ind w:left="0" w:leftChars="0" w:right="0"/>
        <w:textAlignment w:val="auto"/>
        <w:rPr>
          <w:rFonts w:hint="eastAsia"/>
        </w:rPr>
      </w:pPr>
    </w:p>
    <w:p>
      <w:pPr>
        <w:pageBreakBefore w:val="0"/>
        <w:kinsoku/>
        <w:wordWrap/>
        <w:overflowPunct/>
        <w:topLinePunct w:val="0"/>
        <w:bidi w:val="0"/>
        <w:adjustRightInd w:val="0"/>
        <w:snapToGrid w:val="0"/>
        <w:spacing w:line="360" w:lineRule="auto"/>
        <w:ind w:left="0" w:leftChars="0" w:right="0"/>
        <w:jc w:val="center"/>
        <w:textAlignment w:val="auto"/>
        <w:rPr>
          <w:rFonts w:hint="eastAsia" w:ascii="宋体" w:hAnsi="宋体"/>
          <w:b/>
          <w:color w:val="auto"/>
          <w:sz w:val="24"/>
          <w:szCs w:val="24"/>
        </w:rPr>
      </w:pPr>
      <w:r>
        <w:rPr>
          <w:rFonts w:hint="eastAsia" w:ascii="宋体" w:hAnsi="宋体"/>
          <w:b/>
          <w:color w:val="auto"/>
          <w:sz w:val="24"/>
          <w:szCs w:val="24"/>
          <w:lang w:eastAsia="zh-CN"/>
        </w:rPr>
        <w:t>表</w:t>
      </w:r>
      <w:r>
        <w:rPr>
          <w:rFonts w:hint="eastAsia" w:ascii="宋体" w:hAnsi="宋体"/>
          <w:b/>
          <w:color w:val="auto"/>
          <w:sz w:val="24"/>
          <w:szCs w:val="24"/>
          <w:lang w:val="en-US" w:eastAsia="zh-CN"/>
        </w:rPr>
        <w:t xml:space="preserve">1-8 </w:t>
      </w:r>
      <w:r>
        <w:rPr>
          <w:rFonts w:hint="eastAsia" w:ascii="宋体" w:hAnsi="宋体"/>
          <w:b/>
          <w:color w:val="auto"/>
          <w:sz w:val="24"/>
          <w:szCs w:val="24"/>
        </w:rPr>
        <w:t>生产单元危险化学品重大危险源辨识</w:t>
      </w:r>
    </w:p>
    <w:tbl>
      <w:tblPr>
        <w:tblStyle w:val="50"/>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367"/>
        <w:gridCol w:w="851"/>
        <w:gridCol w:w="1692"/>
        <w:gridCol w:w="1001"/>
        <w:gridCol w:w="1052"/>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noWrap w:val="0"/>
            <w:vAlign w:val="center"/>
          </w:tcPr>
          <w:p>
            <w:pPr>
              <w:pStyle w:val="198"/>
              <w:pageBreakBefore w:val="0"/>
              <w:widowControl/>
              <w:kinsoku/>
              <w:overflowPunct/>
              <w:topLinePunct w:val="0"/>
              <w:bidi w:val="0"/>
              <w:adjustRightInd w:val="0"/>
              <w:snapToGrid w:val="0"/>
              <w:spacing w:beforeAutospacing="0" w:afterAutospacing="0" w:line="360" w:lineRule="auto"/>
              <w:ind w:left="0" w:leftChars="0" w:right="0" w:rightChars="0"/>
              <w:rPr>
                <w:rFonts w:hint="eastAsia" w:hAnsi="宋体" w:cs="Aparajita"/>
                <w:b/>
                <w:bCs/>
                <w:color w:val="auto"/>
                <w:sz w:val="18"/>
                <w:szCs w:val="18"/>
              </w:rPr>
            </w:pPr>
            <w:r>
              <w:rPr>
                <w:rFonts w:hint="eastAsia" w:hAnsi="宋体" w:cs="Aparajita"/>
                <w:b/>
                <w:bCs/>
                <w:color w:val="auto"/>
                <w:sz w:val="18"/>
                <w:szCs w:val="18"/>
              </w:rPr>
              <w:t>危险化学品</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pStyle w:val="198"/>
              <w:pageBreakBefore w:val="0"/>
              <w:widowControl/>
              <w:kinsoku/>
              <w:overflowPunct/>
              <w:topLinePunct w:val="0"/>
              <w:bidi w:val="0"/>
              <w:adjustRightInd w:val="0"/>
              <w:snapToGrid w:val="0"/>
              <w:spacing w:beforeAutospacing="0" w:afterAutospacing="0" w:line="360" w:lineRule="auto"/>
              <w:ind w:left="0" w:leftChars="0" w:right="0" w:rightChars="0"/>
              <w:rPr>
                <w:rFonts w:hint="eastAsia" w:hAnsi="宋体" w:cs="Aparajita"/>
                <w:b/>
                <w:bCs/>
                <w:color w:val="auto"/>
                <w:sz w:val="18"/>
                <w:szCs w:val="18"/>
              </w:rPr>
            </w:pPr>
            <w:r>
              <w:rPr>
                <w:rFonts w:hint="eastAsia" w:hAnsi="宋体" w:cs="Aparajita"/>
                <w:b/>
                <w:bCs/>
                <w:color w:val="auto"/>
                <w:sz w:val="18"/>
                <w:szCs w:val="18"/>
              </w:rPr>
              <w:t>实际数量（m³）</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198"/>
              <w:pageBreakBefore w:val="0"/>
              <w:widowControl/>
              <w:kinsoku/>
              <w:overflowPunct/>
              <w:topLinePunct w:val="0"/>
              <w:bidi w:val="0"/>
              <w:adjustRightInd w:val="0"/>
              <w:snapToGrid w:val="0"/>
              <w:spacing w:beforeAutospacing="0" w:afterAutospacing="0" w:line="360" w:lineRule="auto"/>
              <w:ind w:left="0" w:leftChars="0" w:right="0" w:rightChars="0"/>
              <w:rPr>
                <w:rFonts w:hint="eastAsia" w:hAnsi="宋体" w:cs="Aparajita"/>
                <w:color w:val="auto"/>
                <w:sz w:val="18"/>
                <w:szCs w:val="18"/>
              </w:rPr>
            </w:pPr>
            <w:r>
              <w:rPr>
                <w:rFonts w:hint="eastAsia" w:hAnsi="宋体" w:cs="Aparajita"/>
                <w:b/>
                <w:bCs/>
                <w:color w:val="auto"/>
                <w:sz w:val="18"/>
                <w:szCs w:val="18"/>
              </w:rPr>
              <w:t>临界量</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pStyle w:val="198"/>
              <w:pageBreakBefore w:val="0"/>
              <w:widowControl/>
              <w:kinsoku/>
              <w:overflowPunct/>
              <w:topLinePunct w:val="0"/>
              <w:bidi w:val="0"/>
              <w:adjustRightInd w:val="0"/>
              <w:snapToGrid w:val="0"/>
              <w:spacing w:beforeAutospacing="0" w:afterAutospacing="0" w:line="360" w:lineRule="auto"/>
              <w:ind w:left="0" w:leftChars="0" w:right="0" w:rightChars="0"/>
              <w:rPr>
                <w:rFonts w:hint="eastAsia" w:hAnsi="宋体" w:cs="Aparajita"/>
                <w:color w:val="auto"/>
                <w:sz w:val="18"/>
                <w:szCs w:val="18"/>
              </w:rPr>
            </w:pPr>
            <w:r>
              <w:rPr>
                <w:rFonts w:hint="eastAsia" w:hAnsi="宋体" w:cs="Aparajita"/>
                <w:b/>
                <w:bCs/>
                <w:color w:val="auto"/>
                <w:sz w:val="18"/>
                <w:szCs w:val="18"/>
              </w:rPr>
              <w:t>使用的装置及设施</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198"/>
              <w:pageBreakBefore w:val="0"/>
              <w:widowControl/>
              <w:kinsoku/>
              <w:overflowPunct/>
              <w:topLinePunct w:val="0"/>
              <w:bidi w:val="0"/>
              <w:adjustRightInd w:val="0"/>
              <w:snapToGrid w:val="0"/>
              <w:spacing w:beforeAutospacing="0" w:afterAutospacing="0" w:line="360" w:lineRule="auto"/>
              <w:ind w:left="0" w:leftChars="0" w:right="0" w:rightChars="0"/>
              <w:rPr>
                <w:rFonts w:hint="eastAsia" w:hAnsi="宋体" w:cs="Aparajita"/>
                <w:color w:val="auto"/>
                <w:sz w:val="18"/>
                <w:szCs w:val="18"/>
              </w:rPr>
            </w:pPr>
            <w:r>
              <w:rPr>
                <w:rFonts w:hint="eastAsia" w:hAnsi="宋体" w:cs="Aparajita"/>
                <w:b/>
                <w:bCs/>
                <w:color w:val="auto"/>
                <w:sz w:val="18"/>
                <w:szCs w:val="18"/>
              </w:rPr>
              <w:t>使用部位</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pStyle w:val="198"/>
              <w:pageBreakBefore w:val="0"/>
              <w:widowControl/>
              <w:kinsoku/>
              <w:overflowPunct/>
              <w:topLinePunct w:val="0"/>
              <w:bidi w:val="0"/>
              <w:adjustRightInd w:val="0"/>
              <w:snapToGrid w:val="0"/>
              <w:spacing w:beforeAutospacing="0" w:afterAutospacing="0" w:line="360" w:lineRule="auto"/>
              <w:ind w:left="0" w:leftChars="0" w:right="0" w:rightChars="0"/>
              <w:rPr>
                <w:rFonts w:hint="eastAsia" w:hAnsi="宋体" w:cs="Aparajita"/>
                <w:color w:val="auto"/>
                <w:sz w:val="18"/>
                <w:szCs w:val="18"/>
              </w:rPr>
            </w:pPr>
            <w:r>
              <w:rPr>
                <w:rFonts w:hint="eastAsia" w:hAnsi="宋体" w:cs="Aparajita"/>
                <w:b/>
                <w:bCs/>
                <w:color w:val="auto"/>
                <w:sz w:val="18"/>
                <w:szCs w:val="18"/>
              </w:rPr>
              <w:t>备注</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198"/>
              <w:pageBreakBefore w:val="0"/>
              <w:widowControl/>
              <w:kinsoku/>
              <w:overflowPunct/>
              <w:topLinePunct w:val="0"/>
              <w:bidi w:val="0"/>
              <w:adjustRightInd w:val="0"/>
              <w:snapToGrid w:val="0"/>
              <w:spacing w:beforeAutospacing="0" w:afterAutospacing="0" w:line="360" w:lineRule="auto"/>
              <w:ind w:left="0" w:leftChars="0" w:right="0" w:rightChars="0"/>
              <w:rPr>
                <w:rFonts w:hint="eastAsia" w:hAnsi="宋体" w:cs="Aparajita"/>
                <w:b/>
                <w:bCs/>
                <w:color w:val="auto"/>
                <w:sz w:val="18"/>
                <w:szCs w:val="18"/>
              </w:rPr>
            </w:pPr>
            <w:r>
              <w:rPr>
                <w:rFonts w:hint="eastAsia" w:hAnsi="宋体" w:cs="Aparajita"/>
                <w:b/>
                <w:bCs/>
                <w:color w:val="auto"/>
                <w:sz w:val="18"/>
                <w:szCs w:val="18"/>
              </w:rPr>
              <w:t>是否构成重大危险源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2" w:type="dxa"/>
            <w:tcBorders>
              <w:top w:val="single" w:color="auto" w:sz="4" w:space="0"/>
              <w:left w:val="single" w:color="auto" w:sz="4" w:space="0"/>
              <w:bottom w:val="single" w:color="auto" w:sz="4" w:space="0"/>
              <w:right w:val="single" w:color="auto" w:sz="4" w:space="0"/>
            </w:tcBorders>
            <w:noWrap w:val="0"/>
            <w:vAlign w:val="center"/>
          </w:tcPr>
          <w:p>
            <w:pPr>
              <w:pStyle w:val="198"/>
              <w:pageBreakBefore w:val="0"/>
              <w:widowControl/>
              <w:kinsoku/>
              <w:overflowPunct/>
              <w:topLinePunct w:val="0"/>
              <w:bidi w:val="0"/>
              <w:adjustRightInd w:val="0"/>
              <w:snapToGrid w:val="0"/>
              <w:spacing w:beforeAutospacing="0" w:afterAutospacing="0" w:line="360" w:lineRule="auto"/>
              <w:ind w:left="0" w:leftChars="0" w:right="0" w:rightChars="0"/>
              <w:rPr>
                <w:rFonts w:hint="eastAsia" w:hAnsi="宋体" w:cs="Aparajita"/>
                <w:color w:val="auto"/>
                <w:sz w:val="18"/>
                <w:szCs w:val="18"/>
              </w:rPr>
            </w:pPr>
            <w:r>
              <w:rPr>
                <w:rFonts w:hint="eastAsia" w:hAnsi="宋体" w:cs="Aparajita"/>
                <w:color w:val="auto"/>
                <w:sz w:val="18"/>
                <w:szCs w:val="18"/>
              </w:rPr>
              <w:t>汽油</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pStyle w:val="198"/>
              <w:pageBreakBefore w:val="0"/>
              <w:widowControl/>
              <w:kinsoku/>
              <w:overflowPunct/>
              <w:topLinePunct w:val="0"/>
              <w:bidi w:val="0"/>
              <w:adjustRightInd w:val="0"/>
              <w:snapToGrid w:val="0"/>
              <w:spacing w:beforeAutospacing="0" w:afterAutospacing="0" w:line="360" w:lineRule="auto"/>
              <w:ind w:left="0" w:leftChars="0" w:right="0" w:rightChars="0"/>
              <w:rPr>
                <w:rFonts w:hint="eastAsia" w:hAnsi="宋体" w:cs="Aparajita"/>
                <w:color w:val="auto"/>
                <w:sz w:val="18"/>
                <w:szCs w:val="18"/>
              </w:rPr>
            </w:pPr>
            <w:r>
              <w:rPr>
                <w:rFonts w:hAnsi="宋体"/>
                <w:color w:val="auto"/>
                <w:sz w:val="18"/>
                <w:szCs w:val="18"/>
              </w:rPr>
              <w:t>1</w:t>
            </w:r>
            <w:r>
              <w:rPr>
                <w:rFonts w:hint="eastAsia" w:hAnsi="宋体"/>
                <w:color w:val="auto"/>
                <w:sz w:val="18"/>
                <w:szCs w:val="18"/>
                <w:lang w:val="en-US" w:eastAsia="zh-CN"/>
              </w:rPr>
              <w:t>.</w:t>
            </w:r>
            <w:r>
              <w:rPr>
                <w:rFonts w:hAnsi="宋体"/>
                <w:color w:val="auto"/>
                <w:sz w:val="18"/>
                <w:szCs w:val="18"/>
              </w:rPr>
              <w:t>9625</w:t>
            </w:r>
            <w:r>
              <w:rPr>
                <w:rFonts w:hint="eastAsia" w:hAnsi="宋体" w:cs="Aparajita"/>
                <w:color w:val="auto"/>
                <w:sz w:val="18"/>
                <w:szCs w:val="18"/>
              </w:rPr>
              <w:t>m³</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198"/>
              <w:pageBreakBefore w:val="0"/>
              <w:widowControl/>
              <w:kinsoku/>
              <w:overflowPunct/>
              <w:topLinePunct w:val="0"/>
              <w:bidi w:val="0"/>
              <w:adjustRightInd w:val="0"/>
              <w:snapToGrid w:val="0"/>
              <w:spacing w:beforeAutospacing="0" w:afterAutospacing="0" w:line="360" w:lineRule="auto"/>
              <w:ind w:left="0" w:leftChars="0" w:right="0" w:rightChars="0"/>
              <w:rPr>
                <w:rFonts w:hint="eastAsia" w:hAnsi="宋体" w:cs="Aparajita"/>
                <w:color w:val="auto"/>
                <w:sz w:val="18"/>
                <w:szCs w:val="18"/>
              </w:rPr>
            </w:pPr>
            <w:r>
              <w:rPr>
                <w:rFonts w:hint="eastAsia" w:hAnsi="宋体" w:cs="Aparajita"/>
                <w:color w:val="auto"/>
                <w:sz w:val="18"/>
                <w:szCs w:val="18"/>
              </w:rPr>
              <w:t>200t</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pStyle w:val="198"/>
              <w:pageBreakBefore w:val="0"/>
              <w:widowControl/>
              <w:kinsoku/>
              <w:overflowPunct/>
              <w:topLinePunct w:val="0"/>
              <w:bidi w:val="0"/>
              <w:adjustRightInd w:val="0"/>
              <w:snapToGrid w:val="0"/>
              <w:spacing w:beforeAutospacing="0" w:afterAutospacing="0" w:line="360" w:lineRule="auto"/>
              <w:ind w:left="0" w:leftChars="0" w:right="0" w:rightChars="0"/>
              <w:rPr>
                <w:rFonts w:hint="eastAsia" w:hAnsi="宋体" w:cs="Aparajita"/>
                <w:color w:val="auto"/>
                <w:sz w:val="18"/>
                <w:szCs w:val="18"/>
              </w:rPr>
            </w:pPr>
            <w:r>
              <w:rPr>
                <w:rFonts w:hint="eastAsia" w:hAnsi="宋体" w:cs="Aparajita"/>
                <w:color w:val="auto"/>
                <w:sz w:val="18"/>
                <w:szCs w:val="18"/>
              </w:rPr>
              <w:t>加油机、管道</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198"/>
              <w:pageBreakBefore w:val="0"/>
              <w:widowControl/>
              <w:kinsoku/>
              <w:overflowPunct/>
              <w:topLinePunct w:val="0"/>
              <w:bidi w:val="0"/>
              <w:adjustRightInd w:val="0"/>
              <w:snapToGrid w:val="0"/>
              <w:spacing w:beforeAutospacing="0" w:afterAutospacing="0" w:line="360" w:lineRule="auto"/>
              <w:ind w:left="0" w:leftChars="0" w:right="0" w:rightChars="0"/>
              <w:rPr>
                <w:rFonts w:hint="eastAsia" w:hAnsi="宋体" w:cs="Aparajita"/>
                <w:color w:val="auto"/>
                <w:sz w:val="18"/>
                <w:szCs w:val="18"/>
              </w:rPr>
            </w:pPr>
            <w:r>
              <w:rPr>
                <w:rFonts w:hint="eastAsia" w:hAnsi="宋体" w:cs="Aparajita"/>
                <w:color w:val="auto"/>
                <w:sz w:val="18"/>
                <w:szCs w:val="18"/>
              </w:rPr>
              <w:t>加油区</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pStyle w:val="198"/>
              <w:pageBreakBefore w:val="0"/>
              <w:widowControl/>
              <w:kinsoku/>
              <w:overflowPunct/>
              <w:topLinePunct w:val="0"/>
              <w:bidi w:val="0"/>
              <w:adjustRightInd w:val="0"/>
              <w:snapToGrid w:val="0"/>
              <w:spacing w:beforeAutospacing="0" w:afterAutospacing="0" w:line="360" w:lineRule="auto"/>
              <w:ind w:left="0" w:leftChars="0" w:right="0" w:rightChars="0"/>
              <w:rPr>
                <w:rFonts w:hint="eastAsia" w:hAnsi="宋体" w:cs="Aparajita"/>
                <w:color w:val="auto"/>
                <w:sz w:val="18"/>
                <w:szCs w:val="18"/>
              </w:rPr>
            </w:pPr>
            <w:r>
              <w:rPr>
                <w:rFonts w:hint="eastAsia" w:hAnsi="宋体" w:cs="Aparajita"/>
                <w:color w:val="auto"/>
                <w:sz w:val="18"/>
                <w:szCs w:val="18"/>
              </w:rPr>
              <w:t>汽油密度取值0.</w:t>
            </w:r>
            <w:r>
              <w:rPr>
                <w:rFonts w:hAnsi="宋体" w:cs="Aparajita"/>
                <w:color w:val="auto"/>
                <w:sz w:val="18"/>
                <w:szCs w:val="18"/>
              </w:rPr>
              <w:t>7</w:t>
            </w:r>
            <w:r>
              <w:rPr>
                <w:rFonts w:hint="eastAsia" w:hAnsi="宋体" w:cs="Aparajita"/>
                <w:color w:val="auto"/>
                <w:sz w:val="18"/>
                <w:szCs w:val="18"/>
              </w:rPr>
              <w:t>7</w:t>
            </w:r>
            <w:r>
              <w:rPr>
                <w:rFonts w:hAnsi="宋体" w:cs="Aparajita"/>
                <w:color w:val="auto"/>
                <w:sz w:val="18"/>
                <w:szCs w:val="18"/>
              </w:rPr>
              <w:t>5</w:t>
            </w:r>
            <w:r>
              <w:rPr>
                <w:rFonts w:hint="eastAsia" w:hAnsi="宋体" w:cs="Aparajita"/>
                <w:color w:val="auto"/>
                <w:sz w:val="18"/>
                <w:szCs w:val="18"/>
              </w:rPr>
              <w:t xml:space="preserve"> </w:t>
            </w:r>
          </w:p>
        </w:tc>
        <w:tc>
          <w:tcPr>
            <w:tcW w:w="2085" w:type="dxa"/>
            <w:vMerge w:val="restart"/>
            <w:tcBorders>
              <w:top w:val="single" w:color="auto" w:sz="4" w:space="0"/>
              <w:left w:val="single" w:color="auto" w:sz="4" w:space="0"/>
              <w:right w:val="single" w:color="auto" w:sz="4" w:space="0"/>
            </w:tcBorders>
            <w:noWrap w:val="0"/>
            <w:vAlign w:val="center"/>
          </w:tcPr>
          <w:p>
            <w:pPr>
              <w:pStyle w:val="198"/>
              <w:pageBreakBefore w:val="0"/>
              <w:widowControl/>
              <w:kinsoku/>
              <w:overflowPunct/>
              <w:topLinePunct w:val="0"/>
              <w:bidi w:val="0"/>
              <w:adjustRightInd w:val="0"/>
              <w:snapToGrid w:val="0"/>
              <w:spacing w:beforeAutospacing="0" w:afterAutospacing="0" w:line="360" w:lineRule="auto"/>
              <w:ind w:left="0" w:leftChars="0" w:right="0" w:rightChars="0"/>
              <w:rPr>
                <w:rFonts w:hint="eastAsia" w:hAnsi="宋体" w:cs="Aparajita"/>
                <w:color w:val="auto"/>
                <w:sz w:val="18"/>
                <w:szCs w:val="18"/>
              </w:rPr>
            </w:pPr>
            <w:r>
              <w:rPr>
                <w:rFonts w:hAnsi="宋体" w:cs="Aparajita"/>
                <w:color w:val="auto"/>
                <w:sz w:val="18"/>
                <w:szCs w:val="18"/>
              </w:rPr>
              <w:t>1</w:t>
            </w:r>
            <w:r>
              <w:rPr>
                <w:rFonts w:hint="eastAsia" w:hAnsi="宋体" w:cs="Aparajita"/>
                <w:color w:val="auto"/>
                <w:sz w:val="18"/>
                <w:szCs w:val="18"/>
                <w:lang w:val="en-US" w:eastAsia="zh-CN"/>
              </w:rPr>
              <w:t>.</w:t>
            </w:r>
            <w:r>
              <w:rPr>
                <w:rFonts w:hAnsi="宋体" w:cs="Aparajita"/>
                <w:color w:val="auto"/>
                <w:sz w:val="18"/>
                <w:szCs w:val="18"/>
              </w:rPr>
              <w:t>9625</w:t>
            </w:r>
            <w:r>
              <w:rPr>
                <w:rFonts w:hint="eastAsia" w:hAnsi="宋体" w:cs="Aparajita"/>
                <w:color w:val="auto"/>
                <w:sz w:val="18"/>
                <w:szCs w:val="18"/>
              </w:rPr>
              <w:t>*0.</w:t>
            </w:r>
            <w:r>
              <w:rPr>
                <w:rFonts w:hAnsi="宋体" w:cs="Aparajita"/>
                <w:color w:val="auto"/>
                <w:sz w:val="18"/>
                <w:szCs w:val="18"/>
              </w:rPr>
              <w:t>7</w:t>
            </w:r>
            <w:r>
              <w:rPr>
                <w:rFonts w:hint="eastAsia" w:hAnsi="宋体" w:cs="Aparajita"/>
                <w:color w:val="auto"/>
                <w:sz w:val="18"/>
                <w:szCs w:val="18"/>
              </w:rPr>
              <w:t>7</w:t>
            </w:r>
            <w:r>
              <w:rPr>
                <w:rFonts w:hAnsi="宋体" w:cs="Aparajita"/>
                <w:color w:val="auto"/>
                <w:sz w:val="18"/>
                <w:szCs w:val="18"/>
              </w:rPr>
              <w:t>5</w:t>
            </w:r>
            <w:r>
              <w:rPr>
                <w:rFonts w:hint="eastAsia" w:hAnsi="宋体" w:cs="Aparajita"/>
                <w:color w:val="auto"/>
                <w:sz w:val="18"/>
                <w:szCs w:val="18"/>
              </w:rPr>
              <w:t>/200+0.</w:t>
            </w:r>
            <w:r>
              <w:rPr>
                <w:rFonts w:hint="eastAsia" w:hAnsi="宋体" w:cs="Aparajita"/>
                <w:color w:val="auto"/>
                <w:sz w:val="18"/>
                <w:szCs w:val="18"/>
                <w:lang w:val="en-US" w:eastAsia="zh-CN"/>
              </w:rPr>
              <w:t>3925</w:t>
            </w:r>
            <w:r>
              <w:rPr>
                <w:rFonts w:hint="eastAsia" w:hAnsi="宋体" w:cs="Aparajita"/>
                <w:color w:val="auto"/>
                <w:sz w:val="18"/>
                <w:szCs w:val="18"/>
              </w:rPr>
              <w:t>*0.8</w:t>
            </w:r>
            <w:r>
              <w:rPr>
                <w:rFonts w:hAnsi="宋体" w:cs="Aparajita"/>
                <w:color w:val="auto"/>
                <w:sz w:val="18"/>
                <w:szCs w:val="18"/>
              </w:rPr>
              <w:t>45</w:t>
            </w:r>
            <w:r>
              <w:rPr>
                <w:rFonts w:hint="eastAsia" w:hAnsi="宋体" w:cs="Aparajita"/>
                <w:color w:val="auto"/>
                <w:sz w:val="18"/>
                <w:szCs w:val="18"/>
              </w:rPr>
              <w:t>/5000＜1，故生产单元不构成危险化学品重大危险源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2" w:type="dxa"/>
            <w:tcBorders>
              <w:top w:val="single" w:color="auto" w:sz="4" w:space="0"/>
              <w:left w:val="single" w:color="auto" w:sz="4" w:space="0"/>
              <w:bottom w:val="single" w:color="auto" w:sz="4" w:space="0"/>
              <w:right w:val="single" w:color="auto" w:sz="4" w:space="0"/>
            </w:tcBorders>
            <w:noWrap w:val="0"/>
            <w:vAlign w:val="center"/>
          </w:tcPr>
          <w:p>
            <w:pPr>
              <w:pStyle w:val="198"/>
              <w:pageBreakBefore w:val="0"/>
              <w:widowControl/>
              <w:kinsoku/>
              <w:overflowPunct/>
              <w:topLinePunct w:val="0"/>
              <w:bidi w:val="0"/>
              <w:adjustRightInd w:val="0"/>
              <w:snapToGrid w:val="0"/>
              <w:spacing w:beforeAutospacing="0" w:afterAutospacing="0" w:line="360" w:lineRule="auto"/>
              <w:ind w:left="0" w:leftChars="0" w:right="0" w:rightChars="0"/>
              <w:rPr>
                <w:rFonts w:hint="eastAsia" w:hAnsi="宋体" w:cs="Aparajita"/>
                <w:color w:val="auto"/>
                <w:sz w:val="18"/>
                <w:szCs w:val="18"/>
              </w:rPr>
            </w:pPr>
            <w:r>
              <w:rPr>
                <w:rFonts w:hint="eastAsia" w:hAnsi="宋体" w:cs="Aparajita"/>
                <w:color w:val="auto"/>
                <w:sz w:val="18"/>
                <w:szCs w:val="18"/>
              </w:rPr>
              <w:t>柴油</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pStyle w:val="198"/>
              <w:pageBreakBefore w:val="0"/>
              <w:widowControl/>
              <w:kinsoku/>
              <w:overflowPunct/>
              <w:topLinePunct w:val="0"/>
              <w:bidi w:val="0"/>
              <w:adjustRightInd w:val="0"/>
              <w:snapToGrid w:val="0"/>
              <w:spacing w:beforeAutospacing="0" w:afterAutospacing="0" w:line="360" w:lineRule="auto"/>
              <w:ind w:left="0" w:leftChars="0" w:right="0" w:rightChars="0"/>
              <w:rPr>
                <w:rFonts w:hint="eastAsia" w:hAnsi="宋体" w:cs="Aparajita"/>
                <w:color w:val="auto"/>
                <w:sz w:val="18"/>
                <w:szCs w:val="18"/>
              </w:rPr>
            </w:pPr>
            <w:r>
              <w:rPr>
                <w:rFonts w:hint="eastAsia" w:hAnsi="宋体" w:cs="Aparajita"/>
                <w:color w:val="auto"/>
                <w:sz w:val="18"/>
                <w:szCs w:val="18"/>
              </w:rPr>
              <w:t>0.</w:t>
            </w:r>
            <w:r>
              <w:rPr>
                <w:rFonts w:hint="eastAsia" w:hAnsi="宋体" w:cs="Aparajita"/>
                <w:color w:val="auto"/>
                <w:sz w:val="18"/>
                <w:szCs w:val="18"/>
                <w:lang w:val="en-US" w:eastAsia="zh-CN"/>
              </w:rPr>
              <w:t>3925</w:t>
            </w:r>
            <w:r>
              <w:rPr>
                <w:rFonts w:hint="eastAsia" w:hAnsi="宋体" w:cs="Aparajita"/>
                <w:color w:val="auto"/>
                <w:sz w:val="18"/>
                <w:szCs w:val="18"/>
              </w:rPr>
              <w:t>m³</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198"/>
              <w:pageBreakBefore w:val="0"/>
              <w:widowControl/>
              <w:kinsoku/>
              <w:overflowPunct/>
              <w:topLinePunct w:val="0"/>
              <w:bidi w:val="0"/>
              <w:adjustRightInd w:val="0"/>
              <w:snapToGrid w:val="0"/>
              <w:spacing w:beforeAutospacing="0" w:afterAutospacing="0" w:line="360" w:lineRule="auto"/>
              <w:ind w:left="0" w:leftChars="0" w:right="0" w:rightChars="0"/>
              <w:rPr>
                <w:rFonts w:hint="eastAsia" w:hAnsi="宋体" w:cs="Aparajita"/>
                <w:color w:val="auto"/>
                <w:sz w:val="18"/>
                <w:szCs w:val="18"/>
              </w:rPr>
            </w:pPr>
            <w:r>
              <w:rPr>
                <w:rFonts w:hint="eastAsia" w:hAnsi="宋体" w:cs="Aparajita"/>
                <w:color w:val="auto"/>
                <w:sz w:val="18"/>
                <w:szCs w:val="18"/>
              </w:rPr>
              <w:t>5000t</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pStyle w:val="198"/>
              <w:pageBreakBefore w:val="0"/>
              <w:widowControl/>
              <w:kinsoku/>
              <w:overflowPunct/>
              <w:topLinePunct w:val="0"/>
              <w:bidi w:val="0"/>
              <w:adjustRightInd w:val="0"/>
              <w:snapToGrid w:val="0"/>
              <w:spacing w:beforeAutospacing="0" w:afterAutospacing="0" w:line="360" w:lineRule="auto"/>
              <w:ind w:left="0" w:leftChars="0" w:right="0" w:rightChars="0"/>
              <w:rPr>
                <w:rFonts w:hint="eastAsia" w:hAnsi="宋体" w:cs="Aparajita"/>
                <w:color w:val="auto"/>
                <w:sz w:val="18"/>
                <w:szCs w:val="18"/>
              </w:rPr>
            </w:pPr>
            <w:r>
              <w:rPr>
                <w:rFonts w:hint="eastAsia" w:hAnsi="宋体" w:cs="Aparajita"/>
                <w:color w:val="auto"/>
                <w:sz w:val="18"/>
                <w:szCs w:val="18"/>
              </w:rPr>
              <w:t>加油机、管道</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198"/>
              <w:pageBreakBefore w:val="0"/>
              <w:widowControl/>
              <w:kinsoku/>
              <w:overflowPunct/>
              <w:topLinePunct w:val="0"/>
              <w:bidi w:val="0"/>
              <w:adjustRightInd w:val="0"/>
              <w:snapToGrid w:val="0"/>
              <w:spacing w:beforeAutospacing="0" w:afterAutospacing="0" w:line="360" w:lineRule="auto"/>
              <w:ind w:left="0" w:leftChars="0" w:right="0" w:rightChars="0"/>
              <w:rPr>
                <w:rFonts w:hint="eastAsia" w:hAnsi="宋体" w:cs="Aparajita"/>
                <w:color w:val="auto"/>
                <w:sz w:val="18"/>
                <w:szCs w:val="18"/>
              </w:rPr>
            </w:pPr>
            <w:r>
              <w:rPr>
                <w:rFonts w:hint="eastAsia" w:hAnsi="宋体" w:cs="Aparajita"/>
                <w:color w:val="auto"/>
                <w:sz w:val="18"/>
                <w:szCs w:val="18"/>
              </w:rPr>
              <w:t>加油区</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pStyle w:val="198"/>
              <w:pageBreakBefore w:val="0"/>
              <w:widowControl/>
              <w:kinsoku/>
              <w:overflowPunct/>
              <w:topLinePunct w:val="0"/>
              <w:bidi w:val="0"/>
              <w:adjustRightInd w:val="0"/>
              <w:snapToGrid w:val="0"/>
              <w:spacing w:beforeAutospacing="0" w:afterAutospacing="0" w:line="360" w:lineRule="auto"/>
              <w:ind w:left="0" w:leftChars="0" w:right="0" w:rightChars="0"/>
              <w:rPr>
                <w:rFonts w:hint="eastAsia" w:hAnsi="宋体" w:cs="Aparajita"/>
                <w:color w:val="auto"/>
                <w:sz w:val="18"/>
                <w:szCs w:val="18"/>
              </w:rPr>
            </w:pPr>
            <w:r>
              <w:rPr>
                <w:rFonts w:hint="eastAsia" w:hAnsi="宋体" w:cs="Aparajita"/>
                <w:color w:val="auto"/>
                <w:sz w:val="18"/>
                <w:szCs w:val="18"/>
              </w:rPr>
              <w:t>柴油密度取值0.8</w:t>
            </w:r>
            <w:r>
              <w:rPr>
                <w:rFonts w:hAnsi="宋体" w:cs="Aparajita"/>
                <w:color w:val="auto"/>
                <w:sz w:val="18"/>
                <w:szCs w:val="18"/>
              </w:rPr>
              <w:t>45</w:t>
            </w:r>
          </w:p>
        </w:tc>
        <w:tc>
          <w:tcPr>
            <w:tcW w:w="2085" w:type="dxa"/>
            <w:vMerge w:val="continue"/>
            <w:tcBorders>
              <w:left w:val="single" w:color="auto" w:sz="4" w:space="0"/>
              <w:right w:val="single" w:color="auto" w:sz="4" w:space="0"/>
            </w:tcBorders>
            <w:noWrap w:val="0"/>
            <w:vAlign w:val="center"/>
          </w:tcPr>
          <w:p>
            <w:pPr>
              <w:pStyle w:val="198"/>
              <w:pageBreakBefore w:val="0"/>
              <w:widowControl/>
              <w:kinsoku/>
              <w:overflowPunct/>
              <w:topLinePunct w:val="0"/>
              <w:bidi w:val="0"/>
              <w:adjustRightInd w:val="0"/>
              <w:snapToGrid w:val="0"/>
              <w:spacing w:beforeAutospacing="0" w:afterAutospacing="0" w:line="360" w:lineRule="auto"/>
              <w:ind w:left="0" w:leftChars="0" w:right="0" w:rightChars="0"/>
              <w:rPr>
                <w:rFonts w:hAnsi="宋体" w:cs="Aparajita"/>
                <w:color w:val="auto"/>
                <w:sz w:val="18"/>
                <w:szCs w:val="18"/>
              </w:rPr>
            </w:pPr>
          </w:p>
        </w:tc>
      </w:tr>
    </w:tbl>
    <w:p>
      <w:pPr>
        <w:pageBreakBefore w:val="0"/>
        <w:kinsoku/>
        <w:wordWrap/>
        <w:overflowPunct/>
        <w:topLinePunct w:val="0"/>
        <w:bidi w:val="0"/>
        <w:adjustRightInd w:val="0"/>
        <w:snapToGrid w:val="0"/>
        <w:spacing w:line="360" w:lineRule="auto"/>
        <w:ind w:left="0" w:leftChars="0" w:right="0" w:firstLine="420" w:firstLineChars="200"/>
        <w:textAlignment w:val="auto"/>
        <w:rPr>
          <w:rFonts w:ascii="宋体" w:hAnsi="宋体"/>
          <w:color w:val="auto"/>
          <w:szCs w:val="21"/>
        </w:rPr>
      </w:pPr>
      <w:r>
        <w:rPr>
          <w:rFonts w:hint="eastAsia" w:ascii="宋体" w:hAnsi="宋体"/>
          <w:color w:val="auto"/>
          <w:szCs w:val="21"/>
        </w:rPr>
        <w:t>注：按输油管线汽油每根</w:t>
      </w:r>
      <w:r>
        <w:rPr>
          <w:rFonts w:ascii="宋体" w:hAnsi="宋体"/>
          <w:color w:val="auto"/>
          <w:szCs w:val="21"/>
        </w:rPr>
        <w:t>5</w:t>
      </w:r>
      <w:r>
        <w:rPr>
          <w:rFonts w:hint="eastAsia" w:ascii="宋体" w:hAnsi="宋体"/>
          <w:color w:val="auto"/>
          <w:szCs w:val="21"/>
        </w:rPr>
        <w:t>0</w:t>
      </w:r>
      <w:r>
        <w:rPr>
          <w:rFonts w:ascii="宋体" w:hAnsi="宋体"/>
          <w:color w:val="auto"/>
          <w:szCs w:val="21"/>
        </w:rPr>
        <w:t>m</w:t>
      </w:r>
      <w:r>
        <w:rPr>
          <w:rFonts w:hint="eastAsia" w:ascii="宋体" w:hAnsi="宋体"/>
          <w:color w:val="auto"/>
          <w:szCs w:val="21"/>
        </w:rPr>
        <w:t>，柴油每根</w:t>
      </w:r>
      <w:r>
        <w:rPr>
          <w:rFonts w:ascii="宋体" w:hAnsi="宋体"/>
          <w:color w:val="auto"/>
          <w:szCs w:val="21"/>
        </w:rPr>
        <w:t>50m</w:t>
      </w:r>
      <w:r>
        <w:rPr>
          <w:rFonts w:hint="eastAsia" w:ascii="宋体" w:hAnsi="宋体"/>
          <w:color w:val="auto"/>
          <w:szCs w:val="21"/>
        </w:rPr>
        <w:t>，D</w:t>
      </w:r>
      <w:r>
        <w:rPr>
          <w:rFonts w:ascii="宋体" w:hAnsi="宋体"/>
          <w:color w:val="auto"/>
          <w:szCs w:val="21"/>
        </w:rPr>
        <w:t>N</w:t>
      </w:r>
      <w:r>
        <w:rPr>
          <w:rFonts w:hint="eastAsia" w:ascii="宋体" w:hAnsi="宋体"/>
          <w:color w:val="auto"/>
          <w:szCs w:val="21"/>
        </w:rPr>
        <w:t>50计算，生产单元汽油数量为</w:t>
      </w:r>
      <w:r>
        <w:rPr>
          <w:rFonts w:ascii="宋体" w:hAnsi="宋体"/>
          <w:color w:val="auto"/>
          <w:szCs w:val="21"/>
        </w:rPr>
        <w:t>5</w:t>
      </w:r>
      <w:r>
        <w:rPr>
          <w:rFonts w:hint="eastAsia" w:ascii="宋体" w:hAnsi="宋体"/>
          <w:color w:val="auto"/>
          <w:szCs w:val="21"/>
        </w:rPr>
        <w:t>0×</w:t>
      </w:r>
      <w:r>
        <w:rPr>
          <w:rFonts w:ascii="宋体" w:hAnsi="宋体"/>
          <w:color w:val="auto"/>
          <w:szCs w:val="21"/>
        </w:rPr>
        <w:t>2</w:t>
      </w:r>
      <w:r>
        <w:rPr>
          <w:rFonts w:hint="eastAsia" w:ascii="宋体" w:hAnsi="宋体"/>
          <w:color w:val="auto"/>
          <w:szCs w:val="21"/>
          <w:lang w:val="en-US" w:eastAsia="zh-CN"/>
        </w:rPr>
        <w:t>0</w:t>
      </w:r>
      <w:r>
        <w:rPr>
          <w:rFonts w:hint="eastAsia" w:ascii="宋体" w:hAnsi="宋体"/>
          <w:color w:val="auto"/>
          <w:szCs w:val="21"/>
        </w:rPr>
        <w:t>×3.14×0.025×0.025=</w:t>
      </w:r>
      <w:r>
        <w:rPr>
          <w:rFonts w:ascii="宋体" w:hAnsi="宋体"/>
          <w:color w:val="auto"/>
          <w:szCs w:val="21"/>
        </w:rPr>
        <w:t>1</w:t>
      </w:r>
      <w:r>
        <w:rPr>
          <w:rFonts w:hint="eastAsia" w:ascii="宋体" w:hAnsi="宋体"/>
          <w:color w:val="auto"/>
          <w:szCs w:val="21"/>
          <w:lang w:val="en-US" w:eastAsia="zh-CN"/>
        </w:rPr>
        <w:t>.</w:t>
      </w:r>
      <w:r>
        <w:rPr>
          <w:rFonts w:ascii="宋体" w:hAnsi="宋体"/>
          <w:color w:val="auto"/>
          <w:szCs w:val="21"/>
        </w:rPr>
        <w:t>9625</w:t>
      </w:r>
      <w:r>
        <w:rPr>
          <w:rFonts w:hint="eastAsia" w:ascii="宋体" w:hAnsi="宋体"/>
          <w:color w:val="auto"/>
          <w:szCs w:val="21"/>
        </w:rPr>
        <w:t>m³；生产单元柴油数量为</w:t>
      </w:r>
      <w:r>
        <w:rPr>
          <w:rFonts w:ascii="宋体" w:hAnsi="宋体"/>
          <w:color w:val="auto"/>
          <w:szCs w:val="21"/>
        </w:rPr>
        <w:t>5</w:t>
      </w:r>
      <w:r>
        <w:rPr>
          <w:rFonts w:hint="eastAsia" w:ascii="宋体" w:hAnsi="宋体"/>
          <w:color w:val="auto"/>
          <w:szCs w:val="21"/>
        </w:rPr>
        <w:t>0×</w:t>
      </w:r>
      <w:r>
        <w:rPr>
          <w:rFonts w:hint="eastAsia" w:ascii="宋体" w:hAnsi="宋体"/>
          <w:color w:val="auto"/>
          <w:szCs w:val="21"/>
          <w:lang w:val="en-US" w:eastAsia="zh-CN"/>
        </w:rPr>
        <w:t>4</w:t>
      </w:r>
      <w:r>
        <w:rPr>
          <w:rFonts w:hint="eastAsia" w:ascii="宋体" w:hAnsi="宋体"/>
          <w:color w:val="auto"/>
          <w:szCs w:val="21"/>
        </w:rPr>
        <w:t>×3.14×0.025×0.025=0.</w:t>
      </w:r>
      <w:r>
        <w:rPr>
          <w:rFonts w:hint="eastAsia" w:ascii="宋体" w:hAnsi="宋体"/>
          <w:color w:val="auto"/>
          <w:szCs w:val="21"/>
          <w:lang w:val="en-US" w:eastAsia="zh-CN"/>
        </w:rPr>
        <w:t>3925</w:t>
      </w:r>
      <w:r>
        <w:rPr>
          <w:rFonts w:hint="eastAsia" w:ascii="宋体" w:hAnsi="宋体"/>
          <w:color w:val="auto"/>
          <w:szCs w:val="21"/>
        </w:rPr>
        <w:t>m³。</w:t>
      </w:r>
    </w:p>
    <w:p>
      <w:pPr>
        <w:pageBreakBefore w:val="0"/>
        <w:kinsoku/>
        <w:wordWrap/>
        <w:overflowPunct/>
        <w:topLinePunct w:val="0"/>
        <w:bidi w:val="0"/>
        <w:adjustRightInd w:val="0"/>
        <w:snapToGrid w:val="0"/>
        <w:spacing w:line="360" w:lineRule="auto"/>
        <w:ind w:left="0" w:leftChars="0" w:right="0" w:firstLine="562" w:firstLineChars="200"/>
        <w:textAlignment w:val="auto"/>
        <w:rPr>
          <w:rFonts w:ascii="宋体" w:hAnsi="宋体"/>
          <w:b/>
          <w:bCs/>
          <w:color w:val="auto"/>
          <w:sz w:val="28"/>
        </w:rPr>
      </w:pPr>
      <w:r>
        <w:rPr>
          <w:rFonts w:ascii="宋体" w:hAnsi="宋体"/>
          <w:b/>
          <w:bCs/>
          <w:color w:val="auto"/>
          <w:sz w:val="28"/>
        </w:rPr>
        <w:t>故</w:t>
      </w:r>
      <w:r>
        <w:rPr>
          <w:rFonts w:hint="eastAsia" w:ascii="宋体" w:hAnsi="宋体"/>
          <w:b/>
          <w:bCs/>
          <w:color w:val="auto"/>
          <w:sz w:val="28"/>
          <w:lang w:eastAsia="zh-CN"/>
        </w:rPr>
        <w:t>南部县南兴加油站</w:t>
      </w:r>
      <w:r>
        <w:rPr>
          <w:rFonts w:hint="eastAsia" w:ascii="宋体" w:hAnsi="宋体"/>
          <w:b/>
          <w:bCs/>
          <w:color w:val="auto"/>
          <w:sz w:val="28"/>
        </w:rPr>
        <w:t>生产单元和储存单元均</w:t>
      </w:r>
      <w:r>
        <w:rPr>
          <w:rFonts w:ascii="宋体" w:hAnsi="宋体"/>
          <w:b/>
          <w:bCs/>
          <w:color w:val="auto"/>
          <w:sz w:val="28"/>
        </w:rPr>
        <w:t>不构成危险化学品重大危险源。</w:t>
      </w:r>
    </w:p>
    <w:p>
      <w:pPr>
        <w:pageBreakBefore w:val="0"/>
        <w:kinsoku/>
        <w:wordWrap/>
        <w:overflowPunct/>
        <w:topLinePunct w:val="0"/>
        <w:bidi w:val="0"/>
        <w:snapToGrid w:val="0"/>
        <w:spacing w:line="360" w:lineRule="auto"/>
        <w:ind w:left="0" w:leftChars="0" w:right="0" w:firstLine="562" w:firstLineChars="200"/>
        <w:textAlignment w:val="auto"/>
        <w:rPr>
          <w:rFonts w:hint="eastAsia" w:ascii="宋体" w:hAnsi="宋体" w:eastAsia="宋体" w:cs="宋体"/>
          <w:b/>
          <w:bCs/>
          <w:color w:val="auto"/>
          <w:sz w:val="28"/>
          <w:szCs w:val="28"/>
        </w:rPr>
      </w:pP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eastAsia="宋体" w:cs="宋体"/>
          <w:bCs/>
          <w:color w:val="auto"/>
          <w:sz w:val="28"/>
          <w:szCs w:val="28"/>
        </w:rPr>
        <w:sectPr>
          <w:headerReference r:id="rId4" w:type="default"/>
          <w:footerReference r:id="rId5" w:type="default"/>
          <w:pgSz w:w="11906" w:h="16838"/>
          <w:pgMar w:top="1417" w:right="1417" w:bottom="1417" w:left="1417" w:header="851" w:footer="992" w:gutter="0"/>
          <w:pgNumType w:start="1"/>
          <w:cols w:space="720" w:num="1"/>
          <w:docGrid w:type="lines" w:linePitch="312" w:charSpace="0"/>
        </w:sectPr>
      </w:pPr>
    </w:p>
    <w:p>
      <w:pPr>
        <w:pStyle w:val="4"/>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lang w:val="en-US" w:eastAsia="zh-CN"/>
        </w:rPr>
      </w:pPr>
      <w:bookmarkStart w:id="129" w:name="_Toc14231"/>
      <w:bookmarkStart w:id="130" w:name="_Toc17040"/>
      <w:r>
        <w:rPr>
          <w:rFonts w:hint="eastAsia" w:ascii="宋体" w:hAnsi="宋体" w:eastAsia="宋体" w:cs="宋体"/>
          <w:color w:val="auto"/>
          <w:lang w:val="en-US" w:eastAsia="zh-CN"/>
        </w:rPr>
        <w:t>2 事故风险分析</w:t>
      </w:r>
      <w:bookmarkEnd w:id="129"/>
      <w:bookmarkEnd w:id="130"/>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加油站危险区域为油罐区、</w:t>
      </w:r>
      <w:r>
        <w:rPr>
          <w:rFonts w:hint="eastAsia" w:ascii="宋体" w:hAnsi="宋体" w:eastAsia="宋体" w:cs="宋体"/>
          <w:color w:val="auto"/>
          <w:sz w:val="28"/>
          <w:szCs w:val="28"/>
        </w:rPr>
        <w:t>卸油点、</w:t>
      </w:r>
      <w:r>
        <w:rPr>
          <w:rFonts w:hint="eastAsia" w:ascii="宋体" w:hAnsi="宋体" w:eastAsia="宋体" w:cs="宋体"/>
          <w:bCs/>
          <w:color w:val="auto"/>
          <w:sz w:val="28"/>
          <w:szCs w:val="28"/>
        </w:rPr>
        <w:t>加油区、</w:t>
      </w:r>
      <w:r>
        <w:rPr>
          <w:rFonts w:hint="eastAsia" w:ascii="宋体" w:hAnsi="宋体" w:eastAsia="宋体" w:cs="宋体"/>
          <w:color w:val="auto"/>
          <w:sz w:val="28"/>
          <w:szCs w:val="28"/>
        </w:rPr>
        <w:t>配电室</w:t>
      </w:r>
      <w:r>
        <w:rPr>
          <w:rFonts w:hint="eastAsia" w:ascii="宋体" w:hAnsi="宋体" w:eastAsia="宋体" w:cs="宋体"/>
          <w:bCs/>
          <w:color w:val="auto"/>
          <w:sz w:val="28"/>
          <w:szCs w:val="28"/>
        </w:rPr>
        <w:t>，危险生产过程为卸油、加油和计量操作</w:t>
      </w:r>
      <w:r>
        <w:rPr>
          <w:rFonts w:hint="eastAsia" w:ascii="宋体" w:hAnsi="宋体" w:eastAsia="宋体" w:cs="宋体"/>
          <w:color w:val="auto"/>
          <w:sz w:val="28"/>
          <w:szCs w:val="28"/>
        </w:rPr>
        <w:t>，</w:t>
      </w:r>
      <w:r>
        <w:rPr>
          <w:rFonts w:hint="eastAsia" w:ascii="宋体" w:hAnsi="宋体" w:eastAsia="宋体" w:cs="宋体"/>
          <w:bCs/>
          <w:color w:val="auto"/>
          <w:sz w:val="28"/>
          <w:szCs w:val="28"/>
        </w:rPr>
        <w:t>存在火灾、爆炸、车辆伤害等事故风险。详见</w:t>
      </w:r>
      <w:r>
        <w:rPr>
          <w:rFonts w:hint="eastAsia" w:ascii="宋体" w:hAnsi="宋体" w:eastAsia="宋体" w:cs="宋体"/>
          <w:bCs/>
          <w:color w:val="auto"/>
          <w:sz w:val="28"/>
          <w:szCs w:val="28"/>
          <w:lang w:eastAsia="zh-CN"/>
        </w:rPr>
        <w:t>下表</w:t>
      </w:r>
      <w:r>
        <w:rPr>
          <w:rFonts w:hint="eastAsia" w:ascii="宋体" w:hAnsi="宋体" w:eastAsia="宋体" w:cs="宋体"/>
          <w:bCs/>
          <w:color w:val="auto"/>
          <w:sz w:val="28"/>
          <w:szCs w:val="28"/>
        </w:rPr>
        <w:t>。</w:t>
      </w:r>
    </w:p>
    <w:tbl>
      <w:tblPr>
        <w:tblStyle w:val="50"/>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440"/>
        <w:gridCol w:w="2592"/>
        <w:gridCol w:w="735"/>
        <w:gridCol w:w="916"/>
        <w:gridCol w:w="684"/>
        <w:gridCol w:w="1949"/>
        <w:gridCol w:w="1038"/>
        <w:gridCol w:w="93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5000" w:type="pct"/>
            <w:gridSpan w:val="8"/>
            <w:tcBorders>
              <w:top w:val="single" w:color="000000" w:sz="12" w:space="0"/>
            </w:tcBorders>
            <w:vAlign w:val="center"/>
          </w:tcPr>
          <w:p>
            <w:pPr>
              <w:pageBreakBefore w:val="0"/>
              <w:kinsoku/>
              <w:wordWrap/>
              <w:overflowPunct/>
              <w:topLinePunct w:val="0"/>
              <w:bidi w:val="0"/>
              <w:snapToGrid w:val="0"/>
              <w:spacing w:line="360" w:lineRule="auto"/>
              <w:ind w:left="0" w:leftChars="0" w:right="0"/>
              <w:jc w:val="center"/>
              <w:textAlignment w:val="auto"/>
              <w:rPr>
                <w:rFonts w:hint="eastAsia" w:ascii="宋体" w:eastAsia="宋体" w:cs="宋体"/>
                <w:b/>
                <w:bCs/>
                <w:color w:val="auto"/>
                <w:lang w:eastAsia="zh-CN"/>
              </w:rPr>
            </w:pPr>
            <w:r>
              <w:rPr>
                <w:rFonts w:hint="eastAsia" w:ascii="宋体" w:hAnsi="宋体" w:cs="宋体"/>
                <w:b/>
                <w:bCs/>
                <w:color w:val="auto"/>
                <w:lang w:eastAsia="zh-CN"/>
              </w:rPr>
              <w:t>事故</w:t>
            </w:r>
            <w:r>
              <w:rPr>
                <w:rFonts w:hint="eastAsia" w:ascii="宋体" w:hAnsi="宋体" w:cs="宋体"/>
                <w:b/>
                <w:bCs/>
                <w:color w:val="auto"/>
              </w:rPr>
              <w:t>风险</w:t>
            </w:r>
            <w:r>
              <w:rPr>
                <w:rFonts w:hint="eastAsia" w:ascii="宋体" w:hAnsi="宋体" w:cs="宋体"/>
                <w:b/>
                <w:bCs/>
                <w:color w:val="auto"/>
                <w:lang w:eastAsia="zh-CN"/>
              </w:rPr>
              <w:t>分级表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236"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b/>
                <w:bCs/>
                <w:color w:val="auto"/>
              </w:rPr>
            </w:pPr>
            <w:r>
              <w:rPr>
                <w:rFonts w:hint="eastAsia" w:ascii="宋体" w:hAnsi="宋体" w:cs="宋体"/>
                <w:b/>
                <w:bCs/>
                <w:color w:val="auto"/>
              </w:rPr>
              <w:t>序号</w:t>
            </w:r>
          </w:p>
        </w:tc>
        <w:tc>
          <w:tcPr>
            <w:tcW w:w="1396"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b/>
                <w:bCs/>
                <w:color w:val="auto"/>
              </w:rPr>
            </w:pPr>
            <w:r>
              <w:rPr>
                <w:rFonts w:hint="eastAsia" w:ascii="宋体" w:hAnsi="宋体" w:cs="宋体"/>
                <w:b/>
                <w:bCs/>
                <w:color w:val="auto"/>
              </w:rPr>
              <w:t>危害因素</w:t>
            </w:r>
          </w:p>
        </w:tc>
        <w:tc>
          <w:tcPr>
            <w:tcW w:w="396"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b/>
                <w:bCs/>
                <w:color w:val="auto"/>
              </w:rPr>
            </w:pPr>
            <w:r>
              <w:rPr>
                <w:rFonts w:hint="eastAsia" w:ascii="宋体" w:hAnsi="宋体" w:cs="宋体"/>
                <w:b/>
                <w:bCs/>
                <w:color w:val="auto"/>
              </w:rPr>
              <w:t>存在位置</w:t>
            </w:r>
          </w:p>
        </w:tc>
        <w:tc>
          <w:tcPr>
            <w:tcW w:w="493"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b/>
                <w:bCs/>
                <w:color w:val="auto"/>
              </w:rPr>
            </w:pPr>
            <w:r>
              <w:rPr>
                <w:rFonts w:hint="eastAsia" w:ascii="宋体" w:hAnsi="宋体" w:cs="宋体"/>
                <w:b/>
                <w:bCs/>
                <w:color w:val="auto"/>
              </w:rPr>
              <w:t>后果</w:t>
            </w:r>
          </w:p>
        </w:tc>
        <w:tc>
          <w:tcPr>
            <w:tcW w:w="368"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b/>
                <w:bCs/>
                <w:color w:val="auto"/>
              </w:rPr>
            </w:pPr>
            <w:r>
              <w:rPr>
                <w:rFonts w:hint="eastAsia" w:ascii="宋体" w:hAnsi="宋体" w:cs="宋体"/>
                <w:b/>
                <w:bCs/>
                <w:color w:val="auto"/>
              </w:rPr>
              <w:t>风险等级</w:t>
            </w:r>
          </w:p>
        </w:tc>
        <w:tc>
          <w:tcPr>
            <w:tcW w:w="1049"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b/>
                <w:bCs/>
                <w:color w:val="auto"/>
              </w:rPr>
            </w:pPr>
            <w:r>
              <w:rPr>
                <w:rFonts w:hint="eastAsia" w:ascii="宋体" w:hAnsi="宋体" w:cs="宋体"/>
                <w:b/>
                <w:bCs/>
                <w:color w:val="auto"/>
              </w:rPr>
              <w:t>管控措施</w:t>
            </w:r>
          </w:p>
        </w:tc>
        <w:tc>
          <w:tcPr>
            <w:tcW w:w="559"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b/>
                <w:bCs/>
                <w:color w:val="auto"/>
              </w:rPr>
            </w:pPr>
            <w:r>
              <w:rPr>
                <w:rFonts w:hint="eastAsia" w:ascii="宋体" w:hAnsi="宋体" w:cs="宋体"/>
                <w:b/>
                <w:bCs/>
                <w:color w:val="auto"/>
              </w:rPr>
              <w:t>管控责任单位（部门）</w:t>
            </w:r>
          </w:p>
        </w:tc>
        <w:tc>
          <w:tcPr>
            <w:tcW w:w="500"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b/>
                <w:bCs/>
                <w:color w:val="auto"/>
              </w:rPr>
            </w:pPr>
            <w:r>
              <w:rPr>
                <w:rFonts w:hint="eastAsia" w:ascii="宋体" w:hAnsi="宋体" w:cs="宋体"/>
                <w:b/>
                <w:bCs/>
                <w:color w:val="auto"/>
              </w:rPr>
              <w:t>管控责任人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pageBreakBefore w:val="0"/>
              <w:kinsoku/>
              <w:wordWrap/>
              <w:overflowPunct/>
              <w:topLinePunct w:val="0"/>
              <w:bidi w:val="0"/>
              <w:snapToGrid w:val="0"/>
              <w:spacing w:line="360" w:lineRule="auto"/>
              <w:ind w:left="0" w:leftChars="0" w:right="0"/>
              <w:jc w:val="center"/>
              <w:textAlignment w:val="auto"/>
              <w:rPr>
                <w:rFonts w:ascii="Calibri Light" w:hAnsi="Calibri Light" w:cs="Calibri Light"/>
                <w:color w:val="auto"/>
                <w:sz w:val="22"/>
                <w:szCs w:val="22"/>
              </w:rPr>
            </w:pPr>
            <w:r>
              <w:rPr>
                <w:rFonts w:ascii="Calibri Light" w:hAnsi="Calibri Light" w:cs="Calibri Light"/>
                <w:color w:val="auto"/>
                <w:sz w:val="22"/>
                <w:szCs w:val="22"/>
              </w:rPr>
              <w:t>1</w:t>
            </w:r>
          </w:p>
        </w:tc>
        <w:tc>
          <w:tcPr>
            <w:tcW w:w="1396" w:type="pct"/>
            <w:vAlign w:val="center"/>
          </w:tcPr>
          <w:p>
            <w:pPr>
              <w:pageBreakBefore w:val="0"/>
              <w:kinsoku/>
              <w:wordWrap/>
              <w:overflowPunct/>
              <w:topLinePunct w:val="0"/>
              <w:bidi w:val="0"/>
              <w:snapToGrid w:val="0"/>
              <w:spacing w:line="360" w:lineRule="auto"/>
              <w:ind w:left="0" w:leftChars="0" w:right="0"/>
              <w:jc w:val="left"/>
              <w:textAlignment w:val="auto"/>
              <w:rPr>
                <w:rFonts w:ascii="宋体" w:cs="宋体"/>
                <w:color w:val="auto"/>
              </w:rPr>
            </w:pPr>
            <w:r>
              <w:rPr>
                <w:rFonts w:hint="eastAsia" w:ascii="宋体" w:hAnsi="宋体" w:cs="宋体"/>
                <w:color w:val="auto"/>
              </w:rPr>
              <w:t>建筑物耐火等级不符，安全疏散不符</w:t>
            </w:r>
          </w:p>
        </w:tc>
        <w:tc>
          <w:tcPr>
            <w:tcW w:w="396"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站区</w:t>
            </w:r>
          </w:p>
        </w:tc>
        <w:tc>
          <w:tcPr>
            <w:tcW w:w="493"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火灾</w:t>
            </w:r>
          </w:p>
        </w:tc>
        <w:tc>
          <w:tcPr>
            <w:tcW w:w="368" w:type="pct"/>
            <w:shd w:val="clear" w:color="auto" w:fill="FFFF00"/>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ascii="宋体" w:hAnsi="宋体" w:cs="宋体"/>
                <w:color w:val="auto"/>
              </w:rPr>
              <w:t>3</w:t>
            </w:r>
            <w:r>
              <w:rPr>
                <w:rFonts w:hint="eastAsia" w:ascii="宋体" w:hAnsi="宋体" w:cs="宋体"/>
                <w:color w:val="auto"/>
              </w:rPr>
              <w:t>级</w:t>
            </w:r>
          </w:p>
        </w:tc>
        <w:tc>
          <w:tcPr>
            <w:tcW w:w="1049" w:type="pct"/>
            <w:vAlign w:val="center"/>
          </w:tcPr>
          <w:p>
            <w:pPr>
              <w:pageBreakBefore w:val="0"/>
              <w:kinsoku/>
              <w:wordWrap/>
              <w:overflowPunct/>
              <w:topLinePunct w:val="0"/>
              <w:bidi w:val="0"/>
              <w:snapToGrid w:val="0"/>
              <w:spacing w:line="360" w:lineRule="auto"/>
              <w:ind w:left="0" w:leftChars="0" w:right="0"/>
              <w:jc w:val="left"/>
              <w:textAlignment w:val="auto"/>
              <w:rPr>
                <w:rFonts w:ascii="宋体" w:cs="宋体"/>
                <w:color w:val="auto"/>
              </w:rPr>
            </w:pPr>
            <w:r>
              <w:rPr>
                <w:rFonts w:hint="eastAsia" w:ascii="宋体" w:hAnsi="宋体" w:cs="宋体"/>
                <w:color w:val="auto"/>
              </w:rPr>
              <w:t>每三年进行安全评价，定期对罩棚、站房进行维护</w:t>
            </w:r>
          </w:p>
        </w:tc>
        <w:tc>
          <w:tcPr>
            <w:tcW w:w="559"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加油站</w:t>
            </w:r>
          </w:p>
        </w:tc>
        <w:tc>
          <w:tcPr>
            <w:tcW w:w="500"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站长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pageBreakBefore w:val="0"/>
              <w:kinsoku/>
              <w:wordWrap/>
              <w:overflowPunct/>
              <w:topLinePunct w:val="0"/>
              <w:bidi w:val="0"/>
              <w:snapToGrid w:val="0"/>
              <w:spacing w:line="360" w:lineRule="auto"/>
              <w:ind w:left="0" w:leftChars="0" w:right="0"/>
              <w:jc w:val="center"/>
              <w:textAlignment w:val="auto"/>
              <w:rPr>
                <w:rFonts w:ascii="Calibri Light" w:hAnsi="Calibri Light" w:cs="Calibri Light"/>
                <w:color w:val="auto"/>
                <w:sz w:val="22"/>
                <w:szCs w:val="22"/>
              </w:rPr>
            </w:pPr>
            <w:r>
              <w:rPr>
                <w:rFonts w:ascii="Calibri Light" w:hAnsi="Calibri Light" w:cs="Calibri Light"/>
                <w:color w:val="auto"/>
                <w:sz w:val="22"/>
                <w:szCs w:val="22"/>
              </w:rPr>
              <w:t>2</w:t>
            </w:r>
          </w:p>
        </w:tc>
        <w:tc>
          <w:tcPr>
            <w:tcW w:w="1396" w:type="pct"/>
            <w:vAlign w:val="center"/>
          </w:tcPr>
          <w:p>
            <w:pPr>
              <w:pageBreakBefore w:val="0"/>
              <w:kinsoku/>
              <w:wordWrap/>
              <w:overflowPunct/>
              <w:topLinePunct w:val="0"/>
              <w:bidi w:val="0"/>
              <w:snapToGrid w:val="0"/>
              <w:spacing w:line="360" w:lineRule="auto"/>
              <w:ind w:left="0" w:leftChars="0" w:right="0"/>
              <w:jc w:val="left"/>
              <w:textAlignment w:val="auto"/>
              <w:rPr>
                <w:rFonts w:ascii="宋体" w:cs="宋体"/>
                <w:color w:val="auto"/>
              </w:rPr>
            </w:pPr>
            <w:r>
              <w:rPr>
                <w:rFonts w:hint="eastAsia" w:ascii="宋体" w:hAnsi="宋体" w:cs="宋体"/>
                <w:color w:val="auto"/>
                <w:kern w:val="0"/>
              </w:rPr>
              <w:t>爆炸危险区域内的电气设备选型、安装、电力线路敷设等，不符合现行国家标准</w:t>
            </w:r>
          </w:p>
        </w:tc>
        <w:tc>
          <w:tcPr>
            <w:tcW w:w="396"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站区</w:t>
            </w:r>
          </w:p>
        </w:tc>
        <w:tc>
          <w:tcPr>
            <w:tcW w:w="493"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火灾、爆炸</w:t>
            </w:r>
          </w:p>
        </w:tc>
        <w:tc>
          <w:tcPr>
            <w:tcW w:w="368" w:type="pct"/>
            <w:shd w:val="clear" w:color="auto" w:fill="0070C0"/>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ascii="宋体" w:hAnsi="宋体" w:cs="宋体"/>
                <w:color w:val="auto"/>
              </w:rPr>
              <w:t>4</w:t>
            </w:r>
            <w:r>
              <w:rPr>
                <w:rFonts w:hint="eastAsia" w:ascii="宋体" w:hAnsi="宋体" w:cs="宋体"/>
                <w:color w:val="auto"/>
              </w:rPr>
              <w:t>级</w:t>
            </w:r>
          </w:p>
        </w:tc>
        <w:tc>
          <w:tcPr>
            <w:tcW w:w="1049" w:type="pct"/>
            <w:vAlign w:val="center"/>
          </w:tcPr>
          <w:p>
            <w:pPr>
              <w:pageBreakBefore w:val="0"/>
              <w:kinsoku/>
              <w:wordWrap/>
              <w:overflowPunct/>
              <w:topLinePunct w:val="0"/>
              <w:bidi w:val="0"/>
              <w:snapToGrid w:val="0"/>
              <w:spacing w:line="360" w:lineRule="auto"/>
              <w:ind w:left="0" w:leftChars="0" w:right="0"/>
              <w:jc w:val="left"/>
              <w:textAlignment w:val="auto"/>
              <w:rPr>
                <w:rFonts w:ascii="宋体" w:cs="宋体"/>
                <w:color w:val="auto"/>
              </w:rPr>
            </w:pPr>
            <w:r>
              <w:rPr>
                <w:rFonts w:hint="eastAsia" w:ascii="宋体" w:hAnsi="宋体" w:cs="宋体"/>
                <w:color w:val="auto"/>
              </w:rPr>
              <w:t>定期进行检查</w:t>
            </w:r>
          </w:p>
        </w:tc>
        <w:tc>
          <w:tcPr>
            <w:tcW w:w="559"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加油站</w:t>
            </w:r>
          </w:p>
        </w:tc>
        <w:tc>
          <w:tcPr>
            <w:tcW w:w="500"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站长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pageBreakBefore w:val="0"/>
              <w:kinsoku/>
              <w:wordWrap/>
              <w:overflowPunct/>
              <w:topLinePunct w:val="0"/>
              <w:bidi w:val="0"/>
              <w:snapToGrid w:val="0"/>
              <w:spacing w:line="360" w:lineRule="auto"/>
              <w:ind w:left="0" w:leftChars="0" w:right="0"/>
              <w:jc w:val="center"/>
              <w:textAlignment w:val="auto"/>
              <w:rPr>
                <w:rFonts w:ascii="Calibri Light" w:hAnsi="Calibri Light" w:cs="Calibri Light"/>
                <w:color w:val="auto"/>
                <w:sz w:val="22"/>
                <w:szCs w:val="22"/>
              </w:rPr>
            </w:pPr>
            <w:r>
              <w:rPr>
                <w:rFonts w:ascii="Calibri Light" w:hAnsi="Calibri Light" w:cs="Calibri Light"/>
                <w:color w:val="auto"/>
                <w:sz w:val="22"/>
                <w:szCs w:val="22"/>
              </w:rPr>
              <w:t>3</w:t>
            </w:r>
          </w:p>
        </w:tc>
        <w:tc>
          <w:tcPr>
            <w:tcW w:w="1396" w:type="pct"/>
            <w:vAlign w:val="center"/>
          </w:tcPr>
          <w:p>
            <w:pPr>
              <w:pageBreakBefore w:val="0"/>
              <w:kinsoku/>
              <w:wordWrap/>
              <w:overflowPunct/>
              <w:topLinePunct w:val="0"/>
              <w:bidi w:val="0"/>
              <w:snapToGrid w:val="0"/>
              <w:spacing w:line="360" w:lineRule="auto"/>
              <w:ind w:left="0" w:leftChars="0" w:right="0"/>
              <w:jc w:val="left"/>
              <w:textAlignment w:val="auto"/>
              <w:rPr>
                <w:rFonts w:cs="Times New Roman"/>
                <w:color w:val="auto"/>
              </w:rPr>
            </w:pPr>
            <w:r>
              <w:rPr>
                <w:rFonts w:hint="eastAsia" w:cs="宋体"/>
                <w:color w:val="auto"/>
              </w:rPr>
              <w:t>油罐车安全设施不齐全，如静电片缺失或锈蚀等</w:t>
            </w:r>
          </w:p>
        </w:tc>
        <w:tc>
          <w:tcPr>
            <w:tcW w:w="396" w:type="pct"/>
            <w:vAlign w:val="center"/>
          </w:tcPr>
          <w:p>
            <w:pPr>
              <w:pageBreakBefore w:val="0"/>
              <w:kinsoku/>
              <w:wordWrap/>
              <w:overflowPunct/>
              <w:topLinePunct w:val="0"/>
              <w:bidi w:val="0"/>
              <w:snapToGrid w:val="0"/>
              <w:spacing w:line="360" w:lineRule="auto"/>
              <w:ind w:left="0" w:leftChars="0" w:right="0"/>
              <w:jc w:val="center"/>
              <w:textAlignment w:val="auto"/>
              <w:rPr>
                <w:rFonts w:cs="Times New Roman"/>
                <w:color w:val="auto"/>
              </w:rPr>
            </w:pPr>
            <w:r>
              <w:rPr>
                <w:rFonts w:hint="eastAsia" w:cs="宋体"/>
                <w:color w:val="auto"/>
              </w:rPr>
              <w:t>卸油区</w:t>
            </w:r>
          </w:p>
        </w:tc>
        <w:tc>
          <w:tcPr>
            <w:tcW w:w="493" w:type="pct"/>
            <w:vAlign w:val="center"/>
          </w:tcPr>
          <w:p>
            <w:pPr>
              <w:pageBreakBefore w:val="0"/>
              <w:kinsoku/>
              <w:wordWrap/>
              <w:overflowPunct/>
              <w:topLinePunct w:val="0"/>
              <w:bidi w:val="0"/>
              <w:snapToGrid w:val="0"/>
              <w:spacing w:line="360" w:lineRule="auto"/>
              <w:ind w:left="0" w:leftChars="0" w:right="0"/>
              <w:jc w:val="center"/>
              <w:textAlignment w:val="auto"/>
              <w:rPr>
                <w:rFonts w:cs="Times New Roman"/>
                <w:color w:val="auto"/>
              </w:rPr>
            </w:pPr>
            <w:r>
              <w:rPr>
                <w:rFonts w:hint="eastAsia" w:cs="宋体"/>
                <w:color w:val="auto"/>
              </w:rPr>
              <w:t>火灾、爆炸</w:t>
            </w:r>
          </w:p>
        </w:tc>
        <w:tc>
          <w:tcPr>
            <w:tcW w:w="368" w:type="pct"/>
            <w:shd w:val="clear" w:color="auto" w:fill="FFFF00"/>
            <w:vAlign w:val="center"/>
          </w:tcPr>
          <w:p>
            <w:pPr>
              <w:pageBreakBefore w:val="0"/>
              <w:kinsoku/>
              <w:wordWrap/>
              <w:overflowPunct/>
              <w:topLinePunct w:val="0"/>
              <w:bidi w:val="0"/>
              <w:snapToGrid w:val="0"/>
              <w:spacing w:line="360" w:lineRule="auto"/>
              <w:ind w:left="0" w:leftChars="0" w:right="0"/>
              <w:jc w:val="center"/>
              <w:textAlignment w:val="auto"/>
              <w:rPr>
                <w:rFonts w:cs="Times New Roman"/>
                <w:color w:val="auto"/>
              </w:rPr>
            </w:pPr>
            <w:r>
              <w:rPr>
                <w:color w:val="auto"/>
              </w:rPr>
              <w:t>3</w:t>
            </w:r>
            <w:r>
              <w:rPr>
                <w:rFonts w:hint="eastAsia" w:cs="宋体"/>
                <w:color w:val="auto"/>
              </w:rPr>
              <w:t>级</w:t>
            </w:r>
          </w:p>
        </w:tc>
        <w:tc>
          <w:tcPr>
            <w:tcW w:w="1049" w:type="pct"/>
            <w:vAlign w:val="center"/>
          </w:tcPr>
          <w:p>
            <w:pPr>
              <w:pageBreakBefore w:val="0"/>
              <w:kinsoku/>
              <w:wordWrap/>
              <w:overflowPunct/>
              <w:topLinePunct w:val="0"/>
              <w:bidi w:val="0"/>
              <w:snapToGrid w:val="0"/>
              <w:spacing w:line="360" w:lineRule="auto"/>
              <w:ind w:left="0" w:leftChars="0" w:right="0"/>
              <w:jc w:val="left"/>
              <w:textAlignment w:val="auto"/>
              <w:rPr>
                <w:rFonts w:ascii="宋体" w:cs="宋体"/>
                <w:color w:val="auto"/>
              </w:rPr>
            </w:pPr>
            <w:r>
              <w:rPr>
                <w:rFonts w:hint="eastAsia" w:ascii="宋体" w:hAnsi="宋体" w:cs="宋体"/>
                <w:color w:val="auto"/>
              </w:rPr>
              <w:t>定期进行检查</w:t>
            </w:r>
          </w:p>
        </w:tc>
        <w:tc>
          <w:tcPr>
            <w:tcW w:w="559"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加油站</w:t>
            </w:r>
          </w:p>
        </w:tc>
        <w:tc>
          <w:tcPr>
            <w:tcW w:w="500" w:type="pct"/>
            <w:vAlign w:val="center"/>
          </w:tcPr>
          <w:p>
            <w:pPr>
              <w:pageBreakBefore w:val="0"/>
              <w:kinsoku/>
              <w:wordWrap/>
              <w:overflowPunct/>
              <w:topLinePunct w:val="0"/>
              <w:bidi w:val="0"/>
              <w:snapToGrid w:val="0"/>
              <w:spacing w:line="360" w:lineRule="auto"/>
              <w:ind w:left="0" w:leftChars="0" w:right="0"/>
              <w:jc w:val="center"/>
              <w:textAlignment w:val="auto"/>
              <w:rPr>
                <w:rFonts w:cs="Times New Roman"/>
                <w:color w:val="auto"/>
              </w:rPr>
            </w:pPr>
            <w:r>
              <w:rPr>
                <w:rFonts w:hint="eastAsia" w:ascii="宋体" w:hAnsi="宋体" w:cs="宋体"/>
                <w:color w:val="auto"/>
              </w:rPr>
              <w:t>卸油员（班长）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pageBreakBefore w:val="0"/>
              <w:kinsoku/>
              <w:wordWrap/>
              <w:overflowPunct/>
              <w:topLinePunct w:val="0"/>
              <w:bidi w:val="0"/>
              <w:snapToGrid w:val="0"/>
              <w:spacing w:line="360" w:lineRule="auto"/>
              <w:ind w:left="0" w:leftChars="0" w:right="0"/>
              <w:jc w:val="center"/>
              <w:textAlignment w:val="auto"/>
              <w:rPr>
                <w:rFonts w:ascii="Calibri Light" w:hAnsi="Calibri Light" w:cs="Calibri Light"/>
                <w:color w:val="auto"/>
                <w:sz w:val="22"/>
                <w:szCs w:val="22"/>
              </w:rPr>
            </w:pPr>
            <w:r>
              <w:rPr>
                <w:rFonts w:ascii="Calibri Light" w:hAnsi="Calibri Light" w:cs="Calibri Light"/>
                <w:color w:val="auto"/>
                <w:sz w:val="22"/>
                <w:szCs w:val="22"/>
              </w:rPr>
              <w:t>4</w:t>
            </w:r>
          </w:p>
        </w:tc>
        <w:tc>
          <w:tcPr>
            <w:tcW w:w="1396" w:type="pct"/>
            <w:vAlign w:val="center"/>
          </w:tcPr>
          <w:p>
            <w:pPr>
              <w:pageBreakBefore w:val="0"/>
              <w:kinsoku/>
              <w:wordWrap/>
              <w:overflowPunct/>
              <w:topLinePunct w:val="0"/>
              <w:bidi w:val="0"/>
              <w:snapToGrid w:val="0"/>
              <w:spacing w:line="360" w:lineRule="auto"/>
              <w:ind w:left="0" w:leftChars="0" w:right="0"/>
              <w:jc w:val="left"/>
              <w:textAlignment w:val="auto"/>
              <w:rPr>
                <w:rFonts w:cs="Times New Roman"/>
                <w:color w:val="auto"/>
              </w:rPr>
            </w:pPr>
            <w:r>
              <w:rPr>
                <w:rFonts w:hint="eastAsia" w:cs="宋体"/>
                <w:color w:val="auto"/>
              </w:rPr>
              <w:t>未严格执行卸油操作规程，如槽车静止稳油、静电接地、车辆轮档等</w:t>
            </w:r>
          </w:p>
        </w:tc>
        <w:tc>
          <w:tcPr>
            <w:tcW w:w="396" w:type="pct"/>
            <w:vAlign w:val="center"/>
          </w:tcPr>
          <w:p>
            <w:pPr>
              <w:pageBreakBefore w:val="0"/>
              <w:kinsoku/>
              <w:wordWrap/>
              <w:overflowPunct/>
              <w:topLinePunct w:val="0"/>
              <w:bidi w:val="0"/>
              <w:snapToGrid w:val="0"/>
              <w:spacing w:line="360" w:lineRule="auto"/>
              <w:ind w:left="0" w:leftChars="0" w:right="0"/>
              <w:jc w:val="center"/>
              <w:textAlignment w:val="auto"/>
              <w:rPr>
                <w:rFonts w:cs="Times New Roman"/>
                <w:color w:val="auto"/>
              </w:rPr>
            </w:pPr>
            <w:r>
              <w:rPr>
                <w:rFonts w:hint="eastAsia" w:cs="宋体"/>
                <w:color w:val="auto"/>
              </w:rPr>
              <w:t>卸油区</w:t>
            </w:r>
          </w:p>
        </w:tc>
        <w:tc>
          <w:tcPr>
            <w:tcW w:w="493" w:type="pct"/>
            <w:vAlign w:val="center"/>
          </w:tcPr>
          <w:p>
            <w:pPr>
              <w:pageBreakBefore w:val="0"/>
              <w:kinsoku/>
              <w:wordWrap/>
              <w:overflowPunct/>
              <w:topLinePunct w:val="0"/>
              <w:bidi w:val="0"/>
              <w:snapToGrid w:val="0"/>
              <w:spacing w:line="360" w:lineRule="auto"/>
              <w:ind w:left="0" w:leftChars="0" w:right="0"/>
              <w:jc w:val="center"/>
              <w:textAlignment w:val="auto"/>
              <w:rPr>
                <w:rFonts w:cs="Times New Roman"/>
                <w:color w:val="auto"/>
              </w:rPr>
            </w:pPr>
            <w:r>
              <w:rPr>
                <w:rFonts w:hint="eastAsia" w:cs="宋体"/>
                <w:color w:val="auto"/>
              </w:rPr>
              <w:t>人员伤亡</w:t>
            </w:r>
          </w:p>
        </w:tc>
        <w:tc>
          <w:tcPr>
            <w:tcW w:w="368" w:type="pct"/>
            <w:shd w:val="clear" w:color="auto" w:fill="0070C0"/>
            <w:vAlign w:val="center"/>
          </w:tcPr>
          <w:p>
            <w:pPr>
              <w:pageBreakBefore w:val="0"/>
              <w:kinsoku/>
              <w:wordWrap/>
              <w:overflowPunct/>
              <w:topLinePunct w:val="0"/>
              <w:bidi w:val="0"/>
              <w:snapToGrid w:val="0"/>
              <w:spacing w:line="360" w:lineRule="auto"/>
              <w:ind w:left="0" w:leftChars="0" w:right="0"/>
              <w:jc w:val="center"/>
              <w:textAlignment w:val="auto"/>
              <w:rPr>
                <w:rFonts w:cs="Times New Roman"/>
                <w:color w:val="auto"/>
              </w:rPr>
            </w:pPr>
            <w:r>
              <w:rPr>
                <w:color w:val="auto"/>
              </w:rPr>
              <w:t>4</w:t>
            </w:r>
            <w:r>
              <w:rPr>
                <w:rFonts w:hint="eastAsia" w:cs="宋体"/>
                <w:color w:val="auto"/>
              </w:rPr>
              <w:t>级</w:t>
            </w:r>
          </w:p>
        </w:tc>
        <w:tc>
          <w:tcPr>
            <w:tcW w:w="1049" w:type="pct"/>
            <w:vAlign w:val="center"/>
          </w:tcPr>
          <w:p>
            <w:pPr>
              <w:pageBreakBefore w:val="0"/>
              <w:kinsoku/>
              <w:wordWrap/>
              <w:overflowPunct/>
              <w:topLinePunct w:val="0"/>
              <w:bidi w:val="0"/>
              <w:snapToGrid w:val="0"/>
              <w:spacing w:line="360" w:lineRule="auto"/>
              <w:ind w:left="0" w:leftChars="0" w:right="0"/>
              <w:jc w:val="left"/>
              <w:textAlignment w:val="auto"/>
              <w:rPr>
                <w:rFonts w:ascii="宋体" w:cs="宋体"/>
                <w:color w:val="auto"/>
              </w:rPr>
            </w:pPr>
            <w:r>
              <w:rPr>
                <w:rFonts w:hint="eastAsia" w:ascii="宋体" w:hAnsi="宋体" w:cs="宋体"/>
                <w:color w:val="auto"/>
              </w:rPr>
              <w:t>就操作流程对员工进行培训，对明知故犯者予以纪律处分</w:t>
            </w:r>
          </w:p>
        </w:tc>
        <w:tc>
          <w:tcPr>
            <w:tcW w:w="559"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加油站</w:t>
            </w:r>
          </w:p>
        </w:tc>
        <w:tc>
          <w:tcPr>
            <w:tcW w:w="500"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站长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pageBreakBefore w:val="0"/>
              <w:kinsoku/>
              <w:wordWrap/>
              <w:overflowPunct/>
              <w:topLinePunct w:val="0"/>
              <w:bidi w:val="0"/>
              <w:snapToGrid w:val="0"/>
              <w:spacing w:line="360" w:lineRule="auto"/>
              <w:ind w:left="0" w:leftChars="0" w:right="0"/>
              <w:jc w:val="center"/>
              <w:textAlignment w:val="auto"/>
              <w:rPr>
                <w:rFonts w:ascii="Calibri Light" w:hAnsi="Calibri Light" w:cs="Calibri Light"/>
                <w:color w:val="auto"/>
                <w:sz w:val="22"/>
                <w:szCs w:val="22"/>
              </w:rPr>
            </w:pPr>
            <w:r>
              <w:rPr>
                <w:rFonts w:ascii="Calibri Light" w:hAnsi="Calibri Light" w:cs="Calibri Light"/>
                <w:color w:val="auto"/>
                <w:sz w:val="22"/>
                <w:szCs w:val="22"/>
              </w:rPr>
              <w:t>5</w:t>
            </w:r>
          </w:p>
        </w:tc>
        <w:tc>
          <w:tcPr>
            <w:tcW w:w="1396" w:type="pct"/>
            <w:vAlign w:val="center"/>
          </w:tcPr>
          <w:p>
            <w:pPr>
              <w:pageBreakBefore w:val="0"/>
              <w:kinsoku/>
              <w:wordWrap/>
              <w:overflowPunct/>
              <w:topLinePunct w:val="0"/>
              <w:bidi w:val="0"/>
              <w:snapToGrid w:val="0"/>
              <w:spacing w:line="360" w:lineRule="auto"/>
              <w:ind w:left="0" w:leftChars="0" w:right="0"/>
              <w:jc w:val="left"/>
              <w:textAlignment w:val="auto"/>
              <w:rPr>
                <w:rFonts w:cs="Times New Roman"/>
                <w:color w:val="auto"/>
              </w:rPr>
            </w:pPr>
            <w:r>
              <w:rPr>
                <w:rFonts w:hint="eastAsia" w:cs="宋体"/>
                <w:color w:val="auto"/>
              </w:rPr>
              <w:t>卸油员违反规定携带火种、通讯设备等进入卸油现场</w:t>
            </w:r>
          </w:p>
        </w:tc>
        <w:tc>
          <w:tcPr>
            <w:tcW w:w="396" w:type="pct"/>
            <w:vAlign w:val="center"/>
          </w:tcPr>
          <w:p>
            <w:pPr>
              <w:pageBreakBefore w:val="0"/>
              <w:kinsoku/>
              <w:wordWrap/>
              <w:overflowPunct/>
              <w:topLinePunct w:val="0"/>
              <w:bidi w:val="0"/>
              <w:snapToGrid w:val="0"/>
              <w:spacing w:line="360" w:lineRule="auto"/>
              <w:ind w:left="0" w:leftChars="0" w:right="0"/>
              <w:jc w:val="center"/>
              <w:textAlignment w:val="auto"/>
              <w:rPr>
                <w:rFonts w:cs="Times New Roman"/>
                <w:color w:val="auto"/>
              </w:rPr>
            </w:pPr>
            <w:r>
              <w:rPr>
                <w:rFonts w:hint="eastAsia" w:cs="宋体"/>
                <w:color w:val="auto"/>
              </w:rPr>
              <w:t>卸油区</w:t>
            </w:r>
          </w:p>
        </w:tc>
        <w:tc>
          <w:tcPr>
            <w:tcW w:w="493" w:type="pct"/>
            <w:vAlign w:val="center"/>
          </w:tcPr>
          <w:p>
            <w:pPr>
              <w:pageBreakBefore w:val="0"/>
              <w:kinsoku/>
              <w:wordWrap/>
              <w:overflowPunct/>
              <w:topLinePunct w:val="0"/>
              <w:bidi w:val="0"/>
              <w:snapToGrid w:val="0"/>
              <w:spacing w:line="360" w:lineRule="auto"/>
              <w:ind w:left="0" w:leftChars="0" w:right="0"/>
              <w:jc w:val="center"/>
              <w:textAlignment w:val="auto"/>
              <w:rPr>
                <w:rFonts w:cs="Times New Roman"/>
                <w:color w:val="auto"/>
              </w:rPr>
            </w:pPr>
            <w:r>
              <w:rPr>
                <w:rFonts w:hint="eastAsia" w:cs="宋体"/>
                <w:color w:val="auto"/>
              </w:rPr>
              <w:t>人员伤亡</w:t>
            </w:r>
          </w:p>
        </w:tc>
        <w:tc>
          <w:tcPr>
            <w:tcW w:w="368" w:type="pct"/>
            <w:shd w:val="clear" w:color="auto" w:fill="FFFF00"/>
            <w:vAlign w:val="center"/>
          </w:tcPr>
          <w:p>
            <w:pPr>
              <w:pageBreakBefore w:val="0"/>
              <w:kinsoku/>
              <w:wordWrap/>
              <w:overflowPunct/>
              <w:topLinePunct w:val="0"/>
              <w:bidi w:val="0"/>
              <w:snapToGrid w:val="0"/>
              <w:spacing w:line="360" w:lineRule="auto"/>
              <w:ind w:left="0" w:leftChars="0" w:right="0"/>
              <w:jc w:val="center"/>
              <w:textAlignment w:val="auto"/>
              <w:rPr>
                <w:rFonts w:cs="Times New Roman"/>
                <w:color w:val="auto"/>
              </w:rPr>
            </w:pPr>
            <w:r>
              <w:rPr>
                <w:color w:val="auto"/>
              </w:rPr>
              <w:t>3</w:t>
            </w:r>
            <w:r>
              <w:rPr>
                <w:rFonts w:hint="eastAsia" w:cs="宋体"/>
                <w:color w:val="auto"/>
              </w:rPr>
              <w:t>级</w:t>
            </w:r>
          </w:p>
        </w:tc>
        <w:tc>
          <w:tcPr>
            <w:tcW w:w="1049" w:type="pct"/>
            <w:vAlign w:val="center"/>
          </w:tcPr>
          <w:p>
            <w:pPr>
              <w:pageBreakBefore w:val="0"/>
              <w:kinsoku/>
              <w:wordWrap/>
              <w:overflowPunct/>
              <w:topLinePunct w:val="0"/>
              <w:bidi w:val="0"/>
              <w:snapToGrid w:val="0"/>
              <w:spacing w:line="360" w:lineRule="auto"/>
              <w:ind w:left="0" w:leftChars="0" w:right="0"/>
              <w:jc w:val="left"/>
              <w:textAlignment w:val="auto"/>
              <w:rPr>
                <w:rFonts w:ascii="宋体" w:cs="宋体"/>
                <w:color w:val="auto"/>
              </w:rPr>
            </w:pPr>
            <w:r>
              <w:rPr>
                <w:rFonts w:hint="eastAsia" w:ascii="宋体" w:hAnsi="宋体" w:cs="宋体"/>
                <w:color w:val="auto"/>
              </w:rPr>
              <w:t>定期对卸油员进行抽查，发现违规者予以严肃处理</w:t>
            </w:r>
          </w:p>
        </w:tc>
        <w:tc>
          <w:tcPr>
            <w:tcW w:w="559"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加油站</w:t>
            </w:r>
          </w:p>
        </w:tc>
        <w:tc>
          <w:tcPr>
            <w:tcW w:w="500"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站长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236" w:type="pct"/>
            <w:vAlign w:val="bottom"/>
          </w:tcPr>
          <w:p>
            <w:pPr>
              <w:pageBreakBefore w:val="0"/>
              <w:kinsoku/>
              <w:wordWrap/>
              <w:overflowPunct/>
              <w:topLinePunct w:val="0"/>
              <w:bidi w:val="0"/>
              <w:snapToGrid w:val="0"/>
              <w:spacing w:line="360" w:lineRule="auto"/>
              <w:ind w:left="0" w:leftChars="0" w:right="0"/>
              <w:jc w:val="center"/>
              <w:textAlignment w:val="auto"/>
              <w:rPr>
                <w:rFonts w:ascii="Calibri Light" w:hAnsi="Calibri Light" w:cs="Calibri Light"/>
                <w:color w:val="auto"/>
                <w:sz w:val="22"/>
                <w:szCs w:val="22"/>
              </w:rPr>
            </w:pPr>
            <w:r>
              <w:rPr>
                <w:rFonts w:ascii="Calibri Light" w:hAnsi="Calibri Light" w:cs="Calibri Light"/>
                <w:color w:val="auto"/>
                <w:sz w:val="22"/>
                <w:szCs w:val="22"/>
              </w:rPr>
              <w:t>6</w:t>
            </w:r>
          </w:p>
        </w:tc>
        <w:tc>
          <w:tcPr>
            <w:tcW w:w="1396" w:type="pct"/>
            <w:vAlign w:val="center"/>
          </w:tcPr>
          <w:p>
            <w:pPr>
              <w:pageBreakBefore w:val="0"/>
              <w:kinsoku/>
              <w:wordWrap/>
              <w:overflowPunct/>
              <w:topLinePunct w:val="0"/>
              <w:bidi w:val="0"/>
              <w:snapToGrid w:val="0"/>
              <w:spacing w:line="360" w:lineRule="auto"/>
              <w:ind w:left="0" w:leftChars="0" w:right="0"/>
              <w:jc w:val="left"/>
              <w:textAlignment w:val="auto"/>
              <w:rPr>
                <w:rFonts w:cs="Times New Roman"/>
                <w:color w:val="auto"/>
              </w:rPr>
            </w:pPr>
            <w:r>
              <w:rPr>
                <w:rFonts w:hint="eastAsia" w:cs="宋体"/>
                <w:color w:val="auto"/>
              </w:rPr>
              <w:t>雷雨天气进行卸油作业</w:t>
            </w:r>
          </w:p>
        </w:tc>
        <w:tc>
          <w:tcPr>
            <w:tcW w:w="396" w:type="pct"/>
            <w:vAlign w:val="center"/>
          </w:tcPr>
          <w:p>
            <w:pPr>
              <w:pageBreakBefore w:val="0"/>
              <w:kinsoku/>
              <w:wordWrap/>
              <w:overflowPunct/>
              <w:topLinePunct w:val="0"/>
              <w:bidi w:val="0"/>
              <w:snapToGrid w:val="0"/>
              <w:spacing w:line="360" w:lineRule="auto"/>
              <w:ind w:left="0" w:leftChars="0" w:right="0"/>
              <w:jc w:val="center"/>
              <w:textAlignment w:val="auto"/>
              <w:rPr>
                <w:rFonts w:cs="Times New Roman"/>
                <w:color w:val="auto"/>
              </w:rPr>
            </w:pPr>
            <w:r>
              <w:rPr>
                <w:rFonts w:hint="eastAsia" w:cs="宋体"/>
                <w:color w:val="auto"/>
              </w:rPr>
              <w:t>卸油区</w:t>
            </w:r>
          </w:p>
        </w:tc>
        <w:tc>
          <w:tcPr>
            <w:tcW w:w="493" w:type="pct"/>
            <w:vAlign w:val="center"/>
          </w:tcPr>
          <w:p>
            <w:pPr>
              <w:pageBreakBefore w:val="0"/>
              <w:kinsoku/>
              <w:wordWrap/>
              <w:overflowPunct/>
              <w:topLinePunct w:val="0"/>
              <w:bidi w:val="0"/>
              <w:snapToGrid w:val="0"/>
              <w:spacing w:line="360" w:lineRule="auto"/>
              <w:ind w:left="0" w:leftChars="0" w:right="0"/>
              <w:jc w:val="center"/>
              <w:textAlignment w:val="auto"/>
              <w:rPr>
                <w:rFonts w:cs="Times New Roman"/>
                <w:color w:val="auto"/>
              </w:rPr>
            </w:pPr>
            <w:r>
              <w:rPr>
                <w:rFonts w:hint="eastAsia" w:cs="宋体"/>
                <w:color w:val="auto"/>
              </w:rPr>
              <w:t>人员伤亡</w:t>
            </w:r>
          </w:p>
        </w:tc>
        <w:tc>
          <w:tcPr>
            <w:tcW w:w="368" w:type="pct"/>
            <w:shd w:val="clear" w:color="auto" w:fill="0070C0"/>
            <w:vAlign w:val="center"/>
          </w:tcPr>
          <w:p>
            <w:pPr>
              <w:pageBreakBefore w:val="0"/>
              <w:kinsoku/>
              <w:wordWrap/>
              <w:overflowPunct/>
              <w:topLinePunct w:val="0"/>
              <w:bidi w:val="0"/>
              <w:snapToGrid w:val="0"/>
              <w:spacing w:line="360" w:lineRule="auto"/>
              <w:ind w:left="0" w:leftChars="0" w:right="0"/>
              <w:jc w:val="center"/>
              <w:textAlignment w:val="auto"/>
              <w:rPr>
                <w:rFonts w:cs="Times New Roman"/>
                <w:color w:val="auto"/>
              </w:rPr>
            </w:pPr>
            <w:r>
              <w:rPr>
                <w:color w:val="auto"/>
              </w:rPr>
              <w:t>4</w:t>
            </w:r>
            <w:r>
              <w:rPr>
                <w:rFonts w:hint="eastAsia" w:cs="宋体"/>
                <w:color w:val="auto"/>
              </w:rPr>
              <w:t>级</w:t>
            </w:r>
          </w:p>
        </w:tc>
        <w:tc>
          <w:tcPr>
            <w:tcW w:w="1049" w:type="pct"/>
            <w:vAlign w:val="center"/>
          </w:tcPr>
          <w:p>
            <w:pPr>
              <w:pageBreakBefore w:val="0"/>
              <w:kinsoku/>
              <w:wordWrap/>
              <w:overflowPunct/>
              <w:topLinePunct w:val="0"/>
              <w:bidi w:val="0"/>
              <w:snapToGrid w:val="0"/>
              <w:spacing w:line="360" w:lineRule="auto"/>
              <w:ind w:left="0" w:leftChars="0" w:right="0"/>
              <w:jc w:val="left"/>
              <w:textAlignment w:val="auto"/>
              <w:rPr>
                <w:rFonts w:ascii="宋体" w:cs="宋体"/>
                <w:color w:val="auto"/>
              </w:rPr>
            </w:pPr>
            <w:r>
              <w:rPr>
                <w:rFonts w:hint="eastAsia" w:ascii="宋体" w:hAnsi="宋体" w:cs="宋体"/>
                <w:color w:val="auto"/>
              </w:rPr>
              <w:t>严格按要求执行</w:t>
            </w:r>
          </w:p>
        </w:tc>
        <w:tc>
          <w:tcPr>
            <w:tcW w:w="559"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加油站</w:t>
            </w:r>
          </w:p>
        </w:tc>
        <w:tc>
          <w:tcPr>
            <w:tcW w:w="500"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站长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pageBreakBefore w:val="0"/>
              <w:kinsoku/>
              <w:wordWrap/>
              <w:overflowPunct/>
              <w:topLinePunct w:val="0"/>
              <w:bidi w:val="0"/>
              <w:snapToGrid w:val="0"/>
              <w:spacing w:line="360" w:lineRule="auto"/>
              <w:ind w:left="0" w:leftChars="0" w:right="0"/>
              <w:jc w:val="center"/>
              <w:textAlignment w:val="auto"/>
              <w:rPr>
                <w:rFonts w:ascii="Calibri Light" w:hAnsi="Calibri Light" w:cs="Calibri Light"/>
                <w:color w:val="auto"/>
                <w:sz w:val="22"/>
                <w:szCs w:val="22"/>
              </w:rPr>
            </w:pPr>
            <w:r>
              <w:rPr>
                <w:rFonts w:ascii="Calibri Light" w:hAnsi="Calibri Light" w:cs="Calibri Light"/>
                <w:color w:val="auto"/>
                <w:sz w:val="22"/>
                <w:szCs w:val="22"/>
              </w:rPr>
              <w:t>7</w:t>
            </w:r>
          </w:p>
        </w:tc>
        <w:tc>
          <w:tcPr>
            <w:tcW w:w="1396" w:type="pct"/>
            <w:vAlign w:val="center"/>
          </w:tcPr>
          <w:p>
            <w:pPr>
              <w:pageBreakBefore w:val="0"/>
              <w:kinsoku/>
              <w:wordWrap/>
              <w:overflowPunct/>
              <w:topLinePunct w:val="0"/>
              <w:bidi w:val="0"/>
              <w:snapToGrid w:val="0"/>
              <w:spacing w:line="360" w:lineRule="auto"/>
              <w:ind w:left="0" w:leftChars="0" w:right="0"/>
              <w:jc w:val="left"/>
              <w:textAlignment w:val="auto"/>
              <w:rPr>
                <w:rFonts w:ascii="宋体" w:cs="宋体"/>
                <w:color w:val="auto"/>
              </w:rPr>
            </w:pPr>
            <w:r>
              <w:rPr>
                <w:rFonts w:hint="eastAsia" w:ascii="宋体" w:hAnsi="宋体" w:cs="宋体"/>
                <w:color w:val="auto"/>
              </w:rPr>
              <w:t>卸车场未设静电报警仪或报警仪失效</w:t>
            </w:r>
          </w:p>
        </w:tc>
        <w:tc>
          <w:tcPr>
            <w:tcW w:w="396"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卸油区</w:t>
            </w:r>
          </w:p>
        </w:tc>
        <w:tc>
          <w:tcPr>
            <w:tcW w:w="493"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火灾、爆炸</w:t>
            </w:r>
          </w:p>
        </w:tc>
        <w:tc>
          <w:tcPr>
            <w:tcW w:w="368" w:type="pct"/>
            <w:shd w:val="clear" w:color="auto" w:fill="FFC000"/>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ascii="宋体" w:hAnsi="宋体" w:cs="宋体"/>
                <w:color w:val="auto"/>
              </w:rPr>
              <w:t>2</w:t>
            </w:r>
            <w:r>
              <w:rPr>
                <w:rFonts w:hint="eastAsia" w:ascii="宋体" w:hAnsi="宋体" w:cs="宋体"/>
                <w:color w:val="auto"/>
              </w:rPr>
              <w:t>级</w:t>
            </w:r>
          </w:p>
        </w:tc>
        <w:tc>
          <w:tcPr>
            <w:tcW w:w="1049" w:type="pct"/>
            <w:vAlign w:val="center"/>
          </w:tcPr>
          <w:p>
            <w:pPr>
              <w:pageBreakBefore w:val="0"/>
              <w:kinsoku/>
              <w:wordWrap/>
              <w:overflowPunct/>
              <w:topLinePunct w:val="0"/>
              <w:bidi w:val="0"/>
              <w:snapToGrid w:val="0"/>
              <w:spacing w:line="360" w:lineRule="auto"/>
              <w:ind w:left="0" w:leftChars="0" w:right="0"/>
              <w:jc w:val="left"/>
              <w:textAlignment w:val="auto"/>
              <w:rPr>
                <w:rFonts w:ascii="宋体" w:cs="宋体"/>
                <w:color w:val="auto"/>
              </w:rPr>
            </w:pPr>
            <w:r>
              <w:rPr>
                <w:rFonts w:hint="eastAsia" w:ascii="宋体" w:hAnsi="宋体" w:cs="宋体"/>
                <w:color w:val="auto"/>
              </w:rPr>
              <w:t>定期对静电报警仪进行检测，卸车前对报警仪进行检查</w:t>
            </w:r>
          </w:p>
        </w:tc>
        <w:tc>
          <w:tcPr>
            <w:tcW w:w="559"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加油站</w:t>
            </w:r>
          </w:p>
        </w:tc>
        <w:tc>
          <w:tcPr>
            <w:tcW w:w="500" w:type="pct"/>
            <w:vAlign w:val="center"/>
          </w:tcPr>
          <w:p>
            <w:pPr>
              <w:pageBreakBefore w:val="0"/>
              <w:kinsoku/>
              <w:wordWrap/>
              <w:overflowPunct/>
              <w:topLinePunct w:val="0"/>
              <w:bidi w:val="0"/>
              <w:snapToGrid w:val="0"/>
              <w:spacing w:line="360" w:lineRule="auto"/>
              <w:ind w:left="0" w:leftChars="0" w:right="0"/>
              <w:jc w:val="center"/>
              <w:textAlignment w:val="auto"/>
              <w:rPr>
                <w:rFonts w:cs="Times New Roman"/>
                <w:color w:val="auto"/>
              </w:rPr>
            </w:pPr>
            <w:r>
              <w:rPr>
                <w:rFonts w:hint="eastAsia" w:ascii="宋体" w:hAnsi="宋体" w:cs="宋体"/>
                <w:color w:val="auto"/>
              </w:rPr>
              <w:t>卸油员（班长）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pageBreakBefore w:val="0"/>
              <w:kinsoku/>
              <w:wordWrap/>
              <w:overflowPunct/>
              <w:topLinePunct w:val="0"/>
              <w:bidi w:val="0"/>
              <w:snapToGrid w:val="0"/>
              <w:spacing w:line="360" w:lineRule="auto"/>
              <w:ind w:left="0" w:leftChars="0" w:right="0"/>
              <w:jc w:val="center"/>
              <w:textAlignment w:val="auto"/>
              <w:rPr>
                <w:rFonts w:ascii="Calibri Light" w:hAnsi="Calibri Light" w:cs="Calibri Light"/>
                <w:color w:val="auto"/>
                <w:sz w:val="22"/>
                <w:szCs w:val="22"/>
              </w:rPr>
            </w:pPr>
            <w:r>
              <w:rPr>
                <w:rFonts w:ascii="Calibri Light" w:hAnsi="Calibri Light" w:cs="Calibri Light"/>
                <w:color w:val="auto"/>
                <w:sz w:val="22"/>
                <w:szCs w:val="22"/>
              </w:rPr>
              <w:t>8</w:t>
            </w:r>
          </w:p>
        </w:tc>
        <w:tc>
          <w:tcPr>
            <w:tcW w:w="1396" w:type="pct"/>
            <w:vAlign w:val="center"/>
          </w:tcPr>
          <w:p>
            <w:pPr>
              <w:pageBreakBefore w:val="0"/>
              <w:kinsoku/>
              <w:wordWrap/>
              <w:overflowPunct/>
              <w:topLinePunct w:val="0"/>
              <w:bidi w:val="0"/>
              <w:snapToGrid w:val="0"/>
              <w:spacing w:line="360" w:lineRule="auto"/>
              <w:ind w:left="0" w:leftChars="0" w:right="0"/>
              <w:jc w:val="left"/>
              <w:textAlignment w:val="auto"/>
              <w:rPr>
                <w:rFonts w:cs="Times New Roman"/>
                <w:color w:val="auto"/>
              </w:rPr>
            </w:pPr>
            <w:r>
              <w:rPr>
                <w:rFonts w:hint="eastAsia" w:cs="宋体"/>
                <w:color w:val="auto"/>
              </w:rPr>
              <w:t>卸油员未穿着防静电工装，作业前未触摸静电释放求等发生静电释放</w:t>
            </w:r>
          </w:p>
        </w:tc>
        <w:tc>
          <w:tcPr>
            <w:tcW w:w="396"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卸油区</w:t>
            </w:r>
          </w:p>
        </w:tc>
        <w:tc>
          <w:tcPr>
            <w:tcW w:w="493"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火灾、爆炸</w:t>
            </w:r>
          </w:p>
        </w:tc>
        <w:tc>
          <w:tcPr>
            <w:tcW w:w="368" w:type="pct"/>
            <w:shd w:val="clear" w:color="auto" w:fill="0070C0"/>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ascii="宋体" w:hAnsi="宋体" w:cs="宋体"/>
                <w:color w:val="auto"/>
              </w:rPr>
              <w:t>4</w:t>
            </w:r>
            <w:r>
              <w:rPr>
                <w:rFonts w:hint="eastAsia" w:ascii="宋体" w:hAnsi="宋体" w:cs="宋体"/>
                <w:color w:val="auto"/>
              </w:rPr>
              <w:t>级</w:t>
            </w:r>
          </w:p>
        </w:tc>
        <w:tc>
          <w:tcPr>
            <w:tcW w:w="1049" w:type="pct"/>
            <w:vAlign w:val="center"/>
          </w:tcPr>
          <w:p>
            <w:pPr>
              <w:pageBreakBefore w:val="0"/>
              <w:kinsoku/>
              <w:wordWrap/>
              <w:overflowPunct/>
              <w:topLinePunct w:val="0"/>
              <w:bidi w:val="0"/>
              <w:snapToGrid w:val="0"/>
              <w:spacing w:line="360" w:lineRule="auto"/>
              <w:ind w:left="0" w:leftChars="0" w:right="0"/>
              <w:jc w:val="left"/>
              <w:textAlignment w:val="auto"/>
              <w:rPr>
                <w:rFonts w:ascii="宋体" w:cs="宋体"/>
                <w:color w:val="auto"/>
              </w:rPr>
            </w:pPr>
            <w:r>
              <w:rPr>
                <w:rFonts w:hint="eastAsia" w:ascii="宋体" w:hAnsi="宋体" w:cs="宋体"/>
                <w:color w:val="auto"/>
              </w:rPr>
              <w:t>规程中明确要求</w:t>
            </w:r>
          </w:p>
        </w:tc>
        <w:tc>
          <w:tcPr>
            <w:tcW w:w="559"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加油站</w:t>
            </w:r>
          </w:p>
        </w:tc>
        <w:tc>
          <w:tcPr>
            <w:tcW w:w="500" w:type="pct"/>
            <w:vAlign w:val="center"/>
          </w:tcPr>
          <w:p>
            <w:pPr>
              <w:pageBreakBefore w:val="0"/>
              <w:kinsoku/>
              <w:wordWrap/>
              <w:overflowPunct/>
              <w:topLinePunct w:val="0"/>
              <w:bidi w:val="0"/>
              <w:snapToGrid w:val="0"/>
              <w:spacing w:line="360" w:lineRule="auto"/>
              <w:ind w:left="0" w:leftChars="0" w:right="0"/>
              <w:jc w:val="center"/>
              <w:textAlignment w:val="auto"/>
              <w:rPr>
                <w:rFonts w:cs="Times New Roman"/>
                <w:color w:val="auto"/>
              </w:rPr>
            </w:pPr>
            <w:r>
              <w:rPr>
                <w:rFonts w:hint="eastAsia" w:ascii="宋体" w:hAnsi="宋体" w:cs="宋体"/>
                <w:color w:val="auto"/>
              </w:rPr>
              <w:t>卸油员（班长）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pageBreakBefore w:val="0"/>
              <w:kinsoku/>
              <w:wordWrap/>
              <w:overflowPunct/>
              <w:topLinePunct w:val="0"/>
              <w:bidi w:val="0"/>
              <w:snapToGrid w:val="0"/>
              <w:spacing w:line="360" w:lineRule="auto"/>
              <w:ind w:left="0" w:leftChars="0" w:right="0"/>
              <w:jc w:val="center"/>
              <w:textAlignment w:val="auto"/>
              <w:rPr>
                <w:rFonts w:ascii="Calibri Light" w:hAnsi="Calibri Light" w:cs="Calibri Light"/>
                <w:color w:val="auto"/>
                <w:sz w:val="22"/>
                <w:szCs w:val="22"/>
              </w:rPr>
            </w:pPr>
            <w:r>
              <w:rPr>
                <w:rFonts w:ascii="Calibri Light" w:hAnsi="Calibri Light" w:cs="Calibri Light"/>
                <w:color w:val="auto"/>
                <w:sz w:val="22"/>
                <w:szCs w:val="22"/>
              </w:rPr>
              <w:t>9</w:t>
            </w:r>
          </w:p>
        </w:tc>
        <w:tc>
          <w:tcPr>
            <w:tcW w:w="1396" w:type="pct"/>
            <w:vAlign w:val="center"/>
          </w:tcPr>
          <w:p>
            <w:pPr>
              <w:pageBreakBefore w:val="0"/>
              <w:kinsoku/>
              <w:wordWrap/>
              <w:overflowPunct/>
              <w:topLinePunct w:val="0"/>
              <w:bidi w:val="0"/>
              <w:snapToGrid w:val="0"/>
              <w:spacing w:line="360" w:lineRule="auto"/>
              <w:ind w:left="0" w:leftChars="0" w:right="0"/>
              <w:jc w:val="left"/>
              <w:textAlignment w:val="auto"/>
              <w:rPr>
                <w:rFonts w:cs="Times New Roman"/>
                <w:color w:val="auto"/>
              </w:rPr>
            </w:pPr>
            <w:r>
              <w:rPr>
                <w:rFonts w:hint="eastAsia" w:cs="宋体"/>
                <w:color w:val="auto"/>
              </w:rPr>
              <w:t>油罐强度不足，防腐层破损</w:t>
            </w:r>
          </w:p>
        </w:tc>
        <w:tc>
          <w:tcPr>
            <w:tcW w:w="396"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油罐区</w:t>
            </w:r>
          </w:p>
        </w:tc>
        <w:tc>
          <w:tcPr>
            <w:tcW w:w="493"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泄漏、火灾、爆炸</w:t>
            </w:r>
          </w:p>
        </w:tc>
        <w:tc>
          <w:tcPr>
            <w:tcW w:w="368" w:type="pct"/>
            <w:shd w:val="clear" w:color="auto" w:fill="FFC000"/>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lang w:val="en-US" w:eastAsia="zh-CN"/>
              </w:rPr>
              <w:t>2</w:t>
            </w:r>
            <w:r>
              <w:rPr>
                <w:rFonts w:hint="eastAsia" w:ascii="宋体" w:hAnsi="宋体" w:cs="宋体"/>
                <w:color w:val="auto"/>
              </w:rPr>
              <w:t>级</w:t>
            </w:r>
          </w:p>
        </w:tc>
        <w:tc>
          <w:tcPr>
            <w:tcW w:w="1049" w:type="pct"/>
            <w:vAlign w:val="center"/>
          </w:tcPr>
          <w:p>
            <w:pPr>
              <w:pageBreakBefore w:val="0"/>
              <w:kinsoku/>
              <w:wordWrap/>
              <w:overflowPunct/>
              <w:topLinePunct w:val="0"/>
              <w:bidi w:val="0"/>
              <w:snapToGrid w:val="0"/>
              <w:spacing w:line="360" w:lineRule="auto"/>
              <w:ind w:left="0" w:leftChars="0" w:right="0"/>
              <w:jc w:val="left"/>
              <w:textAlignment w:val="auto"/>
              <w:rPr>
                <w:rFonts w:ascii="宋体" w:cs="宋体"/>
                <w:color w:val="auto"/>
              </w:rPr>
            </w:pPr>
            <w:r>
              <w:rPr>
                <w:rFonts w:hint="eastAsia" w:ascii="宋体" w:hAnsi="宋体" w:cs="宋体"/>
                <w:color w:val="auto"/>
              </w:rPr>
              <w:t>定期进行清罐作业，并进行检查和测罐壁厚</w:t>
            </w:r>
          </w:p>
        </w:tc>
        <w:tc>
          <w:tcPr>
            <w:tcW w:w="559"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加油站</w:t>
            </w:r>
          </w:p>
        </w:tc>
        <w:tc>
          <w:tcPr>
            <w:tcW w:w="500"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站长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236" w:type="pct"/>
            <w:vAlign w:val="bottom"/>
          </w:tcPr>
          <w:p>
            <w:pPr>
              <w:pageBreakBefore w:val="0"/>
              <w:kinsoku/>
              <w:wordWrap/>
              <w:overflowPunct/>
              <w:topLinePunct w:val="0"/>
              <w:bidi w:val="0"/>
              <w:snapToGrid w:val="0"/>
              <w:spacing w:line="360" w:lineRule="auto"/>
              <w:ind w:left="0" w:leftChars="0" w:right="0"/>
              <w:jc w:val="center"/>
              <w:textAlignment w:val="auto"/>
              <w:rPr>
                <w:rFonts w:ascii="Calibri Light" w:hAnsi="Calibri Light" w:cs="Calibri Light"/>
                <w:color w:val="auto"/>
                <w:sz w:val="22"/>
                <w:szCs w:val="22"/>
              </w:rPr>
            </w:pPr>
            <w:r>
              <w:rPr>
                <w:rFonts w:ascii="Calibri Light" w:hAnsi="Calibri Light" w:cs="Calibri Light"/>
                <w:color w:val="auto"/>
                <w:sz w:val="22"/>
                <w:szCs w:val="22"/>
              </w:rPr>
              <w:t>10</w:t>
            </w:r>
          </w:p>
        </w:tc>
        <w:tc>
          <w:tcPr>
            <w:tcW w:w="1396" w:type="pct"/>
            <w:vAlign w:val="center"/>
          </w:tcPr>
          <w:p>
            <w:pPr>
              <w:pageBreakBefore w:val="0"/>
              <w:kinsoku/>
              <w:wordWrap/>
              <w:overflowPunct/>
              <w:topLinePunct w:val="0"/>
              <w:bidi w:val="0"/>
              <w:snapToGrid w:val="0"/>
              <w:spacing w:line="360" w:lineRule="auto"/>
              <w:ind w:left="0" w:leftChars="0" w:right="0"/>
              <w:jc w:val="left"/>
              <w:textAlignment w:val="auto"/>
              <w:rPr>
                <w:rFonts w:cs="Times New Roman"/>
                <w:color w:val="auto"/>
              </w:rPr>
            </w:pPr>
            <w:r>
              <w:rPr>
                <w:rFonts w:hint="eastAsia" w:cs="宋体"/>
                <w:color w:val="auto"/>
              </w:rPr>
              <w:t>卸油口标识不清或无标识、未认真核对油品数量和质量</w:t>
            </w:r>
          </w:p>
        </w:tc>
        <w:tc>
          <w:tcPr>
            <w:tcW w:w="396" w:type="pct"/>
            <w:vAlign w:val="center"/>
          </w:tcPr>
          <w:p>
            <w:pPr>
              <w:pageBreakBefore w:val="0"/>
              <w:kinsoku/>
              <w:wordWrap/>
              <w:overflowPunct/>
              <w:topLinePunct w:val="0"/>
              <w:bidi w:val="0"/>
              <w:snapToGrid w:val="0"/>
              <w:spacing w:line="360" w:lineRule="auto"/>
              <w:ind w:left="0" w:leftChars="0" w:right="0"/>
              <w:jc w:val="center"/>
              <w:textAlignment w:val="auto"/>
              <w:rPr>
                <w:rFonts w:cs="Times New Roman"/>
                <w:color w:val="auto"/>
              </w:rPr>
            </w:pPr>
            <w:r>
              <w:rPr>
                <w:rFonts w:hint="eastAsia" w:cs="宋体"/>
                <w:color w:val="auto"/>
              </w:rPr>
              <w:t>油罐区</w:t>
            </w:r>
          </w:p>
        </w:tc>
        <w:tc>
          <w:tcPr>
            <w:tcW w:w="493" w:type="pct"/>
            <w:vAlign w:val="center"/>
          </w:tcPr>
          <w:p>
            <w:pPr>
              <w:pageBreakBefore w:val="0"/>
              <w:kinsoku/>
              <w:wordWrap/>
              <w:overflowPunct/>
              <w:topLinePunct w:val="0"/>
              <w:bidi w:val="0"/>
              <w:snapToGrid w:val="0"/>
              <w:spacing w:line="360" w:lineRule="auto"/>
              <w:ind w:left="0" w:leftChars="0" w:right="0"/>
              <w:jc w:val="center"/>
              <w:textAlignment w:val="auto"/>
              <w:rPr>
                <w:rFonts w:cs="Times New Roman"/>
                <w:color w:val="auto"/>
              </w:rPr>
            </w:pPr>
            <w:r>
              <w:rPr>
                <w:rFonts w:hint="eastAsia" w:cs="宋体"/>
                <w:color w:val="auto"/>
              </w:rPr>
              <w:t>环境污染人员伤亡</w:t>
            </w:r>
          </w:p>
        </w:tc>
        <w:tc>
          <w:tcPr>
            <w:tcW w:w="368" w:type="pct"/>
            <w:shd w:val="clear" w:color="auto" w:fill="FFFF00"/>
            <w:vAlign w:val="center"/>
          </w:tcPr>
          <w:p>
            <w:pPr>
              <w:pageBreakBefore w:val="0"/>
              <w:kinsoku/>
              <w:wordWrap/>
              <w:overflowPunct/>
              <w:topLinePunct w:val="0"/>
              <w:bidi w:val="0"/>
              <w:snapToGrid w:val="0"/>
              <w:spacing w:line="360" w:lineRule="auto"/>
              <w:ind w:left="0" w:leftChars="0" w:right="0"/>
              <w:jc w:val="center"/>
              <w:textAlignment w:val="auto"/>
              <w:rPr>
                <w:rFonts w:cs="Times New Roman"/>
                <w:color w:val="auto"/>
              </w:rPr>
            </w:pPr>
            <w:r>
              <w:rPr>
                <w:color w:val="auto"/>
              </w:rPr>
              <w:t>3</w:t>
            </w:r>
            <w:r>
              <w:rPr>
                <w:rFonts w:hint="eastAsia" w:cs="宋体"/>
                <w:color w:val="auto"/>
              </w:rPr>
              <w:t>级</w:t>
            </w:r>
          </w:p>
        </w:tc>
        <w:tc>
          <w:tcPr>
            <w:tcW w:w="1049" w:type="pct"/>
            <w:vAlign w:val="center"/>
          </w:tcPr>
          <w:p>
            <w:pPr>
              <w:pageBreakBefore w:val="0"/>
              <w:kinsoku/>
              <w:wordWrap/>
              <w:overflowPunct/>
              <w:topLinePunct w:val="0"/>
              <w:bidi w:val="0"/>
              <w:snapToGrid w:val="0"/>
              <w:spacing w:line="360" w:lineRule="auto"/>
              <w:ind w:left="0" w:leftChars="0" w:right="0"/>
              <w:jc w:val="left"/>
              <w:textAlignment w:val="auto"/>
              <w:rPr>
                <w:rFonts w:cs="Times New Roman"/>
                <w:color w:val="auto"/>
              </w:rPr>
            </w:pPr>
            <w:r>
              <w:rPr>
                <w:rFonts w:hint="eastAsia" w:cs="宋体"/>
                <w:color w:val="auto"/>
              </w:rPr>
              <w:t>定期清理检查标识的清晰度，严格按操作规程执行</w:t>
            </w:r>
          </w:p>
        </w:tc>
        <w:tc>
          <w:tcPr>
            <w:tcW w:w="559"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加油站</w:t>
            </w:r>
          </w:p>
        </w:tc>
        <w:tc>
          <w:tcPr>
            <w:tcW w:w="500"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卸油员（班长）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pageBreakBefore w:val="0"/>
              <w:kinsoku/>
              <w:wordWrap/>
              <w:overflowPunct/>
              <w:topLinePunct w:val="0"/>
              <w:bidi w:val="0"/>
              <w:snapToGrid w:val="0"/>
              <w:spacing w:line="360" w:lineRule="auto"/>
              <w:ind w:left="0" w:leftChars="0" w:right="0"/>
              <w:jc w:val="center"/>
              <w:textAlignment w:val="auto"/>
              <w:rPr>
                <w:rFonts w:ascii="Calibri Light" w:hAnsi="Calibri Light" w:cs="Calibri Light"/>
                <w:color w:val="auto"/>
                <w:sz w:val="22"/>
                <w:szCs w:val="22"/>
              </w:rPr>
            </w:pPr>
            <w:r>
              <w:rPr>
                <w:rFonts w:ascii="Calibri Light" w:hAnsi="Calibri Light" w:cs="Calibri Light"/>
                <w:color w:val="auto"/>
                <w:sz w:val="22"/>
                <w:szCs w:val="22"/>
              </w:rPr>
              <w:t>11</w:t>
            </w:r>
          </w:p>
        </w:tc>
        <w:tc>
          <w:tcPr>
            <w:tcW w:w="1396" w:type="pct"/>
            <w:vAlign w:val="center"/>
          </w:tcPr>
          <w:p>
            <w:pPr>
              <w:pageBreakBefore w:val="0"/>
              <w:kinsoku/>
              <w:wordWrap/>
              <w:overflowPunct/>
              <w:topLinePunct w:val="0"/>
              <w:bidi w:val="0"/>
              <w:snapToGrid w:val="0"/>
              <w:spacing w:line="360" w:lineRule="auto"/>
              <w:ind w:left="0" w:leftChars="0" w:right="0"/>
              <w:jc w:val="left"/>
              <w:textAlignment w:val="auto"/>
              <w:rPr>
                <w:rFonts w:ascii="宋体" w:cs="宋体"/>
                <w:color w:val="auto"/>
              </w:rPr>
            </w:pPr>
            <w:r>
              <w:rPr>
                <w:rFonts w:hint="eastAsia" w:ascii="宋体" w:hAnsi="宋体" w:cs="宋体"/>
                <w:color w:val="auto"/>
              </w:rPr>
              <w:t>油罐避雷接地不符</w:t>
            </w:r>
          </w:p>
        </w:tc>
        <w:tc>
          <w:tcPr>
            <w:tcW w:w="396"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油罐区</w:t>
            </w:r>
          </w:p>
        </w:tc>
        <w:tc>
          <w:tcPr>
            <w:tcW w:w="493"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火灾、爆炸</w:t>
            </w:r>
          </w:p>
        </w:tc>
        <w:tc>
          <w:tcPr>
            <w:tcW w:w="368" w:type="pct"/>
            <w:shd w:val="clear" w:color="auto" w:fill="FFC000"/>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lang w:val="en-US" w:eastAsia="zh-CN"/>
              </w:rPr>
              <w:t>2</w:t>
            </w:r>
            <w:r>
              <w:rPr>
                <w:rFonts w:hint="eastAsia" w:ascii="宋体" w:hAnsi="宋体" w:cs="宋体"/>
                <w:color w:val="auto"/>
              </w:rPr>
              <w:t>级</w:t>
            </w:r>
          </w:p>
        </w:tc>
        <w:tc>
          <w:tcPr>
            <w:tcW w:w="1049" w:type="pct"/>
            <w:vAlign w:val="center"/>
          </w:tcPr>
          <w:p>
            <w:pPr>
              <w:pageBreakBefore w:val="0"/>
              <w:kinsoku/>
              <w:wordWrap/>
              <w:overflowPunct/>
              <w:topLinePunct w:val="0"/>
              <w:bidi w:val="0"/>
              <w:snapToGrid w:val="0"/>
              <w:spacing w:line="360" w:lineRule="auto"/>
              <w:ind w:left="0" w:leftChars="0" w:right="0"/>
              <w:jc w:val="left"/>
              <w:textAlignment w:val="auto"/>
              <w:rPr>
                <w:rFonts w:ascii="宋体" w:cs="宋体"/>
                <w:color w:val="auto"/>
              </w:rPr>
            </w:pPr>
            <w:r>
              <w:rPr>
                <w:rFonts w:hint="eastAsia" w:ascii="宋体" w:hAnsi="宋体" w:cs="宋体"/>
                <w:color w:val="auto"/>
              </w:rPr>
              <w:t>定期进行检测</w:t>
            </w:r>
          </w:p>
        </w:tc>
        <w:tc>
          <w:tcPr>
            <w:tcW w:w="559"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加油站</w:t>
            </w:r>
          </w:p>
        </w:tc>
        <w:tc>
          <w:tcPr>
            <w:tcW w:w="500" w:type="pct"/>
            <w:vAlign w:val="center"/>
          </w:tcPr>
          <w:p>
            <w:pPr>
              <w:pageBreakBefore w:val="0"/>
              <w:kinsoku/>
              <w:wordWrap/>
              <w:overflowPunct/>
              <w:topLinePunct w:val="0"/>
              <w:bidi w:val="0"/>
              <w:snapToGrid w:val="0"/>
              <w:spacing w:line="360" w:lineRule="auto"/>
              <w:ind w:left="0" w:leftChars="0" w:right="0"/>
              <w:jc w:val="center"/>
              <w:textAlignment w:val="auto"/>
              <w:rPr>
                <w:rFonts w:cs="Times New Roman"/>
                <w:color w:val="auto"/>
              </w:rPr>
            </w:pPr>
            <w:r>
              <w:rPr>
                <w:rFonts w:hint="eastAsia" w:ascii="宋体" w:hAnsi="宋体" w:cs="宋体"/>
                <w:color w:val="auto"/>
              </w:rPr>
              <w:t>卸油员（班长）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pageBreakBefore w:val="0"/>
              <w:kinsoku/>
              <w:wordWrap/>
              <w:overflowPunct/>
              <w:topLinePunct w:val="0"/>
              <w:bidi w:val="0"/>
              <w:snapToGrid w:val="0"/>
              <w:spacing w:line="360" w:lineRule="auto"/>
              <w:ind w:left="0" w:leftChars="0" w:right="0"/>
              <w:jc w:val="center"/>
              <w:textAlignment w:val="auto"/>
              <w:rPr>
                <w:rFonts w:ascii="Calibri Light" w:hAnsi="Calibri Light" w:cs="Calibri Light"/>
                <w:color w:val="auto"/>
                <w:sz w:val="22"/>
                <w:szCs w:val="22"/>
              </w:rPr>
            </w:pPr>
            <w:r>
              <w:rPr>
                <w:rFonts w:ascii="Calibri Light" w:hAnsi="Calibri Light" w:cs="Calibri Light"/>
                <w:color w:val="auto"/>
                <w:sz w:val="22"/>
                <w:szCs w:val="22"/>
              </w:rPr>
              <w:t>12</w:t>
            </w:r>
          </w:p>
        </w:tc>
        <w:tc>
          <w:tcPr>
            <w:tcW w:w="1396" w:type="pct"/>
            <w:vAlign w:val="center"/>
          </w:tcPr>
          <w:p>
            <w:pPr>
              <w:pageBreakBefore w:val="0"/>
              <w:kinsoku/>
              <w:wordWrap/>
              <w:overflowPunct/>
              <w:topLinePunct w:val="0"/>
              <w:bidi w:val="0"/>
              <w:snapToGrid w:val="0"/>
              <w:spacing w:line="360" w:lineRule="auto"/>
              <w:ind w:left="0" w:leftChars="0" w:right="0"/>
              <w:jc w:val="left"/>
              <w:textAlignment w:val="auto"/>
              <w:rPr>
                <w:rFonts w:ascii="宋体" w:cs="宋体"/>
                <w:color w:val="auto"/>
              </w:rPr>
            </w:pPr>
            <w:r>
              <w:rPr>
                <w:rFonts w:hint="eastAsia" w:ascii="宋体" w:hAnsi="宋体" w:cs="宋体"/>
                <w:color w:val="auto"/>
              </w:rPr>
              <w:t>油罐区内的油品管道上的法兰、胶管等连接处未采用金属线跨接</w:t>
            </w:r>
          </w:p>
        </w:tc>
        <w:tc>
          <w:tcPr>
            <w:tcW w:w="396"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油罐区</w:t>
            </w:r>
          </w:p>
        </w:tc>
        <w:tc>
          <w:tcPr>
            <w:tcW w:w="493"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火灾、爆炸</w:t>
            </w:r>
          </w:p>
        </w:tc>
        <w:tc>
          <w:tcPr>
            <w:tcW w:w="368" w:type="pct"/>
            <w:shd w:val="clear" w:color="auto" w:fill="FFC000"/>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lang w:val="en-US" w:eastAsia="zh-CN"/>
              </w:rPr>
              <w:t>2</w:t>
            </w:r>
            <w:r>
              <w:rPr>
                <w:rFonts w:hint="eastAsia" w:ascii="宋体" w:hAnsi="宋体" w:cs="宋体"/>
                <w:color w:val="auto"/>
              </w:rPr>
              <w:t>级</w:t>
            </w:r>
          </w:p>
        </w:tc>
        <w:tc>
          <w:tcPr>
            <w:tcW w:w="1049" w:type="pct"/>
            <w:vAlign w:val="center"/>
          </w:tcPr>
          <w:p>
            <w:pPr>
              <w:pageBreakBefore w:val="0"/>
              <w:kinsoku/>
              <w:wordWrap/>
              <w:overflowPunct/>
              <w:topLinePunct w:val="0"/>
              <w:bidi w:val="0"/>
              <w:snapToGrid w:val="0"/>
              <w:spacing w:line="360" w:lineRule="auto"/>
              <w:ind w:left="0" w:leftChars="0" w:right="0"/>
              <w:jc w:val="left"/>
              <w:textAlignment w:val="auto"/>
              <w:rPr>
                <w:rFonts w:ascii="宋体" w:cs="宋体"/>
                <w:color w:val="auto"/>
              </w:rPr>
            </w:pPr>
            <w:r>
              <w:rPr>
                <w:rFonts w:hint="eastAsia" w:ascii="宋体" w:hAnsi="宋体" w:cs="宋体"/>
                <w:color w:val="auto"/>
              </w:rPr>
              <w:t>定期进行检测，班组进行检查</w:t>
            </w:r>
          </w:p>
        </w:tc>
        <w:tc>
          <w:tcPr>
            <w:tcW w:w="559"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加油站</w:t>
            </w:r>
          </w:p>
        </w:tc>
        <w:tc>
          <w:tcPr>
            <w:tcW w:w="500" w:type="pct"/>
            <w:vAlign w:val="center"/>
          </w:tcPr>
          <w:p>
            <w:pPr>
              <w:pageBreakBefore w:val="0"/>
              <w:kinsoku/>
              <w:wordWrap/>
              <w:overflowPunct/>
              <w:topLinePunct w:val="0"/>
              <w:bidi w:val="0"/>
              <w:snapToGrid w:val="0"/>
              <w:spacing w:line="360" w:lineRule="auto"/>
              <w:ind w:left="0" w:leftChars="0" w:right="0"/>
              <w:jc w:val="center"/>
              <w:textAlignment w:val="auto"/>
              <w:rPr>
                <w:rFonts w:cs="Times New Roman"/>
                <w:color w:val="auto"/>
              </w:rPr>
            </w:pPr>
            <w:r>
              <w:rPr>
                <w:rFonts w:hint="eastAsia" w:ascii="宋体" w:hAnsi="宋体" w:cs="宋体"/>
                <w:color w:val="auto"/>
              </w:rPr>
              <w:t>卸油员（班长）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pageBreakBefore w:val="0"/>
              <w:kinsoku/>
              <w:wordWrap/>
              <w:overflowPunct/>
              <w:topLinePunct w:val="0"/>
              <w:bidi w:val="0"/>
              <w:snapToGrid w:val="0"/>
              <w:spacing w:line="360" w:lineRule="auto"/>
              <w:ind w:left="0" w:leftChars="0" w:right="0"/>
              <w:jc w:val="center"/>
              <w:textAlignment w:val="auto"/>
              <w:rPr>
                <w:rFonts w:ascii="Calibri Light" w:hAnsi="Calibri Light" w:cs="Calibri Light"/>
                <w:color w:val="auto"/>
                <w:sz w:val="22"/>
                <w:szCs w:val="22"/>
              </w:rPr>
            </w:pPr>
            <w:r>
              <w:rPr>
                <w:rFonts w:ascii="Calibri Light" w:hAnsi="Calibri Light" w:cs="Calibri Light"/>
                <w:color w:val="auto"/>
                <w:sz w:val="22"/>
                <w:szCs w:val="22"/>
              </w:rPr>
              <w:t>13</w:t>
            </w:r>
          </w:p>
        </w:tc>
        <w:tc>
          <w:tcPr>
            <w:tcW w:w="1396" w:type="pct"/>
            <w:vAlign w:val="center"/>
          </w:tcPr>
          <w:p>
            <w:pPr>
              <w:pageBreakBefore w:val="0"/>
              <w:kinsoku/>
              <w:wordWrap/>
              <w:overflowPunct/>
              <w:topLinePunct w:val="0"/>
              <w:bidi w:val="0"/>
              <w:snapToGrid w:val="0"/>
              <w:spacing w:line="360" w:lineRule="auto"/>
              <w:ind w:left="0" w:leftChars="0" w:right="0"/>
              <w:jc w:val="left"/>
              <w:textAlignment w:val="auto"/>
              <w:rPr>
                <w:rFonts w:cs="Times New Roman"/>
                <w:color w:val="auto"/>
              </w:rPr>
            </w:pPr>
            <w:r>
              <w:rPr>
                <w:rFonts w:hint="eastAsia" w:cs="宋体"/>
                <w:color w:val="auto"/>
              </w:rPr>
              <w:t>油罐区消防器材配备不全或失效</w:t>
            </w:r>
          </w:p>
        </w:tc>
        <w:tc>
          <w:tcPr>
            <w:tcW w:w="396"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油罐区</w:t>
            </w:r>
          </w:p>
        </w:tc>
        <w:tc>
          <w:tcPr>
            <w:tcW w:w="493"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火灾、爆炸</w:t>
            </w:r>
          </w:p>
        </w:tc>
        <w:tc>
          <w:tcPr>
            <w:tcW w:w="368" w:type="pct"/>
            <w:shd w:val="clear" w:color="auto" w:fill="FFC000"/>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lang w:val="en-US" w:eastAsia="zh-CN"/>
              </w:rPr>
              <w:t>2</w:t>
            </w:r>
            <w:r>
              <w:rPr>
                <w:rFonts w:hint="eastAsia" w:ascii="宋体" w:hAnsi="宋体" w:cs="宋体"/>
                <w:color w:val="auto"/>
              </w:rPr>
              <w:t>级</w:t>
            </w:r>
          </w:p>
        </w:tc>
        <w:tc>
          <w:tcPr>
            <w:tcW w:w="1049" w:type="pct"/>
            <w:vAlign w:val="center"/>
          </w:tcPr>
          <w:p>
            <w:pPr>
              <w:pageBreakBefore w:val="0"/>
              <w:kinsoku/>
              <w:wordWrap/>
              <w:overflowPunct/>
              <w:topLinePunct w:val="0"/>
              <w:bidi w:val="0"/>
              <w:snapToGrid w:val="0"/>
              <w:spacing w:line="360" w:lineRule="auto"/>
              <w:ind w:left="0" w:leftChars="0" w:right="0"/>
              <w:jc w:val="left"/>
              <w:textAlignment w:val="auto"/>
              <w:rPr>
                <w:rFonts w:ascii="宋体" w:cs="宋体"/>
                <w:color w:val="auto"/>
              </w:rPr>
            </w:pPr>
            <w:r>
              <w:rPr>
                <w:rFonts w:hint="eastAsia" w:ascii="宋体" w:hAnsi="宋体" w:cs="宋体"/>
                <w:color w:val="auto"/>
              </w:rPr>
              <w:t>定期对消防设施进行检查</w:t>
            </w:r>
          </w:p>
        </w:tc>
        <w:tc>
          <w:tcPr>
            <w:tcW w:w="559"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加油站</w:t>
            </w:r>
          </w:p>
        </w:tc>
        <w:tc>
          <w:tcPr>
            <w:tcW w:w="500"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卸油员（班长）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pageBreakBefore w:val="0"/>
              <w:kinsoku/>
              <w:wordWrap/>
              <w:overflowPunct/>
              <w:topLinePunct w:val="0"/>
              <w:bidi w:val="0"/>
              <w:snapToGrid w:val="0"/>
              <w:spacing w:line="360" w:lineRule="auto"/>
              <w:ind w:left="0" w:leftChars="0" w:right="0"/>
              <w:jc w:val="center"/>
              <w:textAlignment w:val="auto"/>
              <w:rPr>
                <w:rFonts w:ascii="Calibri Light" w:hAnsi="Calibri Light" w:cs="Calibri Light"/>
                <w:color w:val="auto"/>
                <w:sz w:val="22"/>
                <w:szCs w:val="22"/>
              </w:rPr>
            </w:pPr>
            <w:r>
              <w:rPr>
                <w:rFonts w:ascii="Calibri Light" w:hAnsi="Calibri Light" w:cs="Calibri Light"/>
                <w:color w:val="auto"/>
                <w:sz w:val="22"/>
                <w:szCs w:val="22"/>
              </w:rPr>
              <w:t>14</w:t>
            </w:r>
          </w:p>
        </w:tc>
        <w:tc>
          <w:tcPr>
            <w:tcW w:w="1396" w:type="pct"/>
            <w:vAlign w:val="center"/>
          </w:tcPr>
          <w:p>
            <w:pPr>
              <w:pageBreakBefore w:val="0"/>
              <w:kinsoku/>
              <w:wordWrap/>
              <w:overflowPunct/>
              <w:topLinePunct w:val="0"/>
              <w:bidi w:val="0"/>
              <w:snapToGrid w:val="0"/>
              <w:spacing w:line="360" w:lineRule="auto"/>
              <w:ind w:left="0" w:leftChars="0" w:right="0"/>
              <w:jc w:val="left"/>
              <w:textAlignment w:val="auto"/>
              <w:rPr>
                <w:rFonts w:cs="Times New Roman"/>
                <w:color w:val="auto"/>
              </w:rPr>
            </w:pPr>
            <w:r>
              <w:rPr>
                <w:rFonts w:hint="eastAsia" w:cs="宋体"/>
                <w:color w:val="auto"/>
              </w:rPr>
              <w:t>加油机、加油车辆、加油枪漏油</w:t>
            </w:r>
          </w:p>
        </w:tc>
        <w:tc>
          <w:tcPr>
            <w:tcW w:w="396"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加油区</w:t>
            </w:r>
          </w:p>
        </w:tc>
        <w:tc>
          <w:tcPr>
            <w:tcW w:w="493" w:type="pct"/>
            <w:vAlign w:val="center"/>
          </w:tcPr>
          <w:p>
            <w:pPr>
              <w:pageBreakBefore w:val="0"/>
              <w:kinsoku/>
              <w:wordWrap/>
              <w:overflowPunct/>
              <w:topLinePunct w:val="0"/>
              <w:bidi w:val="0"/>
              <w:snapToGrid w:val="0"/>
              <w:spacing w:line="360" w:lineRule="auto"/>
              <w:ind w:left="0" w:leftChars="0" w:right="0"/>
              <w:jc w:val="center"/>
              <w:textAlignment w:val="auto"/>
              <w:rPr>
                <w:rFonts w:cs="Times New Roman"/>
                <w:color w:val="auto"/>
              </w:rPr>
            </w:pPr>
            <w:r>
              <w:rPr>
                <w:rFonts w:hint="eastAsia" w:cs="宋体"/>
                <w:color w:val="auto"/>
              </w:rPr>
              <w:t>火灾、爆炸</w:t>
            </w:r>
          </w:p>
        </w:tc>
        <w:tc>
          <w:tcPr>
            <w:tcW w:w="368" w:type="pct"/>
            <w:shd w:val="clear" w:color="auto" w:fill="FFFF00"/>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ascii="宋体" w:hAnsi="宋体" w:cs="宋体"/>
                <w:color w:val="auto"/>
              </w:rPr>
              <w:t>3</w:t>
            </w:r>
            <w:r>
              <w:rPr>
                <w:rFonts w:hint="eastAsia" w:ascii="宋体" w:hAnsi="宋体" w:cs="宋体"/>
                <w:color w:val="auto"/>
              </w:rPr>
              <w:t>级</w:t>
            </w:r>
          </w:p>
        </w:tc>
        <w:tc>
          <w:tcPr>
            <w:tcW w:w="1049" w:type="pct"/>
            <w:vAlign w:val="center"/>
          </w:tcPr>
          <w:p>
            <w:pPr>
              <w:pageBreakBefore w:val="0"/>
              <w:kinsoku/>
              <w:wordWrap/>
              <w:overflowPunct/>
              <w:topLinePunct w:val="0"/>
              <w:bidi w:val="0"/>
              <w:snapToGrid w:val="0"/>
              <w:spacing w:line="360" w:lineRule="auto"/>
              <w:ind w:left="0" w:leftChars="0" w:right="0"/>
              <w:jc w:val="left"/>
              <w:textAlignment w:val="auto"/>
              <w:rPr>
                <w:rFonts w:ascii="宋体" w:cs="宋体"/>
                <w:color w:val="auto"/>
              </w:rPr>
            </w:pPr>
            <w:r>
              <w:rPr>
                <w:rFonts w:hint="eastAsia" w:ascii="宋体" w:hAnsi="宋体" w:cs="宋体"/>
                <w:color w:val="auto"/>
              </w:rPr>
              <w:t>定期进行检查</w:t>
            </w:r>
          </w:p>
        </w:tc>
        <w:tc>
          <w:tcPr>
            <w:tcW w:w="559"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加油站</w:t>
            </w:r>
          </w:p>
        </w:tc>
        <w:tc>
          <w:tcPr>
            <w:tcW w:w="500"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加油员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86" w:hRule="atLeast"/>
        </w:trPr>
        <w:tc>
          <w:tcPr>
            <w:tcW w:w="236" w:type="pct"/>
            <w:vAlign w:val="bottom"/>
          </w:tcPr>
          <w:p>
            <w:pPr>
              <w:pageBreakBefore w:val="0"/>
              <w:kinsoku/>
              <w:wordWrap/>
              <w:overflowPunct/>
              <w:topLinePunct w:val="0"/>
              <w:bidi w:val="0"/>
              <w:snapToGrid w:val="0"/>
              <w:spacing w:line="360" w:lineRule="auto"/>
              <w:ind w:left="0" w:leftChars="0" w:right="0"/>
              <w:jc w:val="center"/>
              <w:textAlignment w:val="auto"/>
              <w:rPr>
                <w:rFonts w:ascii="Calibri Light" w:hAnsi="Calibri Light" w:cs="Calibri Light"/>
                <w:color w:val="auto"/>
                <w:sz w:val="22"/>
                <w:szCs w:val="22"/>
              </w:rPr>
            </w:pPr>
            <w:r>
              <w:rPr>
                <w:rFonts w:ascii="Calibri Light" w:hAnsi="Calibri Light" w:cs="Calibri Light"/>
                <w:color w:val="auto"/>
                <w:sz w:val="22"/>
                <w:szCs w:val="22"/>
              </w:rPr>
              <w:t>15</w:t>
            </w:r>
          </w:p>
        </w:tc>
        <w:tc>
          <w:tcPr>
            <w:tcW w:w="1396" w:type="pct"/>
            <w:vAlign w:val="center"/>
          </w:tcPr>
          <w:p>
            <w:pPr>
              <w:pageBreakBefore w:val="0"/>
              <w:kinsoku/>
              <w:wordWrap/>
              <w:overflowPunct/>
              <w:topLinePunct w:val="0"/>
              <w:bidi w:val="0"/>
              <w:snapToGrid w:val="0"/>
              <w:spacing w:line="360" w:lineRule="auto"/>
              <w:ind w:left="0" w:leftChars="0" w:right="0"/>
              <w:jc w:val="left"/>
              <w:textAlignment w:val="auto"/>
              <w:rPr>
                <w:rFonts w:ascii="宋体" w:cs="宋体"/>
                <w:color w:val="auto"/>
              </w:rPr>
            </w:pPr>
            <w:r>
              <w:rPr>
                <w:rFonts w:hint="eastAsia" w:cs="宋体"/>
                <w:color w:val="auto"/>
              </w:rPr>
              <w:t>加油机线路、电机、接线盒不防爆、</w:t>
            </w:r>
            <w:r>
              <w:rPr>
                <w:rFonts w:hint="eastAsia" w:ascii="宋体" w:hAnsi="宋体" w:cs="宋体"/>
                <w:color w:val="auto"/>
              </w:rPr>
              <w:t>管道上的法兰、胶管等连接处未采用金属线跨接或</w:t>
            </w:r>
            <w:r>
              <w:rPr>
                <w:rFonts w:hint="eastAsia" w:cs="宋体"/>
                <w:color w:val="auto"/>
              </w:rPr>
              <w:t>静电接地失灵</w:t>
            </w:r>
          </w:p>
        </w:tc>
        <w:tc>
          <w:tcPr>
            <w:tcW w:w="396"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加油区</w:t>
            </w:r>
          </w:p>
        </w:tc>
        <w:tc>
          <w:tcPr>
            <w:tcW w:w="493"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火灾、爆炸</w:t>
            </w:r>
          </w:p>
        </w:tc>
        <w:tc>
          <w:tcPr>
            <w:tcW w:w="368" w:type="pct"/>
            <w:shd w:val="clear" w:color="auto" w:fill="FFFF00"/>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ascii="宋体" w:hAnsi="宋体" w:cs="宋体"/>
                <w:color w:val="auto"/>
              </w:rPr>
              <w:t>3</w:t>
            </w:r>
            <w:r>
              <w:rPr>
                <w:rFonts w:hint="eastAsia" w:ascii="宋体" w:hAnsi="宋体" w:cs="宋体"/>
                <w:color w:val="auto"/>
              </w:rPr>
              <w:t>级</w:t>
            </w:r>
          </w:p>
        </w:tc>
        <w:tc>
          <w:tcPr>
            <w:tcW w:w="1049" w:type="pct"/>
            <w:vAlign w:val="center"/>
          </w:tcPr>
          <w:p>
            <w:pPr>
              <w:pageBreakBefore w:val="0"/>
              <w:kinsoku/>
              <w:wordWrap/>
              <w:overflowPunct/>
              <w:topLinePunct w:val="0"/>
              <w:bidi w:val="0"/>
              <w:snapToGrid w:val="0"/>
              <w:spacing w:line="360" w:lineRule="auto"/>
              <w:ind w:left="0" w:leftChars="0" w:right="0"/>
              <w:jc w:val="left"/>
              <w:textAlignment w:val="auto"/>
              <w:rPr>
                <w:rFonts w:ascii="宋体" w:cs="宋体"/>
                <w:color w:val="auto"/>
              </w:rPr>
            </w:pPr>
            <w:r>
              <w:rPr>
                <w:rFonts w:hint="eastAsia" w:ascii="宋体" w:hAnsi="宋体" w:cs="宋体"/>
                <w:color w:val="auto"/>
              </w:rPr>
              <w:t>定期进行检测，班组进行检查</w:t>
            </w:r>
          </w:p>
        </w:tc>
        <w:tc>
          <w:tcPr>
            <w:tcW w:w="559"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加油站</w:t>
            </w:r>
          </w:p>
        </w:tc>
        <w:tc>
          <w:tcPr>
            <w:tcW w:w="500"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加油员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pageBreakBefore w:val="0"/>
              <w:kinsoku/>
              <w:wordWrap/>
              <w:overflowPunct/>
              <w:topLinePunct w:val="0"/>
              <w:bidi w:val="0"/>
              <w:snapToGrid w:val="0"/>
              <w:spacing w:line="360" w:lineRule="auto"/>
              <w:ind w:left="0" w:leftChars="0" w:right="0"/>
              <w:jc w:val="center"/>
              <w:textAlignment w:val="auto"/>
              <w:rPr>
                <w:rFonts w:ascii="Calibri Light" w:hAnsi="Calibri Light" w:cs="Calibri Light"/>
                <w:color w:val="auto"/>
                <w:sz w:val="22"/>
                <w:szCs w:val="22"/>
              </w:rPr>
            </w:pPr>
            <w:r>
              <w:rPr>
                <w:rFonts w:ascii="Calibri Light" w:hAnsi="Calibri Light" w:cs="Calibri Light"/>
                <w:color w:val="auto"/>
                <w:sz w:val="22"/>
                <w:szCs w:val="22"/>
              </w:rPr>
              <w:t>16</w:t>
            </w:r>
          </w:p>
        </w:tc>
        <w:tc>
          <w:tcPr>
            <w:tcW w:w="1396" w:type="pct"/>
            <w:vAlign w:val="center"/>
          </w:tcPr>
          <w:p>
            <w:pPr>
              <w:pageBreakBefore w:val="0"/>
              <w:kinsoku/>
              <w:wordWrap/>
              <w:overflowPunct/>
              <w:topLinePunct w:val="0"/>
              <w:bidi w:val="0"/>
              <w:snapToGrid w:val="0"/>
              <w:spacing w:line="360" w:lineRule="auto"/>
              <w:ind w:left="0" w:leftChars="0" w:right="0" w:firstLine="25"/>
              <w:textAlignment w:val="auto"/>
              <w:rPr>
                <w:rFonts w:ascii="宋体" w:cs="宋体"/>
                <w:color w:val="auto"/>
                <w:kern w:val="0"/>
              </w:rPr>
            </w:pPr>
            <w:r>
              <w:rPr>
                <w:rFonts w:hint="eastAsia" w:ascii="宋体" w:hAnsi="宋体" w:cs="宋体"/>
                <w:color w:val="auto"/>
                <w:kern w:val="0"/>
              </w:rPr>
              <w:t>加油软管长期磨损、车辆碾压等发生泄漏</w:t>
            </w:r>
          </w:p>
        </w:tc>
        <w:tc>
          <w:tcPr>
            <w:tcW w:w="396" w:type="pct"/>
            <w:vAlign w:val="center"/>
          </w:tcPr>
          <w:p>
            <w:pPr>
              <w:pageBreakBefore w:val="0"/>
              <w:kinsoku/>
              <w:wordWrap/>
              <w:overflowPunct/>
              <w:topLinePunct w:val="0"/>
              <w:bidi w:val="0"/>
              <w:snapToGrid w:val="0"/>
              <w:spacing w:line="360" w:lineRule="auto"/>
              <w:ind w:left="0" w:leftChars="0" w:right="0"/>
              <w:jc w:val="center"/>
              <w:textAlignment w:val="auto"/>
              <w:rPr>
                <w:rFonts w:cs="Times New Roman"/>
                <w:color w:val="auto"/>
              </w:rPr>
            </w:pPr>
            <w:r>
              <w:rPr>
                <w:rFonts w:hint="eastAsia" w:ascii="宋体" w:hAnsi="宋体" w:cs="宋体"/>
                <w:color w:val="auto"/>
              </w:rPr>
              <w:t>加油区</w:t>
            </w:r>
          </w:p>
        </w:tc>
        <w:tc>
          <w:tcPr>
            <w:tcW w:w="493" w:type="pct"/>
            <w:vAlign w:val="center"/>
          </w:tcPr>
          <w:p>
            <w:pPr>
              <w:pageBreakBefore w:val="0"/>
              <w:kinsoku/>
              <w:wordWrap/>
              <w:overflowPunct/>
              <w:topLinePunct w:val="0"/>
              <w:bidi w:val="0"/>
              <w:snapToGrid w:val="0"/>
              <w:spacing w:line="360" w:lineRule="auto"/>
              <w:ind w:left="0" w:leftChars="0" w:right="0"/>
              <w:jc w:val="center"/>
              <w:textAlignment w:val="auto"/>
              <w:rPr>
                <w:rFonts w:cs="Times New Roman"/>
                <w:color w:val="auto"/>
              </w:rPr>
            </w:pPr>
            <w:r>
              <w:rPr>
                <w:rFonts w:hint="eastAsia" w:cs="宋体"/>
                <w:color w:val="auto"/>
              </w:rPr>
              <w:t>火灾、爆炸</w:t>
            </w:r>
          </w:p>
        </w:tc>
        <w:tc>
          <w:tcPr>
            <w:tcW w:w="368" w:type="pct"/>
            <w:shd w:val="clear" w:color="auto" w:fill="FFFF00"/>
            <w:vAlign w:val="center"/>
          </w:tcPr>
          <w:p>
            <w:pPr>
              <w:pageBreakBefore w:val="0"/>
              <w:kinsoku/>
              <w:wordWrap/>
              <w:overflowPunct/>
              <w:topLinePunct w:val="0"/>
              <w:bidi w:val="0"/>
              <w:snapToGrid w:val="0"/>
              <w:spacing w:line="360" w:lineRule="auto"/>
              <w:ind w:left="0" w:leftChars="0" w:right="0"/>
              <w:jc w:val="center"/>
              <w:textAlignment w:val="auto"/>
              <w:rPr>
                <w:rFonts w:hint="eastAsia" w:eastAsia="宋体" w:cs="Times New Roman"/>
                <w:color w:val="auto"/>
                <w:lang w:eastAsia="zh-CN"/>
              </w:rPr>
            </w:pPr>
            <w:r>
              <w:rPr>
                <w:rFonts w:hint="eastAsia"/>
                <w:color w:val="auto"/>
                <w:lang w:val="en-US" w:eastAsia="zh-CN"/>
              </w:rPr>
              <w:t>3级</w:t>
            </w:r>
          </w:p>
        </w:tc>
        <w:tc>
          <w:tcPr>
            <w:tcW w:w="1049" w:type="pct"/>
            <w:vAlign w:val="center"/>
          </w:tcPr>
          <w:p>
            <w:pPr>
              <w:pageBreakBefore w:val="0"/>
              <w:kinsoku/>
              <w:wordWrap/>
              <w:overflowPunct/>
              <w:topLinePunct w:val="0"/>
              <w:bidi w:val="0"/>
              <w:snapToGrid w:val="0"/>
              <w:spacing w:line="360" w:lineRule="auto"/>
              <w:ind w:left="0" w:leftChars="0" w:right="0"/>
              <w:jc w:val="left"/>
              <w:textAlignment w:val="auto"/>
              <w:rPr>
                <w:rFonts w:cs="Times New Roman"/>
                <w:color w:val="auto"/>
              </w:rPr>
            </w:pPr>
            <w:r>
              <w:rPr>
                <w:rFonts w:hint="eastAsia" w:cs="宋体"/>
                <w:color w:val="auto"/>
              </w:rPr>
              <w:t>定期对软管进行检查，严格执行操作规程</w:t>
            </w:r>
          </w:p>
        </w:tc>
        <w:tc>
          <w:tcPr>
            <w:tcW w:w="559"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加油站</w:t>
            </w:r>
          </w:p>
        </w:tc>
        <w:tc>
          <w:tcPr>
            <w:tcW w:w="500"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加油员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pageBreakBefore w:val="0"/>
              <w:kinsoku/>
              <w:wordWrap/>
              <w:overflowPunct/>
              <w:topLinePunct w:val="0"/>
              <w:bidi w:val="0"/>
              <w:snapToGrid w:val="0"/>
              <w:spacing w:line="360" w:lineRule="auto"/>
              <w:ind w:left="0" w:leftChars="0" w:right="0"/>
              <w:jc w:val="center"/>
              <w:textAlignment w:val="auto"/>
              <w:rPr>
                <w:rFonts w:ascii="Calibri Light" w:hAnsi="Calibri Light" w:cs="Calibri Light"/>
                <w:color w:val="auto"/>
                <w:sz w:val="22"/>
                <w:szCs w:val="22"/>
              </w:rPr>
            </w:pPr>
            <w:r>
              <w:rPr>
                <w:rFonts w:ascii="Calibri Light" w:hAnsi="Calibri Light" w:cs="Calibri Light"/>
                <w:color w:val="auto"/>
                <w:sz w:val="22"/>
                <w:szCs w:val="22"/>
              </w:rPr>
              <w:t>17</w:t>
            </w:r>
          </w:p>
        </w:tc>
        <w:tc>
          <w:tcPr>
            <w:tcW w:w="1396" w:type="pct"/>
            <w:vAlign w:val="center"/>
          </w:tcPr>
          <w:p>
            <w:pPr>
              <w:pageBreakBefore w:val="0"/>
              <w:kinsoku/>
              <w:wordWrap/>
              <w:overflowPunct/>
              <w:topLinePunct w:val="0"/>
              <w:bidi w:val="0"/>
              <w:snapToGrid w:val="0"/>
              <w:spacing w:line="360" w:lineRule="auto"/>
              <w:ind w:left="0" w:leftChars="0" w:right="0" w:firstLine="25"/>
              <w:textAlignment w:val="auto"/>
              <w:rPr>
                <w:rFonts w:ascii="宋体" w:cs="宋体"/>
                <w:color w:val="auto"/>
                <w:kern w:val="0"/>
              </w:rPr>
            </w:pPr>
            <w:r>
              <w:rPr>
                <w:rFonts w:hint="eastAsia" w:ascii="宋体" w:hAnsi="宋体" w:cs="宋体"/>
                <w:color w:val="auto"/>
                <w:kern w:val="0"/>
              </w:rPr>
              <w:t>加油区未设置防撞柱，防撞柱设置不符合要求</w:t>
            </w:r>
          </w:p>
        </w:tc>
        <w:tc>
          <w:tcPr>
            <w:tcW w:w="396" w:type="pct"/>
            <w:vAlign w:val="center"/>
          </w:tcPr>
          <w:p>
            <w:pPr>
              <w:pageBreakBefore w:val="0"/>
              <w:kinsoku/>
              <w:wordWrap/>
              <w:overflowPunct/>
              <w:topLinePunct w:val="0"/>
              <w:bidi w:val="0"/>
              <w:snapToGrid w:val="0"/>
              <w:spacing w:line="360" w:lineRule="auto"/>
              <w:ind w:left="0" w:leftChars="0" w:right="0"/>
              <w:jc w:val="center"/>
              <w:textAlignment w:val="auto"/>
              <w:rPr>
                <w:rFonts w:cs="Times New Roman"/>
                <w:color w:val="auto"/>
              </w:rPr>
            </w:pPr>
            <w:r>
              <w:rPr>
                <w:rFonts w:hint="eastAsia" w:ascii="宋体" w:hAnsi="宋体" w:cs="宋体"/>
                <w:color w:val="auto"/>
              </w:rPr>
              <w:t>加油区</w:t>
            </w:r>
          </w:p>
        </w:tc>
        <w:tc>
          <w:tcPr>
            <w:tcW w:w="493" w:type="pct"/>
            <w:vAlign w:val="center"/>
          </w:tcPr>
          <w:p>
            <w:pPr>
              <w:pageBreakBefore w:val="0"/>
              <w:kinsoku/>
              <w:wordWrap/>
              <w:overflowPunct/>
              <w:topLinePunct w:val="0"/>
              <w:bidi w:val="0"/>
              <w:snapToGrid w:val="0"/>
              <w:spacing w:line="360" w:lineRule="auto"/>
              <w:ind w:left="0" w:leftChars="0" w:right="0"/>
              <w:jc w:val="center"/>
              <w:textAlignment w:val="auto"/>
              <w:rPr>
                <w:rFonts w:cs="Times New Roman"/>
                <w:color w:val="auto"/>
              </w:rPr>
            </w:pPr>
            <w:r>
              <w:rPr>
                <w:rFonts w:hint="eastAsia" w:cs="宋体"/>
                <w:color w:val="auto"/>
              </w:rPr>
              <w:t>火灾、爆炸</w:t>
            </w:r>
          </w:p>
        </w:tc>
        <w:tc>
          <w:tcPr>
            <w:tcW w:w="368" w:type="pct"/>
            <w:shd w:val="clear" w:color="auto" w:fill="FFFF00"/>
            <w:vAlign w:val="center"/>
          </w:tcPr>
          <w:p>
            <w:pPr>
              <w:pageBreakBefore w:val="0"/>
              <w:kinsoku/>
              <w:wordWrap/>
              <w:overflowPunct/>
              <w:topLinePunct w:val="0"/>
              <w:bidi w:val="0"/>
              <w:snapToGrid w:val="0"/>
              <w:spacing w:line="360" w:lineRule="auto"/>
              <w:ind w:left="0" w:leftChars="0" w:right="0"/>
              <w:jc w:val="center"/>
              <w:textAlignment w:val="auto"/>
              <w:rPr>
                <w:rFonts w:cs="Times New Roman"/>
                <w:color w:val="auto"/>
              </w:rPr>
            </w:pPr>
            <w:r>
              <w:rPr>
                <w:rFonts w:ascii="宋体" w:hAnsi="宋体" w:cs="宋体"/>
                <w:color w:val="auto"/>
              </w:rPr>
              <w:t>3</w:t>
            </w:r>
            <w:r>
              <w:rPr>
                <w:rFonts w:hint="eastAsia" w:ascii="宋体" w:hAnsi="宋体" w:cs="宋体"/>
                <w:color w:val="auto"/>
              </w:rPr>
              <w:t>级</w:t>
            </w:r>
          </w:p>
        </w:tc>
        <w:tc>
          <w:tcPr>
            <w:tcW w:w="1049" w:type="pct"/>
            <w:vAlign w:val="center"/>
          </w:tcPr>
          <w:p>
            <w:pPr>
              <w:pageBreakBefore w:val="0"/>
              <w:kinsoku/>
              <w:wordWrap/>
              <w:overflowPunct/>
              <w:topLinePunct w:val="0"/>
              <w:bidi w:val="0"/>
              <w:snapToGrid w:val="0"/>
              <w:spacing w:line="360" w:lineRule="auto"/>
              <w:ind w:left="0" w:leftChars="0" w:right="0"/>
              <w:jc w:val="left"/>
              <w:textAlignment w:val="auto"/>
              <w:rPr>
                <w:rFonts w:cs="Times New Roman"/>
                <w:color w:val="auto"/>
              </w:rPr>
            </w:pPr>
            <w:r>
              <w:rPr>
                <w:rFonts w:hint="eastAsia" w:cs="宋体"/>
                <w:color w:val="auto"/>
              </w:rPr>
              <w:t>定期对防撞柱进行检查，及时维修更换</w:t>
            </w:r>
          </w:p>
        </w:tc>
        <w:tc>
          <w:tcPr>
            <w:tcW w:w="559"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加油站</w:t>
            </w:r>
          </w:p>
        </w:tc>
        <w:tc>
          <w:tcPr>
            <w:tcW w:w="500"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加油员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36" w:type="pct"/>
            <w:vAlign w:val="bottom"/>
          </w:tcPr>
          <w:p>
            <w:pPr>
              <w:pageBreakBefore w:val="0"/>
              <w:kinsoku/>
              <w:wordWrap/>
              <w:overflowPunct/>
              <w:topLinePunct w:val="0"/>
              <w:bidi w:val="0"/>
              <w:snapToGrid w:val="0"/>
              <w:spacing w:line="360" w:lineRule="auto"/>
              <w:ind w:left="0" w:leftChars="0" w:right="0"/>
              <w:jc w:val="center"/>
              <w:textAlignment w:val="auto"/>
              <w:rPr>
                <w:rFonts w:ascii="Calibri Light" w:hAnsi="Calibri Light" w:cs="Calibri Light"/>
                <w:color w:val="auto"/>
                <w:sz w:val="22"/>
                <w:szCs w:val="22"/>
              </w:rPr>
            </w:pPr>
            <w:r>
              <w:rPr>
                <w:rFonts w:ascii="Calibri Light" w:hAnsi="Calibri Light" w:cs="Calibri Light"/>
                <w:color w:val="auto"/>
                <w:sz w:val="22"/>
                <w:szCs w:val="22"/>
              </w:rPr>
              <w:t>18</w:t>
            </w:r>
          </w:p>
        </w:tc>
        <w:tc>
          <w:tcPr>
            <w:tcW w:w="1396" w:type="pct"/>
            <w:vAlign w:val="center"/>
          </w:tcPr>
          <w:p>
            <w:pPr>
              <w:pageBreakBefore w:val="0"/>
              <w:kinsoku/>
              <w:wordWrap/>
              <w:overflowPunct/>
              <w:topLinePunct w:val="0"/>
              <w:bidi w:val="0"/>
              <w:snapToGrid w:val="0"/>
              <w:spacing w:line="360" w:lineRule="auto"/>
              <w:ind w:left="0" w:leftChars="0" w:right="0"/>
              <w:jc w:val="left"/>
              <w:textAlignment w:val="auto"/>
              <w:rPr>
                <w:rFonts w:cs="Times New Roman"/>
                <w:color w:val="auto"/>
              </w:rPr>
            </w:pPr>
            <w:r>
              <w:rPr>
                <w:rFonts w:hint="eastAsia" w:cs="宋体"/>
                <w:color w:val="auto"/>
              </w:rPr>
              <w:t>加油员违反操作规程作业</w:t>
            </w:r>
          </w:p>
        </w:tc>
        <w:tc>
          <w:tcPr>
            <w:tcW w:w="396" w:type="pct"/>
            <w:vAlign w:val="center"/>
          </w:tcPr>
          <w:p>
            <w:pPr>
              <w:pageBreakBefore w:val="0"/>
              <w:kinsoku/>
              <w:wordWrap/>
              <w:overflowPunct/>
              <w:topLinePunct w:val="0"/>
              <w:bidi w:val="0"/>
              <w:snapToGrid w:val="0"/>
              <w:spacing w:line="360" w:lineRule="auto"/>
              <w:ind w:left="0" w:leftChars="0" w:right="0"/>
              <w:jc w:val="center"/>
              <w:textAlignment w:val="auto"/>
              <w:rPr>
                <w:rFonts w:cs="Times New Roman"/>
                <w:color w:val="auto"/>
              </w:rPr>
            </w:pPr>
            <w:r>
              <w:rPr>
                <w:rFonts w:hint="eastAsia" w:ascii="宋体" w:hAnsi="宋体" w:cs="宋体"/>
                <w:color w:val="auto"/>
              </w:rPr>
              <w:t>加油区</w:t>
            </w:r>
          </w:p>
        </w:tc>
        <w:tc>
          <w:tcPr>
            <w:tcW w:w="493" w:type="pct"/>
            <w:vAlign w:val="center"/>
          </w:tcPr>
          <w:p>
            <w:pPr>
              <w:pageBreakBefore w:val="0"/>
              <w:kinsoku/>
              <w:wordWrap/>
              <w:overflowPunct/>
              <w:topLinePunct w:val="0"/>
              <w:bidi w:val="0"/>
              <w:snapToGrid w:val="0"/>
              <w:spacing w:line="360" w:lineRule="auto"/>
              <w:ind w:left="0" w:leftChars="0" w:right="0"/>
              <w:jc w:val="center"/>
              <w:textAlignment w:val="auto"/>
              <w:rPr>
                <w:rFonts w:cs="Times New Roman"/>
                <w:color w:val="auto"/>
              </w:rPr>
            </w:pPr>
            <w:r>
              <w:rPr>
                <w:rFonts w:hint="eastAsia" w:cs="宋体"/>
                <w:color w:val="auto"/>
              </w:rPr>
              <w:t>火灾爆炸</w:t>
            </w:r>
          </w:p>
        </w:tc>
        <w:tc>
          <w:tcPr>
            <w:tcW w:w="368" w:type="pct"/>
            <w:shd w:val="clear" w:color="auto" w:fill="FFFF00"/>
            <w:vAlign w:val="center"/>
          </w:tcPr>
          <w:p>
            <w:pPr>
              <w:pageBreakBefore w:val="0"/>
              <w:kinsoku/>
              <w:wordWrap/>
              <w:overflowPunct/>
              <w:topLinePunct w:val="0"/>
              <w:bidi w:val="0"/>
              <w:snapToGrid w:val="0"/>
              <w:spacing w:line="360" w:lineRule="auto"/>
              <w:ind w:left="0" w:leftChars="0" w:right="0"/>
              <w:jc w:val="center"/>
              <w:textAlignment w:val="auto"/>
              <w:rPr>
                <w:rFonts w:cs="Times New Roman"/>
                <w:color w:val="auto"/>
              </w:rPr>
            </w:pPr>
            <w:r>
              <w:rPr>
                <w:rFonts w:ascii="宋体" w:hAnsi="宋体" w:cs="宋体"/>
                <w:color w:val="auto"/>
              </w:rPr>
              <w:t>3</w:t>
            </w:r>
            <w:r>
              <w:rPr>
                <w:rFonts w:hint="eastAsia" w:ascii="宋体" w:hAnsi="宋体" w:cs="宋体"/>
                <w:color w:val="auto"/>
              </w:rPr>
              <w:t>级</w:t>
            </w:r>
          </w:p>
        </w:tc>
        <w:tc>
          <w:tcPr>
            <w:tcW w:w="1049" w:type="pct"/>
            <w:vAlign w:val="center"/>
          </w:tcPr>
          <w:p>
            <w:pPr>
              <w:pageBreakBefore w:val="0"/>
              <w:kinsoku/>
              <w:wordWrap/>
              <w:overflowPunct/>
              <w:topLinePunct w:val="0"/>
              <w:bidi w:val="0"/>
              <w:snapToGrid w:val="0"/>
              <w:spacing w:line="360" w:lineRule="auto"/>
              <w:ind w:left="0" w:leftChars="0" w:right="0"/>
              <w:jc w:val="left"/>
              <w:textAlignment w:val="auto"/>
              <w:rPr>
                <w:rFonts w:cs="Times New Roman"/>
                <w:color w:val="auto"/>
              </w:rPr>
            </w:pPr>
            <w:r>
              <w:rPr>
                <w:rFonts w:hint="eastAsia" w:cs="宋体"/>
                <w:color w:val="auto"/>
              </w:rPr>
              <w:t>严格执行操作规程</w:t>
            </w:r>
          </w:p>
        </w:tc>
        <w:tc>
          <w:tcPr>
            <w:tcW w:w="559"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加油站</w:t>
            </w:r>
          </w:p>
        </w:tc>
        <w:tc>
          <w:tcPr>
            <w:tcW w:w="500"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加油员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pageBreakBefore w:val="0"/>
              <w:kinsoku/>
              <w:wordWrap/>
              <w:overflowPunct/>
              <w:topLinePunct w:val="0"/>
              <w:bidi w:val="0"/>
              <w:snapToGrid w:val="0"/>
              <w:spacing w:line="360" w:lineRule="auto"/>
              <w:ind w:left="0" w:leftChars="0" w:right="0"/>
              <w:jc w:val="center"/>
              <w:textAlignment w:val="auto"/>
              <w:rPr>
                <w:rFonts w:ascii="Calibri Light" w:hAnsi="Calibri Light" w:cs="Calibri Light"/>
                <w:color w:val="auto"/>
                <w:sz w:val="22"/>
                <w:szCs w:val="22"/>
              </w:rPr>
            </w:pPr>
            <w:r>
              <w:rPr>
                <w:rFonts w:ascii="Calibri Light" w:hAnsi="Calibri Light" w:cs="Calibri Light"/>
                <w:color w:val="auto"/>
                <w:sz w:val="22"/>
                <w:szCs w:val="22"/>
              </w:rPr>
              <w:t>19</w:t>
            </w:r>
          </w:p>
        </w:tc>
        <w:tc>
          <w:tcPr>
            <w:tcW w:w="1396" w:type="pct"/>
            <w:vAlign w:val="center"/>
          </w:tcPr>
          <w:p>
            <w:pPr>
              <w:pageBreakBefore w:val="0"/>
              <w:kinsoku/>
              <w:wordWrap/>
              <w:overflowPunct/>
              <w:topLinePunct w:val="0"/>
              <w:bidi w:val="0"/>
              <w:snapToGrid w:val="0"/>
              <w:spacing w:line="360" w:lineRule="auto"/>
              <w:ind w:left="0" w:leftChars="0" w:right="0"/>
              <w:jc w:val="left"/>
              <w:textAlignment w:val="auto"/>
              <w:rPr>
                <w:rFonts w:cs="Times New Roman"/>
                <w:color w:val="auto"/>
              </w:rPr>
            </w:pPr>
            <w:r>
              <w:rPr>
                <w:rFonts w:hint="eastAsia" w:cs="宋体"/>
                <w:color w:val="auto"/>
              </w:rPr>
              <w:t>司乘人员违反规定吸烟、使用通讯工具、穿脱化纤衣物或车辆未熄火加油</w:t>
            </w:r>
          </w:p>
        </w:tc>
        <w:tc>
          <w:tcPr>
            <w:tcW w:w="396" w:type="pct"/>
            <w:vAlign w:val="center"/>
          </w:tcPr>
          <w:p>
            <w:pPr>
              <w:pageBreakBefore w:val="0"/>
              <w:kinsoku/>
              <w:wordWrap/>
              <w:overflowPunct/>
              <w:topLinePunct w:val="0"/>
              <w:bidi w:val="0"/>
              <w:snapToGrid w:val="0"/>
              <w:spacing w:line="360" w:lineRule="auto"/>
              <w:ind w:left="0" w:leftChars="0" w:right="0"/>
              <w:jc w:val="center"/>
              <w:textAlignment w:val="auto"/>
              <w:rPr>
                <w:rFonts w:cs="Times New Roman"/>
                <w:color w:val="auto"/>
              </w:rPr>
            </w:pPr>
            <w:r>
              <w:rPr>
                <w:rFonts w:hint="eastAsia" w:ascii="宋体" w:hAnsi="宋体" w:cs="宋体"/>
                <w:color w:val="auto"/>
              </w:rPr>
              <w:t>加油区</w:t>
            </w:r>
          </w:p>
        </w:tc>
        <w:tc>
          <w:tcPr>
            <w:tcW w:w="493" w:type="pct"/>
            <w:vAlign w:val="center"/>
          </w:tcPr>
          <w:p>
            <w:pPr>
              <w:pageBreakBefore w:val="0"/>
              <w:kinsoku/>
              <w:wordWrap/>
              <w:overflowPunct/>
              <w:topLinePunct w:val="0"/>
              <w:bidi w:val="0"/>
              <w:snapToGrid w:val="0"/>
              <w:spacing w:line="360" w:lineRule="auto"/>
              <w:ind w:left="0" w:leftChars="0" w:right="0"/>
              <w:jc w:val="center"/>
              <w:textAlignment w:val="auto"/>
              <w:rPr>
                <w:rFonts w:cs="Times New Roman"/>
                <w:color w:val="auto"/>
              </w:rPr>
            </w:pPr>
            <w:r>
              <w:rPr>
                <w:rFonts w:hint="eastAsia" w:cs="宋体"/>
                <w:color w:val="auto"/>
              </w:rPr>
              <w:t>火灾、爆炸</w:t>
            </w:r>
          </w:p>
        </w:tc>
        <w:tc>
          <w:tcPr>
            <w:tcW w:w="368" w:type="pct"/>
            <w:shd w:val="clear" w:color="auto" w:fill="FFFF00"/>
            <w:vAlign w:val="center"/>
          </w:tcPr>
          <w:p>
            <w:pPr>
              <w:pageBreakBefore w:val="0"/>
              <w:kinsoku/>
              <w:wordWrap/>
              <w:overflowPunct/>
              <w:topLinePunct w:val="0"/>
              <w:bidi w:val="0"/>
              <w:snapToGrid w:val="0"/>
              <w:spacing w:line="360" w:lineRule="auto"/>
              <w:ind w:left="0" w:leftChars="0" w:right="0"/>
              <w:jc w:val="center"/>
              <w:textAlignment w:val="auto"/>
              <w:rPr>
                <w:rFonts w:cs="Times New Roman"/>
                <w:color w:val="auto"/>
              </w:rPr>
            </w:pPr>
            <w:r>
              <w:rPr>
                <w:rFonts w:ascii="宋体" w:hAnsi="宋体" w:cs="宋体"/>
                <w:color w:val="auto"/>
              </w:rPr>
              <w:t>3</w:t>
            </w:r>
            <w:r>
              <w:rPr>
                <w:rFonts w:hint="eastAsia" w:ascii="宋体" w:hAnsi="宋体" w:cs="宋体"/>
                <w:color w:val="auto"/>
              </w:rPr>
              <w:t>级</w:t>
            </w:r>
          </w:p>
        </w:tc>
        <w:tc>
          <w:tcPr>
            <w:tcW w:w="1049" w:type="pct"/>
            <w:vAlign w:val="center"/>
          </w:tcPr>
          <w:p>
            <w:pPr>
              <w:pageBreakBefore w:val="0"/>
              <w:kinsoku/>
              <w:wordWrap/>
              <w:overflowPunct/>
              <w:topLinePunct w:val="0"/>
              <w:bidi w:val="0"/>
              <w:snapToGrid w:val="0"/>
              <w:spacing w:line="360" w:lineRule="auto"/>
              <w:ind w:left="0" w:leftChars="0" w:right="0"/>
              <w:jc w:val="left"/>
              <w:textAlignment w:val="auto"/>
              <w:rPr>
                <w:rFonts w:cs="Times New Roman"/>
                <w:color w:val="auto"/>
              </w:rPr>
            </w:pPr>
            <w:r>
              <w:rPr>
                <w:rFonts w:hint="eastAsia" w:cs="宋体"/>
                <w:color w:val="auto"/>
              </w:rPr>
              <w:t>发现司乘人员违反规定，加油员要及时责令其停止不安全行为</w:t>
            </w:r>
          </w:p>
        </w:tc>
        <w:tc>
          <w:tcPr>
            <w:tcW w:w="559"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加油站</w:t>
            </w:r>
          </w:p>
        </w:tc>
        <w:tc>
          <w:tcPr>
            <w:tcW w:w="500"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加油员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236" w:type="pct"/>
            <w:vAlign w:val="bottom"/>
          </w:tcPr>
          <w:p>
            <w:pPr>
              <w:pageBreakBefore w:val="0"/>
              <w:kinsoku/>
              <w:wordWrap/>
              <w:overflowPunct/>
              <w:topLinePunct w:val="0"/>
              <w:bidi w:val="0"/>
              <w:snapToGrid w:val="0"/>
              <w:spacing w:line="360" w:lineRule="auto"/>
              <w:ind w:left="0" w:leftChars="0" w:right="0"/>
              <w:jc w:val="center"/>
              <w:textAlignment w:val="auto"/>
              <w:rPr>
                <w:rFonts w:ascii="Calibri Light" w:hAnsi="Calibri Light" w:cs="Calibri Light"/>
                <w:color w:val="auto"/>
                <w:sz w:val="22"/>
                <w:szCs w:val="22"/>
              </w:rPr>
            </w:pPr>
            <w:r>
              <w:rPr>
                <w:rFonts w:ascii="Calibri Light" w:hAnsi="Calibri Light" w:cs="Calibri Light"/>
                <w:color w:val="auto"/>
                <w:sz w:val="22"/>
                <w:szCs w:val="22"/>
              </w:rPr>
              <w:t>20</w:t>
            </w:r>
          </w:p>
        </w:tc>
        <w:tc>
          <w:tcPr>
            <w:tcW w:w="1396" w:type="pct"/>
            <w:vAlign w:val="center"/>
          </w:tcPr>
          <w:p>
            <w:pPr>
              <w:pageBreakBefore w:val="0"/>
              <w:kinsoku/>
              <w:wordWrap/>
              <w:overflowPunct/>
              <w:topLinePunct w:val="0"/>
              <w:bidi w:val="0"/>
              <w:snapToGrid w:val="0"/>
              <w:spacing w:line="360" w:lineRule="auto"/>
              <w:ind w:left="0" w:leftChars="0" w:right="0"/>
              <w:jc w:val="left"/>
              <w:textAlignment w:val="auto"/>
              <w:rPr>
                <w:rFonts w:cs="Times New Roman"/>
                <w:color w:val="auto"/>
              </w:rPr>
            </w:pPr>
            <w:r>
              <w:rPr>
                <w:rFonts w:hint="eastAsia" w:cs="宋体"/>
                <w:color w:val="auto"/>
              </w:rPr>
              <w:t>有高强闪电或雷击频繁时，进行加油作业</w:t>
            </w:r>
          </w:p>
        </w:tc>
        <w:tc>
          <w:tcPr>
            <w:tcW w:w="396" w:type="pct"/>
            <w:vAlign w:val="center"/>
          </w:tcPr>
          <w:p>
            <w:pPr>
              <w:pageBreakBefore w:val="0"/>
              <w:kinsoku/>
              <w:wordWrap/>
              <w:overflowPunct/>
              <w:topLinePunct w:val="0"/>
              <w:bidi w:val="0"/>
              <w:snapToGrid w:val="0"/>
              <w:spacing w:line="360" w:lineRule="auto"/>
              <w:ind w:left="0" w:leftChars="0" w:right="0"/>
              <w:jc w:val="center"/>
              <w:textAlignment w:val="auto"/>
              <w:rPr>
                <w:rFonts w:cs="Times New Roman"/>
                <w:color w:val="auto"/>
              </w:rPr>
            </w:pPr>
            <w:r>
              <w:rPr>
                <w:rFonts w:hint="eastAsia" w:ascii="宋体" w:hAnsi="宋体" w:cs="宋体"/>
                <w:color w:val="auto"/>
              </w:rPr>
              <w:t>加油区</w:t>
            </w:r>
          </w:p>
        </w:tc>
        <w:tc>
          <w:tcPr>
            <w:tcW w:w="493" w:type="pct"/>
            <w:vAlign w:val="center"/>
          </w:tcPr>
          <w:p>
            <w:pPr>
              <w:pageBreakBefore w:val="0"/>
              <w:kinsoku/>
              <w:wordWrap/>
              <w:overflowPunct/>
              <w:topLinePunct w:val="0"/>
              <w:bidi w:val="0"/>
              <w:snapToGrid w:val="0"/>
              <w:spacing w:line="360" w:lineRule="auto"/>
              <w:ind w:left="0" w:leftChars="0" w:right="0"/>
              <w:jc w:val="center"/>
              <w:textAlignment w:val="auto"/>
              <w:rPr>
                <w:rFonts w:cs="Times New Roman"/>
                <w:color w:val="auto"/>
              </w:rPr>
            </w:pPr>
            <w:r>
              <w:rPr>
                <w:rFonts w:hint="eastAsia" w:cs="宋体"/>
                <w:color w:val="auto"/>
              </w:rPr>
              <w:t>火灾、爆炸</w:t>
            </w:r>
          </w:p>
        </w:tc>
        <w:tc>
          <w:tcPr>
            <w:tcW w:w="368" w:type="pct"/>
            <w:shd w:val="clear" w:color="auto" w:fill="FFFF00"/>
            <w:vAlign w:val="center"/>
          </w:tcPr>
          <w:p>
            <w:pPr>
              <w:pageBreakBefore w:val="0"/>
              <w:kinsoku/>
              <w:wordWrap/>
              <w:overflowPunct/>
              <w:topLinePunct w:val="0"/>
              <w:bidi w:val="0"/>
              <w:snapToGrid w:val="0"/>
              <w:spacing w:line="360" w:lineRule="auto"/>
              <w:ind w:left="0" w:leftChars="0" w:right="0"/>
              <w:jc w:val="center"/>
              <w:textAlignment w:val="auto"/>
              <w:rPr>
                <w:rFonts w:cs="Times New Roman"/>
                <w:color w:val="auto"/>
                <w:highlight w:val="yellow"/>
              </w:rPr>
            </w:pPr>
            <w:r>
              <w:rPr>
                <w:rFonts w:ascii="宋体" w:hAnsi="宋体" w:cs="宋体"/>
                <w:color w:val="auto"/>
              </w:rPr>
              <w:t>3</w:t>
            </w:r>
            <w:r>
              <w:rPr>
                <w:rFonts w:hint="eastAsia" w:ascii="宋体" w:hAnsi="宋体" w:cs="宋体"/>
                <w:color w:val="auto"/>
              </w:rPr>
              <w:t>级</w:t>
            </w:r>
          </w:p>
        </w:tc>
        <w:tc>
          <w:tcPr>
            <w:tcW w:w="1049" w:type="pct"/>
            <w:vAlign w:val="center"/>
          </w:tcPr>
          <w:p>
            <w:pPr>
              <w:pageBreakBefore w:val="0"/>
              <w:kinsoku/>
              <w:wordWrap/>
              <w:overflowPunct/>
              <w:topLinePunct w:val="0"/>
              <w:bidi w:val="0"/>
              <w:snapToGrid w:val="0"/>
              <w:spacing w:line="360" w:lineRule="auto"/>
              <w:ind w:left="0" w:leftChars="0" w:right="0"/>
              <w:jc w:val="left"/>
              <w:textAlignment w:val="auto"/>
              <w:rPr>
                <w:rFonts w:cs="Times New Roman"/>
                <w:color w:val="auto"/>
              </w:rPr>
            </w:pPr>
            <w:r>
              <w:rPr>
                <w:rFonts w:hint="eastAsia" w:cs="宋体"/>
                <w:color w:val="auto"/>
              </w:rPr>
              <w:t>在规程中明确要求：闪电或雷击时停止加油</w:t>
            </w:r>
          </w:p>
        </w:tc>
        <w:tc>
          <w:tcPr>
            <w:tcW w:w="559"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加油站</w:t>
            </w:r>
          </w:p>
        </w:tc>
        <w:tc>
          <w:tcPr>
            <w:tcW w:w="500"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站长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236" w:type="pct"/>
            <w:vAlign w:val="bottom"/>
          </w:tcPr>
          <w:p>
            <w:pPr>
              <w:pageBreakBefore w:val="0"/>
              <w:kinsoku/>
              <w:wordWrap/>
              <w:overflowPunct/>
              <w:topLinePunct w:val="0"/>
              <w:bidi w:val="0"/>
              <w:snapToGrid w:val="0"/>
              <w:spacing w:line="360" w:lineRule="auto"/>
              <w:ind w:left="0" w:leftChars="0" w:right="0"/>
              <w:jc w:val="center"/>
              <w:textAlignment w:val="auto"/>
              <w:rPr>
                <w:rFonts w:ascii="Calibri Light" w:hAnsi="Calibri Light" w:cs="Calibri Light"/>
                <w:color w:val="auto"/>
                <w:sz w:val="22"/>
                <w:szCs w:val="22"/>
              </w:rPr>
            </w:pPr>
            <w:r>
              <w:rPr>
                <w:rFonts w:ascii="Calibri Light" w:hAnsi="Calibri Light" w:cs="Calibri Light"/>
                <w:color w:val="auto"/>
                <w:sz w:val="22"/>
                <w:szCs w:val="22"/>
              </w:rPr>
              <w:t>21</w:t>
            </w:r>
          </w:p>
        </w:tc>
        <w:tc>
          <w:tcPr>
            <w:tcW w:w="1396" w:type="pct"/>
            <w:vAlign w:val="center"/>
          </w:tcPr>
          <w:p>
            <w:pPr>
              <w:pageBreakBefore w:val="0"/>
              <w:kinsoku/>
              <w:wordWrap/>
              <w:overflowPunct/>
              <w:topLinePunct w:val="0"/>
              <w:bidi w:val="0"/>
              <w:snapToGrid w:val="0"/>
              <w:spacing w:line="360" w:lineRule="auto"/>
              <w:ind w:left="0" w:leftChars="0" w:right="0"/>
              <w:textAlignment w:val="auto"/>
              <w:rPr>
                <w:rFonts w:ascii="宋体" w:cs="宋体"/>
                <w:color w:val="auto"/>
              </w:rPr>
            </w:pPr>
            <w:r>
              <w:rPr>
                <w:rFonts w:hint="eastAsia" w:ascii="宋体" w:hAnsi="宋体" w:cs="宋体"/>
                <w:color w:val="auto"/>
              </w:rPr>
              <w:t>配电柜前未设置绝缘胶板或绝缘胶板不符合要求</w:t>
            </w:r>
          </w:p>
        </w:tc>
        <w:tc>
          <w:tcPr>
            <w:tcW w:w="396" w:type="pct"/>
            <w:vAlign w:val="center"/>
          </w:tcPr>
          <w:p>
            <w:pPr>
              <w:pageBreakBefore w:val="0"/>
              <w:kinsoku/>
              <w:wordWrap/>
              <w:overflowPunct/>
              <w:topLinePunct w:val="0"/>
              <w:bidi w:val="0"/>
              <w:snapToGrid w:val="0"/>
              <w:spacing w:line="360" w:lineRule="auto"/>
              <w:ind w:left="0" w:leftChars="0" w:right="0"/>
              <w:jc w:val="center"/>
              <w:textAlignment w:val="auto"/>
              <w:rPr>
                <w:rFonts w:cs="Times New Roman"/>
                <w:color w:val="auto"/>
              </w:rPr>
            </w:pPr>
            <w:r>
              <w:rPr>
                <w:rFonts w:hint="eastAsia" w:ascii="宋体" w:hAnsi="宋体" w:cs="宋体"/>
                <w:color w:val="auto"/>
              </w:rPr>
              <w:t>配电间</w:t>
            </w:r>
          </w:p>
        </w:tc>
        <w:tc>
          <w:tcPr>
            <w:tcW w:w="493"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触电</w:t>
            </w:r>
          </w:p>
        </w:tc>
        <w:tc>
          <w:tcPr>
            <w:tcW w:w="368" w:type="pct"/>
            <w:shd w:val="clear" w:color="auto" w:fill="0070C0"/>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ascii="宋体" w:hAnsi="宋体" w:cs="宋体"/>
                <w:color w:val="auto"/>
              </w:rPr>
              <w:t>4</w:t>
            </w:r>
            <w:r>
              <w:rPr>
                <w:rFonts w:hint="eastAsia" w:ascii="宋体" w:hAnsi="宋体" w:cs="宋体"/>
                <w:color w:val="auto"/>
              </w:rPr>
              <w:t>级</w:t>
            </w:r>
          </w:p>
        </w:tc>
        <w:tc>
          <w:tcPr>
            <w:tcW w:w="1049" w:type="pct"/>
            <w:vAlign w:val="center"/>
          </w:tcPr>
          <w:p>
            <w:pPr>
              <w:pageBreakBefore w:val="0"/>
              <w:kinsoku/>
              <w:wordWrap/>
              <w:overflowPunct/>
              <w:topLinePunct w:val="0"/>
              <w:bidi w:val="0"/>
              <w:snapToGrid w:val="0"/>
              <w:spacing w:line="360" w:lineRule="auto"/>
              <w:ind w:left="0" w:leftChars="0" w:right="0"/>
              <w:jc w:val="left"/>
              <w:textAlignment w:val="auto"/>
              <w:rPr>
                <w:rFonts w:ascii="宋体" w:cs="宋体"/>
                <w:color w:val="auto"/>
              </w:rPr>
            </w:pPr>
            <w:r>
              <w:rPr>
                <w:rFonts w:hint="eastAsia" w:ascii="宋体" w:hAnsi="宋体" w:cs="宋体"/>
                <w:color w:val="auto"/>
              </w:rPr>
              <w:t>定期对配电间进行检查</w:t>
            </w:r>
          </w:p>
        </w:tc>
        <w:tc>
          <w:tcPr>
            <w:tcW w:w="559"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加油站</w:t>
            </w:r>
          </w:p>
        </w:tc>
        <w:tc>
          <w:tcPr>
            <w:tcW w:w="500"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班长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236" w:type="pct"/>
            <w:vAlign w:val="bottom"/>
          </w:tcPr>
          <w:p>
            <w:pPr>
              <w:pageBreakBefore w:val="0"/>
              <w:kinsoku/>
              <w:wordWrap/>
              <w:overflowPunct/>
              <w:topLinePunct w:val="0"/>
              <w:bidi w:val="0"/>
              <w:snapToGrid w:val="0"/>
              <w:spacing w:line="360" w:lineRule="auto"/>
              <w:ind w:left="0" w:leftChars="0" w:right="0"/>
              <w:jc w:val="center"/>
              <w:textAlignment w:val="auto"/>
              <w:rPr>
                <w:rFonts w:ascii="Calibri Light" w:hAnsi="Calibri Light" w:cs="Calibri Light"/>
                <w:color w:val="auto"/>
                <w:sz w:val="22"/>
                <w:szCs w:val="22"/>
              </w:rPr>
            </w:pPr>
            <w:r>
              <w:rPr>
                <w:rFonts w:ascii="Calibri Light" w:hAnsi="Calibri Light" w:cs="Calibri Light"/>
                <w:color w:val="auto"/>
                <w:sz w:val="22"/>
                <w:szCs w:val="22"/>
              </w:rPr>
              <w:t>22</w:t>
            </w:r>
          </w:p>
        </w:tc>
        <w:tc>
          <w:tcPr>
            <w:tcW w:w="1396" w:type="pct"/>
            <w:vAlign w:val="center"/>
          </w:tcPr>
          <w:p>
            <w:pPr>
              <w:pageBreakBefore w:val="0"/>
              <w:kinsoku/>
              <w:wordWrap/>
              <w:overflowPunct/>
              <w:topLinePunct w:val="0"/>
              <w:bidi w:val="0"/>
              <w:snapToGrid w:val="0"/>
              <w:spacing w:line="360" w:lineRule="auto"/>
              <w:ind w:left="0" w:leftChars="0" w:right="0"/>
              <w:textAlignment w:val="auto"/>
              <w:rPr>
                <w:rFonts w:ascii="宋体" w:cs="宋体"/>
                <w:color w:val="auto"/>
              </w:rPr>
            </w:pPr>
            <w:r>
              <w:rPr>
                <w:rFonts w:hint="eastAsia" w:ascii="宋体" w:hAnsi="宋体" w:cs="宋体"/>
                <w:color w:val="auto"/>
              </w:rPr>
              <w:t>配电柜缺少工作接地保护接地或接地电阻值不符</w:t>
            </w:r>
          </w:p>
        </w:tc>
        <w:tc>
          <w:tcPr>
            <w:tcW w:w="396" w:type="pct"/>
            <w:vAlign w:val="center"/>
          </w:tcPr>
          <w:p>
            <w:pPr>
              <w:pageBreakBefore w:val="0"/>
              <w:kinsoku/>
              <w:wordWrap/>
              <w:overflowPunct/>
              <w:topLinePunct w:val="0"/>
              <w:bidi w:val="0"/>
              <w:snapToGrid w:val="0"/>
              <w:spacing w:line="360" w:lineRule="auto"/>
              <w:ind w:left="0" w:leftChars="0" w:right="0"/>
              <w:jc w:val="center"/>
              <w:textAlignment w:val="auto"/>
              <w:rPr>
                <w:rFonts w:cs="Times New Roman"/>
                <w:color w:val="auto"/>
              </w:rPr>
            </w:pPr>
            <w:r>
              <w:rPr>
                <w:rFonts w:hint="eastAsia" w:ascii="宋体" w:hAnsi="宋体" w:cs="宋体"/>
                <w:color w:val="auto"/>
              </w:rPr>
              <w:t>配电间</w:t>
            </w:r>
          </w:p>
        </w:tc>
        <w:tc>
          <w:tcPr>
            <w:tcW w:w="493" w:type="pct"/>
            <w:vAlign w:val="center"/>
          </w:tcPr>
          <w:p>
            <w:pPr>
              <w:pageBreakBefore w:val="0"/>
              <w:kinsoku/>
              <w:wordWrap/>
              <w:overflowPunct/>
              <w:topLinePunct w:val="0"/>
              <w:bidi w:val="0"/>
              <w:snapToGrid w:val="0"/>
              <w:spacing w:line="360" w:lineRule="auto"/>
              <w:ind w:left="0" w:leftChars="0" w:right="0"/>
              <w:jc w:val="center"/>
              <w:textAlignment w:val="auto"/>
              <w:rPr>
                <w:rFonts w:cs="Times New Roman"/>
                <w:color w:val="auto"/>
              </w:rPr>
            </w:pPr>
            <w:r>
              <w:rPr>
                <w:rFonts w:hint="eastAsia" w:ascii="宋体" w:hAnsi="宋体" w:cs="宋体"/>
                <w:color w:val="auto"/>
              </w:rPr>
              <w:t>触电</w:t>
            </w:r>
          </w:p>
        </w:tc>
        <w:tc>
          <w:tcPr>
            <w:tcW w:w="368" w:type="pct"/>
            <w:shd w:val="clear" w:color="auto" w:fill="FFFF00"/>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ascii="宋体" w:hAnsi="宋体" w:cs="宋体"/>
                <w:color w:val="auto"/>
              </w:rPr>
              <w:t>3</w:t>
            </w:r>
            <w:r>
              <w:rPr>
                <w:rFonts w:hint="eastAsia" w:ascii="宋体" w:hAnsi="宋体" w:cs="宋体"/>
                <w:color w:val="auto"/>
              </w:rPr>
              <w:t>级</w:t>
            </w:r>
          </w:p>
        </w:tc>
        <w:tc>
          <w:tcPr>
            <w:tcW w:w="1049" w:type="pct"/>
            <w:vAlign w:val="center"/>
          </w:tcPr>
          <w:p>
            <w:pPr>
              <w:pageBreakBefore w:val="0"/>
              <w:kinsoku/>
              <w:wordWrap/>
              <w:overflowPunct/>
              <w:topLinePunct w:val="0"/>
              <w:bidi w:val="0"/>
              <w:snapToGrid w:val="0"/>
              <w:spacing w:line="360" w:lineRule="auto"/>
              <w:ind w:left="0" w:leftChars="0" w:right="0"/>
              <w:jc w:val="left"/>
              <w:textAlignment w:val="auto"/>
              <w:rPr>
                <w:rFonts w:ascii="宋体" w:cs="宋体"/>
                <w:color w:val="auto"/>
              </w:rPr>
            </w:pPr>
            <w:r>
              <w:rPr>
                <w:rFonts w:hint="eastAsia" w:ascii="宋体" w:hAnsi="宋体" w:cs="宋体"/>
                <w:color w:val="auto"/>
              </w:rPr>
              <w:t>定期对配电间进行检查</w:t>
            </w:r>
          </w:p>
        </w:tc>
        <w:tc>
          <w:tcPr>
            <w:tcW w:w="559"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加油站</w:t>
            </w:r>
          </w:p>
        </w:tc>
        <w:tc>
          <w:tcPr>
            <w:tcW w:w="500"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班长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pageBreakBefore w:val="0"/>
              <w:kinsoku/>
              <w:wordWrap/>
              <w:overflowPunct/>
              <w:topLinePunct w:val="0"/>
              <w:bidi w:val="0"/>
              <w:snapToGrid w:val="0"/>
              <w:spacing w:line="360" w:lineRule="auto"/>
              <w:ind w:left="0" w:leftChars="0" w:right="0"/>
              <w:jc w:val="center"/>
              <w:textAlignment w:val="auto"/>
              <w:rPr>
                <w:rFonts w:ascii="Calibri Light" w:hAnsi="Calibri Light" w:cs="Calibri Light"/>
                <w:color w:val="auto"/>
                <w:sz w:val="22"/>
                <w:szCs w:val="22"/>
              </w:rPr>
            </w:pPr>
            <w:r>
              <w:rPr>
                <w:rFonts w:ascii="Calibri Light" w:hAnsi="Calibri Light" w:cs="Calibri Light"/>
                <w:color w:val="auto"/>
                <w:sz w:val="22"/>
                <w:szCs w:val="22"/>
              </w:rPr>
              <w:t>23</w:t>
            </w:r>
          </w:p>
        </w:tc>
        <w:tc>
          <w:tcPr>
            <w:tcW w:w="1396" w:type="pct"/>
            <w:vAlign w:val="center"/>
          </w:tcPr>
          <w:p>
            <w:pPr>
              <w:pageBreakBefore w:val="0"/>
              <w:kinsoku/>
              <w:wordWrap/>
              <w:overflowPunct/>
              <w:topLinePunct w:val="0"/>
              <w:bidi w:val="0"/>
              <w:snapToGrid w:val="0"/>
              <w:spacing w:line="360" w:lineRule="auto"/>
              <w:ind w:left="0" w:leftChars="0" w:right="0"/>
              <w:textAlignment w:val="auto"/>
              <w:rPr>
                <w:rFonts w:ascii="宋体" w:cs="宋体"/>
                <w:color w:val="auto"/>
              </w:rPr>
            </w:pPr>
            <w:r>
              <w:rPr>
                <w:rFonts w:hint="eastAsia" w:ascii="宋体" w:hAnsi="宋体" w:cs="宋体"/>
                <w:color w:val="auto"/>
              </w:rPr>
              <w:t>配电室内缺少应急照明灯具</w:t>
            </w:r>
          </w:p>
        </w:tc>
        <w:tc>
          <w:tcPr>
            <w:tcW w:w="396" w:type="pct"/>
            <w:vAlign w:val="center"/>
          </w:tcPr>
          <w:p>
            <w:pPr>
              <w:pageBreakBefore w:val="0"/>
              <w:kinsoku/>
              <w:wordWrap/>
              <w:overflowPunct/>
              <w:topLinePunct w:val="0"/>
              <w:bidi w:val="0"/>
              <w:snapToGrid w:val="0"/>
              <w:spacing w:line="360" w:lineRule="auto"/>
              <w:ind w:left="0" w:leftChars="0" w:right="0"/>
              <w:jc w:val="center"/>
              <w:textAlignment w:val="auto"/>
              <w:rPr>
                <w:rFonts w:cs="Times New Roman"/>
                <w:color w:val="auto"/>
              </w:rPr>
            </w:pPr>
            <w:r>
              <w:rPr>
                <w:rFonts w:hint="eastAsia" w:ascii="宋体" w:hAnsi="宋体" w:cs="宋体"/>
                <w:color w:val="auto"/>
              </w:rPr>
              <w:t>配电间</w:t>
            </w:r>
          </w:p>
        </w:tc>
        <w:tc>
          <w:tcPr>
            <w:tcW w:w="493" w:type="pct"/>
            <w:vAlign w:val="center"/>
          </w:tcPr>
          <w:p>
            <w:pPr>
              <w:pageBreakBefore w:val="0"/>
              <w:kinsoku/>
              <w:wordWrap/>
              <w:overflowPunct/>
              <w:topLinePunct w:val="0"/>
              <w:bidi w:val="0"/>
              <w:snapToGrid w:val="0"/>
              <w:spacing w:line="360" w:lineRule="auto"/>
              <w:ind w:left="0" w:leftChars="0" w:right="0"/>
              <w:jc w:val="center"/>
              <w:textAlignment w:val="auto"/>
              <w:rPr>
                <w:rFonts w:cs="Times New Roman"/>
                <w:color w:val="auto"/>
              </w:rPr>
            </w:pPr>
            <w:r>
              <w:rPr>
                <w:rFonts w:hint="eastAsia" w:ascii="宋体" w:hAnsi="宋体" w:cs="宋体"/>
                <w:color w:val="auto"/>
              </w:rPr>
              <w:t>触电</w:t>
            </w:r>
          </w:p>
        </w:tc>
        <w:tc>
          <w:tcPr>
            <w:tcW w:w="368" w:type="pct"/>
            <w:shd w:val="clear" w:color="auto" w:fill="FFFF00"/>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ascii="宋体" w:hAnsi="宋体" w:cs="宋体"/>
                <w:color w:val="auto"/>
              </w:rPr>
              <w:t>3</w:t>
            </w:r>
            <w:r>
              <w:rPr>
                <w:rFonts w:hint="eastAsia" w:ascii="宋体" w:hAnsi="宋体" w:cs="宋体"/>
                <w:color w:val="auto"/>
              </w:rPr>
              <w:t>级</w:t>
            </w:r>
          </w:p>
        </w:tc>
        <w:tc>
          <w:tcPr>
            <w:tcW w:w="1049" w:type="pct"/>
            <w:vAlign w:val="center"/>
          </w:tcPr>
          <w:p>
            <w:pPr>
              <w:pageBreakBefore w:val="0"/>
              <w:kinsoku/>
              <w:wordWrap/>
              <w:overflowPunct/>
              <w:topLinePunct w:val="0"/>
              <w:bidi w:val="0"/>
              <w:snapToGrid w:val="0"/>
              <w:spacing w:line="360" w:lineRule="auto"/>
              <w:ind w:left="0" w:leftChars="0" w:right="0"/>
              <w:jc w:val="left"/>
              <w:textAlignment w:val="auto"/>
              <w:rPr>
                <w:rFonts w:ascii="宋体" w:cs="宋体"/>
                <w:color w:val="auto"/>
              </w:rPr>
            </w:pPr>
            <w:r>
              <w:rPr>
                <w:rFonts w:hint="eastAsia" w:ascii="宋体" w:hAnsi="宋体" w:cs="宋体"/>
                <w:color w:val="auto"/>
              </w:rPr>
              <w:t>定期对配电间进行检查</w:t>
            </w:r>
          </w:p>
        </w:tc>
        <w:tc>
          <w:tcPr>
            <w:tcW w:w="559"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加油站</w:t>
            </w:r>
          </w:p>
        </w:tc>
        <w:tc>
          <w:tcPr>
            <w:tcW w:w="500"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班长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pageBreakBefore w:val="0"/>
              <w:kinsoku/>
              <w:wordWrap/>
              <w:overflowPunct/>
              <w:topLinePunct w:val="0"/>
              <w:bidi w:val="0"/>
              <w:snapToGrid w:val="0"/>
              <w:spacing w:line="360" w:lineRule="auto"/>
              <w:ind w:left="0" w:leftChars="0" w:right="0"/>
              <w:jc w:val="center"/>
              <w:textAlignment w:val="auto"/>
              <w:rPr>
                <w:rFonts w:hint="default" w:ascii="Calibri Light" w:hAnsi="Calibri Light" w:eastAsia="宋体" w:cs="Calibri Light"/>
                <w:color w:val="auto"/>
                <w:sz w:val="22"/>
                <w:szCs w:val="22"/>
                <w:lang w:val="en-US" w:eastAsia="zh-CN"/>
              </w:rPr>
            </w:pPr>
            <w:r>
              <w:rPr>
                <w:rFonts w:hint="eastAsia" w:ascii="Calibri Light" w:hAnsi="Calibri Light" w:cs="Calibri Light"/>
                <w:color w:val="auto"/>
                <w:sz w:val="22"/>
                <w:szCs w:val="22"/>
                <w:lang w:val="en-US" w:eastAsia="zh-CN"/>
              </w:rPr>
              <w:t>24</w:t>
            </w:r>
          </w:p>
        </w:tc>
        <w:tc>
          <w:tcPr>
            <w:tcW w:w="1396" w:type="pct"/>
            <w:vAlign w:val="center"/>
          </w:tcPr>
          <w:p>
            <w:pPr>
              <w:pageBreakBefore w:val="0"/>
              <w:kinsoku/>
              <w:wordWrap/>
              <w:overflowPunct/>
              <w:topLinePunct w:val="0"/>
              <w:bidi w:val="0"/>
              <w:snapToGrid w:val="0"/>
              <w:spacing w:line="360" w:lineRule="auto"/>
              <w:ind w:left="0" w:leftChars="0" w:right="0"/>
              <w:textAlignment w:val="auto"/>
              <w:rPr>
                <w:rFonts w:hint="default" w:ascii="宋体" w:hAnsi="宋体" w:eastAsia="宋体" w:cs="宋体"/>
                <w:color w:val="auto"/>
                <w:lang w:val="en-US" w:eastAsia="zh-CN"/>
              </w:rPr>
            </w:pPr>
            <w:r>
              <w:rPr>
                <w:rFonts w:hint="eastAsia" w:ascii="宋体" w:hAnsi="宋体" w:cs="宋体"/>
                <w:color w:val="auto"/>
                <w:lang w:val="en-US" w:eastAsia="zh-CN"/>
              </w:rPr>
              <w:t>有限空间作业未事先检测空间气体含量和通风</w:t>
            </w:r>
          </w:p>
        </w:tc>
        <w:tc>
          <w:tcPr>
            <w:tcW w:w="396" w:type="pct"/>
            <w:vAlign w:val="center"/>
          </w:tcPr>
          <w:p>
            <w:pPr>
              <w:pageBreakBefore w:val="0"/>
              <w:kinsoku/>
              <w:wordWrap/>
              <w:overflowPunct/>
              <w:topLinePunct w:val="0"/>
              <w:bidi w:val="0"/>
              <w:snapToGrid w:val="0"/>
              <w:spacing w:line="360" w:lineRule="auto"/>
              <w:ind w:left="0" w:leftChars="0" w:right="0"/>
              <w:jc w:val="center"/>
              <w:textAlignment w:val="auto"/>
              <w:rPr>
                <w:rFonts w:hint="eastAsia" w:ascii="宋体" w:hAnsi="宋体" w:cs="宋体"/>
                <w:color w:val="auto"/>
              </w:rPr>
            </w:pPr>
            <w:r>
              <w:rPr>
                <w:rFonts w:hint="eastAsia" w:ascii="宋体" w:hAnsi="宋体" w:cs="宋体"/>
                <w:color w:val="auto"/>
                <w:lang w:val="en-US" w:eastAsia="zh-CN"/>
              </w:rPr>
              <w:t>操作井、油罐、污水池、排水沟</w:t>
            </w:r>
          </w:p>
        </w:tc>
        <w:tc>
          <w:tcPr>
            <w:tcW w:w="493" w:type="pct"/>
            <w:vAlign w:val="center"/>
          </w:tcPr>
          <w:p>
            <w:pPr>
              <w:pageBreakBefore w:val="0"/>
              <w:kinsoku/>
              <w:wordWrap/>
              <w:overflowPunct/>
              <w:topLinePunct w:val="0"/>
              <w:bidi w:val="0"/>
              <w:snapToGrid w:val="0"/>
              <w:spacing w:line="360" w:lineRule="auto"/>
              <w:ind w:left="0" w:leftChars="0" w:right="0"/>
              <w:jc w:val="center"/>
              <w:textAlignment w:val="auto"/>
              <w:rPr>
                <w:rFonts w:hint="default" w:ascii="宋体" w:hAnsi="宋体" w:eastAsia="宋体" w:cs="宋体"/>
                <w:color w:val="auto"/>
                <w:lang w:val="en-US" w:eastAsia="zh-CN"/>
              </w:rPr>
            </w:pPr>
            <w:r>
              <w:rPr>
                <w:rFonts w:hint="eastAsia" w:ascii="宋体" w:hAnsi="宋体" w:cs="宋体"/>
                <w:color w:val="auto"/>
                <w:lang w:val="en-US" w:eastAsia="zh-CN"/>
              </w:rPr>
              <w:t>中毒窒息</w:t>
            </w:r>
          </w:p>
        </w:tc>
        <w:tc>
          <w:tcPr>
            <w:tcW w:w="368" w:type="pct"/>
            <w:shd w:val="clear" w:color="auto" w:fill="FFC000"/>
            <w:vAlign w:val="center"/>
          </w:tcPr>
          <w:p>
            <w:pPr>
              <w:pageBreakBefore w:val="0"/>
              <w:kinsoku/>
              <w:wordWrap/>
              <w:overflowPunct/>
              <w:topLinePunct w:val="0"/>
              <w:bidi w:val="0"/>
              <w:snapToGrid w:val="0"/>
              <w:spacing w:line="360" w:lineRule="auto"/>
              <w:ind w:left="0" w:leftChars="0" w:right="0"/>
              <w:jc w:val="center"/>
              <w:textAlignment w:val="auto"/>
              <w:rPr>
                <w:rFonts w:ascii="宋体" w:hAnsi="宋体" w:cs="宋体"/>
                <w:color w:val="auto"/>
              </w:rPr>
            </w:pPr>
            <w:r>
              <w:rPr>
                <w:rFonts w:hint="eastAsia" w:ascii="宋体" w:hAnsi="宋体" w:cs="宋体"/>
                <w:color w:val="auto"/>
                <w:lang w:val="en-US" w:eastAsia="zh-CN"/>
              </w:rPr>
              <w:t>2</w:t>
            </w:r>
            <w:r>
              <w:rPr>
                <w:rFonts w:hint="eastAsia" w:ascii="宋体" w:hAnsi="宋体" w:cs="宋体"/>
                <w:color w:val="auto"/>
              </w:rPr>
              <w:t>级</w:t>
            </w:r>
          </w:p>
        </w:tc>
        <w:tc>
          <w:tcPr>
            <w:tcW w:w="1049" w:type="pct"/>
            <w:vAlign w:val="center"/>
          </w:tcPr>
          <w:p>
            <w:pPr>
              <w:pageBreakBefore w:val="0"/>
              <w:kinsoku/>
              <w:wordWrap/>
              <w:overflowPunct/>
              <w:topLinePunct w:val="0"/>
              <w:bidi w:val="0"/>
              <w:snapToGrid w:val="0"/>
              <w:spacing w:line="360" w:lineRule="auto"/>
              <w:ind w:left="0" w:leftChars="0" w:right="0"/>
              <w:jc w:val="left"/>
              <w:textAlignment w:val="auto"/>
              <w:rPr>
                <w:rFonts w:hint="default" w:ascii="宋体" w:hAnsi="宋体" w:eastAsia="宋体" w:cs="宋体"/>
                <w:color w:val="auto"/>
                <w:lang w:val="en-US" w:eastAsia="zh-CN"/>
              </w:rPr>
            </w:pPr>
            <w:r>
              <w:rPr>
                <w:rFonts w:hint="eastAsia" w:ascii="宋体" w:hAnsi="宋体" w:cs="宋体"/>
                <w:color w:val="auto"/>
                <w:lang w:val="en-US" w:eastAsia="zh-CN"/>
              </w:rPr>
              <w:t>定期打开操作井和污水池、排水沟，作业前气体检测和通风换气</w:t>
            </w:r>
          </w:p>
        </w:tc>
        <w:tc>
          <w:tcPr>
            <w:tcW w:w="559" w:type="pct"/>
            <w:vAlign w:val="center"/>
          </w:tcPr>
          <w:p>
            <w:pPr>
              <w:pageBreakBefore w:val="0"/>
              <w:kinsoku/>
              <w:wordWrap/>
              <w:overflowPunct/>
              <w:topLinePunct w:val="0"/>
              <w:bidi w:val="0"/>
              <w:snapToGrid w:val="0"/>
              <w:spacing w:line="360" w:lineRule="auto"/>
              <w:ind w:left="0" w:leftChars="0" w:right="0"/>
              <w:jc w:val="center"/>
              <w:textAlignment w:val="auto"/>
              <w:rPr>
                <w:rFonts w:hint="eastAsia" w:ascii="宋体" w:hAnsi="宋体" w:cs="宋体"/>
                <w:color w:val="auto"/>
              </w:rPr>
            </w:pPr>
            <w:r>
              <w:rPr>
                <w:rFonts w:hint="eastAsia" w:ascii="宋体" w:hAnsi="宋体" w:cs="宋体"/>
                <w:color w:val="auto"/>
              </w:rPr>
              <w:t>加油站</w:t>
            </w:r>
          </w:p>
        </w:tc>
        <w:tc>
          <w:tcPr>
            <w:tcW w:w="500" w:type="pct"/>
            <w:vAlign w:val="center"/>
          </w:tcPr>
          <w:p>
            <w:pPr>
              <w:pageBreakBefore w:val="0"/>
              <w:kinsoku/>
              <w:wordWrap/>
              <w:overflowPunct/>
              <w:topLinePunct w:val="0"/>
              <w:bidi w:val="0"/>
              <w:snapToGrid w:val="0"/>
              <w:spacing w:line="360" w:lineRule="auto"/>
              <w:ind w:left="0" w:leftChars="0" w:right="0"/>
              <w:jc w:val="center"/>
              <w:textAlignment w:val="auto"/>
              <w:rPr>
                <w:rFonts w:hint="eastAsia" w:ascii="宋体" w:hAnsi="宋体" w:eastAsia="宋体" w:cs="宋体"/>
                <w:color w:val="auto"/>
                <w:lang w:val="en-US" w:eastAsia="zh-CN"/>
              </w:rPr>
            </w:pPr>
            <w:r>
              <w:rPr>
                <w:rFonts w:hint="eastAsia" w:ascii="宋体" w:hAnsi="宋体" w:cs="宋体"/>
                <w:color w:val="auto"/>
                <w:lang w:val="en-US" w:eastAsia="zh-CN"/>
              </w:rPr>
              <w:t>站长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000" w:type="pct"/>
            <w:gridSpan w:val="8"/>
            <w:vAlign w:val="bottom"/>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b/>
                <w:bCs/>
                <w:color w:val="auto"/>
              </w:rPr>
              <w:t>职业卫生风险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6" w:hRule="atLeast"/>
        </w:trPr>
        <w:tc>
          <w:tcPr>
            <w:tcW w:w="236" w:type="pct"/>
            <w:vAlign w:val="center"/>
          </w:tcPr>
          <w:p>
            <w:pPr>
              <w:pageBreakBefore w:val="0"/>
              <w:kinsoku/>
              <w:wordWrap/>
              <w:overflowPunct/>
              <w:topLinePunct w:val="0"/>
              <w:bidi w:val="0"/>
              <w:snapToGrid w:val="0"/>
              <w:spacing w:line="360" w:lineRule="auto"/>
              <w:ind w:left="0" w:leftChars="0" w:right="0"/>
              <w:jc w:val="center"/>
              <w:textAlignment w:val="auto"/>
              <w:rPr>
                <w:rFonts w:ascii="Calibri Light" w:hAnsi="Calibri Light" w:cs="Calibri Light"/>
                <w:color w:val="auto"/>
                <w:sz w:val="22"/>
                <w:szCs w:val="22"/>
              </w:rPr>
            </w:pPr>
            <w:r>
              <w:rPr>
                <w:rFonts w:hint="eastAsia" w:ascii="宋体" w:hAnsi="宋体" w:cs="宋体"/>
                <w:b/>
                <w:bCs/>
                <w:color w:val="auto"/>
              </w:rPr>
              <w:t>序号</w:t>
            </w:r>
          </w:p>
        </w:tc>
        <w:tc>
          <w:tcPr>
            <w:tcW w:w="1396"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b/>
                <w:bCs/>
                <w:color w:val="auto"/>
              </w:rPr>
              <w:t>危害因素</w:t>
            </w:r>
          </w:p>
        </w:tc>
        <w:tc>
          <w:tcPr>
            <w:tcW w:w="396" w:type="pct"/>
            <w:vAlign w:val="center"/>
          </w:tcPr>
          <w:p>
            <w:pPr>
              <w:pageBreakBefore w:val="0"/>
              <w:kinsoku/>
              <w:wordWrap/>
              <w:overflowPunct/>
              <w:topLinePunct w:val="0"/>
              <w:bidi w:val="0"/>
              <w:snapToGrid w:val="0"/>
              <w:spacing w:line="360" w:lineRule="auto"/>
              <w:ind w:left="0" w:leftChars="0" w:right="0"/>
              <w:jc w:val="center"/>
              <w:textAlignment w:val="auto"/>
              <w:rPr>
                <w:rFonts w:cs="Times New Roman"/>
                <w:color w:val="auto"/>
              </w:rPr>
            </w:pPr>
            <w:r>
              <w:rPr>
                <w:rFonts w:hint="eastAsia" w:ascii="宋体" w:hAnsi="宋体" w:cs="宋体"/>
                <w:b/>
                <w:bCs/>
                <w:color w:val="auto"/>
              </w:rPr>
              <w:t>存在位置</w:t>
            </w:r>
          </w:p>
        </w:tc>
        <w:tc>
          <w:tcPr>
            <w:tcW w:w="493"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b/>
                <w:bCs/>
                <w:color w:val="auto"/>
              </w:rPr>
              <w:t>后果</w:t>
            </w:r>
          </w:p>
        </w:tc>
        <w:tc>
          <w:tcPr>
            <w:tcW w:w="368"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b/>
                <w:bCs/>
                <w:color w:val="auto"/>
              </w:rPr>
              <w:t>风险等级</w:t>
            </w:r>
          </w:p>
        </w:tc>
        <w:tc>
          <w:tcPr>
            <w:tcW w:w="1049"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b/>
                <w:bCs/>
                <w:color w:val="auto"/>
              </w:rPr>
              <w:t>管控措施</w:t>
            </w:r>
          </w:p>
        </w:tc>
        <w:tc>
          <w:tcPr>
            <w:tcW w:w="559"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b/>
                <w:bCs/>
                <w:color w:val="auto"/>
              </w:rPr>
              <w:t>管控责任单位（部门）</w:t>
            </w:r>
          </w:p>
        </w:tc>
        <w:tc>
          <w:tcPr>
            <w:tcW w:w="500"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b/>
                <w:bCs/>
                <w:color w:val="auto"/>
              </w:rPr>
              <w:t>管控责任人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58" w:hRule="atLeast"/>
        </w:trPr>
        <w:tc>
          <w:tcPr>
            <w:tcW w:w="236" w:type="pct"/>
            <w:vAlign w:val="center"/>
          </w:tcPr>
          <w:p>
            <w:pPr>
              <w:pageBreakBefore w:val="0"/>
              <w:widowControl/>
              <w:kinsoku/>
              <w:wordWrap/>
              <w:overflowPunct/>
              <w:topLinePunct w:val="0"/>
              <w:bidi w:val="0"/>
              <w:snapToGrid w:val="0"/>
              <w:spacing w:line="360" w:lineRule="auto"/>
              <w:ind w:left="0" w:leftChars="0" w:right="0"/>
              <w:textAlignment w:val="auto"/>
              <w:rPr>
                <w:rFonts w:ascii="Calibri Light" w:hAnsi="Calibri Light" w:cs="Calibri Light"/>
                <w:color w:val="auto"/>
                <w:sz w:val="22"/>
                <w:szCs w:val="22"/>
              </w:rPr>
            </w:pPr>
            <w:r>
              <w:rPr>
                <w:rFonts w:ascii="Calibri Light" w:hAnsi="Calibri Light" w:cs="Calibri Light"/>
                <w:color w:val="auto"/>
                <w:sz w:val="22"/>
                <w:szCs w:val="22"/>
              </w:rPr>
              <w:t>1</w:t>
            </w:r>
          </w:p>
        </w:tc>
        <w:tc>
          <w:tcPr>
            <w:tcW w:w="1396" w:type="pct"/>
            <w:vAlign w:val="center"/>
          </w:tcPr>
          <w:p>
            <w:pPr>
              <w:pageBreakBefore w:val="0"/>
              <w:kinsoku/>
              <w:wordWrap/>
              <w:overflowPunct/>
              <w:topLinePunct w:val="0"/>
              <w:bidi w:val="0"/>
              <w:snapToGrid w:val="0"/>
              <w:spacing w:line="360" w:lineRule="auto"/>
              <w:ind w:left="0" w:leftChars="0" w:right="0"/>
              <w:jc w:val="left"/>
              <w:textAlignment w:val="auto"/>
              <w:rPr>
                <w:rFonts w:ascii="宋体" w:cs="宋体"/>
                <w:color w:val="auto"/>
              </w:rPr>
            </w:pPr>
            <w:r>
              <w:rPr>
                <w:rFonts w:hint="eastAsia" w:ascii="宋体" w:hAnsi="宋体" w:cs="宋体"/>
                <w:color w:val="auto"/>
              </w:rPr>
              <w:t>接触汽油、柴油</w:t>
            </w:r>
          </w:p>
        </w:tc>
        <w:tc>
          <w:tcPr>
            <w:tcW w:w="396" w:type="pct"/>
            <w:vAlign w:val="center"/>
          </w:tcPr>
          <w:p>
            <w:pPr>
              <w:pageBreakBefore w:val="0"/>
              <w:kinsoku/>
              <w:wordWrap/>
              <w:overflowPunct/>
              <w:topLinePunct w:val="0"/>
              <w:bidi w:val="0"/>
              <w:snapToGrid w:val="0"/>
              <w:spacing w:line="360" w:lineRule="auto"/>
              <w:ind w:left="0" w:leftChars="0" w:right="0"/>
              <w:textAlignment w:val="auto"/>
              <w:rPr>
                <w:rFonts w:cs="Times New Roman"/>
                <w:color w:val="auto"/>
              </w:rPr>
            </w:pPr>
            <w:r>
              <w:rPr>
                <w:rFonts w:hint="eastAsia" w:cs="宋体"/>
                <w:color w:val="auto"/>
              </w:rPr>
              <w:t>加油区</w:t>
            </w:r>
          </w:p>
        </w:tc>
        <w:tc>
          <w:tcPr>
            <w:tcW w:w="493"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过敏、腐蚀皮肤</w:t>
            </w:r>
          </w:p>
        </w:tc>
        <w:tc>
          <w:tcPr>
            <w:tcW w:w="368" w:type="pct"/>
            <w:shd w:val="clear" w:color="auto" w:fill="0070C0"/>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ascii="宋体" w:hAnsi="宋体" w:cs="宋体"/>
                <w:color w:val="auto"/>
              </w:rPr>
              <w:t>4</w:t>
            </w:r>
            <w:r>
              <w:rPr>
                <w:rFonts w:hint="eastAsia" w:ascii="宋体" w:hAnsi="宋体" w:cs="宋体"/>
                <w:color w:val="auto"/>
              </w:rPr>
              <w:t>级</w:t>
            </w:r>
          </w:p>
        </w:tc>
        <w:tc>
          <w:tcPr>
            <w:tcW w:w="1049" w:type="pct"/>
            <w:vAlign w:val="center"/>
          </w:tcPr>
          <w:p>
            <w:pPr>
              <w:pageBreakBefore w:val="0"/>
              <w:kinsoku/>
              <w:wordWrap/>
              <w:overflowPunct/>
              <w:topLinePunct w:val="0"/>
              <w:bidi w:val="0"/>
              <w:snapToGrid w:val="0"/>
              <w:spacing w:line="360" w:lineRule="auto"/>
              <w:ind w:left="0" w:leftChars="0" w:right="0"/>
              <w:jc w:val="left"/>
              <w:textAlignment w:val="auto"/>
              <w:rPr>
                <w:rFonts w:ascii="宋体" w:cs="宋体"/>
                <w:color w:val="auto"/>
              </w:rPr>
            </w:pPr>
            <w:r>
              <w:rPr>
                <w:rFonts w:hint="eastAsia" w:ascii="宋体" w:hAnsi="宋体" w:cs="宋体"/>
                <w:snapToGrid w:val="0"/>
                <w:color w:val="auto"/>
                <w:lang w:val="zh-CN"/>
              </w:rPr>
              <w:t>设置警告及防护标识，</w:t>
            </w:r>
            <w:r>
              <w:rPr>
                <w:color w:val="auto"/>
              </w:rPr>
              <w:fldChar w:fldCharType="begin"/>
            </w:r>
            <w:r>
              <w:rPr>
                <w:color w:val="auto"/>
              </w:rPr>
              <w:instrText xml:space="preserve"> HYPERLINK "http://www.wiki8.com/qianghua_116926/" \o "医学百科：强化" </w:instrText>
            </w:r>
            <w:r>
              <w:rPr>
                <w:color w:val="auto"/>
              </w:rPr>
              <w:fldChar w:fldCharType="separate"/>
            </w:r>
            <w:r>
              <w:rPr>
                <w:rFonts w:hint="eastAsia" w:ascii="宋体" w:hAnsi="宋体" w:cs="宋体"/>
                <w:snapToGrid w:val="0"/>
                <w:color w:val="auto"/>
                <w:lang w:val="zh-CN"/>
              </w:rPr>
              <w:t>强化</w:t>
            </w:r>
            <w:r>
              <w:rPr>
                <w:rFonts w:hint="eastAsia" w:ascii="宋体" w:hAnsi="宋体" w:cs="宋体"/>
                <w:snapToGrid w:val="0"/>
                <w:color w:val="auto"/>
                <w:lang w:val="zh-CN"/>
              </w:rPr>
              <w:fldChar w:fldCharType="end"/>
            </w:r>
            <w:r>
              <w:rPr>
                <w:rFonts w:hint="eastAsia" w:ascii="宋体" w:hAnsi="宋体" w:cs="宋体"/>
                <w:snapToGrid w:val="0"/>
                <w:color w:val="auto"/>
                <w:lang w:val="zh-CN"/>
              </w:rPr>
              <w:t>劳动者的安全操作及职业卫生培训，采取定期作业场所</w:t>
            </w:r>
            <w:r>
              <w:rPr>
                <w:rFonts w:hint="eastAsia" w:ascii="宋体" w:hAnsi="宋体" w:cs="宋体"/>
                <w:snapToGrid w:val="0"/>
                <w:color w:val="auto"/>
              </w:rPr>
              <w:t>检测</w:t>
            </w:r>
            <w:r>
              <w:rPr>
                <w:rFonts w:hint="eastAsia" w:ascii="宋体" w:hAnsi="宋体" w:cs="宋体"/>
                <w:snapToGrid w:val="0"/>
                <w:color w:val="auto"/>
                <w:lang w:val="zh-CN"/>
              </w:rPr>
              <w:t>、对劳动者进行健康</w:t>
            </w:r>
            <w:r>
              <w:rPr>
                <w:color w:val="auto"/>
              </w:rPr>
              <w:fldChar w:fldCharType="begin"/>
            </w:r>
            <w:r>
              <w:rPr>
                <w:color w:val="auto"/>
              </w:rPr>
              <w:instrText xml:space="preserve"> HYPERLINK "http://www.wiki8.com/tijian_133001/" \o "医学百科：体检" </w:instrText>
            </w:r>
            <w:r>
              <w:rPr>
                <w:color w:val="auto"/>
              </w:rPr>
              <w:fldChar w:fldCharType="separate"/>
            </w:r>
            <w:r>
              <w:rPr>
                <w:rFonts w:hint="eastAsia" w:ascii="宋体" w:hAnsi="宋体" w:cs="宋体"/>
                <w:snapToGrid w:val="0"/>
                <w:color w:val="auto"/>
                <w:lang w:val="zh-CN"/>
              </w:rPr>
              <w:t>体检</w:t>
            </w:r>
            <w:r>
              <w:rPr>
                <w:rFonts w:hint="eastAsia" w:ascii="宋体" w:hAnsi="宋体" w:cs="宋体"/>
                <w:snapToGrid w:val="0"/>
                <w:color w:val="auto"/>
                <w:lang w:val="zh-CN"/>
              </w:rPr>
              <w:fldChar w:fldCharType="end"/>
            </w:r>
          </w:p>
        </w:tc>
        <w:tc>
          <w:tcPr>
            <w:tcW w:w="559"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加油站</w:t>
            </w:r>
          </w:p>
        </w:tc>
        <w:tc>
          <w:tcPr>
            <w:tcW w:w="500" w:type="pct"/>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站长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59" w:hRule="atLeast"/>
        </w:trPr>
        <w:tc>
          <w:tcPr>
            <w:tcW w:w="236" w:type="pct"/>
            <w:tcBorders>
              <w:bottom w:val="single" w:color="000000" w:sz="12" w:space="0"/>
            </w:tcBorders>
            <w:vAlign w:val="center"/>
          </w:tcPr>
          <w:p>
            <w:pPr>
              <w:pageBreakBefore w:val="0"/>
              <w:widowControl/>
              <w:kinsoku/>
              <w:wordWrap/>
              <w:overflowPunct/>
              <w:topLinePunct w:val="0"/>
              <w:bidi w:val="0"/>
              <w:snapToGrid w:val="0"/>
              <w:spacing w:line="360" w:lineRule="auto"/>
              <w:ind w:left="0" w:leftChars="0" w:right="0"/>
              <w:jc w:val="center"/>
              <w:textAlignment w:val="auto"/>
              <w:rPr>
                <w:rFonts w:ascii="Calibri Light" w:hAnsi="Calibri Light" w:cs="Calibri Light"/>
                <w:color w:val="auto"/>
                <w:sz w:val="22"/>
                <w:szCs w:val="22"/>
              </w:rPr>
            </w:pPr>
            <w:r>
              <w:rPr>
                <w:rFonts w:ascii="Calibri Light" w:hAnsi="Calibri Light" w:cs="Calibri Light"/>
                <w:color w:val="auto"/>
                <w:sz w:val="22"/>
                <w:szCs w:val="22"/>
              </w:rPr>
              <w:t>2</w:t>
            </w:r>
          </w:p>
        </w:tc>
        <w:tc>
          <w:tcPr>
            <w:tcW w:w="1396" w:type="pct"/>
            <w:tcBorders>
              <w:bottom w:val="single" w:color="000000" w:sz="12" w:space="0"/>
            </w:tcBorders>
            <w:vAlign w:val="center"/>
          </w:tcPr>
          <w:p>
            <w:pPr>
              <w:pageBreakBefore w:val="0"/>
              <w:kinsoku/>
              <w:wordWrap/>
              <w:overflowPunct/>
              <w:topLinePunct w:val="0"/>
              <w:bidi w:val="0"/>
              <w:snapToGrid w:val="0"/>
              <w:spacing w:line="360" w:lineRule="auto"/>
              <w:ind w:left="0" w:leftChars="0" w:right="0"/>
              <w:jc w:val="left"/>
              <w:textAlignment w:val="auto"/>
              <w:rPr>
                <w:rFonts w:ascii="宋体" w:cs="宋体"/>
                <w:color w:val="auto"/>
              </w:rPr>
            </w:pPr>
            <w:r>
              <w:rPr>
                <w:rFonts w:hint="eastAsia" w:ascii="宋体" w:hAnsi="宋体" w:cs="宋体"/>
                <w:color w:val="auto"/>
              </w:rPr>
              <w:t>闻汽油、柴油</w:t>
            </w:r>
          </w:p>
        </w:tc>
        <w:tc>
          <w:tcPr>
            <w:tcW w:w="396" w:type="pct"/>
            <w:tcBorders>
              <w:bottom w:val="single" w:color="000000" w:sz="12" w:space="0"/>
            </w:tcBorders>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卸油区</w:t>
            </w:r>
          </w:p>
        </w:tc>
        <w:tc>
          <w:tcPr>
            <w:tcW w:w="493" w:type="pct"/>
            <w:tcBorders>
              <w:bottom w:val="single" w:color="000000" w:sz="12" w:space="0"/>
            </w:tcBorders>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过敏、腐蚀皮肤</w:t>
            </w:r>
          </w:p>
        </w:tc>
        <w:tc>
          <w:tcPr>
            <w:tcW w:w="368" w:type="pct"/>
            <w:tcBorders>
              <w:bottom w:val="single" w:color="000000" w:sz="12" w:space="0"/>
            </w:tcBorders>
            <w:shd w:val="clear" w:color="auto" w:fill="0070C0"/>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ascii="宋体" w:hAnsi="宋体" w:cs="宋体"/>
                <w:color w:val="auto"/>
              </w:rPr>
              <w:t>4</w:t>
            </w:r>
            <w:r>
              <w:rPr>
                <w:rFonts w:hint="eastAsia" w:ascii="宋体" w:hAnsi="宋体" w:cs="宋体"/>
                <w:color w:val="auto"/>
              </w:rPr>
              <w:t>级</w:t>
            </w:r>
          </w:p>
        </w:tc>
        <w:tc>
          <w:tcPr>
            <w:tcW w:w="1049" w:type="pct"/>
            <w:tcBorders>
              <w:bottom w:val="single" w:color="000000" w:sz="12" w:space="0"/>
            </w:tcBorders>
            <w:vAlign w:val="center"/>
          </w:tcPr>
          <w:p>
            <w:pPr>
              <w:pageBreakBefore w:val="0"/>
              <w:kinsoku/>
              <w:wordWrap/>
              <w:overflowPunct/>
              <w:topLinePunct w:val="0"/>
              <w:bidi w:val="0"/>
              <w:snapToGrid w:val="0"/>
              <w:spacing w:line="360" w:lineRule="auto"/>
              <w:ind w:left="0" w:leftChars="0" w:right="0"/>
              <w:jc w:val="left"/>
              <w:textAlignment w:val="auto"/>
              <w:rPr>
                <w:rFonts w:ascii="宋体" w:cs="宋体"/>
                <w:color w:val="auto"/>
              </w:rPr>
            </w:pPr>
            <w:r>
              <w:rPr>
                <w:rFonts w:hint="eastAsia" w:ascii="宋体" w:hAnsi="宋体" w:cs="宋体"/>
                <w:snapToGrid w:val="0"/>
                <w:color w:val="auto"/>
                <w:lang w:val="zh-CN"/>
              </w:rPr>
              <w:t>设置警告及防护标识，</w:t>
            </w:r>
            <w:r>
              <w:rPr>
                <w:color w:val="auto"/>
              </w:rPr>
              <w:fldChar w:fldCharType="begin"/>
            </w:r>
            <w:r>
              <w:rPr>
                <w:color w:val="auto"/>
              </w:rPr>
              <w:instrText xml:space="preserve"> HYPERLINK "http://www.wiki8.com/qianghua_116926/" \o "医学百科：强化" </w:instrText>
            </w:r>
            <w:r>
              <w:rPr>
                <w:color w:val="auto"/>
              </w:rPr>
              <w:fldChar w:fldCharType="separate"/>
            </w:r>
            <w:r>
              <w:rPr>
                <w:rFonts w:hint="eastAsia" w:ascii="宋体" w:hAnsi="宋体" w:cs="宋体"/>
                <w:snapToGrid w:val="0"/>
                <w:color w:val="auto"/>
                <w:lang w:val="zh-CN"/>
              </w:rPr>
              <w:t>强化</w:t>
            </w:r>
            <w:r>
              <w:rPr>
                <w:rFonts w:hint="eastAsia" w:ascii="宋体" w:hAnsi="宋体" w:cs="宋体"/>
                <w:snapToGrid w:val="0"/>
                <w:color w:val="auto"/>
                <w:lang w:val="zh-CN"/>
              </w:rPr>
              <w:fldChar w:fldCharType="end"/>
            </w:r>
            <w:r>
              <w:rPr>
                <w:rFonts w:hint="eastAsia" w:ascii="宋体" w:hAnsi="宋体" w:cs="宋体"/>
                <w:snapToGrid w:val="0"/>
                <w:color w:val="auto"/>
                <w:lang w:val="zh-CN"/>
              </w:rPr>
              <w:t>劳动者的安全操作及职业卫生培训，采取定期作业场所</w:t>
            </w:r>
            <w:r>
              <w:rPr>
                <w:rFonts w:hint="eastAsia" w:ascii="宋体" w:hAnsi="宋体" w:cs="宋体"/>
                <w:snapToGrid w:val="0"/>
                <w:color w:val="auto"/>
              </w:rPr>
              <w:t>检测</w:t>
            </w:r>
            <w:r>
              <w:rPr>
                <w:rFonts w:hint="eastAsia" w:ascii="宋体" w:hAnsi="宋体" w:cs="宋体"/>
                <w:snapToGrid w:val="0"/>
                <w:color w:val="auto"/>
                <w:lang w:val="zh-CN"/>
              </w:rPr>
              <w:t>、对劳动者进行健康</w:t>
            </w:r>
            <w:r>
              <w:rPr>
                <w:color w:val="auto"/>
              </w:rPr>
              <w:fldChar w:fldCharType="begin"/>
            </w:r>
            <w:r>
              <w:rPr>
                <w:color w:val="auto"/>
              </w:rPr>
              <w:instrText xml:space="preserve"> HYPERLINK "http://www.wiki8.com/tijian_133001/" \o "医学百科：体检" </w:instrText>
            </w:r>
            <w:r>
              <w:rPr>
                <w:color w:val="auto"/>
              </w:rPr>
              <w:fldChar w:fldCharType="separate"/>
            </w:r>
            <w:r>
              <w:rPr>
                <w:rFonts w:hint="eastAsia" w:ascii="宋体" w:hAnsi="宋体" w:cs="宋体"/>
                <w:snapToGrid w:val="0"/>
                <w:color w:val="auto"/>
                <w:lang w:val="zh-CN"/>
              </w:rPr>
              <w:t>体检</w:t>
            </w:r>
            <w:r>
              <w:rPr>
                <w:rFonts w:hint="eastAsia" w:ascii="宋体" w:hAnsi="宋体" w:cs="宋体"/>
                <w:snapToGrid w:val="0"/>
                <w:color w:val="auto"/>
                <w:lang w:val="zh-CN"/>
              </w:rPr>
              <w:fldChar w:fldCharType="end"/>
            </w:r>
          </w:p>
        </w:tc>
        <w:tc>
          <w:tcPr>
            <w:tcW w:w="559" w:type="pct"/>
            <w:tcBorders>
              <w:bottom w:val="single" w:color="000000" w:sz="12" w:space="0"/>
            </w:tcBorders>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加油站</w:t>
            </w:r>
          </w:p>
        </w:tc>
        <w:tc>
          <w:tcPr>
            <w:tcW w:w="500" w:type="pct"/>
            <w:tcBorders>
              <w:bottom w:val="single" w:color="000000" w:sz="12" w:space="0"/>
            </w:tcBorders>
            <w:vAlign w:val="center"/>
          </w:tcPr>
          <w:p>
            <w:pPr>
              <w:pageBreakBefore w:val="0"/>
              <w:kinsoku/>
              <w:wordWrap/>
              <w:overflowPunct/>
              <w:topLinePunct w:val="0"/>
              <w:bidi w:val="0"/>
              <w:snapToGrid w:val="0"/>
              <w:spacing w:line="360" w:lineRule="auto"/>
              <w:ind w:left="0" w:leftChars="0" w:right="0"/>
              <w:jc w:val="center"/>
              <w:textAlignment w:val="auto"/>
              <w:rPr>
                <w:rFonts w:ascii="宋体" w:cs="宋体"/>
                <w:color w:val="auto"/>
              </w:rPr>
            </w:pPr>
            <w:r>
              <w:rPr>
                <w:rFonts w:hint="eastAsia" w:ascii="宋体" w:hAnsi="宋体" w:cs="宋体"/>
                <w:color w:val="auto"/>
              </w:rPr>
              <w:t>站长</w:t>
            </w:r>
          </w:p>
        </w:tc>
      </w:tr>
    </w:tbl>
    <w:p>
      <w:pPr>
        <w:pageBreakBefore w:val="0"/>
        <w:kinsoku/>
        <w:wordWrap/>
        <w:overflowPunct/>
        <w:topLinePunct w:val="0"/>
        <w:bidi w:val="0"/>
        <w:snapToGrid w:val="0"/>
        <w:spacing w:line="360" w:lineRule="auto"/>
        <w:ind w:left="0" w:leftChars="0" w:right="0"/>
        <w:textAlignment w:val="auto"/>
        <w:rPr>
          <w:rFonts w:hint="eastAsia"/>
          <w:color w:val="auto"/>
        </w:rPr>
      </w:pPr>
    </w:p>
    <w:p>
      <w:pPr>
        <w:pageBreakBefore w:val="0"/>
        <w:kinsoku/>
        <w:wordWrap/>
        <w:overflowPunct/>
        <w:topLinePunct w:val="0"/>
        <w:bidi w:val="0"/>
        <w:snapToGrid w:val="0"/>
        <w:spacing w:line="360" w:lineRule="auto"/>
        <w:ind w:left="0" w:leftChars="0" w:right="0"/>
        <w:jc w:val="center"/>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表</w:t>
      </w:r>
      <w:r>
        <w:rPr>
          <w:rFonts w:hint="eastAsia" w:ascii="宋体" w:hAnsi="宋体" w:eastAsia="宋体" w:cs="宋体"/>
          <w:b/>
          <w:bCs/>
          <w:color w:val="auto"/>
          <w:kern w:val="0"/>
          <w:sz w:val="24"/>
          <w:lang w:val="en-US" w:eastAsia="zh-CN"/>
        </w:rPr>
        <w:t>2</w:t>
      </w:r>
      <w:r>
        <w:rPr>
          <w:rFonts w:hint="eastAsia" w:ascii="宋体" w:hAnsi="宋体" w:eastAsia="宋体" w:cs="宋体"/>
          <w:b/>
          <w:bCs/>
          <w:color w:val="auto"/>
          <w:kern w:val="0"/>
          <w:sz w:val="24"/>
          <w:lang w:eastAsia="zh-CN"/>
        </w:rPr>
        <w:t>-</w:t>
      </w:r>
      <w:r>
        <w:rPr>
          <w:rFonts w:hint="eastAsia" w:ascii="宋体" w:hAnsi="宋体" w:cs="宋体"/>
          <w:b/>
          <w:bCs/>
          <w:color w:val="auto"/>
          <w:kern w:val="0"/>
          <w:sz w:val="24"/>
          <w:lang w:val="en-US" w:eastAsia="zh-CN"/>
        </w:rPr>
        <w:t>2</w:t>
      </w:r>
      <w:r>
        <w:rPr>
          <w:rFonts w:hint="eastAsia" w:ascii="宋体" w:hAnsi="宋体" w:eastAsia="宋体" w:cs="宋体"/>
          <w:b/>
          <w:bCs/>
          <w:color w:val="auto"/>
          <w:kern w:val="0"/>
          <w:sz w:val="24"/>
          <w:lang w:eastAsia="zh-CN"/>
        </w:rPr>
        <w:t xml:space="preserve"> 加油站主要事故风险分布</w:t>
      </w:r>
      <w:r>
        <w:rPr>
          <w:rFonts w:hint="eastAsia" w:ascii="宋体" w:hAnsi="宋体" w:cs="宋体"/>
          <w:b/>
          <w:bCs/>
          <w:color w:val="auto"/>
          <w:kern w:val="0"/>
          <w:sz w:val="24"/>
          <w:lang w:eastAsia="zh-CN"/>
        </w:rPr>
        <w:t>汇总</w:t>
      </w:r>
      <w:r>
        <w:rPr>
          <w:rFonts w:hint="eastAsia" w:ascii="宋体" w:hAnsi="宋体" w:eastAsia="宋体" w:cs="宋体"/>
          <w:b/>
          <w:bCs/>
          <w:color w:val="auto"/>
          <w:kern w:val="0"/>
          <w:sz w:val="24"/>
          <w:lang w:eastAsia="zh-CN"/>
        </w:rPr>
        <w:t>表</w:t>
      </w:r>
    </w:p>
    <w:tbl>
      <w:tblPr>
        <w:tblStyle w:val="50"/>
        <w:tblW w:w="48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595"/>
        <w:gridCol w:w="555"/>
        <w:gridCol w:w="645"/>
        <w:gridCol w:w="703"/>
        <w:gridCol w:w="780"/>
        <w:gridCol w:w="696"/>
        <w:gridCol w:w="720"/>
        <w:gridCol w:w="936"/>
        <w:gridCol w:w="756"/>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75" w:type="pct"/>
            <w:tcBorders>
              <w:tl2br w:val="single" w:color="auto" w:sz="4" w:space="0"/>
            </w:tcBorders>
            <w:noWrap w:val="0"/>
            <w:vAlign w:val="top"/>
          </w:tcPr>
          <w:p>
            <w:pPr>
              <w:ind w:left="480" w:hanging="480" w:hanging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事故风险</w:t>
            </w:r>
          </w:p>
          <w:p>
            <w:pPr>
              <w:rPr>
                <w:rFonts w:hint="eastAsia" w:ascii="宋体" w:hAnsi="宋体" w:eastAsia="宋体" w:cs="宋体"/>
                <w:color w:val="000000" w:themeColor="text1"/>
                <w:sz w:val="24"/>
                <w:highlight w:val="none"/>
                <w14:textFill>
                  <w14:solidFill>
                    <w14:schemeClr w14:val="tx1"/>
                  </w14:solidFill>
                </w14:textFill>
              </w:rPr>
            </w:pPr>
          </w:p>
          <w:p>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作业场所</w:t>
            </w:r>
          </w:p>
        </w:tc>
        <w:tc>
          <w:tcPr>
            <w:tcW w:w="329" w:type="pct"/>
            <w:noWrap w:val="0"/>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泄漏</w:t>
            </w:r>
          </w:p>
        </w:tc>
        <w:tc>
          <w:tcPr>
            <w:tcW w:w="307" w:type="pct"/>
            <w:noWrap w:val="0"/>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火灾</w:t>
            </w:r>
          </w:p>
        </w:tc>
        <w:tc>
          <w:tcPr>
            <w:tcW w:w="356" w:type="pct"/>
            <w:noWrap w:val="0"/>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爆炸</w:t>
            </w:r>
          </w:p>
        </w:tc>
        <w:tc>
          <w:tcPr>
            <w:tcW w:w="389" w:type="pct"/>
            <w:noWrap w:val="0"/>
            <w:vAlign w:val="center"/>
          </w:tcPr>
          <w:p>
            <w:pPr>
              <w:spacing w:line="440" w:lineRule="exact"/>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auto"/>
                <w:sz w:val="24"/>
                <w:highlight w:val="none"/>
              </w:rPr>
              <w:t>中毒</w:t>
            </w:r>
            <w:r>
              <w:rPr>
                <w:rFonts w:hint="eastAsia" w:ascii="宋体" w:hAnsi="宋体" w:cs="宋体"/>
                <w:color w:val="auto"/>
                <w:sz w:val="24"/>
                <w:highlight w:val="none"/>
                <w:lang w:val="en-US" w:eastAsia="zh-CN"/>
              </w:rPr>
              <w:t>窒息</w:t>
            </w:r>
          </w:p>
        </w:tc>
        <w:tc>
          <w:tcPr>
            <w:tcW w:w="431" w:type="pct"/>
            <w:noWrap w:val="0"/>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触电</w:t>
            </w:r>
          </w:p>
        </w:tc>
        <w:tc>
          <w:tcPr>
            <w:tcW w:w="385" w:type="pct"/>
            <w:noWrap w:val="0"/>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车辆</w:t>
            </w:r>
          </w:p>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伤害</w:t>
            </w:r>
          </w:p>
        </w:tc>
        <w:tc>
          <w:tcPr>
            <w:tcW w:w="398" w:type="pct"/>
            <w:noWrap w:val="0"/>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机械</w:t>
            </w:r>
          </w:p>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伤害</w:t>
            </w:r>
          </w:p>
        </w:tc>
        <w:tc>
          <w:tcPr>
            <w:tcW w:w="518" w:type="pct"/>
            <w:noWrap w:val="0"/>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高处</w:t>
            </w:r>
          </w:p>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坠落</w:t>
            </w:r>
          </w:p>
        </w:tc>
        <w:tc>
          <w:tcPr>
            <w:tcW w:w="418" w:type="pct"/>
            <w:noWrap w:val="0"/>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auto"/>
                <w:sz w:val="24"/>
                <w:highlight w:val="none"/>
                <w:lang w:val="en-US" w:eastAsia="zh-CN"/>
              </w:rPr>
              <w:t>治安事件</w:t>
            </w:r>
          </w:p>
        </w:tc>
        <w:tc>
          <w:tcPr>
            <w:tcW w:w="690" w:type="pct"/>
            <w:noWrap w:val="0"/>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auto"/>
                <w:sz w:val="24"/>
                <w:highlight w:val="none"/>
                <w:lang w:val="en-US" w:eastAsia="zh-CN"/>
              </w:rPr>
              <w:t>自然灾害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75" w:type="pct"/>
            <w:noWrap w:val="0"/>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油罐区</w:t>
            </w:r>
          </w:p>
        </w:tc>
        <w:tc>
          <w:tcPr>
            <w:tcW w:w="329" w:type="pct"/>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307" w:type="pct"/>
            <w:noWrap w:val="0"/>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356" w:type="pct"/>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389" w:type="pct"/>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431" w:type="pct"/>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385" w:type="pct"/>
            <w:noWrap w:val="0"/>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398" w:type="pct"/>
            <w:noWrap w:val="0"/>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518" w:type="pct"/>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418" w:type="pct"/>
            <w:noWrap w:val="0"/>
            <w:vAlign w:val="center"/>
          </w:tcPr>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690" w:type="pct"/>
            <w:noWrap w:val="0"/>
            <w:vAlign w:val="center"/>
          </w:tcPr>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75" w:type="pct"/>
            <w:noWrap w:val="0"/>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加油区</w:t>
            </w:r>
          </w:p>
        </w:tc>
        <w:tc>
          <w:tcPr>
            <w:tcW w:w="329" w:type="pct"/>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307" w:type="pct"/>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356" w:type="pct"/>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389" w:type="pct"/>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431" w:type="pct"/>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385" w:type="pct"/>
            <w:noWrap w:val="0"/>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398" w:type="pct"/>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p>
        </w:tc>
        <w:tc>
          <w:tcPr>
            <w:tcW w:w="518" w:type="pct"/>
            <w:noWrap w:val="0"/>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418" w:type="pct"/>
            <w:noWrap w:val="0"/>
            <w:vAlign w:val="center"/>
          </w:tcPr>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690" w:type="pct"/>
            <w:noWrap w:val="0"/>
            <w:vAlign w:val="center"/>
          </w:tcPr>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75" w:type="pct"/>
            <w:noWrap w:val="0"/>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配电室</w:t>
            </w:r>
          </w:p>
        </w:tc>
        <w:tc>
          <w:tcPr>
            <w:tcW w:w="329" w:type="pct"/>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p>
        </w:tc>
        <w:tc>
          <w:tcPr>
            <w:tcW w:w="307" w:type="pct"/>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356" w:type="pct"/>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389" w:type="pct"/>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p>
        </w:tc>
        <w:tc>
          <w:tcPr>
            <w:tcW w:w="431" w:type="pct"/>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385" w:type="pct"/>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p>
        </w:tc>
        <w:tc>
          <w:tcPr>
            <w:tcW w:w="398" w:type="pct"/>
            <w:noWrap w:val="0"/>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518" w:type="pct"/>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p>
        </w:tc>
        <w:tc>
          <w:tcPr>
            <w:tcW w:w="418" w:type="pct"/>
            <w:noWrap w:val="0"/>
            <w:vAlign w:val="center"/>
          </w:tcPr>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690" w:type="pct"/>
            <w:noWrap w:val="0"/>
            <w:vAlign w:val="center"/>
          </w:tcPr>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pct"/>
            <w:noWrap w:val="0"/>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辅助用房</w:t>
            </w:r>
          </w:p>
        </w:tc>
        <w:tc>
          <w:tcPr>
            <w:tcW w:w="329" w:type="pct"/>
            <w:noWrap w:val="0"/>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307" w:type="pct"/>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356" w:type="pct"/>
            <w:noWrap w:val="0"/>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389" w:type="pct"/>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p>
        </w:tc>
        <w:tc>
          <w:tcPr>
            <w:tcW w:w="431" w:type="pct"/>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385" w:type="pct"/>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p>
        </w:tc>
        <w:tc>
          <w:tcPr>
            <w:tcW w:w="398" w:type="pct"/>
            <w:noWrap w:val="0"/>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518" w:type="pct"/>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418" w:type="pct"/>
            <w:noWrap w:val="0"/>
            <w:vAlign w:val="center"/>
          </w:tcPr>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690" w:type="pct"/>
            <w:noWrap w:val="0"/>
            <w:vAlign w:val="center"/>
          </w:tcPr>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r>
    </w:tbl>
    <w:p>
      <w:pPr>
        <w:pageBreakBefore w:val="0"/>
        <w:kinsoku/>
        <w:wordWrap/>
        <w:overflowPunct/>
        <w:topLinePunct w:val="0"/>
        <w:bidi w:val="0"/>
        <w:snapToGrid w:val="0"/>
        <w:spacing w:line="360" w:lineRule="auto"/>
        <w:ind w:left="0" w:leftChars="0" w:right="0"/>
        <w:jc w:val="center"/>
        <w:textAlignment w:val="auto"/>
        <w:rPr>
          <w:rFonts w:hint="eastAsia" w:ascii="宋体" w:hAnsi="宋体" w:eastAsia="宋体" w:cs="宋体"/>
          <w:b/>
          <w:bCs/>
          <w:color w:val="auto"/>
          <w:kern w:val="0"/>
          <w:sz w:val="24"/>
          <w:lang w:eastAsia="zh-CN"/>
        </w:rPr>
      </w:pPr>
    </w:p>
    <w:p>
      <w:pPr>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br w:type="page"/>
      </w:r>
    </w:p>
    <w:p>
      <w:pPr>
        <w:pStyle w:val="4"/>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lang w:val="en-US" w:eastAsia="zh-CN"/>
        </w:rPr>
      </w:pPr>
      <w:bookmarkStart w:id="131" w:name="_Toc369"/>
      <w:r>
        <w:rPr>
          <w:rFonts w:hint="eastAsia" w:ascii="宋体" w:hAnsi="宋体" w:eastAsia="宋体" w:cs="宋体"/>
          <w:color w:val="auto"/>
          <w:lang w:val="en-US" w:eastAsia="zh-CN"/>
        </w:rPr>
        <w:t>3 事故风险评价</w:t>
      </w:r>
      <w:bookmarkEnd w:id="131"/>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根据《生产安全事故报告与调查处理条例》（以下简称条例）规定，生产安全事故按照其性质、严重程度和影响范围等因素，一般分为四个等级，本站按照事故性质、灾害程度、影响范围等因素，结合自身及周边单位的实际情况，将生产安全事故分为以下三个等级</w:t>
      </w:r>
      <w:r>
        <w:rPr>
          <w:rFonts w:hint="eastAsia" w:ascii="宋体" w:hAnsi="宋体" w:eastAsia="宋体" w:cs="宋体"/>
          <w:color w:val="auto"/>
          <w:sz w:val="28"/>
          <w:szCs w:val="28"/>
          <w:lang w:eastAsia="zh-CN"/>
        </w:rPr>
        <w:t>：</w:t>
      </w:r>
    </w:p>
    <w:p>
      <w:pPr>
        <w:pageBreakBefore w:val="0"/>
        <w:tabs>
          <w:tab w:val="center" w:pos="4535"/>
          <w:tab w:val="right" w:pos="9070"/>
        </w:tabs>
        <w:kinsoku/>
        <w:wordWrap/>
        <w:overflowPunct/>
        <w:topLinePunct w:val="0"/>
        <w:bidi w:val="0"/>
        <w:snapToGrid w:val="0"/>
        <w:spacing w:line="360" w:lineRule="auto"/>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严重事故：造成1人以上死亡或重伤的事故；或者造成20万元以上经济损失的事故。</w:t>
      </w:r>
    </w:p>
    <w:p>
      <w:pPr>
        <w:pageBreakBefore w:val="0"/>
        <w:tabs>
          <w:tab w:val="center" w:pos="4535"/>
          <w:tab w:val="right" w:pos="9070"/>
        </w:tabs>
        <w:kinsoku/>
        <w:wordWrap/>
        <w:overflowPunct/>
        <w:topLinePunct w:val="0"/>
        <w:bidi w:val="0"/>
        <w:snapToGrid w:val="0"/>
        <w:spacing w:line="360" w:lineRule="auto"/>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较大事故：无人员重伤或死亡，2人轻伤的；或者造成10万元以上，20万元以下经济损失的事故。</w:t>
      </w:r>
    </w:p>
    <w:p>
      <w:pPr>
        <w:pageBreakBefore w:val="0"/>
        <w:tabs>
          <w:tab w:val="center" w:pos="4535"/>
          <w:tab w:val="right" w:pos="9070"/>
        </w:tabs>
        <w:kinsoku/>
        <w:wordWrap/>
        <w:overflowPunct/>
        <w:topLinePunct w:val="0"/>
        <w:bidi w:val="0"/>
        <w:snapToGrid w:val="0"/>
        <w:spacing w:line="360" w:lineRule="auto"/>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一般事故：无人员重伤或死亡，2人以下轻伤的；或者造成10万元以下经济损失的事故。</w:t>
      </w:r>
    </w:p>
    <w:p>
      <w:pPr>
        <w:pageBreakBefore w:val="0"/>
        <w:tabs>
          <w:tab w:val="center" w:pos="4535"/>
          <w:tab w:val="right" w:pos="9070"/>
        </w:tabs>
        <w:kinsoku/>
        <w:wordWrap/>
        <w:overflowPunct/>
        <w:topLinePunct w:val="0"/>
        <w:bidi w:val="0"/>
        <w:snapToGrid w:val="0"/>
        <w:spacing w:line="360" w:lineRule="auto"/>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注：上述“以上”含本数；如“1人以上死亡”，指“含1人及以上的死亡”。</w:t>
      </w:r>
    </w:p>
    <w:p>
      <w:pPr>
        <w:pageBreakBefore w:val="0"/>
        <w:kinsoku/>
        <w:wordWrap/>
        <w:overflowPunct/>
        <w:topLinePunct w:val="0"/>
        <w:bidi w:val="0"/>
        <w:snapToGrid w:val="0"/>
        <w:spacing w:line="360" w:lineRule="auto"/>
        <w:ind w:left="0" w:leftChars="0" w:right="0"/>
        <w:jc w:val="center"/>
        <w:textAlignment w:val="auto"/>
        <w:rPr>
          <w:rFonts w:hint="eastAsia"/>
        </w:rPr>
      </w:pPr>
      <w:r>
        <w:rPr>
          <w:rFonts w:hint="eastAsia" w:ascii="宋体" w:hAnsi="宋体" w:eastAsia="宋体" w:cs="宋体"/>
          <w:b/>
          <w:bCs/>
          <w:color w:val="auto"/>
          <w:kern w:val="0"/>
          <w:sz w:val="24"/>
          <w:lang w:eastAsia="zh-CN"/>
        </w:rPr>
        <w:t>表</w:t>
      </w:r>
      <w:r>
        <w:rPr>
          <w:rFonts w:hint="eastAsia" w:ascii="宋体" w:hAnsi="宋体" w:cs="宋体"/>
          <w:b/>
          <w:bCs/>
          <w:color w:val="auto"/>
          <w:kern w:val="0"/>
          <w:sz w:val="24"/>
          <w:lang w:val="en-US" w:eastAsia="zh-CN"/>
        </w:rPr>
        <w:t>3</w:t>
      </w:r>
      <w:r>
        <w:rPr>
          <w:rFonts w:hint="eastAsia" w:ascii="宋体" w:hAnsi="宋体" w:eastAsia="宋体" w:cs="宋体"/>
          <w:b/>
          <w:bCs/>
          <w:color w:val="auto"/>
          <w:kern w:val="0"/>
          <w:sz w:val="24"/>
          <w:lang w:eastAsia="zh-CN"/>
        </w:rPr>
        <w:t>-</w:t>
      </w:r>
      <w:r>
        <w:rPr>
          <w:rFonts w:hint="eastAsia" w:ascii="宋体" w:hAnsi="宋体" w:cs="宋体"/>
          <w:b/>
          <w:bCs/>
          <w:color w:val="auto"/>
          <w:kern w:val="0"/>
          <w:sz w:val="24"/>
          <w:lang w:val="en-US" w:eastAsia="zh-CN"/>
        </w:rPr>
        <w:t>1</w:t>
      </w:r>
      <w:r>
        <w:rPr>
          <w:rFonts w:hint="eastAsia" w:ascii="宋体" w:hAnsi="宋体" w:eastAsia="宋体" w:cs="宋体"/>
          <w:b/>
          <w:bCs/>
          <w:color w:val="auto"/>
          <w:kern w:val="0"/>
          <w:sz w:val="24"/>
          <w:lang w:eastAsia="zh-CN"/>
        </w:rPr>
        <w:t xml:space="preserve"> </w:t>
      </w:r>
      <w:r>
        <w:rPr>
          <w:rFonts w:hint="eastAsia" w:ascii="宋体" w:hAnsi="宋体" w:eastAsia="宋体" w:cs="宋体"/>
          <w:b/>
          <w:bCs/>
          <w:color w:val="auto"/>
          <w:kern w:val="0"/>
          <w:sz w:val="24"/>
          <w:lang w:val="en-US" w:eastAsia="zh-CN"/>
        </w:rPr>
        <w:t>事故等级</w:t>
      </w:r>
    </w:p>
    <w:tbl>
      <w:tblPr>
        <w:tblStyle w:val="50"/>
        <w:tblpPr w:leftFromText="180" w:rightFromText="180" w:vertAnchor="text" w:horzAnchor="margin" w:tblpX="269" w:tblpY="347"/>
        <w:tblW w:w="4999" w:type="pct"/>
        <w:tblInd w:w="0" w:type="dxa"/>
        <w:tblLayout w:type="autofit"/>
        <w:tblCellMar>
          <w:top w:w="0" w:type="dxa"/>
          <w:left w:w="108" w:type="dxa"/>
          <w:bottom w:w="0" w:type="dxa"/>
          <w:right w:w="108" w:type="dxa"/>
        </w:tblCellMar>
      </w:tblPr>
      <w:tblGrid>
        <w:gridCol w:w="1672"/>
        <w:gridCol w:w="7614"/>
      </w:tblGrid>
      <w:tr>
        <w:tblPrEx>
          <w:tblCellMar>
            <w:top w:w="0" w:type="dxa"/>
            <w:left w:w="108" w:type="dxa"/>
            <w:bottom w:w="0" w:type="dxa"/>
            <w:right w:w="108" w:type="dxa"/>
          </w:tblCellMar>
        </w:tblPrEx>
        <w:trPr>
          <w:trHeight w:val="75" w:hRule="atLeast"/>
        </w:trPr>
        <w:tc>
          <w:tcPr>
            <w:tcW w:w="900"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pageBreakBefore w:val="0"/>
              <w:widowControl/>
              <w:kinsoku/>
              <w:wordWrap/>
              <w:overflowPunct/>
              <w:topLinePunct w:val="0"/>
              <w:bidi w:val="0"/>
              <w:snapToGrid w:val="0"/>
              <w:spacing w:line="360" w:lineRule="auto"/>
              <w:ind w:left="0" w:leftChars="0" w:right="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事故等级</w:t>
            </w:r>
          </w:p>
        </w:tc>
        <w:tc>
          <w:tcPr>
            <w:tcW w:w="4099" w:type="pct"/>
            <w:tcBorders>
              <w:top w:val="single" w:color="000000" w:sz="4" w:space="0"/>
              <w:left w:val="nil"/>
              <w:bottom w:val="single" w:color="000000" w:sz="4" w:space="0"/>
              <w:right w:val="single" w:color="000000" w:sz="4" w:space="0"/>
            </w:tcBorders>
            <w:shd w:val="clear" w:color="auto" w:fill="FFFFFF"/>
            <w:noWrap w:val="0"/>
            <w:vAlign w:val="center"/>
          </w:tcPr>
          <w:p>
            <w:pPr>
              <w:pageBreakBefore w:val="0"/>
              <w:widowControl/>
              <w:kinsoku/>
              <w:wordWrap/>
              <w:overflowPunct/>
              <w:topLinePunct w:val="0"/>
              <w:bidi w:val="0"/>
              <w:snapToGrid w:val="0"/>
              <w:spacing w:line="360" w:lineRule="auto"/>
              <w:ind w:left="0" w:leftChars="0" w:right="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分级依据</w:t>
            </w:r>
          </w:p>
        </w:tc>
      </w:tr>
      <w:tr>
        <w:tblPrEx>
          <w:tblCellMar>
            <w:top w:w="0" w:type="dxa"/>
            <w:left w:w="108" w:type="dxa"/>
            <w:bottom w:w="0" w:type="dxa"/>
            <w:right w:w="108" w:type="dxa"/>
          </w:tblCellMar>
        </w:tblPrEx>
        <w:trPr>
          <w:trHeight w:val="75" w:hRule="atLeast"/>
        </w:trPr>
        <w:tc>
          <w:tcPr>
            <w:tcW w:w="900"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napToGrid w:val="0"/>
              <w:spacing w:line="360" w:lineRule="auto"/>
              <w:ind w:left="0" w:leftChars="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严重事故</w:t>
            </w:r>
          </w:p>
        </w:tc>
        <w:tc>
          <w:tcPr>
            <w:tcW w:w="4099" w:type="pct"/>
            <w:tcBorders>
              <w:top w:val="single" w:color="000000" w:sz="4" w:space="0"/>
              <w:left w:val="nil"/>
              <w:bottom w:val="single" w:color="000000" w:sz="4" w:space="0"/>
              <w:right w:val="single" w:color="000000" w:sz="4" w:space="0"/>
            </w:tcBorders>
            <w:noWrap w:val="0"/>
            <w:vAlign w:val="top"/>
          </w:tcPr>
          <w:p>
            <w:pPr>
              <w:pageBreakBefore w:val="0"/>
              <w:widowControl/>
              <w:kinsoku/>
              <w:wordWrap/>
              <w:overflowPunct/>
              <w:topLinePunct w:val="0"/>
              <w:bidi w:val="0"/>
              <w:snapToGrid w:val="0"/>
              <w:spacing w:line="360" w:lineRule="auto"/>
              <w:ind w:left="0" w:leftChars="0"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造成1人以上死亡或重伤的事故；或者造成20万元以上经济损失的事故。</w:t>
            </w:r>
          </w:p>
        </w:tc>
      </w:tr>
      <w:tr>
        <w:tblPrEx>
          <w:tblCellMar>
            <w:top w:w="0" w:type="dxa"/>
            <w:left w:w="108" w:type="dxa"/>
            <w:bottom w:w="0" w:type="dxa"/>
            <w:right w:w="108" w:type="dxa"/>
          </w:tblCellMar>
        </w:tblPrEx>
        <w:trPr>
          <w:trHeight w:val="90" w:hRule="atLeast"/>
        </w:trPr>
        <w:tc>
          <w:tcPr>
            <w:tcW w:w="900"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napToGrid w:val="0"/>
              <w:spacing w:line="360" w:lineRule="auto"/>
              <w:ind w:left="0" w:leftChars="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较大事故</w:t>
            </w:r>
          </w:p>
        </w:tc>
        <w:tc>
          <w:tcPr>
            <w:tcW w:w="4099" w:type="pct"/>
            <w:tcBorders>
              <w:top w:val="single" w:color="000000" w:sz="4" w:space="0"/>
              <w:left w:val="nil"/>
              <w:bottom w:val="single" w:color="000000" w:sz="4" w:space="0"/>
              <w:right w:val="single" w:color="000000" w:sz="4" w:space="0"/>
            </w:tcBorders>
            <w:noWrap w:val="0"/>
            <w:vAlign w:val="top"/>
          </w:tcPr>
          <w:p>
            <w:pPr>
              <w:pageBreakBefore w:val="0"/>
              <w:widowControl/>
              <w:kinsoku/>
              <w:wordWrap/>
              <w:overflowPunct/>
              <w:topLinePunct w:val="0"/>
              <w:bidi w:val="0"/>
              <w:snapToGrid w:val="0"/>
              <w:spacing w:line="360" w:lineRule="auto"/>
              <w:ind w:left="0" w:leftChars="0"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无人员重伤或死亡，2人轻伤的；或者造成10万元以上，20万元以下经济损失的事故。</w:t>
            </w:r>
          </w:p>
        </w:tc>
      </w:tr>
      <w:tr>
        <w:tblPrEx>
          <w:tblCellMar>
            <w:top w:w="0" w:type="dxa"/>
            <w:left w:w="108" w:type="dxa"/>
            <w:bottom w:w="0" w:type="dxa"/>
            <w:right w:w="108" w:type="dxa"/>
          </w:tblCellMar>
        </w:tblPrEx>
        <w:trPr>
          <w:trHeight w:val="244" w:hRule="atLeast"/>
        </w:trPr>
        <w:tc>
          <w:tcPr>
            <w:tcW w:w="900"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napToGrid w:val="0"/>
              <w:spacing w:line="360" w:lineRule="auto"/>
              <w:ind w:left="0" w:leftChars="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一般事故</w:t>
            </w:r>
          </w:p>
        </w:tc>
        <w:tc>
          <w:tcPr>
            <w:tcW w:w="4099" w:type="pct"/>
            <w:tcBorders>
              <w:top w:val="single" w:color="000000" w:sz="4" w:space="0"/>
              <w:left w:val="nil"/>
              <w:bottom w:val="single" w:color="000000" w:sz="4" w:space="0"/>
              <w:right w:val="single" w:color="000000" w:sz="4" w:space="0"/>
            </w:tcBorders>
            <w:noWrap w:val="0"/>
            <w:vAlign w:val="top"/>
          </w:tcPr>
          <w:p>
            <w:pPr>
              <w:pageBreakBefore w:val="0"/>
              <w:widowControl/>
              <w:kinsoku/>
              <w:wordWrap/>
              <w:overflowPunct/>
              <w:topLinePunct w:val="0"/>
              <w:bidi w:val="0"/>
              <w:snapToGrid w:val="0"/>
              <w:spacing w:line="360" w:lineRule="auto"/>
              <w:ind w:left="0" w:leftChars="0"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无人员重伤或死亡，2人以下轻伤的；或者造成10万元以下经济损失的事故。</w:t>
            </w:r>
          </w:p>
        </w:tc>
      </w:tr>
    </w:tbl>
    <w:p>
      <w:pPr>
        <w:pageBreakBefore w:val="0"/>
        <w:kinsoku/>
        <w:wordWrap/>
        <w:overflowPunct/>
        <w:topLinePunct w:val="0"/>
        <w:bidi w:val="0"/>
        <w:snapToGrid w:val="0"/>
        <w:spacing w:line="360" w:lineRule="auto"/>
        <w:ind w:left="0" w:leftChars="0" w:right="0"/>
        <w:jc w:val="center"/>
        <w:textAlignment w:val="auto"/>
        <w:rPr>
          <w:rFonts w:hint="eastAsia" w:ascii="宋体" w:hAnsi="宋体" w:eastAsia="宋体" w:cs="宋体"/>
          <w:b/>
          <w:bCs/>
          <w:color w:val="auto"/>
          <w:kern w:val="0"/>
          <w:sz w:val="24"/>
          <w:lang w:eastAsia="zh-CN"/>
        </w:rPr>
      </w:pPr>
    </w:p>
    <w:p>
      <w:pPr>
        <w:pageBreakBefore w:val="0"/>
        <w:kinsoku/>
        <w:wordWrap/>
        <w:overflowPunct/>
        <w:topLinePunct w:val="0"/>
        <w:bidi w:val="0"/>
        <w:snapToGrid w:val="0"/>
        <w:spacing w:line="360" w:lineRule="auto"/>
        <w:ind w:left="0" w:leftChars="0" w:right="0"/>
        <w:jc w:val="center"/>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表</w:t>
      </w:r>
      <w:r>
        <w:rPr>
          <w:rFonts w:hint="eastAsia" w:ascii="宋体" w:hAnsi="宋体" w:cs="宋体"/>
          <w:b/>
          <w:bCs/>
          <w:color w:val="auto"/>
          <w:kern w:val="0"/>
          <w:sz w:val="24"/>
          <w:lang w:val="en-US" w:eastAsia="zh-CN"/>
        </w:rPr>
        <w:t>3</w:t>
      </w:r>
      <w:r>
        <w:rPr>
          <w:rFonts w:hint="eastAsia" w:ascii="宋体" w:hAnsi="宋体" w:eastAsia="宋体" w:cs="宋体"/>
          <w:b/>
          <w:bCs/>
          <w:color w:val="auto"/>
          <w:kern w:val="0"/>
          <w:sz w:val="24"/>
          <w:lang w:eastAsia="zh-CN"/>
        </w:rPr>
        <w:t>-</w:t>
      </w:r>
      <w:r>
        <w:rPr>
          <w:rFonts w:hint="eastAsia" w:ascii="宋体" w:hAnsi="宋体" w:cs="宋体"/>
          <w:b/>
          <w:bCs/>
          <w:color w:val="auto"/>
          <w:kern w:val="0"/>
          <w:sz w:val="24"/>
          <w:lang w:val="en-US" w:eastAsia="zh-CN"/>
        </w:rPr>
        <w:t>2</w:t>
      </w:r>
      <w:r>
        <w:rPr>
          <w:rFonts w:hint="eastAsia" w:ascii="宋体" w:hAnsi="宋体" w:eastAsia="宋体" w:cs="宋体"/>
          <w:b/>
          <w:bCs/>
          <w:color w:val="auto"/>
          <w:kern w:val="0"/>
          <w:sz w:val="24"/>
          <w:lang w:eastAsia="zh-CN"/>
        </w:rPr>
        <w:t>加油站主要事故风险分析结果</w:t>
      </w:r>
    </w:p>
    <w:tbl>
      <w:tblPr>
        <w:tblStyle w:val="50"/>
        <w:tblpPr w:leftFromText="180" w:rightFromText="180" w:vertAnchor="text" w:horzAnchor="page" w:tblpX="1678" w:tblpY="330"/>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1423"/>
        <w:gridCol w:w="3870"/>
        <w:gridCol w:w="1987"/>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2" w:type="pct"/>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66" w:type="pct"/>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事故类型</w:t>
            </w:r>
          </w:p>
        </w:tc>
        <w:tc>
          <w:tcPr>
            <w:tcW w:w="2084" w:type="pct"/>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存在部位/方式</w:t>
            </w:r>
          </w:p>
        </w:tc>
        <w:tc>
          <w:tcPr>
            <w:tcW w:w="1070" w:type="pct"/>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事故后果</w:t>
            </w:r>
          </w:p>
        </w:tc>
        <w:tc>
          <w:tcPr>
            <w:tcW w:w="606" w:type="pct"/>
            <w:noWrap w:val="0"/>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风险</w:t>
            </w:r>
            <w:r>
              <w:rPr>
                <w:rFonts w:hint="eastAsia" w:ascii="宋体" w:hAnsi="宋体" w:eastAsia="宋体" w:cs="宋体"/>
                <w:color w:val="auto"/>
                <w:sz w:val="24"/>
                <w:highlight w:val="none"/>
                <w:lang w:eastAsia="zh-CN"/>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2" w:type="pct"/>
            <w:noWrap w:val="0"/>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766" w:type="pct"/>
            <w:noWrap w:val="0"/>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泄漏</w:t>
            </w:r>
          </w:p>
        </w:tc>
        <w:tc>
          <w:tcPr>
            <w:tcW w:w="2084" w:type="pct"/>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站内，重点在卸油处、加油处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油罐区</w:t>
            </w:r>
          </w:p>
        </w:tc>
        <w:tc>
          <w:tcPr>
            <w:tcW w:w="1070" w:type="pct"/>
            <w:noWrap w:val="0"/>
            <w:vAlign w:val="center"/>
          </w:tcPr>
          <w:p>
            <w:pPr>
              <w:tabs>
                <w:tab w:val="left" w:pos="360"/>
              </w:tabs>
              <w:spacing w:line="24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ab/>
            </w:r>
            <w:r>
              <w:rPr>
                <w:rFonts w:hint="eastAsia" w:ascii="宋体" w:hAnsi="宋体" w:eastAsia="宋体" w:cs="宋体"/>
                <w:color w:val="auto"/>
                <w:sz w:val="24"/>
                <w:highlight w:val="none"/>
                <w:lang w:val="en-US" w:eastAsia="zh-CN"/>
              </w:rPr>
              <w:t>致人员中毒、环境污染</w:t>
            </w:r>
            <w:r>
              <w:rPr>
                <w:rFonts w:hint="eastAsia" w:ascii="宋体" w:hAnsi="宋体" w:cs="宋体"/>
                <w:color w:val="auto"/>
                <w:sz w:val="24"/>
                <w:highlight w:val="none"/>
                <w:lang w:val="en-US" w:eastAsia="zh-CN"/>
              </w:rPr>
              <w:t>、火灾爆炸</w:t>
            </w:r>
          </w:p>
        </w:tc>
        <w:tc>
          <w:tcPr>
            <w:tcW w:w="606" w:type="pct"/>
            <w:noWrap w:val="0"/>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二</w:t>
            </w:r>
            <w:r>
              <w:rPr>
                <w:rFonts w:hint="eastAsia" w:ascii="宋体" w:hAnsi="宋体" w:eastAsia="宋体" w:cs="宋体"/>
                <w:color w:val="auto"/>
                <w:sz w:val="24"/>
                <w:highlight w:val="none"/>
                <w:lang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2" w:type="pct"/>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w:t>
            </w:r>
          </w:p>
        </w:tc>
        <w:tc>
          <w:tcPr>
            <w:tcW w:w="766"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火灾爆炸</w:t>
            </w:r>
          </w:p>
        </w:tc>
        <w:tc>
          <w:tcPr>
            <w:tcW w:w="2084"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站内，重点在卸油处、加油处</w:t>
            </w:r>
            <w:r>
              <w:rPr>
                <w:rFonts w:hint="eastAsia" w:ascii="宋体" w:hAnsi="宋体" w:eastAsia="宋体" w:cs="宋体"/>
                <w:color w:val="auto"/>
                <w:sz w:val="24"/>
                <w:lang w:eastAsia="zh-CN"/>
              </w:rPr>
              <w:t>、</w:t>
            </w:r>
            <w:r>
              <w:rPr>
                <w:rFonts w:hint="eastAsia" w:ascii="宋体" w:hAnsi="宋体" w:eastAsia="宋体" w:cs="宋体"/>
                <w:color w:val="auto"/>
                <w:sz w:val="24"/>
              </w:rPr>
              <w:t>油罐区</w:t>
            </w:r>
          </w:p>
        </w:tc>
        <w:tc>
          <w:tcPr>
            <w:tcW w:w="1070"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致人伤亡，致设备、设施损毁</w:t>
            </w:r>
          </w:p>
        </w:tc>
        <w:tc>
          <w:tcPr>
            <w:tcW w:w="606" w:type="pct"/>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2"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p>
        </w:tc>
        <w:tc>
          <w:tcPr>
            <w:tcW w:w="766"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汽油中毒</w:t>
            </w:r>
          </w:p>
        </w:tc>
        <w:tc>
          <w:tcPr>
            <w:tcW w:w="2084"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站内，重点在卸油处、加油处、油罐区</w:t>
            </w:r>
          </w:p>
        </w:tc>
        <w:tc>
          <w:tcPr>
            <w:tcW w:w="1070"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人员中毒</w:t>
            </w:r>
          </w:p>
        </w:tc>
        <w:tc>
          <w:tcPr>
            <w:tcW w:w="606" w:type="pct"/>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2"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w:t>
            </w:r>
          </w:p>
        </w:tc>
        <w:tc>
          <w:tcPr>
            <w:tcW w:w="766"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触电</w:t>
            </w:r>
          </w:p>
        </w:tc>
        <w:tc>
          <w:tcPr>
            <w:tcW w:w="2084"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电气线路，电气设备</w:t>
            </w:r>
          </w:p>
        </w:tc>
        <w:tc>
          <w:tcPr>
            <w:tcW w:w="1070"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火灾、触电</w:t>
            </w:r>
          </w:p>
        </w:tc>
        <w:tc>
          <w:tcPr>
            <w:tcW w:w="606" w:type="pct"/>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472"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p>
        </w:tc>
        <w:tc>
          <w:tcPr>
            <w:tcW w:w="766"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高处坠落</w:t>
            </w:r>
          </w:p>
        </w:tc>
        <w:tc>
          <w:tcPr>
            <w:tcW w:w="2084"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加油区，罩棚等高处维修作业时</w:t>
            </w:r>
          </w:p>
        </w:tc>
        <w:tc>
          <w:tcPr>
            <w:tcW w:w="1070"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人员摔伤</w:t>
            </w:r>
          </w:p>
        </w:tc>
        <w:tc>
          <w:tcPr>
            <w:tcW w:w="606"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lang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72"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w:t>
            </w:r>
          </w:p>
        </w:tc>
        <w:tc>
          <w:tcPr>
            <w:tcW w:w="766"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车辆伤害</w:t>
            </w:r>
          </w:p>
        </w:tc>
        <w:tc>
          <w:tcPr>
            <w:tcW w:w="2084"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加油</w:t>
            </w:r>
            <w:r>
              <w:rPr>
                <w:rFonts w:hint="eastAsia" w:ascii="宋体" w:hAnsi="宋体" w:eastAsia="宋体" w:cs="宋体"/>
                <w:color w:val="auto"/>
                <w:sz w:val="24"/>
                <w:lang w:val="en-US" w:eastAsia="zh-CN"/>
              </w:rPr>
              <w:t>处</w:t>
            </w:r>
            <w:r>
              <w:rPr>
                <w:rFonts w:hint="eastAsia" w:ascii="宋体" w:hAnsi="宋体" w:eastAsia="宋体" w:cs="宋体"/>
                <w:color w:val="auto"/>
                <w:sz w:val="24"/>
              </w:rPr>
              <w:t>、卸油处</w:t>
            </w:r>
          </w:p>
        </w:tc>
        <w:tc>
          <w:tcPr>
            <w:tcW w:w="1070"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人员伤亡，火灾爆炸</w:t>
            </w:r>
          </w:p>
        </w:tc>
        <w:tc>
          <w:tcPr>
            <w:tcW w:w="606"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lang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72"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7</w:t>
            </w:r>
          </w:p>
        </w:tc>
        <w:tc>
          <w:tcPr>
            <w:tcW w:w="766"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机械伤害</w:t>
            </w:r>
          </w:p>
        </w:tc>
        <w:tc>
          <w:tcPr>
            <w:tcW w:w="2084"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电气设备</w:t>
            </w:r>
          </w:p>
        </w:tc>
        <w:tc>
          <w:tcPr>
            <w:tcW w:w="1070" w:type="pct"/>
            <w:noWrap w:val="0"/>
            <w:vAlign w:val="center"/>
          </w:tcPr>
          <w:p>
            <w:pPr>
              <w:tabs>
                <w:tab w:val="left" w:pos="507"/>
              </w:tabs>
              <w:spacing w:line="240" w:lineRule="auto"/>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ab/>
            </w:r>
            <w:r>
              <w:rPr>
                <w:rFonts w:hint="eastAsia" w:ascii="宋体" w:hAnsi="宋体" w:eastAsia="宋体" w:cs="宋体"/>
                <w:color w:val="auto"/>
                <w:sz w:val="24"/>
              </w:rPr>
              <w:t>人员伤亡</w:t>
            </w:r>
          </w:p>
        </w:tc>
        <w:tc>
          <w:tcPr>
            <w:tcW w:w="606"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72"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w:t>
            </w:r>
          </w:p>
        </w:tc>
        <w:tc>
          <w:tcPr>
            <w:tcW w:w="766"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治安事件</w:t>
            </w:r>
          </w:p>
        </w:tc>
        <w:tc>
          <w:tcPr>
            <w:tcW w:w="2084"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加油处</w:t>
            </w:r>
          </w:p>
        </w:tc>
        <w:tc>
          <w:tcPr>
            <w:tcW w:w="1070"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人员伤亡</w:t>
            </w:r>
          </w:p>
        </w:tc>
        <w:tc>
          <w:tcPr>
            <w:tcW w:w="606" w:type="pct"/>
            <w:noWrap w:val="0"/>
            <w:vAlign w:val="center"/>
          </w:tcPr>
          <w:p>
            <w:pPr>
              <w:spacing w:line="240" w:lineRule="auto"/>
              <w:jc w:val="center"/>
              <w:rPr>
                <w:rFonts w:hint="eastAsia" w:ascii="宋体" w:hAnsi="宋体" w:eastAsia="宋体" w:cs="宋体"/>
                <w:color w:val="auto"/>
                <w:sz w:val="24"/>
                <w:highlight w:val="green"/>
                <w:lang w:eastAsia="zh-CN"/>
              </w:rPr>
            </w:pPr>
            <w:r>
              <w:rPr>
                <w:rFonts w:hint="eastAsia" w:ascii="宋体" w:hAnsi="宋体" w:cs="宋体"/>
                <w:color w:val="auto"/>
                <w:sz w:val="24"/>
                <w:highlight w:val="none"/>
                <w:lang w:val="en-US" w:eastAsia="zh-CN"/>
              </w:rPr>
              <w:t>二</w:t>
            </w:r>
            <w:r>
              <w:rPr>
                <w:rFonts w:hint="eastAsia" w:ascii="宋体" w:hAnsi="宋体" w:eastAsia="宋体" w:cs="宋体"/>
                <w:color w:val="auto"/>
                <w:sz w:val="24"/>
                <w:highlight w:val="none"/>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72" w:type="pct"/>
            <w:noWrap w:val="0"/>
            <w:vAlign w:val="center"/>
          </w:tcPr>
          <w:p>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766" w:type="pct"/>
            <w:noWrap w:val="0"/>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自然灾害</w:t>
            </w:r>
          </w:p>
        </w:tc>
        <w:tc>
          <w:tcPr>
            <w:tcW w:w="2084" w:type="pct"/>
            <w:noWrap w:val="0"/>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站内</w:t>
            </w:r>
          </w:p>
        </w:tc>
        <w:tc>
          <w:tcPr>
            <w:tcW w:w="1070" w:type="pct"/>
            <w:noWrap w:val="0"/>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人员</w:t>
            </w:r>
            <w:r>
              <w:rPr>
                <w:rFonts w:hint="eastAsia" w:ascii="宋体" w:hAnsi="宋体" w:eastAsia="宋体" w:cs="宋体"/>
                <w:color w:val="auto"/>
                <w:sz w:val="24"/>
                <w:highlight w:val="none"/>
              </w:rPr>
              <w:t>伤亡</w:t>
            </w:r>
            <w:r>
              <w:rPr>
                <w:rFonts w:hint="eastAsia" w:ascii="宋体" w:hAnsi="宋体" w:cs="宋体"/>
                <w:color w:val="auto"/>
                <w:sz w:val="24"/>
                <w:highlight w:val="none"/>
                <w:lang w:eastAsia="zh-CN"/>
              </w:rPr>
              <w:t>、设备损</w:t>
            </w:r>
            <w:r>
              <w:rPr>
                <w:rFonts w:hint="eastAsia" w:ascii="宋体" w:hAnsi="宋体" w:eastAsia="宋体" w:cs="宋体"/>
                <w:color w:val="auto"/>
                <w:sz w:val="24"/>
                <w:highlight w:val="none"/>
              </w:rPr>
              <w:t>损毁</w:t>
            </w:r>
          </w:p>
        </w:tc>
        <w:tc>
          <w:tcPr>
            <w:tcW w:w="606" w:type="pct"/>
            <w:noWrap w:val="0"/>
            <w:vAlign w:val="center"/>
          </w:tcPr>
          <w:p>
            <w:pPr>
              <w:spacing w:line="24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二</w:t>
            </w:r>
            <w:r>
              <w:rPr>
                <w:rFonts w:hint="eastAsia" w:ascii="宋体" w:hAnsi="宋体" w:eastAsia="宋体" w:cs="宋体"/>
                <w:color w:val="auto"/>
                <w:sz w:val="24"/>
                <w:highlight w:val="none"/>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72" w:type="pct"/>
            <w:noWrap w:val="0"/>
            <w:vAlign w:val="center"/>
          </w:tcPr>
          <w:p>
            <w:pPr>
              <w:spacing w:line="24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766" w:type="pct"/>
            <w:noWrap w:val="0"/>
            <w:vAlign w:val="center"/>
          </w:tcPr>
          <w:p>
            <w:pPr>
              <w:spacing w:line="24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有限空间</w:t>
            </w:r>
          </w:p>
        </w:tc>
        <w:tc>
          <w:tcPr>
            <w:tcW w:w="2084" w:type="pct"/>
            <w:noWrap w:val="0"/>
            <w:vAlign w:val="center"/>
          </w:tcPr>
          <w:p>
            <w:pPr>
              <w:spacing w:line="240" w:lineRule="auto"/>
              <w:jc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油罐内清洗、维修</w:t>
            </w:r>
          </w:p>
        </w:tc>
        <w:tc>
          <w:tcPr>
            <w:tcW w:w="1070" w:type="pct"/>
            <w:noWrap w:val="0"/>
            <w:vAlign w:val="center"/>
          </w:tcPr>
          <w:p>
            <w:pPr>
              <w:spacing w:line="240" w:lineRule="auto"/>
              <w:jc w:val="center"/>
              <w:rPr>
                <w:rFonts w:hint="eastAsia" w:ascii="宋体" w:hAnsi="宋体" w:cs="宋体"/>
                <w:color w:val="auto"/>
                <w:sz w:val="24"/>
                <w:highlight w:val="none"/>
                <w:lang w:eastAsia="zh-CN"/>
              </w:rPr>
            </w:pPr>
            <w:r>
              <w:rPr>
                <w:rFonts w:hint="eastAsia" w:ascii="宋体" w:hAnsi="宋体" w:eastAsia="宋体" w:cs="宋体"/>
                <w:color w:val="auto"/>
                <w:sz w:val="24"/>
                <w:highlight w:val="none"/>
              </w:rPr>
              <w:t>人员中毒，火灾爆炸</w:t>
            </w:r>
          </w:p>
        </w:tc>
        <w:tc>
          <w:tcPr>
            <w:tcW w:w="606" w:type="pct"/>
            <w:noWrap w:val="0"/>
            <w:vAlign w:val="center"/>
          </w:tcPr>
          <w:p>
            <w:pPr>
              <w:spacing w:line="24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二</w:t>
            </w:r>
            <w:r>
              <w:rPr>
                <w:rFonts w:hint="eastAsia" w:ascii="宋体" w:hAnsi="宋体" w:eastAsia="宋体" w:cs="宋体"/>
                <w:color w:val="auto"/>
                <w:sz w:val="24"/>
                <w:highlight w:val="none"/>
                <w:lang w:val="en-US" w:eastAsia="zh-CN"/>
              </w:rPr>
              <w:t>级</w:t>
            </w:r>
          </w:p>
        </w:tc>
      </w:tr>
    </w:tbl>
    <w:p>
      <w:pPr>
        <w:pageBreakBefore w:val="0"/>
        <w:kinsoku/>
        <w:wordWrap/>
        <w:overflowPunct/>
        <w:topLinePunct w:val="0"/>
        <w:bidi w:val="0"/>
        <w:snapToGrid w:val="0"/>
        <w:spacing w:line="360" w:lineRule="auto"/>
        <w:ind w:left="0" w:leftChars="0" w:right="0"/>
        <w:textAlignment w:val="auto"/>
        <w:rPr>
          <w:rFonts w:hint="eastAsia" w:ascii="宋体" w:hAnsi="宋体" w:eastAsia="宋体" w:cs="宋体"/>
          <w:b/>
          <w:bCs/>
          <w:color w:val="auto"/>
          <w:sz w:val="28"/>
          <w:szCs w:val="28"/>
        </w:rPr>
      </w:pPr>
    </w:p>
    <w:p>
      <w:pPr>
        <w:pStyle w:val="4"/>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rPr>
      </w:pPr>
      <w:r>
        <w:rPr>
          <w:rFonts w:hint="eastAsia" w:ascii="宋体" w:hAnsi="宋体" w:eastAsia="宋体" w:cs="宋体"/>
          <w:color w:val="auto"/>
        </w:rPr>
        <w:br w:type="page"/>
      </w:r>
      <w:bookmarkStart w:id="132" w:name="_Toc2846969"/>
      <w:bookmarkStart w:id="133" w:name="_Toc27477"/>
      <w:bookmarkStart w:id="134" w:name="_Toc2847161"/>
      <w:r>
        <w:rPr>
          <w:rFonts w:hint="eastAsia" w:ascii="宋体" w:hAnsi="宋体" w:eastAsia="宋体" w:cs="宋体"/>
          <w:color w:val="auto"/>
          <w:lang w:val="en-US" w:eastAsia="zh-CN"/>
        </w:rPr>
        <w:t>4 评估结论与建议</w:t>
      </w:r>
      <w:bookmarkEnd w:id="132"/>
      <w:bookmarkEnd w:id="133"/>
      <w:bookmarkEnd w:id="134"/>
    </w:p>
    <w:p>
      <w:pPr>
        <w:pStyle w:val="5"/>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lang w:val="en-US" w:eastAsia="zh-CN"/>
        </w:rPr>
      </w:pPr>
      <w:bookmarkStart w:id="135" w:name="_Toc29759"/>
      <w:bookmarkStart w:id="136" w:name="_Toc2847162"/>
      <w:bookmarkStart w:id="137" w:name="_Toc2846970"/>
      <w:r>
        <w:rPr>
          <w:rFonts w:hint="eastAsia" w:ascii="宋体" w:hAnsi="宋体" w:eastAsia="宋体" w:cs="宋体"/>
          <w:color w:val="auto"/>
          <w:lang w:val="en-US" w:eastAsia="zh-CN"/>
        </w:rPr>
        <w:t>4.1 结论</w:t>
      </w:r>
      <w:bookmarkEnd w:id="135"/>
      <w:bookmarkEnd w:id="136"/>
      <w:bookmarkEnd w:id="137"/>
    </w:p>
    <w:p>
      <w:pPr>
        <w:ind w:firstLine="560" w:firstLineChars="200"/>
        <w:rPr>
          <w:rFonts w:hint="eastAsia" w:ascii="宋体" w:hAnsi="宋体" w:eastAsia="宋体" w:cs="宋体"/>
          <w:color w:val="auto"/>
          <w:sz w:val="28"/>
          <w:szCs w:val="28"/>
        </w:rPr>
      </w:pPr>
      <w:bookmarkStart w:id="138" w:name="_Toc2847163"/>
      <w:bookmarkStart w:id="139" w:name="_Toc2846971"/>
      <w:r>
        <w:rPr>
          <w:rFonts w:hint="eastAsia" w:ascii="宋体" w:hAnsi="宋体" w:eastAsia="宋体" w:cs="宋体"/>
          <w:color w:val="auto"/>
          <w:sz w:val="28"/>
          <w:szCs w:val="28"/>
        </w:rPr>
        <w:t>加油站危险区域为油罐区、卸油点、加油区、配电室，危险生产过程为卸油、加油和计量操作，存在</w:t>
      </w:r>
      <w:r>
        <w:rPr>
          <w:rFonts w:hint="eastAsia" w:ascii="宋体" w:hAnsi="宋体" w:eastAsia="宋体" w:cs="宋体"/>
          <w:color w:val="auto"/>
          <w:sz w:val="28"/>
          <w:szCs w:val="28"/>
          <w:highlight w:val="none"/>
          <w:lang w:val="en-US" w:eastAsia="zh-CN"/>
        </w:rPr>
        <w:t>泄漏、</w:t>
      </w:r>
      <w:r>
        <w:rPr>
          <w:rFonts w:hint="eastAsia" w:ascii="宋体" w:hAnsi="宋体" w:eastAsia="宋体" w:cs="宋体"/>
          <w:color w:val="auto"/>
          <w:sz w:val="28"/>
          <w:szCs w:val="28"/>
          <w:highlight w:val="none"/>
        </w:rPr>
        <w:t>火灾、爆炸、中毒</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触电</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车辆伤害</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机械</w:t>
      </w:r>
      <w:r>
        <w:rPr>
          <w:rFonts w:hint="eastAsia" w:ascii="宋体" w:hAnsi="宋体" w:eastAsia="宋体" w:cs="宋体"/>
          <w:color w:val="auto"/>
          <w:sz w:val="28"/>
          <w:szCs w:val="28"/>
          <w:highlight w:val="none"/>
          <w:lang w:val="en-US" w:eastAsia="zh-CN"/>
        </w:rPr>
        <w:t>伤害、高处坠落、有限空间作业、治安事件、自然灾害等事故风险。其中，泄漏、火灾、爆炸、有限空间作业、治安事件、自然灾害</w:t>
      </w:r>
      <w:r>
        <w:rPr>
          <w:rFonts w:hint="eastAsia" w:ascii="宋体" w:hAnsi="宋体" w:cs="宋体"/>
          <w:color w:val="auto"/>
          <w:sz w:val="28"/>
          <w:szCs w:val="28"/>
          <w:highlight w:val="none"/>
          <w:lang w:val="en-US" w:eastAsia="zh-CN"/>
        </w:rPr>
        <w:t>为较大风险，</w:t>
      </w:r>
      <w:r>
        <w:rPr>
          <w:rFonts w:hint="eastAsia" w:ascii="宋体" w:hAnsi="宋体" w:eastAsia="宋体" w:cs="宋体"/>
          <w:color w:val="auto"/>
          <w:sz w:val="28"/>
          <w:szCs w:val="28"/>
          <w:highlight w:val="none"/>
        </w:rPr>
        <w:t>中毒</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触电</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车辆伤害</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机械伤害</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高处坠落</w:t>
      </w:r>
      <w:r>
        <w:rPr>
          <w:rFonts w:hint="eastAsia" w:ascii="宋体" w:hAnsi="宋体" w:cs="宋体"/>
          <w:color w:val="auto"/>
          <w:sz w:val="28"/>
          <w:szCs w:val="28"/>
          <w:highlight w:val="none"/>
          <w:lang w:eastAsia="zh-CN"/>
        </w:rPr>
        <w:t>等为一般风险。</w:t>
      </w:r>
      <w:r>
        <w:rPr>
          <w:rFonts w:hint="eastAsia" w:ascii="宋体" w:hAnsi="宋体" w:eastAsia="宋体" w:cs="宋体"/>
          <w:color w:val="auto"/>
          <w:sz w:val="28"/>
          <w:szCs w:val="28"/>
          <w:highlight w:val="none"/>
        </w:rPr>
        <w:t>详</w:t>
      </w:r>
      <w:r>
        <w:rPr>
          <w:rFonts w:hint="eastAsia" w:ascii="宋体" w:hAnsi="宋体" w:eastAsia="宋体" w:cs="宋体"/>
          <w:color w:val="auto"/>
          <w:sz w:val="28"/>
          <w:szCs w:val="28"/>
        </w:rPr>
        <w:t>见</w:t>
      </w:r>
      <w:r>
        <w:rPr>
          <w:rFonts w:hint="eastAsia" w:ascii="宋体" w:hAnsi="宋体" w:eastAsia="宋体" w:cs="宋体"/>
          <w:color w:val="auto"/>
          <w:sz w:val="28"/>
          <w:szCs w:val="28"/>
          <w:lang w:eastAsia="zh-CN"/>
        </w:rPr>
        <w:t>下表</w:t>
      </w:r>
      <w:r>
        <w:rPr>
          <w:rFonts w:hint="eastAsia" w:ascii="宋体" w:hAnsi="宋体" w:eastAsia="宋体" w:cs="宋体"/>
          <w:color w:val="auto"/>
          <w:sz w:val="28"/>
          <w:szCs w:val="28"/>
        </w:rPr>
        <w:t>。</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eastAsia="宋体" w:cs="宋体"/>
          <w:bCs/>
          <w:color w:val="000000" w:themeColor="text1"/>
          <w:sz w:val="28"/>
          <w:szCs w:val="28"/>
          <w14:textFill>
            <w14:solidFill>
              <w14:schemeClr w14:val="tx1"/>
            </w14:solidFill>
          </w14:textFill>
        </w:rPr>
      </w:pPr>
    </w:p>
    <w:p>
      <w:pPr>
        <w:pageBreakBefore w:val="0"/>
        <w:kinsoku/>
        <w:wordWrap/>
        <w:overflowPunct/>
        <w:topLinePunct w:val="0"/>
        <w:bidi w:val="0"/>
        <w:snapToGrid w:val="0"/>
        <w:spacing w:line="360" w:lineRule="auto"/>
        <w:ind w:left="0" w:leftChars="0" w:right="0"/>
        <w:jc w:val="center"/>
        <w:textAlignment w:val="auto"/>
        <w:rPr>
          <w:rFonts w:hint="eastAsia" w:ascii="宋体" w:hAnsi="宋体" w:eastAsia="宋体" w:cs="宋体"/>
          <w:b/>
          <w:bCs/>
          <w:color w:val="000000" w:themeColor="text1"/>
          <w:kern w:val="0"/>
          <w:sz w:val="24"/>
          <w:lang w:eastAsia="zh-CN"/>
          <w14:textFill>
            <w14:solidFill>
              <w14:schemeClr w14:val="tx1"/>
            </w14:solidFill>
          </w14:textFill>
        </w:rPr>
      </w:pPr>
      <w:r>
        <w:rPr>
          <w:rFonts w:hint="eastAsia" w:ascii="宋体" w:hAnsi="宋体" w:eastAsia="宋体" w:cs="宋体"/>
          <w:b/>
          <w:bCs/>
          <w:color w:val="000000" w:themeColor="text1"/>
          <w:kern w:val="0"/>
          <w:sz w:val="24"/>
          <w:lang w:eastAsia="zh-CN"/>
          <w14:textFill>
            <w14:solidFill>
              <w14:schemeClr w14:val="tx1"/>
            </w14:solidFill>
          </w14:textFill>
        </w:rPr>
        <w:t>表</w:t>
      </w:r>
      <w:r>
        <w:rPr>
          <w:rFonts w:hint="eastAsia" w:ascii="宋体" w:hAnsi="宋体" w:cs="宋体"/>
          <w:b/>
          <w:bCs/>
          <w:color w:val="000000" w:themeColor="text1"/>
          <w:kern w:val="0"/>
          <w:sz w:val="24"/>
          <w:lang w:val="en-US" w:eastAsia="zh-CN"/>
          <w14:textFill>
            <w14:solidFill>
              <w14:schemeClr w14:val="tx1"/>
            </w14:solidFill>
          </w14:textFill>
        </w:rPr>
        <w:t>4</w:t>
      </w:r>
      <w:r>
        <w:rPr>
          <w:rFonts w:hint="eastAsia" w:ascii="宋体" w:hAnsi="宋体" w:eastAsia="宋体" w:cs="宋体"/>
          <w:b/>
          <w:bCs/>
          <w:color w:val="000000" w:themeColor="text1"/>
          <w:kern w:val="0"/>
          <w:sz w:val="24"/>
          <w:lang w:eastAsia="zh-CN"/>
          <w14:textFill>
            <w14:solidFill>
              <w14:schemeClr w14:val="tx1"/>
            </w14:solidFill>
          </w14:textFill>
        </w:rPr>
        <w:t>-</w:t>
      </w:r>
      <w:r>
        <w:rPr>
          <w:rFonts w:hint="eastAsia" w:ascii="宋体" w:hAnsi="宋体" w:eastAsia="宋体" w:cs="宋体"/>
          <w:b/>
          <w:bCs/>
          <w:color w:val="000000" w:themeColor="text1"/>
          <w:kern w:val="0"/>
          <w:sz w:val="24"/>
          <w:lang w:val="en-US" w:eastAsia="zh-CN"/>
          <w14:textFill>
            <w14:solidFill>
              <w14:schemeClr w14:val="tx1"/>
            </w14:solidFill>
          </w14:textFill>
        </w:rPr>
        <w:t>1</w:t>
      </w:r>
      <w:r>
        <w:rPr>
          <w:rFonts w:hint="eastAsia" w:ascii="宋体" w:hAnsi="宋体" w:eastAsia="宋体" w:cs="宋体"/>
          <w:b/>
          <w:bCs/>
          <w:color w:val="000000" w:themeColor="text1"/>
          <w:kern w:val="0"/>
          <w:sz w:val="24"/>
          <w:lang w:eastAsia="zh-CN"/>
          <w14:textFill>
            <w14:solidFill>
              <w14:schemeClr w14:val="tx1"/>
            </w14:solidFill>
          </w14:textFill>
        </w:rPr>
        <w:t>加油站主要事故风险分布表</w:t>
      </w:r>
    </w:p>
    <w:tbl>
      <w:tblPr>
        <w:tblStyle w:val="50"/>
        <w:tblW w:w="48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595"/>
        <w:gridCol w:w="555"/>
        <w:gridCol w:w="645"/>
        <w:gridCol w:w="1155"/>
        <w:gridCol w:w="780"/>
        <w:gridCol w:w="765"/>
        <w:gridCol w:w="765"/>
        <w:gridCol w:w="780"/>
        <w:gridCol w:w="765"/>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75" w:type="pct"/>
            <w:tcBorders>
              <w:tl2br w:val="single" w:color="auto" w:sz="4" w:space="0"/>
            </w:tcBorders>
            <w:noWrap w:val="0"/>
            <w:vAlign w:val="top"/>
          </w:tcPr>
          <w:p>
            <w:pPr>
              <w:ind w:left="480" w:hanging="480" w:hanging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事故风险</w:t>
            </w:r>
          </w:p>
          <w:p>
            <w:pPr>
              <w:rPr>
                <w:rFonts w:hint="eastAsia" w:ascii="宋体" w:hAnsi="宋体" w:eastAsia="宋体" w:cs="宋体"/>
                <w:color w:val="000000" w:themeColor="text1"/>
                <w:sz w:val="24"/>
                <w:highlight w:val="none"/>
                <w14:textFill>
                  <w14:solidFill>
                    <w14:schemeClr w14:val="tx1"/>
                  </w14:solidFill>
                </w14:textFill>
              </w:rPr>
            </w:pPr>
          </w:p>
          <w:p>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作业场所</w:t>
            </w:r>
          </w:p>
        </w:tc>
        <w:tc>
          <w:tcPr>
            <w:tcW w:w="329" w:type="pct"/>
            <w:noWrap w:val="0"/>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泄漏</w:t>
            </w:r>
          </w:p>
        </w:tc>
        <w:tc>
          <w:tcPr>
            <w:tcW w:w="307" w:type="pct"/>
            <w:noWrap w:val="0"/>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火灾</w:t>
            </w:r>
          </w:p>
        </w:tc>
        <w:tc>
          <w:tcPr>
            <w:tcW w:w="356" w:type="pct"/>
            <w:noWrap w:val="0"/>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爆炸</w:t>
            </w:r>
          </w:p>
        </w:tc>
        <w:tc>
          <w:tcPr>
            <w:tcW w:w="639" w:type="pct"/>
            <w:noWrap w:val="0"/>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auto"/>
                <w:sz w:val="24"/>
                <w:highlight w:val="none"/>
              </w:rPr>
              <w:t>中毒</w:t>
            </w:r>
          </w:p>
        </w:tc>
        <w:tc>
          <w:tcPr>
            <w:tcW w:w="431" w:type="pct"/>
            <w:noWrap w:val="0"/>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触电</w:t>
            </w:r>
          </w:p>
        </w:tc>
        <w:tc>
          <w:tcPr>
            <w:tcW w:w="423" w:type="pct"/>
            <w:noWrap w:val="0"/>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车辆</w:t>
            </w:r>
          </w:p>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伤害</w:t>
            </w:r>
          </w:p>
        </w:tc>
        <w:tc>
          <w:tcPr>
            <w:tcW w:w="423" w:type="pct"/>
            <w:noWrap w:val="0"/>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机械</w:t>
            </w:r>
          </w:p>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伤害</w:t>
            </w:r>
          </w:p>
        </w:tc>
        <w:tc>
          <w:tcPr>
            <w:tcW w:w="431" w:type="pct"/>
            <w:noWrap w:val="0"/>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高处</w:t>
            </w:r>
          </w:p>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坠落</w:t>
            </w:r>
          </w:p>
        </w:tc>
        <w:tc>
          <w:tcPr>
            <w:tcW w:w="423" w:type="pct"/>
            <w:noWrap w:val="0"/>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auto"/>
                <w:sz w:val="24"/>
                <w:highlight w:val="none"/>
                <w:lang w:val="en-US" w:eastAsia="zh-CN"/>
              </w:rPr>
              <w:t>治安事件</w:t>
            </w:r>
          </w:p>
        </w:tc>
        <w:tc>
          <w:tcPr>
            <w:tcW w:w="458" w:type="pct"/>
            <w:noWrap w:val="0"/>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auto"/>
                <w:sz w:val="24"/>
                <w:highlight w:val="none"/>
                <w:lang w:val="en-US" w:eastAsia="zh-CN"/>
              </w:rPr>
              <w:t>自然灾害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75" w:type="pct"/>
            <w:noWrap w:val="0"/>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油罐区</w:t>
            </w:r>
          </w:p>
        </w:tc>
        <w:tc>
          <w:tcPr>
            <w:tcW w:w="329" w:type="pct"/>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307" w:type="pct"/>
            <w:noWrap w:val="0"/>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356" w:type="pct"/>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639" w:type="pct"/>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431" w:type="pct"/>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423" w:type="pct"/>
            <w:noWrap w:val="0"/>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423" w:type="pct"/>
            <w:noWrap w:val="0"/>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431" w:type="pct"/>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423" w:type="pct"/>
            <w:noWrap w:val="0"/>
            <w:vAlign w:val="center"/>
          </w:tcPr>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458" w:type="pct"/>
            <w:noWrap w:val="0"/>
            <w:vAlign w:val="center"/>
          </w:tcPr>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75" w:type="pct"/>
            <w:noWrap w:val="0"/>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加油区</w:t>
            </w:r>
          </w:p>
        </w:tc>
        <w:tc>
          <w:tcPr>
            <w:tcW w:w="329" w:type="pct"/>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307" w:type="pct"/>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356" w:type="pct"/>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639" w:type="pct"/>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431" w:type="pct"/>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423" w:type="pct"/>
            <w:noWrap w:val="0"/>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423" w:type="pct"/>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p>
        </w:tc>
        <w:tc>
          <w:tcPr>
            <w:tcW w:w="431" w:type="pct"/>
            <w:noWrap w:val="0"/>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423" w:type="pct"/>
            <w:noWrap w:val="0"/>
            <w:vAlign w:val="center"/>
          </w:tcPr>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458" w:type="pct"/>
            <w:noWrap w:val="0"/>
            <w:vAlign w:val="center"/>
          </w:tcPr>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75" w:type="pct"/>
            <w:noWrap w:val="0"/>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配电室</w:t>
            </w:r>
          </w:p>
        </w:tc>
        <w:tc>
          <w:tcPr>
            <w:tcW w:w="329" w:type="pct"/>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p>
        </w:tc>
        <w:tc>
          <w:tcPr>
            <w:tcW w:w="307" w:type="pct"/>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356" w:type="pct"/>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639" w:type="pct"/>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p>
        </w:tc>
        <w:tc>
          <w:tcPr>
            <w:tcW w:w="431" w:type="pct"/>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423" w:type="pct"/>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p>
        </w:tc>
        <w:tc>
          <w:tcPr>
            <w:tcW w:w="423" w:type="pct"/>
            <w:noWrap w:val="0"/>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431" w:type="pct"/>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p>
        </w:tc>
        <w:tc>
          <w:tcPr>
            <w:tcW w:w="423" w:type="pct"/>
            <w:noWrap w:val="0"/>
            <w:vAlign w:val="center"/>
          </w:tcPr>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458" w:type="pct"/>
            <w:noWrap w:val="0"/>
            <w:vAlign w:val="center"/>
          </w:tcPr>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pct"/>
            <w:noWrap w:val="0"/>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辅助用房</w:t>
            </w:r>
          </w:p>
        </w:tc>
        <w:tc>
          <w:tcPr>
            <w:tcW w:w="329" w:type="pct"/>
            <w:noWrap w:val="0"/>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307" w:type="pct"/>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356" w:type="pct"/>
            <w:noWrap w:val="0"/>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639" w:type="pct"/>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p>
        </w:tc>
        <w:tc>
          <w:tcPr>
            <w:tcW w:w="431" w:type="pct"/>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423" w:type="pct"/>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p>
        </w:tc>
        <w:tc>
          <w:tcPr>
            <w:tcW w:w="423" w:type="pct"/>
            <w:noWrap w:val="0"/>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431" w:type="pct"/>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423" w:type="pct"/>
            <w:noWrap w:val="0"/>
            <w:vAlign w:val="center"/>
          </w:tcPr>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458" w:type="pct"/>
            <w:noWrap w:val="0"/>
            <w:vAlign w:val="center"/>
          </w:tcPr>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r>
    </w:tbl>
    <w:p>
      <w:pPr>
        <w:pageBreakBefore w:val="0"/>
        <w:kinsoku/>
        <w:wordWrap/>
        <w:overflowPunct/>
        <w:topLinePunct w:val="0"/>
        <w:bidi w:val="0"/>
        <w:snapToGrid w:val="0"/>
        <w:spacing w:line="360" w:lineRule="auto"/>
        <w:ind w:left="0" w:leftChars="0" w:right="0"/>
        <w:jc w:val="center"/>
        <w:textAlignment w:val="auto"/>
        <w:rPr>
          <w:rFonts w:hint="eastAsia" w:ascii="宋体" w:hAnsi="宋体" w:eastAsia="宋体" w:cs="宋体"/>
          <w:b/>
          <w:bCs/>
          <w:color w:val="000000" w:themeColor="text1"/>
          <w:kern w:val="0"/>
          <w:sz w:val="24"/>
          <w:highlight w:val="none"/>
          <w:lang w:eastAsia="zh-CN"/>
          <w14:textFill>
            <w14:solidFill>
              <w14:schemeClr w14:val="tx1"/>
            </w14:solidFill>
          </w14:textFill>
        </w:rPr>
      </w:pPr>
    </w:p>
    <w:p>
      <w:pPr>
        <w:pageBreakBefore w:val="0"/>
        <w:kinsoku/>
        <w:wordWrap/>
        <w:overflowPunct/>
        <w:topLinePunct w:val="0"/>
        <w:bidi w:val="0"/>
        <w:snapToGrid w:val="0"/>
        <w:spacing w:line="360" w:lineRule="auto"/>
        <w:ind w:left="0" w:leftChars="0" w:right="0"/>
        <w:jc w:val="center"/>
        <w:textAlignment w:val="auto"/>
        <w:rPr>
          <w:rFonts w:hint="eastAsia" w:ascii="宋体" w:hAnsi="宋体" w:eastAsia="宋体" w:cs="宋体"/>
          <w:b/>
          <w:bCs/>
          <w:color w:val="000000" w:themeColor="text1"/>
          <w:kern w:val="0"/>
          <w:sz w:val="24"/>
          <w:highlight w:val="none"/>
          <w:lang w:eastAsia="zh-CN"/>
          <w14:textFill>
            <w14:solidFill>
              <w14:schemeClr w14:val="tx1"/>
            </w14:solidFill>
          </w14:textFill>
        </w:rPr>
      </w:pPr>
      <w:r>
        <w:rPr>
          <w:rFonts w:hint="eastAsia" w:ascii="宋体" w:hAnsi="宋体" w:eastAsia="宋体" w:cs="宋体"/>
          <w:b/>
          <w:bCs/>
          <w:color w:val="000000" w:themeColor="text1"/>
          <w:kern w:val="0"/>
          <w:sz w:val="24"/>
          <w:highlight w:val="none"/>
          <w:lang w:eastAsia="zh-CN"/>
          <w14:textFill>
            <w14:solidFill>
              <w14:schemeClr w14:val="tx1"/>
            </w14:solidFill>
          </w14:textFill>
        </w:rPr>
        <w:t>表</w:t>
      </w:r>
      <w:r>
        <w:rPr>
          <w:rFonts w:hint="eastAsia" w:ascii="宋体" w:hAnsi="宋体" w:cs="宋体"/>
          <w:b/>
          <w:bCs/>
          <w:color w:val="000000" w:themeColor="text1"/>
          <w:kern w:val="0"/>
          <w:sz w:val="24"/>
          <w:highlight w:val="none"/>
          <w:lang w:val="en-US" w:eastAsia="zh-CN"/>
          <w14:textFill>
            <w14:solidFill>
              <w14:schemeClr w14:val="tx1"/>
            </w14:solidFill>
          </w14:textFill>
        </w:rPr>
        <w:t>4</w:t>
      </w:r>
      <w:r>
        <w:rPr>
          <w:rFonts w:hint="eastAsia" w:ascii="宋体" w:hAnsi="宋体" w:eastAsia="宋体" w:cs="宋体"/>
          <w:b/>
          <w:bCs/>
          <w:color w:val="000000" w:themeColor="text1"/>
          <w:kern w:val="0"/>
          <w:sz w:val="24"/>
          <w:highlight w:val="none"/>
          <w:lang w:eastAsia="zh-CN"/>
          <w14:textFill>
            <w14:solidFill>
              <w14:schemeClr w14:val="tx1"/>
            </w14:solidFill>
          </w14:textFill>
        </w:rPr>
        <w:t>-</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highlight w:val="none"/>
          <w:lang w:eastAsia="zh-CN"/>
          <w14:textFill>
            <w14:solidFill>
              <w14:schemeClr w14:val="tx1"/>
            </w14:solidFill>
          </w14:textFill>
        </w:rPr>
        <w:t>加油站主要事故风险分析结果</w:t>
      </w:r>
    </w:p>
    <w:tbl>
      <w:tblPr>
        <w:tblStyle w:val="50"/>
        <w:tblpPr w:leftFromText="180" w:rightFromText="180" w:vertAnchor="text" w:horzAnchor="page" w:tblpX="1678" w:tblpY="330"/>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1423"/>
        <w:gridCol w:w="3870"/>
        <w:gridCol w:w="1987"/>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2" w:type="pct"/>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66" w:type="pct"/>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事故类型</w:t>
            </w:r>
          </w:p>
        </w:tc>
        <w:tc>
          <w:tcPr>
            <w:tcW w:w="2084" w:type="pct"/>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存在部位/方式</w:t>
            </w:r>
          </w:p>
        </w:tc>
        <w:tc>
          <w:tcPr>
            <w:tcW w:w="1070" w:type="pct"/>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事故后果</w:t>
            </w:r>
          </w:p>
        </w:tc>
        <w:tc>
          <w:tcPr>
            <w:tcW w:w="606" w:type="pct"/>
            <w:noWrap w:val="0"/>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风险</w:t>
            </w:r>
            <w:r>
              <w:rPr>
                <w:rFonts w:hint="eastAsia" w:ascii="宋体" w:hAnsi="宋体" w:eastAsia="宋体" w:cs="宋体"/>
                <w:color w:val="auto"/>
                <w:sz w:val="24"/>
                <w:highlight w:val="none"/>
                <w:lang w:eastAsia="zh-CN"/>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2" w:type="pct"/>
            <w:noWrap w:val="0"/>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766" w:type="pct"/>
            <w:noWrap w:val="0"/>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泄漏</w:t>
            </w:r>
          </w:p>
        </w:tc>
        <w:tc>
          <w:tcPr>
            <w:tcW w:w="2084" w:type="pct"/>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站内，重点在卸油处、加油处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油罐区</w:t>
            </w:r>
          </w:p>
        </w:tc>
        <w:tc>
          <w:tcPr>
            <w:tcW w:w="1070" w:type="pct"/>
            <w:noWrap w:val="0"/>
            <w:vAlign w:val="center"/>
          </w:tcPr>
          <w:p>
            <w:pPr>
              <w:tabs>
                <w:tab w:val="left" w:pos="360"/>
              </w:tabs>
              <w:spacing w:line="24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ab/>
            </w:r>
            <w:r>
              <w:rPr>
                <w:rFonts w:hint="eastAsia" w:ascii="宋体" w:hAnsi="宋体" w:eastAsia="宋体" w:cs="宋体"/>
                <w:color w:val="auto"/>
                <w:sz w:val="24"/>
                <w:highlight w:val="none"/>
                <w:lang w:val="en-US" w:eastAsia="zh-CN"/>
              </w:rPr>
              <w:t>致人员中毒、环境污染</w:t>
            </w:r>
            <w:r>
              <w:rPr>
                <w:rFonts w:hint="eastAsia" w:ascii="宋体" w:hAnsi="宋体" w:cs="宋体"/>
                <w:color w:val="auto"/>
                <w:sz w:val="24"/>
                <w:highlight w:val="none"/>
                <w:lang w:val="en-US" w:eastAsia="zh-CN"/>
              </w:rPr>
              <w:t>、火灾爆炸</w:t>
            </w:r>
          </w:p>
        </w:tc>
        <w:tc>
          <w:tcPr>
            <w:tcW w:w="606" w:type="pct"/>
            <w:noWrap w:val="0"/>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二</w:t>
            </w:r>
            <w:r>
              <w:rPr>
                <w:rFonts w:hint="eastAsia" w:ascii="宋体" w:hAnsi="宋体" w:eastAsia="宋体" w:cs="宋体"/>
                <w:color w:val="auto"/>
                <w:sz w:val="24"/>
                <w:highlight w:val="none"/>
                <w:lang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2" w:type="pct"/>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w:t>
            </w:r>
          </w:p>
        </w:tc>
        <w:tc>
          <w:tcPr>
            <w:tcW w:w="766"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火灾爆炸</w:t>
            </w:r>
          </w:p>
        </w:tc>
        <w:tc>
          <w:tcPr>
            <w:tcW w:w="2084"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站内，重点在卸油处、加油处</w:t>
            </w:r>
            <w:r>
              <w:rPr>
                <w:rFonts w:hint="eastAsia" w:ascii="宋体" w:hAnsi="宋体" w:eastAsia="宋体" w:cs="宋体"/>
                <w:color w:val="auto"/>
                <w:sz w:val="24"/>
                <w:lang w:eastAsia="zh-CN"/>
              </w:rPr>
              <w:t>、</w:t>
            </w:r>
            <w:r>
              <w:rPr>
                <w:rFonts w:hint="eastAsia" w:ascii="宋体" w:hAnsi="宋体" w:eastAsia="宋体" w:cs="宋体"/>
                <w:color w:val="auto"/>
                <w:sz w:val="24"/>
              </w:rPr>
              <w:t>油罐区</w:t>
            </w:r>
          </w:p>
        </w:tc>
        <w:tc>
          <w:tcPr>
            <w:tcW w:w="1070"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致人伤亡，致设备、设施损毁</w:t>
            </w:r>
          </w:p>
        </w:tc>
        <w:tc>
          <w:tcPr>
            <w:tcW w:w="606" w:type="pct"/>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2"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p>
        </w:tc>
        <w:tc>
          <w:tcPr>
            <w:tcW w:w="766"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汽油中毒</w:t>
            </w:r>
          </w:p>
        </w:tc>
        <w:tc>
          <w:tcPr>
            <w:tcW w:w="2084"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站内，重点在卸油处、加油处、油罐区</w:t>
            </w:r>
          </w:p>
        </w:tc>
        <w:tc>
          <w:tcPr>
            <w:tcW w:w="1070"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人员中毒</w:t>
            </w:r>
          </w:p>
        </w:tc>
        <w:tc>
          <w:tcPr>
            <w:tcW w:w="606" w:type="pct"/>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2"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w:t>
            </w:r>
          </w:p>
        </w:tc>
        <w:tc>
          <w:tcPr>
            <w:tcW w:w="766"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触电</w:t>
            </w:r>
          </w:p>
        </w:tc>
        <w:tc>
          <w:tcPr>
            <w:tcW w:w="2084"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电气线路，电气设备</w:t>
            </w:r>
          </w:p>
        </w:tc>
        <w:tc>
          <w:tcPr>
            <w:tcW w:w="1070"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火灾、触电</w:t>
            </w:r>
          </w:p>
        </w:tc>
        <w:tc>
          <w:tcPr>
            <w:tcW w:w="606" w:type="pct"/>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472"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p>
        </w:tc>
        <w:tc>
          <w:tcPr>
            <w:tcW w:w="766"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高处坠落</w:t>
            </w:r>
          </w:p>
        </w:tc>
        <w:tc>
          <w:tcPr>
            <w:tcW w:w="2084"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加油区，罩棚等高处维修作业时</w:t>
            </w:r>
          </w:p>
        </w:tc>
        <w:tc>
          <w:tcPr>
            <w:tcW w:w="1070"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人员摔伤</w:t>
            </w:r>
          </w:p>
        </w:tc>
        <w:tc>
          <w:tcPr>
            <w:tcW w:w="606"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lang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72"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w:t>
            </w:r>
          </w:p>
        </w:tc>
        <w:tc>
          <w:tcPr>
            <w:tcW w:w="766"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车辆伤害</w:t>
            </w:r>
          </w:p>
        </w:tc>
        <w:tc>
          <w:tcPr>
            <w:tcW w:w="2084"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加油</w:t>
            </w:r>
            <w:r>
              <w:rPr>
                <w:rFonts w:hint="eastAsia" w:ascii="宋体" w:hAnsi="宋体" w:eastAsia="宋体" w:cs="宋体"/>
                <w:color w:val="auto"/>
                <w:sz w:val="24"/>
                <w:lang w:val="en-US" w:eastAsia="zh-CN"/>
              </w:rPr>
              <w:t>处</w:t>
            </w:r>
            <w:r>
              <w:rPr>
                <w:rFonts w:hint="eastAsia" w:ascii="宋体" w:hAnsi="宋体" w:eastAsia="宋体" w:cs="宋体"/>
                <w:color w:val="auto"/>
                <w:sz w:val="24"/>
              </w:rPr>
              <w:t>、卸油处</w:t>
            </w:r>
          </w:p>
        </w:tc>
        <w:tc>
          <w:tcPr>
            <w:tcW w:w="1070"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人员伤亡，火灾爆炸</w:t>
            </w:r>
          </w:p>
        </w:tc>
        <w:tc>
          <w:tcPr>
            <w:tcW w:w="606"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lang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72"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7</w:t>
            </w:r>
          </w:p>
        </w:tc>
        <w:tc>
          <w:tcPr>
            <w:tcW w:w="766"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机械伤害</w:t>
            </w:r>
          </w:p>
        </w:tc>
        <w:tc>
          <w:tcPr>
            <w:tcW w:w="2084"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电气设备</w:t>
            </w:r>
          </w:p>
        </w:tc>
        <w:tc>
          <w:tcPr>
            <w:tcW w:w="1070" w:type="pct"/>
            <w:noWrap w:val="0"/>
            <w:vAlign w:val="center"/>
          </w:tcPr>
          <w:p>
            <w:pPr>
              <w:tabs>
                <w:tab w:val="left" w:pos="507"/>
              </w:tabs>
              <w:spacing w:line="240" w:lineRule="auto"/>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ab/>
            </w:r>
            <w:r>
              <w:rPr>
                <w:rFonts w:hint="eastAsia" w:ascii="宋体" w:hAnsi="宋体" w:eastAsia="宋体" w:cs="宋体"/>
                <w:color w:val="auto"/>
                <w:sz w:val="24"/>
              </w:rPr>
              <w:t>人员伤亡</w:t>
            </w:r>
          </w:p>
        </w:tc>
        <w:tc>
          <w:tcPr>
            <w:tcW w:w="606"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72"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w:t>
            </w:r>
          </w:p>
        </w:tc>
        <w:tc>
          <w:tcPr>
            <w:tcW w:w="766"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治安事件</w:t>
            </w:r>
          </w:p>
        </w:tc>
        <w:tc>
          <w:tcPr>
            <w:tcW w:w="2084"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加油处</w:t>
            </w:r>
          </w:p>
        </w:tc>
        <w:tc>
          <w:tcPr>
            <w:tcW w:w="1070"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人员伤亡</w:t>
            </w:r>
          </w:p>
        </w:tc>
        <w:tc>
          <w:tcPr>
            <w:tcW w:w="606" w:type="pct"/>
            <w:noWrap w:val="0"/>
            <w:vAlign w:val="center"/>
          </w:tcPr>
          <w:p>
            <w:pPr>
              <w:spacing w:line="240" w:lineRule="auto"/>
              <w:jc w:val="center"/>
              <w:rPr>
                <w:rFonts w:hint="eastAsia" w:ascii="宋体" w:hAnsi="宋体" w:eastAsia="宋体" w:cs="宋体"/>
                <w:color w:val="auto"/>
                <w:sz w:val="24"/>
                <w:highlight w:val="green"/>
                <w:lang w:eastAsia="zh-CN"/>
              </w:rPr>
            </w:pPr>
            <w:r>
              <w:rPr>
                <w:rFonts w:hint="eastAsia" w:ascii="宋体" w:hAnsi="宋体" w:cs="宋体"/>
                <w:color w:val="auto"/>
                <w:sz w:val="24"/>
                <w:highlight w:val="none"/>
                <w:lang w:val="en-US" w:eastAsia="zh-CN"/>
              </w:rPr>
              <w:t>二</w:t>
            </w:r>
            <w:r>
              <w:rPr>
                <w:rFonts w:hint="eastAsia" w:ascii="宋体" w:hAnsi="宋体" w:eastAsia="宋体" w:cs="宋体"/>
                <w:color w:val="auto"/>
                <w:sz w:val="24"/>
                <w:highlight w:val="none"/>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72" w:type="pct"/>
            <w:noWrap w:val="0"/>
            <w:vAlign w:val="center"/>
          </w:tcPr>
          <w:p>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766" w:type="pct"/>
            <w:noWrap w:val="0"/>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自然灾害</w:t>
            </w:r>
          </w:p>
        </w:tc>
        <w:tc>
          <w:tcPr>
            <w:tcW w:w="2084" w:type="pct"/>
            <w:noWrap w:val="0"/>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站内</w:t>
            </w:r>
          </w:p>
        </w:tc>
        <w:tc>
          <w:tcPr>
            <w:tcW w:w="1070" w:type="pct"/>
            <w:noWrap w:val="0"/>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人员</w:t>
            </w:r>
            <w:r>
              <w:rPr>
                <w:rFonts w:hint="eastAsia" w:ascii="宋体" w:hAnsi="宋体" w:eastAsia="宋体" w:cs="宋体"/>
                <w:color w:val="auto"/>
                <w:sz w:val="24"/>
                <w:highlight w:val="none"/>
              </w:rPr>
              <w:t>伤亡</w:t>
            </w:r>
            <w:r>
              <w:rPr>
                <w:rFonts w:hint="eastAsia" w:ascii="宋体" w:hAnsi="宋体" w:cs="宋体"/>
                <w:color w:val="auto"/>
                <w:sz w:val="24"/>
                <w:highlight w:val="none"/>
                <w:lang w:eastAsia="zh-CN"/>
              </w:rPr>
              <w:t>、设备损</w:t>
            </w:r>
            <w:r>
              <w:rPr>
                <w:rFonts w:hint="eastAsia" w:ascii="宋体" w:hAnsi="宋体" w:eastAsia="宋体" w:cs="宋体"/>
                <w:color w:val="auto"/>
                <w:sz w:val="24"/>
                <w:highlight w:val="none"/>
              </w:rPr>
              <w:t>损毁</w:t>
            </w:r>
          </w:p>
        </w:tc>
        <w:tc>
          <w:tcPr>
            <w:tcW w:w="606" w:type="pct"/>
            <w:noWrap w:val="0"/>
            <w:vAlign w:val="center"/>
          </w:tcPr>
          <w:p>
            <w:pPr>
              <w:spacing w:line="24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二</w:t>
            </w:r>
            <w:r>
              <w:rPr>
                <w:rFonts w:hint="eastAsia" w:ascii="宋体" w:hAnsi="宋体" w:eastAsia="宋体" w:cs="宋体"/>
                <w:color w:val="auto"/>
                <w:sz w:val="24"/>
                <w:highlight w:val="none"/>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72" w:type="pct"/>
            <w:noWrap w:val="0"/>
            <w:vAlign w:val="center"/>
          </w:tcPr>
          <w:p>
            <w:pPr>
              <w:spacing w:line="24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766" w:type="pct"/>
            <w:noWrap w:val="0"/>
            <w:vAlign w:val="center"/>
          </w:tcPr>
          <w:p>
            <w:pPr>
              <w:spacing w:line="24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有限空间</w:t>
            </w:r>
          </w:p>
        </w:tc>
        <w:tc>
          <w:tcPr>
            <w:tcW w:w="2084" w:type="pct"/>
            <w:noWrap w:val="0"/>
            <w:vAlign w:val="center"/>
          </w:tcPr>
          <w:p>
            <w:pPr>
              <w:spacing w:line="240" w:lineRule="auto"/>
              <w:jc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油罐内清洗、维修</w:t>
            </w:r>
          </w:p>
        </w:tc>
        <w:tc>
          <w:tcPr>
            <w:tcW w:w="1070" w:type="pct"/>
            <w:noWrap w:val="0"/>
            <w:vAlign w:val="center"/>
          </w:tcPr>
          <w:p>
            <w:pPr>
              <w:spacing w:line="240" w:lineRule="auto"/>
              <w:jc w:val="center"/>
              <w:rPr>
                <w:rFonts w:hint="eastAsia" w:ascii="宋体" w:hAnsi="宋体" w:cs="宋体"/>
                <w:color w:val="auto"/>
                <w:sz w:val="24"/>
                <w:highlight w:val="none"/>
                <w:lang w:eastAsia="zh-CN"/>
              </w:rPr>
            </w:pPr>
            <w:r>
              <w:rPr>
                <w:rFonts w:hint="eastAsia" w:ascii="宋体" w:hAnsi="宋体" w:eastAsia="宋体" w:cs="宋体"/>
                <w:color w:val="auto"/>
                <w:sz w:val="24"/>
                <w:highlight w:val="none"/>
              </w:rPr>
              <w:t>人员中毒，火灾爆炸</w:t>
            </w:r>
          </w:p>
        </w:tc>
        <w:tc>
          <w:tcPr>
            <w:tcW w:w="606" w:type="pct"/>
            <w:noWrap w:val="0"/>
            <w:vAlign w:val="center"/>
          </w:tcPr>
          <w:p>
            <w:pPr>
              <w:spacing w:line="24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二</w:t>
            </w:r>
            <w:r>
              <w:rPr>
                <w:rFonts w:hint="eastAsia" w:ascii="宋体" w:hAnsi="宋体" w:eastAsia="宋体" w:cs="宋体"/>
                <w:color w:val="auto"/>
                <w:sz w:val="24"/>
                <w:highlight w:val="none"/>
                <w:lang w:val="en-US" w:eastAsia="zh-CN"/>
              </w:rPr>
              <w:t>级</w:t>
            </w:r>
          </w:p>
        </w:tc>
      </w:tr>
    </w:tbl>
    <w:p>
      <w:pPr>
        <w:pStyle w:val="24"/>
        <w:ind w:firstLine="241" w:firstLineChars="100"/>
        <w:jc w:val="both"/>
        <w:rPr>
          <w:rFonts w:hint="eastAsia"/>
          <w:lang w:eastAsia="zh-CN"/>
        </w:rPr>
      </w:pPr>
      <w:r>
        <w:rPr>
          <w:rFonts w:hint="eastAsia" w:ascii="宋体" w:hAnsi="宋体" w:cs="宋体"/>
          <w:b/>
          <w:bCs/>
          <w:color w:val="auto"/>
          <w:sz w:val="24"/>
          <w:szCs w:val="24"/>
          <w:highlight w:val="none"/>
          <w:lang w:val="en-US" w:eastAsia="zh-CN"/>
        </w:rPr>
        <w:t>注</w:t>
      </w:r>
      <w:r>
        <w:rPr>
          <w:rFonts w:hint="eastAsia" w:ascii="宋体" w:hAnsi="宋体" w:cs="宋体"/>
          <w:b/>
          <w:bCs/>
          <w:color w:val="auto"/>
          <w:sz w:val="24"/>
          <w:szCs w:val="24"/>
          <w:highlight w:val="none"/>
          <w:lang w:eastAsia="zh-CN"/>
        </w:rPr>
        <w:t>：二级风险为较大风险，三级为一般风险</w:t>
      </w:r>
      <w:r>
        <w:rPr>
          <w:rFonts w:hint="eastAsia"/>
          <w:lang w:eastAsia="zh-CN"/>
        </w:rPr>
        <w:br w:type="textWrapping"/>
      </w:r>
    </w:p>
    <w:p>
      <w:pPr>
        <w:pStyle w:val="5"/>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szCs w:val="28"/>
          <w:lang w:val="en-US" w:eastAsia="zh-CN"/>
        </w:rPr>
      </w:pPr>
      <w:bookmarkStart w:id="140" w:name="_Toc5937"/>
      <w:r>
        <w:rPr>
          <w:rFonts w:hint="eastAsia" w:ascii="宋体" w:hAnsi="宋体" w:eastAsia="宋体" w:cs="宋体"/>
          <w:color w:val="auto"/>
          <w:szCs w:val="28"/>
          <w:lang w:val="en-US" w:eastAsia="zh-CN"/>
        </w:rPr>
        <w:t>4.2 建议</w:t>
      </w:r>
      <w:bookmarkEnd w:id="138"/>
      <w:bookmarkEnd w:id="139"/>
      <w:bookmarkEnd w:id="140"/>
    </w:p>
    <w:p>
      <w:pPr>
        <w:pageBreakBefore w:val="0"/>
        <w:kinsoku/>
        <w:wordWrap/>
        <w:overflowPunct/>
        <w:topLinePunct w:val="0"/>
        <w:bidi w:val="0"/>
        <w:snapToGrid w:val="0"/>
        <w:spacing w:line="360" w:lineRule="auto"/>
        <w:ind w:left="0" w:leftChars="0" w:right="0" w:firstLine="561"/>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（1）应加强对现有安全措施及消防装置的维护检查，确保安全设施及消防措施的可靠性，在发生险情时能有效地发挥其作用。对损坏、失效的消防设备设施要作到及时修复和更换。</w:t>
      </w:r>
    </w:p>
    <w:p>
      <w:pPr>
        <w:pageBreakBefore w:val="0"/>
        <w:kinsoku/>
        <w:wordWrap/>
        <w:overflowPunct/>
        <w:topLinePunct w:val="0"/>
        <w:bidi w:val="0"/>
        <w:snapToGrid w:val="0"/>
        <w:spacing w:line="360" w:lineRule="auto"/>
        <w:ind w:left="0" w:leftChars="0" w:right="0" w:firstLine="561"/>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（2）应增加应急救援器材，确保事故发生或作业人员发生人身伤害时，能够及时采取有效救援措施，减轻伤害程度，控制事故的发展。</w:t>
      </w:r>
    </w:p>
    <w:p>
      <w:pPr>
        <w:pageBreakBefore w:val="0"/>
        <w:kinsoku/>
        <w:wordWrap/>
        <w:overflowPunct/>
        <w:topLinePunct w:val="0"/>
        <w:bidi w:val="0"/>
        <w:snapToGrid w:val="0"/>
        <w:spacing w:line="360" w:lineRule="auto"/>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（3）应不定期组织开展突发事件应急演练，锻炼突发事件应对能力。</w:t>
      </w:r>
    </w:p>
    <w:p>
      <w:pPr>
        <w:spacing w:line="360" w:lineRule="auto"/>
        <w:ind w:firstLine="561"/>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4）</w:t>
      </w:r>
      <w:r>
        <w:rPr>
          <w:rFonts w:hint="eastAsia" w:ascii="宋体" w:hAnsi="宋体" w:eastAsia="宋体" w:cs="宋体"/>
          <w:b w:val="0"/>
          <w:bCs w:val="0"/>
          <w:color w:val="auto"/>
          <w:kern w:val="2"/>
          <w:sz w:val="28"/>
          <w:szCs w:val="28"/>
          <w:highlight w:val="none"/>
          <w:lang w:val="en-US" w:eastAsia="zh-CN" w:bidi="ar-SA"/>
        </w:rPr>
        <w:t>对</w:t>
      </w:r>
      <w:r>
        <w:rPr>
          <w:rFonts w:hint="eastAsia" w:ascii="宋体" w:hAnsi="宋体" w:cs="宋体"/>
          <w:b w:val="0"/>
          <w:bCs w:val="0"/>
          <w:color w:val="auto"/>
          <w:kern w:val="2"/>
          <w:sz w:val="28"/>
          <w:szCs w:val="28"/>
          <w:highlight w:val="none"/>
          <w:lang w:val="en-US" w:eastAsia="zh-CN" w:bidi="ar-SA"/>
        </w:rPr>
        <w:t>较大风险</w:t>
      </w:r>
      <w:r>
        <w:rPr>
          <w:rFonts w:hint="eastAsia" w:ascii="宋体" w:hAnsi="宋体" w:eastAsia="宋体" w:cs="宋体"/>
          <w:b w:val="0"/>
          <w:bCs w:val="0"/>
          <w:color w:val="auto"/>
          <w:kern w:val="2"/>
          <w:sz w:val="28"/>
          <w:szCs w:val="28"/>
          <w:highlight w:val="none"/>
          <w:lang w:val="en-US" w:eastAsia="zh-CN" w:bidi="ar-SA"/>
        </w:rPr>
        <w:t>应制定专项应急预案</w:t>
      </w:r>
      <w:r>
        <w:rPr>
          <w:rFonts w:hint="eastAsia" w:ascii="宋体" w:hAnsi="宋体" w:cs="宋体"/>
          <w:b w:val="0"/>
          <w:bCs w:val="0"/>
          <w:color w:val="auto"/>
          <w:kern w:val="2"/>
          <w:sz w:val="28"/>
          <w:szCs w:val="28"/>
          <w:highlight w:val="none"/>
          <w:lang w:val="en-US" w:eastAsia="zh-CN" w:bidi="ar-SA"/>
        </w:rPr>
        <w:t>，</w:t>
      </w:r>
      <w:r>
        <w:rPr>
          <w:rFonts w:hint="eastAsia" w:ascii="宋体" w:hAnsi="宋体" w:eastAsia="宋体" w:cs="宋体"/>
          <w:b w:val="0"/>
          <w:bCs w:val="0"/>
          <w:color w:val="auto"/>
          <w:kern w:val="2"/>
          <w:sz w:val="28"/>
          <w:szCs w:val="28"/>
          <w:highlight w:val="none"/>
          <w:lang w:val="en-US" w:eastAsia="zh-CN" w:bidi="ar-SA"/>
        </w:rPr>
        <w:t>一般风险编制现场所处置方案。</w:t>
      </w:r>
    </w:p>
    <w:p>
      <w:pPr>
        <w:pStyle w:val="62"/>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rPr>
      </w:pPr>
    </w:p>
    <w:p>
      <w:pPr>
        <w:pStyle w:val="62"/>
        <w:pageBreakBefore w:val="0"/>
        <w:kinsoku/>
        <w:wordWrap/>
        <w:overflowPunct/>
        <w:topLinePunct w:val="0"/>
        <w:bidi w:val="0"/>
        <w:snapToGrid w:val="0"/>
        <w:spacing w:line="360" w:lineRule="auto"/>
        <w:ind w:left="0" w:leftChars="0" w:right="0"/>
        <w:textAlignment w:val="auto"/>
        <w:rPr>
          <w:rFonts w:hint="eastAsia" w:ascii="宋体" w:hAnsi="宋体" w:eastAsia="宋体" w:cs="宋体"/>
          <w:color w:val="auto"/>
        </w:rPr>
      </w:pPr>
    </w:p>
    <w:sectPr>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華康中楷體">
    <w:altName w:val="Microsoft JhengHei"/>
    <w:panose1 w:val="00000000000000000000"/>
    <w:charset w:val="88"/>
    <w:family w:val="modern"/>
    <w:pitch w:val="default"/>
    <w:sig w:usb0="00000000" w:usb1="00000000" w:usb2="00000010" w:usb3="00000000" w:csb0="00100000" w:csb1="00000000"/>
  </w:font>
  <w:font w:name="AdobeHeitiStd-Regular">
    <w:altName w:val="黑体"/>
    <w:panose1 w:val="00000000000000000000"/>
    <w:charset w:val="86"/>
    <w:family w:val="auto"/>
    <w:pitch w:val="default"/>
    <w:sig w:usb0="00000000" w:usb1="00000000" w:usb2="00000016" w:usb3="00000000" w:csb0="00060007"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Univers Condensed">
    <w:altName w:val="Segoe Print"/>
    <w:panose1 w:val="00000000000000000000"/>
    <w:charset w:val="00"/>
    <w:family w:val="swiss"/>
    <w:pitch w:val="default"/>
    <w:sig w:usb0="00000000" w:usb1="00000000" w:usb2="00000000" w:usb3="00000000" w:csb0="00000093" w:csb1="00000000"/>
  </w:font>
  <w:font w:name="方正书宋简体">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ialog">
    <w:altName w:val="Times New Roman"/>
    <w:panose1 w:val="00000000000000000000"/>
    <w:charset w:val="00"/>
    <w:family w:val="auto"/>
    <w:pitch w:val="default"/>
    <w:sig w:usb0="00000000" w:usb1="00000000" w:usb2="00000000"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Aparajita">
    <w:altName w:val="Segoe Print"/>
    <w:panose1 w:val="020B0604020202020204"/>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rPr>
        <w:rStyle w:val="54"/>
      </w:rPr>
      <w:instrText xml:space="preserve"> PAGE </w:instrText>
    </w:r>
    <w:r>
      <w:fldChar w:fldCharType="separate"/>
    </w:r>
    <w:r>
      <w:rPr>
        <w:rStyle w:val="54"/>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rPr>
        <w:b/>
        <w:color w:val="auto"/>
        <w:w w:val="90"/>
        <w:sz w:val="21"/>
        <w:szCs w:val="21"/>
      </w:rPr>
    </w:pPr>
    <w:r>
      <w:rPr>
        <w:rFonts w:hint="eastAsia" w:ascii="宋体" w:hAnsi="宋体"/>
        <w:b/>
        <w:color w:val="auto"/>
        <w:w w:val="90"/>
        <w:sz w:val="21"/>
        <w:szCs w:val="21"/>
        <w:lang w:val="en-US" w:eastAsia="zh-CN"/>
      </w:rPr>
      <w:t xml:space="preserve"> </w:t>
    </w:r>
    <w:r>
      <w:rPr>
        <w:rFonts w:hint="eastAsia" w:ascii="宋体" w:hAnsi="宋体"/>
        <w:b/>
        <w:color w:val="auto"/>
        <w:w w:val="90"/>
        <w:sz w:val="21"/>
        <w:szCs w:val="21"/>
        <w:lang w:eastAsia="zh-CN"/>
      </w:rPr>
      <w:t>南部县南兴加油站</w:t>
    </w:r>
    <w:r>
      <w:rPr>
        <w:rFonts w:hint="eastAsia" w:ascii="宋体" w:hAnsi="宋体"/>
        <w:b/>
        <w:color w:val="auto"/>
        <w:w w:val="90"/>
        <w:sz w:val="21"/>
        <w:szCs w:val="21"/>
        <w:lang w:val="en-US" w:eastAsia="zh-CN"/>
      </w:rPr>
      <w:t>生产安全</w:t>
    </w:r>
    <w:r>
      <w:rPr>
        <w:rFonts w:hint="eastAsia" w:ascii="宋体" w:hAnsi="宋体"/>
        <w:b/>
        <w:color w:val="auto"/>
        <w:w w:val="90"/>
        <w:sz w:val="21"/>
        <w:szCs w:val="21"/>
      </w:rPr>
      <w:t>事故风险辨识评估报告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A"/>
    <w:multiLevelType w:val="singleLevel"/>
    <w:tmpl w:val="0000001A"/>
    <w:lvl w:ilvl="0" w:tentative="0">
      <w:start w:val="4"/>
      <w:numFmt w:val="decimal"/>
      <w:pStyle w:val="89"/>
      <w:lvlText w:val="(%1)"/>
      <w:lvlJc w:val="left"/>
      <w:pPr>
        <w:tabs>
          <w:tab w:val="left" w:pos="1300"/>
        </w:tabs>
        <w:ind w:left="1300" w:hanging="495"/>
      </w:pPr>
      <w:rPr>
        <w:rFonts w:hint="default"/>
      </w:rPr>
    </w:lvl>
  </w:abstractNum>
  <w:abstractNum w:abstractNumId="1">
    <w:nsid w:val="6C3501A3"/>
    <w:multiLevelType w:val="multilevel"/>
    <w:tmpl w:val="6C3501A3"/>
    <w:lvl w:ilvl="0" w:tentative="0">
      <w:start w:val="1"/>
      <w:numFmt w:val="decimal"/>
      <w:pStyle w:val="78"/>
      <w:lvlText w:val="%1."/>
      <w:lvlJc w:val="left"/>
      <w:pPr>
        <w:tabs>
          <w:tab w:val="left" w:pos="840"/>
        </w:tabs>
        <w:ind w:left="84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hZmQyNWNiNTA2MzY2ZGI0ZjY3NTI1Y2FlNTkyMjMifQ=="/>
  </w:docVars>
  <w:rsids>
    <w:rsidRoot w:val="009A0B21"/>
    <w:rsid w:val="000005B9"/>
    <w:rsid w:val="00004CEF"/>
    <w:rsid w:val="000116DF"/>
    <w:rsid w:val="000136C3"/>
    <w:rsid w:val="00017319"/>
    <w:rsid w:val="000225CE"/>
    <w:rsid w:val="00030E1A"/>
    <w:rsid w:val="00035FF6"/>
    <w:rsid w:val="000420E3"/>
    <w:rsid w:val="00044B10"/>
    <w:rsid w:val="000618BB"/>
    <w:rsid w:val="00063EF1"/>
    <w:rsid w:val="00077E4E"/>
    <w:rsid w:val="000A77AE"/>
    <w:rsid w:val="000B062D"/>
    <w:rsid w:val="000E4AFD"/>
    <w:rsid w:val="000E4B55"/>
    <w:rsid w:val="000F6667"/>
    <w:rsid w:val="001121D6"/>
    <w:rsid w:val="00112703"/>
    <w:rsid w:val="00117428"/>
    <w:rsid w:val="00126410"/>
    <w:rsid w:val="00132F3C"/>
    <w:rsid w:val="00143F97"/>
    <w:rsid w:val="001467B2"/>
    <w:rsid w:val="001519D9"/>
    <w:rsid w:val="0016386E"/>
    <w:rsid w:val="0018099E"/>
    <w:rsid w:val="0018303C"/>
    <w:rsid w:val="00185B4B"/>
    <w:rsid w:val="00192844"/>
    <w:rsid w:val="001A4254"/>
    <w:rsid w:val="001A4EBE"/>
    <w:rsid w:val="001B39F4"/>
    <w:rsid w:val="001C1C4F"/>
    <w:rsid w:val="00224954"/>
    <w:rsid w:val="0023030B"/>
    <w:rsid w:val="00230A45"/>
    <w:rsid w:val="00255887"/>
    <w:rsid w:val="002615AE"/>
    <w:rsid w:val="0026543C"/>
    <w:rsid w:val="00270699"/>
    <w:rsid w:val="002740DA"/>
    <w:rsid w:val="00284E5C"/>
    <w:rsid w:val="00286258"/>
    <w:rsid w:val="00287E03"/>
    <w:rsid w:val="002925C5"/>
    <w:rsid w:val="002A0572"/>
    <w:rsid w:val="002A6647"/>
    <w:rsid w:val="002E29CC"/>
    <w:rsid w:val="003049F6"/>
    <w:rsid w:val="003077C1"/>
    <w:rsid w:val="00314288"/>
    <w:rsid w:val="00320C04"/>
    <w:rsid w:val="00334F46"/>
    <w:rsid w:val="00337FD9"/>
    <w:rsid w:val="0034118F"/>
    <w:rsid w:val="003513FF"/>
    <w:rsid w:val="00365231"/>
    <w:rsid w:val="0036569F"/>
    <w:rsid w:val="00381853"/>
    <w:rsid w:val="00392C69"/>
    <w:rsid w:val="00394CE5"/>
    <w:rsid w:val="003B48B8"/>
    <w:rsid w:val="003B7ABA"/>
    <w:rsid w:val="003C1731"/>
    <w:rsid w:val="003E2770"/>
    <w:rsid w:val="00407B69"/>
    <w:rsid w:val="0041045E"/>
    <w:rsid w:val="00420BE7"/>
    <w:rsid w:val="00420E71"/>
    <w:rsid w:val="00424D97"/>
    <w:rsid w:val="004403DF"/>
    <w:rsid w:val="004468BF"/>
    <w:rsid w:val="00467D9C"/>
    <w:rsid w:val="00475F98"/>
    <w:rsid w:val="00476761"/>
    <w:rsid w:val="00490A51"/>
    <w:rsid w:val="00494E63"/>
    <w:rsid w:val="00495565"/>
    <w:rsid w:val="004968B9"/>
    <w:rsid w:val="004A75A2"/>
    <w:rsid w:val="004D1D2B"/>
    <w:rsid w:val="004F0D79"/>
    <w:rsid w:val="004F520D"/>
    <w:rsid w:val="004F53E4"/>
    <w:rsid w:val="005015D1"/>
    <w:rsid w:val="00503CC5"/>
    <w:rsid w:val="00506600"/>
    <w:rsid w:val="005117C2"/>
    <w:rsid w:val="0052059C"/>
    <w:rsid w:val="005221C8"/>
    <w:rsid w:val="00530E87"/>
    <w:rsid w:val="00541183"/>
    <w:rsid w:val="00557169"/>
    <w:rsid w:val="0056062D"/>
    <w:rsid w:val="0056482E"/>
    <w:rsid w:val="00573C31"/>
    <w:rsid w:val="005840F8"/>
    <w:rsid w:val="005965A9"/>
    <w:rsid w:val="005D12D3"/>
    <w:rsid w:val="005E7BCB"/>
    <w:rsid w:val="005F5BFE"/>
    <w:rsid w:val="005F6A97"/>
    <w:rsid w:val="00605B01"/>
    <w:rsid w:val="00607248"/>
    <w:rsid w:val="0061388D"/>
    <w:rsid w:val="0061515F"/>
    <w:rsid w:val="00616468"/>
    <w:rsid w:val="00616871"/>
    <w:rsid w:val="00623B47"/>
    <w:rsid w:val="00625F86"/>
    <w:rsid w:val="00630041"/>
    <w:rsid w:val="00633E0C"/>
    <w:rsid w:val="00641A45"/>
    <w:rsid w:val="00643075"/>
    <w:rsid w:val="00647D65"/>
    <w:rsid w:val="00652B56"/>
    <w:rsid w:val="00686AC6"/>
    <w:rsid w:val="00686BB0"/>
    <w:rsid w:val="006872FF"/>
    <w:rsid w:val="006B070C"/>
    <w:rsid w:val="006D7B74"/>
    <w:rsid w:val="006E52BC"/>
    <w:rsid w:val="00703898"/>
    <w:rsid w:val="00707D80"/>
    <w:rsid w:val="0071252F"/>
    <w:rsid w:val="0071333A"/>
    <w:rsid w:val="00713F20"/>
    <w:rsid w:val="007261AC"/>
    <w:rsid w:val="0073032B"/>
    <w:rsid w:val="00730940"/>
    <w:rsid w:val="00745B6B"/>
    <w:rsid w:val="00754097"/>
    <w:rsid w:val="0079240F"/>
    <w:rsid w:val="007A03AE"/>
    <w:rsid w:val="007A41BA"/>
    <w:rsid w:val="007B6975"/>
    <w:rsid w:val="007C002A"/>
    <w:rsid w:val="007C58AF"/>
    <w:rsid w:val="007D2AE2"/>
    <w:rsid w:val="007E2EF7"/>
    <w:rsid w:val="007E34D2"/>
    <w:rsid w:val="007F65E3"/>
    <w:rsid w:val="0080635C"/>
    <w:rsid w:val="00811C10"/>
    <w:rsid w:val="00813303"/>
    <w:rsid w:val="00816B1E"/>
    <w:rsid w:val="00830A42"/>
    <w:rsid w:val="00835ED9"/>
    <w:rsid w:val="008529B6"/>
    <w:rsid w:val="00854D13"/>
    <w:rsid w:val="00862C88"/>
    <w:rsid w:val="0087570D"/>
    <w:rsid w:val="00880B83"/>
    <w:rsid w:val="00892B62"/>
    <w:rsid w:val="008A32BF"/>
    <w:rsid w:val="008B61A8"/>
    <w:rsid w:val="008C390F"/>
    <w:rsid w:val="008C58D5"/>
    <w:rsid w:val="008C5FE7"/>
    <w:rsid w:val="008D4B70"/>
    <w:rsid w:val="008E2B74"/>
    <w:rsid w:val="008F0F86"/>
    <w:rsid w:val="008F7999"/>
    <w:rsid w:val="00902955"/>
    <w:rsid w:val="009114DC"/>
    <w:rsid w:val="009176C8"/>
    <w:rsid w:val="00920FFF"/>
    <w:rsid w:val="00926139"/>
    <w:rsid w:val="00933826"/>
    <w:rsid w:val="00972BA9"/>
    <w:rsid w:val="0097625D"/>
    <w:rsid w:val="00996B4C"/>
    <w:rsid w:val="009A0B21"/>
    <w:rsid w:val="009A1D4A"/>
    <w:rsid w:val="009A606E"/>
    <w:rsid w:val="009B0547"/>
    <w:rsid w:val="009D7164"/>
    <w:rsid w:val="009D742F"/>
    <w:rsid w:val="00A00749"/>
    <w:rsid w:val="00A0555B"/>
    <w:rsid w:val="00A20ECD"/>
    <w:rsid w:val="00A31BAF"/>
    <w:rsid w:val="00A37A0F"/>
    <w:rsid w:val="00A6616B"/>
    <w:rsid w:val="00AB3235"/>
    <w:rsid w:val="00AB655E"/>
    <w:rsid w:val="00AB7A64"/>
    <w:rsid w:val="00AC169E"/>
    <w:rsid w:val="00AC7E14"/>
    <w:rsid w:val="00AF50CB"/>
    <w:rsid w:val="00AF5776"/>
    <w:rsid w:val="00B040FB"/>
    <w:rsid w:val="00B15B5B"/>
    <w:rsid w:val="00B249AC"/>
    <w:rsid w:val="00B27F58"/>
    <w:rsid w:val="00B31796"/>
    <w:rsid w:val="00B513DF"/>
    <w:rsid w:val="00B527B3"/>
    <w:rsid w:val="00B556FD"/>
    <w:rsid w:val="00B70D22"/>
    <w:rsid w:val="00B80817"/>
    <w:rsid w:val="00B87258"/>
    <w:rsid w:val="00B9650F"/>
    <w:rsid w:val="00B97EF0"/>
    <w:rsid w:val="00BB0CD4"/>
    <w:rsid w:val="00BB0EDC"/>
    <w:rsid w:val="00BB6049"/>
    <w:rsid w:val="00BC27EB"/>
    <w:rsid w:val="00BD0EE5"/>
    <w:rsid w:val="00BD714A"/>
    <w:rsid w:val="00C21A13"/>
    <w:rsid w:val="00C356B3"/>
    <w:rsid w:val="00C36179"/>
    <w:rsid w:val="00C37AC2"/>
    <w:rsid w:val="00C61495"/>
    <w:rsid w:val="00C623F2"/>
    <w:rsid w:val="00C745BF"/>
    <w:rsid w:val="00C83984"/>
    <w:rsid w:val="00C877F6"/>
    <w:rsid w:val="00C900E3"/>
    <w:rsid w:val="00C94291"/>
    <w:rsid w:val="00C979B5"/>
    <w:rsid w:val="00CB00C9"/>
    <w:rsid w:val="00CB36AF"/>
    <w:rsid w:val="00CB4993"/>
    <w:rsid w:val="00CE79A0"/>
    <w:rsid w:val="00CF5BCC"/>
    <w:rsid w:val="00D03791"/>
    <w:rsid w:val="00D068CA"/>
    <w:rsid w:val="00D26923"/>
    <w:rsid w:val="00D37DE6"/>
    <w:rsid w:val="00D449C9"/>
    <w:rsid w:val="00D504E0"/>
    <w:rsid w:val="00D57FEE"/>
    <w:rsid w:val="00D72703"/>
    <w:rsid w:val="00D73D06"/>
    <w:rsid w:val="00D7497E"/>
    <w:rsid w:val="00DA4470"/>
    <w:rsid w:val="00DA5BF8"/>
    <w:rsid w:val="00DB7003"/>
    <w:rsid w:val="00DD2E50"/>
    <w:rsid w:val="00DD4773"/>
    <w:rsid w:val="00DD47FA"/>
    <w:rsid w:val="00DD7AD6"/>
    <w:rsid w:val="00DE1D79"/>
    <w:rsid w:val="00DE394C"/>
    <w:rsid w:val="00DE4423"/>
    <w:rsid w:val="00DF3127"/>
    <w:rsid w:val="00DF7CCE"/>
    <w:rsid w:val="00E03734"/>
    <w:rsid w:val="00E04644"/>
    <w:rsid w:val="00E115B1"/>
    <w:rsid w:val="00E11E55"/>
    <w:rsid w:val="00E21A73"/>
    <w:rsid w:val="00E2722E"/>
    <w:rsid w:val="00E333FB"/>
    <w:rsid w:val="00E408AD"/>
    <w:rsid w:val="00E61373"/>
    <w:rsid w:val="00E6398D"/>
    <w:rsid w:val="00E6601B"/>
    <w:rsid w:val="00E73611"/>
    <w:rsid w:val="00E8103B"/>
    <w:rsid w:val="00E82994"/>
    <w:rsid w:val="00E84FAB"/>
    <w:rsid w:val="00E92FF6"/>
    <w:rsid w:val="00E94520"/>
    <w:rsid w:val="00E95ABA"/>
    <w:rsid w:val="00E967F8"/>
    <w:rsid w:val="00EC42B9"/>
    <w:rsid w:val="00EC7D46"/>
    <w:rsid w:val="00EC7EFE"/>
    <w:rsid w:val="00EE1712"/>
    <w:rsid w:val="00EE688B"/>
    <w:rsid w:val="00EF3F60"/>
    <w:rsid w:val="00EF79B8"/>
    <w:rsid w:val="00F06690"/>
    <w:rsid w:val="00F368D9"/>
    <w:rsid w:val="00F44265"/>
    <w:rsid w:val="00F545A5"/>
    <w:rsid w:val="00F56A99"/>
    <w:rsid w:val="00F759A5"/>
    <w:rsid w:val="00FA165C"/>
    <w:rsid w:val="00FA1A8F"/>
    <w:rsid w:val="00FB20FA"/>
    <w:rsid w:val="00FC376F"/>
    <w:rsid w:val="00FC4E20"/>
    <w:rsid w:val="00FD5879"/>
    <w:rsid w:val="00FE69AD"/>
    <w:rsid w:val="00FF241D"/>
    <w:rsid w:val="00FF4661"/>
    <w:rsid w:val="00FF4F48"/>
    <w:rsid w:val="00FF6149"/>
    <w:rsid w:val="00FF788D"/>
    <w:rsid w:val="011078C7"/>
    <w:rsid w:val="011C3153"/>
    <w:rsid w:val="012C4717"/>
    <w:rsid w:val="013950A8"/>
    <w:rsid w:val="017C708E"/>
    <w:rsid w:val="017D7424"/>
    <w:rsid w:val="01910A08"/>
    <w:rsid w:val="01AA53CD"/>
    <w:rsid w:val="01B75D35"/>
    <w:rsid w:val="02101832"/>
    <w:rsid w:val="022573A2"/>
    <w:rsid w:val="02B26E88"/>
    <w:rsid w:val="02C62933"/>
    <w:rsid w:val="030D4076"/>
    <w:rsid w:val="034675D0"/>
    <w:rsid w:val="036B50CA"/>
    <w:rsid w:val="03B13985"/>
    <w:rsid w:val="03B3418E"/>
    <w:rsid w:val="03E06DA4"/>
    <w:rsid w:val="03FC706E"/>
    <w:rsid w:val="04043713"/>
    <w:rsid w:val="04B769D7"/>
    <w:rsid w:val="04D255BF"/>
    <w:rsid w:val="05412745"/>
    <w:rsid w:val="054F4E62"/>
    <w:rsid w:val="0596483F"/>
    <w:rsid w:val="05A36F5B"/>
    <w:rsid w:val="05A827C4"/>
    <w:rsid w:val="05D435B9"/>
    <w:rsid w:val="06147E59"/>
    <w:rsid w:val="065B15E4"/>
    <w:rsid w:val="06792F00"/>
    <w:rsid w:val="06C4362D"/>
    <w:rsid w:val="07144E65"/>
    <w:rsid w:val="07501FC9"/>
    <w:rsid w:val="07587438"/>
    <w:rsid w:val="07FE2B6F"/>
    <w:rsid w:val="083A4B7D"/>
    <w:rsid w:val="085602B5"/>
    <w:rsid w:val="09301C6C"/>
    <w:rsid w:val="093A1985"/>
    <w:rsid w:val="095073FA"/>
    <w:rsid w:val="096A1E12"/>
    <w:rsid w:val="09886214"/>
    <w:rsid w:val="09BC74E4"/>
    <w:rsid w:val="0A312D88"/>
    <w:rsid w:val="0A5A7018"/>
    <w:rsid w:val="0A5B1BB3"/>
    <w:rsid w:val="0A614BC8"/>
    <w:rsid w:val="0AA56180"/>
    <w:rsid w:val="0AE56866"/>
    <w:rsid w:val="0B2F7972"/>
    <w:rsid w:val="0B354AFA"/>
    <w:rsid w:val="0B420FC5"/>
    <w:rsid w:val="0B5160ED"/>
    <w:rsid w:val="0B7E4E1C"/>
    <w:rsid w:val="0BE700C4"/>
    <w:rsid w:val="0C380618"/>
    <w:rsid w:val="0C81512D"/>
    <w:rsid w:val="0CF307C8"/>
    <w:rsid w:val="0D1F511A"/>
    <w:rsid w:val="0DC857B1"/>
    <w:rsid w:val="0DDE3227"/>
    <w:rsid w:val="0E460DCC"/>
    <w:rsid w:val="0E72737A"/>
    <w:rsid w:val="0E7A264F"/>
    <w:rsid w:val="0E935EF1"/>
    <w:rsid w:val="0EAC6E81"/>
    <w:rsid w:val="0EB977F0"/>
    <w:rsid w:val="0EBE54E0"/>
    <w:rsid w:val="0ECB08CC"/>
    <w:rsid w:val="0EE02FCE"/>
    <w:rsid w:val="0F1F3AF7"/>
    <w:rsid w:val="0F2A424A"/>
    <w:rsid w:val="0F4D1D4A"/>
    <w:rsid w:val="0F9D2460"/>
    <w:rsid w:val="0FAC7318"/>
    <w:rsid w:val="10305890"/>
    <w:rsid w:val="103A226A"/>
    <w:rsid w:val="105A454C"/>
    <w:rsid w:val="106B6168"/>
    <w:rsid w:val="10A3316F"/>
    <w:rsid w:val="110762BC"/>
    <w:rsid w:val="114223EE"/>
    <w:rsid w:val="11A42958"/>
    <w:rsid w:val="11A86068"/>
    <w:rsid w:val="11BF188A"/>
    <w:rsid w:val="1224319F"/>
    <w:rsid w:val="12655CC4"/>
    <w:rsid w:val="12A038DC"/>
    <w:rsid w:val="12C329EB"/>
    <w:rsid w:val="12F63E88"/>
    <w:rsid w:val="133D5A4B"/>
    <w:rsid w:val="13525BA9"/>
    <w:rsid w:val="1376180B"/>
    <w:rsid w:val="138A3509"/>
    <w:rsid w:val="142D6017"/>
    <w:rsid w:val="14621911"/>
    <w:rsid w:val="14B15B3A"/>
    <w:rsid w:val="14EC6001"/>
    <w:rsid w:val="150D7DD7"/>
    <w:rsid w:val="15170DCC"/>
    <w:rsid w:val="151F1CB4"/>
    <w:rsid w:val="1542379F"/>
    <w:rsid w:val="1574621E"/>
    <w:rsid w:val="159A4C5C"/>
    <w:rsid w:val="15A00DC2"/>
    <w:rsid w:val="15A55DC0"/>
    <w:rsid w:val="15A65976"/>
    <w:rsid w:val="15DE18EA"/>
    <w:rsid w:val="162B2D81"/>
    <w:rsid w:val="163C0AFC"/>
    <w:rsid w:val="170A6E3A"/>
    <w:rsid w:val="172A4DE7"/>
    <w:rsid w:val="17365E81"/>
    <w:rsid w:val="1742454D"/>
    <w:rsid w:val="174A5489"/>
    <w:rsid w:val="1783099B"/>
    <w:rsid w:val="17935082"/>
    <w:rsid w:val="17CF5680"/>
    <w:rsid w:val="17E07B9B"/>
    <w:rsid w:val="17E7360E"/>
    <w:rsid w:val="18100480"/>
    <w:rsid w:val="18357EE7"/>
    <w:rsid w:val="185365BF"/>
    <w:rsid w:val="186B3909"/>
    <w:rsid w:val="189469D7"/>
    <w:rsid w:val="18AB63FB"/>
    <w:rsid w:val="198D78AF"/>
    <w:rsid w:val="19947044"/>
    <w:rsid w:val="19D674A8"/>
    <w:rsid w:val="1A3B555D"/>
    <w:rsid w:val="1A4C59BC"/>
    <w:rsid w:val="1AA50C28"/>
    <w:rsid w:val="1AB1581F"/>
    <w:rsid w:val="1B1464DA"/>
    <w:rsid w:val="1B50328A"/>
    <w:rsid w:val="1BC51582"/>
    <w:rsid w:val="1BE53811"/>
    <w:rsid w:val="1BF50795"/>
    <w:rsid w:val="1C161DDD"/>
    <w:rsid w:val="1C202C5C"/>
    <w:rsid w:val="1C35495A"/>
    <w:rsid w:val="1CA76EDA"/>
    <w:rsid w:val="1CE123EB"/>
    <w:rsid w:val="1D216C8C"/>
    <w:rsid w:val="1D4666F2"/>
    <w:rsid w:val="1D4E1D81"/>
    <w:rsid w:val="1D623960"/>
    <w:rsid w:val="1DF83E91"/>
    <w:rsid w:val="1DFE521F"/>
    <w:rsid w:val="1E674B72"/>
    <w:rsid w:val="1E83492E"/>
    <w:rsid w:val="1EC91389"/>
    <w:rsid w:val="1F136AA8"/>
    <w:rsid w:val="1F7C289F"/>
    <w:rsid w:val="1F7F413E"/>
    <w:rsid w:val="1FAF6B18"/>
    <w:rsid w:val="201E74B3"/>
    <w:rsid w:val="20C660D9"/>
    <w:rsid w:val="2120725A"/>
    <w:rsid w:val="2228208E"/>
    <w:rsid w:val="227503E2"/>
    <w:rsid w:val="22FB73EB"/>
    <w:rsid w:val="230431D4"/>
    <w:rsid w:val="24071D33"/>
    <w:rsid w:val="246B62D0"/>
    <w:rsid w:val="24AE34FB"/>
    <w:rsid w:val="255911E8"/>
    <w:rsid w:val="256B330A"/>
    <w:rsid w:val="25951FC5"/>
    <w:rsid w:val="25CC07FC"/>
    <w:rsid w:val="25E46F12"/>
    <w:rsid w:val="262D4A52"/>
    <w:rsid w:val="26621B23"/>
    <w:rsid w:val="269009DE"/>
    <w:rsid w:val="26971D6D"/>
    <w:rsid w:val="26986F7C"/>
    <w:rsid w:val="26D829E9"/>
    <w:rsid w:val="27157DC1"/>
    <w:rsid w:val="272B7E3A"/>
    <w:rsid w:val="27383F09"/>
    <w:rsid w:val="27554DF7"/>
    <w:rsid w:val="27606892"/>
    <w:rsid w:val="278E3170"/>
    <w:rsid w:val="279664C8"/>
    <w:rsid w:val="27D82163"/>
    <w:rsid w:val="27D8263D"/>
    <w:rsid w:val="281861B5"/>
    <w:rsid w:val="281F02C8"/>
    <w:rsid w:val="282F4953"/>
    <w:rsid w:val="284877C3"/>
    <w:rsid w:val="28702875"/>
    <w:rsid w:val="28CC176F"/>
    <w:rsid w:val="28CD1A76"/>
    <w:rsid w:val="28D52108"/>
    <w:rsid w:val="29932DFB"/>
    <w:rsid w:val="29DD218D"/>
    <w:rsid w:val="29E51041"/>
    <w:rsid w:val="29F00BF2"/>
    <w:rsid w:val="2A52389A"/>
    <w:rsid w:val="2A572C85"/>
    <w:rsid w:val="2A9E3A95"/>
    <w:rsid w:val="2B253DEB"/>
    <w:rsid w:val="2B5E554F"/>
    <w:rsid w:val="2B8D77CB"/>
    <w:rsid w:val="2BC140C0"/>
    <w:rsid w:val="2BD82C0B"/>
    <w:rsid w:val="2C3633C9"/>
    <w:rsid w:val="2C536453"/>
    <w:rsid w:val="2C6E32FF"/>
    <w:rsid w:val="2C7069AB"/>
    <w:rsid w:val="2C972AC7"/>
    <w:rsid w:val="2CA174A1"/>
    <w:rsid w:val="2CB97732"/>
    <w:rsid w:val="2CC6515A"/>
    <w:rsid w:val="2CEA6E94"/>
    <w:rsid w:val="2D1063D5"/>
    <w:rsid w:val="2D1B17F5"/>
    <w:rsid w:val="2D320A41"/>
    <w:rsid w:val="2D41565C"/>
    <w:rsid w:val="2D7E61A6"/>
    <w:rsid w:val="2D9A645C"/>
    <w:rsid w:val="2DA134D1"/>
    <w:rsid w:val="2DA777D6"/>
    <w:rsid w:val="2DDF4D60"/>
    <w:rsid w:val="2E5654EE"/>
    <w:rsid w:val="2E5B6B83"/>
    <w:rsid w:val="2E7330BF"/>
    <w:rsid w:val="2ED753FC"/>
    <w:rsid w:val="2EE56198"/>
    <w:rsid w:val="2F144608"/>
    <w:rsid w:val="2F3740ED"/>
    <w:rsid w:val="2F57653D"/>
    <w:rsid w:val="30063245"/>
    <w:rsid w:val="304C1E1A"/>
    <w:rsid w:val="307D3270"/>
    <w:rsid w:val="30895781"/>
    <w:rsid w:val="30923528"/>
    <w:rsid w:val="30952453"/>
    <w:rsid w:val="31161748"/>
    <w:rsid w:val="31EF5438"/>
    <w:rsid w:val="31FE0779"/>
    <w:rsid w:val="31FE7144"/>
    <w:rsid w:val="325C63D8"/>
    <w:rsid w:val="325C73B7"/>
    <w:rsid w:val="326C67A3"/>
    <w:rsid w:val="32A566A5"/>
    <w:rsid w:val="33016EEC"/>
    <w:rsid w:val="33A3213B"/>
    <w:rsid w:val="33D04B10"/>
    <w:rsid w:val="33DC1707"/>
    <w:rsid w:val="33DE547F"/>
    <w:rsid w:val="33E44D2F"/>
    <w:rsid w:val="34117A13"/>
    <w:rsid w:val="34362BC5"/>
    <w:rsid w:val="34515C51"/>
    <w:rsid w:val="34654533"/>
    <w:rsid w:val="35616A77"/>
    <w:rsid w:val="356D0868"/>
    <w:rsid w:val="35B2271F"/>
    <w:rsid w:val="35F97A12"/>
    <w:rsid w:val="362A675A"/>
    <w:rsid w:val="36435A6D"/>
    <w:rsid w:val="36C247C7"/>
    <w:rsid w:val="36E032BC"/>
    <w:rsid w:val="371A33F9"/>
    <w:rsid w:val="376C68FE"/>
    <w:rsid w:val="37D83F93"/>
    <w:rsid w:val="37F16D59"/>
    <w:rsid w:val="37F267D0"/>
    <w:rsid w:val="3825542A"/>
    <w:rsid w:val="38CF1BFA"/>
    <w:rsid w:val="38E30E42"/>
    <w:rsid w:val="391D25A6"/>
    <w:rsid w:val="398B6EE3"/>
    <w:rsid w:val="3A257426"/>
    <w:rsid w:val="3A3758E9"/>
    <w:rsid w:val="3A706705"/>
    <w:rsid w:val="3AB72586"/>
    <w:rsid w:val="3AC80496"/>
    <w:rsid w:val="3ACA2BFA"/>
    <w:rsid w:val="3AE649A7"/>
    <w:rsid w:val="3B911029"/>
    <w:rsid w:val="3BB67800"/>
    <w:rsid w:val="3BE63123"/>
    <w:rsid w:val="3C4D6F5E"/>
    <w:rsid w:val="3CBF007E"/>
    <w:rsid w:val="3CC735D3"/>
    <w:rsid w:val="3CD97182"/>
    <w:rsid w:val="3D1E68EC"/>
    <w:rsid w:val="3D602C0F"/>
    <w:rsid w:val="3D8B011E"/>
    <w:rsid w:val="3DBB238D"/>
    <w:rsid w:val="3E23326A"/>
    <w:rsid w:val="3E24689A"/>
    <w:rsid w:val="3E375EB7"/>
    <w:rsid w:val="3F673A0C"/>
    <w:rsid w:val="3F740A45"/>
    <w:rsid w:val="40146431"/>
    <w:rsid w:val="40153FD6"/>
    <w:rsid w:val="401656C8"/>
    <w:rsid w:val="402266F3"/>
    <w:rsid w:val="403A3A3D"/>
    <w:rsid w:val="403F27D3"/>
    <w:rsid w:val="40F956A6"/>
    <w:rsid w:val="41566655"/>
    <w:rsid w:val="41C379AF"/>
    <w:rsid w:val="41F67E38"/>
    <w:rsid w:val="42725710"/>
    <w:rsid w:val="42A81A5D"/>
    <w:rsid w:val="42C35F6C"/>
    <w:rsid w:val="43655275"/>
    <w:rsid w:val="442C5E51"/>
    <w:rsid w:val="4478199E"/>
    <w:rsid w:val="451D3152"/>
    <w:rsid w:val="458241E7"/>
    <w:rsid w:val="459E485D"/>
    <w:rsid w:val="45A2455E"/>
    <w:rsid w:val="4656488C"/>
    <w:rsid w:val="46F42039"/>
    <w:rsid w:val="46FC5D9D"/>
    <w:rsid w:val="47343C8D"/>
    <w:rsid w:val="478F18FD"/>
    <w:rsid w:val="47924333"/>
    <w:rsid w:val="47AA0E9D"/>
    <w:rsid w:val="48607974"/>
    <w:rsid w:val="486F25FC"/>
    <w:rsid w:val="48943F06"/>
    <w:rsid w:val="48D507A7"/>
    <w:rsid w:val="490B241B"/>
    <w:rsid w:val="492C52AA"/>
    <w:rsid w:val="494C2B65"/>
    <w:rsid w:val="49543DC1"/>
    <w:rsid w:val="49D93B5C"/>
    <w:rsid w:val="4A2C2648"/>
    <w:rsid w:val="4A5B1180"/>
    <w:rsid w:val="4A5B4CDC"/>
    <w:rsid w:val="4AC24D5B"/>
    <w:rsid w:val="4B690DD1"/>
    <w:rsid w:val="4B7047B7"/>
    <w:rsid w:val="4B8957A5"/>
    <w:rsid w:val="4BFB49C8"/>
    <w:rsid w:val="4C030893"/>
    <w:rsid w:val="4C3219D6"/>
    <w:rsid w:val="4C365A00"/>
    <w:rsid w:val="4CA94424"/>
    <w:rsid w:val="4CD11285"/>
    <w:rsid w:val="4CD1365E"/>
    <w:rsid w:val="4D024CBC"/>
    <w:rsid w:val="4D580D86"/>
    <w:rsid w:val="4D862070"/>
    <w:rsid w:val="4DCB3F26"/>
    <w:rsid w:val="4DF3319D"/>
    <w:rsid w:val="4DF353D5"/>
    <w:rsid w:val="4E086503"/>
    <w:rsid w:val="4E864F61"/>
    <w:rsid w:val="4F027E1C"/>
    <w:rsid w:val="4F3A1A7F"/>
    <w:rsid w:val="4FDE79D9"/>
    <w:rsid w:val="50175B49"/>
    <w:rsid w:val="50700DB5"/>
    <w:rsid w:val="50B213CE"/>
    <w:rsid w:val="50EC0D83"/>
    <w:rsid w:val="519314D6"/>
    <w:rsid w:val="51C27D36"/>
    <w:rsid w:val="51F8037A"/>
    <w:rsid w:val="522C7B08"/>
    <w:rsid w:val="524338E1"/>
    <w:rsid w:val="52A116FA"/>
    <w:rsid w:val="52A5743C"/>
    <w:rsid w:val="52B753C1"/>
    <w:rsid w:val="52B94C95"/>
    <w:rsid w:val="52F91536"/>
    <w:rsid w:val="534E3095"/>
    <w:rsid w:val="53666DB2"/>
    <w:rsid w:val="53A70F92"/>
    <w:rsid w:val="53CB30B8"/>
    <w:rsid w:val="54330A77"/>
    <w:rsid w:val="546E6337"/>
    <w:rsid w:val="54A21344"/>
    <w:rsid w:val="54C15537"/>
    <w:rsid w:val="552D3719"/>
    <w:rsid w:val="55ED4BD7"/>
    <w:rsid w:val="55F27508"/>
    <w:rsid w:val="55FF7777"/>
    <w:rsid w:val="561F7505"/>
    <w:rsid w:val="56DE0AFD"/>
    <w:rsid w:val="56F95FA8"/>
    <w:rsid w:val="58DD0FB2"/>
    <w:rsid w:val="590F1AB3"/>
    <w:rsid w:val="593257A1"/>
    <w:rsid w:val="5940742A"/>
    <w:rsid w:val="597D6869"/>
    <w:rsid w:val="59815DE1"/>
    <w:rsid w:val="599202D9"/>
    <w:rsid w:val="5A2C0443"/>
    <w:rsid w:val="5A8262B5"/>
    <w:rsid w:val="5A9C7376"/>
    <w:rsid w:val="5AC62645"/>
    <w:rsid w:val="5AC643F3"/>
    <w:rsid w:val="5B3D1AAD"/>
    <w:rsid w:val="5B5B49EB"/>
    <w:rsid w:val="5BB10BFF"/>
    <w:rsid w:val="5BD448EE"/>
    <w:rsid w:val="5BDB5B27"/>
    <w:rsid w:val="5C174628"/>
    <w:rsid w:val="5C545B79"/>
    <w:rsid w:val="5C6A7000"/>
    <w:rsid w:val="5C6B0671"/>
    <w:rsid w:val="5C741C2D"/>
    <w:rsid w:val="5CB659DD"/>
    <w:rsid w:val="5CC20F03"/>
    <w:rsid w:val="5D002039"/>
    <w:rsid w:val="5D1C479E"/>
    <w:rsid w:val="5D705553"/>
    <w:rsid w:val="5DA54FF6"/>
    <w:rsid w:val="5DA72F81"/>
    <w:rsid w:val="5DC10EA2"/>
    <w:rsid w:val="5DCF35BF"/>
    <w:rsid w:val="5E182C79"/>
    <w:rsid w:val="5E323B4E"/>
    <w:rsid w:val="5EB20151"/>
    <w:rsid w:val="5F2F2AB7"/>
    <w:rsid w:val="5F3F4774"/>
    <w:rsid w:val="5F58344B"/>
    <w:rsid w:val="5F7C1524"/>
    <w:rsid w:val="5F7E529D"/>
    <w:rsid w:val="5FB00E30"/>
    <w:rsid w:val="5FB452F4"/>
    <w:rsid w:val="5FCF4CC4"/>
    <w:rsid w:val="5FDC6467"/>
    <w:rsid w:val="603242D9"/>
    <w:rsid w:val="609E371C"/>
    <w:rsid w:val="60D06179"/>
    <w:rsid w:val="61437C30"/>
    <w:rsid w:val="61826B9A"/>
    <w:rsid w:val="61CF0031"/>
    <w:rsid w:val="6204750B"/>
    <w:rsid w:val="62252774"/>
    <w:rsid w:val="624C78D4"/>
    <w:rsid w:val="62A0552A"/>
    <w:rsid w:val="62E25503"/>
    <w:rsid w:val="6387581F"/>
    <w:rsid w:val="639D1046"/>
    <w:rsid w:val="63A93027"/>
    <w:rsid w:val="63BD210C"/>
    <w:rsid w:val="63BD3EBA"/>
    <w:rsid w:val="643C74D4"/>
    <w:rsid w:val="647E189B"/>
    <w:rsid w:val="64864E2F"/>
    <w:rsid w:val="64BF246C"/>
    <w:rsid w:val="64D70FAB"/>
    <w:rsid w:val="64EF6A30"/>
    <w:rsid w:val="64F51D6D"/>
    <w:rsid w:val="65777B3D"/>
    <w:rsid w:val="65960E66"/>
    <w:rsid w:val="65D5198E"/>
    <w:rsid w:val="65F1760B"/>
    <w:rsid w:val="660A0605"/>
    <w:rsid w:val="663F7218"/>
    <w:rsid w:val="66673DE1"/>
    <w:rsid w:val="666A5926"/>
    <w:rsid w:val="66707909"/>
    <w:rsid w:val="66B34A4C"/>
    <w:rsid w:val="66BB7069"/>
    <w:rsid w:val="66C814F3"/>
    <w:rsid w:val="66D460EA"/>
    <w:rsid w:val="66EF6A80"/>
    <w:rsid w:val="66F45E37"/>
    <w:rsid w:val="67526ADC"/>
    <w:rsid w:val="677764A4"/>
    <w:rsid w:val="67A21D44"/>
    <w:rsid w:val="67F31018"/>
    <w:rsid w:val="68073C59"/>
    <w:rsid w:val="68104F00"/>
    <w:rsid w:val="685A43CD"/>
    <w:rsid w:val="688F1299"/>
    <w:rsid w:val="68AD09A1"/>
    <w:rsid w:val="68D9577D"/>
    <w:rsid w:val="69520BB3"/>
    <w:rsid w:val="69A17E80"/>
    <w:rsid w:val="69DE6A3D"/>
    <w:rsid w:val="6A9242F2"/>
    <w:rsid w:val="6AAB53B4"/>
    <w:rsid w:val="6B2036AC"/>
    <w:rsid w:val="6B39764F"/>
    <w:rsid w:val="6B431148"/>
    <w:rsid w:val="6B82248A"/>
    <w:rsid w:val="6BA71FF7"/>
    <w:rsid w:val="6BDB2AAB"/>
    <w:rsid w:val="6BF11979"/>
    <w:rsid w:val="6C91449F"/>
    <w:rsid w:val="6CB41E0E"/>
    <w:rsid w:val="6CC949B5"/>
    <w:rsid w:val="6CE150BD"/>
    <w:rsid w:val="6CE254B4"/>
    <w:rsid w:val="6D58744D"/>
    <w:rsid w:val="6DD930D6"/>
    <w:rsid w:val="6DE1492D"/>
    <w:rsid w:val="6DE54739"/>
    <w:rsid w:val="6E8517C0"/>
    <w:rsid w:val="6ECF3754"/>
    <w:rsid w:val="6EEA46FD"/>
    <w:rsid w:val="6F2D6397"/>
    <w:rsid w:val="6F4D6A39"/>
    <w:rsid w:val="6F9A5386"/>
    <w:rsid w:val="6FD42F16"/>
    <w:rsid w:val="6FD9146B"/>
    <w:rsid w:val="70074E3A"/>
    <w:rsid w:val="70422653"/>
    <w:rsid w:val="704E2F40"/>
    <w:rsid w:val="705E35FF"/>
    <w:rsid w:val="706C4E27"/>
    <w:rsid w:val="7080699B"/>
    <w:rsid w:val="70CD6084"/>
    <w:rsid w:val="70F80C27"/>
    <w:rsid w:val="7128150C"/>
    <w:rsid w:val="714A76D4"/>
    <w:rsid w:val="71971103"/>
    <w:rsid w:val="720C498A"/>
    <w:rsid w:val="724E6D50"/>
    <w:rsid w:val="7278765C"/>
    <w:rsid w:val="72807126"/>
    <w:rsid w:val="72D02AB7"/>
    <w:rsid w:val="730E64E0"/>
    <w:rsid w:val="73476E09"/>
    <w:rsid w:val="73522870"/>
    <w:rsid w:val="73A62BBC"/>
    <w:rsid w:val="73A73A0A"/>
    <w:rsid w:val="7463285B"/>
    <w:rsid w:val="74C20A5A"/>
    <w:rsid w:val="74E76FE8"/>
    <w:rsid w:val="74FA23AD"/>
    <w:rsid w:val="757552A6"/>
    <w:rsid w:val="75E023B5"/>
    <w:rsid w:val="76425C8F"/>
    <w:rsid w:val="76EB2E75"/>
    <w:rsid w:val="76F97B3F"/>
    <w:rsid w:val="771542E1"/>
    <w:rsid w:val="77521091"/>
    <w:rsid w:val="77562203"/>
    <w:rsid w:val="77626F43"/>
    <w:rsid w:val="777440BB"/>
    <w:rsid w:val="777A05E8"/>
    <w:rsid w:val="77BD24C4"/>
    <w:rsid w:val="77BE04D4"/>
    <w:rsid w:val="77CA6018"/>
    <w:rsid w:val="78462278"/>
    <w:rsid w:val="784A7FBA"/>
    <w:rsid w:val="788F3C1F"/>
    <w:rsid w:val="78B82877"/>
    <w:rsid w:val="791F2D00"/>
    <w:rsid w:val="792A5B24"/>
    <w:rsid w:val="795A5FDB"/>
    <w:rsid w:val="79A6439A"/>
    <w:rsid w:val="79CD67A5"/>
    <w:rsid w:val="7A5A200A"/>
    <w:rsid w:val="7A66061D"/>
    <w:rsid w:val="7A910122"/>
    <w:rsid w:val="7A996FD7"/>
    <w:rsid w:val="7A9B7EA7"/>
    <w:rsid w:val="7AA82373"/>
    <w:rsid w:val="7AF64CB7"/>
    <w:rsid w:val="7B073F40"/>
    <w:rsid w:val="7B1B3E90"/>
    <w:rsid w:val="7BE942E8"/>
    <w:rsid w:val="7C183002"/>
    <w:rsid w:val="7CAC1243"/>
    <w:rsid w:val="7CDB5FF4"/>
    <w:rsid w:val="7D0B583E"/>
    <w:rsid w:val="7D831878"/>
    <w:rsid w:val="7D991979"/>
    <w:rsid w:val="7DD47666"/>
    <w:rsid w:val="7EC87E8B"/>
    <w:rsid w:val="7EE51A9D"/>
    <w:rsid w:val="7F2C0419"/>
    <w:rsid w:val="7F7D0C75"/>
    <w:rsid w:val="7F8A5140"/>
    <w:rsid w:val="7F9F508F"/>
    <w:rsid w:val="7FA206DC"/>
    <w:rsid w:val="7FC7273F"/>
    <w:rsid w:val="7FEC7BA9"/>
    <w:rsid w:val="7FFC251C"/>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qFormat="1"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name="HTML Acronym"/>
    <w:lsdException w:unhideWhenUsed="0" w:uiPriority="0" w:name="HTML Address"/>
    <w:lsdException w:unhideWhenUsed="0" w:uiPriority="0" w:name="HTML Cite"/>
    <w:lsdException w:unhideWhenUsed="0" w:uiPriority="0" w:name="HTML Code"/>
    <w:lsdException w:unhideWhenUsed="0" w:uiPriority="0" w:name="HTML Definition"/>
    <w:lsdException w:unhideWhenUsed="0" w:uiPriority="0" w:name="HTML Keyboard"/>
    <w:lsdException w:qFormat="1" w:unhideWhenUsed="0" w:uiPriority="0" w:name="HTML Preformatted"/>
    <w:lsdException w:unhideWhenUsed="0" w:uiPriority="0" w:name="HTML Sample"/>
    <w:lsdException w:qFormat="1" w:unhideWhenUsed="0" w:uiPriority="0" w:name="HTML Typewriter"/>
    <w:lsdException w:unhideWhenUsed="0" w:uiPriority="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41"/>
    <w:qFormat/>
    <w:uiPriority w:val="0"/>
    <w:pPr>
      <w:widowControl/>
      <w:adjustRightInd w:val="0"/>
      <w:snapToGrid w:val="0"/>
      <w:spacing w:line="360" w:lineRule="auto"/>
      <w:jc w:val="center"/>
      <w:outlineLvl w:val="0"/>
    </w:pPr>
    <w:rPr>
      <w:rFonts w:ascii="黑体"/>
      <w:b/>
      <w:kern w:val="0"/>
      <w:sz w:val="30"/>
      <w:szCs w:val="28"/>
    </w:rPr>
  </w:style>
  <w:style w:type="paragraph" w:styleId="5">
    <w:name w:val="heading 2"/>
    <w:basedOn w:val="1"/>
    <w:next w:val="1"/>
    <w:link w:val="163"/>
    <w:qFormat/>
    <w:uiPriority w:val="0"/>
    <w:pPr>
      <w:keepNext/>
      <w:keepLines/>
      <w:spacing w:line="360" w:lineRule="auto"/>
      <w:outlineLvl w:val="1"/>
    </w:pPr>
    <w:rPr>
      <w:rFonts w:ascii="Arial" w:hAnsi="Arial"/>
      <w:b/>
      <w:bCs/>
      <w:sz w:val="28"/>
      <w:szCs w:val="32"/>
    </w:rPr>
  </w:style>
  <w:style w:type="paragraph" w:styleId="6">
    <w:name w:val="heading 3"/>
    <w:basedOn w:val="1"/>
    <w:next w:val="1"/>
    <w:link w:val="184"/>
    <w:qFormat/>
    <w:uiPriority w:val="0"/>
    <w:pPr>
      <w:keepNext/>
      <w:keepLines/>
      <w:widowControl/>
      <w:spacing w:line="360" w:lineRule="auto"/>
      <w:jc w:val="left"/>
      <w:outlineLvl w:val="2"/>
    </w:pPr>
    <w:rPr>
      <w:b/>
      <w:bCs/>
      <w:sz w:val="24"/>
      <w:szCs w:val="32"/>
    </w:rPr>
  </w:style>
  <w:style w:type="paragraph" w:styleId="7">
    <w:name w:val="heading 4"/>
    <w:basedOn w:val="1"/>
    <w:next w:val="1"/>
    <w:link w:val="154"/>
    <w:qFormat/>
    <w:uiPriority w:val="0"/>
    <w:pPr>
      <w:keepNext/>
      <w:keepLines/>
      <w:widowControl/>
      <w:spacing w:before="280" w:after="290" w:line="376" w:lineRule="auto"/>
      <w:jc w:val="left"/>
      <w:outlineLvl w:val="3"/>
    </w:pPr>
    <w:rPr>
      <w:rFonts w:ascii="Arial" w:hAnsi="Arial" w:eastAsia="黑体"/>
      <w:b/>
      <w:bCs/>
      <w:sz w:val="28"/>
      <w:szCs w:val="28"/>
    </w:rPr>
  </w:style>
  <w:style w:type="paragraph" w:styleId="8">
    <w:name w:val="heading 5"/>
    <w:basedOn w:val="1"/>
    <w:next w:val="1"/>
    <w:link w:val="121"/>
    <w:qFormat/>
    <w:uiPriority w:val="0"/>
    <w:pPr>
      <w:keepNext/>
      <w:keepLines/>
      <w:widowControl/>
      <w:spacing w:before="280" w:after="290" w:line="376" w:lineRule="auto"/>
      <w:jc w:val="left"/>
      <w:outlineLvl w:val="4"/>
    </w:pPr>
    <w:rPr>
      <w:b/>
      <w:bCs/>
      <w:sz w:val="28"/>
      <w:szCs w:val="28"/>
    </w:rPr>
  </w:style>
  <w:style w:type="paragraph" w:styleId="9">
    <w:name w:val="heading 6"/>
    <w:basedOn w:val="1"/>
    <w:next w:val="1"/>
    <w:qFormat/>
    <w:uiPriority w:val="0"/>
    <w:pPr>
      <w:widowControl/>
      <w:spacing w:before="240" w:after="60"/>
      <w:jc w:val="left"/>
      <w:outlineLvl w:val="5"/>
    </w:pPr>
    <w:rPr>
      <w:rFonts w:cs="宋体"/>
      <w:b/>
      <w:bCs/>
      <w:kern w:val="0"/>
      <w:sz w:val="20"/>
      <w:szCs w:val="20"/>
    </w:rPr>
  </w:style>
  <w:style w:type="paragraph" w:styleId="10">
    <w:name w:val="heading 7"/>
    <w:basedOn w:val="1"/>
    <w:next w:val="1"/>
    <w:link w:val="156"/>
    <w:qFormat/>
    <w:uiPriority w:val="0"/>
    <w:pPr>
      <w:widowControl/>
      <w:spacing w:before="240" w:after="60"/>
      <w:jc w:val="left"/>
      <w:outlineLvl w:val="6"/>
    </w:pPr>
    <w:rPr>
      <w:rFonts w:cs="宋体"/>
      <w:kern w:val="0"/>
      <w:sz w:val="24"/>
    </w:rPr>
  </w:style>
  <w:style w:type="paragraph" w:styleId="11">
    <w:name w:val="heading 8"/>
    <w:basedOn w:val="1"/>
    <w:next w:val="1"/>
    <w:link w:val="147"/>
    <w:qFormat/>
    <w:uiPriority w:val="0"/>
    <w:pPr>
      <w:widowControl/>
      <w:spacing w:before="240" w:after="60"/>
      <w:jc w:val="left"/>
      <w:outlineLvl w:val="7"/>
    </w:pPr>
    <w:rPr>
      <w:rFonts w:cs="宋体"/>
      <w:i/>
      <w:iCs/>
      <w:kern w:val="0"/>
      <w:sz w:val="24"/>
    </w:rPr>
  </w:style>
  <w:style w:type="paragraph" w:styleId="12">
    <w:name w:val="heading 9"/>
    <w:basedOn w:val="1"/>
    <w:next w:val="1"/>
    <w:link w:val="153"/>
    <w:qFormat/>
    <w:uiPriority w:val="0"/>
    <w:pPr>
      <w:widowControl/>
      <w:spacing w:before="240" w:after="60"/>
      <w:jc w:val="left"/>
      <w:outlineLvl w:val="8"/>
    </w:pPr>
    <w:rPr>
      <w:rFonts w:ascii="Cambria" w:hAnsi="Cambria" w:cs="宋体"/>
      <w:kern w:val="0"/>
      <w:sz w:val="20"/>
      <w:szCs w:val="20"/>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44"/>
    <w:qFormat/>
    <w:uiPriority w:val="0"/>
    <w:rPr>
      <w:rFonts w:ascii="仿宋_GB2312" w:eastAsia="仿宋_GB2312"/>
      <w:sz w:val="30"/>
    </w:rPr>
  </w:style>
  <w:style w:type="paragraph" w:styleId="3">
    <w:name w:val="macro"/>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toc 7"/>
    <w:basedOn w:val="1"/>
    <w:next w:val="1"/>
    <w:unhideWhenUsed/>
    <w:qFormat/>
    <w:uiPriority w:val="39"/>
    <w:pPr>
      <w:ind w:left="2520" w:leftChars="1200"/>
    </w:pPr>
    <w:rPr>
      <w:szCs w:val="22"/>
    </w:rPr>
  </w:style>
  <w:style w:type="paragraph" w:styleId="14">
    <w:name w:val="Normal Indent"/>
    <w:basedOn w:val="1"/>
    <w:link w:val="161"/>
    <w:qFormat/>
    <w:uiPriority w:val="0"/>
    <w:pPr>
      <w:ind w:firstLine="420" w:firstLineChars="200"/>
    </w:pPr>
    <w:rPr>
      <w:rFonts w:ascii="宋体"/>
      <w:kern w:val="28"/>
      <w:sz w:val="28"/>
    </w:rPr>
  </w:style>
  <w:style w:type="paragraph" w:styleId="15">
    <w:name w:val="caption"/>
    <w:basedOn w:val="1"/>
    <w:next w:val="1"/>
    <w:qFormat/>
    <w:uiPriority w:val="0"/>
    <w:pPr>
      <w:widowControl/>
      <w:spacing w:before="152" w:after="160"/>
      <w:jc w:val="left"/>
    </w:pPr>
    <w:rPr>
      <w:rFonts w:ascii="Arial" w:hAnsi="Arial" w:eastAsia="黑体" w:cs="Arial"/>
      <w:kern w:val="0"/>
      <w:sz w:val="20"/>
      <w:szCs w:val="20"/>
    </w:rPr>
  </w:style>
  <w:style w:type="paragraph" w:styleId="16">
    <w:name w:val="Document Map"/>
    <w:basedOn w:val="1"/>
    <w:qFormat/>
    <w:uiPriority w:val="0"/>
    <w:pPr>
      <w:shd w:val="clear" w:color="auto" w:fill="000080"/>
    </w:pPr>
  </w:style>
  <w:style w:type="paragraph" w:styleId="17">
    <w:name w:val="toa heading"/>
    <w:basedOn w:val="1"/>
    <w:next w:val="1"/>
    <w:qFormat/>
    <w:uiPriority w:val="0"/>
    <w:rPr>
      <w:rFonts w:ascii="Arial" w:hAnsi="Arial"/>
      <w:sz w:val="24"/>
    </w:rPr>
  </w:style>
  <w:style w:type="paragraph" w:styleId="18">
    <w:name w:val="annotation text"/>
    <w:basedOn w:val="1"/>
    <w:link w:val="167"/>
    <w:qFormat/>
    <w:uiPriority w:val="0"/>
    <w:pPr>
      <w:jc w:val="left"/>
    </w:pPr>
  </w:style>
  <w:style w:type="paragraph" w:styleId="19">
    <w:name w:val="Salutation"/>
    <w:basedOn w:val="1"/>
    <w:next w:val="1"/>
    <w:qFormat/>
    <w:uiPriority w:val="0"/>
    <w:rPr>
      <w:sz w:val="24"/>
    </w:rPr>
  </w:style>
  <w:style w:type="paragraph" w:styleId="20">
    <w:name w:val="Body Text 3"/>
    <w:basedOn w:val="1"/>
    <w:link w:val="122"/>
    <w:qFormat/>
    <w:uiPriority w:val="0"/>
    <w:pPr>
      <w:spacing w:after="120"/>
    </w:pPr>
    <w:rPr>
      <w:sz w:val="16"/>
      <w:szCs w:val="16"/>
    </w:rPr>
  </w:style>
  <w:style w:type="paragraph" w:styleId="21">
    <w:name w:val="Body Text Indent"/>
    <w:basedOn w:val="1"/>
    <w:next w:val="22"/>
    <w:link w:val="162"/>
    <w:qFormat/>
    <w:uiPriority w:val="0"/>
    <w:pPr>
      <w:widowControl/>
      <w:adjustRightInd w:val="0"/>
      <w:snapToGrid w:val="0"/>
      <w:spacing w:beforeLines="50" w:line="360" w:lineRule="auto"/>
      <w:ind w:firstLine="560" w:firstLineChars="200"/>
      <w:jc w:val="left"/>
    </w:pPr>
    <w:rPr>
      <w:rFonts w:ascii="宋体" w:hAnsi="宋体"/>
      <w:sz w:val="28"/>
      <w:szCs w:val="28"/>
    </w:rPr>
  </w:style>
  <w:style w:type="paragraph" w:styleId="22">
    <w:name w:val="index heading"/>
    <w:basedOn w:val="1"/>
    <w:next w:val="23"/>
    <w:qFormat/>
    <w:uiPriority w:val="0"/>
    <w:pPr>
      <w:spacing w:before="120" w:after="120"/>
      <w:jc w:val="left"/>
    </w:pPr>
    <w:rPr>
      <w:rFonts w:ascii="Times New Roman" w:hAnsi="Times New Roman"/>
      <w:b/>
      <w:bCs/>
      <w:i/>
      <w:iCs/>
      <w:sz w:val="20"/>
    </w:rPr>
  </w:style>
  <w:style w:type="paragraph" w:styleId="23">
    <w:name w:val="index 1"/>
    <w:basedOn w:val="1"/>
    <w:next w:val="1"/>
    <w:qFormat/>
    <w:uiPriority w:val="0"/>
    <w:pPr>
      <w:ind w:left="240" w:hanging="240"/>
      <w:jc w:val="left"/>
    </w:pPr>
    <w:rPr>
      <w:rFonts w:ascii="Times New Roman" w:hAnsi="Times New Roman"/>
      <w:sz w:val="20"/>
    </w:rPr>
  </w:style>
  <w:style w:type="paragraph" w:styleId="24">
    <w:name w:val="Block Text"/>
    <w:basedOn w:val="1"/>
    <w:unhideWhenUsed/>
    <w:qFormat/>
    <w:uiPriority w:val="99"/>
    <w:pPr>
      <w:widowControl/>
      <w:adjustRightInd w:val="0"/>
      <w:snapToGrid w:val="0"/>
      <w:ind w:left="-57" w:right="-57"/>
      <w:jc w:val="center"/>
    </w:pPr>
    <w:rPr>
      <w:kern w:val="0"/>
      <w:sz w:val="24"/>
      <w:szCs w:val="20"/>
    </w:rPr>
  </w:style>
  <w:style w:type="paragraph" w:styleId="25">
    <w:name w:val="toc 5"/>
    <w:basedOn w:val="1"/>
    <w:next w:val="1"/>
    <w:unhideWhenUsed/>
    <w:qFormat/>
    <w:uiPriority w:val="39"/>
    <w:pPr>
      <w:ind w:left="1680" w:leftChars="800"/>
    </w:pPr>
    <w:rPr>
      <w:szCs w:val="22"/>
    </w:rPr>
  </w:style>
  <w:style w:type="paragraph" w:styleId="26">
    <w:name w:val="toc 3"/>
    <w:basedOn w:val="1"/>
    <w:next w:val="1"/>
    <w:qFormat/>
    <w:uiPriority w:val="39"/>
    <w:pPr>
      <w:widowControl/>
      <w:spacing w:line="360" w:lineRule="auto"/>
      <w:ind w:left="400" w:leftChars="400"/>
      <w:jc w:val="left"/>
    </w:pPr>
  </w:style>
  <w:style w:type="paragraph" w:styleId="27">
    <w:name w:val="Plain Text"/>
    <w:basedOn w:val="1"/>
    <w:link w:val="177"/>
    <w:qFormat/>
    <w:uiPriority w:val="0"/>
    <w:rPr>
      <w:rFonts w:ascii="宋体" w:hAnsi="Courier New"/>
      <w:sz w:val="28"/>
      <w:szCs w:val="20"/>
    </w:rPr>
  </w:style>
  <w:style w:type="paragraph" w:styleId="28">
    <w:name w:val="toc 8"/>
    <w:basedOn w:val="1"/>
    <w:next w:val="1"/>
    <w:unhideWhenUsed/>
    <w:qFormat/>
    <w:uiPriority w:val="39"/>
    <w:pPr>
      <w:ind w:left="2940" w:leftChars="1400"/>
    </w:pPr>
    <w:rPr>
      <w:szCs w:val="22"/>
    </w:rPr>
  </w:style>
  <w:style w:type="paragraph" w:styleId="29">
    <w:name w:val="Date"/>
    <w:basedOn w:val="1"/>
    <w:next w:val="1"/>
    <w:qFormat/>
    <w:uiPriority w:val="0"/>
    <w:pPr>
      <w:widowControl/>
      <w:ind w:left="100" w:leftChars="2500"/>
      <w:jc w:val="left"/>
    </w:pPr>
  </w:style>
  <w:style w:type="paragraph" w:styleId="30">
    <w:name w:val="Body Text Indent 2"/>
    <w:basedOn w:val="1"/>
    <w:link w:val="145"/>
    <w:qFormat/>
    <w:uiPriority w:val="0"/>
    <w:pPr>
      <w:widowControl/>
      <w:spacing w:after="120" w:line="480" w:lineRule="auto"/>
      <w:ind w:left="420" w:leftChars="200"/>
      <w:jc w:val="left"/>
    </w:pPr>
  </w:style>
  <w:style w:type="paragraph" w:styleId="31">
    <w:name w:val="Balloon Text"/>
    <w:basedOn w:val="1"/>
    <w:link w:val="142"/>
    <w:qFormat/>
    <w:uiPriority w:val="99"/>
    <w:pPr>
      <w:widowControl/>
      <w:jc w:val="left"/>
    </w:pPr>
    <w:rPr>
      <w:sz w:val="18"/>
      <w:szCs w:val="18"/>
    </w:rPr>
  </w:style>
  <w:style w:type="paragraph" w:styleId="32">
    <w:name w:val="footer"/>
    <w:basedOn w:val="1"/>
    <w:link w:val="130"/>
    <w:qFormat/>
    <w:uiPriority w:val="0"/>
    <w:pPr>
      <w:tabs>
        <w:tab w:val="center" w:pos="4153"/>
        <w:tab w:val="right" w:pos="8306"/>
      </w:tabs>
      <w:snapToGrid w:val="0"/>
      <w:jc w:val="left"/>
    </w:pPr>
    <w:rPr>
      <w:sz w:val="18"/>
      <w:szCs w:val="18"/>
    </w:rPr>
  </w:style>
  <w:style w:type="paragraph" w:styleId="33">
    <w:name w:val="header"/>
    <w:basedOn w:val="1"/>
    <w:next w:val="2"/>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line="360" w:lineRule="exact"/>
    </w:pPr>
    <w:rPr>
      <w:b/>
    </w:rPr>
  </w:style>
  <w:style w:type="paragraph" w:styleId="35">
    <w:name w:val="toc 4"/>
    <w:basedOn w:val="1"/>
    <w:next w:val="1"/>
    <w:qFormat/>
    <w:uiPriority w:val="39"/>
    <w:pPr>
      <w:ind w:left="1260" w:leftChars="600"/>
    </w:pPr>
  </w:style>
  <w:style w:type="paragraph" w:styleId="36">
    <w:name w:val="Subtitle"/>
    <w:basedOn w:val="1"/>
    <w:next w:val="1"/>
    <w:link w:val="138"/>
    <w:qFormat/>
    <w:uiPriority w:val="0"/>
    <w:pPr>
      <w:widowControl/>
      <w:adjustRightInd w:val="0"/>
      <w:snapToGrid w:val="0"/>
      <w:spacing w:line="360" w:lineRule="auto"/>
      <w:ind w:firstLine="482" w:firstLineChars="200"/>
      <w:outlineLvl w:val="1"/>
    </w:pPr>
    <w:rPr>
      <w:rFonts w:ascii="宋体" w:hAnsi="宋体"/>
      <w:b/>
      <w:kern w:val="0"/>
      <w:sz w:val="24"/>
    </w:rPr>
  </w:style>
  <w:style w:type="paragraph" w:styleId="37">
    <w:name w:val="List"/>
    <w:basedOn w:val="1"/>
    <w:next w:val="1"/>
    <w:unhideWhenUsed/>
    <w:qFormat/>
    <w:uiPriority w:val="99"/>
    <w:pPr>
      <w:ind w:left="420" w:hanging="420"/>
    </w:pPr>
  </w:style>
  <w:style w:type="paragraph" w:styleId="38">
    <w:name w:val="toc 6"/>
    <w:basedOn w:val="1"/>
    <w:next w:val="1"/>
    <w:unhideWhenUsed/>
    <w:qFormat/>
    <w:uiPriority w:val="39"/>
    <w:pPr>
      <w:ind w:left="2100" w:leftChars="1000"/>
    </w:pPr>
    <w:rPr>
      <w:szCs w:val="22"/>
    </w:rPr>
  </w:style>
  <w:style w:type="paragraph" w:styleId="39">
    <w:name w:val="Body Text Indent 3"/>
    <w:basedOn w:val="1"/>
    <w:qFormat/>
    <w:uiPriority w:val="0"/>
    <w:pPr>
      <w:spacing w:line="560" w:lineRule="exact"/>
      <w:ind w:firstLine="630" w:firstLineChars="225"/>
    </w:pPr>
    <w:rPr>
      <w:rFonts w:ascii="宋体" w:hAnsi="宋体"/>
      <w:sz w:val="28"/>
    </w:rPr>
  </w:style>
  <w:style w:type="paragraph" w:styleId="40">
    <w:name w:val="table of figures"/>
    <w:basedOn w:val="1"/>
    <w:next w:val="1"/>
    <w:qFormat/>
    <w:uiPriority w:val="0"/>
    <w:pPr>
      <w:ind w:left="200" w:leftChars="200" w:hanging="200" w:hangingChars="200"/>
    </w:pPr>
  </w:style>
  <w:style w:type="paragraph" w:styleId="41">
    <w:name w:val="toc 2"/>
    <w:basedOn w:val="1"/>
    <w:next w:val="1"/>
    <w:qFormat/>
    <w:uiPriority w:val="39"/>
    <w:pPr>
      <w:spacing w:line="360" w:lineRule="auto"/>
      <w:ind w:left="200" w:leftChars="200"/>
    </w:pPr>
  </w:style>
  <w:style w:type="paragraph" w:styleId="42">
    <w:name w:val="toc 9"/>
    <w:basedOn w:val="1"/>
    <w:next w:val="1"/>
    <w:unhideWhenUsed/>
    <w:qFormat/>
    <w:uiPriority w:val="39"/>
    <w:pPr>
      <w:ind w:left="3360" w:leftChars="1600"/>
    </w:pPr>
    <w:rPr>
      <w:szCs w:val="22"/>
    </w:rPr>
  </w:style>
  <w:style w:type="paragraph" w:styleId="43">
    <w:name w:val="Body Text 2"/>
    <w:basedOn w:val="1"/>
    <w:qFormat/>
    <w:uiPriority w:val="0"/>
    <w:pPr>
      <w:spacing w:after="120" w:line="480" w:lineRule="auto"/>
    </w:pPr>
  </w:style>
  <w:style w:type="paragraph" w:styleId="44">
    <w:name w:val="HTML Preformatted"/>
    <w:basedOn w:val="1"/>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5">
    <w:name w:val="Normal (Web)"/>
    <w:basedOn w:val="1"/>
    <w:link w:val="165"/>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46">
    <w:name w:val="Title"/>
    <w:basedOn w:val="1"/>
    <w:next w:val="1"/>
    <w:link w:val="159"/>
    <w:qFormat/>
    <w:uiPriority w:val="0"/>
    <w:pPr>
      <w:widowControl/>
      <w:spacing w:before="240" w:after="60"/>
      <w:jc w:val="center"/>
      <w:outlineLvl w:val="0"/>
    </w:pPr>
    <w:rPr>
      <w:rFonts w:ascii="Cambria" w:hAnsi="Cambria"/>
      <w:b/>
      <w:bCs/>
      <w:sz w:val="32"/>
      <w:szCs w:val="32"/>
    </w:rPr>
  </w:style>
  <w:style w:type="paragraph" w:styleId="47">
    <w:name w:val="annotation subject"/>
    <w:basedOn w:val="18"/>
    <w:next w:val="18"/>
    <w:qFormat/>
    <w:uiPriority w:val="0"/>
    <w:rPr>
      <w:b/>
      <w:bCs/>
    </w:rPr>
  </w:style>
  <w:style w:type="paragraph" w:styleId="48">
    <w:name w:val="Body Text First Indent"/>
    <w:basedOn w:val="2"/>
    <w:link w:val="123"/>
    <w:qFormat/>
    <w:uiPriority w:val="0"/>
    <w:pPr>
      <w:spacing w:after="120"/>
      <w:ind w:firstLine="420" w:firstLineChars="100"/>
    </w:pPr>
    <w:rPr>
      <w:sz w:val="21"/>
    </w:rPr>
  </w:style>
  <w:style w:type="paragraph" w:styleId="49">
    <w:name w:val="Body Text First Indent 2"/>
    <w:basedOn w:val="21"/>
    <w:next w:val="2"/>
    <w:qFormat/>
    <w:uiPriority w:val="0"/>
    <w:pPr>
      <w:widowControl w:val="0"/>
      <w:spacing w:after="120" w:line="240" w:lineRule="auto"/>
      <w:ind w:left="420" w:leftChars="200" w:firstLine="420"/>
      <w:jc w:val="both"/>
    </w:pPr>
    <w:rPr>
      <w:sz w:val="21"/>
      <w:szCs w:val="24"/>
    </w:rPr>
  </w:style>
  <w:style w:type="table" w:styleId="51">
    <w:name w:val="Table Grid"/>
    <w:basedOn w:val="5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0"/>
    <w:rPr>
      <w:b/>
      <w:bCs/>
    </w:rPr>
  </w:style>
  <w:style w:type="character" w:styleId="54">
    <w:name w:val="page number"/>
    <w:basedOn w:val="52"/>
    <w:qFormat/>
    <w:uiPriority w:val="0"/>
  </w:style>
  <w:style w:type="character" w:styleId="55">
    <w:name w:val="FollowedHyperlink"/>
    <w:qFormat/>
    <w:uiPriority w:val="0"/>
    <w:rPr>
      <w:color w:val="606420"/>
      <w:u w:val="single"/>
    </w:rPr>
  </w:style>
  <w:style w:type="character" w:styleId="56">
    <w:name w:val="Emphasis"/>
    <w:qFormat/>
    <w:uiPriority w:val="0"/>
    <w:rPr>
      <w:rFonts w:ascii="Calibri" w:hAnsi="Calibri"/>
      <w:b/>
      <w:i/>
      <w:iCs/>
    </w:rPr>
  </w:style>
  <w:style w:type="character" w:styleId="57">
    <w:name w:val="HTML Typewriter"/>
    <w:semiHidden/>
    <w:qFormat/>
    <w:uiPriority w:val="0"/>
    <w:rPr>
      <w:rFonts w:ascii="宋体" w:hAnsi="宋体" w:eastAsia="宋体" w:cs="宋体"/>
      <w:sz w:val="24"/>
      <w:szCs w:val="24"/>
    </w:rPr>
  </w:style>
  <w:style w:type="character" w:styleId="58">
    <w:name w:val="Hyperlink"/>
    <w:basedOn w:val="52"/>
    <w:qFormat/>
    <w:uiPriority w:val="99"/>
    <w:rPr>
      <w:color w:val="000000"/>
      <w:u w:val="none"/>
    </w:rPr>
  </w:style>
  <w:style w:type="character" w:styleId="59">
    <w:name w:val="annotation reference"/>
    <w:qFormat/>
    <w:uiPriority w:val="99"/>
    <w:rPr>
      <w:sz w:val="21"/>
      <w:szCs w:val="21"/>
    </w:rPr>
  </w:style>
  <w:style w:type="paragraph" w:customStyle="1" w:styleId="60">
    <w:name w:val="章标题"/>
    <w:next w:val="61"/>
    <w:qFormat/>
    <w:uiPriority w:val="0"/>
    <w:pPr>
      <w:tabs>
        <w:tab w:val="left" w:pos="360"/>
      </w:tabs>
      <w:spacing w:beforeLines="50" w:afterLines="50"/>
      <w:ind w:left="840"/>
      <w:jc w:val="both"/>
      <w:outlineLvl w:val="1"/>
    </w:pPr>
    <w:rPr>
      <w:rFonts w:ascii="黑体" w:hAnsi="Calibri" w:eastAsia="黑体" w:cs="Times New Roman"/>
      <w:sz w:val="21"/>
      <w:lang w:val="en-US" w:eastAsia="zh-CN" w:bidi="ar-SA"/>
    </w:rPr>
  </w:style>
  <w:style w:type="paragraph" w:customStyle="1" w:styleId="61">
    <w:name w:val="节标题"/>
    <w:basedOn w:val="1"/>
    <w:next w:val="1"/>
    <w:qFormat/>
    <w:uiPriority w:val="0"/>
    <w:pPr>
      <w:widowControl/>
      <w:spacing w:line="289" w:lineRule="atLeast"/>
      <w:jc w:val="center"/>
      <w:textAlignment w:val="baseline"/>
    </w:pPr>
    <w:rPr>
      <w:color w:val="000000"/>
      <w:kern w:val="0"/>
      <w:sz w:val="28"/>
      <w:szCs w:val="20"/>
      <w:u w:val="none" w:color="000000"/>
    </w:rPr>
  </w:style>
  <w:style w:type="paragraph" w:customStyle="1" w:styleId="62">
    <w:name w:val="Default"/>
    <w:semiHidden/>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63">
    <w:name w:val="Char Char Char Char Char Char Char Char Char Char Char"/>
    <w:basedOn w:val="1"/>
    <w:semiHidden/>
    <w:qFormat/>
    <w:uiPriority w:val="0"/>
    <w:rPr>
      <w:szCs w:val="20"/>
    </w:rPr>
  </w:style>
  <w:style w:type="paragraph" w:customStyle="1" w:styleId="64">
    <w:name w:val="reader-word-layer"/>
    <w:basedOn w:val="1"/>
    <w:semiHidden/>
    <w:qFormat/>
    <w:uiPriority w:val="0"/>
    <w:pPr>
      <w:widowControl/>
      <w:spacing w:before="100" w:beforeAutospacing="1" w:after="100" w:afterAutospacing="1"/>
      <w:jc w:val="left"/>
    </w:pPr>
    <w:rPr>
      <w:rFonts w:ascii="宋体" w:hAnsi="宋体" w:cs="宋体"/>
      <w:kern w:val="0"/>
      <w:sz w:val="24"/>
    </w:rPr>
  </w:style>
  <w:style w:type="paragraph" w:customStyle="1" w:styleId="65">
    <w:name w:val="Char Char Char Char"/>
    <w:basedOn w:val="1"/>
    <w:next w:val="3"/>
    <w:semiHidden/>
    <w:qFormat/>
    <w:uiPriority w:val="0"/>
    <w:rPr>
      <w:sz w:val="28"/>
      <w:szCs w:val="28"/>
    </w:rPr>
  </w:style>
  <w:style w:type="paragraph" w:customStyle="1" w:styleId="66">
    <w:name w:val="郭表格标题"/>
    <w:basedOn w:val="1"/>
    <w:link w:val="135"/>
    <w:qFormat/>
    <w:uiPriority w:val="0"/>
    <w:pPr>
      <w:spacing w:line="360" w:lineRule="auto"/>
      <w:jc w:val="center"/>
    </w:pPr>
    <w:rPr>
      <w:b/>
      <w:szCs w:val="21"/>
    </w:rPr>
  </w:style>
  <w:style w:type="paragraph" w:customStyle="1" w:styleId="67">
    <w:name w:val="首行缩进2个字符"/>
    <w:basedOn w:val="1"/>
    <w:qFormat/>
    <w:uiPriority w:val="0"/>
    <w:pPr>
      <w:widowControl/>
      <w:spacing w:line="360" w:lineRule="auto"/>
      <w:ind w:firstLine="200" w:firstLineChars="200"/>
      <w:jc w:val="left"/>
    </w:pPr>
    <w:rPr>
      <w:rFonts w:ascii="宋体"/>
      <w:kern w:val="28"/>
      <w:sz w:val="28"/>
      <w:szCs w:val="28"/>
    </w:rPr>
  </w:style>
  <w:style w:type="paragraph" w:customStyle="1" w:styleId="68">
    <w:name w:val="BIG BOLD"/>
    <w:basedOn w:val="1"/>
    <w:semiHidden/>
    <w:qFormat/>
    <w:uiPriority w:val="0"/>
    <w:pPr>
      <w:tabs>
        <w:tab w:val="left" w:leader="underscore" w:pos="1134"/>
      </w:tabs>
    </w:pPr>
    <w:rPr>
      <w:szCs w:val="20"/>
    </w:rPr>
  </w:style>
  <w:style w:type="paragraph" w:customStyle="1" w:styleId="69">
    <w:name w:val="內文1"/>
    <w:basedOn w:val="1"/>
    <w:qFormat/>
    <w:uiPriority w:val="0"/>
    <w:pPr>
      <w:adjustRightInd w:val="0"/>
      <w:spacing w:before="40" w:after="40" w:line="320" w:lineRule="atLeast"/>
      <w:jc w:val="center"/>
      <w:textAlignment w:val="baseline"/>
    </w:pPr>
    <w:rPr>
      <w:rFonts w:eastAsia="華康中楷體"/>
      <w:kern w:val="0"/>
      <w:sz w:val="28"/>
      <w:szCs w:val="20"/>
      <w:lang w:eastAsia="zh-TW"/>
    </w:rPr>
  </w:style>
  <w:style w:type="paragraph" w:customStyle="1" w:styleId="7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71">
    <w:name w:val="样式 正文+首行缩进 Para Char Char Char Char"/>
    <w:basedOn w:val="1"/>
    <w:next w:val="1"/>
    <w:qFormat/>
    <w:uiPriority w:val="0"/>
    <w:pPr>
      <w:spacing w:before="150" w:after="50" w:line="360" w:lineRule="auto"/>
    </w:pPr>
    <w:rPr>
      <w:rFonts w:cs="AdobeHeitiStd-Regular"/>
      <w:kern w:val="0"/>
      <w:sz w:val="28"/>
      <w:szCs w:val="32"/>
    </w:rPr>
  </w:style>
  <w:style w:type="paragraph" w:customStyle="1" w:styleId="72">
    <w:name w:val="默认段落字体 Para Char Char Char Char"/>
    <w:basedOn w:val="1"/>
    <w:qFormat/>
    <w:uiPriority w:val="0"/>
    <w:pPr>
      <w:widowControl/>
      <w:jc w:val="left"/>
    </w:pPr>
  </w:style>
  <w:style w:type="paragraph" w:customStyle="1" w:styleId="73">
    <w:name w:val="默认段落字体 Para Char Char Char Char Char Char Char Char Char1 Char Char Char Char Char Char Char"/>
    <w:basedOn w:val="16"/>
    <w:qFormat/>
    <w:uiPriority w:val="0"/>
    <w:rPr>
      <w:rFonts w:ascii="Tahoma" w:hAnsi="Tahoma" w:cs="Tahoma"/>
      <w:sz w:val="28"/>
    </w:rPr>
  </w:style>
  <w:style w:type="paragraph" w:customStyle="1" w:styleId="74">
    <w:name w:val="Char1"/>
    <w:basedOn w:val="1"/>
    <w:semiHidden/>
    <w:qFormat/>
    <w:uiPriority w:val="0"/>
    <w:rPr>
      <w:sz w:val="24"/>
    </w:rPr>
  </w:style>
  <w:style w:type="paragraph" w:customStyle="1" w:styleId="75">
    <w:name w:val="正文缩2"/>
    <w:basedOn w:val="1"/>
    <w:link w:val="186"/>
    <w:qFormat/>
    <w:uiPriority w:val="0"/>
    <w:pPr>
      <w:widowControl/>
      <w:spacing w:line="360" w:lineRule="auto"/>
      <w:ind w:firstLine="560" w:firstLineChars="200"/>
      <w:jc w:val="left"/>
    </w:pPr>
    <w:rPr>
      <w:sz w:val="28"/>
      <w:szCs w:val="20"/>
    </w:rPr>
  </w:style>
  <w:style w:type="paragraph" w:customStyle="1" w:styleId="76">
    <w:name w:val="_Style 107"/>
    <w:basedOn w:val="1"/>
    <w:semiHidden/>
    <w:qFormat/>
    <w:uiPriority w:val="0"/>
    <w:pPr>
      <w:snapToGrid w:val="0"/>
      <w:spacing w:line="360" w:lineRule="auto"/>
    </w:pPr>
  </w:style>
  <w:style w:type="paragraph" w:customStyle="1" w:styleId="77">
    <w:name w:val="Char Char Char1 Char Char Char Char"/>
    <w:basedOn w:val="1"/>
    <w:semiHidden/>
    <w:qFormat/>
    <w:uiPriority w:val="0"/>
    <w:pPr>
      <w:widowControl/>
      <w:spacing w:after="160" w:line="240" w:lineRule="exact"/>
      <w:jc w:val="left"/>
    </w:pPr>
    <w:rPr>
      <w:rFonts w:ascii="Verdana" w:hAnsi="Verdana" w:cs="Verdana"/>
      <w:kern w:val="0"/>
      <w:sz w:val="20"/>
      <w:szCs w:val="20"/>
      <w:lang w:eastAsia="en-US"/>
    </w:rPr>
  </w:style>
  <w:style w:type="paragraph" w:customStyle="1" w:styleId="78">
    <w:name w:val="Char2"/>
    <w:basedOn w:val="1"/>
    <w:semiHidden/>
    <w:qFormat/>
    <w:uiPriority w:val="0"/>
    <w:pPr>
      <w:numPr>
        <w:ilvl w:val="0"/>
        <w:numId w:val="1"/>
      </w:numPr>
      <w:tabs>
        <w:tab w:val="left" w:pos="920"/>
      </w:tabs>
      <w:ind w:firstLine="0"/>
    </w:pPr>
    <w:rPr>
      <w:szCs w:val="20"/>
    </w:rPr>
  </w:style>
  <w:style w:type="paragraph" w:customStyle="1" w:styleId="79">
    <w:name w:val="前言、引言标题"/>
    <w:next w:val="1"/>
    <w:qFormat/>
    <w:uiPriority w:val="0"/>
    <w:pPr>
      <w:shd w:val="clear" w:color="FFFFFF" w:fill="FFFFFF"/>
      <w:tabs>
        <w:tab w:val="left" w:pos="360"/>
      </w:tabs>
      <w:spacing w:before="640" w:after="560"/>
      <w:jc w:val="center"/>
      <w:outlineLvl w:val="0"/>
    </w:pPr>
    <w:rPr>
      <w:rFonts w:ascii="黑体" w:hAnsi="Calibri" w:eastAsia="黑体" w:cs="Times New Roman"/>
      <w:sz w:val="32"/>
      <w:lang w:val="en-US" w:eastAsia="zh-CN" w:bidi="ar-SA"/>
    </w:rPr>
  </w:style>
  <w:style w:type="paragraph" w:customStyle="1" w:styleId="80">
    <w:name w:val="Char"/>
    <w:basedOn w:val="1"/>
    <w:semiHidden/>
    <w:qFormat/>
    <w:uiPriority w:val="0"/>
    <w:pPr>
      <w:ind w:firstLine="200" w:firstLineChars="200"/>
    </w:pPr>
    <w:rPr>
      <w:sz w:val="28"/>
      <w:szCs w:val="28"/>
    </w:rPr>
  </w:style>
  <w:style w:type="paragraph" w:customStyle="1" w:styleId="81">
    <w:name w:val="Char Char Char Char1"/>
    <w:basedOn w:val="1"/>
    <w:semiHidden/>
    <w:qFormat/>
    <w:uiPriority w:val="0"/>
    <w:pPr>
      <w:widowControl/>
      <w:adjustRightInd w:val="0"/>
      <w:spacing w:after="160" w:line="240" w:lineRule="exact"/>
      <w:jc w:val="left"/>
      <w:textAlignment w:val="baseline"/>
    </w:pPr>
    <w:rPr>
      <w:rFonts w:ascii="Arial" w:hAnsi="Arial" w:eastAsia="Times New Roman" w:cs="Verdana"/>
      <w:b/>
      <w:kern w:val="0"/>
      <w:sz w:val="24"/>
      <w:lang w:eastAsia="en-US"/>
    </w:rPr>
  </w:style>
  <w:style w:type="paragraph" w:customStyle="1" w:styleId="82">
    <w:name w:val="scoring"/>
    <w:basedOn w:val="1"/>
    <w:semiHidden/>
    <w:qFormat/>
    <w:uiPriority w:val="0"/>
    <w:pPr>
      <w:widowControl/>
      <w:ind w:left="1267" w:right="2520" w:hanging="979"/>
      <w:jc w:val="left"/>
    </w:pPr>
    <w:rPr>
      <w:rFonts w:ascii="Univers Condensed" w:hAnsi="Univers Condensed" w:eastAsia="Times New Roman"/>
      <w:b/>
      <w:kern w:val="0"/>
      <w:sz w:val="20"/>
      <w:szCs w:val="20"/>
      <w:lang w:val="en-GB" w:eastAsia="en-US"/>
    </w:rPr>
  </w:style>
  <w:style w:type="paragraph" w:customStyle="1" w:styleId="83">
    <w:name w:val="样式2"/>
    <w:basedOn w:val="1"/>
    <w:link w:val="137"/>
    <w:qFormat/>
    <w:uiPriority w:val="0"/>
    <w:pPr>
      <w:spacing w:line="288" w:lineRule="auto"/>
      <w:ind w:firstLine="420" w:firstLineChars="200"/>
    </w:pPr>
    <w:rPr>
      <w:rFonts w:ascii="方正书宋简体" w:eastAsia="方正书宋简体"/>
      <w:szCs w:val="21"/>
      <w:lang w:val="zh-CN"/>
    </w:rPr>
  </w:style>
  <w:style w:type="paragraph" w:customStyle="1" w:styleId="84">
    <w:name w:val="xl30"/>
    <w:basedOn w:val="1"/>
    <w:semiHidden/>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85">
    <w:name w:val="安评小4表格正文左对齐"/>
    <w:qFormat/>
    <w:uiPriority w:val="0"/>
    <w:pPr>
      <w:widowControl w:val="0"/>
      <w:adjustRightInd w:val="0"/>
      <w:snapToGrid w:val="0"/>
      <w:spacing w:line="440" w:lineRule="exact"/>
    </w:pPr>
    <w:rPr>
      <w:rFonts w:ascii="Calibri" w:hAnsi="Calibri" w:eastAsia="宋体" w:cs="宋体"/>
      <w:snapToGrid w:val="0"/>
      <w:sz w:val="24"/>
      <w:szCs w:val="24"/>
      <w:lang w:val="en-US" w:eastAsia="zh-CN" w:bidi="ar-SA"/>
    </w:rPr>
  </w:style>
  <w:style w:type="paragraph" w:customStyle="1" w:styleId="86">
    <w:name w:val="三级条标题"/>
    <w:basedOn w:val="87"/>
    <w:next w:val="1"/>
    <w:qFormat/>
    <w:uiPriority w:val="0"/>
    <w:pPr>
      <w:tabs>
        <w:tab w:val="left" w:pos="360"/>
      </w:tabs>
      <w:ind w:left="840"/>
      <w:outlineLvl w:val="4"/>
    </w:pPr>
  </w:style>
  <w:style w:type="paragraph" w:customStyle="1" w:styleId="87">
    <w:name w:val="二级条标题"/>
    <w:basedOn w:val="88"/>
    <w:next w:val="1"/>
    <w:qFormat/>
    <w:uiPriority w:val="0"/>
    <w:pPr>
      <w:tabs>
        <w:tab w:val="left" w:pos="360"/>
      </w:tabs>
      <w:ind w:left="735"/>
      <w:outlineLvl w:val="3"/>
    </w:pPr>
  </w:style>
  <w:style w:type="paragraph" w:customStyle="1" w:styleId="88">
    <w:name w:val="一级条标题"/>
    <w:basedOn w:val="60"/>
    <w:next w:val="1"/>
    <w:qFormat/>
    <w:uiPriority w:val="0"/>
    <w:pPr>
      <w:spacing w:beforeLines="0" w:afterLines="0"/>
      <w:ind w:left="525"/>
      <w:outlineLvl w:val="2"/>
    </w:pPr>
  </w:style>
  <w:style w:type="paragraph" w:customStyle="1" w:styleId="89">
    <w:name w:val="段落编号"/>
    <w:basedOn w:val="30"/>
    <w:qFormat/>
    <w:uiPriority w:val="0"/>
    <w:pPr>
      <w:widowControl w:val="0"/>
      <w:numPr>
        <w:ilvl w:val="0"/>
        <w:numId w:val="2"/>
      </w:numPr>
      <w:adjustRightInd w:val="0"/>
      <w:spacing w:before="60" w:after="60" w:line="500" w:lineRule="exact"/>
      <w:ind w:left="0" w:leftChars="0"/>
      <w:jc w:val="both"/>
      <w:textAlignment w:val="baseline"/>
    </w:pPr>
    <w:rPr>
      <w:spacing w:val="6"/>
      <w:kern w:val="0"/>
      <w:sz w:val="28"/>
      <w:szCs w:val="20"/>
    </w:rPr>
  </w:style>
  <w:style w:type="paragraph" w:customStyle="1" w:styleId="90">
    <w:name w:val="2"/>
    <w:basedOn w:val="1"/>
    <w:semiHidden/>
    <w:qFormat/>
    <w:uiPriority w:val="0"/>
    <w:pPr>
      <w:tabs>
        <w:tab w:val="left" w:pos="540"/>
      </w:tabs>
      <w:spacing w:line="440" w:lineRule="exact"/>
    </w:pPr>
    <w:rPr>
      <w:kern w:val="0"/>
      <w:szCs w:val="32"/>
    </w:rPr>
  </w:style>
  <w:style w:type="paragraph" w:customStyle="1" w:styleId="91">
    <w:name w:val="样式4"/>
    <w:basedOn w:val="40"/>
    <w:qFormat/>
    <w:uiPriority w:val="0"/>
    <w:pPr>
      <w:spacing w:line="360" w:lineRule="auto"/>
      <w:ind w:left="0" w:leftChars="0" w:firstLine="0" w:firstLineChars="0"/>
      <w:jc w:val="center"/>
    </w:pPr>
  </w:style>
  <w:style w:type="paragraph" w:customStyle="1" w:styleId="92">
    <w:name w:val="四级条标题"/>
    <w:basedOn w:val="86"/>
    <w:next w:val="1"/>
    <w:qFormat/>
    <w:uiPriority w:val="0"/>
    <w:pPr>
      <w:ind w:left="0"/>
      <w:outlineLvl w:val="5"/>
    </w:pPr>
  </w:style>
  <w:style w:type="paragraph" w:customStyle="1" w:styleId="93">
    <w:name w:val="Char Char Char Char Char Char"/>
    <w:basedOn w:val="1"/>
    <w:next w:val="3"/>
    <w:semiHidden/>
    <w:qFormat/>
    <w:uiPriority w:val="0"/>
    <w:rPr>
      <w:sz w:val="28"/>
      <w:szCs w:val="28"/>
    </w:rPr>
  </w:style>
  <w:style w:type="paragraph" w:customStyle="1" w:styleId="94">
    <w:name w:val="纯文本2"/>
    <w:basedOn w:val="1"/>
    <w:qFormat/>
    <w:uiPriority w:val="0"/>
    <w:pPr>
      <w:adjustRightInd w:val="0"/>
      <w:textAlignment w:val="baseline"/>
    </w:pPr>
    <w:rPr>
      <w:rFonts w:ascii="宋体" w:hAnsi="Courier New"/>
      <w:szCs w:val="20"/>
    </w:rPr>
  </w:style>
  <w:style w:type="paragraph" w:customStyle="1" w:styleId="95">
    <w:name w:val="缩进正文"/>
    <w:basedOn w:val="21"/>
    <w:qFormat/>
    <w:uiPriority w:val="0"/>
    <w:pPr>
      <w:spacing w:beforeLines="0" w:line="300" w:lineRule="auto"/>
      <w:ind w:firstLine="200" w:firstLineChars="0"/>
    </w:pPr>
    <w:rPr>
      <w:rFonts w:hAnsi="Times New Roman" w:cs="宋体"/>
      <w:kern w:val="0"/>
      <w:szCs w:val="20"/>
    </w:rPr>
  </w:style>
  <w:style w:type="paragraph" w:customStyle="1" w:styleId="96">
    <w:name w:val="_Style 94"/>
    <w:basedOn w:val="4"/>
    <w:next w:val="1"/>
    <w:semiHidden/>
    <w:qFormat/>
    <w:uiPriority w:val="39"/>
    <w:pPr>
      <w:keepNext/>
      <w:keepLines/>
      <w:adjustRightInd/>
      <w:snapToGrid/>
      <w:spacing w:before="240" w:line="259" w:lineRule="auto"/>
      <w:jc w:val="left"/>
      <w:outlineLvl w:val="9"/>
    </w:pPr>
    <w:rPr>
      <w:rFonts w:ascii="Calibri Light" w:hAnsi="Calibri Light"/>
      <w:b w:val="0"/>
      <w:color w:val="2E74B5"/>
      <w:sz w:val="32"/>
      <w:szCs w:val="32"/>
    </w:rPr>
  </w:style>
  <w:style w:type="paragraph" w:customStyle="1" w:styleId="97">
    <w:name w:val="标题3"/>
    <w:basedOn w:val="6"/>
    <w:qFormat/>
    <w:uiPriority w:val="0"/>
    <w:pPr>
      <w:keepNext w:val="0"/>
      <w:keepLines w:val="0"/>
      <w:widowControl w:val="0"/>
      <w:spacing w:beforeLines="50" w:line="300" w:lineRule="auto"/>
      <w:ind w:firstLine="656" w:firstLineChars="200"/>
      <w:jc w:val="both"/>
      <w:outlineLvl w:val="9"/>
    </w:pPr>
    <w:rPr>
      <w:rFonts w:ascii="宋体"/>
      <w:b w:val="0"/>
      <w:bCs w:val="0"/>
      <w:spacing w:val="24"/>
      <w:sz w:val="28"/>
      <w:szCs w:val="20"/>
    </w:rPr>
  </w:style>
  <w:style w:type="paragraph" w:customStyle="1" w:styleId="98">
    <w:name w:val="列出段落1"/>
    <w:basedOn w:val="1"/>
    <w:qFormat/>
    <w:uiPriority w:val="0"/>
    <w:pPr>
      <w:ind w:firstLine="420" w:firstLineChars="200"/>
    </w:pPr>
    <w:rPr>
      <w:szCs w:val="21"/>
    </w:rPr>
  </w:style>
  <w:style w:type="paragraph" w:customStyle="1" w:styleId="99">
    <w:name w:val="Char Char Char Char Char Char Char Char Char"/>
    <w:basedOn w:val="1"/>
    <w:next w:val="3"/>
    <w:semiHidden/>
    <w:qFormat/>
    <w:uiPriority w:val="0"/>
    <w:rPr>
      <w:sz w:val="28"/>
      <w:szCs w:val="28"/>
    </w:rPr>
  </w:style>
  <w:style w:type="paragraph" w:customStyle="1" w:styleId="100">
    <w:name w:val="郭表格"/>
    <w:basedOn w:val="1"/>
    <w:link w:val="133"/>
    <w:qFormat/>
    <w:uiPriority w:val="0"/>
    <w:pPr>
      <w:jc w:val="center"/>
    </w:pPr>
    <w:rPr>
      <w:kern w:val="0"/>
      <w:szCs w:val="21"/>
    </w:rPr>
  </w:style>
  <w:style w:type="paragraph" w:customStyle="1" w:styleId="101">
    <w:name w:val="4"/>
    <w:basedOn w:val="1"/>
    <w:semiHidden/>
    <w:qFormat/>
    <w:uiPriority w:val="0"/>
    <w:pPr>
      <w:spacing w:line="360" w:lineRule="auto"/>
      <w:ind w:firstLine="200" w:firstLineChars="200"/>
    </w:pPr>
  </w:style>
  <w:style w:type="paragraph" w:customStyle="1" w:styleId="102">
    <w:name w:val="表格"/>
    <w:basedOn w:val="1"/>
    <w:link w:val="170"/>
    <w:qFormat/>
    <w:uiPriority w:val="0"/>
    <w:pPr>
      <w:spacing w:before="50" w:after="50"/>
      <w:jc w:val="center"/>
    </w:pPr>
    <w:rPr>
      <w:rFonts w:ascii="宋体"/>
      <w:szCs w:val="20"/>
    </w:rPr>
  </w:style>
  <w:style w:type="paragraph" w:customStyle="1" w:styleId="103">
    <w:name w:val="正文自己"/>
    <w:basedOn w:val="1"/>
    <w:qFormat/>
    <w:uiPriority w:val="0"/>
    <w:pPr>
      <w:spacing w:line="560" w:lineRule="exact"/>
      <w:ind w:firstLine="629"/>
    </w:pPr>
    <w:rPr>
      <w:bCs/>
      <w:sz w:val="28"/>
    </w:rPr>
  </w:style>
  <w:style w:type="paragraph" w:customStyle="1" w:styleId="104">
    <w:name w:val="样式 标题 2"/>
    <w:basedOn w:val="5"/>
    <w:link w:val="125"/>
    <w:qFormat/>
    <w:uiPriority w:val="0"/>
    <w:pPr>
      <w:spacing w:line="480" w:lineRule="auto"/>
      <w:jc w:val="center"/>
    </w:pPr>
    <w:rPr>
      <w:rFonts w:eastAsia="楷体_GB2312"/>
      <w:kern w:val="32"/>
      <w:sz w:val="32"/>
      <w:szCs w:val="20"/>
    </w:rPr>
  </w:style>
  <w:style w:type="paragraph" w:customStyle="1" w:styleId="105">
    <w:name w:val="xl34"/>
    <w:basedOn w:val="1"/>
    <w:semiHidden/>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106">
    <w:name w:val="char"/>
    <w:basedOn w:val="1"/>
    <w:semiHidden/>
    <w:qFormat/>
    <w:uiPriority w:val="0"/>
    <w:pPr>
      <w:widowControl/>
      <w:spacing w:after="160"/>
      <w:jc w:val="left"/>
    </w:pPr>
  </w:style>
  <w:style w:type="paragraph" w:customStyle="1" w:styleId="107">
    <w:name w:val="Char7"/>
    <w:basedOn w:val="1"/>
    <w:semiHidden/>
    <w:qFormat/>
    <w:uiPriority w:val="0"/>
  </w:style>
  <w:style w:type="paragraph" w:customStyle="1" w:styleId="108">
    <w:name w:val="Char Char Char Char Char Char Char Char Char1"/>
    <w:basedOn w:val="1"/>
    <w:next w:val="3"/>
    <w:semiHidden/>
    <w:qFormat/>
    <w:uiPriority w:val="0"/>
    <w:rPr>
      <w:sz w:val="28"/>
      <w:szCs w:val="28"/>
    </w:rPr>
  </w:style>
  <w:style w:type="paragraph" w:styleId="109">
    <w:name w:val="List Paragraph"/>
    <w:basedOn w:val="1"/>
    <w:qFormat/>
    <w:uiPriority w:val="34"/>
    <w:pPr>
      <w:widowControl/>
      <w:ind w:left="720"/>
      <w:contextualSpacing/>
      <w:jc w:val="left"/>
    </w:pPr>
    <w:rPr>
      <w:rFonts w:cs="宋体"/>
      <w:kern w:val="0"/>
      <w:sz w:val="24"/>
      <w:lang w:eastAsia="en-US" w:bidi="en-US"/>
    </w:rPr>
  </w:style>
  <w:style w:type="paragraph" w:styleId="110">
    <w:name w:val="Intense Quote"/>
    <w:basedOn w:val="1"/>
    <w:next w:val="1"/>
    <w:link w:val="179"/>
    <w:qFormat/>
    <w:uiPriority w:val="0"/>
    <w:pPr>
      <w:widowControl/>
      <w:ind w:left="720" w:right="720"/>
      <w:jc w:val="left"/>
    </w:pPr>
    <w:rPr>
      <w:rFonts w:cs="宋体"/>
      <w:b/>
      <w:i/>
      <w:kern w:val="0"/>
      <w:sz w:val="24"/>
      <w:szCs w:val="20"/>
    </w:rPr>
  </w:style>
  <w:style w:type="paragraph" w:customStyle="1" w:styleId="111">
    <w:name w:val="p0"/>
    <w:basedOn w:val="1"/>
    <w:qFormat/>
    <w:uiPriority w:val="0"/>
    <w:pPr>
      <w:widowControl/>
    </w:pPr>
    <w:rPr>
      <w:kern w:val="0"/>
      <w:szCs w:val="21"/>
    </w:rPr>
  </w:style>
  <w:style w:type="paragraph" w:customStyle="1" w:styleId="112">
    <w:name w:val="正文（修改）"/>
    <w:basedOn w:val="1"/>
    <w:qFormat/>
    <w:uiPriority w:val="0"/>
    <w:pPr>
      <w:snapToGrid w:val="0"/>
      <w:spacing w:line="360" w:lineRule="auto"/>
      <w:ind w:firstLine="200" w:firstLineChars="200"/>
    </w:pPr>
    <w:rPr>
      <w:rFonts w:cs="宋体"/>
      <w:kern w:val="0"/>
      <w:sz w:val="24"/>
      <w:szCs w:val="28"/>
    </w:rPr>
  </w:style>
  <w:style w:type="paragraph" w:customStyle="1" w:styleId="113">
    <w:name w:val="标题4"/>
    <w:basedOn w:val="1"/>
    <w:next w:val="1"/>
    <w:qFormat/>
    <w:uiPriority w:val="0"/>
    <w:pPr>
      <w:tabs>
        <w:tab w:val="left" w:pos="360"/>
        <w:tab w:val="left" w:pos="840"/>
      </w:tabs>
      <w:snapToGrid w:val="0"/>
      <w:spacing w:line="360" w:lineRule="auto"/>
    </w:pPr>
    <w:rPr>
      <w:sz w:val="28"/>
      <w:szCs w:val="20"/>
    </w:rPr>
  </w:style>
  <w:style w:type="paragraph" w:customStyle="1" w:styleId="114">
    <w:name w:val="Char Char Char Char Char Char Char Char Char Char Char1"/>
    <w:basedOn w:val="1"/>
    <w:semiHidden/>
    <w:qFormat/>
    <w:uiPriority w:val="0"/>
  </w:style>
  <w:style w:type="paragraph" w:customStyle="1" w:styleId="115">
    <w:name w:val="表内容中"/>
    <w:basedOn w:val="29"/>
    <w:qFormat/>
    <w:uiPriority w:val="0"/>
    <w:pPr>
      <w:widowControl w:val="0"/>
      <w:adjustRightInd w:val="0"/>
      <w:snapToGrid w:val="0"/>
      <w:spacing w:line="360" w:lineRule="exact"/>
      <w:ind w:left="0" w:leftChars="0"/>
      <w:jc w:val="center"/>
    </w:pPr>
    <w:rPr>
      <w:rFonts w:ascii="Arial" w:hAnsi="Arial"/>
      <w:color w:val="000000"/>
      <w:kern w:val="16"/>
      <w:szCs w:val="20"/>
    </w:rPr>
  </w:style>
  <w:style w:type="paragraph" w:customStyle="1" w:styleId="116">
    <w:name w:val="安评小4表格正文居中"/>
    <w:qFormat/>
    <w:uiPriority w:val="0"/>
    <w:pPr>
      <w:widowControl w:val="0"/>
      <w:adjustRightInd w:val="0"/>
      <w:snapToGrid w:val="0"/>
      <w:spacing w:line="440" w:lineRule="exact"/>
      <w:jc w:val="center"/>
    </w:pPr>
    <w:rPr>
      <w:rFonts w:ascii="宋体" w:hAnsi="Calibri" w:eastAsia="宋体" w:cs="Times New Roman"/>
      <w:bCs/>
      <w:snapToGrid w:val="0"/>
      <w:sz w:val="24"/>
      <w:szCs w:val="21"/>
      <w:lang w:val="en-US" w:eastAsia="zh-CN" w:bidi="ar-SA"/>
    </w:rPr>
  </w:style>
  <w:style w:type="paragraph" w:customStyle="1" w:styleId="117">
    <w:name w:val="default paragraph font Char"/>
    <w:basedOn w:val="1"/>
    <w:semiHidden/>
    <w:qFormat/>
    <w:uiPriority w:val="0"/>
    <w:pPr>
      <w:spacing w:line="240" w:lineRule="atLeast"/>
      <w:ind w:left="420" w:firstLine="420"/>
    </w:pPr>
    <w:rPr>
      <w:kern w:val="0"/>
      <w:szCs w:val="21"/>
    </w:rPr>
  </w:style>
  <w:style w:type="paragraph" w:customStyle="1" w:styleId="118">
    <w:name w:val="Char Char Char Char Char1"/>
    <w:basedOn w:val="1"/>
    <w:semiHidden/>
    <w:qFormat/>
    <w:uiPriority w:val="0"/>
    <w:rPr>
      <w:szCs w:val="21"/>
    </w:rPr>
  </w:style>
  <w:style w:type="paragraph" w:styleId="119">
    <w:name w:val="No Spacing"/>
    <w:basedOn w:val="1"/>
    <w:qFormat/>
    <w:uiPriority w:val="0"/>
    <w:pPr>
      <w:widowControl/>
      <w:jc w:val="left"/>
    </w:pPr>
    <w:rPr>
      <w:rFonts w:cs="宋体"/>
      <w:kern w:val="0"/>
      <w:sz w:val="24"/>
      <w:szCs w:val="32"/>
      <w:lang w:eastAsia="en-US" w:bidi="en-US"/>
    </w:rPr>
  </w:style>
  <w:style w:type="paragraph" w:styleId="120">
    <w:name w:val="Quote"/>
    <w:basedOn w:val="1"/>
    <w:next w:val="1"/>
    <w:link w:val="149"/>
    <w:qFormat/>
    <w:uiPriority w:val="0"/>
    <w:pPr>
      <w:widowControl/>
      <w:jc w:val="left"/>
    </w:pPr>
    <w:rPr>
      <w:rFonts w:cs="宋体"/>
      <w:i/>
      <w:kern w:val="0"/>
      <w:sz w:val="24"/>
    </w:rPr>
  </w:style>
  <w:style w:type="character" w:customStyle="1" w:styleId="121">
    <w:name w:val="标题 5 Char"/>
    <w:link w:val="8"/>
    <w:qFormat/>
    <w:uiPriority w:val="0"/>
    <w:rPr>
      <w:rFonts w:eastAsia="宋体"/>
      <w:b/>
      <w:bCs/>
      <w:kern w:val="2"/>
      <w:sz w:val="28"/>
      <w:szCs w:val="28"/>
      <w:lang w:val="en-US" w:eastAsia="zh-CN" w:bidi="ar-SA"/>
    </w:rPr>
  </w:style>
  <w:style w:type="character" w:customStyle="1" w:styleId="122">
    <w:name w:val="正文文本 3 Char"/>
    <w:link w:val="20"/>
    <w:qFormat/>
    <w:uiPriority w:val="0"/>
    <w:rPr>
      <w:kern w:val="2"/>
      <w:sz w:val="16"/>
      <w:szCs w:val="16"/>
    </w:rPr>
  </w:style>
  <w:style w:type="character" w:customStyle="1" w:styleId="123">
    <w:name w:val="正文首行缩进 Char"/>
    <w:link w:val="48"/>
    <w:qFormat/>
    <w:uiPriority w:val="0"/>
    <w:rPr>
      <w:rFonts w:ascii="仿宋_GB2312" w:eastAsia="仿宋_GB2312"/>
      <w:kern w:val="2"/>
      <w:sz w:val="21"/>
      <w:szCs w:val="24"/>
    </w:rPr>
  </w:style>
  <w:style w:type="character" w:customStyle="1" w:styleId="124">
    <w:name w:val="fontstyle51"/>
    <w:semiHidden/>
    <w:qFormat/>
    <w:uiPriority w:val="0"/>
    <w:rPr>
      <w:rFonts w:hint="default" w:ascii="楷体" w:hAnsi="楷体"/>
      <w:color w:val="000000"/>
      <w:sz w:val="32"/>
      <w:szCs w:val="32"/>
    </w:rPr>
  </w:style>
  <w:style w:type="character" w:customStyle="1" w:styleId="125">
    <w:name w:val="样式 标题 2 Char Char"/>
    <w:link w:val="104"/>
    <w:qFormat/>
    <w:uiPriority w:val="0"/>
    <w:rPr>
      <w:rFonts w:ascii="Arial" w:hAnsi="Arial" w:eastAsia="楷体_GB2312" w:cs="宋体"/>
      <w:b/>
      <w:bCs/>
      <w:kern w:val="32"/>
      <w:sz w:val="32"/>
    </w:rPr>
  </w:style>
  <w:style w:type="character" w:customStyle="1" w:styleId="126">
    <w:name w:val="_Style 124"/>
    <w:qFormat/>
    <w:uiPriority w:val="0"/>
    <w:rPr>
      <w:i/>
      <w:color w:val="5A5A5A"/>
    </w:rPr>
  </w:style>
  <w:style w:type="character" w:customStyle="1" w:styleId="127">
    <w:name w:val="cur4"/>
    <w:basedOn w:val="52"/>
    <w:qFormat/>
    <w:uiPriority w:val="0"/>
    <w:rPr>
      <w:color w:val="146EAA"/>
    </w:rPr>
  </w:style>
  <w:style w:type="character" w:customStyle="1" w:styleId="128">
    <w:name w:val="fontstyle41"/>
    <w:semiHidden/>
    <w:qFormat/>
    <w:uiPriority w:val="0"/>
    <w:rPr>
      <w:rFonts w:hint="eastAsia" w:ascii="宋体" w:hAnsi="宋体" w:eastAsia="宋体"/>
      <w:color w:val="000000"/>
      <w:sz w:val="28"/>
      <w:szCs w:val="28"/>
    </w:rPr>
  </w:style>
  <w:style w:type="character" w:customStyle="1" w:styleId="129">
    <w:name w:val="cur1"/>
    <w:basedOn w:val="52"/>
    <w:qFormat/>
    <w:uiPriority w:val="0"/>
    <w:rPr>
      <w:color w:val="06355B"/>
    </w:rPr>
  </w:style>
  <w:style w:type="character" w:customStyle="1" w:styleId="130">
    <w:name w:val="页脚 Char"/>
    <w:link w:val="32"/>
    <w:qFormat/>
    <w:uiPriority w:val="0"/>
    <w:rPr>
      <w:rFonts w:eastAsia="宋体"/>
      <w:kern w:val="2"/>
      <w:sz w:val="18"/>
      <w:szCs w:val="18"/>
      <w:lang w:val="en-US" w:eastAsia="zh-CN" w:bidi="ar-SA"/>
    </w:rPr>
  </w:style>
  <w:style w:type="character" w:customStyle="1" w:styleId="131">
    <w:name w:val="_Style 129"/>
    <w:qFormat/>
    <w:uiPriority w:val="0"/>
    <w:rPr>
      <w:b/>
      <w:sz w:val="24"/>
      <w:u w:val="single"/>
    </w:rPr>
  </w:style>
  <w:style w:type="character" w:customStyle="1" w:styleId="132">
    <w:name w:val="title"/>
    <w:basedOn w:val="52"/>
    <w:semiHidden/>
    <w:qFormat/>
    <w:uiPriority w:val="0"/>
  </w:style>
  <w:style w:type="character" w:customStyle="1" w:styleId="133">
    <w:name w:val="郭表格 Char Char"/>
    <w:link w:val="100"/>
    <w:qFormat/>
    <w:uiPriority w:val="0"/>
    <w:rPr>
      <w:sz w:val="21"/>
      <w:szCs w:val="21"/>
    </w:rPr>
  </w:style>
  <w:style w:type="character" w:customStyle="1" w:styleId="134">
    <w:name w:val="headline-content2"/>
    <w:basedOn w:val="52"/>
    <w:semiHidden/>
    <w:qFormat/>
    <w:uiPriority w:val="0"/>
  </w:style>
  <w:style w:type="character" w:customStyle="1" w:styleId="135">
    <w:name w:val="郭表格标题 Char Char"/>
    <w:link w:val="66"/>
    <w:qFormat/>
    <w:uiPriority w:val="0"/>
    <w:rPr>
      <w:b/>
      <w:kern w:val="2"/>
      <w:sz w:val="21"/>
      <w:szCs w:val="21"/>
    </w:rPr>
  </w:style>
  <w:style w:type="character" w:customStyle="1" w:styleId="136">
    <w:name w:val="Char Char Char"/>
    <w:semiHidden/>
    <w:qFormat/>
    <w:uiPriority w:val="0"/>
    <w:rPr>
      <w:rFonts w:ascii="Tahoma" w:hAnsi="Tahoma" w:eastAsia="宋体"/>
      <w:kern w:val="2"/>
      <w:sz w:val="24"/>
      <w:szCs w:val="24"/>
      <w:lang w:val="en-US" w:eastAsia="zh-CN" w:bidi="ar-SA"/>
    </w:rPr>
  </w:style>
  <w:style w:type="character" w:customStyle="1" w:styleId="137">
    <w:name w:val="样式2 Char"/>
    <w:link w:val="83"/>
    <w:qFormat/>
    <w:uiPriority w:val="0"/>
    <w:rPr>
      <w:rFonts w:ascii="方正书宋简体" w:eastAsia="方正书宋简体"/>
      <w:kern w:val="2"/>
      <w:sz w:val="21"/>
      <w:szCs w:val="21"/>
      <w:lang w:val="zh-CN" w:eastAsia="zh-CN" w:bidi="ar-SA"/>
    </w:rPr>
  </w:style>
  <w:style w:type="character" w:customStyle="1" w:styleId="138">
    <w:name w:val="副标题 Char"/>
    <w:link w:val="36"/>
    <w:qFormat/>
    <w:uiPriority w:val="0"/>
    <w:rPr>
      <w:rFonts w:ascii="宋体" w:hAnsi="宋体" w:eastAsia="宋体"/>
      <w:b/>
      <w:sz w:val="24"/>
      <w:szCs w:val="24"/>
      <w:lang w:val="en-US" w:eastAsia="zh-CN" w:bidi="ar-SA"/>
    </w:rPr>
  </w:style>
  <w:style w:type="character" w:customStyle="1" w:styleId="139">
    <w:name w:val="tpc_content1"/>
    <w:semiHidden/>
    <w:qFormat/>
    <w:uiPriority w:val="0"/>
    <w:rPr>
      <w:rFonts w:ascii="Tahoma" w:hAnsi="Tahoma" w:cs="Tahoma"/>
      <w:sz w:val="20"/>
      <w:szCs w:val="20"/>
    </w:rPr>
  </w:style>
  <w:style w:type="character" w:customStyle="1" w:styleId="140">
    <w:name w:val="font51"/>
    <w:semiHidden/>
    <w:qFormat/>
    <w:uiPriority w:val="0"/>
    <w:rPr>
      <w:rFonts w:hint="eastAsia" w:ascii="宋体" w:hAnsi="宋体" w:eastAsia="宋体" w:cs="宋体"/>
      <w:color w:val="000000"/>
      <w:sz w:val="20"/>
      <w:szCs w:val="20"/>
      <w:u w:val="none"/>
    </w:rPr>
  </w:style>
  <w:style w:type="character" w:customStyle="1" w:styleId="141">
    <w:name w:val="标题 1 Char1"/>
    <w:link w:val="4"/>
    <w:qFormat/>
    <w:uiPriority w:val="0"/>
    <w:rPr>
      <w:rFonts w:ascii="黑体" w:eastAsia="宋体"/>
      <w:b/>
      <w:sz w:val="30"/>
      <w:szCs w:val="28"/>
    </w:rPr>
  </w:style>
  <w:style w:type="character" w:customStyle="1" w:styleId="142">
    <w:name w:val="批注框文本 Char"/>
    <w:link w:val="31"/>
    <w:qFormat/>
    <w:uiPriority w:val="99"/>
    <w:rPr>
      <w:rFonts w:eastAsia="宋体"/>
      <w:kern w:val="2"/>
      <w:sz w:val="18"/>
      <w:szCs w:val="18"/>
      <w:lang w:val="en-US" w:eastAsia="zh-CN" w:bidi="ar-SA"/>
    </w:rPr>
  </w:style>
  <w:style w:type="character" w:customStyle="1" w:styleId="143">
    <w:name w:val="fontstyle31"/>
    <w:semiHidden/>
    <w:qFormat/>
    <w:uiPriority w:val="0"/>
    <w:rPr>
      <w:rFonts w:hint="eastAsia" w:ascii="黑体" w:hAnsi="黑体" w:eastAsia="黑体"/>
      <w:color w:val="000000"/>
      <w:sz w:val="28"/>
      <w:szCs w:val="28"/>
    </w:rPr>
  </w:style>
  <w:style w:type="character" w:customStyle="1" w:styleId="144">
    <w:name w:val="正文文本 Char"/>
    <w:link w:val="2"/>
    <w:qFormat/>
    <w:uiPriority w:val="0"/>
    <w:rPr>
      <w:rFonts w:ascii="仿宋_GB2312" w:eastAsia="仿宋_GB2312"/>
      <w:kern w:val="2"/>
      <w:sz w:val="30"/>
      <w:szCs w:val="24"/>
    </w:rPr>
  </w:style>
  <w:style w:type="character" w:customStyle="1" w:styleId="145">
    <w:name w:val="正文文本缩进 2 Char"/>
    <w:link w:val="30"/>
    <w:qFormat/>
    <w:uiPriority w:val="0"/>
    <w:rPr>
      <w:rFonts w:eastAsia="宋体"/>
      <w:kern w:val="2"/>
      <w:sz w:val="21"/>
      <w:szCs w:val="24"/>
      <w:lang w:val="en-US" w:eastAsia="zh-CN" w:bidi="ar-SA"/>
    </w:rPr>
  </w:style>
  <w:style w:type="character" w:customStyle="1" w:styleId="146">
    <w:name w:val="标题 1 Char"/>
    <w:semiHidden/>
    <w:qFormat/>
    <w:uiPriority w:val="0"/>
    <w:rPr>
      <w:b/>
      <w:bCs/>
      <w:kern w:val="44"/>
      <w:sz w:val="44"/>
      <w:szCs w:val="44"/>
    </w:rPr>
  </w:style>
  <w:style w:type="character" w:customStyle="1" w:styleId="147">
    <w:name w:val="标题 8 Char"/>
    <w:link w:val="11"/>
    <w:qFormat/>
    <w:uiPriority w:val="0"/>
    <w:rPr>
      <w:rFonts w:ascii="Calibri" w:hAnsi="Calibri" w:eastAsia="宋体" w:cs="宋体"/>
      <w:i/>
      <w:iCs/>
      <w:sz w:val="24"/>
      <w:szCs w:val="24"/>
      <w:lang w:bidi="ar-SA"/>
    </w:rPr>
  </w:style>
  <w:style w:type="character" w:customStyle="1" w:styleId="148">
    <w:name w:val="标题 3 Char2"/>
    <w:qFormat/>
    <w:uiPriority w:val="0"/>
    <w:rPr>
      <w:rFonts w:eastAsia="宋体"/>
      <w:b/>
      <w:bCs/>
      <w:kern w:val="2"/>
      <w:sz w:val="32"/>
      <w:szCs w:val="32"/>
      <w:lang w:val="en-US" w:eastAsia="zh-CN" w:bidi="ar-SA"/>
    </w:rPr>
  </w:style>
  <w:style w:type="character" w:customStyle="1" w:styleId="149">
    <w:name w:val="引用 Char"/>
    <w:link w:val="120"/>
    <w:qFormat/>
    <w:uiPriority w:val="0"/>
    <w:rPr>
      <w:rFonts w:ascii="Calibri" w:hAnsi="Calibri" w:eastAsia="宋体" w:cs="宋体"/>
      <w:i/>
      <w:sz w:val="24"/>
      <w:szCs w:val="24"/>
      <w:lang w:bidi="ar-SA"/>
    </w:rPr>
  </w:style>
  <w:style w:type="character" w:customStyle="1" w:styleId="150">
    <w:name w:val="Char Char5"/>
    <w:semiHidden/>
    <w:qFormat/>
    <w:uiPriority w:val="0"/>
    <w:rPr>
      <w:kern w:val="2"/>
      <w:sz w:val="18"/>
      <w:szCs w:val="18"/>
    </w:rPr>
  </w:style>
  <w:style w:type="character" w:customStyle="1" w:styleId="151">
    <w:name w:val="hover25"/>
    <w:basedOn w:val="52"/>
    <w:qFormat/>
    <w:uiPriority w:val="0"/>
    <w:rPr>
      <w:color w:val="FFFFFF"/>
      <w:shd w:val="clear" w:color="auto" w:fill="4B97D0"/>
    </w:rPr>
  </w:style>
  <w:style w:type="character" w:customStyle="1" w:styleId="152">
    <w:name w:val="Part Char"/>
    <w:semiHidden/>
    <w:qFormat/>
    <w:uiPriority w:val="0"/>
    <w:rPr>
      <w:rFonts w:ascii="Cambria" w:hAnsi="Cambria"/>
      <w:b/>
      <w:bCs/>
      <w:kern w:val="32"/>
      <w:sz w:val="32"/>
      <w:szCs w:val="32"/>
    </w:rPr>
  </w:style>
  <w:style w:type="character" w:customStyle="1" w:styleId="153">
    <w:name w:val="标题 9 Char"/>
    <w:link w:val="12"/>
    <w:qFormat/>
    <w:uiPriority w:val="0"/>
    <w:rPr>
      <w:rFonts w:ascii="Cambria" w:hAnsi="Cambria" w:eastAsia="宋体" w:cs="宋体"/>
      <w:lang w:bidi="ar-SA"/>
    </w:rPr>
  </w:style>
  <w:style w:type="character" w:customStyle="1" w:styleId="154">
    <w:name w:val="标题 4 Char"/>
    <w:link w:val="7"/>
    <w:qFormat/>
    <w:uiPriority w:val="0"/>
    <w:rPr>
      <w:rFonts w:ascii="Arial" w:hAnsi="Arial" w:eastAsia="黑体"/>
      <w:b/>
      <w:bCs/>
      <w:kern w:val="2"/>
      <w:sz w:val="28"/>
      <w:szCs w:val="28"/>
      <w:lang w:val="en-US" w:eastAsia="zh-CN" w:bidi="ar-SA"/>
    </w:rPr>
  </w:style>
  <w:style w:type="character" w:customStyle="1" w:styleId="155">
    <w:name w:val="标题 2 Char1"/>
    <w:semiHidden/>
    <w:qFormat/>
    <w:uiPriority w:val="0"/>
    <w:rPr>
      <w:rFonts w:ascii="Arial" w:hAnsi="Arial" w:eastAsia="黑体" w:cs="Tahoma"/>
      <w:b/>
      <w:bCs/>
      <w:kern w:val="2"/>
      <w:sz w:val="32"/>
      <w:szCs w:val="32"/>
      <w:lang w:val="en-US" w:eastAsia="zh-CN" w:bidi="ar-SA"/>
    </w:rPr>
  </w:style>
  <w:style w:type="character" w:customStyle="1" w:styleId="156">
    <w:name w:val="标题 7 Char"/>
    <w:link w:val="10"/>
    <w:qFormat/>
    <w:uiPriority w:val="0"/>
    <w:rPr>
      <w:rFonts w:ascii="Calibri" w:hAnsi="Calibri" w:eastAsia="宋体" w:cs="宋体"/>
      <w:sz w:val="24"/>
      <w:szCs w:val="24"/>
      <w:lang w:bidi="ar-SA"/>
    </w:rPr>
  </w:style>
  <w:style w:type="character" w:customStyle="1" w:styleId="157">
    <w:name w:val="标题 3 Char1"/>
    <w:qFormat/>
    <w:uiPriority w:val="0"/>
    <w:rPr>
      <w:rFonts w:ascii="Tahoma" w:hAnsi="Tahoma" w:eastAsia="宋体" w:cs="Tahoma"/>
      <w:b/>
      <w:bCs/>
      <w:kern w:val="2"/>
      <w:sz w:val="32"/>
      <w:szCs w:val="32"/>
      <w:lang w:val="en-US" w:eastAsia="zh-CN" w:bidi="ar-SA"/>
    </w:rPr>
  </w:style>
  <w:style w:type="character" w:customStyle="1" w:styleId="158">
    <w:name w:val="fontstyle11"/>
    <w:semiHidden/>
    <w:qFormat/>
    <w:uiPriority w:val="0"/>
    <w:rPr>
      <w:rFonts w:hint="eastAsia" w:ascii="黑体" w:hAnsi="黑体" w:eastAsia="黑体"/>
      <w:color w:val="000000"/>
      <w:sz w:val="28"/>
      <w:szCs w:val="28"/>
    </w:rPr>
  </w:style>
  <w:style w:type="character" w:customStyle="1" w:styleId="159">
    <w:name w:val="标题 Char"/>
    <w:link w:val="46"/>
    <w:qFormat/>
    <w:uiPriority w:val="0"/>
    <w:rPr>
      <w:rFonts w:ascii="Cambria" w:hAnsi="Cambria" w:eastAsia="宋体"/>
      <w:b/>
      <w:bCs/>
      <w:kern w:val="2"/>
      <w:sz w:val="32"/>
      <w:szCs w:val="32"/>
      <w:lang w:val="en-US" w:eastAsia="zh-CN" w:bidi="ar-SA"/>
    </w:rPr>
  </w:style>
  <w:style w:type="character" w:customStyle="1" w:styleId="160">
    <w:name w:val="apple-converted-space"/>
    <w:basedOn w:val="52"/>
    <w:semiHidden/>
    <w:qFormat/>
    <w:uiPriority w:val="0"/>
  </w:style>
  <w:style w:type="character" w:customStyle="1" w:styleId="161">
    <w:name w:val="正文缩进 Char"/>
    <w:link w:val="14"/>
    <w:qFormat/>
    <w:uiPriority w:val="0"/>
    <w:rPr>
      <w:rFonts w:ascii="宋体" w:eastAsia="宋体"/>
      <w:kern w:val="28"/>
      <w:sz w:val="28"/>
      <w:szCs w:val="24"/>
      <w:lang w:val="en-US" w:eastAsia="zh-CN" w:bidi="ar-SA"/>
    </w:rPr>
  </w:style>
  <w:style w:type="character" w:customStyle="1" w:styleId="162">
    <w:name w:val="正文文本缩进 Char"/>
    <w:link w:val="21"/>
    <w:qFormat/>
    <w:uiPriority w:val="0"/>
    <w:rPr>
      <w:rFonts w:ascii="宋体" w:hAnsi="宋体" w:eastAsia="宋体"/>
      <w:kern w:val="2"/>
      <w:sz w:val="28"/>
      <w:szCs w:val="28"/>
      <w:lang w:val="en-US" w:eastAsia="zh-CN" w:bidi="ar-SA"/>
    </w:rPr>
  </w:style>
  <w:style w:type="character" w:customStyle="1" w:styleId="163">
    <w:name w:val="标题 2 Char"/>
    <w:link w:val="5"/>
    <w:qFormat/>
    <w:uiPriority w:val="0"/>
    <w:rPr>
      <w:rFonts w:ascii="Arial" w:hAnsi="Arial" w:eastAsia="宋体"/>
      <w:b/>
      <w:bCs/>
      <w:kern w:val="2"/>
      <w:sz w:val="28"/>
      <w:szCs w:val="32"/>
    </w:rPr>
  </w:style>
  <w:style w:type="character" w:customStyle="1" w:styleId="164">
    <w:name w:val="wsxf"/>
    <w:basedOn w:val="52"/>
    <w:qFormat/>
    <w:uiPriority w:val="0"/>
  </w:style>
  <w:style w:type="character" w:customStyle="1" w:styleId="165">
    <w:name w:val="普通(网站) Char"/>
    <w:link w:val="45"/>
    <w:qFormat/>
    <w:uiPriority w:val="0"/>
    <w:rPr>
      <w:rFonts w:ascii="Arial Unicode MS" w:hAnsi="Arial Unicode MS" w:eastAsia="Arial Unicode MS" w:cs="Arial Unicode MS"/>
      <w:sz w:val="24"/>
      <w:szCs w:val="24"/>
      <w:lang w:val="en-US" w:eastAsia="zh-CN" w:bidi="ar-SA"/>
    </w:rPr>
  </w:style>
  <w:style w:type="character" w:customStyle="1" w:styleId="166">
    <w:name w:val="xmt"/>
    <w:basedOn w:val="52"/>
    <w:qFormat/>
    <w:uiPriority w:val="0"/>
  </w:style>
  <w:style w:type="character" w:customStyle="1" w:styleId="167">
    <w:name w:val="批注文字 Char"/>
    <w:link w:val="18"/>
    <w:qFormat/>
    <w:uiPriority w:val="0"/>
    <w:rPr>
      <w:rFonts w:eastAsia="宋体"/>
      <w:kern w:val="2"/>
      <w:sz w:val="21"/>
      <w:szCs w:val="24"/>
      <w:lang w:val="en-US" w:eastAsia="zh-CN" w:bidi="ar-SA"/>
    </w:rPr>
  </w:style>
  <w:style w:type="character" w:customStyle="1" w:styleId="168">
    <w:name w:val="bt21"/>
    <w:semiHidden/>
    <w:qFormat/>
    <w:uiPriority w:val="0"/>
    <w:rPr>
      <w:rFonts w:hint="eastAsia" w:ascii="黑体" w:eastAsia="黑体"/>
      <w:sz w:val="22"/>
      <w:szCs w:val="22"/>
    </w:rPr>
  </w:style>
  <w:style w:type="character" w:customStyle="1" w:styleId="169">
    <w:name w:val="标题 2 Char Char"/>
    <w:semiHidden/>
    <w:qFormat/>
    <w:uiPriority w:val="0"/>
    <w:rPr>
      <w:rFonts w:ascii="Arial" w:hAnsi="Arial" w:eastAsia="黑体"/>
      <w:b/>
      <w:bCs/>
      <w:kern w:val="2"/>
      <w:sz w:val="32"/>
      <w:szCs w:val="32"/>
      <w:lang w:val="en-US" w:eastAsia="zh-CN" w:bidi="ar-SA"/>
    </w:rPr>
  </w:style>
  <w:style w:type="character" w:customStyle="1" w:styleId="170">
    <w:name w:val="表格 Char"/>
    <w:link w:val="102"/>
    <w:qFormat/>
    <w:uiPriority w:val="0"/>
    <w:rPr>
      <w:rFonts w:ascii="宋体" w:eastAsia="宋体"/>
      <w:kern w:val="2"/>
      <w:sz w:val="21"/>
      <w:lang w:val="en-US" w:eastAsia="zh-CN" w:bidi="ar-SA"/>
    </w:rPr>
  </w:style>
  <w:style w:type="character" w:customStyle="1" w:styleId="171">
    <w:name w:val="_Style 169"/>
    <w:qFormat/>
    <w:uiPriority w:val="0"/>
    <w:rPr>
      <w:b/>
      <w:i/>
      <w:sz w:val="24"/>
      <w:szCs w:val="24"/>
      <w:u w:val="single"/>
    </w:rPr>
  </w:style>
  <w:style w:type="character" w:customStyle="1" w:styleId="172">
    <w:name w:val="search_content1"/>
    <w:semiHidden/>
    <w:qFormat/>
    <w:uiPriority w:val="0"/>
    <w:rPr>
      <w:sz w:val="16"/>
      <w:szCs w:val="16"/>
    </w:rPr>
  </w:style>
  <w:style w:type="character" w:customStyle="1" w:styleId="173">
    <w:name w:val="正文1"/>
    <w:qFormat/>
    <w:uiPriority w:val="0"/>
    <w:rPr>
      <w:rFonts w:hint="eastAsia" w:ascii="宋体" w:hAnsi="宋体" w:eastAsia="宋体"/>
      <w:sz w:val="22"/>
      <w:szCs w:val="22"/>
    </w:rPr>
  </w:style>
  <w:style w:type="character" w:customStyle="1" w:styleId="174">
    <w:name w:val="bt11"/>
    <w:semiHidden/>
    <w:qFormat/>
    <w:uiPriority w:val="0"/>
    <w:rPr>
      <w:rFonts w:hint="eastAsia" w:ascii="黑体" w:eastAsia="黑体"/>
      <w:color w:val="000000"/>
      <w:sz w:val="28"/>
      <w:szCs w:val="28"/>
    </w:rPr>
  </w:style>
  <w:style w:type="character" w:customStyle="1" w:styleId="175">
    <w:name w:val="fontstyle21"/>
    <w:semiHidden/>
    <w:qFormat/>
    <w:uiPriority w:val="0"/>
    <w:rPr>
      <w:rFonts w:hint="default" w:ascii="楷体" w:hAnsi="楷体"/>
      <w:color w:val="000000"/>
      <w:sz w:val="32"/>
      <w:szCs w:val="32"/>
    </w:rPr>
  </w:style>
  <w:style w:type="character" w:customStyle="1" w:styleId="176">
    <w:name w:val="font21"/>
    <w:semiHidden/>
    <w:qFormat/>
    <w:uiPriority w:val="0"/>
    <w:rPr>
      <w:rFonts w:hint="default" w:ascii="Dialog" w:hAnsi="Dialog" w:eastAsia="Dialog" w:cs="Dialog"/>
      <w:color w:val="000000"/>
      <w:sz w:val="20"/>
      <w:szCs w:val="20"/>
      <w:u w:val="none"/>
    </w:rPr>
  </w:style>
  <w:style w:type="character" w:customStyle="1" w:styleId="177">
    <w:name w:val="纯文本 Char"/>
    <w:link w:val="27"/>
    <w:qFormat/>
    <w:uiPriority w:val="0"/>
    <w:rPr>
      <w:rFonts w:ascii="宋体" w:hAnsi="Courier New" w:eastAsia="宋体"/>
      <w:kern w:val="2"/>
      <w:sz w:val="28"/>
      <w:lang w:val="en-US" w:eastAsia="zh-CN" w:bidi="ar-SA"/>
    </w:rPr>
  </w:style>
  <w:style w:type="character" w:customStyle="1" w:styleId="178">
    <w:name w:val="last-child"/>
    <w:basedOn w:val="52"/>
    <w:qFormat/>
    <w:uiPriority w:val="0"/>
  </w:style>
  <w:style w:type="character" w:customStyle="1" w:styleId="179">
    <w:name w:val="明显引用 Char"/>
    <w:link w:val="110"/>
    <w:qFormat/>
    <w:uiPriority w:val="0"/>
    <w:rPr>
      <w:rFonts w:ascii="Calibri" w:hAnsi="Calibri" w:eastAsia="宋体" w:cs="宋体"/>
      <w:b/>
      <w:i/>
      <w:sz w:val="24"/>
      <w:lang w:bidi="ar-SA"/>
    </w:rPr>
  </w:style>
  <w:style w:type="character" w:customStyle="1" w:styleId="180">
    <w:name w:val="_Style 178"/>
    <w:qFormat/>
    <w:uiPriority w:val="0"/>
    <w:rPr>
      <w:sz w:val="24"/>
      <w:szCs w:val="24"/>
      <w:u w:val="single"/>
    </w:rPr>
  </w:style>
  <w:style w:type="character" w:customStyle="1" w:styleId="181">
    <w:name w:val="Char Char1"/>
    <w:semiHidden/>
    <w:qFormat/>
    <w:uiPriority w:val="0"/>
    <w:rPr>
      <w:rFonts w:ascii="宋体" w:hAnsi="Courier New" w:eastAsia="宋体"/>
      <w:kern w:val="2"/>
      <w:sz w:val="28"/>
      <w:lang w:val="en-US" w:eastAsia="zh-CN" w:bidi="ar-SA"/>
    </w:rPr>
  </w:style>
  <w:style w:type="character" w:customStyle="1" w:styleId="182">
    <w:name w:val="nava12"/>
    <w:semiHidden/>
    <w:qFormat/>
    <w:uiPriority w:val="0"/>
    <w:rPr>
      <w:color w:val="333333"/>
      <w:sz w:val="24"/>
      <w:szCs w:val="24"/>
      <w:u w:val="none"/>
    </w:rPr>
  </w:style>
  <w:style w:type="character" w:customStyle="1" w:styleId="183">
    <w:name w:val="cur2"/>
    <w:basedOn w:val="52"/>
    <w:qFormat/>
    <w:uiPriority w:val="0"/>
    <w:rPr>
      <w:color w:val="00558E"/>
    </w:rPr>
  </w:style>
  <w:style w:type="character" w:customStyle="1" w:styleId="184">
    <w:name w:val="标题 3 Char"/>
    <w:link w:val="6"/>
    <w:qFormat/>
    <w:uiPriority w:val="0"/>
    <w:rPr>
      <w:b/>
      <w:bCs/>
      <w:kern w:val="2"/>
      <w:sz w:val="24"/>
      <w:szCs w:val="32"/>
    </w:rPr>
  </w:style>
  <w:style w:type="character" w:customStyle="1" w:styleId="185">
    <w:name w:val="style131"/>
    <w:semiHidden/>
    <w:qFormat/>
    <w:uiPriority w:val="0"/>
    <w:rPr>
      <w:color w:val="333333"/>
      <w:sz w:val="21"/>
      <w:szCs w:val="21"/>
    </w:rPr>
  </w:style>
  <w:style w:type="character" w:customStyle="1" w:styleId="186">
    <w:name w:val="正文缩2 Char Char"/>
    <w:link w:val="75"/>
    <w:qFormat/>
    <w:uiPriority w:val="0"/>
    <w:rPr>
      <w:rFonts w:ascii="Calibri" w:hAnsi="Calibri" w:eastAsia="宋体"/>
      <w:kern w:val="2"/>
      <w:sz w:val="28"/>
      <w:lang w:bidi="ar-SA"/>
    </w:rPr>
  </w:style>
  <w:style w:type="character" w:customStyle="1" w:styleId="187">
    <w:name w:val="cur"/>
    <w:basedOn w:val="52"/>
    <w:qFormat/>
    <w:uiPriority w:val="0"/>
    <w:rPr>
      <w:color w:val="06355B"/>
    </w:rPr>
  </w:style>
  <w:style w:type="character" w:customStyle="1" w:styleId="188">
    <w:name w:val="cur3"/>
    <w:basedOn w:val="52"/>
    <w:qFormat/>
    <w:uiPriority w:val="0"/>
    <w:rPr>
      <w:color w:val="FFFFFF"/>
      <w:shd w:val="clear" w:color="auto" w:fill="4B97D0"/>
    </w:rPr>
  </w:style>
  <w:style w:type="character" w:customStyle="1" w:styleId="189">
    <w:name w:val="hover26"/>
    <w:basedOn w:val="52"/>
    <w:qFormat/>
    <w:uiPriority w:val="0"/>
    <w:rPr>
      <w:color w:val="FFFFFF"/>
      <w:shd w:val="clear" w:color="auto" w:fill="4B97D0"/>
    </w:rPr>
  </w:style>
  <w:style w:type="character" w:customStyle="1" w:styleId="190">
    <w:name w:val="_Style 188"/>
    <w:qFormat/>
    <w:uiPriority w:val="0"/>
    <w:rPr>
      <w:rFonts w:ascii="Cambria" w:hAnsi="Cambria" w:eastAsia="宋体"/>
      <w:b/>
      <w:i/>
      <w:sz w:val="24"/>
      <w:szCs w:val="24"/>
    </w:rPr>
  </w:style>
  <w:style w:type="character" w:customStyle="1" w:styleId="191">
    <w:name w:val="time01"/>
    <w:basedOn w:val="52"/>
    <w:qFormat/>
    <w:uiPriority w:val="0"/>
    <w:rPr>
      <w:color w:val="999999"/>
    </w:rPr>
  </w:style>
  <w:style w:type="character" w:customStyle="1" w:styleId="192">
    <w:name w:val="wenzhang1"/>
    <w:semiHidden/>
    <w:qFormat/>
    <w:uiPriority w:val="0"/>
    <w:rPr>
      <w:sz w:val="18"/>
      <w:szCs w:val="18"/>
      <w:u w:val="none"/>
    </w:rPr>
  </w:style>
  <w:style w:type="character" w:customStyle="1" w:styleId="193">
    <w:name w:val="blacka121"/>
    <w:semiHidden/>
    <w:qFormat/>
    <w:uiPriority w:val="0"/>
    <w:rPr>
      <w:color w:val="000000"/>
      <w:sz w:val="18"/>
      <w:szCs w:val="18"/>
      <w:u w:val="none"/>
    </w:rPr>
  </w:style>
  <w:style w:type="character" w:customStyle="1" w:styleId="194">
    <w:name w:val="fontstyle01"/>
    <w:semiHidden/>
    <w:qFormat/>
    <w:uiPriority w:val="0"/>
    <w:rPr>
      <w:rFonts w:hint="default" w:ascii="TimesNewRomanPSMT" w:hAnsi="TimesNewRomanPSMT"/>
      <w:color w:val="000000"/>
      <w:sz w:val="32"/>
      <w:szCs w:val="32"/>
    </w:rPr>
  </w:style>
  <w:style w:type="character" w:customStyle="1" w:styleId="195">
    <w:name w:val="apple-style-span"/>
    <w:basedOn w:val="52"/>
    <w:semiHidden/>
    <w:qFormat/>
    <w:uiPriority w:val="0"/>
  </w:style>
  <w:style w:type="character" w:customStyle="1" w:styleId="196">
    <w:name w:val="zw1"/>
    <w:semiHidden/>
    <w:qFormat/>
    <w:uiPriority w:val="0"/>
    <w:rPr>
      <w:rFonts w:hint="eastAsia" w:ascii="宋体" w:hAnsi="宋体" w:eastAsia="宋体"/>
      <w:sz w:val="22"/>
      <w:szCs w:val="22"/>
    </w:rPr>
  </w:style>
  <w:style w:type="character" w:customStyle="1" w:styleId="197">
    <w:name w:val="tsjb"/>
    <w:basedOn w:val="52"/>
    <w:qFormat/>
    <w:uiPriority w:val="0"/>
  </w:style>
  <w:style w:type="paragraph" w:customStyle="1" w:styleId="198">
    <w:name w:val="填表4小中单倍行距"/>
    <w:basedOn w:val="1"/>
    <w:qFormat/>
    <w:uiPriority w:val="0"/>
    <w:pPr>
      <w:jc w:val="center"/>
    </w:pPr>
    <w:rPr>
      <w:rFonts w:ascii="宋体" w:cs="宋体"/>
      <w:sz w:val="24"/>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31</Pages>
  <Words>16433</Words>
  <Characters>17347</Characters>
  <Lines>65</Lines>
  <Paragraphs>69</Paragraphs>
  <TotalTime>2</TotalTime>
  <ScaleCrop>false</ScaleCrop>
  <LinksUpToDate>false</LinksUpToDate>
  <CharactersWithSpaces>17806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2017-05-07T01:49:00Z</dcterms:created>
  <dc:creator>Administrator</dc:creator>
  <cp:lastModifiedBy>任元元</cp:lastModifiedBy>
  <cp:lastPrinted>2023-05-23T06:57:43Z</cp:lastPrinted>
  <dcterms:modified xsi:type="dcterms:W3CDTF">2023-05-23T07:13:59Z</dcterms:modified>
  <dc:title>达州市泰恒通新能源有限公司</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85BDAEFC62F54955B1A13FE92633DAB8_13</vt:lpwstr>
  </property>
</Properties>
</file>