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E65" w:rsidRDefault="00F72E65" w:rsidP="00F72E65">
      <w:pPr>
        <w:pStyle w:val="1"/>
        <w:spacing w:before="312" w:after="156"/>
        <w:jc w:val="left"/>
      </w:pPr>
      <w:bookmarkStart w:id="0" w:name="_Toc24346"/>
      <w:r>
        <w:rPr>
          <w:rFonts w:hint="eastAsia"/>
        </w:rPr>
        <w:t>附</w:t>
      </w:r>
      <w:r>
        <w:rPr>
          <w:rFonts w:hint="eastAsia"/>
        </w:rPr>
        <w:t xml:space="preserve"> </w:t>
      </w:r>
      <w:r>
        <w:rPr>
          <w:rFonts w:hint="eastAsia"/>
        </w:rPr>
        <w:t>录</w:t>
      </w:r>
      <w:r>
        <w:rPr>
          <w:rFonts w:hint="eastAsia"/>
        </w:rPr>
        <w:t xml:space="preserve">A </w:t>
      </w:r>
      <w:bookmarkStart w:id="1" w:name="_GoBack"/>
      <w:r>
        <w:rPr>
          <w:rFonts w:hint="eastAsia"/>
        </w:rPr>
        <w:t>生产安全事故风险评估报告</w:t>
      </w:r>
      <w:bookmarkEnd w:id="0"/>
      <w:bookmarkEnd w:id="1"/>
    </w:p>
    <w:p w:rsidR="00F72E65" w:rsidRDefault="00F72E65" w:rsidP="00F72E65">
      <w:pPr>
        <w:pStyle w:val="2"/>
      </w:pPr>
      <w:bookmarkStart w:id="2" w:name="_Toc4059"/>
      <w:r>
        <w:t>A.1</w:t>
      </w:r>
      <w:r>
        <w:t>危险有害因素辨识</w:t>
      </w:r>
      <w:bookmarkEnd w:id="2"/>
    </w:p>
    <w:p w:rsidR="00F72E65" w:rsidRDefault="00F72E65" w:rsidP="00F72E65">
      <w:pPr>
        <w:pStyle w:val="3"/>
        <w:ind w:firstLine="602"/>
      </w:pPr>
      <w:bookmarkStart w:id="3" w:name="_Toc2869782"/>
      <w:bookmarkStart w:id="4" w:name="_Toc20000"/>
      <w:r>
        <w:rPr>
          <w:rFonts w:hint="eastAsia"/>
        </w:rPr>
        <w:t>1</w:t>
      </w:r>
      <w:r>
        <w:rPr>
          <w:rFonts w:hint="eastAsia"/>
        </w:rPr>
        <w:t>危险源辨识结果</w:t>
      </w:r>
      <w:bookmarkEnd w:id="3"/>
      <w:bookmarkEnd w:id="4"/>
    </w:p>
    <w:p w:rsidR="00F72E65" w:rsidRDefault="00F72E65" w:rsidP="00F72E65">
      <w:pPr>
        <w:ind w:firstLine="560"/>
      </w:pPr>
      <w:r>
        <w:rPr>
          <w:rFonts w:hint="eastAsia"/>
        </w:rPr>
        <w:t>本加油站经营过程中，存在的危险源分为二类，一是经营过程中存在的，可能发生意外释放的能量（能源或能量载体）及危险和有害物质，即第一类危险源，又称根源危险源。二是导致能量或危险物质约束或限制措施破坏或失效的各种因素，即第二类危险源，又称状态危险源，辨识结果如下：</w:t>
      </w:r>
    </w:p>
    <w:p w:rsidR="00F72E65" w:rsidRDefault="00F72E65" w:rsidP="00F72E65">
      <w:pPr>
        <w:ind w:firstLine="560"/>
        <w:rPr>
          <w:lang w:val="zh-CN"/>
        </w:rPr>
      </w:pPr>
      <w:r>
        <w:rPr>
          <w:rFonts w:hint="eastAsia"/>
          <w:lang w:val="zh-CN"/>
        </w:rPr>
        <w:t>1</w:t>
      </w:r>
      <w:r>
        <w:rPr>
          <w:rFonts w:hint="eastAsia"/>
          <w:lang w:val="zh-CN"/>
        </w:rPr>
        <w:t>、危险和有害物质</w:t>
      </w:r>
    </w:p>
    <w:p w:rsidR="00F72E65" w:rsidRDefault="00F72E65" w:rsidP="00F72E65">
      <w:pPr>
        <w:ind w:firstLine="560"/>
        <w:rPr>
          <w:lang w:val="zh-CN"/>
        </w:rPr>
      </w:pPr>
      <w:r>
        <w:rPr>
          <w:rFonts w:hint="eastAsia"/>
          <w:lang w:val="zh-CN"/>
        </w:rPr>
        <w:t>易燃液体：汽油、柴油。</w:t>
      </w:r>
    </w:p>
    <w:p w:rsidR="00F72E65" w:rsidRDefault="00F72E65" w:rsidP="00F72E65">
      <w:pPr>
        <w:ind w:firstLine="560"/>
        <w:rPr>
          <w:lang w:val="zh-CN"/>
        </w:rPr>
      </w:pPr>
      <w:r>
        <w:rPr>
          <w:rFonts w:hint="eastAsia"/>
          <w:lang w:val="zh-CN"/>
        </w:rPr>
        <w:t>2</w:t>
      </w:r>
      <w:r>
        <w:rPr>
          <w:rFonts w:hint="eastAsia"/>
          <w:lang w:val="zh-CN"/>
        </w:rPr>
        <w:t>、经营中涉及的各种能量（包括电能、高位势能、动能、内能、化学能等），如带电的设备、转动的机器、带电的导体、行驶中的车辆、高处作业携带的工具和零配件等。</w:t>
      </w:r>
    </w:p>
    <w:p w:rsidR="00F72E65" w:rsidRDefault="00F72E65" w:rsidP="00F72E65">
      <w:pPr>
        <w:ind w:firstLine="560"/>
      </w:pPr>
      <w:r>
        <w:rPr>
          <w:rFonts w:hint="eastAsia"/>
          <w:lang w:val="zh-CN"/>
        </w:rPr>
        <w:t>3</w:t>
      </w:r>
      <w:r>
        <w:rPr>
          <w:rFonts w:hint="eastAsia"/>
          <w:lang w:val="zh-CN"/>
        </w:rPr>
        <w:t>、导致危险和有害物质及能量意外释放或失控的人的不安全行为、物的不安全状态、环境不良和管理缺陷等。</w:t>
      </w:r>
    </w:p>
    <w:p w:rsidR="00F72E65" w:rsidRDefault="00F72E65" w:rsidP="00F72E65">
      <w:pPr>
        <w:pStyle w:val="3"/>
        <w:ind w:firstLine="602"/>
      </w:pPr>
      <w:bookmarkStart w:id="5" w:name="_Toc2869783"/>
      <w:bookmarkStart w:id="6" w:name="_Toc29543"/>
      <w:bookmarkStart w:id="7" w:name="_Toc21155"/>
      <w:bookmarkStart w:id="8" w:name="_Toc454888616"/>
      <w:bookmarkStart w:id="9" w:name="_Toc10531"/>
      <w:r>
        <w:rPr>
          <w:rFonts w:hint="eastAsia"/>
        </w:rPr>
        <w:t>2</w:t>
      </w:r>
      <w:r>
        <w:rPr>
          <w:rFonts w:hint="eastAsia"/>
        </w:rPr>
        <w:t>经营涉及的危险化学品分类辨识</w:t>
      </w:r>
      <w:bookmarkEnd w:id="5"/>
      <w:bookmarkEnd w:id="6"/>
    </w:p>
    <w:p w:rsidR="00F72E65" w:rsidRDefault="00F72E65" w:rsidP="00F72E65">
      <w:pPr>
        <w:ind w:firstLine="560"/>
      </w:pPr>
      <w:bookmarkStart w:id="10" w:name="_Toc307844833"/>
      <w:bookmarkStart w:id="11" w:name="_Toc403343337"/>
      <w:bookmarkStart w:id="12" w:name="_Toc392521042"/>
      <w:bookmarkStart w:id="13" w:name="_Toc405714947"/>
      <w:bookmarkStart w:id="14" w:name="_Toc351501447"/>
      <w:r>
        <w:rPr>
          <w:rFonts w:hint="eastAsia"/>
        </w:rPr>
        <w:t>1</w:t>
      </w:r>
      <w:r>
        <w:rPr>
          <w:rFonts w:hint="eastAsia"/>
        </w:rPr>
        <w:t>、剧毒化学品</w:t>
      </w:r>
      <w:bookmarkEnd w:id="10"/>
      <w:bookmarkEnd w:id="11"/>
      <w:bookmarkEnd w:id="12"/>
      <w:bookmarkEnd w:id="13"/>
      <w:bookmarkEnd w:id="14"/>
      <w:r>
        <w:rPr>
          <w:rFonts w:hint="eastAsia"/>
        </w:rPr>
        <w:t>辨识</w:t>
      </w:r>
    </w:p>
    <w:p w:rsidR="00F72E65" w:rsidRDefault="00F72E65" w:rsidP="00F72E65">
      <w:pPr>
        <w:ind w:firstLine="560"/>
      </w:pPr>
      <w:r>
        <w:rPr>
          <w:rFonts w:hint="eastAsia"/>
        </w:rPr>
        <w:t>依据《危险化学品目录》（</w:t>
      </w:r>
      <w:r>
        <w:rPr>
          <w:rFonts w:hint="eastAsia"/>
        </w:rPr>
        <w:t>2015</w:t>
      </w:r>
      <w:r>
        <w:rPr>
          <w:rFonts w:hint="eastAsia"/>
        </w:rPr>
        <w:t>版）辨识，本加油站经营的汽油和柴油不属于剧毒化学品。</w:t>
      </w:r>
    </w:p>
    <w:p w:rsidR="00F72E65" w:rsidRDefault="00F72E65" w:rsidP="00F72E65">
      <w:pPr>
        <w:ind w:firstLine="560"/>
      </w:pPr>
      <w:r>
        <w:rPr>
          <w:rFonts w:hint="eastAsia"/>
        </w:rPr>
        <w:t>2</w:t>
      </w:r>
      <w:r>
        <w:rPr>
          <w:rFonts w:hint="eastAsia"/>
        </w:rPr>
        <w:t>、易制毒化学品辨识</w:t>
      </w:r>
    </w:p>
    <w:p w:rsidR="00F72E65" w:rsidRDefault="00F72E65" w:rsidP="00F72E65">
      <w:pPr>
        <w:ind w:firstLine="560"/>
      </w:pPr>
      <w:r>
        <w:rPr>
          <w:rFonts w:hint="eastAsia"/>
        </w:rPr>
        <w:lastRenderedPageBreak/>
        <w:t>依据《易制毒化学品的分类和品种目录》辨识，本加油站经营的汽油和柴油不属于易制毒化学品。</w:t>
      </w:r>
    </w:p>
    <w:p w:rsidR="00F72E65" w:rsidRDefault="00F72E65" w:rsidP="00F72E65">
      <w:pPr>
        <w:ind w:firstLine="560"/>
      </w:pPr>
      <w:r>
        <w:rPr>
          <w:rFonts w:hint="eastAsia"/>
        </w:rPr>
        <w:t>3</w:t>
      </w:r>
      <w:r>
        <w:rPr>
          <w:rFonts w:hint="eastAsia"/>
        </w:rPr>
        <w:t>、监控化学品辨识</w:t>
      </w:r>
    </w:p>
    <w:p w:rsidR="00F72E65" w:rsidRDefault="00F72E65" w:rsidP="00F72E65">
      <w:pPr>
        <w:ind w:firstLine="560"/>
      </w:pPr>
      <w:r>
        <w:rPr>
          <w:rFonts w:hint="eastAsia"/>
        </w:rPr>
        <w:t>依据《各类监控化学品名录》及《列入第三类监控化学品的新增品种清单》辨识，本加油站经营的汽油和柴油不属于监控化学品。</w:t>
      </w:r>
    </w:p>
    <w:p w:rsidR="00F72E65" w:rsidRDefault="00F72E65" w:rsidP="00F72E65">
      <w:pPr>
        <w:ind w:firstLine="560"/>
      </w:pPr>
      <w:bookmarkStart w:id="15" w:name="_Toc392521043"/>
      <w:bookmarkStart w:id="16" w:name="_Toc351501449"/>
      <w:bookmarkStart w:id="17" w:name="_Toc307844835"/>
      <w:bookmarkStart w:id="18" w:name="_Toc403343338"/>
      <w:bookmarkStart w:id="19" w:name="_Toc405714948"/>
      <w:r>
        <w:rPr>
          <w:rFonts w:hint="eastAsia"/>
        </w:rPr>
        <w:t>4</w:t>
      </w:r>
      <w:r>
        <w:rPr>
          <w:rFonts w:hint="eastAsia"/>
        </w:rPr>
        <w:t>、重点监管危险化学品辨识</w:t>
      </w:r>
      <w:bookmarkEnd w:id="15"/>
      <w:bookmarkEnd w:id="16"/>
      <w:bookmarkEnd w:id="17"/>
      <w:bookmarkEnd w:id="18"/>
      <w:bookmarkEnd w:id="19"/>
    </w:p>
    <w:p w:rsidR="00F72E65" w:rsidRDefault="00F72E65" w:rsidP="00F72E65">
      <w:pPr>
        <w:ind w:firstLine="560"/>
      </w:pPr>
      <w:r>
        <w:rPr>
          <w:rFonts w:hint="eastAsia"/>
        </w:rPr>
        <w:t>根据《国家安全监管总局关于公布首批重点监管的危险化学品名录的通知》【安监总管三</w:t>
      </w:r>
      <w:r>
        <w:rPr>
          <w:rFonts w:hint="eastAsia"/>
        </w:rPr>
        <w:t>[2011]95</w:t>
      </w:r>
      <w:r>
        <w:rPr>
          <w:rFonts w:hint="eastAsia"/>
        </w:rPr>
        <w:t>号】和《国家安全监管总局关于公布第二批重点监管危险化学品名录的通知》【安监总管三〔</w:t>
      </w:r>
      <w:r>
        <w:rPr>
          <w:rFonts w:hint="eastAsia"/>
        </w:rPr>
        <w:t>2013</w:t>
      </w:r>
      <w:r>
        <w:rPr>
          <w:rFonts w:hint="eastAsia"/>
        </w:rPr>
        <w:t>〕</w:t>
      </w:r>
      <w:r>
        <w:rPr>
          <w:rFonts w:hint="eastAsia"/>
        </w:rPr>
        <w:t>12</w:t>
      </w:r>
      <w:r>
        <w:rPr>
          <w:rFonts w:hint="eastAsia"/>
        </w:rPr>
        <w:t>号】进行辨识，本加油站经营的汽油属国家重点监管的危险化学品。</w:t>
      </w:r>
    </w:p>
    <w:p w:rsidR="00F72E65" w:rsidRDefault="00F72E65" w:rsidP="00F72E65">
      <w:pPr>
        <w:ind w:firstLine="560"/>
      </w:pPr>
      <w:bookmarkStart w:id="20" w:name="_Toc403343339"/>
      <w:bookmarkStart w:id="21" w:name="_Toc351501450"/>
      <w:bookmarkStart w:id="22" w:name="_Toc405714949"/>
      <w:bookmarkStart w:id="23" w:name="_Toc392521044"/>
      <w:r>
        <w:rPr>
          <w:rFonts w:hint="eastAsia"/>
        </w:rPr>
        <w:t>5</w:t>
      </w:r>
      <w:r>
        <w:rPr>
          <w:rFonts w:hint="eastAsia"/>
        </w:rPr>
        <w:t>、易制爆危险化学品辨识</w:t>
      </w:r>
      <w:bookmarkEnd w:id="20"/>
      <w:bookmarkEnd w:id="21"/>
      <w:bookmarkEnd w:id="22"/>
      <w:bookmarkEnd w:id="23"/>
    </w:p>
    <w:p w:rsidR="00F72E65" w:rsidRDefault="00F72E65" w:rsidP="00F72E65">
      <w:pPr>
        <w:ind w:firstLine="560"/>
      </w:pPr>
      <w:r>
        <w:rPr>
          <w:rFonts w:hint="eastAsia"/>
        </w:rPr>
        <w:t>根据</w:t>
      </w:r>
      <w:bookmarkStart w:id="24" w:name="OLE_LINK12"/>
      <w:r>
        <w:rPr>
          <w:rFonts w:hint="eastAsia"/>
        </w:rPr>
        <w:t>《易制爆危险化学品目录》</w:t>
      </w:r>
      <w:bookmarkEnd w:id="24"/>
      <w:r>
        <w:rPr>
          <w:rFonts w:hint="eastAsia"/>
        </w:rPr>
        <w:t>(2017</w:t>
      </w:r>
      <w:r>
        <w:rPr>
          <w:rFonts w:hint="eastAsia"/>
        </w:rPr>
        <w:t>年版，国务院令第</w:t>
      </w:r>
      <w:r>
        <w:rPr>
          <w:rFonts w:hint="eastAsia"/>
        </w:rPr>
        <w:t>591</w:t>
      </w:r>
      <w:r>
        <w:rPr>
          <w:rFonts w:hint="eastAsia"/>
        </w:rPr>
        <w:t>号</w:t>
      </w:r>
      <w:r>
        <w:rPr>
          <w:rFonts w:hint="eastAsia"/>
        </w:rPr>
        <w:t>)</w:t>
      </w:r>
      <w:r>
        <w:rPr>
          <w:rFonts w:hint="eastAsia"/>
        </w:rPr>
        <w:t>进行辨识，本加油站经营的汽油和柴油不属于易制爆危险化学品。</w:t>
      </w:r>
    </w:p>
    <w:p w:rsidR="00F72E65" w:rsidRDefault="00F72E65" w:rsidP="00F72E65">
      <w:pPr>
        <w:spacing w:line="360" w:lineRule="auto"/>
        <w:ind w:firstLineChars="0" w:firstLine="0"/>
        <w:jc w:val="center"/>
        <w:rPr>
          <w:rFonts w:ascii="仿宋" w:eastAsia="仿宋" w:hAnsi="仿宋" w:cs="仿宋"/>
          <w:b/>
          <w:sz w:val="24"/>
        </w:rPr>
      </w:pPr>
      <w:r>
        <w:rPr>
          <w:rFonts w:ascii="仿宋" w:eastAsia="仿宋" w:hAnsi="仿宋" w:cs="仿宋" w:hint="eastAsia"/>
          <w:b/>
          <w:sz w:val="24"/>
        </w:rPr>
        <w:t>表A-1 加油站潜在的危险性程度分析表</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tblPr>
      <w:tblGrid>
        <w:gridCol w:w="910"/>
        <w:gridCol w:w="2056"/>
        <w:gridCol w:w="2275"/>
        <w:gridCol w:w="3213"/>
      </w:tblGrid>
      <w:tr w:rsidR="00F72E65" w:rsidTr="00FB1507">
        <w:trPr>
          <w:trHeight w:hRule="exact" w:val="454"/>
          <w:jc w:val="center"/>
        </w:trPr>
        <w:tc>
          <w:tcPr>
            <w:tcW w:w="910" w:type="dxa"/>
            <w:tcBorders>
              <w:tl2br w:val="nil"/>
              <w:tr2bl w:val="nil"/>
            </w:tcBorders>
            <w:vAlign w:val="center"/>
          </w:tcPr>
          <w:p w:rsidR="00F72E65" w:rsidRDefault="00F72E65" w:rsidP="00FB1507">
            <w:pPr>
              <w:ind w:firstLineChars="0" w:firstLine="0"/>
              <w:jc w:val="center"/>
              <w:rPr>
                <w:rFonts w:ascii="宋体" w:hAnsi="宋体"/>
                <w:sz w:val="21"/>
                <w:szCs w:val="21"/>
              </w:rPr>
            </w:pPr>
            <w:r>
              <w:rPr>
                <w:rFonts w:ascii="宋体" w:hAnsi="宋体" w:hint="eastAsia"/>
                <w:sz w:val="21"/>
                <w:szCs w:val="21"/>
              </w:rPr>
              <w:t>序号</w:t>
            </w:r>
          </w:p>
        </w:tc>
        <w:tc>
          <w:tcPr>
            <w:tcW w:w="2056" w:type="dxa"/>
            <w:tcBorders>
              <w:tl2br w:val="nil"/>
              <w:tr2bl w:val="nil"/>
            </w:tcBorders>
            <w:vAlign w:val="center"/>
          </w:tcPr>
          <w:p w:rsidR="00F72E65" w:rsidRDefault="00F72E65" w:rsidP="00FB1507">
            <w:pPr>
              <w:ind w:firstLineChars="0" w:firstLine="0"/>
              <w:jc w:val="center"/>
              <w:rPr>
                <w:rFonts w:ascii="宋体" w:hAnsi="宋体"/>
                <w:sz w:val="21"/>
                <w:szCs w:val="21"/>
              </w:rPr>
            </w:pPr>
            <w:r>
              <w:rPr>
                <w:rFonts w:ascii="宋体" w:hAnsi="宋体" w:hint="eastAsia"/>
                <w:sz w:val="21"/>
                <w:szCs w:val="21"/>
              </w:rPr>
              <w:t>危险目标</w:t>
            </w:r>
          </w:p>
        </w:tc>
        <w:tc>
          <w:tcPr>
            <w:tcW w:w="2275" w:type="dxa"/>
            <w:tcBorders>
              <w:tl2br w:val="nil"/>
              <w:tr2bl w:val="nil"/>
            </w:tcBorders>
            <w:vAlign w:val="center"/>
          </w:tcPr>
          <w:p w:rsidR="00F72E65" w:rsidRDefault="00F72E65" w:rsidP="00FB1507">
            <w:pPr>
              <w:ind w:firstLineChars="0" w:firstLine="0"/>
              <w:jc w:val="center"/>
              <w:rPr>
                <w:rFonts w:ascii="宋体" w:hAnsi="宋体"/>
                <w:sz w:val="21"/>
                <w:szCs w:val="21"/>
              </w:rPr>
            </w:pPr>
            <w:r>
              <w:rPr>
                <w:rFonts w:ascii="宋体" w:hAnsi="宋体" w:hint="eastAsia"/>
                <w:sz w:val="21"/>
                <w:szCs w:val="21"/>
              </w:rPr>
              <w:t>可能发生的事故</w:t>
            </w:r>
          </w:p>
        </w:tc>
        <w:tc>
          <w:tcPr>
            <w:tcW w:w="3213" w:type="dxa"/>
            <w:tcBorders>
              <w:tl2br w:val="nil"/>
              <w:tr2bl w:val="nil"/>
            </w:tcBorders>
            <w:vAlign w:val="center"/>
          </w:tcPr>
          <w:p w:rsidR="00F72E65" w:rsidRDefault="00F72E65" w:rsidP="00FB1507">
            <w:pPr>
              <w:ind w:firstLineChars="0" w:firstLine="0"/>
              <w:jc w:val="center"/>
              <w:rPr>
                <w:rFonts w:ascii="宋体" w:hAnsi="宋体"/>
                <w:sz w:val="21"/>
                <w:szCs w:val="21"/>
              </w:rPr>
            </w:pPr>
            <w:r>
              <w:rPr>
                <w:rFonts w:ascii="宋体" w:hAnsi="宋体" w:hint="eastAsia"/>
                <w:sz w:val="21"/>
                <w:szCs w:val="21"/>
              </w:rPr>
              <w:t>事故的严重程度</w:t>
            </w:r>
          </w:p>
        </w:tc>
      </w:tr>
      <w:tr w:rsidR="00F72E65" w:rsidTr="00FB1507">
        <w:trPr>
          <w:trHeight w:hRule="exact" w:val="454"/>
          <w:jc w:val="center"/>
        </w:trPr>
        <w:tc>
          <w:tcPr>
            <w:tcW w:w="910" w:type="dxa"/>
            <w:vMerge w:val="restart"/>
            <w:tcBorders>
              <w:tl2br w:val="nil"/>
              <w:tr2bl w:val="nil"/>
            </w:tcBorders>
            <w:vAlign w:val="center"/>
          </w:tcPr>
          <w:p w:rsidR="00F72E65" w:rsidRDefault="00F72E65" w:rsidP="00FB1507">
            <w:pPr>
              <w:ind w:firstLineChars="0" w:firstLine="0"/>
              <w:jc w:val="center"/>
              <w:rPr>
                <w:rFonts w:ascii="宋体" w:hAnsi="宋体"/>
                <w:sz w:val="21"/>
                <w:szCs w:val="21"/>
              </w:rPr>
            </w:pPr>
            <w:r>
              <w:rPr>
                <w:rFonts w:ascii="宋体" w:hAnsi="宋体" w:hint="eastAsia"/>
                <w:sz w:val="21"/>
                <w:szCs w:val="21"/>
              </w:rPr>
              <w:t>1</w:t>
            </w:r>
          </w:p>
        </w:tc>
        <w:tc>
          <w:tcPr>
            <w:tcW w:w="2056" w:type="dxa"/>
            <w:vMerge w:val="restart"/>
            <w:tcBorders>
              <w:tl2br w:val="nil"/>
              <w:tr2bl w:val="nil"/>
            </w:tcBorders>
            <w:vAlign w:val="center"/>
          </w:tcPr>
          <w:p w:rsidR="00F72E65" w:rsidRDefault="00F72E65" w:rsidP="00FB1507">
            <w:pPr>
              <w:ind w:firstLineChars="0" w:firstLine="0"/>
              <w:jc w:val="center"/>
              <w:rPr>
                <w:rFonts w:ascii="宋体" w:hAnsi="宋体"/>
                <w:sz w:val="21"/>
                <w:szCs w:val="21"/>
              </w:rPr>
            </w:pPr>
            <w:r>
              <w:rPr>
                <w:rFonts w:ascii="宋体" w:hAnsi="宋体" w:hint="eastAsia"/>
                <w:sz w:val="21"/>
                <w:szCs w:val="21"/>
              </w:rPr>
              <w:t>加油区</w:t>
            </w:r>
          </w:p>
        </w:tc>
        <w:tc>
          <w:tcPr>
            <w:tcW w:w="2275" w:type="dxa"/>
            <w:tcBorders>
              <w:tl2br w:val="nil"/>
              <w:tr2bl w:val="nil"/>
            </w:tcBorders>
            <w:vAlign w:val="center"/>
          </w:tcPr>
          <w:p w:rsidR="00F72E65" w:rsidRDefault="00F72E65" w:rsidP="00FB1507">
            <w:pPr>
              <w:ind w:firstLineChars="0" w:firstLine="0"/>
              <w:jc w:val="center"/>
              <w:rPr>
                <w:rFonts w:ascii="宋体" w:hAnsi="宋体"/>
                <w:sz w:val="21"/>
                <w:szCs w:val="21"/>
              </w:rPr>
            </w:pPr>
            <w:r>
              <w:rPr>
                <w:rFonts w:ascii="宋体" w:hAnsi="宋体" w:hint="eastAsia"/>
                <w:sz w:val="21"/>
                <w:szCs w:val="21"/>
              </w:rPr>
              <w:t>火灾、爆炸</w:t>
            </w:r>
          </w:p>
        </w:tc>
        <w:tc>
          <w:tcPr>
            <w:tcW w:w="3213" w:type="dxa"/>
            <w:tcBorders>
              <w:tl2br w:val="nil"/>
              <w:tr2bl w:val="nil"/>
            </w:tcBorders>
            <w:vAlign w:val="center"/>
          </w:tcPr>
          <w:p w:rsidR="00F72E65" w:rsidRDefault="00F72E65" w:rsidP="00FB1507">
            <w:pPr>
              <w:ind w:firstLineChars="0" w:firstLine="0"/>
              <w:jc w:val="center"/>
              <w:rPr>
                <w:rFonts w:ascii="宋体" w:hAnsi="宋体"/>
                <w:sz w:val="21"/>
                <w:szCs w:val="21"/>
              </w:rPr>
            </w:pPr>
            <w:r>
              <w:rPr>
                <w:rFonts w:ascii="宋体" w:hAnsi="宋体" w:hint="eastAsia"/>
                <w:sz w:val="21"/>
                <w:szCs w:val="21"/>
              </w:rPr>
              <w:t>轻伤、重伤或死亡</w:t>
            </w:r>
          </w:p>
        </w:tc>
      </w:tr>
      <w:tr w:rsidR="00F72E65" w:rsidTr="00FB1507">
        <w:trPr>
          <w:trHeight w:hRule="exact" w:val="454"/>
          <w:jc w:val="center"/>
        </w:trPr>
        <w:tc>
          <w:tcPr>
            <w:tcW w:w="910" w:type="dxa"/>
            <w:vMerge/>
            <w:tcBorders>
              <w:tl2br w:val="nil"/>
              <w:tr2bl w:val="nil"/>
            </w:tcBorders>
            <w:vAlign w:val="center"/>
          </w:tcPr>
          <w:p w:rsidR="00F72E65" w:rsidRDefault="00F72E65" w:rsidP="00FB1507">
            <w:pPr>
              <w:ind w:firstLine="420"/>
              <w:jc w:val="center"/>
              <w:rPr>
                <w:rFonts w:ascii="宋体" w:hAnsi="宋体"/>
                <w:sz w:val="21"/>
                <w:szCs w:val="21"/>
              </w:rPr>
            </w:pPr>
          </w:p>
        </w:tc>
        <w:tc>
          <w:tcPr>
            <w:tcW w:w="2056" w:type="dxa"/>
            <w:vMerge/>
            <w:tcBorders>
              <w:tl2br w:val="nil"/>
              <w:tr2bl w:val="nil"/>
            </w:tcBorders>
            <w:vAlign w:val="center"/>
          </w:tcPr>
          <w:p w:rsidR="00F72E65" w:rsidRDefault="00F72E65" w:rsidP="00FB1507">
            <w:pPr>
              <w:ind w:firstLine="420"/>
              <w:jc w:val="center"/>
              <w:rPr>
                <w:rFonts w:ascii="宋体" w:hAnsi="宋体"/>
                <w:sz w:val="21"/>
                <w:szCs w:val="21"/>
              </w:rPr>
            </w:pPr>
          </w:p>
        </w:tc>
        <w:tc>
          <w:tcPr>
            <w:tcW w:w="2275" w:type="dxa"/>
            <w:tcBorders>
              <w:tl2br w:val="nil"/>
              <w:tr2bl w:val="nil"/>
            </w:tcBorders>
            <w:vAlign w:val="center"/>
          </w:tcPr>
          <w:p w:rsidR="00F72E65" w:rsidRDefault="00F72E65" w:rsidP="00FB1507">
            <w:pPr>
              <w:ind w:firstLineChars="0" w:firstLine="0"/>
              <w:jc w:val="center"/>
              <w:rPr>
                <w:rFonts w:ascii="宋体" w:hAnsi="宋体"/>
                <w:sz w:val="21"/>
                <w:szCs w:val="21"/>
              </w:rPr>
            </w:pPr>
            <w:r>
              <w:rPr>
                <w:rFonts w:ascii="宋体" w:hAnsi="宋体" w:hint="eastAsia"/>
                <w:sz w:val="21"/>
                <w:szCs w:val="21"/>
              </w:rPr>
              <w:t>中毒</w:t>
            </w:r>
          </w:p>
        </w:tc>
        <w:tc>
          <w:tcPr>
            <w:tcW w:w="3213" w:type="dxa"/>
            <w:tcBorders>
              <w:tl2br w:val="nil"/>
              <w:tr2bl w:val="nil"/>
            </w:tcBorders>
            <w:vAlign w:val="center"/>
          </w:tcPr>
          <w:p w:rsidR="00F72E65" w:rsidRDefault="00F72E65" w:rsidP="00FB1507">
            <w:pPr>
              <w:ind w:firstLineChars="0" w:firstLine="0"/>
              <w:jc w:val="center"/>
              <w:rPr>
                <w:rFonts w:ascii="宋体" w:hAnsi="宋体"/>
                <w:sz w:val="21"/>
                <w:szCs w:val="21"/>
              </w:rPr>
            </w:pPr>
            <w:r>
              <w:rPr>
                <w:rFonts w:ascii="宋体" w:hAnsi="宋体" w:hint="eastAsia"/>
                <w:sz w:val="21"/>
                <w:szCs w:val="21"/>
              </w:rPr>
              <w:t>轻伤、重伤</w:t>
            </w:r>
          </w:p>
        </w:tc>
      </w:tr>
      <w:tr w:rsidR="00F72E65" w:rsidTr="00FB1507">
        <w:trPr>
          <w:trHeight w:hRule="exact" w:val="454"/>
          <w:jc w:val="center"/>
        </w:trPr>
        <w:tc>
          <w:tcPr>
            <w:tcW w:w="910" w:type="dxa"/>
            <w:vMerge/>
            <w:tcBorders>
              <w:tl2br w:val="nil"/>
              <w:tr2bl w:val="nil"/>
            </w:tcBorders>
            <w:vAlign w:val="center"/>
          </w:tcPr>
          <w:p w:rsidR="00F72E65" w:rsidRDefault="00F72E65" w:rsidP="00FB1507">
            <w:pPr>
              <w:ind w:firstLine="420"/>
              <w:jc w:val="center"/>
              <w:rPr>
                <w:rFonts w:ascii="宋体" w:hAnsi="宋体"/>
                <w:sz w:val="21"/>
                <w:szCs w:val="21"/>
              </w:rPr>
            </w:pPr>
          </w:p>
        </w:tc>
        <w:tc>
          <w:tcPr>
            <w:tcW w:w="2056" w:type="dxa"/>
            <w:vMerge/>
            <w:tcBorders>
              <w:tl2br w:val="nil"/>
              <w:tr2bl w:val="nil"/>
            </w:tcBorders>
            <w:vAlign w:val="center"/>
          </w:tcPr>
          <w:p w:rsidR="00F72E65" w:rsidRDefault="00F72E65" w:rsidP="00FB1507">
            <w:pPr>
              <w:ind w:firstLine="420"/>
              <w:jc w:val="center"/>
              <w:rPr>
                <w:rFonts w:ascii="宋体" w:hAnsi="宋体"/>
                <w:sz w:val="21"/>
                <w:szCs w:val="21"/>
              </w:rPr>
            </w:pPr>
          </w:p>
        </w:tc>
        <w:tc>
          <w:tcPr>
            <w:tcW w:w="2275" w:type="dxa"/>
            <w:tcBorders>
              <w:tl2br w:val="nil"/>
              <w:tr2bl w:val="nil"/>
            </w:tcBorders>
            <w:vAlign w:val="center"/>
          </w:tcPr>
          <w:p w:rsidR="00F72E65" w:rsidRDefault="00F72E65" w:rsidP="00FB1507">
            <w:pPr>
              <w:ind w:firstLineChars="0" w:firstLine="0"/>
              <w:jc w:val="center"/>
              <w:rPr>
                <w:rFonts w:ascii="宋体" w:hAnsi="宋体"/>
                <w:sz w:val="21"/>
                <w:szCs w:val="21"/>
              </w:rPr>
            </w:pPr>
            <w:r>
              <w:rPr>
                <w:rFonts w:ascii="宋体" w:hAnsi="宋体" w:hint="eastAsia"/>
                <w:sz w:val="21"/>
                <w:szCs w:val="21"/>
              </w:rPr>
              <w:t>触电</w:t>
            </w:r>
          </w:p>
        </w:tc>
        <w:tc>
          <w:tcPr>
            <w:tcW w:w="3213" w:type="dxa"/>
            <w:tcBorders>
              <w:tl2br w:val="nil"/>
              <w:tr2bl w:val="nil"/>
            </w:tcBorders>
            <w:vAlign w:val="center"/>
          </w:tcPr>
          <w:p w:rsidR="00F72E65" w:rsidRDefault="00F72E65" w:rsidP="00FB1507">
            <w:pPr>
              <w:ind w:firstLineChars="0" w:firstLine="0"/>
              <w:jc w:val="center"/>
              <w:rPr>
                <w:rFonts w:ascii="宋体" w:hAnsi="宋体"/>
                <w:sz w:val="21"/>
                <w:szCs w:val="21"/>
              </w:rPr>
            </w:pPr>
            <w:r>
              <w:rPr>
                <w:rFonts w:ascii="宋体" w:hAnsi="宋体" w:hint="eastAsia"/>
                <w:sz w:val="21"/>
                <w:szCs w:val="21"/>
              </w:rPr>
              <w:t>轻伤、重伤</w:t>
            </w:r>
          </w:p>
        </w:tc>
      </w:tr>
      <w:tr w:rsidR="00F72E65" w:rsidTr="00FB1507">
        <w:trPr>
          <w:trHeight w:hRule="exact" w:val="454"/>
          <w:jc w:val="center"/>
        </w:trPr>
        <w:tc>
          <w:tcPr>
            <w:tcW w:w="910" w:type="dxa"/>
            <w:vMerge/>
            <w:tcBorders>
              <w:tl2br w:val="nil"/>
              <w:tr2bl w:val="nil"/>
            </w:tcBorders>
            <w:vAlign w:val="center"/>
          </w:tcPr>
          <w:p w:rsidR="00F72E65" w:rsidRDefault="00F72E65" w:rsidP="00FB1507">
            <w:pPr>
              <w:ind w:firstLine="420"/>
              <w:jc w:val="center"/>
              <w:rPr>
                <w:rFonts w:ascii="宋体" w:hAnsi="宋体"/>
                <w:sz w:val="21"/>
                <w:szCs w:val="21"/>
              </w:rPr>
            </w:pPr>
          </w:p>
        </w:tc>
        <w:tc>
          <w:tcPr>
            <w:tcW w:w="2056" w:type="dxa"/>
            <w:vMerge/>
            <w:tcBorders>
              <w:tl2br w:val="nil"/>
              <w:tr2bl w:val="nil"/>
            </w:tcBorders>
            <w:vAlign w:val="center"/>
          </w:tcPr>
          <w:p w:rsidR="00F72E65" w:rsidRDefault="00F72E65" w:rsidP="00FB1507">
            <w:pPr>
              <w:ind w:firstLine="420"/>
              <w:jc w:val="center"/>
              <w:rPr>
                <w:rFonts w:ascii="宋体" w:hAnsi="宋体"/>
                <w:sz w:val="21"/>
                <w:szCs w:val="21"/>
              </w:rPr>
            </w:pPr>
          </w:p>
        </w:tc>
        <w:tc>
          <w:tcPr>
            <w:tcW w:w="2275" w:type="dxa"/>
            <w:tcBorders>
              <w:tl2br w:val="nil"/>
              <w:tr2bl w:val="nil"/>
            </w:tcBorders>
            <w:vAlign w:val="center"/>
          </w:tcPr>
          <w:p w:rsidR="00F72E65" w:rsidRDefault="00F72E65" w:rsidP="00FB1507">
            <w:pPr>
              <w:ind w:firstLineChars="0" w:firstLine="0"/>
              <w:jc w:val="center"/>
              <w:rPr>
                <w:rFonts w:ascii="宋体" w:hAnsi="宋体"/>
                <w:sz w:val="21"/>
                <w:szCs w:val="21"/>
              </w:rPr>
            </w:pPr>
            <w:r>
              <w:rPr>
                <w:rFonts w:ascii="宋体" w:hAnsi="宋体" w:hint="eastAsia"/>
                <w:sz w:val="21"/>
                <w:szCs w:val="21"/>
              </w:rPr>
              <w:t>车辆伤害</w:t>
            </w:r>
          </w:p>
        </w:tc>
        <w:tc>
          <w:tcPr>
            <w:tcW w:w="3213" w:type="dxa"/>
            <w:tcBorders>
              <w:tl2br w:val="nil"/>
              <w:tr2bl w:val="nil"/>
            </w:tcBorders>
            <w:vAlign w:val="center"/>
          </w:tcPr>
          <w:p w:rsidR="00F72E65" w:rsidRDefault="00F72E65" w:rsidP="00FB1507">
            <w:pPr>
              <w:ind w:firstLineChars="0" w:firstLine="0"/>
              <w:jc w:val="center"/>
              <w:rPr>
                <w:rFonts w:ascii="宋体" w:hAnsi="宋体"/>
                <w:sz w:val="21"/>
                <w:szCs w:val="21"/>
              </w:rPr>
            </w:pPr>
            <w:r>
              <w:rPr>
                <w:rFonts w:ascii="宋体" w:hAnsi="宋体" w:hint="eastAsia"/>
                <w:sz w:val="21"/>
                <w:szCs w:val="21"/>
              </w:rPr>
              <w:t>轻伤、重伤或死亡</w:t>
            </w:r>
          </w:p>
        </w:tc>
      </w:tr>
      <w:tr w:rsidR="00F72E65" w:rsidTr="00FB1507">
        <w:trPr>
          <w:trHeight w:hRule="exact" w:val="454"/>
          <w:jc w:val="center"/>
        </w:trPr>
        <w:tc>
          <w:tcPr>
            <w:tcW w:w="910" w:type="dxa"/>
            <w:vMerge/>
            <w:tcBorders>
              <w:tl2br w:val="nil"/>
              <w:tr2bl w:val="nil"/>
            </w:tcBorders>
            <w:vAlign w:val="center"/>
          </w:tcPr>
          <w:p w:rsidR="00F72E65" w:rsidRDefault="00F72E65" w:rsidP="00FB1507">
            <w:pPr>
              <w:ind w:firstLine="420"/>
              <w:jc w:val="center"/>
              <w:rPr>
                <w:rFonts w:ascii="宋体" w:hAnsi="宋体"/>
                <w:sz w:val="21"/>
                <w:szCs w:val="21"/>
              </w:rPr>
            </w:pPr>
          </w:p>
        </w:tc>
        <w:tc>
          <w:tcPr>
            <w:tcW w:w="2056" w:type="dxa"/>
            <w:vMerge/>
            <w:tcBorders>
              <w:tl2br w:val="nil"/>
              <w:tr2bl w:val="nil"/>
            </w:tcBorders>
            <w:vAlign w:val="center"/>
          </w:tcPr>
          <w:p w:rsidR="00F72E65" w:rsidRDefault="00F72E65" w:rsidP="00FB1507">
            <w:pPr>
              <w:ind w:firstLine="420"/>
              <w:jc w:val="center"/>
              <w:rPr>
                <w:rFonts w:ascii="宋体" w:hAnsi="宋体"/>
                <w:sz w:val="21"/>
                <w:szCs w:val="21"/>
              </w:rPr>
            </w:pPr>
          </w:p>
        </w:tc>
        <w:tc>
          <w:tcPr>
            <w:tcW w:w="2275" w:type="dxa"/>
            <w:tcBorders>
              <w:tl2br w:val="nil"/>
              <w:tr2bl w:val="nil"/>
            </w:tcBorders>
            <w:vAlign w:val="center"/>
          </w:tcPr>
          <w:p w:rsidR="00F72E65" w:rsidRDefault="00F72E65" w:rsidP="00FB1507">
            <w:pPr>
              <w:ind w:firstLineChars="0" w:firstLine="0"/>
              <w:jc w:val="center"/>
              <w:rPr>
                <w:rFonts w:ascii="宋体" w:hAnsi="宋体"/>
                <w:sz w:val="21"/>
                <w:szCs w:val="21"/>
              </w:rPr>
            </w:pPr>
            <w:r>
              <w:rPr>
                <w:rFonts w:ascii="宋体" w:hAnsi="宋体" w:hint="eastAsia"/>
                <w:sz w:val="21"/>
                <w:szCs w:val="21"/>
              </w:rPr>
              <w:t>高处坠落</w:t>
            </w:r>
          </w:p>
        </w:tc>
        <w:tc>
          <w:tcPr>
            <w:tcW w:w="3213" w:type="dxa"/>
            <w:tcBorders>
              <w:tl2br w:val="nil"/>
              <w:tr2bl w:val="nil"/>
            </w:tcBorders>
            <w:vAlign w:val="center"/>
          </w:tcPr>
          <w:p w:rsidR="00F72E65" w:rsidRDefault="00F72E65" w:rsidP="00FB1507">
            <w:pPr>
              <w:ind w:firstLineChars="0" w:firstLine="0"/>
              <w:jc w:val="center"/>
              <w:rPr>
                <w:rFonts w:ascii="宋体" w:hAnsi="宋体"/>
                <w:sz w:val="21"/>
                <w:szCs w:val="21"/>
              </w:rPr>
            </w:pPr>
            <w:r>
              <w:rPr>
                <w:rFonts w:ascii="宋体" w:hAnsi="宋体" w:hint="eastAsia"/>
                <w:sz w:val="21"/>
                <w:szCs w:val="21"/>
              </w:rPr>
              <w:t>轻伤或重伤</w:t>
            </w:r>
          </w:p>
        </w:tc>
      </w:tr>
      <w:tr w:rsidR="00F72E65" w:rsidTr="00FB1507">
        <w:trPr>
          <w:trHeight w:hRule="exact" w:val="454"/>
          <w:jc w:val="center"/>
        </w:trPr>
        <w:tc>
          <w:tcPr>
            <w:tcW w:w="910" w:type="dxa"/>
            <w:vMerge w:val="restart"/>
            <w:tcBorders>
              <w:tl2br w:val="nil"/>
              <w:tr2bl w:val="nil"/>
            </w:tcBorders>
            <w:vAlign w:val="center"/>
          </w:tcPr>
          <w:p w:rsidR="00F72E65" w:rsidRDefault="00F72E65" w:rsidP="00FB1507">
            <w:pPr>
              <w:ind w:firstLineChars="0" w:firstLine="0"/>
              <w:jc w:val="center"/>
              <w:rPr>
                <w:rFonts w:ascii="宋体" w:hAnsi="宋体"/>
                <w:sz w:val="21"/>
                <w:szCs w:val="21"/>
              </w:rPr>
            </w:pPr>
            <w:r>
              <w:rPr>
                <w:rFonts w:ascii="宋体" w:hAnsi="宋体" w:hint="eastAsia"/>
                <w:sz w:val="21"/>
                <w:szCs w:val="21"/>
              </w:rPr>
              <w:t>2</w:t>
            </w:r>
          </w:p>
        </w:tc>
        <w:tc>
          <w:tcPr>
            <w:tcW w:w="2056" w:type="dxa"/>
            <w:vMerge w:val="restart"/>
            <w:tcBorders>
              <w:tl2br w:val="nil"/>
              <w:tr2bl w:val="nil"/>
            </w:tcBorders>
            <w:vAlign w:val="center"/>
          </w:tcPr>
          <w:p w:rsidR="00F72E65" w:rsidRDefault="00F72E65" w:rsidP="00FB1507">
            <w:pPr>
              <w:ind w:firstLineChars="0" w:firstLine="0"/>
              <w:jc w:val="center"/>
              <w:rPr>
                <w:rFonts w:ascii="宋体" w:hAnsi="宋体"/>
                <w:sz w:val="21"/>
                <w:szCs w:val="21"/>
              </w:rPr>
            </w:pPr>
            <w:r>
              <w:rPr>
                <w:rFonts w:ascii="宋体" w:hAnsi="宋体" w:hint="eastAsia"/>
                <w:sz w:val="21"/>
                <w:szCs w:val="21"/>
              </w:rPr>
              <w:t>储油罐</w:t>
            </w:r>
          </w:p>
        </w:tc>
        <w:tc>
          <w:tcPr>
            <w:tcW w:w="2275" w:type="dxa"/>
            <w:tcBorders>
              <w:tl2br w:val="nil"/>
              <w:tr2bl w:val="nil"/>
            </w:tcBorders>
            <w:vAlign w:val="center"/>
          </w:tcPr>
          <w:p w:rsidR="00F72E65" w:rsidRDefault="00F72E65" w:rsidP="00FB1507">
            <w:pPr>
              <w:ind w:firstLineChars="0" w:firstLine="0"/>
              <w:jc w:val="center"/>
              <w:rPr>
                <w:rFonts w:ascii="宋体" w:hAnsi="宋体"/>
                <w:sz w:val="21"/>
                <w:szCs w:val="21"/>
              </w:rPr>
            </w:pPr>
            <w:r>
              <w:rPr>
                <w:rFonts w:ascii="宋体" w:hAnsi="宋体" w:hint="eastAsia"/>
                <w:sz w:val="21"/>
                <w:szCs w:val="21"/>
              </w:rPr>
              <w:t>火灾、爆炸</w:t>
            </w:r>
          </w:p>
        </w:tc>
        <w:tc>
          <w:tcPr>
            <w:tcW w:w="3213" w:type="dxa"/>
            <w:tcBorders>
              <w:tl2br w:val="nil"/>
              <w:tr2bl w:val="nil"/>
            </w:tcBorders>
            <w:vAlign w:val="center"/>
          </w:tcPr>
          <w:p w:rsidR="00F72E65" w:rsidRDefault="00F72E65" w:rsidP="00FB1507">
            <w:pPr>
              <w:ind w:firstLineChars="0" w:firstLine="0"/>
              <w:jc w:val="center"/>
              <w:rPr>
                <w:rFonts w:ascii="宋体" w:hAnsi="宋体"/>
                <w:sz w:val="21"/>
                <w:szCs w:val="21"/>
              </w:rPr>
            </w:pPr>
            <w:r>
              <w:rPr>
                <w:rFonts w:ascii="宋体" w:hAnsi="宋体" w:hint="eastAsia"/>
                <w:sz w:val="21"/>
                <w:szCs w:val="21"/>
              </w:rPr>
              <w:t>轻伤、重伤或死亡</w:t>
            </w:r>
          </w:p>
        </w:tc>
      </w:tr>
      <w:tr w:rsidR="00F72E65" w:rsidTr="00FB1507">
        <w:trPr>
          <w:trHeight w:hRule="exact" w:val="454"/>
          <w:jc w:val="center"/>
        </w:trPr>
        <w:tc>
          <w:tcPr>
            <w:tcW w:w="910" w:type="dxa"/>
            <w:vMerge/>
            <w:tcBorders>
              <w:tl2br w:val="nil"/>
              <w:tr2bl w:val="nil"/>
            </w:tcBorders>
            <w:vAlign w:val="center"/>
          </w:tcPr>
          <w:p w:rsidR="00F72E65" w:rsidRDefault="00F72E65" w:rsidP="00FB1507">
            <w:pPr>
              <w:ind w:firstLine="420"/>
              <w:jc w:val="center"/>
              <w:rPr>
                <w:rFonts w:ascii="宋体" w:hAnsi="宋体"/>
                <w:sz w:val="21"/>
                <w:szCs w:val="21"/>
              </w:rPr>
            </w:pPr>
          </w:p>
        </w:tc>
        <w:tc>
          <w:tcPr>
            <w:tcW w:w="2056" w:type="dxa"/>
            <w:vMerge/>
            <w:tcBorders>
              <w:tl2br w:val="nil"/>
              <w:tr2bl w:val="nil"/>
            </w:tcBorders>
            <w:vAlign w:val="center"/>
          </w:tcPr>
          <w:p w:rsidR="00F72E65" w:rsidRDefault="00F72E65" w:rsidP="00FB1507">
            <w:pPr>
              <w:ind w:firstLine="420"/>
              <w:jc w:val="center"/>
              <w:rPr>
                <w:rFonts w:ascii="宋体" w:hAnsi="宋体"/>
                <w:sz w:val="21"/>
                <w:szCs w:val="21"/>
              </w:rPr>
            </w:pPr>
          </w:p>
        </w:tc>
        <w:tc>
          <w:tcPr>
            <w:tcW w:w="2275" w:type="dxa"/>
            <w:tcBorders>
              <w:tl2br w:val="nil"/>
              <w:tr2bl w:val="nil"/>
            </w:tcBorders>
            <w:vAlign w:val="center"/>
          </w:tcPr>
          <w:p w:rsidR="00F72E65" w:rsidRDefault="00F72E65" w:rsidP="00FB1507">
            <w:pPr>
              <w:ind w:firstLineChars="0" w:firstLine="0"/>
              <w:jc w:val="center"/>
              <w:rPr>
                <w:rFonts w:ascii="宋体" w:hAnsi="宋体"/>
                <w:sz w:val="21"/>
                <w:szCs w:val="21"/>
              </w:rPr>
            </w:pPr>
            <w:r>
              <w:rPr>
                <w:rFonts w:ascii="宋体" w:hAnsi="宋体" w:hint="eastAsia"/>
                <w:sz w:val="21"/>
                <w:szCs w:val="21"/>
              </w:rPr>
              <w:t>储油罐爆炸</w:t>
            </w:r>
          </w:p>
        </w:tc>
        <w:tc>
          <w:tcPr>
            <w:tcW w:w="3213" w:type="dxa"/>
            <w:tcBorders>
              <w:tl2br w:val="nil"/>
              <w:tr2bl w:val="nil"/>
            </w:tcBorders>
            <w:vAlign w:val="center"/>
          </w:tcPr>
          <w:p w:rsidR="00F72E65" w:rsidRDefault="00F72E65" w:rsidP="00FB1507">
            <w:pPr>
              <w:ind w:firstLineChars="0" w:firstLine="0"/>
              <w:jc w:val="center"/>
              <w:rPr>
                <w:rFonts w:ascii="宋体" w:hAnsi="宋体"/>
                <w:sz w:val="21"/>
                <w:szCs w:val="21"/>
              </w:rPr>
            </w:pPr>
            <w:r>
              <w:rPr>
                <w:rFonts w:ascii="宋体" w:hAnsi="宋体" w:hint="eastAsia"/>
                <w:sz w:val="21"/>
                <w:szCs w:val="21"/>
              </w:rPr>
              <w:t>轻伤、重伤或死亡</w:t>
            </w:r>
          </w:p>
        </w:tc>
      </w:tr>
      <w:tr w:rsidR="00F72E65" w:rsidTr="00FB1507">
        <w:trPr>
          <w:trHeight w:hRule="exact" w:val="454"/>
          <w:jc w:val="center"/>
        </w:trPr>
        <w:tc>
          <w:tcPr>
            <w:tcW w:w="910" w:type="dxa"/>
            <w:vMerge/>
            <w:tcBorders>
              <w:tl2br w:val="nil"/>
              <w:tr2bl w:val="nil"/>
            </w:tcBorders>
            <w:vAlign w:val="center"/>
          </w:tcPr>
          <w:p w:rsidR="00F72E65" w:rsidRDefault="00F72E65" w:rsidP="00FB1507">
            <w:pPr>
              <w:ind w:firstLine="420"/>
              <w:jc w:val="center"/>
              <w:rPr>
                <w:rFonts w:ascii="宋体" w:hAnsi="宋体"/>
                <w:sz w:val="21"/>
                <w:szCs w:val="21"/>
              </w:rPr>
            </w:pPr>
          </w:p>
        </w:tc>
        <w:tc>
          <w:tcPr>
            <w:tcW w:w="2056" w:type="dxa"/>
            <w:vMerge/>
            <w:tcBorders>
              <w:tl2br w:val="nil"/>
              <w:tr2bl w:val="nil"/>
            </w:tcBorders>
            <w:vAlign w:val="center"/>
          </w:tcPr>
          <w:p w:rsidR="00F72E65" w:rsidRDefault="00F72E65" w:rsidP="00FB1507">
            <w:pPr>
              <w:ind w:firstLine="420"/>
              <w:jc w:val="center"/>
              <w:rPr>
                <w:rFonts w:ascii="宋体" w:hAnsi="宋体"/>
                <w:sz w:val="21"/>
                <w:szCs w:val="21"/>
              </w:rPr>
            </w:pPr>
          </w:p>
        </w:tc>
        <w:tc>
          <w:tcPr>
            <w:tcW w:w="2275" w:type="dxa"/>
            <w:tcBorders>
              <w:tl2br w:val="nil"/>
              <w:tr2bl w:val="nil"/>
            </w:tcBorders>
            <w:vAlign w:val="center"/>
          </w:tcPr>
          <w:p w:rsidR="00F72E65" w:rsidRDefault="00F72E65" w:rsidP="00FB1507">
            <w:pPr>
              <w:ind w:firstLineChars="0" w:firstLine="0"/>
              <w:jc w:val="center"/>
              <w:rPr>
                <w:rFonts w:ascii="宋体" w:hAnsi="宋体"/>
                <w:sz w:val="21"/>
                <w:szCs w:val="21"/>
              </w:rPr>
            </w:pPr>
            <w:r>
              <w:rPr>
                <w:rFonts w:ascii="宋体" w:hAnsi="宋体" w:hint="eastAsia"/>
                <w:sz w:val="21"/>
                <w:szCs w:val="21"/>
              </w:rPr>
              <w:t>中毒</w:t>
            </w:r>
          </w:p>
        </w:tc>
        <w:tc>
          <w:tcPr>
            <w:tcW w:w="3213" w:type="dxa"/>
            <w:tcBorders>
              <w:tl2br w:val="nil"/>
              <w:tr2bl w:val="nil"/>
            </w:tcBorders>
            <w:vAlign w:val="center"/>
          </w:tcPr>
          <w:p w:rsidR="00F72E65" w:rsidRDefault="00F72E65" w:rsidP="00FB1507">
            <w:pPr>
              <w:ind w:firstLineChars="0" w:firstLine="0"/>
              <w:jc w:val="center"/>
              <w:rPr>
                <w:rFonts w:ascii="宋体" w:hAnsi="宋体"/>
                <w:sz w:val="21"/>
                <w:szCs w:val="21"/>
              </w:rPr>
            </w:pPr>
            <w:r>
              <w:rPr>
                <w:rFonts w:ascii="宋体" w:hAnsi="宋体" w:hint="eastAsia"/>
                <w:sz w:val="21"/>
                <w:szCs w:val="21"/>
              </w:rPr>
              <w:t>轻伤、重伤</w:t>
            </w:r>
          </w:p>
        </w:tc>
      </w:tr>
    </w:tbl>
    <w:p w:rsidR="00F72E65" w:rsidRDefault="00F72E65" w:rsidP="00F72E65">
      <w:pPr>
        <w:pStyle w:val="2"/>
        <w:sectPr w:rsidR="00F72E65">
          <w:pgSz w:w="11850" w:h="16783"/>
          <w:pgMar w:top="1440" w:right="1800" w:bottom="1440" w:left="1800" w:header="851" w:footer="992" w:gutter="0"/>
          <w:cols w:space="425"/>
          <w:docGrid w:type="lines" w:linePitch="312"/>
        </w:sectPr>
      </w:pPr>
    </w:p>
    <w:p w:rsidR="00F72E65" w:rsidRDefault="00F72E65" w:rsidP="00F72E65">
      <w:pPr>
        <w:pStyle w:val="2"/>
      </w:pPr>
      <w:bookmarkStart w:id="25" w:name="_Toc11838"/>
      <w:r>
        <w:lastRenderedPageBreak/>
        <w:t>A.2</w:t>
      </w:r>
      <w:r>
        <w:t>事故风险分析</w:t>
      </w:r>
      <w:bookmarkEnd w:id="25"/>
    </w:p>
    <w:p w:rsidR="00F72E65" w:rsidRDefault="00F72E65" w:rsidP="00F72E65">
      <w:pPr>
        <w:pStyle w:val="3"/>
        <w:ind w:firstLine="602"/>
      </w:pPr>
      <w:bookmarkStart w:id="26" w:name="_Toc23776"/>
      <w:r>
        <w:rPr>
          <w:rFonts w:hint="eastAsia"/>
        </w:rPr>
        <w:t>1</w:t>
      </w:r>
      <w:r>
        <w:rPr>
          <w:rFonts w:hint="eastAsia"/>
        </w:rPr>
        <w:t>物质固有性危险性分析</w:t>
      </w:r>
      <w:bookmarkEnd w:id="7"/>
      <w:bookmarkEnd w:id="8"/>
      <w:bookmarkEnd w:id="9"/>
      <w:bookmarkEnd w:id="26"/>
    </w:p>
    <w:p w:rsidR="00F72E65" w:rsidRDefault="00F72E65" w:rsidP="00F72E65">
      <w:pPr>
        <w:ind w:firstLine="560"/>
        <w:rPr>
          <w:rFonts w:ascii="宋体" w:hAnsi="宋体" w:cs="宋体"/>
        </w:rPr>
      </w:pPr>
      <w:r>
        <w:rPr>
          <w:rFonts w:ascii="宋体" w:hAnsi="宋体" w:cs="宋体" w:hint="eastAsia"/>
        </w:rPr>
        <w:t>高坪长乐加油站主要经营的成品油料有汽油、柴油，这些油料自身的危险性取决于这些物质的化学成分及其物理、化学性质，如易挥发、易流失、易燃易爆、有毒等。</w:t>
      </w:r>
    </w:p>
    <w:p w:rsidR="00F72E65" w:rsidRDefault="00F72E65" w:rsidP="00F72E65">
      <w:pPr>
        <w:ind w:firstLine="560"/>
      </w:pPr>
      <w:r>
        <w:rPr>
          <w:rFonts w:hint="eastAsia"/>
        </w:rPr>
        <w:t>汽油、柴油属易燃易爆化学品，加油站在设计、施工、经营过程中，管理不善易造成汽油和柴油泄漏，与点火源，即可发生火灾爆炸事故。物质危险特性见表</w:t>
      </w:r>
      <w:r>
        <w:rPr>
          <w:rFonts w:hint="eastAsia"/>
        </w:rPr>
        <w:t>1-1</w:t>
      </w:r>
      <w:r>
        <w:rPr>
          <w:rFonts w:hint="eastAsia"/>
        </w:rPr>
        <w:t>。</w:t>
      </w:r>
    </w:p>
    <w:p w:rsidR="00F72E65" w:rsidRDefault="00F72E65" w:rsidP="00F72E65">
      <w:pPr>
        <w:spacing w:line="360" w:lineRule="auto"/>
        <w:ind w:firstLineChars="0" w:firstLine="0"/>
        <w:jc w:val="center"/>
        <w:rPr>
          <w:rFonts w:ascii="仿宋" w:eastAsia="仿宋" w:hAnsi="仿宋" w:cs="仿宋"/>
          <w:b/>
          <w:sz w:val="24"/>
        </w:rPr>
      </w:pPr>
      <w:r>
        <w:rPr>
          <w:rFonts w:ascii="仿宋" w:eastAsia="仿宋" w:hAnsi="仿宋" w:cs="仿宋" w:hint="eastAsia"/>
          <w:b/>
          <w:sz w:val="24"/>
        </w:rPr>
        <w:t>表1-1    汽油、柴油火灾危险分类</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tblPr>
      <w:tblGrid>
        <w:gridCol w:w="900"/>
        <w:gridCol w:w="900"/>
        <w:gridCol w:w="936"/>
        <w:gridCol w:w="2161"/>
        <w:gridCol w:w="1656"/>
        <w:gridCol w:w="1236"/>
        <w:gridCol w:w="1116"/>
      </w:tblGrid>
      <w:tr w:rsidR="00F72E65" w:rsidTr="00FB1507">
        <w:trPr>
          <w:cantSplit/>
          <w:trHeight w:val="505"/>
          <w:jc w:val="center"/>
        </w:trPr>
        <w:tc>
          <w:tcPr>
            <w:tcW w:w="900" w:type="dxa"/>
            <w:tcBorders>
              <w:tl2br w:val="nil"/>
              <w:tr2bl w:val="nil"/>
            </w:tcBorders>
            <w:vAlign w:val="center"/>
          </w:tcPr>
          <w:p w:rsidR="00F72E65" w:rsidRDefault="00F72E65" w:rsidP="00C25B9F">
            <w:pPr>
              <w:adjustRightInd w:val="0"/>
              <w:snapToGrid w:val="0"/>
              <w:spacing w:beforeLines="50" w:afterLines="50"/>
              <w:ind w:firstLineChars="0" w:firstLine="0"/>
              <w:jc w:val="center"/>
              <w:rPr>
                <w:rFonts w:ascii="宋体" w:hAnsi="宋体" w:cs="宋体"/>
                <w:sz w:val="21"/>
                <w:szCs w:val="21"/>
              </w:rPr>
            </w:pPr>
            <w:r>
              <w:rPr>
                <w:rFonts w:ascii="宋体" w:hAnsi="宋体" w:cs="宋体" w:hint="eastAsia"/>
                <w:sz w:val="21"/>
                <w:szCs w:val="21"/>
              </w:rPr>
              <w:t>序号</w:t>
            </w:r>
          </w:p>
        </w:tc>
        <w:tc>
          <w:tcPr>
            <w:tcW w:w="900" w:type="dxa"/>
            <w:tcBorders>
              <w:tl2br w:val="nil"/>
              <w:tr2bl w:val="nil"/>
            </w:tcBorders>
            <w:vAlign w:val="center"/>
          </w:tcPr>
          <w:p w:rsidR="00F72E65" w:rsidRDefault="00F72E65" w:rsidP="00C25B9F">
            <w:pPr>
              <w:adjustRightInd w:val="0"/>
              <w:snapToGrid w:val="0"/>
              <w:spacing w:beforeLines="50" w:afterLines="50"/>
              <w:ind w:firstLineChars="0" w:firstLine="0"/>
              <w:jc w:val="center"/>
              <w:rPr>
                <w:rFonts w:ascii="宋体" w:hAnsi="宋体" w:cs="宋体"/>
                <w:sz w:val="21"/>
                <w:szCs w:val="21"/>
              </w:rPr>
            </w:pPr>
            <w:r>
              <w:rPr>
                <w:rFonts w:ascii="宋体" w:hAnsi="宋体" w:cs="宋体" w:hint="eastAsia"/>
                <w:sz w:val="21"/>
                <w:szCs w:val="21"/>
              </w:rPr>
              <w:t>名称</w:t>
            </w:r>
          </w:p>
        </w:tc>
        <w:tc>
          <w:tcPr>
            <w:tcW w:w="936" w:type="dxa"/>
            <w:tcBorders>
              <w:tl2br w:val="nil"/>
              <w:tr2bl w:val="nil"/>
            </w:tcBorders>
            <w:vAlign w:val="center"/>
          </w:tcPr>
          <w:p w:rsidR="00F72E65" w:rsidRDefault="00F72E65" w:rsidP="00C25B9F">
            <w:pPr>
              <w:adjustRightInd w:val="0"/>
              <w:snapToGrid w:val="0"/>
              <w:spacing w:beforeLines="50" w:afterLines="50"/>
              <w:ind w:firstLineChars="0" w:firstLine="0"/>
              <w:jc w:val="center"/>
              <w:rPr>
                <w:rFonts w:ascii="宋体" w:hAnsi="宋体" w:cs="宋体"/>
                <w:sz w:val="21"/>
                <w:szCs w:val="21"/>
              </w:rPr>
            </w:pPr>
            <w:r>
              <w:rPr>
                <w:rFonts w:ascii="宋体" w:hAnsi="宋体" w:cs="宋体" w:hint="eastAsia"/>
                <w:sz w:val="21"/>
                <w:szCs w:val="21"/>
              </w:rPr>
              <w:t>闪点℃</w:t>
            </w:r>
          </w:p>
        </w:tc>
        <w:tc>
          <w:tcPr>
            <w:tcW w:w="2161" w:type="dxa"/>
            <w:tcBorders>
              <w:tl2br w:val="nil"/>
              <w:tr2bl w:val="nil"/>
            </w:tcBorders>
            <w:vAlign w:val="center"/>
          </w:tcPr>
          <w:p w:rsidR="00F72E65" w:rsidRDefault="00F72E65" w:rsidP="00C25B9F">
            <w:pPr>
              <w:adjustRightInd w:val="0"/>
              <w:snapToGrid w:val="0"/>
              <w:spacing w:beforeLines="50" w:afterLines="50"/>
              <w:ind w:firstLineChars="0" w:firstLine="0"/>
              <w:jc w:val="center"/>
              <w:rPr>
                <w:rFonts w:ascii="宋体" w:hAnsi="宋体" w:cs="宋体"/>
                <w:sz w:val="21"/>
                <w:szCs w:val="21"/>
              </w:rPr>
            </w:pPr>
            <w:r>
              <w:rPr>
                <w:rFonts w:ascii="宋体" w:hAnsi="宋体" w:cs="宋体" w:hint="eastAsia"/>
                <w:sz w:val="21"/>
                <w:szCs w:val="21"/>
              </w:rPr>
              <w:t>空气中的爆炸极限V%</w:t>
            </w:r>
          </w:p>
        </w:tc>
        <w:tc>
          <w:tcPr>
            <w:tcW w:w="1656" w:type="dxa"/>
            <w:tcBorders>
              <w:tl2br w:val="nil"/>
              <w:tr2bl w:val="nil"/>
            </w:tcBorders>
            <w:vAlign w:val="center"/>
          </w:tcPr>
          <w:p w:rsidR="00F72E65" w:rsidRDefault="00F72E65" w:rsidP="00C25B9F">
            <w:pPr>
              <w:adjustRightInd w:val="0"/>
              <w:snapToGrid w:val="0"/>
              <w:spacing w:beforeLines="50" w:afterLines="50"/>
              <w:ind w:firstLineChars="0" w:firstLine="0"/>
              <w:jc w:val="center"/>
              <w:rPr>
                <w:rFonts w:ascii="宋体" w:hAnsi="宋体" w:cs="宋体"/>
                <w:sz w:val="21"/>
                <w:szCs w:val="21"/>
              </w:rPr>
            </w:pPr>
            <w:r>
              <w:rPr>
                <w:rFonts w:ascii="宋体" w:hAnsi="宋体" w:cs="宋体" w:hint="eastAsia"/>
                <w:sz w:val="21"/>
                <w:szCs w:val="21"/>
              </w:rPr>
              <w:t>火灾危险性分类</w:t>
            </w:r>
          </w:p>
        </w:tc>
        <w:tc>
          <w:tcPr>
            <w:tcW w:w="1236" w:type="dxa"/>
            <w:tcBorders>
              <w:tl2br w:val="nil"/>
              <w:tr2bl w:val="nil"/>
            </w:tcBorders>
            <w:vAlign w:val="center"/>
          </w:tcPr>
          <w:p w:rsidR="00F72E65" w:rsidRDefault="00F72E65" w:rsidP="00C25B9F">
            <w:pPr>
              <w:adjustRightInd w:val="0"/>
              <w:snapToGrid w:val="0"/>
              <w:spacing w:beforeLines="50" w:afterLines="50"/>
              <w:ind w:firstLine="420"/>
              <w:jc w:val="center"/>
              <w:rPr>
                <w:rFonts w:ascii="宋体" w:hAnsi="宋体" w:cs="宋体"/>
                <w:sz w:val="21"/>
                <w:szCs w:val="21"/>
              </w:rPr>
            </w:pPr>
            <w:r>
              <w:rPr>
                <w:rFonts w:ascii="宋体" w:hAnsi="宋体" w:cs="宋体" w:hint="eastAsia"/>
                <w:sz w:val="21"/>
                <w:szCs w:val="21"/>
              </w:rPr>
              <w:t>CAS号</w:t>
            </w:r>
          </w:p>
        </w:tc>
        <w:tc>
          <w:tcPr>
            <w:tcW w:w="1116" w:type="dxa"/>
            <w:tcBorders>
              <w:tl2br w:val="nil"/>
              <w:tr2bl w:val="nil"/>
            </w:tcBorders>
            <w:vAlign w:val="center"/>
          </w:tcPr>
          <w:p w:rsidR="00F72E65" w:rsidRDefault="00F72E65" w:rsidP="00C25B9F">
            <w:pPr>
              <w:adjustRightInd w:val="0"/>
              <w:snapToGrid w:val="0"/>
              <w:spacing w:beforeLines="50" w:afterLines="50"/>
              <w:ind w:firstLineChars="0" w:firstLine="0"/>
              <w:jc w:val="center"/>
              <w:rPr>
                <w:rFonts w:ascii="宋体" w:hAnsi="宋体" w:cs="宋体"/>
                <w:sz w:val="21"/>
                <w:szCs w:val="21"/>
              </w:rPr>
            </w:pPr>
            <w:r>
              <w:rPr>
                <w:rFonts w:ascii="宋体" w:hAnsi="宋体" w:cs="宋体" w:hint="eastAsia"/>
                <w:sz w:val="21"/>
                <w:szCs w:val="21"/>
              </w:rPr>
              <w:t>危规序号</w:t>
            </w:r>
          </w:p>
        </w:tc>
      </w:tr>
      <w:tr w:rsidR="00F72E65" w:rsidTr="00FB1507">
        <w:trPr>
          <w:cantSplit/>
          <w:trHeight w:val="445"/>
          <w:jc w:val="center"/>
        </w:trPr>
        <w:tc>
          <w:tcPr>
            <w:tcW w:w="900" w:type="dxa"/>
            <w:tcBorders>
              <w:tl2br w:val="nil"/>
              <w:tr2bl w:val="nil"/>
            </w:tcBorders>
            <w:vAlign w:val="center"/>
          </w:tcPr>
          <w:p w:rsidR="00F72E65" w:rsidRDefault="00F72E65" w:rsidP="00C25B9F">
            <w:pPr>
              <w:adjustRightInd w:val="0"/>
              <w:snapToGrid w:val="0"/>
              <w:spacing w:beforeLines="50" w:afterLines="50"/>
              <w:ind w:firstLineChars="0" w:firstLine="0"/>
              <w:jc w:val="center"/>
              <w:rPr>
                <w:rFonts w:ascii="宋体" w:hAnsi="宋体" w:cs="宋体"/>
                <w:sz w:val="21"/>
                <w:szCs w:val="21"/>
              </w:rPr>
            </w:pPr>
            <w:r>
              <w:rPr>
                <w:rFonts w:ascii="宋体" w:hAnsi="宋体" w:cs="宋体" w:hint="eastAsia"/>
                <w:sz w:val="21"/>
                <w:szCs w:val="21"/>
              </w:rPr>
              <w:t>1</w:t>
            </w:r>
          </w:p>
        </w:tc>
        <w:tc>
          <w:tcPr>
            <w:tcW w:w="900" w:type="dxa"/>
            <w:tcBorders>
              <w:tl2br w:val="nil"/>
              <w:tr2bl w:val="nil"/>
            </w:tcBorders>
            <w:vAlign w:val="center"/>
          </w:tcPr>
          <w:p w:rsidR="00F72E65" w:rsidRDefault="00F72E65" w:rsidP="00C25B9F">
            <w:pPr>
              <w:adjustRightInd w:val="0"/>
              <w:snapToGrid w:val="0"/>
              <w:spacing w:beforeLines="50" w:afterLines="50"/>
              <w:ind w:firstLineChars="0" w:firstLine="0"/>
              <w:jc w:val="center"/>
              <w:rPr>
                <w:rFonts w:ascii="宋体" w:hAnsi="宋体" w:cs="宋体"/>
                <w:sz w:val="21"/>
                <w:szCs w:val="21"/>
              </w:rPr>
            </w:pPr>
            <w:r>
              <w:rPr>
                <w:rFonts w:ascii="宋体" w:hAnsi="宋体" w:cs="宋体" w:hint="eastAsia"/>
                <w:sz w:val="21"/>
                <w:szCs w:val="21"/>
              </w:rPr>
              <w:t>柴油</w:t>
            </w:r>
          </w:p>
        </w:tc>
        <w:tc>
          <w:tcPr>
            <w:tcW w:w="936" w:type="dxa"/>
            <w:tcBorders>
              <w:tl2br w:val="nil"/>
              <w:tr2bl w:val="nil"/>
            </w:tcBorders>
            <w:vAlign w:val="center"/>
          </w:tcPr>
          <w:p w:rsidR="00F72E65" w:rsidRDefault="00F72E65" w:rsidP="00C25B9F">
            <w:pPr>
              <w:adjustRightInd w:val="0"/>
              <w:snapToGrid w:val="0"/>
              <w:spacing w:beforeLines="50" w:afterLines="50"/>
              <w:ind w:firstLineChars="0" w:firstLine="0"/>
              <w:jc w:val="center"/>
              <w:rPr>
                <w:rFonts w:ascii="宋体" w:hAnsi="宋体" w:cs="宋体"/>
                <w:sz w:val="21"/>
                <w:szCs w:val="21"/>
              </w:rPr>
            </w:pPr>
            <w:r>
              <w:rPr>
                <w:rFonts w:ascii="宋体" w:hAnsi="宋体" w:cs="宋体" w:hint="eastAsia"/>
                <w:sz w:val="21"/>
                <w:szCs w:val="21"/>
              </w:rPr>
              <w:t>≤60℃</w:t>
            </w:r>
          </w:p>
        </w:tc>
        <w:tc>
          <w:tcPr>
            <w:tcW w:w="2161" w:type="dxa"/>
            <w:tcBorders>
              <w:tl2br w:val="nil"/>
              <w:tr2bl w:val="nil"/>
            </w:tcBorders>
            <w:vAlign w:val="center"/>
          </w:tcPr>
          <w:p w:rsidR="00F72E65" w:rsidRDefault="00F72E65" w:rsidP="00C25B9F">
            <w:pPr>
              <w:adjustRightInd w:val="0"/>
              <w:snapToGrid w:val="0"/>
              <w:spacing w:beforeLines="50" w:afterLines="50"/>
              <w:ind w:firstLineChars="0" w:firstLine="0"/>
              <w:jc w:val="center"/>
              <w:rPr>
                <w:rFonts w:ascii="宋体" w:hAnsi="宋体" w:cs="宋体"/>
                <w:sz w:val="21"/>
                <w:szCs w:val="21"/>
              </w:rPr>
            </w:pPr>
            <w:r>
              <w:rPr>
                <w:rFonts w:ascii="宋体" w:hAnsi="宋体" w:cs="宋体" w:hint="eastAsia"/>
                <w:sz w:val="21"/>
                <w:szCs w:val="21"/>
              </w:rPr>
              <w:t>无资料</w:t>
            </w:r>
          </w:p>
        </w:tc>
        <w:tc>
          <w:tcPr>
            <w:tcW w:w="1656" w:type="dxa"/>
            <w:tcBorders>
              <w:tl2br w:val="nil"/>
              <w:tr2bl w:val="nil"/>
            </w:tcBorders>
            <w:vAlign w:val="center"/>
          </w:tcPr>
          <w:p w:rsidR="00F72E65" w:rsidRDefault="00F72E65" w:rsidP="00C25B9F">
            <w:pPr>
              <w:adjustRightInd w:val="0"/>
              <w:snapToGrid w:val="0"/>
              <w:spacing w:beforeLines="50" w:afterLines="50"/>
              <w:ind w:firstLineChars="0" w:firstLine="0"/>
              <w:jc w:val="center"/>
              <w:rPr>
                <w:rFonts w:ascii="宋体" w:hAnsi="宋体" w:cs="宋体"/>
                <w:sz w:val="21"/>
                <w:szCs w:val="21"/>
              </w:rPr>
            </w:pPr>
            <w:r>
              <w:rPr>
                <w:rFonts w:ascii="宋体" w:hAnsi="宋体" w:cs="宋体" w:hint="eastAsia"/>
                <w:spacing w:val="8"/>
                <w:sz w:val="21"/>
                <w:szCs w:val="21"/>
                <w:shd w:val="clear" w:color="auto" w:fill="FFFFFF"/>
              </w:rPr>
              <w:t>乙</w:t>
            </w:r>
          </w:p>
        </w:tc>
        <w:tc>
          <w:tcPr>
            <w:tcW w:w="1236" w:type="dxa"/>
            <w:tcBorders>
              <w:tl2br w:val="nil"/>
              <w:tr2bl w:val="nil"/>
            </w:tcBorders>
            <w:vAlign w:val="center"/>
          </w:tcPr>
          <w:p w:rsidR="00F72E65" w:rsidRDefault="00F72E65" w:rsidP="00C25B9F">
            <w:pPr>
              <w:adjustRightInd w:val="0"/>
              <w:snapToGrid w:val="0"/>
              <w:spacing w:beforeLines="50" w:afterLines="50"/>
              <w:ind w:firstLine="420"/>
              <w:jc w:val="center"/>
              <w:rPr>
                <w:rFonts w:ascii="宋体" w:hAnsi="宋体" w:cs="宋体"/>
                <w:sz w:val="21"/>
                <w:szCs w:val="21"/>
              </w:rPr>
            </w:pPr>
          </w:p>
        </w:tc>
        <w:tc>
          <w:tcPr>
            <w:tcW w:w="1116" w:type="dxa"/>
            <w:tcBorders>
              <w:tl2br w:val="nil"/>
              <w:tr2bl w:val="nil"/>
            </w:tcBorders>
            <w:vAlign w:val="center"/>
          </w:tcPr>
          <w:p w:rsidR="00F72E65" w:rsidRDefault="00F72E65" w:rsidP="00C25B9F">
            <w:pPr>
              <w:adjustRightInd w:val="0"/>
              <w:snapToGrid w:val="0"/>
              <w:spacing w:beforeLines="50" w:afterLines="50"/>
              <w:ind w:firstLineChars="0" w:firstLine="0"/>
              <w:jc w:val="center"/>
              <w:rPr>
                <w:rFonts w:ascii="宋体" w:hAnsi="宋体" w:cs="宋体"/>
                <w:sz w:val="21"/>
                <w:szCs w:val="21"/>
              </w:rPr>
            </w:pPr>
            <w:r>
              <w:rPr>
                <w:rFonts w:ascii="宋体" w:hAnsi="宋体" w:cs="宋体" w:hint="eastAsia"/>
                <w:sz w:val="21"/>
                <w:szCs w:val="21"/>
              </w:rPr>
              <w:t>1674</w:t>
            </w:r>
          </w:p>
        </w:tc>
      </w:tr>
      <w:tr w:rsidR="00F72E65" w:rsidTr="00FB1507">
        <w:trPr>
          <w:cantSplit/>
          <w:trHeight w:val="361"/>
          <w:jc w:val="center"/>
        </w:trPr>
        <w:tc>
          <w:tcPr>
            <w:tcW w:w="900" w:type="dxa"/>
            <w:tcBorders>
              <w:tl2br w:val="nil"/>
              <w:tr2bl w:val="nil"/>
            </w:tcBorders>
            <w:vAlign w:val="center"/>
          </w:tcPr>
          <w:p w:rsidR="00F72E65" w:rsidRDefault="00F72E65" w:rsidP="00C25B9F">
            <w:pPr>
              <w:adjustRightInd w:val="0"/>
              <w:snapToGrid w:val="0"/>
              <w:spacing w:beforeLines="50" w:afterLines="50"/>
              <w:ind w:firstLineChars="0" w:firstLine="0"/>
              <w:jc w:val="center"/>
              <w:rPr>
                <w:rFonts w:ascii="宋体" w:hAnsi="宋体" w:cs="宋体"/>
                <w:sz w:val="21"/>
                <w:szCs w:val="21"/>
              </w:rPr>
            </w:pPr>
            <w:r>
              <w:rPr>
                <w:rFonts w:ascii="宋体" w:hAnsi="宋体" w:cs="宋体" w:hint="eastAsia"/>
                <w:sz w:val="21"/>
                <w:szCs w:val="21"/>
              </w:rPr>
              <w:t>2</w:t>
            </w:r>
          </w:p>
        </w:tc>
        <w:tc>
          <w:tcPr>
            <w:tcW w:w="900" w:type="dxa"/>
            <w:tcBorders>
              <w:tl2br w:val="nil"/>
              <w:tr2bl w:val="nil"/>
            </w:tcBorders>
            <w:vAlign w:val="center"/>
          </w:tcPr>
          <w:p w:rsidR="00F72E65" w:rsidRDefault="00F72E65" w:rsidP="00C25B9F">
            <w:pPr>
              <w:adjustRightInd w:val="0"/>
              <w:snapToGrid w:val="0"/>
              <w:spacing w:beforeLines="50" w:afterLines="50"/>
              <w:ind w:firstLineChars="0" w:firstLine="0"/>
              <w:jc w:val="center"/>
              <w:rPr>
                <w:rFonts w:ascii="宋体" w:hAnsi="宋体" w:cs="宋体"/>
                <w:sz w:val="21"/>
                <w:szCs w:val="21"/>
              </w:rPr>
            </w:pPr>
            <w:r>
              <w:rPr>
                <w:rFonts w:ascii="宋体" w:hAnsi="宋体" w:cs="宋体" w:hint="eastAsia"/>
                <w:sz w:val="21"/>
                <w:szCs w:val="21"/>
              </w:rPr>
              <w:t>汽油</w:t>
            </w:r>
          </w:p>
        </w:tc>
        <w:tc>
          <w:tcPr>
            <w:tcW w:w="936" w:type="dxa"/>
            <w:tcBorders>
              <w:tl2br w:val="nil"/>
              <w:tr2bl w:val="nil"/>
            </w:tcBorders>
            <w:vAlign w:val="center"/>
          </w:tcPr>
          <w:p w:rsidR="00F72E65" w:rsidRDefault="00F72E65" w:rsidP="00C25B9F">
            <w:pPr>
              <w:adjustRightInd w:val="0"/>
              <w:snapToGrid w:val="0"/>
              <w:spacing w:beforeLines="50" w:afterLines="50"/>
              <w:ind w:firstLineChars="0" w:firstLine="0"/>
              <w:jc w:val="center"/>
              <w:rPr>
                <w:rFonts w:ascii="宋体" w:hAnsi="宋体" w:cs="宋体"/>
                <w:sz w:val="21"/>
                <w:szCs w:val="21"/>
              </w:rPr>
            </w:pPr>
            <w:r>
              <w:rPr>
                <w:rFonts w:ascii="宋体" w:hAnsi="宋体" w:cs="宋体" w:hint="eastAsia"/>
                <w:spacing w:val="8"/>
                <w:sz w:val="21"/>
                <w:szCs w:val="21"/>
                <w:shd w:val="clear" w:color="auto" w:fill="FFFFFF"/>
              </w:rPr>
              <w:t>-50 ℃</w:t>
            </w:r>
          </w:p>
        </w:tc>
        <w:tc>
          <w:tcPr>
            <w:tcW w:w="2161" w:type="dxa"/>
            <w:tcBorders>
              <w:tl2br w:val="nil"/>
              <w:tr2bl w:val="nil"/>
            </w:tcBorders>
            <w:vAlign w:val="center"/>
          </w:tcPr>
          <w:p w:rsidR="00F72E65" w:rsidRDefault="00F72E65" w:rsidP="00C25B9F">
            <w:pPr>
              <w:adjustRightInd w:val="0"/>
              <w:snapToGrid w:val="0"/>
              <w:spacing w:beforeLines="50" w:afterLines="50"/>
              <w:ind w:firstLineChars="0" w:firstLine="0"/>
              <w:jc w:val="center"/>
              <w:rPr>
                <w:rFonts w:ascii="宋体" w:hAnsi="宋体" w:cs="宋体"/>
                <w:sz w:val="21"/>
                <w:szCs w:val="21"/>
              </w:rPr>
            </w:pPr>
            <w:r>
              <w:rPr>
                <w:rFonts w:ascii="宋体" w:hAnsi="宋体" w:cs="宋体" w:hint="eastAsia"/>
                <w:sz w:val="21"/>
                <w:szCs w:val="21"/>
              </w:rPr>
              <w:t>1.3～6</w:t>
            </w:r>
          </w:p>
        </w:tc>
        <w:tc>
          <w:tcPr>
            <w:tcW w:w="1656" w:type="dxa"/>
            <w:tcBorders>
              <w:tl2br w:val="nil"/>
              <w:tr2bl w:val="nil"/>
            </w:tcBorders>
            <w:vAlign w:val="center"/>
          </w:tcPr>
          <w:p w:rsidR="00F72E65" w:rsidRDefault="00F72E65" w:rsidP="00C25B9F">
            <w:pPr>
              <w:adjustRightInd w:val="0"/>
              <w:snapToGrid w:val="0"/>
              <w:spacing w:beforeLines="50" w:afterLines="50"/>
              <w:ind w:firstLineChars="0" w:firstLine="0"/>
              <w:jc w:val="center"/>
              <w:rPr>
                <w:rFonts w:ascii="宋体" w:hAnsi="宋体" w:cs="宋体"/>
                <w:sz w:val="21"/>
                <w:szCs w:val="21"/>
              </w:rPr>
            </w:pPr>
            <w:r>
              <w:rPr>
                <w:rFonts w:ascii="宋体" w:hAnsi="宋体" w:cs="宋体" w:hint="eastAsia"/>
                <w:sz w:val="21"/>
                <w:szCs w:val="21"/>
              </w:rPr>
              <w:t>甲</w:t>
            </w:r>
          </w:p>
        </w:tc>
        <w:tc>
          <w:tcPr>
            <w:tcW w:w="1236" w:type="dxa"/>
            <w:tcBorders>
              <w:tl2br w:val="nil"/>
              <w:tr2bl w:val="nil"/>
            </w:tcBorders>
            <w:vAlign w:val="center"/>
          </w:tcPr>
          <w:p w:rsidR="00F72E65" w:rsidRDefault="00F72E65" w:rsidP="00C25B9F">
            <w:pPr>
              <w:adjustRightInd w:val="0"/>
              <w:snapToGrid w:val="0"/>
              <w:spacing w:beforeLines="50" w:afterLines="50"/>
              <w:ind w:firstLineChars="0" w:firstLine="0"/>
              <w:jc w:val="center"/>
              <w:rPr>
                <w:rFonts w:ascii="宋体" w:hAnsi="宋体" w:cs="宋体"/>
                <w:sz w:val="21"/>
                <w:szCs w:val="21"/>
              </w:rPr>
            </w:pPr>
            <w:r>
              <w:rPr>
                <w:rFonts w:ascii="宋体" w:hAnsi="宋体" w:cs="宋体" w:hint="eastAsia"/>
                <w:sz w:val="21"/>
                <w:szCs w:val="21"/>
              </w:rPr>
              <w:t>8006-61-9</w:t>
            </w:r>
          </w:p>
        </w:tc>
        <w:tc>
          <w:tcPr>
            <w:tcW w:w="1116" w:type="dxa"/>
            <w:tcBorders>
              <w:tl2br w:val="nil"/>
              <w:tr2bl w:val="nil"/>
            </w:tcBorders>
            <w:vAlign w:val="center"/>
          </w:tcPr>
          <w:p w:rsidR="00F72E65" w:rsidRDefault="00F72E65" w:rsidP="00C25B9F">
            <w:pPr>
              <w:adjustRightInd w:val="0"/>
              <w:snapToGrid w:val="0"/>
              <w:spacing w:beforeLines="50" w:afterLines="50"/>
              <w:ind w:firstLineChars="0" w:firstLine="0"/>
              <w:jc w:val="center"/>
              <w:rPr>
                <w:rFonts w:ascii="宋体" w:hAnsi="宋体" w:cs="宋体"/>
                <w:sz w:val="21"/>
                <w:szCs w:val="21"/>
              </w:rPr>
            </w:pPr>
            <w:r>
              <w:rPr>
                <w:rFonts w:ascii="宋体" w:hAnsi="宋体" w:cs="宋体" w:hint="eastAsia"/>
                <w:sz w:val="21"/>
                <w:szCs w:val="21"/>
              </w:rPr>
              <w:t>1630</w:t>
            </w:r>
          </w:p>
        </w:tc>
      </w:tr>
    </w:tbl>
    <w:p w:rsidR="00F72E65" w:rsidRDefault="00F72E65" w:rsidP="00F72E65">
      <w:pPr>
        <w:ind w:firstLine="562"/>
        <w:rPr>
          <w:rFonts w:ascii="宋体" w:hAnsi="宋体" w:cs="宋体"/>
        </w:rPr>
      </w:pPr>
      <w:r>
        <w:rPr>
          <w:rFonts w:ascii="宋体" w:hAnsi="宋体" w:cs="宋体" w:hint="eastAsia"/>
          <w:b/>
          <w:bCs/>
        </w:rPr>
        <w:t>汽油本身的主要危险有害因素有</w:t>
      </w:r>
      <w:r>
        <w:rPr>
          <w:rFonts w:ascii="宋体" w:hAnsi="宋体" w:cs="宋体" w:hint="eastAsia"/>
        </w:rPr>
        <w:t>：</w:t>
      </w:r>
    </w:p>
    <w:p w:rsidR="00F72E65" w:rsidRDefault="00F72E65" w:rsidP="00F72E65">
      <w:pPr>
        <w:ind w:firstLine="560"/>
      </w:pPr>
      <w:r>
        <w:rPr>
          <w:rFonts w:hint="eastAsia"/>
        </w:rPr>
        <w:t>易燃、易爆性、毒性、易挥发、热膨胀性、易产生静电、易扩散、易流淌。</w:t>
      </w:r>
    </w:p>
    <w:p w:rsidR="00F72E65" w:rsidRDefault="00F72E65" w:rsidP="00F72E65">
      <w:pPr>
        <w:ind w:firstLine="560"/>
      </w:pPr>
      <w:r>
        <w:rPr>
          <w:rFonts w:hint="eastAsia"/>
        </w:rPr>
        <w:t>（</w:t>
      </w:r>
      <w:r>
        <w:rPr>
          <w:rFonts w:hint="eastAsia"/>
        </w:rPr>
        <w:t>1</w:t>
      </w:r>
      <w:r>
        <w:rPr>
          <w:rFonts w:hint="eastAsia"/>
        </w:rPr>
        <w:t>）易燃、易爆性</w:t>
      </w:r>
    </w:p>
    <w:p w:rsidR="00F72E65" w:rsidRDefault="00F72E65" w:rsidP="00F72E65">
      <w:pPr>
        <w:ind w:firstLine="560"/>
      </w:pPr>
      <w:r>
        <w:rPr>
          <w:rFonts w:hint="eastAsia"/>
        </w:rPr>
        <w:t>根据《建筑设计防火规范》，汽油属于甲类火灾危险物质。油品的组分主要是碳氢化合物及其衍生物，是可燃性有机物质。</w:t>
      </w:r>
    </w:p>
    <w:p w:rsidR="00F72E65" w:rsidRDefault="00F72E65" w:rsidP="00F72E65">
      <w:pPr>
        <w:ind w:firstLine="560"/>
      </w:pPr>
      <w:r>
        <w:rPr>
          <w:rFonts w:hint="eastAsia"/>
        </w:rPr>
        <w:t>（</w:t>
      </w:r>
      <w:r>
        <w:rPr>
          <w:rFonts w:hint="eastAsia"/>
        </w:rPr>
        <w:t>2</w:t>
      </w:r>
      <w:r>
        <w:rPr>
          <w:rFonts w:hint="eastAsia"/>
        </w:rPr>
        <w:t>）毒性</w:t>
      </w:r>
    </w:p>
    <w:p w:rsidR="00F72E65" w:rsidRDefault="00F72E65" w:rsidP="00F72E65">
      <w:pPr>
        <w:ind w:firstLine="560"/>
      </w:pPr>
      <w:r>
        <w:rPr>
          <w:rFonts w:hint="eastAsia"/>
        </w:rPr>
        <w:t>汽油挥发的油气对人体有一定的毒害作用。其中，汽油蒸汽的毒害作用最为严重，主要是不饱和烃造成的。</w:t>
      </w:r>
    </w:p>
    <w:p w:rsidR="00F72E65" w:rsidRDefault="00F72E65" w:rsidP="00F72E65">
      <w:pPr>
        <w:ind w:firstLine="560"/>
      </w:pPr>
      <w:r>
        <w:rPr>
          <w:rFonts w:hint="eastAsia"/>
        </w:rPr>
        <w:lastRenderedPageBreak/>
        <w:t>汽油为麻醉性毒物，侵入途径为吸入、食入和皮肤吸收，对皮肤、黏膜有刺激性。汽油可引起中枢神经系统功能障碍，高浓度时引起呼吸中枢麻痹。</w:t>
      </w:r>
    </w:p>
    <w:p w:rsidR="00F72E65" w:rsidRDefault="00F72E65" w:rsidP="00F72E65">
      <w:pPr>
        <w:ind w:firstLine="560"/>
      </w:pPr>
      <w:r>
        <w:rPr>
          <w:rFonts w:hint="eastAsia"/>
        </w:rPr>
        <w:t>（</w:t>
      </w:r>
      <w:r>
        <w:rPr>
          <w:rFonts w:hint="eastAsia"/>
        </w:rPr>
        <w:t>3</w:t>
      </w:r>
      <w:r>
        <w:rPr>
          <w:rFonts w:hint="eastAsia"/>
        </w:rPr>
        <w:t>）易挥发</w:t>
      </w:r>
    </w:p>
    <w:p w:rsidR="00F72E65" w:rsidRDefault="00F72E65" w:rsidP="00F72E65">
      <w:pPr>
        <w:ind w:firstLine="560"/>
      </w:pPr>
      <w:r>
        <w:rPr>
          <w:rFonts w:hint="eastAsia"/>
        </w:rPr>
        <w:t>油品的蒸气压越大，挥发性就越大，表明该物质较容易产生燃烧或爆炸所需要的蒸气浓度。汽油为轻质油品，具有易挥发的特性，具有较大的蒸汽压。</w:t>
      </w:r>
    </w:p>
    <w:p w:rsidR="00F72E65" w:rsidRDefault="00F72E65" w:rsidP="00F72E65">
      <w:pPr>
        <w:ind w:firstLine="560"/>
      </w:pPr>
      <w:r>
        <w:rPr>
          <w:rFonts w:hint="eastAsia"/>
        </w:rPr>
        <w:t>（</w:t>
      </w:r>
      <w:r>
        <w:rPr>
          <w:rFonts w:hint="eastAsia"/>
        </w:rPr>
        <w:t>4</w:t>
      </w:r>
      <w:r>
        <w:rPr>
          <w:rFonts w:hint="eastAsia"/>
        </w:rPr>
        <w:t>）热膨胀性</w:t>
      </w:r>
    </w:p>
    <w:p w:rsidR="00F72E65" w:rsidRDefault="00F72E65" w:rsidP="00F72E65">
      <w:pPr>
        <w:ind w:firstLine="560"/>
      </w:pPr>
      <w:r>
        <w:rPr>
          <w:rFonts w:hint="eastAsia"/>
        </w:rPr>
        <w:t>油品的体积随温度的升高而膨胀，特别是轻质油品。如果储存容器遭受暴晒或靠近高温热源，容器内的介质受热膨胀造成容器内压增大而膨胀。当储油罐排油速度太快而超过呼吸阀的能力时，又会造成容器受大气压的外压作用（负压）。</w:t>
      </w:r>
    </w:p>
    <w:p w:rsidR="00F72E65" w:rsidRDefault="00F72E65" w:rsidP="00F72E65">
      <w:pPr>
        <w:ind w:firstLine="560"/>
      </w:pPr>
      <w:r>
        <w:rPr>
          <w:rFonts w:hint="eastAsia"/>
        </w:rPr>
        <w:t>(5</w:t>
      </w:r>
      <w:r>
        <w:rPr>
          <w:rFonts w:hint="eastAsia"/>
        </w:rPr>
        <w:t>）易产生静电</w:t>
      </w:r>
      <w:bookmarkStart w:id="27" w:name="_Toc229416080"/>
    </w:p>
    <w:p w:rsidR="00F72E65" w:rsidRDefault="00F72E65" w:rsidP="00F72E65">
      <w:pPr>
        <w:ind w:firstLine="560"/>
      </w:pPr>
      <w:r>
        <w:rPr>
          <w:rFonts w:hint="eastAsia"/>
        </w:rPr>
        <w:t>当油品在输送、装卸和加油作业时产生大量的静电，并且油品静电的产生速度远大于流散速度，很容易引起静电荷积聚。</w:t>
      </w:r>
    </w:p>
    <w:p w:rsidR="00F72E65" w:rsidRDefault="00F72E65" w:rsidP="00F72E65">
      <w:pPr>
        <w:ind w:firstLine="560"/>
      </w:pPr>
      <w:r>
        <w:rPr>
          <w:rFonts w:hint="eastAsia"/>
        </w:rPr>
        <w:t>静电的危害主要是静电放电。当静电放电时间长，产生的电火花能量达到或大于油品蒸气的。</w:t>
      </w:r>
    </w:p>
    <w:bookmarkEnd w:id="27"/>
    <w:p w:rsidR="00F72E65" w:rsidRDefault="00F72E65" w:rsidP="00F72E65">
      <w:pPr>
        <w:ind w:firstLine="560"/>
      </w:pPr>
      <w:r>
        <w:rPr>
          <w:rFonts w:hint="eastAsia"/>
        </w:rPr>
        <w:t>（</w:t>
      </w:r>
      <w:r>
        <w:rPr>
          <w:rFonts w:hint="eastAsia"/>
        </w:rPr>
        <w:t>6</w:t>
      </w:r>
      <w:r>
        <w:rPr>
          <w:rFonts w:hint="eastAsia"/>
        </w:rPr>
        <w:t>）易扩散、易流淌</w:t>
      </w:r>
    </w:p>
    <w:p w:rsidR="00F72E65" w:rsidRDefault="00F72E65" w:rsidP="00F72E65">
      <w:pPr>
        <w:ind w:firstLine="560"/>
      </w:pPr>
      <w:r>
        <w:rPr>
          <w:rFonts w:hint="eastAsia"/>
        </w:rPr>
        <w:t>油品的粘度一般较小，泄漏后易流淌扩散。随着流淌面积的扩大，油品蒸发速度加快，油品蒸气与空气混合后，遇点火源，极易发生火灾爆炸事故。</w:t>
      </w:r>
    </w:p>
    <w:p w:rsidR="00F72E65" w:rsidRDefault="00F72E65" w:rsidP="00F72E65">
      <w:pPr>
        <w:ind w:firstLine="562"/>
        <w:rPr>
          <w:b/>
          <w:bCs/>
        </w:rPr>
      </w:pPr>
      <w:r>
        <w:rPr>
          <w:rFonts w:hint="eastAsia"/>
          <w:b/>
          <w:bCs/>
        </w:rPr>
        <w:t>柴油本身的主要危险有害因素有：</w:t>
      </w:r>
    </w:p>
    <w:p w:rsidR="00F72E65" w:rsidRDefault="00F72E65" w:rsidP="00F72E65">
      <w:pPr>
        <w:ind w:firstLine="560"/>
      </w:pPr>
      <w:r>
        <w:rPr>
          <w:rFonts w:hint="eastAsia"/>
        </w:rPr>
        <w:lastRenderedPageBreak/>
        <w:t>易燃、易爆性、毒性、热膨胀性、易产生静电。</w:t>
      </w:r>
    </w:p>
    <w:p w:rsidR="00F72E65" w:rsidRDefault="00F72E65" w:rsidP="00F72E65">
      <w:pPr>
        <w:ind w:firstLine="560"/>
      </w:pPr>
      <w:r>
        <w:rPr>
          <w:rFonts w:hint="eastAsia"/>
        </w:rPr>
        <w:t>（</w:t>
      </w:r>
      <w:r>
        <w:rPr>
          <w:rFonts w:hint="eastAsia"/>
        </w:rPr>
        <w:t>1</w:t>
      </w:r>
      <w:r>
        <w:rPr>
          <w:rFonts w:hint="eastAsia"/>
        </w:rPr>
        <w:t>）易燃、易爆性</w:t>
      </w:r>
    </w:p>
    <w:p w:rsidR="00F72E65" w:rsidRDefault="00F72E65" w:rsidP="00F72E65">
      <w:pPr>
        <w:ind w:firstLine="560"/>
      </w:pPr>
      <w:r>
        <w:rPr>
          <w:rFonts w:hint="eastAsia"/>
        </w:rPr>
        <w:t>根据《建筑设计防火规范》，柴油属于乙类火灾危险物质。油品的组分主要是碳氢化合物及其衍生物，是可燃性有机物质。油品蒸气常常在作业场所或储存区弥漫。</w:t>
      </w:r>
    </w:p>
    <w:p w:rsidR="00F72E65" w:rsidRDefault="00F72E65" w:rsidP="00F72E65">
      <w:pPr>
        <w:ind w:firstLine="560"/>
      </w:pPr>
      <w:r>
        <w:rPr>
          <w:rFonts w:hint="eastAsia"/>
        </w:rPr>
        <w:t>（</w:t>
      </w:r>
      <w:r>
        <w:rPr>
          <w:rFonts w:hint="eastAsia"/>
        </w:rPr>
        <w:t>2</w:t>
      </w:r>
      <w:r>
        <w:rPr>
          <w:rFonts w:hint="eastAsia"/>
        </w:rPr>
        <w:t>）毒性</w:t>
      </w:r>
    </w:p>
    <w:p w:rsidR="00F72E65" w:rsidRDefault="00F72E65" w:rsidP="00F72E65">
      <w:pPr>
        <w:ind w:firstLine="560"/>
      </w:pPr>
      <w:r>
        <w:rPr>
          <w:rFonts w:hint="eastAsia"/>
        </w:rPr>
        <w:t>柴油挥发的油气对人体有一定的毒害作用。</w:t>
      </w:r>
    </w:p>
    <w:p w:rsidR="00F72E65" w:rsidRDefault="00F72E65" w:rsidP="00F72E65">
      <w:pPr>
        <w:ind w:firstLine="560"/>
      </w:pPr>
      <w:r>
        <w:rPr>
          <w:rFonts w:hint="eastAsia"/>
        </w:rPr>
        <w:t>柴油具有刺激性毒性。吸入可引起吸入性肺炎，皮肤接触可引起接触性皮炎、油性痤疮。柴油废气可引起眼鼻刺激症状、头痛及头晕。</w:t>
      </w:r>
    </w:p>
    <w:p w:rsidR="00F72E65" w:rsidRDefault="00F72E65" w:rsidP="00F72E65">
      <w:pPr>
        <w:ind w:firstLine="560"/>
      </w:pPr>
      <w:r>
        <w:rPr>
          <w:rFonts w:hint="eastAsia"/>
        </w:rPr>
        <w:t>（</w:t>
      </w:r>
      <w:r>
        <w:rPr>
          <w:rFonts w:hint="eastAsia"/>
        </w:rPr>
        <w:t>3</w:t>
      </w:r>
      <w:r>
        <w:rPr>
          <w:rFonts w:hint="eastAsia"/>
        </w:rPr>
        <w:t>）热膨胀性</w:t>
      </w:r>
    </w:p>
    <w:p w:rsidR="00F72E65" w:rsidRDefault="00F72E65" w:rsidP="00F72E65">
      <w:pPr>
        <w:ind w:firstLine="560"/>
      </w:pPr>
      <w:r>
        <w:rPr>
          <w:rFonts w:hint="eastAsia"/>
        </w:rPr>
        <w:t>油品的体积随温度的升高而膨胀，特别是轻质油品。如果储存容器遭受暴晒或靠近高温热源，容器内的介质受热膨胀造成容器内压增大而膨胀。当储油罐排油速度太快而超过呼吸阀的能力时，又会造成容器受大气压的外压作用（负压）。</w:t>
      </w:r>
    </w:p>
    <w:p w:rsidR="00F72E65" w:rsidRDefault="00F72E65" w:rsidP="00F72E65">
      <w:pPr>
        <w:ind w:firstLine="560"/>
      </w:pPr>
      <w:r>
        <w:rPr>
          <w:rFonts w:hint="eastAsia"/>
        </w:rPr>
        <w:t>（</w:t>
      </w:r>
      <w:r>
        <w:rPr>
          <w:rFonts w:hint="eastAsia"/>
        </w:rPr>
        <w:t>4</w:t>
      </w:r>
      <w:r>
        <w:rPr>
          <w:rFonts w:hint="eastAsia"/>
        </w:rPr>
        <w:t>）易产生静电</w:t>
      </w:r>
    </w:p>
    <w:p w:rsidR="00F72E65" w:rsidRDefault="00F72E65" w:rsidP="00F72E65">
      <w:pPr>
        <w:ind w:firstLine="560"/>
      </w:pPr>
      <w:r>
        <w:rPr>
          <w:rFonts w:hint="eastAsia"/>
        </w:rPr>
        <w:t>当油品在输送、装卸和加油作业时产生大量的静电，并且油品静电的产生速度远大于流散速度，很容易引起静电荷积聚。</w:t>
      </w:r>
    </w:p>
    <w:p w:rsidR="00F72E65" w:rsidRDefault="00F72E65" w:rsidP="00F72E65">
      <w:pPr>
        <w:ind w:firstLine="560"/>
      </w:pPr>
      <w:r>
        <w:rPr>
          <w:rFonts w:hint="eastAsia"/>
        </w:rPr>
        <w:t>静电的危害主要是静电放电。当静电放电时间长，产生的电火花能量达到或大于油品蒸气的最小点火。</w:t>
      </w:r>
    </w:p>
    <w:p w:rsidR="00F72E65" w:rsidRDefault="00F72E65" w:rsidP="00F72E65">
      <w:pPr>
        <w:pStyle w:val="4"/>
        <w:ind w:firstLine="562"/>
      </w:pPr>
      <w:bookmarkStart w:id="28" w:name="_Toc32222"/>
      <w:bookmarkStart w:id="29" w:name="_Toc382838795"/>
      <w:r>
        <w:rPr>
          <w:rFonts w:hint="eastAsia"/>
        </w:rPr>
        <w:t>1.1</w:t>
      </w:r>
      <w:r>
        <w:rPr>
          <w:rFonts w:hint="eastAsia"/>
        </w:rPr>
        <w:t>汽油</w:t>
      </w:r>
      <w:bookmarkEnd w:id="28"/>
      <w:bookmarkEnd w:id="29"/>
    </w:p>
    <w:p w:rsidR="00F72E65" w:rsidRDefault="00F72E65" w:rsidP="00F72E65">
      <w:pPr>
        <w:ind w:firstLine="560"/>
      </w:pPr>
      <w:r>
        <w:rPr>
          <w:rFonts w:hint="eastAsia"/>
        </w:rPr>
        <w:t>汽油属于甲类火灾危险性物质，最小点火能较低，易燃易爆。</w:t>
      </w:r>
      <w:r>
        <w:rPr>
          <w:rFonts w:hint="eastAsia"/>
        </w:rPr>
        <w:lastRenderedPageBreak/>
        <w:t>在经营过程中，如操作、安全管理等不到位，易发生火灾爆炸事故。汽油的理化性质、毒性及健康危害、燃烧爆炸危险性等分别见表</w:t>
      </w:r>
      <w:r>
        <w:rPr>
          <w:rFonts w:hint="eastAsia"/>
        </w:rPr>
        <w:t>1-2</w:t>
      </w:r>
      <w:r>
        <w:rPr>
          <w:rFonts w:hint="eastAsia"/>
        </w:rPr>
        <w:t>：</w:t>
      </w:r>
    </w:p>
    <w:p w:rsidR="00F72E65" w:rsidRDefault="00F72E65" w:rsidP="00F72E65">
      <w:pPr>
        <w:spacing w:line="360" w:lineRule="auto"/>
        <w:ind w:firstLineChars="0" w:firstLine="0"/>
        <w:jc w:val="center"/>
        <w:rPr>
          <w:rFonts w:ascii="仿宋" w:eastAsia="仿宋" w:hAnsi="仿宋" w:cs="仿宋"/>
          <w:b/>
          <w:sz w:val="24"/>
        </w:rPr>
      </w:pPr>
      <w:r>
        <w:rPr>
          <w:rFonts w:ascii="仿宋" w:eastAsia="仿宋" w:hAnsi="仿宋" w:cs="仿宋" w:hint="eastAsia"/>
          <w:b/>
          <w:sz w:val="24"/>
        </w:rPr>
        <w:t>表1-2  汽油理化特性</w:t>
      </w:r>
    </w:p>
    <w:tbl>
      <w:tblPr>
        <w:tblW w:w="910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tblPr>
      <w:tblGrid>
        <w:gridCol w:w="1344"/>
        <w:gridCol w:w="1079"/>
        <w:gridCol w:w="498"/>
        <w:gridCol w:w="582"/>
        <w:gridCol w:w="1196"/>
        <w:gridCol w:w="424"/>
        <w:gridCol w:w="720"/>
        <w:gridCol w:w="540"/>
        <w:gridCol w:w="1260"/>
        <w:gridCol w:w="360"/>
        <w:gridCol w:w="1101"/>
      </w:tblGrid>
      <w:tr w:rsidR="00F72E65" w:rsidTr="00FB1507">
        <w:trPr>
          <w:cantSplit/>
          <w:jc w:val="center"/>
        </w:trPr>
        <w:tc>
          <w:tcPr>
            <w:tcW w:w="1344" w:type="dxa"/>
            <w:vMerge w:val="restart"/>
            <w:tcBorders>
              <w:tl2br w:val="nil"/>
              <w:tr2bl w:val="nil"/>
            </w:tcBorders>
            <w:vAlign w:val="center"/>
          </w:tcPr>
          <w:p w:rsidR="00F72E65" w:rsidRDefault="00F72E65" w:rsidP="00FB1507">
            <w:pPr>
              <w:ind w:firstLineChars="0" w:firstLine="0"/>
              <w:jc w:val="center"/>
              <w:rPr>
                <w:rFonts w:ascii="宋体" w:hAnsi="宋体" w:cs="宋体"/>
                <w:sz w:val="21"/>
                <w:szCs w:val="21"/>
              </w:rPr>
            </w:pPr>
            <w:r>
              <w:rPr>
                <w:rFonts w:ascii="宋体" w:hAnsi="宋体" w:cs="宋体" w:hint="eastAsia"/>
                <w:sz w:val="21"/>
                <w:szCs w:val="21"/>
              </w:rPr>
              <w:t>标识</w:t>
            </w:r>
          </w:p>
        </w:tc>
        <w:tc>
          <w:tcPr>
            <w:tcW w:w="4499" w:type="dxa"/>
            <w:gridSpan w:val="6"/>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英文名：Gasoline</w:t>
            </w:r>
          </w:p>
        </w:tc>
        <w:tc>
          <w:tcPr>
            <w:tcW w:w="3261" w:type="dxa"/>
            <w:gridSpan w:val="4"/>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危险货物编号：1203</w:t>
            </w:r>
          </w:p>
        </w:tc>
      </w:tr>
      <w:tr w:rsidR="00F72E65" w:rsidTr="00FB1507">
        <w:trPr>
          <w:cantSplit/>
          <w:jc w:val="center"/>
        </w:trPr>
        <w:tc>
          <w:tcPr>
            <w:tcW w:w="1344" w:type="dxa"/>
            <w:vMerge/>
            <w:tcBorders>
              <w:tl2br w:val="nil"/>
              <w:tr2bl w:val="nil"/>
            </w:tcBorders>
            <w:vAlign w:val="center"/>
          </w:tcPr>
          <w:p w:rsidR="00F72E65" w:rsidRDefault="00F72E65" w:rsidP="00FB1507">
            <w:pPr>
              <w:ind w:firstLineChars="0" w:firstLine="0"/>
              <w:jc w:val="center"/>
              <w:rPr>
                <w:rFonts w:ascii="宋体" w:hAnsi="宋体" w:cs="宋体"/>
                <w:sz w:val="21"/>
                <w:szCs w:val="21"/>
              </w:rPr>
            </w:pPr>
          </w:p>
        </w:tc>
        <w:tc>
          <w:tcPr>
            <w:tcW w:w="4499" w:type="dxa"/>
            <w:gridSpan w:val="6"/>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分子式：C5H</w:t>
            </w:r>
            <w:r>
              <w:rPr>
                <w:rFonts w:ascii="宋体" w:hAnsi="宋体" w:cs="宋体" w:hint="eastAsia"/>
                <w:sz w:val="21"/>
                <w:szCs w:val="21"/>
                <w:vertAlign w:val="subscript"/>
              </w:rPr>
              <w:t>12</w:t>
            </w:r>
            <w:r>
              <w:rPr>
                <w:rFonts w:ascii="宋体" w:hAnsi="宋体" w:cs="宋体" w:hint="eastAsia"/>
                <w:sz w:val="21"/>
                <w:szCs w:val="21"/>
              </w:rPr>
              <w:t>～C12H</w:t>
            </w:r>
            <w:r>
              <w:rPr>
                <w:rFonts w:ascii="宋体" w:hAnsi="宋体" w:cs="宋体" w:hint="eastAsia"/>
                <w:sz w:val="21"/>
                <w:szCs w:val="21"/>
                <w:vertAlign w:val="subscript"/>
              </w:rPr>
              <w:t>26</w:t>
            </w:r>
          </w:p>
        </w:tc>
        <w:tc>
          <w:tcPr>
            <w:tcW w:w="3261" w:type="dxa"/>
            <w:gridSpan w:val="4"/>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CAS号：8006-61-9</w:t>
            </w:r>
          </w:p>
        </w:tc>
      </w:tr>
      <w:tr w:rsidR="00F72E65" w:rsidTr="00FB1507">
        <w:trPr>
          <w:cantSplit/>
          <w:jc w:val="center"/>
        </w:trPr>
        <w:tc>
          <w:tcPr>
            <w:tcW w:w="1344" w:type="dxa"/>
            <w:vMerge w:val="restart"/>
            <w:tcBorders>
              <w:tl2br w:val="nil"/>
              <w:tr2bl w:val="nil"/>
            </w:tcBorders>
            <w:vAlign w:val="center"/>
          </w:tcPr>
          <w:p w:rsidR="00F72E65" w:rsidRDefault="00F72E65" w:rsidP="00FB1507">
            <w:pPr>
              <w:ind w:firstLineChars="0" w:firstLine="0"/>
              <w:jc w:val="center"/>
              <w:rPr>
                <w:rFonts w:ascii="宋体" w:hAnsi="宋体" w:cs="宋体"/>
                <w:sz w:val="21"/>
                <w:szCs w:val="21"/>
              </w:rPr>
            </w:pPr>
            <w:r>
              <w:rPr>
                <w:rFonts w:ascii="宋体" w:hAnsi="宋体" w:cs="宋体" w:hint="eastAsia"/>
                <w:sz w:val="21"/>
                <w:szCs w:val="21"/>
              </w:rPr>
              <w:t>理化特性</w:t>
            </w:r>
          </w:p>
        </w:tc>
        <w:tc>
          <w:tcPr>
            <w:tcW w:w="3355" w:type="dxa"/>
            <w:gridSpan w:val="4"/>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外观与形状</w:t>
            </w:r>
          </w:p>
        </w:tc>
        <w:tc>
          <w:tcPr>
            <w:tcW w:w="4405" w:type="dxa"/>
            <w:gridSpan w:val="6"/>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无色或淡黄色的易流动液体。易挥发</w:t>
            </w:r>
          </w:p>
        </w:tc>
      </w:tr>
      <w:tr w:rsidR="00F72E65" w:rsidTr="00FB1507">
        <w:trPr>
          <w:cantSplit/>
          <w:jc w:val="center"/>
        </w:trPr>
        <w:tc>
          <w:tcPr>
            <w:tcW w:w="1344" w:type="dxa"/>
            <w:vMerge/>
            <w:tcBorders>
              <w:tl2br w:val="nil"/>
              <w:tr2bl w:val="nil"/>
            </w:tcBorders>
            <w:vAlign w:val="center"/>
          </w:tcPr>
          <w:p w:rsidR="00F72E65" w:rsidRDefault="00F72E65" w:rsidP="00FB1507">
            <w:pPr>
              <w:ind w:firstLineChars="0" w:firstLine="0"/>
              <w:jc w:val="center"/>
              <w:rPr>
                <w:rFonts w:ascii="宋体" w:hAnsi="宋体" w:cs="宋体"/>
                <w:sz w:val="21"/>
                <w:szCs w:val="21"/>
              </w:rPr>
            </w:pPr>
          </w:p>
        </w:tc>
        <w:tc>
          <w:tcPr>
            <w:tcW w:w="2159" w:type="dxa"/>
            <w:gridSpan w:val="3"/>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沸点（℃）</w:t>
            </w:r>
          </w:p>
        </w:tc>
        <w:tc>
          <w:tcPr>
            <w:tcW w:w="2340" w:type="dxa"/>
            <w:gridSpan w:val="3"/>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20～200</w:t>
            </w:r>
          </w:p>
        </w:tc>
        <w:tc>
          <w:tcPr>
            <w:tcW w:w="2160" w:type="dxa"/>
            <w:gridSpan w:val="3"/>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熔点（℃）</w:t>
            </w:r>
          </w:p>
        </w:tc>
        <w:tc>
          <w:tcPr>
            <w:tcW w:w="1101" w:type="dxa"/>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无资料</w:t>
            </w:r>
          </w:p>
        </w:tc>
      </w:tr>
      <w:tr w:rsidR="00F72E65" w:rsidTr="00FB1507">
        <w:trPr>
          <w:cantSplit/>
          <w:jc w:val="center"/>
        </w:trPr>
        <w:tc>
          <w:tcPr>
            <w:tcW w:w="1344" w:type="dxa"/>
            <w:vMerge/>
            <w:tcBorders>
              <w:tl2br w:val="nil"/>
              <w:tr2bl w:val="nil"/>
            </w:tcBorders>
            <w:vAlign w:val="center"/>
          </w:tcPr>
          <w:p w:rsidR="00F72E65" w:rsidRDefault="00F72E65" w:rsidP="00FB1507">
            <w:pPr>
              <w:ind w:firstLineChars="0" w:firstLine="0"/>
              <w:jc w:val="center"/>
              <w:rPr>
                <w:rFonts w:ascii="宋体" w:hAnsi="宋体" w:cs="宋体"/>
                <w:sz w:val="21"/>
                <w:szCs w:val="21"/>
              </w:rPr>
            </w:pPr>
          </w:p>
        </w:tc>
        <w:tc>
          <w:tcPr>
            <w:tcW w:w="2159" w:type="dxa"/>
            <w:gridSpan w:val="3"/>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相对密度（水= 1）</w:t>
            </w:r>
          </w:p>
        </w:tc>
        <w:tc>
          <w:tcPr>
            <w:tcW w:w="2340" w:type="dxa"/>
            <w:gridSpan w:val="3"/>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0.7～0.8</w:t>
            </w:r>
          </w:p>
        </w:tc>
        <w:tc>
          <w:tcPr>
            <w:tcW w:w="2160" w:type="dxa"/>
            <w:gridSpan w:val="3"/>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引燃温度（℃）</w:t>
            </w:r>
          </w:p>
        </w:tc>
        <w:tc>
          <w:tcPr>
            <w:tcW w:w="1101" w:type="dxa"/>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510-530</w:t>
            </w:r>
          </w:p>
        </w:tc>
      </w:tr>
      <w:tr w:rsidR="00F72E65" w:rsidTr="00FB1507">
        <w:trPr>
          <w:cantSplit/>
          <w:jc w:val="center"/>
        </w:trPr>
        <w:tc>
          <w:tcPr>
            <w:tcW w:w="1344" w:type="dxa"/>
            <w:vMerge/>
            <w:tcBorders>
              <w:tl2br w:val="nil"/>
              <w:tr2bl w:val="nil"/>
            </w:tcBorders>
            <w:vAlign w:val="center"/>
          </w:tcPr>
          <w:p w:rsidR="00F72E65" w:rsidRDefault="00F72E65" w:rsidP="00FB1507">
            <w:pPr>
              <w:ind w:firstLineChars="0" w:firstLine="0"/>
              <w:jc w:val="center"/>
              <w:rPr>
                <w:rFonts w:ascii="宋体" w:hAnsi="宋体" w:cs="宋体"/>
                <w:sz w:val="21"/>
                <w:szCs w:val="21"/>
              </w:rPr>
            </w:pPr>
          </w:p>
        </w:tc>
        <w:tc>
          <w:tcPr>
            <w:tcW w:w="2159" w:type="dxa"/>
            <w:gridSpan w:val="3"/>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相对密度（空气= 1）</w:t>
            </w:r>
          </w:p>
        </w:tc>
        <w:tc>
          <w:tcPr>
            <w:tcW w:w="2340" w:type="dxa"/>
            <w:gridSpan w:val="3"/>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3～4</w:t>
            </w:r>
          </w:p>
        </w:tc>
        <w:tc>
          <w:tcPr>
            <w:tcW w:w="2160" w:type="dxa"/>
            <w:gridSpan w:val="3"/>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粘度（mm</w:t>
            </w:r>
            <w:r>
              <w:rPr>
                <w:rFonts w:ascii="宋体" w:hAnsi="宋体" w:cs="宋体" w:hint="eastAsia"/>
                <w:sz w:val="21"/>
                <w:szCs w:val="21"/>
                <w:vertAlign w:val="superscript"/>
              </w:rPr>
              <w:t>2</w:t>
            </w:r>
            <w:r>
              <w:rPr>
                <w:rFonts w:ascii="宋体" w:hAnsi="宋体" w:cs="宋体" w:hint="eastAsia"/>
                <w:sz w:val="21"/>
                <w:szCs w:val="21"/>
              </w:rPr>
              <w:t>/s）</w:t>
            </w:r>
          </w:p>
        </w:tc>
        <w:tc>
          <w:tcPr>
            <w:tcW w:w="1101" w:type="dxa"/>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无资料</w:t>
            </w:r>
          </w:p>
        </w:tc>
      </w:tr>
      <w:tr w:rsidR="00F72E65" w:rsidTr="00FB1507">
        <w:trPr>
          <w:cantSplit/>
          <w:jc w:val="center"/>
        </w:trPr>
        <w:tc>
          <w:tcPr>
            <w:tcW w:w="1344" w:type="dxa"/>
            <w:vMerge/>
            <w:tcBorders>
              <w:tl2br w:val="nil"/>
              <w:tr2bl w:val="nil"/>
            </w:tcBorders>
            <w:vAlign w:val="center"/>
          </w:tcPr>
          <w:p w:rsidR="00F72E65" w:rsidRDefault="00F72E65" w:rsidP="00FB1507">
            <w:pPr>
              <w:ind w:firstLineChars="0" w:firstLine="0"/>
              <w:jc w:val="center"/>
              <w:rPr>
                <w:rFonts w:ascii="宋体" w:hAnsi="宋体" w:cs="宋体"/>
                <w:sz w:val="21"/>
                <w:szCs w:val="21"/>
              </w:rPr>
            </w:pPr>
          </w:p>
        </w:tc>
        <w:tc>
          <w:tcPr>
            <w:tcW w:w="2159" w:type="dxa"/>
            <w:gridSpan w:val="3"/>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溶解性</w:t>
            </w:r>
          </w:p>
        </w:tc>
        <w:tc>
          <w:tcPr>
            <w:tcW w:w="5601" w:type="dxa"/>
            <w:gridSpan w:val="7"/>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不溶于水，易溶于苯、二硫化碳、醇，可混溶于脂肪。</w:t>
            </w:r>
          </w:p>
        </w:tc>
      </w:tr>
      <w:tr w:rsidR="00F72E65" w:rsidTr="00FB1507">
        <w:trPr>
          <w:cantSplit/>
          <w:trHeight w:val="341"/>
          <w:jc w:val="center"/>
        </w:trPr>
        <w:tc>
          <w:tcPr>
            <w:tcW w:w="1344" w:type="dxa"/>
            <w:vMerge w:val="restart"/>
            <w:tcBorders>
              <w:tl2br w:val="nil"/>
              <w:tr2bl w:val="nil"/>
            </w:tcBorders>
            <w:vAlign w:val="center"/>
          </w:tcPr>
          <w:p w:rsidR="00F72E65" w:rsidRDefault="00F72E65" w:rsidP="00FB1507">
            <w:pPr>
              <w:ind w:firstLineChars="0" w:firstLine="0"/>
              <w:jc w:val="center"/>
              <w:rPr>
                <w:rFonts w:ascii="宋体" w:hAnsi="宋体" w:cs="宋体"/>
                <w:sz w:val="21"/>
                <w:szCs w:val="21"/>
              </w:rPr>
            </w:pPr>
          </w:p>
          <w:p w:rsidR="00F72E65" w:rsidRDefault="00F72E65" w:rsidP="00FB1507">
            <w:pPr>
              <w:ind w:firstLineChars="0" w:firstLine="0"/>
              <w:jc w:val="center"/>
              <w:rPr>
                <w:rFonts w:ascii="宋体" w:hAnsi="宋体" w:cs="宋体"/>
                <w:sz w:val="21"/>
                <w:szCs w:val="21"/>
              </w:rPr>
            </w:pPr>
            <w:r>
              <w:rPr>
                <w:rFonts w:ascii="宋体" w:hAnsi="宋体" w:cs="宋体" w:hint="eastAsia"/>
                <w:sz w:val="21"/>
                <w:szCs w:val="21"/>
              </w:rPr>
              <w:t>毒性及健康危害</w:t>
            </w:r>
          </w:p>
        </w:tc>
        <w:tc>
          <w:tcPr>
            <w:tcW w:w="1079" w:type="dxa"/>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接触限值</w:t>
            </w:r>
          </w:p>
        </w:tc>
        <w:tc>
          <w:tcPr>
            <w:tcW w:w="3420" w:type="dxa"/>
            <w:gridSpan w:val="5"/>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中国MAC：300mg/m</w:t>
            </w:r>
            <w:r>
              <w:rPr>
                <w:rFonts w:ascii="宋体" w:hAnsi="宋体" w:cs="宋体" w:hint="eastAsia"/>
                <w:sz w:val="21"/>
                <w:szCs w:val="21"/>
                <w:vertAlign w:val="superscript"/>
              </w:rPr>
              <w:t>3</w:t>
            </w:r>
          </w:p>
        </w:tc>
        <w:tc>
          <w:tcPr>
            <w:tcW w:w="3261" w:type="dxa"/>
            <w:gridSpan w:val="4"/>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前苏联MAC：350mg/m</w:t>
            </w:r>
            <w:r>
              <w:rPr>
                <w:rFonts w:ascii="宋体" w:hAnsi="宋体" w:cs="宋体" w:hint="eastAsia"/>
                <w:sz w:val="21"/>
                <w:szCs w:val="21"/>
                <w:vertAlign w:val="superscript"/>
              </w:rPr>
              <w:t>3</w:t>
            </w:r>
          </w:p>
        </w:tc>
      </w:tr>
      <w:tr w:rsidR="00F72E65" w:rsidTr="00FB1507">
        <w:trPr>
          <w:cantSplit/>
          <w:trHeight w:val="341"/>
          <w:jc w:val="center"/>
        </w:trPr>
        <w:tc>
          <w:tcPr>
            <w:tcW w:w="1344" w:type="dxa"/>
            <w:vMerge/>
            <w:tcBorders>
              <w:tl2br w:val="nil"/>
              <w:tr2bl w:val="nil"/>
            </w:tcBorders>
          </w:tcPr>
          <w:p w:rsidR="00F72E65" w:rsidRDefault="00F72E65" w:rsidP="00FB1507">
            <w:pPr>
              <w:ind w:firstLineChars="0" w:firstLine="0"/>
              <w:jc w:val="center"/>
              <w:rPr>
                <w:rFonts w:ascii="宋体" w:hAnsi="宋体" w:cs="宋体"/>
                <w:sz w:val="21"/>
                <w:szCs w:val="21"/>
              </w:rPr>
            </w:pPr>
          </w:p>
        </w:tc>
        <w:tc>
          <w:tcPr>
            <w:tcW w:w="1079" w:type="dxa"/>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侵入途径</w:t>
            </w:r>
          </w:p>
        </w:tc>
        <w:tc>
          <w:tcPr>
            <w:tcW w:w="3420" w:type="dxa"/>
            <w:gridSpan w:val="5"/>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吸入、食入、经皮吸收</w:t>
            </w:r>
          </w:p>
        </w:tc>
        <w:tc>
          <w:tcPr>
            <w:tcW w:w="3261" w:type="dxa"/>
            <w:gridSpan w:val="4"/>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毒性：轻度危害</w:t>
            </w:r>
          </w:p>
        </w:tc>
      </w:tr>
      <w:tr w:rsidR="00F72E65" w:rsidTr="00FB1507">
        <w:trPr>
          <w:cantSplit/>
          <w:trHeight w:val="341"/>
          <w:jc w:val="center"/>
        </w:trPr>
        <w:tc>
          <w:tcPr>
            <w:tcW w:w="1344" w:type="dxa"/>
            <w:vMerge/>
            <w:tcBorders>
              <w:tl2br w:val="nil"/>
              <w:tr2bl w:val="nil"/>
            </w:tcBorders>
          </w:tcPr>
          <w:p w:rsidR="00F72E65" w:rsidRDefault="00F72E65" w:rsidP="00FB1507">
            <w:pPr>
              <w:ind w:firstLineChars="0" w:firstLine="0"/>
              <w:jc w:val="center"/>
              <w:rPr>
                <w:rFonts w:ascii="宋体" w:hAnsi="宋体" w:cs="宋体"/>
                <w:sz w:val="21"/>
                <w:szCs w:val="21"/>
              </w:rPr>
            </w:pPr>
          </w:p>
        </w:tc>
        <w:tc>
          <w:tcPr>
            <w:tcW w:w="1079" w:type="dxa"/>
            <w:tcBorders>
              <w:tl2br w:val="nil"/>
              <w:tr2bl w:val="nil"/>
            </w:tcBorders>
            <w:vAlign w:val="center"/>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健康危害</w:t>
            </w:r>
          </w:p>
        </w:tc>
        <w:tc>
          <w:tcPr>
            <w:tcW w:w="6681" w:type="dxa"/>
            <w:gridSpan w:val="9"/>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麻醉性毒物，主要引起中枢神经系统功能障碍。高浓度时引起呼吸中枢麻痹。轻度中毒的表现有头痛、头晕、短暂意识障碍、四肢无力、恶心、呕吐、易激动、步态不稳、共济失调等。经口急性中毒出现消化道症状，汽油直接吸入呼吸道可致吸入性肺炎。</w:t>
            </w:r>
          </w:p>
        </w:tc>
      </w:tr>
      <w:tr w:rsidR="00F72E65" w:rsidTr="00FB1507">
        <w:trPr>
          <w:cantSplit/>
          <w:trHeight w:val="304"/>
          <w:jc w:val="center"/>
        </w:trPr>
        <w:tc>
          <w:tcPr>
            <w:tcW w:w="1344" w:type="dxa"/>
            <w:vMerge/>
            <w:tcBorders>
              <w:tl2br w:val="nil"/>
              <w:tr2bl w:val="nil"/>
            </w:tcBorders>
          </w:tcPr>
          <w:p w:rsidR="00F72E65" w:rsidRDefault="00F72E65" w:rsidP="00FB1507">
            <w:pPr>
              <w:ind w:firstLineChars="0" w:firstLine="0"/>
              <w:jc w:val="center"/>
              <w:rPr>
                <w:rFonts w:ascii="宋体" w:hAnsi="宋体" w:cs="宋体"/>
                <w:sz w:val="21"/>
                <w:szCs w:val="21"/>
              </w:rPr>
            </w:pPr>
          </w:p>
        </w:tc>
        <w:tc>
          <w:tcPr>
            <w:tcW w:w="1079" w:type="dxa"/>
            <w:tcBorders>
              <w:tl2br w:val="nil"/>
              <w:tr2bl w:val="nil"/>
            </w:tcBorders>
            <w:vAlign w:val="center"/>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急    救</w:t>
            </w:r>
          </w:p>
        </w:tc>
        <w:tc>
          <w:tcPr>
            <w:tcW w:w="6681" w:type="dxa"/>
            <w:gridSpan w:val="9"/>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皮肤接触：脱去污染的衣着，用肥皂水及清水彻底冲洗。</w:t>
            </w:r>
          </w:p>
          <w:p w:rsidR="00F72E65" w:rsidRDefault="00F72E65" w:rsidP="00FB1507">
            <w:pPr>
              <w:ind w:firstLineChars="0" w:firstLine="0"/>
              <w:rPr>
                <w:rFonts w:ascii="宋体" w:hAnsi="宋体" w:cs="宋体"/>
                <w:sz w:val="21"/>
                <w:szCs w:val="21"/>
              </w:rPr>
            </w:pPr>
            <w:r>
              <w:rPr>
                <w:rFonts w:ascii="宋体" w:hAnsi="宋体" w:cs="宋体" w:hint="eastAsia"/>
                <w:sz w:val="21"/>
                <w:szCs w:val="21"/>
              </w:rPr>
              <w:t>眼睛接触：立即翻开上下眼睑，用流动清水冲洗10分钟。就医。</w:t>
            </w:r>
          </w:p>
          <w:p w:rsidR="00F72E65" w:rsidRDefault="00F72E65" w:rsidP="00FB1507">
            <w:pPr>
              <w:ind w:firstLineChars="0" w:firstLine="0"/>
              <w:rPr>
                <w:rFonts w:ascii="宋体" w:hAnsi="宋体" w:cs="宋体"/>
                <w:sz w:val="21"/>
                <w:szCs w:val="21"/>
              </w:rPr>
            </w:pPr>
            <w:r>
              <w:rPr>
                <w:rFonts w:ascii="宋体" w:hAnsi="宋体" w:cs="宋体" w:hint="eastAsia"/>
                <w:sz w:val="21"/>
                <w:szCs w:val="21"/>
              </w:rPr>
              <w:t>吸入：迅速脱离现场至空气新鲜处，保暖并休息。呼吸困难时输氧，呼吸停止时立即进行人工呼吸，就医。</w:t>
            </w:r>
          </w:p>
          <w:p w:rsidR="00F72E65" w:rsidRDefault="00F72E65" w:rsidP="00FB1507">
            <w:pPr>
              <w:ind w:firstLineChars="0" w:firstLine="0"/>
              <w:rPr>
                <w:rFonts w:ascii="宋体" w:hAnsi="宋体" w:cs="宋体"/>
                <w:sz w:val="21"/>
                <w:szCs w:val="21"/>
              </w:rPr>
            </w:pPr>
            <w:r>
              <w:rPr>
                <w:rFonts w:ascii="宋体" w:hAnsi="宋体" w:cs="宋体" w:hint="eastAsia"/>
                <w:sz w:val="21"/>
                <w:szCs w:val="21"/>
              </w:rPr>
              <w:t>食入：误服者立即漱口，饮牛奶或植物油，洗胃并灌肠。就医。</w:t>
            </w:r>
          </w:p>
        </w:tc>
      </w:tr>
      <w:tr w:rsidR="00F72E65" w:rsidTr="00FB1507">
        <w:trPr>
          <w:cantSplit/>
          <w:jc w:val="center"/>
        </w:trPr>
        <w:tc>
          <w:tcPr>
            <w:tcW w:w="1344" w:type="dxa"/>
            <w:vMerge/>
            <w:tcBorders>
              <w:tl2br w:val="nil"/>
              <w:tr2bl w:val="nil"/>
            </w:tcBorders>
          </w:tcPr>
          <w:p w:rsidR="00F72E65" w:rsidRDefault="00F72E65" w:rsidP="00FB1507">
            <w:pPr>
              <w:ind w:firstLineChars="0" w:firstLine="0"/>
              <w:jc w:val="center"/>
              <w:rPr>
                <w:rFonts w:ascii="宋体" w:hAnsi="宋体" w:cs="宋体"/>
                <w:sz w:val="21"/>
                <w:szCs w:val="21"/>
              </w:rPr>
            </w:pPr>
          </w:p>
        </w:tc>
        <w:tc>
          <w:tcPr>
            <w:tcW w:w="1079" w:type="dxa"/>
            <w:tcBorders>
              <w:tl2br w:val="nil"/>
              <w:tr2bl w:val="nil"/>
            </w:tcBorders>
            <w:vAlign w:val="center"/>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防护措施</w:t>
            </w:r>
          </w:p>
        </w:tc>
        <w:tc>
          <w:tcPr>
            <w:tcW w:w="6681" w:type="dxa"/>
            <w:gridSpan w:val="9"/>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工程控制：生产过程密闭，全面通风。防护服：穿工作服。</w:t>
            </w:r>
          </w:p>
          <w:p w:rsidR="00F72E65" w:rsidRDefault="00F72E65" w:rsidP="00FB1507">
            <w:pPr>
              <w:ind w:firstLineChars="0" w:firstLine="0"/>
              <w:rPr>
                <w:rFonts w:ascii="宋体" w:hAnsi="宋体" w:cs="宋体"/>
                <w:sz w:val="21"/>
                <w:szCs w:val="21"/>
              </w:rPr>
            </w:pPr>
            <w:r>
              <w:rPr>
                <w:rFonts w:ascii="宋体" w:hAnsi="宋体" w:cs="宋体" w:hint="eastAsia"/>
                <w:sz w:val="21"/>
                <w:szCs w:val="21"/>
              </w:rPr>
              <w:t>呼吸系统防护：高浓度环境中佩戴供气式呼吸器。</w:t>
            </w:r>
          </w:p>
          <w:p w:rsidR="00F72E65" w:rsidRDefault="00F72E65" w:rsidP="00FB1507">
            <w:pPr>
              <w:ind w:firstLineChars="0" w:firstLine="0"/>
              <w:rPr>
                <w:rFonts w:ascii="宋体" w:hAnsi="宋体" w:cs="宋体"/>
                <w:sz w:val="21"/>
                <w:szCs w:val="21"/>
              </w:rPr>
            </w:pPr>
            <w:r>
              <w:rPr>
                <w:rFonts w:ascii="宋体" w:hAnsi="宋体" w:cs="宋体" w:hint="eastAsia"/>
                <w:sz w:val="21"/>
                <w:szCs w:val="21"/>
              </w:rPr>
              <w:t>眼睛防护：一般不需要特殊防护，高浓度接触可戴防化学安全防护眼镜。</w:t>
            </w:r>
          </w:p>
          <w:p w:rsidR="00F72E65" w:rsidRDefault="00F72E65" w:rsidP="00FB1507">
            <w:pPr>
              <w:ind w:firstLineChars="0" w:firstLine="0"/>
              <w:rPr>
                <w:rFonts w:ascii="宋体" w:hAnsi="宋体" w:cs="宋体"/>
                <w:sz w:val="21"/>
                <w:szCs w:val="21"/>
              </w:rPr>
            </w:pPr>
            <w:r>
              <w:rPr>
                <w:rFonts w:ascii="宋体" w:hAnsi="宋体" w:cs="宋体" w:hint="eastAsia"/>
                <w:sz w:val="21"/>
                <w:szCs w:val="21"/>
              </w:rPr>
              <w:t>手防护：一般不需特殊防护，高浓度接触可戴防化学品手套。</w:t>
            </w:r>
          </w:p>
          <w:p w:rsidR="00F72E65" w:rsidRDefault="00F72E65" w:rsidP="00FB1507">
            <w:pPr>
              <w:ind w:firstLineChars="0" w:firstLine="0"/>
              <w:rPr>
                <w:rFonts w:ascii="宋体" w:hAnsi="宋体" w:cs="宋体"/>
                <w:sz w:val="21"/>
                <w:szCs w:val="21"/>
              </w:rPr>
            </w:pPr>
            <w:r>
              <w:rPr>
                <w:rFonts w:ascii="宋体" w:hAnsi="宋体" w:cs="宋体" w:hint="eastAsia"/>
                <w:sz w:val="21"/>
                <w:szCs w:val="21"/>
              </w:rPr>
              <w:t>其它：工作现场严禁吸烟。避免长期反复接触。</w:t>
            </w:r>
          </w:p>
        </w:tc>
      </w:tr>
      <w:tr w:rsidR="00F72E65" w:rsidTr="00FB1507">
        <w:trPr>
          <w:cantSplit/>
          <w:jc w:val="center"/>
        </w:trPr>
        <w:tc>
          <w:tcPr>
            <w:tcW w:w="1344" w:type="dxa"/>
            <w:vMerge w:val="restart"/>
            <w:tcBorders>
              <w:tl2br w:val="nil"/>
              <w:tr2bl w:val="nil"/>
            </w:tcBorders>
            <w:vAlign w:val="center"/>
          </w:tcPr>
          <w:p w:rsidR="00F72E65" w:rsidRDefault="00F72E65" w:rsidP="00FB1507">
            <w:pPr>
              <w:ind w:firstLineChars="0" w:firstLine="0"/>
              <w:jc w:val="center"/>
              <w:rPr>
                <w:rFonts w:ascii="宋体" w:hAnsi="宋体" w:cs="宋体"/>
                <w:sz w:val="21"/>
                <w:szCs w:val="21"/>
              </w:rPr>
            </w:pPr>
            <w:r>
              <w:rPr>
                <w:rFonts w:ascii="宋体" w:hAnsi="宋体" w:cs="宋体" w:hint="eastAsia"/>
                <w:sz w:val="21"/>
                <w:szCs w:val="21"/>
              </w:rPr>
              <w:t>燃烧</w:t>
            </w:r>
          </w:p>
        </w:tc>
        <w:tc>
          <w:tcPr>
            <w:tcW w:w="1079" w:type="dxa"/>
            <w:tcBorders>
              <w:tl2br w:val="nil"/>
              <w:tr2bl w:val="nil"/>
            </w:tcBorders>
            <w:vAlign w:val="center"/>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燃烧性</w:t>
            </w:r>
          </w:p>
        </w:tc>
        <w:tc>
          <w:tcPr>
            <w:tcW w:w="1080" w:type="dxa"/>
            <w:gridSpan w:val="2"/>
            <w:tcBorders>
              <w:tl2br w:val="nil"/>
              <w:tr2bl w:val="nil"/>
            </w:tcBorders>
            <w:vAlign w:val="center"/>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易燃</w:t>
            </w:r>
          </w:p>
        </w:tc>
        <w:tc>
          <w:tcPr>
            <w:tcW w:w="1620" w:type="dxa"/>
            <w:gridSpan w:val="2"/>
            <w:tcBorders>
              <w:tl2br w:val="nil"/>
              <w:tr2bl w:val="nil"/>
            </w:tcBorders>
            <w:vAlign w:val="center"/>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建规火险分级</w:t>
            </w:r>
          </w:p>
        </w:tc>
        <w:tc>
          <w:tcPr>
            <w:tcW w:w="1260" w:type="dxa"/>
            <w:gridSpan w:val="2"/>
            <w:tcBorders>
              <w:tl2br w:val="nil"/>
              <w:tr2bl w:val="nil"/>
            </w:tcBorders>
            <w:vAlign w:val="center"/>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甲</w:t>
            </w:r>
          </w:p>
        </w:tc>
        <w:tc>
          <w:tcPr>
            <w:tcW w:w="1260" w:type="dxa"/>
            <w:tcBorders>
              <w:tl2br w:val="nil"/>
              <w:tr2bl w:val="nil"/>
            </w:tcBorders>
            <w:vAlign w:val="center"/>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稳定性</w:t>
            </w:r>
          </w:p>
        </w:tc>
        <w:tc>
          <w:tcPr>
            <w:tcW w:w="1461" w:type="dxa"/>
            <w:gridSpan w:val="2"/>
            <w:tcBorders>
              <w:tl2br w:val="nil"/>
              <w:tr2bl w:val="nil"/>
            </w:tcBorders>
            <w:vAlign w:val="center"/>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稳定</w:t>
            </w:r>
          </w:p>
        </w:tc>
      </w:tr>
      <w:tr w:rsidR="00F72E65" w:rsidTr="00FB1507">
        <w:trPr>
          <w:cantSplit/>
          <w:jc w:val="center"/>
        </w:trPr>
        <w:tc>
          <w:tcPr>
            <w:tcW w:w="1344" w:type="dxa"/>
            <w:vMerge/>
            <w:tcBorders>
              <w:tl2br w:val="nil"/>
              <w:tr2bl w:val="nil"/>
            </w:tcBorders>
            <w:vAlign w:val="center"/>
          </w:tcPr>
          <w:p w:rsidR="00F72E65" w:rsidRDefault="00F72E65" w:rsidP="00FB1507">
            <w:pPr>
              <w:ind w:firstLineChars="0" w:firstLine="0"/>
              <w:jc w:val="center"/>
              <w:rPr>
                <w:rFonts w:ascii="宋体" w:hAnsi="宋体" w:cs="宋体"/>
                <w:sz w:val="21"/>
                <w:szCs w:val="21"/>
              </w:rPr>
            </w:pPr>
          </w:p>
        </w:tc>
        <w:tc>
          <w:tcPr>
            <w:tcW w:w="1079" w:type="dxa"/>
            <w:tcBorders>
              <w:tl2br w:val="nil"/>
              <w:tr2bl w:val="nil"/>
            </w:tcBorders>
            <w:vAlign w:val="center"/>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闪点（℃）</w:t>
            </w:r>
          </w:p>
        </w:tc>
        <w:tc>
          <w:tcPr>
            <w:tcW w:w="1080" w:type="dxa"/>
            <w:gridSpan w:val="2"/>
            <w:tcBorders>
              <w:tl2br w:val="nil"/>
              <w:tr2bl w:val="nil"/>
            </w:tcBorders>
            <w:vAlign w:val="center"/>
          </w:tcPr>
          <w:p w:rsidR="00F72E65" w:rsidRDefault="00F72E65" w:rsidP="00FB1507">
            <w:pPr>
              <w:ind w:firstLineChars="0" w:firstLine="0"/>
              <w:rPr>
                <w:rFonts w:ascii="宋体" w:hAnsi="宋体" w:cs="宋体"/>
                <w:sz w:val="21"/>
                <w:szCs w:val="21"/>
              </w:rPr>
            </w:pPr>
            <w:r>
              <w:rPr>
                <w:rFonts w:ascii="宋体" w:hAnsi="宋体" w:cs="宋体" w:hint="eastAsia"/>
                <w:spacing w:val="8"/>
                <w:sz w:val="21"/>
                <w:szCs w:val="21"/>
                <w:shd w:val="clear" w:color="auto" w:fill="FFFFFF"/>
              </w:rPr>
              <w:t>-50 ℃ </w:t>
            </w:r>
          </w:p>
        </w:tc>
        <w:tc>
          <w:tcPr>
            <w:tcW w:w="1620" w:type="dxa"/>
            <w:gridSpan w:val="2"/>
            <w:tcBorders>
              <w:tl2br w:val="nil"/>
              <w:tr2bl w:val="nil"/>
            </w:tcBorders>
            <w:vAlign w:val="center"/>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爆炸极限（V%）</w:t>
            </w:r>
          </w:p>
        </w:tc>
        <w:tc>
          <w:tcPr>
            <w:tcW w:w="1260" w:type="dxa"/>
            <w:gridSpan w:val="2"/>
            <w:tcBorders>
              <w:tl2br w:val="nil"/>
              <w:tr2bl w:val="nil"/>
            </w:tcBorders>
            <w:vAlign w:val="center"/>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1.3～6.0</w:t>
            </w:r>
          </w:p>
        </w:tc>
        <w:tc>
          <w:tcPr>
            <w:tcW w:w="1260" w:type="dxa"/>
            <w:tcBorders>
              <w:tl2br w:val="nil"/>
              <w:tr2bl w:val="nil"/>
            </w:tcBorders>
            <w:vAlign w:val="center"/>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禁忌物</w:t>
            </w:r>
          </w:p>
        </w:tc>
        <w:tc>
          <w:tcPr>
            <w:tcW w:w="1461" w:type="dxa"/>
            <w:gridSpan w:val="2"/>
            <w:tcBorders>
              <w:tl2br w:val="nil"/>
              <w:tr2bl w:val="nil"/>
            </w:tcBorders>
            <w:vAlign w:val="center"/>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强氧化剂、卤素</w:t>
            </w:r>
          </w:p>
        </w:tc>
      </w:tr>
      <w:tr w:rsidR="00F72E65" w:rsidTr="00FB1507">
        <w:trPr>
          <w:cantSplit/>
          <w:jc w:val="center"/>
        </w:trPr>
        <w:tc>
          <w:tcPr>
            <w:tcW w:w="1344" w:type="dxa"/>
            <w:vMerge/>
            <w:tcBorders>
              <w:tl2br w:val="nil"/>
              <w:tr2bl w:val="nil"/>
            </w:tcBorders>
            <w:vAlign w:val="center"/>
          </w:tcPr>
          <w:p w:rsidR="00F72E65" w:rsidRDefault="00F72E65" w:rsidP="00FB1507">
            <w:pPr>
              <w:ind w:firstLineChars="0" w:firstLine="0"/>
              <w:jc w:val="center"/>
              <w:rPr>
                <w:rFonts w:ascii="宋体" w:hAnsi="宋体" w:cs="宋体"/>
                <w:sz w:val="21"/>
                <w:szCs w:val="21"/>
              </w:rPr>
            </w:pPr>
          </w:p>
        </w:tc>
        <w:tc>
          <w:tcPr>
            <w:tcW w:w="1079" w:type="dxa"/>
            <w:tcBorders>
              <w:tl2br w:val="nil"/>
              <w:tr2bl w:val="nil"/>
            </w:tcBorders>
            <w:vAlign w:val="center"/>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聚合危害</w:t>
            </w:r>
          </w:p>
        </w:tc>
        <w:tc>
          <w:tcPr>
            <w:tcW w:w="2700" w:type="dxa"/>
            <w:gridSpan w:val="4"/>
            <w:tcBorders>
              <w:tl2br w:val="nil"/>
              <w:tr2bl w:val="nil"/>
            </w:tcBorders>
            <w:vAlign w:val="center"/>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不聚合</w:t>
            </w:r>
          </w:p>
        </w:tc>
        <w:tc>
          <w:tcPr>
            <w:tcW w:w="2520" w:type="dxa"/>
            <w:gridSpan w:val="3"/>
            <w:tcBorders>
              <w:tl2br w:val="nil"/>
              <w:tr2bl w:val="nil"/>
            </w:tcBorders>
            <w:vAlign w:val="center"/>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燃烧分解产物</w:t>
            </w:r>
          </w:p>
        </w:tc>
        <w:tc>
          <w:tcPr>
            <w:tcW w:w="1461" w:type="dxa"/>
            <w:gridSpan w:val="2"/>
            <w:tcBorders>
              <w:tl2br w:val="nil"/>
              <w:tr2bl w:val="nil"/>
            </w:tcBorders>
            <w:vAlign w:val="center"/>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CO、CO</w:t>
            </w:r>
            <w:r>
              <w:rPr>
                <w:rFonts w:ascii="宋体" w:hAnsi="宋体" w:cs="宋体" w:hint="eastAsia"/>
                <w:sz w:val="21"/>
                <w:szCs w:val="21"/>
                <w:vertAlign w:val="subscript"/>
              </w:rPr>
              <w:t>2</w:t>
            </w:r>
          </w:p>
        </w:tc>
      </w:tr>
      <w:tr w:rsidR="00F72E65" w:rsidTr="00FB1507">
        <w:trPr>
          <w:trHeight w:val="488"/>
          <w:jc w:val="center"/>
        </w:trPr>
        <w:tc>
          <w:tcPr>
            <w:tcW w:w="1344" w:type="dxa"/>
            <w:vMerge w:val="restart"/>
            <w:tcBorders>
              <w:tl2br w:val="nil"/>
              <w:tr2bl w:val="nil"/>
            </w:tcBorders>
            <w:vAlign w:val="center"/>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爆炸危害性</w:t>
            </w:r>
          </w:p>
        </w:tc>
        <w:tc>
          <w:tcPr>
            <w:tcW w:w="1079" w:type="dxa"/>
            <w:tcBorders>
              <w:tl2br w:val="nil"/>
              <w:tr2bl w:val="nil"/>
            </w:tcBorders>
            <w:vAlign w:val="center"/>
          </w:tcPr>
          <w:p w:rsidR="00F72E65" w:rsidRDefault="00F72E65" w:rsidP="00FB1507">
            <w:pPr>
              <w:widowControl/>
              <w:ind w:firstLineChars="0" w:firstLine="0"/>
              <w:rPr>
                <w:rFonts w:ascii="宋体" w:hAnsi="宋体" w:cs="宋体"/>
                <w:sz w:val="21"/>
                <w:szCs w:val="21"/>
              </w:rPr>
            </w:pPr>
            <w:r>
              <w:rPr>
                <w:rFonts w:ascii="宋体" w:hAnsi="宋体" w:cs="宋体" w:hint="eastAsia"/>
                <w:sz w:val="21"/>
                <w:szCs w:val="21"/>
              </w:rPr>
              <w:t>危险特性</w:t>
            </w:r>
          </w:p>
        </w:tc>
        <w:tc>
          <w:tcPr>
            <w:tcW w:w="6681" w:type="dxa"/>
            <w:gridSpan w:val="9"/>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蒸气与空气混合形成爆炸性混合物，遇明火、高热极易燃烧爆炸。与氧化剂发生强烈反应，引起燃烧或爆炸。其蒸气比空气重，能在较低处扩散到相当远的地方，遇明火会引着回燃。若遇高热，容器内压增大，有开裂和爆炸的危险。</w:t>
            </w:r>
          </w:p>
        </w:tc>
      </w:tr>
      <w:tr w:rsidR="00F72E65" w:rsidTr="00FB1507">
        <w:trPr>
          <w:trHeight w:val="450"/>
          <w:jc w:val="center"/>
        </w:trPr>
        <w:tc>
          <w:tcPr>
            <w:tcW w:w="1344" w:type="dxa"/>
            <w:vMerge/>
            <w:tcBorders>
              <w:tl2br w:val="nil"/>
              <w:tr2bl w:val="nil"/>
            </w:tcBorders>
          </w:tcPr>
          <w:p w:rsidR="00F72E65" w:rsidRDefault="00F72E65" w:rsidP="00FB1507">
            <w:pPr>
              <w:ind w:firstLineChars="0" w:firstLine="0"/>
              <w:rPr>
                <w:rFonts w:ascii="宋体" w:hAnsi="宋体" w:cs="宋体"/>
                <w:sz w:val="21"/>
                <w:szCs w:val="21"/>
              </w:rPr>
            </w:pPr>
          </w:p>
        </w:tc>
        <w:tc>
          <w:tcPr>
            <w:tcW w:w="1079" w:type="dxa"/>
            <w:tcBorders>
              <w:tl2br w:val="nil"/>
              <w:tr2bl w:val="nil"/>
            </w:tcBorders>
            <w:vAlign w:val="center"/>
          </w:tcPr>
          <w:p w:rsidR="00F72E65" w:rsidRDefault="00F72E65" w:rsidP="00FB1507">
            <w:pPr>
              <w:widowControl/>
              <w:ind w:firstLineChars="0" w:firstLine="0"/>
              <w:rPr>
                <w:rFonts w:ascii="宋体" w:hAnsi="宋体" w:cs="宋体"/>
                <w:sz w:val="21"/>
                <w:szCs w:val="21"/>
              </w:rPr>
            </w:pPr>
            <w:r>
              <w:rPr>
                <w:rFonts w:ascii="宋体" w:hAnsi="宋体" w:cs="宋体" w:hint="eastAsia"/>
                <w:sz w:val="21"/>
                <w:szCs w:val="21"/>
              </w:rPr>
              <w:t>泄露处理</w:t>
            </w:r>
          </w:p>
        </w:tc>
        <w:tc>
          <w:tcPr>
            <w:tcW w:w="6681" w:type="dxa"/>
            <w:gridSpan w:val="9"/>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疏散泄漏污染区人员至安全区，禁止无关人员进入污染区，切断火源。应急处理人员戴自给式呼吸器，穿化学防护服，不要直接接触泄漏物，勿使泄漏物与可燃物接触，在确保安全情况下堵漏。喷水雾减慢挥发，但不要对泄漏物和泄漏点直接喷水用砂土或其它不燃性吸附剂混合吸收，然后收集运至废物处理场所。如果大量泄漏，在技术人员的指导下清除。</w:t>
            </w:r>
          </w:p>
        </w:tc>
      </w:tr>
      <w:tr w:rsidR="00F72E65" w:rsidTr="00FB1507">
        <w:trPr>
          <w:trHeight w:val="300"/>
          <w:jc w:val="center"/>
        </w:trPr>
        <w:tc>
          <w:tcPr>
            <w:tcW w:w="1344" w:type="dxa"/>
            <w:vMerge/>
            <w:tcBorders>
              <w:tl2br w:val="nil"/>
              <w:tr2bl w:val="nil"/>
            </w:tcBorders>
          </w:tcPr>
          <w:p w:rsidR="00F72E65" w:rsidRDefault="00F72E65" w:rsidP="00FB1507">
            <w:pPr>
              <w:ind w:firstLineChars="0" w:firstLine="0"/>
              <w:rPr>
                <w:rFonts w:ascii="宋体" w:hAnsi="宋体" w:cs="宋体"/>
                <w:sz w:val="21"/>
                <w:szCs w:val="21"/>
              </w:rPr>
            </w:pPr>
          </w:p>
        </w:tc>
        <w:tc>
          <w:tcPr>
            <w:tcW w:w="1079" w:type="dxa"/>
            <w:tcBorders>
              <w:tl2br w:val="nil"/>
              <w:tr2bl w:val="nil"/>
            </w:tcBorders>
            <w:vAlign w:val="center"/>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储    运</w:t>
            </w:r>
          </w:p>
        </w:tc>
        <w:tc>
          <w:tcPr>
            <w:tcW w:w="6681" w:type="dxa"/>
            <w:gridSpan w:val="9"/>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保持容器密封，配备相应品种和数量的消防器材。罐储时要有防火防爆</w:t>
            </w:r>
            <w:r>
              <w:rPr>
                <w:rFonts w:ascii="宋体" w:hAnsi="宋体" w:cs="宋体" w:hint="eastAsia"/>
                <w:sz w:val="21"/>
                <w:szCs w:val="21"/>
              </w:rPr>
              <w:lastRenderedPageBreak/>
              <w:t>技术措施。禁止使用易产生火花的机械设备和工具。灌装要控制流速（不超过3m</w:t>
            </w:r>
            <w:r>
              <w:rPr>
                <w:rFonts w:ascii="宋体" w:hAnsi="宋体" w:cs="宋体" w:hint="eastAsia"/>
                <w:sz w:val="21"/>
                <w:szCs w:val="21"/>
                <w:vertAlign w:val="superscript"/>
              </w:rPr>
              <w:t>3</w:t>
            </w:r>
            <w:r>
              <w:rPr>
                <w:rFonts w:ascii="宋体" w:hAnsi="宋体" w:cs="宋体" w:hint="eastAsia"/>
                <w:sz w:val="21"/>
                <w:szCs w:val="21"/>
              </w:rPr>
              <w:t>/s）且有接地装置，防止静电积聚。</w:t>
            </w:r>
          </w:p>
        </w:tc>
      </w:tr>
      <w:tr w:rsidR="00F72E65" w:rsidTr="00FB1507">
        <w:trPr>
          <w:trHeight w:val="288"/>
          <w:jc w:val="center"/>
        </w:trPr>
        <w:tc>
          <w:tcPr>
            <w:tcW w:w="1344" w:type="dxa"/>
            <w:vMerge/>
            <w:tcBorders>
              <w:tl2br w:val="nil"/>
              <w:tr2bl w:val="nil"/>
            </w:tcBorders>
          </w:tcPr>
          <w:p w:rsidR="00F72E65" w:rsidRDefault="00F72E65" w:rsidP="00FB1507">
            <w:pPr>
              <w:ind w:firstLineChars="0" w:firstLine="0"/>
              <w:rPr>
                <w:rFonts w:ascii="宋体" w:hAnsi="宋体" w:cs="宋体"/>
                <w:sz w:val="21"/>
                <w:szCs w:val="21"/>
              </w:rPr>
            </w:pPr>
          </w:p>
        </w:tc>
        <w:tc>
          <w:tcPr>
            <w:tcW w:w="1577" w:type="dxa"/>
            <w:gridSpan w:val="2"/>
            <w:tcBorders>
              <w:tl2br w:val="nil"/>
              <w:tr2bl w:val="nil"/>
            </w:tcBorders>
          </w:tcPr>
          <w:p w:rsidR="00F72E65" w:rsidRDefault="00F72E65" w:rsidP="00FB1507">
            <w:pPr>
              <w:widowControl/>
              <w:ind w:firstLineChars="0" w:firstLine="0"/>
              <w:jc w:val="left"/>
              <w:rPr>
                <w:rFonts w:ascii="宋体" w:hAnsi="宋体" w:cs="宋体"/>
                <w:sz w:val="21"/>
                <w:szCs w:val="21"/>
              </w:rPr>
            </w:pPr>
            <w:r>
              <w:rPr>
                <w:rFonts w:ascii="宋体" w:hAnsi="宋体" w:cs="宋体" w:hint="eastAsia"/>
                <w:sz w:val="21"/>
                <w:szCs w:val="21"/>
              </w:rPr>
              <w:t>灭火剂（方法）</w:t>
            </w:r>
          </w:p>
        </w:tc>
        <w:tc>
          <w:tcPr>
            <w:tcW w:w="6183" w:type="dxa"/>
            <w:gridSpan w:val="8"/>
            <w:tcBorders>
              <w:tl2br w:val="nil"/>
              <w:tr2bl w:val="nil"/>
            </w:tcBorders>
          </w:tcPr>
          <w:p w:rsidR="00F72E65" w:rsidRDefault="00F72E65" w:rsidP="00FB1507">
            <w:pPr>
              <w:widowControl/>
              <w:ind w:firstLineChars="0" w:firstLine="0"/>
              <w:jc w:val="left"/>
              <w:rPr>
                <w:rFonts w:ascii="宋体" w:hAnsi="宋体" w:cs="宋体"/>
                <w:sz w:val="21"/>
                <w:szCs w:val="21"/>
              </w:rPr>
            </w:pPr>
            <w:r>
              <w:rPr>
                <w:rFonts w:ascii="宋体" w:hAnsi="宋体" w:cs="宋体" w:hint="eastAsia"/>
                <w:sz w:val="21"/>
                <w:szCs w:val="21"/>
              </w:rPr>
              <w:t>泡沫、二氧化碳、干粉、砂土</w:t>
            </w:r>
          </w:p>
        </w:tc>
      </w:tr>
    </w:tbl>
    <w:p w:rsidR="00F72E65" w:rsidRDefault="00F72E65" w:rsidP="00F72E65">
      <w:pPr>
        <w:pStyle w:val="4"/>
        <w:ind w:firstLine="562"/>
      </w:pPr>
      <w:bookmarkStart w:id="30" w:name="_Toc18835"/>
      <w:bookmarkStart w:id="31" w:name="_Toc382838796"/>
      <w:r>
        <w:rPr>
          <w:rFonts w:hint="eastAsia"/>
        </w:rPr>
        <w:t>1.2</w:t>
      </w:r>
      <w:r>
        <w:rPr>
          <w:rFonts w:hint="eastAsia"/>
        </w:rPr>
        <w:t>柴油</w:t>
      </w:r>
      <w:bookmarkEnd w:id="30"/>
      <w:bookmarkEnd w:id="31"/>
    </w:p>
    <w:p w:rsidR="00F72E65" w:rsidRDefault="00F72E65" w:rsidP="00F72E65">
      <w:pPr>
        <w:ind w:firstLine="560"/>
        <w:rPr>
          <w:rFonts w:ascii="宋体" w:hAnsi="宋体" w:cs="宋体"/>
          <w:b/>
          <w:sz w:val="24"/>
        </w:rPr>
      </w:pPr>
      <w:r>
        <w:rPr>
          <w:rFonts w:ascii="宋体" w:hAnsi="宋体" w:cs="宋体" w:hint="eastAsia"/>
        </w:rPr>
        <w:t xml:space="preserve"> 柴油属于乙</w:t>
      </w:r>
      <w:r>
        <w:rPr>
          <w:rFonts w:ascii="宋体" w:hAnsi="宋体" w:cs="宋体" w:hint="eastAsia"/>
          <w:spacing w:val="8"/>
          <w:sz w:val="24"/>
          <w:shd w:val="clear" w:color="auto" w:fill="FFFFFF"/>
          <w:vertAlign w:val="subscript"/>
        </w:rPr>
        <w:t>B</w:t>
      </w:r>
      <w:r>
        <w:rPr>
          <w:rFonts w:ascii="宋体" w:hAnsi="宋体" w:cs="宋体" w:hint="eastAsia"/>
        </w:rPr>
        <w:t>（闭杯闪点＞45℃至＜60℃）火灾危险物质，柴油理化性质见表1-3。</w:t>
      </w:r>
    </w:p>
    <w:p w:rsidR="00F72E65" w:rsidRDefault="00F72E65" w:rsidP="00F72E65">
      <w:pPr>
        <w:spacing w:line="360" w:lineRule="auto"/>
        <w:ind w:firstLineChars="0" w:firstLine="0"/>
        <w:jc w:val="center"/>
        <w:rPr>
          <w:rFonts w:ascii="仿宋" w:eastAsia="仿宋" w:hAnsi="仿宋" w:cs="仿宋"/>
          <w:b/>
          <w:sz w:val="24"/>
        </w:rPr>
      </w:pPr>
      <w:r>
        <w:rPr>
          <w:rFonts w:ascii="仿宋" w:eastAsia="仿宋" w:hAnsi="仿宋" w:cs="仿宋" w:hint="eastAsia"/>
          <w:b/>
          <w:sz w:val="24"/>
        </w:rPr>
        <w:t>表1-3  柴油理化特性</w:t>
      </w:r>
    </w:p>
    <w:tbl>
      <w:tblPr>
        <w:tblW w:w="899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tblPr>
      <w:tblGrid>
        <w:gridCol w:w="877"/>
        <w:gridCol w:w="1502"/>
        <w:gridCol w:w="1966"/>
        <w:gridCol w:w="628"/>
        <w:gridCol w:w="1702"/>
        <w:gridCol w:w="339"/>
        <w:gridCol w:w="1980"/>
      </w:tblGrid>
      <w:tr w:rsidR="00F72E65" w:rsidTr="00FB1507">
        <w:trPr>
          <w:cantSplit/>
          <w:jc w:val="center"/>
        </w:trPr>
        <w:tc>
          <w:tcPr>
            <w:tcW w:w="877" w:type="dxa"/>
            <w:vMerge w:val="restart"/>
            <w:tcBorders>
              <w:tl2br w:val="nil"/>
              <w:tr2bl w:val="nil"/>
            </w:tcBorders>
            <w:vAlign w:val="center"/>
          </w:tcPr>
          <w:p w:rsidR="00F72E65" w:rsidRDefault="00F72E65" w:rsidP="00FB1507">
            <w:pPr>
              <w:ind w:firstLineChars="0" w:firstLine="0"/>
              <w:jc w:val="center"/>
              <w:rPr>
                <w:rFonts w:ascii="宋体" w:hAnsi="宋体" w:cs="宋体"/>
                <w:sz w:val="21"/>
                <w:szCs w:val="21"/>
              </w:rPr>
            </w:pPr>
            <w:r>
              <w:rPr>
                <w:rFonts w:ascii="宋体" w:hAnsi="宋体" w:cs="宋体" w:hint="eastAsia"/>
                <w:sz w:val="21"/>
                <w:szCs w:val="21"/>
              </w:rPr>
              <w:t>标识</w:t>
            </w:r>
          </w:p>
        </w:tc>
        <w:tc>
          <w:tcPr>
            <w:tcW w:w="4096" w:type="dxa"/>
            <w:gridSpan w:val="3"/>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英文名：Diesel  oil  Diesel  fuel</w:t>
            </w:r>
          </w:p>
        </w:tc>
        <w:tc>
          <w:tcPr>
            <w:tcW w:w="4021" w:type="dxa"/>
            <w:gridSpan w:val="3"/>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 xml:space="preserve">CAS No.： </w:t>
            </w:r>
          </w:p>
        </w:tc>
      </w:tr>
      <w:tr w:rsidR="00F72E65" w:rsidTr="00FB1507">
        <w:trPr>
          <w:cantSplit/>
          <w:jc w:val="center"/>
        </w:trPr>
        <w:tc>
          <w:tcPr>
            <w:tcW w:w="877" w:type="dxa"/>
            <w:vMerge/>
            <w:tcBorders>
              <w:tl2br w:val="nil"/>
              <w:tr2bl w:val="nil"/>
            </w:tcBorders>
            <w:vAlign w:val="center"/>
          </w:tcPr>
          <w:p w:rsidR="00F72E65" w:rsidRDefault="00F72E65" w:rsidP="00FB1507">
            <w:pPr>
              <w:ind w:firstLineChars="0" w:firstLine="0"/>
              <w:jc w:val="center"/>
              <w:rPr>
                <w:rFonts w:ascii="宋体" w:hAnsi="宋体" w:cs="宋体"/>
                <w:sz w:val="21"/>
                <w:szCs w:val="21"/>
              </w:rPr>
            </w:pPr>
          </w:p>
        </w:tc>
        <w:tc>
          <w:tcPr>
            <w:tcW w:w="4096" w:type="dxa"/>
            <w:gridSpan w:val="3"/>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分子式：</w:t>
            </w:r>
          </w:p>
        </w:tc>
        <w:tc>
          <w:tcPr>
            <w:tcW w:w="4021" w:type="dxa"/>
            <w:gridSpan w:val="3"/>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分子量：</w:t>
            </w:r>
          </w:p>
        </w:tc>
      </w:tr>
      <w:tr w:rsidR="00F72E65" w:rsidTr="00FB1507">
        <w:trPr>
          <w:cantSplit/>
          <w:jc w:val="center"/>
        </w:trPr>
        <w:tc>
          <w:tcPr>
            <w:tcW w:w="877" w:type="dxa"/>
            <w:vMerge w:val="restart"/>
            <w:tcBorders>
              <w:tl2br w:val="nil"/>
              <w:tr2bl w:val="nil"/>
            </w:tcBorders>
            <w:vAlign w:val="center"/>
          </w:tcPr>
          <w:p w:rsidR="00F72E65" w:rsidRDefault="00F72E65" w:rsidP="00FB1507">
            <w:pPr>
              <w:ind w:firstLineChars="0" w:firstLine="0"/>
              <w:jc w:val="center"/>
              <w:rPr>
                <w:rFonts w:ascii="宋体" w:hAnsi="宋体" w:cs="宋体"/>
                <w:sz w:val="21"/>
                <w:szCs w:val="21"/>
              </w:rPr>
            </w:pPr>
            <w:r>
              <w:rPr>
                <w:rFonts w:ascii="宋体" w:hAnsi="宋体" w:cs="宋体" w:hint="eastAsia"/>
                <w:sz w:val="21"/>
                <w:szCs w:val="21"/>
              </w:rPr>
              <w:t>理化特性</w:t>
            </w:r>
          </w:p>
        </w:tc>
        <w:tc>
          <w:tcPr>
            <w:tcW w:w="1502" w:type="dxa"/>
            <w:tcBorders>
              <w:tl2br w:val="nil"/>
              <w:tr2bl w:val="nil"/>
            </w:tcBorders>
          </w:tcPr>
          <w:p w:rsidR="00F72E65" w:rsidRDefault="00F72E65" w:rsidP="00FB1507">
            <w:pPr>
              <w:ind w:firstLineChars="0" w:firstLine="0"/>
              <w:jc w:val="center"/>
              <w:rPr>
                <w:rFonts w:ascii="宋体" w:hAnsi="宋体" w:cs="宋体"/>
                <w:sz w:val="21"/>
                <w:szCs w:val="21"/>
              </w:rPr>
            </w:pPr>
            <w:r>
              <w:rPr>
                <w:rFonts w:ascii="宋体" w:hAnsi="宋体" w:cs="宋体" w:hint="eastAsia"/>
                <w:sz w:val="21"/>
                <w:szCs w:val="21"/>
              </w:rPr>
              <w:t>外观与形状</w:t>
            </w:r>
          </w:p>
        </w:tc>
        <w:tc>
          <w:tcPr>
            <w:tcW w:w="6615" w:type="dxa"/>
            <w:gridSpan w:val="5"/>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稍有粘性的浅黄至棕色油状液体</w:t>
            </w:r>
          </w:p>
        </w:tc>
      </w:tr>
      <w:tr w:rsidR="00F72E65" w:rsidTr="00FB1507">
        <w:trPr>
          <w:cantSplit/>
          <w:jc w:val="center"/>
        </w:trPr>
        <w:tc>
          <w:tcPr>
            <w:tcW w:w="877" w:type="dxa"/>
            <w:vMerge/>
            <w:tcBorders>
              <w:tl2br w:val="nil"/>
              <w:tr2bl w:val="nil"/>
            </w:tcBorders>
            <w:vAlign w:val="center"/>
          </w:tcPr>
          <w:p w:rsidR="00F72E65" w:rsidRDefault="00F72E65" w:rsidP="00FB1507">
            <w:pPr>
              <w:ind w:firstLineChars="0" w:firstLine="0"/>
              <w:jc w:val="center"/>
              <w:rPr>
                <w:rFonts w:ascii="宋体" w:hAnsi="宋体" w:cs="宋体"/>
                <w:sz w:val="21"/>
                <w:szCs w:val="21"/>
              </w:rPr>
            </w:pPr>
          </w:p>
        </w:tc>
        <w:tc>
          <w:tcPr>
            <w:tcW w:w="1502" w:type="dxa"/>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成分</w:t>
            </w:r>
          </w:p>
        </w:tc>
        <w:tc>
          <w:tcPr>
            <w:tcW w:w="6615" w:type="dxa"/>
            <w:gridSpan w:val="5"/>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烷烃、芳烃、烯烃等</w:t>
            </w:r>
          </w:p>
        </w:tc>
      </w:tr>
      <w:tr w:rsidR="00F72E65" w:rsidTr="00FB1507">
        <w:trPr>
          <w:cantSplit/>
          <w:jc w:val="center"/>
        </w:trPr>
        <w:tc>
          <w:tcPr>
            <w:tcW w:w="877" w:type="dxa"/>
            <w:vMerge/>
            <w:tcBorders>
              <w:tl2br w:val="nil"/>
              <w:tr2bl w:val="nil"/>
            </w:tcBorders>
            <w:vAlign w:val="center"/>
          </w:tcPr>
          <w:p w:rsidR="00F72E65" w:rsidRDefault="00F72E65" w:rsidP="00FB1507">
            <w:pPr>
              <w:ind w:firstLineChars="0" w:firstLine="0"/>
              <w:jc w:val="center"/>
              <w:rPr>
                <w:rFonts w:ascii="宋体" w:hAnsi="宋体" w:cs="宋体"/>
                <w:sz w:val="21"/>
                <w:szCs w:val="21"/>
              </w:rPr>
            </w:pPr>
          </w:p>
        </w:tc>
        <w:tc>
          <w:tcPr>
            <w:tcW w:w="1502" w:type="dxa"/>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沸程（℃）</w:t>
            </w:r>
          </w:p>
        </w:tc>
        <w:tc>
          <w:tcPr>
            <w:tcW w:w="2594" w:type="dxa"/>
            <w:gridSpan w:val="2"/>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＞35</w:t>
            </w:r>
          </w:p>
        </w:tc>
        <w:tc>
          <w:tcPr>
            <w:tcW w:w="2041" w:type="dxa"/>
            <w:gridSpan w:val="2"/>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相对密度（水=1）</w:t>
            </w:r>
          </w:p>
        </w:tc>
        <w:tc>
          <w:tcPr>
            <w:tcW w:w="1980" w:type="dxa"/>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无资料</w:t>
            </w:r>
          </w:p>
        </w:tc>
      </w:tr>
      <w:tr w:rsidR="00F72E65" w:rsidTr="00FB1507">
        <w:trPr>
          <w:cantSplit/>
          <w:jc w:val="center"/>
        </w:trPr>
        <w:tc>
          <w:tcPr>
            <w:tcW w:w="877" w:type="dxa"/>
            <w:vMerge/>
            <w:tcBorders>
              <w:tl2br w:val="nil"/>
              <w:tr2bl w:val="nil"/>
            </w:tcBorders>
            <w:vAlign w:val="center"/>
          </w:tcPr>
          <w:p w:rsidR="00F72E65" w:rsidRDefault="00F72E65" w:rsidP="00FB1507">
            <w:pPr>
              <w:ind w:firstLineChars="0" w:firstLine="0"/>
              <w:jc w:val="center"/>
              <w:rPr>
                <w:rFonts w:ascii="宋体" w:hAnsi="宋体" w:cs="宋体"/>
                <w:sz w:val="21"/>
                <w:szCs w:val="21"/>
              </w:rPr>
            </w:pPr>
          </w:p>
        </w:tc>
        <w:tc>
          <w:tcPr>
            <w:tcW w:w="1502" w:type="dxa"/>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熔点（℃）</w:t>
            </w:r>
          </w:p>
        </w:tc>
        <w:tc>
          <w:tcPr>
            <w:tcW w:w="2594" w:type="dxa"/>
            <w:gridSpan w:val="2"/>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无资料</w:t>
            </w:r>
          </w:p>
        </w:tc>
        <w:tc>
          <w:tcPr>
            <w:tcW w:w="2041" w:type="dxa"/>
            <w:gridSpan w:val="2"/>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燃烧热（BTU/1b）</w:t>
            </w:r>
          </w:p>
        </w:tc>
        <w:tc>
          <w:tcPr>
            <w:tcW w:w="1980" w:type="dxa"/>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18. 7×10</w:t>
            </w:r>
            <w:r>
              <w:rPr>
                <w:rFonts w:ascii="宋体" w:hAnsi="宋体" w:cs="宋体" w:hint="eastAsia"/>
                <w:sz w:val="21"/>
                <w:szCs w:val="21"/>
                <w:vertAlign w:val="superscript"/>
              </w:rPr>
              <w:t>3</w:t>
            </w:r>
          </w:p>
        </w:tc>
      </w:tr>
      <w:tr w:rsidR="00F72E65" w:rsidTr="00FB1507">
        <w:trPr>
          <w:cantSplit/>
          <w:trHeight w:val="341"/>
          <w:jc w:val="center"/>
        </w:trPr>
        <w:tc>
          <w:tcPr>
            <w:tcW w:w="877" w:type="dxa"/>
            <w:vMerge w:val="restart"/>
            <w:tcBorders>
              <w:tl2br w:val="nil"/>
              <w:tr2bl w:val="nil"/>
            </w:tcBorders>
            <w:vAlign w:val="center"/>
          </w:tcPr>
          <w:p w:rsidR="00F72E65" w:rsidRDefault="00F72E65" w:rsidP="00FB1507">
            <w:pPr>
              <w:ind w:firstLineChars="0" w:firstLine="0"/>
              <w:jc w:val="center"/>
              <w:rPr>
                <w:rFonts w:ascii="宋体" w:hAnsi="宋体" w:cs="宋体"/>
                <w:sz w:val="21"/>
                <w:szCs w:val="21"/>
              </w:rPr>
            </w:pPr>
            <w:r>
              <w:rPr>
                <w:rFonts w:ascii="宋体" w:hAnsi="宋体" w:cs="宋体" w:hint="eastAsia"/>
                <w:sz w:val="21"/>
                <w:szCs w:val="21"/>
              </w:rPr>
              <w:t>毒性及健康危害</w:t>
            </w:r>
          </w:p>
        </w:tc>
        <w:tc>
          <w:tcPr>
            <w:tcW w:w="1502" w:type="dxa"/>
            <w:tcBorders>
              <w:tl2br w:val="nil"/>
              <w:tr2bl w:val="nil"/>
            </w:tcBorders>
          </w:tcPr>
          <w:p w:rsidR="00F72E65" w:rsidRDefault="00F72E65" w:rsidP="00FB1507">
            <w:pPr>
              <w:ind w:firstLineChars="0" w:firstLine="0"/>
              <w:jc w:val="center"/>
              <w:rPr>
                <w:rFonts w:ascii="宋体" w:hAnsi="宋体" w:cs="宋体"/>
                <w:sz w:val="21"/>
                <w:szCs w:val="21"/>
              </w:rPr>
            </w:pPr>
            <w:r>
              <w:rPr>
                <w:rFonts w:ascii="宋体" w:hAnsi="宋体" w:cs="宋体" w:hint="eastAsia"/>
                <w:sz w:val="21"/>
                <w:szCs w:val="21"/>
              </w:rPr>
              <w:t>接触限值</w:t>
            </w:r>
          </w:p>
        </w:tc>
        <w:tc>
          <w:tcPr>
            <w:tcW w:w="2594" w:type="dxa"/>
            <w:gridSpan w:val="2"/>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未制定标准</w:t>
            </w:r>
          </w:p>
        </w:tc>
        <w:tc>
          <w:tcPr>
            <w:tcW w:w="4021" w:type="dxa"/>
            <w:gridSpan w:val="3"/>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毒性：具有刺激作用</w:t>
            </w:r>
          </w:p>
        </w:tc>
      </w:tr>
      <w:tr w:rsidR="00F72E65" w:rsidTr="00FB1507">
        <w:trPr>
          <w:cantSplit/>
          <w:trHeight w:val="341"/>
          <w:jc w:val="center"/>
        </w:trPr>
        <w:tc>
          <w:tcPr>
            <w:tcW w:w="877" w:type="dxa"/>
            <w:vMerge/>
            <w:tcBorders>
              <w:tl2br w:val="nil"/>
              <w:tr2bl w:val="nil"/>
            </w:tcBorders>
          </w:tcPr>
          <w:p w:rsidR="00F72E65" w:rsidRDefault="00F72E65" w:rsidP="00FB1507">
            <w:pPr>
              <w:ind w:firstLineChars="0" w:firstLine="0"/>
              <w:jc w:val="center"/>
              <w:rPr>
                <w:rFonts w:ascii="宋体" w:hAnsi="宋体" w:cs="宋体"/>
                <w:sz w:val="21"/>
                <w:szCs w:val="21"/>
              </w:rPr>
            </w:pPr>
          </w:p>
        </w:tc>
        <w:tc>
          <w:tcPr>
            <w:tcW w:w="1502" w:type="dxa"/>
            <w:tcBorders>
              <w:tl2br w:val="nil"/>
              <w:tr2bl w:val="nil"/>
            </w:tcBorders>
          </w:tcPr>
          <w:p w:rsidR="00F72E65" w:rsidRDefault="00F72E65" w:rsidP="00FB1507">
            <w:pPr>
              <w:ind w:firstLineChars="0" w:firstLine="0"/>
              <w:jc w:val="center"/>
              <w:rPr>
                <w:rFonts w:ascii="宋体" w:hAnsi="宋体" w:cs="宋体"/>
                <w:sz w:val="21"/>
                <w:szCs w:val="21"/>
              </w:rPr>
            </w:pPr>
            <w:r>
              <w:rPr>
                <w:rFonts w:ascii="宋体" w:hAnsi="宋体" w:cs="宋体" w:hint="eastAsia"/>
                <w:sz w:val="21"/>
                <w:szCs w:val="21"/>
              </w:rPr>
              <w:t>侵入途径</w:t>
            </w:r>
          </w:p>
        </w:tc>
        <w:tc>
          <w:tcPr>
            <w:tcW w:w="6615" w:type="dxa"/>
            <w:gridSpan w:val="5"/>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吸入、食入、经皮吸收</w:t>
            </w:r>
          </w:p>
        </w:tc>
      </w:tr>
      <w:tr w:rsidR="00F72E65" w:rsidTr="00FB1507">
        <w:trPr>
          <w:cantSplit/>
          <w:trHeight w:val="341"/>
          <w:jc w:val="center"/>
        </w:trPr>
        <w:tc>
          <w:tcPr>
            <w:tcW w:w="877" w:type="dxa"/>
            <w:vMerge/>
            <w:tcBorders>
              <w:tl2br w:val="nil"/>
              <w:tr2bl w:val="nil"/>
            </w:tcBorders>
          </w:tcPr>
          <w:p w:rsidR="00F72E65" w:rsidRDefault="00F72E65" w:rsidP="00FB1507">
            <w:pPr>
              <w:ind w:firstLineChars="0" w:firstLine="0"/>
              <w:jc w:val="center"/>
              <w:rPr>
                <w:rFonts w:ascii="宋体" w:hAnsi="宋体" w:cs="宋体"/>
                <w:sz w:val="21"/>
                <w:szCs w:val="21"/>
              </w:rPr>
            </w:pPr>
          </w:p>
        </w:tc>
        <w:tc>
          <w:tcPr>
            <w:tcW w:w="1502" w:type="dxa"/>
            <w:tcBorders>
              <w:tl2br w:val="nil"/>
              <w:tr2bl w:val="nil"/>
            </w:tcBorders>
          </w:tcPr>
          <w:p w:rsidR="00F72E65" w:rsidRDefault="00F72E65" w:rsidP="00FB1507">
            <w:pPr>
              <w:ind w:firstLineChars="0" w:firstLine="0"/>
              <w:jc w:val="center"/>
              <w:rPr>
                <w:rFonts w:ascii="宋体" w:hAnsi="宋体" w:cs="宋体"/>
                <w:sz w:val="21"/>
                <w:szCs w:val="21"/>
              </w:rPr>
            </w:pPr>
            <w:r>
              <w:rPr>
                <w:rFonts w:ascii="宋体" w:hAnsi="宋体" w:cs="宋体" w:hint="eastAsia"/>
                <w:sz w:val="21"/>
                <w:szCs w:val="21"/>
              </w:rPr>
              <w:t>健康危害</w:t>
            </w:r>
          </w:p>
        </w:tc>
        <w:tc>
          <w:tcPr>
            <w:tcW w:w="6615" w:type="dxa"/>
            <w:gridSpan w:val="5"/>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皮肤接触柴油可引起接触性皮炎、油性痤疮吸入可引起吸入性肺炎。能经胎盘进入胎儿血中。柴油废气可引起眼、鼻刺激症状，头晕及头痛。</w:t>
            </w:r>
          </w:p>
        </w:tc>
      </w:tr>
      <w:tr w:rsidR="00F72E65" w:rsidTr="00FB1507">
        <w:trPr>
          <w:cantSplit/>
          <w:trHeight w:val="304"/>
          <w:jc w:val="center"/>
        </w:trPr>
        <w:tc>
          <w:tcPr>
            <w:tcW w:w="877" w:type="dxa"/>
            <w:vMerge/>
            <w:tcBorders>
              <w:tl2br w:val="nil"/>
              <w:tr2bl w:val="nil"/>
            </w:tcBorders>
          </w:tcPr>
          <w:p w:rsidR="00F72E65" w:rsidRDefault="00F72E65" w:rsidP="00FB1507">
            <w:pPr>
              <w:ind w:firstLineChars="0" w:firstLine="0"/>
              <w:jc w:val="center"/>
              <w:rPr>
                <w:rFonts w:ascii="宋体" w:hAnsi="宋体" w:cs="宋体"/>
                <w:sz w:val="21"/>
                <w:szCs w:val="21"/>
              </w:rPr>
            </w:pPr>
          </w:p>
        </w:tc>
        <w:tc>
          <w:tcPr>
            <w:tcW w:w="1502" w:type="dxa"/>
            <w:tcBorders>
              <w:tl2br w:val="nil"/>
              <w:tr2bl w:val="nil"/>
            </w:tcBorders>
            <w:vAlign w:val="center"/>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急    救</w:t>
            </w:r>
          </w:p>
        </w:tc>
        <w:tc>
          <w:tcPr>
            <w:tcW w:w="6615" w:type="dxa"/>
            <w:gridSpan w:val="5"/>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皮肤接触：脱去污染的衣着，用肥皂水及清水彻底冲洗。</w:t>
            </w:r>
          </w:p>
          <w:p w:rsidR="00F72E65" w:rsidRDefault="00F72E65" w:rsidP="00FB1507">
            <w:pPr>
              <w:ind w:firstLineChars="0" w:firstLine="0"/>
              <w:rPr>
                <w:rFonts w:ascii="宋体" w:hAnsi="宋体" w:cs="宋体"/>
                <w:sz w:val="21"/>
                <w:szCs w:val="21"/>
              </w:rPr>
            </w:pPr>
            <w:r>
              <w:rPr>
                <w:rFonts w:ascii="宋体" w:hAnsi="宋体" w:cs="宋体" w:hint="eastAsia"/>
                <w:sz w:val="21"/>
                <w:szCs w:val="21"/>
              </w:rPr>
              <w:t>眼睛接触：立即翻开上下眼睑，用流动清水或生理盐水冲洗至少15分钟。就医。</w:t>
            </w:r>
          </w:p>
          <w:p w:rsidR="00F72E65" w:rsidRDefault="00F72E65" w:rsidP="00FB1507">
            <w:pPr>
              <w:ind w:firstLineChars="0" w:firstLine="0"/>
              <w:rPr>
                <w:rFonts w:ascii="宋体" w:hAnsi="宋体" w:cs="宋体"/>
                <w:sz w:val="21"/>
                <w:szCs w:val="21"/>
              </w:rPr>
            </w:pPr>
            <w:r>
              <w:rPr>
                <w:rFonts w:ascii="宋体" w:hAnsi="宋体" w:cs="宋体" w:hint="eastAsia"/>
                <w:sz w:val="21"/>
                <w:szCs w:val="21"/>
              </w:rPr>
              <w:t>吸入：迅速脱离现场至空气新鲜处，保暖并休息。呼吸困难时输氧，呼吸停止时立即进行人工呼吸，就医。</w:t>
            </w:r>
          </w:p>
          <w:p w:rsidR="00F72E65" w:rsidRDefault="00F72E65" w:rsidP="00FB1507">
            <w:pPr>
              <w:ind w:firstLineChars="0" w:firstLine="0"/>
              <w:rPr>
                <w:rFonts w:ascii="宋体" w:hAnsi="宋体" w:cs="宋体"/>
                <w:sz w:val="21"/>
                <w:szCs w:val="21"/>
              </w:rPr>
            </w:pPr>
            <w:r>
              <w:rPr>
                <w:rFonts w:ascii="宋体" w:hAnsi="宋体" w:cs="宋体" w:hint="eastAsia"/>
                <w:sz w:val="21"/>
                <w:szCs w:val="21"/>
              </w:rPr>
              <w:t>食入：误服者立即漱口，饮足量温水，洗胃。就医。</w:t>
            </w:r>
          </w:p>
        </w:tc>
      </w:tr>
      <w:tr w:rsidR="00F72E65" w:rsidTr="00FB1507">
        <w:trPr>
          <w:cantSplit/>
          <w:jc w:val="center"/>
        </w:trPr>
        <w:tc>
          <w:tcPr>
            <w:tcW w:w="877" w:type="dxa"/>
            <w:vMerge/>
            <w:tcBorders>
              <w:tl2br w:val="nil"/>
              <w:tr2bl w:val="nil"/>
            </w:tcBorders>
          </w:tcPr>
          <w:p w:rsidR="00F72E65" w:rsidRDefault="00F72E65" w:rsidP="00FB1507">
            <w:pPr>
              <w:ind w:firstLineChars="0" w:firstLine="0"/>
              <w:jc w:val="center"/>
              <w:rPr>
                <w:rFonts w:ascii="宋体" w:hAnsi="宋体" w:cs="宋体"/>
                <w:sz w:val="21"/>
                <w:szCs w:val="21"/>
              </w:rPr>
            </w:pPr>
          </w:p>
        </w:tc>
        <w:tc>
          <w:tcPr>
            <w:tcW w:w="1502" w:type="dxa"/>
            <w:tcBorders>
              <w:tl2br w:val="nil"/>
              <w:tr2bl w:val="nil"/>
            </w:tcBorders>
            <w:vAlign w:val="center"/>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防护措施</w:t>
            </w:r>
          </w:p>
        </w:tc>
        <w:tc>
          <w:tcPr>
            <w:tcW w:w="6615" w:type="dxa"/>
            <w:gridSpan w:val="5"/>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工程防护：密闭操作，注意通风。 防护服：穿工作服。</w:t>
            </w:r>
          </w:p>
          <w:p w:rsidR="00F72E65" w:rsidRDefault="00F72E65" w:rsidP="00FB1507">
            <w:pPr>
              <w:ind w:firstLineChars="0" w:firstLine="0"/>
              <w:rPr>
                <w:rFonts w:ascii="宋体" w:hAnsi="宋体" w:cs="宋体"/>
                <w:sz w:val="21"/>
                <w:szCs w:val="21"/>
              </w:rPr>
            </w:pPr>
            <w:r>
              <w:rPr>
                <w:rFonts w:ascii="宋体" w:hAnsi="宋体" w:cs="宋体" w:hint="eastAsia"/>
                <w:sz w:val="21"/>
                <w:szCs w:val="21"/>
              </w:rPr>
              <w:t>呼吸系统防护：一般不需要特殊防护。但建议特殊情况下，佩带防毒面具。</w:t>
            </w:r>
          </w:p>
          <w:p w:rsidR="00F72E65" w:rsidRDefault="00F72E65" w:rsidP="00FB1507">
            <w:pPr>
              <w:ind w:firstLineChars="0" w:firstLine="0"/>
              <w:rPr>
                <w:rFonts w:ascii="宋体" w:hAnsi="宋体" w:cs="宋体"/>
                <w:sz w:val="21"/>
                <w:szCs w:val="21"/>
              </w:rPr>
            </w:pPr>
            <w:r>
              <w:rPr>
                <w:rFonts w:ascii="宋体" w:hAnsi="宋体" w:cs="宋体" w:hint="eastAsia"/>
                <w:sz w:val="21"/>
                <w:szCs w:val="21"/>
              </w:rPr>
              <w:t>眼睛防护：必要时戴安全防护眼镜。手防护：戴防护手套</w:t>
            </w:r>
          </w:p>
          <w:p w:rsidR="00F72E65" w:rsidRDefault="00F72E65" w:rsidP="00FB1507">
            <w:pPr>
              <w:ind w:firstLineChars="0" w:firstLine="0"/>
              <w:rPr>
                <w:rFonts w:ascii="宋体" w:hAnsi="宋体" w:cs="宋体"/>
                <w:sz w:val="21"/>
                <w:szCs w:val="21"/>
              </w:rPr>
            </w:pPr>
            <w:r>
              <w:rPr>
                <w:rFonts w:ascii="宋体" w:hAnsi="宋体" w:cs="宋体" w:hint="eastAsia"/>
                <w:sz w:val="21"/>
                <w:szCs w:val="21"/>
              </w:rPr>
              <w:t>其它：工作后沐浴更衣，保持良好的卫生习惯。</w:t>
            </w:r>
          </w:p>
        </w:tc>
      </w:tr>
      <w:tr w:rsidR="00F72E65" w:rsidTr="00FB1507">
        <w:trPr>
          <w:cantSplit/>
          <w:jc w:val="center"/>
        </w:trPr>
        <w:tc>
          <w:tcPr>
            <w:tcW w:w="877" w:type="dxa"/>
            <w:vMerge w:val="restart"/>
            <w:tcBorders>
              <w:tl2br w:val="nil"/>
              <w:tr2bl w:val="nil"/>
            </w:tcBorders>
            <w:vAlign w:val="center"/>
          </w:tcPr>
          <w:p w:rsidR="00F72E65" w:rsidRDefault="00F72E65" w:rsidP="00FB1507">
            <w:pPr>
              <w:ind w:firstLineChars="0" w:firstLine="0"/>
              <w:jc w:val="center"/>
              <w:rPr>
                <w:rFonts w:ascii="宋体" w:hAnsi="宋体" w:cs="宋体"/>
                <w:sz w:val="21"/>
                <w:szCs w:val="21"/>
              </w:rPr>
            </w:pPr>
            <w:r>
              <w:rPr>
                <w:rFonts w:ascii="宋体" w:hAnsi="宋体" w:cs="宋体" w:hint="eastAsia"/>
                <w:sz w:val="21"/>
                <w:szCs w:val="21"/>
              </w:rPr>
              <w:t>燃烧爆炸危害性</w:t>
            </w:r>
          </w:p>
        </w:tc>
        <w:tc>
          <w:tcPr>
            <w:tcW w:w="1502" w:type="dxa"/>
            <w:tcBorders>
              <w:tl2br w:val="nil"/>
              <w:tr2bl w:val="nil"/>
            </w:tcBorders>
            <w:vAlign w:val="center"/>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燃烧性</w:t>
            </w:r>
          </w:p>
        </w:tc>
        <w:tc>
          <w:tcPr>
            <w:tcW w:w="1966" w:type="dxa"/>
            <w:tcBorders>
              <w:tl2br w:val="nil"/>
              <w:tr2bl w:val="nil"/>
            </w:tcBorders>
            <w:vAlign w:val="center"/>
          </w:tcPr>
          <w:p w:rsidR="00F72E65" w:rsidRDefault="00F72E65" w:rsidP="00FB1507">
            <w:pPr>
              <w:ind w:firstLineChars="0" w:firstLine="0"/>
              <w:jc w:val="center"/>
              <w:rPr>
                <w:rFonts w:ascii="宋体" w:hAnsi="宋体" w:cs="宋体"/>
                <w:sz w:val="21"/>
                <w:szCs w:val="21"/>
              </w:rPr>
            </w:pPr>
            <w:r>
              <w:rPr>
                <w:rFonts w:ascii="宋体" w:hAnsi="宋体" w:cs="宋体" w:hint="eastAsia"/>
                <w:sz w:val="21"/>
                <w:szCs w:val="21"/>
              </w:rPr>
              <w:t>易燃</w:t>
            </w:r>
          </w:p>
        </w:tc>
        <w:tc>
          <w:tcPr>
            <w:tcW w:w="2330" w:type="dxa"/>
            <w:gridSpan w:val="2"/>
            <w:tcBorders>
              <w:tl2br w:val="nil"/>
              <w:tr2bl w:val="nil"/>
            </w:tcBorders>
            <w:vAlign w:val="center"/>
          </w:tcPr>
          <w:p w:rsidR="00F72E65" w:rsidRDefault="00F72E65" w:rsidP="00FB1507">
            <w:pPr>
              <w:ind w:firstLineChars="0" w:firstLine="0"/>
              <w:jc w:val="center"/>
              <w:rPr>
                <w:rFonts w:ascii="宋体" w:hAnsi="宋体" w:cs="宋体"/>
                <w:sz w:val="21"/>
                <w:szCs w:val="21"/>
              </w:rPr>
            </w:pPr>
            <w:r>
              <w:rPr>
                <w:rFonts w:ascii="宋体" w:hAnsi="宋体" w:cs="宋体" w:hint="eastAsia"/>
                <w:sz w:val="21"/>
                <w:szCs w:val="21"/>
              </w:rPr>
              <w:t>闪点（℃）</w:t>
            </w:r>
          </w:p>
        </w:tc>
        <w:tc>
          <w:tcPr>
            <w:tcW w:w="2319" w:type="dxa"/>
            <w:gridSpan w:val="2"/>
            <w:tcBorders>
              <w:tl2br w:val="nil"/>
              <w:tr2bl w:val="nil"/>
            </w:tcBorders>
            <w:vAlign w:val="center"/>
          </w:tcPr>
          <w:p w:rsidR="00F72E65" w:rsidRDefault="00F72E65" w:rsidP="00FB1507">
            <w:pPr>
              <w:ind w:firstLineChars="0" w:firstLine="0"/>
              <w:jc w:val="center"/>
              <w:rPr>
                <w:rFonts w:ascii="宋体" w:hAnsi="宋体" w:cs="宋体"/>
                <w:sz w:val="21"/>
                <w:szCs w:val="21"/>
              </w:rPr>
            </w:pPr>
            <w:r>
              <w:rPr>
                <w:rFonts w:ascii="宋体" w:hAnsi="宋体" w:cs="宋体" w:hint="eastAsia"/>
                <w:sz w:val="21"/>
                <w:szCs w:val="21"/>
              </w:rPr>
              <w:t>≥45，≤60</w:t>
            </w:r>
          </w:p>
        </w:tc>
      </w:tr>
      <w:tr w:rsidR="00F72E65" w:rsidTr="00FB1507">
        <w:trPr>
          <w:cantSplit/>
          <w:jc w:val="center"/>
        </w:trPr>
        <w:tc>
          <w:tcPr>
            <w:tcW w:w="877" w:type="dxa"/>
            <w:vMerge/>
            <w:tcBorders>
              <w:tl2br w:val="nil"/>
              <w:tr2bl w:val="nil"/>
            </w:tcBorders>
            <w:vAlign w:val="center"/>
          </w:tcPr>
          <w:p w:rsidR="00F72E65" w:rsidRDefault="00F72E65" w:rsidP="00FB1507">
            <w:pPr>
              <w:ind w:firstLineChars="0" w:firstLine="0"/>
              <w:rPr>
                <w:rFonts w:ascii="宋体" w:hAnsi="宋体" w:cs="宋体"/>
                <w:sz w:val="21"/>
                <w:szCs w:val="21"/>
              </w:rPr>
            </w:pPr>
          </w:p>
        </w:tc>
        <w:tc>
          <w:tcPr>
            <w:tcW w:w="1502" w:type="dxa"/>
            <w:tcBorders>
              <w:tl2br w:val="nil"/>
              <w:tr2bl w:val="nil"/>
            </w:tcBorders>
            <w:vAlign w:val="center"/>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建规火险分级</w:t>
            </w:r>
          </w:p>
        </w:tc>
        <w:tc>
          <w:tcPr>
            <w:tcW w:w="1966" w:type="dxa"/>
            <w:tcBorders>
              <w:tl2br w:val="nil"/>
              <w:tr2bl w:val="nil"/>
            </w:tcBorders>
            <w:vAlign w:val="center"/>
          </w:tcPr>
          <w:p w:rsidR="00F72E65" w:rsidRDefault="00F72E65" w:rsidP="00FB1507">
            <w:pPr>
              <w:ind w:firstLineChars="0" w:firstLine="0"/>
              <w:jc w:val="center"/>
              <w:rPr>
                <w:rFonts w:ascii="宋体" w:hAnsi="宋体" w:cs="宋体"/>
                <w:sz w:val="21"/>
                <w:szCs w:val="21"/>
              </w:rPr>
            </w:pPr>
            <w:r>
              <w:rPr>
                <w:rFonts w:ascii="宋体" w:hAnsi="宋体" w:cs="宋体" w:hint="eastAsia"/>
                <w:spacing w:val="8"/>
                <w:sz w:val="21"/>
                <w:szCs w:val="21"/>
                <w:shd w:val="clear" w:color="auto" w:fill="FFFFFF"/>
              </w:rPr>
              <w:t>乙</w:t>
            </w:r>
            <w:r>
              <w:rPr>
                <w:rFonts w:ascii="宋体" w:hAnsi="宋体" w:cs="宋体" w:hint="eastAsia"/>
                <w:spacing w:val="8"/>
                <w:sz w:val="21"/>
                <w:szCs w:val="21"/>
                <w:shd w:val="clear" w:color="auto" w:fill="FFFFFF"/>
                <w:vertAlign w:val="subscript"/>
              </w:rPr>
              <w:t>B</w:t>
            </w:r>
          </w:p>
        </w:tc>
        <w:tc>
          <w:tcPr>
            <w:tcW w:w="2330" w:type="dxa"/>
            <w:gridSpan w:val="2"/>
            <w:tcBorders>
              <w:tl2br w:val="nil"/>
              <w:tr2bl w:val="nil"/>
            </w:tcBorders>
            <w:vAlign w:val="center"/>
          </w:tcPr>
          <w:p w:rsidR="00F72E65" w:rsidRDefault="00F72E65" w:rsidP="00FB1507">
            <w:pPr>
              <w:ind w:firstLineChars="0" w:firstLine="0"/>
              <w:jc w:val="center"/>
              <w:rPr>
                <w:rFonts w:ascii="宋体" w:hAnsi="宋体" w:cs="宋体"/>
                <w:sz w:val="21"/>
                <w:szCs w:val="21"/>
              </w:rPr>
            </w:pPr>
            <w:r>
              <w:rPr>
                <w:rFonts w:ascii="宋体" w:hAnsi="宋体" w:cs="宋体" w:hint="eastAsia"/>
                <w:sz w:val="21"/>
                <w:szCs w:val="21"/>
              </w:rPr>
              <w:t>聚合危害</w:t>
            </w:r>
          </w:p>
        </w:tc>
        <w:tc>
          <w:tcPr>
            <w:tcW w:w="2319" w:type="dxa"/>
            <w:gridSpan w:val="2"/>
            <w:tcBorders>
              <w:tl2br w:val="nil"/>
              <w:tr2bl w:val="nil"/>
            </w:tcBorders>
            <w:vAlign w:val="center"/>
          </w:tcPr>
          <w:p w:rsidR="00F72E65" w:rsidRDefault="00F72E65" w:rsidP="00FB1507">
            <w:pPr>
              <w:ind w:firstLineChars="0" w:firstLine="0"/>
              <w:jc w:val="center"/>
              <w:rPr>
                <w:rFonts w:ascii="宋体" w:hAnsi="宋体" w:cs="宋体"/>
                <w:sz w:val="21"/>
                <w:szCs w:val="21"/>
              </w:rPr>
            </w:pPr>
            <w:r>
              <w:rPr>
                <w:rFonts w:ascii="宋体" w:hAnsi="宋体" w:cs="宋体" w:hint="eastAsia"/>
                <w:sz w:val="21"/>
                <w:szCs w:val="21"/>
              </w:rPr>
              <w:t>不能出现</w:t>
            </w:r>
          </w:p>
        </w:tc>
      </w:tr>
      <w:tr w:rsidR="00F72E65" w:rsidTr="00FB1507">
        <w:trPr>
          <w:cantSplit/>
          <w:jc w:val="center"/>
        </w:trPr>
        <w:tc>
          <w:tcPr>
            <w:tcW w:w="877" w:type="dxa"/>
            <w:vMerge/>
            <w:tcBorders>
              <w:tl2br w:val="nil"/>
              <w:tr2bl w:val="nil"/>
            </w:tcBorders>
            <w:vAlign w:val="center"/>
          </w:tcPr>
          <w:p w:rsidR="00F72E65" w:rsidRDefault="00F72E65" w:rsidP="00FB1507">
            <w:pPr>
              <w:ind w:firstLineChars="0" w:firstLine="0"/>
              <w:rPr>
                <w:rFonts w:ascii="宋体" w:hAnsi="宋体" w:cs="宋体"/>
                <w:sz w:val="21"/>
                <w:szCs w:val="21"/>
              </w:rPr>
            </w:pPr>
          </w:p>
        </w:tc>
        <w:tc>
          <w:tcPr>
            <w:tcW w:w="1502" w:type="dxa"/>
            <w:tcBorders>
              <w:tl2br w:val="nil"/>
              <w:tr2bl w:val="nil"/>
            </w:tcBorders>
            <w:vAlign w:val="center"/>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燃烧分解产物</w:t>
            </w:r>
          </w:p>
        </w:tc>
        <w:tc>
          <w:tcPr>
            <w:tcW w:w="1966" w:type="dxa"/>
            <w:tcBorders>
              <w:tl2br w:val="nil"/>
              <w:tr2bl w:val="nil"/>
            </w:tcBorders>
            <w:vAlign w:val="center"/>
          </w:tcPr>
          <w:p w:rsidR="00F72E65" w:rsidRDefault="00F72E65" w:rsidP="00FB1507">
            <w:pPr>
              <w:ind w:firstLineChars="0" w:firstLine="0"/>
              <w:jc w:val="center"/>
              <w:rPr>
                <w:rFonts w:ascii="宋体" w:hAnsi="宋体" w:cs="宋体"/>
                <w:sz w:val="21"/>
                <w:szCs w:val="21"/>
              </w:rPr>
            </w:pPr>
            <w:r>
              <w:rPr>
                <w:rFonts w:ascii="宋体" w:hAnsi="宋体" w:cs="宋体" w:hint="eastAsia"/>
                <w:sz w:val="21"/>
                <w:szCs w:val="21"/>
              </w:rPr>
              <w:t>CO、CO2</w:t>
            </w:r>
          </w:p>
        </w:tc>
        <w:tc>
          <w:tcPr>
            <w:tcW w:w="2330" w:type="dxa"/>
            <w:gridSpan w:val="2"/>
            <w:tcBorders>
              <w:tl2br w:val="nil"/>
              <w:tr2bl w:val="nil"/>
            </w:tcBorders>
            <w:vAlign w:val="center"/>
          </w:tcPr>
          <w:p w:rsidR="00F72E65" w:rsidRDefault="00F72E65" w:rsidP="00FB1507">
            <w:pPr>
              <w:ind w:firstLineChars="0" w:firstLine="0"/>
              <w:jc w:val="center"/>
              <w:rPr>
                <w:rFonts w:ascii="宋体" w:hAnsi="宋体" w:cs="宋体"/>
                <w:sz w:val="21"/>
                <w:szCs w:val="21"/>
              </w:rPr>
            </w:pPr>
            <w:r>
              <w:rPr>
                <w:rFonts w:ascii="宋体" w:hAnsi="宋体" w:cs="宋体" w:hint="eastAsia"/>
                <w:sz w:val="21"/>
                <w:szCs w:val="21"/>
              </w:rPr>
              <w:t>自燃温度</w:t>
            </w:r>
          </w:p>
        </w:tc>
        <w:tc>
          <w:tcPr>
            <w:tcW w:w="2319" w:type="dxa"/>
            <w:gridSpan w:val="2"/>
            <w:tcBorders>
              <w:tl2br w:val="nil"/>
              <w:tr2bl w:val="nil"/>
            </w:tcBorders>
            <w:vAlign w:val="center"/>
          </w:tcPr>
          <w:p w:rsidR="00F72E65" w:rsidRDefault="00F72E65" w:rsidP="00FB1507">
            <w:pPr>
              <w:ind w:firstLineChars="0" w:firstLine="0"/>
              <w:jc w:val="center"/>
              <w:rPr>
                <w:rFonts w:ascii="宋体" w:hAnsi="宋体" w:cs="宋体"/>
                <w:sz w:val="21"/>
                <w:szCs w:val="21"/>
              </w:rPr>
            </w:pPr>
            <w:r>
              <w:rPr>
                <w:rFonts w:ascii="宋体" w:hAnsi="宋体" w:cs="宋体" w:hint="eastAsia"/>
                <w:sz w:val="21"/>
                <w:szCs w:val="21"/>
              </w:rPr>
              <w:t>257</w:t>
            </w:r>
          </w:p>
        </w:tc>
      </w:tr>
      <w:tr w:rsidR="00F72E65" w:rsidTr="00FB1507">
        <w:trPr>
          <w:cantSplit/>
          <w:jc w:val="center"/>
        </w:trPr>
        <w:tc>
          <w:tcPr>
            <w:tcW w:w="877" w:type="dxa"/>
            <w:vMerge/>
            <w:tcBorders>
              <w:tl2br w:val="nil"/>
              <w:tr2bl w:val="nil"/>
            </w:tcBorders>
          </w:tcPr>
          <w:p w:rsidR="00F72E65" w:rsidRDefault="00F72E65" w:rsidP="00FB1507">
            <w:pPr>
              <w:ind w:firstLineChars="0" w:firstLine="0"/>
              <w:rPr>
                <w:rFonts w:ascii="宋体" w:hAnsi="宋体" w:cs="宋体"/>
                <w:sz w:val="21"/>
                <w:szCs w:val="21"/>
              </w:rPr>
            </w:pPr>
          </w:p>
        </w:tc>
        <w:tc>
          <w:tcPr>
            <w:tcW w:w="1502" w:type="dxa"/>
            <w:tcBorders>
              <w:tl2br w:val="nil"/>
              <w:tr2bl w:val="nil"/>
            </w:tcBorders>
            <w:vAlign w:val="center"/>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危险特性</w:t>
            </w:r>
          </w:p>
        </w:tc>
        <w:tc>
          <w:tcPr>
            <w:tcW w:w="6615" w:type="dxa"/>
            <w:gridSpan w:val="5"/>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易燃，其蒸气与空气混合，能形成爆炸性混合物。若遇高热，容器内压增大，有开裂和爆炸的危险。</w:t>
            </w:r>
          </w:p>
        </w:tc>
      </w:tr>
      <w:tr w:rsidR="00F72E65" w:rsidTr="00FB1507">
        <w:trPr>
          <w:cantSplit/>
          <w:jc w:val="center"/>
        </w:trPr>
        <w:tc>
          <w:tcPr>
            <w:tcW w:w="877" w:type="dxa"/>
            <w:vMerge/>
            <w:tcBorders>
              <w:tl2br w:val="nil"/>
              <w:tr2bl w:val="nil"/>
            </w:tcBorders>
          </w:tcPr>
          <w:p w:rsidR="00F72E65" w:rsidRDefault="00F72E65" w:rsidP="00FB1507">
            <w:pPr>
              <w:ind w:firstLineChars="0" w:firstLine="0"/>
              <w:jc w:val="center"/>
              <w:rPr>
                <w:rFonts w:ascii="宋体" w:hAnsi="宋体" w:cs="宋体"/>
                <w:sz w:val="21"/>
                <w:szCs w:val="21"/>
              </w:rPr>
            </w:pPr>
          </w:p>
        </w:tc>
        <w:tc>
          <w:tcPr>
            <w:tcW w:w="1502" w:type="dxa"/>
            <w:tcBorders>
              <w:tl2br w:val="nil"/>
              <w:tr2bl w:val="nil"/>
            </w:tcBorders>
            <w:vAlign w:val="center"/>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泄漏处理</w:t>
            </w:r>
          </w:p>
        </w:tc>
        <w:tc>
          <w:tcPr>
            <w:tcW w:w="6615" w:type="dxa"/>
            <w:gridSpan w:val="5"/>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疏散泄漏污染区人员至安全区，禁止无关人员进入污染区，切断火源。应急处理人员戴自给式呼吸器，穿化学防护服，不要直接接触泄漏物，勿使泄漏物与可燃物接触，在确保安全情况下堵漏。喷水雾减慢挥发，但不要对泄漏物和泄漏点直接喷水用砂土或其它不燃性吸附剂混合吸收，然后收集运至废物处理场所。如果大量泄漏，在技术人员的指导下清除。</w:t>
            </w:r>
          </w:p>
        </w:tc>
      </w:tr>
      <w:tr w:rsidR="00F72E65" w:rsidTr="00FB1507">
        <w:trPr>
          <w:cantSplit/>
          <w:jc w:val="center"/>
        </w:trPr>
        <w:tc>
          <w:tcPr>
            <w:tcW w:w="877" w:type="dxa"/>
            <w:vMerge/>
            <w:tcBorders>
              <w:tl2br w:val="nil"/>
              <w:tr2bl w:val="nil"/>
            </w:tcBorders>
          </w:tcPr>
          <w:p w:rsidR="00F72E65" w:rsidRDefault="00F72E65" w:rsidP="00FB1507">
            <w:pPr>
              <w:ind w:firstLineChars="0" w:firstLine="0"/>
              <w:jc w:val="center"/>
              <w:rPr>
                <w:rFonts w:ascii="宋体" w:hAnsi="宋体" w:cs="宋体"/>
                <w:sz w:val="21"/>
                <w:szCs w:val="21"/>
              </w:rPr>
            </w:pPr>
          </w:p>
        </w:tc>
        <w:tc>
          <w:tcPr>
            <w:tcW w:w="1502" w:type="dxa"/>
            <w:tcBorders>
              <w:tl2br w:val="nil"/>
              <w:tr2bl w:val="nil"/>
            </w:tcBorders>
            <w:vAlign w:val="center"/>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储    运</w:t>
            </w:r>
          </w:p>
        </w:tc>
        <w:tc>
          <w:tcPr>
            <w:tcW w:w="6615" w:type="dxa"/>
            <w:gridSpan w:val="5"/>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保持容器密封，配备相应品种和数量的消防器材。罐储时要有防火防爆技术措施。禁止使用易产生火花的机械设备和工具。灌装要控制流速，注意防止静电积聚。</w:t>
            </w:r>
          </w:p>
        </w:tc>
      </w:tr>
      <w:tr w:rsidR="00F72E65" w:rsidTr="00FB1507">
        <w:trPr>
          <w:cantSplit/>
          <w:jc w:val="center"/>
        </w:trPr>
        <w:tc>
          <w:tcPr>
            <w:tcW w:w="877" w:type="dxa"/>
            <w:vMerge/>
            <w:tcBorders>
              <w:tl2br w:val="nil"/>
              <w:tr2bl w:val="nil"/>
            </w:tcBorders>
          </w:tcPr>
          <w:p w:rsidR="00F72E65" w:rsidRDefault="00F72E65" w:rsidP="00FB1507">
            <w:pPr>
              <w:ind w:firstLineChars="0" w:firstLine="0"/>
              <w:jc w:val="center"/>
              <w:rPr>
                <w:rFonts w:ascii="宋体" w:hAnsi="宋体" w:cs="宋体"/>
                <w:sz w:val="21"/>
                <w:szCs w:val="21"/>
              </w:rPr>
            </w:pPr>
          </w:p>
        </w:tc>
        <w:tc>
          <w:tcPr>
            <w:tcW w:w="1502" w:type="dxa"/>
            <w:tcBorders>
              <w:tl2br w:val="nil"/>
              <w:tr2bl w:val="nil"/>
            </w:tcBorders>
            <w:vAlign w:val="center"/>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灭火剂（方法）</w:t>
            </w:r>
          </w:p>
        </w:tc>
        <w:tc>
          <w:tcPr>
            <w:tcW w:w="6615" w:type="dxa"/>
            <w:gridSpan w:val="5"/>
            <w:tcBorders>
              <w:tl2br w:val="nil"/>
              <w:tr2bl w:val="nil"/>
            </w:tcBorders>
          </w:tcPr>
          <w:p w:rsidR="00F72E65" w:rsidRDefault="00F72E65" w:rsidP="00FB1507">
            <w:pPr>
              <w:ind w:firstLineChars="0" w:firstLine="0"/>
              <w:rPr>
                <w:rFonts w:ascii="宋体" w:hAnsi="宋体" w:cs="宋体"/>
                <w:sz w:val="21"/>
                <w:szCs w:val="21"/>
              </w:rPr>
            </w:pPr>
            <w:r>
              <w:rPr>
                <w:rFonts w:ascii="宋体" w:hAnsi="宋体" w:cs="宋体" w:hint="eastAsia"/>
                <w:sz w:val="21"/>
                <w:szCs w:val="21"/>
              </w:rPr>
              <w:t>二氧化碳、干粉或耐醇泡沫，避免用太强的水汽灭火，因为他可能会使火苗蔓延分散。</w:t>
            </w:r>
          </w:p>
        </w:tc>
      </w:tr>
    </w:tbl>
    <w:p w:rsidR="00F72E65" w:rsidRDefault="00F72E65" w:rsidP="00F72E65">
      <w:pPr>
        <w:pStyle w:val="4"/>
        <w:ind w:firstLine="562"/>
      </w:pPr>
      <w:bookmarkStart w:id="32" w:name="_Toc13047"/>
      <w:bookmarkStart w:id="33" w:name="_Toc382838797"/>
      <w:r>
        <w:rPr>
          <w:rFonts w:hint="eastAsia"/>
        </w:rPr>
        <w:t>1.3</w:t>
      </w:r>
      <w:r>
        <w:rPr>
          <w:rFonts w:hint="eastAsia"/>
        </w:rPr>
        <w:t>火灾危险类别及爆炸危险区域划分</w:t>
      </w:r>
      <w:bookmarkEnd w:id="32"/>
      <w:bookmarkEnd w:id="33"/>
    </w:p>
    <w:p w:rsidR="00F72E65" w:rsidRDefault="00F72E65" w:rsidP="00F72E65">
      <w:pPr>
        <w:ind w:firstLine="560"/>
      </w:pPr>
      <w:r>
        <w:rPr>
          <w:rFonts w:hint="eastAsia"/>
        </w:rPr>
        <w:t>根据</w:t>
      </w:r>
      <w:bookmarkStart w:id="34" w:name="OLE_LINK8"/>
      <w:r>
        <w:rPr>
          <w:rFonts w:hint="eastAsia"/>
        </w:rPr>
        <w:t>《汽车加油加气站设计与施工规范》</w:t>
      </w:r>
      <w:bookmarkEnd w:id="34"/>
      <w:r>
        <w:rPr>
          <w:rFonts w:hint="eastAsia"/>
        </w:rPr>
        <w:t>（</w:t>
      </w:r>
      <w:r>
        <w:rPr>
          <w:rFonts w:hint="eastAsia"/>
        </w:rPr>
        <w:t>GB50156-2012</w:t>
      </w:r>
      <w:r>
        <w:rPr>
          <w:rFonts w:hint="eastAsia"/>
        </w:rPr>
        <w:t>，</w:t>
      </w:r>
      <w:r>
        <w:rPr>
          <w:rFonts w:hint="eastAsia"/>
        </w:rPr>
        <w:t>2014</w:t>
      </w:r>
      <w:r>
        <w:rPr>
          <w:rFonts w:hint="eastAsia"/>
        </w:rPr>
        <w:t>年版）和</w:t>
      </w:r>
      <w:bookmarkStart w:id="35" w:name="OLE_LINK9"/>
      <w:r>
        <w:rPr>
          <w:rFonts w:hint="eastAsia"/>
        </w:rPr>
        <w:t>《爆炸危险环境电力装置设计规范》</w:t>
      </w:r>
      <w:bookmarkEnd w:id="35"/>
      <w:r>
        <w:rPr>
          <w:rFonts w:hint="eastAsia"/>
        </w:rPr>
        <w:t>（</w:t>
      </w:r>
      <w:r>
        <w:rPr>
          <w:rFonts w:hint="eastAsia"/>
        </w:rPr>
        <w:t>GB50058-2014</w:t>
      </w:r>
      <w:r>
        <w:rPr>
          <w:rFonts w:hint="eastAsia"/>
        </w:rPr>
        <w:t>）等标准规范关于火灾爆炸环境危险性等级划分原则，卸油、储存和加油场所均属于甲类火灾危险区域。加油站火灾爆炸危险区域划分如图</w:t>
      </w:r>
      <w:r>
        <w:rPr>
          <w:rFonts w:hint="eastAsia"/>
        </w:rPr>
        <w:t>3-1</w:t>
      </w:r>
      <w:r>
        <w:rPr>
          <w:rFonts w:hint="eastAsia"/>
        </w:rPr>
        <w:t>、图</w:t>
      </w:r>
      <w:r>
        <w:rPr>
          <w:rFonts w:hint="eastAsia"/>
        </w:rPr>
        <w:t>3-2</w:t>
      </w:r>
      <w:r>
        <w:rPr>
          <w:rFonts w:hint="eastAsia"/>
        </w:rPr>
        <w:t>、图</w:t>
      </w:r>
      <w:r>
        <w:rPr>
          <w:rFonts w:hint="eastAsia"/>
        </w:rPr>
        <w:t>3-3</w:t>
      </w:r>
      <w:r>
        <w:rPr>
          <w:rFonts w:hint="eastAsia"/>
        </w:rPr>
        <w:t>：</w:t>
      </w:r>
    </w:p>
    <w:p w:rsidR="00F72E65" w:rsidRDefault="00F72E65" w:rsidP="00F72E65">
      <w:pPr>
        <w:pStyle w:val="a0"/>
        <w:ind w:firstLine="280"/>
        <w:jc w:val="center"/>
      </w:pPr>
      <w:r>
        <w:rPr>
          <w:noProof/>
        </w:rPr>
        <w:drawing>
          <wp:anchor distT="0" distB="0" distL="114300" distR="114300" simplePos="0" relativeHeight="251659264" behindDoc="0" locked="0" layoutInCell="1" allowOverlap="1">
            <wp:simplePos x="0" y="0"/>
            <wp:positionH relativeFrom="column">
              <wp:posOffset>490220</wp:posOffset>
            </wp:positionH>
            <wp:positionV relativeFrom="paragraph">
              <wp:posOffset>247650</wp:posOffset>
            </wp:positionV>
            <wp:extent cx="4169410" cy="2632075"/>
            <wp:effectExtent l="0" t="0" r="2540" b="15875"/>
            <wp:wrapTopAndBottom/>
            <wp:docPr id="34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6"/>
                    <pic:cNvPicPr>
                      <a:picLocks noChangeAspect="1"/>
                    </pic:cNvPicPr>
                  </pic:nvPicPr>
                  <pic:blipFill>
                    <a:blip r:embed="rId4" cstate="print"/>
                    <a:stretch>
                      <a:fillRect/>
                    </a:stretch>
                  </pic:blipFill>
                  <pic:spPr>
                    <a:xfrm>
                      <a:off x="0" y="0"/>
                      <a:ext cx="4169410" cy="2632075"/>
                    </a:xfrm>
                    <a:prstGeom prst="rect">
                      <a:avLst/>
                    </a:prstGeom>
                    <a:noFill/>
                    <a:ln>
                      <a:noFill/>
                    </a:ln>
                  </pic:spPr>
                </pic:pic>
              </a:graphicData>
            </a:graphic>
          </wp:anchor>
        </w:drawing>
      </w:r>
    </w:p>
    <w:p w:rsidR="00F72E65" w:rsidRDefault="00F72E65" w:rsidP="00F72E65">
      <w:pPr>
        <w:pStyle w:val="20"/>
        <w:ind w:firstLine="560"/>
        <w:jc w:val="center"/>
      </w:pPr>
    </w:p>
    <w:p w:rsidR="00F72E65" w:rsidRDefault="00F72E65" w:rsidP="00F72E65">
      <w:pPr>
        <w:spacing w:line="360" w:lineRule="auto"/>
        <w:ind w:firstLine="560"/>
      </w:pPr>
    </w:p>
    <w:p w:rsidR="00F72E65" w:rsidRDefault="00F72E65" w:rsidP="00F72E65">
      <w:pPr>
        <w:spacing w:line="360" w:lineRule="auto"/>
        <w:ind w:firstLineChars="0" w:firstLine="0"/>
        <w:jc w:val="center"/>
        <w:rPr>
          <w:rFonts w:ascii="宋体" w:hAnsi="宋体"/>
          <w:bCs/>
          <w:sz w:val="24"/>
        </w:rPr>
      </w:pPr>
      <w:r>
        <w:rPr>
          <w:noProof/>
        </w:rPr>
        <w:lastRenderedPageBreak/>
        <w:drawing>
          <wp:inline distT="0" distB="0" distL="114300" distR="114300">
            <wp:extent cx="4385310" cy="2687955"/>
            <wp:effectExtent l="0" t="0" r="15240" b="17145"/>
            <wp:docPr id="34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7"/>
                    <pic:cNvPicPr>
                      <a:picLocks noChangeAspect="1"/>
                    </pic:cNvPicPr>
                  </pic:nvPicPr>
                  <pic:blipFill>
                    <a:blip r:embed="rId5" cstate="print"/>
                    <a:stretch>
                      <a:fillRect/>
                    </a:stretch>
                  </pic:blipFill>
                  <pic:spPr>
                    <a:xfrm>
                      <a:off x="0" y="0"/>
                      <a:ext cx="4385310" cy="2687955"/>
                    </a:xfrm>
                    <a:prstGeom prst="rect">
                      <a:avLst/>
                    </a:prstGeom>
                    <a:noFill/>
                    <a:ln>
                      <a:noFill/>
                    </a:ln>
                  </pic:spPr>
                </pic:pic>
              </a:graphicData>
            </a:graphic>
          </wp:inline>
        </w:drawing>
      </w:r>
    </w:p>
    <w:p w:rsidR="00F72E65" w:rsidRDefault="00F72E65" w:rsidP="00F72E65">
      <w:pPr>
        <w:spacing w:line="360" w:lineRule="auto"/>
        <w:ind w:firstLine="560"/>
        <w:jc w:val="center"/>
        <w:rPr>
          <w:rFonts w:ascii="仿宋" w:eastAsia="仿宋" w:hAnsi="仿宋"/>
          <w:b/>
          <w:bCs/>
          <w:sz w:val="32"/>
          <w:szCs w:val="32"/>
        </w:rPr>
      </w:pPr>
      <w:r>
        <w:rPr>
          <w:noProof/>
        </w:rPr>
        <w:drawing>
          <wp:inline distT="0" distB="0" distL="114300" distR="114300">
            <wp:extent cx="4333875" cy="2409825"/>
            <wp:effectExtent l="0" t="0" r="9525" b="9525"/>
            <wp:docPr id="34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8"/>
                    <pic:cNvPicPr>
                      <a:picLocks noChangeAspect="1"/>
                    </pic:cNvPicPr>
                  </pic:nvPicPr>
                  <pic:blipFill>
                    <a:blip r:embed="rId6" cstate="print"/>
                    <a:stretch>
                      <a:fillRect/>
                    </a:stretch>
                  </pic:blipFill>
                  <pic:spPr>
                    <a:xfrm>
                      <a:off x="0" y="0"/>
                      <a:ext cx="4333875" cy="2409825"/>
                    </a:xfrm>
                    <a:prstGeom prst="rect">
                      <a:avLst/>
                    </a:prstGeom>
                    <a:noFill/>
                    <a:ln>
                      <a:noFill/>
                    </a:ln>
                  </pic:spPr>
                </pic:pic>
              </a:graphicData>
            </a:graphic>
          </wp:inline>
        </w:drawing>
      </w:r>
      <w:bookmarkStart w:id="36" w:name="_Toc454888617"/>
      <w:bookmarkStart w:id="37" w:name="_Toc382838798"/>
      <w:bookmarkStart w:id="38" w:name="_Toc366661314"/>
      <w:bookmarkStart w:id="39" w:name="_Toc21174"/>
      <w:bookmarkStart w:id="40" w:name="_Toc4095"/>
    </w:p>
    <w:p w:rsidR="00F72E65" w:rsidRDefault="00F72E65" w:rsidP="00F72E65">
      <w:pPr>
        <w:pStyle w:val="3"/>
        <w:ind w:firstLine="602"/>
      </w:pPr>
      <w:bookmarkStart w:id="41" w:name="_Toc22007"/>
      <w:r>
        <w:rPr>
          <w:rFonts w:hint="eastAsia"/>
        </w:rPr>
        <w:t>2</w:t>
      </w:r>
      <w:r>
        <w:rPr>
          <w:rFonts w:hint="eastAsia"/>
        </w:rPr>
        <w:t>加油站设备危险有害因素危险性分析</w:t>
      </w:r>
      <w:bookmarkEnd w:id="36"/>
      <w:bookmarkEnd w:id="37"/>
      <w:bookmarkEnd w:id="38"/>
      <w:bookmarkEnd w:id="39"/>
      <w:bookmarkEnd w:id="40"/>
      <w:bookmarkEnd w:id="41"/>
    </w:p>
    <w:p w:rsidR="00F72E65" w:rsidRDefault="00F72E65" w:rsidP="00F72E65">
      <w:pPr>
        <w:ind w:firstLine="560"/>
      </w:pPr>
      <w:r>
        <w:rPr>
          <w:rFonts w:hint="eastAsia"/>
        </w:rPr>
        <w:t>（</w:t>
      </w:r>
      <w:r>
        <w:rPr>
          <w:rFonts w:hint="eastAsia"/>
        </w:rPr>
        <w:t>1</w:t>
      </w:r>
      <w:r>
        <w:rPr>
          <w:rFonts w:hint="eastAsia"/>
        </w:rPr>
        <w:t>）加油站工艺管线有可能因材质不合格、腐蚀、应力变形、焊接质量差、密封不良、操作不当等原因，造成管线内的汽油、柴油泄漏，遇点火源时可引发火灾爆炸。</w:t>
      </w:r>
    </w:p>
    <w:p w:rsidR="00F72E65" w:rsidRDefault="00F72E65" w:rsidP="00F72E65">
      <w:pPr>
        <w:ind w:firstLine="560"/>
      </w:pPr>
      <w:r>
        <w:rPr>
          <w:rFonts w:hint="eastAsia"/>
        </w:rPr>
        <w:t>（</w:t>
      </w:r>
      <w:r>
        <w:rPr>
          <w:rFonts w:hint="eastAsia"/>
        </w:rPr>
        <w:t>2</w:t>
      </w:r>
      <w:r>
        <w:rPr>
          <w:rFonts w:hint="eastAsia"/>
        </w:rPr>
        <w:t>）汽、柴油储罐除由本体、附件和密封的缺陷引起泄漏外，介质超液位等原因也容易引起泄漏，泄漏的汽柴油遇点火源，可引发火灾爆炸事故。</w:t>
      </w:r>
    </w:p>
    <w:p w:rsidR="00F72E65" w:rsidRDefault="00F72E65" w:rsidP="00F72E65">
      <w:pPr>
        <w:ind w:firstLine="560"/>
      </w:pPr>
      <w:r>
        <w:rPr>
          <w:rFonts w:hint="eastAsia"/>
        </w:rPr>
        <w:t>（</w:t>
      </w:r>
      <w:r>
        <w:rPr>
          <w:rFonts w:hint="eastAsia"/>
        </w:rPr>
        <w:t>3</w:t>
      </w:r>
      <w:r>
        <w:rPr>
          <w:rFonts w:hint="eastAsia"/>
        </w:rPr>
        <w:t>）系统内的阀门可能因垫片破坏、冻裂或材质缺陷而产生泄</w:t>
      </w:r>
      <w:r>
        <w:rPr>
          <w:rFonts w:hint="eastAsia"/>
        </w:rPr>
        <w:lastRenderedPageBreak/>
        <w:t>漏，泄漏的汽、柴油遇火源可引发火灾。</w:t>
      </w:r>
    </w:p>
    <w:p w:rsidR="00F72E65" w:rsidRDefault="00F72E65" w:rsidP="00F72E65">
      <w:pPr>
        <w:ind w:firstLine="560"/>
      </w:pPr>
      <w:r>
        <w:rPr>
          <w:rFonts w:hint="eastAsia"/>
        </w:rPr>
        <w:t>（</w:t>
      </w:r>
      <w:r>
        <w:rPr>
          <w:rFonts w:hint="eastAsia"/>
        </w:rPr>
        <w:t>4</w:t>
      </w:r>
      <w:r>
        <w:rPr>
          <w:rFonts w:hint="eastAsia"/>
        </w:rPr>
        <w:t>）油罐的各接合管未设置在油罐的顶部，如老式油罐，出油管位于油罐底部，因此留有地沟，易于油气积聚，当达到爆炸极限时，遇点火源，可引发火灾爆炸事故。</w:t>
      </w:r>
    </w:p>
    <w:p w:rsidR="00F72E65" w:rsidRDefault="00F72E65" w:rsidP="00F72E65">
      <w:pPr>
        <w:pStyle w:val="3"/>
        <w:ind w:firstLine="602"/>
      </w:pPr>
      <w:bookmarkStart w:id="42" w:name="_Toc454888618"/>
      <w:bookmarkStart w:id="43" w:name="_Toc382838799"/>
      <w:bookmarkStart w:id="44" w:name="_Toc25777"/>
      <w:bookmarkStart w:id="45" w:name="_Toc366661315"/>
      <w:bookmarkStart w:id="46" w:name="_Toc23397"/>
      <w:bookmarkStart w:id="47" w:name="_Toc13415"/>
      <w:bookmarkStart w:id="48" w:name="_Toc300150101"/>
      <w:r>
        <w:rPr>
          <w:rFonts w:hint="eastAsia"/>
        </w:rPr>
        <w:t>3</w:t>
      </w:r>
      <w:r>
        <w:rPr>
          <w:rFonts w:hint="eastAsia"/>
        </w:rPr>
        <w:t>经营过程中危险有害因素分析</w:t>
      </w:r>
      <w:bookmarkEnd w:id="42"/>
      <w:bookmarkEnd w:id="43"/>
      <w:bookmarkEnd w:id="44"/>
      <w:bookmarkEnd w:id="45"/>
      <w:bookmarkEnd w:id="46"/>
      <w:bookmarkEnd w:id="47"/>
      <w:bookmarkEnd w:id="48"/>
    </w:p>
    <w:p w:rsidR="00F72E65" w:rsidRDefault="00F72E65" w:rsidP="00F72E65">
      <w:pPr>
        <w:ind w:firstLine="560"/>
      </w:pPr>
      <w:r>
        <w:rPr>
          <w:rFonts w:hint="eastAsia"/>
        </w:rPr>
        <w:t>由加油站所经营的油品的危险特性可知，加油站在经营运行过程中的主要危险、有害因素有：</w:t>
      </w:r>
    </w:p>
    <w:p w:rsidR="00F72E65" w:rsidRDefault="00F72E65" w:rsidP="00F72E65">
      <w:pPr>
        <w:pStyle w:val="4"/>
        <w:ind w:firstLine="562"/>
      </w:pPr>
      <w:bookmarkStart w:id="49" w:name="_Toc22141"/>
      <w:bookmarkStart w:id="50" w:name="_Toc382838800"/>
      <w:r>
        <w:rPr>
          <w:rFonts w:hint="eastAsia"/>
        </w:rPr>
        <w:t>3.1</w:t>
      </w:r>
      <w:r>
        <w:rPr>
          <w:rFonts w:hint="eastAsia"/>
        </w:rPr>
        <w:t>火灾、爆炸危险</w:t>
      </w:r>
      <w:bookmarkEnd w:id="49"/>
      <w:bookmarkEnd w:id="50"/>
    </w:p>
    <w:p w:rsidR="00F72E65" w:rsidRDefault="00F72E65" w:rsidP="00F72E65">
      <w:pPr>
        <w:ind w:firstLine="560"/>
      </w:pPr>
      <w:r>
        <w:rPr>
          <w:rFonts w:hint="eastAsia"/>
        </w:rPr>
        <w:t>根据汽油和柴油本身具有易燃、易爆的危险性，在加油站经营过程中，以下环节易发生火灾、爆炸危险：</w:t>
      </w:r>
    </w:p>
    <w:p w:rsidR="00F72E65" w:rsidRDefault="00F72E65" w:rsidP="00F72E65">
      <w:pPr>
        <w:ind w:firstLine="560"/>
      </w:pPr>
      <w:r>
        <w:rPr>
          <w:rFonts w:hint="eastAsia"/>
        </w:rPr>
        <w:t>（</w:t>
      </w:r>
      <w:r>
        <w:rPr>
          <w:rFonts w:hint="eastAsia"/>
        </w:rPr>
        <w:t>1</w:t>
      </w:r>
      <w:r>
        <w:rPr>
          <w:rFonts w:hint="eastAsia"/>
        </w:rPr>
        <w:t>）根据</w:t>
      </w:r>
      <w:bookmarkStart w:id="51" w:name="OLE_LINK13"/>
      <w:r>
        <w:rPr>
          <w:rFonts w:hint="eastAsia"/>
        </w:rPr>
        <w:t>《汽车加油加气站设计与施工规范》</w:t>
      </w:r>
      <w:bookmarkEnd w:id="51"/>
      <w:r>
        <w:rPr>
          <w:rFonts w:hint="eastAsia"/>
        </w:rPr>
        <w:t>（</w:t>
      </w:r>
      <w:r>
        <w:rPr>
          <w:rFonts w:hint="eastAsia"/>
        </w:rPr>
        <w:t>GB50156-2012</w:t>
      </w:r>
      <w:r>
        <w:rPr>
          <w:rFonts w:hint="eastAsia"/>
        </w:rPr>
        <w:t>，</w:t>
      </w:r>
      <w:r>
        <w:rPr>
          <w:rFonts w:hint="eastAsia"/>
        </w:rPr>
        <w:t>2014</w:t>
      </w:r>
      <w:r>
        <w:rPr>
          <w:rFonts w:hint="eastAsia"/>
        </w:rPr>
        <w:t>局部修订版）和《爆炸和火灾危险环境电力装置设计规范》（</w:t>
      </w:r>
      <w:r>
        <w:rPr>
          <w:rFonts w:hint="eastAsia"/>
        </w:rPr>
        <w:t>GB50058-2014</w:t>
      </w:r>
      <w:r>
        <w:rPr>
          <w:rFonts w:hint="eastAsia"/>
        </w:rPr>
        <w:t>）等标准规范关于火灾爆炸环境危险性等级划分原则，卸油、储存和加油场所均属于甲类火灾危险区域。</w:t>
      </w:r>
    </w:p>
    <w:p w:rsidR="00F72E65" w:rsidRDefault="00F72E65" w:rsidP="00F72E65">
      <w:pPr>
        <w:ind w:firstLine="560"/>
      </w:pPr>
      <w:r>
        <w:rPr>
          <w:rFonts w:hint="eastAsia"/>
        </w:rPr>
        <w:t>（</w:t>
      </w:r>
      <w:r>
        <w:rPr>
          <w:rFonts w:hint="eastAsia"/>
        </w:rPr>
        <w:t>2</w:t>
      </w:r>
      <w:r>
        <w:rPr>
          <w:rFonts w:hint="eastAsia"/>
        </w:rPr>
        <w:t>）卸油时发生火灾</w:t>
      </w:r>
    </w:p>
    <w:p w:rsidR="00F72E65" w:rsidRDefault="00F72E65" w:rsidP="00F72E65">
      <w:pPr>
        <w:ind w:firstLine="560"/>
      </w:pPr>
      <w:r>
        <w:rPr>
          <w:rFonts w:hint="eastAsia"/>
        </w:rPr>
        <w:t>加油站火灾事故大部分发生在卸油作业中，主要有：</w:t>
      </w:r>
    </w:p>
    <w:p w:rsidR="00F72E65" w:rsidRDefault="00F72E65" w:rsidP="00F72E65">
      <w:pPr>
        <w:ind w:firstLine="560"/>
      </w:pPr>
      <w:r>
        <w:rPr>
          <w:rFonts w:hint="eastAsia"/>
        </w:rPr>
        <w:t>①油罐漫溢。卸油时不能及时监测液面造成油品跑冒，使油蒸气浓度迅速上升，达到爆炸极限范围，遇到点火源，即可发生爆炸燃烧。</w:t>
      </w:r>
    </w:p>
    <w:p w:rsidR="00F72E65" w:rsidRDefault="00F72E65" w:rsidP="00F72E65">
      <w:pPr>
        <w:ind w:firstLine="560"/>
      </w:pPr>
      <w:r>
        <w:rPr>
          <w:rFonts w:hint="eastAsia"/>
        </w:rPr>
        <w:t>②油品滴漏。由于卸油胶管破裂、密封垫破损，快速接头螺丝松动等原因，使油品漏在地面，遇火花燃烧。</w:t>
      </w:r>
    </w:p>
    <w:p w:rsidR="00F72E65" w:rsidRDefault="00F72E65" w:rsidP="00F72E65">
      <w:pPr>
        <w:ind w:firstLine="560"/>
      </w:pPr>
      <w:r>
        <w:rPr>
          <w:rFonts w:hint="eastAsia"/>
        </w:rPr>
        <w:t>③静电起火。由于油管、罐车无静电接地，卸油时流速过快等</w:t>
      </w:r>
      <w:r>
        <w:rPr>
          <w:rFonts w:hint="eastAsia"/>
        </w:rPr>
        <w:lastRenderedPageBreak/>
        <w:t>原因造成静电积聚放电点燃油蒸气。</w:t>
      </w:r>
    </w:p>
    <w:p w:rsidR="00F72E65" w:rsidRDefault="00F72E65" w:rsidP="00F72E65">
      <w:pPr>
        <w:ind w:firstLine="560"/>
      </w:pPr>
      <w:r>
        <w:rPr>
          <w:rFonts w:hint="eastAsia"/>
        </w:rPr>
        <w:t>④卸油中遇到明火。在非密封卸油过程中，大量油蒸气从卸油口溢出，当周围出现烟火、火花时，就会爆炸燃烧。</w:t>
      </w:r>
    </w:p>
    <w:p w:rsidR="00F72E65" w:rsidRDefault="00F72E65" w:rsidP="00F72E65">
      <w:pPr>
        <w:ind w:firstLine="560"/>
      </w:pPr>
      <w:r>
        <w:rPr>
          <w:rFonts w:hint="eastAsia"/>
        </w:rPr>
        <w:t>⑤卸油时工作人员责任心不强，没有仔细检查液位，或不在现场坚守等，都有可能那个发生跑油、冒顶和泄漏，遇点火源，可引发火灾爆炸事故。</w:t>
      </w:r>
    </w:p>
    <w:p w:rsidR="00F72E65" w:rsidRDefault="00F72E65" w:rsidP="00F72E65">
      <w:pPr>
        <w:ind w:firstLine="560"/>
      </w:pPr>
      <w:r>
        <w:rPr>
          <w:rFonts w:hint="eastAsia"/>
        </w:rPr>
        <w:t>⑥为加快卸油速度，打开量油孔通气，造成罐区油气积聚，遇明火可发生火灾爆炸。</w:t>
      </w:r>
    </w:p>
    <w:p w:rsidR="00F72E65" w:rsidRDefault="00F72E65" w:rsidP="00F72E65">
      <w:pPr>
        <w:pStyle w:val="4"/>
        <w:ind w:firstLine="562"/>
      </w:pPr>
      <w:bookmarkStart w:id="52" w:name="_Toc32505"/>
      <w:bookmarkStart w:id="53" w:name="_Toc382838801"/>
      <w:r>
        <w:rPr>
          <w:rFonts w:hint="eastAsia"/>
        </w:rPr>
        <w:t>3.2</w:t>
      </w:r>
      <w:r>
        <w:rPr>
          <w:rFonts w:hint="eastAsia"/>
        </w:rPr>
        <w:t>电气伤害</w:t>
      </w:r>
      <w:bookmarkEnd w:id="52"/>
      <w:bookmarkEnd w:id="53"/>
    </w:p>
    <w:p w:rsidR="00F72E65" w:rsidRDefault="00F72E65" w:rsidP="00F72E65">
      <w:pPr>
        <w:ind w:firstLine="560"/>
      </w:pPr>
      <w:r>
        <w:rPr>
          <w:rFonts w:hint="eastAsia"/>
        </w:rPr>
        <w:t>①加油站中的用电设施及配电设备，如果没有适当的防护措施和安全操作规程，电气设备老化，绝缘失效，电气线路不规范等因素容易导致人员的触电、电弧灼伤等伤害。</w:t>
      </w:r>
    </w:p>
    <w:p w:rsidR="00F72E65" w:rsidRDefault="00F72E65" w:rsidP="00F72E65">
      <w:pPr>
        <w:ind w:firstLine="560"/>
      </w:pPr>
      <w:r>
        <w:rPr>
          <w:rFonts w:hint="eastAsia"/>
        </w:rPr>
        <w:t>②照明灯具在工作时，当在爆炸危险区未使用防爆灯具时，因玻璃灯泡、灯管、灯座表面温度都较高，若灯具选用不当或发生故障，会产生电弧和电火花，有可能引起火灾。</w:t>
      </w:r>
    </w:p>
    <w:p w:rsidR="00F72E65" w:rsidRDefault="00F72E65" w:rsidP="00F72E65">
      <w:pPr>
        <w:ind w:firstLine="560"/>
      </w:pPr>
      <w:r>
        <w:rPr>
          <w:rFonts w:hint="eastAsia"/>
        </w:rPr>
        <w:t>③电气线路短路起火、负荷过载、连接处接触电阻过大都有可能引起火灾爆炸事故。</w:t>
      </w:r>
    </w:p>
    <w:p w:rsidR="00F72E65" w:rsidRDefault="00F72E65" w:rsidP="00F72E65">
      <w:pPr>
        <w:pStyle w:val="4"/>
        <w:ind w:firstLine="562"/>
      </w:pPr>
      <w:bookmarkStart w:id="54" w:name="_Toc382838802"/>
      <w:bookmarkStart w:id="55" w:name="_Toc27822"/>
      <w:r>
        <w:rPr>
          <w:rFonts w:hint="eastAsia"/>
        </w:rPr>
        <w:t>3.3</w:t>
      </w:r>
      <w:r>
        <w:rPr>
          <w:rFonts w:hint="eastAsia"/>
        </w:rPr>
        <w:t>高处坠落</w:t>
      </w:r>
      <w:bookmarkEnd w:id="54"/>
      <w:bookmarkEnd w:id="55"/>
    </w:p>
    <w:p w:rsidR="00F72E65" w:rsidRDefault="00F72E65" w:rsidP="00F72E65">
      <w:pPr>
        <w:ind w:firstLine="560"/>
        <w:rPr>
          <w:rFonts w:ascii="宋体" w:hAnsi="宋体" w:cs="宋体"/>
          <w:b/>
        </w:rPr>
      </w:pPr>
      <w:r>
        <w:rPr>
          <w:rFonts w:ascii="宋体" w:hAnsi="宋体" w:cs="宋体" w:hint="eastAsia"/>
        </w:rPr>
        <w:t>该加油站罩棚高度在5.0m以上，其上有照明设施等，如果罩棚安装质量有缺陷，工作人员在其上维护等作业时无安全防护或防护措施不可靠，就</w:t>
      </w:r>
      <w:r>
        <w:rPr>
          <w:rFonts w:ascii="宋体" w:hAnsi="宋体" w:cs="宋体" w:hint="eastAsia"/>
          <w:szCs w:val="28"/>
        </w:rPr>
        <w:t>有可能发生人员高处坠落事故或高处物体跌落伤及地面工作人员。卸油时罐车计量违章操作，防护措施不到位；通气</w:t>
      </w:r>
      <w:r>
        <w:rPr>
          <w:rFonts w:ascii="宋体" w:hAnsi="宋体" w:cs="宋体" w:hint="eastAsia"/>
          <w:szCs w:val="28"/>
        </w:rPr>
        <w:lastRenderedPageBreak/>
        <w:t>口的阻火器、呼吸阀检查保养时，防护措施不到位。 </w:t>
      </w:r>
      <w:bookmarkStart w:id="56" w:name="_Toc4292"/>
      <w:bookmarkStart w:id="57" w:name="_Toc382838803"/>
    </w:p>
    <w:p w:rsidR="00F72E65" w:rsidRDefault="00F72E65" w:rsidP="00F72E65">
      <w:pPr>
        <w:pStyle w:val="4"/>
        <w:ind w:firstLine="562"/>
      </w:pPr>
      <w:r>
        <w:rPr>
          <w:rFonts w:hint="eastAsia"/>
        </w:rPr>
        <w:t>3.4</w:t>
      </w:r>
      <w:r>
        <w:rPr>
          <w:rFonts w:hint="eastAsia"/>
        </w:rPr>
        <w:t>车辆伤害</w:t>
      </w:r>
      <w:bookmarkEnd w:id="56"/>
      <w:bookmarkEnd w:id="57"/>
    </w:p>
    <w:p w:rsidR="00F72E65" w:rsidRDefault="00F72E65" w:rsidP="00F72E65">
      <w:pPr>
        <w:ind w:firstLine="560"/>
      </w:pPr>
      <w:r>
        <w:rPr>
          <w:rFonts w:hint="eastAsia"/>
        </w:rPr>
        <w:t>加油站在运行进站加油的车辆野蛮行驶，或者加油工麻痹大意，稍有不慎，就可能发生事故，造成车辆伤害。</w:t>
      </w:r>
    </w:p>
    <w:p w:rsidR="00F72E65" w:rsidRDefault="00F72E65" w:rsidP="00F72E65">
      <w:pPr>
        <w:pStyle w:val="4"/>
        <w:ind w:firstLine="562"/>
      </w:pPr>
      <w:bookmarkStart w:id="58" w:name="_Toc13521"/>
      <w:bookmarkStart w:id="59" w:name="_Toc382838804"/>
      <w:r>
        <w:rPr>
          <w:rFonts w:hint="eastAsia"/>
        </w:rPr>
        <w:t>3.5</w:t>
      </w:r>
      <w:r>
        <w:rPr>
          <w:rFonts w:hint="eastAsia"/>
        </w:rPr>
        <w:t>毒性伤害</w:t>
      </w:r>
      <w:bookmarkEnd w:id="58"/>
      <w:bookmarkEnd w:id="59"/>
    </w:p>
    <w:p w:rsidR="00F72E65" w:rsidRDefault="00F72E65" w:rsidP="00F72E65">
      <w:pPr>
        <w:ind w:firstLine="560"/>
      </w:pPr>
      <w:r>
        <w:rPr>
          <w:rFonts w:hint="eastAsia"/>
        </w:rPr>
        <w:t>（</w:t>
      </w:r>
      <w:r>
        <w:rPr>
          <w:rFonts w:hint="eastAsia"/>
        </w:rPr>
        <w:t>1</w:t>
      </w:r>
      <w:r>
        <w:rPr>
          <w:rFonts w:hint="eastAsia"/>
        </w:rPr>
        <w:t>）急性中毒。汽油为麻醉性毒物，急性汽油中毒主要能引起中枢神经系统和呼吸系统损害，病变以中枢神经系统为主。接触其蒸气致轻度急性中毒时，先有中枢神经受累和黏膜刺激症状，如头晕、头痛、乏力、恶心、视力模糊、复视、步态不稳、震颤、容易激动、酩酊感和短暂意识障碍。</w:t>
      </w:r>
    </w:p>
    <w:p w:rsidR="00F72E65" w:rsidRDefault="00F72E65" w:rsidP="00F72E65">
      <w:pPr>
        <w:ind w:firstLine="560"/>
      </w:pPr>
      <w:r>
        <w:rPr>
          <w:rFonts w:hint="eastAsia"/>
        </w:rPr>
        <w:t>重度急性中毒时，患者有中毒性脑病表现，如谵妄、昏迷、腹壁和腱反射低下、以及强直性抽搐等。部分患者有急性颅内压增高表现，如血压和脉搏波动、呼吸浅快或深慢、紫绀、颈项强直、视乳头水肿、中枢性高热、病理反射、脑脊液压力增高等；头胪</w:t>
      </w:r>
      <w:r>
        <w:rPr>
          <w:rFonts w:hint="eastAsia"/>
        </w:rPr>
        <w:t>CT</w:t>
      </w:r>
      <w:r>
        <w:rPr>
          <w:rFonts w:hint="eastAsia"/>
        </w:rPr>
        <w:t>检查可见白质密度减低、两侧大脑半球轻度弥漫性密度降低、或脑室周围特别是侧脑室前角周围密度降低等。</w:t>
      </w:r>
    </w:p>
    <w:p w:rsidR="00F72E65" w:rsidRDefault="00F72E65" w:rsidP="00F72E65">
      <w:pPr>
        <w:ind w:firstLine="560"/>
      </w:pPr>
      <w:r>
        <w:rPr>
          <w:rFonts w:hint="eastAsia"/>
        </w:rPr>
        <w:t>吸入极高浓度汽油蒸气者可猝死。液态汽油被吸入呼吸道可造成汽油吸入性肺炎。口服汽油可引起口腔、咽及胸骨后烧灼感，恶心、频繁呕吐、腹痛、腹泻和消化道出血。</w:t>
      </w:r>
    </w:p>
    <w:p w:rsidR="00F72E65" w:rsidRDefault="00F72E65" w:rsidP="00F72E65">
      <w:pPr>
        <w:ind w:firstLine="560"/>
      </w:pPr>
      <w:r>
        <w:rPr>
          <w:rFonts w:hint="eastAsia"/>
        </w:rPr>
        <w:t>多数急性汽油中毒患者脱离现场及治疗后短期内会恢复，但个别病情较重的患者可有球后视神经炎、头痛、智力和记忆减退等后遗症。</w:t>
      </w:r>
    </w:p>
    <w:p w:rsidR="00F72E65" w:rsidRDefault="00F72E65" w:rsidP="00F72E65">
      <w:pPr>
        <w:ind w:firstLine="560"/>
      </w:pPr>
      <w:r>
        <w:rPr>
          <w:rFonts w:hint="eastAsia"/>
        </w:rPr>
        <w:lastRenderedPageBreak/>
        <w:t>（</w:t>
      </w:r>
      <w:r>
        <w:rPr>
          <w:rFonts w:hint="eastAsia"/>
        </w:rPr>
        <w:t>2</w:t>
      </w:r>
      <w:r>
        <w:rPr>
          <w:rFonts w:hint="eastAsia"/>
        </w:rPr>
        <w:t>）慢性中毒。慢性汽油中毒患者常有头痛、头晕、失眠、精神萎靡、乏力、四肢疼痛、记忆力减退、易激动、食欲减退、多汗、心悸等神经衰弱症和自主神经功能紊乱；严重时可出现震颤、共济失调、淡漠迟钝、记忆力和计算力丧失等类似精神分裂症的症状。</w:t>
      </w:r>
    </w:p>
    <w:p w:rsidR="00F72E65" w:rsidRDefault="00F72E65" w:rsidP="00F72E65">
      <w:pPr>
        <w:ind w:firstLine="560"/>
      </w:pPr>
      <w:r>
        <w:rPr>
          <w:rFonts w:hint="eastAsia"/>
        </w:rPr>
        <w:t>皮肤长期接触汽油可致皮肤干燥、皲裂、角化过度、毛囊炎、慢性湿疹和指甲变形等，个别患者可发生剥脱性皮炎。</w:t>
      </w:r>
    </w:p>
    <w:p w:rsidR="00F72E65" w:rsidRDefault="00F72E65" w:rsidP="00F72E65">
      <w:pPr>
        <w:ind w:firstLine="560"/>
      </w:pPr>
      <w:r>
        <w:rPr>
          <w:rFonts w:hint="eastAsia"/>
        </w:rPr>
        <w:t>部分慢性汽油中毒患者有肾损害。</w:t>
      </w:r>
    </w:p>
    <w:p w:rsidR="00F72E65" w:rsidRDefault="00F72E65" w:rsidP="00F72E65">
      <w:pPr>
        <w:pStyle w:val="3"/>
        <w:ind w:firstLine="602"/>
      </w:pPr>
      <w:bookmarkStart w:id="60" w:name="_Toc382838805"/>
      <w:bookmarkStart w:id="61" w:name="_Toc29946"/>
      <w:bookmarkStart w:id="62" w:name="_Toc29162"/>
      <w:bookmarkStart w:id="63" w:name="_Toc20457"/>
      <w:bookmarkStart w:id="64" w:name="_Toc454888619"/>
      <w:r>
        <w:rPr>
          <w:rFonts w:hint="eastAsia"/>
        </w:rPr>
        <w:t>4</w:t>
      </w:r>
      <w:r>
        <w:rPr>
          <w:rFonts w:hint="eastAsia"/>
        </w:rPr>
        <w:t>自然</w:t>
      </w:r>
      <w:bookmarkEnd w:id="60"/>
      <w:bookmarkEnd w:id="61"/>
      <w:r>
        <w:rPr>
          <w:rFonts w:hint="eastAsia"/>
        </w:rPr>
        <w:t>条件危险有害因素分析</w:t>
      </w:r>
      <w:bookmarkEnd w:id="62"/>
      <w:bookmarkEnd w:id="63"/>
      <w:bookmarkEnd w:id="64"/>
    </w:p>
    <w:p w:rsidR="00F72E65" w:rsidRDefault="00F72E65" w:rsidP="00F72E65">
      <w:pPr>
        <w:ind w:firstLine="560"/>
      </w:pPr>
      <w:r>
        <w:rPr>
          <w:rFonts w:hint="eastAsia"/>
        </w:rPr>
        <w:t>根据加油站的岩土勘察报告，对加油站的自然地质条件的分析，自然地质条件对该加油站存在一定的影响。自然条件的危险、有害因素主要有雷电、地震等。加油站所在地</w:t>
      </w:r>
      <w:bookmarkStart w:id="65" w:name="OLE_LINK14"/>
      <w:r>
        <w:rPr>
          <w:rFonts w:hint="eastAsia"/>
        </w:rPr>
        <w:t>地震基本烈度</w:t>
      </w:r>
      <w:bookmarkEnd w:id="65"/>
      <w:r>
        <w:rPr>
          <w:rFonts w:hint="eastAsia"/>
        </w:rPr>
        <w:t>为</w:t>
      </w:r>
      <w:r>
        <w:rPr>
          <w:rFonts w:hint="eastAsia"/>
        </w:rPr>
        <w:t>6</w:t>
      </w:r>
      <w:r>
        <w:rPr>
          <w:rFonts w:hint="eastAsia"/>
        </w:rPr>
        <w:t>度。</w:t>
      </w:r>
    </w:p>
    <w:p w:rsidR="00F72E65" w:rsidRDefault="00F72E65" w:rsidP="00F72E65">
      <w:pPr>
        <w:ind w:firstLine="560"/>
      </w:pPr>
      <w:r>
        <w:rPr>
          <w:rFonts w:hint="eastAsia"/>
        </w:rPr>
        <w:t>（</w:t>
      </w:r>
      <w:r>
        <w:rPr>
          <w:rFonts w:hint="eastAsia"/>
        </w:rPr>
        <w:t>1</w:t>
      </w:r>
      <w:r>
        <w:rPr>
          <w:rFonts w:hint="eastAsia"/>
        </w:rPr>
        <w:t>）雷电危害：汽油、柴油均属于易挥发、易燃易爆液体，其蒸气与空气形成混合物，油品发生泄漏或通气管排出的油气容易在雷电的作用下发生火灾、爆炸事故。</w:t>
      </w:r>
    </w:p>
    <w:p w:rsidR="00F72E65" w:rsidRDefault="00F72E65" w:rsidP="00F72E65">
      <w:pPr>
        <w:ind w:firstLine="560"/>
      </w:pPr>
      <w:r>
        <w:rPr>
          <w:rFonts w:hint="eastAsia"/>
        </w:rPr>
        <w:t>雷电可能造成很严重的后果。在有雷击的地方，如果没有安全可靠的避雷设施或防雷设施设计不当，则存在装置及建</w:t>
      </w:r>
      <w:r>
        <w:rPr>
          <w:rFonts w:hint="eastAsia"/>
        </w:rPr>
        <w:t>(</w:t>
      </w:r>
      <w:r>
        <w:rPr>
          <w:rFonts w:hint="eastAsia"/>
        </w:rPr>
        <w:t>构</w:t>
      </w:r>
      <w:r>
        <w:rPr>
          <w:rFonts w:hint="eastAsia"/>
        </w:rPr>
        <w:t xml:space="preserve">) </w:t>
      </w:r>
      <w:r>
        <w:rPr>
          <w:rFonts w:hint="eastAsia"/>
        </w:rPr>
        <w:t>筑物因雷击造成损坏，在具有爆炸危险的场所，甚至可能引起爆炸或燃烧，因此在后续设计、施工中应采取防雷电措施。</w:t>
      </w:r>
    </w:p>
    <w:p w:rsidR="00F72E65" w:rsidRDefault="00F72E65" w:rsidP="00F72E65">
      <w:pPr>
        <w:ind w:firstLine="560"/>
      </w:pPr>
      <w:r>
        <w:rPr>
          <w:rFonts w:hint="eastAsia"/>
        </w:rPr>
        <w:t>（</w:t>
      </w:r>
      <w:r>
        <w:rPr>
          <w:rFonts w:hint="eastAsia"/>
        </w:rPr>
        <w:t>2</w:t>
      </w:r>
      <w:r>
        <w:rPr>
          <w:rFonts w:hint="eastAsia"/>
        </w:rPr>
        <w:t>）地震危害，该地区不属于地震多发地带，地震烈度为</w:t>
      </w:r>
      <w:r>
        <w:rPr>
          <w:rFonts w:hint="eastAsia"/>
        </w:rPr>
        <w:t>6</w:t>
      </w:r>
      <w:r>
        <w:rPr>
          <w:rFonts w:hint="eastAsia"/>
        </w:rPr>
        <w:t>级。但一旦发生地震，就会造成建筑物地基坍塌、钢网架的损坏，从而导致埋地油罐渗漏、油罐防漂浮，油罐防腐蚀、输油管道变形、破裂、加油机损坏，造成油品泄漏，引发事故。</w:t>
      </w:r>
    </w:p>
    <w:p w:rsidR="00F72E65" w:rsidRDefault="00F72E65" w:rsidP="00F72E65">
      <w:pPr>
        <w:pStyle w:val="3"/>
        <w:ind w:firstLine="602"/>
      </w:pPr>
      <w:bookmarkStart w:id="66" w:name="_Toc15088"/>
      <w:bookmarkStart w:id="67" w:name="_Toc454888620"/>
      <w:bookmarkStart w:id="68" w:name="_Toc19739"/>
      <w:bookmarkStart w:id="69" w:name="_Toc85"/>
      <w:bookmarkStart w:id="70" w:name="_Toc366661317"/>
      <w:bookmarkStart w:id="71" w:name="_Toc382838807"/>
      <w:r>
        <w:rPr>
          <w:rFonts w:hint="eastAsia"/>
        </w:rPr>
        <w:lastRenderedPageBreak/>
        <w:t>5</w:t>
      </w:r>
      <w:r>
        <w:rPr>
          <w:rFonts w:hint="eastAsia"/>
        </w:rPr>
        <w:t>危险事故分析</w:t>
      </w:r>
      <w:bookmarkEnd w:id="66"/>
      <w:bookmarkEnd w:id="67"/>
      <w:bookmarkEnd w:id="68"/>
      <w:bookmarkEnd w:id="69"/>
      <w:bookmarkEnd w:id="70"/>
      <w:bookmarkEnd w:id="71"/>
    </w:p>
    <w:p w:rsidR="00F72E65" w:rsidRDefault="00F72E65" w:rsidP="00F72E65">
      <w:pPr>
        <w:ind w:firstLine="560"/>
      </w:pPr>
      <w:r>
        <w:rPr>
          <w:rFonts w:hint="eastAsia"/>
        </w:rPr>
        <w:t>加油站主要事故是火灾、爆炸事故，按其发生的原因可分为作业事故和非作业事故两大类。</w:t>
      </w:r>
    </w:p>
    <w:p w:rsidR="00F72E65" w:rsidRDefault="00F72E65" w:rsidP="00F72E65">
      <w:pPr>
        <w:pStyle w:val="4"/>
        <w:ind w:firstLine="562"/>
      </w:pPr>
      <w:bookmarkStart w:id="72" w:name="_Toc25513"/>
      <w:bookmarkStart w:id="73" w:name="_Toc382838808"/>
      <w:r>
        <w:rPr>
          <w:rFonts w:hint="eastAsia"/>
        </w:rPr>
        <w:t>5.1</w:t>
      </w:r>
      <w:r>
        <w:rPr>
          <w:rFonts w:hint="eastAsia"/>
        </w:rPr>
        <w:t>作业事故</w:t>
      </w:r>
      <w:bookmarkEnd w:id="72"/>
      <w:bookmarkEnd w:id="73"/>
    </w:p>
    <w:p w:rsidR="00F72E65" w:rsidRDefault="00F72E65" w:rsidP="00F72E65">
      <w:pPr>
        <w:ind w:firstLine="560"/>
      </w:pPr>
      <w:r>
        <w:rPr>
          <w:rFonts w:hint="eastAsia"/>
        </w:rPr>
        <w:t>作业事故主要发生在卸油、量油、加油、清罐四个环节，这四个环节都可能使油品暴露在空气中，如果在作业中违反操作规程，使油品或油品蒸气在空气中与火源接触，就会导致爆炸燃烧事故的发生。</w:t>
      </w:r>
    </w:p>
    <w:p w:rsidR="00F72E65" w:rsidRDefault="00F72E65" w:rsidP="00F72E65">
      <w:pPr>
        <w:pStyle w:val="4"/>
        <w:ind w:firstLine="562"/>
      </w:pPr>
      <w:bookmarkStart w:id="74" w:name="_Toc382838809"/>
      <w:bookmarkStart w:id="75" w:name="_Toc11989"/>
      <w:r>
        <w:rPr>
          <w:rFonts w:hint="eastAsia"/>
        </w:rPr>
        <w:t>5.2</w:t>
      </w:r>
      <w:r>
        <w:rPr>
          <w:rFonts w:hint="eastAsia"/>
        </w:rPr>
        <w:t>非作业事故</w:t>
      </w:r>
      <w:bookmarkEnd w:id="74"/>
      <w:bookmarkEnd w:id="75"/>
    </w:p>
    <w:p w:rsidR="00F72E65" w:rsidRDefault="00F72E65" w:rsidP="00F72E65">
      <w:pPr>
        <w:ind w:firstLine="560"/>
      </w:pPr>
      <w:r>
        <w:rPr>
          <w:rFonts w:hint="eastAsia"/>
        </w:rPr>
        <w:t>加油站非作业事故又可分为与油品相关的火灾和非油品火灾。</w:t>
      </w:r>
    </w:p>
    <w:p w:rsidR="00F72E65" w:rsidRDefault="00F72E65" w:rsidP="00F72E65">
      <w:pPr>
        <w:ind w:firstLine="560"/>
      </w:pPr>
      <w:r>
        <w:rPr>
          <w:rFonts w:hint="eastAsia"/>
        </w:rPr>
        <w:t>（</w:t>
      </w:r>
      <w:r>
        <w:rPr>
          <w:rFonts w:hint="eastAsia"/>
        </w:rPr>
        <w:t>1</w:t>
      </w:r>
      <w:r>
        <w:rPr>
          <w:rFonts w:hint="eastAsia"/>
        </w:rPr>
        <w:t>）与油品相关的火灾主要原因有：</w:t>
      </w:r>
    </w:p>
    <w:p w:rsidR="00F72E65" w:rsidRDefault="00F72E65" w:rsidP="00F72E65">
      <w:pPr>
        <w:ind w:firstLine="560"/>
      </w:pPr>
      <w:r>
        <w:rPr>
          <w:rFonts w:hint="eastAsia"/>
        </w:rPr>
        <w:t>①油蒸气沉淀。在作业过程中，会有大量油蒸气外泄，由于油蒸气密度比空气密度大，会沉淀于管沟、电缆沟、下水道、操作井等低洼处，积聚于室内角落处，一旦遇到火源就会发生爆炸燃烧，油蒸气四处蔓延把加油站和作业区内外沟通起来，将站外火源引至站内，造成严重的爆炸燃烧。</w:t>
      </w:r>
    </w:p>
    <w:p w:rsidR="00F72E65" w:rsidRDefault="00F72E65" w:rsidP="00F72E65">
      <w:pPr>
        <w:ind w:firstLine="560"/>
      </w:pPr>
      <w:r>
        <w:rPr>
          <w:rFonts w:hint="eastAsia"/>
        </w:rPr>
        <w:t>②油罐、管道渗漏。由于腐蚀、制造缺陷、法兰未紧固好等原因，在非作业状态下，油品渗漏，遇明火燃烧。</w:t>
      </w:r>
    </w:p>
    <w:p w:rsidR="00F72E65" w:rsidRDefault="00F72E65" w:rsidP="00F72E65">
      <w:pPr>
        <w:ind w:firstLine="560"/>
      </w:pPr>
      <w:r>
        <w:rPr>
          <w:rFonts w:hint="eastAsia"/>
        </w:rPr>
        <w:t>③雷击。雷击直接击中油罐或加油设施，或者雷电作用在油罐、加油机等处产生间接放电，都会导致油品燃烧或油气爆炸。</w:t>
      </w:r>
    </w:p>
    <w:p w:rsidR="00F72E65" w:rsidRDefault="00F72E65" w:rsidP="00F72E65">
      <w:pPr>
        <w:ind w:firstLine="560"/>
      </w:pPr>
      <w:r>
        <w:rPr>
          <w:rFonts w:hint="eastAsia"/>
        </w:rPr>
        <w:t>（</w:t>
      </w:r>
      <w:r>
        <w:rPr>
          <w:rFonts w:hint="eastAsia"/>
        </w:rPr>
        <w:t>2</w:t>
      </w:r>
      <w:r>
        <w:rPr>
          <w:rFonts w:hint="eastAsia"/>
        </w:rPr>
        <w:t>）非油品火灾</w:t>
      </w:r>
    </w:p>
    <w:p w:rsidR="00F72E65" w:rsidRDefault="00F72E65" w:rsidP="00F72E65">
      <w:pPr>
        <w:ind w:firstLine="560"/>
      </w:pPr>
      <w:r>
        <w:rPr>
          <w:rFonts w:hint="eastAsia"/>
        </w:rPr>
        <w:t>常见的非油品火灾有：</w:t>
      </w:r>
    </w:p>
    <w:p w:rsidR="00F72E65" w:rsidRDefault="00F72E65" w:rsidP="00F72E65">
      <w:pPr>
        <w:ind w:firstLine="560"/>
      </w:pPr>
      <w:r>
        <w:rPr>
          <w:rFonts w:hint="eastAsia"/>
        </w:rPr>
        <w:lastRenderedPageBreak/>
        <w:t>①电气火灾。电气设备、电线绝缘老化、绝缘破损、短路、私拉乱接电线、超负荷用电、过载发热、接线不规范、电器使用管理不当等引起的火灾。</w:t>
      </w:r>
    </w:p>
    <w:p w:rsidR="00F72E65" w:rsidRDefault="00F72E65" w:rsidP="00F72E65">
      <w:pPr>
        <w:ind w:firstLine="560"/>
      </w:pPr>
      <w:r>
        <w:rPr>
          <w:rFonts w:hint="eastAsia"/>
        </w:rPr>
        <w:t>②明火管理不当，生产、生活用火失控，引燃站房或站外可燃物导致火灾蔓延殃及站内。</w:t>
      </w:r>
    </w:p>
    <w:p w:rsidR="00F72E65" w:rsidRDefault="00F72E65" w:rsidP="00F72E65">
      <w:pPr>
        <w:ind w:firstLine="560"/>
      </w:pPr>
      <w:r>
        <w:rPr>
          <w:rFonts w:hint="eastAsia"/>
        </w:rPr>
        <w:t>③站房耐火等级达不到要求，一旦明火管理不当，生产、生活用火失控，就容易导致火灾。</w:t>
      </w:r>
    </w:p>
    <w:p w:rsidR="00F72E65" w:rsidRDefault="00F72E65" w:rsidP="00F72E65">
      <w:pPr>
        <w:ind w:firstLine="560"/>
      </w:pPr>
      <w:r>
        <w:rPr>
          <w:rFonts w:hint="eastAsia"/>
        </w:rPr>
        <w:br w:type="page"/>
      </w:r>
    </w:p>
    <w:p w:rsidR="00F72E65" w:rsidRDefault="00F72E65" w:rsidP="00F72E65">
      <w:pPr>
        <w:pStyle w:val="2"/>
      </w:pPr>
      <w:bookmarkStart w:id="76" w:name="_Toc26056"/>
      <w:r>
        <w:rPr>
          <w:rFonts w:hint="eastAsia"/>
        </w:rPr>
        <w:lastRenderedPageBreak/>
        <w:t>A.3</w:t>
      </w:r>
      <w:r>
        <w:rPr>
          <w:rFonts w:hint="eastAsia"/>
        </w:rPr>
        <w:t>事故风险评价</w:t>
      </w:r>
      <w:bookmarkEnd w:id="76"/>
    </w:p>
    <w:p w:rsidR="00F72E65" w:rsidRDefault="00F72E65" w:rsidP="00F72E65">
      <w:pPr>
        <w:ind w:firstLine="562"/>
        <w:outlineLvl w:val="3"/>
        <w:rPr>
          <w:b/>
          <w:bCs/>
        </w:rPr>
      </w:pPr>
      <w:r>
        <w:rPr>
          <w:rFonts w:hint="eastAsia"/>
          <w:b/>
          <w:bCs/>
        </w:rPr>
        <w:t>1</w:t>
      </w:r>
      <w:r>
        <w:rPr>
          <w:rFonts w:hint="eastAsia"/>
          <w:b/>
          <w:bCs/>
        </w:rPr>
        <w:t>事故风险评价方法</w:t>
      </w:r>
    </w:p>
    <w:p w:rsidR="00F72E65" w:rsidRDefault="00F72E65" w:rsidP="00F72E65">
      <w:pPr>
        <w:ind w:firstLine="560"/>
      </w:pPr>
      <w:r>
        <w:rPr>
          <w:rFonts w:hint="eastAsia"/>
        </w:rPr>
        <w:t>作业条件危险性评价法（格雷厄姆—金尼法）是一种简单易行的、在具有潜在危险性环境中作业时危险性的定性、定量评价方法。该方法简单易行，危险程度的级别划分比较清楚、醒目。但是，由于它主要是根据经验来确定</w:t>
      </w:r>
      <w:r>
        <w:rPr>
          <w:rFonts w:hint="eastAsia"/>
        </w:rPr>
        <w:t xml:space="preserve"> 3 </w:t>
      </w:r>
      <w:r>
        <w:rPr>
          <w:rFonts w:hint="eastAsia"/>
        </w:rPr>
        <w:t>个因素分数值及划定危险程度等级，有一定的局限性。作业条件危险性评价因素分数值见表。对于一个具有潜在危险性的作业条件，该方法认为影响危险性的主要因素有</w:t>
      </w:r>
      <w:r>
        <w:rPr>
          <w:rFonts w:hint="eastAsia"/>
        </w:rPr>
        <w:t xml:space="preserve"> 3 </w:t>
      </w:r>
      <w:r>
        <w:rPr>
          <w:rFonts w:hint="eastAsia"/>
        </w:rPr>
        <w:t>个：</w:t>
      </w:r>
    </w:p>
    <w:p w:rsidR="00F72E65" w:rsidRDefault="00F72E65" w:rsidP="00F72E65">
      <w:pPr>
        <w:ind w:firstLine="560"/>
      </w:pPr>
      <w:r>
        <w:rPr>
          <w:rFonts w:hint="eastAsia"/>
        </w:rPr>
        <w:t>⑴发生事故或危险事件的可能性；</w:t>
      </w:r>
    </w:p>
    <w:p w:rsidR="00F72E65" w:rsidRDefault="00F72E65" w:rsidP="00F72E65">
      <w:pPr>
        <w:ind w:firstLine="560"/>
      </w:pPr>
      <w:r>
        <w:rPr>
          <w:rFonts w:hint="eastAsia"/>
        </w:rPr>
        <w:t>⑵暴露于这种危险环境的情况；</w:t>
      </w:r>
    </w:p>
    <w:p w:rsidR="00F72E65" w:rsidRDefault="00F72E65" w:rsidP="00F72E65">
      <w:pPr>
        <w:ind w:firstLine="560"/>
      </w:pPr>
      <w:r>
        <w:rPr>
          <w:rFonts w:hint="eastAsia"/>
        </w:rPr>
        <w:t>⑶事故一旦发生可能产生的后果。</w:t>
      </w:r>
    </w:p>
    <w:p w:rsidR="00F72E65" w:rsidRDefault="00F72E65" w:rsidP="00F72E65">
      <w:pPr>
        <w:ind w:firstLine="560"/>
      </w:pPr>
      <w:r>
        <w:rPr>
          <w:rFonts w:hint="eastAsia"/>
        </w:rPr>
        <w:t>用公式表示，则为：</w:t>
      </w:r>
      <w:r>
        <w:rPr>
          <w:rFonts w:hint="eastAsia"/>
        </w:rPr>
        <w:t>D=L</w:t>
      </w:r>
      <w:r>
        <w:rPr>
          <w:rFonts w:hint="eastAsia"/>
        </w:rPr>
        <w:t>·</w:t>
      </w:r>
      <w:r>
        <w:rPr>
          <w:rFonts w:hint="eastAsia"/>
        </w:rPr>
        <w:t>E</w:t>
      </w:r>
      <w:r>
        <w:rPr>
          <w:rFonts w:hint="eastAsia"/>
        </w:rPr>
        <w:t>·</w:t>
      </w:r>
      <w:r>
        <w:rPr>
          <w:rFonts w:hint="eastAsia"/>
        </w:rPr>
        <w:t>C</w:t>
      </w:r>
      <w:r>
        <w:rPr>
          <w:rFonts w:hint="eastAsia"/>
        </w:rPr>
        <w:t>（单位：分）</w:t>
      </w:r>
      <w:r>
        <w:rPr>
          <w:rFonts w:hint="eastAsia"/>
        </w:rPr>
        <w:t xml:space="preserve"> </w:t>
      </w:r>
    </w:p>
    <w:p w:rsidR="00F72E65" w:rsidRDefault="00F72E65" w:rsidP="00F72E65">
      <w:pPr>
        <w:ind w:firstLine="560"/>
      </w:pPr>
      <w:r>
        <w:rPr>
          <w:rFonts w:hint="eastAsia"/>
        </w:rPr>
        <w:t>式中：</w:t>
      </w:r>
      <w:r>
        <w:rPr>
          <w:rFonts w:hint="eastAsia"/>
        </w:rPr>
        <w:t xml:space="preserve"> D</w:t>
      </w:r>
      <w:r>
        <w:rPr>
          <w:rFonts w:hint="eastAsia"/>
        </w:rPr>
        <w:t>—作业条件的危险性</w:t>
      </w:r>
      <w:r>
        <w:rPr>
          <w:rFonts w:hint="eastAsia"/>
        </w:rPr>
        <w:t>;</w:t>
      </w:r>
    </w:p>
    <w:p w:rsidR="00F72E65" w:rsidRDefault="00F72E65" w:rsidP="00F72E65">
      <w:pPr>
        <w:ind w:firstLine="560"/>
      </w:pPr>
      <w:r>
        <w:rPr>
          <w:rFonts w:hint="eastAsia"/>
        </w:rPr>
        <w:t>L</w:t>
      </w:r>
      <w:r>
        <w:rPr>
          <w:rFonts w:hint="eastAsia"/>
        </w:rPr>
        <w:t>—事故或危险事件发生的可能性</w:t>
      </w:r>
      <w:r>
        <w:rPr>
          <w:rFonts w:hint="eastAsia"/>
        </w:rPr>
        <w:t>;</w:t>
      </w:r>
    </w:p>
    <w:p w:rsidR="00F72E65" w:rsidRDefault="00F72E65" w:rsidP="00F72E65">
      <w:pPr>
        <w:ind w:firstLine="560"/>
      </w:pPr>
      <w:r>
        <w:rPr>
          <w:rFonts w:hint="eastAsia"/>
        </w:rPr>
        <w:t>E</w:t>
      </w:r>
      <w:r>
        <w:rPr>
          <w:rFonts w:hint="eastAsia"/>
        </w:rPr>
        <w:t>—暴露于危险环境的频率</w:t>
      </w:r>
      <w:r>
        <w:rPr>
          <w:rFonts w:hint="eastAsia"/>
        </w:rPr>
        <w:t>;</w:t>
      </w:r>
    </w:p>
    <w:p w:rsidR="00F72E65" w:rsidRDefault="00F72E65" w:rsidP="00F72E65">
      <w:pPr>
        <w:ind w:firstLine="560"/>
      </w:pPr>
      <w:r>
        <w:rPr>
          <w:rFonts w:hint="eastAsia"/>
        </w:rPr>
        <w:t>C</w:t>
      </w:r>
      <w:r>
        <w:rPr>
          <w:rFonts w:hint="eastAsia"/>
        </w:rPr>
        <w:t>—发生事故或危险事件的可能结果。</w:t>
      </w:r>
    </w:p>
    <w:p w:rsidR="00F72E65" w:rsidRDefault="00F72E65" w:rsidP="00F72E65">
      <w:pPr>
        <w:ind w:firstLine="560"/>
        <w:sectPr w:rsidR="00F72E65">
          <w:pgSz w:w="11850" w:h="16783"/>
          <w:pgMar w:top="1440" w:right="1803" w:bottom="1440" w:left="1803" w:header="851" w:footer="992" w:gutter="0"/>
          <w:cols w:space="425"/>
          <w:docGrid w:type="lines" w:linePitch="312"/>
        </w:sectPr>
      </w:pPr>
      <w:r>
        <w:rPr>
          <w:rFonts w:hint="eastAsia"/>
        </w:rPr>
        <w:t>安全风险等级从高到低划分为重大风险、较大风险、一般风险和低风</w:t>
      </w:r>
      <w:r>
        <w:rPr>
          <w:rFonts w:hint="eastAsia"/>
        </w:rPr>
        <w:t xml:space="preserve"> </w:t>
      </w:r>
      <w:r>
        <w:rPr>
          <w:rFonts w:hint="eastAsia"/>
        </w:rPr>
        <w:t>险，对应是一级、二级、三级和四级风险，分别用“红”“橙”、“黄”、“蓝”四种颜色标示（“红色”代表最高风险等级）。安全风险等级划分</w:t>
      </w:r>
      <w:r>
        <w:rPr>
          <w:rFonts w:hint="eastAsia"/>
        </w:rPr>
        <w:t xml:space="preserve"> </w:t>
      </w:r>
      <w:r>
        <w:rPr>
          <w:rFonts w:hint="eastAsia"/>
        </w:rPr>
        <w:t>标准：风险值大于等于</w:t>
      </w:r>
      <w:r>
        <w:rPr>
          <w:rFonts w:hint="eastAsia"/>
        </w:rPr>
        <w:t xml:space="preserve"> 320</w:t>
      </w:r>
      <w:r>
        <w:rPr>
          <w:rFonts w:hint="eastAsia"/>
        </w:rPr>
        <w:t>为重大风险；</w:t>
      </w:r>
      <w:r>
        <w:rPr>
          <w:rFonts w:hint="eastAsia"/>
        </w:rPr>
        <w:t xml:space="preserve">160-320 </w:t>
      </w:r>
      <w:r>
        <w:rPr>
          <w:rFonts w:hint="eastAsia"/>
        </w:rPr>
        <w:t>为较大风险；</w:t>
      </w:r>
      <w:r>
        <w:rPr>
          <w:rFonts w:hint="eastAsia"/>
        </w:rPr>
        <w:t>70-160</w:t>
      </w:r>
      <w:r>
        <w:rPr>
          <w:rFonts w:hint="eastAsia"/>
        </w:rPr>
        <w:t>为</w:t>
      </w:r>
      <w:r>
        <w:rPr>
          <w:rFonts w:hint="eastAsia"/>
        </w:rPr>
        <w:t xml:space="preserve"> </w:t>
      </w:r>
      <w:r>
        <w:rPr>
          <w:rFonts w:hint="eastAsia"/>
        </w:rPr>
        <w:t>一般风险；小于</w:t>
      </w:r>
      <w:r>
        <w:rPr>
          <w:rFonts w:hint="eastAsia"/>
        </w:rPr>
        <w:t>70</w:t>
      </w:r>
      <w:r>
        <w:rPr>
          <w:rFonts w:hint="eastAsia"/>
        </w:rPr>
        <w:t>为低风险。</w:t>
      </w:r>
    </w:p>
    <w:p w:rsidR="00F72E65" w:rsidRDefault="00F72E65" w:rsidP="00C25B9F">
      <w:pPr>
        <w:autoSpaceDE w:val="0"/>
        <w:autoSpaceDN w:val="0"/>
        <w:spacing w:beforeLines="100"/>
        <w:ind w:left="1434" w:right="1519" w:firstLineChars="0" w:firstLine="0"/>
        <w:jc w:val="center"/>
        <w:rPr>
          <w:rFonts w:ascii="宋体" w:hAnsi="宋体" w:cs="宋体"/>
          <w:b/>
          <w:kern w:val="0"/>
          <w:sz w:val="24"/>
          <w:szCs w:val="22"/>
          <w:lang w:val="zh-CN" w:bidi="zh-CN"/>
        </w:rPr>
      </w:pPr>
      <w:r>
        <w:rPr>
          <w:rFonts w:ascii="宋体" w:hAnsi="宋体" w:cs="宋体"/>
          <w:b/>
          <w:kern w:val="0"/>
          <w:sz w:val="24"/>
          <w:szCs w:val="22"/>
          <w:lang w:val="zh-CN" w:bidi="zh-CN"/>
        </w:rPr>
        <w:lastRenderedPageBreak/>
        <w:t xml:space="preserve">表 </w:t>
      </w:r>
      <w:r>
        <w:rPr>
          <w:rFonts w:ascii="宋体" w:hAnsi="宋体" w:cs="宋体" w:hint="eastAsia"/>
          <w:b/>
          <w:kern w:val="0"/>
          <w:sz w:val="24"/>
          <w:szCs w:val="22"/>
          <w:lang w:bidi="zh-CN"/>
        </w:rPr>
        <w:t>A</w:t>
      </w:r>
      <w:r>
        <w:rPr>
          <w:rFonts w:ascii="宋体" w:hAnsi="宋体" w:cs="宋体"/>
          <w:b/>
          <w:kern w:val="0"/>
          <w:sz w:val="24"/>
          <w:szCs w:val="22"/>
          <w:lang w:val="zh-CN" w:bidi="zh-CN"/>
        </w:rPr>
        <w:t>3.1 事故事件发生的可能性（L）判断准则</w:t>
      </w:r>
    </w:p>
    <w:tbl>
      <w:tblPr>
        <w:tblStyle w:val="a6"/>
        <w:tblW w:w="0" w:type="auto"/>
        <w:tblBorders>
          <w:top w:val="single" w:sz="18" w:space="0" w:color="auto"/>
          <w:left w:val="single" w:sz="18" w:space="0" w:color="auto"/>
          <w:bottom w:val="single" w:sz="18" w:space="0" w:color="auto"/>
          <w:right w:val="single" w:sz="18" w:space="0" w:color="auto"/>
        </w:tblBorders>
        <w:tblLook w:val="04A0"/>
      </w:tblPr>
      <w:tblGrid>
        <w:gridCol w:w="1247"/>
        <w:gridCol w:w="7254"/>
      </w:tblGrid>
      <w:tr w:rsidR="00F72E65" w:rsidTr="00FB1507">
        <w:tc>
          <w:tcPr>
            <w:tcW w:w="1247" w:type="dxa"/>
            <w:tcBorders>
              <w:tl2br w:val="nil"/>
              <w:tr2bl w:val="nil"/>
            </w:tcBorders>
          </w:tcPr>
          <w:p w:rsidR="00F72E65" w:rsidRDefault="00F72E65" w:rsidP="00FB1507">
            <w:pPr>
              <w:autoSpaceDE w:val="0"/>
              <w:autoSpaceDN w:val="0"/>
              <w:ind w:firstLineChars="0" w:firstLine="0"/>
              <w:jc w:val="center"/>
              <w:textAlignment w:val="center"/>
              <w:rPr>
                <w:b/>
                <w:bCs/>
                <w:sz w:val="21"/>
              </w:rPr>
            </w:pPr>
            <w:r>
              <w:rPr>
                <w:rFonts w:hint="eastAsia"/>
                <w:b/>
                <w:bCs/>
                <w:sz w:val="21"/>
              </w:rPr>
              <w:t>分值</w:t>
            </w:r>
          </w:p>
        </w:tc>
        <w:tc>
          <w:tcPr>
            <w:tcW w:w="7254" w:type="dxa"/>
            <w:tcBorders>
              <w:tl2br w:val="nil"/>
              <w:tr2bl w:val="nil"/>
            </w:tcBorders>
          </w:tcPr>
          <w:p w:rsidR="00F72E65" w:rsidRDefault="00F72E65" w:rsidP="00FB1507">
            <w:pPr>
              <w:autoSpaceDE w:val="0"/>
              <w:autoSpaceDN w:val="0"/>
              <w:ind w:firstLineChars="0" w:firstLine="0"/>
              <w:jc w:val="center"/>
              <w:rPr>
                <w:rFonts w:ascii="宋体" w:hAnsi="宋体" w:cs="宋体"/>
                <w:b/>
                <w:bCs/>
                <w:sz w:val="24"/>
                <w:szCs w:val="28"/>
                <w:lang w:val="zh-CN" w:bidi="zh-CN"/>
              </w:rPr>
            </w:pPr>
            <w:r>
              <w:rPr>
                <w:b/>
                <w:bCs/>
                <w:sz w:val="21"/>
              </w:rPr>
              <w:t>事故、事件或偏差发生的可能性</w:t>
            </w:r>
          </w:p>
        </w:tc>
      </w:tr>
      <w:tr w:rsidR="00F72E65" w:rsidTr="00FB1507">
        <w:tc>
          <w:tcPr>
            <w:tcW w:w="1247" w:type="dxa"/>
            <w:tcBorders>
              <w:tl2br w:val="nil"/>
              <w:tr2bl w:val="nil"/>
            </w:tcBorders>
            <w:vAlign w:val="center"/>
          </w:tcPr>
          <w:p w:rsidR="00F72E65" w:rsidRDefault="00F72E65" w:rsidP="00FB1507">
            <w:pPr>
              <w:autoSpaceDE w:val="0"/>
              <w:autoSpaceDN w:val="0"/>
              <w:ind w:firstLineChars="0" w:firstLine="0"/>
              <w:jc w:val="center"/>
              <w:textAlignment w:val="center"/>
              <w:rPr>
                <w:sz w:val="21"/>
              </w:rPr>
            </w:pPr>
            <w:r>
              <w:rPr>
                <w:rFonts w:hint="eastAsia"/>
                <w:sz w:val="21"/>
              </w:rPr>
              <w:t>10</w:t>
            </w:r>
          </w:p>
        </w:tc>
        <w:tc>
          <w:tcPr>
            <w:tcW w:w="7254" w:type="dxa"/>
            <w:tcBorders>
              <w:tl2br w:val="nil"/>
              <w:tr2bl w:val="nil"/>
            </w:tcBorders>
          </w:tcPr>
          <w:p w:rsidR="00F72E65" w:rsidRDefault="00F72E65" w:rsidP="00FB1507">
            <w:pPr>
              <w:autoSpaceDE w:val="0"/>
              <w:autoSpaceDN w:val="0"/>
              <w:ind w:firstLineChars="0" w:firstLine="0"/>
              <w:jc w:val="left"/>
              <w:textAlignment w:val="center"/>
              <w:rPr>
                <w:rFonts w:ascii="宋体" w:hAnsi="宋体" w:cs="宋体"/>
                <w:sz w:val="21"/>
                <w:lang w:val="zh-CN" w:bidi="zh-CN"/>
              </w:rPr>
            </w:pPr>
            <w:r>
              <w:rPr>
                <w:rFonts w:ascii="宋体" w:hAnsi="宋体" w:cs="宋体"/>
                <w:sz w:val="21"/>
                <w:lang w:val="zh-CN" w:bidi="zh-CN"/>
              </w:rPr>
              <w:t>完全可以预料</w:t>
            </w:r>
          </w:p>
        </w:tc>
      </w:tr>
      <w:tr w:rsidR="00F72E65" w:rsidTr="00FB1507">
        <w:trPr>
          <w:trHeight w:val="618"/>
        </w:trPr>
        <w:tc>
          <w:tcPr>
            <w:tcW w:w="1247" w:type="dxa"/>
            <w:tcBorders>
              <w:tl2br w:val="nil"/>
              <w:tr2bl w:val="nil"/>
            </w:tcBorders>
            <w:vAlign w:val="center"/>
          </w:tcPr>
          <w:p w:rsidR="00F72E65" w:rsidRDefault="00F72E65" w:rsidP="00FB1507">
            <w:pPr>
              <w:autoSpaceDE w:val="0"/>
              <w:autoSpaceDN w:val="0"/>
              <w:ind w:firstLineChars="0" w:firstLine="0"/>
              <w:jc w:val="center"/>
              <w:textAlignment w:val="center"/>
              <w:rPr>
                <w:sz w:val="21"/>
              </w:rPr>
            </w:pPr>
            <w:r>
              <w:rPr>
                <w:rFonts w:hint="eastAsia"/>
                <w:sz w:val="21"/>
              </w:rPr>
              <w:t>6</w:t>
            </w:r>
          </w:p>
        </w:tc>
        <w:tc>
          <w:tcPr>
            <w:tcW w:w="7254" w:type="dxa"/>
            <w:tcBorders>
              <w:tl2br w:val="nil"/>
              <w:tr2bl w:val="nil"/>
            </w:tcBorders>
          </w:tcPr>
          <w:p w:rsidR="00F72E65" w:rsidRDefault="00F72E65" w:rsidP="00FB1507">
            <w:pPr>
              <w:pStyle w:val="TableParagraph"/>
              <w:spacing w:before="98"/>
              <w:ind w:firstLineChars="0" w:firstLine="0"/>
              <w:textAlignment w:val="center"/>
              <w:rPr>
                <w:sz w:val="21"/>
              </w:rPr>
            </w:pPr>
            <w:r>
              <w:rPr>
                <w:sz w:val="21"/>
              </w:rPr>
              <w:t>相当可能；或危害的发生不能被发现（没有监测系统）；或在现场没有采取防范、监测、保护、控制措施；或在正常情况下经常发生此类事故、事件或偏差</w:t>
            </w:r>
          </w:p>
        </w:tc>
      </w:tr>
      <w:tr w:rsidR="00F72E65" w:rsidTr="00FB1507">
        <w:tc>
          <w:tcPr>
            <w:tcW w:w="1247" w:type="dxa"/>
            <w:tcBorders>
              <w:tl2br w:val="nil"/>
              <w:tr2bl w:val="nil"/>
            </w:tcBorders>
            <w:vAlign w:val="center"/>
          </w:tcPr>
          <w:p w:rsidR="00F72E65" w:rsidRDefault="00F72E65" w:rsidP="00FB1507">
            <w:pPr>
              <w:autoSpaceDE w:val="0"/>
              <w:autoSpaceDN w:val="0"/>
              <w:ind w:firstLineChars="0" w:firstLine="0"/>
              <w:jc w:val="center"/>
              <w:textAlignment w:val="center"/>
              <w:rPr>
                <w:sz w:val="21"/>
              </w:rPr>
            </w:pPr>
            <w:r>
              <w:rPr>
                <w:rFonts w:hint="eastAsia"/>
                <w:sz w:val="21"/>
              </w:rPr>
              <w:t>3</w:t>
            </w:r>
          </w:p>
        </w:tc>
        <w:tc>
          <w:tcPr>
            <w:tcW w:w="7254" w:type="dxa"/>
            <w:tcBorders>
              <w:tl2br w:val="nil"/>
              <w:tr2bl w:val="nil"/>
            </w:tcBorders>
          </w:tcPr>
          <w:p w:rsidR="00F72E65" w:rsidRDefault="00F72E65" w:rsidP="00FB1507">
            <w:pPr>
              <w:pStyle w:val="TableParagraph"/>
              <w:spacing w:before="98"/>
              <w:ind w:firstLineChars="0" w:firstLine="0"/>
              <w:textAlignment w:val="center"/>
              <w:rPr>
                <w:sz w:val="21"/>
              </w:rPr>
            </w:pPr>
            <w:r>
              <w:rPr>
                <w:sz w:val="21"/>
              </w:rPr>
              <w:t>可能</w:t>
            </w:r>
            <w:r>
              <w:rPr>
                <w:rFonts w:hint="eastAsia"/>
                <w:sz w:val="21"/>
              </w:rPr>
              <w:t>，</w:t>
            </w:r>
            <w:r>
              <w:rPr>
                <w:sz w:val="21"/>
              </w:rPr>
              <w:t>但不经常；或危害的发生不容易被发现；现场没有检测系统或保护措施（如 没有保护装置、没有个人防护用品等），也未作过任何监测；或未严格按操作规程  执行；或在现场有控制措施，但未有效执行或控制措施不当；或危害在预期情况下发生</w:t>
            </w:r>
          </w:p>
        </w:tc>
      </w:tr>
      <w:tr w:rsidR="00F72E65" w:rsidTr="00FB1507">
        <w:tc>
          <w:tcPr>
            <w:tcW w:w="1247" w:type="dxa"/>
            <w:tcBorders>
              <w:tl2br w:val="nil"/>
              <w:tr2bl w:val="nil"/>
            </w:tcBorders>
            <w:vAlign w:val="center"/>
          </w:tcPr>
          <w:p w:rsidR="00F72E65" w:rsidRDefault="00F72E65" w:rsidP="00FB1507">
            <w:pPr>
              <w:autoSpaceDE w:val="0"/>
              <w:autoSpaceDN w:val="0"/>
              <w:ind w:firstLineChars="0" w:firstLine="0"/>
              <w:jc w:val="center"/>
              <w:textAlignment w:val="center"/>
              <w:rPr>
                <w:sz w:val="21"/>
              </w:rPr>
            </w:pPr>
            <w:r>
              <w:rPr>
                <w:rFonts w:hint="eastAsia"/>
                <w:sz w:val="21"/>
              </w:rPr>
              <w:t>1</w:t>
            </w:r>
          </w:p>
        </w:tc>
        <w:tc>
          <w:tcPr>
            <w:tcW w:w="7254" w:type="dxa"/>
            <w:tcBorders>
              <w:tl2br w:val="nil"/>
              <w:tr2bl w:val="nil"/>
            </w:tcBorders>
          </w:tcPr>
          <w:p w:rsidR="00F72E65" w:rsidRDefault="00F72E65" w:rsidP="00FB1507">
            <w:pPr>
              <w:pStyle w:val="TableParagraph"/>
              <w:spacing w:before="98"/>
              <w:ind w:firstLineChars="0" w:firstLine="0"/>
              <w:textAlignment w:val="center"/>
              <w:rPr>
                <w:sz w:val="21"/>
              </w:rPr>
            </w:pPr>
            <w:r>
              <w:rPr>
                <w:sz w:val="21"/>
              </w:rPr>
              <w:t>可能性小，完全意外；或危害的发生容易被发现；现场有监测系统或曾经作过监测；  或过去曾经发生类似事故、事件或偏差；或在异常情况下发生过类似事故、事件或偏差</w:t>
            </w:r>
          </w:p>
        </w:tc>
      </w:tr>
      <w:tr w:rsidR="00F72E65" w:rsidTr="00FB1507">
        <w:tc>
          <w:tcPr>
            <w:tcW w:w="1247" w:type="dxa"/>
            <w:tcBorders>
              <w:tl2br w:val="nil"/>
              <w:tr2bl w:val="nil"/>
            </w:tcBorders>
            <w:vAlign w:val="center"/>
          </w:tcPr>
          <w:p w:rsidR="00F72E65" w:rsidRDefault="00F72E65" w:rsidP="00FB1507">
            <w:pPr>
              <w:autoSpaceDE w:val="0"/>
              <w:autoSpaceDN w:val="0"/>
              <w:ind w:firstLineChars="0" w:firstLine="0"/>
              <w:jc w:val="center"/>
              <w:textAlignment w:val="center"/>
              <w:rPr>
                <w:sz w:val="21"/>
              </w:rPr>
            </w:pPr>
            <w:r>
              <w:rPr>
                <w:rFonts w:hint="eastAsia"/>
                <w:sz w:val="21"/>
              </w:rPr>
              <w:t>0.5</w:t>
            </w:r>
          </w:p>
        </w:tc>
        <w:tc>
          <w:tcPr>
            <w:tcW w:w="7254" w:type="dxa"/>
            <w:tcBorders>
              <w:tl2br w:val="nil"/>
              <w:tr2bl w:val="nil"/>
            </w:tcBorders>
          </w:tcPr>
          <w:p w:rsidR="00F72E65" w:rsidRDefault="00F72E65" w:rsidP="00FB1507">
            <w:pPr>
              <w:autoSpaceDE w:val="0"/>
              <w:autoSpaceDN w:val="0"/>
              <w:ind w:firstLineChars="0" w:firstLine="0"/>
              <w:jc w:val="left"/>
              <w:textAlignment w:val="center"/>
              <w:rPr>
                <w:rFonts w:ascii="宋体" w:hAnsi="宋体" w:cs="宋体"/>
                <w:sz w:val="21"/>
                <w:lang w:val="zh-CN" w:bidi="zh-CN"/>
              </w:rPr>
            </w:pPr>
            <w:r>
              <w:rPr>
                <w:rFonts w:ascii="宋体" w:hAnsi="宋体" w:cs="宋体"/>
                <w:sz w:val="21"/>
                <w:lang w:val="zh-CN" w:bidi="zh-CN"/>
              </w:rPr>
              <w:t>很不可能，可以设想；危害一旦发生能及时发现，并能定期进行监测</w:t>
            </w:r>
          </w:p>
        </w:tc>
      </w:tr>
      <w:tr w:rsidR="00F72E65" w:rsidTr="00FB1507">
        <w:tc>
          <w:tcPr>
            <w:tcW w:w="1247" w:type="dxa"/>
            <w:tcBorders>
              <w:tl2br w:val="nil"/>
              <w:tr2bl w:val="nil"/>
            </w:tcBorders>
            <w:vAlign w:val="center"/>
          </w:tcPr>
          <w:p w:rsidR="00F72E65" w:rsidRDefault="00F72E65" w:rsidP="00FB1507">
            <w:pPr>
              <w:autoSpaceDE w:val="0"/>
              <w:autoSpaceDN w:val="0"/>
              <w:ind w:firstLineChars="0" w:firstLine="0"/>
              <w:jc w:val="center"/>
              <w:textAlignment w:val="center"/>
              <w:rPr>
                <w:sz w:val="21"/>
              </w:rPr>
            </w:pPr>
            <w:r>
              <w:rPr>
                <w:rFonts w:hint="eastAsia"/>
                <w:sz w:val="21"/>
              </w:rPr>
              <w:t>0.2</w:t>
            </w:r>
          </w:p>
        </w:tc>
        <w:tc>
          <w:tcPr>
            <w:tcW w:w="7254" w:type="dxa"/>
            <w:tcBorders>
              <w:tl2br w:val="nil"/>
              <w:tr2bl w:val="nil"/>
            </w:tcBorders>
          </w:tcPr>
          <w:p w:rsidR="00F72E65" w:rsidRDefault="00F72E65" w:rsidP="00FB1507">
            <w:pPr>
              <w:pStyle w:val="TableParagraph"/>
              <w:spacing w:before="98"/>
              <w:ind w:firstLineChars="0" w:firstLine="0"/>
              <w:textAlignment w:val="center"/>
              <w:rPr>
                <w:sz w:val="21"/>
              </w:rPr>
            </w:pPr>
            <w:r>
              <w:rPr>
                <w:sz w:val="21"/>
              </w:rPr>
              <w:t>极不可能；有充分、有效的防范、控制、监测、保护措施；或员工安全卫生意识相当高，严格执行操作规程</w:t>
            </w:r>
          </w:p>
        </w:tc>
      </w:tr>
      <w:tr w:rsidR="00F72E65" w:rsidTr="00FB1507">
        <w:tc>
          <w:tcPr>
            <w:tcW w:w="1247" w:type="dxa"/>
            <w:tcBorders>
              <w:tl2br w:val="nil"/>
              <w:tr2bl w:val="nil"/>
            </w:tcBorders>
            <w:vAlign w:val="center"/>
          </w:tcPr>
          <w:p w:rsidR="00F72E65" w:rsidRDefault="00F72E65" w:rsidP="00FB1507">
            <w:pPr>
              <w:autoSpaceDE w:val="0"/>
              <w:autoSpaceDN w:val="0"/>
              <w:ind w:firstLineChars="0" w:firstLine="0"/>
              <w:jc w:val="center"/>
              <w:textAlignment w:val="center"/>
              <w:rPr>
                <w:sz w:val="21"/>
              </w:rPr>
            </w:pPr>
            <w:r>
              <w:rPr>
                <w:rFonts w:hint="eastAsia"/>
                <w:sz w:val="21"/>
              </w:rPr>
              <w:t>0.1</w:t>
            </w:r>
          </w:p>
        </w:tc>
        <w:tc>
          <w:tcPr>
            <w:tcW w:w="7254" w:type="dxa"/>
            <w:tcBorders>
              <w:tl2br w:val="nil"/>
              <w:tr2bl w:val="nil"/>
            </w:tcBorders>
          </w:tcPr>
          <w:p w:rsidR="00F72E65" w:rsidRDefault="00F72E65" w:rsidP="00FB1507">
            <w:pPr>
              <w:autoSpaceDE w:val="0"/>
              <w:autoSpaceDN w:val="0"/>
              <w:ind w:firstLineChars="0" w:firstLine="0"/>
              <w:jc w:val="left"/>
              <w:textAlignment w:val="center"/>
              <w:rPr>
                <w:rFonts w:ascii="宋体" w:hAnsi="宋体" w:cs="宋体"/>
                <w:b/>
                <w:sz w:val="24"/>
                <w:szCs w:val="28"/>
                <w:lang w:val="zh-CN" w:bidi="zh-CN"/>
              </w:rPr>
            </w:pPr>
            <w:r>
              <w:rPr>
                <w:sz w:val="21"/>
              </w:rPr>
              <w:t>实际不可能</w:t>
            </w:r>
          </w:p>
        </w:tc>
      </w:tr>
    </w:tbl>
    <w:p w:rsidR="00F72E65" w:rsidRDefault="00F72E65" w:rsidP="00F72E65">
      <w:pPr>
        <w:autoSpaceDE w:val="0"/>
        <w:autoSpaceDN w:val="0"/>
        <w:ind w:firstLine="482"/>
        <w:jc w:val="left"/>
        <w:rPr>
          <w:rFonts w:ascii="宋体" w:hAnsi="宋体" w:cs="宋体"/>
          <w:b/>
          <w:sz w:val="24"/>
          <w:szCs w:val="28"/>
          <w:lang w:val="zh-CN" w:bidi="zh-CN"/>
        </w:rPr>
      </w:pPr>
    </w:p>
    <w:p w:rsidR="00F72E65" w:rsidRDefault="00F72E65" w:rsidP="00F72E65">
      <w:pPr>
        <w:autoSpaceDE w:val="0"/>
        <w:autoSpaceDN w:val="0"/>
        <w:ind w:left="1435" w:right="1522" w:firstLineChars="0" w:firstLine="0"/>
        <w:jc w:val="center"/>
        <w:rPr>
          <w:rFonts w:ascii="宋体" w:hAnsi="宋体" w:cs="宋体"/>
          <w:b/>
          <w:kern w:val="0"/>
          <w:sz w:val="24"/>
          <w:szCs w:val="22"/>
          <w:lang w:val="zh-CN" w:bidi="zh-CN"/>
        </w:rPr>
      </w:pPr>
      <w:r>
        <w:rPr>
          <w:rFonts w:ascii="宋体" w:hAnsi="宋体" w:cs="宋体"/>
          <w:b/>
          <w:kern w:val="0"/>
          <w:sz w:val="24"/>
          <w:szCs w:val="22"/>
          <w:lang w:val="zh-CN" w:bidi="zh-CN"/>
        </w:rPr>
        <w:t xml:space="preserve">表 </w:t>
      </w:r>
      <w:r>
        <w:rPr>
          <w:rFonts w:ascii="宋体" w:hAnsi="宋体" w:cs="宋体" w:hint="eastAsia"/>
          <w:b/>
          <w:kern w:val="0"/>
          <w:sz w:val="24"/>
          <w:szCs w:val="22"/>
          <w:lang w:bidi="zh-CN"/>
        </w:rPr>
        <w:t>A</w:t>
      </w:r>
      <w:r>
        <w:rPr>
          <w:rFonts w:ascii="宋体" w:hAnsi="宋体" w:cs="宋体"/>
          <w:b/>
          <w:kern w:val="0"/>
          <w:sz w:val="24"/>
          <w:szCs w:val="22"/>
          <w:lang w:val="zh-CN" w:bidi="zh-CN"/>
        </w:rPr>
        <w:t>3.2 暴露于危险环境的频繁程度（E）判断则</w:t>
      </w:r>
    </w:p>
    <w:tbl>
      <w:tblPr>
        <w:tblStyle w:val="a6"/>
        <w:tblW w:w="8522" w:type="dxa"/>
        <w:tblBorders>
          <w:top w:val="single" w:sz="18" w:space="0" w:color="auto"/>
          <w:left w:val="single" w:sz="18" w:space="0" w:color="auto"/>
          <w:bottom w:val="single" w:sz="18" w:space="0" w:color="auto"/>
          <w:right w:val="single" w:sz="18" w:space="0" w:color="auto"/>
        </w:tblBorders>
        <w:tblLook w:val="04A0"/>
      </w:tblPr>
      <w:tblGrid>
        <w:gridCol w:w="1247"/>
        <w:gridCol w:w="2967"/>
        <w:gridCol w:w="1247"/>
        <w:gridCol w:w="3061"/>
      </w:tblGrid>
      <w:tr w:rsidR="00F72E65" w:rsidTr="00FB1507">
        <w:tc>
          <w:tcPr>
            <w:tcW w:w="1247" w:type="dxa"/>
            <w:tcBorders>
              <w:tl2br w:val="nil"/>
              <w:tr2bl w:val="nil"/>
            </w:tcBorders>
            <w:vAlign w:val="center"/>
          </w:tcPr>
          <w:p w:rsidR="00F72E65" w:rsidRDefault="00F72E65" w:rsidP="00FB1507">
            <w:pPr>
              <w:autoSpaceDE w:val="0"/>
              <w:autoSpaceDN w:val="0"/>
              <w:ind w:firstLine="420"/>
              <w:rPr>
                <w:sz w:val="21"/>
                <w:lang w:val="zh-CN"/>
              </w:rPr>
            </w:pPr>
            <w:r>
              <w:rPr>
                <w:sz w:val="21"/>
              </w:rPr>
              <w:t>分值</w:t>
            </w:r>
          </w:p>
        </w:tc>
        <w:tc>
          <w:tcPr>
            <w:tcW w:w="2967" w:type="dxa"/>
            <w:tcBorders>
              <w:tl2br w:val="nil"/>
              <w:tr2bl w:val="nil"/>
            </w:tcBorders>
            <w:vAlign w:val="center"/>
          </w:tcPr>
          <w:p w:rsidR="00F72E65" w:rsidRDefault="00F72E65" w:rsidP="00FB1507">
            <w:pPr>
              <w:autoSpaceDE w:val="0"/>
              <w:autoSpaceDN w:val="0"/>
              <w:ind w:firstLineChars="0" w:firstLine="0"/>
              <w:jc w:val="center"/>
              <w:rPr>
                <w:sz w:val="21"/>
                <w:lang w:val="zh-CN"/>
              </w:rPr>
            </w:pPr>
            <w:r>
              <w:rPr>
                <w:sz w:val="21"/>
              </w:rPr>
              <w:t>频繁程度</w:t>
            </w:r>
          </w:p>
        </w:tc>
        <w:tc>
          <w:tcPr>
            <w:tcW w:w="1247" w:type="dxa"/>
            <w:tcBorders>
              <w:tl2br w:val="nil"/>
              <w:tr2bl w:val="nil"/>
            </w:tcBorders>
            <w:vAlign w:val="center"/>
          </w:tcPr>
          <w:p w:rsidR="00F72E65" w:rsidRDefault="00F72E65" w:rsidP="00FB1507">
            <w:pPr>
              <w:autoSpaceDE w:val="0"/>
              <w:autoSpaceDN w:val="0"/>
              <w:ind w:firstLine="420"/>
              <w:rPr>
                <w:sz w:val="21"/>
                <w:lang w:val="zh-CN"/>
              </w:rPr>
            </w:pPr>
            <w:r>
              <w:rPr>
                <w:sz w:val="21"/>
              </w:rPr>
              <w:t>分值</w:t>
            </w:r>
          </w:p>
        </w:tc>
        <w:tc>
          <w:tcPr>
            <w:tcW w:w="3061" w:type="dxa"/>
            <w:tcBorders>
              <w:tl2br w:val="nil"/>
              <w:tr2bl w:val="nil"/>
            </w:tcBorders>
            <w:vAlign w:val="center"/>
          </w:tcPr>
          <w:p w:rsidR="00F72E65" w:rsidRDefault="00F72E65" w:rsidP="00FB1507">
            <w:pPr>
              <w:autoSpaceDE w:val="0"/>
              <w:autoSpaceDN w:val="0"/>
              <w:ind w:firstLineChars="0" w:firstLine="0"/>
              <w:jc w:val="center"/>
              <w:rPr>
                <w:rFonts w:ascii="宋体" w:hAnsi="宋体" w:cs="宋体"/>
                <w:b/>
                <w:sz w:val="24"/>
                <w:szCs w:val="28"/>
                <w:lang w:val="zh-CN" w:bidi="zh-CN"/>
              </w:rPr>
            </w:pPr>
            <w:r>
              <w:rPr>
                <w:sz w:val="21"/>
              </w:rPr>
              <w:t>频繁程度</w:t>
            </w:r>
          </w:p>
        </w:tc>
      </w:tr>
      <w:tr w:rsidR="00F72E65" w:rsidTr="00FB1507">
        <w:tc>
          <w:tcPr>
            <w:tcW w:w="1247" w:type="dxa"/>
            <w:tcBorders>
              <w:tl2br w:val="nil"/>
              <w:tr2bl w:val="nil"/>
            </w:tcBorders>
            <w:vAlign w:val="center"/>
          </w:tcPr>
          <w:p w:rsidR="00F72E65" w:rsidRDefault="00F72E65" w:rsidP="00FB1507">
            <w:pPr>
              <w:autoSpaceDE w:val="0"/>
              <w:autoSpaceDN w:val="0"/>
              <w:ind w:firstLine="420"/>
              <w:rPr>
                <w:sz w:val="21"/>
              </w:rPr>
            </w:pPr>
            <w:r>
              <w:rPr>
                <w:rFonts w:hint="eastAsia"/>
                <w:sz w:val="21"/>
              </w:rPr>
              <w:t>10</w:t>
            </w:r>
          </w:p>
        </w:tc>
        <w:tc>
          <w:tcPr>
            <w:tcW w:w="2967" w:type="dxa"/>
            <w:tcBorders>
              <w:tl2br w:val="nil"/>
              <w:tr2bl w:val="nil"/>
            </w:tcBorders>
            <w:vAlign w:val="center"/>
          </w:tcPr>
          <w:p w:rsidR="00F72E65" w:rsidRDefault="00F72E65" w:rsidP="00FB1507">
            <w:pPr>
              <w:autoSpaceDE w:val="0"/>
              <w:autoSpaceDN w:val="0"/>
              <w:ind w:firstLineChars="0" w:firstLine="0"/>
              <w:jc w:val="center"/>
              <w:rPr>
                <w:sz w:val="21"/>
                <w:lang w:val="zh-CN"/>
              </w:rPr>
            </w:pPr>
            <w:r>
              <w:rPr>
                <w:sz w:val="21"/>
              </w:rPr>
              <w:t>连续暴露</w:t>
            </w:r>
            <w:r>
              <w:rPr>
                <w:sz w:val="21"/>
              </w:rPr>
              <w:t xml:space="preserve"> </w:t>
            </w:r>
            <w:r>
              <w:rPr>
                <w:sz w:val="21"/>
              </w:rPr>
              <w:t>（</w:t>
            </w:r>
            <w:r>
              <w:rPr>
                <w:sz w:val="21"/>
              </w:rPr>
              <w:t xml:space="preserve">8 </w:t>
            </w:r>
            <w:r>
              <w:rPr>
                <w:sz w:val="21"/>
              </w:rPr>
              <w:t>小时不离工作岗位，或连班作业，算</w:t>
            </w:r>
            <w:r>
              <w:rPr>
                <w:sz w:val="21"/>
              </w:rPr>
              <w:t>“</w:t>
            </w:r>
            <w:r>
              <w:rPr>
                <w:sz w:val="21"/>
              </w:rPr>
              <w:t>连续暴露</w:t>
            </w:r>
            <w:r>
              <w:rPr>
                <w:sz w:val="21"/>
              </w:rPr>
              <w:t>”</w:t>
            </w:r>
            <w:r>
              <w:rPr>
                <w:sz w:val="21"/>
              </w:rPr>
              <w:t>）</w:t>
            </w:r>
          </w:p>
        </w:tc>
        <w:tc>
          <w:tcPr>
            <w:tcW w:w="1247" w:type="dxa"/>
            <w:tcBorders>
              <w:tl2br w:val="nil"/>
              <w:tr2bl w:val="nil"/>
            </w:tcBorders>
            <w:vAlign w:val="center"/>
          </w:tcPr>
          <w:p w:rsidR="00F72E65" w:rsidRDefault="00F72E65" w:rsidP="00FB1507">
            <w:pPr>
              <w:autoSpaceDE w:val="0"/>
              <w:autoSpaceDN w:val="0"/>
              <w:ind w:firstLine="420"/>
              <w:rPr>
                <w:sz w:val="21"/>
              </w:rPr>
            </w:pPr>
            <w:r>
              <w:rPr>
                <w:rFonts w:hint="eastAsia"/>
                <w:sz w:val="21"/>
              </w:rPr>
              <w:t>2</w:t>
            </w:r>
          </w:p>
        </w:tc>
        <w:tc>
          <w:tcPr>
            <w:tcW w:w="3061" w:type="dxa"/>
            <w:tcBorders>
              <w:tl2br w:val="nil"/>
              <w:tr2bl w:val="nil"/>
            </w:tcBorders>
            <w:vAlign w:val="center"/>
          </w:tcPr>
          <w:p w:rsidR="00F72E65" w:rsidRDefault="00F72E65" w:rsidP="00FB1507">
            <w:pPr>
              <w:autoSpaceDE w:val="0"/>
              <w:autoSpaceDN w:val="0"/>
              <w:ind w:firstLineChars="0" w:firstLine="0"/>
              <w:jc w:val="center"/>
              <w:rPr>
                <w:rFonts w:ascii="宋体" w:hAnsi="宋体" w:cs="宋体"/>
                <w:b/>
                <w:sz w:val="24"/>
                <w:szCs w:val="28"/>
                <w:lang w:val="zh-CN" w:bidi="zh-CN"/>
              </w:rPr>
            </w:pPr>
            <w:r>
              <w:rPr>
                <w:sz w:val="21"/>
              </w:rPr>
              <w:t>每月一次暴露</w:t>
            </w:r>
          </w:p>
        </w:tc>
      </w:tr>
      <w:tr w:rsidR="00F72E65" w:rsidTr="00FB1507">
        <w:tc>
          <w:tcPr>
            <w:tcW w:w="1247" w:type="dxa"/>
            <w:tcBorders>
              <w:tl2br w:val="nil"/>
              <w:tr2bl w:val="nil"/>
            </w:tcBorders>
            <w:vAlign w:val="center"/>
          </w:tcPr>
          <w:p w:rsidR="00F72E65" w:rsidRDefault="00F72E65" w:rsidP="00FB1507">
            <w:pPr>
              <w:autoSpaceDE w:val="0"/>
              <w:autoSpaceDN w:val="0"/>
              <w:ind w:firstLine="420"/>
              <w:rPr>
                <w:sz w:val="21"/>
              </w:rPr>
            </w:pPr>
            <w:r>
              <w:rPr>
                <w:rFonts w:hint="eastAsia"/>
                <w:sz w:val="21"/>
              </w:rPr>
              <w:t>6</w:t>
            </w:r>
          </w:p>
        </w:tc>
        <w:tc>
          <w:tcPr>
            <w:tcW w:w="2967" w:type="dxa"/>
            <w:tcBorders>
              <w:tl2br w:val="nil"/>
              <w:tr2bl w:val="nil"/>
            </w:tcBorders>
            <w:vAlign w:val="center"/>
          </w:tcPr>
          <w:p w:rsidR="00F72E65" w:rsidRDefault="00F72E65" w:rsidP="00FB1507">
            <w:pPr>
              <w:autoSpaceDE w:val="0"/>
              <w:autoSpaceDN w:val="0"/>
              <w:ind w:firstLineChars="0" w:firstLine="0"/>
              <w:jc w:val="center"/>
              <w:rPr>
                <w:sz w:val="21"/>
                <w:lang w:val="zh-CN"/>
              </w:rPr>
            </w:pPr>
            <w:r>
              <w:rPr>
                <w:sz w:val="21"/>
              </w:rPr>
              <w:t>每天工作时间内暴露</w:t>
            </w:r>
          </w:p>
        </w:tc>
        <w:tc>
          <w:tcPr>
            <w:tcW w:w="1247" w:type="dxa"/>
            <w:tcBorders>
              <w:tl2br w:val="nil"/>
              <w:tr2bl w:val="nil"/>
            </w:tcBorders>
            <w:vAlign w:val="center"/>
          </w:tcPr>
          <w:p w:rsidR="00F72E65" w:rsidRDefault="00F72E65" w:rsidP="00FB1507">
            <w:pPr>
              <w:autoSpaceDE w:val="0"/>
              <w:autoSpaceDN w:val="0"/>
              <w:ind w:firstLine="420"/>
              <w:rPr>
                <w:sz w:val="21"/>
              </w:rPr>
            </w:pPr>
            <w:r>
              <w:rPr>
                <w:rFonts w:hint="eastAsia"/>
                <w:sz w:val="21"/>
              </w:rPr>
              <w:t>1</w:t>
            </w:r>
          </w:p>
        </w:tc>
        <w:tc>
          <w:tcPr>
            <w:tcW w:w="3061" w:type="dxa"/>
            <w:tcBorders>
              <w:tl2br w:val="nil"/>
              <w:tr2bl w:val="nil"/>
            </w:tcBorders>
            <w:vAlign w:val="center"/>
          </w:tcPr>
          <w:p w:rsidR="00F72E65" w:rsidRDefault="00F72E65" w:rsidP="00FB1507">
            <w:pPr>
              <w:autoSpaceDE w:val="0"/>
              <w:autoSpaceDN w:val="0"/>
              <w:ind w:firstLineChars="0" w:firstLine="0"/>
              <w:jc w:val="center"/>
              <w:rPr>
                <w:rFonts w:ascii="宋体" w:hAnsi="宋体" w:cs="宋体"/>
                <w:b/>
                <w:sz w:val="24"/>
                <w:szCs w:val="28"/>
                <w:lang w:val="zh-CN" w:bidi="zh-CN"/>
              </w:rPr>
            </w:pPr>
            <w:r>
              <w:rPr>
                <w:sz w:val="21"/>
              </w:rPr>
              <w:t>每年几次暴露</w:t>
            </w:r>
          </w:p>
        </w:tc>
      </w:tr>
      <w:tr w:rsidR="00F72E65" w:rsidTr="00FB1507">
        <w:tc>
          <w:tcPr>
            <w:tcW w:w="1247" w:type="dxa"/>
            <w:tcBorders>
              <w:tl2br w:val="nil"/>
              <w:tr2bl w:val="nil"/>
            </w:tcBorders>
            <w:vAlign w:val="center"/>
          </w:tcPr>
          <w:p w:rsidR="00F72E65" w:rsidRDefault="00F72E65" w:rsidP="00FB1507">
            <w:pPr>
              <w:autoSpaceDE w:val="0"/>
              <w:autoSpaceDN w:val="0"/>
              <w:ind w:firstLine="420"/>
              <w:rPr>
                <w:sz w:val="21"/>
              </w:rPr>
            </w:pPr>
            <w:r>
              <w:rPr>
                <w:rFonts w:hint="eastAsia"/>
                <w:sz w:val="21"/>
              </w:rPr>
              <w:t>3</w:t>
            </w:r>
          </w:p>
        </w:tc>
        <w:tc>
          <w:tcPr>
            <w:tcW w:w="2967" w:type="dxa"/>
            <w:tcBorders>
              <w:tl2br w:val="nil"/>
              <w:tr2bl w:val="nil"/>
            </w:tcBorders>
            <w:vAlign w:val="center"/>
          </w:tcPr>
          <w:p w:rsidR="00F72E65" w:rsidRDefault="00F72E65" w:rsidP="00FB1507">
            <w:pPr>
              <w:autoSpaceDE w:val="0"/>
              <w:autoSpaceDN w:val="0"/>
              <w:ind w:firstLineChars="0" w:firstLine="0"/>
              <w:jc w:val="center"/>
              <w:rPr>
                <w:sz w:val="21"/>
                <w:lang w:val="zh-CN"/>
              </w:rPr>
            </w:pPr>
            <w:r>
              <w:rPr>
                <w:sz w:val="21"/>
              </w:rPr>
              <w:t>每周一次或偶然暴露</w:t>
            </w:r>
          </w:p>
        </w:tc>
        <w:tc>
          <w:tcPr>
            <w:tcW w:w="1247" w:type="dxa"/>
            <w:tcBorders>
              <w:tl2br w:val="nil"/>
              <w:tr2bl w:val="nil"/>
            </w:tcBorders>
            <w:vAlign w:val="center"/>
          </w:tcPr>
          <w:p w:rsidR="00F72E65" w:rsidRDefault="00F72E65" w:rsidP="00FB1507">
            <w:pPr>
              <w:autoSpaceDE w:val="0"/>
              <w:autoSpaceDN w:val="0"/>
              <w:ind w:firstLine="420"/>
              <w:rPr>
                <w:sz w:val="21"/>
              </w:rPr>
            </w:pPr>
            <w:r>
              <w:rPr>
                <w:rFonts w:hint="eastAsia"/>
                <w:sz w:val="21"/>
              </w:rPr>
              <w:t>0.5</w:t>
            </w:r>
          </w:p>
        </w:tc>
        <w:tc>
          <w:tcPr>
            <w:tcW w:w="3061" w:type="dxa"/>
            <w:tcBorders>
              <w:tl2br w:val="nil"/>
              <w:tr2bl w:val="nil"/>
            </w:tcBorders>
            <w:vAlign w:val="center"/>
          </w:tcPr>
          <w:p w:rsidR="00F72E65" w:rsidRDefault="00F72E65" w:rsidP="00FB1507">
            <w:pPr>
              <w:autoSpaceDE w:val="0"/>
              <w:autoSpaceDN w:val="0"/>
              <w:ind w:firstLineChars="0" w:firstLine="0"/>
              <w:jc w:val="center"/>
              <w:rPr>
                <w:rFonts w:ascii="宋体" w:hAnsi="宋体" w:cs="宋体"/>
                <w:b/>
                <w:sz w:val="24"/>
                <w:szCs w:val="28"/>
                <w:lang w:val="zh-CN" w:bidi="zh-CN"/>
              </w:rPr>
            </w:pPr>
            <w:r>
              <w:rPr>
                <w:sz w:val="21"/>
              </w:rPr>
              <w:t>非常罕见地暴露</w:t>
            </w:r>
          </w:p>
        </w:tc>
      </w:tr>
    </w:tbl>
    <w:p w:rsidR="00F72E65" w:rsidRDefault="00F72E65" w:rsidP="00F72E65">
      <w:pPr>
        <w:autoSpaceDE w:val="0"/>
        <w:autoSpaceDN w:val="0"/>
        <w:spacing w:before="9"/>
        <w:ind w:firstLineChars="0" w:firstLine="0"/>
        <w:jc w:val="left"/>
        <w:rPr>
          <w:rFonts w:ascii="宋体" w:hAnsi="宋体" w:cs="宋体"/>
          <w:b/>
          <w:sz w:val="24"/>
          <w:lang w:val="zh-CN" w:bidi="zh-CN"/>
        </w:rPr>
      </w:pPr>
    </w:p>
    <w:p w:rsidR="00F72E65" w:rsidRDefault="00F72E65" w:rsidP="00F72E65">
      <w:pPr>
        <w:pStyle w:val="a0"/>
        <w:ind w:firstLineChars="0" w:firstLine="0"/>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表 A3.3 发生事故事件偏差产生的后果严重性（C）判别准则</w:t>
      </w:r>
    </w:p>
    <w:tbl>
      <w:tblPr>
        <w:tblStyle w:val="a6"/>
        <w:tblW w:w="0" w:type="auto"/>
        <w:tblBorders>
          <w:top w:val="single" w:sz="18" w:space="0" w:color="auto"/>
          <w:left w:val="single" w:sz="18" w:space="0" w:color="auto"/>
          <w:bottom w:val="single" w:sz="18" w:space="0" w:color="auto"/>
          <w:right w:val="single" w:sz="18" w:space="0" w:color="auto"/>
        </w:tblBorders>
        <w:tblLook w:val="04A0"/>
      </w:tblPr>
      <w:tblGrid>
        <w:gridCol w:w="850"/>
        <w:gridCol w:w="1871"/>
        <w:gridCol w:w="1814"/>
        <w:gridCol w:w="1420"/>
        <w:gridCol w:w="850"/>
        <w:gridCol w:w="1701"/>
      </w:tblGrid>
      <w:tr w:rsidR="00F72E65" w:rsidTr="00FB1507">
        <w:tc>
          <w:tcPr>
            <w:tcW w:w="850"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hint="eastAsia"/>
                <w:b/>
                <w:bCs/>
                <w:sz w:val="21"/>
              </w:rPr>
              <w:t>分值</w:t>
            </w:r>
          </w:p>
        </w:tc>
        <w:tc>
          <w:tcPr>
            <w:tcW w:w="187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hint="eastAsia"/>
                <w:b/>
                <w:bCs/>
                <w:sz w:val="21"/>
              </w:rPr>
              <w:t>法律法规及其他要求</w:t>
            </w:r>
          </w:p>
        </w:tc>
        <w:tc>
          <w:tcPr>
            <w:tcW w:w="1814"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hint="eastAsia"/>
                <w:b/>
                <w:bCs/>
                <w:sz w:val="21"/>
              </w:rPr>
              <w:t>人员伤亡</w:t>
            </w:r>
          </w:p>
        </w:tc>
        <w:tc>
          <w:tcPr>
            <w:tcW w:w="1420"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hint="eastAsia"/>
                <w:b/>
                <w:bCs/>
                <w:sz w:val="21"/>
              </w:rPr>
              <w:t>直接经济损失（万元）</w:t>
            </w:r>
          </w:p>
        </w:tc>
        <w:tc>
          <w:tcPr>
            <w:tcW w:w="850"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hint="eastAsia"/>
                <w:b/>
                <w:bCs/>
                <w:sz w:val="21"/>
              </w:rPr>
              <w:t>停工</w:t>
            </w:r>
          </w:p>
        </w:tc>
        <w:tc>
          <w:tcPr>
            <w:tcW w:w="170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hint="eastAsia"/>
                <w:b/>
                <w:bCs/>
                <w:sz w:val="21"/>
              </w:rPr>
              <w:t>企业形象</w:t>
            </w:r>
          </w:p>
        </w:tc>
      </w:tr>
      <w:tr w:rsidR="00F72E65" w:rsidTr="00FB1507">
        <w:tc>
          <w:tcPr>
            <w:tcW w:w="850"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100</w:t>
            </w:r>
          </w:p>
        </w:tc>
        <w:tc>
          <w:tcPr>
            <w:tcW w:w="187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严重违反法律法规和标准强制性条款</w:t>
            </w:r>
          </w:p>
        </w:tc>
        <w:tc>
          <w:tcPr>
            <w:tcW w:w="1814"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10 </w:t>
            </w:r>
            <w:r>
              <w:rPr>
                <w:rFonts w:asciiTheme="minorHAnsi" w:eastAsiaTheme="minorEastAsia" w:hAnsiTheme="minorHAnsi" w:cstheme="minorBidi" w:hint="eastAsia"/>
                <w:sz w:val="21"/>
              </w:rPr>
              <w:t>人以上死亡，或</w:t>
            </w:r>
            <w:r>
              <w:rPr>
                <w:rFonts w:asciiTheme="minorHAnsi" w:eastAsiaTheme="minorEastAsia" w:hAnsiTheme="minorHAnsi" w:cstheme="minorBidi" w:hint="eastAsia"/>
                <w:sz w:val="21"/>
              </w:rPr>
              <w:t xml:space="preserve"> 50 </w:t>
            </w:r>
            <w:r>
              <w:rPr>
                <w:rFonts w:asciiTheme="minorHAnsi" w:eastAsiaTheme="minorEastAsia" w:hAnsiTheme="minorHAnsi" w:cstheme="minorBidi" w:hint="eastAsia"/>
                <w:sz w:val="21"/>
              </w:rPr>
              <w:t>人以上重伤</w:t>
            </w:r>
          </w:p>
        </w:tc>
        <w:tc>
          <w:tcPr>
            <w:tcW w:w="1420"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5000 </w:t>
            </w:r>
            <w:r>
              <w:rPr>
                <w:rFonts w:asciiTheme="minorHAnsi" w:eastAsiaTheme="minorEastAsia" w:hAnsiTheme="minorHAnsi" w:cstheme="minorBidi" w:hint="eastAsia"/>
                <w:sz w:val="21"/>
              </w:rPr>
              <w:t>以上</w:t>
            </w:r>
          </w:p>
        </w:tc>
        <w:tc>
          <w:tcPr>
            <w:tcW w:w="850"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企业停产</w:t>
            </w:r>
          </w:p>
        </w:tc>
        <w:tc>
          <w:tcPr>
            <w:tcW w:w="170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重大国际、国内影响</w:t>
            </w:r>
          </w:p>
        </w:tc>
      </w:tr>
      <w:tr w:rsidR="00F72E65" w:rsidTr="00FB1507">
        <w:tc>
          <w:tcPr>
            <w:tcW w:w="850"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40</w:t>
            </w:r>
          </w:p>
        </w:tc>
        <w:tc>
          <w:tcPr>
            <w:tcW w:w="187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违反法律法规和标准强制性条款</w:t>
            </w:r>
          </w:p>
        </w:tc>
        <w:tc>
          <w:tcPr>
            <w:tcW w:w="1814"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3 </w:t>
            </w:r>
            <w:r>
              <w:rPr>
                <w:rFonts w:asciiTheme="minorHAnsi" w:eastAsiaTheme="minorEastAsia" w:hAnsiTheme="minorHAnsi" w:cstheme="minorBidi" w:hint="eastAsia"/>
                <w:sz w:val="21"/>
              </w:rPr>
              <w:t>人以上</w:t>
            </w:r>
            <w:r>
              <w:rPr>
                <w:rFonts w:asciiTheme="minorHAnsi" w:eastAsiaTheme="minorEastAsia" w:hAnsiTheme="minorHAnsi" w:cstheme="minorBidi" w:hint="eastAsia"/>
                <w:sz w:val="21"/>
              </w:rPr>
              <w:t xml:space="preserve"> 10 </w:t>
            </w:r>
            <w:r>
              <w:rPr>
                <w:rFonts w:asciiTheme="minorHAnsi" w:eastAsiaTheme="minorEastAsia" w:hAnsiTheme="minorHAnsi" w:cstheme="minorBidi" w:hint="eastAsia"/>
                <w:sz w:val="21"/>
              </w:rPr>
              <w:t>人以下死亡，或</w:t>
            </w:r>
            <w:r>
              <w:rPr>
                <w:rFonts w:asciiTheme="minorHAnsi" w:eastAsiaTheme="minorEastAsia" w:hAnsiTheme="minorHAnsi" w:cstheme="minorBidi" w:hint="eastAsia"/>
                <w:sz w:val="21"/>
              </w:rPr>
              <w:t xml:space="preserve"> 10 </w:t>
            </w:r>
            <w:r>
              <w:rPr>
                <w:rFonts w:asciiTheme="minorHAnsi" w:eastAsiaTheme="minorEastAsia" w:hAnsiTheme="minorHAnsi" w:cstheme="minorBidi" w:hint="eastAsia"/>
                <w:sz w:val="21"/>
              </w:rPr>
              <w:t>人以上</w:t>
            </w:r>
            <w:r>
              <w:rPr>
                <w:rFonts w:asciiTheme="minorHAnsi" w:eastAsiaTheme="minorEastAsia" w:hAnsiTheme="minorHAnsi" w:cstheme="minorBidi" w:hint="eastAsia"/>
                <w:sz w:val="21"/>
              </w:rPr>
              <w:t xml:space="preserve"> 50 </w:t>
            </w:r>
            <w:r>
              <w:rPr>
                <w:rFonts w:asciiTheme="minorHAnsi" w:eastAsiaTheme="minorEastAsia" w:hAnsiTheme="minorHAnsi" w:cstheme="minorBidi" w:hint="eastAsia"/>
                <w:sz w:val="21"/>
              </w:rPr>
              <w:t>人以下重伤</w:t>
            </w:r>
          </w:p>
        </w:tc>
        <w:tc>
          <w:tcPr>
            <w:tcW w:w="1420"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1000 </w:t>
            </w:r>
            <w:r>
              <w:rPr>
                <w:rFonts w:asciiTheme="minorHAnsi" w:eastAsiaTheme="minorEastAsia" w:hAnsiTheme="minorHAnsi" w:cstheme="minorBidi" w:hint="eastAsia"/>
                <w:sz w:val="21"/>
              </w:rPr>
              <w:t>以上</w:t>
            </w:r>
          </w:p>
        </w:tc>
        <w:tc>
          <w:tcPr>
            <w:tcW w:w="850"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装置停工</w:t>
            </w:r>
          </w:p>
        </w:tc>
        <w:tc>
          <w:tcPr>
            <w:tcW w:w="170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行业内、省内影响</w:t>
            </w:r>
          </w:p>
        </w:tc>
      </w:tr>
      <w:tr w:rsidR="00F72E65" w:rsidTr="00FB1507">
        <w:tc>
          <w:tcPr>
            <w:tcW w:w="850"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15</w:t>
            </w:r>
          </w:p>
        </w:tc>
        <w:tc>
          <w:tcPr>
            <w:tcW w:w="187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潜在违反法规和标准强制性条款</w:t>
            </w:r>
          </w:p>
        </w:tc>
        <w:tc>
          <w:tcPr>
            <w:tcW w:w="1814"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3 </w:t>
            </w:r>
            <w:r>
              <w:rPr>
                <w:rFonts w:asciiTheme="minorHAnsi" w:eastAsiaTheme="minorEastAsia" w:hAnsiTheme="minorHAnsi" w:cstheme="minorBidi" w:hint="eastAsia"/>
                <w:sz w:val="21"/>
              </w:rPr>
              <w:t>人以下死亡，或</w:t>
            </w:r>
            <w:r>
              <w:rPr>
                <w:rFonts w:asciiTheme="minorHAnsi" w:eastAsiaTheme="minorEastAsia" w:hAnsiTheme="minorHAnsi" w:cstheme="minorBidi" w:hint="eastAsia"/>
                <w:sz w:val="21"/>
              </w:rPr>
              <w:t xml:space="preserve"> 10 </w:t>
            </w:r>
            <w:r>
              <w:rPr>
                <w:rFonts w:asciiTheme="minorHAnsi" w:eastAsiaTheme="minorEastAsia" w:hAnsiTheme="minorHAnsi" w:cstheme="minorBidi" w:hint="eastAsia"/>
                <w:sz w:val="21"/>
              </w:rPr>
              <w:t>人以下重伤</w:t>
            </w:r>
          </w:p>
        </w:tc>
        <w:tc>
          <w:tcPr>
            <w:tcW w:w="1420"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100 </w:t>
            </w:r>
            <w:r>
              <w:rPr>
                <w:rFonts w:asciiTheme="minorHAnsi" w:eastAsiaTheme="minorEastAsia" w:hAnsiTheme="minorHAnsi" w:cstheme="minorBidi" w:hint="eastAsia"/>
                <w:sz w:val="21"/>
              </w:rPr>
              <w:t>以上</w:t>
            </w:r>
          </w:p>
        </w:tc>
        <w:tc>
          <w:tcPr>
            <w:tcW w:w="850"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部分装置停工</w:t>
            </w:r>
          </w:p>
        </w:tc>
        <w:tc>
          <w:tcPr>
            <w:tcW w:w="170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地区影响</w:t>
            </w:r>
          </w:p>
        </w:tc>
      </w:tr>
      <w:tr w:rsidR="00F72E65" w:rsidTr="00FB1507">
        <w:tc>
          <w:tcPr>
            <w:tcW w:w="850"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7</w:t>
            </w:r>
          </w:p>
        </w:tc>
        <w:tc>
          <w:tcPr>
            <w:tcW w:w="187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不符合上级或行业的安全方针、制度、规定等</w:t>
            </w:r>
          </w:p>
        </w:tc>
        <w:tc>
          <w:tcPr>
            <w:tcW w:w="1814"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丧失劳动力、截肢、骨折、听力丧失、慢性病</w:t>
            </w:r>
          </w:p>
        </w:tc>
        <w:tc>
          <w:tcPr>
            <w:tcW w:w="1420"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10 </w:t>
            </w:r>
            <w:r>
              <w:rPr>
                <w:rFonts w:asciiTheme="minorHAnsi" w:eastAsiaTheme="minorEastAsia" w:hAnsiTheme="minorHAnsi" w:cstheme="minorBidi" w:hint="eastAsia"/>
                <w:sz w:val="21"/>
              </w:rPr>
              <w:t>万以上</w:t>
            </w:r>
          </w:p>
        </w:tc>
        <w:tc>
          <w:tcPr>
            <w:tcW w:w="850"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部分设备停工</w:t>
            </w:r>
          </w:p>
        </w:tc>
        <w:tc>
          <w:tcPr>
            <w:tcW w:w="170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企业及周边范围</w:t>
            </w:r>
          </w:p>
        </w:tc>
      </w:tr>
      <w:tr w:rsidR="00F72E65" w:rsidTr="00FB1507">
        <w:tc>
          <w:tcPr>
            <w:tcW w:w="850"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2</w:t>
            </w:r>
          </w:p>
        </w:tc>
        <w:tc>
          <w:tcPr>
            <w:tcW w:w="187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不符合企业的安全操作程序、规定</w:t>
            </w:r>
          </w:p>
        </w:tc>
        <w:tc>
          <w:tcPr>
            <w:tcW w:w="1814"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轻微受伤、间歇不舒服</w:t>
            </w:r>
          </w:p>
        </w:tc>
        <w:tc>
          <w:tcPr>
            <w:tcW w:w="1420"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1 </w:t>
            </w:r>
            <w:r>
              <w:rPr>
                <w:rFonts w:asciiTheme="minorHAnsi" w:eastAsiaTheme="minorEastAsia" w:hAnsiTheme="minorHAnsi" w:cstheme="minorBidi" w:hint="eastAsia"/>
                <w:sz w:val="21"/>
              </w:rPr>
              <w:t>万以上</w:t>
            </w:r>
          </w:p>
        </w:tc>
        <w:tc>
          <w:tcPr>
            <w:tcW w:w="850"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1 </w:t>
            </w:r>
            <w:r>
              <w:rPr>
                <w:rFonts w:asciiTheme="minorHAnsi" w:eastAsiaTheme="minorEastAsia" w:hAnsiTheme="minorHAnsi" w:cstheme="minorBidi" w:hint="eastAsia"/>
                <w:sz w:val="21"/>
              </w:rPr>
              <w:t>套设备停工</w:t>
            </w:r>
          </w:p>
        </w:tc>
        <w:tc>
          <w:tcPr>
            <w:tcW w:w="170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引人关注，</w:t>
            </w:r>
            <w:r>
              <w:rPr>
                <w:rFonts w:asciiTheme="minorHAnsi" w:eastAsiaTheme="minorEastAsia" w:hAnsiTheme="minorHAnsi" w:cstheme="minorBidi" w:hint="eastAsia"/>
                <w:sz w:val="21"/>
              </w:rPr>
              <w:t xml:space="preserve"> </w:t>
            </w:r>
            <w:r>
              <w:rPr>
                <w:rFonts w:asciiTheme="minorHAnsi" w:eastAsiaTheme="minorEastAsia" w:hAnsiTheme="minorHAnsi" w:cstheme="minorBidi" w:hint="eastAsia"/>
                <w:sz w:val="21"/>
              </w:rPr>
              <w:t>不利于基本的安</w:t>
            </w:r>
          </w:p>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全卫生要求</w:t>
            </w:r>
          </w:p>
        </w:tc>
      </w:tr>
      <w:tr w:rsidR="00F72E65" w:rsidTr="00FB1507">
        <w:tc>
          <w:tcPr>
            <w:tcW w:w="850"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1</w:t>
            </w:r>
          </w:p>
        </w:tc>
        <w:tc>
          <w:tcPr>
            <w:tcW w:w="187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完全符合</w:t>
            </w:r>
          </w:p>
        </w:tc>
        <w:tc>
          <w:tcPr>
            <w:tcW w:w="1814"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无伤亡</w:t>
            </w:r>
          </w:p>
        </w:tc>
        <w:tc>
          <w:tcPr>
            <w:tcW w:w="1420"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1 </w:t>
            </w:r>
            <w:r>
              <w:rPr>
                <w:rFonts w:asciiTheme="minorHAnsi" w:eastAsiaTheme="minorEastAsia" w:hAnsiTheme="minorHAnsi" w:cstheme="minorBidi" w:hint="eastAsia"/>
                <w:sz w:val="21"/>
              </w:rPr>
              <w:t>万以下</w:t>
            </w:r>
          </w:p>
        </w:tc>
        <w:tc>
          <w:tcPr>
            <w:tcW w:w="850"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没有停工</w:t>
            </w:r>
          </w:p>
        </w:tc>
        <w:tc>
          <w:tcPr>
            <w:tcW w:w="170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形象没有受损</w:t>
            </w:r>
          </w:p>
        </w:tc>
      </w:tr>
    </w:tbl>
    <w:p w:rsidR="00F72E65" w:rsidRDefault="00F72E65" w:rsidP="00F72E65">
      <w:pPr>
        <w:pStyle w:val="a0"/>
        <w:ind w:firstLineChars="0" w:firstLine="0"/>
        <w:rPr>
          <w:lang w:val="zh-CN"/>
        </w:rPr>
      </w:pPr>
    </w:p>
    <w:p w:rsidR="00F72E65" w:rsidRDefault="00F72E65" w:rsidP="00F72E65">
      <w:pPr>
        <w:autoSpaceDE w:val="0"/>
        <w:autoSpaceDN w:val="0"/>
        <w:spacing w:before="67"/>
        <w:ind w:right="1522" w:firstLineChars="0" w:firstLine="0"/>
        <w:jc w:val="center"/>
        <w:rPr>
          <w:sz w:val="29"/>
        </w:rPr>
      </w:pPr>
      <w:r>
        <w:rPr>
          <w:rFonts w:ascii="宋体" w:hAnsi="宋体" w:cs="宋体" w:hint="eastAsia"/>
          <w:b/>
          <w:kern w:val="0"/>
          <w:sz w:val="24"/>
          <w:szCs w:val="22"/>
          <w:lang w:bidi="zh-CN"/>
        </w:rPr>
        <w:t xml:space="preserve">      </w:t>
      </w:r>
      <w:r>
        <w:rPr>
          <w:rFonts w:ascii="宋体" w:hAnsi="宋体" w:cs="宋体"/>
          <w:b/>
          <w:kern w:val="0"/>
          <w:sz w:val="24"/>
          <w:szCs w:val="22"/>
          <w:lang w:val="zh-CN" w:bidi="zh-CN"/>
        </w:rPr>
        <w:t xml:space="preserve">表 </w:t>
      </w:r>
      <w:r>
        <w:rPr>
          <w:rFonts w:ascii="宋体" w:hAnsi="宋体" w:cs="宋体" w:hint="eastAsia"/>
          <w:b/>
          <w:kern w:val="0"/>
          <w:sz w:val="24"/>
          <w:szCs w:val="22"/>
          <w:lang w:bidi="zh-CN"/>
        </w:rPr>
        <w:t>A</w:t>
      </w:r>
      <w:r>
        <w:rPr>
          <w:rFonts w:ascii="宋体" w:hAnsi="宋体" w:cs="宋体"/>
          <w:b/>
          <w:kern w:val="0"/>
          <w:sz w:val="24"/>
          <w:szCs w:val="22"/>
          <w:lang w:val="zh-CN" w:bidi="zh-CN"/>
        </w:rPr>
        <w:t>3.4 风险等级判定准则及控制措施（D）</w:t>
      </w:r>
    </w:p>
    <w:tbl>
      <w:tblPr>
        <w:tblStyle w:val="a6"/>
        <w:tblW w:w="0" w:type="auto"/>
        <w:tblBorders>
          <w:top w:val="single" w:sz="18" w:space="0" w:color="auto"/>
          <w:left w:val="single" w:sz="18" w:space="0" w:color="auto"/>
          <w:bottom w:val="single" w:sz="18" w:space="0" w:color="auto"/>
          <w:right w:val="single" w:sz="18" w:space="0" w:color="auto"/>
        </w:tblBorders>
        <w:tblLook w:val="04A0"/>
      </w:tblPr>
      <w:tblGrid>
        <w:gridCol w:w="1417"/>
        <w:gridCol w:w="1417"/>
        <w:gridCol w:w="1417"/>
        <w:gridCol w:w="4182"/>
      </w:tblGrid>
      <w:tr w:rsidR="00F72E65" w:rsidTr="00FB1507">
        <w:tc>
          <w:tcPr>
            <w:tcW w:w="1417"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b/>
                <w:bCs/>
                <w:sz w:val="21"/>
              </w:rPr>
              <w:t>风险值</w:t>
            </w:r>
          </w:p>
        </w:tc>
        <w:tc>
          <w:tcPr>
            <w:tcW w:w="2834" w:type="dxa"/>
            <w:gridSpan w:val="2"/>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b/>
                <w:bCs/>
                <w:sz w:val="21"/>
              </w:rPr>
              <w:t>风险等级</w:t>
            </w:r>
          </w:p>
        </w:tc>
        <w:tc>
          <w:tcPr>
            <w:tcW w:w="4182"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b/>
                <w:bCs/>
                <w:sz w:val="21"/>
              </w:rPr>
              <w:t>危险程度</w:t>
            </w:r>
          </w:p>
        </w:tc>
      </w:tr>
      <w:tr w:rsidR="00F72E65" w:rsidTr="00FB1507">
        <w:tc>
          <w:tcPr>
            <w:tcW w:w="1417" w:type="dxa"/>
            <w:tcBorders>
              <w:tl2br w:val="nil"/>
              <w:tr2bl w:val="nil"/>
            </w:tcBorders>
            <w:shd w:val="clear" w:color="auto" w:fill="FF0000"/>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&gt;320</w:t>
            </w:r>
          </w:p>
        </w:tc>
        <w:tc>
          <w:tcPr>
            <w:tcW w:w="1417"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 xml:space="preserve">A/1 </w:t>
            </w:r>
            <w:r>
              <w:rPr>
                <w:rFonts w:asciiTheme="minorHAnsi" w:eastAsiaTheme="minorEastAsia" w:hAnsiTheme="minorHAnsi" w:cstheme="minorBidi"/>
                <w:sz w:val="21"/>
              </w:rPr>
              <w:t>级</w:t>
            </w:r>
          </w:p>
        </w:tc>
        <w:tc>
          <w:tcPr>
            <w:tcW w:w="1417"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重大风险</w:t>
            </w:r>
          </w:p>
        </w:tc>
        <w:tc>
          <w:tcPr>
            <w:tcW w:w="4182"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极其危险，</w:t>
            </w:r>
            <w:r>
              <w:rPr>
                <w:rFonts w:asciiTheme="minorHAnsi" w:eastAsiaTheme="minorEastAsia" w:hAnsiTheme="minorHAnsi" w:cstheme="minorBidi"/>
                <w:sz w:val="21"/>
              </w:rPr>
              <w:t xml:space="preserve"> </w:t>
            </w:r>
            <w:r>
              <w:rPr>
                <w:rFonts w:asciiTheme="minorHAnsi" w:eastAsiaTheme="minorEastAsia" w:hAnsiTheme="minorHAnsi" w:cstheme="minorBidi"/>
                <w:sz w:val="21"/>
              </w:rPr>
              <w:t>不能继续作业</w:t>
            </w:r>
          </w:p>
        </w:tc>
      </w:tr>
      <w:tr w:rsidR="00F72E65" w:rsidTr="00FB1507">
        <w:tc>
          <w:tcPr>
            <w:tcW w:w="1417" w:type="dxa"/>
            <w:tcBorders>
              <w:tl2br w:val="nil"/>
              <w:tr2bl w:val="nil"/>
            </w:tcBorders>
            <w:shd w:val="clear" w:color="auto" w:fill="FFC000"/>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160</w:t>
            </w:r>
            <w:r>
              <w:rPr>
                <w:rFonts w:asciiTheme="minorHAnsi" w:eastAsiaTheme="minorEastAsia" w:hAnsiTheme="minorHAnsi" w:cstheme="minorBidi"/>
                <w:sz w:val="21"/>
              </w:rPr>
              <w:t>～</w:t>
            </w:r>
            <w:r>
              <w:rPr>
                <w:rFonts w:asciiTheme="minorHAnsi" w:eastAsiaTheme="minorEastAsia" w:hAnsiTheme="minorHAnsi" w:cstheme="minorBidi"/>
                <w:sz w:val="21"/>
              </w:rPr>
              <w:t>320</w:t>
            </w:r>
          </w:p>
        </w:tc>
        <w:tc>
          <w:tcPr>
            <w:tcW w:w="1417"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 xml:space="preserve">B/2 </w:t>
            </w:r>
            <w:r>
              <w:rPr>
                <w:rFonts w:asciiTheme="minorHAnsi" w:eastAsiaTheme="minorEastAsia" w:hAnsiTheme="minorHAnsi" w:cstheme="minorBidi"/>
                <w:sz w:val="21"/>
              </w:rPr>
              <w:t>级</w:t>
            </w:r>
          </w:p>
        </w:tc>
        <w:tc>
          <w:tcPr>
            <w:tcW w:w="1417"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较大危险</w:t>
            </w:r>
          </w:p>
        </w:tc>
        <w:tc>
          <w:tcPr>
            <w:tcW w:w="4182"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高度危险，</w:t>
            </w:r>
            <w:r>
              <w:rPr>
                <w:rFonts w:asciiTheme="minorHAnsi" w:eastAsiaTheme="minorEastAsia" w:hAnsiTheme="minorHAnsi" w:cstheme="minorBidi"/>
                <w:sz w:val="21"/>
              </w:rPr>
              <w:t xml:space="preserve"> </w:t>
            </w:r>
            <w:r>
              <w:rPr>
                <w:rFonts w:asciiTheme="minorHAnsi" w:eastAsiaTheme="minorEastAsia" w:hAnsiTheme="minorHAnsi" w:cstheme="minorBidi"/>
                <w:sz w:val="21"/>
              </w:rPr>
              <w:t>要立即整改</w:t>
            </w:r>
          </w:p>
        </w:tc>
      </w:tr>
      <w:tr w:rsidR="00F72E65" w:rsidTr="00FB1507">
        <w:trPr>
          <w:trHeight w:val="288"/>
        </w:trPr>
        <w:tc>
          <w:tcPr>
            <w:tcW w:w="1417" w:type="dxa"/>
            <w:tcBorders>
              <w:tl2br w:val="nil"/>
              <w:tr2bl w:val="nil"/>
            </w:tcBorders>
            <w:shd w:val="clear" w:color="auto" w:fill="FFFF00"/>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70</w:t>
            </w:r>
            <w:r>
              <w:rPr>
                <w:rFonts w:asciiTheme="minorHAnsi" w:eastAsiaTheme="minorEastAsia" w:hAnsiTheme="minorHAnsi" w:cstheme="minorBidi"/>
                <w:sz w:val="21"/>
              </w:rPr>
              <w:t>～</w:t>
            </w:r>
            <w:r>
              <w:rPr>
                <w:rFonts w:asciiTheme="minorHAnsi" w:eastAsiaTheme="minorEastAsia" w:hAnsiTheme="minorHAnsi" w:cstheme="minorBidi"/>
                <w:sz w:val="21"/>
              </w:rPr>
              <w:t>160</w:t>
            </w:r>
          </w:p>
        </w:tc>
        <w:tc>
          <w:tcPr>
            <w:tcW w:w="1417"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 xml:space="preserve">C/3 </w:t>
            </w:r>
            <w:r>
              <w:rPr>
                <w:rFonts w:asciiTheme="minorHAnsi" w:eastAsiaTheme="minorEastAsia" w:hAnsiTheme="minorHAnsi" w:cstheme="minorBidi"/>
                <w:sz w:val="21"/>
              </w:rPr>
              <w:t>级</w:t>
            </w:r>
          </w:p>
        </w:tc>
        <w:tc>
          <w:tcPr>
            <w:tcW w:w="1417"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一般风险</w:t>
            </w:r>
          </w:p>
        </w:tc>
        <w:tc>
          <w:tcPr>
            <w:tcW w:w="4182"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显著危险，</w:t>
            </w:r>
            <w:r>
              <w:rPr>
                <w:rFonts w:asciiTheme="minorHAnsi" w:eastAsiaTheme="minorEastAsia" w:hAnsiTheme="minorHAnsi" w:cstheme="minorBidi"/>
                <w:sz w:val="21"/>
              </w:rPr>
              <w:t xml:space="preserve"> </w:t>
            </w:r>
            <w:r>
              <w:rPr>
                <w:rFonts w:asciiTheme="minorHAnsi" w:eastAsiaTheme="minorEastAsia" w:hAnsiTheme="minorHAnsi" w:cstheme="minorBidi"/>
                <w:sz w:val="21"/>
              </w:rPr>
              <w:t>需要整改</w:t>
            </w:r>
          </w:p>
        </w:tc>
      </w:tr>
      <w:tr w:rsidR="00F72E65" w:rsidTr="00FB1507">
        <w:tc>
          <w:tcPr>
            <w:tcW w:w="1417" w:type="dxa"/>
            <w:tcBorders>
              <w:tl2br w:val="nil"/>
              <w:tr2bl w:val="nil"/>
            </w:tcBorders>
            <w:shd w:val="clear" w:color="auto" w:fill="00B0F0"/>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20</w:t>
            </w:r>
            <w:r>
              <w:rPr>
                <w:rFonts w:asciiTheme="minorHAnsi" w:eastAsiaTheme="minorEastAsia" w:hAnsiTheme="minorHAnsi" w:cstheme="minorBidi"/>
                <w:sz w:val="21"/>
              </w:rPr>
              <w:t>～</w:t>
            </w:r>
            <w:r>
              <w:rPr>
                <w:rFonts w:asciiTheme="minorHAnsi" w:eastAsiaTheme="minorEastAsia" w:hAnsiTheme="minorHAnsi" w:cstheme="minorBidi"/>
                <w:sz w:val="21"/>
              </w:rPr>
              <w:t>70</w:t>
            </w:r>
          </w:p>
        </w:tc>
        <w:tc>
          <w:tcPr>
            <w:tcW w:w="1417"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 xml:space="preserve">D/4 </w:t>
            </w:r>
            <w:r>
              <w:rPr>
                <w:rFonts w:asciiTheme="minorHAnsi" w:eastAsiaTheme="minorEastAsia" w:hAnsiTheme="minorHAnsi" w:cstheme="minorBidi"/>
                <w:sz w:val="21"/>
              </w:rPr>
              <w:t>级</w:t>
            </w:r>
          </w:p>
        </w:tc>
        <w:tc>
          <w:tcPr>
            <w:tcW w:w="1417"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低风险</w:t>
            </w:r>
          </w:p>
        </w:tc>
        <w:tc>
          <w:tcPr>
            <w:tcW w:w="4182"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一般危险，</w:t>
            </w:r>
            <w:r>
              <w:rPr>
                <w:rFonts w:asciiTheme="minorHAnsi" w:eastAsiaTheme="minorEastAsia" w:hAnsiTheme="minorHAnsi" w:cstheme="minorBidi"/>
                <w:sz w:val="21"/>
              </w:rPr>
              <w:t xml:space="preserve"> </w:t>
            </w:r>
            <w:r>
              <w:rPr>
                <w:rFonts w:asciiTheme="minorHAnsi" w:eastAsiaTheme="minorEastAsia" w:hAnsiTheme="minorHAnsi" w:cstheme="minorBidi"/>
                <w:sz w:val="21"/>
              </w:rPr>
              <w:t>需要注意</w:t>
            </w:r>
          </w:p>
        </w:tc>
      </w:tr>
      <w:tr w:rsidR="00F72E65" w:rsidTr="00FB1507">
        <w:tc>
          <w:tcPr>
            <w:tcW w:w="1417" w:type="dxa"/>
            <w:tcBorders>
              <w:tl2br w:val="nil"/>
              <w:tr2bl w:val="nil"/>
            </w:tcBorders>
            <w:shd w:val="clear" w:color="auto" w:fill="00B0F0"/>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&lt;20</w:t>
            </w:r>
          </w:p>
        </w:tc>
        <w:tc>
          <w:tcPr>
            <w:tcW w:w="1417"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 xml:space="preserve">E/5 </w:t>
            </w:r>
            <w:r>
              <w:rPr>
                <w:rFonts w:asciiTheme="minorHAnsi" w:eastAsiaTheme="minorEastAsia" w:hAnsiTheme="minorHAnsi" w:cstheme="minorBidi"/>
                <w:sz w:val="21"/>
              </w:rPr>
              <w:t>级</w:t>
            </w:r>
          </w:p>
        </w:tc>
        <w:tc>
          <w:tcPr>
            <w:tcW w:w="1417"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低风险</w:t>
            </w:r>
          </w:p>
        </w:tc>
        <w:tc>
          <w:tcPr>
            <w:tcW w:w="4182"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sz w:val="21"/>
              </w:rPr>
              <w:t>稍有危险，</w:t>
            </w:r>
            <w:r>
              <w:rPr>
                <w:rFonts w:asciiTheme="minorHAnsi" w:eastAsiaTheme="minorEastAsia" w:hAnsiTheme="minorHAnsi" w:cstheme="minorBidi"/>
                <w:sz w:val="21"/>
              </w:rPr>
              <w:t xml:space="preserve"> </w:t>
            </w:r>
            <w:r>
              <w:rPr>
                <w:rFonts w:asciiTheme="minorHAnsi" w:eastAsiaTheme="minorEastAsia" w:hAnsiTheme="minorHAnsi" w:cstheme="minorBidi"/>
                <w:sz w:val="21"/>
              </w:rPr>
              <w:t>需要注意</w:t>
            </w:r>
          </w:p>
        </w:tc>
      </w:tr>
    </w:tbl>
    <w:p w:rsidR="00F72E65" w:rsidRDefault="00F72E65" w:rsidP="00F72E65">
      <w:pPr>
        <w:autoSpaceDE w:val="0"/>
        <w:autoSpaceDN w:val="0"/>
        <w:ind w:firstLine="562"/>
        <w:outlineLvl w:val="3"/>
        <w:rPr>
          <w:rFonts w:ascii="宋体" w:hAnsi="宋体" w:cs="宋体"/>
          <w:b/>
          <w:kern w:val="0"/>
          <w:szCs w:val="28"/>
          <w:lang w:bidi="zh-CN"/>
        </w:rPr>
      </w:pPr>
      <w:r>
        <w:rPr>
          <w:rFonts w:ascii="宋体" w:hAnsi="宋体" w:cs="宋体" w:hint="eastAsia"/>
          <w:b/>
          <w:kern w:val="0"/>
          <w:szCs w:val="28"/>
          <w:lang w:bidi="zh-CN"/>
        </w:rPr>
        <w:t>2.事故风险评价</w:t>
      </w:r>
    </w:p>
    <w:p w:rsidR="00F72E65" w:rsidRDefault="00F72E65" w:rsidP="00F72E65">
      <w:pPr>
        <w:autoSpaceDE w:val="0"/>
        <w:autoSpaceDN w:val="0"/>
        <w:ind w:left="382" w:firstLineChars="0" w:firstLine="0"/>
        <w:jc w:val="center"/>
        <w:rPr>
          <w:lang w:val="zh-CN"/>
        </w:rPr>
      </w:pPr>
      <w:r>
        <w:rPr>
          <w:rFonts w:ascii="宋体" w:hAnsi="宋体" w:cs="宋体"/>
          <w:b/>
          <w:kern w:val="0"/>
          <w:sz w:val="24"/>
          <w:szCs w:val="22"/>
          <w:lang w:val="zh-CN" w:bidi="zh-CN"/>
        </w:rPr>
        <w:t xml:space="preserve">表 </w:t>
      </w:r>
      <w:r>
        <w:rPr>
          <w:rFonts w:ascii="宋体" w:hAnsi="宋体" w:cs="宋体" w:hint="eastAsia"/>
          <w:b/>
          <w:kern w:val="0"/>
          <w:sz w:val="24"/>
          <w:szCs w:val="22"/>
          <w:lang w:bidi="zh-CN"/>
        </w:rPr>
        <w:t>A</w:t>
      </w:r>
      <w:r>
        <w:rPr>
          <w:rFonts w:ascii="宋体" w:hAnsi="宋体" w:cs="宋体"/>
          <w:b/>
          <w:kern w:val="0"/>
          <w:sz w:val="24"/>
          <w:szCs w:val="22"/>
          <w:lang w:val="zh-CN" w:bidi="zh-CN"/>
        </w:rPr>
        <w:t>3.5</w:t>
      </w:r>
      <w:r>
        <w:rPr>
          <w:rFonts w:ascii="宋体" w:hAnsi="宋体" w:cs="宋体" w:hint="eastAsia"/>
          <w:b/>
          <w:kern w:val="0"/>
          <w:sz w:val="24"/>
          <w:szCs w:val="22"/>
          <w:lang w:bidi="zh-CN"/>
        </w:rPr>
        <w:t xml:space="preserve"> </w:t>
      </w:r>
      <w:r>
        <w:rPr>
          <w:rFonts w:ascii="宋体" w:hAnsi="宋体" w:cs="宋体"/>
          <w:b/>
          <w:kern w:val="0"/>
          <w:sz w:val="24"/>
          <w:szCs w:val="22"/>
          <w:lang w:val="zh-CN" w:bidi="zh-CN"/>
        </w:rPr>
        <w:t>LEC风险评估表</w:t>
      </w:r>
    </w:p>
    <w:tbl>
      <w:tblPr>
        <w:tblStyle w:val="a6"/>
        <w:tblW w:w="8418" w:type="dxa"/>
        <w:tblBorders>
          <w:top w:val="single" w:sz="18" w:space="0" w:color="auto"/>
          <w:left w:val="single" w:sz="18" w:space="0" w:color="auto"/>
          <w:bottom w:val="single" w:sz="18" w:space="0" w:color="auto"/>
          <w:right w:val="single" w:sz="18" w:space="0" w:color="auto"/>
        </w:tblBorders>
        <w:tblLook w:val="04A0"/>
      </w:tblPr>
      <w:tblGrid>
        <w:gridCol w:w="824"/>
        <w:gridCol w:w="1129"/>
        <w:gridCol w:w="2530"/>
        <w:gridCol w:w="1105"/>
        <w:gridCol w:w="431"/>
        <w:gridCol w:w="431"/>
        <w:gridCol w:w="431"/>
        <w:gridCol w:w="431"/>
        <w:gridCol w:w="1106"/>
      </w:tblGrid>
      <w:tr w:rsidR="00F72E65" w:rsidTr="00FB1507">
        <w:tc>
          <w:tcPr>
            <w:tcW w:w="824"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hint="eastAsia"/>
                <w:b/>
                <w:bCs/>
                <w:sz w:val="21"/>
              </w:rPr>
              <w:t>事故类型</w:t>
            </w:r>
          </w:p>
        </w:tc>
        <w:tc>
          <w:tcPr>
            <w:tcW w:w="1129"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hint="eastAsia"/>
                <w:b/>
                <w:bCs/>
                <w:sz w:val="21"/>
              </w:rPr>
              <w:t>可能发生事故区域</w:t>
            </w:r>
          </w:p>
        </w:tc>
        <w:tc>
          <w:tcPr>
            <w:tcW w:w="2530"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hint="eastAsia"/>
                <w:b/>
                <w:bCs/>
                <w:sz w:val="21"/>
              </w:rPr>
              <w:t>事故原因</w:t>
            </w:r>
          </w:p>
        </w:tc>
        <w:tc>
          <w:tcPr>
            <w:tcW w:w="1105"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hint="eastAsia"/>
                <w:b/>
                <w:bCs/>
                <w:sz w:val="21"/>
              </w:rPr>
              <w:t>事故后果</w:t>
            </w:r>
          </w:p>
        </w:tc>
        <w:tc>
          <w:tcPr>
            <w:tcW w:w="43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hint="eastAsia"/>
                <w:b/>
                <w:bCs/>
                <w:sz w:val="21"/>
              </w:rPr>
              <w:t>L</w:t>
            </w:r>
          </w:p>
        </w:tc>
        <w:tc>
          <w:tcPr>
            <w:tcW w:w="43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hint="eastAsia"/>
                <w:b/>
                <w:bCs/>
                <w:sz w:val="21"/>
              </w:rPr>
              <w:t>E</w:t>
            </w:r>
          </w:p>
        </w:tc>
        <w:tc>
          <w:tcPr>
            <w:tcW w:w="43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hint="eastAsia"/>
                <w:b/>
                <w:bCs/>
                <w:sz w:val="21"/>
              </w:rPr>
              <w:t>C</w:t>
            </w:r>
          </w:p>
        </w:tc>
        <w:tc>
          <w:tcPr>
            <w:tcW w:w="43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hint="eastAsia"/>
                <w:b/>
                <w:bCs/>
                <w:sz w:val="21"/>
              </w:rPr>
              <w:t>D</w:t>
            </w:r>
          </w:p>
        </w:tc>
        <w:tc>
          <w:tcPr>
            <w:tcW w:w="1106"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hint="eastAsia"/>
                <w:b/>
                <w:bCs/>
                <w:sz w:val="21"/>
              </w:rPr>
              <w:t>风险级别</w:t>
            </w:r>
          </w:p>
        </w:tc>
      </w:tr>
      <w:tr w:rsidR="00F72E65" w:rsidTr="00FB1507">
        <w:tc>
          <w:tcPr>
            <w:tcW w:w="824"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火灾爆炸</w:t>
            </w:r>
          </w:p>
        </w:tc>
        <w:tc>
          <w:tcPr>
            <w:tcW w:w="1129"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加油区、卸油区、储罐区</w:t>
            </w:r>
          </w:p>
        </w:tc>
        <w:tc>
          <w:tcPr>
            <w:tcW w:w="2530"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加油区、卸油区、储罐区发生油品泄漏；且上述区域存在有明火或因静电产生火花</w:t>
            </w:r>
          </w:p>
        </w:tc>
        <w:tc>
          <w:tcPr>
            <w:tcW w:w="1105"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人员伤亡、财产损失</w:t>
            </w:r>
          </w:p>
        </w:tc>
        <w:tc>
          <w:tcPr>
            <w:tcW w:w="43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3</w:t>
            </w:r>
          </w:p>
        </w:tc>
        <w:tc>
          <w:tcPr>
            <w:tcW w:w="43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6</w:t>
            </w:r>
          </w:p>
        </w:tc>
        <w:tc>
          <w:tcPr>
            <w:tcW w:w="43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3</w:t>
            </w:r>
          </w:p>
        </w:tc>
        <w:tc>
          <w:tcPr>
            <w:tcW w:w="43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72</w:t>
            </w:r>
          </w:p>
        </w:tc>
        <w:tc>
          <w:tcPr>
            <w:tcW w:w="1106"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3 </w:t>
            </w:r>
            <w:r>
              <w:rPr>
                <w:rFonts w:asciiTheme="minorHAnsi" w:eastAsiaTheme="minorEastAsia" w:hAnsiTheme="minorHAnsi" w:cstheme="minorBidi" w:hint="eastAsia"/>
                <w:sz w:val="21"/>
              </w:rPr>
              <w:t>级，一般风险</w:t>
            </w:r>
          </w:p>
        </w:tc>
      </w:tr>
      <w:tr w:rsidR="00F72E65" w:rsidTr="00FB1507">
        <w:tc>
          <w:tcPr>
            <w:tcW w:w="824"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电气火灾</w:t>
            </w:r>
          </w:p>
        </w:tc>
        <w:tc>
          <w:tcPr>
            <w:tcW w:w="1129"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发配电房等涉及用电设备的各类场所</w:t>
            </w:r>
          </w:p>
        </w:tc>
        <w:tc>
          <w:tcPr>
            <w:tcW w:w="2530"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电器设备或电气线路老化，发生短路会引起电气火灾事故</w:t>
            </w:r>
          </w:p>
        </w:tc>
        <w:tc>
          <w:tcPr>
            <w:tcW w:w="1105"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设备损坏，财产损失，</w:t>
            </w:r>
            <w:r>
              <w:rPr>
                <w:rFonts w:asciiTheme="minorHAnsi" w:eastAsiaTheme="minorEastAsia" w:hAnsiTheme="minorHAnsi" w:cstheme="minorBidi" w:hint="eastAsia"/>
                <w:sz w:val="21"/>
              </w:rPr>
              <w:t xml:space="preserve"> </w:t>
            </w:r>
            <w:r>
              <w:rPr>
                <w:rFonts w:asciiTheme="minorHAnsi" w:eastAsiaTheme="minorEastAsia" w:hAnsiTheme="minorHAnsi" w:cstheme="minorBidi" w:hint="eastAsia"/>
                <w:sz w:val="21"/>
              </w:rPr>
              <w:t>甚至人员伤亡</w:t>
            </w:r>
          </w:p>
        </w:tc>
        <w:tc>
          <w:tcPr>
            <w:tcW w:w="43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1</w:t>
            </w:r>
          </w:p>
        </w:tc>
        <w:tc>
          <w:tcPr>
            <w:tcW w:w="43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10</w:t>
            </w:r>
          </w:p>
        </w:tc>
        <w:tc>
          <w:tcPr>
            <w:tcW w:w="43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3</w:t>
            </w:r>
          </w:p>
        </w:tc>
        <w:tc>
          <w:tcPr>
            <w:tcW w:w="43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30</w:t>
            </w:r>
          </w:p>
        </w:tc>
        <w:tc>
          <w:tcPr>
            <w:tcW w:w="1106"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4 </w:t>
            </w:r>
            <w:r>
              <w:rPr>
                <w:rFonts w:asciiTheme="minorHAnsi" w:eastAsiaTheme="minorEastAsia" w:hAnsiTheme="minorHAnsi" w:cstheme="minorBidi" w:hint="eastAsia"/>
                <w:sz w:val="21"/>
              </w:rPr>
              <w:t>级，低风险</w:t>
            </w:r>
          </w:p>
        </w:tc>
      </w:tr>
      <w:tr w:rsidR="00F72E65" w:rsidTr="00FB1507">
        <w:tc>
          <w:tcPr>
            <w:tcW w:w="824"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普通火灾</w:t>
            </w:r>
          </w:p>
        </w:tc>
        <w:tc>
          <w:tcPr>
            <w:tcW w:w="1129"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站房及辅助用房</w:t>
            </w:r>
          </w:p>
        </w:tc>
        <w:tc>
          <w:tcPr>
            <w:tcW w:w="2530"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可燃物、助燃物与点火源相互作用时则可能发生火灾</w:t>
            </w:r>
          </w:p>
        </w:tc>
        <w:tc>
          <w:tcPr>
            <w:tcW w:w="1105"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设备坏，财产失，甚至人员伤亡</w:t>
            </w:r>
          </w:p>
        </w:tc>
        <w:tc>
          <w:tcPr>
            <w:tcW w:w="43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1</w:t>
            </w:r>
          </w:p>
        </w:tc>
        <w:tc>
          <w:tcPr>
            <w:tcW w:w="43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10</w:t>
            </w:r>
          </w:p>
        </w:tc>
        <w:tc>
          <w:tcPr>
            <w:tcW w:w="43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3</w:t>
            </w:r>
          </w:p>
        </w:tc>
        <w:tc>
          <w:tcPr>
            <w:tcW w:w="43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30</w:t>
            </w:r>
          </w:p>
        </w:tc>
        <w:tc>
          <w:tcPr>
            <w:tcW w:w="1106"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4 </w:t>
            </w:r>
            <w:r>
              <w:rPr>
                <w:rFonts w:asciiTheme="minorHAnsi" w:eastAsiaTheme="minorEastAsia" w:hAnsiTheme="minorHAnsi" w:cstheme="minorBidi" w:hint="eastAsia"/>
                <w:sz w:val="21"/>
              </w:rPr>
              <w:t>级，</w:t>
            </w:r>
            <w:r>
              <w:rPr>
                <w:rFonts w:asciiTheme="minorHAnsi" w:eastAsiaTheme="minorEastAsia" w:hAnsiTheme="minorHAnsi" w:cstheme="minorBidi" w:hint="eastAsia"/>
                <w:sz w:val="21"/>
              </w:rPr>
              <w:t xml:space="preserve"> </w:t>
            </w:r>
            <w:r>
              <w:rPr>
                <w:rFonts w:asciiTheme="minorHAnsi" w:eastAsiaTheme="minorEastAsia" w:hAnsiTheme="minorHAnsi" w:cstheme="minorBidi" w:hint="eastAsia"/>
                <w:sz w:val="21"/>
              </w:rPr>
              <w:t>低风险</w:t>
            </w:r>
          </w:p>
        </w:tc>
      </w:tr>
      <w:tr w:rsidR="00F72E65" w:rsidTr="00FB1507">
        <w:tc>
          <w:tcPr>
            <w:tcW w:w="824"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高处坠落</w:t>
            </w:r>
          </w:p>
        </w:tc>
        <w:tc>
          <w:tcPr>
            <w:tcW w:w="1129"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加油罩棚</w:t>
            </w:r>
          </w:p>
        </w:tc>
        <w:tc>
          <w:tcPr>
            <w:tcW w:w="2530"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加油亭上面设备检维修时，人员违反操作规程作业；</w:t>
            </w:r>
            <w:r>
              <w:rPr>
                <w:rFonts w:asciiTheme="minorHAnsi" w:eastAsiaTheme="minorEastAsia" w:hAnsiTheme="minorHAnsi" w:cstheme="minorBidi" w:hint="eastAsia"/>
                <w:sz w:val="21"/>
              </w:rPr>
              <w:t xml:space="preserve"> </w:t>
            </w:r>
            <w:r>
              <w:rPr>
                <w:rFonts w:asciiTheme="minorHAnsi" w:eastAsiaTheme="minorEastAsia" w:hAnsiTheme="minorHAnsi" w:cstheme="minorBidi" w:hint="eastAsia"/>
                <w:sz w:val="21"/>
              </w:rPr>
              <w:t>未佩戴安全装备作业；作业人员疏忽大意</w:t>
            </w:r>
          </w:p>
        </w:tc>
        <w:tc>
          <w:tcPr>
            <w:tcW w:w="1105"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人员伤亡</w:t>
            </w:r>
          </w:p>
        </w:tc>
        <w:tc>
          <w:tcPr>
            <w:tcW w:w="43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3</w:t>
            </w:r>
          </w:p>
        </w:tc>
        <w:tc>
          <w:tcPr>
            <w:tcW w:w="43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3</w:t>
            </w:r>
          </w:p>
        </w:tc>
        <w:tc>
          <w:tcPr>
            <w:tcW w:w="43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3</w:t>
            </w:r>
          </w:p>
        </w:tc>
        <w:tc>
          <w:tcPr>
            <w:tcW w:w="43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27</w:t>
            </w:r>
          </w:p>
        </w:tc>
        <w:tc>
          <w:tcPr>
            <w:tcW w:w="1106"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4 </w:t>
            </w:r>
            <w:r>
              <w:rPr>
                <w:rFonts w:asciiTheme="minorHAnsi" w:eastAsiaTheme="minorEastAsia" w:hAnsiTheme="minorHAnsi" w:cstheme="minorBidi" w:hint="eastAsia"/>
                <w:sz w:val="21"/>
              </w:rPr>
              <w:t>级，</w:t>
            </w:r>
            <w:r>
              <w:rPr>
                <w:rFonts w:asciiTheme="minorHAnsi" w:eastAsiaTheme="minorEastAsia" w:hAnsiTheme="minorHAnsi" w:cstheme="minorBidi" w:hint="eastAsia"/>
                <w:sz w:val="21"/>
              </w:rPr>
              <w:t xml:space="preserve"> </w:t>
            </w:r>
            <w:r>
              <w:rPr>
                <w:rFonts w:asciiTheme="minorHAnsi" w:eastAsiaTheme="minorEastAsia" w:hAnsiTheme="minorHAnsi" w:cstheme="minorBidi" w:hint="eastAsia"/>
                <w:sz w:val="21"/>
              </w:rPr>
              <w:t>低风险</w:t>
            </w:r>
          </w:p>
        </w:tc>
      </w:tr>
      <w:tr w:rsidR="00F72E65" w:rsidTr="00FB1507">
        <w:tc>
          <w:tcPr>
            <w:tcW w:w="824"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中毒窒息</w:t>
            </w:r>
          </w:p>
        </w:tc>
        <w:tc>
          <w:tcPr>
            <w:tcW w:w="1129"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加油区、卸油区、储罐区</w:t>
            </w:r>
          </w:p>
        </w:tc>
        <w:tc>
          <w:tcPr>
            <w:tcW w:w="2530"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汽油和柴油均具有一定毒性，</w:t>
            </w:r>
            <w:r>
              <w:rPr>
                <w:rFonts w:asciiTheme="minorHAnsi" w:eastAsiaTheme="minorEastAsia" w:hAnsiTheme="minorHAnsi" w:cstheme="minorBidi" w:hint="eastAsia"/>
                <w:sz w:val="21"/>
              </w:rPr>
              <w:t xml:space="preserve"> </w:t>
            </w:r>
            <w:r>
              <w:rPr>
                <w:rFonts w:asciiTheme="minorHAnsi" w:eastAsiaTheme="minorEastAsia" w:hAnsiTheme="minorHAnsi" w:cstheme="minorBidi" w:hint="eastAsia"/>
                <w:sz w:val="21"/>
              </w:rPr>
              <w:t>且其容易形成有毒蒸气、气体。通风条件不良，人员没有配带劳动保护用品作业，违规操作等可能引起中毒和窒息事故</w:t>
            </w:r>
          </w:p>
        </w:tc>
        <w:tc>
          <w:tcPr>
            <w:tcW w:w="1105"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人员伤亡</w:t>
            </w:r>
          </w:p>
        </w:tc>
        <w:tc>
          <w:tcPr>
            <w:tcW w:w="43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1</w:t>
            </w:r>
          </w:p>
        </w:tc>
        <w:tc>
          <w:tcPr>
            <w:tcW w:w="43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6</w:t>
            </w:r>
          </w:p>
        </w:tc>
        <w:tc>
          <w:tcPr>
            <w:tcW w:w="43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3</w:t>
            </w:r>
          </w:p>
        </w:tc>
        <w:tc>
          <w:tcPr>
            <w:tcW w:w="43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18</w:t>
            </w:r>
          </w:p>
        </w:tc>
        <w:tc>
          <w:tcPr>
            <w:tcW w:w="1106"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5 </w:t>
            </w:r>
            <w:r>
              <w:rPr>
                <w:rFonts w:asciiTheme="minorHAnsi" w:eastAsiaTheme="minorEastAsia" w:hAnsiTheme="minorHAnsi" w:cstheme="minorBidi" w:hint="eastAsia"/>
                <w:sz w:val="21"/>
              </w:rPr>
              <w:t>级，</w:t>
            </w:r>
            <w:r>
              <w:rPr>
                <w:rFonts w:asciiTheme="minorHAnsi" w:eastAsiaTheme="minorEastAsia" w:hAnsiTheme="minorHAnsi" w:cstheme="minorBidi" w:hint="eastAsia"/>
                <w:sz w:val="21"/>
              </w:rPr>
              <w:t xml:space="preserve"> </w:t>
            </w:r>
            <w:r>
              <w:rPr>
                <w:rFonts w:asciiTheme="minorHAnsi" w:eastAsiaTheme="minorEastAsia" w:hAnsiTheme="minorHAnsi" w:cstheme="minorBidi" w:hint="eastAsia"/>
                <w:sz w:val="21"/>
              </w:rPr>
              <w:t>低风险</w:t>
            </w:r>
          </w:p>
        </w:tc>
      </w:tr>
      <w:tr w:rsidR="00F72E65" w:rsidTr="00FB1507">
        <w:tc>
          <w:tcPr>
            <w:tcW w:w="824"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触电</w:t>
            </w:r>
          </w:p>
        </w:tc>
        <w:tc>
          <w:tcPr>
            <w:tcW w:w="1129"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站房、发配电房、加油操作岗位</w:t>
            </w:r>
          </w:p>
        </w:tc>
        <w:tc>
          <w:tcPr>
            <w:tcW w:w="2530"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电气设备金属外壳带电；</w:t>
            </w:r>
            <w:r>
              <w:rPr>
                <w:rFonts w:asciiTheme="minorHAnsi" w:eastAsiaTheme="minorEastAsia" w:hAnsiTheme="minorHAnsi" w:cstheme="minorBidi" w:hint="eastAsia"/>
                <w:sz w:val="21"/>
              </w:rPr>
              <w:t xml:space="preserve"> </w:t>
            </w:r>
            <w:r>
              <w:rPr>
                <w:rFonts w:asciiTheme="minorHAnsi" w:eastAsiaTheme="minorEastAsia" w:hAnsiTheme="minorHAnsi" w:cstheme="minorBidi" w:hint="eastAsia"/>
                <w:sz w:val="21"/>
              </w:rPr>
              <w:t>电气线路或电气设备绝缘性能降低、漏电；电气设备防护设施缺陷；（</w:t>
            </w:r>
            <w:r>
              <w:rPr>
                <w:rFonts w:asciiTheme="minorHAnsi" w:eastAsiaTheme="minorEastAsia" w:hAnsiTheme="minorHAnsi" w:cstheme="minorBidi" w:hint="eastAsia"/>
                <w:sz w:val="21"/>
              </w:rPr>
              <w:t>4</w:t>
            </w:r>
            <w:r>
              <w:rPr>
                <w:rFonts w:asciiTheme="minorHAnsi" w:eastAsiaTheme="minorEastAsia" w:hAnsiTheme="minorHAnsi" w:cstheme="minorBidi" w:hint="eastAsia"/>
                <w:sz w:val="21"/>
              </w:rPr>
              <w:t>）保护接地、接零不当；工具产品质量缺陷或使用不当；电工违章作业、非电工违章进行电器作业。</w:t>
            </w:r>
          </w:p>
        </w:tc>
        <w:tc>
          <w:tcPr>
            <w:tcW w:w="1105"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人员伤亡</w:t>
            </w:r>
          </w:p>
        </w:tc>
        <w:tc>
          <w:tcPr>
            <w:tcW w:w="43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1</w:t>
            </w:r>
          </w:p>
        </w:tc>
        <w:tc>
          <w:tcPr>
            <w:tcW w:w="43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6</w:t>
            </w:r>
          </w:p>
        </w:tc>
        <w:tc>
          <w:tcPr>
            <w:tcW w:w="43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3</w:t>
            </w:r>
          </w:p>
        </w:tc>
        <w:tc>
          <w:tcPr>
            <w:tcW w:w="43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18</w:t>
            </w:r>
          </w:p>
        </w:tc>
        <w:tc>
          <w:tcPr>
            <w:tcW w:w="1106"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5 </w:t>
            </w:r>
            <w:r>
              <w:rPr>
                <w:rFonts w:asciiTheme="minorHAnsi" w:eastAsiaTheme="minorEastAsia" w:hAnsiTheme="minorHAnsi" w:cstheme="minorBidi" w:hint="eastAsia"/>
                <w:sz w:val="21"/>
              </w:rPr>
              <w:t>级，</w:t>
            </w:r>
            <w:r>
              <w:rPr>
                <w:rFonts w:asciiTheme="minorHAnsi" w:eastAsiaTheme="minorEastAsia" w:hAnsiTheme="minorHAnsi" w:cstheme="minorBidi" w:hint="eastAsia"/>
                <w:sz w:val="21"/>
              </w:rPr>
              <w:t xml:space="preserve"> </w:t>
            </w:r>
            <w:r>
              <w:rPr>
                <w:rFonts w:asciiTheme="minorHAnsi" w:eastAsiaTheme="minorEastAsia" w:hAnsiTheme="minorHAnsi" w:cstheme="minorBidi" w:hint="eastAsia"/>
                <w:sz w:val="21"/>
              </w:rPr>
              <w:t>低风险</w:t>
            </w:r>
          </w:p>
        </w:tc>
      </w:tr>
      <w:tr w:rsidR="00F72E65" w:rsidTr="00FB1507">
        <w:tc>
          <w:tcPr>
            <w:tcW w:w="824"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车辆伤害</w:t>
            </w:r>
          </w:p>
        </w:tc>
        <w:tc>
          <w:tcPr>
            <w:tcW w:w="1129"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站内车道</w:t>
            </w:r>
          </w:p>
        </w:tc>
        <w:tc>
          <w:tcPr>
            <w:tcW w:w="2530"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车辆行驶过程中，因通路环境复杂、可变的因素多等原因，</w:t>
            </w:r>
            <w:r>
              <w:rPr>
                <w:rFonts w:asciiTheme="minorHAnsi" w:eastAsiaTheme="minorEastAsia" w:hAnsiTheme="minorHAnsi" w:cstheme="minorBidi" w:hint="eastAsia"/>
                <w:sz w:val="21"/>
              </w:rPr>
              <w:t xml:space="preserve"> </w:t>
            </w:r>
            <w:r>
              <w:rPr>
                <w:rFonts w:asciiTheme="minorHAnsi" w:eastAsiaTheme="minorEastAsia" w:hAnsiTheme="minorHAnsi" w:cstheme="minorBidi" w:hint="eastAsia"/>
                <w:sz w:val="21"/>
              </w:rPr>
              <w:t>驾驶员状态不佳，</w:t>
            </w:r>
            <w:r>
              <w:rPr>
                <w:rFonts w:asciiTheme="minorHAnsi" w:eastAsiaTheme="minorEastAsia" w:hAnsiTheme="minorHAnsi" w:cstheme="minorBidi" w:hint="eastAsia"/>
                <w:sz w:val="21"/>
              </w:rPr>
              <w:t xml:space="preserve"> </w:t>
            </w:r>
            <w:r>
              <w:rPr>
                <w:rFonts w:asciiTheme="minorHAnsi" w:eastAsiaTheme="minorEastAsia" w:hAnsiTheme="minorHAnsi" w:cstheme="minorBidi" w:hint="eastAsia"/>
                <w:sz w:val="21"/>
              </w:rPr>
              <w:t>操作不当等，可能发生车辆伤害事故</w:t>
            </w:r>
          </w:p>
        </w:tc>
        <w:tc>
          <w:tcPr>
            <w:tcW w:w="1105"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车辆损坏和人员伤亡</w:t>
            </w:r>
          </w:p>
        </w:tc>
        <w:tc>
          <w:tcPr>
            <w:tcW w:w="43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1</w:t>
            </w:r>
          </w:p>
        </w:tc>
        <w:tc>
          <w:tcPr>
            <w:tcW w:w="43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6</w:t>
            </w:r>
          </w:p>
        </w:tc>
        <w:tc>
          <w:tcPr>
            <w:tcW w:w="43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3</w:t>
            </w:r>
          </w:p>
        </w:tc>
        <w:tc>
          <w:tcPr>
            <w:tcW w:w="43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18</w:t>
            </w:r>
          </w:p>
        </w:tc>
        <w:tc>
          <w:tcPr>
            <w:tcW w:w="1106"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5 </w:t>
            </w:r>
            <w:r>
              <w:rPr>
                <w:rFonts w:asciiTheme="minorHAnsi" w:eastAsiaTheme="minorEastAsia" w:hAnsiTheme="minorHAnsi" w:cstheme="minorBidi" w:hint="eastAsia"/>
                <w:sz w:val="21"/>
              </w:rPr>
              <w:t>级，</w:t>
            </w:r>
            <w:r>
              <w:rPr>
                <w:rFonts w:asciiTheme="minorHAnsi" w:eastAsiaTheme="minorEastAsia" w:hAnsiTheme="minorHAnsi" w:cstheme="minorBidi" w:hint="eastAsia"/>
                <w:sz w:val="21"/>
              </w:rPr>
              <w:t xml:space="preserve"> </w:t>
            </w:r>
            <w:r>
              <w:rPr>
                <w:rFonts w:asciiTheme="minorHAnsi" w:eastAsiaTheme="minorEastAsia" w:hAnsiTheme="minorHAnsi" w:cstheme="minorBidi" w:hint="eastAsia"/>
                <w:sz w:val="21"/>
              </w:rPr>
              <w:t>低风险</w:t>
            </w:r>
          </w:p>
        </w:tc>
      </w:tr>
    </w:tbl>
    <w:p w:rsidR="00F72E65" w:rsidRDefault="00F72E65" w:rsidP="00F72E65">
      <w:pPr>
        <w:pStyle w:val="a0"/>
        <w:ind w:firstLineChars="0" w:firstLine="0"/>
        <w:rPr>
          <w:sz w:val="29"/>
        </w:rPr>
        <w:sectPr w:rsidR="00F72E65">
          <w:type w:val="continuous"/>
          <w:pgSz w:w="11910" w:h="16840"/>
          <w:pgMar w:top="1440" w:right="1803" w:bottom="1440" w:left="1803" w:header="1050" w:footer="1041" w:gutter="0"/>
          <w:cols w:space="720"/>
        </w:sectPr>
      </w:pPr>
    </w:p>
    <w:p w:rsidR="00F72E65" w:rsidRDefault="00F72E65" w:rsidP="00F72E65">
      <w:pPr>
        <w:pStyle w:val="2"/>
      </w:pPr>
      <w:bookmarkStart w:id="77" w:name="_bookmark180"/>
      <w:bookmarkStart w:id="78" w:name="3.2事故风险评价"/>
      <w:bookmarkStart w:id="79" w:name="_Toc11443"/>
      <w:bookmarkEnd w:id="77"/>
      <w:bookmarkEnd w:id="78"/>
      <w:r>
        <w:rPr>
          <w:rFonts w:hint="eastAsia"/>
        </w:rPr>
        <w:lastRenderedPageBreak/>
        <w:t>A.4</w:t>
      </w:r>
      <w:r>
        <w:rPr>
          <w:rFonts w:hint="eastAsia"/>
        </w:rPr>
        <w:t>结论建议</w:t>
      </w:r>
      <w:bookmarkEnd w:id="79"/>
    </w:p>
    <w:p w:rsidR="00F72E65" w:rsidRDefault="00F72E65" w:rsidP="00F72E65">
      <w:pPr>
        <w:pStyle w:val="3"/>
        <w:tabs>
          <w:tab w:val="left" w:pos="1268"/>
        </w:tabs>
        <w:spacing w:before="71" w:after="0"/>
        <w:ind w:firstLineChars="0" w:firstLine="0"/>
        <w:rPr>
          <w:sz w:val="28"/>
          <w:szCs w:val="28"/>
        </w:rPr>
      </w:pPr>
      <w:bookmarkStart w:id="80" w:name="4.1风险评估结论"/>
      <w:bookmarkStart w:id="81" w:name="_bookmark182"/>
      <w:bookmarkStart w:id="82" w:name="_Toc13843"/>
      <w:bookmarkEnd w:id="80"/>
      <w:bookmarkEnd w:id="81"/>
      <w:r>
        <w:rPr>
          <w:rFonts w:hint="eastAsia"/>
          <w:sz w:val="28"/>
          <w:szCs w:val="28"/>
        </w:rPr>
        <w:t>1.</w:t>
      </w:r>
      <w:r>
        <w:rPr>
          <w:sz w:val="28"/>
          <w:szCs w:val="28"/>
        </w:rPr>
        <w:t>风险评估结论</w:t>
      </w:r>
      <w:bookmarkEnd w:id="82"/>
    </w:p>
    <w:p w:rsidR="00F72E65" w:rsidRDefault="00F72E65" w:rsidP="00F72E65">
      <w:pPr>
        <w:ind w:firstLine="512"/>
      </w:pPr>
      <w:r>
        <w:rPr>
          <w:spacing w:val="-12"/>
        </w:rPr>
        <w:t>通过对</w:t>
      </w:r>
      <w:r>
        <w:rPr>
          <w:rFonts w:hint="eastAsia"/>
          <w:spacing w:val="-12"/>
        </w:rPr>
        <w:t>高坪长乐加油站</w:t>
      </w:r>
      <w:r>
        <w:rPr>
          <w:spacing w:val="-12"/>
        </w:rPr>
        <w:t>现有、可能、预想风险认真的辨识和分析，并采用作业条件危险性评价法进行了事故风险评估，确定了我站事故风险等</w:t>
      </w:r>
      <w:r>
        <w:rPr>
          <w:spacing w:val="-11"/>
        </w:rPr>
        <w:t>级。其风险评估结论见表</w:t>
      </w:r>
      <w:r>
        <w:rPr>
          <w:spacing w:val="-11"/>
        </w:rPr>
        <w:t xml:space="preserve"> </w:t>
      </w:r>
      <w:r>
        <w:rPr>
          <w:rFonts w:hint="eastAsia"/>
        </w:rPr>
        <w:t>A</w:t>
      </w:r>
      <w:r>
        <w:rPr>
          <w:rFonts w:eastAsia="Times New Roman"/>
        </w:rPr>
        <w:t>4.1</w:t>
      </w:r>
      <w:r>
        <w:t>。</w:t>
      </w:r>
    </w:p>
    <w:p w:rsidR="00F72E65" w:rsidRDefault="00F72E65" w:rsidP="00F72E65">
      <w:pPr>
        <w:spacing w:before="67" w:after="5"/>
        <w:ind w:left="1423" w:right="1522" w:firstLine="482"/>
        <w:jc w:val="center"/>
        <w:rPr>
          <w:b/>
          <w:sz w:val="24"/>
        </w:rPr>
      </w:pPr>
      <w:r>
        <w:rPr>
          <w:b/>
          <w:sz w:val="24"/>
        </w:rPr>
        <w:t>表</w:t>
      </w:r>
      <w:r>
        <w:rPr>
          <w:b/>
          <w:sz w:val="24"/>
        </w:rPr>
        <w:t xml:space="preserve"> </w:t>
      </w:r>
      <w:r>
        <w:rPr>
          <w:rFonts w:hint="eastAsia"/>
          <w:b/>
          <w:sz w:val="24"/>
        </w:rPr>
        <w:t>A</w:t>
      </w:r>
      <w:r>
        <w:rPr>
          <w:b/>
          <w:sz w:val="24"/>
        </w:rPr>
        <w:t xml:space="preserve">4.1 </w:t>
      </w:r>
      <w:r>
        <w:rPr>
          <w:b/>
          <w:sz w:val="24"/>
        </w:rPr>
        <w:t>风险评估结论表</w:t>
      </w:r>
    </w:p>
    <w:tbl>
      <w:tblPr>
        <w:tblStyle w:val="a6"/>
        <w:tblW w:w="8458" w:type="dxa"/>
        <w:tblBorders>
          <w:top w:val="single" w:sz="18" w:space="0" w:color="auto"/>
          <w:left w:val="single" w:sz="18" w:space="0" w:color="auto"/>
          <w:bottom w:val="single" w:sz="18" w:space="0" w:color="auto"/>
          <w:right w:val="single" w:sz="18" w:space="0" w:color="auto"/>
        </w:tblBorders>
        <w:tblLook w:val="04A0"/>
      </w:tblPr>
      <w:tblGrid>
        <w:gridCol w:w="711"/>
        <w:gridCol w:w="1292"/>
        <w:gridCol w:w="3068"/>
        <w:gridCol w:w="1593"/>
        <w:gridCol w:w="1794"/>
      </w:tblGrid>
      <w:tr w:rsidR="00F72E65" w:rsidTr="00FB1507">
        <w:trPr>
          <w:trHeight w:val="672"/>
        </w:trPr>
        <w:tc>
          <w:tcPr>
            <w:tcW w:w="71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hint="eastAsia"/>
                <w:b/>
                <w:bCs/>
                <w:sz w:val="21"/>
              </w:rPr>
              <w:t>序号</w:t>
            </w:r>
          </w:p>
        </w:tc>
        <w:tc>
          <w:tcPr>
            <w:tcW w:w="1292"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hint="eastAsia"/>
                <w:b/>
                <w:bCs/>
                <w:sz w:val="21"/>
              </w:rPr>
              <w:t>事故类型</w:t>
            </w:r>
          </w:p>
        </w:tc>
        <w:tc>
          <w:tcPr>
            <w:tcW w:w="4661" w:type="dxa"/>
            <w:gridSpan w:val="2"/>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hint="eastAsia"/>
                <w:b/>
                <w:bCs/>
                <w:sz w:val="21"/>
              </w:rPr>
              <w:t>风险等级</w:t>
            </w:r>
          </w:p>
        </w:tc>
        <w:tc>
          <w:tcPr>
            <w:tcW w:w="1794"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b/>
                <w:bCs/>
                <w:sz w:val="21"/>
              </w:rPr>
            </w:pPr>
            <w:r>
              <w:rPr>
                <w:rFonts w:asciiTheme="minorHAnsi" w:eastAsiaTheme="minorEastAsia" w:hAnsiTheme="minorHAnsi" w:cstheme="minorBidi" w:hint="eastAsia"/>
                <w:b/>
                <w:bCs/>
                <w:sz w:val="21"/>
              </w:rPr>
              <w:t>标识</w:t>
            </w:r>
          </w:p>
        </w:tc>
      </w:tr>
      <w:tr w:rsidR="00F72E65" w:rsidTr="00FB1507">
        <w:trPr>
          <w:trHeight w:val="672"/>
        </w:trPr>
        <w:tc>
          <w:tcPr>
            <w:tcW w:w="71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1</w:t>
            </w:r>
          </w:p>
        </w:tc>
        <w:tc>
          <w:tcPr>
            <w:tcW w:w="1292"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火灾爆炸</w:t>
            </w:r>
          </w:p>
        </w:tc>
        <w:tc>
          <w:tcPr>
            <w:tcW w:w="3068"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3 </w:t>
            </w:r>
            <w:r>
              <w:rPr>
                <w:rFonts w:asciiTheme="minorHAnsi" w:eastAsiaTheme="minorEastAsia" w:hAnsiTheme="minorHAnsi" w:cstheme="minorBidi" w:hint="eastAsia"/>
                <w:sz w:val="21"/>
              </w:rPr>
              <w:t>级</w:t>
            </w:r>
          </w:p>
        </w:tc>
        <w:tc>
          <w:tcPr>
            <w:tcW w:w="1593"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一般风险</w:t>
            </w:r>
          </w:p>
        </w:tc>
        <w:tc>
          <w:tcPr>
            <w:tcW w:w="1794" w:type="dxa"/>
            <w:tcBorders>
              <w:tl2br w:val="nil"/>
              <w:tr2bl w:val="nil"/>
            </w:tcBorders>
            <w:shd w:val="clear" w:color="auto" w:fill="FFFF00"/>
            <w:vAlign w:val="center"/>
          </w:tcPr>
          <w:p w:rsidR="00F72E65" w:rsidRDefault="00F72E65" w:rsidP="00FB1507">
            <w:pPr>
              <w:ind w:firstLineChars="0" w:firstLine="0"/>
              <w:jc w:val="center"/>
              <w:rPr>
                <w:rFonts w:asciiTheme="minorHAnsi" w:eastAsiaTheme="minorEastAsia" w:hAnsiTheme="minorHAnsi" w:cstheme="minorBidi"/>
                <w:sz w:val="21"/>
              </w:rPr>
            </w:pPr>
          </w:p>
        </w:tc>
      </w:tr>
      <w:tr w:rsidR="00F72E65" w:rsidTr="00FB1507">
        <w:trPr>
          <w:trHeight w:val="672"/>
        </w:trPr>
        <w:tc>
          <w:tcPr>
            <w:tcW w:w="71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2</w:t>
            </w:r>
          </w:p>
        </w:tc>
        <w:tc>
          <w:tcPr>
            <w:tcW w:w="1292"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电气火灾</w:t>
            </w:r>
          </w:p>
        </w:tc>
        <w:tc>
          <w:tcPr>
            <w:tcW w:w="3068"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4 </w:t>
            </w:r>
            <w:r>
              <w:rPr>
                <w:rFonts w:asciiTheme="minorHAnsi" w:eastAsiaTheme="minorEastAsia" w:hAnsiTheme="minorHAnsi" w:cstheme="minorBidi" w:hint="eastAsia"/>
                <w:sz w:val="21"/>
              </w:rPr>
              <w:t>级</w:t>
            </w:r>
          </w:p>
        </w:tc>
        <w:tc>
          <w:tcPr>
            <w:tcW w:w="1593"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低风险</w:t>
            </w:r>
          </w:p>
        </w:tc>
        <w:tc>
          <w:tcPr>
            <w:tcW w:w="1794" w:type="dxa"/>
            <w:tcBorders>
              <w:tl2br w:val="nil"/>
              <w:tr2bl w:val="nil"/>
            </w:tcBorders>
            <w:shd w:val="clear" w:color="auto" w:fill="00B0F0"/>
            <w:vAlign w:val="center"/>
          </w:tcPr>
          <w:p w:rsidR="00F72E65" w:rsidRDefault="00F72E65" w:rsidP="00FB1507">
            <w:pPr>
              <w:ind w:firstLineChars="0" w:firstLine="0"/>
              <w:jc w:val="center"/>
              <w:rPr>
                <w:rFonts w:asciiTheme="minorHAnsi" w:eastAsiaTheme="minorEastAsia" w:hAnsiTheme="minorHAnsi" w:cstheme="minorBidi"/>
                <w:sz w:val="21"/>
              </w:rPr>
            </w:pPr>
          </w:p>
        </w:tc>
      </w:tr>
      <w:tr w:rsidR="00F72E65" w:rsidTr="00FB1507">
        <w:trPr>
          <w:trHeight w:val="672"/>
        </w:trPr>
        <w:tc>
          <w:tcPr>
            <w:tcW w:w="71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3</w:t>
            </w:r>
          </w:p>
        </w:tc>
        <w:tc>
          <w:tcPr>
            <w:tcW w:w="1292"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普通火灾</w:t>
            </w:r>
          </w:p>
        </w:tc>
        <w:tc>
          <w:tcPr>
            <w:tcW w:w="3068"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4 </w:t>
            </w:r>
            <w:r>
              <w:rPr>
                <w:rFonts w:asciiTheme="minorHAnsi" w:eastAsiaTheme="minorEastAsia" w:hAnsiTheme="minorHAnsi" w:cstheme="minorBidi" w:hint="eastAsia"/>
                <w:sz w:val="21"/>
              </w:rPr>
              <w:t>级</w:t>
            </w:r>
          </w:p>
        </w:tc>
        <w:tc>
          <w:tcPr>
            <w:tcW w:w="1593"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低风险</w:t>
            </w:r>
          </w:p>
        </w:tc>
        <w:tc>
          <w:tcPr>
            <w:tcW w:w="1794" w:type="dxa"/>
            <w:tcBorders>
              <w:tl2br w:val="nil"/>
              <w:tr2bl w:val="nil"/>
            </w:tcBorders>
            <w:shd w:val="clear" w:color="auto" w:fill="00B0F0"/>
            <w:vAlign w:val="center"/>
          </w:tcPr>
          <w:p w:rsidR="00F72E65" w:rsidRDefault="00F72E65" w:rsidP="00FB1507">
            <w:pPr>
              <w:ind w:firstLineChars="0" w:firstLine="0"/>
              <w:jc w:val="center"/>
              <w:rPr>
                <w:rFonts w:asciiTheme="minorHAnsi" w:eastAsiaTheme="minorEastAsia" w:hAnsiTheme="minorHAnsi" w:cstheme="minorBidi"/>
                <w:sz w:val="21"/>
              </w:rPr>
            </w:pPr>
          </w:p>
        </w:tc>
      </w:tr>
      <w:tr w:rsidR="00F72E65" w:rsidTr="00FB1507">
        <w:trPr>
          <w:trHeight w:val="672"/>
        </w:trPr>
        <w:tc>
          <w:tcPr>
            <w:tcW w:w="71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4</w:t>
            </w:r>
          </w:p>
        </w:tc>
        <w:tc>
          <w:tcPr>
            <w:tcW w:w="1292"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高处坠落</w:t>
            </w:r>
          </w:p>
        </w:tc>
        <w:tc>
          <w:tcPr>
            <w:tcW w:w="3068"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4 </w:t>
            </w:r>
            <w:r>
              <w:rPr>
                <w:rFonts w:asciiTheme="minorHAnsi" w:eastAsiaTheme="minorEastAsia" w:hAnsiTheme="minorHAnsi" w:cstheme="minorBidi" w:hint="eastAsia"/>
                <w:sz w:val="21"/>
              </w:rPr>
              <w:t>级</w:t>
            </w:r>
          </w:p>
        </w:tc>
        <w:tc>
          <w:tcPr>
            <w:tcW w:w="1593"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低风险</w:t>
            </w:r>
          </w:p>
        </w:tc>
        <w:tc>
          <w:tcPr>
            <w:tcW w:w="1794" w:type="dxa"/>
            <w:tcBorders>
              <w:tl2br w:val="nil"/>
              <w:tr2bl w:val="nil"/>
            </w:tcBorders>
            <w:shd w:val="clear" w:color="auto" w:fill="00B0F0"/>
            <w:vAlign w:val="center"/>
          </w:tcPr>
          <w:p w:rsidR="00F72E65" w:rsidRDefault="00F72E65" w:rsidP="00FB1507">
            <w:pPr>
              <w:ind w:firstLineChars="0" w:firstLine="0"/>
              <w:jc w:val="center"/>
              <w:rPr>
                <w:rFonts w:asciiTheme="minorHAnsi" w:eastAsiaTheme="minorEastAsia" w:hAnsiTheme="minorHAnsi" w:cstheme="minorBidi"/>
                <w:sz w:val="21"/>
              </w:rPr>
            </w:pPr>
          </w:p>
        </w:tc>
      </w:tr>
      <w:tr w:rsidR="00F72E65" w:rsidTr="00FB1507">
        <w:trPr>
          <w:trHeight w:val="672"/>
        </w:trPr>
        <w:tc>
          <w:tcPr>
            <w:tcW w:w="71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5</w:t>
            </w:r>
          </w:p>
        </w:tc>
        <w:tc>
          <w:tcPr>
            <w:tcW w:w="1292"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中毒窒息</w:t>
            </w:r>
          </w:p>
        </w:tc>
        <w:tc>
          <w:tcPr>
            <w:tcW w:w="3068"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5 </w:t>
            </w:r>
            <w:r>
              <w:rPr>
                <w:rFonts w:asciiTheme="minorHAnsi" w:eastAsiaTheme="minorEastAsia" w:hAnsiTheme="minorHAnsi" w:cstheme="minorBidi" w:hint="eastAsia"/>
                <w:sz w:val="21"/>
              </w:rPr>
              <w:t>级</w:t>
            </w:r>
          </w:p>
        </w:tc>
        <w:tc>
          <w:tcPr>
            <w:tcW w:w="1593"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低风险</w:t>
            </w:r>
          </w:p>
        </w:tc>
        <w:tc>
          <w:tcPr>
            <w:tcW w:w="1794" w:type="dxa"/>
            <w:tcBorders>
              <w:tl2br w:val="nil"/>
              <w:tr2bl w:val="nil"/>
            </w:tcBorders>
            <w:shd w:val="clear" w:color="auto" w:fill="00B0F0"/>
            <w:vAlign w:val="center"/>
          </w:tcPr>
          <w:p w:rsidR="00F72E65" w:rsidRDefault="00F72E65" w:rsidP="00FB1507">
            <w:pPr>
              <w:ind w:firstLineChars="0" w:firstLine="0"/>
              <w:jc w:val="center"/>
              <w:rPr>
                <w:rFonts w:asciiTheme="minorHAnsi" w:eastAsiaTheme="minorEastAsia" w:hAnsiTheme="minorHAnsi" w:cstheme="minorBidi"/>
                <w:sz w:val="21"/>
              </w:rPr>
            </w:pPr>
          </w:p>
        </w:tc>
      </w:tr>
      <w:tr w:rsidR="00F72E65" w:rsidTr="00FB1507">
        <w:trPr>
          <w:trHeight w:val="672"/>
        </w:trPr>
        <w:tc>
          <w:tcPr>
            <w:tcW w:w="71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6</w:t>
            </w:r>
          </w:p>
        </w:tc>
        <w:tc>
          <w:tcPr>
            <w:tcW w:w="1292"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触电</w:t>
            </w:r>
          </w:p>
        </w:tc>
        <w:tc>
          <w:tcPr>
            <w:tcW w:w="3068"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5 </w:t>
            </w:r>
            <w:r>
              <w:rPr>
                <w:rFonts w:asciiTheme="minorHAnsi" w:eastAsiaTheme="minorEastAsia" w:hAnsiTheme="minorHAnsi" w:cstheme="minorBidi" w:hint="eastAsia"/>
                <w:sz w:val="21"/>
              </w:rPr>
              <w:t>级</w:t>
            </w:r>
          </w:p>
        </w:tc>
        <w:tc>
          <w:tcPr>
            <w:tcW w:w="1593"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低风险</w:t>
            </w:r>
          </w:p>
        </w:tc>
        <w:tc>
          <w:tcPr>
            <w:tcW w:w="1794" w:type="dxa"/>
            <w:tcBorders>
              <w:tl2br w:val="nil"/>
              <w:tr2bl w:val="nil"/>
            </w:tcBorders>
            <w:shd w:val="clear" w:color="auto" w:fill="00B0F0"/>
            <w:vAlign w:val="center"/>
          </w:tcPr>
          <w:p w:rsidR="00F72E65" w:rsidRDefault="00F72E65" w:rsidP="00FB1507">
            <w:pPr>
              <w:ind w:firstLineChars="0" w:firstLine="0"/>
              <w:jc w:val="center"/>
              <w:rPr>
                <w:rFonts w:asciiTheme="minorHAnsi" w:eastAsiaTheme="minorEastAsia" w:hAnsiTheme="minorHAnsi" w:cstheme="minorBidi"/>
                <w:sz w:val="21"/>
              </w:rPr>
            </w:pPr>
          </w:p>
        </w:tc>
      </w:tr>
      <w:tr w:rsidR="00F72E65" w:rsidTr="00FB1507">
        <w:trPr>
          <w:trHeight w:val="747"/>
        </w:trPr>
        <w:tc>
          <w:tcPr>
            <w:tcW w:w="711"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7</w:t>
            </w:r>
          </w:p>
        </w:tc>
        <w:tc>
          <w:tcPr>
            <w:tcW w:w="1292"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车辆伤害</w:t>
            </w:r>
          </w:p>
        </w:tc>
        <w:tc>
          <w:tcPr>
            <w:tcW w:w="3068"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 xml:space="preserve">5 </w:t>
            </w:r>
            <w:r>
              <w:rPr>
                <w:rFonts w:asciiTheme="minorHAnsi" w:eastAsiaTheme="minorEastAsia" w:hAnsiTheme="minorHAnsi" w:cstheme="minorBidi" w:hint="eastAsia"/>
                <w:sz w:val="21"/>
              </w:rPr>
              <w:t>级</w:t>
            </w:r>
          </w:p>
        </w:tc>
        <w:tc>
          <w:tcPr>
            <w:tcW w:w="1593" w:type="dxa"/>
            <w:tcBorders>
              <w:tl2br w:val="nil"/>
              <w:tr2bl w:val="nil"/>
            </w:tcBorders>
            <w:vAlign w:val="center"/>
          </w:tcPr>
          <w:p w:rsidR="00F72E65" w:rsidRDefault="00F72E65" w:rsidP="00FB1507">
            <w:pPr>
              <w:ind w:firstLineChars="0" w:firstLine="0"/>
              <w:jc w:val="center"/>
              <w:rPr>
                <w:rFonts w:asciiTheme="minorHAnsi" w:eastAsiaTheme="minorEastAsia" w:hAnsiTheme="minorHAnsi" w:cstheme="minorBidi"/>
                <w:sz w:val="21"/>
              </w:rPr>
            </w:pPr>
            <w:r>
              <w:rPr>
                <w:rFonts w:asciiTheme="minorHAnsi" w:eastAsiaTheme="minorEastAsia" w:hAnsiTheme="minorHAnsi" w:cstheme="minorBidi" w:hint="eastAsia"/>
                <w:sz w:val="21"/>
              </w:rPr>
              <w:t>低风险</w:t>
            </w:r>
          </w:p>
        </w:tc>
        <w:tc>
          <w:tcPr>
            <w:tcW w:w="1794" w:type="dxa"/>
            <w:tcBorders>
              <w:tl2br w:val="nil"/>
              <w:tr2bl w:val="nil"/>
            </w:tcBorders>
            <w:shd w:val="clear" w:color="auto" w:fill="00B0F0"/>
            <w:vAlign w:val="center"/>
          </w:tcPr>
          <w:p w:rsidR="00F72E65" w:rsidRDefault="00F72E65" w:rsidP="00FB1507">
            <w:pPr>
              <w:ind w:firstLineChars="0" w:firstLine="0"/>
              <w:jc w:val="center"/>
              <w:rPr>
                <w:rFonts w:asciiTheme="minorHAnsi" w:eastAsiaTheme="minorEastAsia" w:hAnsiTheme="minorHAnsi" w:cstheme="minorBidi"/>
                <w:sz w:val="21"/>
              </w:rPr>
            </w:pPr>
          </w:p>
        </w:tc>
      </w:tr>
    </w:tbl>
    <w:p w:rsidR="00F72E65" w:rsidRDefault="00F72E65" w:rsidP="00C25B9F">
      <w:pPr>
        <w:pStyle w:val="3"/>
        <w:tabs>
          <w:tab w:val="left" w:pos="1268"/>
        </w:tabs>
        <w:spacing w:beforeLines="50" w:after="0"/>
        <w:ind w:firstLineChars="100" w:firstLine="281"/>
        <w:jc w:val="left"/>
        <w:rPr>
          <w:sz w:val="28"/>
          <w:szCs w:val="28"/>
        </w:rPr>
      </w:pPr>
      <w:bookmarkStart w:id="83" w:name="_Toc3262"/>
      <w:r>
        <w:rPr>
          <w:rFonts w:hint="eastAsia"/>
          <w:sz w:val="28"/>
          <w:szCs w:val="28"/>
        </w:rPr>
        <w:t>2.</w:t>
      </w:r>
      <w:r>
        <w:rPr>
          <w:sz w:val="28"/>
          <w:szCs w:val="28"/>
        </w:rPr>
        <w:t>建议</w:t>
      </w:r>
      <w:bookmarkEnd w:id="83"/>
    </w:p>
    <w:p w:rsidR="00F72E65" w:rsidRDefault="00F72E65" w:rsidP="00F72E65">
      <w:pPr>
        <w:ind w:firstLine="560"/>
      </w:pPr>
      <w:r>
        <w:rPr>
          <w:rFonts w:hint="eastAsia"/>
        </w:rPr>
        <w:t>（</w:t>
      </w:r>
      <w:r>
        <w:rPr>
          <w:rFonts w:hint="eastAsia"/>
        </w:rPr>
        <w:t>1</w:t>
      </w:r>
      <w:r>
        <w:rPr>
          <w:rFonts w:hint="eastAsia"/>
        </w:rPr>
        <w:t>）</w:t>
      </w:r>
      <w:r>
        <w:t>健全应急救援机制。形成事故预警、报警、事故响应和伤员救治机制。</w:t>
      </w:r>
    </w:p>
    <w:p w:rsidR="00F72E65" w:rsidRDefault="00F72E65" w:rsidP="00F72E65">
      <w:pPr>
        <w:ind w:firstLine="560"/>
      </w:pPr>
      <w:r>
        <w:rPr>
          <w:rFonts w:hint="eastAsia"/>
        </w:rPr>
        <w:t>（</w:t>
      </w:r>
      <w:r>
        <w:rPr>
          <w:rFonts w:hint="eastAsia"/>
        </w:rPr>
        <w:t>2</w:t>
      </w:r>
      <w:r>
        <w:rPr>
          <w:rFonts w:hint="eastAsia"/>
        </w:rPr>
        <w:t>）</w:t>
      </w:r>
      <w:r>
        <w:t>健全应急救援体制。加油站建立兼职救援队伍，形成与政府专业救援应急救援队伍、社会志愿者共同参与的应急救援体制。</w:t>
      </w:r>
    </w:p>
    <w:p w:rsidR="00F72E65" w:rsidRDefault="00F72E65" w:rsidP="00F72E65">
      <w:pPr>
        <w:ind w:firstLine="560"/>
      </w:pPr>
      <w:r>
        <w:rPr>
          <w:rFonts w:hint="eastAsia"/>
        </w:rPr>
        <w:t>（</w:t>
      </w:r>
      <w:r>
        <w:rPr>
          <w:rFonts w:hint="eastAsia"/>
        </w:rPr>
        <w:t>3</w:t>
      </w:r>
      <w:r>
        <w:rPr>
          <w:rFonts w:hint="eastAsia"/>
        </w:rPr>
        <w:t>）</w:t>
      </w:r>
      <w:r>
        <w:t>配备完善的应急救援物资。</w:t>
      </w:r>
    </w:p>
    <w:p w:rsidR="00F72E65" w:rsidRDefault="00F72E65" w:rsidP="00F72E65">
      <w:pPr>
        <w:ind w:firstLine="560"/>
        <w:sectPr w:rsidR="00F72E65">
          <w:pgSz w:w="11850" w:h="16783"/>
          <w:pgMar w:top="1440" w:right="1803" w:bottom="1440" w:left="1803" w:header="851" w:footer="992" w:gutter="0"/>
          <w:cols w:space="425"/>
          <w:docGrid w:type="lines" w:linePitch="312"/>
        </w:sectPr>
      </w:pPr>
      <w:r>
        <w:rPr>
          <w:rFonts w:hint="eastAsia"/>
        </w:rPr>
        <w:t>（</w:t>
      </w:r>
      <w:r>
        <w:rPr>
          <w:rFonts w:hint="eastAsia"/>
        </w:rPr>
        <w:t>4</w:t>
      </w:r>
      <w:r>
        <w:rPr>
          <w:rFonts w:hint="eastAsia"/>
        </w:rPr>
        <w:t>）</w:t>
      </w:r>
      <w:r>
        <w:t>通过多种方式进行应急预案演练。</w:t>
      </w:r>
    </w:p>
    <w:p w:rsidR="00527D8F" w:rsidRPr="00F72E65" w:rsidRDefault="00527D8F" w:rsidP="00F72E65">
      <w:pPr>
        <w:ind w:firstLine="560"/>
      </w:pPr>
    </w:p>
    <w:sectPr w:rsidR="00527D8F" w:rsidRPr="00F72E65" w:rsidSect="000941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2E65"/>
    <w:rsid w:val="0009419F"/>
    <w:rsid w:val="000B148B"/>
    <w:rsid w:val="002359F3"/>
    <w:rsid w:val="002469C3"/>
    <w:rsid w:val="003377B3"/>
    <w:rsid w:val="0048574E"/>
    <w:rsid w:val="00527D8F"/>
    <w:rsid w:val="0077393B"/>
    <w:rsid w:val="00B94EE7"/>
    <w:rsid w:val="00BF7DF9"/>
    <w:rsid w:val="00C25B9F"/>
    <w:rsid w:val="00C70ADC"/>
    <w:rsid w:val="00ED4B4F"/>
    <w:rsid w:val="00F72E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72E65"/>
    <w:pPr>
      <w:widowControl w:val="0"/>
      <w:ind w:firstLineChars="200" w:firstLine="883"/>
      <w:jc w:val="both"/>
    </w:pPr>
    <w:rPr>
      <w:rFonts w:ascii="Times New Roman" w:eastAsia="宋体" w:hAnsi="Times New Roman" w:cs="Times New Roman"/>
      <w:sz w:val="28"/>
      <w:szCs w:val="24"/>
    </w:rPr>
  </w:style>
  <w:style w:type="paragraph" w:styleId="1">
    <w:name w:val="heading 1"/>
    <w:basedOn w:val="a"/>
    <w:next w:val="a"/>
    <w:link w:val="1Char"/>
    <w:qFormat/>
    <w:rsid w:val="00F72E65"/>
    <w:pPr>
      <w:widowControl/>
      <w:spacing w:beforeLines="100" w:afterLines="50" w:line="480" w:lineRule="auto"/>
      <w:ind w:firstLineChars="0" w:firstLine="0"/>
      <w:jc w:val="center"/>
      <w:outlineLvl w:val="0"/>
    </w:pPr>
    <w:rPr>
      <w:rFonts w:eastAsia="黑体"/>
      <w:b/>
      <w:bCs/>
      <w:kern w:val="36"/>
      <w:sz w:val="36"/>
      <w:szCs w:val="34"/>
    </w:rPr>
  </w:style>
  <w:style w:type="paragraph" w:styleId="2">
    <w:name w:val="heading 2"/>
    <w:basedOn w:val="a"/>
    <w:next w:val="a"/>
    <w:link w:val="2Char"/>
    <w:unhideWhenUsed/>
    <w:qFormat/>
    <w:rsid w:val="00F72E65"/>
    <w:pPr>
      <w:keepNext/>
      <w:keepLines/>
      <w:spacing w:before="140" w:after="140" w:line="360" w:lineRule="auto"/>
      <w:ind w:firstLineChars="0" w:firstLine="0"/>
      <w:jc w:val="center"/>
      <w:outlineLvl w:val="1"/>
    </w:pPr>
    <w:rPr>
      <w:rFonts w:ascii="Arial" w:eastAsia="黑体" w:hAnsi="Arial"/>
      <w:b/>
      <w:bCs/>
      <w:kern w:val="0"/>
      <w:sz w:val="32"/>
      <w:szCs w:val="32"/>
    </w:rPr>
  </w:style>
  <w:style w:type="paragraph" w:styleId="3">
    <w:name w:val="heading 3"/>
    <w:basedOn w:val="a"/>
    <w:next w:val="a"/>
    <w:link w:val="3Char"/>
    <w:unhideWhenUsed/>
    <w:qFormat/>
    <w:rsid w:val="00F72E65"/>
    <w:pPr>
      <w:keepNext/>
      <w:keepLines/>
      <w:spacing w:before="140" w:after="140"/>
      <w:ind w:firstLine="482"/>
      <w:outlineLvl w:val="2"/>
    </w:pPr>
    <w:rPr>
      <w:b/>
      <w:sz w:val="30"/>
    </w:rPr>
  </w:style>
  <w:style w:type="paragraph" w:styleId="4">
    <w:name w:val="heading 4"/>
    <w:basedOn w:val="a"/>
    <w:next w:val="a"/>
    <w:link w:val="4Char"/>
    <w:unhideWhenUsed/>
    <w:qFormat/>
    <w:rsid w:val="00F72E65"/>
    <w:pPr>
      <w:keepNext/>
      <w:keepLines/>
      <w:ind w:firstLine="482"/>
      <w:outlineLvl w:val="3"/>
    </w:pPr>
    <w:rPr>
      <w:b/>
      <w:b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F72E65"/>
    <w:rPr>
      <w:rFonts w:ascii="Times New Roman" w:eastAsia="黑体" w:hAnsi="Times New Roman" w:cs="Times New Roman"/>
      <w:b/>
      <w:bCs/>
      <w:kern w:val="36"/>
      <w:sz w:val="36"/>
      <w:szCs w:val="34"/>
    </w:rPr>
  </w:style>
  <w:style w:type="character" w:customStyle="1" w:styleId="2Char">
    <w:name w:val="标题 2 Char"/>
    <w:basedOn w:val="a1"/>
    <w:link w:val="2"/>
    <w:qFormat/>
    <w:rsid w:val="00F72E65"/>
    <w:rPr>
      <w:rFonts w:ascii="Arial" w:eastAsia="黑体" w:hAnsi="Arial" w:cs="Times New Roman"/>
      <w:b/>
      <w:bCs/>
      <w:kern w:val="0"/>
      <w:sz w:val="32"/>
      <w:szCs w:val="32"/>
    </w:rPr>
  </w:style>
  <w:style w:type="character" w:customStyle="1" w:styleId="3Char">
    <w:name w:val="标题 3 Char"/>
    <w:basedOn w:val="a1"/>
    <w:link w:val="3"/>
    <w:qFormat/>
    <w:rsid w:val="00F72E65"/>
    <w:rPr>
      <w:rFonts w:ascii="Times New Roman" w:eastAsia="宋体" w:hAnsi="Times New Roman" w:cs="Times New Roman"/>
      <w:b/>
      <w:sz w:val="30"/>
      <w:szCs w:val="24"/>
    </w:rPr>
  </w:style>
  <w:style w:type="character" w:customStyle="1" w:styleId="4Char">
    <w:name w:val="标题 4 Char"/>
    <w:basedOn w:val="a1"/>
    <w:link w:val="4"/>
    <w:qFormat/>
    <w:rsid w:val="00F72E65"/>
    <w:rPr>
      <w:rFonts w:ascii="Times New Roman" w:eastAsia="宋体" w:hAnsi="Times New Roman" w:cs="Times New Roman"/>
      <w:b/>
      <w:bCs/>
      <w:sz w:val="28"/>
      <w:szCs w:val="28"/>
    </w:rPr>
  </w:style>
  <w:style w:type="paragraph" w:styleId="a4">
    <w:name w:val="Body Text"/>
    <w:basedOn w:val="a"/>
    <w:link w:val="Char"/>
    <w:uiPriority w:val="99"/>
    <w:semiHidden/>
    <w:unhideWhenUsed/>
    <w:rsid w:val="00F72E65"/>
    <w:pPr>
      <w:spacing w:after="120"/>
    </w:pPr>
  </w:style>
  <w:style w:type="character" w:customStyle="1" w:styleId="Char">
    <w:name w:val="正文文本 Char"/>
    <w:basedOn w:val="a1"/>
    <w:link w:val="a4"/>
    <w:uiPriority w:val="99"/>
    <w:semiHidden/>
    <w:rsid w:val="00F72E65"/>
    <w:rPr>
      <w:rFonts w:ascii="Times New Roman" w:eastAsia="宋体" w:hAnsi="Times New Roman" w:cs="Times New Roman"/>
      <w:sz w:val="28"/>
      <w:szCs w:val="24"/>
    </w:rPr>
  </w:style>
  <w:style w:type="paragraph" w:styleId="a0">
    <w:name w:val="Body Text First Indent"/>
    <w:basedOn w:val="a4"/>
    <w:link w:val="Char0"/>
    <w:qFormat/>
    <w:rsid w:val="00F72E65"/>
    <w:pPr>
      <w:ind w:firstLineChars="100" w:firstLine="420"/>
    </w:pPr>
    <w:rPr>
      <w:rFonts w:asciiTheme="minorHAnsi" w:hAnsiTheme="minorHAnsi" w:cstheme="minorBidi"/>
    </w:rPr>
  </w:style>
  <w:style w:type="character" w:customStyle="1" w:styleId="Char0">
    <w:name w:val="正文首行缩进 Char"/>
    <w:basedOn w:val="Char"/>
    <w:link w:val="a0"/>
    <w:rsid w:val="00F72E65"/>
    <w:rPr>
      <w:rFonts w:ascii="Times New Roman" w:eastAsia="宋体" w:hAnsi="Times New Roman" w:cs="Times New Roman"/>
      <w:sz w:val="28"/>
      <w:szCs w:val="24"/>
    </w:rPr>
  </w:style>
  <w:style w:type="paragraph" w:styleId="a5">
    <w:name w:val="Body Text Indent"/>
    <w:basedOn w:val="a"/>
    <w:link w:val="Char1"/>
    <w:uiPriority w:val="99"/>
    <w:semiHidden/>
    <w:unhideWhenUsed/>
    <w:rsid w:val="00F72E65"/>
    <w:pPr>
      <w:spacing w:after="120"/>
      <w:ind w:leftChars="200" w:left="420"/>
    </w:pPr>
  </w:style>
  <w:style w:type="character" w:customStyle="1" w:styleId="Char1">
    <w:name w:val="正文文本缩进 Char"/>
    <w:basedOn w:val="a1"/>
    <w:link w:val="a5"/>
    <w:uiPriority w:val="99"/>
    <w:semiHidden/>
    <w:rsid w:val="00F72E65"/>
    <w:rPr>
      <w:rFonts w:ascii="Times New Roman" w:eastAsia="宋体" w:hAnsi="Times New Roman" w:cs="Times New Roman"/>
      <w:sz w:val="28"/>
      <w:szCs w:val="24"/>
    </w:rPr>
  </w:style>
  <w:style w:type="paragraph" w:styleId="20">
    <w:name w:val="Body Text First Indent 2"/>
    <w:basedOn w:val="a"/>
    <w:next w:val="a"/>
    <w:link w:val="2Char0"/>
    <w:uiPriority w:val="99"/>
    <w:unhideWhenUsed/>
    <w:qFormat/>
    <w:rsid w:val="00F72E65"/>
    <w:pPr>
      <w:ind w:firstLine="420"/>
      <w:jc w:val="left"/>
    </w:pPr>
  </w:style>
  <w:style w:type="character" w:customStyle="1" w:styleId="2Char0">
    <w:name w:val="正文首行缩进 2 Char"/>
    <w:basedOn w:val="Char1"/>
    <w:link w:val="20"/>
    <w:uiPriority w:val="99"/>
    <w:rsid w:val="00F72E65"/>
    <w:rPr>
      <w:rFonts w:ascii="Times New Roman" w:eastAsia="宋体" w:hAnsi="Times New Roman" w:cs="Times New Roman"/>
      <w:sz w:val="28"/>
      <w:szCs w:val="24"/>
    </w:rPr>
  </w:style>
  <w:style w:type="table" w:styleId="a6">
    <w:name w:val="Table Grid"/>
    <w:basedOn w:val="a2"/>
    <w:uiPriority w:val="59"/>
    <w:qFormat/>
    <w:rsid w:val="00F72E6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F72E65"/>
    <w:rPr>
      <w:rFonts w:ascii="宋体" w:hAnsi="宋体" w:cs="宋体"/>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72E65"/>
    <w:pPr>
      <w:widowControl w:val="0"/>
      <w:ind w:firstLineChars="200" w:firstLine="883"/>
      <w:jc w:val="both"/>
    </w:pPr>
    <w:rPr>
      <w:rFonts w:ascii="Times New Roman" w:eastAsia="宋体" w:hAnsi="Times New Roman" w:cs="Times New Roman"/>
      <w:sz w:val="28"/>
      <w:szCs w:val="24"/>
    </w:rPr>
  </w:style>
  <w:style w:type="paragraph" w:styleId="1">
    <w:name w:val="heading 1"/>
    <w:basedOn w:val="a"/>
    <w:next w:val="a"/>
    <w:link w:val="1Char"/>
    <w:qFormat/>
    <w:rsid w:val="00F72E65"/>
    <w:pPr>
      <w:widowControl/>
      <w:spacing w:beforeLines="100" w:before="100" w:afterLines="50" w:after="50" w:line="480" w:lineRule="auto"/>
      <w:ind w:firstLineChars="0" w:firstLine="0"/>
      <w:jc w:val="center"/>
      <w:outlineLvl w:val="0"/>
    </w:pPr>
    <w:rPr>
      <w:rFonts w:eastAsia="黑体"/>
      <w:b/>
      <w:bCs/>
      <w:kern w:val="36"/>
      <w:sz w:val="36"/>
      <w:szCs w:val="34"/>
    </w:rPr>
  </w:style>
  <w:style w:type="paragraph" w:styleId="2">
    <w:name w:val="heading 2"/>
    <w:basedOn w:val="a"/>
    <w:next w:val="a"/>
    <w:link w:val="2Char"/>
    <w:unhideWhenUsed/>
    <w:qFormat/>
    <w:rsid w:val="00F72E65"/>
    <w:pPr>
      <w:keepNext/>
      <w:keepLines/>
      <w:spacing w:before="140" w:after="140" w:line="360" w:lineRule="auto"/>
      <w:ind w:firstLineChars="0" w:firstLine="0"/>
      <w:jc w:val="center"/>
      <w:outlineLvl w:val="1"/>
    </w:pPr>
    <w:rPr>
      <w:rFonts w:ascii="Arial" w:eastAsia="黑体" w:hAnsi="Arial"/>
      <w:b/>
      <w:bCs/>
      <w:kern w:val="0"/>
      <w:sz w:val="32"/>
      <w:szCs w:val="32"/>
    </w:rPr>
  </w:style>
  <w:style w:type="paragraph" w:styleId="3">
    <w:name w:val="heading 3"/>
    <w:basedOn w:val="a"/>
    <w:next w:val="a"/>
    <w:link w:val="3Char"/>
    <w:unhideWhenUsed/>
    <w:qFormat/>
    <w:rsid w:val="00F72E65"/>
    <w:pPr>
      <w:keepNext/>
      <w:keepLines/>
      <w:spacing w:before="140" w:after="140"/>
      <w:ind w:firstLine="482"/>
      <w:outlineLvl w:val="2"/>
    </w:pPr>
    <w:rPr>
      <w:b/>
      <w:sz w:val="30"/>
    </w:rPr>
  </w:style>
  <w:style w:type="paragraph" w:styleId="4">
    <w:name w:val="heading 4"/>
    <w:basedOn w:val="a"/>
    <w:next w:val="a"/>
    <w:link w:val="4Char"/>
    <w:unhideWhenUsed/>
    <w:qFormat/>
    <w:rsid w:val="00F72E65"/>
    <w:pPr>
      <w:keepNext/>
      <w:keepLines/>
      <w:ind w:firstLine="482"/>
      <w:outlineLvl w:val="3"/>
    </w:pPr>
    <w:rPr>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F72E65"/>
    <w:rPr>
      <w:rFonts w:ascii="Times New Roman" w:eastAsia="黑体" w:hAnsi="Times New Roman" w:cs="Times New Roman"/>
      <w:b/>
      <w:bCs/>
      <w:kern w:val="36"/>
      <w:sz w:val="36"/>
      <w:szCs w:val="34"/>
    </w:rPr>
  </w:style>
  <w:style w:type="character" w:customStyle="1" w:styleId="2Char">
    <w:name w:val="标题 2 Char"/>
    <w:basedOn w:val="a1"/>
    <w:link w:val="2"/>
    <w:qFormat/>
    <w:rsid w:val="00F72E65"/>
    <w:rPr>
      <w:rFonts w:ascii="Arial" w:eastAsia="黑体" w:hAnsi="Arial" w:cs="Times New Roman"/>
      <w:b/>
      <w:bCs/>
      <w:kern w:val="0"/>
      <w:sz w:val="32"/>
      <w:szCs w:val="32"/>
    </w:rPr>
  </w:style>
  <w:style w:type="character" w:customStyle="1" w:styleId="3Char">
    <w:name w:val="标题 3 Char"/>
    <w:basedOn w:val="a1"/>
    <w:link w:val="3"/>
    <w:qFormat/>
    <w:rsid w:val="00F72E65"/>
    <w:rPr>
      <w:rFonts w:ascii="Times New Roman" w:eastAsia="宋体" w:hAnsi="Times New Roman" w:cs="Times New Roman"/>
      <w:b/>
      <w:sz w:val="30"/>
      <w:szCs w:val="24"/>
    </w:rPr>
  </w:style>
  <w:style w:type="character" w:customStyle="1" w:styleId="4Char">
    <w:name w:val="标题 4 Char"/>
    <w:basedOn w:val="a1"/>
    <w:link w:val="4"/>
    <w:qFormat/>
    <w:rsid w:val="00F72E65"/>
    <w:rPr>
      <w:rFonts w:ascii="Times New Roman" w:eastAsia="宋体" w:hAnsi="Times New Roman" w:cs="Times New Roman"/>
      <w:b/>
      <w:bCs/>
      <w:sz w:val="28"/>
      <w:szCs w:val="28"/>
    </w:rPr>
  </w:style>
  <w:style w:type="paragraph" w:styleId="a4">
    <w:name w:val="Body Text"/>
    <w:basedOn w:val="a"/>
    <w:link w:val="Char"/>
    <w:uiPriority w:val="99"/>
    <w:semiHidden/>
    <w:unhideWhenUsed/>
    <w:rsid w:val="00F72E65"/>
    <w:pPr>
      <w:spacing w:after="120"/>
    </w:pPr>
  </w:style>
  <w:style w:type="character" w:customStyle="1" w:styleId="Char">
    <w:name w:val="正文文本 Char"/>
    <w:basedOn w:val="a1"/>
    <w:link w:val="a4"/>
    <w:uiPriority w:val="99"/>
    <w:semiHidden/>
    <w:rsid w:val="00F72E65"/>
    <w:rPr>
      <w:rFonts w:ascii="Times New Roman" w:eastAsia="宋体" w:hAnsi="Times New Roman" w:cs="Times New Roman"/>
      <w:sz w:val="28"/>
      <w:szCs w:val="24"/>
    </w:rPr>
  </w:style>
  <w:style w:type="paragraph" w:styleId="a0">
    <w:name w:val="Body Text First Indent"/>
    <w:basedOn w:val="a4"/>
    <w:link w:val="Char0"/>
    <w:qFormat/>
    <w:rsid w:val="00F72E65"/>
    <w:pPr>
      <w:ind w:firstLineChars="100" w:firstLine="420"/>
    </w:pPr>
    <w:rPr>
      <w:rFonts w:asciiTheme="minorHAnsi" w:hAnsiTheme="minorHAnsi" w:cstheme="minorBidi"/>
    </w:rPr>
  </w:style>
  <w:style w:type="character" w:customStyle="1" w:styleId="Char0">
    <w:name w:val="正文首行缩进 Char"/>
    <w:basedOn w:val="Char"/>
    <w:link w:val="a0"/>
    <w:rsid w:val="00F72E65"/>
    <w:rPr>
      <w:rFonts w:ascii="Times New Roman" w:eastAsia="宋体" w:hAnsi="Times New Roman" w:cs="Times New Roman"/>
      <w:sz w:val="28"/>
      <w:szCs w:val="24"/>
    </w:rPr>
  </w:style>
  <w:style w:type="paragraph" w:styleId="a5">
    <w:name w:val="Body Text Indent"/>
    <w:basedOn w:val="a"/>
    <w:link w:val="Char1"/>
    <w:uiPriority w:val="99"/>
    <w:semiHidden/>
    <w:unhideWhenUsed/>
    <w:rsid w:val="00F72E65"/>
    <w:pPr>
      <w:spacing w:after="120"/>
      <w:ind w:leftChars="200" w:left="420"/>
    </w:pPr>
  </w:style>
  <w:style w:type="character" w:customStyle="1" w:styleId="Char1">
    <w:name w:val="正文文本缩进 Char"/>
    <w:basedOn w:val="a1"/>
    <w:link w:val="a5"/>
    <w:uiPriority w:val="99"/>
    <w:semiHidden/>
    <w:rsid w:val="00F72E65"/>
    <w:rPr>
      <w:rFonts w:ascii="Times New Roman" w:eastAsia="宋体" w:hAnsi="Times New Roman" w:cs="Times New Roman"/>
      <w:sz w:val="28"/>
      <w:szCs w:val="24"/>
    </w:rPr>
  </w:style>
  <w:style w:type="paragraph" w:styleId="20">
    <w:name w:val="Body Text First Indent 2"/>
    <w:basedOn w:val="a"/>
    <w:next w:val="a"/>
    <w:link w:val="2Char0"/>
    <w:uiPriority w:val="99"/>
    <w:unhideWhenUsed/>
    <w:qFormat/>
    <w:rsid w:val="00F72E65"/>
    <w:pPr>
      <w:ind w:firstLine="420"/>
      <w:jc w:val="left"/>
    </w:pPr>
  </w:style>
  <w:style w:type="character" w:customStyle="1" w:styleId="2Char0">
    <w:name w:val="正文首行缩进 2 Char"/>
    <w:basedOn w:val="Char1"/>
    <w:link w:val="20"/>
    <w:uiPriority w:val="99"/>
    <w:rsid w:val="00F72E65"/>
    <w:rPr>
      <w:rFonts w:ascii="Times New Roman" w:eastAsia="宋体" w:hAnsi="Times New Roman" w:cs="Times New Roman"/>
      <w:sz w:val="28"/>
      <w:szCs w:val="24"/>
    </w:rPr>
  </w:style>
  <w:style w:type="table" w:styleId="a6">
    <w:name w:val="Table Grid"/>
    <w:basedOn w:val="a2"/>
    <w:uiPriority w:val="59"/>
    <w:qFormat/>
    <w:rsid w:val="00F72E6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F72E65"/>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1545</Words>
  <Characters>8809</Characters>
  <Application>Microsoft Office Word</Application>
  <DocSecurity>0</DocSecurity>
  <Lines>73</Lines>
  <Paragraphs>20</Paragraphs>
  <ScaleCrop>false</ScaleCrop>
  <Company/>
  <LinksUpToDate>false</LinksUpToDate>
  <CharactersWithSpaces>10334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xbany</cp:lastModifiedBy>
  <cp:revision>2</cp:revision>
  <dcterms:created xsi:type="dcterms:W3CDTF">2021-11-19T07:16:00Z</dcterms:created>
  <dcterms:modified xsi:type="dcterms:W3CDTF">2021-11-19T07:16:00Z</dcterms:modified>
</cp:coreProperties>
</file>