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right"/>
        <w:rPr>
          <w:rFonts w:hint="eastAsia" w:ascii="宋体" w:hAnsi="宋体" w:eastAsia="宋体" w:cs="宋体"/>
          <w:b/>
          <w:color w:val="auto"/>
          <w:sz w:val="32"/>
          <w:szCs w:val="32"/>
        </w:rPr>
      </w:pPr>
    </w:p>
    <w:p>
      <w:pPr>
        <w:wordWrap w:val="0"/>
        <w:jc w:val="center"/>
        <w:rPr>
          <w:rFonts w:hint="eastAsia" w:ascii="宋体" w:hAnsi="宋体" w:eastAsia="宋体" w:cs="宋体"/>
          <w:b/>
          <w:color w:val="auto"/>
          <w:sz w:val="30"/>
          <w:szCs w:val="30"/>
        </w:rPr>
      </w:pP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0"/>
          <w:szCs w:val="30"/>
        </w:rPr>
        <w:t>预案</w:t>
      </w:r>
      <w:r>
        <w:rPr>
          <w:rFonts w:hint="eastAsia" w:ascii="宋体" w:hAnsi="宋体" w:eastAsia="宋体" w:cs="宋体"/>
          <w:b/>
          <w:color w:val="auto"/>
          <w:sz w:val="30"/>
          <w:szCs w:val="30"/>
          <w:lang w:val="zh-CN"/>
        </w:rPr>
        <w:t>编号：</w:t>
      </w:r>
      <w:r>
        <w:rPr>
          <w:rFonts w:hint="eastAsia" w:ascii="宋体" w:hAnsi="宋体" w:eastAsia="宋体" w:cs="宋体"/>
          <w:b/>
          <w:color w:val="auto"/>
          <w:sz w:val="30"/>
          <w:szCs w:val="30"/>
          <w:lang w:val="en-US" w:eastAsia="zh-CN"/>
        </w:rPr>
        <w:t>AFCONA-NC</w:t>
      </w:r>
      <w:r>
        <w:rPr>
          <w:rFonts w:hint="eastAsia" w:ascii="宋体" w:hAnsi="宋体" w:eastAsia="宋体" w:cs="宋体"/>
          <w:b/>
          <w:color w:val="auto"/>
          <w:sz w:val="30"/>
          <w:szCs w:val="30"/>
          <w:lang w:val="zh-CN"/>
        </w:rPr>
        <w:t>-</w:t>
      </w:r>
      <w:r>
        <w:rPr>
          <w:rFonts w:hint="eastAsia" w:ascii="宋体" w:hAnsi="宋体" w:eastAsia="宋体" w:cs="宋体"/>
          <w:b/>
          <w:color w:val="auto"/>
          <w:sz w:val="30"/>
          <w:szCs w:val="30"/>
          <w:lang w:val="en-US" w:eastAsia="zh-CN"/>
        </w:rPr>
        <w:t>YJYA</w:t>
      </w:r>
      <w:r>
        <w:rPr>
          <w:rFonts w:hint="eastAsia" w:ascii="宋体" w:hAnsi="宋体" w:eastAsia="宋体" w:cs="宋体"/>
          <w:b/>
          <w:color w:val="auto"/>
          <w:sz w:val="30"/>
          <w:szCs w:val="30"/>
          <w:lang w:val="zh-CN"/>
        </w:rPr>
        <w:t>01</w:t>
      </w:r>
    </w:p>
    <w:p>
      <w:pPr>
        <w:wordWrap w:val="0"/>
        <w:spacing w:line="240" w:lineRule="auto"/>
        <w:jc w:val="center"/>
        <w:rPr>
          <w:rFonts w:hint="eastAsia" w:ascii="宋体" w:hAnsi="宋体" w:eastAsia="宋体" w:cs="宋体"/>
          <w:b/>
          <w:color w:val="auto"/>
          <w:sz w:val="30"/>
          <w:szCs w:val="30"/>
          <w:lang w:val="en-US" w:eastAsia="zh-CN"/>
        </w:rPr>
      </w:pPr>
      <w:r>
        <w:rPr>
          <w:rFonts w:hint="eastAsia" w:ascii="宋体" w:hAnsi="宋体" w:eastAsia="宋体" w:cs="宋体"/>
          <w:b/>
          <w:color w:val="auto"/>
          <w:sz w:val="30"/>
          <w:szCs w:val="30"/>
          <w:lang w:val="en-US" w:eastAsia="zh-CN"/>
        </w:rPr>
        <w:t xml:space="preserve">                               </w:t>
      </w:r>
      <w:r>
        <w:rPr>
          <w:rFonts w:hint="eastAsia" w:ascii="宋体" w:hAnsi="宋体" w:eastAsia="宋体" w:cs="宋体"/>
          <w:b/>
          <w:color w:val="auto"/>
          <w:sz w:val="30"/>
          <w:szCs w:val="30"/>
        </w:rPr>
        <w:t>预案版本号：</w:t>
      </w:r>
      <w:r>
        <w:rPr>
          <w:rFonts w:hint="eastAsia" w:ascii="宋体" w:hAnsi="宋体" w:eastAsia="宋体" w:cs="宋体"/>
          <w:b/>
          <w:color w:val="auto"/>
          <w:sz w:val="30"/>
          <w:szCs w:val="30"/>
          <w:lang w:eastAsia="zh-CN"/>
        </w:rPr>
        <w:t>第</w:t>
      </w:r>
      <w:r>
        <w:rPr>
          <w:rFonts w:hint="eastAsia" w:ascii="宋体" w:hAnsi="宋体" w:eastAsia="宋体" w:cs="宋体"/>
          <w:b/>
          <w:color w:val="auto"/>
          <w:sz w:val="30"/>
          <w:szCs w:val="30"/>
          <w:lang w:val="en-US" w:eastAsia="zh-CN"/>
        </w:rPr>
        <w:t>1</w:t>
      </w:r>
      <w:r>
        <w:rPr>
          <w:rFonts w:hint="eastAsia" w:ascii="宋体" w:hAnsi="宋体" w:eastAsia="宋体" w:cs="宋体"/>
          <w:b/>
          <w:color w:val="auto"/>
          <w:sz w:val="30"/>
          <w:szCs w:val="30"/>
          <w:lang w:eastAsia="zh-CN"/>
        </w:rPr>
        <w:t>版</w:t>
      </w:r>
    </w:p>
    <w:p>
      <w:pPr>
        <w:wordWrap w:val="0"/>
        <w:spacing w:line="240" w:lineRule="auto"/>
        <w:jc w:val="right"/>
        <w:rPr>
          <w:rFonts w:hint="eastAsia" w:ascii="宋体" w:hAnsi="宋体" w:eastAsia="宋体" w:cs="宋体"/>
          <w:b/>
          <w:color w:val="auto"/>
          <w:sz w:val="32"/>
          <w:szCs w:val="32"/>
          <w:lang w:val="zh-CN"/>
        </w:rPr>
      </w:pPr>
    </w:p>
    <w:p>
      <w:pPr>
        <w:spacing w:line="240" w:lineRule="auto"/>
        <w:jc w:val="center"/>
        <w:rPr>
          <w:rFonts w:hint="eastAsia" w:ascii="宋体" w:hAnsi="宋体" w:eastAsia="宋体" w:cs="宋体"/>
          <w:b/>
          <w:color w:val="auto"/>
          <w:sz w:val="32"/>
          <w:szCs w:val="32"/>
          <w:lang w:val="zh-CN"/>
        </w:rPr>
      </w:pPr>
    </w:p>
    <w:p>
      <w:pPr>
        <w:pStyle w:val="15"/>
        <w:rPr>
          <w:rFonts w:hint="eastAsia" w:ascii="宋体" w:hAnsi="宋体" w:eastAsia="宋体" w:cs="宋体"/>
          <w:b/>
          <w:color w:val="auto"/>
          <w:sz w:val="32"/>
          <w:szCs w:val="32"/>
          <w:lang w:val="zh-CN"/>
        </w:rPr>
      </w:pPr>
    </w:p>
    <w:p>
      <w:pPr>
        <w:widowControl/>
        <w:snapToGrid w:val="0"/>
        <w:spacing w:line="240" w:lineRule="auto"/>
        <w:jc w:val="center"/>
        <w:rPr>
          <w:rFonts w:hint="eastAsia" w:ascii="黑体" w:hAnsi="黑体" w:eastAsia="黑体" w:cs="黑体"/>
          <w:b/>
          <w:color w:val="auto"/>
          <w:kern w:val="0"/>
          <w:sz w:val="48"/>
          <w:szCs w:val="48"/>
          <w:lang w:eastAsia="zh-CN"/>
        </w:rPr>
      </w:pPr>
      <w:r>
        <w:rPr>
          <w:rFonts w:hint="eastAsia" w:ascii="黑体" w:hAnsi="黑体" w:eastAsia="黑体" w:cs="黑体"/>
          <w:b/>
          <w:color w:val="auto"/>
          <w:kern w:val="0"/>
          <w:sz w:val="48"/>
          <w:szCs w:val="48"/>
          <w:lang w:eastAsia="zh-CN"/>
        </w:rPr>
        <w:t>埃夫科纳（南充）特种聚合物有限公司</w:t>
      </w:r>
    </w:p>
    <w:p>
      <w:pPr>
        <w:spacing w:line="240" w:lineRule="auto"/>
        <w:ind w:firstLine="198" w:firstLineChars="38"/>
        <w:jc w:val="center"/>
        <w:rPr>
          <w:rFonts w:hint="eastAsia" w:ascii="黑体" w:hAnsi="黑体" w:eastAsia="黑体" w:cs="黑体"/>
          <w:b/>
          <w:bCs/>
          <w:caps/>
          <w:color w:val="auto"/>
          <w:sz w:val="52"/>
          <w:szCs w:val="52"/>
        </w:rPr>
      </w:pPr>
    </w:p>
    <w:p>
      <w:pPr>
        <w:spacing w:line="240" w:lineRule="auto"/>
        <w:ind w:firstLine="198" w:firstLineChars="38"/>
        <w:jc w:val="center"/>
        <w:rPr>
          <w:rFonts w:hint="eastAsia" w:ascii="黑体" w:hAnsi="黑体" w:eastAsia="黑体" w:cs="黑体"/>
          <w:b/>
          <w:bCs/>
          <w:caps/>
          <w:color w:val="auto"/>
          <w:sz w:val="52"/>
          <w:szCs w:val="52"/>
        </w:rPr>
      </w:pPr>
      <w:r>
        <w:rPr>
          <w:rFonts w:hint="eastAsia" w:ascii="黑体" w:hAnsi="黑体" w:eastAsia="黑体" w:cs="黑体"/>
          <w:b/>
          <w:bCs/>
          <w:caps/>
          <w:color w:val="auto"/>
          <w:sz w:val="52"/>
          <w:szCs w:val="52"/>
        </w:rPr>
        <w:t>生产安全事故应急预案</w:t>
      </w:r>
    </w:p>
    <w:p>
      <w:pPr>
        <w:spacing w:line="240" w:lineRule="auto"/>
        <w:jc w:val="center"/>
        <w:rPr>
          <w:rFonts w:hint="eastAsia" w:ascii="宋体" w:hAnsi="宋体" w:eastAsia="宋体" w:cs="宋体"/>
          <w:b/>
          <w:color w:val="auto"/>
          <w:sz w:val="32"/>
          <w:szCs w:val="32"/>
          <w:lang w:val="zh-CN"/>
        </w:rPr>
      </w:pPr>
    </w:p>
    <w:p>
      <w:pPr>
        <w:spacing w:line="240" w:lineRule="auto"/>
        <w:jc w:val="center"/>
        <w:rPr>
          <w:rFonts w:hint="eastAsia" w:ascii="宋体" w:hAnsi="宋体" w:eastAsia="宋体" w:cs="宋体"/>
          <w:b/>
          <w:color w:val="auto"/>
          <w:sz w:val="32"/>
          <w:szCs w:val="32"/>
          <w:lang w:val="zh-CN"/>
        </w:rPr>
      </w:pPr>
    </w:p>
    <w:p>
      <w:pPr>
        <w:spacing w:line="240" w:lineRule="auto"/>
        <w:jc w:val="center"/>
        <w:rPr>
          <w:rFonts w:hint="eastAsia" w:ascii="宋体" w:hAnsi="宋体" w:eastAsia="宋体" w:cs="宋体"/>
          <w:b/>
          <w:color w:val="auto"/>
          <w:sz w:val="32"/>
          <w:szCs w:val="32"/>
          <w:lang w:val="zh-CN"/>
        </w:rPr>
      </w:pPr>
    </w:p>
    <w:p>
      <w:pPr>
        <w:spacing w:line="240" w:lineRule="auto"/>
        <w:jc w:val="center"/>
        <w:rPr>
          <w:rFonts w:hint="eastAsia" w:ascii="宋体" w:hAnsi="宋体" w:eastAsia="宋体" w:cs="宋体"/>
          <w:b/>
          <w:color w:val="auto"/>
          <w:sz w:val="32"/>
          <w:szCs w:val="32"/>
          <w:lang w:val="zh-CN"/>
        </w:rPr>
      </w:pPr>
    </w:p>
    <w:p>
      <w:pPr>
        <w:spacing w:line="240" w:lineRule="auto"/>
        <w:jc w:val="center"/>
        <w:rPr>
          <w:rFonts w:hint="eastAsia" w:ascii="宋体" w:hAnsi="宋体" w:eastAsia="宋体" w:cs="宋体"/>
          <w:b/>
          <w:color w:val="auto"/>
          <w:sz w:val="32"/>
          <w:szCs w:val="32"/>
          <w:lang w:val="zh-CN"/>
        </w:rPr>
      </w:pPr>
    </w:p>
    <w:p>
      <w:pPr>
        <w:pStyle w:val="2"/>
        <w:rPr>
          <w:rFonts w:hint="eastAsia" w:ascii="宋体" w:hAnsi="宋体" w:eastAsia="宋体" w:cs="宋体"/>
          <w:color w:val="auto"/>
          <w:lang w:val="zh-CN"/>
        </w:rPr>
      </w:pPr>
    </w:p>
    <w:p>
      <w:pPr>
        <w:spacing w:line="240" w:lineRule="auto"/>
        <w:jc w:val="center"/>
        <w:rPr>
          <w:rFonts w:hint="eastAsia" w:ascii="宋体" w:hAnsi="宋体" w:eastAsia="宋体" w:cs="宋体"/>
          <w:b/>
          <w:color w:val="auto"/>
          <w:sz w:val="32"/>
          <w:szCs w:val="32"/>
          <w:lang w:val="zh-CN"/>
        </w:rPr>
      </w:pPr>
    </w:p>
    <w:p>
      <w:pPr>
        <w:spacing w:line="240" w:lineRule="auto"/>
        <w:jc w:val="center"/>
        <w:rPr>
          <w:rFonts w:hint="eastAsia" w:ascii="宋体" w:hAnsi="宋体" w:eastAsia="宋体" w:cs="宋体"/>
          <w:b/>
          <w:color w:val="auto"/>
          <w:sz w:val="32"/>
          <w:szCs w:val="32"/>
          <w:lang w:val="zh-CN"/>
        </w:rPr>
      </w:pPr>
    </w:p>
    <w:p>
      <w:pPr>
        <w:pStyle w:val="2"/>
        <w:rPr>
          <w:rFonts w:hint="eastAsia" w:ascii="宋体" w:hAnsi="宋体" w:eastAsia="宋体" w:cs="宋体"/>
          <w:color w:val="auto"/>
          <w:lang w:val="zh-CN"/>
        </w:rPr>
      </w:pPr>
    </w:p>
    <w:p>
      <w:pPr>
        <w:spacing w:line="240" w:lineRule="auto"/>
        <w:jc w:val="center"/>
        <w:rPr>
          <w:rFonts w:hint="eastAsia" w:ascii="宋体" w:hAnsi="宋体" w:eastAsia="宋体" w:cs="宋体"/>
          <w:b/>
          <w:color w:val="auto"/>
          <w:sz w:val="32"/>
          <w:szCs w:val="32"/>
          <w:lang w:val="zh-CN"/>
        </w:rPr>
      </w:pPr>
    </w:p>
    <w:tbl>
      <w:tblPr>
        <w:tblStyle w:val="25"/>
        <w:tblW w:w="0" w:type="auto"/>
        <w:jc w:val="center"/>
        <w:tblLayout w:type="fixed"/>
        <w:tblCellMar>
          <w:top w:w="0" w:type="dxa"/>
          <w:left w:w="108" w:type="dxa"/>
          <w:bottom w:w="0" w:type="dxa"/>
          <w:right w:w="108" w:type="dxa"/>
        </w:tblCellMar>
      </w:tblPr>
      <w:tblGrid>
        <w:gridCol w:w="8745"/>
      </w:tblGrid>
      <w:tr>
        <w:trPr>
          <w:jc w:val="center"/>
        </w:trPr>
        <w:tc>
          <w:tcPr>
            <w:tcW w:w="8745" w:type="dxa"/>
            <w:noWrap w:val="0"/>
            <w:vAlign w:val="center"/>
          </w:tcPr>
          <w:p>
            <w:pPr>
              <w:spacing w:line="360" w:lineRule="auto"/>
              <w:jc w:val="center"/>
              <w:rPr>
                <w:rFonts w:hint="eastAsia" w:ascii="黑体" w:hAnsi="黑体" w:eastAsia="黑体" w:cs="黑体"/>
                <w:b/>
                <w:bCs w:val="0"/>
                <w:color w:val="auto"/>
                <w:sz w:val="32"/>
                <w:szCs w:val="32"/>
                <w:lang w:eastAsia="zh-CN"/>
              </w:rPr>
            </w:pPr>
            <w:r>
              <w:rPr>
                <w:rFonts w:hint="eastAsia" w:ascii="黑体" w:hAnsi="黑体" w:eastAsia="黑体" w:cs="黑体"/>
                <w:b/>
                <w:bCs w:val="0"/>
                <w:color w:val="auto"/>
                <w:sz w:val="32"/>
                <w:szCs w:val="32"/>
              </w:rPr>
              <w:t>编制单位：</w:t>
            </w:r>
            <w:r>
              <w:rPr>
                <w:rFonts w:hint="eastAsia" w:ascii="黑体" w:hAnsi="黑体" w:eastAsia="黑体" w:cs="黑体"/>
                <w:b/>
                <w:bCs w:val="0"/>
                <w:color w:val="auto"/>
                <w:sz w:val="32"/>
                <w:szCs w:val="32"/>
                <w:lang w:eastAsia="zh-CN"/>
              </w:rPr>
              <w:t>埃夫科纳（南充）特种聚合物有限公司</w:t>
            </w:r>
          </w:p>
        </w:tc>
      </w:tr>
      <w:tr>
        <w:tblPrEx>
          <w:tblCellMar>
            <w:top w:w="0" w:type="dxa"/>
            <w:left w:w="108" w:type="dxa"/>
            <w:bottom w:w="0" w:type="dxa"/>
            <w:right w:w="108" w:type="dxa"/>
          </w:tblCellMar>
        </w:tblPrEx>
        <w:trPr>
          <w:jc w:val="center"/>
        </w:trPr>
        <w:tc>
          <w:tcPr>
            <w:tcW w:w="8745" w:type="dxa"/>
            <w:noWrap w:val="0"/>
            <w:vAlign w:val="center"/>
          </w:tcPr>
          <w:p>
            <w:pPr>
              <w:spacing w:line="360" w:lineRule="auto"/>
              <w:jc w:val="center"/>
              <w:rPr>
                <w:rFonts w:hint="eastAsia" w:ascii="黑体" w:hAnsi="黑体" w:eastAsia="黑体" w:cs="黑体"/>
                <w:b/>
                <w:bCs w:val="0"/>
                <w:color w:val="auto"/>
                <w:sz w:val="32"/>
                <w:szCs w:val="32"/>
                <w:lang w:eastAsia="zh-CN"/>
              </w:rPr>
            </w:pPr>
            <w:r>
              <w:rPr>
                <w:rFonts w:hint="eastAsia" w:ascii="黑体" w:hAnsi="黑体" w:eastAsia="黑体" w:cs="黑体"/>
                <w:b/>
                <w:bCs w:val="0"/>
                <w:color w:val="auto"/>
                <w:sz w:val="32"/>
                <w:szCs w:val="32"/>
              </w:rPr>
              <w:t>颁布时间：</w:t>
            </w:r>
            <w:r>
              <w:rPr>
                <w:rFonts w:hint="eastAsia" w:ascii="黑体" w:hAnsi="黑体" w:eastAsia="黑体" w:cs="黑体"/>
                <w:b/>
                <w:bCs w:val="0"/>
                <w:color w:val="auto"/>
                <w:sz w:val="32"/>
                <w:szCs w:val="32"/>
                <w:lang w:eastAsia="zh-CN"/>
              </w:rPr>
              <w:t>2021年7月</w:t>
            </w:r>
            <w:r>
              <w:rPr>
                <w:rFonts w:hint="eastAsia" w:ascii="黑体" w:hAnsi="黑体" w:eastAsia="黑体" w:cs="黑体"/>
                <w:b/>
                <w:bCs w:val="0"/>
                <w:color w:val="auto"/>
                <w:sz w:val="32"/>
                <w:szCs w:val="32"/>
                <w:lang w:val="en-US" w:eastAsia="zh-CN"/>
              </w:rPr>
              <w:t>21</w:t>
            </w:r>
            <w:r>
              <w:rPr>
                <w:rFonts w:hint="eastAsia" w:ascii="黑体" w:hAnsi="黑体" w:eastAsia="黑体" w:cs="黑体"/>
                <w:b/>
                <w:bCs w:val="0"/>
                <w:color w:val="auto"/>
                <w:sz w:val="32"/>
                <w:szCs w:val="32"/>
                <w:lang w:eastAsia="zh-CN"/>
              </w:rPr>
              <w:t>日</w:t>
            </w:r>
          </w:p>
        </w:tc>
      </w:tr>
    </w:tbl>
    <w:p>
      <w:pPr>
        <w:rPr>
          <w:rFonts w:hint="eastAsia" w:ascii="宋体" w:hAnsi="宋体" w:eastAsia="宋体" w:cs="宋体"/>
          <w:color w:val="auto"/>
        </w:rPr>
        <w:sectPr>
          <w:pgSz w:w="11906" w:h="16838"/>
          <w:pgMar w:top="1417" w:right="1417" w:bottom="1417" w:left="1417" w:header="851" w:footer="992" w:gutter="0"/>
          <w:cols w:space="425" w:num="1"/>
          <w:docGrid w:type="lines" w:linePitch="312" w:charSpace="0"/>
        </w:sectPr>
      </w:pPr>
    </w:p>
    <w:p>
      <w:pPr>
        <w:jc w:val="center"/>
        <w:rPr>
          <w:rFonts w:hint="eastAsia" w:ascii="宋体" w:hAnsi="宋体"/>
          <w:b/>
          <w:sz w:val="36"/>
          <w:szCs w:val="36"/>
        </w:rPr>
      </w:pPr>
      <w:r>
        <w:rPr>
          <w:rFonts w:hint="eastAsia" w:ascii="宋体" w:hAnsi="宋体"/>
          <w:b/>
          <w:sz w:val="36"/>
          <w:szCs w:val="36"/>
        </w:rPr>
        <w:t>生产经营单位生产安全事故应急预案备案申请表</w:t>
      </w:r>
    </w:p>
    <w:p>
      <w:pPr>
        <w:pStyle w:val="2"/>
        <w:rPr>
          <w:rFonts w:hint="eastAsia"/>
        </w:rPr>
      </w:pPr>
    </w:p>
    <w:tbl>
      <w:tblPr>
        <w:tblStyle w:val="25"/>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413"/>
        <w:gridCol w:w="4230"/>
        <w:gridCol w:w="1343"/>
        <w:gridCol w:w="230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761" w:type="pct"/>
            <w:tcBorders>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单位名称</w:t>
            </w:r>
          </w:p>
        </w:tc>
        <w:tc>
          <w:tcPr>
            <w:tcW w:w="4238" w:type="pct"/>
            <w:gridSpan w:val="3"/>
            <w:tcBorders>
              <w:left w:val="single" w:color="auto" w:sz="2" w:space="0"/>
              <w:bottom w:val="single" w:color="auto" w:sz="2" w:space="0"/>
            </w:tcBorders>
            <w:noWrap w:val="0"/>
            <w:vAlign w:val="center"/>
          </w:tcPr>
          <w:p>
            <w:pPr>
              <w:jc w:val="center"/>
              <w:rPr>
                <w:rFonts w:hint="eastAsia" w:ascii="宋体" w:hAnsi="宋体" w:eastAsia="宋体" w:cs="宋体"/>
                <w:snapToGrid w:val="0"/>
                <w:sz w:val="24"/>
              </w:rPr>
            </w:pPr>
            <w:r>
              <w:rPr>
                <w:rFonts w:hint="eastAsia" w:ascii="宋体" w:hAnsi="宋体" w:eastAsia="宋体" w:cs="宋体"/>
                <w:sz w:val="24"/>
              </w:rPr>
              <w:t>埃夫科纳（南充）特种聚合物有限公司</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761" w:type="pct"/>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pacing w:val="60"/>
                <w:kern w:val="0"/>
                <w:sz w:val="24"/>
              </w:rPr>
              <w:t>联系</w:t>
            </w:r>
            <w:r>
              <w:rPr>
                <w:rFonts w:hint="eastAsia" w:ascii="宋体" w:hAnsi="宋体" w:eastAsia="宋体" w:cs="宋体"/>
                <w:b/>
                <w:spacing w:val="1"/>
                <w:kern w:val="0"/>
                <w:sz w:val="24"/>
              </w:rPr>
              <w:t>人</w:t>
            </w:r>
          </w:p>
        </w:tc>
        <w:tc>
          <w:tcPr>
            <w:tcW w:w="2277"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孙迎春</w:t>
            </w:r>
          </w:p>
        </w:tc>
        <w:tc>
          <w:tcPr>
            <w:tcW w:w="723"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联系电话</w:t>
            </w:r>
          </w:p>
        </w:tc>
        <w:tc>
          <w:tcPr>
            <w:tcW w:w="1237" w:type="pct"/>
            <w:tcBorders>
              <w:top w:val="single" w:color="auto" w:sz="2" w:space="0"/>
              <w:left w:val="single" w:color="auto" w:sz="2" w:space="0"/>
              <w:bottom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 xml:space="preserve">13882232577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761" w:type="pct"/>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电话</w:t>
            </w:r>
          </w:p>
        </w:tc>
        <w:tc>
          <w:tcPr>
            <w:tcW w:w="2277"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0817-3811217</w:t>
            </w:r>
          </w:p>
        </w:tc>
        <w:tc>
          <w:tcPr>
            <w:tcW w:w="723"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电子信箱</w:t>
            </w:r>
          </w:p>
        </w:tc>
        <w:tc>
          <w:tcPr>
            <w:tcW w:w="1237" w:type="pct"/>
            <w:tcBorders>
              <w:top w:val="single" w:color="auto" w:sz="2" w:space="0"/>
              <w:left w:val="single" w:color="auto" w:sz="2" w:space="0"/>
              <w:bottom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761" w:type="pct"/>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负责人</w:t>
            </w:r>
          </w:p>
        </w:tc>
        <w:tc>
          <w:tcPr>
            <w:tcW w:w="2277"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李小华</w:t>
            </w:r>
          </w:p>
        </w:tc>
        <w:tc>
          <w:tcPr>
            <w:tcW w:w="723"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资产总额</w:t>
            </w:r>
          </w:p>
        </w:tc>
        <w:tc>
          <w:tcPr>
            <w:tcW w:w="1237" w:type="pct"/>
            <w:tcBorders>
              <w:top w:val="single" w:color="auto" w:sz="2" w:space="0"/>
              <w:left w:val="single" w:color="auto" w:sz="2" w:space="0"/>
              <w:bottom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6600万元</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761" w:type="pct"/>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行业类型</w:t>
            </w:r>
          </w:p>
        </w:tc>
        <w:tc>
          <w:tcPr>
            <w:tcW w:w="2277"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化工</w:t>
            </w:r>
          </w:p>
        </w:tc>
        <w:tc>
          <w:tcPr>
            <w:tcW w:w="723" w:type="pct"/>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从业人数</w:t>
            </w:r>
          </w:p>
        </w:tc>
        <w:tc>
          <w:tcPr>
            <w:tcW w:w="1237" w:type="pct"/>
            <w:tcBorders>
              <w:top w:val="single" w:color="auto" w:sz="2" w:space="0"/>
              <w:left w:val="single" w:color="auto" w:sz="2" w:space="0"/>
              <w:bottom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150人</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761" w:type="pct"/>
            <w:tcBorders>
              <w:top w:val="single" w:color="auto" w:sz="2" w:space="0"/>
              <w:bottom w:val="single" w:color="auto" w:sz="1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单位地址</w:t>
            </w:r>
          </w:p>
        </w:tc>
        <w:tc>
          <w:tcPr>
            <w:tcW w:w="2277" w:type="pct"/>
            <w:tcBorders>
              <w:top w:val="single" w:color="auto" w:sz="2" w:space="0"/>
              <w:left w:val="single" w:color="auto" w:sz="2" w:space="0"/>
              <w:bottom w:val="single" w:color="auto" w:sz="12" w:space="0"/>
              <w:right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南充市嘉陵区河西镇指北路1号</w:t>
            </w:r>
          </w:p>
        </w:tc>
        <w:tc>
          <w:tcPr>
            <w:tcW w:w="723" w:type="pct"/>
            <w:tcBorders>
              <w:top w:val="single" w:color="auto" w:sz="2" w:space="0"/>
              <w:left w:val="single" w:color="auto" w:sz="2" w:space="0"/>
              <w:bottom w:val="single" w:color="auto" w:sz="12" w:space="0"/>
              <w:right w:val="single" w:color="auto" w:sz="2"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邮政编码</w:t>
            </w:r>
          </w:p>
        </w:tc>
        <w:tc>
          <w:tcPr>
            <w:tcW w:w="1237" w:type="pct"/>
            <w:tcBorders>
              <w:top w:val="single" w:color="auto" w:sz="2" w:space="0"/>
              <w:left w:val="single" w:color="auto" w:sz="2" w:space="0"/>
              <w:bottom w:val="single" w:color="auto" w:sz="12" w:space="0"/>
            </w:tcBorders>
            <w:noWrap w:val="0"/>
            <w:vAlign w:val="center"/>
          </w:tcPr>
          <w:p>
            <w:pPr>
              <w:jc w:val="center"/>
              <w:rPr>
                <w:rFonts w:hint="eastAsia" w:ascii="宋体" w:hAnsi="宋体" w:eastAsia="宋体" w:cs="宋体"/>
                <w:sz w:val="24"/>
              </w:rPr>
            </w:pPr>
            <w:r>
              <w:rPr>
                <w:rFonts w:hint="eastAsia" w:ascii="宋体" w:hAnsi="宋体" w:eastAsia="宋体" w:cs="宋体"/>
                <w:sz w:val="24"/>
              </w:rPr>
              <w:t>637000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463" w:hRule="atLeast"/>
          <w:jc w:val="center"/>
        </w:trPr>
        <w:tc>
          <w:tcPr>
            <w:tcW w:w="5000" w:type="pct"/>
            <w:gridSpan w:val="4"/>
            <w:tcBorders>
              <w:top w:val="single" w:color="auto" w:sz="12" w:space="0"/>
            </w:tcBorders>
            <w:noWrap w:val="0"/>
            <w:vAlign w:val="center"/>
          </w:tcPr>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根据《生产安全事故应急预案管理办法》，《生产经营单位生产安全事故应急预案编制导则》等法律法规，现将我单位编制的：</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综合应急预案：</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埃夫科纳（南充）特种聚合物有限公司生产安全事故综合应急预案。</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专项应急救援预案：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1、火灾、爆炸事故专项应急救援预案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2、容器爆炸事故专项应急救援预案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3、危险化学品泄漏事故专项应急预案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4、有限空间事故专项应急预案</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1、火灾事故现场处置方案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2、危险化学品泄漏现场处置方案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3、触电事故现场处置方案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4、灼烫事故现场处置方案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5、冻伤事故现场处置方案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6、机械伤害事故现场处置方案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7、高处坠落事故现场处置方案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8、物体打击事故现场处置方案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9、车辆伤害事故现场处置方案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10、中毒和窒息事故现场处置方案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11、淹溺事故现场处置方案</w:t>
            </w:r>
          </w:p>
          <w:p>
            <w:pPr>
              <w:pStyle w:val="55"/>
              <w:spacing w:after="0"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现将相关备案材料报上，请予备案。</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本单位承诺，本单位在办理备案中所提供的相关文件及其信息均经本单位确认真实，无虚假，且未隐瞒事实。</w:t>
            </w:r>
          </w:p>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 xml:space="preserve">                             </w:t>
            </w:r>
          </w:p>
          <w:p>
            <w:pPr>
              <w:spacing w:line="360" w:lineRule="auto"/>
              <w:jc w:val="center"/>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（单位公章）</w:t>
            </w:r>
          </w:p>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 xml:space="preserve">             2021  年  7月 25 日</w:t>
            </w:r>
          </w:p>
          <w:p>
            <w:pPr>
              <w:pStyle w:val="2"/>
              <w:rPr>
                <w:rFonts w:hint="eastAsia" w:ascii="宋体" w:hAnsi="宋体" w:eastAsia="宋体" w:cs="宋体"/>
                <w:b/>
                <w:sz w:val="28"/>
                <w:szCs w:val="28"/>
              </w:rPr>
            </w:pPr>
          </w:p>
          <w:p>
            <w:pPr>
              <w:pStyle w:val="2"/>
              <w:rPr>
                <w:rFonts w:hint="eastAsia" w:ascii="宋体" w:hAnsi="宋体" w:eastAsia="宋体" w:cs="宋体"/>
                <w:b/>
                <w:sz w:val="28"/>
                <w:szCs w:val="28"/>
              </w:rPr>
            </w:pPr>
          </w:p>
          <w:p>
            <w:pPr>
              <w:pStyle w:val="2"/>
              <w:rPr>
                <w:rFonts w:hint="eastAsia" w:ascii="宋体" w:hAnsi="宋体" w:eastAsia="宋体" w:cs="宋体"/>
                <w:b/>
                <w:sz w:val="28"/>
                <w:szCs w:val="28"/>
              </w:rPr>
            </w:pPr>
          </w:p>
          <w:p>
            <w:pPr>
              <w:pStyle w:val="2"/>
              <w:rPr>
                <w:rFonts w:hint="eastAsia" w:ascii="宋体" w:hAnsi="宋体" w:eastAsia="宋体" w:cs="宋体"/>
                <w:b/>
                <w:sz w:val="28"/>
                <w:szCs w:val="28"/>
              </w:rPr>
            </w:pPr>
          </w:p>
          <w:p>
            <w:pPr>
              <w:pStyle w:val="2"/>
              <w:rPr>
                <w:rFonts w:hint="eastAsia" w:ascii="宋体" w:hAnsi="宋体" w:eastAsia="宋体" w:cs="宋体"/>
                <w:b/>
                <w:sz w:val="28"/>
                <w:szCs w:val="28"/>
              </w:rPr>
            </w:pPr>
          </w:p>
          <w:p>
            <w:pPr>
              <w:pStyle w:val="2"/>
              <w:rPr>
                <w:rFonts w:hint="eastAsia" w:ascii="宋体" w:hAnsi="宋体" w:eastAsia="宋体" w:cs="宋体"/>
                <w:b/>
                <w:sz w:val="28"/>
                <w:szCs w:val="28"/>
              </w:rPr>
            </w:pPr>
          </w:p>
          <w:p>
            <w:pPr>
              <w:pStyle w:val="2"/>
              <w:rPr>
                <w:rFonts w:hint="eastAsia" w:ascii="宋体" w:hAnsi="宋体" w:eastAsia="宋体" w:cs="宋体"/>
                <w:b/>
                <w:sz w:val="28"/>
                <w:szCs w:val="28"/>
              </w:rPr>
            </w:pPr>
          </w:p>
        </w:tc>
      </w:tr>
    </w:tbl>
    <w:p>
      <w:pPr>
        <w:jc w:val="center"/>
        <w:rPr>
          <w:rFonts w:hint="eastAsia" w:ascii="黑体" w:hAnsi="黑体" w:eastAsia="黑体" w:cs="黑体"/>
          <w:sz w:val="44"/>
          <w:szCs w:val="44"/>
        </w:rPr>
      </w:pPr>
      <w:r>
        <w:rPr>
          <w:rFonts w:hint="eastAsia" w:ascii="宋体" w:hAnsi="宋体" w:eastAsia="宋体" w:cs="宋体"/>
          <w:b/>
          <w:color w:val="auto"/>
          <w:sz w:val="44"/>
          <w:szCs w:val="44"/>
        </w:rPr>
        <w:br w:type="page"/>
      </w:r>
      <w:bookmarkStart w:id="0" w:name="_Toc217359204"/>
    </w:p>
    <w:p>
      <w:pPr>
        <w:jc w:val="center"/>
        <w:rPr>
          <w:rFonts w:hint="eastAsia" w:ascii="黑体" w:hAnsi="黑体" w:eastAsia="黑体" w:cs="黑体"/>
          <w:sz w:val="44"/>
          <w:szCs w:val="44"/>
        </w:rPr>
      </w:pPr>
    </w:p>
    <w:p>
      <w:pPr>
        <w:pStyle w:val="11"/>
        <w:rPr>
          <w:rFonts w:hint="eastAsia"/>
        </w:rPr>
      </w:pPr>
    </w:p>
    <w:p>
      <w:pPr>
        <w:jc w:val="center"/>
        <w:rPr>
          <w:rFonts w:hint="eastAsia" w:ascii="黑体" w:hAnsi="黑体" w:eastAsia="黑体" w:cs="黑体"/>
          <w:sz w:val="44"/>
          <w:szCs w:val="44"/>
        </w:rPr>
      </w:pPr>
      <w:r>
        <w:rPr>
          <w:rFonts w:hint="eastAsia" w:ascii="黑体" w:hAnsi="黑体" w:eastAsia="黑体" w:cs="黑体"/>
          <w:sz w:val="44"/>
          <w:szCs w:val="44"/>
        </w:rPr>
        <w:t>生产安全事故应急预案</w:t>
      </w:r>
    </w:p>
    <w:p>
      <w:pPr>
        <w:jc w:val="center"/>
        <w:rPr>
          <w:rFonts w:hint="eastAsia" w:ascii="黑体" w:hAnsi="黑体" w:eastAsia="黑体" w:cs="黑体"/>
          <w:sz w:val="44"/>
          <w:szCs w:val="44"/>
          <w:lang w:eastAsia="zh-CN"/>
        </w:rPr>
      </w:pPr>
      <w:r>
        <w:rPr>
          <w:rFonts w:hint="eastAsia" w:ascii="黑体" w:hAnsi="黑体" w:eastAsia="黑体" w:cs="黑体"/>
          <w:sz w:val="44"/>
          <w:szCs w:val="44"/>
        </w:rPr>
        <w:t>专家组会议评审意见</w:t>
      </w:r>
      <w:r>
        <w:rPr>
          <w:rFonts w:hint="eastAsia" w:ascii="黑体" w:hAnsi="黑体" w:eastAsia="黑体" w:cs="黑体"/>
          <w:sz w:val="44"/>
          <w:szCs w:val="44"/>
          <w:lang w:eastAsia="zh-CN"/>
        </w:rPr>
        <w:t>表</w:t>
      </w:r>
    </w:p>
    <w:p>
      <w:pPr>
        <w:jc w:val="center"/>
        <w:rPr>
          <w:rFonts w:hint="eastAsia" w:ascii="黑体" w:hAnsi="黑体" w:eastAsia="黑体" w:cs="黑体"/>
          <w:sz w:val="44"/>
          <w:szCs w:val="44"/>
        </w:rPr>
      </w:pPr>
    </w:p>
    <w:p>
      <w:pPr>
        <w:jc w:val="both"/>
        <w:rPr>
          <w:rFonts w:hint="eastAsia" w:ascii="黑体" w:hAnsi="黑体" w:eastAsia="黑体" w:cs="黑体"/>
          <w:sz w:val="44"/>
          <w:szCs w:val="44"/>
        </w:rPr>
      </w:pPr>
    </w:p>
    <w:p>
      <w:pPr>
        <w:jc w:val="both"/>
        <w:rPr>
          <w:rFonts w:hint="eastAsia" w:ascii="黑体" w:hAnsi="黑体" w:eastAsia="黑体" w:cs="黑体"/>
          <w:sz w:val="44"/>
          <w:szCs w:val="44"/>
        </w:rPr>
      </w:pPr>
    </w:p>
    <w:p>
      <w:pPr>
        <w:jc w:val="both"/>
        <w:rPr>
          <w:rFonts w:hint="eastAsia" w:ascii="黑体" w:hAnsi="黑体" w:eastAsia="黑体" w:cs="黑体"/>
          <w:sz w:val="44"/>
          <w:szCs w:val="44"/>
        </w:rPr>
      </w:pPr>
    </w:p>
    <w:p>
      <w:pPr>
        <w:pStyle w:val="11"/>
        <w:rPr>
          <w:rFonts w:hint="eastAsia" w:ascii="黑体" w:hAnsi="黑体" w:eastAsia="黑体" w:cs="黑体"/>
          <w:sz w:val="44"/>
          <w:szCs w:val="44"/>
        </w:rPr>
      </w:pPr>
    </w:p>
    <w:p>
      <w:pPr>
        <w:rPr>
          <w:rFonts w:hint="eastAsia"/>
        </w:rPr>
      </w:pPr>
    </w:p>
    <w:p>
      <w:pPr>
        <w:jc w:val="both"/>
        <w:rPr>
          <w:rFonts w:hint="eastAsia" w:ascii="黑体" w:hAnsi="黑体" w:eastAsia="黑体" w:cs="黑体"/>
          <w:sz w:val="44"/>
          <w:szCs w:val="44"/>
        </w:rPr>
      </w:pPr>
    </w:p>
    <w:p>
      <w:pPr>
        <w:spacing w:line="360" w:lineRule="auto"/>
        <w:ind w:firstLine="643" w:firstLineChars="200"/>
        <w:jc w:val="both"/>
        <w:rPr>
          <w:rFonts w:hint="default"/>
          <w:b/>
          <w:bCs/>
          <w:color w:val="auto"/>
          <w:sz w:val="32"/>
          <w:szCs w:val="32"/>
          <w:u w:val="single"/>
          <w:lang w:val="en-US" w:eastAsia="zh-CN"/>
        </w:rPr>
      </w:pPr>
      <w:r>
        <w:rPr>
          <w:rFonts w:hint="eastAsia" w:ascii="黑体" w:hAnsi="黑体" w:eastAsia="黑体" w:cs="黑体"/>
          <w:b/>
          <w:bCs/>
          <w:sz w:val="32"/>
          <w:szCs w:val="32"/>
        </w:rPr>
        <w:t>企业名称</w:t>
      </w:r>
      <w:r>
        <w:rPr>
          <w:rFonts w:hint="eastAsia" w:ascii="黑体" w:hAnsi="黑体" w:eastAsia="黑体" w:cs="黑体"/>
          <w:b/>
          <w:bCs/>
          <w:sz w:val="32"/>
          <w:szCs w:val="32"/>
          <w:lang w:eastAsia="zh-CN"/>
        </w:rPr>
        <w:t>：</w:t>
      </w:r>
      <w:r>
        <w:rPr>
          <w:rFonts w:hint="eastAsia" w:ascii="Calibri" w:hAnsi="Calibri" w:eastAsia="宋体" w:cs="Times New Roman"/>
          <w:b/>
          <w:bCs/>
          <w:color w:val="auto"/>
          <w:sz w:val="32"/>
          <w:szCs w:val="32"/>
          <w:u w:val="thick"/>
          <w:lang w:val="en-US" w:eastAsia="zh-CN"/>
        </w:rPr>
        <w:t>埃夫科纳（南充）特种聚合物有限公司</w:t>
      </w:r>
    </w:p>
    <w:p>
      <w:pPr>
        <w:ind w:firstLine="643" w:firstLineChars="200"/>
        <w:jc w:val="both"/>
        <w:rPr>
          <w:rFonts w:hint="default"/>
          <w:b/>
          <w:bCs/>
          <w:color w:val="auto"/>
          <w:sz w:val="32"/>
          <w:szCs w:val="32"/>
          <w:u w:val="thick"/>
          <w:lang w:val="en-US" w:eastAsia="zh-CN"/>
        </w:rPr>
      </w:pPr>
      <w:r>
        <w:rPr>
          <w:rFonts w:hint="eastAsia" w:ascii="黑体" w:hAnsi="黑体" w:eastAsia="黑体" w:cs="黑体"/>
          <w:b/>
          <w:bCs/>
          <w:sz w:val="32"/>
          <w:szCs w:val="32"/>
        </w:rPr>
        <w:t>预案名称：</w:t>
      </w:r>
      <w:r>
        <w:rPr>
          <w:rFonts w:hint="eastAsia" w:ascii="Calibri" w:hAnsi="Calibri" w:eastAsia="宋体" w:cs="Times New Roman"/>
          <w:b/>
          <w:bCs/>
          <w:color w:val="auto"/>
          <w:sz w:val="32"/>
          <w:szCs w:val="32"/>
          <w:u w:val="thick"/>
          <w:lang w:val="en-US" w:eastAsia="zh-CN"/>
        </w:rPr>
        <w:t xml:space="preserve">    </w:t>
      </w:r>
      <w:r>
        <w:rPr>
          <w:rFonts w:hint="eastAsia" w:ascii="Calibri" w:hAnsi="Calibri" w:eastAsia="宋体" w:cs="Times New Roman"/>
          <w:b/>
          <w:bCs/>
          <w:color w:val="auto"/>
          <w:sz w:val="32"/>
          <w:szCs w:val="32"/>
          <w:u w:val="thick"/>
          <w:lang w:val="en-US" w:eastAsia="zh-CN"/>
        </w:rPr>
        <w:t xml:space="preserve">《生产安全事故应急预案》      </w:t>
      </w:r>
    </w:p>
    <w:p>
      <w:pPr>
        <w:ind w:firstLine="643" w:firstLineChars="200"/>
        <w:jc w:val="both"/>
        <w:rPr>
          <w:rFonts w:hint="eastAsia"/>
          <w:b/>
          <w:bCs/>
          <w:color w:val="auto"/>
          <w:sz w:val="32"/>
          <w:szCs w:val="32"/>
          <w:u w:val="single"/>
          <w:lang w:val="en-US" w:eastAsia="zh-CN"/>
        </w:rPr>
      </w:pPr>
      <w:r>
        <w:rPr>
          <w:rFonts w:hint="eastAsia" w:ascii="黑体" w:hAnsi="黑体" w:eastAsia="黑体" w:cs="黑体"/>
          <w:b/>
          <w:bCs/>
          <w:sz w:val="32"/>
          <w:szCs w:val="32"/>
        </w:rPr>
        <w:t>评审日期：</w:t>
      </w:r>
      <w:r>
        <w:rPr>
          <w:rFonts w:hint="eastAsia" w:ascii="Calibri" w:hAnsi="Calibri" w:eastAsia="宋体" w:cs="Times New Roman"/>
          <w:b/>
          <w:bCs/>
          <w:color w:val="auto"/>
          <w:sz w:val="32"/>
          <w:szCs w:val="32"/>
          <w:u w:val="thick"/>
          <w:lang w:val="en-US" w:eastAsia="zh-CN"/>
        </w:rPr>
        <w:t xml:space="preserve">       </w:t>
      </w:r>
      <w:r>
        <w:rPr>
          <w:rFonts w:hint="eastAsia" w:ascii="Calibri" w:hAnsi="Calibri" w:eastAsia="宋体" w:cs="Times New Roman"/>
          <w:b/>
          <w:bCs/>
          <w:color w:val="auto"/>
          <w:sz w:val="32"/>
          <w:szCs w:val="32"/>
          <w:u w:val="thick"/>
          <w:lang w:val="en-US" w:eastAsia="zh-CN"/>
        </w:rPr>
        <w:t xml:space="preserve"> 2021年7月20日          </w:t>
      </w:r>
    </w:p>
    <w:p>
      <w:pPr>
        <w:ind w:firstLine="643" w:firstLineChars="200"/>
        <w:jc w:val="both"/>
        <w:rPr>
          <w:rFonts w:hint="default"/>
          <w:b/>
          <w:bCs/>
          <w:color w:val="auto"/>
          <w:sz w:val="32"/>
          <w:szCs w:val="32"/>
          <w:u w:val="single"/>
          <w:lang w:val="en-US" w:eastAsia="zh-CN"/>
        </w:rPr>
      </w:pPr>
      <w:r>
        <w:rPr>
          <w:rFonts w:hint="eastAsia" w:ascii="黑体" w:hAnsi="黑体" w:eastAsia="黑体" w:cs="黑体"/>
          <w:b/>
          <w:bCs/>
          <w:sz w:val="32"/>
          <w:szCs w:val="32"/>
        </w:rPr>
        <w:t>评审地点：</w:t>
      </w:r>
      <w:r>
        <w:rPr>
          <w:rFonts w:hint="eastAsia" w:ascii="Calibri" w:hAnsi="Calibri" w:eastAsia="宋体" w:cs="Times New Roman"/>
          <w:b/>
          <w:bCs/>
          <w:color w:val="auto"/>
          <w:sz w:val="32"/>
          <w:szCs w:val="32"/>
          <w:u w:val="thick"/>
          <w:lang w:val="en-US" w:eastAsia="zh-CN"/>
        </w:rPr>
        <w:t>埃夫科纳（南充）特种聚合物有限公司</w:t>
      </w:r>
    </w:p>
    <w:p>
      <w:pPr>
        <w:pStyle w:val="58"/>
        <w:spacing w:line="360" w:lineRule="auto"/>
        <w:ind w:firstLine="0" w:firstLineChars="0"/>
        <w:rPr>
          <w:rFonts w:hint="eastAsia" w:ascii="仿宋_GB2312" w:eastAsia="仿宋_GB2312"/>
          <w:sz w:val="32"/>
        </w:rPr>
      </w:pPr>
    </w:p>
    <w:p>
      <w:pPr>
        <w:pStyle w:val="59"/>
        <w:numPr>
          <w:ilvl w:val="0"/>
          <w:numId w:val="0"/>
        </w:numPr>
        <w:spacing w:after="0" w:line="500" w:lineRule="exact"/>
        <w:jc w:val="center"/>
        <w:rPr>
          <w:rFonts w:hint="eastAsia"/>
          <w:b/>
          <w:sz w:val="28"/>
        </w:rPr>
      </w:pPr>
    </w:p>
    <w:p>
      <w:pPr>
        <w:pStyle w:val="59"/>
        <w:numPr>
          <w:ilvl w:val="0"/>
          <w:numId w:val="0"/>
        </w:numPr>
        <w:spacing w:after="0" w:line="500" w:lineRule="exact"/>
        <w:jc w:val="center"/>
        <w:rPr>
          <w:rFonts w:hint="eastAsia"/>
          <w:b/>
          <w:sz w:val="28"/>
        </w:rPr>
      </w:pPr>
    </w:p>
    <w:p>
      <w:pPr>
        <w:pStyle w:val="59"/>
        <w:numPr>
          <w:ilvl w:val="0"/>
          <w:numId w:val="0"/>
        </w:numPr>
        <w:spacing w:after="0" w:line="500" w:lineRule="exact"/>
        <w:jc w:val="center"/>
        <w:rPr>
          <w:rFonts w:hint="eastAsia"/>
          <w:b/>
          <w:sz w:val="28"/>
        </w:rPr>
      </w:pPr>
    </w:p>
    <w:p>
      <w:pPr>
        <w:pStyle w:val="59"/>
        <w:numPr>
          <w:ilvl w:val="0"/>
          <w:numId w:val="0"/>
        </w:numPr>
        <w:spacing w:after="0" w:line="500" w:lineRule="exact"/>
        <w:jc w:val="center"/>
        <w:rPr>
          <w:rFonts w:hint="eastAsia"/>
          <w:b/>
          <w:sz w:val="28"/>
        </w:rPr>
      </w:pPr>
    </w:p>
    <w:p>
      <w:pPr>
        <w:pStyle w:val="59"/>
        <w:numPr>
          <w:ilvl w:val="0"/>
          <w:numId w:val="0"/>
        </w:numPr>
        <w:spacing w:after="0" w:line="500" w:lineRule="exact"/>
        <w:jc w:val="center"/>
        <w:rPr>
          <w:rFonts w:hint="eastAsia"/>
          <w:b/>
          <w:sz w:val="28"/>
        </w:rPr>
      </w:pPr>
    </w:p>
    <w:p>
      <w:pPr>
        <w:pStyle w:val="59"/>
        <w:numPr>
          <w:ilvl w:val="0"/>
          <w:numId w:val="0"/>
        </w:numPr>
        <w:spacing w:after="0" w:line="500" w:lineRule="exact"/>
        <w:jc w:val="center"/>
        <w:rPr>
          <w:rFonts w:hint="eastAsia"/>
          <w:b/>
          <w:sz w:val="28"/>
        </w:rPr>
      </w:pPr>
    </w:p>
    <w:bookmarkEnd w:id="0"/>
    <w:p>
      <w:pPr>
        <w:rPr>
          <w:rFonts w:hint="eastAsia" w:hAnsi="宋体" w:eastAsia="宋体" w:cs="宋体"/>
          <w:b/>
          <w:bCs/>
          <w:sz w:val="36"/>
          <w:szCs w:val="36"/>
          <w:lang w:val="en-US" w:eastAsia="zh-CN"/>
        </w:rPr>
      </w:pPr>
      <w:r>
        <w:rPr>
          <w:rFonts w:hint="eastAsia" w:hAnsi="宋体" w:eastAsia="宋体" w:cs="宋体"/>
          <w:b/>
          <w:bCs/>
          <w:sz w:val="36"/>
          <w:szCs w:val="36"/>
          <w:lang w:val="en-US" w:eastAsia="zh-CN"/>
        </w:rPr>
        <w:br w:type="page"/>
      </w: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0" w:firstLineChars="0"/>
        <w:jc w:val="center"/>
        <w:textAlignment w:val="auto"/>
        <w:rPr>
          <w:rFonts w:hint="eastAsia" w:hAnsi="宋体" w:eastAsia="宋体" w:cs="宋体"/>
          <w:b/>
          <w:bCs/>
          <w:sz w:val="36"/>
          <w:szCs w:val="36"/>
          <w:lang w:val="en-US" w:eastAsia="zh-CN"/>
        </w:rPr>
      </w:pPr>
      <w:r>
        <w:rPr>
          <w:rFonts w:hint="eastAsia" w:hAnsi="宋体" w:eastAsia="宋体" w:cs="宋体"/>
          <w:b/>
          <w:bCs/>
          <w:sz w:val="36"/>
          <w:szCs w:val="36"/>
          <w:lang w:val="en-US" w:eastAsia="zh-CN"/>
        </w:rPr>
        <w:t>生产安全事故应急预案专家组会议评审意见</w:t>
      </w:r>
    </w:p>
    <w:tbl>
      <w:tblPr>
        <w:tblStyle w:val="25"/>
        <w:tblW w:w="9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35"/>
        <w:gridCol w:w="1740"/>
        <w:gridCol w:w="2280"/>
        <w:gridCol w:w="1439"/>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708" w:type="dxa"/>
            <w:noWrap w:val="0"/>
            <w:vAlign w:val="center"/>
          </w:tcPr>
          <w:p>
            <w:pPr>
              <w:spacing w:line="440" w:lineRule="exact"/>
              <w:rPr>
                <w:rFonts w:hint="eastAsia" w:ascii="宋体" w:hAnsi="宋体" w:cs="宋体"/>
                <w:sz w:val="24"/>
              </w:rPr>
            </w:pPr>
            <w:r>
              <w:rPr>
                <w:rFonts w:hint="eastAsia" w:ascii="宋体" w:hAnsi="宋体" w:cs="宋体"/>
                <w:sz w:val="24"/>
              </w:rPr>
              <w:t>评审预案名称</w:t>
            </w:r>
          </w:p>
        </w:tc>
        <w:tc>
          <w:tcPr>
            <w:tcW w:w="8172" w:type="dxa"/>
            <w:gridSpan w:val="5"/>
            <w:noWrap w:val="0"/>
            <w:vAlign w:val="center"/>
          </w:tcPr>
          <w:p>
            <w:pPr>
              <w:spacing w:line="360" w:lineRule="auto"/>
              <w:jc w:val="both"/>
              <w:rPr>
                <w:rFonts w:hint="eastAsia" w:ascii="宋体" w:hAnsi="宋体" w:cs="宋体"/>
                <w:bCs/>
                <w:caps/>
                <w:color w:val="0000FF"/>
                <w:sz w:val="24"/>
                <w:u w:val="single"/>
              </w:rPr>
            </w:pPr>
            <w:r>
              <w:rPr>
                <w:rFonts w:hint="eastAsia" w:ascii="宋体" w:hAnsi="宋体" w:cs="宋体"/>
                <w:bCs/>
                <w:color w:val="000000"/>
                <w:sz w:val="24"/>
                <w:lang w:eastAsia="zh-CN"/>
              </w:rPr>
              <w:t>埃夫科纳（南充）特种聚合物有限公司</w:t>
            </w:r>
            <w:r>
              <w:rPr>
                <w:rFonts w:hint="eastAsia" w:ascii="宋体" w:hAnsi="宋体" w:cs="宋体"/>
                <w:sz w:val="24"/>
              </w:rPr>
              <w:t>生产安全事故应急预案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9880" w:type="dxa"/>
            <w:gridSpan w:val="6"/>
            <w:noWrap w:val="0"/>
            <w:vAlign w:val="center"/>
          </w:tcPr>
          <w:p>
            <w:pPr>
              <w:spacing w:line="440" w:lineRule="exact"/>
              <w:jc w:val="left"/>
              <w:rPr>
                <w:rFonts w:hint="eastAsia" w:ascii="宋体" w:hAnsi="宋体" w:cs="宋体"/>
                <w:sz w:val="24"/>
              </w:rPr>
            </w:pPr>
            <w:r>
              <w:rPr>
                <w:rFonts w:hint="eastAsia" w:ascii="宋体" w:hAnsi="宋体" w:cs="宋体"/>
                <w:sz w:val="24"/>
              </w:rPr>
              <w:t>专家意见及建议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2" w:hRule="atLeast"/>
          <w:jc w:val="center"/>
        </w:trPr>
        <w:tc>
          <w:tcPr>
            <w:tcW w:w="9880" w:type="dxa"/>
            <w:gridSpan w:val="6"/>
            <w:noWrap w:val="0"/>
            <w:vAlign w:val="center"/>
          </w:tcPr>
          <w:p>
            <w:pPr>
              <w:spacing w:line="440" w:lineRule="exact"/>
              <w:ind w:firstLine="480" w:firstLineChars="200"/>
              <w:rPr>
                <w:rFonts w:hint="eastAsia" w:ascii="宋体" w:hAnsi="宋体" w:cs="宋体"/>
                <w:color w:val="000000"/>
                <w:sz w:val="24"/>
              </w:rPr>
            </w:pPr>
            <w:r>
              <w:rPr>
                <w:rFonts w:hint="eastAsia" w:ascii="宋体" w:hAnsi="宋体" w:cs="宋体"/>
                <w:sz w:val="24"/>
              </w:rPr>
              <w:t>2</w:t>
            </w:r>
            <w:r>
              <w:rPr>
                <w:rFonts w:hint="eastAsia" w:ascii="宋体" w:hAnsi="宋体" w:cs="宋体"/>
                <w:sz w:val="24"/>
                <w:szCs w:val="22"/>
              </w:rPr>
              <w:t>021年</w:t>
            </w:r>
            <w:r>
              <w:rPr>
                <w:rFonts w:hint="eastAsia" w:ascii="宋体" w:hAnsi="宋体" w:cs="宋体"/>
                <w:sz w:val="24"/>
                <w:szCs w:val="22"/>
                <w:lang w:val="en-US" w:eastAsia="zh-CN"/>
              </w:rPr>
              <w:t>7</w:t>
            </w:r>
            <w:r>
              <w:rPr>
                <w:rFonts w:hint="eastAsia" w:ascii="宋体" w:hAnsi="宋体" w:cs="宋体"/>
                <w:sz w:val="24"/>
                <w:szCs w:val="22"/>
              </w:rPr>
              <w:t>月</w:t>
            </w:r>
            <w:r>
              <w:rPr>
                <w:rFonts w:hint="eastAsia" w:ascii="宋体" w:hAnsi="宋体" w:cs="宋体"/>
                <w:sz w:val="24"/>
                <w:szCs w:val="22"/>
                <w:lang w:val="en-US" w:eastAsia="zh-CN"/>
              </w:rPr>
              <w:t>20</w:t>
            </w:r>
            <w:r>
              <w:rPr>
                <w:rFonts w:hint="eastAsia" w:ascii="宋体" w:hAnsi="宋体" w:cs="宋体"/>
                <w:sz w:val="24"/>
                <w:szCs w:val="22"/>
              </w:rPr>
              <w:t>日，</w:t>
            </w:r>
            <w:r>
              <w:rPr>
                <w:rFonts w:hint="eastAsia" w:ascii="宋体" w:hAnsi="宋体" w:cs="宋体"/>
                <w:bCs/>
                <w:color w:val="000000"/>
                <w:sz w:val="24"/>
                <w:lang w:eastAsia="zh-CN"/>
              </w:rPr>
              <w:t>埃夫科纳（南充）特种聚合物有限公司</w:t>
            </w:r>
            <w:r>
              <w:rPr>
                <w:rFonts w:hint="eastAsia" w:ascii="宋体" w:hAnsi="宋体" w:cs="宋体"/>
                <w:sz w:val="24"/>
                <w:szCs w:val="22"/>
              </w:rPr>
              <w:t>组织专家</w:t>
            </w:r>
            <w:r>
              <w:rPr>
                <w:rFonts w:hint="eastAsia" w:ascii="宋体" w:hAnsi="宋体" w:cs="宋体"/>
                <w:sz w:val="24"/>
              </w:rPr>
              <w:t>对该公司编制的《</w:t>
            </w:r>
            <w:r>
              <w:rPr>
                <w:rFonts w:hint="eastAsia" w:ascii="宋体" w:hAnsi="宋体" w:cs="宋体"/>
                <w:bCs/>
                <w:color w:val="000000"/>
                <w:sz w:val="24"/>
                <w:lang w:eastAsia="zh-CN"/>
              </w:rPr>
              <w:t>埃夫科纳（南充）特种聚合物有限公司</w:t>
            </w:r>
            <w:r>
              <w:rPr>
                <w:rFonts w:hint="eastAsia" w:ascii="宋体" w:hAnsi="宋体" w:cs="宋体"/>
                <w:sz w:val="24"/>
              </w:rPr>
              <w:t>生产安全事故应急预案》进行了评审，与会专家通过查看现场及相关资料，形成了以下评审意见及建议</w:t>
            </w:r>
            <w:r>
              <w:rPr>
                <w:rFonts w:hint="eastAsia" w:ascii="宋体" w:hAnsi="宋体" w:cs="宋体"/>
                <w:color w:val="000000"/>
                <w:sz w:val="24"/>
              </w:rPr>
              <w:t>：</w:t>
            </w:r>
          </w:p>
          <w:p>
            <w:pPr>
              <w:widowControl/>
              <w:spacing w:line="440" w:lineRule="exact"/>
              <w:ind w:firstLine="480" w:firstLineChars="200"/>
              <w:rPr>
                <w:rFonts w:hint="eastAsia" w:ascii="宋体" w:hAnsi="宋体" w:cs="宋体"/>
                <w:sz w:val="24"/>
                <w:szCs w:val="22"/>
              </w:rPr>
            </w:pPr>
            <w:r>
              <w:rPr>
                <w:rFonts w:hint="eastAsia" w:ascii="宋体" w:hAnsi="宋体" w:cs="宋体"/>
                <w:sz w:val="24"/>
                <w:szCs w:val="22"/>
              </w:rPr>
              <w:t>一、该预案总体上符合国家有关法律、法规、规章和标准规范以及有关部门规范性文件要求，具备了《生产经营单位安全生产事故应急预案编制导则》（GB/T29639-2020）所规定的各项要素。应急预案体系较为完整，危险辨识紧密结合本单位危险源辨识和风险分析，应急资源调查符合实际，应急组织体系、信息报送和处置方案等内容合理，应急响应程序、保障措施等可行。</w:t>
            </w:r>
          </w:p>
          <w:p>
            <w:pPr>
              <w:widowControl/>
              <w:spacing w:line="440" w:lineRule="exact"/>
              <w:ind w:firstLine="480" w:firstLineChars="200"/>
              <w:rPr>
                <w:rFonts w:hint="eastAsia" w:ascii="宋体" w:hAnsi="宋体" w:cs="宋体"/>
                <w:sz w:val="24"/>
              </w:rPr>
            </w:pPr>
            <w:r>
              <w:rPr>
                <w:rFonts w:hint="eastAsia" w:ascii="宋体" w:hAnsi="宋体" w:cs="宋体"/>
                <w:sz w:val="24"/>
              </w:rPr>
              <w:t>二、经与会专家一致讨论决定，</w:t>
            </w:r>
            <w:r>
              <w:rPr>
                <w:rFonts w:hint="eastAsia" w:ascii="宋体" w:hAnsi="宋体" w:cs="宋体"/>
                <w:b/>
                <w:bCs/>
                <w:sz w:val="24"/>
                <w:u w:val="single"/>
              </w:rPr>
              <w:t xml:space="preserve"> </w:t>
            </w:r>
            <w:r>
              <w:rPr>
                <w:rFonts w:hint="eastAsia" w:ascii="宋体" w:hAnsi="宋体" w:cs="宋体"/>
                <w:b/>
                <w:bCs/>
                <w:i/>
                <w:iCs/>
                <w:sz w:val="24"/>
                <w:u w:val="single"/>
              </w:rPr>
              <w:t xml:space="preserve">同 意 </w:t>
            </w:r>
            <w:r>
              <w:rPr>
                <w:rFonts w:hint="eastAsia" w:ascii="宋体" w:hAnsi="宋体" w:cs="宋体"/>
                <w:sz w:val="24"/>
              </w:rPr>
              <w:t>该预案通过评审。经对下列意见修改完善后可以上报有关部门备案。</w:t>
            </w:r>
          </w:p>
          <w:p>
            <w:pPr>
              <w:spacing w:line="440" w:lineRule="exact"/>
              <w:ind w:firstLine="480" w:firstLineChars="200"/>
              <w:rPr>
                <w:rFonts w:hint="eastAsia" w:ascii="宋体" w:hAnsi="宋体" w:cs="宋体"/>
                <w:sz w:val="24"/>
                <w:szCs w:val="22"/>
              </w:rPr>
            </w:pPr>
            <w:r>
              <w:rPr>
                <w:rFonts w:hint="eastAsia" w:ascii="宋体" w:hAnsi="宋体" w:cs="宋体"/>
                <w:sz w:val="24"/>
                <w:szCs w:val="22"/>
              </w:rPr>
              <w:t>专家组意见及建议：</w:t>
            </w:r>
          </w:p>
          <w:p>
            <w:pPr>
              <w:pStyle w:val="11"/>
              <w:spacing w:line="440" w:lineRule="exact"/>
              <w:rPr>
                <w:rFonts w:hint="eastAsia"/>
              </w:rPr>
            </w:pPr>
            <w:r>
              <w:rPr>
                <w:rFonts w:hint="eastAsia" w:ascii="宋体" w:hAnsi="宋体" w:cs="宋体"/>
                <w:szCs w:val="22"/>
              </w:rPr>
              <w:t xml:space="preserve">    1、预案封面明确预案正式发布具体日期。</w:t>
            </w:r>
          </w:p>
          <w:p>
            <w:pPr>
              <w:spacing w:line="440" w:lineRule="exact"/>
              <w:ind w:firstLine="480" w:firstLineChars="200"/>
              <w:rPr>
                <w:rFonts w:hint="eastAsia" w:ascii="宋体" w:hAnsi="宋体" w:cs="宋体"/>
                <w:sz w:val="24"/>
                <w:szCs w:val="22"/>
              </w:rPr>
            </w:pPr>
            <w:r>
              <w:rPr>
                <w:rFonts w:hint="eastAsia" w:ascii="宋体" w:hAnsi="宋体" w:cs="宋体"/>
                <w:sz w:val="24"/>
                <w:szCs w:val="22"/>
              </w:rPr>
              <w:t>2、补充预案衔接性相关内容。</w:t>
            </w:r>
          </w:p>
          <w:p>
            <w:pPr>
              <w:spacing w:line="440" w:lineRule="exact"/>
              <w:ind w:firstLine="480" w:firstLineChars="200"/>
              <w:rPr>
                <w:rFonts w:hint="eastAsia" w:ascii="宋体" w:hAnsi="宋体" w:cs="宋体"/>
                <w:sz w:val="24"/>
                <w:szCs w:val="22"/>
              </w:rPr>
            </w:pPr>
            <w:r>
              <w:rPr>
                <w:rFonts w:hint="eastAsia" w:ascii="宋体" w:hAnsi="宋体" w:cs="宋体"/>
                <w:sz w:val="24"/>
                <w:szCs w:val="22"/>
              </w:rPr>
              <w:t>3、风险辨识、评估应补充风险评估方法相关内容。</w:t>
            </w:r>
          </w:p>
          <w:p>
            <w:pPr>
              <w:spacing w:line="440" w:lineRule="exact"/>
              <w:ind w:firstLine="480" w:firstLineChars="200"/>
              <w:rPr>
                <w:rFonts w:hint="eastAsia" w:ascii="宋体" w:hAnsi="宋体" w:cs="宋体"/>
                <w:sz w:val="24"/>
                <w:szCs w:val="22"/>
              </w:rPr>
            </w:pPr>
            <w:r>
              <w:rPr>
                <w:rFonts w:hint="eastAsia" w:ascii="宋体" w:hAnsi="宋体" w:cs="宋体"/>
                <w:sz w:val="24"/>
                <w:szCs w:val="22"/>
              </w:rPr>
              <w:t>4、应急资源调查补充应急资源差距分析。</w:t>
            </w:r>
          </w:p>
          <w:p>
            <w:pPr>
              <w:spacing w:line="440" w:lineRule="exact"/>
              <w:ind w:firstLine="480" w:firstLineChars="200"/>
              <w:rPr>
                <w:rFonts w:hint="eastAsia" w:ascii="宋体" w:hAnsi="宋体" w:cs="宋体"/>
                <w:sz w:val="24"/>
                <w:szCs w:val="22"/>
              </w:rPr>
            </w:pPr>
            <w:r>
              <w:rPr>
                <w:rFonts w:hint="eastAsia" w:ascii="宋体" w:hAnsi="宋体" w:cs="宋体"/>
                <w:sz w:val="24"/>
                <w:szCs w:val="22"/>
              </w:rPr>
              <w:t xml:space="preserve">5、附件要素补充外部应急救援电话、应急物资等内容。     </w:t>
            </w:r>
          </w:p>
          <w:p>
            <w:pPr>
              <w:spacing w:line="440" w:lineRule="exact"/>
              <w:ind w:firstLine="480" w:firstLineChars="200"/>
              <w:rPr>
                <w:rFonts w:hint="eastAsia" w:ascii="宋体" w:hAnsi="宋体" w:cs="宋体"/>
                <w:sz w:val="24"/>
                <w:szCs w:val="22"/>
              </w:rPr>
            </w:pPr>
            <w:r>
              <w:rPr>
                <w:rFonts w:hint="eastAsia" w:ascii="宋体" w:hAnsi="宋体" w:cs="宋体"/>
                <w:sz w:val="24"/>
                <w:szCs w:val="22"/>
              </w:rPr>
              <w:t xml:space="preserve">        </w:t>
            </w:r>
          </w:p>
          <w:p>
            <w:pPr>
              <w:spacing w:line="440" w:lineRule="exact"/>
              <w:ind w:firstLine="5520" w:firstLineChars="2300"/>
              <w:rPr>
                <w:rFonts w:hint="eastAsia" w:ascii="宋体" w:hAnsi="宋体" w:cs="宋体"/>
                <w:sz w:val="24"/>
              </w:rPr>
            </w:pPr>
            <w:r>
              <w:rPr>
                <w:rFonts w:hint="eastAsia" w:ascii="宋体" w:hAnsi="宋体" w:cs="宋体"/>
                <w:sz w:val="24"/>
                <w:szCs w:val="22"/>
              </w:rPr>
              <w:t xml:space="preserve"> 评审组长：  </w:t>
            </w:r>
            <w:r>
              <w:rPr>
                <w:rFonts w:hint="eastAsia" w:ascii="宋体" w:hAnsi="宋体" w:cs="宋体"/>
                <w:sz w:val="24"/>
              </w:rPr>
              <w:t xml:space="preserve"> </w:t>
            </w:r>
          </w:p>
          <w:p>
            <w:pPr>
              <w:spacing w:line="440" w:lineRule="exact"/>
              <w:ind w:firstLine="5520" w:firstLineChars="2300"/>
              <w:rPr>
                <w:rFonts w:hint="eastAsia" w:ascii="宋体" w:hAnsi="宋体" w:cs="宋体"/>
                <w:sz w:val="24"/>
              </w:rPr>
            </w:pP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08" w:type="dxa"/>
            <w:noWrap w:val="0"/>
            <w:vAlign w:val="center"/>
          </w:tcPr>
          <w:p>
            <w:pPr>
              <w:spacing w:line="440" w:lineRule="exact"/>
              <w:jc w:val="center"/>
              <w:rPr>
                <w:rFonts w:hint="eastAsia" w:ascii="宋体" w:hAnsi="宋体" w:cs="宋体"/>
                <w:sz w:val="24"/>
              </w:rPr>
            </w:pPr>
            <w:r>
              <w:rPr>
                <w:rFonts w:hint="eastAsia" w:ascii="宋体" w:hAnsi="宋体" w:cs="宋体"/>
                <w:sz w:val="24"/>
              </w:rPr>
              <w:t>综合评审意见</w:t>
            </w:r>
          </w:p>
        </w:tc>
        <w:tc>
          <w:tcPr>
            <w:tcW w:w="8172" w:type="dxa"/>
            <w:gridSpan w:val="5"/>
            <w:noWrap w:val="0"/>
            <w:vAlign w:val="center"/>
          </w:tcPr>
          <w:p>
            <w:pPr>
              <w:spacing w:line="440" w:lineRule="exact"/>
              <w:rPr>
                <w:rFonts w:hint="eastAsia" w:ascii="宋体" w:hAnsi="宋体" w:cs="宋体"/>
                <w:sz w:val="24"/>
              </w:rPr>
            </w:pPr>
            <w:r>
              <w:rPr>
                <w:rFonts w:hint="eastAsia" w:ascii="宋体" w:hAnsi="宋体" w:cs="宋体"/>
                <w:sz w:val="24"/>
              </w:rPr>
              <w:t xml:space="preserve">              █ 符合      □ 基本符合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08" w:type="dxa"/>
            <w:vMerge w:val="restart"/>
            <w:noWrap w:val="0"/>
            <w:vAlign w:val="center"/>
          </w:tcPr>
          <w:p>
            <w:pPr>
              <w:spacing w:line="440" w:lineRule="exact"/>
              <w:jc w:val="center"/>
              <w:rPr>
                <w:rFonts w:hint="eastAsia" w:ascii="宋体" w:hAnsi="宋体" w:cs="宋体"/>
                <w:sz w:val="24"/>
              </w:rPr>
            </w:pPr>
            <w:r>
              <w:rPr>
                <w:rFonts w:hint="eastAsia" w:ascii="宋体" w:hAnsi="宋体" w:cs="宋体"/>
                <w:sz w:val="24"/>
              </w:rPr>
              <w:t>专家组</w:t>
            </w:r>
          </w:p>
          <w:p>
            <w:pPr>
              <w:spacing w:line="440" w:lineRule="exact"/>
              <w:jc w:val="center"/>
              <w:rPr>
                <w:rFonts w:hint="eastAsia" w:ascii="宋体" w:hAnsi="宋体" w:cs="宋体"/>
                <w:sz w:val="24"/>
              </w:rPr>
            </w:pPr>
            <w:r>
              <w:rPr>
                <w:rFonts w:hint="eastAsia" w:ascii="宋体" w:hAnsi="宋体" w:cs="宋体"/>
                <w:sz w:val="24"/>
              </w:rPr>
              <w:t>成员签名</w:t>
            </w:r>
          </w:p>
        </w:tc>
        <w:tc>
          <w:tcPr>
            <w:tcW w:w="1035" w:type="dxa"/>
            <w:noWrap w:val="0"/>
            <w:vAlign w:val="center"/>
          </w:tcPr>
          <w:p>
            <w:pPr>
              <w:spacing w:line="440" w:lineRule="exact"/>
              <w:jc w:val="center"/>
              <w:rPr>
                <w:rFonts w:hint="eastAsia" w:ascii="宋体" w:hAnsi="宋体" w:cs="宋体"/>
                <w:sz w:val="24"/>
              </w:rPr>
            </w:pPr>
            <w:r>
              <w:rPr>
                <w:rFonts w:hint="eastAsia" w:ascii="宋体" w:hAnsi="宋体" w:cs="宋体"/>
                <w:sz w:val="24"/>
              </w:rPr>
              <w:t>姓  名</w:t>
            </w:r>
          </w:p>
        </w:tc>
        <w:tc>
          <w:tcPr>
            <w:tcW w:w="1740" w:type="dxa"/>
            <w:noWrap w:val="0"/>
            <w:vAlign w:val="center"/>
          </w:tcPr>
          <w:p>
            <w:pPr>
              <w:spacing w:line="440" w:lineRule="exact"/>
              <w:jc w:val="center"/>
              <w:rPr>
                <w:rFonts w:hint="eastAsia" w:ascii="宋体" w:hAnsi="宋体" w:cs="宋体"/>
                <w:sz w:val="24"/>
              </w:rPr>
            </w:pPr>
            <w:r>
              <w:rPr>
                <w:rFonts w:hint="eastAsia" w:ascii="宋体" w:hAnsi="宋体" w:cs="宋体"/>
                <w:sz w:val="24"/>
              </w:rPr>
              <w:t>单  位</w:t>
            </w:r>
          </w:p>
        </w:tc>
        <w:tc>
          <w:tcPr>
            <w:tcW w:w="2280" w:type="dxa"/>
            <w:noWrap w:val="0"/>
            <w:vAlign w:val="center"/>
          </w:tcPr>
          <w:p>
            <w:pPr>
              <w:spacing w:line="440" w:lineRule="exact"/>
              <w:jc w:val="center"/>
              <w:rPr>
                <w:rFonts w:hint="eastAsia" w:ascii="宋体" w:hAnsi="宋体" w:cs="宋体"/>
                <w:sz w:val="24"/>
              </w:rPr>
            </w:pPr>
            <w:r>
              <w:rPr>
                <w:rFonts w:hint="eastAsia" w:ascii="宋体" w:hAnsi="宋体" w:cs="宋体"/>
                <w:sz w:val="24"/>
              </w:rPr>
              <w:t>职务/职称</w:t>
            </w:r>
          </w:p>
        </w:tc>
        <w:tc>
          <w:tcPr>
            <w:tcW w:w="1439" w:type="dxa"/>
            <w:noWrap w:val="0"/>
            <w:vAlign w:val="center"/>
          </w:tcPr>
          <w:p>
            <w:pPr>
              <w:spacing w:line="440" w:lineRule="exact"/>
              <w:jc w:val="center"/>
              <w:rPr>
                <w:rFonts w:hint="eastAsia" w:ascii="宋体" w:hAnsi="宋体" w:cs="宋体"/>
                <w:sz w:val="24"/>
              </w:rPr>
            </w:pPr>
            <w:r>
              <w:rPr>
                <w:rFonts w:hint="eastAsia" w:ascii="宋体" w:hAnsi="宋体" w:cs="宋体"/>
                <w:sz w:val="24"/>
              </w:rPr>
              <w:t>签  名</w:t>
            </w:r>
          </w:p>
        </w:tc>
        <w:tc>
          <w:tcPr>
            <w:tcW w:w="1678" w:type="dxa"/>
            <w:noWrap w:val="0"/>
            <w:vAlign w:val="center"/>
          </w:tcPr>
          <w:p>
            <w:pPr>
              <w:spacing w:line="440" w:lineRule="exact"/>
              <w:jc w:val="center"/>
              <w:rPr>
                <w:rFonts w:hint="eastAsia"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08" w:type="dxa"/>
            <w:vMerge w:val="continue"/>
            <w:noWrap w:val="0"/>
            <w:vAlign w:val="center"/>
          </w:tcPr>
          <w:p>
            <w:pPr>
              <w:spacing w:line="440" w:lineRule="exact"/>
              <w:jc w:val="center"/>
              <w:rPr>
                <w:rFonts w:hint="eastAsia" w:ascii="宋体" w:hAnsi="宋体" w:cs="宋体"/>
                <w:sz w:val="24"/>
              </w:rPr>
            </w:pPr>
          </w:p>
        </w:tc>
        <w:tc>
          <w:tcPr>
            <w:tcW w:w="1035" w:type="dxa"/>
            <w:noWrap w:val="0"/>
            <w:vAlign w:val="center"/>
          </w:tcPr>
          <w:p>
            <w:pPr>
              <w:spacing w:line="620" w:lineRule="exact"/>
              <w:jc w:val="center"/>
              <w:rPr>
                <w:rFonts w:hint="eastAsia" w:ascii="宋体" w:hAnsi="宋体" w:cs="宋体"/>
                <w:sz w:val="24"/>
              </w:rPr>
            </w:pPr>
            <w:r>
              <w:rPr>
                <w:rFonts w:hint="eastAsia" w:ascii="宋体" w:hAnsi="宋体" w:cs="宋体"/>
                <w:sz w:val="24"/>
              </w:rPr>
              <w:t>郑怀江</w:t>
            </w:r>
          </w:p>
        </w:tc>
        <w:tc>
          <w:tcPr>
            <w:tcW w:w="1740" w:type="dxa"/>
            <w:noWrap w:val="0"/>
            <w:vAlign w:val="center"/>
          </w:tcPr>
          <w:p>
            <w:pPr>
              <w:spacing w:line="620" w:lineRule="exact"/>
              <w:jc w:val="center"/>
              <w:rPr>
                <w:rFonts w:hint="eastAsia" w:ascii="宋体" w:hAnsi="宋体" w:cs="宋体"/>
                <w:sz w:val="24"/>
              </w:rPr>
            </w:pPr>
            <w:r>
              <w:rPr>
                <w:rFonts w:hint="eastAsia" w:ascii="宋体" w:hAnsi="宋体" w:cs="宋体"/>
                <w:sz w:val="24"/>
              </w:rPr>
              <w:t>四川飞龙化工</w:t>
            </w:r>
          </w:p>
        </w:tc>
        <w:tc>
          <w:tcPr>
            <w:tcW w:w="2280" w:type="dxa"/>
            <w:noWrap w:val="0"/>
            <w:vAlign w:val="center"/>
          </w:tcPr>
          <w:p>
            <w:pPr>
              <w:spacing w:line="620" w:lineRule="exact"/>
              <w:jc w:val="center"/>
              <w:rPr>
                <w:rFonts w:hint="eastAsia" w:ascii="宋体" w:hAnsi="宋体" w:cs="宋体"/>
                <w:sz w:val="24"/>
              </w:rPr>
            </w:pPr>
            <w:r>
              <w:rPr>
                <w:rFonts w:hint="eastAsia" w:ascii="宋体" w:hAnsi="宋体" w:cs="宋体"/>
                <w:sz w:val="24"/>
              </w:rPr>
              <w:t>高工、注安师</w:t>
            </w:r>
          </w:p>
        </w:tc>
        <w:tc>
          <w:tcPr>
            <w:tcW w:w="1439" w:type="dxa"/>
            <w:noWrap w:val="0"/>
            <w:vAlign w:val="center"/>
          </w:tcPr>
          <w:p>
            <w:pPr>
              <w:spacing w:line="620" w:lineRule="exact"/>
              <w:rPr>
                <w:rFonts w:hint="eastAsia" w:ascii="宋体" w:hAnsi="宋体" w:cs="宋体"/>
                <w:sz w:val="24"/>
              </w:rPr>
            </w:pPr>
          </w:p>
        </w:tc>
        <w:tc>
          <w:tcPr>
            <w:tcW w:w="1678"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17383611968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08" w:type="dxa"/>
            <w:vMerge w:val="continue"/>
            <w:noWrap w:val="0"/>
            <w:vAlign w:val="center"/>
          </w:tcPr>
          <w:p>
            <w:pPr>
              <w:spacing w:line="440" w:lineRule="exact"/>
              <w:jc w:val="center"/>
              <w:rPr>
                <w:rFonts w:hint="eastAsia" w:ascii="宋体" w:hAnsi="宋体" w:cs="宋体"/>
                <w:sz w:val="24"/>
              </w:rPr>
            </w:pPr>
          </w:p>
        </w:tc>
        <w:tc>
          <w:tcPr>
            <w:tcW w:w="1035" w:type="dxa"/>
            <w:noWrap w:val="0"/>
            <w:vAlign w:val="center"/>
          </w:tcPr>
          <w:p>
            <w:pPr>
              <w:spacing w:line="620" w:lineRule="exact"/>
              <w:jc w:val="center"/>
              <w:rPr>
                <w:rFonts w:hint="default" w:ascii="宋体" w:hAnsi="宋体" w:eastAsia="宋体" w:cs="宋体"/>
                <w:sz w:val="24"/>
                <w:lang w:val="en-US" w:eastAsia="zh-CN"/>
              </w:rPr>
            </w:pPr>
            <w:r>
              <w:rPr>
                <w:rFonts w:hint="eastAsia" w:ascii="宋体" w:hAnsi="宋体" w:cs="宋体"/>
                <w:sz w:val="24"/>
                <w:lang w:val="en-US" w:eastAsia="zh-CN"/>
              </w:rPr>
              <w:t>严宇</w:t>
            </w:r>
          </w:p>
        </w:tc>
        <w:tc>
          <w:tcPr>
            <w:tcW w:w="1740" w:type="dxa"/>
            <w:noWrap w:val="0"/>
            <w:vAlign w:val="center"/>
          </w:tcPr>
          <w:p>
            <w:pPr>
              <w:spacing w:line="620" w:lineRule="exact"/>
              <w:jc w:val="center"/>
              <w:rPr>
                <w:rFonts w:hint="default" w:ascii="宋体" w:hAnsi="宋体" w:eastAsia="宋体" w:cs="宋体"/>
                <w:sz w:val="24"/>
                <w:lang w:val="en-US" w:eastAsia="zh-CN"/>
              </w:rPr>
            </w:pPr>
            <w:r>
              <w:rPr>
                <w:rFonts w:hint="eastAsia" w:ascii="宋体" w:hAnsi="宋体" w:cs="宋体"/>
                <w:sz w:val="24"/>
                <w:lang w:val="en-US" w:eastAsia="zh-CN"/>
              </w:rPr>
              <w:t>西南石油大学</w:t>
            </w:r>
          </w:p>
        </w:tc>
        <w:tc>
          <w:tcPr>
            <w:tcW w:w="2280" w:type="dxa"/>
            <w:noWrap w:val="0"/>
            <w:vAlign w:val="center"/>
          </w:tcPr>
          <w:p>
            <w:pPr>
              <w:spacing w:line="620" w:lineRule="exact"/>
              <w:ind w:firstLine="240" w:firstLineChars="100"/>
              <w:jc w:val="center"/>
              <w:rPr>
                <w:rFonts w:hint="eastAsia" w:ascii="宋体" w:hAnsi="宋体" w:cs="宋体"/>
                <w:sz w:val="24"/>
              </w:rPr>
            </w:pPr>
            <w:r>
              <w:rPr>
                <w:rFonts w:hint="eastAsia" w:ascii="宋体" w:hAnsi="宋体" w:cs="宋体"/>
                <w:sz w:val="24"/>
              </w:rPr>
              <w:t>教  授</w:t>
            </w:r>
          </w:p>
        </w:tc>
        <w:tc>
          <w:tcPr>
            <w:tcW w:w="1439" w:type="dxa"/>
            <w:noWrap w:val="0"/>
            <w:vAlign w:val="center"/>
          </w:tcPr>
          <w:p>
            <w:pPr>
              <w:spacing w:line="620" w:lineRule="exact"/>
              <w:rPr>
                <w:rFonts w:hint="eastAsia" w:ascii="宋体" w:hAnsi="宋体" w:cs="宋体"/>
                <w:sz w:val="24"/>
              </w:rPr>
            </w:pPr>
          </w:p>
        </w:tc>
        <w:tc>
          <w:tcPr>
            <w:tcW w:w="1678" w:type="dxa"/>
            <w:noWrap w:val="0"/>
            <w:vAlign w:val="center"/>
          </w:tcPr>
          <w:p>
            <w:pPr>
              <w:spacing w:line="620" w:lineRule="exact"/>
              <w:jc w:val="center"/>
              <w:rPr>
                <w:rFonts w:hint="default" w:ascii="宋体" w:hAnsi="宋体" w:cs="宋体"/>
                <w:sz w:val="24"/>
                <w:lang w:val="en-US" w:eastAsia="zh-CN"/>
              </w:rPr>
            </w:pPr>
            <w:r>
              <w:rPr>
                <w:rFonts w:hint="eastAsia" w:ascii="宋体" w:hAnsi="宋体" w:cs="宋体"/>
                <w:sz w:val="24"/>
                <w:lang w:val="en-US" w:eastAsia="zh-CN"/>
              </w:rPr>
              <w:t>13198437788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08" w:type="dxa"/>
            <w:vMerge w:val="continue"/>
            <w:noWrap w:val="0"/>
            <w:vAlign w:val="center"/>
          </w:tcPr>
          <w:p>
            <w:pPr>
              <w:spacing w:line="440" w:lineRule="exact"/>
              <w:jc w:val="center"/>
              <w:rPr>
                <w:rFonts w:hint="eastAsia" w:ascii="宋体" w:hAnsi="宋体" w:cs="宋体"/>
                <w:sz w:val="24"/>
              </w:rPr>
            </w:pPr>
          </w:p>
        </w:tc>
        <w:tc>
          <w:tcPr>
            <w:tcW w:w="1035" w:type="dxa"/>
            <w:noWrap w:val="0"/>
            <w:vAlign w:val="center"/>
          </w:tcPr>
          <w:p>
            <w:pPr>
              <w:spacing w:line="620" w:lineRule="exact"/>
              <w:jc w:val="center"/>
              <w:rPr>
                <w:rFonts w:hint="eastAsia" w:ascii="宋体" w:hAnsi="宋体" w:cs="宋体"/>
                <w:sz w:val="24"/>
              </w:rPr>
            </w:pPr>
            <w:r>
              <w:rPr>
                <w:rFonts w:hint="eastAsia" w:ascii="宋体" w:hAnsi="宋体" w:cs="宋体"/>
                <w:sz w:val="24"/>
              </w:rPr>
              <w:t>雷光明</w:t>
            </w:r>
          </w:p>
        </w:tc>
        <w:tc>
          <w:tcPr>
            <w:tcW w:w="1740" w:type="dxa"/>
            <w:noWrap w:val="0"/>
            <w:vAlign w:val="center"/>
          </w:tcPr>
          <w:p>
            <w:pPr>
              <w:spacing w:line="620" w:lineRule="exact"/>
              <w:jc w:val="center"/>
              <w:rPr>
                <w:rFonts w:hint="eastAsia" w:ascii="宋体" w:hAnsi="宋体" w:cs="宋体"/>
                <w:sz w:val="24"/>
              </w:rPr>
            </w:pPr>
            <w:r>
              <w:rPr>
                <w:rFonts w:hint="eastAsia" w:ascii="宋体" w:hAnsi="宋体" w:cs="宋体"/>
                <w:sz w:val="24"/>
              </w:rPr>
              <w:t>南充顺城盐化</w:t>
            </w:r>
          </w:p>
        </w:tc>
        <w:tc>
          <w:tcPr>
            <w:tcW w:w="2280" w:type="dxa"/>
            <w:noWrap w:val="0"/>
            <w:vAlign w:val="center"/>
          </w:tcPr>
          <w:p>
            <w:pPr>
              <w:spacing w:line="620" w:lineRule="exact"/>
              <w:jc w:val="center"/>
              <w:rPr>
                <w:rFonts w:hint="eastAsia" w:ascii="宋体" w:hAnsi="宋体" w:cs="宋体"/>
                <w:sz w:val="24"/>
              </w:rPr>
            </w:pPr>
            <w:r>
              <w:rPr>
                <w:rFonts w:hint="eastAsia" w:ascii="宋体" w:hAnsi="宋体" w:cs="宋体"/>
                <w:sz w:val="24"/>
              </w:rPr>
              <w:t>注安师、消防工程师</w:t>
            </w:r>
          </w:p>
        </w:tc>
        <w:tc>
          <w:tcPr>
            <w:tcW w:w="1439" w:type="dxa"/>
            <w:noWrap w:val="0"/>
            <w:vAlign w:val="center"/>
          </w:tcPr>
          <w:p>
            <w:pPr>
              <w:spacing w:line="620" w:lineRule="exact"/>
              <w:rPr>
                <w:rFonts w:hint="eastAsia" w:ascii="宋体" w:hAnsi="宋体" w:cs="宋体"/>
                <w:sz w:val="24"/>
              </w:rPr>
            </w:pPr>
          </w:p>
        </w:tc>
        <w:tc>
          <w:tcPr>
            <w:tcW w:w="1678"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15882659589</w:t>
            </w:r>
          </w:p>
        </w:tc>
      </w:tr>
    </w:tbl>
    <w:p>
      <w:pPr>
        <w:spacing w:line="480" w:lineRule="exact"/>
        <w:jc w:val="center"/>
        <w:rPr>
          <w:rFonts w:hint="eastAsia" w:ascii="宋体" w:hAnsi="宋体" w:cs="宋体"/>
          <w:b/>
          <w:bCs/>
          <w:color w:val="000000"/>
          <w:sz w:val="24"/>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0" w:firstLineChars="0"/>
        <w:jc w:val="center"/>
        <w:textAlignment w:val="auto"/>
        <w:rPr>
          <w:rFonts w:hint="eastAsia" w:hAnsi="宋体" w:eastAsia="宋体" w:cs="宋体"/>
          <w:b/>
          <w:bCs/>
          <w:sz w:val="44"/>
          <w:szCs w:val="44"/>
          <w:lang w:val="en-US" w:eastAsia="zh-CN"/>
        </w:rPr>
      </w:pPr>
      <w:r>
        <w:rPr>
          <w:rFonts w:hint="eastAsia" w:hAnsi="宋体" w:eastAsia="宋体" w:cs="宋体"/>
          <w:b/>
          <w:bCs/>
          <w:sz w:val="44"/>
          <w:szCs w:val="44"/>
          <w:lang w:val="en-US" w:eastAsia="zh-CN"/>
        </w:rPr>
        <w:t>埃夫科纳（南充）特种聚合物有限公司</w:t>
      </w: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0" w:firstLineChars="0"/>
        <w:jc w:val="center"/>
        <w:textAlignment w:val="auto"/>
        <w:rPr>
          <w:rFonts w:hint="eastAsia"/>
          <w:b/>
          <w:bCs/>
          <w:sz w:val="44"/>
          <w:szCs w:val="44"/>
          <w:lang w:val="en-US" w:eastAsia="zh-CN"/>
        </w:rPr>
      </w:pPr>
      <w:r>
        <w:rPr>
          <w:rFonts w:hint="eastAsia" w:ascii="Times New Roman" w:hAnsi="Times New Roman" w:cs="Times New Roman"/>
          <w:b/>
          <w:bCs/>
          <w:sz w:val="44"/>
          <w:szCs w:val="44"/>
          <w:lang w:val="en-US" w:eastAsia="zh-CN"/>
        </w:rPr>
        <w:t>生产</w:t>
      </w:r>
      <w:r>
        <w:rPr>
          <w:rFonts w:hint="eastAsia"/>
          <w:b/>
          <w:bCs/>
          <w:sz w:val="44"/>
          <w:szCs w:val="44"/>
          <w:lang w:val="en-US" w:eastAsia="zh-CN"/>
        </w:rPr>
        <w:t>安全事故应急预案评审会专家表决情况表</w:t>
      </w:r>
    </w:p>
    <w:tbl>
      <w:tblPr>
        <w:tblStyle w:val="26"/>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596"/>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vMerge w:val="restart"/>
            <w:noWrap w:val="0"/>
            <w:vAlign w:val="center"/>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jc w:val="center"/>
              <w:textAlignment w:val="auto"/>
              <w:rPr>
                <w:rFonts w:hint="eastAsia" w:ascii="宋体" w:hAnsi="宋体" w:eastAsia="宋体" w:cs="宋体"/>
                <w:b/>
                <w:bCs/>
                <w:sz w:val="30"/>
                <w:szCs w:val="30"/>
                <w:vertAlign w:val="baseline"/>
                <w:lang w:val="en-US" w:eastAsia="zh-CN"/>
              </w:rPr>
            </w:pPr>
            <w:r>
              <w:rPr>
                <w:rFonts w:hint="eastAsia" w:ascii="宋体" w:hAnsi="宋体" w:eastAsia="宋体" w:cs="宋体"/>
                <w:b/>
                <w:bCs/>
                <w:sz w:val="30"/>
                <w:szCs w:val="30"/>
                <w:vertAlign w:val="baseline"/>
                <w:lang w:val="en-US" w:eastAsia="zh-CN"/>
              </w:rPr>
              <w:t>专家姓名</w:t>
            </w:r>
          </w:p>
        </w:tc>
        <w:tc>
          <w:tcPr>
            <w:tcW w:w="7054" w:type="dxa"/>
            <w:gridSpan w:val="2"/>
            <w:noWrap w:val="0"/>
            <w:vAlign w:val="center"/>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jc w:val="center"/>
              <w:textAlignment w:val="auto"/>
              <w:rPr>
                <w:rFonts w:hint="default" w:ascii="宋体" w:hAnsi="宋体" w:eastAsia="宋体" w:cs="宋体"/>
                <w:b/>
                <w:bCs/>
                <w:sz w:val="30"/>
                <w:szCs w:val="30"/>
                <w:vertAlign w:val="baseline"/>
                <w:lang w:val="en-US" w:eastAsia="zh-CN"/>
              </w:rPr>
            </w:pPr>
            <w:r>
              <w:rPr>
                <w:rFonts w:hint="eastAsia" w:ascii="宋体" w:hAnsi="宋体" w:eastAsia="宋体" w:cs="宋体"/>
                <w:b/>
                <w:bCs/>
                <w:sz w:val="30"/>
                <w:szCs w:val="30"/>
                <w:vertAlign w:val="baseline"/>
                <w:lang w:val="en-US" w:eastAsia="zh-CN"/>
              </w:rPr>
              <w:t>表决情况（专家签字）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vMerge w:val="continue"/>
            <w:noWrap w:val="0"/>
            <w:vAlign w:val="center"/>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jc w:val="center"/>
              <w:textAlignment w:val="auto"/>
              <w:rPr>
                <w:rFonts w:hint="eastAsia" w:ascii="宋体" w:hAnsi="宋体" w:eastAsia="宋体" w:cs="宋体"/>
                <w:b/>
                <w:bCs/>
                <w:sz w:val="30"/>
                <w:szCs w:val="30"/>
                <w:vertAlign w:val="baseline"/>
                <w:lang w:val="en-US" w:eastAsia="zh-CN"/>
              </w:rPr>
            </w:pPr>
          </w:p>
        </w:tc>
        <w:tc>
          <w:tcPr>
            <w:tcW w:w="3596" w:type="dxa"/>
            <w:noWrap w:val="0"/>
            <w:vAlign w:val="center"/>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jc w:val="center"/>
              <w:textAlignment w:val="auto"/>
              <w:rPr>
                <w:rFonts w:hint="eastAsia" w:ascii="宋体" w:hAnsi="宋体" w:eastAsia="宋体" w:cs="宋体"/>
                <w:b/>
                <w:bCs/>
                <w:sz w:val="30"/>
                <w:szCs w:val="30"/>
                <w:vertAlign w:val="baseline"/>
                <w:lang w:val="en-US" w:eastAsia="zh-CN"/>
              </w:rPr>
            </w:pPr>
            <w:r>
              <w:rPr>
                <w:rFonts w:hint="eastAsia" w:ascii="宋体" w:hAnsi="宋体" w:eastAsia="宋体" w:cs="宋体"/>
                <w:b/>
                <w:bCs/>
                <w:sz w:val="30"/>
                <w:szCs w:val="30"/>
                <w:vertAlign w:val="baseline"/>
                <w:lang w:val="en-US" w:eastAsia="zh-CN"/>
              </w:rPr>
              <w:t>预案评审通过（√）</w:t>
            </w:r>
          </w:p>
        </w:tc>
        <w:tc>
          <w:tcPr>
            <w:tcW w:w="3458" w:type="dxa"/>
            <w:noWrap w:val="0"/>
            <w:vAlign w:val="center"/>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jc w:val="center"/>
              <w:textAlignment w:val="auto"/>
              <w:rPr>
                <w:rFonts w:hint="eastAsia" w:ascii="宋体" w:hAnsi="宋体" w:eastAsia="宋体" w:cs="宋体"/>
                <w:b/>
                <w:bCs/>
                <w:sz w:val="30"/>
                <w:szCs w:val="30"/>
                <w:vertAlign w:val="baseline"/>
                <w:lang w:val="en-US" w:eastAsia="zh-CN"/>
              </w:rPr>
            </w:pPr>
            <w:r>
              <w:rPr>
                <w:rFonts w:hint="eastAsia" w:ascii="宋体" w:hAnsi="宋体" w:eastAsia="宋体" w:cs="宋体"/>
                <w:b/>
                <w:bCs/>
                <w:sz w:val="30"/>
                <w:szCs w:val="30"/>
                <w:vertAlign w:val="baseline"/>
                <w:lang w:val="en-US" w:eastAsia="zh-CN"/>
              </w:rPr>
              <w:t>预案案评审不通（×）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default"/>
                <w:b/>
                <w:bCs/>
                <w:sz w:val="30"/>
                <w:szCs w:val="30"/>
                <w:vertAlign w:val="baseline"/>
                <w:lang w:val="en-US" w:eastAsia="zh-CN"/>
              </w:rPr>
            </w:pPr>
          </w:p>
        </w:tc>
        <w:tc>
          <w:tcPr>
            <w:tcW w:w="3596"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458"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default"/>
                <w:b/>
                <w:bCs/>
                <w:sz w:val="30"/>
                <w:szCs w:val="30"/>
                <w:vertAlign w:val="baseline"/>
                <w:lang w:val="en-US" w:eastAsia="zh-CN"/>
              </w:rPr>
            </w:pPr>
          </w:p>
        </w:tc>
        <w:tc>
          <w:tcPr>
            <w:tcW w:w="3596"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458"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default"/>
                <w:b/>
                <w:bCs/>
                <w:sz w:val="30"/>
                <w:szCs w:val="30"/>
                <w:vertAlign w:val="baseline"/>
                <w:lang w:val="en-US" w:eastAsia="zh-CN"/>
              </w:rPr>
            </w:pPr>
          </w:p>
        </w:tc>
        <w:tc>
          <w:tcPr>
            <w:tcW w:w="3596"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458"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596"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458"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596"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458"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05"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596"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458"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405"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596"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c>
          <w:tcPr>
            <w:tcW w:w="3458" w:type="dxa"/>
            <w:noWrap w:val="0"/>
            <w:vAlign w:val="top"/>
          </w:tcPr>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right="0"/>
              <w:textAlignment w:val="auto"/>
              <w:rPr>
                <w:rFonts w:hint="eastAsia"/>
                <w:b/>
                <w:bCs/>
                <w:sz w:val="44"/>
                <w:szCs w:val="44"/>
                <w:vertAlign w:val="baseline"/>
                <w:lang w:val="en-US" w:eastAsia="zh-CN"/>
              </w:rPr>
            </w:pPr>
          </w:p>
        </w:tc>
      </w:tr>
    </w:tbl>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325" w:firstLineChars="300"/>
        <w:textAlignment w:val="auto"/>
        <w:rPr>
          <w:rFonts w:hint="eastAsia"/>
          <w:b/>
          <w:bCs/>
          <w:sz w:val="44"/>
          <w:szCs w:val="44"/>
          <w:lang w:val="en-US" w:eastAsia="zh-CN"/>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eastAsia="宋体"/>
          <w:b/>
          <w:bCs/>
          <w:sz w:val="44"/>
          <w:szCs w:val="44"/>
          <w:lang w:val="en-US" w:eastAsia="zh-CN"/>
        </w:rPr>
      </w:pPr>
      <w:r>
        <w:rPr>
          <w:rFonts w:hint="eastAsia"/>
          <w:b/>
          <w:bCs/>
          <w:sz w:val="44"/>
          <w:szCs w:val="44"/>
          <w:lang w:val="en-US" w:eastAsia="zh-CN"/>
        </w:rPr>
        <w:t xml:space="preserve">             </w:t>
      </w:r>
      <w:r>
        <w:rPr>
          <w:rFonts w:hint="eastAsia" w:ascii="宋体" w:hAnsi="宋体" w:eastAsia="宋体" w:cs="宋体"/>
          <w:b/>
          <w:bCs/>
          <w:sz w:val="30"/>
          <w:szCs w:val="30"/>
          <w:vertAlign w:val="baseline"/>
          <w:lang w:val="en-US" w:eastAsia="zh-CN"/>
        </w:rPr>
        <w:t xml:space="preserve"> 时间:</w:t>
      </w:r>
      <w:r>
        <w:rPr>
          <w:rFonts w:hint="eastAsia"/>
          <w:b/>
          <w:bCs/>
          <w:sz w:val="44"/>
          <w:szCs w:val="44"/>
          <w:lang w:val="en-US" w:eastAsia="zh-CN"/>
        </w:rPr>
        <w:t xml:space="preserve">  </w:t>
      </w: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b/>
          <w:bCs/>
          <w:sz w:val="44"/>
          <w:szCs w:val="44"/>
          <w:lang w:val="en-US" w:eastAsia="zh-CN"/>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b/>
          <w:bCs/>
          <w:sz w:val="44"/>
          <w:szCs w:val="44"/>
          <w:lang w:val="en-US" w:eastAsia="zh-CN"/>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b/>
          <w:bCs/>
          <w:sz w:val="44"/>
          <w:szCs w:val="44"/>
          <w:lang w:val="en-US" w:eastAsia="zh-CN"/>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b/>
          <w:bCs/>
          <w:sz w:val="44"/>
          <w:szCs w:val="44"/>
          <w:lang w:val="en-US" w:eastAsia="zh-CN"/>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b/>
          <w:bCs/>
          <w:sz w:val="44"/>
          <w:szCs w:val="44"/>
          <w:lang w:val="en-US" w:eastAsia="zh-CN"/>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b/>
          <w:bCs/>
          <w:sz w:val="44"/>
          <w:szCs w:val="44"/>
          <w:lang w:val="en-US" w:eastAsia="zh-CN"/>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1767" w:firstLineChars="400"/>
        <w:textAlignment w:val="auto"/>
        <w:rPr>
          <w:rFonts w:hint="default"/>
          <w:b/>
          <w:bCs/>
          <w:sz w:val="44"/>
          <w:szCs w:val="44"/>
          <w:lang w:val="en-US" w:eastAsia="zh-CN"/>
        </w:rPr>
      </w:pPr>
    </w:p>
    <w:p>
      <w:pPr>
        <w:spacing w:line="620" w:lineRule="exact"/>
        <w:jc w:val="center"/>
        <w:rPr>
          <w:rFonts w:hint="eastAsia"/>
          <w:color w:val="auto"/>
          <w:sz w:val="28"/>
          <w:szCs w:val="28"/>
          <w:lang w:eastAsia="zh-CN"/>
        </w:rPr>
      </w:pPr>
    </w:p>
    <w:p>
      <w:pPr>
        <w:pStyle w:val="24"/>
        <w:rPr>
          <w:rFonts w:hint="eastAsia"/>
        </w:rPr>
      </w:pPr>
    </w:p>
    <w:p>
      <w:pPr>
        <w:pStyle w:val="2"/>
        <w:ind w:left="0" w:leftChars="0" w:firstLine="0" w:firstLineChars="0"/>
        <w:rPr>
          <w:rFonts w:hint="eastAsia"/>
        </w:r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0" w:firstLineChars="0"/>
        <w:jc w:val="center"/>
        <w:textAlignment w:val="auto"/>
        <w:rPr>
          <w:rFonts w:hint="eastAsia" w:ascii="Times New Roman" w:hAnsi="宋体" w:eastAsia="宋体" w:cs="宋体"/>
          <w:b/>
          <w:bCs/>
          <w:sz w:val="44"/>
          <w:szCs w:val="44"/>
          <w:lang w:val="en-US" w:eastAsia="zh-CN"/>
        </w:rPr>
      </w:pPr>
      <w:r>
        <w:rPr>
          <w:rFonts w:hint="eastAsia" w:ascii="Times New Roman" w:hAnsi="宋体" w:eastAsia="宋体" w:cs="宋体"/>
          <w:b/>
          <w:bCs/>
          <w:sz w:val="44"/>
          <w:szCs w:val="44"/>
          <w:lang w:val="en-US" w:eastAsia="zh-CN"/>
        </w:rPr>
        <w:t>埃夫科纳（南充）特种聚合物有限公司</w:t>
      </w: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0" w:firstLineChars="0"/>
        <w:jc w:val="center"/>
        <w:textAlignment w:val="auto"/>
        <w:rPr>
          <w:rFonts w:hint="eastAsia" w:ascii="Times New Roman" w:hAnsi="宋体" w:eastAsia="宋体" w:cs="宋体"/>
          <w:b/>
          <w:bCs/>
          <w:sz w:val="44"/>
          <w:szCs w:val="44"/>
          <w:lang w:val="en-US" w:eastAsia="zh-CN"/>
        </w:rPr>
      </w:pPr>
      <w:r>
        <w:rPr>
          <w:rFonts w:hint="eastAsia" w:ascii="Times New Roman" w:hAnsi="宋体" w:eastAsia="宋体" w:cs="宋体"/>
          <w:b/>
          <w:bCs/>
          <w:sz w:val="44"/>
          <w:szCs w:val="44"/>
          <w:lang w:val="en-US" w:eastAsia="zh-CN"/>
        </w:rPr>
        <w:t>生产安全事故应急救援预案评审会签到表</w:t>
      </w:r>
    </w:p>
    <w:p>
      <w:pPr>
        <w:spacing w:line="620" w:lineRule="exact"/>
        <w:rPr>
          <w:rFonts w:ascii="宋体" w:hAnsi="宋体" w:cs="宋体"/>
          <w:b/>
          <w:bCs/>
          <w:sz w:val="24"/>
        </w:rPr>
      </w:pPr>
      <w:r>
        <w:rPr>
          <w:rFonts w:hint="eastAsia" w:ascii="宋体" w:hAnsi="宋体" w:cs="宋体"/>
          <w:b/>
          <w:bCs/>
          <w:sz w:val="24"/>
        </w:rPr>
        <w:t>评审时间：2021年</w:t>
      </w:r>
      <w:r>
        <w:rPr>
          <w:rFonts w:hint="eastAsia" w:ascii="宋体" w:hAnsi="宋体" w:cs="宋体"/>
          <w:b/>
          <w:bCs/>
          <w:sz w:val="24"/>
          <w:lang w:val="en-US" w:eastAsia="zh-CN"/>
        </w:rPr>
        <w:t>7</w:t>
      </w:r>
      <w:r>
        <w:rPr>
          <w:rFonts w:hint="eastAsia" w:ascii="宋体" w:hAnsi="宋体" w:cs="宋体"/>
          <w:b/>
          <w:bCs/>
          <w:sz w:val="24"/>
        </w:rPr>
        <w:t>月</w:t>
      </w:r>
      <w:r>
        <w:rPr>
          <w:rFonts w:hint="eastAsia" w:ascii="宋体" w:hAnsi="宋体" w:cs="宋体"/>
          <w:b/>
          <w:bCs/>
          <w:sz w:val="24"/>
          <w:lang w:val="en-US" w:eastAsia="zh-CN"/>
        </w:rPr>
        <w:t>20</w:t>
      </w:r>
      <w:r>
        <w:rPr>
          <w:rFonts w:hint="eastAsia" w:ascii="宋体" w:hAnsi="宋体" w:cs="宋体"/>
          <w:b/>
          <w:bCs/>
          <w:sz w:val="24"/>
        </w:rPr>
        <w:t>日</w:t>
      </w:r>
    </w:p>
    <w:tbl>
      <w:tblPr>
        <w:tblStyle w:val="25"/>
        <w:tblpPr w:leftFromText="180" w:rightFromText="180" w:vertAnchor="text" w:horzAnchor="page" w:tblpXSpec="center" w:tblpY="109"/>
        <w:tblOverlap w:val="never"/>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110"/>
        <w:gridCol w:w="1680"/>
        <w:gridCol w:w="2352"/>
        <w:gridCol w:w="1624"/>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61" w:type="dxa"/>
            <w:noWrap w:val="0"/>
            <w:vAlign w:val="top"/>
          </w:tcPr>
          <w:p>
            <w:pPr>
              <w:spacing w:line="620" w:lineRule="exact"/>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r>
              <w:rPr>
                <w:rFonts w:hint="eastAsia" w:ascii="宋体" w:hAnsi="宋体" w:cs="宋体"/>
                <w:sz w:val="24"/>
              </w:rPr>
              <w:t>姓名</w:t>
            </w:r>
          </w:p>
        </w:tc>
        <w:tc>
          <w:tcPr>
            <w:tcW w:w="1680" w:type="dxa"/>
            <w:noWrap w:val="0"/>
            <w:vAlign w:val="top"/>
          </w:tcPr>
          <w:p>
            <w:pPr>
              <w:spacing w:line="620" w:lineRule="exact"/>
              <w:jc w:val="center"/>
              <w:rPr>
                <w:rFonts w:hint="eastAsia" w:ascii="宋体" w:hAnsi="宋体" w:cs="宋体"/>
                <w:sz w:val="24"/>
              </w:rPr>
            </w:pPr>
            <w:r>
              <w:rPr>
                <w:rFonts w:hint="eastAsia" w:ascii="宋体" w:hAnsi="宋体" w:cs="宋体"/>
                <w:sz w:val="24"/>
              </w:rPr>
              <w:t>工作单位</w:t>
            </w:r>
          </w:p>
        </w:tc>
        <w:tc>
          <w:tcPr>
            <w:tcW w:w="2352" w:type="dxa"/>
            <w:noWrap w:val="0"/>
            <w:vAlign w:val="top"/>
          </w:tcPr>
          <w:p>
            <w:pPr>
              <w:spacing w:line="620" w:lineRule="exact"/>
              <w:jc w:val="center"/>
              <w:rPr>
                <w:rFonts w:hint="eastAsia" w:ascii="宋体" w:hAnsi="宋体" w:cs="宋体"/>
                <w:sz w:val="24"/>
              </w:rPr>
            </w:pPr>
            <w:r>
              <w:rPr>
                <w:rFonts w:hint="eastAsia" w:ascii="宋体" w:hAnsi="宋体" w:cs="宋体"/>
                <w:sz w:val="24"/>
              </w:rPr>
              <w:t>职务/职称</w:t>
            </w:r>
          </w:p>
        </w:tc>
        <w:tc>
          <w:tcPr>
            <w:tcW w:w="1624" w:type="dxa"/>
            <w:noWrap w:val="0"/>
            <w:vAlign w:val="top"/>
          </w:tcPr>
          <w:p>
            <w:pPr>
              <w:spacing w:line="620" w:lineRule="exact"/>
              <w:jc w:val="center"/>
              <w:rPr>
                <w:rFonts w:hint="eastAsia" w:ascii="宋体" w:hAnsi="宋体" w:cs="宋体"/>
                <w:sz w:val="24"/>
              </w:rPr>
            </w:pPr>
            <w:r>
              <w:rPr>
                <w:rFonts w:hint="eastAsia" w:ascii="宋体" w:hAnsi="宋体" w:cs="宋体"/>
                <w:sz w:val="24"/>
              </w:rPr>
              <w:t>联系电话</w:t>
            </w:r>
          </w:p>
        </w:tc>
        <w:tc>
          <w:tcPr>
            <w:tcW w:w="1860" w:type="dxa"/>
            <w:noWrap w:val="0"/>
            <w:vAlign w:val="top"/>
          </w:tcPr>
          <w:p>
            <w:pPr>
              <w:spacing w:line="620" w:lineRule="exact"/>
              <w:jc w:val="center"/>
              <w:rPr>
                <w:rFonts w:hint="eastAsia" w:ascii="宋体" w:hAnsi="宋体" w:cs="宋体"/>
                <w:sz w:val="24"/>
              </w:rPr>
            </w:pPr>
            <w:r>
              <w:rPr>
                <w:rFonts w:hint="eastAsia" w:ascii="宋体" w:hAnsi="宋体" w:cs="宋体"/>
                <w:sz w:val="24"/>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restart"/>
            <w:noWrap w:val="0"/>
            <w:vAlign w:val="top"/>
          </w:tcPr>
          <w:p>
            <w:pPr>
              <w:spacing w:line="620" w:lineRule="exact"/>
              <w:jc w:val="center"/>
              <w:rPr>
                <w:rFonts w:hint="eastAsia" w:ascii="宋体" w:hAnsi="宋体" w:cs="宋体"/>
                <w:sz w:val="24"/>
              </w:rPr>
            </w:pPr>
          </w:p>
          <w:p>
            <w:pPr>
              <w:spacing w:line="620" w:lineRule="exact"/>
              <w:jc w:val="center"/>
              <w:rPr>
                <w:rFonts w:hint="eastAsia" w:ascii="宋体" w:hAnsi="宋体" w:cs="宋体"/>
                <w:sz w:val="24"/>
              </w:rPr>
            </w:pPr>
            <w:r>
              <w:rPr>
                <w:rFonts w:hint="eastAsia" w:ascii="宋体" w:hAnsi="宋体" w:cs="宋体"/>
                <w:sz w:val="24"/>
              </w:rPr>
              <w:t>专家</w:t>
            </w:r>
          </w:p>
        </w:tc>
        <w:tc>
          <w:tcPr>
            <w:tcW w:w="1110" w:type="dxa"/>
            <w:noWrap w:val="0"/>
            <w:vAlign w:val="center"/>
          </w:tcPr>
          <w:p>
            <w:pPr>
              <w:spacing w:line="620" w:lineRule="exact"/>
              <w:jc w:val="center"/>
              <w:rPr>
                <w:rFonts w:hint="eastAsia" w:ascii="宋体" w:hAnsi="宋体" w:cs="宋体"/>
                <w:sz w:val="24"/>
              </w:rPr>
            </w:pPr>
            <w:r>
              <w:rPr>
                <w:rFonts w:hint="eastAsia" w:ascii="宋体" w:hAnsi="宋体" w:cs="宋体"/>
                <w:sz w:val="24"/>
              </w:rPr>
              <w:t>郑怀江</w:t>
            </w:r>
          </w:p>
        </w:tc>
        <w:tc>
          <w:tcPr>
            <w:tcW w:w="1680" w:type="dxa"/>
            <w:noWrap w:val="0"/>
            <w:vAlign w:val="center"/>
          </w:tcPr>
          <w:p>
            <w:pPr>
              <w:spacing w:line="620" w:lineRule="exact"/>
              <w:jc w:val="center"/>
              <w:rPr>
                <w:rFonts w:hint="eastAsia" w:ascii="宋体" w:hAnsi="宋体" w:cs="宋体"/>
                <w:sz w:val="24"/>
              </w:rPr>
            </w:pPr>
            <w:r>
              <w:rPr>
                <w:rFonts w:hint="eastAsia" w:ascii="宋体" w:hAnsi="宋体" w:cs="宋体"/>
                <w:sz w:val="24"/>
              </w:rPr>
              <w:t>四川飞龙化工</w:t>
            </w:r>
          </w:p>
        </w:tc>
        <w:tc>
          <w:tcPr>
            <w:tcW w:w="2352"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高工、注安师</w:t>
            </w:r>
          </w:p>
        </w:tc>
        <w:tc>
          <w:tcPr>
            <w:tcW w:w="1624"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17383611968</w:t>
            </w: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noWrap w:val="0"/>
            <w:vAlign w:val="top"/>
          </w:tcPr>
          <w:p>
            <w:pPr>
              <w:spacing w:line="620" w:lineRule="exact"/>
              <w:jc w:val="center"/>
              <w:rPr>
                <w:rFonts w:hint="eastAsia" w:ascii="宋体" w:hAnsi="宋体" w:cs="宋体"/>
                <w:sz w:val="24"/>
              </w:rPr>
            </w:pPr>
          </w:p>
        </w:tc>
        <w:tc>
          <w:tcPr>
            <w:tcW w:w="1110" w:type="dxa"/>
            <w:noWrap w:val="0"/>
            <w:vAlign w:val="center"/>
          </w:tcPr>
          <w:p>
            <w:pPr>
              <w:spacing w:line="620" w:lineRule="exact"/>
              <w:jc w:val="center"/>
              <w:rPr>
                <w:rFonts w:ascii="宋体" w:hAnsi="宋体" w:cs="宋体"/>
                <w:sz w:val="24"/>
              </w:rPr>
            </w:pPr>
            <w:r>
              <w:rPr>
                <w:rFonts w:hint="eastAsia" w:ascii="宋体" w:hAnsi="宋体" w:cs="宋体"/>
                <w:sz w:val="24"/>
                <w:lang w:val="en-US" w:eastAsia="zh-CN"/>
              </w:rPr>
              <w:t>严 宇</w:t>
            </w:r>
          </w:p>
        </w:tc>
        <w:tc>
          <w:tcPr>
            <w:tcW w:w="1680" w:type="dxa"/>
            <w:noWrap w:val="0"/>
            <w:vAlign w:val="center"/>
          </w:tcPr>
          <w:p>
            <w:pPr>
              <w:spacing w:line="620" w:lineRule="exact"/>
              <w:jc w:val="center"/>
              <w:rPr>
                <w:rFonts w:ascii="宋体" w:hAnsi="宋体" w:cs="宋体"/>
                <w:sz w:val="24"/>
              </w:rPr>
            </w:pPr>
            <w:r>
              <w:rPr>
                <w:rFonts w:hint="eastAsia" w:ascii="宋体" w:hAnsi="宋体" w:cs="宋体"/>
                <w:sz w:val="24"/>
                <w:lang w:val="en-US" w:eastAsia="zh-CN"/>
              </w:rPr>
              <w:t>西南石油大学</w:t>
            </w:r>
          </w:p>
        </w:tc>
        <w:tc>
          <w:tcPr>
            <w:tcW w:w="2352"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教  授</w:t>
            </w:r>
          </w:p>
        </w:tc>
        <w:tc>
          <w:tcPr>
            <w:tcW w:w="1624"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13198437788</w:t>
            </w:r>
          </w:p>
        </w:tc>
        <w:tc>
          <w:tcPr>
            <w:tcW w:w="1860" w:type="dxa"/>
            <w:noWrap w:val="0"/>
            <w:vAlign w:val="center"/>
          </w:tcPr>
          <w:p>
            <w:pPr>
              <w:spacing w:line="620" w:lineRule="exact"/>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noWrap w:val="0"/>
            <w:vAlign w:val="top"/>
          </w:tcPr>
          <w:p>
            <w:pPr>
              <w:spacing w:line="620" w:lineRule="exact"/>
              <w:jc w:val="center"/>
              <w:rPr>
                <w:rFonts w:hint="eastAsia" w:ascii="宋体" w:hAnsi="宋体" w:cs="宋体"/>
                <w:sz w:val="24"/>
              </w:rPr>
            </w:pPr>
          </w:p>
        </w:tc>
        <w:tc>
          <w:tcPr>
            <w:tcW w:w="1110" w:type="dxa"/>
            <w:noWrap w:val="0"/>
            <w:vAlign w:val="center"/>
          </w:tcPr>
          <w:p>
            <w:pPr>
              <w:spacing w:line="620" w:lineRule="exact"/>
              <w:jc w:val="center"/>
              <w:rPr>
                <w:rFonts w:hint="eastAsia" w:ascii="宋体" w:hAnsi="宋体" w:cs="宋体"/>
                <w:sz w:val="24"/>
              </w:rPr>
            </w:pPr>
            <w:r>
              <w:rPr>
                <w:rFonts w:hint="eastAsia" w:ascii="宋体" w:hAnsi="宋体" w:cs="宋体"/>
                <w:sz w:val="24"/>
              </w:rPr>
              <w:t>雷光明</w:t>
            </w:r>
          </w:p>
        </w:tc>
        <w:tc>
          <w:tcPr>
            <w:tcW w:w="1680" w:type="dxa"/>
            <w:noWrap w:val="0"/>
            <w:vAlign w:val="center"/>
          </w:tcPr>
          <w:p>
            <w:pPr>
              <w:spacing w:line="620" w:lineRule="exact"/>
              <w:jc w:val="center"/>
              <w:rPr>
                <w:rFonts w:hint="eastAsia" w:ascii="宋体" w:hAnsi="宋体" w:cs="宋体"/>
                <w:sz w:val="24"/>
              </w:rPr>
            </w:pPr>
            <w:r>
              <w:rPr>
                <w:rFonts w:hint="eastAsia" w:ascii="宋体" w:hAnsi="宋体" w:cs="宋体"/>
                <w:sz w:val="24"/>
              </w:rPr>
              <w:t>南充顺城盐化</w:t>
            </w:r>
          </w:p>
        </w:tc>
        <w:tc>
          <w:tcPr>
            <w:tcW w:w="2352"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注安师、消防工程师</w:t>
            </w:r>
          </w:p>
        </w:tc>
        <w:tc>
          <w:tcPr>
            <w:tcW w:w="1624" w:type="dxa"/>
            <w:noWrap w:val="0"/>
            <w:vAlign w:val="center"/>
          </w:tcPr>
          <w:p>
            <w:pPr>
              <w:spacing w:line="620" w:lineRule="exact"/>
              <w:jc w:val="center"/>
              <w:rPr>
                <w:rFonts w:hint="eastAsia" w:ascii="宋体" w:hAnsi="宋体" w:cs="宋体"/>
                <w:sz w:val="24"/>
                <w:lang w:val="en-US" w:eastAsia="zh-CN"/>
              </w:rPr>
            </w:pPr>
            <w:r>
              <w:rPr>
                <w:rFonts w:hint="eastAsia" w:ascii="宋体" w:hAnsi="宋体" w:cs="宋体"/>
                <w:sz w:val="24"/>
                <w:lang w:val="en-US" w:eastAsia="zh-CN"/>
              </w:rPr>
              <w:t>15882659589</w:t>
            </w: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restart"/>
            <w:noWrap w:val="0"/>
            <w:vAlign w:val="top"/>
          </w:tcPr>
          <w:p>
            <w:pPr>
              <w:spacing w:line="620" w:lineRule="exact"/>
              <w:rPr>
                <w:rFonts w:hint="eastAsia" w:ascii="宋体" w:hAnsi="宋体" w:cs="宋体"/>
                <w:sz w:val="24"/>
              </w:rPr>
            </w:pPr>
          </w:p>
          <w:p>
            <w:pPr>
              <w:spacing w:line="620" w:lineRule="exact"/>
              <w:rPr>
                <w:rFonts w:hint="eastAsia" w:ascii="宋体" w:hAnsi="宋体" w:cs="宋体"/>
                <w:sz w:val="24"/>
              </w:rPr>
            </w:pPr>
          </w:p>
          <w:p>
            <w:pPr>
              <w:spacing w:line="620" w:lineRule="exact"/>
              <w:rPr>
                <w:rFonts w:hint="eastAsia" w:ascii="宋体" w:hAnsi="宋体" w:cs="宋体"/>
                <w:sz w:val="24"/>
              </w:rPr>
            </w:pPr>
          </w:p>
          <w:p>
            <w:pPr>
              <w:spacing w:line="620" w:lineRule="exact"/>
              <w:rPr>
                <w:rFonts w:hint="eastAsia" w:ascii="宋体" w:hAnsi="宋体" w:cs="宋体"/>
                <w:sz w:val="24"/>
              </w:rPr>
            </w:pPr>
            <w:r>
              <w:rPr>
                <w:rFonts w:hint="eastAsia" w:ascii="宋体" w:hAnsi="宋体" w:cs="宋体"/>
                <w:sz w:val="24"/>
                <w:lang w:val="en-US" w:eastAsia="zh-CN"/>
              </w:rPr>
              <w:t>埃夫科纳（南充）特种聚合物有限公司</w:t>
            </w:r>
            <w:r>
              <w:rPr>
                <w:rFonts w:hint="eastAsia" w:ascii="宋体" w:hAnsi="宋体" w:cs="宋体"/>
                <w:sz w:val="24"/>
              </w:rPr>
              <w:t>参会人员</w:t>
            </w: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tcBorders/>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noWrap w:val="0"/>
            <w:vAlign w:val="top"/>
          </w:tcPr>
          <w:p>
            <w:pPr>
              <w:spacing w:line="620" w:lineRule="exact"/>
              <w:jc w:val="center"/>
              <w:rPr>
                <w:rFonts w:hint="eastAsia" w:ascii="宋体" w:hAnsi="宋体" w:cs="宋体"/>
                <w:sz w:val="24"/>
              </w:rPr>
            </w:pPr>
          </w:p>
        </w:tc>
        <w:tc>
          <w:tcPr>
            <w:tcW w:w="1110" w:type="dxa"/>
            <w:noWrap w:val="0"/>
            <w:vAlign w:val="top"/>
          </w:tcPr>
          <w:p>
            <w:pPr>
              <w:spacing w:line="620" w:lineRule="exact"/>
              <w:jc w:val="center"/>
              <w:rPr>
                <w:rFonts w:hint="eastAsia" w:ascii="宋体" w:hAnsi="宋体" w:cs="宋体"/>
                <w:sz w:val="24"/>
              </w:rPr>
            </w:pPr>
          </w:p>
        </w:tc>
        <w:tc>
          <w:tcPr>
            <w:tcW w:w="1680" w:type="dxa"/>
            <w:noWrap w:val="0"/>
            <w:vAlign w:val="top"/>
          </w:tcPr>
          <w:p>
            <w:pPr>
              <w:spacing w:line="620" w:lineRule="exact"/>
              <w:jc w:val="center"/>
              <w:rPr>
                <w:rFonts w:hint="eastAsia" w:ascii="宋体" w:hAnsi="宋体" w:cs="宋体"/>
                <w:sz w:val="24"/>
              </w:rPr>
            </w:pPr>
          </w:p>
        </w:tc>
        <w:tc>
          <w:tcPr>
            <w:tcW w:w="2352" w:type="dxa"/>
            <w:noWrap w:val="0"/>
            <w:vAlign w:val="top"/>
          </w:tcPr>
          <w:p>
            <w:pPr>
              <w:spacing w:line="620" w:lineRule="exact"/>
              <w:jc w:val="center"/>
              <w:rPr>
                <w:rFonts w:hint="eastAsia" w:ascii="宋体" w:hAnsi="宋体" w:cs="宋体"/>
                <w:sz w:val="24"/>
              </w:rPr>
            </w:pPr>
          </w:p>
        </w:tc>
        <w:tc>
          <w:tcPr>
            <w:tcW w:w="1624" w:type="dxa"/>
            <w:noWrap w:val="0"/>
            <w:vAlign w:val="top"/>
          </w:tcPr>
          <w:p>
            <w:pPr>
              <w:spacing w:line="620" w:lineRule="exact"/>
              <w:jc w:val="center"/>
              <w:rPr>
                <w:rFonts w:hint="eastAsia" w:ascii="宋体" w:hAnsi="宋体" w:cs="宋体"/>
                <w:sz w:val="24"/>
              </w:rPr>
            </w:pPr>
          </w:p>
        </w:tc>
        <w:tc>
          <w:tcPr>
            <w:tcW w:w="1860" w:type="dxa"/>
            <w:noWrap w:val="0"/>
            <w:vAlign w:val="top"/>
          </w:tcPr>
          <w:p>
            <w:pPr>
              <w:spacing w:line="620" w:lineRule="exact"/>
              <w:jc w:val="center"/>
              <w:rPr>
                <w:rFonts w:hint="eastAsia" w:ascii="宋体" w:hAnsi="宋体" w:cs="宋体"/>
                <w:sz w:val="24"/>
              </w:rPr>
            </w:pPr>
          </w:p>
        </w:tc>
      </w:tr>
    </w:tbl>
    <w:p>
      <w:pPr>
        <w:spacing w:after="312" w:afterLines="100" w:line="360" w:lineRule="auto"/>
        <w:jc w:val="center"/>
        <w:rPr>
          <w:rFonts w:hint="eastAsia" w:ascii="宋体" w:hAnsi="宋体" w:eastAsia="宋体" w:cs="宋体"/>
          <w:b/>
          <w:color w:val="auto"/>
          <w:sz w:val="44"/>
          <w:szCs w:val="44"/>
        </w:rPr>
        <w:sectPr>
          <w:pgSz w:w="11906" w:h="16838"/>
          <w:pgMar w:top="1417" w:right="1417" w:bottom="1417" w:left="1417" w:header="851" w:footer="992" w:gutter="0"/>
          <w:pgNumType w:fmt="decimal"/>
          <w:cols w:space="425" w:num="1"/>
          <w:docGrid w:type="lines" w:linePitch="312" w:charSpace="0"/>
        </w:sectPr>
      </w:pPr>
    </w:p>
    <w:p>
      <w:pPr>
        <w:pStyle w:val="15"/>
        <w:keepNext w:val="0"/>
        <w:keepLines w:val="0"/>
        <w:pageBreakBefore w:val="0"/>
        <w:widowControl/>
        <w:kinsoku/>
        <w:wordWrap/>
        <w:overflowPunct/>
        <w:topLinePunct w:val="0"/>
        <w:autoSpaceDE/>
        <w:autoSpaceDN/>
        <w:bidi w:val="0"/>
        <w:adjustRightInd/>
        <w:snapToGrid/>
        <w:spacing w:before="0" w:beforeLines="0" w:after="0" w:afterLines="0" w:line="580" w:lineRule="exact"/>
        <w:ind w:left="0" w:leftChars="0" w:right="0" w:firstLine="0" w:firstLineChars="0"/>
        <w:jc w:val="center"/>
        <w:textAlignment w:val="auto"/>
        <w:rPr>
          <w:rFonts w:hint="eastAsia" w:hAnsi="宋体" w:eastAsia="宋体" w:cs="宋体"/>
          <w:b/>
          <w:bCs/>
          <w:sz w:val="44"/>
          <w:szCs w:val="44"/>
          <w:lang w:val="en-US" w:eastAsia="zh-CN"/>
        </w:rPr>
      </w:pPr>
      <w:r>
        <w:rPr>
          <w:rFonts w:hint="eastAsia" w:hAnsi="宋体" w:eastAsia="宋体" w:cs="宋体"/>
          <w:b/>
          <w:bCs/>
          <w:sz w:val="44"/>
          <w:szCs w:val="44"/>
          <w:lang w:val="en-US" w:eastAsia="zh-CN"/>
        </w:rPr>
        <w:t>生产安全事故应急预案修订说明</w:t>
      </w:r>
    </w:p>
    <w:tbl>
      <w:tblPr>
        <w:tblStyle w:val="25"/>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8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57" w:type="dxa"/>
            <w:noWrap w:val="0"/>
            <w:vAlign w:val="center"/>
          </w:tcPr>
          <w:p>
            <w:pPr>
              <w:spacing w:line="620" w:lineRule="exact"/>
              <w:jc w:val="both"/>
              <w:rPr>
                <w:rFonts w:hint="eastAsia" w:ascii="宋体" w:hAnsi="宋体" w:eastAsia="宋体" w:cs="宋体"/>
                <w:bCs/>
                <w:color w:val="000000"/>
                <w:kern w:val="2"/>
                <w:sz w:val="28"/>
                <w:szCs w:val="28"/>
                <w:lang w:val="en-US" w:eastAsia="zh-CN" w:bidi="ar-SA"/>
              </w:rPr>
            </w:pPr>
            <w:r>
              <w:rPr>
                <w:rFonts w:hint="eastAsia" w:ascii="宋体" w:hAnsi="宋体" w:eastAsia="宋体" w:cs="宋体"/>
                <w:bCs/>
                <w:color w:val="000000"/>
                <w:kern w:val="2"/>
                <w:sz w:val="28"/>
                <w:szCs w:val="28"/>
                <w:lang w:val="en-US" w:eastAsia="zh-CN" w:bidi="ar-SA"/>
              </w:rPr>
              <w:t>评审预案名称</w:t>
            </w:r>
          </w:p>
        </w:tc>
        <w:tc>
          <w:tcPr>
            <w:tcW w:w="8011" w:type="dxa"/>
            <w:noWrap w:val="0"/>
            <w:vAlign w:val="center"/>
          </w:tcPr>
          <w:p>
            <w:pPr>
              <w:spacing w:line="620" w:lineRule="exact"/>
              <w:ind w:firstLine="280" w:firstLineChars="100"/>
              <w:jc w:val="both"/>
              <w:rPr>
                <w:rFonts w:hint="eastAsia" w:ascii="宋体" w:hAnsi="宋体" w:eastAsia="宋体" w:cs="宋体"/>
                <w:bCs/>
                <w:color w:val="000000"/>
                <w:kern w:val="2"/>
                <w:sz w:val="28"/>
                <w:szCs w:val="28"/>
                <w:lang w:val="en-US" w:eastAsia="zh-CN" w:bidi="ar-SA"/>
              </w:rPr>
            </w:pPr>
            <w:r>
              <w:rPr>
                <w:rFonts w:hint="eastAsia" w:ascii="宋体" w:hAnsi="宋体" w:eastAsia="宋体" w:cs="宋体"/>
                <w:bCs/>
                <w:color w:val="000000"/>
                <w:kern w:val="2"/>
                <w:sz w:val="28"/>
                <w:szCs w:val="28"/>
                <w:lang w:val="en-US" w:eastAsia="zh-CN" w:bidi="ar-SA"/>
              </w:rPr>
              <w:t>埃夫科纳（南充）特种聚合物有限公司生产安全事故应急预案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996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620" w:lineRule="exact"/>
              <w:ind w:firstLine="240" w:firstLineChars="100"/>
              <w:jc w:val="both"/>
              <w:textAlignment w:val="auto"/>
              <w:rPr>
                <w:rFonts w:ascii="宋体" w:hAnsi="宋体" w:cs="宋体"/>
                <w:bCs/>
                <w:color w:val="000000"/>
                <w:sz w:val="24"/>
              </w:rPr>
            </w:pPr>
            <w:r>
              <w:rPr>
                <w:rFonts w:hint="eastAsia" w:ascii="宋体" w:hAnsi="宋体" w:eastAsia="宋体" w:cs="宋体"/>
                <w:bCs/>
                <w:color w:val="000000"/>
                <w:sz w:val="24"/>
              </w:rPr>
              <w:t xml:space="preserve"> </w:t>
            </w:r>
            <w:r>
              <w:rPr>
                <w:rFonts w:hint="eastAsia" w:ascii="宋体" w:hAnsi="宋体" w:eastAsia="宋体" w:cs="宋体"/>
                <w:bCs/>
                <w:color w:val="000000"/>
                <w:sz w:val="24"/>
                <w:lang w:eastAsia="zh-CN"/>
              </w:rPr>
              <w:t xml:space="preserve"> </w:t>
            </w:r>
            <w:r>
              <w:rPr>
                <w:rFonts w:hint="eastAsia" w:ascii="宋体" w:hAnsi="宋体" w:eastAsia="宋体" w:cs="宋体"/>
                <w:bCs/>
                <w:color w:val="000000"/>
                <w:kern w:val="2"/>
                <w:sz w:val="28"/>
                <w:szCs w:val="28"/>
                <w:lang w:val="en-US" w:eastAsia="zh-CN" w:bidi="ar-SA"/>
              </w:rPr>
              <w:t>埃夫科纳（南充）特种聚合物有限公司根据专家对公司编制的《埃夫科纳（南充）特种聚合物有限公司生产安全事故应急预案》评审提出的意见及建议逐条进行了修订完善。现就其修改完善的相关情况作如下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6" w:hRule="atLeast"/>
          <w:jc w:val="center"/>
        </w:trPr>
        <w:tc>
          <w:tcPr>
            <w:tcW w:w="9968" w:type="dxa"/>
            <w:gridSpan w:val="2"/>
            <w:noWrap w:val="0"/>
            <w:vAlign w:val="top"/>
          </w:tcPr>
          <w:p>
            <w:pPr>
              <w:pStyle w:val="11"/>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一、专家意见：“ 1、预案封面明确预案正式发布具体日期。”</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修改情况：已对在预案封面明确了预案正式发布具体日期，见预案封面页。</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二、专家意见：“2、补充预案衔接性相关内容。”</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修改情况：已在应急预案体系与衔接中中明确了本应急预案与南充市经技术开发区政府生产安全事故应急预案相衔接等内容，见预案附件“附件3 预案体系与衔接”。详见P5、P183</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三、专家意见：“3、风险辨识、评估应补充风险评估方法相关内容。”</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修改情况：已在《风险辨识、评估报告》中补充完善风险评估方法等相关内容，见预案《风险辨识、评估报告》</w:t>
            </w:r>
            <w:bookmarkStart w:id="1" w:name="_Toc461627812"/>
            <w:bookmarkStart w:id="2" w:name="_Toc181095810"/>
            <w:r>
              <w:rPr>
                <w:rFonts w:hint="eastAsia" w:ascii="宋体" w:hAnsi="宋体" w:eastAsia="宋体" w:cs="宋体"/>
                <w:sz w:val="28"/>
                <w:szCs w:val="28"/>
                <w:lang w:val="en-US" w:eastAsia="zh-CN"/>
              </w:rPr>
              <w:t>“</w:t>
            </w:r>
            <w:bookmarkEnd w:id="1"/>
            <w:bookmarkEnd w:id="2"/>
            <w:r>
              <w:rPr>
                <w:rFonts w:hint="eastAsia" w:ascii="宋体" w:hAnsi="宋体" w:eastAsia="宋体" w:cs="宋体"/>
                <w:sz w:val="28"/>
                <w:szCs w:val="28"/>
                <w:lang w:val="en-US" w:eastAsia="zh-CN"/>
              </w:rPr>
              <w:t>2.1风险评估方法介绍”。</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四、专家意见：”4、应急资源调查补充应急资源差距分析。”</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bookmarkStart w:id="3" w:name="_Toc30736"/>
            <w:r>
              <w:rPr>
                <w:rFonts w:hint="eastAsia" w:ascii="宋体" w:hAnsi="宋体" w:eastAsia="宋体" w:cs="宋体"/>
                <w:sz w:val="28"/>
                <w:szCs w:val="28"/>
                <w:lang w:val="en-US" w:eastAsia="zh-CN"/>
              </w:rPr>
              <w:t>修改情况：已在预案《应急资源调查报告》中补充了应急资源差距分析等内容。见预案《应急资源调查报告》</w:t>
            </w:r>
            <w:bookmarkStart w:id="4" w:name="_Toc461627858"/>
            <w:bookmarkStart w:id="5" w:name="_Toc402557361"/>
            <w:bookmarkStart w:id="6" w:name="_Toc417389697"/>
            <w:bookmarkStart w:id="7" w:name="_Toc402557922"/>
            <w:bookmarkStart w:id="8" w:name="_Toc405411397"/>
            <w:bookmarkStart w:id="9" w:name="_Toc396137984"/>
            <w:r>
              <w:rPr>
                <w:rFonts w:hint="eastAsia" w:ascii="宋体" w:hAnsi="宋体" w:eastAsia="宋体" w:cs="宋体"/>
                <w:sz w:val="28"/>
                <w:szCs w:val="28"/>
                <w:lang w:val="en-US" w:eastAsia="zh-CN"/>
              </w:rPr>
              <w:t>“</w:t>
            </w:r>
            <w:bookmarkEnd w:id="4"/>
            <w:bookmarkEnd w:id="5"/>
            <w:bookmarkEnd w:id="6"/>
            <w:bookmarkEnd w:id="7"/>
            <w:bookmarkEnd w:id="8"/>
            <w:bookmarkEnd w:id="9"/>
            <w:bookmarkStart w:id="10" w:name="_Toc13113"/>
            <w:bookmarkStart w:id="11" w:name="_Toc17960"/>
            <w:bookmarkStart w:id="12" w:name="_Toc32158"/>
            <w:bookmarkStart w:id="13" w:name="_Toc7813"/>
            <w:bookmarkStart w:id="14" w:name="_Toc16195"/>
            <w:bookmarkStart w:id="15" w:name="_Toc20198"/>
            <w:bookmarkStart w:id="16" w:name="_Toc2983"/>
            <w:bookmarkStart w:id="17" w:name="_Toc17858"/>
            <w:bookmarkStart w:id="18" w:name="_Toc26267"/>
            <w:bookmarkStart w:id="19" w:name="_Toc8513"/>
            <w:bookmarkStart w:id="20" w:name="_Toc30417"/>
            <w:bookmarkStart w:id="21" w:name="_Toc850"/>
            <w:bookmarkStart w:id="22" w:name="_Toc5956"/>
            <w:bookmarkStart w:id="23" w:name="_Toc24930"/>
            <w:bookmarkStart w:id="24" w:name="_Toc15222"/>
            <w:bookmarkStart w:id="25" w:name="_Toc25824"/>
            <w:bookmarkStart w:id="26" w:name="_Toc5589"/>
            <w:bookmarkStart w:id="27" w:name="_Toc17853"/>
            <w:bookmarkStart w:id="28" w:name="_Toc31069"/>
            <w:bookmarkStart w:id="29" w:name="_Toc28791"/>
            <w:bookmarkStart w:id="30" w:name="_Toc16880"/>
            <w:bookmarkStart w:id="31" w:name="_Toc5430"/>
            <w:r>
              <w:rPr>
                <w:rFonts w:hint="eastAsia" w:ascii="宋体" w:hAnsi="宋体" w:eastAsia="宋体" w:cs="宋体"/>
                <w:sz w:val="28"/>
                <w:szCs w:val="28"/>
                <w:lang w:val="en-US" w:eastAsia="zh-CN"/>
              </w:rPr>
              <w:t>3应急资源差距分析</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hint="eastAsia" w:ascii="宋体" w:hAnsi="宋体" w:eastAsia="宋体" w:cs="宋体"/>
                <w:sz w:val="28"/>
                <w:szCs w:val="28"/>
                <w:lang w:val="en-US" w:eastAsia="zh-CN"/>
              </w:rPr>
              <w:t>”。</w:t>
            </w:r>
            <w:bookmarkEnd w:id="3"/>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五、专家意见：“5、附件要素补充外部应急救援电话、应急物资等内容。”</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修改情况：已对预案附件中的相关内容进行了补充完善，补充了外部应急救援电话、应急物资清单等内容。详见P184-185、P189</w:t>
            </w:r>
          </w:p>
          <w:p>
            <w:pPr>
              <w:keepNext w:val="0"/>
              <w:keepLines w:val="0"/>
              <w:pageBreakBefore w:val="0"/>
              <w:widowControl w:val="0"/>
              <w:kinsoku/>
              <w:wordWrap/>
              <w:overflowPunct/>
              <w:topLinePunct w:val="0"/>
              <w:autoSpaceDE/>
              <w:autoSpaceDN/>
              <w:bidi w:val="0"/>
              <w:adjustRightInd/>
              <w:snapToGrid/>
              <w:spacing w:line="540" w:lineRule="exact"/>
              <w:ind w:firstLine="280" w:firstLineChars="1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埃夫科纳（南充）特种聚合物有限公司</w:t>
            </w:r>
          </w:p>
          <w:p>
            <w:pPr>
              <w:keepNext w:val="0"/>
              <w:keepLines w:val="0"/>
              <w:pageBreakBefore w:val="0"/>
              <w:widowControl w:val="0"/>
              <w:tabs>
                <w:tab w:val="left" w:pos="2427"/>
              </w:tabs>
              <w:kinsoku/>
              <w:wordWrap/>
              <w:overflowPunct/>
              <w:topLinePunct w:val="0"/>
              <w:autoSpaceDE/>
              <w:autoSpaceDN/>
              <w:bidi w:val="0"/>
              <w:adjustRightInd/>
              <w:snapToGrid/>
              <w:spacing w:line="540" w:lineRule="exact"/>
              <w:ind w:firstLine="6720" w:firstLineChars="24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2021年7月21日</w:t>
            </w:r>
          </w:p>
          <w:p>
            <w:pPr>
              <w:pStyle w:val="11"/>
              <w:rPr>
                <w:rFonts w:hint="eastAsia"/>
                <w:lang w:val="en-US" w:eastAsia="zh-CN"/>
              </w:rPr>
            </w:pPr>
            <w:r>
              <w:rPr>
                <w:rFonts w:hint="eastAsia" w:ascii="宋体" w:hAnsi="宋体" w:eastAsia="宋体" w:cs="宋体"/>
                <w:sz w:val="28"/>
                <w:szCs w:val="28"/>
                <w:lang w:val="en-US" w:eastAsia="zh-CN"/>
              </w:rPr>
              <w:t>专家组长修订确认：</w:t>
            </w:r>
          </w:p>
          <w:p>
            <w:pPr>
              <w:pStyle w:val="11"/>
            </w:pPr>
          </w:p>
        </w:tc>
      </w:tr>
    </w:tbl>
    <w:p>
      <w:pPr>
        <w:spacing w:after="312" w:afterLines="100" w:line="360" w:lineRule="auto"/>
        <w:jc w:val="center"/>
        <w:rPr>
          <w:rFonts w:hint="eastAsia" w:ascii="宋体" w:hAnsi="宋体" w:eastAsia="宋体" w:cs="宋体"/>
          <w:b/>
          <w:color w:val="auto"/>
          <w:sz w:val="44"/>
          <w:szCs w:val="44"/>
        </w:rPr>
        <w:sectPr>
          <w:pgSz w:w="11906" w:h="16838"/>
          <w:pgMar w:top="1417" w:right="1417" w:bottom="1417" w:left="1417" w:header="851" w:footer="992" w:gutter="0"/>
          <w:pgNumType w:fmt="decimal"/>
          <w:cols w:space="425" w:num="1"/>
          <w:docGrid w:type="lines" w:linePitch="312" w:charSpace="0"/>
        </w:sectPr>
      </w:pPr>
    </w:p>
    <w:p>
      <w:pPr>
        <w:spacing w:after="312" w:afterLines="10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44"/>
          <w:szCs w:val="44"/>
        </w:rPr>
        <w:t>发布令</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公司全体员工：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为了加强对我公司生产安全事故的预防和控制，迅速有效地控制事故，最大限度地减轻事故危害以及造成的影响和损失，保护生命和财产安全，保障社会公共安全，维护稳定，有效控制和妥善处置生产安全事故，根据《生产经营单位生产安全事故应急预案编制导则》（GB/T29639-2020）、《生产安全事故应急预案管理办法》（中华人民共和国应急管理部令第2号）和《生产安全事故应急条例》（国令第708号）的要求，结合本公司实际情况编制了《埃夫科纳（南充）特种聚合物有限公司生产安全事故应急预案》，本预案主要由综合应急预案、专项应急预案、现场处置方案及预案附件四部分构成，用于指导本公司突发生产安全事故的应急救援行动工作。要求各部门严格按照本预案内容对所有员工进行教育培训，并定期组织开展应急演练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本预案按照国家有关规定，经过外部专家评审并修改完善后，现正式发布，于2021年7月</w:t>
      </w:r>
      <w:r>
        <w:rPr>
          <w:rFonts w:hint="eastAsia" w:ascii="宋体" w:hAnsi="宋体" w:eastAsia="宋体" w:cs="宋体"/>
          <w:color w:val="auto"/>
          <w:sz w:val="28"/>
          <w:szCs w:val="28"/>
          <w:lang w:val="en-US" w:eastAsia="zh-CN"/>
        </w:rPr>
        <w:t>21</w:t>
      </w:r>
      <w:r>
        <w:rPr>
          <w:rFonts w:hint="eastAsia" w:ascii="宋体" w:hAnsi="宋体" w:eastAsia="宋体" w:cs="宋体"/>
          <w:color w:val="auto"/>
          <w:sz w:val="28"/>
          <w:szCs w:val="28"/>
          <w:lang w:val="zh-CN"/>
        </w:rPr>
        <w:t>日正式发布。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zh-CN"/>
        </w:rPr>
        <w:t>特此发布！</w:t>
      </w:r>
      <w:r>
        <w:rPr>
          <w:rFonts w:hint="eastAsia" w:ascii="宋体" w:hAnsi="宋体" w:eastAsia="宋体" w:cs="宋体"/>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val="zh-CN"/>
        </w:rPr>
        <w:t>批准人（单位负责人）：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val="zh-CN"/>
        </w:rPr>
        <w:t>批准日期：</w:t>
      </w:r>
      <w:r>
        <w:rPr>
          <w:rFonts w:hint="eastAsia" w:ascii="宋体" w:hAnsi="宋体" w:eastAsia="宋体" w:cs="宋体"/>
          <w:color w:val="auto"/>
          <w:sz w:val="28"/>
          <w:szCs w:val="28"/>
          <w:lang w:val="en-US" w:eastAsia="zh-CN"/>
        </w:rPr>
        <w:t>2021</w:t>
      </w:r>
      <w:r>
        <w:rPr>
          <w:rFonts w:hint="eastAsia" w:ascii="宋体" w:hAnsi="宋体" w:eastAsia="宋体" w:cs="宋体"/>
          <w:color w:val="auto"/>
          <w:sz w:val="28"/>
          <w:szCs w:val="28"/>
          <w:lang w:val="zh-CN"/>
        </w:rPr>
        <w:t xml:space="preserve">年 </w:t>
      </w:r>
      <w:r>
        <w:rPr>
          <w:rFonts w:hint="eastAsia" w:ascii="宋体" w:hAnsi="宋体" w:eastAsia="宋体" w:cs="宋体"/>
          <w:color w:val="auto"/>
          <w:sz w:val="28"/>
          <w:szCs w:val="28"/>
          <w:lang w:val="en-US" w:eastAsia="zh-CN"/>
        </w:rPr>
        <w:t>07</w:t>
      </w:r>
      <w:r>
        <w:rPr>
          <w:rFonts w:hint="eastAsia" w:ascii="宋体" w:hAnsi="宋体" w:eastAsia="宋体" w:cs="宋体"/>
          <w:color w:val="auto"/>
          <w:sz w:val="28"/>
          <w:szCs w:val="28"/>
          <w:lang w:val="zh-CN"/>
        </w:rPr>
        <w:t>月</w:t>
      </w:r>
      <w:r>
        <w:rPr>
          <w:rFonts w:hint="eastAsia" w:ascii="宋体" w:hAnsi="宋体" w:eastAsia="宋体" w:cs="宋体"/>
          <w:color w:val="auto"/>
          <w:sz w:val="28"/>
          <w:szCs w:val="28"/>
          <w:lang w:val="en-US" w:eastAsia="zh-CN"/>
        </w:rPr>
        <w:t>21</w:t>
      </w:r>
      <w:r>
        <w:rPr>
          <w:rFonts w:hint="eastAsia" w:ascii="宋体" w:hAnsi="宋体" w:eastAsia="宋体" w:cs="宋体"/>
          <w:color w:val="auto"/>
          <w:sz w:val="28"/>
          <w:szCs w:val="28"/>
          <w:lang w:val="zh-CN"/>
        </w:rPr>
        <w:t>日</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宋体" w:hAnsi="宋体" w:eastAsia="宋体" w:cs="宋体"/>
          <w:color w:val="auto"/>
          <w:sz w:val="28"/>
          <w:szCs w:val="28"/>
          <w:lang w:val="zh-CN"/>
        </w:rPr>
      </w:pP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val="zh-CN"/>
        </w:rPr>
        <w:t>埃夫科纳（南充）特种聚合物有限公司</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b/>
          <w:bCs w:val="0"/>
          <w:snapToGrid w:val="0"/>
          <w:color w:val="auto"/>
          <w:kern w:val="0"/>
          <w:sz w:val="44"/>
          <w:szCs w:val="44"/>
          <w:lang w:val="zh-CN" w:eastAsia="zh-CN" w:bidi="zh-CN"/>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b/>
          <w:bCs w:val="0"/>
          <w:snapToGrid w:val="0"/>
          <w:color w:val="FF0000"/>
          <w:kern w:val="0"/>
          <w:sz w:val="44"/>
          <w:szCs w:val="44"/>
          <w:lang w:val="zh-CN" w:eastAsia="zh-CN" w:bidi="zh-CN"/>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b/>
          <w:bCs w:val="0"/>
          <w:snapToGrid w:val="0"/>
          <w:color w:val="FF0000"/>
          <w:kern w:val="0"/>
          <w:sz w:val="44"/>
          <w:szCs w:val="44"/>
          <w:lang w:val="zh-CN" w:eastAsia="zh-CN" w:bidi="zh-CN"/>
        </w:rPr>
      </w:pPr>
    </w:p>
    <w:p>
      <w:pPr>
        <w:rPr>
          <w:rFonts w:hint="eastAsia"/>
          <w:lang w:val="zh-CN" w:eastAsia="zh-CN"/>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方正小标宋_GBK" w:hAnsi="方正小标宋_GBK" w:eastAsia="宋体" w:cs="方正小标宋_GBK"/>
          <w:color w:val="FF0000"/>
          <w:spacing w:val="91"/>
          <w:w w:val="50"/>
          <w:sz w:val="44"/>
          <w:szCs w:val="44"/>
          <w:lang w:val="en-US" w:eastAsia="zh-CN"/>
        </w:rPr>
      </w:pPr>
      <w:r>
        <w:rPr>
          <w:rFonts w:hint="eastAsia" w:ascii="黑体" w:hAnsi="黑体" w:eastAsia="黑体" w:cs="黑体"/>
          <w:b/>
          <w:bCs w:val="0"/>
          <w:snapToGrid w:val="0"/>
          <w:color w:val="FF0000"/>
          <w:kern w:val="0"/>
          <w:sz w:val="44"/>
          <w:szCs w:val="44"/>
          <w:lang w:val="zh-CN" w:eastAsia="zh-CN" w:bidi="zh-CN"/>
        </w:rPr>
        <w:t>埃夫科纳（南充）特种聚合物有限公司</w:t>
      </w:r>
      <w:r>
        <w:rPr>
          <w:rFonts w:hint="eastAsia" w:ascii="黑体" w:hAnsi="黑体" w:eastAsia="黑体" w:cs="黑体"/>
          <w:b/>
          <w:bCs w:val="0"/>
          <w:snapToGrid w:val="0"/>
          <w:color w:val="FF0000"/>
          <w:kern w:val="0"/>
          <w:sz w:val="44"/>
          <w:szCs w:val="44"/>
          <w:lang w:val="en-US" w:eastAsia="zh-CN" w:bidi="zh-CN"/>
        </w:rPr>
        <w:t>文件</w:t>
      </w:r>
    </w:p>
    <w:p>
      <w:pPr>
        <w:spacing w:line="500" w:lineRule="exact"/>
        <w:jc w:val="center"/>
        <w:rPr>
          <w:rFonts w:hint="eastAsia" w:ascii="方正仿宋_GBK" w:hAnsi="楷体_GB2312" w:eastAsia="方正仿宋_GBK" w:cs="楷体_GB2312"/>
          <w:color w:val="auto"/>
          <w:spacing w:val="10"/>
          <w:sz w:val="33"/>
          <w:szCs w:val="33"/>
        </w:rPr>
      </w:pPr>
      <w:r>
        <w:rPr>
          <w:rFonts w:hint="eastAsia" w:ascii="仿宋_GB2312"/>
          <w:color w:val="auto"/>
          <w:sz w:val="32"/>
          <w:szCs w:val="32"/>
          <w:lang w:eastAsia="zh-CN"/>
        </w:rPr>
        <w:t>安</w:t>
      </w:r>
      <w:r>
        <w:rPr>
          <w:rFonts w:hint="eastAsia" w:ascii="仿宋_GB2312" w:eastAsia="仿宋_GB2312" w:cs="仿宋_GB2312"/>
          <w:color w:val="auto"/>
          <w:sz w:val="32"/>
          <w:szCs w:val="40"/>
        </w:rPr>
        <w:t>〔</w:t>
      </w:r>
      <w:r>
        <w:rPr>
          <w:rFonts w:hint="eastAsia" w:ascii="仿宋_GB2312" w:eastAsia="仿宋_GB2312"/>
          <w:color w:val="auto"/>
          <w:sz w:val="32"/>
          <w:szCs w:val="32"/>
        </w:rPr>
        <w:t>202</w:t>
      </w:r>
      <w:r>
        <w:rPr>
          <w:rFonts w:hint="eastAsia" w:ascii="仿宋_GB2312" w:eastAsia="仿宋_GB2312"/>
          <w:color w:val="auto"/>
          <w:sz w:val="32"/>
          <w:szCs w:val="32"/>
          <w:lang w:val="en-US" w:eastAsia="zh-CN"/>
        </w:rPr>
        <w:t>1</w:t>
      </w:r>
      <w:r>
        <w:rPr>
          <w:rFonts w:hint="eastAsia" w:ascii="仿宋_GB2312" w:eastAsia="仿宋_GB2312" w:cs="仿宋_GB2312"/>
          <w:color w:val="auto"/>
          <w:sz w:val="32"/>
          <w:szCs w:val="40"/>
        </w:rPr>
        <w:t>〕</w:t>
      </w:r>
      <w:r>
        <w:rPr>
          <w:rFonts w:hint="eastAsia" w:ascii="仿宋_GB2312" w:cs="仿宋_GB2312"/>
          <w:color w:val="auto"/>
          <w:sz w:val="32"/>
          <w:szCs w:val="40"/>
          <w:lang w:val="en-US" w:eastAsia="zh-CN"/>
        </w:rPr>
        <w:t>10</w:t>
      </w:r>
      <w:r>
        <w:rPr>
          <w:rFonts w:hint="eastAsia" w:ascii="仿宋_GB2312" w:eastAsia="仿宋_GB2312"/>
          <w:color w:val="auto"/>
          <w:sz w:val="32"/>
          <w:szCs w:val="32"/>
        </w:rPr>
        <w:t xml:space="preserve">号               </w:t>
      </w:r>
    </w:p>
    <w:p>
      <w:pPr>
        <w:spacing w:line="240" w:lineRule="exact"/>
        <w:jc w:val="center"/>
        <w:rPr>
          <w:rFonts w:ascii="仿宋_GB2312" w:hAnsi="宋体" w:eastAsia="仿宋_GB2312" w:cs="宋体"/>
          <w:color w:val="auto"/>
          <w:spacing w:val="10"/>
          <w:sz w:val="32"/>
          <w:szCs w:val="32"/>
        </w:rPr>
      </w:pPr>
      <w:r>
        <w:rPr>
          <w:rFonts w:hint="eastAsia" w:hAnsi="宋体" w:eastAsia="仿宋_GB2312" w:cs="宋体"/>
          <w:color w:val="auto"/>
          <w:spacing w:val="10"/>
          <w:sz w:val="32"/>
          <w:szCs w:val="32"/>
        </w:rPr>
        <mc:AlternateContent>
          <mc:Choice Requires="wps">
            <w:drawing>
              <wp:anchor distT="0" distB="0" distL="114300" distR="114300" simplePos="0" relativeHeight="251667456" behindDoc="0" locked="0" layoutInCell="1" allowOverlap="1">
                <wp:simplePos x="0" y="0"/>
                <wp:positionH relativeFrom="column">
                  <wp:posOffset>-169545</wp:posOffset>
                </wp:positionH>
                <wp:positionV relativeFrom="paragraph">
                  <wp:posOffset>3175</wp:posOffset>
                </wp:positionV>
                <wp:extent cx="5610225" cy="0"/>
                <wp:effectExtent l="0" t="12700" r="9525" b="15875"/>
                <wp:wrapNone/>
                <wp:docPr id="95" name="直接连接符 95"/>
                <wp:cNvGraphicFramePr/>
                <a:graphic xmlns:a="http://schemas.openxmlformats.org/drawingml/2006/main">
                  <a:graphicData uri="http://schemas.microsoft.com/office/word/2010/wordprocessingShape">
                    <wps:wsp>
                      <wps:cNvCnPr/>
                      <wps:spPr>
                        <a:xfrm flipH="1">
                          <a:off x="0" y="0"/>
                          <a:ext cx="5610225" cy="0"/>
                        </a:xfrm>
                        <a:prstGeom prst="line">
                          <a:avLst/>
                        </a:prstGeom>
                        <a:ln w="254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13.35pt;margin-top:0.25pt;height:0pt;width:441.75pt;z-index:251667456;mso-width-relative:page;mso-height-relative:page;" filled="f" stroked="t" coordsize="21600,21600" o:gfxdata="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sOi7SAAAABQEAAA8AAAAAAAAAAQAgAAAAIgAAAGRycy9kb3du&#10;cmV2LnhtbFBLAQIUABQAAAAIAIdO4kBPLDEfBQIAAP8DAAAOAAAAAAAAAAEAIAAAACEBAABkcnMv&#10;ZTJvRG9jLnhtbFBLBQYAAAAABgAGAFkBAACYBQAAAAA=&#10;">
                <v:fill on="f" focussize="0,0"/>
                <v:stroke weight="2pt" color="#FF0000" joinstyle="round"/>
                <v:imagedata o:title=""/>
                <o:lock v:ext="edit" aspectratio="f"/>
              </v:line>
            </w:pict>
          </mc:Fallback>
        </mc:AlternateContent>
      </w:r>
    </w:p>
    <w:p>
      <w:pPr>
        <w:adjustRightInd w:val="0"/>
        <w:snapToGrid w:val="0"/>
        <w:spacing w:line="240" w:lineRule="exact"/>
        <w:rPr>
          <w:rFonts w:hint="eastAsia" w:ascii="方正小标宋_GBK" w:hAnsi="方正小标宋_GBK" w:eastAsia="方正小标宋_GBK" w:cs="方正小标宋_GBK"/>
          <w:color w:val="auto"/>
          <w:sz w:val="44"/>
          <w:szCs w:val="44"/>
        </w:rPr>
      </w:pPr>
    </w:p>
    <w:p>
      <w:pPr>
        <w:keepNext w:val="0"/>
        <w:keepLines w:val="0"/>
        <w:pageBreakBefore w:val="0"/>
        <w:widowControl w:val="0"/>
        <w:kinsoku/>
        <w:wordWrap/>
        <w:overflowPunct/>
        <w:topLinePunct w:val="0"/>
        <w:autoSpaceDE/>
        <w:autoSpaceDN/>
        <w:bidi w:val="0"/>
        <w:adjustRightInd/>
        <w:spacing w:line="240" w:lineRule="auto"/>
        <w:ind w:left="0" w:leftChars="0" w:firstLine="723" w:firstLineChars="200"/>
        <w:jc w:val="center"/>
        <w:textAlignment w:val="auto"/>
        <w:rPr>
          <w:rFonts w:hint="eastAsia" w:ascii="黑体" w:hAnsi="黑体" w:eastAsia="黑体" w:cs="黑体"/>
          <w:b/>
          <w:bCs/>
          <w:color w:val="auto"/>
          <w:kern w:val="0"/>
          <w:sz w:val="36"/>
          <w:szCs w:val="36"/>
          <w:lang w:bidi="zh-CN"/>
        </w:rPr>
      </w:pPr>
      <w:r>
        <w:rPr>
          <w:rFonts w:hint="eastAsia" w:ascii="黑体" w:hAnsi="黑体" w:eastAsia="黑体" w:cs="黑体"/>
          <w:b/>
          <w:bCs/>
          <w:color w:val="auto"/>
          <w:kern w:val="0"/>
          <w:sz w:val="36"/>
          <w:szCs w:val="36"/>
          <w:lang w:bidi="zh-CN"/>
        </w:rPr>
        <w:t>关于成立应急预案编制工作组的通知</w:t>
      </w:r>
    </w:p>
    <w:p>
      <w:pPr>
        <w:pStyle w:val="18"/>
        <w:keepNext w:val="0"/>
        <w:keepLines w:val="0"/>
        <w:pageBreakBefore w:val="0"/>
        <w:widowControl w:val="0"/>
        <w:kinsoku/>
        <w:wordWrap/>
        <w:overflowPunct/>
        <w:topLinePunct w:val="0"/>
        <w:autoSpaceDE/>
        <w:autoSpaceDN/>
        <w:bidi w:val="0"/>
        <w:adjustRightInd/>
        <w:spacing w:line="240" w:lineRule="auto"/>
        <w:ind w:left="0" w:leftChars="0" w:firstLine="560" w:firstLineChars="200"/>
        <w:textAlignment w:val="auto"/>
        <w:rPr>
          <w:rFonts w:hint="eastAsia" w:ascii="仿宋" w:hAnsi="仿宋" w:eastAsia="仿宋" w:cs="仿宋"/>
          <w:color w:val="auto"/>
          <w:sz w:val="28"/>
          <w:szCs w:val="28"/>
        </w:rPr>
      </w:pPr>
    </w:p>
    <w:p>
      <w:pPr>
        <w:pStyle w:val="17"/>
        <w:ind w:firstLine="0"/>
        <w:rPr>
          <w:rFonts w:ascii="Times New Roman" w:hAnsi="Times New Roman"/>
          <w:color w:val="auto"/>
          <w:sz w:val="28"/>
          <w:szCs w:val="28"/>
        </w:rPr>
      </w:pPr>
      <w:r>
        <w:rPr>
          <w:rFonts w:hint="eastAsia" w:ascii="Times New Roman" w:hAnsi="Times New Roman"/>
          <w:color w:val="auto"/>
          <w:sz w:val="28"/>
          <w:szCs w:val="28"/>
        </w:rPr>
        <w:t>公司各部门：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sz w:val="28"/>
          <w:szCs w:val="28"/>
        </w:rPr>
      </w:pPr>
      <w:r>
        <w:rPr>
          <w:rFonts w:hint="eastAsia" w:ascii="Times New Roman" w:hAnsi="Times New Roman"/>
          <w:color w:val="auto"/>
          <w:sz w:val="28"/>
          <w:szCs w:val="28"/>
        </w:rPr>
        <w:t>为了积极响应和认真贯彻落实《生产安全事故应急预案管理办法》（国家安监总局令88号，国家应急管理部令第2号修改）文件的精神和要求，完善公司应急预案体系，增强生产安全事故应急处置能力，经研究决定成立</w:t>
      </w:r>
      <w:r>
        <w:rPr>
          <w:rFonts w:ascii="Times New Roman" w:hAnsi="Times New Roman"/>
          <w:color w:val="auto"/>
          <w:sz w:val="28"/>
          <w:szCs w:val="28"/>
          <w:lang w:val="zh-CN"/>
        </w:rPr>
        <w:t>《</w:t>
      </w:r>
      <w:r>
        <w:rPr>
          <w:rFonts w:hint="eastAsia" w:ascii="Times New Roman" w:hAnsi="Times New Roman"/>
          <w:color w:val="auto"/>
          <w:sz w:val="28"/>
          <w:szCs w:val="28"/>
          <w:lang w:val="zh-CN"/>
        </w:rPr>
        <w:t>埃夫科纳（南充）特种聚合物有限公司</w:t>
      </w:r>
      <w:r>
        <w:rPr>
          <w:rFonts w:ascii="Times New Roman" w:hAnsi="Times New Roman"/>
          <w:color w:val="auto"/>
          <w:sz w:val="28"/>
          <w:szCs w:val="28"/>
          <w:lang w:val="zh-CN"/>
        </w:rPr>
        <w:t>生产安全事故应急预案》</w:t>
      </w:r>
      <w:r>
        <w:rPr>
          <w:rFonts w:hint="eastAsia" w:ascii="Times New Roman" w:hAnsi="Times New Roman"/>
          <w:color w:val="auto"/>
          <w:sz w:val="28"/>
          <w:szCs w:val="28"/>
        </w:rPr>
        <w:t>编制小组，其组成</w:t>
      </w:r>
      <w:r>
        <w:rPr>
          <w:rFonts w:hint="eastAsia"/>
          <w:color w:val="auto"/>
          <w:sz w:val="28"/>
          <w:szCs w:val="28"/>
          <w:lang w:eastAsia="zh-CN"/>
        </w:rPr>
        <w:t>人员</w:t>
      </w:r>
      <w:r>
        <w:rPr>
          <w:rFonts w:hint="eastAsia" w:ascii="Times New Roman" w:hAnsi="Times New Roman"/>
          <w:color w:val="auto"/>
          <w:sz w:val="28"/>
          <w:szCs w:val="28"/>
        </w:rPr>
        <w:t>如下</w:t>
      </w:r>
      <w:r>
        <w:rPr>
          <w:rFonts w:hint="eastAsia" w:ascii="仿宋" w:hAnsi="仿宋" w:eastAsia="仿宋" w:cs="仿宋"/>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sz w:val="28"/>
          <w:szCs w:val="28"/>
          <w:lang w:eastAsia="zh-CN"/>
        </w:rPr>
      </w:pPr>
      <w:bookmarkStart w:id="32" w:name="_Hlk529039605"/>
      <w:r>
        <w:rPr>
          <w:rFonts w:hint="eastAsia" w:ascii="仿宋" w:hAnsi="仿宋" w:eastAsia="仿宋" w:cs="仿宋"/>
          <w:color w:val="auto"/>
          <w:sz w:val="28"/>
          <w:szCs w:val="28"/>
        </w:rPr>
        <w:t>编  制：</w:t>
      </w:r>
      <w:r>
        <w:rPr>
          <w:rFonts w:hint="eastAsia" w:ascii="仿宋" w:hAnsi="仿宋" w:eastAsia="仿宋" w:cs="仿宋"/>
          <w:color w:val="auto"/>
          <w:sz w:val="28"/>
          <w:szCs w:val="28"/>
          <w:lang w:eastAsia="zh-CN"/>
        </w:rPr>
        <w:t>安全生产委员会</w:t>
      </w:r>
      <w:r>
        <w:rPr>
          <w:rFonts w:hint="eastAsia" w:ascii="仿宋" w:hAnsi="仿宋" w:eastAsia="仿宋" w:cs="仿宋"/>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审  稿：李小华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终  审：</w:t>
      </w:r>
      <w:bookmarkEnd w:id="32"/>
      <w:r>
        <w:rPr>
          <w:rFonts w:hint="eastAsia" w:ascii="仿宋" w:hAnsi="仿宋" w:eastAsia="仿宋" w:cs="仿宋"/>
          <w:color w:val="auto"/>
          <w:sz w:val="28"/>
          <w:szCs w:val="28"/>
          <w:lang w:eastAsia="zh-CN"/>
        </w:rPr>
        <w:t>廖</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辽</w:t>
      </w:r>
    </w:p>
    <w:p>
      <w:pPr>
        <w:pStyle w:val="2"/>
        <w:rPr>
          <w:rFonts w:hint="eastAsia"/>
          <w:color w:val="auto"/>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right"/>
        <w:textAlignment w:val="auto"/>
        <w:rPr>
          <w:rFonts w:hint="eastAsia" w:ascii="仿宋" w:hAnsi="仿宋" w:eastAsia="仿宋" w:cs="仿宋"/>
          <w:bCs/>
          <w:snapToGrid w:val="0"/>
          <w:color w:val="auto"/>
          <w:kern w:val="2"/>
          <w:sz w:val="28"/>
          <w:szCs w:val="28"/>
          <w:lang w:val="en-US" w:eastAsia="zh-CN" w:bidi="zh-CN"/>
        </w:rPr>
      </w:pPr>
      <w:r>
        <w:rPr>
          <w:rFonts w:hint="eastAsia" w:ascii="仿宋" w:hAnsi="仿宋" w:eastAsia="仿宋" w:cs="仿宋"/>
          <w:bCs/>
          <w:snapToGrid w:val="0"/>
          <w:color w:val="auto"/>
          <w:kern w:val="0"/>
          <w:sz w:val="28"/>
          <w:szCs w:val="28"/>
          <w:lang w:bidi="zh-CN"/>
        </w:rPr>
        <w:t>　　　　　　　　　　</w:t>
      </w:r>
      <w:r>
        <w:rPr>
          <w:rFonts w:hint="eastAsia" w:ascii="仿宋" w:hAnsi="仿宋" w:eastAsia="仿宋" w:cs="仿宋"/>
          <w:bCs/>
          <w:snapToGrid w:val="0"/>
          <w:color w:val="auto"/>
          <w:kern w:val="2"/>
          <w:sz w:val="28"/>
          <w:szCs w:val="28"/>
          <w:lang w:val="zh-CN" w:eastAsia="zh-CN" w:bidi="zh-CN"/>
        </w:rPr>
        <w:t>埃夫科纳（南充）特种聚合物有限公司</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right"/>
        <w:textAlignment w:val="auto"/>
        <w:rPr>
          <w:rFonts w:hint="eastAsia" w:ascii="仿宋" w:hAnsi="仿宋" w:eastAsia="仿宋" w:cs="仿宋"/>
          <w:bCs/>
          <w:snapToGrid w:val="0"/>
          <w:color w:val="auto"/>
          <w:kern w:val="0"/>
          <w:sz w:val="28"/>
          <w:szCs w:val="28"/>
          <w:lang w:val="en-US" w:eastAsia="zh-CN" w:bidi="zh-CN"/>
        </w:rPr>
      </w:pPr>
      <w:r>
        <w:rPr>
          <w:rFonts w:hint="eastAsia" w:ascii="仿宋" w:hAnsi="仿宋" w:eastAsia="仿宋" w:cs="仿宋"/>
          <w:bCs/>
          <w:snapToGrid w:val="0"/>
          <w:color w:val="auto"/>
          <w:kern w:val="0"/>
          <w:sz w:val="28"/>
          <w:szCs w:val="28"/>
          <w:lang w:val="en-US" w:eastAsia="zh-CN" w:bidi="zh-CN"/>
        </w:rPr>
        <w:t xml:space="preserve">                          </w:t>
      </w:r>
      <w:r>
        <w:rPr>
          <w:rFonts w:hint="eastAsia" w:ascii="仿宋" w:hAnsi="仿宋" w:eastAsia="仿宋" w:cs="仿宋"/>
          <w:bCs/>
          <w:snapToGrid w:val="0"/>
          <w:color w:val="auto"/>
          <w:kern w:val="2"/>
          <w:sz w:val="28"/>
          <w:szCs w:val="28"/>
          <w:lang w:val="en-US" w:eastAsia="zh-CN" w:bidi="zh-CN"/>
        </w:rPr>
        <w:t>2021年05月10日</w:t>
      </w:r>
    </w:p>
    <w:p>
      <w:pPr>
        <w:pStyle w:val="2"/>
        <w:ind w:left="0" w:leftChars="0" w:firstLine="0" w:firstLineChars="0"/>
        <w:rPr>
          <w:rFonts w:hint="eastAsia"/>
          <w:color w:val="auto"/>
          <w:lang w:val="en-US" w:eastAsia="zh-CN"/>
        </w:rPr>
      </w:pPr>
    </w:p>
    <w:p>
      <w:pPr>
        <w:pStyle w:val="2"/>
        <w:ind w:left="0" w:leftChars="0" w:firstLine="0" w:firstLineChars="0"/>
        <w:rPr>
          <w:rFonts w:hint="eastAsia"/>
          <w:color w:val="auto"/>
          <w:lang w:val="en-US" w:eastAsia="zh-CN"/>
        </w:rPr>
      </w:pPr>
    </w:p>
    <w:p>
      <w:pPr>
        <w:pStyle w:val="2"/>
        <w:ind w:left="0" w:leftChars="0" w:firstLine="0" w:firstLineChars="0"/>
        <w:rPr>
          <w:rFonts w:hint="eastAsia"/>
          <w:color w:val="auto"/>
          <w:lang w:val="en-US" w:eastAsia="zh-CN"/>
        </w:rPr>
      </w:pPr>
    </w:p>
    <w:p>
      <w:pPr>
        <w:pStyle w:val="2"/>
        <w:ind w:left="0" w:leftChars="0" w:firstLine="0" w:firstLineChars="0"/>
        <w:rPr>
          <w:rFonts w:hint="eastAsia"/>
          <w:color w:val="auto"/>
          <w:lang w:val="en-US" w:eastAsia="zh-CN"/>
        </w:rPr>
      </w:pPr>
    </w:p>
    <w:p>
      <w:pPr>
        <w:pStyle w:val="2"/>
        <w:ind w:left="0" w:leftChars="0" w:firstLine="0" w:firstLineChars="0"/>
        <w:rPr>
          <w:rFonts w:hint="eastAsia"/>
          <w:color w:val="auto"/>
          <w:lang w:val="en-US" w:eastAsia="zh-CN"/>
        </w:rPr>
      </w:pPr>
      <w:r>
        <w:rPr>
          <w:rFonts w:hint="eastAsia" w:ascii="宋体" w:hAnsi="宋体" w:eastAsia="宋体" w:cs="宋体"/>
          <w:color w:val="auto"/>
          <w:kern w:val="0"/>
          <w:sz w:val="28"/>
          <w:szCs w:val="28"/>
          <w:lang w:val="zh-CN" w:eastAsia="zh-CN" w:bidi="ar-SA"/>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263525</wp:posOffset>
                </wp:positionV>
                <wp:extent cx="5784850" cy="11430"/>
                <wp:effectExtent l="0" t="4445" r="6350" b="12700"/>
                <wp:wrapNone/>
                <wp:docPr id="3" name="直接连接符 3"/>
                <wp:cNvGraphicFramePr/>
                <a:graphic xmlns:a="http://schemas.openxmlformats.org/drawingml/2006/main">
                  <a:graphicData uri="http://schemas.microsoft.com/office/word/2010/wordprocessingShape">
                    <wps:wsp>
                      <wps:cNvCnPr/>
                      <wps:spPr>
                        <a:xfrm flipV="1">
                          <a:off x="0" y="0"/>
                          <a:ext cx="5784850" cy="11430"/>
                        </a:xfrm>
                        <a:prstGeom prst="line">
                          <a:avLst/>
                        </a:prstGeom>
                        <a:ln w="9525" cap="flat" cmpd="sng">
                          <a:solidFill>
                            <a:srgbClr val="000000">
                              <a:alpha val="100000"/>
                            </a:srgbClr>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75pt;margin-top:20.75pt;height:0.9pt;width:455.5pt;z-index:251669504;mso-width-relative:page;mso-height-relative:page;" filled="f" stroked="t" coordsize="21600,21600" o:gfxdata="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vcXkNUAAAAIAQAADwAAAAAAAAAB&#10;ACAAAAAiAAAAZHJzL2Rvd25yZXYueG1sUEsBAhQAFAAAAAgAh07iQMpCmPkTAgAAIgQAAA4AAAAA&#10;AAAAAQAgAAAAJAEAAGRycy9lMm9Eb2MueG1sUEsFBgAAAAAGAAYAWQEAAKkFA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zh-CN" w:eastAsia="zh-CN"/>
        </w:rPr>
        <mc:AlternateContent>
          <mc:Choice Requires="wps">
            <w:drawing>
              <wp:anchor distT="0" distB="0" distL="114300" distR="114300" simplePos="0" relativeHeight="251668480" behindDoc="0" locked="0" layoutInCell="1" allowOverlap="1">
                <wp:simplePos x="0" y="0"/>
                <wp:positionH relativeFrom="column">
                  <wp:posOffset>32385</wp:posOffset>
                </wp:positionH>
                <wp:positionV relativeFrom="paragraph">
                  <wp:posOffset>309245</wp:posOffset>
                </wp:positionV>
                <wp:extent cx="5748020" cy="12065"/>
                <wp:effectExtent l="0" t="4445" r="5080" b="12065"/>
                <wp:wrapNone/>
                <wp:docPr id="97" name="直接连接符 97"/>
                <wp:cNvGraphicFramePr/>
                <a:graphic xmlns:a="http://schemas.openxmlformats.org/drawingml/2006/main">
                  <a:graphicData uri="http://schemas.microsoft.com/office/word/2010/wordprocessingShape">
                    <wps:wsp>
                      <wps:cNvCnPr/>
                      <wps:spPr>
                        <a:xfrm>
                          <a:off x="0" y="0"/>
                          <a:ext cx="5748020" cy="12065"/>
                        </a:xfrm>
                        <a:prstGeom prst="line">
                          <a:avLst/>
                        </a:prstGeom>
                        <a:ln w="9525" cap="flat" cmpd="sng">
                          <a:solidFill>
                            <a:srgbClr val="000000">
                              <a:alpha val="100000"/>
                            </a:srgbClr>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55pt;margin-top:24.35pt;height:0.95pt;width:452.6pt;z-index:251668480;mso-width-relative:page;mso-height-relative:page;" filled="f" stroked="t" coordsize="21600,21600" o:gfxdata="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Dwx2tUAAAAHAQAADwAAAAAAAAABACAAAAAiAAAA&#10;ZHJzL2Rvd25yZXYueG1sUEsBAhQAFAAAAAgAh07iQHp8DeQKAgAAGgQAAA4AAAAAAAAAAQAgAAAA&#10;JAEAAGRycy9lMm9Eb2MueG1sUEsFBgAAAAAGAAYAWQEAAKAFAAAAAA==&#10;">
                <v:fill on="f" focussize="0,0"/>
                <v:stroke color="#000000" joinstyle="round"/>
                <v:imagedata o:title=""/>
                <o:lock v:ext="edit" aspectratio="f"/>
              </v:line>
            </w:pict>
          </mc:Fallback>
        </mc:AlternateContent>
      </w:r>
      <w:r>
        <w:rPr>
          <w:rFonts w:hint="eastAsia" w:ascii="仿宋" w:hAnsi="仿宋" w:eastAsia="仿宋" w:cs="仿宋"/>
          <w:color w:val="auto"/>
          <w:sz w:val="28"/>
          <w:szCs w:val="28"/>
          <w:lang w:val="zh-CN" w:eastAsia="zh-CN"/>
        </w:rPr>
        <w:t>埃夫科纳（南充）特种聚合物有限公司</w:t>
      </w:r>
      <w:r>
        <w:rPr>
          <w:rFonts w:hint="eastAsia" w:ascii="仿宋" w:hAnsi="仿宋" w:eastAsia="仿宋" w:cs="仿宋"/>
          <w:color w:val="auto"/>
          <w:sz w:val="28"/>
          <w:szCs w:val="28"/>
          <w:lang w:val="en-US" w:eastAsia="zh-CN"/>
        </w:rPr>
        <w:t xml:space="preserve">          2021年05月10日印发</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Cs/>
          <w:color w:val="auto"/>
          <w:spacing w:val="91"/>
          <w:w w:val="50"/>
          <w:sz w:val="88"/>
          <w:szCs w:val="88"/>
          <w:lang w:eastAsia="zh-CN"/>
        </w:rPr>
        <w:sectPr>
          <w:pgSz w:w="11906" w:h="16838"/>
          <w:pgMar w:top="1417" w:right="1417" w:bottom="1417" w:left="1417" w:header="851" w:footer="992" w:gutter="0"/>
          <w:pgNumType w:fmt="decimal"/>
          <w:cols w:space="425" w:num="1"/>
          <w:docGrid w:type="lines" w:linePitch="312" w:charSpace="0"/>
        </w:sectPr>
      </w:pPr>
    </w:p>
    <w:sdt>
      <w:sdtPr>
        <w:rPr>
          <w:rFonts w:hint="eastAsia" w:ascii="黑体" w:hAnsi="黑体" w:eastAsia="黑体" w:cs="黑体"/>
          <w:b/>
          <w:bCs/>
          <w:kern w:val="2"/>
          <w:sz w:val="32"/>
          <w:szCs w:val="32"/>
          <w:lang w:val="en-US" w:eastAsia="zh-CN" w:bidi="ar-SA"/>
        </w:rPr>
        <w:id w:val="147479203"/>
        <w15:color w:val="DBDBDB"/>
        <w:docPartObj>
          <w:docPartGallery w:val="Table of Contents"/>
          <w:docPartUnique/>
        </w:docPartObj>
      </w:sdtPr>
      <w:sdtEndPr>
        <w:rPr>
          <w:rFonts w:hint="eastAsia" w:ascii="宋体" w:hAnsi="宋体" w:eastAsia="宋体" w:cs="宋体"/>
          <w:b/>
          <w:bCs/>
          <w:color w:val="auto"/>
          <w:kern w:val="44"/>
          <w:sz w:val="44"/>
          <w:szCs w:val="36"/>
          <w:lang w:val="en-US" w:eastAsia="zh-CN" w:bidi="ar-SA"/>
        </w:rPr>
      </w:sdtEndPr>
      <w:sdtContent>
        <w:p>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rPr>
          </w:pPr>
          <w:bookmarkStart w:id="33" w:name="_Toc24688"/>
          <w:r>
            <w:rPr>
              <w:rFonts w:hint="eastAsia" w:ascii="黑体" w:hAnsi="黑体" w:eastAsia="黑体" w:cs="黑体"/>
              <w:b/>
              <w:bCs/>
              <w:sz w:val="32"/>
              <w:szCs w:val="32"/>
            </w:rPr>
            <w:t>目</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录</w:t>
          </w:r>
        </w:p>
        <w:p>
          <w:pPr>
            <w:pStyle w:val="20"/>
            <w:tabs>
              <w:tab w:val="right" w:leader="dot" w:pos="9072"/>
            </w:tabs>
            <w:rPr>
              <w:b/>
              <w:bCs/>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"1-2" \h \u </w:instrText>
          </w:r>
          <w:r>
            <w:rPr>
              <w:rFonts w:hint="eastAsia" w:ascii="宋体" w:hAnsi="宋体" w:eastAsia="宋体" w:cs="宋体"/>
              <w:color w:val="auto"/>
              <w:sz w:val="28"/>
              <w:szCs w:val="28"/>
            </w:rPr>
            <w:fldChar w:fldCharType="separate"/>
          </w:r>
          <w:r>
            <w:rPr>
              <w:rFonts w:hint="eastAsia" w:ascii="宋体" w:hAnsi="宋体" w:eastAsia="宋体" w:cs="宋体"/>
              <w:b/>
              <w:bCs/>
              <w:color w:val="auto"/>
              <w:szCs w:val="28"/>
            </w:rPr>
            <w:fldChar w:fldCharType="begin"/>
          </w:r>
          <w:r>
            <w:rPr>
              <w:rFonts w:hint="eastAsia" w:ascii="宋体" w:hAnsi="宋体" w:eastAsia="宋体" w:cs="宋体"/>
              <w:b/>
              <w:bCs/>
              <w:szCs w:val="28"/>
            </w:rPr>
            <w:instrText xml:space="preserve"> HYPERLINK \l _Toc21062 </w:instrText>
          </w:r>
          <w:r>
            <w:rPr>
              <w:rFonts w:hint="eastAsia" w:ascii="宋体" w:hAnsi="宋体" w:eastAsia="宋体" w:cs="宋体"/>
              <w:b/>
              <w:bCs/>
              <w:szCs w:val="28"/>
            </w:rPr>
            <w:fldChar w:fldCharType="separate"/>
          </w:r>
          <w:r>
            <w:rPr>
              <w:rFonts w:hint="eastAsia" w:ascii="宋体" w:hAnsi="宋体" w:eastAsia="宋体" w:cs="宋体"/>
              <w:b/>
              <w:bCs/>
              <w:szCs w:val="36"/>
            </w:rPr>
            <w:t>第一部分 应急预案编制程序</w:t>
          </w:r>
          <w:r>
            <w:rPr>
              <w:b/>
              <w:bCs/>
            </w:rPr>
            <w:tab/>
          </w:r>
          <w:r>
            <w:rPr>
              <w:b/>
              <w:bCs/>
            </w:rPr>
            <w:fldChar w:fldCharType="begin"/>
          </w:r>
          <w:r>
            <w:rPr>
              <w:b/>
              <w:bCs/>
            </w:rPr>
            <w:instrText xml:space="preserve"> PAGEREF _Toc21062 \h </w:instrText>
          </w:r>
          <w:r>
            <w:rPr>
              <w:b/>
              <w:bCs/>
            </w:rPr>
            <w:fldChar w:fldCharType="separate"/>
          </w:r>
          <w:r>
            <w:rPr>
              <w:b/>
              <w:bCs/>
            </w:rPr>
            <w:t>1</w:t>
          </w:r>
          <w:r>
            <w:rPr>
              <w:b/>
              <w:bCs/>
            </w:rPr>
            <w:fldChar w:fldCharType="end"/>
          </w:r>
          <w:r>
            <w:rPr>
              <w:rFonts w:hint="eastAsia" w:ascii="宋体" w:hAnsi="宋体" w:eastAsia="宋体" w:cs="宋体"/>
              <w:b/>
              <w:bCs/>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_Toc11289 </w:instrText>
          </w:r>
          <w:r>
            <w:rPr>
              <w:rFonts w:hint="eastAsia" w:ascii="宋体" w:hAnsi="宋体" w:eastAsia="宋体" w:cs="宋体"/>
              <w:szCs w:val="28"/>
            </w:rPr>
            <w:fldChar w:fldCharType="separate"/>
          </w:r>
          <w:r>
            <w:rPr>
              <w:rFonts w:hint="eastAsia" w:ascii="宋体" w:hAnsi="宋体" w:eastAsia="宋体" w:cs="宋体"/>
              <w:szCs w:val="28"/>
              <w:lang w:val="en-US" w:eastAsia="zh-CN"/>
            </w:rPr>
            <w:t>1 概述</w:t>
          </w:r>
          <w:r>
            <w:tab/>
          </w:r>
          <w:r>
            <w:fldChar w:fldCharType="begin"/>
          </w:r>
          <w:r>
            <w:instrText xml:space="preserve"> PAGEREF _Toc11289 \h </w:instrText>
          </w:r>
          <w:r>
            <w:fldChar w:fldCharType="separate"/>
          </w:r>
          <w:r>
            <w:t>1</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_Toc30329 </w:instrText>
          </w:r>
          <w:r>
            <w:rPr>
              <w:rFonts w:hint="eastAsia" w:ascii="宋体" w:hAnsi="宋体" w:eastAsia="宋体" w:cs="宋体"/>
              <w:szCs w:val="28"/>
            </w:rPr>
            <w:fldChar w:fldCharType="separate"/>
          </w:r>
          <w:r>
            <w:rPr>
              <w:rFonts w:hint="eastAsia" w:ascii="宋体" w:hAnsi="宋体" w:eastAsia="宋体" w:cs="宋体"/>
              <w:szCs w:val="28"/>
              <w:lang w:val="en-US" w:eastAsia="zh-CN"/>
            </w:rPr>
            <w:t>2 成立应急预案编制工作组</w:t>
          </w:r>
          <w:r>
            <w:tab/>
          </w:r>
          <w:r>
            <w:fldChar w:fldCharType="begin"/>
          </w:r>
          <w:r>
            <w:instrText xml:space="preserve"> PAGEREF _Toc30329 \h </w:instrText>
          </w:r>
          <w:r>
            <w:fldChar w:fldCharType="separate"/>
          </w:r>
          <w:r>
            <w:t>1</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_Toc26623 </w:instrText>
          </w:r>
          <w:r>
            <w:rPr>
              <w:rFonts w:hint="eastAsia" w:ascii="宋体" w:hAnsi="宋体" w:eastAsia="宋体" w:cs="宋体"/>
              <w:szCs w:val="28"/>
            </w:rPr>
            <w:fldChar w:fldCharType="separate"/>
          </w:r>
          <w:r>
            <w:rPr>
              <w:rFonts w:hint="eastAsia" w:ascii="宋体" w:hAnsi="宋体" w:eastAsia="宋体" w:cs="宋体"/>
              <w:szCs w:val="28"/>
              <w:lang w:val="en-US" w:eastAsia="zh-CN"/>
            </w:rPr>
            <w:t>3 资料收集</w:t>
          </w:r>
          <w:r>
            <w:tab/>
          </w:r>
          <w:r>
            <w:fldChar w:fldCharType="begin"/>
          </w:r>
          <w:r>
            <w:instrText xml:space="preserve"> PAGEREF _Toc26623 \h </w:instrText>
          </w:r>
          <w:r>
            <w:fldChar w:fldCharType="separate"/>
          </w:r>
          <w:r>
            <w:t>1</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_Toc22760 </w:instrText>
          </w:r>
          <w:r>
            <w:rPr>
              <w:rFonts w:hint="eastAsia" w:ascii="宋体" w:hAnsi="宋体" w:eastAsia="宋体" w:cs="宋体"/>
              <w:szCs w:val="28"/>
            </w:rPr>
            <w:fldChar w:fldCharType="separate"/>
          </w:r>
          <w:r>
            <w:rPr>
              <w:rFonts w:hint="eastAsia" w:ascii="宋体" w:hAnsi="宋体" w:eastAsia="宋体" w:cs="宋体"/>
              <w:szCs w:val="28"/>
              <w:lang w:val="en-US" w:eastAsia="zh-CN"/>
            </w:rPr>
            <w:t>4 风险评估</w:t>
          </w:r>
          <w:r>
            <w:tab/>
          </w:r>
          <w:r>
            <w:fldChar w:fldCharType="begin"/>
          </w:r>
          <w:r>
            <w:instrText xml:space="preserve"> PAGEREF _Toc22760 \h </w:instrText>
          </w:r>
          <w:r>
            <w:fldChar w:fldCharType="separate"/>
          </w:r>
          <w:r>
            <w:t>2</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_Toc20333 </w:instrText>
          </w:r>
          <w:r>
            <w:rPr>
              <w:rFonts w:hint="eastAsia" w:ascii="宋体" w:hAnsi="宋体" w:eastAsia="宋体" w:cs="宋体"/>
              <w:szCs w:val="28"/>
            </w:rPr>
            <w:fldChar w:fldCharType="separate"/>
          </w:r>
          <w:r>
            <w:rPr>
              <w:rFonts w:hint="eastAsia" w:ascii="宋体" w:hAnsi="宋体" w:eastAsia="宋体" w:cs="宋体"/>
              <w:szCs w:val="28"/>
              <w:lang w:val="en-US" w:eastAsia="zh-CN"/>
            </w:rPr>
            <w:t>5 应急资源调查</w:t>
          </w:r>
          <w:r>
            <w:tab/>
          </w:r>
          <w:r>
            <w:fldChar w:fldCharType="begin"/>
          </w:r>
          <w:r>
            <w:instrText xml:space="preserve"> PAGEREF _Toc20333 \h </w:instrText>
          </w:r>
          <w:r>
            <w:fldChar w:fldCharType="separate"/>
          </w:r>
          <w:r>
            <w:t>2</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_Toc782 </w:instrText>
          </w:r>
          <w:r>
            <w:rPr>
              <w:rFonts w:hint="eastAsia" w:ascii="宋体" w:hAnsi="宋体" w:eastAsia="宋体" w:cs="宋体"/>
              <w:szCs w:val="28"/>
            </w:rPr>
            <w:fldChar w:fldCharType="separate"/>
          </w:r>
          <w:r>
            <w:rPr>
              <w:rFonts w:hint="eastAsia" w:ascii="宋体" w:hAnsi="宋体" w:eastAsia="宋体" w:cs="宋体"/>
              <w:szCs w:val="28"/>
              <w:lang w:val="en-US" w:eastAsia="zh-CN"/>
            </w:rPr>
            <w:t>6 编制应急预案</w:t>
          </w:r>
          <w:r>
            <w:tab/>
          </w:r>
          <w:r>
            <w:fldChar w:fldCharType="begin"/>
          </w:r>
          <w:r>
            <w:instrText xml:space="preserve"> PAGEREF _Toc782 \h </w:instrText>
          </w:r>
          <w:r>
            <w:fldChar w:fldCharType="separate"/>
          </w:r>
          <w:r>
            <w:t>2</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_Toc2508 </w:instrText>
          </w:r>
          <w:r>
            <w:rPr>
              <w:rFonts w:hint="eastAsia" w:ascii="宋体" w:hAnsi="宋体" w:eastAsia="宋体" w:cs="宋体"/>
              <w:szCs w:val="28"/>
            </w:rPr>
            <w:fldChar w:fldCharType="separate"/>
          </w:r>
          <w:r>
            <w:rPr>
              <w:rFonts w:hint="eastAsia" w:ascii="宋体" w:hAnsi="宋体" w:eastAsia="宋体" w:cs="宋体"/>
              <w:szCs w:val="28"/>
              <w:lang w:val="en-US" w:eastAsia="zh-CN"/>
            </w:rPr>
            <w:t>7 桌面推演</w:t>
          </w:r>
          <w:r>
            <w:tab/>
          </w:r>
          <w:r>
            <w:fldChar w:fldCharType="begin"/>
          </w:r>
          <w:r>
            <w:instrText xml:space="preserve"> PAGEREF _Toc2508 \h </w:instrText>
          </w:r>
          <w:r>
            <w:fldChar w:fldCharType="separate"/>
          </w:r>
          <w:r>
            <w:t>3</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_Toc6948 </w:instrText>
          </w:r>
          <w:r>
            <w:rPr>
              <w:rFonts w:hint="eastAsia" w:ascii="宋体" w:hAnsi="宋体" w:eastAsia="宋体" w:cs="宋体"/>
              <w:szCs w:val="28"/>
            </w:rPr>
            <w:fldChar w:fldCharType="separate"/>
          </w:r>
          <w:r>
            <w:rPr>
              <w:rFonts w:hint="eastAsia" w:ascii="宋体" w:hAnsi="宋体" w:eastAsia="宋体" w:cs="宋体"/>
              <w:szCs w:val="28"/>
              <w:lang w:val="en-US" w:eastAsia="zh-CN"/>
            </w:rPr>
            <w:t>8 应急预案评审及批准实施</w:t>
          </w:r>
          <w:r>
            <w:tab/>
          </w:r>
          <w:r>
            <w:fldChar w:fldCharType="begin"/>
          </w:r>
          <w:r>
            <w:instrText xml:space="preserve"> PAGEREF _Toc6948 \h </w:instrText>
          </w:r>
          <w:r>
            <w:fldChar w:fldCharType="separate"/>
          </w:r>
          <w:r>
            <w:t>3</w:t>
          </w:r>
          <w:r>
            <w:fldChar w:fldCharType="end"/>
          </w:r>
          <w:r>
            <w:rPr>
              <w:rFonts w:hint="eastAsia" w:ascii="宋体" w:hAnsi="宋体" w:eastAsia="宋体" w:cs="宋体"/>
              <w:color w:val="auto"/>
              <w:szCs w:val="28"/>
            </w:rPr>
            <w:fldChar w:fldCharType="end"/>
          </w:r>
        </w:p>
        <w:p>
          <w:pPr>
            <w:pStyle w:val="20"/>
            <w:tabs>
              <w:tab w:val="right" w:leader="dot" w:pos="9072"/>
            </w:tabs>
            <w:rPr>
              <w:rFonts w:hint="eastAsia" w:ascii="宋体" w:hAnsi="宋体" w:eastAsia="宋体" w:cs="宋体"/>
              <w:b/>
              <w:bCs/>
              <w:color w:val="auto"/>
              <w:szCs w:val="28"/>
            </w:rPr>
          </w:pP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HYPERLINK \l _Toc5914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第</w:t>
          </w:r>
          <w:r>
            <w:rPr>
              <w:rFonts w:hint="eastAsia" w:ascii="宋体" w:hAnsi="宋体" w:eastAsia="宋体" w:cs="宋体"/>
              <w:b/>
              <w:bCs/>
              <w:color w:val="auto"/>
              <w:szCs w:val="28"/>
              <w:lang w:eastAsia="zh-CN"/>
            </w:rPr>
            <w:t>二</w:t>
          </w:r>
          <w:r>
            <w:rPr>
              <w:rFonts w:hint="eastAsia" w:ascii="宋体" w:hAnsi="宋体" w:eastAsia="宋体" w:cs="宋体"/>
              <w:b/>
              <w:bCs/>
              <w:color w:val="auto"/>
              <w:szCs w:val="28"/>
            </w:rPr>
            <w:t xml:space="preserve">部分 </w:t>
          </w:r>
          <w:r>
            <w:rPr>
              <w:rFonts w:hint="eastAsia" w:ascii="宋体" w:hAnsi="宋体" w:eastAsia="宋体" w:cs="宋体"/>
              <w:b/>
              <w:bCs/>
              <w:color w:val="auto"/>
              <w:szCs w:val="28"/>
              <w:lang w:eastAsia="zh-CN"/>
            </w:rPr>
            <w:t>生产安全事故</w:t>
          </w:r>
          <w:r>
            <w:rPr>
              <w:rFonts w:hint="eastAsia" w:ascii="宋体" w:hAnsi="宋体" w:eastAsia="宋体" w:cs="宋体"/>
              <w:b/>
              <w:bCs/>
              <w:color w:val="auto"/>
              <w:szCs w:val="28"/>
            </w:rPr>
            <w:t>综合应急预案</w:t>
          </w:r>
          <w:r>
            <w:rPr>
              <w:rFonts w:hint="eastAsia" w:ascii="宋体" w:hAnsi="宋体" w:eastAsia="宋体" w:cs="宋体"/>
              <w:b/>
              <w:bCs/>
              <w:color w:val="auto"/>
              <w:szCs w:val="28"/>
            </w:rPr>
            <w:tab/>
          </w: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PAGEREF _Toc5914 \h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4</w:t>
          </w:r>
          <w:r>
            <w:rPr>
              <w:rFonts w:hint="eastAsia" w:ascii="宋体" w:hAnsi="宋体" w:eastAsia="宋体" w:cs="宋体"/>
              <w:b/>
              <w:bCs/>
              <w:color w:val="auto"/>
              <w:szCs w:val="28"/>
            </w:rPr>
            <w:fldChar w:fldCharType="end"/>
          </w:r>
          <w:r>
            <w:rPr>
              <w:rFonts w:hint="eastAsia" w:ascii="宋体" w:hAnsi="宋体" w:eastAsia="宋体" w:cs="宋体"/>
              <w:b/>
              <w:bCs/>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_Toc28971 </w:instrText>
          </w:r>
          <w:r>
            <w:rPr>
              <w:rFonts w:hint="eastAsia" w:ascii="宋体" w:hAnsi="宋体" w:eastAsia="宋体" w:cs="宋体"/>
              <w:szCs w:val="28"/>
            </w:rPr>
            <w:fldChar w:fldCharType="separate"/>
          </w:r>
          <w:r>
            <w:rPr>
              <w:rFonts w:hint="eastAsia" w:ascii="宋体" w:hAnsi="宋体" w:eastAsia="宋体" w:cs="宋体"/>
              <w:szCs w:val="28"/>
              <w:lang w:val="en-US" w:eastAsia="zh-CN"/>
            </w:rPr>
            <w:t>1 总则</w:t>
          </w:r>
          <w:r>
            <w:tab/>
          </w:r>
          <w:r>
            <w:fldChar w:fldCharType="begin"/>
          </w:r>
          <w:r>
            <w:instrText xml:space="preserve"> PAGEREF _Toc28971 \h </w:instrText>
          </w:r>
          <w:r>
            <w:fldChar w:fldCharType="separate"/>
          </w:r>
          <w:r>
            <w:t>4</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_Toc11606 </w:instrText>
          </w:r>
          <w:r>
            <w:rPr>
              <w:rFonts w:hint="eastAsia" w:ascii="宋体" w:hAnsi="宋体" w:eastAsia="宋体" w:cs="宋体"/>
              <w:szCs w:val="28"/>
            </w:rPr>
            <w:fldChar w:fldCharType="separate"/>
          </w:r>
          <w:r>
            <w:rPr>
              <w:rFonts w:hint="eastAsia" w:ascii="宋体" w:hAnsi="宋体" w:eastAsia="宋体" w:cs="宋体"/>
              <w:szCs w:val="28"/>
              <w:lang w:val="en-US" w:eastAsia="zh-CN"/>
            </w:rPr>
            <w:t>2 应急组织机构及职责</w:t>
          </w:r>
          <w:r>
            <w:tab/>
          </w:r>
          <w:r>
            <w:fldChar w:fldCharType="begin"/>
          </w:r>
          <w:r>
            <w:instrText xml:space="preserve"> PAGEREF _Toc11606 \h </w:instrText>
          </w:r>
          <w:r>
            <w:fldChar w:fldCharType="separate"/>
          </w:r>
          <w:r>
            <w:t>5</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_Toc4502 </w:instrText>
          </w:r>
          <w:r>
            <w:rPr>
              <w:rFonts w:hint="eastAsia" w:ascii="宋体" w:hAnsi="宋体" w:eastAsia="宋体" w:cs="宋体"/>
              <w:szCs w:val="28"/>
            </w:rPr>
            <w:fldChar w:fldCharType="separate"/>
          </w:r>
          <w:r>
            <w:rPr>
              <w:rFonts w:hint="eastAsia" w:ascii="宋体" w:hAnsi="宋体" w:eastAsia="宋体" w:cs="宋体"/>
              <w:szCs w:val="28"/>
              <w:lang w:val="en-US" w:eastAsia="zh-CN"/>
            </w:rPr>
            <w:t>3应急响应</w:t>
          </w:r>
          <w:r>
            <w:tab/>
          </w:r>
          <w:r>
            <w:fldChar w:fldCharType="begin"/>
          </w:r>
          <w:r>
            <w:instrText xml:space="preserve"> PAGEREF _Toc4502 \h </w:instrText>
          </w:r>
          <w:r>
            <w:fldChar w:fldCharType="separate"/>
          </w:r>
          <w:r>
            <w:t>11</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_Toc29369 </w:instrText>
          </w:r>
          <w:r>
            <w:rPr>
              <w:rFonts w:hint="eastAsia" w:ascii="宋体" w:hAnsi="宋体" w:eastAsia="宋体" w:cs="宋体"/>
              <w:szCs w:val="28"/>
            </w:rPr>
            <w:fldChar w:fldCharType="separate"/>
          </w:r>
          <w:r>
            <w:rPr>
              <w:rFonts w:hint="eastAsia" w:ascii="宋体" w:hAnsi="宋体" w:eastAsia="宋体" w:cs="宋体"/>
              <w:szCs w:val="28"/>
              <w:lang w:val="en-US" w:eastAsia="zh-CN"/>
            </w:rPr>
            <w:t>4 后期处置</w:t>
          </w:r>
          <w:r>
            <w:tab/>
          </w:r>
          <w:r>
            <w:fldChar w:fldCharType="begin"/>
          </w:r>
          <w:r>
            <w:instrText xml:space="preserve"> PAGEREF _Toc29369 \h </w:instrText>
          </w:r>
          <w:r>
            <w:fldChar w:fldCharType="separate"/>
          </w:r>
          <w:r>
            <w:t>33</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_Toc15062 </w:instrText>
          </w:r>
          <w:r>
            <w:rPr>
              <w:rFonts w:hint="eastAsia" w:ascii="宋体" w:hAnsi="宋体" w:eastAsia="宋体" w:cs="宋体"/>
              <w:szCs w:val="28"/>
            </w:rPr>
            <w:fldChar w:fldCharType="separate"/>
          </w:r>
          <w:r>
            <w:rPr>
              <w:rFonts w:hint="eastAsia" w:ascii="宋体" w:hAnsi="宋体" w:eastAsia="宋体" w:cs="宋体"/>
              <w:szCs w:val="28"/>
              <w:lang w:val="en-US" w:eastAsia="zh-CN"/>
            </w:rPr>
            <w:t>5 应急保障</w:t>
          </w:r>
          <w:r>
            <w:tab/>
          </w:r>
          <w:r>
            <w:fldChar w:fldCharType="begin"/>
          </w:r>
          <w:r>
            <w:instrText xml:space="preserve"> PAGEREF _Toc15062 \h </w:instrText>
          </w:r>
          <w:r>
            <w:fldChar w:fldCharType="separate"/>
          </w:r>
          <w:r>
            <w:t>37</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_Toc8289 </w:instrText>
          </w:r>
          <w:r>
            <w:rPr>
              <w:rFonts w:hint="eastAsia" w:ascii="宋体" w:hAnsi="宋体" w:eastAsia="宋体" w:cs="宋体"/>
              <w:szCs w:val="28"/>
            </w:rPr>
            <w:fldChar w:fldCharType="separate"/>
          </w:r>
          <w:r>
            <w:rPr>
              <w:rFonts w:hint="eastAsia" w:ascii="宋体" w:hAnsi="宋体" w:eastAsia="宋体" w:cs="宋体"/>
              <w:szCs w:val="28"/>
              <w:lang w:val="en-US" w:eastAsia="zh-CN"/>
            </w:rPr>
            <w:t>6 应急管理</w:t>
          </w:r>
          <w:r>
            <w:tab/>
          </w:r>
          <w:r>
            <w:fldChar w:fldCharType="begin"/>
          </w:r>
          <w:r>
            <w:instrText xml:space="preserve"> PAGEREF _Toc8289 \h </w:instrText>
          </w:r>
          <w:r>
            <w:fldChar w:fldCharType="separate"/>
          </w:r>
          <w:r>
            <w:t>40</w:t>
          </w:r>
          <w:r>
            <w:fldChar w:fldCharType="end"/>
          </w:r>
          <w:r>
            <w:rPr>
              <w:rFonts w:hint="eastAsia" w:ascii="宋体" w:hAnsi="宋体" w:eastAsia="宋体" w:cs="宋体"/>
              <w:color w:val="auto"/>
              <w:szCs w:val="28"/>
            </w:rPr>
            <w:fldChar w:fldCharType="end"/>
          </w:r>
        </w:p>
        <w:p>
          <w:pPr>
            <w:pStyle w:val="20"/>
            <w:tabs>
              <w:tab w:val="right" w:leader="dot" w:pos="9072"/>
            </w:tabs>
            <w:rPr>
              <w:rFonts w:hint="eastAsia" w:ascii="宋体" w:hAnsi="宋体" w:eastAsia="宋体" w:cs="宋体"/>
              <w:b/>
              <w:bCs/>
              <w:color w:val="auto"/>
              <w:szCs w:val="28"/>
            </w:rPr>
          </w:pP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HYPERLINK \l _Toc29904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第</w:t>
          </w:r>
          <w:r>
            <w:rPr>
              <w:rFonts w:hint="eastAsia" w:ascii="宋体" w:hAnsi="宋体" w:eastAsia="宋体" w:cs="宋体"/>
              <w:b/>
              <w:bCs/>
              <w:color w:val="auto"/>
              <w:szCs w:val="28"/>
              <w:lang w:eastAsia="zh-CN"/>
            </w:rPr>
            <w:t>三</w:t>
          </w:r>
          <w:r>
            <w:rPr>
              <w:rFonts w:hint="eastAsia" w:ascii="宋体" w:hAnsi="宋体" w:eastAsia="宋体" w:cs="宋体"/>
              <w:b/>
              <w:bCs/>
              <w:color w:val="auto"/>
              <w:szCs w:val="28"/>
            </w:rPr>
            <w:t>部分 专项应急预案</w:t>
          </w:r>
          <w:r>
            <w:rPr>
              <w:rFonts w:hint="eastAsia" w:ascii="宋体" w:hAnsi="宋体" w:eastAsia="宋体" w:cs="宋体"/>
              <w:b/>
              <w:bCs/>
              <w:color w:val="auto"/>
              <w:szCs w:val="28"/>
            </w:rPr>
            <w:tab/>
          </w: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PAGEREF _Toc29904 \h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46</w:t>
          </w:r>
          <w:r>
            <w:rPr>
              <w:rFonts w:hint="eastAsia" w:ascii="宋体" w:hAnsi="宋体" w:eastAsia="宋体" w:cs="宋体"/>
              <w:b/>
              <w:bCs/>
              <w:color w:val="auto"/>
              <w:szCs w:val="28"/>
            </w:rPr>
            <w:fldChar w:fldCharType="end"/>
          </w:r>
          <w:r>
            <w:rPr>
              <w:rFonts w:hint="eastAsia" w:ascii="宋体" w:hAnsi="宋体" w:eastAsia="宋体" w:cs="宋体"/>
              <w:b/>
              <w:bCs/>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_Toc27715 </w:instrText>
          </w:r>
          <w:r>
            <w:rPr>
              <w:rFonts w:hint="eastAsia" w:ascii="宋体" w:hAnsi="宋体" w:eastAsia="宋体" w:cs="宋体"/>
              <w:szCs w:val="28"/>
            </w:rPr>
            <w:fldChar w:fldCharType="separate"/>
          </w:r>
          <w:r>
            <w:rPr>
              <w:rFonts w:hint="eastAsia" w:ascii="宋体" w:hAnsi="宋体" w:eastAsia="宋体" w:cs="宋体"/>
              <w:szCs w:val="32"/>
              <w:lang w:val="en-US" w:eastAsia="zh-CN"/>
            </w:rPr>
            <w:t>一、火灾、爆炸事故专项应急预案</w:t>
          </w:r>
          <w:r>
            <w:tab/>
          </w:r>
          <w:r>
            <w:fldChar w:fldCharType="begin"/>
          </w:r>
          <w:r>
            <w:instrText xml:space="preserve"> PAGEREF _Toc27715 \h </w:instrText>
          </w:r>
          <w:r>
            <w:fldChar w:fldCharType="separate"/>
          </w:r>
          <w:r>
            <w:t>46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_Toc23515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1、</w:t>
          </w:r>
          <w:r>
            <w:rPr>
              <w:rFonts w:hint="eastAsia" w:ascii="宋体" w:hAnsi="宋体" w:eastAsia="宋体" w:cs="宋体"/>
              <w:bCs/>
              <w:szCs w:val="28"/>
              <w:lang w:val="zh-CN"/>
            </w:rPr>
            <w:t>适用范围</w:t>
          </w:r>
          <w:r>
            <w:tab/>
          </w:r>
          <w:r>
            <w:fldChar w:fldCharType="begin"/>
          </w:r>
          <w:r>
            <w:instrText xml:space="preserve"> PAGEREF _Toc23515 \h </w:instrText>
          </w:r>
          <w:r>
            <w:fldChar w:fldCharType="separate"/>
          </w:r>
          <w:r>
            <w:t>46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_Toc11948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2、</w:t>
          </w:r>
          <w:r>
            <w:rPr>
              <w:rFonts w:hint="eastAsia" w:ascii="宋体" w:hAnsi="宋体" w:eastAsia="宋体" w:cs="宋体"/>
              <w:bCs/>
              <w:szCs w:val="28"/>
              <w:lang w:val="zh-CN"/>
            </w:rPr>
            <w:t>应急组织机构及职责</w:t>
          </w:r>
          <w:r>
            <w:tab/>
          </w:r>
          <w:r>
            <w:fldChar w:fldCharType="begin"/>
          </w:r>
          <w:r>
            <w:instrText xml:space="preserve"> PAGEREF _Toc11948 \h </w:instrText>
          </w:r>
          <w:r>
            <w:fldChar w:fldCharType="separate"/>
          </w:r>
          <w:r>
            <w:t>47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_Toc10013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3、</w:t>
          </w:r>
          <w:r>
            <w:rPr>
              <w:rFonts w:hint="eastAsia" w:ascii="宋体" w:hAnsi="宋体" w:eastAsia="宋体" w:cs="宋体"/>
              <w:bCs/>
              <w:szCs w:val="28"/>
              <w:lang w:val="zh-CN"/>
            </w:rPr>
            <w:t>响应启动</w:t>
          </w:r>
          <w:r>
            <w:tab/>
          </w:r>
          <w:r>
            <w:fldChar w:fldCharType="begin"/>
          </w:r>
          <w:r>
            <w:instrText xml:space="preserve"> PAGEREF _Toc10013 \h </w:instrText>
          </w:r>
          <w:r>
            <w:fldChar w:fldCharType="separate"/>
          </w:r>
          <w:r>
            <w:t>47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_Toc10768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4、</w:t>
          </w:r>
          <w:r>
            <w:rPr>
              <w:rFonts w:hint="eastAsia" w:ascii="宋体" w:hAnsi="宋体" w:eastAsia="宋体" w:cs="宋体"/>
              <w:bCs/>
              <w:szCs w:val="28"/>
              <w:lang w:val="zh-CN"/>
            </w:rPr>
            <w:t>处置措施</w:t>
          </w:r>
          <w:r>
            <w:tab/>
          </w:r>
          <w:r>
            <w:fldChar w:fldCharType="begin"/>
          </w:r>
          <w:r>
            <w:instrText xml:space="preserve"> PAGEREF _Toc10768 \h </w:instrText>
          </w:r>
          <w:r>
            <w:fldChar w:fldCharType="separate"/>
          </w:r>
          <w:r>
            <w:t>51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_Toc24466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5、</w:t>
          </w:r>
          <w:r>
            <w:rPr>
              <w:rFonts w:hint="eastAsia" w:ascii="宋体" w:hAnsi="宋体" w:eastAsia="宋体" w:cs="宋体"/>
              <w:bCs/>
              <w:szCs w:val="28"/>
              <w:lang w:val="zh-CN"/>
            </w:rPr>
            <w:t>应急保障</w:t>
          </w:r>
          <w:r>
            <w:tab/>
          </w:r>
          <w:r>
            <w:fldChar w:fldCharType="begin"/>
          </w:r>
          <w:r>
            <w:instrText xml:space="preserve"> PAGEREF _Toc24466 \h </w:instrText>
          </w:r>
          <w:r>
            <w:fldChar w:fldCharType="separate"/>
          </w:r>
          <w:r>
            <w:t>57</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_Toc14954 </w:instrText>
          </w:r>
          <w:r>
            <w:rPr>
              <w:rFonts w:hint="eastAsia" w:ascii="宋体" w:hAnsi="宋体" w:eastAsia="宋体" w:cs="宋体"/>
              <w:szCs w:val="28"/>
            </w:rPr>
            <w:fldChar w:fldCharType="separate"/>
          </w:r>
          <w:r>
            <w:rPr>
              <w:rFonts w:hint="eastAsia" w:ascii="宋体" w:hAnsi="宋体" w:eastAsia="宋体" w:cs="宋体"/>
              <w:szCs w:val="32"/>
              <w:lang w:val="en-US" w:eastAsia="zh-CN"/>
            </w:rPr>
            <w:t>二、容器爆炸事故专项应急预案</w:t>
          </w:r>
          <w:r>
            <w:tab/>
          </w:r>
          <w:r>
            <w:fldChar w:fldCharType="begin"/>
          </w:r>
          <w:r>
            <w:instrText xml:space="preserve"> PAGEREF _Toc14954 \h </w:instrText>
          </w:r>
          <w:r>
            <w:fldChar w:fldCharType="separate"/>
          </w:r>
          <w:r>
            <w:t>58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_Toc21621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1、</w:t>
          </w:r>
          <w:r>
            <w:rPr>
              <w:rFonts w:hint="eastAsia" w:ascii="宋体" w:hAnsi="宋体" w:eastAsia="宋体" w:cs="宋体"/>
              <w:bCs/>
              <w:szCs w:val="28"/>
              <w:lang w:val="zh-CN"/>
            </w:rPr>
            <w:t>适用范围</w:t>
          </w:r>
          <w:r>
            <w:tab/>
          </w:r>
          <w:r>
            <w:fldChar w:fldCharType="begin"/>
          </w:r>
          <w:r>
            <w:instrText xml:space="preserve"> PAGEREF _Toc21621 \h </w:instrText>
          </w:r>
          <w:r>
            <w:fldChar w:fldCharType="separate"/>
          </w:r>
          <w:r>
            <w:t>58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_Toc28815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2、</w:t>
          </w:r>
          <w:r>
            <w:rPr>
              <w:rFonts w:hint="eastAsia" w:ascii="宋体" w:hAnsi="宋体" w:eastAsia="宋体" w:cs="宋体"/>
              <w:bCs/>
              <w:szCs w:val="28"/>
              <w:lang w:val="zh-CN"/>
            </w:rPr>
            <w:t>应急组织机构及职责</w:t>
          </w:r>
          <w:r>
            <w:tab/>
          </w:r>
          <w:r>
            <w:fldChar w:fldCharType="begin"/>
          </w:r>
          <w:r>
            <w:instrText xml:space="preserve"> PAGEREF _Toc28815 \h </w:instrText>
          </w:r>
          <w:r>
            <w:fldChar w:fldCharType="separate"/>
          </w:r>
          <w:r>
            <w:t>58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_Toc24512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3、</w:t>
          </w:r>
          <w:r>
            <w:rPr>
              <w:rFonts w:hint="eastAsia" w:ascii="宋体" w:hAnsi="宋体" w:eastAsia="宋体" w:cs="宋体"/>
              <w:bCs/>
              <w:szCs w:val="28"/>
              <w:lang w:val="zh-CN"/>
            </w:rPr>
            <w:t>响应启动</w:t>
          </w:r>
          <w:r>
            <w:tab/>
          </w:r>
          <w:r>
            <w:fldChar w:fldCharType="begin"/>
          </w:r>
          <w:r>
            <w:instrText xml:space="preserve"> PAGEREF _Toc24512 \h </w:instrText>
          </w:r>
          <w:r>
            <w:fldChar w:fldCharType="separate"/>
          </w:r>
          <w:r>
            <w:t>59</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_Toc287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4、</w:t>
          </w:r>
          <w:r>
            <w:rPr>
              <w:rFonts w:hint="eastAsia" w:ascii="宋体" w:hAnsi="宋体" w:eastAsia="宋体" w:cs="宋体"/>
              <w:bCs/>
              <w:szCs w:val="28"/>
              <w:lang w:val="zh-CN"/>
            </w:rPr>
            <w:t>处置措施</w:t>
          </w:r>
          <w:r>
            <w:tab/>
          </w:r>
          <w:r>
            <w:fldChar w:fldCharType="begin"/>
          </w:r>
          <w:r>
            <w:instrText xml:space="preserve"> PAGEREF _Toc287 \h </w:instrText>
          </w:r>
          <w:r>
            <w:fldChar w:fldCharType="separate"/>
          </w:r>
          <w:r>
            <w:t>63</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_Toc25567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5、</w:t>
          </w:r>
          <w:r>
            <w:rPr>
              <w:rFonts w:hint="eastAsia" w:ascii="宋体" w:hAnsi="宋体" w:eastAsia="宋体" w:cs="宋体"/>
              <w:bCs/>
              <w:szCs w:val="28"/>
              <w:lang w:val="zh-CN"/>
            </w:rPr>
            <w:t>应急保障</w:t>
          </w:r>
          <w:r>
            <w:tab/>
          </w:r>
          <w:r>
            <w:fldChar w:fldCharType="begin"/>
          </w:r>
          <w:r>
            <w:instrText xml:space="preserve"> PAGEREF _Toc25567 \h </w:instrText>
          </w:r>
          <w:r>
            <w:fldChar w:fldCharType="separate"/>
          </w:r>
          <w:r>
            <w:t>66</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_Toc27641 </w:instrText>
          </w:r>
          <w:r>
            <w:rPr>
              <w:rFonts w:hint="eastAsia" w:ascii="宋体" w:hAnsi="宋体" w:eastAsia="宋体" w:cs="宋体"/>
              <w:szCs w:val="28"/>
            </w:rPr>
            <w:fldChar w:fldCharType="separate"/>
          </w:r>
          <w:r>
            <w:rPr>
              <w:rFonts w:hint="eastAsia" w:ascii="宋体" w:hAnsi="宋体" w:eastAsia="宋体" w:cs="宋体"/>
              <w:szCs w:val="32"/>
              <w:lang w:val="en-US" w:eastAsia="zh-CN"/>
            </w:rPr>
            <w:t>三、危险化学品泄漏事故专项应急预案</w:t>
          </w:r>
          <w:r>
            <w:tab/>
          </w:r>
          <w:r>
            <w:fldChar w:fldCharType="begin"/>
          </w:r>
          <w:r>
            <w:instrText xml:space="preserve"> PAGEREF _Toc27641 \h </w:instrText>
          </w:r>
          <w:r>
            <w:fldChar w:fldCharType="separate"/>
          </w:r>
          <w:r>
            <w:t>67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_Toc29645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1、</w:t>
          </w:r>
          <w:r>
            <w:rPr>
              <w:rFonts w:hint="eastAsia" w:ascii="宋体" w:hAnsi="宋体" w:eastAsia="宋体" w:cs="宋体"/>
              <w:bCs/>
              <w:szCs w:val="28"/>
              <w:lang w:val="zh-CN"/>
            </w:rPr>
            <w:t>适用范围</w:t>
          </w:r>
          <w:r>
            <w:tab/>
          </w:r>
          <w:r>
            <w:fldChar w:fldCharType="begin"/>
          </w:r>
          <w:r>
            <w:instrText xml:space="preserve"> PAGEREF _Toc29645 \h </w:instrText>
          </w:r>
          <w:r>
            <w:fldChar w:fldCharType="separate"/>
          </w:r>
          <w:r>
            <w:t>67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_Toc10335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2、</w:t>
          </w:r>
          <w:r>
            <w:rPr>
              <w:rFonts w:hint="eastAsia" w:ascii="宋体" w:hAnsi="宋体" w:eastAsia="宋体" w:cs="宋体"/>
              <w:bCs/>
              <w:szCs w:val="28"/>
              <w:lang w:val="zh-CN"/>
            </w:rPr>
            <w:t>应急组织机构及职责</w:t>
          </w:r>
          <w:r>
            <w:tab/>
          </w:r>
          <w:r>
            <w:fldChar w:fldCharType="begin"/>
          </w:r>
          <w:r>
            <w:instrText xml:space="preserve"> PAGEREF _Toc10335 \h </w:instrText>
          </w:r>
          <w:r>
            <w:fldChar w:fldCharType="separate"/>
          </w:r>
          <w:r>
            <w:t>67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_Toc24874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3、</w:t>
          </w:r>
          <w:r>
            <w:rPr>
              <w:rFonts w:hint="eastAsia" w:ascii="宋体" w:hAnsi="宋体" w:eastAsia="宋体" w:cs="宋体"/>
              <w:bCs/>
              <w:szCs w:val="28"/>
              <w:lang w:val="zh-CN"/>
            </w:rPr>
            <w:t>响应启动</w:t>
          </w:r>
          <w:r>
            <w:tab/>
          </w:r>
          <w:r>
            <w:fldChar w:fldCharType="begin"/>
          </w:r>
          <w:r>
            <w:instrText xml:space="preserve"> PAGEREF _Toc24874 \h </w:instrText>
          </w:r>
          <w:r>
            <w:fldChar w:fldCharType="separate"/>
          </w:r>
          <w:r>
            <w:t>67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_Toc17201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4、</w:t>
          </w:r>
          <w:r>
            <w:rPr>
              <w:rFonts w:hint="eastAsia" w:ascii="宋体" w:hAnsi="宋体" w:eastAsia="宋体" w:cs="宋体"/>
              <w:bCs/>
              <w:szCs w:val="28"/>
              <w:lang w:val="zh-CN"/>
            </w:rPr>
            <w:t>处置措施</w:t>
          </w:r>
          <w:r>
            <w:tab/>
          </w:r>
          <w:r>
            <w:fldChar w:fldCharType="begin"/>
          </w:r>
          <w:r>
            <w:instrText xml:space="preserve"> PAGEREF _Toc17201 \h </w:instrText>
          </w:r>
          <w:r>
            <w:fldChar w:fldCharType="separate"/>
          </w:r>
          <w:r>
            <w:t>72</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_Toc2073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5、</w:t>
          </w:r>
          <w:r>
            <w:rPr>
              <w:rFonts w:hint="eastAsia" w:ascii="宋体" w:hAnsi="宋体" w:eastAsia="宋体" w:cs="宋体"/>
              <w:bCs/>
              <w:szCs w:val="28"/>
              <w:lang w:val="zh-CN"/>
            </w:rPr>
            <w:t>应急保障</w:t>
          </w:r>
          <w:r>
            <w:tab/>
          </w:r>
          <w:r>
            <w:fldChar w:fldCharType="begin"/>
          </w:r>
          <w:r>
            <w:instrText xml:space="preserve"> PAGEREF _Toc2073 \h </w:instrText>
          </w:r>
          <w:r>
            <w:fldChar w:fldCharType="separate"/>
          </w:r>
          <w:r>
            <w:t>75</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_Toc2009 </w:instrText>
          </w:r>
          <w:r>
            <w:rPr>
              <w:rFonts w:hint="eastAsia" w:ascii="宋体" w:hAnsi="宋体" w:eastAsia="宋体" w:cs="宋体"/>
              <w:szCs w:val="28"/>
            </w:rPr>
            <w:fldChar w:fldCharType="separate"/>
          </w:r>
          <w:r>
            <w:rPr>
              <w:rFonts w:hint="eastAsia" w:ascii="宋体" w:hAnsi="宋体" w:eastAsia="宋体" w:cs="宋体"/>
              <w:szCs w:val="32"/>
              <w:lang w:val="en-US" w:eastAsia="zh-CN"/>
            </w:rPr>
            <w:t>四、有限空间作业专项应急预案</w:t>
          </w:r>
          <w:r>
            <w:tab/>
          </w:r>
          <w:r>
            <w:fldChar w:fldCharType="begin"/>
          </w:r>
          <w:r>
            <w:instrText xml:space="preserve"> PAGEREF _Toc2009 \h </w:instrText>
          </w:r>
          <w:r>
            <w:fldChar w:fldCharType="separate"/>
          </w:r>
          <w:r>
            <w:t>76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_Toc11998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1、</w:t>
          </w:r>
          <w:r>
            <w:rPr>
              <w:rFonts w:hint="eastAsia" w:ascii="宋体" w:hAnsi="宋体" w:eastAsia="宋体" w:cs="宋体"/>
              <w:bCs/>
              <w:szCs w:val="28"/>
              <w:lang w:val="zh-CN"/>
            </w:rPr>
            <w:t>适用范围</w:t>
          </w:r>
          <w:r>
            <w:tab/>
          </w:r>
          <w:r>
            <w:fldChar w:fldCharType="begin"/>
          </w:r>
          <w:r>
            <w:instrText xml:space="preserve"> PAGEREF _Toc11998 \h </w:instrText>
          </w:r>
          <w:r>
            <w:fldChar w:fldCharType="separate"/>
          </w:r>
          <w:r>
            <w:t>76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_Toc20975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2、</w:t>
          </w:r>
          <w:r>
            <w:rPr>
              <w:rFonts w:hint="eastAsia" w:ascii="宋体" w:hAnsi="宋体" w:eastAsia="宋体" w:cs="宋体"/>
              <w:bCs/>
              <w:szCs w:val="28"/>
              <w:lang w:val="zh-CN"/>
            </w:rPr>
            <w:t>应急组织机构及职责</w:t>
          </w:r>
          <w:r>
            <w:tab/>
          </w:r>
          <w:r>
            <w:fldChar w:fldCharType="begin"/>
          </w:r>
          <w:r>
            <w:instrText xml:space="preserve"> PAGEREF _Toc20975 \h </w:instrText>
          </w:r>
          <w:r>
            <w:fldChar w:fldCharType="separate"/>
          </w:r>
          <w:r>
            <w:t>76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_Toc16275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3、</w:t>
          </w:r>
          <w:r>
            <w:rPr>
              <w:rFonts w:hint="eastAsia" w:ascii="宋体" w:hAnsi="宋体" w:eastAsia="宋体" w:cs="宋体"/>
              <w:bCs/>
              <w:szCs w:val="28"/>
              <w:lang w:val="zh-CN"/>
            </w:rPr>
            <w:t>响应启动</w:t>
          </w:r>
          <w:r>
            <w:tab/>
          </w:r>
          <w:r>
            <w:fldChar w:fldCharType="begin"/>
          </w:r>
          <w:r>
            <w:instrText xml:space="preserve"> PAGEREF _Toc16275 \h </w:instrText>
          </w:r>
          <w:r>
            <w:fldChar w:fldCharType="separate"/>
          </w:r>
          <w:r>
            <w:t>76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_Toc21653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4、</w:t>
          </w:r>
          <w:r>
            <w:rPr>
              <w:rFonts w:hint="eastAsia" w:ascii="宋体" w:hAnsi="宋体" w:eastAsia="宋体" w:cs="宋体"/>
              <w:bCs/>
              <w:szCs w:val="28"/>
              <w:lang w:val="zh-CN"/>
            </w:rPr>
            <w:t>处置措施</w:t>
          </w:r>
          <w:r>
            <w:tab/>
          </w:r>
          <w:r>
            <w:fldChar w:fldCharType="begin"/>
          </w:r>
          <w:r>
            <w:instrText xml:space="preserve"> PAGEREF _Toc21653 \h </w:instrText>
          </w:r>
          <w:r>
            <w:fldChar w:fldCharType="separate"/>
          </w:r>
          <w:r>
            <w:t>80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_Toc5234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5、</w:t>
          </w:r>
          <w:r>
            <w:rPr>
              <w:rFonts w:hint="eastAsia" w:ascii="宋体" w:hAnsi="宋体" w:eastAsia="宋体" w:cs="宋体"/>
              <w:bCs/>
              <w:szCs w:val="28"/>
              <w:lang w:val="zh-CN"/>
            </w:rPr>
            <w:t>应急保障</w:t>
          </w:r>
          <w:r>
            <w:tab/>
          </w:r>
          <w:r>
            <w:fldChar w:fldCharType="begin"/>
          </w:r>
          <w:r>
            <w:instrText xml:space="preserve"> PAGEREF _Toc5234 \h </w:instrText>
          </w:r>
          <w:r>
            <w:fldChar w:fldCharType="separate"/>
          </w:r>
          <w:r>
            <w:t>84</w:t>
          </w:r>
          <w:r>
            <w:fldChar w:fldCharType="end"/>
          </w:r>
          <w:r>
            <w:rPr>
              <w:rFonts w:hint="eastAsia" w:ascii="宋体" w:hAnsi="宋体" w:eastAsia="宋体" w:cs="宋体"/>
              <w:color w:val="auto"/>
              <w:szCs w:val="28"/>
            </w:rPr>
            <w:fldChar w:fldCharType="end"/>
          </w:r>
        </w:p>
        <w:p>
          <w:pPr>
            <w:pStyle w:val="20"/>
            <w:tabs>
              <w:tab w:val="right" w:leader="dot" w:pos="9072"/>
            </w:tabs>
            <w:rPr>
              <w:rFonts w:hint="eastAsia" w:ascii="宋体" w:hAnsi="宋体" w:eastAsia="宋体" w:cs="宋体"/>
              <w:b/>
              <w:bCs/>
              <w:color w:val="auto"/>
              <w:szCs w:val="28"/>
            </w:rPr>
          </w:pP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HYPERLINK \l _Toc19997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第</w:t>
          </w:r>
          <w:r>
            <w:rPr>
              <w:rFonts w:hint="eastAsia" w:ascii="宋体" w:hAnsi="宋体" w:eastAsia="宋体" w:cs="宋体"/>
              <w:b/>
              <w:bCs/>
              <w:color w:val="auto"/>
              <w:szCs w:val="28"/>
              <w:lang w:eastAsia="zh-CN"/>
            </w:rPr>
            <w:t>四</w:t>
          </w:r>
          <w:r>
            <w:rPr>
              <w:rFonts w:hint="eastAsia" w:ascii="宋体" w:hAnsi="宋体" w:eastAsia="宋体" w:cs="宋体"/>
              <w:b/>
              <w:bCs/>
              <w:color w:val="auto"/>
              <w:szCs w:val="28"/>
            </w:rPr>
            <w:t>部分</w:t>
          </w:r>
          <w:r>
            <w:rPr>
              <w:rFonts w:hint="eastAsia" w:ascii="宋体" w:hAnsi="宋体" w:eastAsia="宋体" w:cs="宋体"/>
              <w:b/>
              <w:bCs/>
              <w:color w:val="auto"/>
              <w:szCs w:val="28"/>
              <w:lang w:val="en-US" w:eastAsia="zh-CN"/>
            </w:rPr>
            <w:t xml:space="preserve"> </w:t>
          </w:r>
          <w:r>
            <w:rPr>
              <w:rFonts w:hint="eastAsia" w:ascii="宋体" w:hAnsi="宋体" w:eastAsia="宋体" w:cs="宋体"/>
              <w:b/>
              <w:bCs/>
              <w:color w:val="auto"/>
              <w:szCs w:val="28"/>
            </w:rPr>
            <w:t>事故现场处置方案</w:t>
          </w:r>
          <w:r>
            <w:rPr>
              <w:rFonts w:hint="eastAsia" w:ascii="宋体" w:hAnsi="宋体" w:eastAsia="宋体" w:cs="宋体"/>
              <w:b/>
              <w:bCs/>
              <w:color w:val="auto"/>
              <w:szCs w:val="28"/>
            </w:rPr>
            <w:tab/>
          </w: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PAGEREF _Toc19997 \h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85</w:t>
          </w:r>
          <w:r>
            <w:rPr>
              <w:rFonts w:hint="eastAsia" w:ascii="宋体" w:hAnsi="宋体" w:eastAsia="宋体" w:cs="宋体"/>
              <w:b/>
              <w:bCs/>
              <w:color w:val="auto"/>
              <w:szCs w:val="28"/>
            </w:rPr>
            <w:fldChar w:fldCharType="end"/>
          </w:r>
          <w:r>
            <w:rPr>
              <w:rFonts w:hint="eastAsia" w:ascii="宋体" w:hAnsi="宋体" w:eastAsia="宋体" w:cs="宋体"/>
              <w:b/>
              <w:bCs/>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_Toc4999 </w:instrText>
          </w:r>
          <w:r>
            <w:rPr>
              <w:rFonts w:hint="eastAsia" w:ascii="宋体" w:hAnsi="宋体" w:eastAsia="宋体" w:cs="宋体"/>
              <w:szCs w:val="28"/>
            </w:rPr>
            <w:fldChar w:fldCharType="separate"/>
          </w:r>
          <w:r>
            <w:rPr>
              <w:rFonts w:hint="eastAsia" w:ascii="宋体" w:hAnsi="宋体" w:eastAsia="宋体" w:cs="宋体"/>
              <w:szCs w:val="32"/>
              <w:lang w:val="en-US" w:eastAsia="zh-CN"/>
            </w:rPr>
            <w:t>一、火灾事故现场处置方案</w:t>
          </w:r>
          <w:r>
            <w:tab/>
          </w:r>
          <w:r>
            <w:fldChar w:fldCharType="begin"/>
          </w:r>
          <w:r>
            <w:instrText xml:space="preserve"> PAGEREF _Toc4999 \h </w:instrText>
          </w:r>
          <w:r>
            <w:fldChar w:fldCharType="separate"/>
          </w:r>
          <w:r>
            <w:t>85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_Toc4474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_Toc4474 \h </w:instrText>
          </w:r>
          <w:r>
            <w:fldChar w:fldCharType="separate"/>
          </w:r>
          <w:r>
            <w:t>85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_Toc31935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_Toc31935 \h </w:instrText>
          </w:r>
          <w:r>
            <w:fldChar w:fldCharType="separate"/>
          </w:r>
          <w:r>
            <w:t>87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_Toc23681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_Toc23681 \h </w:instrText>
          </w:r>
          <w:r>
            <w:fldChar w:fldCharType="separate"/>
          </w:r>
          <w:r>
            <w:t>88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_Toc9655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_Toc9655 \h </w:instrText>
          </w:r>
          <w:r>
            <w:fldChar w:fldCharType="separate"/>
          </w:r>
          <w:r>
            <w:t>95</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_Toc26899 </w:instrText>
          </w:r>
          <w:r>
            <w:rPr>
              <w:rFonts w:hint="eastAsia" w:ascii="宋体" w:hAnsi="宋体" w:eastAsia="宋体" w:cs="宋体"/>
              <w:szCs w:val="28"/>
            </w:rPr>
            <w:fldChar w:fldCharType="separate"/>
          </w:r>
          <w:r>
            <w:rPr>
              <w:rFonts w:hint="eastAsia" w:ascii="宋体" w:hAnsi="宋体" w:eastAsia="宋体" w:cs="宋体"/>
              <w:szCs w:val="32"/>
              <w:lang w:val="en-US" w:eastAsia="zh-CN"/>
            </w:rPr>
            <w:t>二、化学品泄漏事故现场处置方案</w:t>
          </w:r>
          <w:r>
            <w:tab/>
          </w:r>
          <w:r>
            <w:fldChar w:fldCharType="begin"/>
          </w:r>
          <w:r>
            <w:instrText xml:space="preserve"> PAGEREF _Toc26899 \h </w:instrText>
          </w:r>
          <w:r>
            <w:fldChar w:fldCharType="separate"/>
          </w:r>
          <w:r>
            <w:t>96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_Toc30901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_Toc30901 \h </w:instrText>
          </w:r>
          <w:r>
            <w:fldChar w:fldCharType="separate"/>
          </w:r>
          <w:r>
            <w:t>96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_Toc22685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_Toc22685 \h </w:instrText>
          </w:r>
          <w:r>
            <w:fldChar w:fldCharType="separate"/>
          </w:r>
          <w:r>
            <w:t>99</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_Toc30894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_Toc30894 \h </w:instrText>
          </w:r>
          <w:r>
            <w:fldChar w:fldCharType="separate"/>
          </w:r>
          <w:r>
            <w:t>100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_Toc21651 </w:instrText>
          </w:r>
          <w:r>
            <w:rPr>
              <w:rFonts w:hint="eastAsia" w:ascii="宋体" w:hAnsi="宋体" w:eastAsia="宋体" w:cs="宋体"/>
              <w:szCs w:val="28"/>
            </w:rPr>
            <w:fldChar w:fldCharType="separate"/>
          </w:r>
          <w:r>
            <w:rPr>
              <w:rFonts w:hint="eastAsia" w:ascii="宋体" w:hAnsi="宋体" w:eastAsia="宋体" w:cs="宋体"/>
              <w:kern w:val="0"/>
              <w:szCs w:val="28"/>
              <w:lang w:val="en-US" w:eastAsia="zh-CN"/>
            </w:rPr>
            <w:t>4、</w:t>
          </w:r>
          <w:r>
            <w:rPr>
              <w:rFonts w:hint="eastAsia" w:ascii="宋体" w:hAnsi="宋体" w:eastAsia="宋体" w:cs="宋体"/>
              <w:kern w:val="0"/>
              <w:szCs w:val="28"/>
              <w:lang w:eastAsia="zh-CN"/>
            </w:rPr>
            <w:t>注意事项</w:t>
          </w:r>
          <w:r>
            <w:tab/>
          </w:r>
          <w:r>
            <w:fldChar w:fldCharType="begin"/>
          </w:r>
          <w:r>
            <w:instrText xml:space="preserve"> PAGEREF _Toc21651 \h </w:instrText>
          </w:r>
          <w:r>
            <w:fldChar w:fldCharType="separate"/>
          </w:r>
          <w:r>
            <w:t>102</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_Toc23117 </w:instrText>
          </w:r>
          <w:r>
            <w:rPr>
              <w:rFonts w:hint="eastAsia" w:ascii="宋体" w:hAnsi="宋体" w:eastAsia="宋体" w:cs="宋体"/>
              <w:szCs w:val="28"/>
            </w:rPr>
            <w:fldChar w:fldCharType="separate"/>
          </w:r>
          <w:r>
            <w:rPr>
              <w:rFonts w:hint="eastAsia" w:ascii="宋体" w:hAnsi="宋体" w:eastAsia="宋体" w:cs="宋体"/>
              <w:lang w:eastAsia="zh-CN"/>
            </w:rPr>
            <w:t>三</w:t>
          </w:r>
          <w:r>
            <w:rPr>
              <w:rFonts w:hint="eastAsia" w:ascii="宋体" w:hAnsi="宋体" w:eastAsia="宋体" w:cs="宋体"/>
            </w:rPr>
            <w:t>、触电事故现场处置方案</w:t>
          </w:r>
          <w:r>
            <w:tab/>
          </w:r>
          <w:r>
            <w:fldChar w:fldCharType="begin"/>
          </w:r>
          <w:r>
            <w:instrText xml:space="preserve"> PAGEREF _Toc23117 \h </w:instrText>
          </w:r>
          <w:r>
            <w:fldChar w:fldCharType="separate"/>
          </w:r>
          <w:r>
            <w:t>104</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_Toc21459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_Toc21459 \h </w:instrText>
          </w:r>
          <w:r>
            <w:fldChar w:fldCharType="separate"/>
          </w:r>
          <w:r>
            <w:t>104</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_Toc593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_Toc593 \h </w:instrText>
          </w:r>
          <w:r>
            <w:fldChar w:fldCharType="separate"/>
          </w:r>
          <w:r>
            <w:t>105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_Toc13334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_Toc13334 \h </w:instrText>
          </w:r>
          <w:r>
            <w:fldChar w:fldCharType="separate"/>
          </w:r>
          <w:r>
            <w:t>106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_Toc31678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_Toc31678 \h </w:instrText>
          </w:r>
          <w:r>
            <w:fldChar w:fldCharType="separate"/>
          </w:r>
          <w:r>
            <w:t>110</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_Toc4045 </w:instrText>
          </w:r>
          <w:r>
            <w:rPr>
              <w:rFonts w:hint="eastAsia" w:ascii="宋体" w:hAnsi="宋体" w:eastAsia="宋体" w:cs="宋体"/>
              <w:szCs w:val="28"/>
            </w:rPr>
            <w:fldChar w:fldCharType="separate"/>
          </w:r>
          <w:r>
            <w:rPr>
              <w:rFonts w:hint="eastAsia" w:ascii="宋体" w:hAnsi="宋体" w:eastAsia="宋体" w:cs="宋体"/>
              <w:lang w:eastAsia="zh-CN"/>
            </w:rPr>
            <w:t>四</w:t>
          </w:r>
          <w:r>
            <w:rPr>
              <w:rFonts w:hint="eastAsia" w:ascii="宋体" w:hAnsi="宋体" w:eastAsia="宋体" w:cs="宋体"/>
            </w:rPr>
            <w:t>、</w:t>
          </w:r>
          <w:r>
            <w:rPr>
              <w:rFonts w:hint="eastAsia" w:ascii="宋体" w:hAnsi="宋体" w:eastAsia="宋体" w:cs="宋体"/>
              <w:lang w:eastAsia="zh-CN"/>
            </w:rPr>
            <w:t>灼烫</w:t>
          </w:r>
          <w:r>
            <w:rPr>
              <w:rFonts w:hint="eastAsia" w:ascii="宋体" w:hAnsi="宋体" w:eastAsia="宋体" w:cs="宋体"/>
            </w:rPr>
            <w:t>事故现场处置方案</w:t>
          </w:r>
          <w:r>
            <w:tab/>
          </w:r>
          <w:r>
            <w:fldChar w:fldCharType="begin"/>
          </w:r>
          <w:r>
            <w:instrText xml:space="preserve"> PAGEREF _Toc4045 \h </w:instrText>
          </w:r>
          <w:r>
            <w:fldChar w:fldCharType="separate"/>
          </w:r>
          <w:r>
            <w:t>111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_Toc19639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_Toc19639 \h </w:instrText>
          </w:r>
          <w:r>
            <w:fldChar w:fldCharType="separate"/>
          </w:r>
          <w:r>
            <w:t>111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_Toc15401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_Toc15401 \h </w:instrText>
          </w:r>
          <w:r>
            <w:fldChar w:fldCharType="separate"/>
          </w:r>
          <w:r>
            <w:t>111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_Toc1780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_Toc1780 \h </w:instrText>
          </w:r>
          <w:r>
            <w:fldChar w:fldCharType="separate"/>
          </w:r>
          <w:r>
            <w:t>112</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_Toc30748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_Toc30748 \h </w:instrText>
          </w:r>
          <w:r>
            <w:fldChar w:fldCharType="separate"/>
          </w:r>
          <w:r>
            <w:t>114</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_Toc6458 </w:instrText>
          </w:r>
          <w:r>
            <w:rPr>
              <w:rFonts w:hint="eastAsia" w:ascii="宋体" w:hAnsi="宋体" w:eastAsia="宋体" w:cs="宋体"/>
              <w:szCs w:val="28"/>
            </w:rPr>
            <w:fldChar w:fldCharType="separate"/>
          </w:r>
          <w:r>
            <w:rPr>
              <w:rFonts w:hint="eastAsia" w:ascii="宋体" w:hAnsi="宋体" w:eastAsia="宋体" w:cs="宋体"/>
              <w:lang w:eastAsia="zh-CN"/>
            </w:rPr>
            <w:t>五</w:t>
          </w:r>
          <w:r>
            <w:rPr>
              <w:rFonts w:hint="eastAsia" w:ascii="宋体" w:hAnsi="宋体" w:eastAsia="宋体" w:cs="宋体"/>
            </w:rPr>
            <w:t>、</w:t>
          </w:r>
          <w:r>
            <w:rPr>
              <w:rFonts w:hint="eastAsia" w:ascii="宋体" w:hAnsi="宋体" w:eastAsia="宋体" w:cs="宋体"/>
              <w:lang w:eastAsia="zh-CN"/>
            </w:rPr>
            <w:t>冻伤</w:t>
          </w:r>
          <w:r>
            <w:rPr>
              <w:rFonts w:hint="eastAsia" w:ascii="宋体" w:hAnsi="宋体" w:eastAsia="宋体" w:cs="宋体"/>
            </w:rPr>
            <w:t>事故现场处置方案</w:t>
          </w:r>
          <w:r>
            <w:tab/>
          </w:r>
          <w:r>
            <w:fldChar w:fldCharType="begin"/>
          </w:r>
          <w:r>
            <w:instrText xml:space="preserve"> PAGEREF _Toc6458 \h </w:instrText>
          </w:r>
          <w:r>
            <w:fldChar w:fldCharType="separate"/>
          </w:r>
          <w:r>
            <w:t>116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_Toc23693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_Toc23693 \h </w:instrText>
          </w:r>
          <w:r>
            <w:fldChar w:fldCharType="separate"/>
          </w:r>
          <w:r>
            <w:t>116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_Toc20798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_Toc20798 \h </w:instrText>
          </w:r>
          <w:r>
            <w:fldChar w:fldCharType="separate"/>
          </w:r>
          <w:r>
            <w:t>116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_Toc24351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_Toc24351 \h </w:instrText>
          </w:r>
          <w:r>
            <w:fldChar w:fldCharType="separate"/>
          </w:r>
          <w:r>
            <w:t>117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_Toc14798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_Toc14798 \h </w:instrText>
          </w:r>
          <w:r>
            <w:fldChar w:fldCharType="separate"/>
          </w:r>
          <w:r>
            <w:t>121</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_Toc1080 </w:instrText>
          </w:r>
          <w:r>
            <w:rPr>
              <w:rFonts w:hint="eastAsia" w:ascii="宋体" w:hAnsi="宋体" w:eastAsia="宋体" w:cs="宋体"/>
              <w:szCs w:val="28"/>
            </w:rPr>
            <w:fldChar w:fldCharType="separate"/>
          </w:r>
          <w:r>
            <w:rPr>
              <w:rFonts w:hint="eastAsia" w:ascii="宋体" w:hAnsi="宋体" w:eastAsia="宋体" w:cs="宋体"/>
              <w:lang w:eastAsia="zh-CN"/>
            </w:rPr>
            <w:t>六</w:t>
          </w:r>
          <w:r>
            <w:rPr>
              <w:rFonts w:hint="eastAsia" w:ascii="宋体" w:hAnsi="宋体" w:eastAsia="宋体" w:cs="宋体"/>
            </w:rPr>
            <w:t>、</w:t>
          </w:r>
          <w:r>
            <w:rPr>
              <w:rFonts w:hint="eastAsia" w:ascii="宋体" w:hAnsi="宋体" w:eastAsia="宋体" w:cs="宋体"/>
              <w:lang w:eastAsia="zh-CN"/>
            </w:rPr>
            <w:t>机械伤害</w:t>
          </w:r>
          <w:r>
            <w:rPr>
              <w:rFonts w:hint="eastAsia" w:ascii="宋体" w:hAnsi="宋体" w:eastAsia="宋体" w:cs="宋体"/>
            </w:rPr>
            <w:t>事故现场处置方案</w:t>
          </w:r>
          <w:r>
            <w:tab/>
          </w:r>
          <w:r>
            <w:fldChar w:fldCharType="begin"/>
          </w:r>
          <w:r>
            <w:instrText xml:space="preserve"> PAGEREF _Toc1080 \h </w:instrText>
          </w:r>
          <w:r>
            <w:fldChar w:fldCharType="separate"/>
          </w:r>
          <w:r>
            <w:t>122</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_Toc551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_Toc551 \h </w:instrText>
          </w:r>
          <w:r>
            <w:fldChar w:fldCharType="separate"/>
          </w:r>
          <w:r>
            <w:t>122</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_Toc5266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_Toc5266 \h </w:instrText>
          </w:r>
          <w:r>
            <w:fldChar w:fldCharType="separate"/>
          </w:r>
          <w:r>
            <w:t>124</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_Toc26269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_Toc26269 \h </w:instrText>
          </w:r>
          <w:r>
            <w:fldChar w:fldCharType="separate"/>
          </w:r>
          <w:r>
            <w:t>124</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_Toc25927 </w:instrText>
          </w:r>
          <w:r>
            <w:rPr>
              <w:rFonts w:hint="eastAsia" w:ascii="宋体" w:hAnsi="宋体" w:eastAsia="宋体" w:cs="宋体"/>
              <w:szCs w:val="28"/>
            </w:rPr>
            <w:fldChar w:fldCharType="separate"/>
          </w:r>
          <w:r>
            <w:rPr>
              <w:rFonts w:hint="eastAsia" w:ascii="宋体" w:hAnsi="宋体" w:eastAsia="宋体" w:cs="宋体"/>
              <w:bCs/>
              <w:szCs w:val="28"/>
              <w:lang w:val="en-US" w:eastAsia="zh-CN"/>
            </w:rPr>
            <w:t>4、注意事项</w:t>
          </w:r>
          <w:r>
            <w:tab/>
          </w:r>
          <w:r>
            <w:fldChar w:fldCharType="begin"/>
          </w:r>
          <w:r>
            <w:instrText xml:space="preserve"> PAGEREF _Toc25927 \h </w:instrText>
          </w:r>
          <w:r>
            <w:fldChar w:fldCharType="separate"/>
          </w:r>
          <w:r>
            <w:t>129</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_Toc6360 </w:instrText>
          </w:r>
          <w:r>
            <w:rPr>
              <w:rFonts w:hint="eastAsia" w:ascii="宋体" w:hAnsi="宋体" w:eastAsia="宋体" w:cs="宋体"/>
              <w:szCs w:val="28"/>
            </w:rPr>
            <w:fldChar w:fldCharType="separate"/>
          </w:r>
          <w:r>
            <w:rPr>
              <w:rFonts w:hint="eastAsia" w:ascii="宋体" w:hAnsi="宋体" w:eastAsia="宋体" w:cs="宋体"/>
              <w:lang w:eastAsia="zh-CN"/>
            </w:rPr>
            <w:t>七</w:t>
          </w:r>
          <w:r>
            <w:rPr>
              <w:rFonts w:hint="eastAsia" w:ascii="宋体" w:hAnsi="宋体" w:eastAsia="宋体" w:cs="宋体"/>
            </w:rPr>
            <w:t>、高处坠落事故现场处置方案</w:t>
          </w:r>
          <w:r>
            <w:tab/>
          </w:r>
          <w:r>
            <w:fldChar w:fldCharType="begin"/>
          </w:r>
          <w:r>
            <w:instrText xml:space="preserve"> PAGEREF _Toc6360 \h </w:instrText>
          </w:r>
          <w:r>
            <w:fldChar w:fldCharType="separate"/>
          </w:r>
          <w:r>
            <w:t>130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_Toc1445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_Toc1445 \h </w:instrText>
          </w:r>
          <w:r>
            <w:fldChar w:fldCharType="separate"/>
          </w:r>
          <w:r>
            <w:t>130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_Toc9773 </w:instrText>
          </w:r>
          <w:r>
            <w:rPr>
              <w:rFonts w:hint="eastAsia" w:ascii="宋体" w:hAnsi="宋体" w:eastAsia="宋体" w:cs="宋体"/>
              <w:szCs w:val="28"/>
            </w:rPr>
            <w:fldChar w:fldCharType="separate"/>
          </w:r>
          <w:r>
            <w:rPr>
              <w:rFonts w:hint="eastAsia" w:ascii="宋体" w:hAnsi="宋体" w:eastAsia="宋体" w:cs="宋体"/>
              <w:bCs/>
              <w:szCs w:val="28"/>
              <w:lang w:val="zh-CN"/>
            </w:rPr>
            <w:t>2、应急组织和职责</w:t>
          </w:r>
          <w:r>
            <w:tab/>
          </w:r>
          <w:r>
            <w:fldChar w:fldCharType="begin"/>
          </w:r>
          <w:r>
            <w:instrText xml:space="preserve"> PAGEREF _Toc9773 \h </w:instrText>
          </w:r>
          <w:r>
            <w:fldChar w:fldCharType="separate"/>
          </w:r>
          <w:r>
            <w:t>131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_Toc22394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_Toc22394 \h </w:instrText>
          </w:r>
          <w:r>
            <w:fldChar w:fldCharType="separate"/>
          </w:r>
          <w:r>
            <w:t>131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_Toc29651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_Toc29651 \h </w:instrText>
          </w:r>
          <w:r>
            <w:fldChar w:fldCharType="separate"/>
          </w:r>
          <w:r>
            <w:t>133</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_Toc4923 </w:instrText>
          </w:r>
          <w:r>
            <w:rPr>
              <w:rFonts w:hint="eastAsia" w:ascii="宋体" w:hAnsi="宋体" w:eastAsia="宋体" w:cs="宋体"/>
              <w:szCs w:val="28"/>
            </w:rPr>
            <w:fldChar w:fldCharType="separate"/>
          </w:r>
          <w:r>
            <w:rPr>
              <w:rFonts w:hint="eastAsia" w:ascii="宋体" w:hAnsi="宋体" w:eastAsia="宋体" w:cs="宋体"/>
              <w:lang w:eastAsia="zh-CN"/>
            </w:rPr>
            <w:t>八、物体打击</w:t>
          </w:r>
          <w:r>
            <w:rPr>
              <w:rFonts w:hint="eastAsia" w:ascii="宋体" w:hAnsi="宋体" w:eastAsia="宋体" w:cs="宋体"/>
            </w:rPr>
            <w:t>事故现场处置方案</w:t>
          </w:r>
          <w:r>
            <w:tab/>
          </w:r>
          <w:r>
            <w:fldChar w:fldCharType="begin"/>
          </w:r>
          <w:r>
            <w:instrText xml:space="preserve"> PAGEREF _Toc4923 \h </w:instrText>
          </w:r>
          <w:r>
            <w:fldChar w:fldCharType="separate"/>
          </w:r>
          <w:r>
            <w:t>135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_Toc2078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_Toc2078 \h </w:instrText>
          </w:r>
          <w:r>
            <w:fldChar w:fldCharType="separate"/>
          </w:r>
          <w:r>
            <w:t>135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_Toc24274 </w:instrText>
          </w:r>
          <w:r>
            <w:rPr>
              <w:rFonts w:hint="eastAsia" w:ascii="宋体" w:hAnsi="宋体" w:eastAsia="宋体" w:cs="宋体"/>
              <w:szCs w:val="28"/>
            </w:rPr>
            <w:fldChar w:fldCharType="separate"/>
          </w:r>
          <w:r>
            <w:rPr>
              <w:rFonts w:hint="eastAsia" w:ascii="宋体" w:hAnsi="宋体" w:eastAsia="宋体" w:cs="宋体"/>
              <w:bCs/>
              <w:szCs w:val="28"/>
              <w:lang w:val="zh-CN"/>
            </w:rPr>
            <w:t>2、应急组织和职责</w:t>
          </w:r>
          <w:r>
            <w:tab/>
          </w:r>
          <w:r>
            <w:fldChar w:fldCharType="begin"/>
          </w:r>
          <w:r>
            <w:instrText xml:space="preserve"> PAGEREF _Toc24274 \h </w:instrText>
          </w:r>
          <w:r>
            <w:fldChar w:fldCharType="separate"/>
          </w:r>
          <w:r>
            <w:t>135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_Toc28306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_Toc28306 \h </w:instrText>
          </w:r>
          <w:r>
            <w:fldChar w:fldCharType="separate"/>
          </w:r>
          <w:r>
            <w:t>136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_Toc10224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_Toc10224 \h </w:instrText>
          </w:r>
          <w:r>
            <w:fldChar w:fldCharType="separate"/>
          </w:r>
          <w:r>
            <w:t>139</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_Toc5483 </w:instrText>
          </w:r>
          <w:r>
            <w:rPr>
              <w:rFonts w:hint="eastAsia" w:ascii="宋体" w:hAnsi="宋体" w:eastAsia="宋体" w:cs="宋体"/>
              <w:szCs w:val="28"/>
            </w:rPr>
            <w:fldChar w:fldCharType="separate"/>
          </w:r>
          <w:r>
            <w:rPr>
              <w:rFonts w:hint="eastAsia" w:ascii="宋体" w:hAnsi="宋体" w:eastAsia="宋体" w:cs="宋体"/>
              <w:lang w:eastAsia="zh-CN"/>
            </w:rPr>
            <w:t>九</w:t>
          </w:r>
          <w:r>
            <w:rPr>
              <w:rFonts w:hint="eastAsia" w:ascii="宋体" w:hAnsi="宋体" w:eastAsia="宋体" w:cs="宋体"/>
            </w:rPr>
            <w:t>、车辆伤害事故现场处置方案</w:t>
          </w:r>
          <w:r>
            <w:tab/>
          </w:r>
          <w:r>
            <w:fldChar w:fldCharType="begin"/>
          </w:r>
          <w:r>
            <w:instrText xml:space="preserve"> PAGEREF _Toc5483 \h </w:instrText>
          </w:r>
          <w:r>
            <w:fldChar w:fldCharType="separate"/>
          </w:r>
          <w:r>
            <w:t>140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_Toc17897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_Toc17897 \h </w:instrText>
          </w:r>
          <w:r>
            <w:fldChar w:fldCharType="separate"/>
          </w:r>
          <w:r>
            <w:t>140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_Toc14482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_Toc14482 \h </w:instrText>
          </w:r>
          <w:r>
            <w:fldChar w:fldCharType="separate"/>
          </w:r>
          <w:r>
            <w:t>140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_Toc18268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_Toc18268 \h </w:instrText>
          </w:r>
          <w:r>
            <w:fldChar w:fldCharType="separate"/>
          </w:r>
          <w:r>
            <w:t>141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_Toc19740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_Toc19740 \h </w:instrText>
          </w:r>
          <w:r>
            <w:fldChar w:fldCharType="separate"/>
          </w:r>
          <w:r>
            <w:t>147</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_Toc12857 </w:instrText>
          </w:r>
          <w:r>
            <w:rPr>
              <w:rFonts w:hint="eastAsia" w:ascii="宋体" w:hAnsi="宋体" w:eastAsia="宋体" w:cs="宋体"/>
              <w:szCs w:val="28"/>
            </w:rPr>
            <w:fldChar w:fldCharType="separate"/>
          </w:r>
          <w:r>
            <w:rPr>
              <w:rFonts w:hint="eastAsia" w:ascii="宋体" w:hAnsi="宋体" w:eastAsia="宋体" w:cs="宋体"/>
              <w:lang w:eastAsia="zh-CN"/>
            </w:rPr>
            <w:t>十</w:t>
          </w:r>
          <w:r>
            <w:rPr>
              <w:rFonts w:hint="eastAsia" w:ascii="宋体" w:hAnsi="宋体" w:eastAsia="宋体" w:cs="宋体"/>
            </w:rPr>
            <w:t>、</w:t>
          </w:r>
          <w:r>
            <w:rPr>
              <w:rFonts w:hint="eastAsia" w:ascii="宋体" w:hAnsi="宋体" w:eastAsia="宋体" w:cs="宋体"/>
              <w:lang w:eastAsia="zh-CN"/>
            </w:rPr>
            <w:t>中毒、窒息</w:t>
          </w:r>
          <w:r>
            <w:rPr>
              <w:rFonts w:hint="eastAsia" w:ascii="宋体" w:hAnsi="宋体" w:eastAsia="宋体" w:cs="宋体"/>
            </w:rPr>
            <w:t>事故现场处置方案</w:t>
          </w:r>
          <w:r>
            <w:tab/>
          </w:r>
          <w:r>
            <w:fldChar w:fldCharType="begin"/>
          </w:r>
          <w:r>
            <w:instrText xml:space="preserve"> PAGEREF _Toc12857 \h </w:instrText>
          </w:r>
          <w:r>
            <w:fldChar w:fldCharType="separate"/>
          </w:r>
          <w:r>
            <w:t>148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_Toc14776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_Toc14776 \h </w:instrText>
          </w:r>
          <w:r>
            <w:fldChar w:fldCharType="separate"/>
          </w:r>
          <w:r>
            <w:t>148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_Toc28903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_Toc28903 \h </w:instrText>
          </w:r>
          <w:r>
            <w:fldChar w:fldCharType="separate"/>
          </w:r>
          <w:r>
            <w:t>148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_Toc19399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_Toc19399 \h </w:instrText>
          </w:r>
          <w:r>
            <w:fldChar w:fldCharType="separate"/>
          </w:r>
          <w:r>
            <w:t>149</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_Toc5614 </w:instrText>
          </w:r>
          <w:r>
            <w:rPr>
              <w:rFonts w:hint="eastAsia" w:ascii="宋体" w:hAnsi="宋体" w:eastAsia="宋体" w:cs="宋体"/>
              <w:szCs w:val="28"/>
            </w:rPr>
            <w:fldChar w:fldCharType="separate"/>
          </w:r>
          <w:r>
            <w:rPr>
              <w:rFonts w:hint="eastAsia" w:ascii="宋体" w:hAnsi="宋体" w:eastAsia="宋体" w:cs="宋体"/>
              <w:bCs/>
              <w:szCs w:val="28"/>
              <w:lang w:val="zh-CN" w:eastAsia="zh-CN"/>
            </w:rPr>
            <w:t>4 注意事项</w:t>
          </w:r>
          <w:r>
            <w:tab/>
          </w:r>
          <w:r>
            <w:fldChar w:fldCharType="begin"/>
          </w:r>
          <w:r>
            <w:instrText xml:space="preserve"> PAGEREF _Toc5614 \h </w:instrText>
          </w:r>
          <w:r>
            <w:fldChar w:fldCharType="separate"/>
          </w:r>
          <w:r>
            <w:t>152</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_Toc9438 </w:instrText>
          </w:r>
          <w:r>
            <w:rPr>
              <w:rFonts w:hint="eastAsia" w:ascii="宋体" w:hAnsi="宋体" w:eastAsia="宋体" w:cs="宋体"/>
              <w:szCs w:val="28"/>
            </w:rPr>
            <w:fldChar w:fldCharType="separate"/>
          </w:r>
          <w:r>
            <w:rPr>
              <w:rFonts w:hint="eastAsia" w:ascii="宋体" w:hAnsi="宋体" w:eastAsia="宋体" w:cs="宋体"/>
              <w:lang w:eastAsia="zh-CN"/>
            </w:rPr>
            <w:t>十一</w:t>
          </w:r>
          <w:r>
            <w:rPr>
              <w:rFonts w:hint="eastAsia" w:ascii="宋体" w:hAnsi="宋体" w:eastAsia="宋体" w:cs="宋体"/>
            </w:rPr>
            <w:t>、</w:t>
          </w:r>
          <w:r>
            <w:rPr>
              <w:rFonts w:hint="eastAsia" w:ascii="宋体" w:hAnsi="宋体" w:eastAsia="宋体" w:cs="宋体"/>
              <w:lang w:eastAsia="zh-CN"/>
            </w:rPr>
            <w:t>淹溺</w:t>
          </w:r>
          <w:r>
            <w:rPr>
              <w:rFonts w:hint="eastAsia" w:ascii="宋体" w:hAnsi="宋体" w:eastAsia="宋体" w:cs="宋体"/>
            </w:rPr>
            <w:t>事故现场处置方案</w:t>
          </w:r>
          <w:r>
            <w:tab/>
          </w:r>
          <w:r>
            <w:fldChar w:fldCharType="begin"/>
          </w:r>
          <w:r>
            <w:instrText xml:space="preserve"> PAGEREF _Toc9438 \h </w:instrText>
          </w:r>
          <w:r>
            <w:fldChar w:fldCharType="separate"/>
          </w:r>
          <w:r>
            <w:t>155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_Toc3159 </w:instrText>
          </w:r>
          <w:r>
            <w:rPr>
              <w:rFonts w:hint="eastAsia" w:ascii="宋体" w:hAnsi="宋体" w:eastAsia="宋体" w:cs="宋体"/>
              <w:szCs w:val="28"/>
            </w:rPr>
            <w:fldChar w:fldCharType="separate"/>
          </w:r>
          <w:r>
            <w:rPr>
              <w:rFonts w:hint="eastAsia" w:ascii="宋体" w:hAnsi="宋体" w:eastAsia="宋体" w:cs="宋体"/>
              <w:bCs/>
              <w:szCs w:val="28"/>
              <w:lang w:val="zh-CN"/>
            </w:rPr>
            <w:t>1、事故风险描述</w:t>
          </w:r>
          <w:r>
            <w:tab/>
          </w:r>
          <w:r>
            <w:fldChar w:fldCharType="begin"/>
          </w:r>
          <w:r>
            <w:instrText xml:space="preserve"> PAGEREF _Toc3159 \h </w:instrText>
          </w:r>
          <w:r>
            <w:fldChar w:fldCharType="separate"/>
          </w:r>
          <w:r>
            <w:t>155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_Toc17341 </w:instrText>
          </w:r>
          <w:r>
            <w:rPr>
              <w:rFonts w:hint="eastAsia" w:ascii="宋体" w:hAnsi="宋体" w:eastAsia="宋体" w:cs="宋体"/>
              <w:szCs w:val="28"/>
            </w:rPr>
            <w:fldChar w:fldCharType="separate"/>
          </w:r>
          <w:r>
            <w:rPr>
              <w:rFonts w:hint="eastAsia" w:ascii="宋体" w:hAnsi="宋体" w:eastAsia="宋体" w:cs="宋体"/>
              <w:bCs/>
              <w:szCs w:val="28"/>
              <w:lang w:val="zh-CN"/>
            </w:rPr>
            <w:t>2、应急工作职责</w:t>
          </w:r>
          <w:r>
            <w:tab/>
          </w:r>
          <w:r>
            <w:fldChar w:fldCharType="begin"/>
          </w:r>
          <w:r>
            <w:instrText xml:space="preserve"> PAGEREF _Toc17341 \h </w:instrText>
          </w:r>
          <w:r>
            <w:fldChar w:fldCharType="separate"/>
          </w:r>
          <w:r>
            <w:t>155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_Toc5133 </w:instrText>
          </w:r>
          <w:r>
            <w:rPr>
              <w:rFonts w:hint="eastAsia" w:ascii="宋体" w:hAnsi="宋体" w:eastAsia="宋体" w:cs="宋体"/>
              <w:szCs w:val="28"/>
            </w:rPr>
            <w:fldChar w:fldCharType="separate"/>
          </w:r>
          <w:r>
            <w:rPr>
              <w:rFonts w:hint="eastAsia" w:ascii="宋体" w:hAnsi="宋体" w:eastAsia="宋体" w:cs="宋体"/>
              <w:bCs/>
              <w:szCs w:val="28"/>
              <w:lang w:val="zh-CN"/>
            </w:rPr>
            <w:t>3、应急处置</w:t>
          </w:r>
          <w:r>
            <w:tab/>
          </w:r>
          <w:r>
            <w:fldChar w:fldCharType="begin"/>
          </w:r>
          <w:r>
            <w:instrText xml:space="preserve"> PAGEREF _Toc5133 \h </w:instrText>
          </w:r>
          <w:r>
            <w:fldChar w:fldCharType="separate"/>
          </w:r>
          <w:r>
            <w:t>156</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_Toc16327 </w:instrText>
          </w:r>
          <w:r>
            <w:rPr>
              <w:rFonts w:hint="eastAsia" w:ascii="宋体" w:hAnsi="宋体" w:eastAsia="宋体" w:cs="宋体"/>
              <w:szCs w:val="28"/>
            </w:rPr>
            <w:fldChar w:fldCharType="separate"/>
          </w:r>
          <w:r>
            <w:rPr>
              <w:rFonts w:hint="eastAsia" w:ascii="宋体" w:hAnsi="宋体" w:eastAsia="宋体" w:cs="宋体"/>
              <w:bCs/>
              <w:szCs w:val="28"/>
              <w:lang w:val="zh-CN"/>
            </w:rPr>
            <w:t>4、注意事项</w:t>
          </w:r>
          <w:r>
            <w:tab/>
          </w:r>
          <w:r>
            <w:fldChar w:fldCharType="begin"/>
          </w:r>
          <w:r>
            <w:instrText xml:space="preserve"> PAGEREF _Toc16327 \h </w:instrText>
          </w:r>
          <w:r>
            <w:fldChar w:fldCharType="separate"/>
          </w:r>
          <w:r>
            <w:t>158</w:t>
          </w:r>
          <w:r>
            <w:fldChar w:fldCharType="end"/>
          </w:r>
          <w:r>
            <w:rPr>
              <w:rFonts w:hint="eastAsia" w:ascii="宋体" w:hAnsi="宋体" w:eastAsia="宋体" w:cs="宋体"/>
              <w:color w:val="auto"/>
              <w:szCs w:val="28"/>
            </w:rPr>
            <w:fldChar w:fldCharType="end"/>
          </w:r>
        </w:p>
        <w:p>
          <w:pPr>
            <w:pStyle w:val="20"/>
            <w:tabs>
              <w:tab w:val="right" w:leader="dot" w:pos="9072"/>
            </w:tabs>
            <w:rPr>
              <w:rFonts w:hint="eastAsia" w:ascii="宋体" w:hAnsi="宋体" w:eastAsia="宋体" w:cs="宋体"/>
              <w:b/>
              <w:bCs/>
              <w:color w:val="auto"/>
              <w:szCs w:val="28"/>
            </w:rPr>
          </w:pP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HYPERLINK \l _Toc9740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lang w:eastAsia="zh-CN"/>
            </w:rPr>
            <w:t>第五</w:t>
          </w:r>
          <w:r>
            <w:rPr>
              <w:rFonts w:hint="eastAsia" w:ascii="宋体" w:hAnsi="宋体" w:eastAsia="宋体" w:cs="宋体"/>
              <w:b/>
              <w:bCs/>
              <w:color w:val="auto"/>
              <w:szCs w:val="28"/>
            </w:rPr>
            <w:t xml:space="preserve">部分 </w:t>
          </w:r>
          <w:r>
            <w:rPr>
              <w:rFonts w:hint="eastAsia" w:ascii="宋体" w:hAnsi="宋体" w:eastAsia="宋体" w:cs="宋体"/>
              <w:b/>
              <w:bCs/>
              <w:color w:val="auto"/>
              <w:szCs w:val="28"/>
              <w:lang w:eastAsia="zh-CN"/>
            </w:rPr>
            <w:t>附件</w:t>
          </w:r>
          <w:r>
            <w:rPr>
              <w:rFonts w:hint="eastAsia" w:ascii="宋体" w:hAnsi="宋体" w:eastAsia="宋体" w:cs="宋体"/>
              <w:b/>
              <w:bCs/>
              <w:color w:val="auto"/>
              <w:szCs w:val="28"/>
            </w:rPr>
            <w:tab/>
          </w: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PAGEREF _Toc9740 \h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159</w:t>
          </w:r>
          <w:r>
            <w:rPr>
              <w:rFonts w:hint="eastAsia" w:ascii="宋体" w:hAnsi="宋体" w:eastAsia="宋体" w:cs="宋体"/>
              <w:b/>
              <w:bCs/>
              <w:color w:val="auto"/>
              <w:szCs w:val="28"/>
            </w:rPr>
            <w:fldChar w:fldCharType="end"/>
          </w:r>
          <w:r>
            <w:rPr>
              <w:rFonts w:hint="eastAsia" w:ascii="宋体" w:hAnsi="宋体" w:eastAsia="宋体" w:cs="宋体"/>
              <w:b/>
              <w:bCs/>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_Toc14479 </w:instrText>
          </w:r>
          <w:r>
            <w:rPr>
              <w:rFonts w:hint="eastAsia" w:ascii="宋体" w:hAnsi="宋体" w:eastAsia="宋体" w:cs="宋体"/>
              <w:szCs w:val="28"/>
            </w:rPr>
            <w:fldChar w:fldCharType="separate"/>
          </w:r>
          <w:r>
            <w:rPr>
              <w:rFonts w:hint="eastAsia" w:ascii="宋体" w:hAnsi="宋体" w:eastAsia="宋体" w:cs="宋体"/>
              <w:lang w:eastAsia="zh-CN"/>
            </w:rPr>
            <w:t>附件1：生产经营单位慨况</w:t>
          </w:r>
          <w:r>
            <w:tab/>
          </w:r>
          <w:r>
            <w:fldChar w:fldCharType="begin"/>
          </w:r>
          <w:r>
            <w:instrText xml:space="preserve"> PAGEREF _Toc14479 \h </w:instrText>
          </w:r>
          <w:r>
            <w:fldChar w:fldCharType="separate"/>
          </w:r>
          <w:r>
            <w:t>159</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_Toc27647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F1.1 单位简介</w:t>
          </w:r>
          <w:r>
            <w:tab/>
          </w:r>
          <w:r>
            <w:fldChar w:fldCharType="begin"/>
          </w:r>
          <w:r>
            <w:instrText xml:space="preserve"> PAGEREF _Toc27647 \h </w:instrText>
          </w:r>
          <w:r>
            <w:fldChar w:fldCharType="separate"/>
          </w:r>
          <w:r>
            <w:t>159</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_Toc8178 </w:instrText>
          </w:r>
          <w:r>
            <w:rPr>
              <w:rFonts w:hint="eastAsia" w:ascii="宋体" w:hAnsi="宋体" w:eastAsia="宋体" w:cs="宋体"/>
              <w:szCs w:val="28"/>
            </w:rPr>
            <w:fldChar w:fldCharType="separate"/>
          </w:r>
          <w:r>
            <w:rPr>
              <w:rFonts w:hint="eastAsia" w:ascii="宋体" w:hAnsi="宋体" w:eastAsia="宋体" w:cs="宋体"/>
              <w:szCs w:val="28"/>
              <w:lang w:val="en-US" w:eastAsia="zh-CN"/>
            </w:rPr>
            <w:t xml:space="preserve">F1.2 </w:t>
          </w:r>
          <w:r>
            <w:rPr>
              <w:rFonts w:hint="eastAsia" w:ascii="宋体" w:hAnsi="宋体" w:eastAsia="宋体" w:cs="宋体"/>
              <w:szCs w:val="28"/>
            </w:rPr>
            <w:t>地理位置及周边环境</w:t>
          </w:r>
          <w:r>
            <w:tab/>
          </w:r>
          <w:r>
            <w:fldChar w:fldCharType="begin"/>
          </w:r>
          <w:r>
            <w:instrText xml:space="preserve"> PAGEREF _Toc8178 \h </w:instrText>
          </w:r>
          <w:r>
            <w:fldChar w:fldCharType="separate"/>
          </w:r>
          <w:r>
            <w:t>160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_Toc11203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F1.3 主要原辅材料及产品</w:t>
          </w:r>
          <w:r>
            <w:tab/>
          </w:r>
          <w:r>
            <w:fldChar w:fldCharType="begin"/>
          </w:r>
          <w:r>
            <w:instrText xml:space="preserve"> PAGEREF _Toc11203 \h </w:instrText>
          </w:r>
          <w:r>
            <w:fldChar w:fldCharType="separate"/>
          </w:r>
          <w:r>
            <w:t>161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_Toc6657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F1.4 主要工艺流程</w:t>
          </w:r>
          <w:r>
            <w:tab/>
          </w:r>
          <w:r>
            <w:fldChar w:fldCharType="begin"/>
          </w:r>
          <w:r>
            <w:instrText xml:space="preserve"> PAGEREF _Toc6657 \h </w:instrText>
          </w:r>
          <w:r>
            <w:fldChar w:fldCharType="separate"/>
          </w:r>
          <w:r>
            <w:t>165</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_Toc16421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F1.5 主要生产设备</w:t>
          </w:r>
          <w:r>
            <w:tab/>
          </w:r>
          <w:r>
            <w:fldChar w:fldCharType="begin"/>
          </w:r>
          <w:r>
            <w:instrText xml:space="preserve"> PAGEREF _Toc16421 \h </w:instrText>
          </w:r>
          <w:r>
            <w:fldChar w:fldCharType="separate"/>
          </w:r>
          <w:r>
            <w:t>180</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_Toc18769 </w:instrText>
          </w:r>
          <w:r>
            <w:rPr>
              <w:rFonts w:hint="eastAsia" w:ascii="宋体" w:hAnsi="宋体" w:eastAsia="宋体" w:cs="宋体"/>
              <w:szCs w:val="28"/>
            </w:rPr>
            <w:fldChar w:fldCharType="separate"/>
          </w:r>
          <w:r>
            <w:rPr>
              <w:rFonts w:hint="eastAsia" w:ascii="宋体" w:hAnsi="宋体" w:eastAsia="宋体" w:cs="宋体"/>
              <w:lang w:eastAsia="zh-CN"/>
            </w:rPr>
            <w:t>附件</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lang w:val="en-US" w:eastAsia="zh-CN"/>
            </w:rPr>
            <w:t>风险评估结果</w:t>
          </w:r>
          <w:r>
            <w:tab/>
          </w:r>
          <w:r>
            <w:fldChar w:fldCharType="begin"/>
          </w:r>
          <w:r>
            <w:instrText xml:space="preserve"> PAGEREF _Toc18769 \h </w:instrText>
          </w:r>
          <w:r>
            <w:fldChar w:fldCharType="separate"/>
          </w:r>
          <w:r>
            <w:t>181</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_Toc4216 </w:instrText>
          </w:r>
          <w:r>
            <w:rPr>
              <w:rFonts w:hint="eastAsia" w:ascii="宋体" w:hAnsi="宋体" w:eastAsia="宋体" w:cs="宋体"/>
              <w:szCs w:val="28"/>
            </w:rPr>
            <w:fldChar w:fldCharType="separate"/>
          </w:r>
          <w:r>
            <w:rPr>
              <w:rFonts w:hint="eastAsia" w:ascii="宋体" w:hAnsi="宋体" w:eastAsia="宋体" w:cs="宋体"/>
              <w:lang w:eastAsia="zh-CN"/>
            </w:rPr>
            <w:t>附件</w:t>
          </w:r>
          <w:r>
            <w:rPr>
              <w:rFonts w:hint="eastAsia" w:ascii="宋体" w:hAnsi="宋体" w:eastAsia="宋体" w:cs="宋体"/>
              <w:lang w:val="en-US" w:eastAsia="zh-CN"/>
            </w:rPr>
            <w:t>3</w:t>
          </w:r>
          <w:r>
            <w:rPr>
              <w:rFonts w:hint="eastAsia" w:ascii="宋体" w:hAnsi="宋体" w:eastAsia="宋体" w:cs="宋体"/>
              <w:lang w:eastAsia="zh-CN"/>
            </w:rPr>
            <w:t>：预案体系与衔接</w:t>
          </w:r>
          <w:r>
            <w:tab/>
          </w:r>
          <w:r>
            <w:fldChar w:fldCharType="begin"/>
          </w:r>
          <w:r>
            <w:instrText xml:space="preserve"> PAGEREF _Toc4216 \h </w:instrText>
          </w:r>
          <w:r>
            <w:fldChar w:fldCharType="separate"/>
          </w:r>
          <w:r>
            <w:t>181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_Toc21167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F3.1应急预案体系</w:t>
          </w:r>
          <w:r>
            <w:tab/>
          </w:r>
          <w:r>
            <w:fldChar w:fldCharType="begin"/>
          </w:r>
          <w:r>
            <w:instrText xml:space="preserve"> PAGEREF _Toc21167 \h </w:instrText>
          </w:r>
          <w:r>
            <w:fldChar w:fldCharType="separate"/>
          </w:r>
          <w:r>
            <w:t>181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_Toc17910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F3.2 预案的衔接性</w:t>
          </w:r>
          <w:r>
            <w:tab/>
          </w:r>
          <w:r>
            <w:fldChar w:fldCharType="begin"/>
          </w:r>
          <w:r>
            <w:instrText xml:space="preserve"> PAGEREF _Toc17910 \h </w:instrText>
          </w:r>
          <w:r>
            <w:fldChar w:fldCharType="separate"/>
          </w:r>
          <w:r>
            <w:t>183</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_Toc31625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F3.3 应急工作原则</w:t>
          </w:r>
          <w:r>
            <w:tab/>
          </w:r>
          <w:r>
            <w:fldChar w:fldCharType="begin"/>
          </w:r>
          <w:r>
            <w:instrText xml:space="preserve"> PAGEREF _Toc31625 \h </w:instrText>
          </w:r>
          <w:r>
            <w:fldChar w:fldCharType="separate"/>
          </w:r>
          <w:r>
            <w:t>183</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_Toc13577 </w:instrText>
          </w:r>
          <w:r>
            <w:rPr>
              <w:rFonts w:hint="eastAsia" w:ascii="宋体" w:hAnsi="宋体" w:eastAsia="宋体" w:cs="宋体"/>
              <w:szCs w:val="28"/>
            </w:rPr>
            <w:fldChar w:fldCharType="separate"/>
          </w:r>
          <w:r>
            <w:rPr>
              <w:rFonts w:hint="eastAsia" w:ascii="宋体" w:hAnsi="宋体" w:eastAsia="宋体" w:cs="宋体"/>
              <w:lang w:eastAsia="zh-CN"/>
            </w:rPr>
            <w:t>附件</w:t>
          </w:r>
          <w:r>
            <w:rPr>
              <w:rFonts w:hint="eastAsia" w:ascii="宋体" w:hAnsi="宋体" w:eastAsia="宋体" w:cs="宋体"/>
              <w:lang w:val="en-US" w:eastAsia="zh-CN"/>
            </w:rPr>
            <w:t>4</w:t>
          </w:r>
          <w:r>
            <w:rPr>
              <w:rFonts w:hint="eastAsia" w:ascii="宋体" w:hAnsi="宋体" w:eastAsia="宋体" w:cs="宋体"/>
              <w:lang w:eastAsia="zh-CN"/>
            </w:rPr>
            <w:t>：应急物资装备清单</w:t>
          </w:r>
          <w:r>
            <w:tab/>
          </w:r>
          <w:r>
            <w:fldChar w:fldCharType="begin"/>
          </w:r>
          <w:r>
            <w:instrText xml:space="preserve"> PAGEREF _Toc13577 \h </w:instrText>
          </w:r>
          <w:r>
            <w:fldChar w:fldCharType="separate"/>
          </w:r>
          <w:r>
            <w:t>184</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_Toc8333 </w:instrText>
          </w:r>
          <w:r>
            <w:rPr>
              <w:rFonts w:hint="eastAsia" w:ascii="宋体" w:hAnsi="宋体" w:eastAsia="宋体" w:cs="宋体"/>
              <w:szCs w:val="28"/>
            </w:rPr>
            <w:fldChar w:fldCharType="separate"/>
          </w:r>
          <w:r>
            <w:rPr>
              <w:rFonts w:hint="eastAsia" w:ascii="宋体" w:hAnsi="宋体" w:eastAsia="宋体" w:cs="宋体"/>
              <w:lang w:eastAsia="zh-CN"/>
            </w:rPr>
            <w:t>附件</w:t>
          </w:r>
          <w:r>
            <w:rPr>
              <w:rFonts w:hint="eastAsia" w:ascii="宋体" w:hAnsi="宋体" w:eastAsia="宋体" w:cs="宋体"/>
              <w:lang w:val="en-US" w:eastAsia="zh-CN"/>
            </w:rPr>
            <w:t>5</w:t>
          </w:r>
          <w:r>
            <w:rPr>
              <w:rFonts w:hint="eastAsia" w:ascii="宋体" w:hAnsi="宋体" w:eastAsia="宋体" w:cs="宋体"/>
              <w:lang w:eastAsia="zh-CN"/>
            </w:rPr>
            <w:t>：有关应急部门、机构或人员联系方式</w:t>
          </w:r>
          <w:r>
            <w:tab/>
          </w:r>
          <w:r>
            <w:fldChar w:fldCharType="begin"/>
          </w:r>
          <w:r>
            <w:instrText xml:space="preserve"> PAGEREF _Toc8333 \h </w:instrText>
          </w:r>
          <w:r>
            <w:fldChar w:fldCharType="separate"/>
          </w:r>
          <w:r>
            <w:t>187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_Toc25065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F5.1 应急救援内部联系方式</w:t>
          </w:r>
          <w:r>
            <w:tab/>
          </w:r>
          <w:r>
            <w:fldChar w:fldCharType="begin"/>
          </w:r>
          <w:r>
            <w:instrText xml:space="preserve"> PAGEREF _Toc25065 \h </w:instrText>
          </w:r>
          <w:r>
            <w:fldChar w:fldCharType="separate"/>
          </w:r>
          <w:r>
            <w:t>187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_Toc28233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F5.2 应急救援外部联系方式</w:t>
          </w:r>
          <w:r>
            <w:tab/>
          </w:r>
          <w:r>
            <w:fldChar w:fldCharType="begin"/>
          </w:r>
          <w:r>
            <w:instrText xml:space="preserve"> PAGEREF _Toc28233 \h </w:instrText>
          </w:r>
          <w:r>
            <w:fldChar w:fldCharType="separate"/>
          </w:r>
          <w:r>
            <w:t>189</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_Toc828 </w:instrText>
          </w:r>
          <w:r>
            <w:rPr>
              <w:rFonts w:hint="eastAsia" w:ascii="宋体" w:hAnsi="宋体" w:eastAsia="宋体" w:cs="宋体"/>
              <w:szCs w:val="28"/>
            </w:rPr>
            <w:fldChar w:fldCharType="separate"/>
          </w:r>
          <w:r>
            <w:rPr>
              <w:rFonts w:hint="eastAsia" w:ascii="宋体" w:hAnsi="宋体" w:eastAsia="宋体" w:cs="宋体"/>
              <w:lang w:eastAsia="zh-CN"/>
            </w:rPr>
            <w:t>附件6：应急信息报告表</w:t>
          </w:r>
          <w:r>
            <w:tab/>
          </w:r>
          <w:r>
            <w:fldChar w:fldCharType="begin"/>
          </w:r>
          <w:r>
            <w:instrText xml:space="preserve"> PAGEREF _Toc828 \h </w:instrText>
          </w:r>
          <w:r>
            <w:fldChar w:fldCharType="separate"/>
          </w:r>
          <w:r>
            <w:t>190</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_Toc21464 </w:instrText>
          </w:r>
          <w:r>
            <w:rPr>
              <w:rFonts w:hint="eastAsia" w:ascii="宋体" w:hAnsi="宋体" w:eastAsia="宋体" w:cs="宋体"/>
              <w:szCs w:val="28"/>
            </w:rPr>
            <w:fldChar w:fldCharType="separate"/>
          </w:r>
          <w:r>
            <w:rPr>
              <w:rFonts w:hint="eastAsia" w:ascii="宋体" w:hAnsi="宋体" w:eastAsia="宋体" w:cs="宋体"/>
              <w:lang w:eastAsia="zh-CN"/>
            </w:rPr>
            <w:t>附件</w:t>
          </w:r>
          <w:r>
            <w:rPr>
              <w:rFonts w:hint="eastAsia" w:ascii="宋体" w:hAnsi="宋体" w:eastAsia="宋体" w:cs="宋体"/>
              <w:lang w:val="en-US" w:eastAsia="zh-CN"/>
            </w:rPr>
            <w:t>7</w:t>
          </w:r>
          <w:r>
            <w:rPr>
              <w:rFonts w:hint="eastAsia" w:ascii="宋体" w:hAnsi="宋体" w:eastAsia="宋体" w:cs="宋体"/>
              <w:lang w:eastAsia="zh-CN"/>
            </w:rPr>
            <w:t>：关键的路线、标识和图纸</w:t>
          </w:r>
          <w:r>
            <w:tab/>
          </w:r>
          <w:r>
            <w:fldChar w:fldCharType="begin"/>
          </w:r>
          <w:r>
            <w:instrText xml:space="preserve"> PAGEREF _Toc21464 \h </w:instrText>
          </w:r>
          <w:r>
            <w:fldChar w:fldCharType="separate"/>
          </w:r>
          <w:r>
            <w:t>200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_Toc14997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F7.1 公司地理位置图</w:t>
          </w:r>
          <w:r>
            <w:tab/>
          </w:r>
          <w:r>
            <w:fldChar w:fldCharType="begin"/>
          </w:r>
          <w:r>
            <w:instrText xml:space="preserve"> PAGEREF _Toc14997 \h </w:instrText>
          </w:r>
          <w:r>
            <w:fldChar w:fldCharType="separate"/>
          </w:r>
          <w:r>
            <w:t>200</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_Toc10203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F7.2 周边关系图</w:t>
          </w:r>
          <w:r>
            <w:tab/>
          </w:r>
          <w:r>
            <w:fldChar w:fldCharType="begin"/>
          </w:r>
          <w:r>
            <w:instrText xml:space="preserve"> PAGEREF _Toc10203 \h </w:instrText>
          </w:r>
          <w:r>
            <w:fldChar w:fldCharType="separate"/>
          </w:r>
          <w:r>
            <w:t>201</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_Toc14852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F7.3 总平面布置图</w:t>
          </w:r>
          <w:r>
            <w:tab/>
          </w:r>
          <w:r>
            <w:fldChar w:fldCharType="begin"/>
          </w:r>
          <w:r>
            <w:instrText xml:space="preserve"> PAGEREF _Toc14852 \h </w:instrText>
          </w:r>
          <w:r>
            <w:fldChar w:fldCharType="separate"/>
          </w:r>
          <w:r>
            <w:t>202</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_Toc31309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F7.4 车间平面布置图</w:t>
          </w:r>
          <w:r>
            <w:tab/>
          </w:r>
          <w:r>
            <w:fldChar w:fldCharType="begin"/>
          </w:r>
          <w:r>
            <w:instrText xml:space="preserve"> PAGEREF _Toc31309 \h </w:instrText>
          </w:r>
          <w:r>
            <w:fldChar w:fldCharType="separate"/>
          </w:r>
          <w:r>
            <w:t>203</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_Toc8697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F7.5 应急疏散及集合点图</w:t>
          </w:r>
          <w:r>
            <w:tab/>
          </w:r>
          <w:r>
            <w:fldChar w:fldCharType="begin"/>
          </w:r>
          <w:r>
            <w:instrText xml:space="preserve"> PAGEREF _Toc8697 \h </w:instrText>
          </w:r>
          <w:r>
            <w:fldChar w:fldCharType="separate"/>
          </w:r>
          <w:r>
            <w:t>207</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_Toc20224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F7.6 应急物资分布图</w:t>
          </w:r>
          <w:r>
            <w:tab/>
          </w:r>
          <w:r>
            <w:fldChar w:fldCharType="begin"/>
          </w:r>
          <w:r>
            <w:instrText xml:space="preserve"> PAGEREF _Toc20224 \h </w:instrText>
          </w:r>
          <w:r>
            <w:fldChar w:fldCharType="separate"/>
          </w:r>
          <w:r>
            <w:t>208</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_Toc19096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F7.7 危险及重要目标分布图</w:t>
          </w:r>
          <w:r>
            <w:tab/>
          </w:r>
          <w:r>
            <w:fldChar w:fldCharType="begin"/>
          </w:r>
          <w:r>
            <w:instrText xml:space="preserve"> PAGEREF _Toc19096 \h </w:instrText>
          </w:r>
          <w:r>
            <w:fldChar w:fldCharType="separate"/>
          </w:r>
          <w:r>
            <w:t>209</w:t>
          </w:r>
          <w:r>
            <w:fldChar w:fldCharType="end"/>
          </w:r>
          <w:r>
            <w:rPr>
              <w:rFonts w:hint="eastAsia" w:ascii="宋体" w:hAnsi="宋体" w:eastAsia="宋体" w:cs="宋体"/>
              <w:color w:val="auto"/>
              <w:szCs w:val="28"/>
            </w:rPr>
            <w:fldChar w:fldCharType="end"/>
          </w:r>
        </w:p>
        <w:p>
          <w:pPr>
            <w:pStyle w:val="22"/>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_Toc7349 </w:instrText>
          </w:r>
          <w:r>
            <w:rPr>
              <w:rFonts w:hint="eastAsia" w:ascii="宋体" w:hAnsi="宋体" w:eastAsia="宋体" w:cs="宋体"/>
              <w:szCs w:val="28"/>
            </w:rPr>
            <w:fldChar w:fldCharType="separate"/>
          </w:r>
          <w:r>
            <w:rPr>
              <w:rFonts w:hint="eastAsia" w:ascii="宋体" w:hAnsi="宋体" w:eastAsia="宋体" w:cs="宋体"/>
              <w:szCs w:val="28"/>
              <w:lang w:val="en-US" w:eastAsia="zh-CN"/>
            </w:rPr>
            <w:t>F7.8 附近医院地理位置图及路线图</w:t>
          </w:r>
          <w:r>
            <w:tab/>
          </w:r>
          <w:r>
            <w:fldChar w:fldCharType="begin"/>
          </w:r>
          <w:r>
            <w:instrText xml:space="preserve"> PAGEREF _Toc7349 \h </w:instrText>
          </w:r>
          <w:r>
            <w:fldChar w:fldCharType="separate"/>
          </w:r>
          <w:r>
            <w:t>210</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_Toc12513 </w:instrText>
          </w:r>
          <w:r>
            <w:rPr>
              <w:rFonts w:hint="eastAsia" w:ascii="宋体" w:hAnsi="宋体" w:eastAsia="宋体" w:cs="宋体"/>
              <w:szCs w:val="28"/>
            </w:rPr>
            <w:fldChar w:fldCharType="separate"/>
          </w:r>
          <w:r>
            <w:rPr>
              <w:rFonts w:hint="eastAsia" w:ascii="宋体" w:hAnsi="宋体" w:eastAsia="宋体" w:cs="宋体"/>
              <w:lang w:eastAsia="zh-CN"/>
            </w:rPr>
            <w:t>附件</w:t>
          </w:r>
          <w:r>
            <w:rPr>
              <w:rFonts w:hint="eastAsia" w:ascii="宋体" w:hAnsi="宋体" w:eastAsia="宋体" w:cs="宋体"/>
              <w:lang w:val="en-US" w:eastAsia="zh-CN"/>
            </w:rPr>
            <w:t>8</w:t>
          </w:r>
          <w:r>
            <w:rPr>
              <w:rFonts w:hint="eastAsia" w:ascii="宋体" w:hAnsi="宋体" w:eastAsia="宋体" w:cs="宋体"/>
              <w:lang w:eastAsia="zh-CN"/>
            </w:rPr>
            <w:t>：医疗应急救援协议</w:t>
          </w:r>
          <w:r>
            <w:tab/>
          </w:r>
          <w:r>
            <w:fldChar w:fldCharType="begin"/>
          </w:r>
          <w:r>
            <w:instrText xml:space="preserve"> PAGEREF _Toc12513 \h </w:instrText>
          </w:r>
          <w:r>
            <w:fldChar w:fldCharType="separate"/>
          </w:r>
          <w:r>
            <w:t>211</w:t>
          </w:r>
          <w:r>
            <w:fldChar w:fldCharType="end"/>
          </w:r>
          <w:r>
            <w:rPr>
              <w:rFonts w:hint="eastAsia" w:ascii="宋体" w:hAnsi="宋体" w:eastAsia="宋体" w:cs="宋体"/>
              <w:color w:val="auto"/>
              <w:szCs w:val="28"/>
            </w:rPr>
            <w:fldChar w:fldCharType="end"/>
          </w:r>
        </w:p>
        <w:p>
          <w:pPr>
            <w:pStyle w:val="20"/>
            <w:tabs>
              <w:tab w:val="right" w:leader="dot" w:pos="9072"/>
            </w:tabs>
            <w:rPr>
              <w:rFonts w:hint="eastAsia" w:ascii="宋体" w:hAnsi="宋体" w:eastAsia="宋体" w:cs="宋体"/>
              <w:b/>
              <w:bCs/>
              <w:color w:val="auto"/>
              <w:szCs w:val="28"/>
            </w:rPr>
          </w:pP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HYPERLINK \l _Toc2373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lang w:eastAsia="zh-CN"/>
            </w:rPr>
            <w:t>第</w:t>
          </w:r>
          <w:r>
            <w:rPr>
              <w:rFonts w:hint="eastAsia" w:ascii="宋体" w:hAnsi="宋体" w:eastAsia="宋体" w:cs="宋体"/>
              <w:b/>
              <w:bCs/>
              <w:color w:val="auto"/>
              <w:szCs w:val="28"/>
              <w:lang w:val="en-US" w:eastAsia="zh-CN"/>
            </w:rPr>
            <w:t>六</w:t>
          </w:r>
          <w:r>
            <w:rPr>
              <w:rFonts w:hint="eastAsia" w:ascii="宋体" w:hAnsi="宋体" w:eastAsia="宋体" w:cs="宋体"/>
              <w:b/>
              <w:bCs/>
              <w:color w:val="auto"/>
              <w:szCs w:val="28"/>
              <w:lang w:eastAsia="zh-CN"/>
            </w:rPr>
            <w:t>部分  附录</w:t>
          </w:r>
          <w:bookmarkStart w:id="917" w:name="_GoBack"/>
          <w:bookmarkEnd w:id="917"/>
          <w:r>
            <w:rPr>
              <w:rFonts w:hint="eastAsia" w:ascii="宋体" w:hAnsi="宋体" w:eastAsia="宋体" w:cs="宋体"/>
              <w:b/>
              <w:bCs/>
              <w:color w:val="auto"/>
              <w:szCs w:val="28"/>
            </w:rPr>
            <w:tab/>
          </w:r>
          <w:r>
            <w:rPr>
              <w:rFonts w:hint="eastAsia" w:ascii="宋体" w:hAnsi="宋体" w:eastAsia="宋体" w:cs="宋体"/>
              <w:b/>
              <w:bCs/>
              <w:color w:val="auto"/>
              <w:szCs w:val="28"/>
            </w:rPr>
            <w:fldChar w:fldCharType="begin"/>
          </w:r>
          <w:r>
            <w:rPr>
              <w:rFonts w:hint="eastAsia" w:ascii="宋体" w:hAnsi="宋体" w:eastAsia="宋体" w:cs="宋体"/>
              <w:b/>
              <w:bCs/>
              <w:color w:val="auto"/>
              <w:szCs w:val="28"/>
            </w:rPr>
            <w:instrText xml:space="preserve"> PAGEREF _Toc2373 \h </w:instrText>
          </w:r>
          <w:r>
            <w:rPr>
              <w:rFonts w:hint="eastAsia" w:ascii="宋体" w:hAnsi="宋体" w:eastAsia="宋体" w:cs="宋体"/>
              <w:b/>
              <w:bCs/>
              <w:color w:val="auto"/>
              <w:szCs w:val="28"/>
            </w:rPr>
            <w:fldChar w:fldCharType="separate"/>
          </w:r>
          <w:r>
            <w:rPr>
              <w:rFonts w:hint="eastAsia" w:ascii="宋体" w:hAnsi="宋体" w:eastAsia="宋体" w:cs="宋体"/>
              <w:b/>
              <w:bCs/>
              <w:color w:val="auto"/>
              <w:szCs w:val="28"/>
            </w:rPr>
            <w:t>212</w:t>
          </w:r>
          <w:r>
            <w:rPr>
              <w:rFonts w:hint="eastAsia" w:ascii="宋体" w:hAnsi="宋体" w:eastAsia="宋体" w:cs="宋体"/>
              <w:b/>
              <w:bCs/>
              <w:color w:val="auto"/>
              <w:szCs w:val="28"/>
            </w:rPr>
            <w:fldChar w:fldCharType="end"/>
          </w:r>
          <w:r>
            <w:rPr>
              <w:rFonts w:hint="eastAsia" w:ascii="宋体" w:hAnsi="宋体" w:eastAsia="宋体" w:cs="宋体"/>
              <w:b/>
              <w:bCs/>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_Toc25615 </w:instrText>
          </w:r>
          <w:r>
            <w:rPr>
              <w:rFonts w:hint="eastAsia" w:ascii="宋体" w:hAnsi="宋体" w:eastAsia="宋体" w:cs="宋体"/>
              <w:szCs w:val="28"/>
            </w:rPr>
            <w:fldChar w:fldCharType="separate"/>
          </w:r>
          <w:r>
            <w:rPr>
              <w:rFonts w:hint="eastAsia" w:ascii="宋体" w:hAnsi="宋体" w:eastAsia="宋体" w:cs="宋体"/>
              <w:lang w:eastAsia="zh-CN"/>
            </w:rPr>
            <w:t>附录A 生产安全事故风险评估报告</w:t>
          </w:r>
          <w:r>
            <w:tab/>
          </w:r>
          <w:r>
            <w:fldChar w:fldCharType="begin"/>
          </w:r>
          <w:r>
            <w:instrText xml:space="preserve"> PAGEREF _Toc25615 \h </w:instrText>
          </w:r>
          <w:r>
            <w:fldChar w:fldCharType="separate"/>
          </w:r>
          <w:r>
            <w:t>212</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_Toc32705 </w:instrText>
          </w:r>
          <w:r>
            <w:rPr>
              <w:rFonts w:hint="eastAsia" w:ascii="宋体" w:hAnsi="宋体" w:eastAsia="宋体" w:cs="宋体"/>
              <w:szCs w:val="28"/>
            </w:rPr>
            <w:fldChar w:fldCharType="separate"/>
          </w:r>
          <w:r>
            <w:rPr>
              <w:rFonts w:hint="eastAsia" w:ascii="宋体" w:hAnsi="宋体" w:eastAsia="宋体" w:cs="宋体"/>
              <w:lang w:eastAsia="zh-CN"/>
            </w:rPr>
            <w:t>附录B 生产安全事故应急资源调查报告</w:t>
          </w:r>
          <w:r>
            <w:tab/>
          </w:r>
          <w:r>
            <w:fldChar w:fldCharType="begin"/>
          </w:r>
          <w:r>
            <w:instrText xml:space="preserve"> PAGEREF _Toc32705 \h </w:instrText>
          </w:r>
          <w:r>
            <w:fldChar w:fldCharType="separate"/>
          </w:r>
          <w:r>
            <w:t>212</w:t>
          </w:r>
          <w:r>
            <w:fldChar w:fldCharType="end"/>
          </w:r>
          <w:r>
            <w:rPr>
              <w:rFonts w:hint="eastAsia" w:ascii="宋体" w:hAnsi="宋体" w:eastAsia="宋体" w:cs="宋体"/>
              <w:color w:val="auto"/>
              <w:szCs w:val="28"/>
            </w:rPr>
            <w:fldChar w:fldCharType="end"/>
          </w:r>
        </w:p>
        <w:p>
          <w:pPr>
            <w:pStyle w:val="20"/>
            <w:tabs>
              <w:tab w:val="right" w:leader="dot" w:pos="9072"/>
            </w:tabs>
          </w:pPr>
          <w:r>
            <w:rPr>
              <w:rFonts w:hint="eastAsia" w:ascii="宋体" w:hAnsi="宋体" w:eastAsia="宋体" w:cs="宋体"/>
              <w:color w:val="auto"/>
              <w:szCs w:val="28"/>
            </w:rPr>
            <w:fldChar w:fldCharType="begin"/>
          </w:r>
          <w:r>
            <w:rPr>
              <w:rFonts w:hint="eastAsia" w:ascii="宋体" w:hAnsi="宋体" w:eastAsia="宋体" w:cs="宋体"/>
              <w:szCs w:val="28"/>
            </w:rPr>
            <w:instrText xml:space="preserve"> HYPERLINK \l _Toc24748 </w:instrText>
          </w:r>
          <w:r>
            <w:rPr>
              <w:rFonts w:hint="eastAsia" w:ascii="宋体" w:hAnsi="宋体" w:eastAsia="宋体" w:cs="宋体"/>
              <w:szCs w:val="28"/>
            </w:rPr>
            <w:fldChar w:fldCharType="separate"/>
          </w:r>
          <w:r>
            <w:rPr>
              <w:rFonts w:hint="eastAsia" w:ascii="宋体" w:hAnsi="宋体" w:eastAsia="宋体" w:cs="宋体"/>
              <w:lang w:eastAsia="zh-CN"/>
            </w:rPr>
            <w:t>附录</w:t>
          </w:r>
          <w:r>
            <w:rPr>
              <w:rFonts w:hint="eastAsia" w:ascii="宋体" w:hAnsi="宋体" w:eastAsia="宋体" w:cs="宋体"/>
              <w:lang w:val="en-US" w:eastAsia="zh-CN"/>
            </w:rPr>
            <w:t>C</w:t>
          </w:r>
          <w:r>
            <w:rPr>
              <w:rFonts w:hint="eastAsia" w:ascii="宋体" w:hAnsi="宋体" w:eastAsia="宋体" w:cs="宋体"/>
              <w:lang w:eastAsia="zh-CN"/>
            </w:rPr>
            <w:t xml:space="preserve"> 桌面演练方案</w:t>
          </w:r>
          <w:r>
            <w:tab/>
          </w:r>
          <w:r>
            <w:fldChar w:fldCharType="begin"/>
          </w:r>
          <w:r>
            <w:instrText xml:space="preserve"> PAGEREF _Toc24748 \h </w:instrText>
          </w:r>
          <w:r>
            <w:fldChar w:fldCharType="separate"/>
          </w:r>
          <w:r>
            <w:t>212</w:t>
          </w:r>
          <w:r>
            <w:fldChar w:fldCharType="end"/>
          </w:r>
          <w:r>
            <w:rPr>
              <w:rFonts w:hint="eastAsia" w:ascii="宋体" w:hAnsi="宋体" w:eastAsia="宋体" w:cs="宋体"/>
              <w:color w:val="auto"/>
              <w:szCs w:val="28"/>
            </w:rPr>
            <w:fldChar w:fldCharType="end"/>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jc w:val="both"/>
            <w:textAlignment w:val="auto"/>
            <w:outlineLvl w:val="9"/>
            <w:rPr>
              <w:rFonts w:hint="eastAsia" w:ascii="宋体" w:hAnsi="宋体" w:eastAsia="宋体" w:cs="宋体"/>
              <w:color w:val="auto"/>
              <w:sz w:val="36"/>
              <w:szCs w:val="36"/>
            </w:rPr>
            <w:sectPr>
              <w:headerReference r:id="rId3" w:type="default"/>
              <w:footerReference r:id="rId4" w:type="default"/>
              <w:pgSz w:w="11906" w:h="16838"/>
              <w:pgMar w:top="1417" w:right="1417" w:bottom="1417" w:left="1417" w:header="851" w:footer="992" w:gutter="0"/>
              <w:pgNumType w:fmt="decimal" w:start="1"/>
              <w:cols w:space="425" w:num="1"/>
              <w:docGrid w:type="lines" w:linePitch="312" w:charSpace="0"/>
            </w:sectPr>
          </w:pPr>
          <w:r>
            <w:rPr>
              <w:rFonts w:hint="eastAsia" w:ascii="宋体" w:hAnsi="宋体" w:eastAsia="宋体" w:cs="宋体"/>
              <w:color w:val="auto"/>
              <w:szCs w:val="28"/>
            </w:rPr>
            <w:fldChar w:fldCharType="end"/>
          </w:r>
        </w:p>
      </w:sdtContent>
    </w:sdt>
    <w:p>
      <w:pPr>
        <w:pStyle w:val="4"/>
        <w:keepNext/>
        <w:keepLines/>
        <w:pageBreakBefore w:val="0"/>
        <w:widowControl w:val="0"/>
        <w:kinsoku/>
        <w:wordWrap/>
        <w:overflowPunct/>
        <w:topLinePunct w:val="0"/>
        <w:autoSpaceDE/>
        <w:autoSpaceDN/>
        <w:bidi w:val="0"/>
        <w:adjustRightInd/>
        <w:snapToGrid/>
        <w:spacing w:before="625" w:beforeLines="200" w:after="625" w:afterLines="200" w:line="240" w:lineRule="auto"/>
        <w:jc w:val="center"/>
        <w:textAlignment w:val="auto"/>
        <w:rPr>
          <w:rFonts w:hint="eastAsia" w:ascii="宋体" w:hAnsi="宋体" w:eastAsia="宋体" w:cs="宋体"/>
          <w:color w:val="auto"/>
          <w:sz w:val="36"/>
          <w:szCs w:val="36"/>
        </w:rPr>
      </w:pPr>
      <w:bookmarkStart w:id="34" w:name="_Toc21062"/>
      <w:r>
        <w:rPr>
          <w:rFonts w:hint="eastAsia" w:ascii="宋体" w:hAnsi="宋体" w:eastAsia="宋体" w:cs="宋体"/>
          <w:color w:val="auto"/>
          <w:sz w:val="36"/>
          <w:szCs w:val="36"/>
        </w:rPr>
        <w:t>第一部分 应急预案编制程序</w:t>
      </w:r>
      <w:bookmarkEnd w:id="33"/>
      <w:bookmarkEnd w:id="34"/>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35" w:name="_Toc319422850"/>
      <w:bookmarkStart w:id="36" w:name="_Toc2141"/>
      <w:bookmarkStart w:id="37" w:name="_Toc25689"/>
      <w:bookmarkStart w:id="38" w:name="_Toc24642"/>
      <w:bookmarkStart w:id="39" w:name="_Toc30039"/>
      <w:bookmarkStart w:id="40" w:name="_Toc4170"/>
      <w:bookmarkStart w:id="41" w:name="_Toc25109"/>
      <w:bookmarkStart w:id="42" w:name="_Toc38813295"/>
      <w:bookmarkStart w:id="43" w:name="_Toc14606"/>
      <w:bookmarkStart w:id="44" w:name="_Toc11289"/>
      <w:r>
        <w:rPr>
          <w:rFonts w:hint="eastAsia" w:ascii="宋体" w:hAnsi="宋体" w:eastAsia="宋体" w:cs="宋体"/>
          <w:color w:val="auto"/>
          <w:sz w:val="28"/>
          <w:szCs w:val="28"/>
          <w:lang w:val="en-US" w:eastAsia="zh-CN"/>
        </w:rPr>
        <w:t>1</w:t>
      </w:r>
      <w:bookmarkEnd w:id="35"/>
      <w:r>
        <w:rPr>
          <w:rFonts w:hint="eastAsia" w:ascii="宋体" w:hAnsi="宋体" w:eastAsia="宋体" w:cs="宋体"/>
          <w:color w:val="auto"/>
          <w:sz w:val="28"/>
          <w:szCs w:val="28"/>
          <w:lang w:val="en-US" w:eastAsia="zh-CN"/>
        </w:rPr>
        <w:t xml:space="preserve"> 概述</w:t>
      </w:r>
      <w:bookmarkEnd w:id="36"/>
      <w:bookmarkEnd w:id="37"/>
      <w:bookmarkEnd w:id="38"/>
      <w:bookmarkEnd w:id="39"/>
      <w:bookmarkEnd w:id="40"/>
      <w:bookmarkEnd w:id="41"/>
      <w:bookmarkEnd w:id="42"/>
      <w:bookmarkEnd w:id="43"/>
      <w:bookmarkEnd w:id="44"/>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埃夫科纳（南充）特种聚合物有限公司</w:t>
      </w:r>
      <w:r>
        <w:rPr>
          <w:rFonts w:hint="eastAsia" w:ascii="宋体" w:hAnsi="宋体" w:eastAsia="宋体" w:cs="宋体"/>
          <w:color w:val="auto"/>
          <w:sz w:val="28"/>
          <w:szCs w:val="28"/>
        </w:rPr>
        <w:t>生产安全应急预案编制程序工作有：</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1、成立应急预案编制工作组；</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2、资料收集；</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3、事故风险评估；</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4、应急资源调查；</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5、编制应急预案；</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6、应急预案评审、修改。</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45" w:name="_Toc15516"/>
      <w:bookmarkStart w:id="46" w:name="_Toc11530"/>
      <w:bookmarkStart w:id="47" w:name="_Toc17609"/>
      <w:bookmarkStart w:id="48" w:name="_Toc25153"/>
      <w:bookmarkStart w:id="49" w:name="_Toc20197"/>
      <w:bookmarkStart w:id="50" w:name="_Toc4365"/>
      <w:bookmarkStart w:id="51" w:name="_Toc38813297"/>
      <w:bookmarkStart w:id="52" w:name="_Toc30329"/>
      <w:r>
        <w:rPr>
          <w:rFonts w:hint="eastAsia" w:ascii="宋体" w:hAnsi="宋体" w:eastAsia="宋体" w:cs="宋体"/>
          <w:color w:val="auto"/>
          <w:sz w:val="28"/>
          <w:szCs w:val="28"/>
          <w:lang w:val="en-US" w:eastAsia="zh-CN"/>
        </w:rPr>
        <w:t>2 成立应急预案编制工作组</w:t>
      </w:r>
      <w:bookmarkEnd w:id="45"/>
      <w:bookmarkEnd w:id="46"/>
      <w:bookmarkEnd w:id="47"/>
      <w:bookmarkEnd w:id="48"/>
      <w:bookmarkEnd w:id="49"/>
      <w:bookmarkEnd w:id="50"/>
      <w:bookmarkEnd w:id="51"/>
      <w:bookmarkEnd w:id="52"/>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结合</w:t>
      </w:r>
      <w:r>
        <w:rPr>
          <w:rFonts w:hint="eastAsia" w:ascii="宋体" w:hAnsi="宋体" w:eastAsia="宋体" w:cs="宋体"/>
          <w:color w:val="auto"/>
          <w:sz w:val="28"/>
          <w:szCs w:val="28"/>
          <w:lang w:val="en-US" w:eastAsia="zh-CN"/>
        </w:rPr>
        <w:t>埃夫科纳（南充）特种聚合物有限公司</w:t>
      </w:r>
      <w:r>
        <w:rPr>
          <w:rFonts w:hint="eastAsia" w:ascii="宋体" w:hAnsi="宋体" w:eastAsia="宋体" w:cs="宋体"/>
          <w:color w:val="auto"/>
          <w:sz w:val="28"/>
          <w:szCs w:val="28"/>
        </w:rPr>
        <w:t>部门职能分工，成立以公司</w:t>
      </w:r>
      <w:r>
        <w:rPr>
          <w:rFonts w:hint="eastAsia" w:ascii="宋体" w:hAnsi="宋体" w:eastAsia="宋体" w:cs="宋体"/>
          <w:color w:val="auto"/>
          <w:sz w:val="28"/>
          <w:szCs w:val="28"/>
          <w:lang w:eastAsia="zh-CN"/>
        </w:rPr>
        <w:t>总经理为</w:t>
      </w:r>
      <w:r>
        <w:rPr>
          <w:rFonts w:hint="eastAsia" w:ascii="宋体" w:hAnsi="宋体" w:eastAsia="宋体" w:cs="宋体"/>
          <w:color w:val="auto"/>
          <w:sz w:val="28"/>
          <w:szCs w:val="28"/>
        </w:rPr>
        <w:t>组长的应急预案编制工作组</w:t>
      </w:r>
      <w:r>
        <w:rPr>
          <w:rFonts w:hint="eastAsia" w:ascii="宋体" w:hAnsi="宋体" w:eastAsia="宋体" w:cs="宋体"/>
          <w:color w:val="auto"/>
          <w:sz w:val="28"/>
          <w:szCs w:val="28"/>
          <w:lang w:eastAsia="zh-CN"/>
        </w:rPr>
        <w:t>详见《</w:t>
      </w:r>
      <w:r>
        <w:rPr>
          <w:rFonts w:hint="eastAsia" w:ascii="宋体" w:hAnsi="宋体" w:eastAsia="宋体" w:cs="宋体"/>
          <w:color w:val="auto"/>
          <w:sz w:val="28"/>
          <w:szCs w:val="28"/>
          <w:lang w:val="en-US" w:eastAsia="zh-CN"/>
        </w:rPr>
        <w:t>关于成立应急预案编制工作组的通知</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，明确编制任务、职责分工，制定工作计划。</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53" w:name="_Toc9824"/>
      <w:bookmarkStart w:id="54" w:name="_Toc15857"/>
      <w:bookmarkStart w:id="55" w:name="_Toc30931"/>
      <w:bookmarkStart w:id="56" w:name="_Toc21572"/>
      <w:bookmarkStart w:id="57" w:name="_Toc16695"/>
      <w:bookmarkStart w:id="58" w:name="_Toc24582"/>
      <w:bookmarkStart w:id="59" w:name="_Toc38813298"/>
      <w:bookmarkStart w:id="60" w:name="_Toc26623"/>
      <w:r>
        <w:rPr>
          <w:rFonts w:hint="eastAsia" w:ascii="宋体" w:hAnsi="宋体" w:eastAsia="宋体" w:cs="宋体"/>
          <w:color w:val="auto"/>
          <w:sz w:val="28"/>
          <w:szCs w:val="28"/>
          <w:lang w:val="en-US" w:eastAsia="zh-CN"/>
        </w:rPr>
        <w:t>3 资料收集</w:t>
      </w:r>
      <w:bookmarkEnd w:id="53"/>
      <w:bookmarkEnd w:id="54"/>
      <w:bookmarkEnd w:id="55"/>
      <w:bookmarkEnd w:id="56"/>
      <w:bookmarkEnd w:id="57"/>
      <w:bookmarkEnd w:id="58"/>
      <w:bookmarkEnd w:id="59"/>
      <w:bookmarkEnd w:id="60"/>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收集应急预案编制所需的各种资料包含：</w:t>
      </w:r>
    </w:p>
    <w:p>
      <w:pPr>
        <w:spacing w:line="360" w:lineRule="auto"/>
        <w:ind w:firstLine="560" w:firstLineChars="200"/>
        <w:rPr>
          <w:rFonts w:hint="eastAsia" w:ascii="宋体" w:hAnsi="宋体" w:eastAsia="宋体" w:cs="宋体"/>
          <w:color w:val="auto"/>
          <w:sz w:val="28"/>
          <w:szCs w:val="28"/>
        </w:rPr>
      </w:pPr>
      <w:bookmarkStart w:id="61" w:name="bookmark18"/>
      <w:r>
        <w:rPr>
          <w:rFonts w:hint="eastAsia" w:ascii="宋体" w:hAnsi="宋体" w:eastAsia="宋体" w:cs="宋体"/>
          <w:color w:val="auto"/>
          <w:sz w:val="28"/>
          <w:szCs w:val="28"/>
          <w:lang w:val="en-US" w:eastAsia="zh-CN"/>
        </w:rPr>
        <w:t>a</w:t>
      </w:r>
      <w:bookmarkEnd w:id="61"/>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适用的法律法规、部门规章、地方性法规和政府规章、技术标准及规范性文件；</w:t>
      </w:r>
    </w:p>
    <w:p>
      <w:pPr>
        <w:spacing w:line="360" w:lineRule="auto"/>
        <w:ind w:firstLine="560" w:firstLineChars="200"/>
        <w:rPr>
          <w:rFonts w:hint="eastAsia" w:ascii="宋体" w:hAnsi="宋体" w:eastAsia="宋体" w:cs="宋体"/>
          <w:color w:val="auto"/>
          <w:sz w:val="28"/>
          <w:szCs w:val="28"/>
        </w:rPr>
      </w:pPr>
      <w:bookmarkStart w:id="62" w:name="bookmark19"/>
      <w:r>
        <w:rPr>
          <w:rFonts w:hint="eastAsia" w:ascii="宋体" w:hAnsi="宋体" w:eastAsia="宋体" w:cs="宋体"/>
          <w:color w:val="auto"/>
          <w:sz w:val="28"/>
          <w:szCs w:val="28"/>
          <w:lang w:val="en-US" w:eastAsia="zh-CN"/>
        </w:rPr>
        <w:t>b</w:t>
      </w:r>
      <w:bookmarkEnd w:id="62"/>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eastAsia="zh-CN"/>
        </w:rPr>
        <w:t>公司</w:t>
      </w:r>
      <w:r>
        <w:rPr>
          <w:rFonts w:hint="eastAsia" w:ascii="宋体" w:hAnsi="宋体" w:eastAsia="宋体" w:cs="宋体"/>
          <w:color w:val="auto"/>
          <w:sz w:val="28"/>
          <w:szCs w:val="28"/>
        </w:rPr>
        <w:t>周边地质、地形、环境情况及气象、水文、交通资料；</w:t>
      </w:r>
    </w:p>
    <w:p>
      <w:pPr>
        <w:spacing w:line="360" w:lineRule="auto"/>
        <w:ind w:firstLine="560" w:firstLineChars="200"/>
        <w:rPr>
          <w:rFonts w:hint="eastAsia" w:ascii="宋体" w:hAnsi="宋体" w:eastAsia="宋体" w:cs="宋体"/>
          <w:color w:val="auto"/>
          <w:sz w:val="28"/>
          <w:szCs w:val="28"/>
        </w:rPr>
      </w:pPr>
      <w:bookmarkStart w:id="63" w:name="bookmark20"/>
      <w:r>
        <w:rPr>
          <w:rFonts w:hint="eastAsia" w:ascii="宋体" w:hAnsi="宋体" w:eastAsia="宋体" w:cs="宋体"/>
          <w:color w:val="auto"/>
          <w:sz w:val="28"/>
          <w:szCs w:val="28"/>
          <w:lang w:val="en-US" w:eastAsia="zh-CN"/>
        </w:rPr>
        <w:t>c</w:t>
      </w:r>
      <w:bookmarkEnd w:id="63"/>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eastAsia="zh-CN"/>
        </w:rPr>
        <w:t>公司</w:t>
      </w:r>
      <w:r>
        <w:rPr>
          <w:rFonts w:hint="eastAsia" w:ascii="宋体" w:hAnsi="宋体" w:eastAsia="宋体" w:cs="宋体"/>
          <w:color w:val="auto"/>
          <w:sz w:val="28"/>
          <w:szCs w:val="28"/>
        </w:rPr>
        <w:t>现场功能区划分、建（构）筑物平面布置及安全距离资料；</w:t>
      </w:r>
    </w:p>
    <w:p>
      <w:pPr>
        <w:spacing w:line="360" w:lineRule="auto"/>
        <w:ind w:firstLine="560" w:firstLineChars="200"/>
        <w:rPr>
          <w:rFonts w:hint="eastAsia" w:ascii="宋体" w:hAnsi="宋体" w:eastAsia="宋体" w:cs="宋体"/>
          <w:color w:val="auto"/>
          <w:sz w:val="28"/>
          <w:szCs w:val="28"/>
        </w:rPr>
      </w:pPr>
      <w:bookmarkStart w:id="64" w:name="bookmark21"/>
      <w:r>
        <w:rPr>
          <w:rFonts w:hint="eastAsia" w:ascii="宋体" w:hAnsi="宋体" w:eastAsia="宋体" w:cs="宋体"/>
          <w:color w:val="auto"/>
          <w:sz w:val="28"/>
          <w:szCs w:val="28"/>
          <w:lang w:val="en-US" w:eastAsia="zh-CN"/>
        </w:rPr>
        <w:t>d</w:t>
      </w:r>
      <w:bookmarkEnd w:id="64"/>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企业</w:t>
      </w:r>
      <w:r>
        <w:rPr>
          <w:rFonts w:hint="eastAsia" w:ascii="宋体" w:hAnsi="宋体" w:eastAsia="宋体" w:cs="宋体"/>
          <w:color w:val="auto"/>
          <w:sz w:val="28"/>
          <w:szCs w:val="28"/>
          <w:lang w:eastAsia="zh-CN"/>
        </w:rPr>
        <w:t>工作流程、</w:t>
      </w:r>
      <w:r>
        <w:rPr>
          <w:rFonts w:hint="eastAsia" w:ascii="宋体" w:hAnsi="宋体" w:eastAsia="宋体" w:cs="宋体"/>
          <w:color w:val="auto"/>
          <w:sz w:val="28"/>
          <w:szCs w:val="28"/>
        </w:rPr>
        <w:t>作业条件、设备装置及风险评估资料；</w:t>
      </w:r>
    </w:p>
    <w:p>
      <w:pPr>
        <w:spacing w:line="360" w:lineRule="auto"/>
        <w:ind w:firstLine="560" w:firstLineChars="200"/>
        <w:rPr>
          <w:rFonts w:hint="eastAsia" w:ascii="宋体" w:hAnsi="宋体" w:eastAsia="宋体" w:cs="宋体"/>
          <w:color w:val="auto"/>
          <w:sz w:val="28"/>
          <w:szCs w:val="28"/>
        </w:rPr>
      </w:pPr>
      <w:bookmarkStart w:id="65" w:name="bookmark22"/>
      <w:r>
        <w:rPr>
          <w:rFonts w:hint="eastAsia" w:ascii="宋体" w:hAnsi="宋体" w:eastAsia="宋体" w:cs="宋体"/>
          <w:color w:val="auto"/>
          <w:sz w:val="28"/>
          <w:szCs w:val="28"/>
          <w:lang w:val="en-US" w:eastAsia="zh-CN"/>
        </w:rPr>
        <w:t>e</w:t>
      </w:r>
      <w:bookmarkEnd w:id="65"/>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本</w:t>
      </w:r>
      <w:r>
        <w:rPr>
          <w:rFonts w:hint="eastAsia" w:ascii="宋体" w:hAnsi="宋体" w:eastAsia="宋体" w:cs="宋体"/>
          <w:color w:val="auto"/>
          <w:sz w:val="28"/>
          <w:szCs w:val="28"/>
          <w:lang w:eastAsia="zh-CN"/>
        </w:rPr>
        <w:t>公司</w:t>
      </w:r>
      <w:r>
        <w:rPr>
          <w:rFonts w:hint="eastAsia" w:ascii="宋体" w:hAnsi="宋体" w:eastAsia="宋体" w:cs="宋体"/>
          <w:color w:val="auto"/>
          <w:sz w:val="28"/>
          <w:szCs w:val="28"/>
        </w:rPr>
        <w:t>历史事故与隐患、国内外同行业事故资料；</w:t>
      </w:r>
    </w:p>
    <w:p>
      <w:pPr>
        <w:spacing w:line="360" w:lineRule="auto"/>
        <w:ind w:firstLine="560" w:firstLineChars="200"/>
        <w:rPr>
          <w:rFonts w:hint="eastAsia" w:ascii="宋体" w:hAnsi="宋体" w:eastAsia="宋体" w:cs="宋体"/>
          <w:color w:val="auto"/>
          <w:sz w:val="28"/>
          <w:szCs w:val="28"/>
        </w:rPr>
      </w:pPr>
      <w:bookmarkStart w:id="66" w:name="bookmark23"/>
      <w:r>
        <w:rPr>
          <w:rFonts w:hint="eastAsia" w:ascii="宋体" w:hAnsi="宋体" w:eastAsia="宋体" w:cs="宋体"/>
          <w:color w:val="auto"/>
          <w:sz w:val="28"/>
          <w:szCs w:val="28"/>
          <w:lang w:val="en-US" w:eastAsia="zh-CN"/>
        </w:rPr>
        <w:t>f</w:t>
      </w:r>
      <w:bookmarkEnd w:id="66"/>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属地政府及周</w:t>
      </w:r>
      <w:r>
        <w:rPr>
          <w:rFonts w:hint="eastAsia" w:ascii="宋体" w:hAnsi="宋体" w:eastAsia="宋体" w:cs="宋体"/>
          <w:color w:val="auto"/>
          <w:sz w:val="28"/>
          <w:szCs w:val="28"/>
          <w:lang w:eastAsia="zh-CN"/>
        </w:rPr>
        <w:t>边</w:t>
      </w:r>
      <w:r>
        <w:rPr>
          <w:rFonts w:hint="eastAsia" w:ascii="宋体" w:hAnsi="宋体" w:eastAsia="宋体" w:cs="宋体"/>
          <w:color w:val="auto"/>
          <w:sz w:val="28"/>
          <w:szCs w:val="28"/>
        </w:rPr>
        <w:t>企业、单位应急预案。</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67" w:name="_Toc38813299"/>
      <w:bookmarkStart w:id="68" w:name="_Toc29998"/>
      <w:bookmarkStart w:id="69" w:name="_Toc14970"/>
      <w:bookmarkStart w:id="70" w:name="_Toc25160"/>
      <w:bookmarkStart w:id="71" w:name="_Toc14018"/>
      <w:bookmarkStart w:id="72" w:name="_Toc1693"/>
      <w:bookmarkStart w:id="73" w:name="_Toc14410"/>
      <w:bookmarkStart w:id="74" w:name="_Toc22760"/>
      <w:r>
        <w:rPr>
          <w:rFonts w:hint="eastAsia" w:ascii="宋体" w:hAnsi="宋体" w:eastAsia="宋体" w:cs="宋体"/>
          <w:color w:val="auto"/>
          <w:sz w:val="28"/>
          <w:szCs w:val="28"/>
          <w:lang w:val="en-US" w:eastAsia="zh-CN"/>
        </w:rPr>
        <w:t>4 风险评估</w:t>
      </w:r>
      <w:bookmarkEnd w:id="67"/>
      <w:bookmarkEnd w:id="68"/>
      <w:bookmarkEnd w:id="69"/>
      <w:bookmarkEnd w:id="70"/>
      <w:bookmarkEnd w:id="71"/>
      <w:bookmarkEnd w:id="72"/>
      <w:bookmarkEnd w:id="73"/>
      <w:bookmarkEnd w:id="74"/>
    </w:p>
    <w:p>
      <w:pPr>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开展生产安全事故风险评估，撰写评估报告：</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a）</w:t>
      </w:r>
      <w:r>
        <w:rPr>
          <w:rFonts w:hint="eastAsia" w:ascii="宋体" w:hAnsi="宋体" w:eastAsia="宋体" w:cs="宋体"/>
          <w:color w:val="auto"/>
          <w:sz w:val="28"/>
          <w:szCs w:val="28"/>
        </w:rPr>
        <w:t>危险有害因素辨识</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描述</w:t>
      </w:r>
      <w:r>
        <w:rPr>
          <w:rFonts w:hint="eastAsia" w:ascii="宋体" w:hAnsi="宋体" w:eastAsia="宋体" w:cs="宋体"/>
          <w:color w:val="auto"/>
          <w:sz w:val="28"/>
          <w:szCs w:val="28"/>
          <w:lang w:eastAsia="zh-CN"/>
        </w:rPr>
        <w:t>本公司</w:t>
      </w:r>
      <w:r>
        <w:rPr>
          <w:rFonts w:hint="eastAsia" w:ascii="宋体" w:hAnsi="宋体" w:eastAsia="宋体" w:cs="宋体"/>
          <w:color w:val="auto"/>
          <w:sz w:val="28"/>
          <w:szCs w:val="28"/>
        </w:rPr>
        <w:t>危险有害因素辨识的情况。</w:t>
      </w:r>
    </w:p>
    <w:p>
      <w:pPr>
        <w:spacing w:line="360" w:lineRule="auto"/>
        <w:ind w:firstLine="560" w:firstLineChars="200"/>
        <w:rPr>
          <w:rFonts w:hint="eastAsia" w:ascii="宋体" w:hAnsi="宋体" w:eastAsia="宋体" w:cs="宋体"/>
          <w:color w:val="auto"/>
          <w:sz w:val="28"/>
          <w:szCs w:val="28"/>
        </w:rPr>
      </w:pPr>
      <w:bookmarkStart w:id="75" w:name="bookmark51"/>
      <w:bookmarkEnd w:id="75"/>
      <w:r>
        <w:rPr>
          <w:rFonts w:hint="eastAsia" w:ascii="宋体" w:hAnsi="宋体" w:eastAsia="宋体" w:cs="宋体"/>
          <w:color w:val="auto"/>
          <w:sz w:val="28"/>
          <w:szCs w:val="28"/>
          <w:lang w:val="en-US" w:eastAsia="zh-CN"/>
        </w:rPr>
        <w:t>b）</w:t>
      </w:r>
      <w:r>
        <w:rPr>
          <w:rFonts w:hint="eastAsia" w:ascii="宋体" w:hAnsi="宋体" w:eastAsia="宋体" w:cs="宋体"/>
          <w:color w:val="auto"/>
          <w:sz w:val="28"/>
          <w:szCs w:val="28"/>
        </w:rPr>
        <w:t>事故风险分析</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描述</w:t>
      </w:r>
      <w:r>
        <w:rPr>
          <w:rFonts w:hint="eastAsia" w:ascii="宋体" w:hAnsi="宋体" w:eastAsia="宋体" w:cs="宋体"/>
          <w:color w:val="auto"/>
          <w:sz w:val="28"/>
          <w:szCs w:val="28"/>
          <w:lang w:eastAsia="zh-CN"/>
        </w:rPr>
        <w:t>本公司</w:t>
      </w:r>
      <w:r>
        <w:rPr>
          <w:rFonts w:hint="eastAsia" w:ascii="宋体" w:hAnsi="宋体" w:eastAsia="宋体" w:cs="宋体"/>
          <w:color w:val="auto"/>
          <w:sz w:val="28"/>
          <w:szCs w:val="28"/>
        </w:rPr>
        <w:t>事故风险的类型、事故发生的可能性、危害后果和影响范围。</w:t>
      </w:r>
    </w:p>
    <w:p>
      <w:pPr>
        <w:spacing w:line="360" w:lineRule="auto"/>
        <w:ind w:firstLine="560" w:firstLineChars="200"/>
        <w:rPr>
          <w:rFonts w:hint="eastAsia" w:ascii="宋体" w:hAnsi="宋体" w:eastAsia="宋体" w:cs="宋体"/>
          <w:color w:val="auto"/>
          <w:sz w:val="28"/>
          <w:szCs w:val="28"/>
        </w:rPr>
      </w:pPr>
      <w:bookmarkStart w:id="76" w:name="bookmark52"/>
      <w:bookmarkEnd w:id="76"/>
      <w:r>
        <w:rPr>
          <w:rFonts w:hint="eastAsia" w:ascii="宋体" w:hAnsi="宋体" w:eastAsia="宋体" w:cs="宋体"/>
          <w:color w:val="auto"/>
          <w:sz w:val="28"/>
          <w:szCs w:val="28"/>
          <w:lang w:val="en-US" w:eastAsia="zh-CN"/>
        </w:rPr>
        <w:t>c）</w:t>
      </w:r>
      <w:r>
        <w:rPr>
          <w:rFonts w:hint="eastAsia" w:ascii="宋体" w:hAnsi="宋体" w:eastAsia="宋体" w:cs="宋体"/>
          <w:color w:val="auto"/>
          <w:sz w:val="28"/>
          <w:szCs w:val="28"/>
        </w:rPr>
        <w:t>事故风险评价</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描述</w:t>
      </w:r>
      <w:r>
        <w:rPr>
          <w:rFonts w:hint="eastAsia" w:ascii="宋体" w:hAnsi="宋体" w:eastAsia="宋体" w:cs="宋体"/>
          <w:color w:val="auto"/>
          <w:sz w:val="28"/>
          <w:szCs w:val="28"/>
          <w:lang w:eastAsia="zh-CN"/>
        </w:rPr>
        <w:t>本公司</w:t>
      </w:r>
      <w:r>
        <w:rPr>
          <w:rFonts w:hint="eastAsia" w:ascii="宋体" w:hAnsi="宋体" w:eastAsia="宋体" w:cs="宋体"/>
          <w:color w:val="auto"/>
          <w:sz w:val="28"/>
          <w:szCs w:val="28"/>
        </w:rPr>
        <w:t>事故风险的类别及风险等级。</w:t>
      </w:r>
    </w:p>
    <w:p>
      <w:pPr>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d）</w:t>
      </w:r>
      <w:r>
        <w:rPr>
          <w:rFonts w:hint="eastAsia" w:ascii="宋体" w:hAnsi="宋体" w:eastAsia="宋体" w:cs="宋体"/>
          <w:color w:val="auto"/>
          <w:sz w:val="28"/>
          <w:szCs w:val="28"/>
        </w:rPr>
        <w:t>结论建议</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得出</w:t>
      </w:r>
      <w:r>
        <w:rPr>
          <w:rFonts w:hint="eastAsia" w:ascii="宋体" w:hAnsi="宋体" w:eastAsia="宋体" w:cs="宋体"/>
          <w:color w:val="auto"/>
          <w:sz w:val="28"/>
          <w:szCs w:val="28"/>
          <w:lang w:eastAsia="zh-CN"/>
        </w:rPr>
        <w:t>本公司</w:t>
      </w:r>
      <w:r>
        <w:rPr>
          <w:rFonts w:hint="eastAsia" w:ascii="宋体" w:hAnsi="宋体" w:eastAsia="宋体" w:cs="宋体"/>
          <w:color w:val="auto"/>
          <w:sz w:val="28"/>
          <w:szCs w:val="28"/>
        </w:rPr>
        <w:t>应急预案体系建设的计划建议。</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77" w:name="_Toc38813300"/>
      <w:bookmarkStart w:id="78" w:name="_Toc19403"/>
      <w:bookmarkStart w:id="79" w:name="_Toc3852"/>
      <w:bookmarkStart w:id="80" w:name="_Toc18862"/>
      <w:bookmarkStart w:id="81" w:name="_Toc17446"/>
      <w:bookmarkStart w:id="82" w:name="_Toc17808"/>
      <w:bookmarkStart w:id="83" w:name="_Toc23218"/>
      <w:bookmarkStart w:id="84" w:name="_Toc20333"/>
      <w:r>
        <w:rPr>
          <w:rFonts w:hint="eastAsia" w:ascii="宋体" w:hAnsi="宋体" w:eastAsia="宋体" w:cs="宋体"/>
          <w:color w:val="auto"/>
          <w:sz w:val="28"/>
          <w:szCs w:val="28"/>
          <w:lang w:val="en-US" w:eastAsia="zh-CN"/>
        </w:rPr>
        <w:t>5 应急</w:t>
      </w:r>
      <w:bookmarkEnd w:id="77"/>
      <w:bookmarkEnd w:id="78"/>
      <w:r>
        <w:rPr>
          <w:rFonts w:hint="eastAsia" w:ascii="宋体" w:hAnsi="宋体" w:eastAsia="宋体" w:cs="宋体"/>
          <w:color w:val="auto"/>
          <w:sz w:val="28"/>
          <w:szCs w:val="28"/>
          <w:lang w:val="en-US" w:eastAsia="zh-CN"/>
        </w:rPr>
        <w:t>资源调查</w:t>
      </w:r>
      <w:bookmarkEnd w:id="79"/>
      <w:bookmarkEnd w:id="80"/>
      <w:bookmarkEnd w:id="81"/>
      <w:bookmarkEnd w:id="82"/>
      <w:bookmarkEnd w:id="83"/>
      <w:bookmarkEnd w:id="84"/>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全面调查和客观分析本公司以及周边单位和政府部门可请求援助的应急资源状况，撰写应急资源调查报告：</w:t>
      </w:r>
    </w:p>
    <w:p>
      <w:pPr>
        <w:spacing w:line="360" w:lineRule="auto"/>
        <w:ind w:firstLine="560" w:firstLineChars="200"/>
        <w:rPr>
          <w:rFonts w:hint="eastAsia" w:ascii="宋体" w:hAnsi="宋体" w:eastAsia="宋体" w:cs="宋体"/>
          <w:color w:val="auto"/>
          <w:sz w:val="28"/>
          <w:szCs w:val="28"/>
          <w:lang w:val="en-US" w:eastAsia="zh-CN"/>
        </w:rPr>
      </w:pPr>
      <w:bookmarkStart w:id="85" w:name="bookmark27"/>
      <w:r>
        <w:rPr>
          <w:rFonts w:hint="eastAsia" w:ascii="宋体" w:hAnsi="宋体" w:eastAsia="宋体" w:cs="宋体"/>
          <w:color w:val="auto"/>
          <w:sz w:val="28"/>
          <w:szCs w:val="28"/>
          <w:lang w:val="en-US" w:eastAsia="zh-CN"/>
        </w:rPr>
        <w:t>a</w:t>
      </w:r>
      <w:bookmarkEnd w:id="85"/>
      <w:r>
        <w:rPr>
          <w:rFonts w:hint="eastAsia" w:ascii="宋体" w:hAnsi="宋体" w:eastAsia="宋体" w:cs="宋体"/>
          <w:color w:val="auto"/>
          <w:sz w:val="28"/>
          <w:szCs w:val="28"/>
          <w:lang w:val="en-US" w:eastAsia="zh-CN"/>
        </w:rPr>
        <w:t>）本公司可调用的应急队伍、装备、物资、场所；</w:t>
      </w:r>
    </w:p>
    <w:p>
      <w:pPr>
        <w:spacing w:line="360" w:lineRule="auto"/>
        <w:ind w:firstLine="560" w:firstLineChars="200"/>
        <w:rPr>
          <w:rFonts w:hint="eastAsia" w:ascii="宋体" w:hAnsi="宋体" w:eastAsia="宋体" w:cs="宋体"/>
          <w:color w:val="auto"/>
          <w:sz w:val="28"/>
          <w:szCs w:val="28"/>
          <w:lang w:val="en-US" w:eastAsia="zh-CN"/>
        </w:rPr>
      </w:pPr>
      <w:bookmarkStart w:id="86" w:name="bookmark28"/>
      <w:r>
        <w:rPr>
          <w:rFonts w:hint="eastAsia" w:ascii="宋体" w:hAnsi="宋体" w:eastAsia="宋体" w:cs="宋体"/>
          <w:color w:val="auto"/>
          <w:sz w:val="28"/>
          <w:szCs w:val="28"/>
          <w:lang w:val="en-US" w:eastAsia="zh-CN"/>
        </w:rPr>
        <w:t>b</w:t>
      </w:r>
      <w:bookmarkEnd w:id="86"/>
      <w:r>
        <w:rPr>
          <w:rFonts w:hint="eastAsia" w:ascii="宋体" w:hAnsi="宋体" w:eastAsia="宋体" w:cs="宋体"/>
          <w:color w:val="auto"/>
          <w:sz w:val="28"/>
          <w:szCs w:val="28"/>
          <w:lang w:val="en-US" w:eastAsia="zh-CN"/>
        </w:rPr>
        <w:t>）针对生产过程及存在的风险可采取的监测、监控、报警手段；</w:t>
      </w:r>
    </w:p>
    <w:p>
      <w:pPr>
        <w:spacing w:line="360" w:lineRule="auto"/>
        <w:ind w:firstLine="560" w:firstLineChars="200"/>
        <w:rPr>
          <w:rFonts w:hint="eastAsia" w:ascii="宋体" w:hAnsi="宋体" w:eastAsia="宋体" w:cs="宋体"/>
          <w:color w:val="auto"/>
          <w:sz w:val="28"/>
          <w:szCs w:val="28"/>
          <w:lang w:val="en-US" w:eastAsia="zh-CN"/>
        </w:rPr>
      </w:pPr>
      <w:bookmarkStart w:id="87" w:name="bookmark29"/>
      <w:r>
        <w:rPr>
          <w:rFonts w:hint="eastAsia" w:ascii="宋体" w:hAnsi="宋体" w:eastAsia="宋体" w:cs="宋体"/>
          <w:color w:val="auto"/>
          <w:sz w:val="28"/>
          <w:szCs w:val="28"/>
          <w:lang w:val="en-US" w:eastAsia="zh-CN"/>
        </w:rPr>
        <w:t>c</w:t>
      </w:r>
      <w:bookmarkEnd w:id="87"/>
      <w:r>
        <w:rPr>
          <w:rFonts w:hint="eastAsia" w:ascii="宋体" w:hAnsi="宋体" w:eastAsia="宋体" w:cs="宋体"/>
          <w:color w:val="auto"/>
          <w:sz w:val="28"/>
          <w:szCs w:val="28"/>
          <w:lang w:val="en-US" w:eastAsia="zh-CN"/>
        </w:rPr>
        <w:t>）上级单位、当地政府及周边企业可提供的应急资源；</w:t>
      </w:r>
    </w:p>
    <w:p>
      <w:pPr>
        <w:spacing w:line="360" w:lineRule="auto"/>
        <w:ind w:firstLine="560" w:firstLineChars="200"/>
        <w:rPr>
          <w:rFonts w:hint="eastAsia" w:ascii="宋体" w:hAnsi="宋体" w:eastAsia="宋体" w:cs="宋体"/>
          <w:color w:val="auto"/>
          <w:sz w:val="28"/>
          <w:szCs w:val="28"/>
          <w:lang w:val="en-US" w:eastAsia="zh-CN"/>
        </w:rPr>
      </w:pPr>
      <w:bookmarkStart w:id="88" w:name="bookmark30"/>
      <w:r>
        <w:rPr>
          <w:rFonts w:hint="eastAsia" w:ascii="宋体" w:hAnsi="宋体" w:eastAsia="宋体" w:cs="宋体"/>
          <w:color w:val="auto"/>
          <w:sz w:val="28"/>
          <w:szCs w:val="28"/>
          <w:lang w:val="en-US" w:eastAsia="zh-CN"/>
        </w:rPr>
        <w:t>d</w:t>
      </w:r>
      <w:bookmarkEnd w:id="88"/>
      <w:r>
        <w:rPr>
          <w:rFonts w:hint="eastAsia" w:ascii="宋体" w:hAnsi="宋体" w:eastAsia="宋体" w:cs="宋体"/>
          <w:color w:val="auto"/>
          <w:sz w:val="28"/>
          <w:szCs w:val="28"/>
          <w:lang w:val="en-US" w:eastAsia="zh-CN"/>
        </w:rPr>
        <w:t>）可协调使用的医疗、消防、专业抢险救援机构及其他社会化应急救援力量。</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e）依据风险评估结果得出本公司的应急资源需求，与本公司现有内外部应急资源对比，提出本公司内外部应急资源补充建议。</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89" w:name="_Toc5968"/>
      <w:bookmarkStart w:id="90" w:name="_Toc1322"/>
      <w:bookmarkStart w:id="91" w:name="_Toc31038"/>
      <w:bookmarkStart w:id="92" w:name="_Toc17163"/>
      <w:bookmarkStart w:id="93" w:name="_Toc38813301"/>
      <w:bookmarkStart w:id="94" w:name="_Toc31133"/>
      <w:bookmarkStart w:id="95" w:name="_Toc16024"/>
      <w:bookmarkStart w:id="96" w:name="_Toc782"/>
      <w:r>
        <w:rPr>
          <w:rFonts w:hint="eastAsia" w:ascii="宋体" w:hAnsi="宋体" w:eastAsia="宋体" w:cs="宋体"/>
          <w:color w:val="auto"/>
          <w:sz w:val="28"/>
          <w:szCs w:val="28"/>
          <w:lang w:val="en-US" w:eastAsia="zh-CN"/>
        </w:rPr>
        <w:t>6 编制应急预案</w:t>
      </w:r>
      <w:bookmarkEnd w:id="89"/>
      <w:bookmarkEnd w:id="90"/>
      <w:bookmarkEnd w:id="91"/>
      <w:bookmarkEnd w:id="92"/>
      <w:bookmarkEnd w:id="93"/>
      <w:bookmarkEnd w:id="94"/>
      <w:bookmarkEnd w:id="95"/>
      <w:bookmarkEnd w:id="96"/>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应急预案编制应当遵循以人为本、依法依规、符合实际、注重实效的原则，以应急处置为核心，体现自救互救和先期处置的特点，做到职责明确、程序规范、措施科学，尽可能简明化、图表化、流程化。依据我公司风险评估及应急能力评估结果，</w:t>
      </w:r>
      <w:r>
        <w:rPr>
          <w:rFonts w:hint="eastAsia" w:ascii="宋体" w:hAnsi="宋体" w:eastAsia="宋体" w:cs="宋体"/>
          <w:color w:val="auto"/>
          <w:sz w:val="28"/>
          <w:szCs w:val="28"/>
          <w:lang w:eastAsia="zh-CN"/>
        </w:rPr>
        <w:t>按照</w:t>
      </w:r>
      <w:r>
        <w:rPr>
          <w:rFonts w:hint="eastAsia" w:ascii="宋体" w:hAnsi="宋体" w:eastAsia="宋体" w:cs="宋体"/>
          <w:color w:val="auto"/>
          <w:sz w:val="28"/>
          <w:szCs w:val="28"/>
        </w:rPr>
        <w:t>应急预案编制格式和要求组织编制</w:t>
      </w:r>
      <w:r>
        <w:rPr>
          <w:rFonts w:hint="eastAsia" w:ascii="宋体" w:hAnsi="宋体" w:eastAsia="宋体" w:cs="宋体"/>
          <w:color w:val="auto"/>
          <w:sz w:val="28"/>
          <w:szCs w:val="28"/>
          <w:lang w:eastAsia="zh-CN"/>
        </w:rPr>
        <w:t>生产安全事故</w:t>
      </w:r>
      <w:r>
        <w:rPr>
          <w:rFonts w:hint="eastAsia" w:ascii="宋体" w:hAnsi="宋体" w:eastAsia="宋体" w:cs="宋体"/>
          <w:color w:val="auto"/>
          <w:sz w:val="28"/>
          <w:szCs w:val="28"/>
        </w:rPr>
        <w:t>应急预案。</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97" w:name="_Toc7679"/>
      <w:bookmarkStart w:id="98" w:name="_Toc6734"/>
      <w:bookmarkStart w:id="99" w:name="_Toc32202"/>
      <w:bookmarkStart w:id="100" w:name="_Toc13088"/>
      <w:bookmarkStart w:id="101" w:name="_Toc22299"/>
      <w:bookmarkStart w:id="102" w:name="_Toc2508"/>
      <w:r>
        <w:rPr>
          <w:rFonts w:hint="eastAsia" w:ascii="宋体" w:hAnsi="宋体" w:eastAsia="宋体" w:cs="宋体"/>
          <w:color w:val="auto"/>
          <w:sz w:val="28"/>
          <w:szCs w:val="28"/>
          <w:lang w:val="en-US" w:eastAsia="zh-CN"/>
        </w:rPr>
        <w:t>7 桌面推演</w:t>
      </w:r>
      <w:bookmarkEnd w:id="97"/>
      <w:bookmarkEnd w:id="98"/>
      <w:bookmarkEnd w:id="99"/>
      <w:bookmarkEnd w:id="100"/>
      <w:bookmarkEnd w:id="101"/>
      <w:bookmarkEnd w:id="102"/>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按照</w:t>
      </w:r>
      <w:r>
        <w:rPr>
          <w:rFonts w:hint="eastAsia" w:ascii="宋体" w:hAnsi="宋体" w:eastAsia="宋体" w:cs="宋体"/>
          <w:color w:val="auto"/>
          <w:sz w:val="28"/>
          <w:szCs w:val="28"/>
          <w:lang w:eastAsia="zh-CN"/>
        </w:rPr>
        <w:t>生产安全事故</w:t>
      </w:r>
      <w:r>
        <w:rPr>
          <w:rFonts w:hint="eastAsia" w:ascii="宋体" w:hAnsi="宋体" w:eastAsia="宋体" w:cs="宋体"/>
          <w:color w:val="auto"/>
          <w:sz w:val="28"/>
          <w:szCs w:val="28"/>
        </w:rPr>
        <w:t>应急预案明确的职责分工和应急响应程序，结合有关经验教训，</w:t>
      </w:r>
      <w:r>
        <w:rPr>
          <w:rFonts w:hint="eastAsia" w:ascii="宋体" w:hAnsi="宋体" w:eastAsia="宋体" w:cs="宋体"/>
          <w:color w:val="auto"/>
          <w:sz w:val="28"/>
          <w:szCs w:val="28"/>
          <w:lang w:eastAsia="zh-CN"/>
        </w:rPr>
        <w:t>公司</w:t>
      </w:r>
      <w:r>
        <w:rPr>
          <w:rFonts w:hint="eastAsia" w:ascii="宋体" w:hAnsi="宋体" w:eastAsia="宋体" w:cs="宋体"/>
          <w:color w:val="auto"/>
          <w:sz w:val="28"/>
          <w:szCs w:val="28"/>
        </w:rPr>
        <w:t>相关部门及其人员采取桌面演练的形式，模拟生产安全事故应对过程，逐步分析讨论并形成记录，检验应急预案的可行性，并进一步完善应急预案。</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103" w:name="_Toc20107"/>
      <w:bookmarkStart w:id="104" w:name="_Toc38813302"/>
      <w:bookmarkStart w:id="105" w:name="_Toc11759"/>
      <w:bookmarkStart w:id="106" w:name="_Toc30140"/>
      <w:bookmarkStart w:id="107" w:name="_Toc6596"/>
      <w:bookmarkStart w:id="108" w:name="_Toc23245"/>
      <w:bookmarkStart w:id="109" w:name="_Toc29407"/>
      <w:bookmarkStart w:id="110" w:name="_Toc6948"/>
      <w:r>
        <w:rPr>
          <w:rFonts w:hint="eastAsia" w:ascii="宋体" w:hAnsi="宋体" w:eastAsia="宋体" w:cs="宋体"/>
          <w:color w:val="auto"/>
          <w:sz w:val="28"/>
          <w:szCs w:val="28"/>
          <w:lang w:val="en-US" w:eastAsia="zh-CN"/>
        </w:rPr>
        <w:t>8 应急预案评审</w:t>
      </w:r>
      <w:bookmarkEnd w:id="103"/>
      <w:bookmarkEnd w:id="104"/>
      <w:r>
        <w:rPr>
          <w:rFonts w:hint="eastAsia" w:ascii="宋体" w:hAnsi="宋体" w:eastAsia="宋体" w:cs="宋体"/>
          <w:color w:val="auto"/>
          <w:sz w:val="28"/>
          <w:szCs w:val="28"/>
          <w:lang w:val="en-US" w:eastAsia="zh-CN"/>
        </w:rPr>
        <w:t>及批准实施</w:t>
      </w:r>
      <w:bookmarkEnd w:id="105"/>
      <w:bookmarkEnd w:id="106"/>
      <w:bookmarkEnd w:id="107"/>
      <w:bookmarkEnd w:id="108"/>
      <w:bookmarkEnd w:id="109"/>
      <w:bookmarkEnd w:id="110"/>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生产安全事故</w:t>
      </w:r>
      <w:r>
        <w:rPr>
          <w:rFonts w:hint="eastAsia" w:ascii="宋体" w:hAnsi="宋体" w:eastAsia="宋体" w:cs="宋体"/>
          <w:color w:val="auto"/>
          <w:sz w:val="28"/>
          <w:szCs w:val="28"/>
        </w:rPr>
        <w:t>应急预案编制完成后，我公司组织专</w:t>
      </w:r>
      <w:r>
        <w:rPr>
          <w:rFonts w:hint="eastAsia" w:ascii="宋体" w:hAnsi="宋体" w:eastAsia="宋体" w:cs="宋体"/>
          <w:color w:val="auto"/>
          <w:sz w:val="28"/>
          <w:szCs w:val="28"/>
          <w:lang w:eastAsia="zh-CN"/>
        </w:rPr>
        <w:t>业</w:t>
      </w:r>
      <w:r>
        <w:rPr>
          <w:rFonts w:hint="eastAsia" w:ascii="宋体" w:hAnsi="宋体" w:eastAsia="宋体" w:cs="宋体"/>
          <w:color w:val="auto"/>
          <w:sz w:val="28"/>
          <w:szCs w:val="28"/>
        </w:rPr>
        <w:t>人员对</w:t>
      </w:r>
      <w:r>
        <w:rPr>
          <w:rFonts w:hint="eastAsia" w:ascii="宋体" w:hAnsi="宋体" w:eastAsia="宋体" w:cs="宋体"/>
          <w:color w:val="auto"/>
          <w:sz w:val="28"/>
          <w:szCs w:val="28"/>
          <w:lang w:eastAsia="zh-CN"/>
        </w:rPr>
        <w:t>生产安全事故</w:t>
      </w:r>
      <w:r>
        <w:rPr>
          <w:rFonts w:hint="eastAsia" w:ascii="宋体" w:hAnsi="宋体" w:eastAsia="宋体" w:cs="宋体"/>
          <w:color w:val="auto"/>
          <w:sz w:val="28"/>
          <w:szCs w:val="28"/>
        </w:rPr>
        <w:t>应急救援预案进行评审。应急预案评审合格后，由生产经营单位主要负责人签发实施，并进行备案管理。</w:t>
      </w:r>
    </w:p>
    <w:p>
      <w:pPr>
        <w:pStyle w:val="4"/>
        <w:pageBreakBefore w:val="0"/>
        <w:kinsoku/>
        <w:wordWrap/>
        <w:overflowPunct/>
        <w:topLinePunct w:val="0"/>
        <w:bidi w:val="0"/>
        <w:spacing w:before="0" w:beforeLines="0" w:after="0" w:afterLines="0" w:line="360" w:lineRule="auto"/>
        <w:outlineLvl w:val="9"/>
        <w:rPr>
          <w:rFonts w:hint="eastAsia" w:ascii="宋体" w:hAnsi="宋体" w:eastAsia="宋体" w:cs="宋体"/>
          <w:color w:val="auto"/>
        </w:rPr>
        <w:sectPr>
          <w:pgSz w:w="11906" w:h="16838"/>
          <w:pgMar w:top="1417" w:right="1417" w:bottom="1417" w:left="1417" w:header="851" w:footer="992" w:gutter="0"/>
          <w:pgNumType w:fmt="decimal"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625" w:beforeLines="200" w:after="625" w:afterLines="200" w:line="240" w:lineRule="auto"/>
        <w:jc w:val="center"/>
        <w:textAlignment w:val="auto"/>
        <w:rPr>
          <w:rFonts w:hint="eastAsia" w:ascii="宋体" w:hAnsi="宋体" w:eastAsia="宋体" w:cs="宋体"/>
          <w:color w:val="auto"/>
          <w:sz w:val="36"/>
          <w:szCs w:val="36"/>
        </w:rPr>
      </w:pPr>
      <w:bookmarkStart w:id="111" w:name="_Toc22186"/>
      <w:bookmarkStart w:id="112" w:name="_Toc15656"/>
      <w:bookmarkStart w:id="113" w:name="_Toc18140"/>
      <w:bookmarkStart w:id="114" w:name="_Toc2731"/>
      <w:bookmarkStart w:id="115" w:name="_Toc5914"/>
      <w:r>
        <w:rPr>
          <w:rFonts w:hint="eastAsia" w:ascii="宋体" w:hAnsi="宋体" w:eastAsia="宋体" w:cs="宋体"/>
          <w:color w:val="auto"/>
          <w:sz w:val="36"/>
          <w:szCs w:val="36"/>
        </w:rPr>
        <w:t>第</w:t>
      </w:r>
      <w:r>
        <w:rPr>
          <w:rFonts w:hint="eastAsia" w:ascii="宋体" w:hAnsi="宋体" w:eastAsia="宋体" w:cs="宋体"/>
          <w:color w:val="auto"/>
          <w:sz w:val="36"/>
          <w:szCs w:val="36"/>
          <w:lang w:eastAsia="zh-CN"/>
        </w:rPr>
        <w:t>二</w:t>
      </w:r>
      <w:r>
        <w:rPr>
          <w:rFonts w:hint="eastAsia" w:ascii="宋体" w:hAnsi="宋体" w:eastAsia="宋体" w:cs="宋体"/>
          <w:color w:val="auto"/>
          <w:sz w:val="36"/>
          <w:szCs w:val="36"/>
        </w:rPr>
        <w:t xml:space="preserve">部分 </w:t>
      </w:r>
      <w:r>
        <w:rPr>
          <w:rFonts w:hint="eastAsia" w:ascii="宋体" w:hAnsi="宋体" w:eastAsia="宋体" w:cs="宋体"/>
          <w:color w:val="auto"/>
          <w:sz w:val="36"/>
          <w:szCs w:val="36"/>
          <w:lang w:eastAsia="zh-CN"/>
        </w:rPr>
        <w:t>生产安全事故</w:t>
      </w:r>
      <w:r>
        <w:rPr>
          <w:rFonts w:hint="eastAsia" w:ascii="宋体" w:hAnsi="宋体" w:eastAsia="宋体" w:cs="宋体"/>
          <w:color w:val="auto"/>
          <w:sz w:val="36"/>
          <w:szCs w:val="36"/>
        </w:rPr>
        <w:t>综合应急预案</w:t>
      </w:r>
      <w:bookmarkEnd w:id="111"/>
      <w:bookmarkEnd w:id="112"/>
      <w:bookmarkEnd w:id="113"/>
      <w:bookmarkEnd w:id="114"/>
      <w:bookmarkEnd w:id="115"/>
    </w:p>
    <w:p>
      <w:pPr>
        <w:pStyle w:val="4"/>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jc w:val="left"/>
        <w:textAlignment w:val="auto"/>
        <w:outlineLvl w:val="1"/>
        <w:rPr>
          <w:rFonts w:hint="eastAsia" w:ascii="宋体" w:hAnsi="宋体" w:eastAsia="宋体" w:cs="宋体"/>
          <w:color w:val="auto"/>
          <w:sz w:val="28"/>
          <w:szCs w:val="28"/>
          <w:lang w:val="en-US" w:eastAsia="zh-CN"/>
        </w:rPr>
      </w:pPr>
      <w:bookmarkStart w:id="116" w:name="_Toc30474"/>
      <w:bookmarkStart w:id="117" w:name="_Toc18100"/>
      <w:bookmarkStart w:id="118" w:name="_Toc16979"/>
      <w:bookmarkStart w:id="119" w:name="_Toc14467"/>
      <w:bookmarkStart w:id="120" w:name="_Toc24718"/>
      <w:bookmarkStart w:id="121" w:name="_Toc28971"/>
      <w:r>
        <w:rPr>
          <w:rFonts w:hint="eastAsia" w:ascii="宋体" w:hAnsi="宋体" w:eastAsia="宋体" w:cs="宋体"/>
          <w:color w:val="auto"/>
          <w:sz w:val="28"/>
          <w:szCs w:val="28"/>
          <w:lang w:val="en-US" w:eastAsia="zh-CN"/>
        </w:rPr>
        <w:t>1 总则</w:t>
      </w:r>
      <w:bookmarkEnd w:id="116"/>
      <w:bookmarkEnd w:id="117"/>
      <w:bookmarkEnd w:id="118"/>
      <w:bookmarkEnd w:id="119"/>
      <w:bookmarkEnd w:id="120"/>
      <w:bookmarkEnd w:id="121"/>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22" w:name="_Toc11290"/>
      <w:bookmarkStart w:id="123" w:name="_Toc22985"/>
      <w:bookmarkStart w:id="124" w:name="_Toc25125"/>
      <w:r>
        <w:rPr>
          <w:rFonts w:hint="eastAsia" w:ascii="宋体" w:hAnsi="宋体" w:eastAsia="宋体" w:cs="宋体"/>
          <w:b/>
          <w:bCs/>
          <w:color w:val="auto"/>
          <w:sz w:val="28"/>
          <w:szCs w:val="28"/>
          <w:lang w:val="en-US" w:eastAsia="zh-CN"/>
        </w:rPr>
        <w:t>1.1适用范围</w:t>
      </w:r>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适用的区域范围：本预案适用于我公司范围内生产、办公等区域，包括进入我公司的车辆和人员，发生或可能发生，造成或可能造成重大人身伤害、财产损失的事故。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适用的事故类型：本应急预案适用于本公司发生的火灾、爆炸、容器爆炸、危化品泄漏、中毒窒息、灼烫、冻伤、触电、车辆伤害、机械伤害等突发事故，以及发生生产安全事故时的应急准备、应急响应、救援或事故发生后的紧急恢复全过程。</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25" w:name="_Toc27470"/>
      <w:bookmarkStart w:id="126" w:name="_Toc23432"/>
      <w:r>
        <w:rPr>
          <w:rFonts w:hint="eastAsia" w:ascii="宋体" w:hAnsi="宋体" w:eastAsia="宋体" w:cs="宋体"/>
          <w:b/>
          <w:bCs/>
          <w:color w:val="auto"/>
          <w:sz w:val="28"/>
          <w:szCs w:val="28"/>
          <w:lang w:val="en-US" w:eastAsia="zh-CN"/>
        </w:rPr>
        <w:t>1.2响应分级</w:t>
      </w:r>
      <w:bookmarkEnd w:id="125"/>
      <w:bookmarkEnd w:id="12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根据事故级别将应急响应级别分为车间级响应（Ⅲ级响应）、公司级响应（Ⅱ级响应）和社会级响应（Ⅰ级响应）。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按照各类灾害事故的性质、严重程度、可控性和影响范围等因素，将灾害事故分为三级：</w:t>
      </w: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4"/>
          <w:szCs w:val="24"/>
          <w:u w:val="none" w:color="000000"/>
          <w:lang w:val="en-US" w:eastAsia="zh-CN" w:bidi="ar-SA"/>
        </w:rPr>
      </w:pPr>
      <w:r>
        <w:rPr>
          <w:rFonts w:hint="eastAsia" w:ascii="宋体" w:hAnsi="宋体" w:eastAsia="宋体" w:cs="宋体"/>
          <w:b/>
          <w:bCs/>
          <w:color w:val="auto"/>
          <w:kern w:val="0"/>
          <w:sz w:val="24"/>
          <w:szCs w:val="24"/>
          <w:u w:val="none" w:color="000000"/>
          <w:lang w:val="en-US" w:eastAsia="zh-CN" w:bidi="ar-SA"/>
        </w:rPr>
        <w:t>表1-1 事故响应分级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912"/>
        <w:gridCol w:w="684"/>
        <w:gridCol w:w="2171"/>
        <w:gridCol w:w="743"/>
        <w:gridCol w:w="2219"/>
        <w:gridCol w:w="769"/>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jc w:val="center"/>
        </w:trPr>
        <w:tc>
          <w:tcPr>
            <w:tcW w:w="527"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序号</w:t>
            </w:r>
          </w:p>
        </w:tc>
        <w:tc>
          <w:tcPr>
            <w:tcW w:w="912"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响应级别</w:t>
            </w:r>
          </w:p>
        </w:tc>
        <w:tc>
          <w:tcPr>
            <w:tcW w:w="684"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事故阶段</w:t>
            </w:r>
          </w:p>
        </w:tc>
        <w:tc>
          <w:tcPr>
            <w:tcW w:w="2171"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危害程度</w:t>
            </w:r>
          </w:p>
        </w:tc>
        <w:tc>
          <w:tcPr>
            <w:tcW w:w="743"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影响范围</w:t>
            </w:r>
          </w:p>
        </w:tc>
        <w:tc>
          <w:tcPr>
            <w:tcW w:w="221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控制事态所需能力</w:t>
            </w:r>
          </w:p>
        </w:tc>
        <w:tc>
          <w:tcPr>
            <w:tcW w:w="76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响应人员</w:t>
            </w:r>
          </w:p>
        </w:tc>
        <w:tc>
          <w:tcPr>
            <w:tcW w:w="90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kern w:val="0"/>
                <w:sz w:val="21"/>
                <w:szCs w:val="21"/>
                <w:u w:val="none" w:color="000000"/>
                <w:vertAlign w:val="baseline"/>
                <w:lang w:val="en-US" w:eastAsia="zh-CN" w:bidi="ar-SA"/>
              </w:rPr>
            </w:pPr>
            <w:r>
              <w:rPr>
                <w:rFonts w:hint="eastAsia" w:ascii="宋体" w:hAnsi="宋体" w:eastAsia="宋体" w:cs="宋体"/>
                <w:b/>
                <w:bCs/>
                <w:color w:val="auto"/>
                <w:kern w:val="0"/>
                <w:sz w:val="21"/>
                <w:szCs w:val="21"/>
                <w:u w:val="none" w:color="000000"/>
                <w:vertAlign w:val="baseline"/>
                <w:lang w:val="en-US" w:eastAsia="zh-CN" w:bidi="ar-SA"/>
              </w:rPr>
              <w:t>联动响应预案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527" w:type="dxa"/>
            <w:vMerge w:val="restart"/>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1</w:t>
            </w:r>
          </w:p>
        </w:tc>
        <w:tc>
          <w:tcPr>
            <w:tcW w:w="912" w:type="dxa"/>
            <w:vMerge w:val="restart"/>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车间级响应（Ⅲ级响应）</w:t>
            </w:r>
          </w:p>
        </w:tc>
        <w:tc>
          <w:tcPr>
            <w:tcW w:w="684"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事故征兆阶段</w:t>
            </w:r>
          </w:p>
        </w:tc>
        <w:tc>
          <w:tcPr>
            <w:tcW w:w="2171"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未发生实质性的伤亡或损失，但存在一定的威胁，如不采取有效措施，可能造成事故的发生。</w:t>
            </w:r>
          </w:p>
        </w:tc>
        <w:tc>
          <w:tcPr>
            <w:tcW w:w="743"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现场局部</w:t>
            </w:r>
          </w:p>
        </w:tc>
        <w:tc>
          <w:tcPr>
            <w:tcW w:w="221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出现事故征兆，需要事故区域现场负责人立即组织先期处置以预防事故发生。</w:t>
            </w:r>
          </w:p>
        </w:tc>
        <w:tc>
          <w:tcPr>
            <w:tcW w:w="76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现场在岗人员</w:t>
            </w:r>
          </w:p>
        </w:tc>
        <w:tc>
          <w:tcPr>
            <w:tcW w:w="909" w:type="dxa"/>
            <w:vMerge w:val="restart"/>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27" w:type="dxa"/>
            <w:vMerge w:val="continue"/>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p>
        </w:tc>
        <w:tc>
          <w:tcPr>
            <w:tcW w:w="912" w:type="dxa"/>
            <w:vMerge w:val="continue"/>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p>
        </w:tc>
        <w:tc>
          <w:tcPr>
            <w:tcW w:w="684"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初期阶段</w:t>
            </w:r>
          </w:p>
        </w:tc>
        <w:tc>
          <w:tcPr>
            <w:tcW w:w="2171"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财产损失较小；人员受伤，但无生命危险。</w:t>
            </w:r>
          </w:p>
        </w:tc>
        <w:tc>
          <w:tcPr>
            <w:tcW w:w="743"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现场局部</w:t>
            </w:r>
          </w:p>
        </w:tc>
        <w:tc>
          <w:tcPr>
            <w:tcW w:w="221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事故已发生，但事态较小，形式虽然紧迫但现场人员有能力处置。</w:t>
            </w:r>
          </w:p>
        </w:tc>
        <w:tc>
          <w:tcPr>
            <w:tcW w:w="76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现场在岗人员</w:t>
            </w:r>
          </w:p>
        </w:tc>
        <w:tc>
          <w:tcPr>
            <w:tcW w:w="909" w:type="dxa"/>
            <w:vMerge w:val="continue"/>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527"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2</w:t>
            </w:r>
          </w:p>
        </w:tc>
        <w:tc>
          <w:tcPr>
            <w:tcW w:w="912"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公司级响应（Ⅱ级响应）</w:t>
            </w:r>
          </w:p>
        </w:tc>
        <w:tc>
          <w:tcPr>
            <w:tcW w:w="684"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发展阶段</w:t>
            </w:r>
          </w:p>
        </w:tc>
        <w:tc>
          <w:tcPr>
            <w:tcW w:w="2171"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出现1人死亡；多人被困且有生命危险；财产损失较大。</w:t>
            </w:r>
          </w:p>
        </w:tc>
        <w:tc>
          <w:tcPr>
            <w:tcW w:w="743"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全公司</w:t>
            </w:r>
          </w:p>
        </w:tc>
        <w:tc>
          <w:tcPr>
            <w:tcW w:w="221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现场控制失控，事故开始扩大，事态已超出现场人员能力范围，但还在公司应急救援队伍处置能力范围内。及时请求了外部支援，但指挥权仍在公司。</w:t>
            </w:r>
          </w:p>
        </w:tc>
        <w:tc>
          <w:tcPr>
            <w:tcW w:w="76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公司应急救援队伍</w:t>
            </w:r>
          </w:p>
        </w:tc>
        <w:tc>
          <w:tcPr>
            <w:tcW w:w="90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527" w:type="dxa"/>
            <w:vMerge w:val="restart"/>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3</w:t>
            </w:r>
          </w:p>
        </w:tc>
        <w:tc>
          <w:tcPr>
            <w:tcW w:w="912" w:type="dxa"/>
            <w:vMerge w:val="restart"/>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社会级响应（Ⅰ级响应）</w:t>
            </w:r>
          </w:p>
        </w:tc>
        <w:tc>
          <w:tcPr>
            <w:tcW w:w="684"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失控阶段</w:t>
            </w:r>
          </w:p>
        </w:tc>
        <w:tc>
          <w:tcPr>
            <w:tcW w:w="2171"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出现≥2人死亡；多人生命受到威胁；财产损失完全失控</w:t>
            </w:r>
          </w:p>
        </w:tc>
        <w:tc>
          <w:tcPr>
            <w:tcW w:w="743"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全公司或超出公司范围</w:t>
            </w:r>
          </w:p>
        </w:tc>
        <w:tc>
          <w:tcPr>
            <w:tcW w:w="221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事故已超出公司应急响应队伍处置能力范围，无法控制事态。需外部救援力量支援。公司无指挥权。</w:t>
            </w:r>
          </w:p>
        </w:tc>
        <w:tc>
          <w:tcPr>
            <w:tcW w:w="769" w:type="dxa"/>
            <w:vMerge w:val="restart"/>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社会救援力量为主，公司应急救援队伍协助</w:t>
            </w:r>
          </w:p>
        </w:tc>
        <w:tc>
          <w:tcPr>
            <w:tcW w:w="909" w:type="dxa"/>
            <w:vMerge w:val="restart"/>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综合应急预案和南充市经济技术开发区政府应急预案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527" w:type="dxa"/>
            <w:vMerge w:val="continue"/>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p>
        </w:tc>
        <w:tc>
          <w:tcPr>
            <w:tcW w:w="912" w:type="dxa"/>
            <w:vMerge w:val="continue"/>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p>
        </w:tc>
        <w:tc>
          <w:tcPr>
            <w:tcW w:w="684"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结束与恢复阶段</w:t>
            </w:r>
          </w:p>
        </w:tc>
        <w:tc>
          <w:tcPr>
            <w:tcW w:w="2171"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不适用</w:t>
            </w:r>
          </w:p>
        </w:tc>
        <w:tc>
          <w:tcPr>
            <w:tcW w:w="743"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不适用</w:t>
            </w:r>
          </w:p>
        </w:tc>
        <w:tc>
          <w:tcPr>
            <w:tcW w:w="2219" w:type="dxa"/>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r>
              <w:rPr>
                <w:rFonts w:hint="eastAsia" w:ascii="宋体" w:hAnsi="宋体" w:eastAsia="宋体" w:cs="宋体"/>
                <w:b w:val="0"/>
                <w:bCs w:val="0"/>
                <w:color w:val="auto"/>
                <w:kern w:val="0"/>
                <w:sz w:val="21"/>
                <w:szCs w:val="21"/>
                <w:u w:val="none" w:color="000000"/>
                <w:vertAlign w:val="baseline"/>
                <w:lang w:val="en-US" w:eastAsia="zh-CN" w:bidi="ar-SA"/>
              </w:rPr>
              <w:t>事故基本得到控制，不再有扩大的可能，经过处置或发展，事态已不再紧急</w:t>
            </w:r>
          </w:p>
        </w:tc>
        <w:tc>
          <w:tcPr>
            <w:tcW w:w="769" w:type="dxa"/>
            <w:vMerge w:val="continue"/>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p>
        </w:tc>
        <w:tc>
          <w:tcPr>
            <w:tcW w:w="909" w:type="dxa"/>
            <w:vMerge w:val="continue"/>
            <w:vAlign w:val="center"/>
          </w:tcPr>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kern w:val="0"/>
                <w:sz w:val="21"/>
                <w:szCs w:val="21"/>
                <w:u w:val="none" w:color="000000"/>
                <w:vertAlign w:val="baseline"/>
                <w:lang w:val="en-US" w:eastAsia="zh-CN" w:bidi="ar-SA"/>
              </w:rPr>
            </w:pPr>
          </w:p>
        </w:tc>
      </w:tr>
    </w:tbl>
    <w:p>
      <w:pPr>
        <w:pStyle w:val="4"/>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jc w:val="left"/>
        <w:textAlignment w:val="auto"/>
        <w:outlineLvl w:val="1"/>
        <w:rPr>
          <w:rFonts w:hint="eastAsia" w:ascii="宋体" w:hAnsi="宋体" w:eastAsia="宋体" w:cs="宋体"/>
          <w:color w:val="auto"/>
          <w:sz w:val="28"/>
          <w:szCs w:val="28"/>
          <w:lang w:val="en-US" w:eastAsia="zh-CN"/>
        </w:rPr>
      </w:pPr>
      <w:bookmarkStart w:id="127" w:name="_Toc28665"/>
      <w:bookmarkStart w:id="128" w:name="_Toc22782"/>
      <w:bookmarkStart w:id="129" w:name="_Toc14226"/>
      <w:bookmarkStart w:id="130" w:name="_Toc27574"/>
      <w:bookmarkStart w:id="131" w:name="_Toc11606"/>
      <w:r>
        <w:rPr>
          <w:rFonts w:hint="eastAsia" w:ascii="宋体" w:hAnsi="宋体" w:eastAsia="宋体" w:cs="宋体"/>
          <w:color w:val="auto"/>
          <w:sz w:val="28"/>
          <w:szCs w:val="28"/>
          <w:lang w:val="en-US" w:eastAsia="zh-CN"/>
        </w:rPr>
        <w:t>2 应急组织机构及职责</w:t>
      </w:r>
      <w:bookmarkEnd w:id="127"/>
      <w:bookmarkEnd w:id="128"/>
      <w:bookmarkEnd w:id="129"/>
      <w:bookmarkEnd w:id="130"/>
      <w:bookmarkEnd w:id="131"/>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公司应急组织机构分为</w:t>
      </w:r>
      <w:r>
        <w:rPr>
          <w:rFonts w:hint="eastAsia" w:ascii="宋体" w:hAnsi="宋体" w:eastAsia="宋体" w:cs="宋体"/>
          <w:color w:val="auto"/>
          <w:kern w:val="0"/>
          <w:sz w:val="28"/>
          <w:szCs w:val="20"/>
          <w:u w:val="single" w:color="auto"/>
          <w:lang w:val="en-US" w:eastAsia="zh-CN" w:bidi="ar-SA"/>
        </w:rPr>
        <w:t>现场应急小组</w:t>
      </w:r>
      <w:r>
        <w:rPr>
          <w:rFonts w:hint="eastAsia" w:ascii="宋体" w:hAnsi="宋体" w:eastAsia="宋体" w:cs="宋体"/>
          <w:color w:val="auto"/>
          <w:kern w:val="0"/>
          <w:sz w:val="28"/>
          <w:szCs w:val="20"/>
          <w:u w:val="none" w:color="000000"/>
          <w:lang w:val="en-US" w:eastAsia="zh-CN" w:bidi="ar-SA"/>
        </w:rPr>
        <w:t>和</w:t>
      </w:r>
      <w:r>
        <w:rPr>
          <w:rFonts w:hint="eastAsia" w:ascii="宋体" w:hAnsi="宋体" w:eastAsia="宋体" w:cs="宋体"/>
          <w:color w:val="auto"/>
          <w:kern w:val="0"/>
          <w:sz w:val="28"/>
          <w:szCs w:val="20"/>
          <w:u w:val="single" w:color="auto"/>
          <w:lang w:val="en-US" w:eastAsia="zh-CN" w:bidi="ar-SA"/>
        </w:rPr>
        <w:t>公司应急组织机构</w:t>
      </w:r>
      <w:r>
        <w:rPr>
          <w:rFonts w:hint="eastAsia" w:ascii="宋体" w:hAnsi="宋体" w:eastAsia="宋体" w:cs="宋体"/>
          <w:color w:val="auto"/>
          <w:kern w:val="0"/>
          <w:sz w:val="28"/>
          <w:szCs w:val="20"/>
          <w:u w:val="none" w:color="000000"/>
          <w:lang w:val="en-US" w:eastAsia="zh-CN" w:bidi="ar-SA"/>
        </w:rPr>
        <w:t>两个层级。</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32" w:name="_Toc4749"/>
      <w:r>
        <w:rPr>
          <w:rFonts w:hint="eastAsia" w:ascii="宋体" w:hAnsi="宋体" w:eastAsia="宋体" w:cs="宋体"/>
          <w:b/>
          <w:bCs/>
          <w:color w:val="auto"/>
          <w:sz w:val="28"/>
          <w:szCs w:val="28"/>
          <w:lang w:val="en-US" w:eastAsia="zh-CN"/>
        </w:rPr>
        <w:t>2.1</w:t>
      </w:r>
      <w:bookmarkEnd w:id="132"/>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val="0"/>
          <w:color w:val="auto"/>
          <w:kern w:val="0"/>
          <w:sz w:val="28"/>
          <w:szCs w:val="20"/>
          <w:u w:val="none" w:color="000000"/>
          <w:lang w:val="en-US" w:eastAsia="zh-CN" w:bidi="ar-SA"/>
        </w:rPr>
        <w:t>现场应急小组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事发地成立现场应急小组，由事故区域现场负责人和在岗班组成员组成，现场负责人担任应急小组组长，现场应急小组职责如表1-1所示。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事故发生时，由应急小组组长启动车间级响应（Ⅲ级响应），第一时间介入事故。当现场应急小组无能力控制事态，需扩大应急时，由应急小组组长负责上报并组织现场响应升级工作。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color w:val="auto"/>
          <w:lang w:val="en-US" w:eastAsia="zh-CN"/>
        </w:rPr>
      </w:pPr>
      <w:r>
        <w:rPr>
          <w:rFonts w:hint="eastAsia" w:ascii="宋体" w:hAnsi="宋体" w:eastAsia="宋体" w:cs="宋体"/>
          <w:b/>
          <w:bCs/>
          <w:color w:val="auto"/>
          <w:kern w:val="0"/>
          <w:sz w:val="24"/>
          <w:szCs w:val="24"/>
          <w:u w:val="none" w:color="000000"/>
          <w:lang w:val="en-US" w:eastAsia="zh-CN" w:bidi="ar-SA"/>
        </w:rPr>
        <w:t>表2-1 现场应急小组职责</w:t>
      </w:r>
    </w:p>
    <w:tbl>
      <w:tblPr>
        <w:tblStyle w:val="26"/>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33"/>
        <w:gridCol w:w="6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80" w:type="dxa"/>
            <w:vAlign w:val="center"/>
          </w:tcPr>
          <w:p>
            <w:pPr>
              <w:snapToGrid w:val="0"/>
              <w:spacing w:before="60" w:line="300" w:lineRule="auto"/>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序号</w:t>
            </w:r>
          </w:p>
        </w:tc>
        <w:tc>
          <w:tcPr>
            <w:tcW w:w="1533" w:type="dxa"/>
            <w:vAlign w:val="center"/>
          </w:tcPr>
          <w:p>
            <w:pPr>
              <w:snapToGrid w:val="0"/>
              <w:spacing w:before="60" w:line="300" w:lineRule="auto"/>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职能</w:t>
            </w:r>
          </w:p>
        </w:tc>
        <w:tc>
          <w:tcPr>
            <w:tcW w:w="6445" w:type="dxa"/>
            <w:vAlign w:val="center"/>
          </w:tcPr>
          <w:p>
            <w:pPr>
              <w:snapToGrid w:val="0"/>
              <w:spacing w:before="60" w:line="30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780"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533"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岗位员工</w:t>
            </w:r>
          </w:p>
        </w:tc>
        <w:tc>
          <w:tcPr>
            <w:tcW w:w="6445" w:type="dxa"/>
            <w:vAlign w:val="center"/>
          </w:tcPr>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发现事故，应立即高声呼叫求救或上报通知。</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在确保自身安全的情况下，应立即执行现场应急处置措施。</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报告上级或应急小组组长。</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接受并执行本应急小组的指令。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780"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533"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班组长</w:t>
            </w:r>
          </w:p>
        </w:tc>
        <w:tc>
          <w:tcPr>
            <w:tcW w:w="6445" w:type="dxa"/>
            <w:vAlign w:val="center"/>
          </w:tcPr>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接到员工报告后，应立即到现场进行确认。</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组织本班组员工，按现场应急处置措施执行。</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若事故后果超出本班组控制能力，立即上报应急小组组长。</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接受并执行本应急小组组长的指令。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780"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533"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应急小组组长</w:t>
            </w:r>
          </w:p>
        </w:tc>
        <w:tc>
          <w:tcPr>
            <w:tcW w:w="6445" w:type="dxa"/>
            <w:vAlign w:val="center"/>
          </w:tcPr>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接到报告后，立即组织本应急小组成员。</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负责现场应急指挥，启动现场处置方案。</w:t>
            </w:r>
          </w:p>
          <w:p>
            <w:pPr>
              <w:numPr>
                <w:ilvl w:val="0"/>
                <w:numId w:val="3"/>
              </w:numPr>
              <w:snapToGrid w:val="0"/>
              <w:spacing w:before="60" w:line="300" w:lineRule="auto"/>
              <w:ind w:left="420" w:leftChars="0" w:hanging="42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及时将情况上报应急指挥部，接受并执行应急指挥部的指令。</w:t>
            </w:r>
          </w:p>
        </w:tc>
      </w:tr>
    </w:tbl>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33" w:name="_Toc15238"/>
      <w:r>
        <w:rPr>
          <w:rFonts w:hint="eastAsia" w:ascii="宋体" w:hAnsi="宋体" w:eastAsia="宋体" w:cs="宋体"/>
          <w:b/>
          <w:bCs/>
          <w:color w:val="auto"/>
          <w:sz w:val="28"/>
          <w:szCs w:val="28"/>
          <w:lang w:val="en-US" w:eastAsia="zh-CN"/>
        </w:rPr>
        <w:t>2.2 公司应急组织机构</w:t>
      </w:r>
      <w:bookmarkEnd w:id="13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bookmarkStart w:id="134" w:name="_Toc29305"/>
      <w:bookmarkStart w:id="135" w:name="_Toc626"/>
      <w:bookmarkStart w:id="136" w:name="_Toc7256"/>
      <w:bookmarkStart w:id="137" w:name="_Toc4790"/>
      <w:r>
        <w:rPr>
          <w:rFonts w:hint="eastAsia" w:ascii="宋体" w:hAnsi="宋体" w:eastAsia="宋体" w:cs="宋体"/>
          <w:color w:val="auto"/>
          <w:sz w:val="28"/>
          <w:szCs w:val="28"/>
          <w:lang w:val="en-US" w:eastAsia="zh-CN"/>
        </w:rPr>
        <w:t>在公司总经理领导下，成立埃夫科纳（南充）特种聚合物有限公司应急指挥部，应急指挥部由安委会成员组成；指挥部办公室设在总经理办公室。指挥部下设综合协调组、事故处置救援组、疏散隔离组、后勤保障组共4个应急救援小组。</w:t>
      </w:r>
    </w:p>
    <w:p>
      <w:pPr>
        <w:pageBreakBefore w:val="0"/>
        <w:kinsoku/>
        <w:wordWrap/>
        <w:overflowPunct/>
        <w:topLinePunct w:val="0"/>
        <w:bidi w:val="0"/>
        <w:spacing w:line="360" w:lineRule="auto"/>
        <w:jc w:val="center"/>
        <w:rPr>
          <w:rFonts w:hint="eastAsia" w:ascii="宋体" w:hAnsi="宋体" w:eastAsia="宋体" w:cs="宋体"/>
          <w:color w:val="auto"/>
        </w:rPr>
      </w:pPr>
      <w:r>
        <w:rPr>
          <w:color w:val="auto"/>
        </w:rPr>
        <mc:AlternateContent>
          <mc:Choice Requires="wps">
            <w:drawing>
              <wp:anchor distT="0" distB="0" distL="114300" distR="114300" simplePos="0" relativeHeight="251673600" behindDoc="0" locked="0" layoutInCell="1" allowOverlap="1">
                <wp:simplePos x="0" y="0"/>
                <wp:positionH relativeFrom="column">
                  <wp:posOffset>2063750</wp:posOffset>
                </wp:positionH>
                <wp:positionV relativeFrom="paragraph">
                  <wp:posOffset>1627505</wp:posOffset>
                </wp:positionV>
                <wp:extent cx="433070" cy="1456055"/>
                <wp:effectExtent l="7620" t="7620" r="16510" b="22225"/>
                <wp:wrapNone/>
                <wp:docPr id="11" name="矩形 85"/>
                <wp:cNvGraphicFramePr/>
                <a:graphic xmlns:a="http://schemas.openxmlformats.org/drawingml/2006/main">
                  <a:graphicData uri="http://schemas.microsoft.com/office/word/2010/wordprocessingShape">
                    <wps:wsp>
                      <wps:cNvSpPr/>
                      <wps:spPr>
                        <a:xfrm>
                          <a:off x="0" y="0"/>
                          <a:ext cx="432813" cy="1456055"/>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a:effectLst/>
                      </wps:spPr>
                      <wps:txbx>
                        <w:txbxContent>
                          <w:p>
                            <w:pPr>
                              <w:ind w:left="0" w:leftChars="0" w:firstLine="0" w:firstLineChars="0"/>
                              <w:jc w:val="center"/>
                              <w:rPr>
                                <w:rFonts w:hint="eastAsia" w:ascii="Times New Roman" w:hAnsi="Times New Roman" w:cs="Times New Roman"/>
                                <w:color w:val="auto"/>
                                <w:sz w:val="21"/>
                                <w:szCs w:val="21"/>
                              </w:rPr>
                            </w:pPr>
                            <w:r>
                              <w:rPr>
                                <w:rFonts w:hint="eastAsia" w:cs="Times New Roman"/>
                                <w:color w:val="auto"/>
                                <w:sz w:val="21"/>
                                <w:szCs w:val="21"/>
                                <w:lang w:eastAsia="zh-CN"/>
                              </w:rPr>
                              <w:t>事故处置救援组</w:t>
                            </w:r>
                          </w:p>
                        </w:txbxContent>
                      </wps:txbx>
                      <wps:bodyPr upright="1"/>
                    </wps:wsp>
                  </a:graphicData>
                </a:graphic>
              </wp:anchor>
            </w:drawing>
          </mc:Choice>
          <mc:Fallback>
            <w:pict>
              <v:rect id="矩形 85" o:spid="_x0000_s1026" o:spt="1" style="position:absolute;left:0pt;margin-left:162.5pt;margin-top:128.15pt;height:114.65pt;width:34.1pt;z-index:251673600;mso-width-relative:page;mso-height-relative:page;" fillcolor="#FFFFFF" filled="t" stroked="t" coordsize="21600,21600" o:gfxdata="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ywh2wAAAAsBAAAPAAAAAAAAAAEAIAAA&#10;ACIAAABkcnMvZG93bnJldi54bWxQSwECFAAUAAAACACHTuJA+eV8r0ICAADBBAAADgAAAAAAAAAB&#10;ACAAAAAqAQAAZHJzL2Uyb0RvYy54bWxQSwUGAAAAAAYABgBZAQAA3gUAAAAA&#10;">
                <v:fill type="gradient" on="t" color2="#FFFFFF" angle="90" focus="100%" focussize="0,0">
                  <o:fill type="gradientUnscaled" v:ext="backwardCompatible"/>
                </v:fill>
                <v:stroke weight="1.25pt" color="#000000 [3213]" joinstyle="miter"/>
                <v:imagedata o:title=""/>
                <o:lock v:ext="edit" aspectratio="f"/>
                <v:textbox>
                  <w:txbxContent>
                    <w:p>
                      <w:pPr>
                        <w:ind w:left="0" w:leftChars="0" w:firstLine="0" w:firstLineChars="0"/>
                        <w:jc w:val="center"/>
                        <w:rPr>
                          <w:rFonts w:hint="eastAsia" w:ascii="Times New Roman" w:hAnsi="Times New Roman" w:cs="Times New Roman"/>
                          <w:color w:val="auto"/>
                          <w:sz w:val="21"/>
                          <w:szCs w:val="21"/>
                        </w:rPr>
                      </w:pPr>
                      <w:r>
                        <w:rPr>
                          <w:rFonts w:hint="eastAsia" w:cs="Times New Roman"/>
                          <w:color w:val="auto"/>
                          <w:sz w:val="21"/>
                          <w:szCs w:val="21"/>
                          <w:lang w:eastAsia="zh-CN"/>
                        </w:rPr>
                        <w:t>事故处置救援组</w:t>
                      </w:r>
                    </w:p>
                  </w:txbxContent>
                </v:textbox>
              </v:rect>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2236470</wp:posOffset>
                </wp:positionH>
                <wp:positionV relativeFrom="paragraph">
                  <wp:posOffset>1273175</wp:posOffset>
                </wp:positionV>
                <wp:extent cx="8890" cy="353060"/>
                <wp:effectExtent l="45720" t="0" r="59690" b="8890"/>
                <wp:wrapNone/>
                <wp:docPr id="4" name="直接连接符 91"/>
                <wp:cNvGraphicFramePr/>
                <a:graphic xmlns:a="http://schemas.openxmlformats.org/drawingml/2006/main">
                  <a:graphicData uri="http://schemas.microsoft.com/office/word/2010/wordprocessingShape">
                    <wps:wsp>
                      <wps:cNvCnPr/>
                      <wps:spPr>
                        <a:xfrm>
                          <a:off x="0" y="0"/>
                          <a:ext cx="8562" cy="352853"/>
                        </a:xfrm>
                        <a:prstGeom prst="line">
                          <a:avLst/>
                        </a:prstGeom>
                        <a:ln w="15875" cap="flat" cmpd="sng">
                          <a:solidFill>
                            <a:schemeClr val="tx1"/>
                          </a:solidFill>
                          <a:prstDash val="solid"/>
                          <a:headEnd type="none" w="med" len="med"/>
                          <a:tailEnd type="arrow" w="med" len="med"/>
                        </a:ln>
                        <a:effectLst/>
                      </wps:spPr>
                      <wps:bodyPr upright="1"/>
                    </wps:wsp>
                  </a:graphicData>
                </a:graphic>
              </wp:anchor>
            </w:drawing>
          </mc:Choice>
          <mc:Fallback>
            <w:pict>
              <v:line id="直接连接符 91" o:spid="_x0000_s1026" o:spt="20" style="position:absolute;left:0pt;margin-left:176.1pt;margin-top:100.25pt;height:27.8pt;width:0.7pt;z-index:251672576;mso-width-relative:page;mso-height-relative:page;" filled="f" stroked="t" coordsize="21600,21600" o:gfxdata="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mOdLbAAAACwEAAA8AAAAAAAAAAQAgAAAAIgAAAGRy&#10;cy9kb3ducmV2LnhtbFBLAQIUABQAAAAIAIdO4kDEyPZuAgIAAPcDAAAOAAAAAAAAAAEAIAAAACoB&#10;AABkcnMvZTJvRG9jLnhtbFBLBQYAAAAABgAGAFkBAACeBQAAAAA=&#10;">
                <v:fill on="f" focussize="0,0"/>
                <v:stroke weight="1.25pt" color="#000000 [3213]" joinstyle="round" endarrow="open"/>
                <v:imagedata o:title=""/>
                <o:lock v:ext="edit" aspectratio="f"/>
              </v:line>
            </w:pict>
          </mc:Fallback>
        </mc:AlternateContent>
      </w:r>
      <w:r>
        <w:rPr>
          <w:rFonts w:hint="eastAsia" w:ascii="宋体" w:hAnsi="宋体" w:eastAsia="宋体" w:cs="宋体"/>
          <w:color w:val="auto"/>
        </w:rPr>
        <mc:AlternateContent>
          <mc:Choice Requires="wps">
            <w:drawing>
              <wp:anchor distT="0" distB="0" distL="114300" distR="114300" simplePos="0" relativeHeight="251671552" behindDoc="0" locked="0" layoutInCell="1" allowOverlap="1">
                <wp:simplePos x="0" y="0"/>
                <wp:positionH relativeFrom="column">
                  <wp:posOffset>2916555</wp:posOffset>
                </wp:positionH>
                <wp:positionV relativeFrom="paragraph">
                  <wp:posOffset>1015365</wp:posOffset>
                </wp:positionV>
                <wp:extent cx="548005" cy="1270"/>
                <wp:effectExtent l="0" t="52070" r="4445" b="60960"/>
                <wp:wrapNone/>
                <wp:docPr id="20" name="直接连接符 20"/>
                <wp:cNvGraphicFramePr/>
                <a:graphic xmlns:a="http://schemas.openxmlformats.org/drawingml/2006/main">
                  <a:graphicData uri="http://schemas.microsoft.com/office/word/2010/wordprocessingShape">
                    <wps:wsp>
                      <wps:cNvCnPr/>
                      <wps:spPr>
                        <a:xfrm flipV="1">
                          <a:off x="0" y="0"/>
                          <a:ext cx="548005" cy="1270"/>
                        </a:xfrm>
                        <a:prstGeom prst="line">
                          <a:avLst/>
                        </a:prstGeom>
                        <a:ln w="15875" cap="flat" cmpd="sng">
                          <a:solidFill>
                            <a:schemeClr val="tx1"/>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229.65pt;margin-top:79.95pt;height:0.1pt;width:43.15pt;z-index:251671552;mso-width-relative:page;mso-height-relative:page;" filled="f" stroked="t" coordsize="21600,21600" o:gfxdata="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292P1wAAAAsBAAAPAAAAAAAAAAEAIAAAACIA&#10;AABkcnMvZG93bnJldi54bWxQSwECFAAUAAAACACHTuJAng4qbwoCAAACBAAADgAAAAAAAAABACAA&#10;AAAmAQAAZHJzL2Uyb0RvYy54bWxQSwUGAAAAAAYABgBZAQAAogUAAAAA&#10;">
                <v:fill on="f" focussize="0,0"/>
                <v:stroke weight="1.25pt" color="#000000 [3213]" joinstyle="round" endarrow="open"/>
                <v:imagedata o:title=""/>
                <o:lock v:ext="edit" aspectratio="f"/>
              </v:line>
            </w:pict>
          </mc:Fallback>
        </mc:AlternateContent>
      </w:r>
      <w:r>
        <w:rPr>
          <w:rFonts w:hint="eastAsia" w:ascii="宋体" w:hAnsi="宋体" w:eastAsia="宋体" w:cs="宋体"/>
          <w:color w:val="auto"/>
        </w:rPr>
        <mc:AlternateContent>
          <mc:Choice Requires="wpg">
            <w:drawing>
              <wp:inline distT="0" distB="0" distL="114300" distR="114300">
                <wp:extent cx="4271010" cy="3111500"/>
                <wp:effectExtent l="7620" t="7620" r="26670" b="24130"/>
                <wp:docPr id="5" name="组合 5"/>
                <wp:cNvGraphicFramePr/>
                <a:graphic xmlns:a="http://schemas.openxmlformats.org/drawingml/2006/main">
                  <a:graphicData uri="http://schemas.microsoft.com/office/word/2010/wordprocessingGroup">
                    <wpg:wgp>
                      <wpg:cNvGrpSpPr/>
                      <wpg:grpSpPr>
                        <a:xfrm>
                          <a:off x="0" y="0"/>
                          <a:ext cx="4271190" cy="3111733"/>
                          <a:chOff x="104" y="993"/>
                          <a:chExt cx="5302" cy="5358"/>
                        </a:xfrm>
                        <a:effectLst/>
                      </wpg:grpSpPr>
                      <wps:wsp>
                        <wps:cNvPr id="38" name="矩形 74"/>
                        <wps:cNvSpPr/>
                        <wps:spPr>
                          <a:xfrm>
                            <a:off x="1764" y="993"/>
                            <a:ext cx="2021" cy="540"/>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a:effectLst/>
                        </wps:spPr>
                        <wps:txbx>
                          <w:txbxContent>
                            <w:p>
                              <w:pPr>
                                <w:jc w:val="center"/>
                                <w:rPr>
                                  <w:rFonts w:hint="eastAsia" w:eastAsia="宋体"/>
                                  <w:sz w:val="21"/>
                                  <w:szCs w:val="21"/>
                                  <w:lang w:val="en-US" w:eastAsia="zh-CN"/>
                                </w:rPr>
                              </w:pPr>
                              <w:r>
                                <w:rPr>
                                  <w:rFonts w:hint="eastAsia"/>
                                  <w:sz w:val="21"/>
                                  <w:szCs w:val="21"/>
                                  <w:lang w:eastAsia="zh-CN"/>
                                </w:rPr>
                                <w:t>应急指挥部</w:t>
                              </w:r>
                            </w:p>
                          </w:txbxContent>
                        </wps:txbx>
                        <wps:bodyPr upright="1"/>
                      </wps:wsp>
                      <wps:wsp>
                        <wps:cNvPr id="39" name="直接连接符 75"/>
                        <wps:cNvCnPr>
                          <a:stCxn id="74" idx="2"/>
                        </wps:cNvCnPr>
                        <wps:spPr>
                          <a:xfrm>
                            <a:off x="2774" y="1533"/>
                            <a:ext cx="1" cy="302"/>
                          </a:xfrm>
                          <a:prstGeom prst="line">
                            <a:avLst/>
                          </a:prstGeom>
                          <a:ln w="15875" cap="flat" cmpd="sng">
                            <a:solidFill>
                              <a:schemeClr val="tx1"/>
                            </a:solidFill>
                            <a:prstDash val="solid"/>
                            <a:headEnd type="none" w="med" len="med"/>
                            <a:tailEnd type="arrow" w="med" len="med"/>
                          </a:ln>
                          <a:effectLst/>
                        </wps:spPr>
                        <wps:bodyPr upright="1"/>
                      </wps:wsp>
                      <wps:wsp>
                        <wps:cNvPr id="40" name="矩形 76"/>
                        <wps:cNvSpPr/>
                        <wps:spPr>
                          <a:xfrm>
                            <a:off x="1933" y="1783"/>
                            <a:ext cx="1582" cy="548"/>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a:effectLst/>
                        </wps:spPr>
                        <wps:txbx>
                          <w:txbxContent>
                            <w:p>
                              <w:pPr>
                                <w:jc w:val="center"/>
                                <w:rPr>
                                  <w:rFonts w:hint="eastAsia" w:eastAsia="宋体"/>
                                  <w:color w:val="auto"/>
                                  <w:sz w:val="21"/>
                                  <w:szCs w:val="21"/>
                                  <w:lang w:eastAsia="zh-CN"/>
                                </w:rPr>
                              </w:pPr>
                              <w:r>
                                <w:rPr>
                                  <w:rFonts w:hint="eastAsia"/>
                                  <w:color w:val="auto"/>
                                  <w:sz w:val="21"/>
                                  <w:szCs w:val="21"/>
                                  <w:lang w:eastAsia="zh-CN"/>
                                </w:rPr>
                                <w:t>应急总指挥</w:t>
                              </w:r>
                            </w:p>
                          </w:txbxContent>
                        </wps:txbx>
                        <wps:bodyPr upright="1"/>
                      </wps:wsp>
                      <wps:wsp>
                        <wps:cNvPr id="41" name="直接连接符 79"/>
                        <wps:cNvCnPr/>
                        <wps:spPr>
                          <a:xfrm flipH="1">
                            <a:off x="2806" y="2335"/>
                            <a:ext cx="4" cy="804"/>
                          </a:xfrm>
                          <a:prstGeom prst="line">
                            <a:avLst/>
                          </a:prstGeom>
                          <a:ln w="15875" cap="flat" cmpd="sng">
                            <a:solidFill>
                              <a:schemeClr val="tx1"/>
                            </a:solidFill>
                            <a:prstDash val="solid"/>
                            <a:headEnd type="none" w="med" len="med"/>
                            <a:tailEnd type="arrow" w="med" len="med"/>
                          </a:ln>
                          <a:effectLst/>
                        </wps:spPr>
                        <wps:bodyPr upright="1"/>
                      </wps:wsp>
                      <wps:wsp>
                        <wps:cNvPr id="42" name="直接连接符 80"/>
                        <wps:cNvCnPr/>
                        <wps:spPr>
                          <a:xfrm>
                            <a:off x="369" y="3129"/>
                            <a:ext cx="4822" cy="7"/>
                          </a:xfrm>
                          <a:prstGeom prst="line">
                            <a:avLst/>
                          </a:prstGeom>
                          <a:ln w="15875" cap="flat" cmpd="sng">
                            <a:solidFill>
                              <a:schemeClr val="tx1"/>
                            </a:solidFill>
                            <a:prstDash val="solid"/>
                            <a:headEnd type="none" w="med" len="med"/>
                            <a:tailEnd type="none" w="med" len="med"/>
                          </a:ln>
                          <a:effectLst/>
                        </wps:spPr>
                        <wps:bodyPr upright="1"/>
                      </wps:wsp>
                      <wps:wsp>
                        <wps:cNvPr id="43" name="直接连接符 81"/>
                        <wps:cNvCnPr/>
                        <wps:spPr>
                          <a:xfrm>
                            <a:off x="3657" y="3161"/>
                            <a:ext cx="2" cy="665"/>
                          </a:xfrm>
                          <a:prstGeom prst="line">
                            <a:avLst/>
                          </a:prstGeom>
                          <a:ln w="15875" cap="flat" cmpd="sng">
                            <a:solidFill>
                              <a:schemeClr val="tx1"/>
                            </a:solidFill>
                            <a:prstDash val="solid"/>
                            <a:headEnd type="none" w="med" len="med"/>
                            <a:tailEnd type="arrow" w="med" len="med"/>
                          </a:ln>
                          <a:effectLst/>
                        </wps:spPr>
                        <wps:bodyPr upright="1"/>
                      </wps:wsp>
                      <wps:wsp>
                        <wps:cNvPr id="44" name="矩形 82"/>
                        <wps:cNvSpPr/>
                        <wps:spPr>
                          <a:xfrm>
                            <a:off x="3359" y="3743"/>
                            <a:ext cx="541" cy="2574"/>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a:effectLst/>
                        </wps:spPr>
                        <wps:txbx>
                          <w:txbxContent>
                            <w:p>
                              <w:pPr>
                                <w:ind w:left="0" w:leftChars="0" w:firstLine="0" w:firstLineChars="0"/>
                                <w:jc w:val="center"/>
                                <w:rPr>
                                  <w:rFonts w:hint="eastAsia"/>
                                  <w:sz w:val="21"/>
                                  <w:szCs w:val="21"/>
                                </w:rPr>
                              </w:pPr>
                              <w:r>
                                <w:rPr>
                                  <w:rFonts w:hint="eastAsia"/>
                                  <w:sz w:val="21"/>
                                  <w:szCs w:val="21"/>
                                  <w:lang w:eastAsia="zh-CN"/>
                                </w:rPr>
                                <w:t>疏散隔离</w:t>
                              </w:r>
                              <w:r>
                                <w:rPr>
                                  <w:rFonts w:hint="eastAsia"/>
                                  <w:sz w:val="21"/>
                                  <w:szCs w:val="21"/>
                                </w:rPr>
                                <w:t>组</w:t>
                              </w:r>
                            </w:p>
                          </w:txbxContent>
                        </wps:txbx>
                        <wps:bodyPr upright="1"/>
                      </wps:wsp>
                      <wps:wsp>
                        <wps:cNvPr id="45" name="矩形 83"/>
                        <wps:cNvSpPr/>
                        <wps:spPr>
                          <a:xfrm>
                            <a:off x="104" y="3701"/>
                            <a:ext cx="560" cy="2650"/>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a:effectLst/>
                        </wps:spPr>
                        <wps:txbx>
                          <w:txbxContent>
                            <w:p>
                              <w:pPr>
                                <w:ind w:left="0" w:leftChars="0"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综合协调组</w:t>
                              </w:r>
                            </w:p>
                          </w:txbxContent>
                        </wps:txbx>
                        <wps:bodyPr upright="1"/>
                      </wps:wsp>
                      <wps:wsp>
                        <wps:cNvPr id="47" name="矩形 87"/>
                        <wps:cNvSpPr/>
                        <wps:spPr>
                          <a:xfrm>
                            <a:off x="4864" y="3802"/>
                            <a:ext cx="542" cy="2543"/>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a:effectLst/>
                        </wps:spPr>
                        <wps:txbx>
                          <w:txbxContent>
                            <w:p>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后勤保障组</w:t>
                              </w:r>
                            </w:p>
                          </w:txbxContent>
                        </wps:txbx>
                        <wps:bodyPr upright="1"/>
                      </wps:wsp>
                      <wps:wsp>
                        <wps:cNvPr id="49" name="直接连接符 89"/>
                        <wps:cNvCnPr/>
                        <wps:spPr>
                          <a:xfrm>
                            <a:off x="388" y="3105"/>
                            <a:ext cx="7" cy="652"/>
                          </a:xfrm>
                          <a:prstGeom prst="line">
                            <a:avLst/>
                          </a:prstGeom>
                          <a:ln w="15875" cap="flat" cmpd="sng">
                            <a:solidFill>
                              <a:schemeClr val="tx1"/>
                            </a:solidFill>
                            <a:prstDash val="solid"/>
                            <a:headEnd type="none" w="med" len="med"/>
                            <a:tailEnd type="arrow" w="med" len="med"/>
                          </a:ln>
                          <a:effectLst/>
                        </wps:spPr>
                        <wps:bodyPr upright="1"/>
                      </wps:wsp>
                      <wps:wsp>
                        <wps:cNvPr id="52" name="直接连接符 93"/>
                        <wps:cNvCnPr/>
                        <wps:spPr>
                          <a:xfrm>
                            <a:off x="5203" y="3140"/>
                            <a:ext cx="7" cy="683"/>
                          </a:xfrm>
                          <a:prstGeom prst="line">
                            <a:avLst/>
                          </a:prstGeom>
                          <a:ln w="15875" cap="flat" cmpd="sng">
                            <a:solidFill>
                              <a:schemeClr val="tx1"/>
                            </a:solidFill>
                            <a:prstDash val="solid"/>
                            <a:headEnd type="none" w="med" len="med"/>
                            <a:tailEnd type="arrow" w="med" len="med"/>
                          </a:ln>
                          <a:effectLst/>
                        </wps:spPr>
                        <wps:bodyPr upright="1"/>
                      </wps:wsp>
                    </wpg:wgp>
                  </a:graphicData>
                </a:graphic>
              </wp:inline>
            </w:drawing>
          </mc:Choice>
          <mc:Fallback>
            <w:pict>
              <v:group id="_x0000_s1026" o:spid="_x0000_s1026" o:spt="203" style="height:245pt;width:336.3pt;" coordorigin="104,993" coordsize="5302,5358" o:gfxdata="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Or/a1NcAAAAFAQAADwAAAAAAAAABACAAAAAi&#10;AAAAZHJzL2Rvd25yZXYueG1sUEsBAhQAFAAAAAgAh07iQCTi0FO3BAAAUx4AAA4AAAAAAAAAAQAg&#10;AAAAJgEAAGRycy9lMm9Eb2MueG1sUEsFBgAAAAAGAAYAWQEAAE8IAAAAAA==&#10;">
                <o:lock v:ext="edit" aspectratio="f"/>
                <v:rect id="矩形 74" o:spid="_x0000_s1026" o:spt="1" style="position:absolute;left:1764;top:993;height:540;width:2021;" fillcolor="#FFFFFF" filled="t" stroked="t" coordsize="21600,21600" o:gfxdata="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2p7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3213]" joinstyle="miter"/>
                  <v:imagedata o:title=""/>
                  <o:lock v:ext="edit" aspectratio="f"/>
                  <v:textbox>
                    <w:txbxContent>
                      <w:p>
                        <w:pPr>
                          <w:jc w:val="center"/>
                          <w:rPr>
                            <w:rFonts w:hint="eastAsia" w:eastAsia="宋体"/>
                            <w:sz w:val="21"/>
                            <w:szCs w:val="21"/>
                            <w:lang w:val="en-US" w:eastAsia="zh-CN"/>
                          </w:rPr>
                        </w:pPr>
                        <w:r>
                          <w:rPr>
                            <w:rFonts w:hint="eastAsia"/>
                            <w:sz w:val="21"/>
                            <w:szCs w:val="21"/>
                            <w:lang w:eastAsia="zh-CN"/>
                          </w:rPr>
                          <w:t>应急指挥部</w:t>
                        </w:r>
                      </w:p>
                    </w:txbxContent>
                  </v:textbox>
                </v:rect>
                <v:line id="直接连接符 75" o:spid="_x0000_s1026" o:spt="20" style="position:absolute;left:2774;top:1533;height:302;width:1;" filled="f" stroked="t" coordsize="21600,21600" o:gfxdata="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z8fm/&#10;AAAA2wAAAA8AAAAAAAAAAQAgAAAAIgAAAGRycy9kb3ducmV2LnhtbFBLAQIUABQAAAAIAIdO4kAz&#10;LwWeOwAAADkAAAAQAAAAAAAAAAEAIAAAAA4BAABkcnMvc2hhcGV4bWwueG1sUEsFBgAAAAAGAAYA&#10;WwEAALgDAAAAAA==&#10;">
                  <v:fill on="f" focussize="0,0"/>
                  <v:stroke weight="1.25pt" color="#000000 [3213]" joinstyle="round" endarrow="open"/>
                  <v:imagedata o:title=""/>
                  <o:lock v:ext="edit" aspectratio="f"/>
                </v:line>
                <v:rect id="矩形 76" o:spid="_x0000_s1026" o:spt="1" style="position:absolute;left:1933;top:1783;height:548;width:1582;" fillcolor="#FFFFFF" filled="t" stroked="t" coordsize="21600,21600" o:gfxdata="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JJ3L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3213]" joinstyle="miter"/>
                  <v:imagedata o:title=""/>
                  <o:lock v:ext="edit" aspectratio="f"/>
                  <v:textbox>
                    <w:txbxContent>
                      <w:p>
                        <w:pPr>
                          <w:jc w:val="center"/>
                          <w:rPr>
                            <w:rFonts w:hint="eastAsia" w:eastAsia="宋体"/>
                            <w:color w:val="auto"/>
                            <w:sz w:val="21"/>
                            <w:szCs w:val="21"/>
                            <w:lang w:eastAsia="zh-CN"/>
                          </w:rPr>
                        </w:pPr>
                        <w:r>
                          <w:rPr>
                            <w:rFonts w:hint="eastAsia"/>
                            <w:color w:val="auto"/>
                            <w:sz w:val="21"/>
                            <w:szCs w:val="21"/>
                            <w:lang w:eastAsia="zh-CN"/>
                          </w:rPr>
                          <w:t>应急总指挥</w:t>
                        </w:r>
                      </w:p>
                    </w:txbxContent>
                  </v:textbox>
                </v:rect>
                <v:line id="直接连接符 79" o:spid="_x0000_s1026" o:spt="20" style="position:absolute;left:2806;top:2335;flip:x;height:804;width:4;" filled="f" stroked="t" coordsize="21600,21600" o:gfxdata="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Nc6W8AAAA&#10;2wAAAA8AAAAAAAAAAQAgAAAAIgAAAGRycy9kb3ducmV2LnhtbFBLAQIUABQAAAAIAIdO4kAzLwWe&#10;OwAAADkAAAAQAAAAAAAAAAEAIAAAAAsBAABkcnMvc2hhcGV4bWwueG1sUEsFBgAAAAAGAAYAWwEA&#10;ALUDAAAAAA==&#10;">
                  <v:fill on="f" focussize="0,0"/>
                  <v:stroke weight="1.25pt" color="#000000 [3213]" joinstyle="round" endarrow="open"/>
                  <v:imagedata o:title=""/>
                  <o:lock v:ext="edit" aspectratio="f"/>
                </v:line>
                <v:line id="直接连接符 80" o:spid="_x0000_s1026" o:spt="20" style="position:absolute;left:369;top:3129;height:7;width:4822;" filled="f" stroked="t" coordsize="21600,21600" o:gfxdata="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i7lO5AAAA2wAA&#10;AA8AAAAAAAAAAQAgAAAAIgAAAGRycy9kb3ducmV2LnhtbFBLAQIUABQAAAAIAIdO4kAzLwWeOwAA&#10;ADkAAAAQAAAAAAAAAAEAIAAAAAgBAABkcnMvc2hhcGV4bWwueG1sUEsFBgAAAAAGAAYAWwEAALID&#10;AAAAAA==&#10;">
                  <v:fill on="f" focussize="0,0"/>
                  <v:stroke weight="1.25pt" color="#000000 [3213]" joinstyle="round"/>
                  <v:imagedata o:title=""/>
                  <o:lock v:ext="edit" aspectratio="f"/>
                </v:line>
                <v:line id="直接连接符 81" o:spid="_x0000_s1026" o:spt="20" style="position:absolute;left:3657;top:3161;height:665;width:2;" filled="f" stroked="t" coordsize="21600,21600" o:gfxdata="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dtW6/&#10;AAAA2wAAAA8AAAAAAAAAAQAgAAAAIgAAAGRycy9kb3ducmV2LnhtbFBLAQIUABQAAAAIAIdO4kAz&#10;LwWeOwAAADkAAAAQAAAAAAAAAAEAIAAAAA4BAABkcnMvc2hhcGV4bWwueG1sUEsFBgAAAAAGAAYA&#10;WwEAALgDAAAAAA==&#10;">
                  <v:fill on="f" focussize="0,0"/>
                  <v:stroke weight="1.25pt" color="#000000 [3213]" joinstyle="round" endarrow="open"/>
                  <v:imagedata o:title=""/>
                  <o:lock v:ext="edit" aspectratio="f"/>
                </v:line>
                <v:rect id="矩形 82" o:spid="_x0000_s1026" o:spt="1" style="position:absolute;left:3359;top:3743;height:2574;width:541;" fillcolor="#FFFFFF" filled="t" stroked="t" coordsize="21600,21600" o:gfxdata="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lP374A&#10;AADb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1.25pt" color="#000000 [3213]" joinstyle="miter"/>
                  <v:imagedata o:title=""/>
                  <o:lock v:ext="edit" aspectratio="f"/>
                  <v:textbox>
                    <w:txbxContent>
                      <w:p>
                        <w:pPr>
                          <w:ind w:left="0" w:leftChars="0" w:firstLine="0" w:firstLineChars="0"/>
                          <w:jc w:val="center"/>
                          <w:rPr>
                            <w:rFonts w:hint="eastAsia"/>
                            <w:sz w:val="21"/>
                            <w:szCs w:val="21"/>
                          </w:rPr>
                        </w:pPr>
                        <w:r>
                          <w:rPr>
                            <w:rFonts w:hint="eastAsia"/>
                            <w:sz w:val="21"/>
                            <w:szCs w:val="21"/>
                            <w:lang w:eastAsia="zh-CN"/>
                          </w:rPr>
                          <w:t>疏散隔离</w:t>
                        </w:r>
                        <w:r>
                          <w:rPr>
                            <w:rFonts w:hint="eastAsia"/>
                            <w:sz w:val="21"/>
                            <w:szCs w:val="21"/>
                          </w:rPr>
                          <w:t>组</w:t>
                        </w:r>
                      </w:p>
                    </w:txbxContent>
                  </v:textbox>
                </v:rect>
                <v:rect id="矩形 83" o:spid="_x0000_s1026" o:spt="1" style="position:absolute;left:104;top:3701;height:2650;width:560;" fillcolor="#FFFFFF" filled="t" stroked="t" coordsize="21600,21600" o:gfxdata="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pE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3213]" joinstyle="miter"/>
                  <v:imagedata o:title=""/>
                  <o:lock v:ext="edit" aspectratio="f"/>
                  <v:textbox>
                    <w:txbxContent>
                      <w:p>
                        <w:pPr>
                          <w:ind w:left="0" w:leftChars="0"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综合协调组</w:t>
                        </w:r>
                      </w:p>
                    </w:txbxContent>
                  </v:textbox>
                </v:rect>
                <v:rect id="矩形 87" o:spid="_x0000_s1026" o:spt="1" style="position:absolute;left:4864;top:3802;height:2543;width:542;" fillcolor="#FFFFFF" filled="t" stroked="t" coordsize="21600,21600" o:gfxdata="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9Go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3213]" joinstyle="miter"/>
                  <v:imagedata o:title=""/>
                  <o:lock v:ext="edit" aspectratio="f"/>
                  <v:textbox>
                    <w:txbxContent>
                      <w:p>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后勤保障组</w:t>
                        </w:r>
                      </w:p>
                    </w:txbxContent>
                  </v:textbox>
                </v:rect>
                <v:line id="直接连接符 89" o:spid="_x0000_s1026" o:spt="20" style="position:absolute;left:388;top:3105;height:652;width:7;" filled="f" stroked="t" coordsize="21600,21600" o:gfxdata="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WChL4A&#10;AADbAAAADwAAAAAAAAABACAAAAAiAAAAZHJzL2Rvd25yZXYueG1sUEsBAhQAFAAAAAgAh07iQDMv&#10;BZ47AAAAOQAAABAAAAAAAAAAAQAgAAAADQEAAGRycy9zaGFwZXhtbC54bWxQSwUGAAAAAAYABgBb&#10;AQAAtwMAAAAA&#10;">
                  <v:fill on="f" focussize="0,0"/>
                  <v:stroke weight="1.25pt" color="#000000 [3213]" joinstyle="round" endarrow="open"/>
                  <v:imagedata o:title=""/>
                  <o:lock v:ext="edit" aspectratio="f"/>
                </v:line>
                <v:line id="直接连接符 93" o:spid="_x0000_s1026" o:spt="20" style="position:absolute;left:5203;top:3140;height:683;width:7;" filled="f" stroked="t" coordsize="21600,21600" o:gfxdata="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Ihii/&#10;AAAA2wAAAA8AAAAAAAAAAQAgAAAAIgAAAGRycy9kb3ducmV2LnhtbFBLAQIUABQAAAAIAIdO4kAz&#10;LwWeOwAAADkAAAAQAAAAAAAAAAEAIAAAAA4BAABkcnMvc2hhcGV4bWwueG1sUEsFBgAAAAAGAAYA&#10;WwEAALgDAAAAAA==&#10;">
                  <v:fill on="f" focussize="0,0"/>
                  <v:stroke weight="1.25pt" color="#000000 [3213]" joinstyle="round" endarrow="open"/>
                  <v:imagedata o:title=""/>
                  <o:lock v:ext="edit" aspectratio="f"/>
                </v:line>
                <w10:wrap type="none"/>
                <w10:anchorlock/>
              </v:group>
            </w:pict>
          </mc:Fallback>
        </mc:AlternateContent>
      </w:r>
      <w:r>
        <w:rPr>
          <w:rFonts w:hint="eastAsia" w:ascii="宋体" w:hAnsi="宋体" w:eastAsia="宋体" w:cs="宋体"/>
          <w:color w:val="auto"/>
        </w:rPr>
        <mc:AlternateContent>
          <mc:Choice Requires="wps">
            <w:drawing>
              <wp:anchor distT="0" distB="0" distL="114300" distR="114300" simplePos="0" relativeHeight="251670528" behindDoc="0" locked="0" layoutInCell="1" allowOverlap="1">
                <wp:simplePos x="0" y="0"/>
                <wp:positionH relativeFrom="column">
                  <wp:posOffset>3441700</wp:posOffset>
                </wp:positionH>
                <wp:positionV relativeFrom="paragraph">
                  <wp:posOffset>856615</wp:posOffset>
                </wp:positionV>
                <wp:extent cx="1114425" cy="274320"/>
                <wp:effectExtent l="7620" t="7620" r="20955" b="22860"/>
                <wp:wrapNone/>
                <wp:docPr id="19" name="矩形 19"/>
                <wp:cNvGraphicFramePr/>
                <a:graphic xmlns:a="http://schemas.openxmlformats.org/drawingml/2006/main">
                  <a:graphicData uri="http://schemas.microsoft.com/office/word/2010/wordprocessingShape">
                    <wps:wsp>
                      <wps:cNvSpPr/>
                      <wps:spPr>
                        <a:xfrm>
                          <a:off x="0" y="0"/>
                          <a:ext cx="1114425" cy="274062"/>
                        </a:xfrm>
                        <a:prstGeom prst="rect">
                          <a:avLst/>
                        </a:prstGeom>
                        <a:gradFill rotWithShape="0">
                          <a:gsLst>
                            <a:gs pos="0">
                              <a:srgbClr val="FFFFFF"/>
                            </a:gs>
                            <a:gs pos="100000">
                              <a:srgbClr val="FFFFFF"/>
                            </a:gs>
                          </a:gsLst>
                          <a:lin ang="0"/>
                          <a:tileRect/>
                        </a:gradFill>
                        <a:ln w="15875" cap="flat" cmpd="sng">
                          <a:solidFill>
                            <a:schemeClr val="tx1"/>
                          </a:solidFill>
                          <a:prstDash val="solid"/>
                          <a:miter/>
                          <a:headEnd type="none" w="med" len="med"/>
                          <a:tailEnd type="none" w="med" len="med"/>
                        </a:ln>
                        <a:effectLst/>
                      </wps:spPr>
                      <wps:txbx>
                        <w:txbxContent>
                          <w:p>
                            <w:pPr>
                              <w:jc w:val="center"/>
                              <w:rPr>
                                <w:rFonts w:hint="eastAsia" w:eastAsia="宋体"/>
                                <w:color w:val="auto"/>
                                <w:sz w:val="21"/>
                                <w:szCs w:val="21"/>
                                <w:lang w:eastAsia="zh-CN"/>
                              </w:rPr>
                            </w:pPr>
                            <w:r>
                              <w:rPr>
                                <w:rFonts w:hint="eastAsia"/>
                                <w:color w:val="auto"/>
                                <w:sz w:val="21"/>
                                <w:szCs w:val="21"/>
                                <w:lang w:eastAsia="zh-CN"/>
                              </w:rPr>
                              <w:t>现场应急指挥</w:t>
                            </w:r>
                          </w:p>
                        </w:txbxContent>
                      </wps:txbx>
                      <wps:bodyPr upright="1"/>
                    </wps:wsp>
                  </a:graphicData>
                </a:graphic>
              </wp:anchor>
            </w:drawing>
          </mc:Choice>
          <mc:Fallback>
            <w:pict>
              <v:rect id="_x0000_s1026" o:spid="_x0000_s1026" o:spt="1" style="position:absolute;left:0pt;margin-left:271pt;margin-top:67.45pt;height:21.6pt;width:87.75pt;z-index:251670528;mso-width-relative:page;mso-height-relative:page;" fillcolor="#FFFFFF" filled="t" stroked="t" coordsize="21600,21600" o:gfxdata="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6N1x9oAAAALAQAADwAAAAAAAAABACAAAAAi&#10;AAAAZHJzL2Rvd25yZXYueG1sUEsBAhQAFAAAAAgAh07iQNjJlThBAgAAwQQAAA4AAAAAAAAAAQAg&#10;AAAAKQEAAGRycy9lMm9Eb2MueG1sUEsFBgAAAAAGAAYAWQEAANwFAAAAAA==&#10;">
                <v:fill type="gradient" on="t" color2="#FFFFFF" angle="90" focus="100%" focussize="0,0">
                  <o:fill type="gradientUnscaled" v:ext="backwardCompatible"/>
                </v:fill>
                <v:stroke weight="1.25pt" color="#000000 [3213]" joinstyle="miter"/>
                <v:imagedata o:title=""/>
                <o:lock v:ext="edit" aspectratio="f"/>
                <v:textbox>
                  <w:txbxContent>
                    <w:p>
                      <w:pPr>
                        <w:jc w:val="center"/>
                        <w:rPr>
                          <w:rFonts w:hint="eastAsia" w:eastAsia="宋体"/>
                          <w:color w:val="auto"/>
                          <w:sz w:val="21"/>
                          <w:szCs w:val="21"/>
                          <w:lang w:eastAsia="zh-CN"/>
                        </w:rPr>
                      </w:pPr>
                      <w:r>
                        <w:rPr>
                          <w:rFonts w:hint="eastAsia"/>
                          <w:color w:val="auto"/>
                          <w:sz w:val="21"/>
                          <w:szCs w:val="21"/>
                          <w:lang w:eastAsia="zh-CN"/>
                        </w:rPr>
                        <w:t>现场应急指挥</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auto"/>
          <w:kern w:val="0"/>
          <w:sz w:val="24"/>
          <w:szCs w:val="24"/>
          <w:u w:val="none" w:color="000000"/>
          <w:lang w:val="en-US" w:eastAsia="zh-CN" w:bidi="ar-SA"/>
        </w:rPr>
      </w:pPr>
      <w:r>
        <w:rPr>
          <w:rFonts w:hint="eastAsia" w:ascii="宋体" w:hAnsi="宋体" w:eastAsia="宋体" w:cs="宋体"/>
          <w:b/>
          <w:bCs/>
          <w:color w:val="auto"/>
          <w:kern w:val="0"/>
          <w:sz w:val="24"/>
          <w:szCs w:val="24"/>
          <w:u w:val="none" w:color="000000"/>
          <w:lang w:val="en-US" w:eastAsia="zh-CN" w:bidi="ar-SA"/>
        </w:rPr>
        <w:t>图1-1 应急组织机构图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公司总经理担任总指挥，营运副总经理担任副指挥，当总指挥不在时由副指挥行使总指挥职责，当总指挥和副指挥都不在时，由现场负责人担任现场指挥工作。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现场负责人启动现场处置方案后，担任现场指挥。有权在遇到险情时，进行力所能及的后期处理后，组织停产撤人。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应急指挥部及各救援小组成员如表2-2所示。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auto"/>
          <w:kern w:val="0"/>
          <w:sz w:val="24"/>
          <w:szCs w:val="24"/>
          <w:u w:val="none" w:color="000000"/>
          <w:lang w:val="en-US" w:eastAsia="zh-CN" w:bidi="ar-SA"/>
        </w:rPr>
      </w:pPr>
      <w:r>
        <w:rPr>
          <w:rFonts w:hint="eastAsia" w:ascii="宋体" w:hAnsi="宋体" w:eastAsia="宋体" w:cs="宋体"/>
          <w:b/>
          <w:bCs/>
          <w:color w:val="auto"/>
          <w:kern w:val="0"/>
          <w:sz w:val="24"/>
          <w:szCs w:val="24"/>
          <w:u w:val="none" w:color="000000"/>
          <w:lang w:val="en-US" w:eastAsia="zh-CN" w:bidi="ar-SA"/>
        </w:rPr>
        <w:t>表2-2 各应急救援小组联系方式</w:t>
      </w:r>
    </w:p>
    <w:tbl>
      <w:tblPr>
        <w:tblStyle w:val="25"/>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4"/>
        <w:gridCol w:w="1441"/>
        <w:gridCol w:w="1833"/>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指挥部组成</w:t>
            </w:r>
          </w:p>
        </w:tc>
        <w:tc>
          <w:tcPr>
            <w:tcW w:w="1441"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姓  名</w:t>
            </w:r>
          </w:p>
        </w:tc>
        <w:tc>
          <w:tcPr>
            <w:tcW w:w="1833"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联系方式</w:t>
            </w:r>
          </w:p>
        </w:tc>
        <w:tc>
          <w:tcPr>
            <w:tcW w:w="2751"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公司职务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总指挥</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廖  辽</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13825068608</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副总指挥</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李小华</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13983601259</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营运副总经理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胡  德</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18512306069</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人事行政副总经理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廖钒屹</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15823212350</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总经理助理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严  伟</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15996528627</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孙迎春</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13882232577</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安全环保部经理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周  文</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15267289305</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工艺设备部经理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朱月志</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13996067482</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电气设备工程师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顾泽锋</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13606281561</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技术部经理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综合协调组长</w:t>
            </w:r>
          </w:p>
        </w:tc>
        <w:tc>
          <w:tcPr>
            <w:tcW w:w="1441"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胡  德</w:t>
            </w:r>
          </w:p>
        </w:tc>
        <w:tc>
          <w:tcPr>
            <w:tcW w:w="1833"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18512306069</w:t>
            </w:r>
          </w:p>
        </w:tc>
        <w:tc>
          <w:tcPr>
            <w:tcW w:w="2751"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人事行政副总经理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孙迎春</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13882232577</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安全环保部经理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周  文</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15267289305</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工艺设备部经理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邹家刚</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18980300259</w:t>
            </w:r>
          </w:p>
        </w:tc>
        <w:tc>
          <w:tcPr>
            <w:tcW w:w="275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建构筑物管理工程师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王  华</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15882648707</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物流经理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事故处置救援组长</w:t>
            </w:r>
          </w:p>
        </w:tc>
        <w:tc>
          <w:tcPr>
            <w:tcW w:w="1441"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严  伟</w:t>
            </w:r>
          </w:p>
        </w:tc>
        <w:tc>
          <w:tcPr>
            <w:tcW w:w="1833"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15996528627</w:t>
            </w:r>
          </w:p>
        </w:tc>
        <w:tc>
          <w:tcPr>
            <w:tcW w:w="2751"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李  茂</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13962737523</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生产部车间主管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余卫东</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18068132361</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孙同林</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15896251657</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陆山成</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13813762922</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阮小宇</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13390970010</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陈  晗</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17780040152</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机修电工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何  良</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18040440039</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设备工程师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何世文</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17721828775</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机修电工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解小龙</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15851235238</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生产部操作工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冯记春</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18145049927</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机修仪表工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苏兴彪</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13408122505</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机修焊工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顾泽锋</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13606281561</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技术部经理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疏散隔离组长</w:t>
            </w:r>
          </w:p>
        </w:tc>
        <w:tc>
          <w:tcPr>
            <w:tcW w:w="1441"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解平英</w:t>
            </w:r>
          </w:p>
        </w:tc>
        <w:tc>
          <w:tcPr>
            <w:tcW w:w="1833"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13862881912</w:t>
            </w:r>
          </w:p>
        </w:tc>
        <w:tc>
          <w:tcPr>
            <w:tcW w:w="2751"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生产部车间管理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顾陈飞</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19952667523</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朱云龙</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18921463296</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秦世杰</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13350631593</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生产部操作工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廖  涛</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18681635381</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采购经理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后勤保障组长</w:t>
            </w:r>
          </w:p>
        </w:tc>
        <w:tc>
          <w:tcPr>
            <w:tcW w:w="1441"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刘春艳</w:t>
            </w:r>
          </w:p>
        </w:tc>
        <w:tc>
          <w:tcPr>
            <w:tcW w:w="1833"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15181774132</w:t>
            </w:r>
          </w:p>
        </w:tc>
        <w:tc>
          <w:tcPr>
            <w:tcW w:w="2751"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财务、行政助理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朱月志</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13996067482</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电气设备工程师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唐康然</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18181117010</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安全环保部安全员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熊巧玲</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19881772317</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人事行政专员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55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441"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杨明忠</w:t>
            </w:r>
          </w:p>
        </w:tc>
        <w:tc>
          <w:tcPr>
            <w:tcW w:w="1833"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19112326008</w:t>
            </w:r>
          </w:p>
        </w:tc>
        <w:tc>
          <w:tcPr>
            <w:tcW w:w="2751"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行政部司机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55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24小时应急值班电话</w:t>
            </w:r>
          </w:p>
        </w:tc>
        <w:tc>
          <w:tcPr>
            <w:tcW w:w="6025" w:type="dxa"/>
            <w:gridSpan w:val="3"/>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0817-3811217</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b/>
          <w:bCs/>
          <w:color w:val="auto"/>
          <w:kern w:val="0"/>
          <w:sz w:val="24"/>
          <w:szCs w:val="24"/>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应急指挥部及各救援小组工作职责如表2-3所示。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auto"/>
          <w:kern w:val="0"/>
          <w:sz w:val="24"/>
          <w:szCs w:val="24"/>
          <w:u w:val="none" w:color="000000"/>
          <w:lang w:val="en-US" w:eastAsia="zh-CN" w:bidi="ar-SA"/>
        </w:rPr>
      </w:pPr>
      <w:r>
        <w:rPr>
          <w:rFonts w:hint="eastAsia" w:ascii="宋体" w:hAnsi="宋体" w:eastAsia="宋体" w:cs="宋体"/>
          <w:b/>
          <w:bCs/>
          <w:color w:val="auto"/>
          <w:kern w:val="0"/>
          <w:sz w:val="24"/>
          <w:szCs w:val="24"/>
          <w:u w:val="none" w:color="000000"/>
          <w:lang w:val="en-US" w:eastAsia="zh-CN" w:bidi="ar-SA"/>
        </w:rPr>
        <w:t>表2-3 公司应急处置机构职责</w:t>
      </w:r>
    </w:p>
    <w:p>
      <w:pPr>
        <w:rPr>
          <w:rFonts w:hint="eastAsia"/>
          <w:color w:val="auto"/>
          <w:lang w:val="en-US" w:eastAsia="zh-CN"/>
        </w:rPr>
      </w:pPr>
    </w:p>
    <w:tbl>
      <w:tblPr>
        <w:tblStyle w:val="26"/>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561"/>
        <w:gridCol w:w="6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94" w:type="dxa"/>
            <w:vAlign w:val="center"/>
          </w:tcPr>
          <w:p>
            <w:pPr>
              <w:snapToGrid w:val="0"/>
              <w:spacing w:before="60" w:line="300" w:lineRule="auto"/>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序号</w:t>
            </w:r>
          </w:p>
        </w:tc>
        <w:tc>
          <w:tcPr>
            <w:tcW w:w="1561" w:type="dxa"/>
            <w:vAlign w:val="center"/>
          </w:tcPr>
          <w:p>
            <w:pPr>
              <w:snapToGrid w:val="0"/>
              <w:spacing w:before="60" w:line="300" w:lineRule="auto"/>
              <w:jc w:val="both"/>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职能</w:t>
            </w:r>
          </w:p>
        </w:tc>
        <w:tc>
          <w:tcPr>
            <w:tcW w:w="6343" w:type="dxa"/>
            <w:vAlign w:val="center"/>
          </w:tcPr>
          <w:p>
            <w:pPr>
              <w:snapToGrid w:val="0"/>
              <w:spacing w:before="60" w:line="30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561" w:type="dxa"/>
            <w:vAlign w:val="center"/>
          </w:tcPr>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应急指挥部</w:t>
            </w:r>
          </w:p>
          <w:p>
            <w:pPr>
              <w:numPr>
                <w:ilvl w:val="0"/>
                <w:numId w:val="0"/>
              </w:numPr>
              <w:snapToGrid w:val="0"/>
              <w:spacing w:before="60" w:line="300" w:lineRule="auto"/>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（应急办）</w:t>
            </w:r>
          </w:p>
          <w:p>
            <w:pPr>
              <w:pStyle w:val="2"/>
              <w:rPr>
                <w:rFonts w:hint="eastAsia" w:ascii="宋体" w:hAnsi="宋体" w:eastAsia="宋体" w:cs="宋体"/>
                <w:color w:val="auto"/>
                <w:sz w:val="24"/>
                <w:szCs w:val="24"/>
                <w:lang w:val="en-US" w:eastAsia="zh-CN"/>
              </w:rPr>
            </w:pPr>
          </w:p>
        </w:tc>
        <w:tc>
          <w:tcPr>
            <w:tcW w:w="6343" w:type="dxa"/>
            <w:vAlign w:val="center"/>
          </w:tcPr>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①接受政府指令的调动；</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②负责组织编制事故应急预案，组建应急救援专业队伍；</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③负责应急物资的保障和组织人员的应急救援教育和培训；</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④制定事故应急预案演练计划，定期组织应急预案的演练、评估和修改完善；</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⑤负责人员、资源配置、应急队伍的调动；</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⑥负责应急救援的决策和指挥，组织协调现场的抢救工作；</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⑦启动和终止应急预案；</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⑧协调与外部应急力量、相关政府部门等关系，必要时，提请上级政府部门启动上级预案；</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⑨负责事故信息及总结的上报。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561"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总指挥</w:t>
            </w:r>
          </w:p>
        </w:tc>
        <w:tc>
          <w:tcPr>
            <w:tcW w:w="6343" w:type="dxa"/>
            <w:vAlign w:val="center"/>
          </w:tcPr>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①接受政府指令和调动；</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②批准本预案的启动与终止；</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③指挥、协调应急反应行动；</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④与相关的外部应急部门、组织和机构进行联络；</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⑤必要时，负责向政府有关应急联动部门提出应急救援请求；</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⑥协调后勤方面以支援应急救援；</w:t>
            </w:r>
          </w:p>
          <w:p>
            <w:pPr>
              <w:widowControl w:val="0"/>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⑦负责人员、资源配置、应急队伍的调动。</w:t>
            </w:r>
          </w:p>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⑧组织制定、修订公司生产安全事故应急预案，并制定与应急预案有关的年度资金计划。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561"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副指挥</w:t>
            </w:r>
          </w:p>
        </w:tc>
        <w:tc>
          <w:tcPr>
            <w:tcW w:w="6343" w:type="dxa"/>
            <w:vAlign w:val="center"/>
          </w:tcPr>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①在总指挥的领导下具体负责现场应急救援工作；总指挥不在公司时，代行总指挥职责；</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②指挥协调现场的抢险救灾工作；负责召集各部门和应急救援小组负责人研究抢险方案，制定具体抢险措施。</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③协调本公司、部门与相关单位、部门分工协作的工作；</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④核实现场人员伤亡和损失情况，及时向总指挥汇报抢险救援工作及事故应急处理的进展情况；</w:t>
            </w:r>
          </w:p>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⑤在应急终止后，负责组织事故现场的恢复工作。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561"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事故处置救援组</w:t>
            </w:r>
          </w:p>
        </w:tc>
        <w:tc>
          <w:tcPr>
            <w:tcW w:w="6343" w:type="dxa"/>
            <w:vAlign w:val="center"/>
          </w:tcPr>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①执行应急指挥部的指令，及时向指挥部报告事故处理情况；</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②提出并落实抢险救灾所需的设备设施和物资；</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③负责抢救遇险人员；</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④负责事故现场转移物资；</w:t>
            </w:r>
          </w:p>
          <w:p>
            <w:pPr>
              <w:widowControl w:val="0"/>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⑤负责排险、控险等现场救援工作；</w:t>
            </w:r>
          </w:p>
          <w:p>
            <w:pPr>
              <w:widowControl w:val="0"/>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⑥负责化学品泄漏的现场处理。</w:t>
            </w:r>
          </w:p>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⑦负责事故后现场的洗消、清洗、清理。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561" w:type="dxa"/>
            <w:vAlign w:val="center"/>
          </w:tcPr>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综合协调组</w:t>
            </w:r>
          </w:p>
        </w:tc>
        <w:tc>
          <w:tcPr>
            <w:tcW w:w="6343" w:type="dxa"/>
            <w:vAlign w:val="center"/>
          </w:tcPr>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①负责内部相关救援人员、物资的联络沟通，并及时将情况报告总指挥。</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②负责外部医疗救援、公安消防、政府单位的联络沟通。</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③负责通知周边受影响企业。</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④确保事故救援保持有效通讯联系，负责到场新闻媒体的接待工作。</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⑤负责保护事故现场并取证，配合相关职能部门，对事故发生的原因进行分析、调查；事后将事故情况形成书面材料，并对事故提出处理意见或建议。</w:t>
            </w:r>
          </w:p>
          <w:p>
            <w:pPr>
              <w:pStyle w:val="32"/>
              <w:jc w:val="both"/>
              <w:rPr>
                <w:rFonts w:hint="eastAsia"/>
                <w:color w:val="auto"/>
                <w:lang w:val="en-US" w:eastAsia="zh-CN"/>
              </w:rPr>
            </w:pPr>
            <w:r>
              <w:rPr>
                <w:rFonts w:hint="eastAsia" w:ascii="宋体" w:hAnsi="宋体" w:cs="宋体"/>
                <w:color w:val="auto"/>
                <w:sz w:val="24"/>
                <w:szCs w:val="24"/>
                <w:lang w:eastAsia="zh-CN"/>
              </w:rPr>
              <w:t>⑥</w:t>
            </w:r>
            <w:r>
              <w:rPr>
                <w:rFonts w:hint="eastAsia" w:ascii="宋体" w:hAnsi="宋体" w:eastAsia="宋体" w:cs="宋体"/>
                <w:color w:val="auto"/>
                <w:sz w:val="24"/>
                <w:szCs w:val="24"/>
              </w:rPr>
              <w:t>关注社会舆情，根据事故发展势态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协助</w:t>
            </w:r>
            <w:r>
              <w:rPr>
                <w:rFonts w:hint="eastAsia" w:ascii="宋体" w:hAnsi="宋体" w:eastAsia="宋体" w:cs="宋体"/>
                <w:color w:val="auto"/>
                <w:sz w:val="24"/>
                <w:szCs w:val="24"/>
                <w:lang w:eastAsia="zh-CN"/>
              </w:rPr>
              <w:t>应急指挥部</w:t>
            </w:r>
            <w:r>
              <w:rPr>
                <w:rFonts w:hint="eastAsia" w:ascii="宋体" w:hAnsi="宋体" w:eastAsia="宋体" w:cs="宋体"/>
                <w:color w:val="auto"/>
                <w:sz w:val="24"/>
                <w:szCs w:val="24"/>
              </w:rPr>
              <w:t>做好信息公开工作的准备。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snapToGrid w:val="0"/>
              <w:spacing w:before="60" w:line="300" w:lineRule="auto"/>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6</w:t>
            </w:r>
          </w:p>
        </w:tc>
        <w:tc>
          <w:tcPr>
            <w:tcW w:w="1561" w:type="dxa"/>
            <w:vAlign w:val="center"/>
          </w:tcPr>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疏散隔离组</w:t>
            </w:r>
          </w:p>
        </w:tc>
        <w:tc>
          <w:tcPr>
            <w:tcW w:w="6343" w:type="dxa"/>
            <w:vAlign w:val="center"/>
          </w:tcPr>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①执行应急指挥部的指令。</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②负责事故现场的警戒和治安保卫工作，划出警戒区域。</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③负责人员疏散，清点疏散人数，统计伤亡人数；</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④负责维持事故现场秩序； </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⑤保护事故现场；</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⑥保障救援现场道路交通畅通无阻；</w:t>
            </w:r>
          </w:p>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⑦负责引导消防车、救护车、外援抢险车辆进入公司。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p>
            <w:pPr>
              <w:snapToGrid w:val="0"/>
              <w:spacing w:before="60" w:line="300" w:lineRule="auto"/>
              <w:jc w:val="center"/>
              <w:rPr>
                <w:rFonts w:hint="default" w:ascii="宋体" w:hAnsi="宋体" w:eastAsia="宋体" w:cs="宋体"/>
                <w:color w:val="auto"/>
                <w:kern w:val="2"/>
                <w:sz w:val="24"/>
                <w:szCs w:val="24"/>
                <w:lang w:val="en-US" w:eastAsia="zh-CN" w:bidi="ar-SA"/>
              </w:rPr>
            </w:pPr>
          </w:p>
        </w:tc>
        <w:tc>
          <w:tcPr>
            <w:tcW w:w="1561" w:type="dxa"/>
            <w:vAlign w:val="center"/>
          </w:tcPr>
          <w:p>
            <w:pPr>
              <w:numPr>
                <w:ilvl w:val="0"/>
                <w:numId w:val="0"/>
              </w:numPr>
              <w:snapToGrid w:val="0"/>
              <w:spacing w:before="60" w:line="30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后勤保障组</w:t>
            </w:r>
          </w:p>
          <w:p>
            <w:pPr>
              <w:numPr>
                <w:ilvl w:val="0"/>
                <w:numId w:val="0"/>
              </w:numPr>
              <w:snapToGrid w:val="0"/>
              <w:spacing w:before="60" w:line="300" w:lineRule="auto"/>
              <w:ind w:left="0" w:leftChars="0" w:firstLine="0" w:firstLineChars="0"/>
              <w:jc w:val="center"/>
              <w:rPr>
                <w:rFonts w:hint="eastAsia" w:ascii="宋体" w:hAnsi="宋体" w:eastAsia="宋体" w:cs="宋体"/>
                <w:color w:val="auto"/>
                <w:sz w:val="24"/>
                <w:szCs w:val="24"/>
                <w:lang w:val="en-US" w:eastAsia="zh-CN"/>
              </w:rPr>
            </w:pPr>
          </w:p>
        </w:tc>
        <w:tc>
          <w:tcPr>
            <w:tcW w:w="6343" w:type="dxa"/>
            <w:vAlign w:val="center"/>
          </w:tcPr>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①负责应急救援器材和物资的供应，并组织车辆运输。</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②负责应急救援的通信、交通、食宿等后勤保障工作。</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③负责接待、安抚伤亡人员家属，办理人身伤害和财产损失索赔，进行有关善后处置工作。</w:t>
            </w:r>
          </w:p>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④公司内部人员的思想稳定工作；积极做好接待及事后处理的准备工作。</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⑤负责伤员急救、中转、登记，安排护送人员和救护车辆。</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⑥确保医疗物资的储备与安全有效的使用。</w:t>
            </w:r>
          </w:p>
          <w:p>
            <w:pPr>
              <w:numPr>
                <w:ilvl w:val="0"/>
                <w:numId w:val="0"/>
              </w:numPr>
              <w:snapToGrid w:val="0"/>
              <w:spacing w:before="60" w:line="300" w:lineRule="auto"/>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⑦负责事故发生地及周边区域的卫生防疫以及事故发生后疾病的控制与预防工作。</w:t>
            </w:r>
          </w:p>
          <w:p>
            <w:pPr>
              <w:numPr>
                <w:ilvl w:val="0"/>
                <w:numId w:val="0"/>
              </w:numPr>
              <w:snapToGrid w:val="0"/>
              <w:spacing w:before="60" w:line="30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⑧负责做好伤员住院期间临时护理工作。</w:t>
            </w:r>
          </w:p>
        </w:tc>
      </w:tr>
    </w:tbl>
    <w:p>
      <w:pPr>
        <w:pStyle w:val="32"/>
        <w:rPr>
          <w:rFonts w:hint="eastAsia"/>
          <w:color w:val="auto"/>
          <w:lang w:val="en-US" w:eastAsia="zh-CN"/>
        </w:rPr>
        <w:sectPr>
          <w:footerReference r:id="rId5" w:type="default"/>
          <w:pgSz w:w="11906" w:h="16838"/>
          <w:pgMar w:top="1418" w:right="1644" w:bottom="1417" w:left="1417" w:header="851" w:footer="992" w:gutter="0"/>
          <w:pgNumType w:fmt="decimal"/>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138" w:name="_Toc20065"/>
      <w:bookmarkStart w:id="139" w:name="_Toc4502"/>
      <w:r>
        <w:rPr>
          <w:rFonts w:hint="eastAsia" w:ascii="宋体" w:hAnsi="宋体" w:eastAsia="宋体" w:cs="宋体"/>
          <w:color w:val="auto"/>
          <w:sz w:val="28"/>
          <w:szCs w:val="28"/>
          <w:lang w:val="en-US" w:eastAsia="zh-CN"/>
        </w:rPr>
        <w:t>3应急响应</w:t>
      </w:r>
      <w:bookmarkEnd w:id="134"/>
      <w:bookmarkEnd w:id="135"/>
      <w:bookmarkEnd w:id="136"/>
      <w:bookmarkEnd w:id="137"/>
      <w:bookmarkEnd w:id="138"/>
      <w:bookmarkEnd w:id="13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bookmarkStart w:id="140" w:name="_Toc20848"/>
      <w:bookmarkStart w:id="141" w:name="_Toc24683"/>
      <w:bookmarkStart w:id="142" w:name="_Toc3278"/>
      <w:r>
        <w:rPr>
          <w:rFonts w:hint="eastAsia" w:ascii="宋体" w:hAnsi="宋体" w:eastAsia="宋体" w:cs="宋体"/>
          <w:color w:val="auto"/>
          <w:sz w:val="28"/>
          <w:szCs w:val="28"/>
          <w:lang w:val="en-US" w:eastAsia="zh-CN"/>
        </w:rPr>
        <w:t>应急响应的过程为信息接报、信息研判、应急启动、应急处置、响应终止等，响应流程如图3-1。</w:t>
      </w:r>
    </w:p>
    <w:p>
      <w:pPr>
        <w:jc w:val="center"/>
        <w:rPr>
          <w:rFonts w:hint="eastAsia" w:ascii="宋体" w:hAnsi="宋体" w:eastAsia="宋体" w:cs="宋体"/>
          <w:color w:val="auto"/>
        </w:rPr>
      </w:pPr>
      <w:r>
        <w:rPr>
          <w:rFonts w:hint="eastAsia" w:ascii="宋体" w:hAnsi="宋体" w:eastAsia="宋体" w:cs="宋体"/>
          <w:color w:val="auto"/>
        </w:rPr>
        <w:drawing>
          <wp:inline distT="0" distB="0" distL="0" distR="0">
            <wp:extent cx="4833620" cy="5486400"/>
            <wp:effectExtent l="0" t="0" r="508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
                    <a:stretch>
                      <a:fillRect/>
                    </a:stretch>
                  </pic:blipFill>
                  <pic:spPr>
                    <a:xfrm>
                      <a:off x="0" y="0"/>
                      <a:ext cx="4857645" cy="5513132"/>
                    </a:xfrm>
                    <a:prstGeom prst="rect">
                      <a:avLst/>
                    </a:prstGeom>
                  </pic:spPr>
                </pic:pic>
              </a:graphicData>
            </a:graphic>
          </wp:inline>
        </w:drawing>
      </w:r>
    </w:p>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图</w:t>
      </w:r>
      <w:r>
        <w:rPr>
          <w:rFonts w:hint="eastAsia" w:ascii="宋体" w:hAnsi="宋体" w:eastAsia="宋体" w:cs="宋体"/>
          <w:b/>
          <w:bCs/>
          <w:color w:val="auto"/>
          <w:sz w:val="24"/>
          <w:szCs w:val="24"/>
          <w:lang w:val="en-US" w:eastAsia="zh-CN"/>
        </w:rPr>
        <w:t>3-1</w:t>
      </w:r>
      <w:r>
        <w:rPr>
          <w:rFonts w:hint="eastAsia" w:ascii="宋体" w:hAnsi="宋体" w:eastAsia="宋体" w:cs="宋体"/>
          <w:b/>
          <w:bCs/>
          <w:color w:val="auto"/>
          <w:sz w:val="24"/>
          <w:szCs w:val="24"/>
        </w:rPr>
        <w:t xml:space="preserve"> 应急响应流程图</w:t>
      </w:r>
    </w:p>
    <w:p>
      <w:pPr>
        <w:pStyle w:val="2"/>
        <w:rPr>
          <w:rFonts w:hint="eastAsia" w:ascii="宋体" w:hAnsi="宋体" w:eastAsia="宋体" w:cs="宋体"/>
          <w:b/>
          <w:bCs/>
          <w:color w:val="auto"/>
          <w:sz w:val="24"/>
          <w:szCs w:val="24"/>
        </w:rPr>
      </w:pP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color w:val="auto"/>
          <w:sz w:val="28"/>
          <w:szCs w:val="28"/>
          <w:lang w:val="en-US" w:eastAsia="zh-CN"/>
        </w:rPr>
        <w:sectPr>
          <w:type w:val="continuous"/>
          <w:pgSz w:w="11906" w:h="16838"/>
          <w:pgMar w:top="1418" w:right="1644" w:bottom="1417" w:left="1417" w:header="851" w:footer="992" w:gutter="0"/>
          <w:pgNumType w:fmt="decimal"/>
          <w:cols w:space="720" w:num="1"/>
          <w:docGrid w:type="lines" w:linePitch="312" w:charSpace="0"/>
        </w:sectPr>
      </w:pP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3.1信息报告</w:t>
      </w:r>
      <w:bookmarkEnd w:id="140"/>
      <w:bookmarkEnd w:id="141"/>
      <w:bookmarkEnd w:id="142"/>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3.1.1信息接报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公司设置有24小时值班室，应急值守电话：0817-3811217。</w:t>
      </w:r>
    </w:p>
    <w:p>
      <w:pPr>
        <w:pStyle w:val="2"/>
        <w:rPr>
          <w:rFonts w:hint="default"/>
          <w:lang w:val="en-US" w:eastAsia="zh-CN"/>
        </w:rPr>
      </w:pPr>
      <w:r>
        <w:rPr>
          <w:rFonts w:hint="eastAsia" w:ascii="宋体" w:hAnsi="宋体" w:eastAsia="宋体" w:cs="宋体"/>
          <w:color w:val="auto"/>
          <w:sz w:val="28"/>
          <w:szCs w:val="28"/>
          <w:lang w:val="en-US" w:eastAsia="zh-CN"/>
        </w:rPr>
        <w:t xml:space="preserve">  公司利用对讲机、收集、固定电话等方式进行信息报告。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（1）信息上报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1）当发生事故时，负伤者或者事故现场有关人员应立即向现场负责人报告，现场负责人收到信息后立即向应急指挥部报告（情况紧急时，事故现场有关人员可立即拨打110或119）。</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2）事故发生后，现场总指挥应在1小时内向负有应急管理职责的有关部门报告。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3）突发事件较严重，可能导致演化较大及以上突发事件的相关信息，现场总指挥因情况紧急，来不及书面报告的，可先电话报告，随即补报书面材料，并续报事态进展、处置措施、原因、后果和工作开展情况。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事故报告应当包括如下内容：事故发生单位概况；事故发生的时间、地点以及事故现场情况；事故的简要经过；事故已经造成或者可能造成的伤亡人数（包括下落不明的人数）和初步估计的直接经济损失；已经采取的措施；其它应当报告的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5）情况紧急时，事故现场有关人员可以不用先通知公司应急指挥部直接向负有应急管理职责的有关部门报告。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（2）信息传递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故发生后，现场负责人通过内部电话，固定电话，手机等通讯手段，快速向事故应急指挥部报告。当发生的事故可能波及企业外时，由事故应急指挥部通过电话、互联网、人员信息传递等通讯手段，迅速向周边企业、相关人员通报事故简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在发布信息时，必须发布事态的紧急程度，提出撤离的具体方法和方式。撤离方式有步行和车辆运输两种。撤离方法中应明确采取的预防措施、注意事项、撤离方向和撤离距离，撤离应有组织性。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（3）事故续报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事故发生后应按照规定的频次持续报告，主要内容包括事件主要原因、资产损失数据、持续发展情况、已经采取措施及效果等。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事故续报的要求：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①事故具体情况暂时不清楚的，负责事故报告的单位可以先报事故概况，随后补报事故全面情况。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②事故信息报告后出现新情况的，负责事故报告的单位应当依照规定及时续报。较大涉险事故、一般事故、较大事故每日至少续报1次；重大事故、特别重大事故每日至少续报2次。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③自事故发生之日起30日内（道路交通、火灾事故自发生之日起7日内），事故造成的伤亡人数发生变化的，应于当日补报。</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3.1.2 信息处置和研判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响应启动：应急总指挥在接到报警信息后，根据事故性质、严重程度、影响范围和可控性，结合响应分级条件，若未达到响应启动条件，应急指挥部可作出预警启动的决策，做好响应准备，实时跟踪事态发展。若事态处于一般事故（三级响应）及其以上时，应立即启动应急响应。并由应急总指挥做出响应启动的决策并宣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（2）预警启动：若未达到响应启动条件，应急总指挥可做出预警启动的决策，做好响应准备，实时跟踪事态发展。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应急响应启动后，应实时跟踪事态发展，科学分析处置需求，及时调整响应级别，避免响应不足或过度响应。事故造成严重不良影响或严重社会影响的，应提升一个响应级别；事故若未发生扩大，或得到有效控制或消除，可以根据事态发展降低响应级别。</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43" w:name="_Toc20372"/>
      <w:bookmarkStart w:id="144" w:name="_Toc4160"/>
      <w:r>
        <w:rPr>
          <w:rFonts w:hint="eastAsia" w:ascii="宋体" w:hAnsi="宋体" w:eastAsia="宋体" w:cs="宋体"/>
          <w:b/>
          <w:bCs/>
          <w:color w:val="auto"/>
          <w:sz w:val="28"/>
          <w:szCs w:val="28"/>
          <w:lang w:val="en-US" w:eastAsia="zh-CN"/>
        </w:rPr>
        <w:t>3.2 预警</w:t>
      </w:r>
      <w:bookmarkEnd w:id="143"/>
      <w:bookmarkEnd w:id="144"/>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3.2.1 预警启动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本公司设定发布预警的条件如下：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（1）外部获取信息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①周围企业（单位）</w:t>
      </w:r>
      <w:r>
        <w:rPr>
          <w:rFonts w:hint="eastAsia" w:ascii="宋体" w:hAnsi="宋体" w:eastAsia="宋体" w:cs="宋体"/>
          <w:color w:val="auto"/>
          <w:sz w:val="28"/>
          <w:szCs w:val="28"/>
          <w:lang w:val="zh-CN" w:eastAsia="zh-CN"/>
        </w:rPr>
        <w:t>或其他外部投诉、报警信息：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zh-CN" w:eastAsia="zh-CN"/>
        </w:rPr>
        <w:t>周边单位发生事故后（火灾等大型事故），发现事故人员应立即告知公司应急指挥部；应急指挥部应启动公司预警系统，(如有需要，全公司紧急停产)，并时刻关注事故发生的态势，防止对本企业造成连锁事故。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②南充市气象部门通过新闻媒体公开发布的暴雨、地震、洪水等自然灾害预警信息；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③政府监督部门的监测结论；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（2）内部获取信息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①设备设施达到或超过使用期限；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②设备配件（阀门、垫圈等）、电气装置出现老化现象；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③设备、管道外观生锈腐蚀，有可能发生泄漏现象；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④安全检查发现的其他可导致火灾的安全隐患；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⑤风险评价发现新的风险；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⑥大型设备设施出现严重的安全问题，对多人构成生命威胁等现象；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⑦其它可能造成财产损失、人员伤亡时。</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4"/>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3.2.1.1 预警启动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1）预警发布方式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一级预警（红色预警）：经</w:t>
      </w:r>
      <w:r>
        <w:rPr>
          <w:rFonts w:hint="eastAsia" w:ascii="宋体" w:hAnsi="宋体" w:eastAsia="宋体" w:cs="宋体"/>
          <w:color w:val="0000FF"/>
          <w:sz w:val="28"/>
          <w:szCs w:val="28"/>
          <w:lang w:val="en-US" w:eastAsia="zh-CN"/>
        </w:rPr>
        <w:t>应急指挥部</w:t>
      </w:r>
      <w:r>
        <w:rPr>
          <w:rFonts w:hint="eastAsia" w:ascii="宋体" w:hAnsi="宋体" w:eastAsia="宋体" w:cs="宋体"/>
          <w:color w:val="auto"/>
          <w:sz w:val="28"/>
          <w:szCs w:val="28"/>
          <w:lang w:val="en-US" w:eastAsia="zh-CN"/>
        </w:rPr>
        <w:t>总指挥批准，由应急指挥部发布预警信息；有可能涉及周边企业、单位的，应通知周边社区、企业，并报告政府有关部门，经政府有关部门批准后，由政府发布预警公告。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二级预警（黄色预警）：经应急指挥部总指挥批准，由应急指挥部发布预警信息；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三级预警（蓝色预警）：经现场负责人批准后，发布预警信息，并报告应急指挥部。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（2）发布渠道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通过公司QQ群、微信群、会议、电话、邮件等途径及时向各部门发布和传递预警信息，各部门接收到信息后将相关信息传递到每一位员工。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相关政府应急部门、公司应急指挥部、各应急组之间的通信方法，联系电话见附件五。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（3）预警信息的内容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预警信息包括突发事故的类别、预警级别、起始时间、可能影响范围、警示事项、应采取的措施和发布机关等。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（4）预警信息发布的流程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预警信息发布流程为：第一发现人—部门领导—应急指挥部—政府部门。</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4"/>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3.2.1.2 预警级别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按照突发事件严重性、紧急程度和可能波及的范围，突发安全事件的预警分为两级，预警级别由低到高，依次为三级预警、二级预警、一级预警。根据事态的发展情况和采取措施的效果，预警级别可以升级、降级或解除。</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（1）三级预警条件：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①发现一般事故隐患时：发现有发生火灾趋势时、发现隐患能及时排除时；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②导致最多1名员工轻伤的事故伤害；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③过火面积在3㎡以内的火灾事故。</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（2）二级预警条件：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①发现重大安全隐患，可能造成火灾或设施设备重大损坏时；发生火灾，能控制在一定范围内时，发现事故隐患并能有效控制时；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②发生最多1名员工重伤或2名（含）以上，5名（不含）以内轻伤的事故伤害；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③发生过火面积大于等于3㎡，小于10㎡的火灾事故。</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（3）一级预警条件：</w:t>
      </w:r>
      <w:r>
        <w:rPr>
          <w:rFonts w:hint="eastAsia" w:ascii="宋体" w:hAnsi="宋体" w:eastAsia="宋体" w:cs="宋体"/>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①政府部门及周边企业发布较严重预警信息时；发现重大隐患，不能整改或不能控制可能造成较大火灾、爆炸或泄漏时；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②发生有人员死亡的事故伤害；发生2名（含）以上重伤或5名（含）以上轻伤的事故；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③发生过火面积大于10㎡的火灾事故。</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4"/>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3.2.1.3 预警信息发布</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（1）预警信息发布方式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预警信息包括突发事故的类别、预警级别、超始时间、可能影响范围、警示事项、各部门应采取的防范措施和发布部门等。主要发布途径有内部电话、紧急通知、张贴告示等。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相关政府应急部门、公司应急指挥部、各应急组之间的通信方法，联系电话见附件五。</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（2）预警信息的内容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发布预警信息时应说明清楚：事故类型、规模、影响范围、发生地点、介质、发展变化趋势、有无人员伤亡、报告人姓名和联系方式等。</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（3）预警信息发布的流程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预警信息发布流程为：第一发现人→现场管理人员→指挥部→政府部门。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预警级别等预警信息由应急指挥部确定后统一发布和解除，并通过公司主管部门根据事故影响的程度报南充市应急管理局备案。各应急组织与部门根据发布的预警级别，开展应急宣传、救援与人员疏散工作。</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3.2.2 响应准备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预警发布后，由公司总经理担任总指挥，迅速牵头成立应急指挥部，并对公司资源进行划分调配。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总指挥或副指挥通过电话方式或在公司微信工作群、QQ群等企业内部软件平台内发布应急响应准备状态指令；各应急救援小组组长在接到应急响应准备指令或电话通知后，应立即赶赴事故可能发生现场，各应急救援小组长负责通知所属应急小组组员。 各应急救援队伍到达现场后，做好下列工作：</w:t>
      </w:r>
    </w:p>
    <w:p>
      <w:pPr>
        <w:pageBreakBefore w:val="0"/>
        <w:numPr>
          <w:ilvl w:val="0"/>
          <w:numId w:val="0"/>
        </w:numPr>
        <w:kinsoku/>
        <w:wordWrap/>
        <w:overflowPunct/>
        <w:topLinePunct w:val="0"/>
        <w:autoSpaceDE w:val="0"/>
        <w:autoSpaceDN w:val="0"/>
        <w:bidi w:val="0"/>
        <w:adjustRightInd w:val="0"/>
        <w:snapToGrid w:val="0"/>
        <w:spacing w:line="360" w:lineRule="auto"/>
        <w:ind w:firstLine="560" w:firstLineChars="200"/>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1</w:t>
      </w:r>
      <w:r>
        <w:rPr>
          <w:rFonts w:hint="eastAsia" w:ascii="宋体" w:hAnsi="宋体" w:eastAsia="宋体" w:cs="宋体"/>
          <w:b w:val="0"/>
          <w:bCs w:val="0"/>
          <w:color w:val="auto"/>
          <w:sz w:val="28"/>
          <w:szCs w:val="28"/>
          <w:lang w:eastAsia="zh-CN"/>
        </w:rPr>
        <w:t>）</w:t>
      </w:r>
      <w:r>
        <w:rPr>
          <w:rFonts w:hint="eastAsia" w:ascii="宋体" w:hAnsi="宋体" w:eastAsia="宋体" w:cs="宋体"/>
          <w:b/>
          <w:bCs/>
          <w:color w:val="auto"/>
          <w:sz w:val="28"/>
          <w:szCs w:val="28"/>
          <w:lang w:eastAsia="zh-CN"/>
        </w:rPr>
        <w:t>事故处置救援组负责</w:t>
      </w:r>
      <w:r>
        <w:rPr>
          <w:rFonts w:hint="eastAsia" w:ascii="宋体" w:hAnsi="宋体" w:eastAsia="宋体" w:cs="宋体"/>
          <w:b w:val="0"/>
          <w:bCs w:val="0"/>
          <w:color w:val="auto"/>
          <w:sz w:val="28"/>
          <w:szCs w:val="28"/>
          <w:lang w:eastAsia="zh-CN"/>
        </w:rPr>
        <w:t>收集图纸、事故发展趋势、制定援救方案，</w:t>
      </w:r>
      <w:r>
        <w:rPr>
          <w:rFonts w:hint="eastAsia" w:ascii="宋体" w:hAnsi="宋体" w:eastAsia="宋体" w:cs="宋体"/>
          <w:color w:val="auto"/>
          <w:sz w:val="28"/>
          <w:szCs w:val="28"/>
          <w:lang w:eastAsia="zh-CN"/>
        </w:rPr>
        <w:t>穿戴好相应</w:t>
      </w:r>
      <w:r>
        <w:rPr>
          <w:rFonts w:hint="eastAsia" w:ascii="宋体" w:hAnsi="宋体" w:eastAsia="宋体" w:cs="宋体"/>
          <w:b w:val="0"/>
          <w:bCs w:val="0"/>
          <w:color w:val="auto"/>
          <w:sz w:val="28"/>
          <w:szCs w:val="28"/>
          <w:lang w:eastAsia="zh-CN"/>
        </w:rPr>
        <w:t>事故类型所需的安全防护用品，现场待命，随时出击进行抢险救援工作。</w:t>
      </w:r>
    </w:p>
    <w:p>
      <w:pPr>
        <w:pageBreakBefore w:val="0"/>
        <w:numPr>
          <w:ilvl w:val="0"/>
          <w:numId w:val="0"/>
        </w:numPr>
        <w:kinsoku/>
        <w:wordWrap/>
        <w:overflowPunct/>
        <w:topLinePunct w:val="0"/>
        <w:autoSpaceDE w:val="0"/>
        <w:autoSpaceDN w:val="0"/>
        <w:bidi w:val="0"/>
        <w:adjustRightInd w:val="0"/>
        <w:snapToGrid w:val="0"/>
        <w:spacing w:line="360" w:lineRule="auto"/>
        <w:ind w:firstLine="560" w:firstLineChars="200"/>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2</w:t>
      </w:r>
      <w:r>
        <w:rPr>
          <w:rFonts w:hint="eastAsia" w:ascii="宋体" w:hAnsi="宋体" w:eastAsia="宋体" w:cs="宋体"/>
          <w:b w:val="0"/>
          <w:bCs w:val="0"/>
          <w:color w:val="auto"/>
          <w:sz w:val="28"/>
          <w:szCs w:val="28"/>
          <w:lang w:eastAsia="zh-CN"/>
        </w:rPr>
        <w:t>）</w:t>
      </w:r>
      <w:r>
        <w:rPr>
          <w:rFonts w:hint="eastAsia" w:ascii="宋体" w:hAnsi="宋体" w:eastAsia="宋体" w:cs="宋体"/>
          <w:b/>
          <w:bCs/>
          <w:color w:val="auto"/>
          <w:sz w:val="28"/>
          <w:szCs w:val="28"/>
          <w:lang w:eastAsia="zh-CN"/>
        </w:rPr>
        <w:t>综合协调组</w:t>
      </w:r>
      <w:r>
        <w:rPr>
          <w:rFonts w:hint="eastAsia" w:ascii="宋体" w:hAnsi="宋体" w:eastAsia="宋体" w:cs="宋体"/>
          <w:b w:val="0"/>
          <w:bCs w:val="0"/>
          <w:color w:val="auto"/>
          <w:sz w:val="28"/>
          <w:szCs w:val="28"/>
          <w:lang w:eastAsia="zh-CN"/>
        </w:rPr>
        <w:t>立即联系相关救援人员、物资，确保到位，负责通知周边受影响企业；准备到场新闻媒体的接待工作；</w:t>
      </w:r>
      <w:r>
        <w:rPr>
          <w:rFonts w:hint="eastAsia" w:ascii="宋体" w:hAnsi="宋体" w:eastAsia="宋体" w:cs="宋体"/>
          <w:color w:val="auto"/>
          <w:sz w:val="28"/>
          <w:szCs w:val="28"/>
          <w:lang w:eastAsia="zh-CN"/>
        </w:rPr>
        <w:t>做好</w:t>
      </w:r>
      <w:r>
        <w:rPr>
          <w:rFonts w:hint="eastAsia" w:ascii="宋体" w:hAnsi="宋体" w:eastAsia="宋体" w:cs="宋体"/>
          <w:color w:val="auto"/>
          <w:sz w:val="28"/>
          <w:szCs w:val="28"/>
        </w:rPr>
        <w:t>保护事故现场，对现场的有关实物资料进行取样封存</w:t>
      </w:r>
      <w:r>
        <w:rPr>
          <w:rFonts w:hint="eastAsia" w:ascii="宋体" w:hAnsi="宋体" w:eastAsia="宋体" w:cs="宋体"/>
          <w:color w:val="auto"/>
          <w:sz w:val="28"/>
          <w:szCs w:val="28"/>
          <w:lang w:eastAsia="zh-CN"/>
        </w:rPr>
        <w:t>；准备可能发生事故</w:t>
      </w:r>
      <w:r>
        <w:rPr>
          <w:rFonts w:hint="eastAsia" w:ascii="宋体" w:hAnsi="宋体" w:eastAsia="宋体" w:cs="宋体"/>
          <w:color w:val="auto"/>
          <w:sz w:val="28"/>
          <w:szCs w:val="28"/>
        </w:rPr>
        <w:t>善后处理</w:t>
      </w:r>
      <w:r>
        <w:rPr>
          <w:rFonts w:hint="eastAsia" w:ascii="宋体" w:hAnsi="宋体" w:eastAsia="宋体" w:cs="宋体"/>
          <w:color w:val="auto"/>
          <w:sz w:val="28"/>
          <w:szCs w:val="28"/>
          <w:lang w:eastAsia="zh-CN"/>
        </w:rPr>
        <w:t>所需的赔付、救助资金等。</w:t>
      </w:r>
    </w:p>
    <w:p>
      <w:pPr>
        <w:pageBreakBefore w:val="0"/>
        <w:numPr>
          <w:ilvl w:val="0"/>
          <w:numId w:val="0"/>
        </w:numPr>
        <w:kinsoku/>
        <w:wordWrap/>
        <w:overflowPunct/>
        <w:topLinePunct w:val="0"/>
        <w:autoSpaceDE w:val="0"/>
        <w:autoSpaceDN w:val="0"/>
        <w:bidi w:val="0"/>
        <w:adjustRightInd w:val="0"/>
        <w:snapToGrid w:val="0"/>
        <w:spacing w:line="360" w:lineRule="auto"/>
        <w:ind w:firstLine="560" w:firstLineChars="200"/>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3</w:t>
      </w:r>
      <w:r>
        <w:rPr>
          <w:rFonts w:hint="eastAsia" w:ascii="宋体" w:hAnsi="宋体" w:eastAsia="宋体" w:cs="宋体"/>
          <w:b w:val="0"/>
          <w:bCs w:val="0"/>
          <w:color w:val="auto"/>
          <w:sz w:val="28"/>
          <w:szCs w:val="28"/>
          <w:lang w:eastAsia="zh-CN"/>
        </w:rPr>
        <w:t>）</w:t>
      </w:r>
      <w:r>
        <w:rPr>
          <w:rFonts w:hint="eastAsia" w:ascii="宋体" w:hAnsi="宋体" w:eastAsia="宋体" w:cs="宋体"/>
          <w:b/>
          <w:bCs/>
          <w:color w:val="auto"/>
          <w:sz w:val="28"/>
          <w:szCs w:val="28"/>
          <w:lang w:eastAsia="zh-CN"/>
        </w:rPr>
        <w:t>疏散隔离组</w:t>
      </w:r>
      <w:r>
        <w:rPr>
          <w:rFonts w:hint="eastAsia" w:ascii="宋体" w:hAnsi="宋体" w:eastAsia="宋体" w:cs="宋体"/>
          <w:b w:val="0"/>
          <w:bCs w:val="0"/>
          <w:color w:val="auto"/>
          <w:sz w:val="28"/>
          <w:szCs w:val="28"/>
          <w:lang w:eastAsia="zh-CN"/>
        </w:rPr>
        <w:t>指派人员建立警戒区，选择疏散路线，组织有序撤离至安全区；加强交通管理，控制路口，维护交通秩序；负责保护事故现场，无关人员禁止入内，妨碍事故救援。</w:t>
      </w:r>
    </w:p>
    <w:p>
      <w:pPr>
        <w:pageBreakBefore w:val="0"/>
        <w:numPr>
          <w:ilvl w:val="0"/>
          <w:numId w:val="0"/>
        </w:numPr>
        <w:kinsoku/>
        <w:wordWrap/>
        <w:overflowPunct/>
        <w:topLinePunct w:val="0"/>
        <w:autoSpaceDE w:val="0"/>
        <w:autoSpaceDN w:val="0"/>
        <w:bidi w:val="0"/>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4</w:t>
      </w:r>
      <w:r>
        <w:rPr>
          <w:rFonts w:hint="eastAsia" w:ascii="宋体" w:hAnsi="宋体" w:eastAsia="宋体" w:cs="宋体"/>
          <w:b w:val="0"/>
          <w:bCs w:val="0"/>
          <w:color w:val="auto"/>
          <w:sz w:val="28"/>
          <w:szCs w:val="28"/>
          <w:lang w:eastAsia="zh-CN"/>
        </w:rPr>
        <w:t>）</w:t>
      </w:r>
      <w:r>
        <w:rPr>
          <w:rFonts w:hint="eastAsia" w:ascii="宋体" w:hAnsi="宋体" w:eastAsia="宋体" w:cs="宋体"/>
          <w:b/>
          <w:bCs/>
          <w:color w:val="auto"/>
          <w:sz w:val="28"/>
          <w:szCs w:val="28"/>
          <w:lang w:eastAsia="zh-CN"/>
        </w:rPr>
        <w:t>后勤保障组</w:t>
      </w:r>
      <w:r>
        <w:rPr>
          <w:rFonts w:hint="eastAsia" w:ascii="宋体" w:hAnsi="宋体" w:eastAsia="宋体" w:cs="宋体"/>
          <w:b w:val="0"/>
          <w:bCs w:val="0"/>
          <w:color w:val="auto"/>
          <w:sz w:val="28"/>
          <w:szCs w:val="28"/>
          <w:lang w:eastAsia="zh-CN"/>
        </w:rPr>
        <w:t>立即检查应急物资的储备数量；应急预案启动后，按总指挥的部署，有效地组织应急物资运送到事故现场；同时提供后勤服务；迅速了解药品、衣服等物资需求</w:t>
      </w:r>
      <w:r>
        <w:rPr>
          <w:rFonts w:hint="eastAsia" w:ascii="宋体" w:hAnsi="宋体" w:eastAsia="宋体" w:cs="宋体"/>
          <w:b w:val="0"/>
          <w:bCs w:val="0"/>
          <w:color w:val="auto"/>
          <w:sz w:val="28"/>
          <w:szCs w:val="28"/>
        </w:rPr>
        <w:t>，设置</w:t>
      </w:r>
      <w:r>
        <w:rPr>
          <w:rFonts w:hint="eastAsia" w:ascii="宋体" w:hAnsi="宋体" w:eastAsia="宋体" w:cs="宋体"/>
          <w:color w:val="auto"/>
          <w:sz w:val="28"/>
          <w:szCs w:val="28"/>
        </w:rPr>
        <w:t>临时</w:t>
      </w:r>
      <w:r>
        <w:rPr>
          <w:rFonts w:hint="eastAsia" w:ascii="宋体" w:hAnsi="宋体" w:eastAsia="宋体" w:cs="宋体"/>
          <w:color w:val="auto"/>
          <w:sz w:val="28"/>
          <w:szCs w:val="28"/>
          <w:lang w:eastAsia="zh-CN"/>
        </w:rPr>
        <w:t>安置点</w:t>
      </w:r>
      <w:r>
        <w:rPr>
          <w:rFonts w:hint="eastAsia" w:ascii="宋体" w:hAnsi="宋体" w:eastAsia="宋体" w:cs="宋体"/>
          <w:color w:val="auto"/>
          <w:sz w:val="28"/>
          <w:szCs w:val="28"/>
        </w:rPr>
        <w:t>，发动社会力量进行物资转运；</w:t>
      </w:r>
      <w:r>
        <w:rPr>
          <w:rFonts w:hint="eastAsia" w:ascii="宋体" w:hAnsi="宋体" w:eastAsia="宋体" w:cs="宋体"/>
          <w:color w:val="auto"/>
          <w:sz w:val="28"/>
          <w:szCs w:val="28"/>
          <w:lang w:eastAsia="zh-CN"/>
        </w:rPr>
        <w:t>做好</w:t>
      </w:r>
      <w:r>
        <w:rPr>
          <w:rFonts w:hint="eastAsia" w:ascii="宋体" w:hAnsi="宋体" w:eastAsia="宋体" w:cs="宋体"/>
          <w:color w:val="auto"/>
          <w:sz w:val="28"/>
          <w:szCs w:val="28"/>
        </w:rPr>
        <w:t>临时用电</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照明</w:t>
      </w:r>
      <w:r>
        <w:rPr>
          <w:rFonts w:hint="eastAsia" w:ascii="宋体" w:hAnsi="宋体" w:eastAsia="宋体" w:cs="宋体"/>
          <w:color w:val="auto"/>
          <w:sz w:val="28"/>
          <w:szCs w:val="28"/>
          <w:lang w:eastAsia="zh-CN"/>
        </w:rPr>
        <w:t>、卫生</w:t>
      </w:r>
      <w:r>
        <w:rPr>
          <w:rFonts w:hint="eastAsia" w:ascii="宋体" w:hAnsi="宋体" w:eastAsia="宋体" w:cs="宋体"/>
          <w:color w:val="auto"/>
          <w:sz w:val="28"/>
          <w:szCs w:val="28"/>
        </w:rPr>
        <w:t>消毒、</w:t>
      </w:r>
      <w:r>
        <w:rPr>
          <w:rFonts w:hint="eastAsia" w:ascii="宋体" w:hAnsi="宋体" w:eastAsia="宋体" w:cs="宋体"/>
          <w:color w:val="auto"/>
          <w:sz w:val="28"/>
          <w:szCs w:val="28"/>
          <w:lang w:eastAsia="zh-CN"/>
        </w:rPr>
        <w:t>垃圾</w:t>
      </w:r>
      <w:r>
        <w:rPr>
          <w:rFonts w:hint="eastAsia" w:ascii="宋体" w:hAnsi="宋体" w:eastAsia="宋体" w:cs="宋体"/>
          <w:color w:val="auto"/>
          <w:sz w:val="28"/>
          <w:szCs w:val="28"/>
        </w:rPr>
        <w:t>清运等应急保障</w:t>
      </w:r>
      <w:r>
        <w:rPr>
          <w:rFonts w:hint="eastAsia" w:ascii="宋体" w:hAnsi="宋体" w:eastAsia="宋体" w:cs="宋体"/>
          <w:color w:val="auto"/>
          <w:sz w:val="28"/>
          <w:szCs w:val="28"/>
          <w:lang w:eastAsia="zh-CN"/>
        </w:rPr>
        <w:t>；</w:t>
      </w:r>
      <w:r>
        <w:rPr>
          <w:rFonts w:hint="eastAsia" w:ascii="宋体" w:hAnsi="宋体" w:eastAsia="宋体" w:cs="宋体"/>
          <w:b w:val="0"/>
          <w:bCs w:val="0"/>
          <w:color w:val="auto"/>
          <w:sz w:val="28"/>
          <w:szCs w:val="28"/>
          <w:lang w:eastAsia="zh-CN"/>
        </w:rPr>
        <w:t>立即</w:t>
      </w:r>
      <w:r>
        <w:rPr>
          <w:rFonts w:hint="eastAsia" w:ascii="宋体" w:hAnsi="宋体" w:eastAsia="宋体" w:cs="宋体"/>
          <w:color w:val="auto"/>
          <w:sz w:val="28"/>
          <w:szCs w:val="28"/>
          <w:lang w:eastAsia="zh-CN"/>
        </w:rPr>
        <w:t>联系南充市中心医院安排救护车辆及人员到事故发生现场准备，负责伤员现场急救、</w:t>
      </w:r>
      <w:r>
        <w:rPr>
          <w:rFonts w:hint="eastAsia" w:ascii="宋体" w:hAnsi="宋体" w:eastAsia="宋体" w:cs="宋体"/>
          <w:color w:val="auto"/>
          <w:sz w:val="28"/>
          <w:szCs w:val="28"/>
        </w:rPr>
        <w:t>保障各类车辆进行伤员转运</w:t>
      </w:r>
      <w:r>
        <w:rPr>
          <w:rFonts w:hint="eastAsia" w:ascii="宋体" w:hAnsi="宋体" w:eastAsia="宋体" w:cs="宋体"/>
          <w:color w:val="auto"/>
          <w:sz w:val="28"/>
          <w:szCs w:val="28"/>
          <w:lang w:eastAsia="zh-CN"/>
        </w:rPr>
        <w:t>。</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3.2.3 预警解除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预警解除基本条件: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确定预警解除的条件：火灾扑灭、疏散完毕、危险源得到有效安全控制，导致次生、衍生事故隐患完全消除、环境污染危害得到有效治理，受伤人员得到治疗等。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（1）属于三级预警的预警解除，由公司应急总指挥解除，报上一级应急管理部门备案。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（2）属于二级预警的预警解除，由公司应急总指挥解除，报上一级应急管理部门备案。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（3）属于一级预警的预警解除，按上级应急管理部门决定办理,报上一级应急管理部门备案。</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45" w:name="_Toc322"/>
      <w:bookmarkStart w:id="146" w:name="_Toc12184"/>
      <w:r>
        <w:rPr>
          <w:rFonts w:hint="eastAsia" w:ascii="宋体" w:hAnsi="宋体" w:eastAsia="宋体" w:cs="宋体"/>
          <w:b/>
          <w:bCs/>
          <w:color w:val="auto"/>
          <w:sz w:val="28"/>
          <w:szCs w:val="28"/>
          <w:lang w:val="en-US" w:eastAsia="zh-CN"/>
        </w:rPr>
        <w:t>3.3 响应启动</w:t>
      </w:r>
      <w:bookmarkEnd w:id="145"/>
      <w:bookmarkEnd w:id="14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经应急指挥部研判，满足公司级（Ⅱ级响应）响应或社会级（Ⅰ级响应）响应条件的，应立即通过【企业微信、交流群、电话、报警等方式】发布应急响应启动指令，响应启动文件格式见附件6 所示。在接到报告同时，指挥部应立即拨打120或119求救。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各应急救援小组接到指令，立即开展以下工作：</w:t>
      </w:r>
    </w:p>
    <w:tbl>
      <w:tblPr>
        <w:tblStyle w:val="25"/>
        <w:tblW w:w="49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493"/>
        <w:gridCol w:w="1464"/>
        <w:gridCol w:w="5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bookmarkStart w:id="147" w:name="OLE_LINK6"/>
            <w:bookmarkStart w:id="148" w:name="OLE_LINK5"/>
            <w:r>
              <w:rPr>
                <w:rFonts w:hint="eastAsia" w:ascii="宋体" w:hAnsi="宋体" w:eastAsia="宋体" w:cs="宋体"/>
                <w:b/>
                <w:bCs/>
                <w:color w:val="auto"/>
                <w:sz w:val="24"/>
                <w:szCs w:val="24"/>
              </w:rPr>
              <w:t>序号</w:t>
            </w:r>
          </w:p>
        </w:tc>
        <w:tc>
          <w:tcPr>
            <w:tcW w:w="1493"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行动关键词</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执行人</w:t>
            </w:r>
          </w:p>
        </w:tc>
        <w:tc>
          <w:tcPr>
            <w:tcW w:w="54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行动详解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22"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3"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集召开紧急会议</w:t>
            </w:r>
          </w:p>
        </w:tc>
        <w:tc>
          <w:tcPr>
            <w:tcW w:w="14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总指挥</w:t>
            </w:r>
          </w:p>
        </w:tc>
        <w:tc>
          <w:tcPr>
            <w:tcW w:w="54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4"/>
              </w:numPr>
              <w:autoSpaceDE w:val="0"/>
              <w:autoSpaceDN w:val="0"/>
              <w:adjustRightInd w:val="0"/>
              <w:snapToGrid w:val="0"/>
              <w:spacing w:before="60" w:line="300" w:lineRule="auto"/>
              <w:ind w:left="274" w:leftChars="0"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立即赶赴应急集合点，与事发现场人员确认事故情况，组织召开现场紧急会议，制定救援方案，并部署应急工作。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22"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3"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协助应急指挥工作</w:t>
            </w:r>
          </w:p>
        </w:tc>
        <w:tc>
          <w:tcPr>
            <w:tcW w:w="14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应急指挥部</w:t>
            </w:r>
          </w:p>
        </w:tc>
        <w:tc>
          <w:tcPr>
            <w:tcW w:w="54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4"/>
              </w:numPr>
              <w:autoSpaceDE w:val="0"/>
              <w:autoSpaceDN w:val="0"/>
              <w:adjustRightInd w:val="0"/>
              <w:snapToGrid w:val="0"/>
              <w:spacing w:before="60" w:line="300" w:lineRule="auto"/>
              <w:ind w:left="274" w:leftChars="0"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及时收集、整理事态发展及处置情况的信息，及时向公司</w:t>
            </w:r>
            <w:r>
              <w:rPr>
                <w:rFonts w:hint="eastAsia" w:ascii="宋体" w:hAnsi="宋体" w:eastAsia="宋体" w:cs="宋体"/>
                <w:color w:val="auto"/>
                <w:sz w:val="24"/>
                <w:szCs w:val="24"/>
                <w:lang w:eastAsia="zh-CN"/>
              </w:rPr>
              <w:t>应急指挥部</w:t>
            </w:r>
            <w:r>
              <w:rPr>
                <w:rFonts w:hint="eastAsia" w:ascii="宋体" w:hAnsi="宋体" w:eastAsia="宋体" w:cs="宋体"/>
                <w:color w:val="auto"/>
                <w:sz w:val="24"/>
                <w:szCs w:val="24"/>
              </w:rPr>
              <w:t>汇报，并协助总指挥开展应急指挥工作。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22"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493"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集结并启动应急响应工作</w:t>
            </w:r>
          </w:p>
        </w:tc>
        <w:tc>
          <w:tcPr>
            <w:tcW w:w="14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事故处置救援组</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综合协调组、疏散隔离组</w:t>
            </w:r>
            <w:r>
              <w:rPr>
                <w:rFonts w:hint="eastAsia" w:ascii="宋体" w:hAnsi="宋体" w:eastAsia="宋体" w:cs="宋体"/>
                <w:color w:val="auto"/>
                <w:sz w:val="24"/>
                <w:szCs w:val="24"/>
              </w:rPr>
              <w:t>、后勤保障组</w:t>
            </w:r>
          </w:p>
        </w:tc>
        <w:tc>
          <w:tcPr>
            <w:tcW w:w="54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4"/>
              </w:numPr>
              <w:autoSpaceDE w:val="0"/>
              <w:autoSpaceDN w:val="0"/>
              <w:adjustRightInd w:val="0"/>
              <w:snapToGrid w:val="0"/>
              <w:spacing w:before="60" w:line="300" w:lineRule="auto"/>
              <w:ind w:left="274"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接到指令后，立即赶赴应急集合点，根据救援方案和人员在岗情况安排组员具体任务。</w:t>
            </w:r>
          </w:p>
          <w:p>
            <w:pPr>
              <w:pStyle w:val="38"/>
              <w:numPr>
                <w:ilvl w:val="0"/>
                <w:numId w:val="4"/>
              </w:numPr>
              <w:autoSpaceDE w:val="0"/>
              <w:autoSpaceDN w:val="0"/>
              <w:adjustRightInd w:val="0"/>
              <w:snapToGrid w:val="0"/>
              <w:spacing w:before="60" w:line="300" w:lineRule="auto"/>
              <w:ind w:left="274" w:leftChars="0"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佩戴好应急救援所需劳动防护用品，并准备所需应急物资，启动应急救援工作。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22"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p>
        </w:tc>
        <w:tc>
          <w:tcPr>
            <w:tcW w:w="1493"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信息上报</w:t>
            </w:r>
          </w:p>
        </w:tc>
        <w:tc>
          <w:tcPr>
            <w:tcW w:w="14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总指挥</w:t>
            </w:r>
          </w:p>
        </w:tc>
        <w:tc>
          <w:tcPr>
            <w:tcW w:w="54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4"/>
              </w:numPr>
              <w:autoSpaceDE w:val="0"/>
              <w:autoSpaceDN w:val="0"/>
              <w:adjustRightInd w:val="0"/>
              <w:snapToGrid w:val="0"/>
              <w:spacing w:before="60" w:line="300" w:lineRule="auto"/>
              <w:ind w:left="274" w:leftChars="0" w:hanging="274" w:firstLineChars="0"/>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根据事故发展事态，在1小时内将事故信息报南充市应急管理局等负有安全生产监督管理职责的部门。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22"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p>
        </w:tc>
        <w:tc>
          <w:tcPr>
            <w:tcW w:w="1493"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资源协调</w:t>
            </w:r>
          </w:p>
        </w:tc>
        <w:tc>
          <w:tcPr>
            <w:tcW w:w="14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应急指挥部、</w:t>
            </w:r>
            <w:r>
              <w:rPr>
                <w:rFonts w:hint="eastAsia" w:ascii="宋体" w:hAnsi="宋体" w:eastAsia="宋体" w:cs="宋体"/>
                <w:color w:val="auto"/>
                <w:sz w:val="24"/>
                <w:szCs w:val="24"/>
                <w:lang w:val="en-US" w:eastAsia="zh-CN"/>
              </w:rPr>
              <w:t>综合协调组、后勤保障组</w:t>
            </w:r>
          </w:p>
        </w:tc>
        <w:tc>
          <w:tcPr>
            <w:tcW w:w="54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4"/>
              </w:numPr>
              <w:autoSpaceDE w:val="0"/>
              <w:autoSpaceDN w:val="0"/>
              <w:adjustRightInd w:val="0"/>
              <w:snapToGrid w:val="0"/>
              <w:spacing w:before="60" w:line="300" w:lineRule="auto"/>
              <w:ind w:left="274"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协调所需相关专家立即赶往现场。</w:t>
            </w:r>
          </w:p>
          <w:p>
            <w:pPr>
              <w:pStyle w:val="38"/>
              <w:numPr>
                <w:ilvl w:val="0"/>
                <w:numId w:val="4"/>
              </w:numPr>
              <w:autoSpaceDE w:val="0"/>
              <w:autoSpaceDN w:val="0"/>
              <w:adjustRightInd w:val="0"/>
              <w:snapToGrid w:val="0"/>
              <w:spacing w:before="60" w:line="300" w:lineRule="auto"/>
              <w:ind w:left="274"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根据紧急会议决定，立即寻求消防等外部救援力量支援。</w:t>
            </w:r>
          </w:p>
          <w:p>
            <w:pPr>
              <w:pStyle w:val="38"/>
              <w:numPr>
                <w:ilvl w:val="0"/>
                <w:numId w:val="4"/>
              </w:numPr>
              <w:autoSpaceDE w:val="0"/>
              <w:autoSpaceDN w:val="0"/>
              <w:adjustRightInd w:val="0"/>
              <w:snapToGrid w:val="0"/>
              <w:spacing w:before="60" w:line="300" w:lineRule="auto"/>
              <w:ind w:left="274"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协调本公司各部门、应急队伍及外部单位之间的救援工作</w:t>
            </w:r>
            <w:r>
              <w:rPr>
                <w:rFonts w:hint="eastAsia" w:ascii="宋体" w:hAnsi="宋体" w:eastAsia="宋体" w:cs="宋体"/>
                <w:color w:val="auto"/>
                <w:sz w:val="24"/>
                <w:szCs w:val="24"/>
                <w:lang w:eastAsia="zh-CN"/>
              </w:rPr>
              <w:t>。</w:t>
            </w:r>
          </w:p>
          <w:p>
            <w:pPr>
              <w:pStyle w:val="38"/>
              <w:numPr>
                <w:ilvl w:val="0"/>
                <w:numId w:val="4"/>
              </w:numPr>
              <w:autoSpaceDE w:val="0"/>
              <w:autoSpaceDN w:val="0"/>
              <w:adjustRightInd w:val="0"/>
              <w:snapToGrid w:val="0"/>
              <w:spacing w:before="60" w:line="300" w:lineRule="auto"/>
              <w:ind w:left="274" w:leftChars="0"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根据事故</w:t>
            </w:r>
            <w:r>
              <w:rPr>
                <w:rFonts w:hint="eastAsia" w:ascii="宋体" w:hAnsi="宋体" w:eastAsia="宋体" w:cs="宋体"/>
                <w:color w:val="auto"/>
                <w:sz w:val="24"/>
                <w:szCs w:val="24"/>
                <w:lang w:eastAsia="zh-CN"/>
              </w:rPr>
              <w:t>救援需要，调用内外部应急物资</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22"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p>
        </w:tc>
        <w:tc>
          <w:tcPr>
            <w:tcW w:w="1493"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后勤及财力保障</w:t>
            </w:r>
          </w:p>
        </w:tc>
        <w:tc>
          <w:tcPr>
            <w:tcW w:w="14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后勤保障组</w:t>
            </w:r>
          </w:p>
        </w:tc>
        <w:tc>
          <w:tcPr>
            <w:tcW w:w="54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4"/>
              </w:numPr>
              <w:autoSpaceDE w:val="0"/>
              <w:autoSpaceDN w:val="0"/>
              <w:adjustRightInd w:val="0"/>
              <w:snapToGrid w:val="0"/>
              <w:spacing w:before="60" w:line="300" w:lineRule="auto"/>
              <w:ind w:left="274" w:leftChars="0"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根据部署与事态发展需要，做好后勤及财力保障，协调并配备好所需应急物资、车辆、通讯器材等。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22"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p>
        </w:tc>
        <w:tc>
          <w:tcPr>
            <w:tcW w:w="1493" w:type="dxa"/>
            <w:tcBorders>
              <w:left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信息公开</w:t>
            </w:r>
          </w:p>
        </w:tc>
        <w:tc>
          <w:tcPr>
            <w:tcW w:w="146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综合协调组、应急指挥部</w:t>
            </w:r>
          </w:p>
        </w:tc>
        <w:tc>
          <w:tcPr>
            <w:tcW w:w="54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4"/>
              </w:numPr>
              <w:autoSpaceDE w:val="0"/>
              <w:autoSpaceDN w:val="0"/>
              <w:adjustRightInd w:val="0"/>
              <w:snapToGrid w:val="0"/>
              <w:spacing w:before="60" w:line="300" w:lineRule="auto"/>
              <w:ind w:left="274"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及时向受到影响的相关方(如周边可能受到影响的居民、企事业单位等)告知有关情况，以及相应的应急措施和方法。</w:t>
            </w:r>
          </w:p>
          <w:p>
            <w:pPr>
              <w:pStyle w:val="38"/>
              <w:numPr>
                <w:ilvl w:val="0"/>
                <w:numId w:val="4"/>
              </w:numPr>
              <w:autoSpaceDE w:val="0"/>
              <w:autoSpaceDN w:val="0"/>
              <w:adjustRightInd w:val="0"/>
              <w:snapToGrid w:val="0"/>
              <w:spacing w:before="60" w:line="300" w:lineRule="auto"/>
              <w:ind w:left="274" w:leftChars="0" w:hanging="274" w:firstLineChars="0"/>
              <w:rPr>
                <w:rFonts w:hint="eastAsia" w:ascii="宋体" w:hAnsi="宋体" w:eastAsia="宋体" w:cs="宋体"/>
                <w:color w:val="auto"/>
                <w:sz w:val="24"/>
                <w:szCs w:val="24"/>
              </w:rPr>
            </w:pPr>
            <w:r>
              <w:rPr>
                <w:rFonts w:hint="eastAsia" w:ascii="宋体" w:hAnsi="宋体" w:eastAsia="宋体" w:cs="宋体"/>
                <w:color w:val="auto"/>
                <w:sz w:val="24"/>
                <w:szCs w:val="24"/>
              </w:rPr>
              <w:t>关注社会舆情，根据事故发展势态，拟定信息公开标准通稿，协助</w:t>
            </w:r>
            <w:r>
              <w:rPr>
                <w:rFonts w:hint="eastAsia" w:ascii="宋体" w:hAnsi="宋体" w:eastAsia="宋体" w:cs="宋体"/>
                <w:color w:val="auto"/>
                <w:sz w:val="24"/>
                <w:szCs w:val="24"/>
                <w:lang w:eastAsia="zh-CN"/>
              </w:rPr>
              <w:t>应急指挥部</w:t>
            </w:r>
            <w:r>
              <w:rPr>
                <w:rFonts w:hint="eastAsia" w:ascii="宋体" w:hAnsi="宋体" w:eastAsia="宋体" w:cs="宋体"/>
                <w:color w:val="auto"/>
                <w:sz w:val="24"/>
                <w:szCs w:val="24"/>
              </w:rPr>
              <w:t>做好信息公开工作的准备。</w:t>
            </w:r>
          </w:p>
        </w:tc>
      </w:tr>
      <w:bookmarkEnd w:id="147"/>
      <w:bookmarkEnd w:id="148"/>
    </w:tbl>
    <w:p>
      <w:pPr>
        <w:pStyle w:val="35"/>
        <w:keepNext w:val="0"/>
        <w:keepLines w:val="0"/>
        <w:pageBreakBefore w:val="0"/>
        <w:widowControl/>
        <w:kinsoku/>
        <w:wordWrap/>
        <w:overflowPunct/>
        <w:topLinePunct w:val="0"/>
        <w:autoSpaceDE/>
        <w:autoSpaceDN/>
        <w:bidi w:val="0"/>
        <w:adjustRightInd/>
        <w:snapToGrid/>
        <w:spacing w:line="360" w:lineRule="auto"/>
        <w:jc w:val="both"/>
        <w:textAlignment w:val="baseline"/>
        <w:outlineLvl w:val="3"/>
        <w:rPr>
          <w:rFonts w:hint="eastAsia" w:ascii="宋体" w:hAnsi="宋体" w:eastAsia="宋体" w:cs="宋体"/>
          <w:b/>
          <w:bCs/>
          <w:color w:val="auto"/>
          <w:kern w:val="2"/>
          <w:sz w:val="28"/>
          <w:szCs w:val="32"/>
          <w:u w:val="none"/>
          <w:lang w:val="en-US" w:eastAsia="zh-CN" w:bidi="ar-SA"/>
        </w:rPr>
      </w:pPr>
      <w:r>
        <w:rPr>
          <w:rFonts w:hint="eastAsia" w:ascii="宋体" w:hAnsi="宋体" w:eastAsia="宋体" w:cs="宋体"/>
          <w:b/>
          <w:bCs/>
          <w:color w:val="auto"/>
          <w:kern w:val="2"/>
          <w:sz w:val="28"/>
          <w:szCs w:val="32"/>
          <w:u w:val="none"/>
          <w:lang w:val="en-US" w:eastAsia="zh-CN" w:bidi="ar-SA"/>
        </w:rPr>
        <w:t>3.3.1 车间级（Ⅲ级）响应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发现事故征兆或者事故发生初期阶段时，现场负责人立即启动车间级响应（Ⅲ级响应），按照下表中对应的现场处置方案执行现场应急处置措施：</w:t>
      </w:r>
    </w:p>
    <w:tbl>
      <w:tblPr>
        <w:tblStyle w:val="26"/>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726"/>
        <w:gridCol w:w="3518"/>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blHeader/>
          <w:jc w:val="center"/>
        </w:trPr>
        <w:tc>
          <w:tcPr>
            <w:tcW w:w="457"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2084"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现场处置方案名称</w:t>
            </w:r>
          </w:p>
        </w:tc>
        <w:tc>
          <w:tcPr>
            <w:tcW w:w="1968"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适用范围</w:t>
            </w:r>
          </w:p>
        </w:tc>
        <w:tc>
          <w:tcPr>
            <w:tcW w:w="490"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57"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火灾事故现场处置方案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固体、液体、气体、电气火灾初期</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危化品泄漏事故现场处置方案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小面积泄漏</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触电事故现场处置方案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各部门用电器与电气设施</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灼烫事故现场处置方案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生产车间</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冻伤事故现场处置方案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生产车间</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机械伤害事故现场处置方案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生产车间</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高处坠落事故现场处置方案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厂区各处</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物体打击事故现场处置方案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厂区各处</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车辆伤害事故现场处置方案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厂区内外道路</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7"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中毒、窒息事故现场处置方案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厂区各处</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57" w:type="pct"/>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2084"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淹溺事故现场处置方案</w:t>
            </w:r>
          </w:p>
        </w:tc>
        <w:tc>
          <w:tcPr>
            <w:tcW w:w="1968" w:type="pct"/>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水池</w:t>
            </w:r>
          </w:p>
        </w:tc>
        <w:tc>
          <w:tcPr>
            <w:tcW w:w="490" w:type="pct"/>
            <w:vAlign w:val="center"/>
          </w:tcPr>
          <w:p>
            <w:pPr>
              <w:autoSpaceDE w:val="0"/>
              <w:autoSpaceDN w:val="0"/>
              <w:adjustRightInd w:val="0"/>
              <w:snapToGrid w:val="0"/>
              <w:jc w:val="center"/>
              <w:rPr>
                <w:rFonts w:hint="eastAsia" w:ascii="宋体" w:hAnsi="宋体" w:eastAsia="宋体" w:cs="宋体"/>
                <w:color w:val="auto"/>
                <w:sz w:val="24"/>
                <w:szCs w:val="24"/>
              </w:rPr>
            </w:pPr>
          </w:p>
        </w:tc>
      </w:tr>
    </w:tbl>
    <w:p>
      <w:pPr>
        <w:pStyle w:val="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说明：对于未编制现场处置方案的事故，由现场负责人负责指挥，现场人员第一时间采取措施进行先期处置。处置的原则是在保障自身安全的情况下尽快疏散受威胁人群，在控制事态或为后续应急救援活动建立便利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现场负责人启动现场应急处置的同时，应将事故信息按第3.1.1节要求上报，由公司应急指挥部进行信息处置与研判后，决定响应等级（第1.2节），组织预警（第3.2节）或响应启动（第3.3节）行动。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应急处置过程中，若现场应急小组组长判断已达到（或者预判将要达到）公司级响应条件或者社会级响应条件，应立即向公司应急指挥部报告，请求响应升级。情况紧急时，现场应急小组组长也可直接向外部救援力量报告并请求支援，（消防报警电话119、医疗急救电话120）。</w:t>
      </w:r>
    </w:p>
    <w:p>
      <w:pPr>
        <w:pStyle w:val="35"/>
        <w:keepNext w:val="0"/>
        <w:keepLines w:val="0"/>
        <w:pageBreakBefore w:val="0"/>
        <w:widowControl/>
        <w:kinsoku/>
        <w:wordWrap/>
        <w:overflowPunct/>
        <w:topLinePunct w:val="0"/>
        <w:autoSpaceDE/>
        <w:autoSpaceDN/>
        <w:bidi w:val="0"/>
        <w:adjustRightInd/>
        <w:snapToGrid/>
        <w:spacing w:line="360" w:lineRule="auto"/>
        <w:jc w:val="both"/>
        <w:textAlignment w:val="baseline"/>
        <w:outlineLvl w:val="3"/>
        <w:rPr>
          <w:rFonts w:hint="eastAsia" w:ascii="宋体" w:hAnsi="宋体" w:eastAsia="宋体" w:cs="宋体"/>
          <w:b/>
          <w:bCs/>
          <w:color w:val="auto"/>
          <w:kern w:val="2"/>
          <w:sz w:val="28"/>
          <w:szCs w:val="32"/>
          <w:u w:val="none"/>
          <w:lang w:val="en-US" w:eastAsia="zh-CN" w:bidi="ar-SA"/>
        </w:rPr>
      </w:pPr>
      <w:r>
        <w:rPr>
          <w:rFonts w:hint="eastAsia" w:ascii="宋体" w:hAnsi="宋体" w:eastAsia="宋体" w:cs="宋体"/>
          <w:b/>
          <w:bCs/>
          <w:color w:val="auto"/>
          <w:kern w:val="2"/>
          <w:sz w:val="28"/>
          <w:szCs w:val="32"/>
          <w:u w:val="none"/>
          <w:lang w:val="en-US" w:eastAsia="zh-CN" w:bidi="ar-SA"/>
        </w:rPr>
        <w:t>3.3.2 公司级（Ⅱ级）响应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接到公司级响应启动指令后，事发现场负责人立即执行响应升级相关措施，公司应急救援小组及各部门立即启动相应的专项应急预案。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根据公司可能发生的事故风险评估，制定了下列类型事故的专项应急预案。需启动公司级响应时，公司应急救援小组及各部门应按照下列专项应急预案执行专项应急预案：</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3990"/>
        <w:gridCol w:w="358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trPr>
        <w:tc>
          <w:tcPr>
            <w:tcW w:w="352"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2147"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专项应急预案</w:t>
            </w:r>
            <w:r>
              <w:rPr>
                <w:rFonts w:hint="eastAsia" w:ascii="宋体" w:hAnsi="宋体" w:eastAsia="宋体" w:cs="宋体"/>
                <w:b/>
                <w:bCs/>
                <w:color w:val="auto"/>
                <w:sz w:val="24"/>
                <w:szCs w:val="24"/>
              </w:rPr>
              <w:t>名称</w:t>
            </w:r>
          </w:p>
        </w:tc>
        <w:tc>
          <w:tcPr>
            <w:tcW w:w="1930"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适用范围</w:t>
            </w:r>
          </w:p>
        </w:tc>
        <w:tc>
          <w:tcPr>
            <w:tcW w:w="569" w:type="pct"/>
            <w:shd w:val="clear" w:color="auto" w:fill="auto"/>
            <w:vAlign w:val="center"/>
          </w:tcPr>
          <w:p>
            <w:pPr>
              <w:autoSpaceDE w:val="0"/>
              <w:autoSpaceDN w:val="0"/>
              <w:adjustRightInd w:val="0"/>
              <w:snapToGrid w:val="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52"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3990"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火灾、爆炸事故专项应急预案</w:t>
            </w:r>
          </w:p>
        </w:tc>
        <w:tc>
          <w:tcPr>
            <w:tcW w:w="3587"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公司范围内</w:t>
            </w:r>
          </w:p>
        </w:tc>
        <w:tc>
          <w:tcPr>
            <w:tcW w:w="569"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52"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p>
        </w:tc>
        <w:tc>
          <w:tcPr>
            <w:tcW w:w="3990"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容器爆炸事故专项应急预案</w:t>
            </w:r>
          </w:p>
        </w:tc>
        <w:tc>
          <w:tcPr>
            <w:tcW w:w="3587"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公司范围内</w:t>
            </w:r>
          </w:p>
        </w:tc>
        <w:tc>
          <w:tcPr>
            <w:tcW w:w="569"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52" w:type="pct"/>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w:t>
            </w:r>
          </w:p>
        </w:tc>
        <w:tc>
          <w:tcPr>
            <w:tcW w:w="3990"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危化品泄漏事故专项应急预案</w:t>
            </w:r>
          </w:p>
        </w:tc>
        <w:tc>
          <w:tcPr>
            <w:tcW w:w="3587"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公司范围内</w:t>
            </w:r>
          </w:p>
        </w:tc>
        <w:tc>
          <w:tcPr>
            <w:tcW w:w="569" w:type="pct"/>
            <w:vAlign w:val="center"/>
          </w:tcPr>
          <w:p>
            <w:pPr>
              <w:autoSpaceDE w:val="0"/>
              <w:autoSpaceDN w:val="0"/>
              <w:adjustRightInd w:val="0"/>
              <w:snapToGrid w:val="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52" w:type="pct"/>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3990"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有限空间作业专项应急预案</w:t>
            </w:r>
          </w:p>
        </w:tc>
        <w:tc>
          <w:tcPr>
            <w:tcW w:w="3587" w:type="dxa"/>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公司范围内</w:t>
            </w:r>
          </w:p>
        </w:tc>
        <w:tc>
          <w:tcPr>
            <w:tcW w:w="569" w:type="pct"/>
            <w:vAlign w:val="center"/>
          </w:tcPr>
          <w:p>
            <w:pPr>
              <w:autoSpaceDE w:val="0"/>
              <w:autoSpaceDN w:val="0"/>
              <w:adjustRightInd w:val="0"/>
              <w:snapToGrid w:val="0"/>
              <w:jc w:val="center"/>
              <w:rPr>
                <w:rFonts w:hint="eastAsia" w:ascii="宋体" w:hAnsi="宋体" w:eastAsia="宋体" w:cs="宋体"/>
                <w:color w:val="auto"/>
                <w:sz w:val="24"/>
                <w:szCs w:val="24"/>
              </w:rPr>
            </w:pPr>
          </w:p>
        </w:tc>
      </w:tr>
    </w:tbl>
    <w:p>
      <w:pPr>
        <w:pStyle w:val="35"/>
        <w:keepNext w:val="0"/>
        <w:keepLines w:val="0"/>
        <w:pageBreakBefore w:val="0"/>
        <w:widowControl/>
        <w:kinsoku/>
        <w:wordWrap/>
        <w:overflowPunct/>
        <w:topLinePunct w:val="0"/>
        <w:autoSpaceDE/>
        <w:autoSpaceDN/>
        <w:bidi w:val="0"/>
        <w:adjustRightInd/>
        <w:snapToGrid/>
        <w:spacing w:line="360" w:lineRule="auto"/>
        <w:jc w:val="both"/>
        <w:textAlignment w:val="baseline"/>
        <w:outlineLvl w:val="3"/>
        <w:rPr>
          <w:rFonts w:hint="eastAsia" w:ascii="宋体" w:hAnsi="宋体" w:eastAsia="宋体" w:cs="宋体"/>
          <w:b/>
          <w:bCs/>
          <w:color w:val="auto"/>
          <w:kern w:val="2"/>
          <w:sz w:val="28"/>
          <w:szCs w:val="32"/>
          <w:u w:val="none"/>
          <w:lang w:val="en-US" w:eastAsia="zh-CN" w:bidi="ar-SA"/>
        </w:rPr>
      </w:pPr>
      <w:r>
        <w:rPr>
          <w:rFonts w:hint="eastAsia" w:ascii="宋体" w:hAnsi="宋体" w:eastAsia="宋体" w:cs="宋体"/>
          <w:b/>
          <w:bCs/>
          <w:color w:val="auto"/>
          <w:kern w:val="2"/>
          <w:sz w:val="28"/>
          <w:szCs w:val="32"/>
          <w:u w:val="none"/>
          <w:lang w:val="en-US" w:eastAsia="zh-CN" w:bidi="ar-SA"/>
        </w:rPr>
        <w:t>3.3.3 社会级（Ⅰ级）响应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经总指挥研判后，满足社会级响应（Ⅰ级响应）条件时，由总指挥及时向南充市应急局或南充市政府报告，请求支援；同时快速疏散撤离建筑物及毗邻建筑物内的所有人员。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上级应急增援力量到达后，由总指挥负责组织公司各应急小组与上级政府单位应急救援小组衔接。</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color w:val="auto"/>
          <w:sz w:val="28"/>
          <w:szCs w:val="28"/>
          <w:lang w:val="en-US" w:eastAsia="zh-CN"/>
        </w:rPr>
        <w:sectPr>
          <w:type w:val="continuous"/>
          <w:pgSz w:w="11906" w:h="16838"/>
          <w:pgMar w:top="1417" w:right="1417" w:bottom="1417" w:left="1417" w:header="851" w:footer="992" w:gutter="0"/>
          <w:pgNumType w:fmt="decimal"/>
          <w:cols w:space="720" w:num="1"/>
          <w:docGrid w:type="lines" w:linePitch="312" w:charSpace="0"/>
        </w:sectPr>
      </w:pPr>
      <w:bookmarkStart w:id="149" w:name="_Toc24473"/>
      <w:bookmarkStart w:id="150" w:name="_Toc6137"/>
      <w:bookmarkStart w:id="151" w:name="_Toc21883"/>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3.4 应急处置</w:t>
      </w:r>
      <w:bookmarkEnd w:id="149"/>
      <w:bookmarkEnd w:id="15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公司级（Ⅱ级）响应启动（第3.3节）后，事发现场所有人员立即执行响应升级相关措施，公司应急救援小组及各部门分别立即执行联动应急处置措施。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各应急救援小组以及各部门应根据自身能力，采取力所能及的措施，如抢救伤员、隔离警戒控制事态、疏散无关人员、现场监测、减少环境污染等，为后续应急行动建立便利条件，以尽可能减少人员伤亡和财产损失。</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152" w:name="_Toc6545"/>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1</w:t>
      </w:r>
      <w:r>
        <w:rPr>
          <w:rFonts w:hint="eastAsia" w:ascii="宋体" w:hAnsi="宋体" w:eastAsia="宋体" w:cs="宋体"/>
          <w:b/>
          <w:bCs w:val="0"/>
          <w:color w:val="auto"/>
          <w:sz w:val="28"/>
          <w:szCs w:val="28"/>
          <w:lang w:val="en-US" w:eastAsia="zh-CN"/>
        </w:rPr>
        <w:t xml:space="preserve"> </w:t>
      </w:r>
      <w:bookmarkEnd w:id="152"/>
      <w:r>
        <w:rPr>
          <w:rFonts w:hint="eastAsia" w:ascii="宋体" w:hAnsi="宋体" w:eastAsia="宋体" w:cs="宋体"/>
          <w:b/>
          <w:bCs w:val="0"/>
          <w:color w:val="auto"/>
          <w:sz w:val="28"/>
          <w:szCs w:val="28"/>
          <w:lang w:val="en-US" w:eastAsia="zh-CN"/>
        </w:rPr>
        <w:t>隔离警戒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疏散隔离组负责指派专人建立隔离警戒区，以确保救援人员和撤离人员都能够处于一个相对安全的活动范围。各区域将由警示带加以分隔，并用警示牌作为提示标志。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（1）危险区域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一般事故危险区域设定：如当发生触电事故（但未造成人员死亡或重伤）的用电场所；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严重或重大事故危险区域设定：整个发生事故场所。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（2）安全区域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153" w:name="_Toc7171"/>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2</w:t>
      </w:r>
      <w:r>
        <w:rPr>
          <w:rFonts w:hint="eastAsia" w:ascii="宋体" w:hAnsi="宋体" w:eastAsia="宋体" w:cs="宋体"/>
          <w:b/>
          <w:bCs w:val="0"/>
          <w:color w:val="auto"/>
          <w:sz w:val="28"/>
          <w:szCs w:val="28"/>
          <w:lang w:val="en-US" w:eastAsia="zh-CN"/>
        </w:rPr>
        <w:t xml:space="preserve"> 紧急疏散</w:t>
      </w:r>
      <w:bookmarkEnd w:id="15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疏散隔离组负责组织人员疏散、维持事故现场秩序。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（1）紧急疏散的指令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发生下列情况之一时，应立即组织人员紧急疏散：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①发生突发事件，危及影响范围内人们的生命安全时；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②应急指挥部发出紧急疏散命令时；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③紧急疏散也可能由于恐怖破坏活动，地震、洪灾等自然灾害、线路故障停电及其它目前尚不能确定的原因。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（2）紧急疏散的组织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发生事故后，若发出上述紧急疏散指令，应立即启动警报装置，打开疏散通道，应急救援组立即组织人员按照预定路线有序进行。当预定路线遇阻应选择另外安全路线撤离。原则是人员安全和撤离路线尽量短。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（3）紧急疏散时尽量做的工作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①关闭距离你最近的防火门。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②停车、切断电源。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③关闭采暖通风系统。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（4）紧急疏散的注意事项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①及时应清点人数，做到撤离时不漏掉人员。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应组织有序，避免大声呼叫、拥挤和奔跑。若疏散途中遇有大量烟气，应改道不同方向的安全出入口，绕开烟雾。区域内的外来人员、来访人员等应随同撤离。（注意：越是接近火灾事故区，烟气越浓、温度越高，因此应判断好撤离方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③若到处有烟雾，应尽量俯下身体，因为距离地面越近，空气越是新鲜，并且容易辨别疏散方向。若充满烟雾或发现有天然气味时，应用湿毛巾放在鼻孔上进行呼吸。不可吸入烟气和天然气。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（5）紧急疏散人员的集合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所有人员（包括来访人员、工作人员）撤离后应到集合点报到。由疏散隔离组组长统计人数，成员应协助区域负责人迅速查清人数。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（6）疏散救援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紧急疏散集合后（固定集合地点设置参见附图标明的位置，可根据事故状况和风向等气象条件临时选择集合点），发现有人员未能撤出，应立即查明原因，派出救援人员现场施救。若被救人员可能在火场范围内或可能压在建筑、设备设施下，超出厂内救援施救能力时。若超出本公司应急能力，立即向南充市应急局、南充市政府</w:t>
      </w:r>
      <w:r>
        <w:rPr>
          <w:rFonts w:hint="eastAsia" w:ascii="宋体" w:hAnsi="宋体" w:eastAsia="宋体" w:cs="宋体"/>
          <w:i w:val="0"/>
          <w:iCs w:val="0"/>
          <w:color w:val="auto"/>
          <w:kern w:val="0"/>
          <w:sz w:val="28"/>
          <w:szCs w:val="28"/>
          <w:highlight w:val="none"/>
          <w:lang w:val="zh-CN" w:eastAsia="zh-CN" w:bidi="ar-SA"/>
        </w:rPr>
        <w:t>等</w:t>
      </w:r>
      <w:r>
        <w:rPr>
          <w:rFonts w:hint="eastAsia" w:ascii="宋体" w:hAnsi="宋体" w:eastAsia="宋体" w:cs="宋体"/>
          <w:color w:val="auto"/>
          <w:sz w:val="28"/>
          <w:szCs w:val="28"/>
          <w:lang w:val="en-US" w:eastAsia="zh-CN"/>
        </w:rPr>
        <w:t>请求扩大应急。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（1）操作规程必须包括紧急停机程序；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（2）非本公司人员的安全撤离由疏散隔离组负责；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（3）宣布应急结束前，任何人不得擅自返回工作地点。</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154" w:name="_Toc23780"/>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3</w:t>
      </w:r>
      <w:r>
        <w:rPr>
          <w:rFonts w:hint="eastAsia" w:ascii="宋体" w:hAnsi="宋体" w:eastAsia="宋体" w:cs="宋体"/>
          <w:b/>
          <w:bCs w:val="0"/>
          <w:color w:val="auto"/>
          <w:sz w:val="28"/>
          <w:szCs w:val="28"/>
          <w:lang w:val="en-US" w:eastAsia="zh-CN"/>
        </w:rPr>
        <w:t xml:space="preserve"> 人员搜救</w:t>
      </w:r>
      <w:bookmarkEnd w:id="15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故处置救援组到达事故现场后，小组成员（3人）及技术专家（1-2人）配戴好劳动防护用品，首先由1名小组成员和1名技术专家进入现场查明现场有无被火围和中毒人员，若有，组长及另1名组员迅速进入现场，以最快速度将受困和受伤人员脱离现场，若伤者不能移动，由医疗救护组进入现场，在确保自身安全的前提下对伤者开展力所能及的抢救工作。</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155" w:name="_Toc17783"/>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4</w:t>
      </w:r>
      <w:r>
        <w:rPr>
          <w:rFonts w:hint="eastAsia" w:ascii="宋体" w:hAnsi="宋体" w:eastAsia="宋体" w:cs="宋体"/>
          <w:b/>
          <w:bCs w:val="0"/>
          <w:color w:val="auto"/>
          <w:sz w:val="28"/>
          <w:szCs w:val="28"/>
          <w:lang w:val="en-US" w:eastAsia="zh-CN"/>
        </w:rPr>
        <w:t xml:space="preserve"> 医疗救治</w:t>
      </w:r>
      <w:bookmarkEnd w:id="1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后勤保障组到达现场后，迅速确定现场人员救护方案，并根据发生事故的类型，穿戴必要的防护设备后，携带相关急救用品，赶往事故现场按照“先重后轻”的原则实施救援。若现场伤者伤势严重，应立即拨打医院急救电话并将伤者转移至安全区域，在救护车到来之前，对伤者进行力所能及的应急抢救。专业医疗人员到来之后，积极协助其开展对伤者的救治工作。</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5</w:t>
      </w:r>
      <w:r>
        <w:rPr>
          <w:rFonts w:hint="eastAsia" w:ascii="宋体" w:hAnsi="宋体" w:eastAsia="宋体" w:cs="宋体"/>
          <w:b/>
          <w:bCs w:val="0"/>
          <w:color w:val="auto"/>
          <w:sz w:val="28"/>
          <w:szCs w:val="28"/>
          <w:lang w:val="en-US" w:eastAsia="zh-CN"/>
        </w:rPr>
        <w:t xml:space="preserve"> 现场监测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由疏散隔离组在划设完警戒区域后，在事故现场周围设岗，加强警戒和巡逻检查，同时装备必要的个人防护装备及检测设备，监测现场其他设备安全状态，有无产生危险征兆、周边环境是否有其他威胁目标等。</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6</w:t>
      </w:r>
      <w:r>
        <w:rPr>
          <w:rFonts w:hint="eastAsia" w:ascii="宋体" w:hAnsi="宋体" w:eastAsia="宋体" w:cs="宋体"/>
          <w:b/>
          <w:bCs w:val="0"/>
          <w:color w:val="auto"/>
          <w:sz w:val="28"/>
          <w:szCs w:val="28"/>
          <w:lang w:val="en-US" w:eastAsia="zh-CN"/>
        </w:rPr>
        <w:t xml:space="preserve"> 技术支持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合协调组根据现场事故情况，联系上级部门、技术专家给予技术支持。同时，公司设备、工艺骨干人员作为技术保障，特种设备事故有专业的人员制定救援方案；在发生生产安全事故时应迅速组织技术力量处置并配合外部力量救援。</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7</w:t>
      </w:r>
      <w:r>
        <w:rPr>
          <w:rFonts w:hint="eastAsia" w:ascii="宋体" w:hAnsi="宋体" w:eastAsia="宋体" w:cs="宋体"/>
          <w:b/>
          <w:bCs w:val="0"/>
          <w:color w:val="auto"/>
          <w:sz w:val="28"/>
          <w:szCs w:val="28"/>
          <w:lang w:val="en-US" w:eastAsia="zh-CN"/>
        </w:rPr>
        <w:t xml:space="preserve"> 工程保护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若发生爆炸事故，造成房屋或大型设备倒塌的，应急指挥部需迅速制定工程抢险方案，并组织实施。若公司现有设备不足以支持准备实施的工程抢险方案时，应立即拨打119报警电话请求协助。</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8</w:t>
      </w:r>
      <w:r>
        <w:rPr>
          <w:rFonts w:hint="eastAsia" w:ascii="宋体" w:hAnsi="宋体" w:eastAsia="宋体" w:cs="宋体"/>
          <w:b/>
          <w:bCs w:val="0"/>
          <w:color w:val="auto"/>
          <w:sz w:val="28"/>
          <w:szCs w:val="28"/>
          <w:lang w:val="en-US" w:eastAsia="zh-CN"/>
        </w:rPr>
        <w:t xml:space="preserve"> 环境保护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根据抢险后事故现场的具体情况，洗消去污可采用以下方法：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①处理：对应急行动工作人员使用过后衣服、工具、设备进行处理。当应急人员从现场撤出时，他们的衣物或其他物品应集中储藏，作为危险废物处理；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②物理去除：使用刷子或吸尘器除去一些颗粒性污染物；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③吸附：可用沙子或吸附材料等吸收污染物，但沙子或吸附剂等使用后要回收、处理。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清理现场工作注意事项：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（1）保持事故现场通风良好。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（2）事故现场的重要证据应当妥善保护，不得破坏事故现场。必要时应做出标志、绘图现场简图、照相摄像，并写出书面记录。</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3.4.</w:t>
      </w:r>
      <w:r>
        <w:rPr>
          <w:rFonts w:hint="eastAsia" w:ascii="宋体" w:hAnsi="宋体" w:cs="宋体"/>
          <w:b/>
          <w:bCs w:val="0"/>
          <w:color w:val="auto"/>
          <w:sz w:val="28"/>
          <w:szCs w:val="28"/>
          <w:lang w:val="en-US" w:eastAsia="zh-CN"/>
        </w:rPr>
        <w:t>9</w:t>
      </w:r>
      <w:r>
        <w:rPr>
          <w:rFonts w:hint="eastAsia" w:ascii="宋体" w:hAnsi="宋体" w:eastAsia="宋体" w:cs="宋体"/>
          <w:b/>
          <w:bCs w:val="0"/>
          <w:color w:val="auto"/>
          <w:sz w:val="28"/>
          <w:szCs w:val="28"/>
          <w:lang w:val="en-US" w:eastAsia="zh-CN"/>
        </w:rPr>
        <w:t xml:space="preserve"> 救援人员防护要求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3.4.9.1佩戴个人防护器具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（1）防护用品应满足本单位工作和事故救援的要求，应佩戴安全帽、防毒面具，穿防火服。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（2）作业期间不得随意脱下防护用品。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（3）从业人员必须正确佩戴防护用品。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（4）劳动防护用品应定期进行更换，保证其合格有效；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（5）安全帽使用方法：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①帽内缓冲衬垫的带子要结实，人的头顶与帽内顶部的间隔不能小于32毫米。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②不能把安全帽当坐垫用，以防变形，降低防护作用。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③发现帽子有龟裂、下凹和磨损等情况，要立即更换。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（6）防火服穿戴方法：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①发生火情时，及时使用防火服。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②从包装盒中取出防火服。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③小心卸下包装，展开防火服，检查其是否完好无损。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④拉开防火服背部的拉链。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⑤先将腿伸进连体防火服，然后伸进手臂，最后戴上头罩。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⑥拉上拉链，并将按扣按好。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⑦穿上</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"http://baike.haosou.com/doc/2368521.html" \t "http://baike.haosou.com/doc/_blank"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安全靴</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，并按照您的需要调节好鞋带。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⑧必须确认裤腿完全覆盖住安全靴的靴筒。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⑨最后戴上手套，这样您就穿戴好了全套防火服及组件，依照相反的顺序脱下防火服。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3.4.9.2使用抢险救援器材方面的注意事项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（1）实施控制事故发展的装备、资源。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①通信设备应是无线电通信设备；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②消防装备和器材：消防车、消防喷淋装置、各种型号的干粉、二氧化碳灭火器、应急照明设备等。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（2）医疗救护车、常用救护药品等。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（3）灭火器使用方法：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①当发生火情时，抢险人员应迅速手提或肩扛灭火器快速奔赴火场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②在距离燃烧处五米左右，使用前将筒体上下颠动几次，使干粉松动，操作者应先将开启把上的保险销拔下；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③然后握住喷射软管前端喷嘴部，另一只手将开启压把压下进行灭火。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④灭火时要由远而近，左右横向扫射；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⑤在使用灭火器时，一只手应始终压下压把，不能放开，否则会中断喷射。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⑥灭火时站在火源的上风向。</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3.4.9.3 采取救援对策或措施方面的注意事项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（1）应急指挥部应设置在上风处，救援物资尽可能靠近事故现场。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（2）救援人员熟悉和熟练应用自救措施和互救措施，进入事故现场前首先应辨别风向，下风区、低洼区和沟渠附近不准停留。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（4）人员疏散时，应向事故现场上风区转移。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3.4.9.4 现场应急处置能力确认和人员安全防护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（1）现场应急能力确认由各应急救援组长负责，主要是检查各抢险器材的完好情况及确认抢险人员的抢险能力；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（2）应急救援人员进入危险区前，必须穿戴（携）好个人防护装备和救生器材。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（3）总指挥应指定一名抢险救援人员为事故处置救援组长。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（4）进行救援和抢险的人员必须少而精，但不允许少于3名。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（5）抢险救援人员的个人装备至少应配备安全帽、防毒面具、防火服、通信工具，以及抢险用器材和设备等。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（6）当事态发展无法控制或控制不利时，应及时向有关上级部门汇报，请求增援或启动上级应急预案。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3.4.9.5 现场自救和互救注意事项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（1）当事故现场有中毒、烧伤等受伤人员，救援人员首先应将受伤人员移至上风处的安全区内，由医护等专业人员进行救治。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①当发现有呼吸困难、休克及中毒者，将受伤者的衣扣及裤带松开，保持其呼吸通畅。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②呼吸停止者，实施人工呼吸。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（3）止血处理方法：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①用医用酒精对伤口进行初步的清洁，防止感染。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②出血如果是暗红色且出血速度比较慢为静脉血，在伤口的远心端做包扎。如果出血颜色鲜红且呈快速涌处状，是动脉血，应在伤口近心端包扎。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③有破口出血的开放性骨折，可用干净消毒纱布压迫，压迫止不住血时，可用止血带环扎伤口止血。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④扎带时间不宜过长以免时间过长导致肢体缺血坏死。一般每1小时需放松止血带至少5分钟。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（4）骨折处理方法：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①肢体骨折可用夹板或木棍，竹竿等将断骨上下两个关节固定，也可利用伤员身体进行固定，避免骨折部位移动，以减少疼痛，防止伤势恶化。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②开放性骨折，伴有大出血者，先止血，再固定、并用干净布复盖伤口，然后速送医院救治，切勿外露的断骨推回伤口内。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③疑有颈椎损伤，在使伤员平卧后，用沙土袋 （或其它代替物）放置头部两侧，使颈部固定不动。 必须进行口对口呼吸时，只能采用抬颏使气道通畅，不能再将头部后迎移动或转动头部，以免引起截瘫或死亡。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④腰椎骨折应将伤员平卧硬木板上，并将腰椎躯干及二侧下肢一同进行固定预防瘫痪。搬动时应数人合作，保持平稳，不能扭曲。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（5）现场烧伤处理方法：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①迅速将烧伤人员脱离火源，剪掉衣服；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②采取措施防止伤员休克、窒息、创面污染（可采用止痛剂、喝淡盐水）；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③对创面不作处理（化学烧伤除外），有水泡的不要弄破，用洁净衣服覆盖送往医院。</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3.4.9.6应急救援结束后的注意事项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（1）应急救援结束后，现场应急指挥部必须安排各带队人员清点现场人数，做到人数整齐，防止人员遗漏。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（2）安排安全、工艺、设备、岗位人员等尽快对现场进行安全确认，评估事故影响，防止发生次生事故。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（3）对受影响区的连续检测要求：一般应在事故处理现场，在一定的时间内（24小时）留1～2人监督现场是否有异常情况。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（4）重新进入和人群返回程序：一般在现场勘测和清</w:t>
      </w:r>
      <w:r>
        <w:rPr>
          <w:rFonts w:hint="eastAsia" w:ascii="宋体" w:hAnsi="宋体" w:eastAsia="宋体" w:cs="宋体"/>
          <w:color w:val="auto"/>
          <w:sz w:val="28"/>
          <w:szCs w:val="28"/>
        </w:rPr>
        <w:t>理完毕，并宣布应急救援行动结束后，方可允许人群陆续返回。</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56" w:name="_Toc21196"/>
      <w:bookmarkStart w:id="157" w:name="_Toc17247"/>
      <w:r>
        <w:rPr>
          <w:rFonts w:hint="eastAsia" w:ascii="宋体" w:hAnsi="宋体" w:eastAsia="宋体" w:cs="宋体"/>
          <w:b/>
          <w:bCs/>
          <w:color w:val="auto"/>
          <w:sz w:val="28"/>
          <w:szCs w:val="28"/>
          <w:lang w:val="en-US" w:eastAsia="zh-CN"/>
        </w:rPr>
        <w:t>3.5应急支援</w:t>
      </w:r>
      <w:bookmarkEnd w:id="156"/>
      <w:bookmarkEnd w:id="157"/>
    </w:p>
    <w:bookmarkEnd w:id="151"/>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bookmarkStart w:id="158" w:name="_Toc20699"/>
      <w:bookmarkStart w:id="159" w:name="_Toc12507"/>
      <w:r>
        <w:rPr>
          <w:rFonts w:hint="eastAsia" w:ascii="宋体" w:hAnsi="宋体" w:eastAsia="宋体" w:cs="宋体"/>
          <w:color w:val="auto"/>
          <w:sz w:val="28"/>
          <w:szCs w:val="28"/>
          <w:lang w:val="en-US" w:eastAsia="zh-CN"/>
        </w:rPr>
        <w:t>当有人员受伤时，后勤保障组应立即与南充市中心医院取得联系，请求紧急救助。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当发生火灾无法控制时，综合协调组应立即与南充市公安消防支队取得联系，请求紧急救助。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当公司应急指挥部无法有效控制事态时（或研判可能无法有效控制时），总指挥应立即启动社会级响应，请求应急支援，并做好外部救援力量接应与配合工作。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社会级响应发布后副指挥应立即向南充市应急局、南充市政府及有关部门协调应急救援力量增援。外部应急资源联系方式详见附件五。</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3.5.1 外部救援力量抵达前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在此阶段，公司各应急救援队伍应做好准备，以帮助外部救援力量抵达后快速熟悉并投入应急救援工作。</w:t>
      </w:r>
    </w:p>
    <w:tbl>
      <w:tblPr>
        <w:tblStyle w:val="25"/>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604"/>
        <w:gridCol w:w="1540"/>
        <w:gridCol w:w="5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行动关键词</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执行人</w:t>
            </w:r>
          </w:p>
        </w:tc>
        <w:tc>
          <w:tcPr>
            <w:tcW w:w="51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行动详解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60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接应准备</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综合协调组、疏散隔离组</w:t>
            </w:r>
          </w:p>
        </w:tc>
        <w:tc>
          <w:tcPr>
            <w:tcW w:w="519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0"/>
              </w:numPr>
              <w:autoSpaceDE w:val="0"/>
              <w:autoSpaceDN w:val="0"/>
              <w:adjustRightInd w:val="0"/>
              <w:snapToGrid w:val="0"/>
              <w:spacing w:before="60" w:line="300" w:lineRule="auto"/>
              <w:ind w:leftChars="0"/>
              <w:rPr>
                <w:rFonts w:hint="eastAsia" w:ascii="宋体" w:hAnsi="宋体" w:eastAsia="宋体" w:cs="宋体"/>
                <w:color w:val="auto"/>
                <w:sz w:val="24"/>
                <w:szCs w:val="24"/>
              </w:rPr>
            </w:pPr>
            <w:r>
              <w:rPr>
                <w:rFonts w:hint="eastAsia" w:ascii="宋体" w:hAnsi="宋体" w:eastAsia="宋体" w:cs="宋体"/>
                <w:color w:val="auto"/>
                <w:sz w:val="24"/>
                <w:szCs w:val="24"/>
              </w:rPr>
              <w:t>安排专人接应外部救援力量。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60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为外部救援力量创造便利条件</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应急指挥部和各救援小组</w:t>
            </w:r>
          </w:p>
        </w:tc>
        <w:tc>
          <w:tcPr>
            <w:tcW w:w="519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0"/>
              </w:numPr>
              <w:autoSpaceDE w:val="0"/>
              <w:autoSpaceDN w:val="0"/>
              <w:adjustRightInd w:val="0"/>
              <w:snapToGrid w:val="0"/>
              <w:spacing w:before="60" w:line="300" w:lineRule="auto"/>
              <w:ind w:leftChars="0"/>
              <w:rPr>
                <w:rFonts w:hint="eastAsia" w:ascii="宋体" w:hAnsi="宋体" w:eastAsia="宋体" w:cs="宋体"/>
                <w:color w:val="auto"/>
                <w:sz w:val="24"/>
                <w:szCs w:val="24"/>
              </w:rPr>
            </w:pPr>
            <w:r>
              <w:rPr>
                <w:rFonts w:hint="eastAsia" w:ascii="宋体" w:hAnsi="宋体" w:eastAsia="宋体" w:cs="宋体"/>
                <w:color w:val="auto"/>
                <w:sz w:val="24"/>
                <w:szCs w:val="24"/>
              </w:rPr>
              <w:t>在向外部应急力量求援后，立即安排人员为外部救援队伍抵达支援创造现场条件，例如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清理道路障碍、准备救援场地等。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60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做好工作交接准备</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应急指挥部和各救援小组</w:t>
            </w:r>
          </w:p>
        </w:tc>
        <w:tc>
          <w:tcPr>
            <w:tcW w:w="519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8"/>
              <w:numPr>
                <w:ilvl w:val="0"/>
                <w:numId w:val="0"/>
              </w:numPr>
              <w:autoSpaceDE w:val="0"/>
              <w:autoSpaceDN w:val="0"/>
              <w:adjustRightInd w:val="0"/>
              <w:snapToGrid w:val="0"/>
              <w:spacing w:before="60" w:line="300" w:lineRule="auto"/>
              <w:ind w:leftChars="0"/>
              <w:rPr>
                <w:rFonts w:hint="eastAsia" w:ascii="宋体" w:hAnsi="宋体" w:eastAsia="宋体" w:cs="宋体"/>
                <w:color w:val="auto"/>
                <w:sz w:val="24"/>
                <w:szCs w:val="24"/>
              </w:rPr>
            </w:pPr>
            <w:r>
              <w:rPr>
                <w:rFonts w:hint="eastAsia" w:ascii="宋体" w:hAnsi="宋体" w:eastAsia="宋体" w:cs="宋体"/>
                <w:color w:val="auto"/>
                <w:sz w:val="24"/>
                <w:szCs w:val="24"/>
              </w:rPr>
              <w:t>总结、汇总小组应急工作任务状态、面临的困难等信息，以便于外部救援力量到达后快速交接。</w:t>
            </w:r>
          </w:p>
          <w:p>
            <w:pPr>
              <w:pStyle w:val="38"/>
              <w:numPr>
                <w:ilvl w:val="0"/>
                <w:numId w:val="0"/>
              </w:numPr>
              <w:autoSpaceDE w:val="0"/>
              <w:autoSpaceDN w:val="0"/>
              <w:adjustRightInd w:val="0"/>
              <w:snapToGrid w:val="0"/>
              <w:spacing w:before="60" w:line="300" w:lineRule="auto"/>
              <w:ind w:leftChars="0"/>
              <w:rPr>
                <w:rFonts w:hint="eastAsia" w:ascii="宋体" w:hAnsi="宋体" w:eastAsia="宋体" w:cs="宋体"/>
                <w:color w:val="auto"/>
                <w:sz w:val="24"/>
                <w:szCs w:val="24"/>
              </w:rPr>
            </w:pPr>
            <w:r>
              <w:rPr>
                <w:rFonts w:hint="eastAsia" w:ascii="宋体" w:hAnsi="宋体" w:eastAsia="宋体" w:cs="宋体"/>
                <w:color w:val="auto"/>
                <w:sz w:val="24"/>
                <w:szCs w:val="24"/>
              </w:rPr>
              <w:t>准备外部救援力量可能所需的物资、档案、材料等。</w:t>
            </w:r>
          </w:p>
        </w:tc>
      </w:tr>
    </w:tbl>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3.5.2 外部救援力量抵达后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在此阶段，公司各应急救援队伍应将必要的应急工作尽快平稳交接，并在总指挥的指令下，配合外部救援力量执行应急任务。</w:t>
      </w:r>
    </w:p>
    <w:tbl>
      <w:tblPr>
        <w:tblStyle w:val="25"/>
        <w:tblW w:w="48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572"/>
        <w:gridCol w:w="1593"/>
        <w:gridCol w:w="5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blHeader/>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行动关键词</w:t>
            </w:r>
          </w:p>
        </w:tc>
        <w:tc>
          <w:tcPr>
            <w:tcW w:w="1593"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执行人</w:t>
            </w:r>
          </w:p>
        </w:tc>
        <w:tc>
          <w:tcPr>
            <w:tcW w:w="515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行动详解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572"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指挥权交接</w:t>
            </w:r>
          </w:p>
        </w:tc>
        <w:tc>
          <w:tcPr>
            <w:tcW w:w="1593"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总指挥</w:t>
            </w:r>
          </w:p>
        </w:tc>
        <w:tc>
          <w:tcPr>
            <w:tcW w:w="5156"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向外部救援力量指挥官报告事故信息，并对现场关键信息进行交底，帮助其快速熟悉现场情况。</w:t>
            </w:r>
          </w:p>
          <w:p>
            <w:pPr>
              <w:autoSpaceDE w:val="0"/>
              <w:autoSpaceDN w:val="0"/>
              <w:adjustRightInd w:val="0"/>
              <w:snapToGrid w:val="0"/>
              <w:spacing w:before="60" w:line="30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将指挥权移交给外部救援力量指挥官，交接相关档案、文件材料等。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572"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配合应急救援工作</w:t>
            </w:r>
          </w:p>
        </w:tc>
        <w:tc>
          <w:tcPr>
            <w:tcW w:w="1593"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应急指挥部和各救援小组</w:t>
            </w:r>
          </w:p>
        </w:tc>
        <w:tc>
          <w:tcPr>
            <w:tcW w:w="5156"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根据外部救援力量指挥官指令，应继续执行必要的应急任务，例如堵漏、操作现场设备设施等专业领域内的工作。</w:t>
            </w:r>
          </w:p>
        </w:tc>
      </w:tr>
    </w:tbl>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3.6 响应终止</w:t>
      </w:r>
      <w:bookmarkEnd w:id="158"/>
      <w:bookmarkEnd w:id="15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当事故处置工作完成、经过专业人员判断无发生次生灾害的可能，安全事故引发的次生灾害的后果基本消除、基本恢复正常生产生活秩序时，应急响应结束。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依靠本公司自身力量将事态有效控制，事故现场已经恢复后，由总指挥宣布应急响应工作终止。如果由南充市应急局、与南充市经济技术开发区政府参加救援的扩大应急响应，事态得到有效控制后，由南充市应急局宣布应急响应工作终止。</w:t>
      </w: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160" w:name="_Toc3737"/>
      <w:bookmarkStart w:id="161" w:name="_Toc26273"/>
      <w:bookmarkStart w:id="162" w:name="_Toc7791"/>
      <w:bookmarkStart w:id="163" w:name="_Toc27590"/>
      <w:bookmarkStart w:id="164" w:name="_Toc29369"/>
      <w:r>
        <w:rPr>
          <w:rFonts w:hint="eastAsia" w:ascii="宋体" w:hAnsi="宋体" w:eastAsia="宋体" w:cs="宋体"/>
          <w:color w:val="auto"/>
          <w:sz w:val="28"/>
          <w:szCs w:val="28"/>
          <w:lang w:val="en-US" w:eastAsia="zh-CN"/>
        </w:rPr>
        <w:t>4 后期处置</w:t>
      </w:r>
      <w:bookmarkEnd w:id="160"/>
      <w:bookmarkEnd w:id="161"/>
      <w:bookmarkEnd w:id="162"/>
      <w:bookmarkEnd w:id="163"/>
      <w:bookmarkEnd w:id="16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bookmarkStart w:id="165" w:name="_Toc19379"/>
      <w:bookmarkStart w:id="166" w:name="_Toc31152"/>
      <w:bookmarkStart w:id="167" w:name="_Toc12876"/>
      <w:r>
        <w:rPr>
          <w:rFonts w:hint="eastAsia" w:ascii="宋体" w:hAnsi="宋体" w:eastAsia="宋体" w:cs="宋体"/>
          <w:color w:val="auto"/>
          <w:sz w:val="28"/>
          <w:szCs w:val="28"/>
          <w:lang w:val="zh-CN" w:eastAsia="zh-CN"/>
        </w:rPr>
        <w:t>事故应急结束后，应做好包括污染物处理、事故后果影响消除、生产秩序恢复、善后赔偿、抢险过程和应急救援能力评估及应急预案的修订等后期处置工作。</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4.1 污染物处理</w:t>
      </w:r>
      <w:bookmarkEnd w:id="165"/>
      <w:bookmarkEnd w:id="166"/>
      <w:bookmarkEnd w:id="16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所有事故应急过程中产生的污染物必须及时全面彻底清理和统一收集，并严格按有关法律法规要求进行分类处理。对于普通废物可以归入生活施工垃圾由环卫部门处理，对于含有危险废物的污染物必须统一收集后交由具有环保部门认可的相应废物接收处理资质的单位处理，转移危险废物必须按环保部门的规定办理危险废物转移手续。</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4.2 事故后果影响消除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（1）事故后果影响包括事故对现场、环境和企业声誉造成的影响。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（2）事故应急结束后，要配合公安、消防、应急管理局等事故调查处理部门人员保护好事故现场，设置警戒线，划定事故现场范围，禁止一切无关人员进入现场。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（3）企业要积极配合事故调查处理部门查清事故原因、经过，制订和落实事故整改和防范措施，防范类似事故再次发生。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（4）对于事故造成的环境影响企业应继续跟踪监测，持续积极采取相应环境处理措施尽量减少事故对环境造成的影响。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（5）企业可利用媒体进行积极正面的宣传，积极参与社会公益事业提升企业形象，逐步消除事故带来的不良影响。</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68" w:name="_Toc5867"/>
      <w:bookmarkStart w:id="169" w:name="_Toc1981"/>
      <w:bookmarkStart w:id="170" w:name="_Toc21318"/>
      <w:r>
        <w:rPr>
          <w:rFonts w:hint="eastAsia" w:ascii="宋体" w:hAnsi="宋体" w:eastAsia="宋体" w:cs="宋体"/>
          <w:b/>
          <w:bCs/>
          <w:color w:val="auto"/>
          <w:sz w:val="28"/>
          <w:szCs w:val="28"/>
          <w:lang w:val="en-US" w:eastAsia="zh-CN"/>
        </w:rPr>
        <w:t>4.3医疗救治</w:t>
      </w:r>
      <w:bookmarkEnd w:id="168"/>
      <w:bookmarkEnd w:id="169"/>
      <w:bookmarkEnd w:id="17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（1）将伤者移至安全区域，初步判断伤情，如情况严重，立即拨打医院急救电话，请求医疗救援，等救护车到来后积极协助救护工作；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（2）及时驱散伤者周围的围观人员，消除伤者内心的紧张，保留充足的空间进行呼吸和治疗；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（3）及时为伤者提供所需要物品，如：湿毛巾、消毒水等；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（4）应由受过急救训练的的人员对伤者进行救助，对衰竭者进行人工呼吸，对心跳停止者进行心肺复苏术。</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color w:val="auto"/>
          <w:sz w:val="28"/>
          <w:szCs w:val="28"/>
          <w:lang w:val="en-US" w:eastAsia="zh-CN"/>
        </w:rPr>
        <w:sectPr>
          <w:type w:val="continuous"/>
          <w:pgSz w:w="11906" w:h="16838"/>
          <w:pgMar w:top="1417" w:right="1417" w:bottom="1417" w:left="1417" w:header="851" w:footer="992" w:gutter="0"/>
          <w:pgNumType w:fmt="decimal"/>
          <w:cols w:space="720" w:num="1"/>
          <w:docGrid w:type="lines" w:linePitch="312" w:charSpace="0"/>
        </w:sectPr>
      </w:pPr>
      <w:bookmarkStart w:id="171" w:name="_Toc2515"/>
      <w:bookmarkStart w:id="172" w:name="_Toc9977"/>
      <w:bookmarkStart w:id="173" w:name="_Toc10885"/>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4.4人员安置</w:t>
      </w:r>
      <w:bookmarkEnd w:id="171"/>
      <w:bookmarkEnd w:id="172"/>
      <w:bookmarkEnd w:id="173"/>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174" w:name="_Toc3269"/>
      <w:r>
        <w:rPr>
          <w:rFonts w:hint="eastAsia" w:ascii="宋体" w:hAnsi="宋体" w:eastAsia="宋体" w:cs="宋体"/>
          <w:b/>
          <w:bCs w:val="0"/>
          <w:color w:val="auto"/>
          <w:sz w:val="28"/>
          <w:szCs w:val="28"/>
          <w:lang w:val="en-US" w:eastAsia="zh-CN"/>
        </w:rPr>
        <w:t>4.4.1事故现场的人员安置</w:t>
      </w:r>
      <w:bookmarkEnd w:id="17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175" w:name="_Toc28418"/>
      <w:r>
        <w:rPr>
          <w:rFonts w:hint="eastAsia" w:ascii="宋体" w:hAnsi="宋体" w:eastAsia="宋体" w:cs="宋体"/>
          <w:b/>
          <w:bCs w:val="0"/>
          <w:color w:val="auto"/>
          <w:sz w:val="28"/>
          <w:szCs w:val="28"/>
          <w:lang w:val="en-US" w:eastAsia="zh-CN"/>
        </w:rPr>
        <w:t>4.4.2后期人员安置</w:t>
      </w:r>
      <w:bookmarkEnd w:id="17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1、职工被鉴定为一级至四级伤残的，保留劳动关系，退出工作岗位，享受《工伤保险条例》规定的待遇。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2、职工被鉴定为五级、六级伤残的，享受以下待遇：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（1）从工伤保险基金按伤残等级支付一次性伤残补助金，标准为：五级伤残为18个月的本人工资，六级伤残为16个月的本人工资；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（2）保留与用人单位的劳动关系，由用人单位安排适当工作。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3、职工被鉴定为七级至十级伤残的，享受以下待遇：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（1）从工伤保险基金按伤残等级支付一次性伤残补助金，标准为：七级伤残为13个月的本人工资，八级伤残为11个月的本人工资，九级伤残为9个月的本人工资，十级伤残为7个月的本人工资；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76" w:name="_Toc15278"/>
      <w:bookmarkStart w:id="177" w:name="_Toc14780"/>
      <w:bookmarkStart w:id="178" w:name="_Toc10882"/>
      <w:r>
        <w:rPr>
          <w:rFonts w:hint="eastAsia" w:ascii="宋体" w:hAnsi="宋体" w:eastAsia="宋体" w:cs="宋体"/>
          <w:b/>
          <w:bCs/>
          <w:color w:val="auto"/>
          <w:sz w:val="28"/>
          <w:szCs w:val="28"/>
          <w:lang w:val="en-US" w:eastAsia="zh-CN"/>
        </w:rPr>
        <w:t>4.5 善后赔偿</w:t>
      </w:r>
      <w:bookmarkEnd w:id="176"/>
      <w:bookmarkEnd w:id="177"/>
      <w:bookmarkEnd w:id="17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职能部门勘查现场完毕、法医对死者尸检后，公司应急办依照《工伤保险条例》等国家有关法律法规规定一要做好伤者救治安排、工伤认定和善后处理工作；二要做好死伤者亲属的安抚工作，维护社会稳定；三要做好死者的死亡赔偿工作；四要举一反三，做好职工对事故认识的教育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事故调查善后组组织生产安全事故的善后处置工作，包括人员补偿，征用物资补偿，灾后重建，污染物收集、清理与处理等事项。尽快消除事故影响，妥善安置和慰问受害及受影响人员，保证社会稳定，尽快恢复正常秩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（2）生产安全事故灾难发生后，事故调查善后组联系保险机构及时开展应急救援人员保险受理和受灾人员保险理赔工作。</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4.6 生产秩序恢复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为减少事故带来的生产损失，事故应急结束后，在取得公司及政府有关部门同意的情况下，要采取积极的措施尽快恢复生产。需要做好三方面的工作，一是稳定队伍员工思想；二是对事故造成损坏的设备设施、建构筑物和场所积极修复，尽快使设备设施满足生产条件；三是做好事故整改和防范措施，做好员工的安全教育，确保安全生产。</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4.7 应急救援评估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结束后，由应急指挥部组织参加应急的相关部门人员对抢险过程进行总结，对抢险过程中应急行动的程序、步骤、措施、人力、物力等是否满足应急救援的需要进行评估，总结评估结果要形成报告，根据总结评估意见及时修订应急预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sectPr>
          <w:type w:val="continuous"/>
          <w:pgSz w:w="11906" w:h="16838"/>
          <w:pgMar w:top="1417" w:right="1417" w:bottom="1417" w:left="1417" w:header="851" w:footer="992" w:gutter="0"/>
          <w:pgNumType w:fmt="decimal"/>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179" w:name="_Toc24209"/>
      <w:bookmarkStart w:id="180" w:name="_Toc14117"/>
      <w:bookmarkStart w:id="181" w:name="_Toc18160"/>
      <w:bookmarkStart w:id="182" w:name="_Toc17111"/>
      <w:bookmarkStart w:id="183" w:name="_Toc15062"/>
      <w:r>
        <w:rPr>
          <w:rFonts w:hint="eastAsia" w:ascii="宋体" w:hAnsi="宋体" w:eastAsia="宋体" w:cs="宋体"/>
          <w:color w:val="auto"/>
          <w:sz w:val="28"/>
          <w:szCs w:val="28"/>
          <w:lang w:val="en-US" w:eastAsia="zh-CN"/>
        </w:rPr>
        <w:t>5 应急保障</w:t>
      </w:r>
      <w:bookmarkEnd w:id="179"/>
      <w:bookmarkEnd w:id="180"/>
      <w:bookmarkEnd w:id="181"/>
      <w:bookmarkEnd w:id="182"/>
      <w:bookmarkEnd w:id="183"/>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8"/>
          <w:szCs w:val="28"/>
          <w:lang w:val="en-US" w:eastAsia="zh-CN"/>
        </w:rPr>
      </w:pPr>
      <w:bookmarkStart w:id="184" w:name="_Toc332285131"/>
      <w:bookmarkStart w:id="185" w:name="_Toc2407"/>
      <w:bookmarkStart w:id="186" w:name="_Toc15948"/>
      <w:bookmarkStart w:id="187" w:name="_Toc176022642"/>
      <w:bookmarkStart w:id="188" w:name="_Toc31795"/>
      <w:r>
        <w:rPr>
          <w:rFonts w:hint="eastAsia" w:ascii="宋体" w:hAnsi="宋体" w:eastAsia="宋体" w:cs="宋体"/>
          <w:b/>
          <w:bCs/>
          <w:color w:val="auto"/>
          <w:sz w:val="28"/>
          <w:szCs w:val="28"/>
          <w:lang w:val="en-US" w:eastAsia="zh-CN"/>
        </w:rPr>
        <w:t>5.1 通讯与信息保障</w:t>
      </w:r>
      <w:bookmarkEnd w:id="184"/>
      <w:bookmarkEnd w:id="185"/>
      <w:bookmarkEnd w:id="186"/>
      <w:bookmarkEnd w:id="187"/>
      <w:bookmarkEnd w:id="18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5.1.1公司应急办建立有应急指挥部负责组织建立并保持最新的应急通讯录，具体见附件5 应急通讯录。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5.1.2公司的应急通讯工具有：电话、座机、对讲机、广播系统。</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8"/>
          <w:szCs w:val="28"/>
          <w:lang w:val="en-US" w:eastAsia="zh-CN"/>
        </w:rPr>
      </w:pPr>
      <w:bookmarkStart w:id="189" w:name="_Toc15925"/>
      <w:bookmarkStart w:id="190" w:name="_Toc11491"/>
      <w:r>
        <w:rPr>
          <w:rFonts w:hint="eastAsia" w:ascii="宋体" w:hAnsi="宋体" w:eastAsia="宋体" w:cs="宋体"/>
          <w:b/>
          <w:bCs/>
          <w:color w:val="auto"/>
          <w:sz w:val="28"/>
          <w:szCs w:val="28"/>
          <w:lang w:val="en-US" w:eastAsia="zh-CN"/>
        </w:rPr>
        <w:t>5.2 应急队伍保障</w:t>
      </w:r>
      <w:bookmarkEnd w:id="189"/>
      <w:bookmarkEnd w:id="19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应急队伍保障包括人力配备和人员能力保障两方面。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5.1.1人力配备是指根据应急任务需要指定专门人员，并与其进行沟通，确保其知晓并履行自己在应急工作中的职责与任务。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5.1.2人员能力保障是指平时对相关人员开展应急处置训练和知识培训，确保其具备执行应急任务的知识和能力。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5.1.3应急能力各角色的人员保障和能力保障负责人定义如下：</w:t>
      </w:r>
    </w:p>
    <w:tbl>
      <w:tblPr>
        <w:tblStyle w:val="25"/>
        <w:tblW w:w="47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014"/>
        <w:gridCol w:w="2248"/>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blHeader/>
          <w:jc w:val="center"/>
        </w:trPr>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角色</w:t>
            </w:r>
          </w:p>
        </w:tc>
        <w:tc>
          <w:tcPr>
            <w:tcW w:w="23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人力配备负责人</w:t>
            </w:r>
          </w:p>
        </w:tc>
        <w:tc>
          <w:tcPr>
            <w:tcW w:w="343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能力保障负责人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145"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应急指挥部</w:t>
            </w:r>
          </w:p>
        </w:tc>
        <w:tc>
          <w:tcPr>
            <w:tcW w:w="239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总经理</w:t>
            </w:r>
          </w:p>
        </w:tc>
        <w:tc>
          <w:tcPr>
            <w:tcW w:w="34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145"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各应急救援小组</w:t>
            </w:r>
          </w:p>
        </w:tc>
        <w:tc>
          <w:tcPr>
            <w:tcW w:w="239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各部门负责人</w:t>
            </w:r>
          </w:p>
        </w:tc>
        <w:tc>
          <w:tcPr>
            <w:tcW w:w="34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各部门负责人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6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145"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现场应急处置员工</w:t>
            </w:r>
          </w:p>
        </w:tc>
        <w:tc>
          <w:tcPr>
            <w:tcW w:w="239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各</w:t>
            </w:r>
            <w:r>
              <w:rPr>
                <w:rFonts w:hint="eastAsia" w:ascii="宋体" w:hAnsi="宋体" w:eastAsia="宋体" w:cs="宋体"/>
                <w:color w:val="auto"/>
                <w:sz w:val="24"/>
                <w:szCs w:val="24"/>
                <w:lang w:eastAsia="zh-CN"/>
              </w:rPr>
              <w:t>班组</w:t>
            </w:r>
            <w:r>
              <w:rPr>
                <w:rFonts w:hint="eastAsia" w:ascii="宋体" w:hAnsi="宋体" w:eastAsia="宋体" w:cs="宋体"/>
                <w:color w:val="auto"/>
                <w:sz w:val="24"/>
                <w:szCs w:val="24"/>
              </w:rPr>
              <w:t>负责人</w:t>
            </w:r>
          </w:p>
        </w:tc>
        <w:tc>
          <w:tcPr>
            <w:tcW w:w="34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各</w:t>
            </w:r>
            <w:r>
              <w:rPr>
                <w:rFonts w:hint="eastAsia" w:ascii="宋体" w:hAnsi="宋体" w:eastAsia="宋体" w:cs="宋体"/>
                <w:color w:val="auto"/>
                <w:sz w:val="24"/>
                <w:szCs w:val="24"/>
                <w:lang w:eastAsia="zh-CN"/>
              </w:rPr>
              <w:t>班组</w:t>
            </w:r>
            <w:r>
              <w:rPr>
                <w:rFonts w:hint="eastAsia" w:ascii="宋体" w:hAnsi="宋体" w:eastAsia="宋体" w:cs="宋体"/>
                <w:color w:val="auto"/>
                <w:sz w:val="24"/>
                <w:szCs w:val="24"/>
              </w:rPr>
              <w:t>负责人</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5.1.4应急指挥部、各应急救援小组、各部门负责人应通过组织各类应急培训、演练活动，保障公司应急指挥部成员、现场管理者以及一线员工的应急处置能力可满足应急需要。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5.1.5公司综合或专项预案演练的频次（每年至少组织一次或每半年至少组织一次）；各部门每半年至少组织一次现场处置方案演练。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lang w:val="en-US" w:eastAsia="zh-CN"/>
        </w:rPr>
        <w:t>5.1.6本公司能借用的外部力量包括南充市公安局、南充市经济技术开发区政府、南充市应急管理局、南充市公安消防支队、南充市中心医院以及周边企业等。</w:t>
      </w:r>
      <w:r>
        <w:rPr>
          <w:rFonts w:hint="eastAsia" w:ascii="宋体" w:hAnsi="宋体" w:eastAsia="宋体" w:cs="宋体"/>
          <w:b/>
          <w:bCs/>
          <w:color w:val="auto"/>
          <w:sz w:val="28"/>
          <w:szCs w:val="28"/>
          <w:lang w:val="en-US" w:eastAsia="zh-CN"/>
        </w:rPr>
        <w:t>（具体联系方式详见附件五）</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91" w:name="_Toc27422"/>
      <w:bookmarkStart w:id="192" w:name="_Toc15772"/>
      <w:r>
        <w:rPr>
          <w:rFonts w:hint="eastAsia" w:ascii="宋体" w:hAnsi="宋体" w:eastAsia="宋体" w:cs="宋体"/>
          <w:b/>
          <w:bCs/>
          <w:color w:val="auto"/>
          <w:sz w:val="28"/>
          <w:szCs w:val="28"/>
          <w:lang w:val="en-US" w:eastAsia="zh-CN"/>
        </w:rPr>
        <w:t>5.3 物资装备保障</w:t>
      </w:r>
      <w:bookmarkEnd w:id="191"/>
      <w:bookmarkEnd w:id="19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5.3.1.针对各可能出现的事故场景，应急办公室应组织进行专门的应急资源需求分析，并根据现状进行查漏补缺，储备应急物资，具体见《应急资源调查报告》。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5.3.2.应急物资储备位置应以满足应急需要为准则，并确保应急响应时能够快速获取。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5.3.3.公司后勤保障及各现场管理者应做好应急物资的检查和维护工作，确保应急物资随时处于可用状态。安排专人对应急物资装备的日常检查和维护工作进行监督。</w:t>
      </w:r>
      <w:r>
        <w:rPr>
          <w:rFonts w:hint="eastAsia" w:ascii="宋体" w:hAnsi="宋体" w:eastAsia="宋体" w:cs="宋体"/>
          <w:b/>
          <w:bCs/>
          <w:color w:val="auto"/>
          <w:sz w:val="28"/>
          <w:szCs w:val="28"/>
          <w:lang w:val="en-US" w:eastAsia="zh-CN"/>
        </w:rPr>
        <w:t>（应急物资装备清单详见附件四）</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193" w:name="_Toc168"/>
      <w:bookmarkStart w:id="194" w:name="_Toc9860"/>
      <w:r>
        <w:rPr>
          <w:rFonts w:hint="eastAsia" w:ascii="宋体" w:hAnsi="宋体" w:eastAsia="宋体" w:cs="宋体"/>
          <w:b/>
          <w:bCs/>
          <w:color w:val="auto"/>
          <w:sz w:val="28"/>
          <w:szCs w:val="28"/>
          <w:lang w:val="en-US" w:eastAsia="zh-CN"/>
        </w:rPr>
        <w:t>5.4 其他保障</w:t>
      </w:r>
      <w:bookmarkEnd w:id="193"/>
      <w:bookmarkEnd w:id="194"/>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5.4.1</w:t>
      </w:r>
      <w:r>
        <w:rPr>
          <w:rFonts w:hint="eastAsia" w:ascii="宋体"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经费保障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应急经费由公司财务部直接划拨到应急指挥部。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公司应急指挥部要加强对生产安全事故应急资金的监督管理，保证专款专用，提高资金使用效率。</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5.4.2 交通运输保障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公司员工自有车辆可临时作为应急车辆使用，及时调运有关物资和设施。</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5.4.3 治安保障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公司设有安保人员，24小时值班巡逻。发生紧急情况时，应迅速进行交通管制，禁止无关人员进入。 公司值班室利用视频监控负责现场治安保卫工作，防止偷盗等治安事件发生。</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5.4.4 技术保障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公司成立了以</w:t>
      </w:r>
      <w:r>
        <w:rPr>
          <w:rFonts w:hint="eastAsia" w:ascii="宋体" w:hAnsi="宋体" w:eastAsia="宋体" w:cs="宋体"/>
          <w:color w:val="auto"/>
          <w:sz w:val="28"/>
          <w:szCs w:val="28"/>
          <w:lang w:val="en-US" w:eastAsia="zh-CN"/>
        </w:rPr>
        <w:t>总经理为总指挥</w:t>
      </w:r>
      <w:r>
        <w:rPr>
          <w:rFonts w:hint="eastAsia" w:ascii="宋体" w:hAnsi="宋体" w:eastAsia="宋体" w:cs="宋体"/>
          <w:color w:val="auto"/>
          <w:sz w:val="28"/>
          <w:szCs w:val="28"/>
          <w:lang w:val="zh-CN" w:eastAsia="zh-CN"/>
        </w:rPr>
        <w:t>的应急指挥部，同时公司设备、工艺骨干人员作为技术保障，特种设备事故有专业的人员制定救援方案；在发生生产安全事故时应迅速组织技术力量处置并配合外部力量救援。</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5.4.5 照明保障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各区域配有应急灯、防爆手电筒，当装置需要断电或者突然停电时，由疏散隔离组利用应急照明灯负责组织有序疏散与撤离。</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5.4.6 物资及制度保障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（1）公司购置和储备有相应的应急物资，供应急之需，详见附件四。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（2）应急电源、照明保障：公司设置有应急照明，以确保事故时的应急。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（3）保障制度：为了能在事故发生后，迅速、准确、有效地进行处理，做好应急救援的各项准备工作，对全体职工进行经常性的应急救援常识教育，落实岗位责任制和各项规章制度。同时还建立以下相应制度：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①值班制度：公司负责编制24小时值班制度，遇有问题及时处理。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②培训制度：结合“三级”教育制度，每年对应急救援人员至少进行一次培训，每年对全公司职工至少进行一次应急救援知识培训；做到四懂（懂得火灾的危险性、预防措施、安全处置、逃生方法），四会（会报警、会使用灭火器、会扑救初期火灾、会逃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sectPr>
          <w:type w:val="continuous"/>
          <w:pgSz w:w="11906" w:h="16838"/>
          <w:pgMar w:top="1417" w:right="1417" w:bottom="1417" w:left="1417" w:header="851" w:footer="567" w:gutter="567"/>
          <w:cols w:space="425" w:num="1"/>
          <w:docGrid w:linePitch="360"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③应急救援装备、物资、药品等检查、维护制度：在公司组织安全生产检查时，同时检查应急救援工作情况，发现问题及时整改。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④例会制度：公司每季度召开一次安全生产会议。在安全生产会议时，同时布置、检查应急救援工作，并针对存在的问题，积极采取有效措施，加以改进。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⑤演练制度：坚持综合应急预案或专项应急预案每年演练不少于一次，现场处置方案每半年演练不少于一次。做到召之即来，来之能战，战之能胜。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sectPr>
          <w:type w:val="continuous"/>
          <w:pgSz w:w="11906" w:h="16838"/>
          <w:pgMar w:top="1417" w:right="1417" w:bottom="1417" w:left="1417" w:header="851" w:footer="567" w:gutter="567"/>
          <w:cols w:space="425" w:num="1"/>
          <w:docGrid w:linePitch="360"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1"/>
        <w:rPr>
          <w:rFonts w:hint="eastAsia" w:ascii="宋体" w:hAnsi="宋体" w:eastAsia="宋体" w:cs="宋体"/>
          <w:color w:val="auto"/>
          <w:sz w:val="28"/>
          <w:szCs w:val="28"/>
          <w:lang w:val="en-US" w:eastAsia="zh-CN"/>
        </w:rPr>
      </w:pPr>
      <w:bookmarkStart w:id="195" w:name="_Toc25288"/>
      <w:bookmarkStart w:id="196" w:name="_Toc7868"/>
      <w:bookmarkStart w:id="197" w:name="_Toc8289"/>
      <w:r>
        <w:rPr>
          <w:rFonts w:hint="eastAsia" w:ascii="宋体" w:hAnsi="宋体" w:eastAsia="宋体" w:cs="宋体"/>
          <w:color w:val="auto"/>
          <w:sz w:val="28"/>
          <w:szCs w:val="28"/>
          <w:lang w:val="en-US" w:eastAsia="zh-CN"/>
        </w:rPr>
        <w:t xml:space="preserve">6 </w:t>
      </w:r>
      <w:bookmarkEnd w:id="195"/>
      <w:r>
        <w:rPr>
          <w:rFonts w:hint="eastAsia" w:ascii="宋体" w:hAnsi="宋体" w:eastAsia="宋体" w:cs="宋体"/>
          <w:color w:val="auto"/>
          <w:sz w:val="28"/>
          <w:szCs w:val="28"/>
          <w:lang w:val="en-US" w:eastAsia="zh-CN"/>
        </w:rPr>
        <w:t>应急管理</w:t>
      </w:r>
      <w:bookmarkEnd w:id="196"/>
      <w:bookmarkEnd w:id="197"/>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8"/>
          <w:szCs w:val="28"/>
          <w:lang w:val="en-US" w:eastAsia="zh-CN"/>
        </w:rPr>
      </w:pPr>
      <w:bookmarkStart w:id="198" w:name="_Toc23976"/>
      <w:r>
        <w:rPr>
          <w:rFonts w:hint="eastAsia" w:ascii="宋体" w:hAnsi="宋体" w:eastAsia="宋体" w:cs="宋体"/>
          <w:b/>
          <w:bCs/>
          <w:color w:val="auto"/>
          <w:sz w:val="28"/>
          <w:szCs w:val="28"/>
          <w:lang w:val="en-US" w:eastAsia="zh-CN"/>
        </w:rPr>
        <w:t>6.1 宣传和培训</w:t>
      </w:r>
      <w:bookmarkEnd w:id="198"/>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199" w:name="_Toc14251"/>
      <w:bookmarkStart w:id="200" w:name="_Toc301471242"/>
      <w:bookmarkStart w:id="201" w:name="_Toc297111486"/>
      <w:r>
        <w:rPr>
          <w:rFonts w:hint="eastAsia" w:ascii="宋体" w:hAnsi="宋体" w:eastAsia="宋体" w:cs="宋体"/>
          <w:b/>
          <w:bCs w:val="0"/>
          <w:color w:val="auto"/>
          <w:sz w:val="28"/>
          <w:szCs w:val="28"/>
          <w:lang w:val="en-US" w:eastAsia="zh-CN"/>
        </w:rPr>
        <w:t>6.1.1宣传</w:t>
      </w:r>
      <w:bookmarkEnd w:id="199"/>
      <w:bookmarkEnd w:id="200"/>
      <w:bookmarkEnd w:id="20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通过公告栏、广播、标语、黑板报等各种宣传手段，对公司员工和周边公众广泛宣传应急法律法规和应急常识。</w:t>
      </w:r>
    </w:p>
    <w:p>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202" w:name="_Toc297111487"/>
      <w:bookmarkStart w:id="203" w:name="_Toc301471243"/>
      <w:bookmarkStart w:id="204" w:name="_Toc9577"/>
      <w:r>
        <w:rPr>
          <w:rFonts w:hint="eastAsia" w:ascii="宋体" w:hAnsi="宋体" w:eastAsia="宋体" w:cs="宋体"/>
          <w:b/>
          <w:bCs w:val="0"/>
          <w:color w:val="auto"/>
          <w:sz w:val="28"/>
          <w:szCs w:val="28"/>
          <w:lang w:val="en-US" w:eastAsia="zh-CN"/>
        </w:rPr>
        <w:t>6.1.2培训</w:t>
      </w:r>
      <w:bookmarkEnd w:id="202"/>
      <w:bookmarkEnd w:id="203"/>
      <w:bookmarkEnd w:id="20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应急指挥部负责编制对各类专业应急人员、公司员工的年度培训计划，并组织实施。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应急指挥部应组织或检查应急培训总结，内容应包括：</w:t>
      </w:r>
    </w:p>
    <w:p>
      <w:pPr>
        <w:numPr>
          <w:ilvl w:val="0"/>
          <w:numId w:val="5"/>
        </w:numPr>
        <w:spacing w:line="360" w:lineRule="auto"/>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培训时间；</w:t>
      </w:r>
    </w:p>
    <w:p>
      <w:pPr>
        <w:numPr>
          <w:ilvl w:val="0"/>
          <w:numId w:val="5"/>
        </w:numPr>
        <w:spacing w:line="360" w:lineRule="auto"/>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培训内容；</w:t>
      </w:r>
    </w:p>
    <w:p>
      <w:pPr>
        <w:numPr>
          <w:ilvl w:val="0"/>
          <w:numId w:val="5"/>
        </w:numPr>
        <w:spacing w:line="360" w:lineRule="auto"/>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培训师资；</w:t>
      </w:r>
    </w:p>
    <w:p>
      <w:pPr>
        <w:numPr>
          <w:ilvl w:val="0"/>
          <w:numId w:val="5"/>
        </w:numPr>
        <w:spacing w:line="360" w:lineRule="auto"/>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培训人员；</w:t>
      </w:r>
    </w:p>
    <w:p>
      <w:pPr>
        <w:numPr>
          <w:ilvl w:val="0"/>
          <w:numId w:val="5"/>
        </w:numPr>
        <w:spacing w:line="360" w:lineRule="auto"/>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培训效果；</w:t>
      </w:r>
    </w:p>
    <w:p>
      <w:pPr>
        <w:numPr>
          <w:ilvl w:val="0"/>
          <w:numId w:val="5"/>
        </w:numPr>
        <w:spacing w:line="360" w:lineRule="auto"/>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培训考核记录等。</w:t>
      </w:r>
    </w:p>
    <w:p>
      <w:pPr>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9"/>
        <w:rPr>
          <w:rFonts w:hint="eastAsia" w:ascii="宋体" w:hAnsi="宋体" w:eastAsia="宋体" w:cs="宋体"/>
          <w:bCs w:val="0"/>
          <w:color w:val="auto"/>
          <w:kern w:val="2"/>
          <w:sz w:val="28"/>
          <w:szCs w:val="28"/>
          <w:lang w:val="en-US" w:eastAsia="zh-CN" w:bidi="ar-SA"/>
        </w:rPr>
      </w:pPr>
      <w:r>
        <w:rPr>
          <w:rFonts w:hint="eastAsia" w:ascii="宋体" w:hAnsi="宋体" w:eastAsia="宋体" w:cs="宋体"/>
          <w:bCs w:val="0"/>
          <w:color w:val="auto"/>
          <w:kern w:val="2"/>
          <w:sz w:val="28"/>
          <w:szCs w:val="28"/>
          <w:lang w:val="en-US" w:eastAsia="zh-CN" w:bidi="ar-SA"/>
        </w:rPr>
        <w:t>6.1.2.1 培训内容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为确保快速、有序和有效的应急能力，应急指挥部和各专业救援队成员应认真学习本预案的内容，明确在救援现场所担任的责任；对周边群众应告知可能的危险危害及避险方法。每年的培训时间及内容如表6-1。</w:t>
      </w:r>
    </w:p>
    <w:p>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表</w:t>
      </w:r>
      <w:r>
        <w:rPr>
          <w:rFonts w:hint="eastAsia" w:ascii="宋体" w:hAnsi="宋体" w:eastAsia="宋体" w:cs="宋体"/>
          <w:b/>
          <w:color w:val="auto"/>
          <w:sz w:val="24"/>
          <w:lang w:val="en-US" w:eastAsia="zh-CN"/>
        </w:rPr>
        <w:t>6</w:t>
      </w:r>
      <w:r>
        <w:rPr>
          <w:rFonts w:hint="eastAsia" w:ascii="宋体" w:hAnsi="宋体" w:eastAsia="宋体" w:cs="宋体"/>
          <w:b/>
          <w:color w:val="auto"/>
          <w:sz w:val="24"/>
        </w:rPr>
        <w:t>-1 各类人员培训时间和内容</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
        <w:gridCol w:w="2145"/>
        <w:gridCol w:w="4304"/>
        <w:gridCol w:w="14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932" w:type="dxa"/>
            <w:tcBorders>
              <w:top w:val="single" w:color="auto" w:sz="12" w:space="0"/>
              <w:bottom w:val="single" w:color="auto" w:sz="6" w:space="0"/>
            </w:tcBorders>
            <w:shd w:val="clear" w:color="auto" w:fill="auto"/>
            <w:noWrap w:val="0"/>
            <w:vAlign w:val="center"/>
          </w:tcPr>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2145" w:type="dxa"/>
            <w:tcBorders>
              <w:top w:val="single" w:color="auto" w:sz="12" w:space="0"/>
              <w:bottom w:val="single" w:color="auto" w:sz="6" w:space="0"/>
            </w:tcBorders>
            <w:shd w:val="clear" w:color="auto" w:fill="auto"/>
            <w:noWrap w:val="0"/>
            <w:vAlign w:val="center"/>
          </w:tcPr>
          <w:p>
            <w:pPr>
              <w:ind w:firstLine="36" w:firstLineChars="15"/>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人员</w:t>
            </w:r>
          </w:p>
        </w:tc>
        <w:tc>
          <w:tcPr>
            <w:tcW w:w="4304" w:type="dxa"/>
            <w:tcBorders>
              <w:top w:val="single" w:color="auto" w:sz="12" w:space="0"/>
              <w:bottom w:val="single" w:color="auto" w:sz="6" w:space="0"/>
            </w:tcBorders>
            <w:shd w:val="clear" w:color="auto" w:fill="auto"/>
            <w:noWrap w:val="0"/>
            <w:vAlign w:val="center"/>
          </w:tcPr>
          <w:p>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主要内容</w:t>
            </w:r>
          </w:p>
        </w:tc>
        <w:tc>
          <w:tcPr>
            <w:tcW w:w="1439" w:type="dxa"/>
            <w:tcBorders>
              <w:top w:val="single" w:color="auto" w:sz="12" w:space="0"/>
              <w:bottom w:val="single" w:color="auto" w:sz="6" w:space="0"/>
            </w:tcBorders>
            <w:shd w:val="clear" w:color="auto" w:fill="auto"/>
            <w:noWrap w:val="0"/>
            <w:vAlign w:val="center"/>
          </w:tcPr>
          <w:p>
            <w:pPr>
              <w:ind w:firstLine="41" w:firstLineChars="17"/>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932" w:type="dxa"/>
            <w:tcBorders>
              <w:top w:val="single" w:color="auto" w:sz="6" w:space="0"/>
            </w:tcBorders>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p>
        </w:tc>
        <w:tc>
          <w:tcPr>
            <w:tcW w:w="2145" w:type="dxa"/>
            <w:tcBorders>
              <w:top w:val="single" w:color="auto" w:sz="6" w:space="0"/>
            </w:tcBorders>
            <w:noWrap w:val="0"/>
            <w:vAlign w:val="center"/>
          </w:tcPr>
          <w:p>
            <w:pPr>
              <w:ind w:firstLine="36" w:firstLineChars="15"/>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公司总经理</w:t>
            </w:r>
          </w:p>
        </w:tc>
        <w:tc>
          <w:tcPr>
            <w:tcW w:w="4304" w:type="dxa"/>
            <w:tcBorders>
              <w:top w:val="single" w:color="auto" w:sz="6" w:space="0"/>
            </w:tcBorders>
            <w:noWrap w:val="0"/>
            <w:vAlign w:val="center"/>
          </w:tcPr>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1、规章制度、标准；</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2、职业危害辨识；</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3、安全检查；</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4、制定应急计划和安全报告；</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5、危险源管理；</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6、事故调查方法。</w:t>
            </w:r>
          </w:p>
        </w:tc>
        <w:tc>
          <w:tcPr>
            <w:tcW w:w="1439" w:type="dxa"/>
            <w:tcBorders>
              <w:top w:val="single" w:color="auto" w:sz="6" w:space="0"/>
            </w:tcBorders>
            <w:noWrap w:val="0"/>
            <w:vAlign w:val="center"/>
          </w:tcPr>
          <w:p>
            <w:pPr>
              <w:ind w:firstLine="40" w:firstLineChars="17"/>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每年不少于48h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932" w:type="dxa"/>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p>
        </w:tc>
        <w:tc>
          <w:tcPr>
            <w:tcW w:w="2145" w:type="dxa"/>
            <w:noWrap w:val="0"/>
            <w:vAlign w:val="center"/>
          </w:tcPr>
          <w:p>
            <w:pPr>
              <w:ind w:firstLine="36" w:firstLineChars="15"/>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部门负责人</w:t>
            </w:r>
          </w:p>
        </w:tc>
        <w:tc>
          <w:tcPr>
            <w:tcW w:w="4304" w:type="dxa"/>
            <w:noWrap w:val="0"/>
            <w:vAlign w:val="center"/>
          </w:tcPr>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1、国家政策法规；</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2、事故调查分析；</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3、危险源管理；</w:t>
            </w:r>
          </w:p>
        </w:tc>
        <w:tc>
          <w:tcPr>
            <w:tcW w:w="1439" w:type="dxa"/>
            <w:noWrap w:val="0"/>
            <w:vAlign w:val="center"/>
          </w:tcPr>
          <w:p>
            <w:pPr>
              <w:ind w:firstLine="40" w:firstLineChars="17"/>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每年不少于24h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932" w:type="dxa"/>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w:t>
            </w:r>
          </w:p>
        </w:tc>
        <w:tc>
          <w:tcPr>
            <w:tcW w:w="2145" w:type="dxa"/>
            <w:noWrap w:val="0"/>
            <w:vAlign w:val="center"/>
          </w:tcPr>
          <w:p>
            <w:pPr>
              <w:ind w:firstLine="36" w:firstLineChars="15"/>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一般人员</w:t>
            </w:r>
          </w:p>
        </w:tc>
        <w:tc>
          <w:tcPr>
            <w:tcW w:w="4304" w:type="dxa"/>
            <w:noWrap w:val="0"/>
            <w:vAlign w:val="center"/>
          </w:tcPr>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1、规章制度和操作规程；</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2、防火知识；</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3、个体防护知识及应用；</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4、自救互救技术；</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5、新进员工安全知识及技能；</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6、事故及救援案例分析。</w:t>
            </w:r>
          </w:p>
        </w:tc>
        <w:tc>
          <w:tcPr>
            <w:tcW w:w="1439" w:type="dxa"/>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每年不少于24h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932" w:type="dxa"/>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w:t>
            </w:r>
          </w:p>
        </w:tc>
        <w:tc>
          <w:tcPr>
            <w:tcW w:w="2145" w:type="dxa"/>
            <w:noWrap w:val="0"/>
            <w:vAlign w:val="center"/>
          </w:tcPr>
          <w:p>
            <w:pPr>
              <w:ind w:firstLine="36" w:firstLineChars="15"/>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安全和应急救援人员</w:t>
            </w:r>
          </w:p>
        </w:tc>
        <w:tc>
          <w:tcPr>
            <w:tcW w:w="4304" w:type="dxa"/>
            <w:noWrap w:val="0"/>
            <w:vAlign w:val="center"/>
          </w:tcPr>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1、国家政策、法规；</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2、伤员救护常识；</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3、应急救援专业技术；</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4、事故调查和评估；</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5、危险源管理；</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6、事故及救援案例分析。</w:t>
            </w:r>
          </w:p>
        </w:tc>
        <w:tc>
          <w:tcPr>
            <w:tcW w:w="1439" w:type="dxa"/>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每年不少于40h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932" w:type="dxa"/>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w:t>
            </w:r>
          </w:p>
        </w:tc>
        <w:tc>
          <w:tcPr>
            <w:tcW w:w="2145" w:type="dxa"/>
            <w:noWrap w:val="0"/>
            <w:vAlign w:val="center"/>
          </w:tcPr>
          <w:p>
            <w:pPr>
              <w:ind w:firstLine="36" w:firstLineChars="15"/>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公司</w:t>
            </w:r>
            <w:r>
              <w:rPr>
                <w:rFonts w:hint="eastAsia" w:ascii="宋体" w:hAnsi="宋体" w:eastAsia="宋体" w:cs="宋体"/>
                <w:b w:val="0"/>
                <w:bCs w:val="0"/>
                <w:color w:val="auto"/>
                <w:sz w:val="24"/>
                <w:szCs w:val="24"/>
              </w:rPr>
              <w:t>外相关人员</w:t>
            </w:r>
          </w:p>
        </w:tc>
        <w:tc>
          <w:tcPr>
            <w:tcW w:w="4304" w:type="dxa"/>
            <w:noWrap w:val="0"/>
            <w:vAlign w:val="center"/>
          </w:tcPr>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1、互助方式交流、培训；</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2、应急物资共享交流、培训；</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3、应急救援专业技术；</w:t>
            </w:r>
          </w:p>
          <w:p>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4、区域疏散方式。</w:t>
            </w:r>
          </w:p>
        </w:tc>
        <w:tc>
          <w:tcPr>
            <w:tcW w:w="1439" w:type="dxa"/>
            <w:noWrap w:val="0"/>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每年不少于24h</w:t>
            </w:r>
          </w:p>
        </w:tc>
      </w:tr>
    </w:tbl>
    <w:p>
      <w:pPr>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9"/>
        <w:rPr>
          <w:rFonts w:hint="eastAsia" w:ascii="宋体" w:hAnsi="宋体" w:eastAsia="宋体" w:cs="宋体"/>
          <w:bCs w:val="0"/>
          <w:color w:val="auto"/>
          <w:kern w:val="2"/>
          <w:sz w:val="28"/>
          <w:szCs w:val="28"/>
          <w:lang w:val="en-US" w:eastAsia="zh-CN" w:bidi="ar-SA"/>
        </w:rPr>
      </w:pPr>
      <w:r>
        <w:rPr>
          <w:rFonts w:hint="eastAsia" w:ascii="宋体" w:hAnsi="宋体" w:eastAsia="宋体" w:cs="宋体"/>
          <w:bCs w:val="0"/>
          <w:color w:val="auto"/>
          <w:kern w:val="2"/>
          <w:sz w:val="28"/>
          <w:szCs w:val="28"/>
          <w:lang w:val="en-US" w:eastAsia="zh-CN" w:bidi="ar-SA"/>
        </w:rPr>
        <w:t>6.1.2.2 培训方式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培训方式可根据公司的实际特点，采取多种形式进行，如定期开设培训班、上课、事故讲座、现场实操、发放宣传资料以及黑板报、公告栏、墙板、广播等，使教育培训形象生动。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通过培训，使有关应急救援人员、员工熟悉预案内容，应急响应程序、实施内容和方式等。</w:t>
      </w:r>
    </w:p>
    <w:p>
      <w:pPr>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left"/>
        <w:textAlignment w:val="auto"/>
        <w:outlineLvl w:val="9"/>
        <w:rPr>
          <w:rFonts w:hint="eastAsia" w:ascii="宋体" w:hAnsi="宋体" w:eastAsia="宋体" w:cs="宋体"/>
          <w:bCs w:val="0"/>
          <w:color w:val="auto"/>
          <w:kern w:val="2"/>
          <w:sz w:val="28"/>
          <w:szCs w:val="28"/>
          <w:lang w:val="en-US" w:eastAsia="zh-CN" w:bidi="ar-SA"/>
        </w:rPr>
      </w:pPr>
      <w:r>
        <w:rPr>
          <w:rFonts w:hint="eastAsia" w:ascii="宋体" w:hAnsi="宋体" w:eastAsia="宋体" w:cs="宋体"/>
          <w:bCs w:val="0"/>
          <w:color w:val="auto"/>
          <w:kern w:val="2"/>
          <w:sz w:val="28"/>
          <w:szCs w:val="28"/>
          <w:lang w:val="en-US" w:eastAsia="zh-CN" w:bidi="ar-SA"/>
        </w:rPr>
        <w:t>6.1.2.3 培训要求</w:t>
      </w:r>
    </w:p>
    <w:p>
      <w:pPr>
        <w:numPr>
          <w:ilvl w:val="0"/>
          <w:numId w:val="6"/>
        </w:numPr>
        <w:spacing w:line="360" w:lineRule="auto"/>
        <w:ind w:left="0"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应急救援人员培训：应急救援人员选择身体状况良好，具有较高文化素质，便于通讯联系，为提高应急救援人员的救援能力和水平，每年对应急救援人员进行不少于两次的培训。</w:t>
      </w:r>
    </w:p>
    <w:p>
      <w:pPr>
        <w:numPr>
          <w:ilvl w:val="0"/>
          <w:numId w:val="6"/>
        </w:numPr>
        <w:spacing w:line="360" w:lineRule="auto"/>
        <w:ind w:left="0"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员工应急响应的培训，每年度由员工所在部门进行应急响应的培训。</w:t>
      </w:r>
    </w:p>
    <w:p>
      <w:pPr>
        <w:numPr>
          <w:ilvl w:val="0"/>
          <w:numId w:val="6"/>
        </w:numPr>
        <w:spacing w:line="360" w:lineRule="auto"/>
        <w:ind w:left="0"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人员应急响应的培训，周边协助人员，应由应急指挥部协助周边人员进行应急响应的知识宣传教育。</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205" w:name="_Toc279582053"/>
      <w:bookmarkStart w:id="206" w:name="_Toc279497556"/>
      <w:bookmarkStart w:id="207" w:name="_Toc263780853"/>
      <w:bookmarkStart w:id="208" w:name="_Toc185241275"/>
      <w:bookmarkStart w:id="209" w:name="_Toc29218"/>
      <w:bookmarkStart w:id="210" w:name="_Toc140484012"/>
      <w:bookmarkStart w:id="211" w:name="_Toc331420537"/>
      <w:bookmarkStart w:id="212" w:name="_Toc332285137"/>
      <w:bookmarkStart w:id="213" w:name="_Toc5580"/>
      <w:r>
        <w:rPr>
          <w:rFonts w:hint="eastAsia" w:ascii="宋体" w:hAnsi="宋体" w:eastAsia="宋体" w:cs="宋体"/>
          <w:b/>
          <w:bCs/>
          <w:color w:val="auto"/>
          <w:sz w:val="28"/>
          <w:szCs w:val="28"/>
          <w:lang w:val="en-US" w:eastAsia="zh-CN"/>
        </w:rPr>
        <w:t>6.2 演练</w:t>
      </w:r>
      <w:bookmarkEnd w:id="205"/>
      <w:bookmarkEnd w:id="206"/>
      <w:bookmarkEnd w:id="207"/>
      <w:bookmarkEnd w:id="208"/>
      <w:bookmarkEnd w:id="209"/>
      <w:bookmarkEnd w:id="210"/>
      <w:bookmarkEnd w:id="211"/>
      <w:bookmarkEnd w:id="212"/>
      <w:bookmarkEnd w:id="213"/>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214" w:name="_Toc185241276"/>
      <w:bookmarkStart w:id="215" w:name="_Toc263780854"/>
      <w:bookmarkStart w:id="216" w:name="_Toc140484013"/>
      <w:bookmarkStart w:id="217" w:name="_Toc20733"/>
      <w:r>
        <w:rPr>
          <w:rFonts w:hint="eastAsia" w:ascii="宋体" w:hAnsi="宋体" w:eastAsia="宋体" w:cs="宋体"/>
          <w:b/>
          <w:bCs w:val="0"/>
          <w:color w:val="auto"/>
          <w:sz w:val="28"/>
          <w:szCs w:val="28"/>
          <w:lang w:val="en-US" w:eastAsia="zh-CN"/>
        </w:rPr>
        <w:t>6.2.1 演练准备</w:t>
      </w:r>
      <w:bookmarkEnd w:id="214"/>
      <w:bookmarkEnd w:id="215"/>
      <w:bookmarkEnd w:id="216"/>
      <w:bookmarkEnd w:id="217"/>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（1）成立演练策划小组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演练策划小组由应急指挥部人员组成，对演练实施全面控制，其主要职责如下。</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A、确定演练目的、原则、规模、参演的部门；确定演练的性质与方法选定演练的地点和时间，规定演练的时间尺度和公众参与和程度。</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B、协调各参演部门之间的关系。</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C、确定演练实施计划、情景设计与处置方案，审定演习准备工作计划和调整计划。</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D、检查和指导演练的准备与实施，解决准备与实施过程中所发生的重大问题。</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E、组织演练总结与评价。</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（2）演练方案</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根据不同的演练情景，由演练策划小组编制出演练方案。演练情景设计过程中，应考虑以下注意事项。</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A、应将演练参与人员、公众的安全放在首位。</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B、编写人员必须熟悉演练地点环境及周边状况。</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C、设计情景时应结合实际情况，具有一定的真实性、可操作性。</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D、情景事件的时间尺度最好与真实事故的时间尺度相一致。</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E、设计演练情景时应详细说明气象条件。</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F、应慎重考虑公众卷入的问题，避免引起公众恐慌。</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G、应考虑通信故障问题和一些突发情况。</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bookmarkStart w:id="218" w:name="_Toc140484014"/>
      <w:bookmarkStart w:id="219" w:name="_Toc185241277"/>
      <w:bookmarkStart w:id="220" w:name="_Toc263780855"/>
      <w:r>
        <w:rPr>
          <w:rFonts w:hint="eastAsia" w:ascii="宋体" w:hAnsi="宋体" w:eastAsia="宋体" w:cs="宋体"/>
          <w:b/>
          <w:bCs w:val="0"/>
          <w:color w:val="auto"/>
          <w:sz w:val="28"/>
          <w:szCs w:val="28"/>
          <w:lang w:val="en-US" w:eastAsia="zh-CN"/>
        </w:rPr>
        <w:t>6.2.2 演练范围与频次</w:t>
      </w:r>
      <w:bookmarkEnd w:id="218"/>
      <w:bookmarkEnd w:id="219"/>
      <w:bookmarkEnd w:id="220"/>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计划每年至少组织进行1次综合预案或专项预案演练，每半年进行1次各类现场应急处置预案演练，由公司应急指挥部组织各专业组进行，涉及到的部门、人员应积极参与，必要时聘请各专业技术专家进行现场指导。</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演习前要制定演习计划，演习保持相应记录，并做好应急演习评价结果、应急演习总结与演习追踪记录。</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（1）参与人员包括：</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A、应急救援人员。</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B、全体员工。</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C、周边居民。</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D、预案评审人员。</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（2）演习内容分为：</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A、人员伤亡的现场处理。</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B、火灾爆炸事故应急处置。</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C、电器故障发生的火灾。</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D、人员紧急疏散。</w:t>
      </w:r>
    </w:p>
    <w:p>
      <w:pPr>
        <w:pStyle w:val="7"/>
        <w:keepNext/>
        <w:keepLines/>
        <w:pageBreakBefore w:val="0"/>
        <w:widowControl w:val="0"/>
        <w:kinsoku/>
        <w:wordWrap/>
        <w:overflowPunct/>
        <w:topLinePunct w:val="0"/>
        <w:autoSpaceDE/>
        <w:autoSpaceDN/>
        <w:bidi w:val="0"/>
        <w:adjustRightInd w:val="0"/>
        <w:snapToGrid w:val="0"/>
        <w:spacing w:before="0" w:beforeLines="0" w:after="0" w:line="360" w:lineRule="auto"/>
        <w:ind w:firstLine="0" w:firstLineChars="0"/>
        <w:jc w:val="left"/>
        <w:textAlignment w:val="auto"/>
        <w:outlineLvl w:val="3"/>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6.2.3 演练评估和总结</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演练前要制定演练进程控制一览表和演练记录表，由专人对演练进程实施情况进行观察，记录演练进度情况和处置实施情况，及时发现演练过程中存在的问题。</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演练结束后，由公司应急指挥部负责对应急救援演练效果进行评价，对应急救援演练工作（人力、物力资源配备、应急程序、应急能力等）进行总结，提出改进意见和建议，形成评价总结报告，报公司应急指挥部。</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221" w:name="_Toc3788"/>
      <w:bookmarkStart w:id="222" w:name="_Toc332285138"/>
      <w:bookmarkStart w:id="223" w:name="_Toc176022646"/>
      <w:bookmarkStart w:id="224" w:name="_Toc25623"/>
      <w:r>
        <w:rPr>
          <w:rFonts w:hint="eastAsia" w:ascii="宋体" w:hAnsi="宋体" w:eastAsia="宋体" w:cs="宋体"/>
          <w:b/>
          <w:bCs/>
          <w:color w:val="auto"/>
          <w:sz w:val="28"/>
          <w:szCs w:val="28"/>
          <w:lang w:val="en-US" w:eastAsia="zh-CN"/>
        </w:rPr>
        <w:t>6.3 预案修订</w:t>
      </w:r>
      <w:bookmarkEnd w:id="221"/>
      <w:bookmarkEnd w:id="222"/>
      <w:bookmarkEnd w:id="223"/>
      <w:bookmarkEnd w:id="224"/>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出现以下所列情况的，本应急预案应当及时评审修订：</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（1）生产经营单位因兼并、重组、转制等导致隶属关系、经营方式、法定代表人发生变化的；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（2）生产经营单位生产工艺和技术发生变化的；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（3）周围环境发生变化，形成新的重大危险源的；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（4）应急组织指挥体系或者职责已经调整的；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（5）依据的法律、法规、规章和标准发生变化的；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（6）应急预案演练评估报告要求修订的；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（7）应急预案管理部门要求修订的；</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（8）法律法规和部门规章规定应当修订的其他情形。</w:t>
      </w:r>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此外，至少每三年对本预案进行一次修订。预案修订由应急指挥部组织，修订后应组织评审，并根据评审意见修改，最后报总经理重新批准发布。</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225" w:name="_Toc2540"/>
      <w:bookmarkStart w:id="226" w:name="_Toc21624"/>
      <w:bookmarkStart w:id="227" w:name="_Toc26602"/>
      <w:bookmarkStart w:id="228" w:name="_Toc13738"/>
      <w:r>
        <w:rPr>
          <w:rFonts w:hint="eastAsia" w:ascii="宋体" w:hAnsi="宋体" w:eastAsia="宋体" w:cs="宋体"/>
          <w:b/>
          <w:bCs/>
          <w:color w:val="auto"/>
          <w:sz w:val="28"/>
          <w:szCs w:val="28"/>
          <w:lang w:val="en-US" w:eastAsia="zh-CN"/>
        </w:rPr>
        <w:t>6.4 应急预案备案</w:t>
      </w:r>
      <w:bookmarkEnd w:id="225"/>
      <w:bookmarkEnd w:id="226"/>
      <w:bookmarkEnd w:id="227"/>
      <w:bookmarkEnd w:id="228"/>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本应急预案经专家评审并修改完善后，再经总经理批准后报南充市应急管理局备案。</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b/>
          <w:bCs/>
          <w:color w:val="auto"/>
          <w:sz w:val="28"/>
          <w:szCs w:val="28"/>
          <w:lang w:val="en-US" w:eastAsia="zh-CN"/>
        </w:rPr>
      </w:pPr>
      <w:bookmarkStart w:id="229" w:name="_Toc13011"/>
      <w:bookmarkStart w:id="230" w:name="_Toc9249"/>
      <w:bookmarkStart w:id="231" w:name="_Toc3362"/>
      <w:bookmarkStart w:id="232" w:name="_Toc27471"/>
      <w:r>
        <w:rPr>
          <w:rFonts w:hint="eastAsia" w:ascii="宋体" w:hAnsi="宋体" w:eastAsia="宋体" w:cs="宋体"/>
          <w:b/>
          <w:bCs/>
          <w:color w:val="auto"/>
          <w:sz w:val="28"/>
          <w:szCs w:val="28"/>
          <w:lang w:val="en-US" w:eastAsia="zh-CN"/>
        </w:rPr>
        <w:t>6.5 应急预案实施</w:t>
      </w:r>
      <w:bookmarkEnd w:id="229"/>
      <w:bookmarkEnd w:id="230"/>
      <w:bookmarkEnd w:id="231"/>
      <w:bookmarkEnd w:id="232"/>
    </w:p>
    <w:p>
      <w:pPr>
        <w:ind w:firstLine="523" w:firstLineChars="187"/>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本应急预案的制定部门为预案编制小组。解释部门为应急指挥部，应急预案必须经本公司总经理批准发布后实施。</w:t>
      </w:r>
    </w:p>
    <w:p>
      <w:pPr>
        <w:ind w:firstLine="523" w:firstLineChars="187"/>
        <w:rPr>
          <w:rFonts w:hint="eastAsia" w:ascii="宋体" w:hAnsi="宋体" w:eastAsia="宋体" w:cs="宋体"/>
          <w:color w:val="auto"/>
          <w:sz w:val="28"/>
          <w:szCs w:val="28"/>
          <w:lang w:val="zh-CN" w:eastAsia="zh-CN"/>
        </w:rPr>
      </w:pPr>
    </w:p>
    <w:p>
      <w:pPr>
        <w:pStyle w:val="2"/>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lang w:eastAsia="zh-CN"/>
        </w:rPr>
      </w:pPr>
    </w:p>
    <w:p>
      <w:pPr>
        <w:spacing w:line="360" w:lineRule="auto"/>
        <w:ind w:firstLine="640" w:firstLineChars="200"/>
        <w:rPr>
          <w:rFonts w:hint="eastAsia" w:ascii="宋体" w:hAnsi="宋体" w:eastAsia="宋体" w:cs="宋体"/>
          <w:bCs/>
          <w:color w:val="auto"/>
          <w:kern w:val="0"/>
          <w:sz w:val="32"/>
          <w:szCs w:val="32"/>
        </w:rPr>
      </w:pPr>
    </w:p>
    <w:p>
      <w:pPr>
        <w:spacing w:line="360" w:lineRule="auto"/>
        <w:ind w:firstLine="640" w:firstLineChars="200"/>
        <w:rPr>
          <w:rFonts w:hint="eastAsia" w:ascii="宋体" w:hAnsi="宋体" w:eastAsia="宋体" w:cs="宋体"/>
          <w:bCs/>
          <w:color w:val="auto"/>
          <w:kern w:val="0"/>
          <w:sz w:val="32"/>
          <w:szCs w:val="32"/>
        </w:rPr>
      </w:pPr>
    </w:p>
    <w:p>
      <w:pPr>
        <w:pStyle w:val="15"/>
        <w:rPr>
          <w:rFonts w:hint="eastAsia" w:ascii="宋体" w:hAnsi="宋体" w:eastAsia="宋体" w:cs="宋体"/>
          <w:bCs/>
          <w:color w:val="auto"/>
          <w:kern w:val="44"/>
          <w:sz w:val="28"/>
          <w:szCs w:val="28"/>
        </w:rPr>
        <w:sectPr>
          <w:type w:val="continuous"/>
          <w:pgSz w:w="11906" w:h="16838"/>
          <w:pgMar w:top="1417" w:right="1417" w:bottom="1417" w:left="1417"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625" w:beforeLines="200" w:after="625" w:afterLines="200" w:line="240" w:lineRule="auto"/>
        <w:jc w:val="center"/>
        <w:textAlignment w:val="auto"/>
        <w:rPr>
          <w:rFonts w:hint="eastAsia" w:ascii="宋体" w:hAnsi="宋体" w:eastAsia="宋体" w:cs="宋体"/>
          <w:color w:val="auto"/>
          <w:sz w:val="36"/>
          <w:szCs w:val="36"/>
        </w:rPr>
      </w:pPr>
      <w:bookmarkStart w:id="233" w:name="_Toc11712"/>
      <w:bookmarkStart w:id="234" w:name="_Toc374"/>
      <w:bookmarkStart w:id="235" w:name="_Toc29904"/>
      <w:bookmarkStart w:id="236" w:name="_Toc2243"/>
      <w:bookmarkStart w:id="237" w:name="_Toc25996"/>
      <w:bookmarkStart w:id="238" w:name="_Toc345242437"/>
      <w:bookmarkStart w:id="239" w:name="_Toc13222"/>
      <w:bookmarkStart w:id="240" w:name="_Toc298254316"/>
      <w:bookmarkStart w:id="241" w:name="_Toc301471356"/>
      <w:bookmarkStart w:id="242" w:name="_Toc282508893"/>
      <w:bookmarkStart w:id="243" w:name="_Toc6621"/>
      <w:r>
        <w:rPr>
          <w:rFonts w:hint="eastAsia" w:ascii="宋体" w:hAnsi="宋体" w:eastAsia="宋体" w:cs="宋体"/>
          <w:color w:val="auto"/>
          <w:sz w:val="36"/>
          <w:szCs w:val="36"/>
        </w:rPr>
        <w:t>第</w:t>
      </w:r>
      <w:r>
        <w:rPr>
          <w:rFonts w:hint="eastAsia" w:ascii="宋体" w:hAnsi="宋体" w:eastAsia="宋体" w:cs="宋体"/>
          <w:color w:val="auto"/>
          <w:sz w:val="36"/>
          <w:szCs w:val="36"/>
          <w:lang w:eastAsia="zh-CN"/>
        </w:rPr>
        <w:t>三</w:t>
      </w:r>
      <w:r>
        <w:rPr>
          <w:rFonts w:hint="eastAsia" w:ascii="宋体" w:hAnsi="宋体" w:eastAsia="宋体" w:cs="宋体"/>
          <w:color w:val="auto"/>
          <w:sz w:val="36"/>
          <w:szCs w:val="36"/>
        </w:rPr>
        <w:t>部分 专项应急预案</w:t>
      </w:r>
      <w:bookmarkEnd w:id="233"/>
      <w:bookmarkEnd w:id="234"/>
      <w:bookmarkEnd w:id="235"/>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center"/>
        <w:textAlignment w:val="auto"/>
        <w:outlineLvl w:val="1"/>
        <w:rPr>
          <w:rFonts w:hint="eastAsia" w:ascii="宋体" w:hAnsi="宋体" w:eastAsia="宋体" w:cs="宋体"/>
          <w:color w:val="auto"/>
          <w:sz w:val="32"/>
          <w:szCs w:val="32"/>
          <w:lang w:val="en-US" w:eastAsia="zh-CN"/>
        </w:rPr>
      </w:pPr>
      <w:bookmarkStart w:id="244" w:name="_Toc31691"/>
      <w:bookmarkStart w:id="245" w:name="_Toc27715"/>
      <w:r>
        <w:rPr>
          <w:rFonts w:hint="eastAsia" w:ascii="宋体" w:hAnsi="宋体" w:eastAsia="宋体" w:cs="宋体"/>
          <w:color w:val="auto"/>
          <w:sz w:val="32"/>
          <w:szCs w:val="32"/>
          <w:lang w:val="en-US" w:eastAsia="zh-CN"/>
        </w:rPr>
        <w:t>一、火灾、爆炸事故专项应急预案</w:t>
      </w:r>
      <w:bookmarkEnd w:id="244"/>
      <w:bookmarkEnd w:id="245"/>
    </w:p>
    <w:p>
      <w:pPr>
        <w:pStyle w:val="5"/>
        <w:spacing w:before="0" w:after="0" w:line="360" w:lineRule="auto"/>
        <w:jc w:val="both"/>
        <w:rPr>
          <w:rFonts w:hint="eastAsia" w:ascii="宋体" w:hAnsi="宋体" w:eastAsia="宋体" w:cs="宋体"/>
          <w:b/>
          <w:bCs/>
          <w:color w:val="auto"/>
          <w:kern w:val="44"/>
          <w:sz w:val="32"/>
          <w:szCs w:val="44"/>
          <w:lang w:val="en-US" w:eastAsia="zh-CN" w:bidi="ar-SA"/>
        </w:rPr>
      </w:pPr>
      <w:bookmarkStart w:id="246" w:name="_Toc31510"/>
      <w:bookmarkStart w:id="247" w:name="_Toc18457"/>
      <w:bookmarkStart w:id="248" w:name="_Toc23515"/>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lang w:val="zh-CN"/>
        </w:rPr>
        <w:t>适用范围</w:t>
      </w:r>
      <w:bookmarkEnd w:id="246"/>
      <w:bookmarkEnd w:id="247"/>
      <w:bookmarkEnd w:id="24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）适用范围：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w:t>
      </w:r>
      <w:r>
        <w:rPr>
          <w:rFonts w:hint="eastAsia" w:ascii="宋体" w:hAnsi="宋体" w:eastAsia="宋体" w:cs="宋体"/>
          <w:color w:val="auto"/>
          <w:sz w:val="28"/>
          <w:szCs w:val="28"/>
          <w:lang w:eastAsia="zh-CN"/>
        </w:rPr>
        <w:t>火灾、爆炸事故专项应急预案</w:t>
      </w:r>
      <w:r>
        <w:rPr>
          <w:rFonts w:hint="eastAsia" w:ascii="宋体" w:hAnsi="宋体" w:eastAsia="宋体" w:cs="宋体"/>
          <w:color w:val="auto"/>
          <w:sz w:val="28"/>
          <w:szCs w:val="28"/>
        </w:rPr>
        <w:t>适用</w:t>
      </w:r>
      <w:r>
        <w:rPr>
          <w:rFonts w:hint="eastAsia" w:ascii="宋体" w:hAnsi="宋体" w:eastAsia="宋体" w:cs="宋体"/>
          <w:color w:val="auto"/>
          <w:sz w:val="28"/>
          <w:szCs w:val="28"/>
          <w:lang w:eastAsia="zh-CN"/>
        </w:rPr>
        <w:t>于埃夫科纳（南充）特种聚合物有限公司在生产车间、办公楼、生活辅助区等</w:t>
      </w:r>
      <w:r>
        <w:rPr>
          <w:rFonts w:hint="eastAsia" w:ascii="宋体" w:hAnsi="宋体" w:eastAsia="宋体" w:cs="宋体"/>
          <w:color w:val="auto"/>
          <w:sz w:val="28"/>
          <w:szCs w:val="28"/>
        </w:rPr>
        <w:t>场所发生</w:t>
      </w:r>
      <w:r>
        <w:rPr>
          <w:rFonts w:hint="eastAsia" w:ascii="宋体" w:hAnsi="宋体" w:eastAsia="宋体" w:cs="宋体"/>
          <w:color w:val="auto"/>
          <w:sz w:val="28"/>
          <w:szCs w:val="28"/>
          <w:lang w:eastAsia="zh-CN"/>
        </w:rPr>
        <w:t>的一般固体物质类火灾、液体火灾、气体火灾、电气火灾事故的发展阶段</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rPr>
        <w:t>本专项预案是公司综合应急预案的补充和完善，与综合预案</w:t>
      </w:r>
      <w:r>
        <w:rPr>
          <w:rFonts w:hint="eastAsia" w:ascii="宋体" w:hAnsi="宋体" w:eastAsia="宋体" w:cs="宋体"/>
          <w:color w:val="auto"/>
          <w:sz w:val="28"/>
          <w:szCs w:val="28"/>
          <w:lang w:eastAsia="zh-CN"/>
        </w:rPr>
        <w:t>联动响应。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）事故分布：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火灾、爆炸事故容易发生场所：</w:t>
      </w:r>
      <w:r>
        <w:rPr>
          <w:rFonts w:hint="eastAsia" w:ascii="宋体" w:hAnsi="宋体" w:eastAsia="宋体" w:cs="宋体"/>
          <w:color w:val="auto"/>
          <w:sz w:val="28"/>
          <w:szCs w:val="28"/>
        </w:rPr>
        <w:t>工艺装置区、甲类储罐区、变配电室及各用电场所、设施设备检维修过程焊接作业等场所。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（3）严重程度及影响范围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①若发生车间级火灾、爆炸事故，主要表现为初期火灾，不影响其他装置，车间内部力量可以迅速控制的，严重程度主要体现为损坏部分生产装置；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②若发生公司级火灾、爆炸事故，主要表现为影响相邻正在运行的生产装置、生产车间，甚至影响到周边的企业，需要立即启动公司综合应急预案，严重程度体现为可导致人员伤亡、装置损毁等灾难性事故；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color w:val="auto"/>
          <w:lang w:eastAsia="zh-CN"/>
        </w:rPr>
      </w:pPr>
      <w:r>
        <w:rPr>
          <w:rFonts w:hint="eastAsia" w:ascii="宋体" w:hAnsi="宋体" w:eastAsia="宋体" w:cs="宋体"/>
          <w:color w:val="auto"/>
          <w:sz w:val="28"/>
          <w:szCs w:val="28"/>
          <w:lang w:eastAsia="zh-CN"/>
        </w:rPr>
        <w:t>③若发生社会级火灾、爆炸事故，主要表现为可能影响到相邻周边企业，将造成灾难性的后果，可导致人员伤亡、装置损毁、房屋倒塌等灾难性事故。</w:t>
      </w:r>
    </w:p>
    <w:p>
      <w:pPr>
        <w:pStyle w:val="5"/>
        <w:spacing w:before="0" w:after="0" w:line="360" w:lineRule="auto"/>
        <w:jc w:val="both"/>
        <w:rPr>
          <w:rFonts w:hint="eastAsia" w:ascii="宋体" w:hAnsi="宋体" w:eastAsia="宋体" w:cs="宋体"/>
          <w:b/>
          <w:bCs/>
          <w:color w:val="auto"/>
          <w:sz w:val="28"/>
          <w:szCs w:val="28"/>
          <w:lang w:val="en-US" w:eastAsia="zh-CN"/>
        </w:rPr>
      </w:pPr>
      <w:bookmarkStart w:id="249" w:name="_Toc28898"/>
      <w:bookmarkStart w:id="250" w:name="_Toc28916"/>
      <w:bookmarkStart w:id="251" w:name="_Toc11948"/>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lang w:val="zh-CN"/>
        </w:rPr>
        <w:t>应急组织机构及职责</w:t>
      </w:r>
      <w:bookmarkEnd w:id="249"/>
      <w:bookmarkEnd w:id="250"/>
      <w:bookmarkEnd w:id="251"/>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参见综合应急预案“2.2 公司应急组织机构”</w:t>
      </w:r>
      <w:r>
        <w:rPr>
          <w:rFonts w:hint="eastAsia" w:ascii="宋体" w:hAnsi="宋体" w:eastAsia="宋体" w:cs="宋体"/>
          <w:color w:val="auto"/>
          <w:sz w:val="28"/>
          <w:szCs w:val="28"/>
        </w:rPr>
        <w:t>。</w:t>
      </w:r>
    </w:p>
    <w:p>
      <w:pPr>
        <w:pStyle w:val="5"/>
        <w:spacing w:before="0" w:after="0" w:line="360" w:lineRule="auto"/>
        <w:jc w:val="both"/>
        <w:rPr>
          <w:rFonts w:hint="eastAsia" w:ascii="宋体" w:hAnsi="宋体" w:eastAsia="宋体" w:cs="宋体"/>
          <w:b/>
          <w:bCs/>
          <w:color w:val="auto"/>
          <w:sz w:val="28"/>
          <w:szCs w:val="28"/>
          <w:lang w:val="en-US" w:eastAsia="zh-CN"/>
        </w:rPr>
      </w:pPr>
      <w:bookmarkStart w:id="252" w:name="_Toc25765"/>
      <w:bookmarkStart w:id="253" w:name="_Toc13950"/>
      <w:bookmarkStart w:id="254" w:name="_Toc10013"/>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lang w:val="zh-CN"/>
        </w:rPr>
        <w:t>响应启动</w:t>
      </w:r>
      <w:bookmarkEnd w:id="252"/>
      <w:bookmarkEnd w:id="253"/>
      <w:bookmarkEnd w:id="254"/>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3.1指挥机构启动程序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1）事故发生后，第一发现人应立即向本厂现场负责人报告报告，并尽可能阻止事故的蔓延扩大。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2）现场负责人接到事故报告，立即将警情（包括发生事故的时间、地点、性质、类型、受伤人员情况、事故损失情况、需要的急救措施等）报告应急总指挥。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3）应急总指挥接警后，立即启动相关应急预案，通知各应急救援小组赶赴现场，实施救援。并在1小时内电话向当地县级以上人民政府及应急管理部门和负有应急管理职责的有关部门汇报。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）车间级响应——三级，事故所在车间可控制的事故，需成立现场应急小组，由事故车间负责人任组长，指挥、协调应急处置工作。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）公司级响应——二级，事故影响范围不会扩散至厂区外，需</w:t>
      </w:r>
      <w:r>
        <w:rPr>
          <w:rFonts w:hint="eastAsia" w:ascii="宋体" w:hAnsi="宋体" w:eastAsia="宋体" w:cs="宋体"/>
          <w:color w:val="auto"/>
          <w:sz w:val="28"/>
          <w:szCs w:val="28"/>
          <w:lang w:val="en-US" w:eastAsia="zh-CN"/>
        </w:rPr>
        <w:t>成立应急指挥部，总指挥由总经理担任</w:t>
      </w:r>
      <w:r>
        <w:rPr>
          <w:rFonts w:hint="eastAsia" w:ascii="宋体" w:hAnsi="宋体" w:eastAsia="宋体" w:cs="宋体"/>
          <w:color w:val="auto"/>
          <w:sz w:val="28"/>
          <w:szCs w:val="28"/>
          <w:lang w:eastAsia="zh-CN"/>
        </w:rPr>
        <w:t>，统一指挥、协调。需疏散事故区域及邻近区域的人员，可能需要通知周边企业、社区、社会救援力量、政府部门，可能需要外部援助。政府相关救援部门到达现场后，移交指挥权，并服从政府相关部门的调度。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社会级响应——一级，公司全部应急力量已不能控制事故。事故随时可能造成更大危害，甚至扩散到厂区以外，需疏散全体员工，需通知周边企业、社区、社会救援力量、政府部门，需要外部援助。政府相关救援部门到达现场后，移交指挥权，并服从政府相关部门的调度、安排和指挥。</w:t>
      </w:r>
    </w:p>
    <w:p>
      <w:pPr>
        <w:pStyle w:val="6"/>
        <w:spacing w:before="0" w:beforeLines="0" w:after="0" w:afterLines="0"/>
        <w:outlineLvl w:val="9"/>
        <w:rPr>
          <w:rFonts w:hint="eastAsia" w:ascii="宋体" w:hAnsi="宋体" w:eastAsia="宋体" w:cs="宋体"/>
          <w:color w:val="auto"/>
          <w:sz w:val="28"/>
          <w:szCs w:val="28"/>
          <w:lang w:val="en-US" w:eastAsia="zh-CN"/>
        </w:rPr>
        <w:sectPr>
          <w:pgSz w:w="11906" w:h="16838"/>
          <w:pgMar w:top="1417" w:right="1417" w:bottom="1417" w:left="1417" w:header="851" w:footer="992" w:gutter="567"/>
          <w:cols w:space="0" w:num="1"/>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3.2资源调度程序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本厂一旦发生安全事故后，当班人员通知应急总指挥后，应立即利用厂内配备的安全救援设施，展开救援。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二级事故响应时，本厂员工及各应急救援小组在应急总指挥的指挥协调下应充分利用厂内的应急资源，进行抢险救灾。发生一级事故响应时，仅靠本厂的应急资源无法满足救援需求，应急总指挥在向上级政府主管部门报告事故情况时，应同时申请政府应急救援物资和力量，如当地消防大队、医院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3.3医疗救护程序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1）后勤保障组接到报警后，携带医疗急救物品，立即赶往现场。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事故中，如发现现场有人员受伤、中毒及烧伤时，应立即将伤员抢救至空气新鲜并安全的地带。对中毒窒息无意识者立即实施心肺复苏，烧伤者注意保护创面防止二次受伤，有外伤者立即包扎。伤势较轻的，利用运输工具将受伤人员送往附近医院救治；如伤势较为严重，医疗救护组及时拨打120，待医院急救中心人员赶到后应将伤员受伤情况等基本资料简要介绍给医院急救人员，以便做好进一步救助。因抢救伤员、防止事故扩大以及疏通交通等原因需要移动现场物件时，必须做出标志、拍照、详细记录和绘制事故现场图，并妥善保存现场重要痕迹、物证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3.4应急避险程序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发生事故后，为防止无关人员误入现场造成伤害，由</w:t>
      </w:r>
      <w:r>
        <w:rPr>
          <w:rFonts w:hint="eastAsia" w:ascii="宋体" w:hAnsi="宋体" w:eastAsia="宋体" w:cs="宋体"/>
          <w:color w:val="auto"/>
          <w:sz w:val="28"/>
          <w:szCs w:val="28"/>
          <w:lang w:val="en-US" w:eastAsia="zh-CN"/>
        </w:rPr>
        <w:t>疏散隔离组</w:t>
      </w:r>
      <w:r>
        <w:rPr>
          <w:rFonts w:hint="eastAsia" w:ascii="宋体" w:hAnsi="宋体" w:eastAsia="宋体" w:cs="宋体"/>
          <w:color w:val="auto"/>
          <w:sz w:val="28"/>
          <w:szCs w:val="28"/>
          <w:lang w:eastAsia="zh-CN"/>
        </w:rPr>
        <w:t>根据事故的大小划定警戒区，设立标识，在其位置设置一个警戒人员。警戒人员负责对警戒区内的人员进行疏导，带领至指定的安全地点，同时禁止无关人员和车辆进入警戒区。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本厂从业人员听到紧急疏散报警后，要立即紧急撤离事故区域。紧急撤离时应注意：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1）应向上风方向转移；明确专人引导和护送疏散人员到安全区，并在疏散或撤离的路线上设立哨位，指明方向。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2）不要在低洼处滞留。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3）要查清是否有人留在事故区。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4）为使疏散工作顺利进行，每条疏散道路应保持出入口畅通无阻，并设有明显疏散方向或路线标志。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所有人员到达指定安全地点后，由疏散隔离组或指定专人对人员进行清点，并将清点情况报告给应急指挥部，确保所有人员全部撤离危险地点。如发现有人失踪时，必须第一时间通知应急指挥部，说明失踪人员最后出现的地点及当时正在从事的工作等详细情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事故周边区域的单位和人员的疏散由政府协助进行，本厂事先做好准备，包括向政府提出疏散建议。本厂管理人员积极与地方政府主管部门合作，保护公众免受紧急事故危害。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如事故超出控制范围，各抢险人员应立即撤离事故现场，并到达安全区域。</w:t>
      </w:r>
    </w:p>
    <w:p>
      <w:pPr>
        <w:pStyle w:val="6"/>
        <w:spacing w:before="0" w:beforeLines="0" w:after="0" w:afterLines="0"/>
        <w:outlineLvl w:val="9"/>
        <w:rPr>
          <w:rFonts w:hint="eastAsia" w:ascii="宋体" w:hAnsi="宋体" w:eastAsia="宋体" w:cs="宋体"/>
          <w:color w:val="auto"/>
          <w:sz w:val="28"/>
          <w:szCs w:val="28"/>
          <w:lang w:val="en-US" w:eastAsia="zh-CN"/>
        </w:rPr>
        <w:sectPr>
          <w:pgSz w:w="11906" w:h="16838"/>
          <w:pgMar w:top="1417" w:right="1417" w:bottom="1417" w:left="1417" w:header="1134" w:footer="1134" w:gutter="0"/>
          <w:pgNumType w:fmt="decimal"/>
          <w:cols w:space="720" w:num="1"/>
          <w:rtlGutter w:val="0"/>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3.5应急人员的安全防护程序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抢险过程中，救援人员应佩戴必要的安全防护装备，对于无法控制的生产安全事故，应立即通知专业救护人员，拨打120、119、110依靠外部力量。同时向安全区撤离，并设立警戒线。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公司24小时应急电话：0817-3811217。</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3.6事态监测程序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生产安全事故发生后，应急总指挥应坚守工作岗位，及时了解事故动向，分析判断事故严重性，以便随时启动相应的应急预案，协调指挥救援。</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3.7扩大应急响应程序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事故发展较快，难以在短时间内得到控制，立即启动上一级应急响应程序，以便得到更好的援助，控制住事态的发展。如二级立即上升为一级应急响应。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各应急救援小组组长或其他负责人，负责救援的指挥与控制工作。应急救援最重要的是抢救人员，应立即停止作业，维护现场秩序，采取现场急救措施，等待医疗人员到达。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当事故有扩大趋势时，向应急指挥办公室报告，由上级决定是否启动应急预案，及时与政府、公安、消防、医院等相关部门取得联系，保障通讯联络畅通。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现场应急小组通过手机、电话等方式向政府职能部门报警，报警的主要内容：伤害发生的时间、地点、背景，造成的损失（包括人员伤亡情况、人员受伤情况等），已采取的处理措施，需要救助的内容等。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应急预案响应流程见下图。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drawing>
          <wp:inline distT="0" distB="0" distL="114300" distR="114300">
            <wp:extent cx="5457190" cy="7038340"/>
            <wp:effectExtent l="0" t="0" r="10160" b="1016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10"/>
                    <a:stretch>
                      <a:fillRect/>
                    </a:stretch>
                  </pic:blipFill>
                  <pic:spPr>
                    <a:xfrm>
                      <a:off x="0" y="0"/>
                      <a:ext cx="5457190" cy="7038340"/>
                    </a:xfrm>
                    <a:prstGeom prst="rect">
                      <a:avLst/>
                    </a:prstGeom>
                    <a:noFill/>
                    <a:ln>
                      <a:noFill/>
                    </a:ln>
                  </pic:spPr>
                </pic:pic>
              </a:graphicData>
            </a:graphic>
          </wp:inline>
        </w:drawing>
      </w:r>
    </w:p>
    <w:p>
      <w:pPr>
        <w:pStyle w:val="5"/>
        <w:spacing w:before="0" w:after="0" w:line="360" w:lineRule="auto"/>
        <w:jc w:val="both"/>
        <w:rPr>
          <w:rFonts w:hint="eastAsia" w:ascii="宋体" w:hAnsi="宋体" w:eastAsia="宋体" w:cs="宋体"/>
          <w:b/>
          <w:bCs/>
          <w:color w:val="auto"/>
          <w:sz w:val="28"/>
          <w:szCs w:val="28"/>
          <w:lang w:val="en-US" w:eastAsia="zh-CN"/>
        </w:rPr>
      </w:pPr>
      <w:bookmarkStart w:id="255" w:name="_Toc14207"/>
      <w:bookmarkStart w:id="256" w:name="_Toc14685"/>
      <w:bookmarkStart w:id="257" w:name="_Toc10768"/>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rPr>
        <w:t>处置措施</w:t>
      </w:r>
      <w:bookmarkEnd w:id="255"/>
      <w:bookmarkEnd w:id="256"/>
      <w:bookmarkEnd w:id="25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bookmarkStart w:id="258" w:name="_Toc274659140"/>
      <w:bookmarkStart w:id="259" w:name="_Toc28550"/>
      <w:bookmarkStart w:id="260" w:name="_Toc301471297"/>
      <w:bookmarkStart w:id="261" w:name="_Toc298254257"/>
      <w:bookmarkStart w:id="262" w:name="_Toc297111540"/>
      <w:r>
        <w:rPr>
          <w:rFonts w:hint="eastAsia" w:ascii="宋体" w:hAnsi="宋体" w:eastAsia="宋体" w:cs="宋体"/>
          <w:color w:val="auto"/>
          <w:sz w:val="28"/>
          <w:szCs w:val="28"/>
          <w:lang w:val="en-US" w:eastAsia="zh-CN"/>
        </w:rPr>
        <w:t>本公司涉及多种甲乙类易燃物质，液体内易燃物质，如丙烯酸、甲基丙烯酸、丁醇、仲丁醇、对二甲苯、醋酸丁酯等，其蒸气与空气可形成爆炸性混合物，在具备点火源或受热的条件下，火灾就可能发生，是厂内存在的主要危险因素之一，应重点防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一旦出现严重火警，生产现场的人员务必在第一时间向在公司的管理人员报告，管理人员视情况的严重程度，发布事故分级预警，避免事故扩大和漫延，并以最快最有效办法消除事故影响。</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 应急处置措施</w:t>
      </w:r>
      <w:bookmarkEnd w:id="258"/>
      <w:bookmarkEnd w:id="259"/>
      <w:bookmarkEnd w:id="260"/>
      <w:bookmarkEnd w:id="261"/>
      <w:bookmarkEnd w:id="26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（一）初起火灾的扑救应急处置措施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初期火灾的扑救，在场操作者应迅速采取如下措施：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（1）迅速查清着火部位、着火物及来源，利用现有的消防设施及灭火器材进行灭火。若火势一时难以扑灭，要采取防止火势蔓延的措施，保护要害部位；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（2）专业消防人员到达火场时，负责人应主动及时地向消防指挥人员介绍情况。</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（二）化学品发生火灾的扑救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（1）用就近的灭火器灭火；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（2）全力救助伤员，采取隔离、警戒和疏散措施，必要时采取交通管制，避免无关人员进入现场危险区域；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（3）根据地形地貌、风向、天气等因素采取有效的围堵措施，控制着火区域；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（4）充分考虑着火区域地形地貌、风向、天气等因素，制定灭火方案，并合理布置消防和救援力量；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（5）灭火完毕，立即清理火灾现场。</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（三）电气火灾的扑救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电气火灾特点。电气设备着火时，现场很多设备可能是带电的，这时应注意现场周围可能存在的较高的接触电压和跨步电压。同时还有一些设备着火时是绝缘油在燃烧，如电力变压器、多油开关等，受热后易引起喷油和爆炸事故，使火势扩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（2）扑救时的安全措施。扑救电气火灾时，应首先切断电源。为正确切断电源，应按如下规程进行：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①火灾发生后，电气设备已失去绝缘性，应用绝缘良好的工具进行操作；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②选好切断点，非同相电源应在不同部位剪断，以免造成短路，剪断部位应选有支撑物的地方，以免电线落地造成短路或触电事故。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（四）人身着火的扑救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人身着火多是由于工作场所发生火灾、爆炸事故或扑救火灾引起的。也有对易燃物使用不当明火引起的。当人身着火时，可采取以下措施进行扑救：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（1）如衣服着火不能及时扑灭，应迅速脱去衣服，防止烧伤皮肤。若来不及或无法脱去应立即就地打滚，用身体压住火种，切记不可跑动，否则风助火势会造成严重后果，有条件用水灭火效果更好；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（2）如果是身上溅上油类着火，千万不要跑动，在场的人应立即将其搂倒，用棉布、青草、棉衣、棉被等覆盖，用水浸湿效果更好，采用灭火器扑救人身着火时，注意尽可能不要对面部。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在现场抢救烧伤患者时，应特别注意保护烧伤部位，尽可不要碰破皮肤，以防感染。对大面积烧伤并已休克的伤患者，舌头易收缩堵塞咽喉造成窒息，在场人员应将伤者嘴撬开，将舌头拉出，保证呼吸畅通。同时用被褥将伤者轻轻裹起来，送往医院治疗。</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（四）其他爆炸事故基本应急措施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应急人员在进行应急救援时不仅要佩戴好相关的防护用品，还要根据物质的性质及现场火灾的实际情况，采取适当的处置措施。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（1）聚合反应爆炸应急救援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本公司生产过程中涉及的危险化学品有易燃易爆物质，又有腐蚀性，毒性物质。毒性物质和腐蚀性物质发生泄漏，将导致中毒窒息、化学灼伤及腐蚀事故的发生。使用的易燃易爆物质，可导致爆炸事故。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应急措施：应立即通知现场及附近人员紧急撤离事故现场，停机，切断现场所有电源开关、阀门，防止二次爆炸。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泄漏处理：控制泄漏源，戴防毒面具，穿防化服，适当通风。清理泄漏物，禁止泄漏物进入地下管网，污染水源。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灭火方法：干粉、二氧化碳灭火器。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（2）电气火灾爆炸应急救援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1）切断电源开关；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2）使用 ABC 干粉灭火器灭火；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3）在确保火灾现场断电情况下，使用消火栓进行灭火。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（3）天然气火灾爆炸应急救援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天然气为易燃气体。与空气混合能形成爆炸性混合物，遇明火、高热极易燃烧爆炸。与氟、氯等能发生剧烈的化学反应。其蒸气比空气重，能在较低处扩散到相当远的地方，遇明火会引着回燃。若遇高热，容器内压增大，有开裂和爆炸的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泄漏处理：切断火源。戴自给式呼吸器，穿一般消防防护服。合理通风，禁止泄漏物进入受限制的空间(如下水道等)，以避免发生爆炸。切断气源，喷洒雾状水稀释，抽排(室内)或强力通风(室外)。漏气容器不能再用，且要经过技术处理以清除可能剩下的气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灭火方法：切断气源。若不能立即切断气源，则不允许熄灭正在燃烧的气体，喷水冷却容器，可能的话将容器从火场移至空旷处。雾状水、泡沫、二氧化碳。</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 警戒、疏散应急处置措施</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一</w:t>
      </w:r>
      <w:r>
        <w:rPr>
          <w:rFonts w:hint="eastAsia" w:ascii="宋体" w:hAnsi="宋体" w:eastAsia="宋体" w:cs="宋体"/>
          <w:b/>
          <w:color w:val="auto"/>
        </w:rPr>
        <w:t>）事故现场隔离方法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事故现场隔离区域由疏散隔离组派专人警戒。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事故现场隔离区域设置危险警告标志。例如，可用安全标志或警戒带将事故现场隔离。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疏散隔离组根据事故的势态和指挥部的指令确定警戒区域的范围，设置警戒标志。</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二</w:t>
      </w:r>
      <w:r>
        <w:rPr>
          <w:rFonts w:hint="eastAsia" w:ascii="宋体" w:hAnsi="宋体" w:eastAsia="宋体" w:cs="宋体"/>
          <w:b/>
          <w:color w:val="auto"/>
        </w:rPr>
        <w:t>）事故现场周边区域的道路隔离或交通疏导办法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疏散隔离组人员到达现场后，组织纠察，在事故现场周围设岗，疏导各交通要道，阻止无关、闲杂人员进入危险区域，并加强警戒和巡逻检查。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当事故应急进入社会响应程序，疏散隔离组派员协助交警部门对周边道路实行临时交通管制。</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（三）人员紧急疏散、撤离：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（1）事故现场人员清点，撤离的方式、方法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预警应急须清点事故发生现场的工作人员并集合，撤离危险区，按照员工名册点名清点现场人员，组织人员从事故现场的安全通道迅速、有秩序地安全撤离，在集合地点招集人员。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（2）非事故现场人员紧急疏散的方式、方法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公司内工作人员听到事故警报后应立即集合，集合地点位于公司正门口前，根据事故现场情况，由疏散隔离组组长决定人员是否疏散和撤离。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安排外来车辆立即离开公司驶到安全地带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如危及公司外时，应迅速组织有关人员协助公司外公众、过往行人，向安全区地带疏散。</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（四）抢救人员在撤离前、撤离后的报告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事故处置救援组人员在撤离前，事故处置救援组将抢救人员的人数报告疏散隔离组组长。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事故扩大时或事故抢救完毕，抢救人员撤离后由现场指挥将抢救人员数量及受伤情况报告综合协调组组长。</w:t>
      </w:r>
    </w:p>
    <w:p>
      <w:pPr>
        <w:pStyle w:val="6"/>
        <w:spacing w:before="0" w:beforeLines="0" w:after="0" w:afterLines="0"/>
        <w:rPr>
          <w:rFonts w:hint="eastAsia" w:ascii="宋体" w:hAnsi="宋体" w:eastAsia="宋体" w:cs="宋体"/>
          <w:color w:val="auto"/>
          <w:sz w:val="28"/>
          <w:szCs w:val="28"/>
          <w:lang w:val="en-US" w:eastAsia="zh-CN"/>
        </w:rPr>
      </w:pPr>
      <w:bookmarkStart w:id="263" w:name="_Toc298254261"/>
      <w:bookmarkStart w:id="264" w:name="_Toc297111544"/>
      <w:bookmarkStart w:id="265" w:name="_Toc301471301"/>
      <w:bookmarkStart w:id="266" w:name="_Toc25476"/>
      <w:bookmarkStart w:id="267" w:name="_Toc274659144"/>
      <w:r>
        <w:rPr>
          <w:rFonts w:hint="eastAsia" w:ascii="宋体" w:hAnsi="宋体" w:eastAsia="宋体" w:cs="宋体"/>
          <w:color w:val="auto"/>
          <w:sz w:val="28"/>
          <w:szCs w:val="28"/>
          <w:lang w:val="en-US" w:eastAsia="zh-CN"/>
        </w:rPr>
        <w:t xml:space="preserve">4.3 </w:t>
      </w:r>
      <w:bookmarkEnd w:id="263"/>
      <w:bookmarkEnd w:id="264"/>
      <w:bookmarkEnd w:id="265"/>
      <w:bookmarkEnd w:id="266"/>
      <w:bookmarkEnd w:id="267"/>
      <w:r>
        <w:rPr>
          <w:rFonts w:hint="eastAsia" w:ascii="宋体" w:hAnsi="宋体" w:eastAsia="宋体" w:cs="宋体"/>
          <w:color w:val="auto"/>
          <w:sz w:val="28"/>
          <w:szCs w:val="28"/>
          <w:lang w:val="en-US" w:eastAsia="zh-CN"/>
        </w:rPr>
        <w:t>医疗救护应急处置措施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一旦发生人员受伤时，后勤保障组的成员按分工立即以最快的速度进行抢救、救护。对受伤人员进行简单处理或现场包扎处理后，立即求助120急救中心或快速送往最近的医院。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后勤保障组现场的救护处理措施、方法：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1）使受伤者尽快脱离事故现场 移至空气新鲜处, 按照先重伤，后轻伤的原则，按不同受伤情况进行处理。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对中毒人员救护：应先松开衣领、紧身衣物、腰带及其他可能妨碍呼吸的一切物品，保持患者呼吸道畅通，必要时给氧。注意保暖、静卧，若有呕吐则应侧卧，以防止呕吐物吸入气管，同时，注意中毒者的病情变化。</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3）烧伤 ：用清洁的冷水冲洗30分钟以上，然后简单包扎。对明显红肿的轻度烫伤要立即用冷水冲洗几分钟，用干净的纱布包好即可。如果局部皮肤起水泡，要立即冷却30分钟以上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创伤人员：对于危重创伤，首要抢救生命；创口出血，用绷带或止血带压迫包扎止血；如果动脉出血，必须把血管压住（压迫止血点），即压住比伤口距离心脏更近部位的动脉（止血点），并送医院注射破伤风预防针，作进一步医疗处理。如果手指或脚趾全部被切断，应马上用止血带扎紧受伤的手或脚，或用手指压迫受伤的部位止血。伤口用无菌纱布或清洁棉布包扎，断离的手指、脚趾也要用无菌纱布包扎，有条件的与冰块一起放入干净胶袋，并立即送医院进行手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5）骨折者首先抢救生命，然后用妥善的方法将肢体固定，若备有特制的夹板最为妥善，否则就地取材，如树枝，木棍等作为夹板之用，也可将受伤的上肢绑在胸部，将受伤的下肢连同健肢一并绑起来。伤者经妥善固定后迅速运往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6）呼吸心跳停止须现场进行人工呼吸、心脏挤压术。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7）待救护车到场或动用最快的交通工具，及时护送伤员到医院。运送途中应尽量减少颠簸，同时密切注意伤者的呼吸、脉搏、血压及伤口情况。</w:t>
      </w:r>
    </w:p>
    <w:p>
      <w:pPr>
        <w:pStyle w:val="6"/>
        <w:spacing w:before="0" w:beforeLines="0" w:after="0" w:afterLines="0"/>
        <w:rPr>
          <w:rFonts w:hint="eastAsia" w:ascii="宋体" w:hAnsi="宋体" w:eastAsia="宋体" w:cs="宋体"/>
          <w:color w:val="auto"/>
          <w:sz w:val="28"/>
          <w:szCs w:val="28"/>
          <w:lang w:val="en-US" w:eastAsia="zh-CN"/>
        </w:rPr>
      </w:pPr>
      <w:bookmarkStart w:id="268" w:name="_Toc298254262"/>
      <w:bookmarkStart w:id="269" w:name="_Toc297111545"/>
      <w:bookmarkStart w:id="270" w:name="_Toc301471302"/>
      <w:bookmarkStart w:id="271" w:name="_Toc9754"/>
      <w:bookmarkStart w:id="272" w:name="_Toc274659145"/>
      <w:r>
        <w:rPr>
          <w:rFonts w:hint="eastAsia" w:ascii="宋体" w:hAnsi="宋体" w:eastAsia="宋体" w:cs="宋体"/>
          <w:color w:val="auto"/>
          <w:sz w:val="28"/>
          <w:szCs w:val="28"/>
          <w:lang w:val="en-US" w:eastAsia="zh-CN"/>
        </w:rPr>
        <w:t>4.4 现场保护与现场洗消</w:t>
      </w:r>
      <w:bookmarkEnd w:id="268"/>
      <w:bookmarkEnd w:id="269"/>
      <w:bookmarkEnd w:id="270"/>
      <w:bookmarkEnd w:id="271"/>
      <w:bookmarkEnd w:id="27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疏散隔离组组长应安排人员对事故现场进行保护，在抢救伤员、防止事故扩大以及疏散人员等原因需要移动现场物件时，应做出标示、拍照或绘制事故现场图，并有效保护好现场重要痕迹、物证等。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事故处置救援组</w:t>
      </w:r>
      <w:r>
        <w:rPr>
          <w:rFonts w:hint="eastAsia" w:ascii="宋体" w:hAnsi="宋体" w:eastAsia="宋体" w:cs="宋体"/>
          <w:color w:val="auto"/>
          <w:sz w:val="28"/>
          <w:szCs w:val="28"/>
          <w:lang w:val="en-US" w:eastAsia="zh-CN"/>
        </w:rPr>
        <w:t>根据具体的事故情况，负责组织清理事故现场，对产生的污染物进行妥善处理。其中，属于危险废弃物的，应当交由专门的有资质的处置公司进行处置。对土壤产生污染的，应当联系有能力的第三方公司进行土壤污染处理。</w:t>
      </w:r>
    </w:p>
    <w:p>
      <w:pPr>
        <w:pStyle w:val="5"/>
        <w:spacing w:before="0" w:after="0" w:line="360" w:lineRule="auto"/>
        <w:jc w:val="both"/>
        <w:outlineLvl w:val="9"/>
        <w:rPr>
          <w:rFonts w:hint="eastAsia" w:ascii="宋体" w:hAnsi="宋体" w:eastAsia="宋体" w:cs="宋体"/>
          <w:b/>
          <w:bCs/>
          <w:color w:val="auto"/>
          <w:sz w:val="28"/>
          <w:szCs w:val="28"/>
          <w:lang w:val="en-US" w:eastAsia="zh-CN"/>
        </w:rPr>
        <w:sectPr>
          <w:type w:val="continuous"/>
          <w:pgSz w:w="11906" w:h="16838"/>
          <w:pgMar w:top="1417" w:right="1417" w:bottom="1417" w:left="1417" w:header="1134" w:footer="1134" w:gutter="0"/>
          <w:pgNumType w:fmt="decimal"/>
          <w:cols w:space="720" w:num="1"/>
          <w:rtlGutter w:val="0"/>
          <w:docGrid w:linePitch="312" w:charSpace="0"/>
        </w:sectPr>
      </w:pPr>
    </w:p>
    <w:p>
      <w:pPr>
        <w:pStyle w:val="5"/>
        <w:spacing w:before="0" w:after="0" w:line="360" w:lineRule="auto"/>
        <w:jc w:val="both"/>
        <w:rPr>
          <w:rFonts w:hint="eastAsia" w:ascii="宋体" w:hAnsi="宋体" w:eastAsia="宋体" w:cs="宋体"/>
          <w:b/>
          <w:bCs/>
          <w:color w:val="auto"/>
          <w:sz w:val="28"/>
          <w:szCs w:val="28"/>
          <w:lang w:val="en-US" w:eastAsia="zh-CN"/>
        </w:rPr>
      </w:pPr>
      <w:bookmarkStart w:id="273" w:name="_Toc18901"/>
      <w:bookmarkStart w:id="274" w:name="_Toc23778"/>
      <w:bookmarkStart w:id="275" w:name="_Toc24466"/>
      <w:r>
        <w:rPr>
          <w:rFonts w:hint="eastAsia" w:ascii="宋体" w:hAnsi="宋体" w:eastAsia="宋体" w:cs="宋体"/>
          <w:b/>
          <w:bCs/>
          <w:color w:val="auto"/>
          <w:sz w:val="28"/>
          <w:szCs w:val="28"/>
          <w:lang w:val="en-US" w:eastAsia="zh-CN"/>
        </w:rPr>
        <w:t>5、</w:t>
      </w:r>
      <w:r>
        <w:rPr>
          <w:rFonts w:hint="eastAsia" w:ascii="宋体" w:hAnsi="宋体" w:eastAsia="宋体" w:cs="宋体"/>
          <w:b/>
          <w:bCs/>
          <w:color w:val="auto"/>
          <w:sz w:val="28"/>
          <w:szCs w:val="28"/>
          <w:lang w:val="zh-CN"/>
        </w:rPr>
        <w:t>应急保障</w:t>
      </w:r>
      <w:bookmarkEnd w:id="273"/>
      <w:bookmarkEnd w:id="274"/>
      <w:bookmarkEnd w:id="27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应急指挥部</w:t>
      </w:r>
      <w:r>
        <w:rPr>
          <w:rFonts w:hint="eastAsia" w:ascii="宋体" w:hAnsi="宋体" w:eastAsia="宋体" w:cs="宋体"/>
          <w:color w:val="auto"/>
          <w:sz w:val="28"/>
          <w:szCs w:val="28"/>
        </w:rPr>
        <w:t>安排</w:t>
      </w:r>
      <w:r>
        <w:rPr>
          <w:rFonts w:hint="eastAsia" w:ascii="宋体" w:hAnsi="宋体" w:eastAsia="宋体" w:cs="宋体"/>
          <w:color w:val="auto"/>
          <w:sz w:val="28"/>
          <w:szCs w:val="28"/>
          <w:lang w:eastAsia="zh-CN"/>
        </w:rPr>
        <w:t>后勤</w:t>
      </w:r>
      <w:r>
        <w:rPr>
          <w:rFonts w:hint="eastAsia" w:ascii="宋体" w:hAnsi="宋体" w:eastAsia="宋体" w:cs="宋体"/>
          <w:color w:val="auto"/>
          <w:sz w:val="28"/>
          <w:szCs w:val="28"/>
        </w:rPr>
        <w:t>保障组负责组织应急物资、装备的储备管理和应急处置时的调配。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按照平战结合的原则，</w:t>
      </w:r>
      <w:r>
        <w:rPr>
          <w:rFonts w:hint="eastAsia" w:ascii="宋体" w:hAnsi="宋体" w:eastAsia="宋体" w:cs="宋体"/>
          <w:color w:val="auto"/>
          <w:sz w:val="28"/>
          <w:szCs w:val="28"/>
          <w:lang w:eastAsia="zh-CN"/>
        </w:rPr>
        <w:t>后勤</w:t>
      </w:r>
      <w:r>
        <w:rPr>
          <w:rFonts w:hint="eastAsia" w:ascii="宋体" w:hAnsi="宋体" w:eastAsia="宋体" w:cs="宋体"/>
          <w:color w:val="auto"/>
          <w:sz w:val="28"/>
          <w:szCs w:val="28"/>
        </w:rPr>
        <w:t>保障组确定应急物资、设备机具、防护用品的品种、规格和标准，报送需求计划</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确保应急所需物资、装备及时供应、补充和更新。主要应急设备和物资储备见附件</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outlineLvl w:val="9"/>
        <w:rPr>
          <w:rFonts w:hint="eastAsia" w:ascii="宋体" w:hAnsi="宋体" w:eastAsia="宋体" w:cs="宋体"/>
          <w:b/>
          <w:bCs/>
          <w:color w:val="auto"/>
          <w:kern w:val="44"/>
          <w:sz w:val="32"/>
          <w:szCs w:val="44"/>
          <w:lang w:val="en-US" w:eastAsia="zh-CN" w:bidi="ar-SA"/>
        </w:rPr>
        <w:sectPr>
          <w:type w:val="continuous"/>
          <w:pgSz w:w="11906" w:h="16838"/>
          <w:pgMar w:top="1417" w:right="1417" w:bottom="1417" w:left="1417" w:header="1134" w:footer="1134" w:gutter="0"/>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outlineLvl w:val="9"/>
        <w:rPr>
          <w:rFonts w:hint="eastAsia" w:ascii="宋体" w:hAnsi="宋体" w:eastAsia="宋体" w:cs="宋体"/>
          <w:b/>
          <w:bCs/>
          <w:color w:val="auto"/>
          <w:kern w:val="44"/>
          <w:sz w:val="32"/>
          <w:szCs w:val="44"/>
          <w:lang w:val="en-US" w:eastAsia="zh-CN" w:bidi="ar-SA"/>
        </w:rPr>
        <w:sectPr>
          <w:type w:val="continuous"/>
          <w:pgSz w:w="11906" w:h="16838"/>
          <w:pgMar w:top="1588" w:right="1418" w:bottom="1418" w:left="1418" w:header="851" w:footer="992" w:gutter="567"/>
          <w:cols w:space="0" w:num="1"/>
          <w:docGrid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center"/>
        <w:textAlignment w:val="auto"/>
        <w:outlineLvl w:val="1"/>
        <w:rPr>
          <w:rFonts w:hint="eastAsia" w:ascii="宋体" w:hAnsi="宋体" w:eastAsia="宋体" w:cs="宋体"/>
          <w:color w:val="auto"/>
          <w:sz w:val="32"/>
          <w:szCs w:val="32"/>
          <w:lang w:val="en-US" w:eastAsia="zh-CN"/>
        </w:rPr>
      </w:pPr>
      <w:bookmarkStart w:id="276" w:name="_Toc14392"/>
      <w:bookmarkStart w:id="277" w:name="_Toc14954"/>
      <w:r>
        <w:rPr>
          <w:rFonts w:hint="eastAsia" w:ascii="宋体" w:hAnsi="宋体" w:eastAsia="宋体" w:cs="宋体"/>
          <w:color w:val="auto"/>
          <w:sz w:val="32"/>
          <w:szCs w:val="32"/>
          <w:lang w:val="en-US" w:eastAsia="zh-CN"/>
        </w:rPr>
        <w:t>二、容器爆炸事故专项应急预案</w:t>
      </w:r>
      <w:bookmarkEnd w:id="276"/>
      <w:bookmarkEnd w:id="277"/>
    </w:p>
    <w:p>
      <w:pPr>
        <w:pStyle w:val="5"/>
        <w:spacing w:before="0" w:after="0" w:line="360" w:lineRule="auto"/>
        <w:jc w:val="both"/>
        <w:rPr>
          <w:rFonts w:hint="eastAsia" w:ascii="宋体" w:hAnsi="宋体" w:eastAsia="宋体" w:cs="宋体"/>
          <w:b/>
          <w:bCs/>
          <w:color w:val="auto"/>
          <w:kern w:val="44"/>
          <w:sz w:val="32"/>
          <w:szCs w:val="44"/>
          <w:lang w:val="en-US" w:eastAsia="zh-CN" w:bidi="ar-SA"/>
        </w:rPr>
      </w:pPr>
      <w:bookmarkStart w:id="278" w:name="_Toc5044"/>
      <w:bookmarkStart w:id="279" w:name="_Toc11422"/>
      <w:bookmarkStart w:id="280" w:name="_Toc21621"/>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lang w:val="zh-CN"/>
        </w:rPr>
        <w:t>适用范围</w:t>
      </w:r>
      <w:bookmarkEnd w:id="278"/>
      <w:bookmarkEnd w:id="279"/>
      <w:bookmarkEnd w:id="28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）适用范围：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w:t>
      </w:r>
      <w:r>
        <w:rPr>
          <w:rFonts w:hint="eastAsia" w:ascii="宋体" w:hAnsi="宋体" w:eastAsia="宋体" w:cs="宋体"/>
          <w:color w:val="auto"/>
          <w:sz w:val="28"/>
          <w:szCs w:val="28"/>
          <w:lang w:eastAsia="zh-CN"/>
        </w:rPr>
        <w:t>容器爆炸事故专项应急预案</w:t>
      </w:r>
      <w:r>
        <w:rPr>
          <w:rFonts w:hint="eastAsia" w:ascii="宋体" w:hAnsi="宋体" w:eastAsia="宋体" w:cs="宋体"/>
          <w:color w:val="auto"/>
          <w:sz w:val="28"/>
          <w:szCs w:val="28"/>
        </w:rPr>
        <w:t>适用</w:t>
      </w:r>
      <w:r>
        <w:rPr>
          <w:rFonts w:hint="eastAsia" w:ascii="宋体" w:hAnsi="宋体" w:eastAsia="宋体" w:cs="宋体"/>
          <w:color w:val="auto"/>
          <w:sz w:val="28"/>
          <w:szCs w:val="28"/>
          <w:lang w:eastAsia="zh-CN"/>
        </w:rPr>
        <w:t>于埃夫科纳（南充）特种聚合物有限公司在生产车间内反应釜、储罐、储气罐、管道等</w:t>
      </w:r>
      <w:r>
        <w:rPr>
          <w:rFonts w:hint="eastAsia" w:ascii="宋体" w:hAnsi="宋体" w:eastAsia="宋体" w:cs="宋体"/>
          <w:color w:val="auto"/>
          <w:sz w:val="28"/>
          <w:szCs w:val="28"/>
        </w:rPr>
        <w:t>发生</w:t>
      </w:r>
      <w:r>
        <w:rPr>
          <w:rFonts w:hint="eastAsia" w:ascii="宋体" w:hAnsi="宋体" w:eastAsia="宋体" w:cs="宋体"/>
          <w:color w:val="auto"/>
          <w:sz w:val="28"/>
          <w:szCs w:val="28"/>
          <w:lang w:eastAsia="zh-CN"/>
        </w:rPr>
        <w:t>的爆炸事故</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rPr>
        <w:t>本专项预案是公司综合应急预案的补充和完善，与综合预案</w:t>
      </w:r>
      <w:r>
        <w:rPr>
          <w:rFonts w:hint="eastAsia" w:ascii="宋体" w:hAnsi="宋体" w:eastAsia="宋体" w:cs="宋体"/>
          <w:color w:val="auto"/>
          <w:sz w:val="28"/>
          <w:szCs w:val="28"/>
          <w:lang w:eastAsia="zh-CN"/>
        </w:rPr>
        <w:t>联动响应。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）事故分布：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容器爆炸事故容易发生场所：</w:t>
      </w:r>
      <w:r>
        <w:rPr>
          <w:rFonts w:hint="eastAsia" w:ascii="宋体" w:hAnsi="宋体" w:eastAsia="宋体" w:cs="宋体"/>
          <w:color w:val="auto"/>
          <w:sz w:val="28"/>
          <w:szCs w:val="28"/>
        </w:rPr>
        <w:t>工艺装置区、甲类储罐区、</w:t>
      </w:r>
      <w:r>
        <w:rPr>
          <w:rFonts w:hint="eastAsia" w:ascii="宋体" w:hAnsi="宋体" w:eastAsia="宋体" w:cs="宋体"/>
          <w:color w:val="auto"/>
          <w:sz w:val="28"/>
          <w:szCs w:val="28"/>
          <w:lang w:eastAsia="zh-CN"/>
        </w:rPr>
        <w:t>压力管道</w:t>
      </w:r>
      <w:r>
        <w:rPr>
          <w:rFonts w:hint="eastAsia" w:ascii="宋体" w:hAnsi="宋体" w:eastAsia="宋体" w:cs="宋体"/>
          <w:color w:val="auto"/>
          <w:sz w:val="28"/>
          <w:szCs w:val="28"/>
        </w:rPr>
        <w:t>等</w:t>
      </w:r>
      <w:r>
        <w:rPr>
          <w:rFonts w:hint="eastAsia" w:ascii="宋体" w:hAnsi="宋体" w:eastAsia="宋体" w:cs="宋体"/>
          <w:color w:val="auto"/>
          <w:sz w:val="28"/>
          <w:szCs w:val="28"/>
          <w:lang w:eastAsia="zh-CN"/>
        </w:rPr>
        <w:t>设备</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（3）严重程度及影响范围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容器爆炸事故可能造成人员伤亡、设备被毁、工作中断、危害环境或影响周边居民生产生活。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1）压力容器的爆炸其碎片可能伤人；2）压力容器的爆炸其发生的冲击波可能伤人；3）由于压力容器的爆炸可能引起厂房及周边建筑的倒塌而伤人；4）由于压力容器的爆炸泄漏引起人员中毒、烫伤及火灾；5）二次爆炸及燃烧；</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）当容器所盛装的介质为可燃液化气体时，容器破裂爆炸在现场形成大量可燃蒸气，并迅即与空气混合形成可爆性混合气，在扩散中遇明火即形成二次爆炸，常使现场附近变成一片火海，造成重大危害。</w:t>
      </w:r>
    </w:p>
    <w:p>
      <w:pPr>
        <w:pStyle w:val="5"/>
        <w:spacing w:before="0" w:after="0" w:line="360" w:lineRule="auto"/>
        <w:jc w:val="both"/>
        <w:rPr>
          <w:rFonts w:hint="eastAsia" w:ascii="宋体" w:hAnsi="宋体" w:eastAsia="宋体" w:cs="宋体"/>
          <w:b/>
          <w:bCs/>
          <w:color w:val="auto"/>
          <w:sz w:val="28"/>
          <w:szCs w:val="28"/>
          <w:lang w:val="en-US" w:eastAsia="zh-CN"/>
        </w:rPr>
      </w:pPr>
      <w:bookmarkStart w:id="281" w:name="_Toc15160"/>
      <w:bookmarkStart w:id="282" w:name="_Toc2493"/>
      <w:bookmarkStart w:id="283" w:name="_Toc28815"/>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lang w:val="zh-CN"/>
        </w:rPr>
        <w:t>应急组织机构及职责</w:t>
      </w:r>
      <w:bookmarkEnd w:id="281"/>
      <w:bookmarkEnd w:id="282"/>
      <w:bookmarkEnd w:id="28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lang w:eastAsia="zh-CN"/>
        </w:rPr>
        <w:t>参见综合应急预案“2.2 公司应急组织机构”</w:t>
      </w:r>
      <w:r>
        <w:rPr>
          <w:rFonts w:hint="eastAsia" w:ascii="宋体" w:hAnsi="宋体" w:eastAsia="宋体" w:cs="宋体"/>
          <w:color w:val="auto"/>
          <w:sz w:val="28"/>
          <w:szCs w:val="28"/>
        </w:rPr>
        <w:t>。</w:t>
      </w:r>
    </w:p>
    <w:p>
      <w:pPr>
        <w:pStyle w:val="5"/>
        <w:spacing w:before="0" w:after="0" w:line="360" w:lineRule="auto"/>
        <w:jc w:val="both"/>
        <w:rPr>
          <w:rFonts w:hint="eastAsia" w:ascii="宋体" w:hAnsi="宋体" w:eastAsia="宋体" w:cs="宋体"/>
          <w:b/>
          <w:bCs/>
          <w:color w:val="auto"/>
          <w:sz w:val="28"/>
          <w:szCs w:val="28"/>
          <w:lang w:val="en-US" w:eastAsia="zh-CN"/>
        </w:rPr>
      </w:pPr>
      <w:bookmarkStart w:id="284" w:name="_Toc6267"/>
      <w:bookmarkStart w:id="285" w:name="_Toc20343"/>
      <w:bookmarkStart w:id="286" w:name="_Toc24512"/>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lang w:val="zh-CN"/>
        </w:rPr>
        <w:t>响应启动</w:t>
      </w:r>
      <w:bookmarkEnd w:id="284"/>
      <w:bookmarkEnd w:id="285"/>
      <w:bookmarkEnd w:id="286"/>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3.1指挥机构启动程序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1）事故发生后，第一发现人应立即向本厂现场负责人报告报告，并尽可能阻止事故的蔓延扩大。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2）现场负责人接到事故报告，立即将警情（包括发生事故的时间、地点、性质、类型、受伤人员情况、事故损失情况、需要的急救措施等）报告应急总指挥。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3）应急总指挥接警后，立即启动相关应急预案，通知各应急救援小组赶赴现场，实施救援。并在1小时内电话向当地县级以上人民政府及应急管理部门和负有应急管理职责的有关部门汇报。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）车间级响应——三级，事故所在车间可控制的事故，需成立现场应急小组，由事故车间负责人任组长，指挥、协调应急处置工作。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）公司级响应——二级，事故影响范围不会扩散至厂区外，需</w:t>
      </w:r>
      <w:r>
        <w:rPr>
          <w:rFonts w:hint="eastAsia" w:ascii="宋体" w:hAnsi="宋体" w:eastAsia="宋体" w:cs="宋体"/>
          <w:color w:val="auto"/>
          <w:sz w:val="28"/>
          <w:szCs w:val="28"/>
          <w:lang w:val="en-US" w:eastAsia="zh-CN"/>
        </w:rPr>
        <w:t>成立应急指挥部，总指挥由总经理担任</w:t>
      </w:r>
      <w:r>
        <w:rPr>
          <w:rFonts w:hint="eastAsia" w:ascii="宋体" w:hAnsi="宋体" w:eastAsia="宋体" w:cs="宋体"/>
          <w:color w:val="auto"/>
          <w:sz w:val="28"/>
          <w:szCs w:val="28"/>
          <w:lang w:eastAsia="zh-CN"/>
        </w:rPr>
        <w:t>，统一指挥、协调。需疏散事故区域及邻近区域的人员，可能需要通知周边企业、社区、社会救援力量、政府部门，可能需要外部援助。政府相关救援部门到达现场后，移交指挥权，并服从政府相关部门的调度。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社会级响应——一级，公司全部应急力量已不能控制事故。事故随时可能造成更大危害，甚至扩散到厂区以外，需疏散全体员工，需通知周边企业、社区、社会救援力量、政府部门，需要外部援助。政府相关救援部门到达现场后，移交指挥权，并服从政府相关部门的调度、安排和指挥。</w:t>
      </w:r>
    </w:p>
    <w:p>
      <w:pPr>
        <w:pStyle w:val="6"/>
        <w:spacing w:before="0" w:beforeLines="0" w:after="0" w:afterLines="0"/>
        <w:outlineLvl w:val="9"/>
        <w:rPr>
          <w:rFonts w:hint="eastAsia" w:ascii="宋体" w:hAnsi="宋体" w:eastAsia="宋体" w:cs="宋体"/>
          <w:color w:val="auto"/>
          <w:sz w:val="28"/>
          <w:szCs w:val="28"/>
          <w:lang w:val="en-US" w:eastAsia="zh-CN"/>
        </w:rPr>
        <w:sectPr>
          <w:pgSz w:w="11906" w:h="16838"/>
          <w:pgMar w:top="1417" w:right="1417" w:bottom="1417" w:left="1417" w:header="851" w:footer="992" w:gutter="567"/>
          <w:cols w:space="0" w:num="1"/>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3.2资源调度程序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本厂一旦发生安全事故后，当班人员通知应急总指挥后，应立即利用厂内配备的安全救援设施，展开救援。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二级事故响应时，本厂员工及各应急救援小组在应急总指挥的指挥协调下应充分利用厂内的应急资源，进行抢险救灾。发生一级事故响应时，仅靠本厂的应急资源无法满足救援需求，应急总指挥在向上级政府主管部门报告事故情况时，应同时申请政府应急救援物资和力量，如当地消防大队、医院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3.3医疗救护程序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1）后勤保障组接到报警后，携带医疗急救物品，立即赶往现场。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事故中，如发现现场有人员受伤、中毒及烧伤时，应立即将伤员抢救至空气新鲜并安全的地带。对中毒窒息无意识者立即实施心肺复苏，烧伤者注意保护创面防止二次受伤，有外伤者立即包扎。伤势较轻的，利用运输工具将受伤人员送往附近医院救治；如伤势较为严重，医疗救护组及时拨打120，待医院急救中心人员赶到后应将伤员受伤情况等基本资料简要介绍给医院急救人员，以便做好进一步救助。因抢救伤员、防止事故扩大以及疏通交通等原因需要移动现场物件时，必须做出标志、拍照、详细记录和绘制事故现场图，并妥善保存现场重要痕迹、物证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3.4应急避险程序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发生事故后，为防止无关人员误入现场造成伤害，由</w:t>
      </w:r>
      <w:r>
        <w:rPr>
          <w:rFonts w:hint="eastAsia" w:ascii="宋体" w:hAnsi="宋体" w:eastAsia="宋体" w:cs="宋体"/>
          <w:color w:val="auto"/>
          <w:sz w:val="28"/>
          <w:szCs w:val="28"/>
          <w:lang w:val="en-US" w:eastAsia="zh-CN"/>
        </w:rPr>
        <w:t>疏散隔离组</w:t>
      </w:r>
      <w:r>
        <w:rPr>
          <w:rFonts w:hint="eastAsia" w:ascii="宋体" w:hAnsi="宋体" w:eastAsia="宋体" w:cs="宋体"/>
          <w:color w:val="auto"/>
          <w:sz w:val="28"/>
          <w:szCs w:val="28"/>
          <w:lang w:eastAsia="zh-CN"/>
        </w:rPr>
        <w:t>根据事故的大小划定警戒区，设立标识，在其位置设置一个警戒人员。警戒人员负责对警戒区内的人员进行疏导，带领至指定的安全地点，同时禁止无关人员和车辆进入警戒区。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本厂从业人员听到紧急疏散报警后，要立即紧急撤离事故区域。紧急撤离时应注意：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1）应向上风方向转移；明确专人引导和护送疏散人员到安全区，并在疏散或撤离的路线上设立哨位，指明方向。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2）不要在低洼处滞留。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3）要查清是否有人留在事故区。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4）为使疏散工作顺利进行，每条疏散道路应保持出入口畅通无阻，并设有明显疏散方向或路线标志。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所有人员到达指定安全地点后，由疏散隔离组或指定专人对人员进行清点，并将清点情况报告给应急指挥部，确保所有人员全部撤离危险地点。如发现有人失踪时，必须第一时间通知应急指挥部，说明失踪人员最后出现的地点及当时正在从事的工作等详细情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事故周边区域的单位和人员的疏散由政府协助进行，本厂事先做好准备，包括向政府提出疏散建议。本厂管理人员积极与地方政府主管部门合作，保护公众免受紧急事故危害。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如事故超出控制范围，各抢险人员应立即撤离事故现场，并到达安全区域。</w:t>
      </w:r>
    </w:p>
    <w:p>
      <w:pPr>
        <w:pStyle w:val="6"/>
        <w:spacing w:before="0" w:beforeLines="0" w:after="0" w:afterLines="0"/>
        <w:outlineLvl w:val="9"/>
        <w:rPr>
          <w:rFonts w:hint="eastAsia" w:ascii="宋体" w:hAnsi="宋体" w:eastAsia="宋体" w:cs="宋体"/>
          <w:color w:val="auto"/>
          <w:sz w:val="28"/>
          <w:szCs w:val="28"/>
          <w:lang w:val="en-US" w:eastAsia="zh-CN"/>
        </w:rPr>
        <w:sectPr>
          <w:pgSz w:w="11906" w:h="16838"/>
          <w:pgMar w:top="1417" w:right="1417" w:bottom="1417" w:left="1417" w:header="1134" w:footer="1134" w:gutter="0"/>
          <w:pgNumType w:fmt="decimal"/>
          <w:cols w:space="720" w:num="1"/>
          <w:rtlGutter w:val="0"/>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3.5应急人员的安全防护程序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抢险过程中，救援人员应佩戴必要的安全防护装备，对于无法控制的生产安全事故，应立即通知专业救护人员，拨打120、119、110依靠外部力量。同时向安全区撤离，并设立警戒线。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公司24小时应急电话：0817-3811217。</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3.6事态监测程序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生产安全事故发生后，应急总指挥应坚守工作岗位，及时了解事故动向，分析判断事故严重性，以便随时启动相应的应急预案，协调指挥救援。</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3.7扩大应急响应程序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事故发展较快，难以在短时间内得到控制，立即启动上一级应急响应程序，以便得到更好的援助，控制住事态的发展。如二级立即上升为一级应急响应。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各应急救援小组组长或其他负责人，负责救援的指挥与控制工作。应急救援最重要的是抢救人员，应立即停止作业，维护现场秩序，采取现场急救措施，等待医疗人员到达。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当事故有扩大趋势时，向应急指挥办公室报告，由上级决定是否启动应急预案，及时与政府、公安、消防、医院等相关部门取得联系，保障通讯联络畅通。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现场应急小组通过手机、电话等方式向政府职能部门报警，报警的主要内容：伤害发生的时间、地点、背景，造成的损失（包括人员伤亡情况、人员受伤情况等），已采取的处理措施，需要救助的内容等。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应急预案响应流程见下图。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drawing>
          <wp:inline distT="0" distB="0" distL="114300" distR="114300">
            <wp:extent cx="5457190" cy="7038340"/>
            <wp:effectExtent l="0" t="0" r="10160" b="1016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0"/>
                    <a:stretch>
                      <a:fillRect/>
                    </a:stretch>
                  </pic:blipFill>
                  <pic:spPr>
                    <a:xfrm>
                      <a:off x="0" y="0"/>
                      <a:ext cx="5457190" cy="7038340"/>
                    </a:xfrm>
                    <a:prstGeom prst="rect">
                      <a:avLst/>
                    </a:prstGeom>
                    <a:noFill/>
                    <a:ln>
                      <a:noFill/>
                    </a:ln>
                  </pic:spPr>
                </pic:pic>
              </a:graphicData>
            </a:graphic>
          </wp:inline>
        </w:drawing>
      </w:r>
    </w:p>
    <w:p>
      <w:pPr>
        <w:pStyle w:val="5"/>
        <w:spacing w:before="0" w:after="0" w:line="360" w:lineRule="auto"/>
        <w:jc w:val="both"/>
        <w:rPr>
          <w:rFonts w:hint="eastAsia"/>
          <w:color w:val="auto"/>
          <w:lang w:val="en-US" w:eastAsia="zh-CN"/>
        </w:rPr>
      </w:pPr>
      <w:bookmarkStart w:id="287" w:name="_Toc2115"/>
      <w:bookmarkStart w:id="288" w:name="_Toc3681"/>
      <w:bookmarkStart w:id="289" w:name="_Toc287"/>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rPr>
        <w:t>处置措施</w:t>
      </w:r>
      <w:bookmarkEnd w:id="287"/>
      <w:bookmarkEnd w:id="288"/>
      <w:bookmarkEnd w:id="289"/>
    </w:p>
    <w:p>
      <w:pPr>
        <w:pStyle w:val="6"/>
        <w:spacing w:before="0" w:beforeLines="0" w:after="0" w:afterLines="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4.1</w:t>
      </w:r>
      <w:r>
        <w:rPr>
          <w:rFonts w:hint="eastAsia" w:ascii="宋体" w:hAnsi="宋体" w:eastAsia="宋体" w:cs="宋体"/>
          <w:color w:val="auto"/>
          <w:sz w:val="28"/>
          <w:szCs w:val="28"/>
        </w:rPr>
        <w:t>事故发生后应采取的处理措施</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（1）发生爆炸事故时，必须设法躲避爆炸物和高温水、汽，人员在尽可能的情况下迅速撤离事故现场。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急救之前，救援人员应确信受伤者所在环境是安全的，爆炸停止后立即查看是否有人员伤亡，如有人员伤亡要本着时间就是生命，先救命后治伤，先救重后救轻的原则，对受伤人员实施现场急救措施，并切断锅炉燃料系统，供水系统、与外界连接的蒸汽系统。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如有人员烫伤时，快速将伤员撤离现场，面积较小的烫伤可用大量冷水冲洗至少30分钟，保护好烧伤创面，尽量避免污染，有利于以后的院内治疗；面积较大或程度较深的烫伤应以干净的纱布敷盖患部简单包扎，尽快转送医院或拨打120。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4）如有因爆炸碎片导致对人员造成的物体打击等伤害，立即将伤员撤离到安全地带，用干净纱布或衣物对伤口进行压迫止血和简单包扎；合并骨折的伤员禁止盲目搬动及拖拽，应使用担架搬运并密切观察伤员生命体征（呼吸、脉搏），然后紧急转送医院或拨打120。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5）如有在救援过程中发生中毒、窒息的人员，立即将伤者撤离到到通风良好的安全地带，给予氧气吸入；如受伤人员呼吸和心跳均停止时，应立即按心肺复苏法支持生命的三项基本措施，进行就地抢救。步骤为：通畅气道→口对口(鼻)人工呼吸→胸外接压；在抢救过程中，要每隔数分钟判定一次，每次判定时间均不得超过5～7s；在医务人员未接替抢救前，现场抢救人员不得放弃现场抢救。</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（6）在救援过程中严密勘察房屋及周边建筑物结构是否有变形，防止建筑物坍塌引发次生事故。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（7）迅速采取封闭、隔离、清洗等措施，做好事故现场清理和设备恢复工作，积极消除危害后果。</w:t>
      </w:r>
    </w:p>
    <w:p>
      <w:pPr>
        <w:pStyle w:val="6"/>
        <w:spacing w:before="0" w:beforeLines="0" w:after="0" w:afterLines="0"/>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sz w:val="28"/>
          <w:szCs w:val="28"/>
          <w:lang w:val="en-US" w:eastAsia="zh-CN"/>
        </w:rPr>
        <w:t>4.2医疗救护应急处置措施</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此事故的发生具有突发性，如遇到爆炸时，应面背爆炸地点迅速卧倒，如眼前有水，应俯卧或侧卧于水中，并用湿毛巾捂住鼻口。距离爆炸中心较近的作业人员，在采取上述自救措施后，迅速撤离现场，防止二次爆炸的发生。当爆炸发生后，应立即切断通往事故地点的一切电源，马上恢复通风，设法扑灭各种明火和残留火，以防再次引起爆炸。所有生存人员在事故发生后，应统一、镇定地撤离危险区。遇有一氧化碳中毒者，应及时将其转移到通风良好的安全地区。如有心跳、呼吸停止，立即在安全处进行人工心肺复苏，不要延误抢救时机。对有明显烧伤的即可送往救助医院，以免延误救治的最佳时机。</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4.3 警戒、疏散应急处置措施</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一</w:t>
      </w:r>
      <w:r>
        <w:rPr>
          <w:rFonts w:hint="eastAsia" w:ascii="宋体" w:hAnsi="宋体" w:eastAsia="宋体" w:cs="宋体"/>
          <w:b/>
          <w:color w:val="auto"/>
        </w:rPr>
        <w:t>）事故现场隔离方法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事故现场隔离区域由疏散隔离组派专人警戒。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事故现场隔离区域设置危险警告标志。例如，可用安全标志或警戒带将事故现场隔离。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疏散隔离组根据事故的势态和指挥部的指令确定警戒区域的范围，设置警戒标志。</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二</w:t>
      </w:r>
      <w:r>
        <w:rPr>
          <w:rFonts w:hint="eastAsia" w:ascii="宋体" w:hAnsi="宋体" w:eastAsia="宋体" w:cs="宋体"/>
          <w:b/>
          <w:color w:val="auto"/>
        </w:rPr>
        <w:t>）事故现场周边区域的道路隔离或交通疏导办法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疏散隔离组人员到达现场后，组织纠察，在事故现场周围设岗，疏导各交通要道，阻止无关、闲杂人员进入危险区域，并加强警戒和巡逻检查。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当事故应急进入社会响应程序，疏散隔离组派员协助交警部门对周边道路实行临时交通管制。</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（三）疏散隔离组负责实施人员紧急疏散、撤离：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（1）事故现场人员清点，撤离的方式、方法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预警应急须清点事故发生现场的工作人员并集合，撤离危险区，按照员工名册点名清点现场人员，组织人员从事故现场的安全通道迅速、有秩序地安全撤离，在集合地点招集人员。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（2）非事故现场人员紧急疏散的方式、方法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公司内工作人员听到事故警报后应立即集合，集合地点位于公司正门口前，根据事故现场情况，由疏散隔离组组长决定人员是否疏散和撤离。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安排外来车辆立即离开公司驶到安全地带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如危及公司外时，应迅速组织有关人员协助公司外公众、过往行人，向安全区地带疏散。</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（四）抢救人员在撤离前、撤离后的报告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事故处置救援组人员在撤离前，事故处置救援组将抢救人员的人数报告疏散隔离组组长。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事故扩大时或事故抢救完毕，抢救人员撤离后由现场指挥将抢救人员数量及受伤情况报告综合协调组组长。</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4.4 现场保护与现场洗消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疏散隔离组组长应安排人员对事故现场进行保护，在抢救伤员、防止事故扩大以及疏散人员等原因需要移动现场物件时，应做出标示、拍照或绘制事故现场图，并有效保护好现场重要痕迹、物证等。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事故处置救援组</w:t>
      </w:r>
      <w:r>
        <w:rPr>
          <w:rFonts w:hint="eastAsia" w:ascii="宋体" w:hAnsi="宋体" w:eastAsia="宋体" w:cs="宋体"/>
          <w:color w:val="auto"/>
          <w:sz w:val="28"/>
          <w:szCs w:val="28"/>
          <w:lang w:val="en-US" w:eastAsia="zh-CN"/>
        </w:rPr>
        <w:t>根据具体的事故情况，负责组织清理事故现场，对产生的污染物进行妥善处理。其中，属于危险废弃物的，应当交由专门的有资质的处置公司进行处置。对土壤产生污染的，应当联系有能力的第三方公司进行土壤污染处理。</w:t>
      </w:r>
    </w:p>
    <w:p>
      <w:pPr>
        <w:pStyle w:val="5"/>
        <w:spacing w:before="0" w:after="0" w:line="360" w:lineRule="auto"/>
        <w:jc w:val="both"/>
        <w:outlineLvl w:val="9"/>
        <w:rPr>
          <w:rFonts w:hint="eastAsia" w:ascii="宋体" w:hAnsi="宋体" w:eastAsia="宋体" w:cs="宋体"/>
          <w:b/>
          <w:bCs/>
          <w:color w:val="auto"/>
          <w:sz w:val="28"/>
          <w:szCs w:val="28"/>
          <w:lang w:val="en-US" w:eastAsia="zh-CN"/>
        </w:rPr>
        <w:sectPr>
          <w:type w:val="continuous"/>
          <w:pgSz w:w="11906" w:h="16838"/>
          <w:pgMar w:top="1417" w:right="1417" w:bottom="1417" w:left="1417" w:header="1134" w:footer="1134" w:gutter="0"/>
          <w:pgNumType w:fmt="decimal"/>
          <w:cols w:space="720" w:num="1"/>
          <w:rtlGutter w:val="0"/>
          <w:docGrid w:linePitch="312" w:charSpace="0"/>
        </w:sectPr>
      </w:pPr>
    </w:p>
    <w:p>
      <w:pPr>
        <w:pStyle w:val="5"/>
        <w:spacing w:before="0" w:after="0" w:line="360" w:lineRule="auto"/>
        <w:jc w:val="both"/>
        <w:rPr>
          <w:rFonts w:hint="eastAsia" w:ascii="宋体" w:hAnsi="宋体" w:eastAsia="宋体" w:cs="宋体"/>
          <w:b/>
          <w:bCs/>
          <w:color w:val="auto"/>
          <w:sz w:val="28"/>
          <w:szCs w:val="28"/>
          <w:lang w:val="en-US" w:eastAsia="zh-CN"/>
        </w:rPr>
      </w:pPr>
      <w:bookmarkStart w:id="290" w:name="_Toc31603"/>
      <w:bookmarkStart w:id="291" w:name="_Toc18685"/>
      <w:bookmarkStart w:id="292" w:name="_Toc25567"/>
      <w:r>
        <w:rPr>
          <w:rFonts w:hint="eastAsia" w:ascii="宋体" w:hAnsi="宋体" w:eastAsia="宋体" w:cs="宋体"/>
          <w:b/>
          <w:bCs/>
          <w:color w:val="auto"/>
          <w:sz w:val="28"/>
          <w:szCs w:val="28"/>
          <w:lang w:val="en-US" w:eastAsia="zh-CN"/>
        </w:rPr>
        <w:t>5、</w:t>
      </w:r>
      <w:r>
        <w:rPr>
          <w:rFonts w:hint="eastAsia" w:ascii="宋体" w:hAnsi="宋体" w:eastAsia="宋体" w:cs="宋体"/>
          <w:b/>
          <w:bCs/>
          <w:color w:val="auto"/>
          <w:sz w:val="28"/>
          <w:szCs w:val="28"/>
          <w:lang w:val="zh-CN"/>
        </w:rPr>
        <w:t>应急保障</w:t>
      </w:r>
      <w:bookmarkEnd w:id="290"/>
      <w:bookmarkEnd w:id="291"/>
      <w:bookmarkEnd w:id="29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应急指挥部</w:t>
      </w:r>
      <w:r>
        <w:rPr>
          <w:rFonts w:hint="eastAsia" w:ascii="宋体" w:hAnsi="宋体" w:eastAsia="宋体" w:cs="宋体"/>
          <w:color w:val="auto"/>
          <w:sz w:val="28"/>
          <w:szCs w:val="28"/>
        </w:rPr>
        <w:t>安排</w:t>
      </w:r>
      <w:r>
        <w:rPr>
          <w:rFonts w:hint="eastAsia" w:ascii="宋体" w:hAnsi="宋体" w:eastAsia="宋体" w:cs="宋体"/>
          <w:color w:val="auto"/>
          <w:sz w:val="28"/>
          <w:szCs w:val="28"/>
          <w:lang w:eastAsia="zh-CN"/>
        </w:rPr>
        <w:t>后勤</w:t>
      </w:r>
      <w:r>
        <w:rPr>
          <w:rFonts w:hint="eastAsia" w:ascii="宋体" w:hAnsi="宋体" w:eastAsia="宋体" w:cs="宋体"/>
          <w:color w:val="auto"/>
          <w:sz w:val="28"/>
          <w:szCs w:val="28"/>
        </w:rPr>
        <w:t>保障组负责组织应急物资、装备的储备管理和应急处置时的调配。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按照平战结合的原则，</w:t>
      </w:r>
      <w:r>
        <w:rPr>
          <w:rFonts w:hint="eastAsia" w:ascii="宋体" w:hAnsi="宋体" w:eastAsia="宋体" w:cs="宋体"/>
          <w:color w:val="auto"/>
          <w:sz w:val="28"/>
          <w:szCs w:val="28"/>
          <w:lang w:eastAsia="zh-CN"/>
        </w:rPr>
        <w:t>后勤</w:t>
      </w:r>
      <w:r>
        <w:rPr>
          <w:rFonts w:hint="eastAsia" w:ascii="宋体" w:hAnsi="宋体" w:eastAsia="宋体" w:cs="宋体"/>
          <w:color w:val="auto"/>
          <w:sz w:val="28"/>
          <w:szCs w:val="28"/>
        </w:rPr>
        <w:t>保障组确定应急物资、设备机具、防护用品的品种、规格和标准，报送需求计划</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确保应急所需物资、装备及时供应、补充和更新。主要应急设备和物资储备见附件</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outlineLvl w:val="9"/>
        <w:rPr>
          <w:rFonts w:hint="eastAsia" w:ascii="宋体" w:hAnsi="宋体" w:eastAsia="宋体" w:cs="宋体"/>
          <w:b/>
          <w:bCs/>
          <w:color w:val="auto"/>
          <w:kern w:val="44"/>
          <w:sz w:val="32"/>
          <w:szCs w:val="44"/>
          <w:lang w:val="en-US" w:eastAsia="zh-CN" w:bidi="ar-SA"/>
        </w:rPr>
        <w:sectPr>
          <w:type w:val="continuous"/>
          <w:pgSz w:w="11906" w:h="16838"/>
          <w:pgMar w:top="1417" w:right="1417" w:bottom="1417" w:left="1417" w:header="1134" w:footer="1134" w:gutter="0"/>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outlineLvl w:val="9"/>
        <w:rPr>
          <w:rFonts w:hint="eastAsia" w:ascii="宋体" w:hAnsi="宋体" w:eastAsia="宋体" w:cs="宋体"/>
          <w:b/>
          <w:bCs/>
          <w:color w:val="auto"/>
          <w:kern w:val="44"/>
          <w:sz w:val="32"/>
          <w:szCs w:val="44"/>
          <w:lang w:val="en-US" w:eastAsia="zh-CN" w:bidi="ar-SA"/>
        </w:rPr>
        <w:sectPr>
          <w:type w:val="continuous"/>
          <w:pgSz w:w="11906" w:h="16838"/>
          <w:pgMar w:top="1417" w:right="1417" w:bottom="1417" w:left="1417" w:header="1134" w:footer="1134" w:gutter="0"/>
          <w:pgNumType w:fmt="decimal"/>
          <w:cols w:space="720" w:num="1"/>
          <w:rtlGutter w:val="0"/>
          <w:docGrid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center"/>
        <w:textAlignment w:val="auto"/>
        <w:outlineLvl w:val="1"/>
        <w:rPr>
          <w:rFonts w:hint="eastAsia" w:ascii="宋体" w:hAnsi="宋体" w:eastAsia="宋体" w:cs="宋体"/>
          <w:color w:val="auto"/>
          <w:sz w:val="32"/>
          <w:szCs w:val="32"/>
          <w:lang w:val="en-US" w:eastAsia="zh-CN"/>
        </w:rPr>
      </w:pPr>
      <w:bookmarkStart w:id="293" w:name="_Toc3740"/>
      <w:bookmarkStart w:id="294" w:name="_Toc27641"/>
      <w:r>
        <w:rPr>
          <w:rFonts w:hint="eastAsia" w:ascii="宋体" w:hAnsi="宋体" w:eastAsia="宋体" w:cs="宋体"/>
          <w:color w:val="auto"/>
          <w:sz w:val="32"/>
          <w:szCs w:val="32"/>
          <w:lang w:val="en-US" w:eastAsia="zh-CN"/>
        </w:rPr>
        <w:t>三、危险化学品泄漏事故专项应急预案</w:t>
      </w:r>
      <w:bookmarkEnd w:id="293"/>
      <w:bookmarkEnd w:id="294"/>
    </w:p>
    <w:p>
      <w:pPr>
        <w:pStyle w:val="5"/>
        <w:spacing w:before="0" w:after="0" w:line="360" w:lineRule="auto"/>
        <w:jc w:val="both"/>
        <w:rPr>
          <w:rFonts w:hint="eastAsia" w:ascii="宋体" w:hAnsi="宋体" w:eastAsia="宋体" w:cs="宋体"/>
          <w:b/>
          <w:bCs/>
          <w:color w:val="auto"/>
          <w:kern w:val="44"/>
          <w:sz w:val="32"/>
          <w:szCs w:val="44"/>
          <w:lang w:val="en-US" w:eastAsia="zh-CN" w:bidi="ar-SA"/>
        </w:rPr>
      </w:pPr>
      <w:bookmarkStart w:id="295" w:name="_Toc32423"/>
      <w:bookmarkStart w:id="296" w:name="_Toc20905"/>
      <w:bookmarkStart w:id="297" w:name="_Toc29645"/>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lang w:val="zh-CN"/>
        </w:rPr>
        <w:t>适用范围</w:t>
      </w:r>
      <w:bookmarkEnd w:id="295"/>
      <w:bookmarkEnd w:id="296"/>
      <w:bookmarkEnd w:id="29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）适用范围：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本专项应急预案适用</w:t>
      </w:r>
      <w:r>
        <w:rPr>
          <w:rFonts w:hint="eastAsia" w:ascii="宋体" w:hAnsi="宋体" w:eastAsia="宋体" w:cs="宋体"/>
          <w:color w:val="auto"/>
          <w:sz w:val="28"/>
          <w:szCs w:val="28"/>
          <w:lang w:eastAsia="zh-CN"/>
        </w:rPr>
        <w:t>于埃夫科纳（南充）特种聚合物有限公司内危险化学品使用、储存场所发生的泄漏</w:t>
      </w:r>
      <w:r>
        <w:rPr>
          <w:rFonts w:hint="eastAsia" w:ascii="宋体" w:hAnsi="宋体" w:eastAsia="宋体" w:cs="宋体"/>
          <w:color w:val="auto"/>
          <w:sz w:val="28"/>
          <w:szCs w:val="28"/>
        </w:rPr>
        <w:t>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rPr>
        <w:t>本专项预案是公司综合应急预案的补充和完善，与综合预案</w:t>
      </w:r>
      <w:r>
        <w:rPr>
          <w:rFonts w:hint="eastAsia" w:ascii="宋体" w:hAnsi="宋体" w:eastAsia="宋体" w:cs="宋体"/>
          <w:color w:val="auto"/>
          <w:sz w:val="28"/>
          <w:szCs w:val="28"/>
          <w:lang w:eastAsia="zh-CN"/>
        </w:rPr>
        <w:t>联动响应。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）事故分布：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危险化学品泄漏事故容易发生场所：工艺装置区、甲类储罐区、化学品储存和使用区等</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（3）严重程度及影响范围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小量、小面积泄漏，可能造成人员灼伤，带来财产损失；大面积或大量泄漏，可能引起火灾、中毒、化学灼伤等衍生事故，损失财产，污染环境。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若甲类储罐区泄漏引起爆炸和火灾事故，会造成公司周边人员伤亡，财产损失。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若液体泄漏物堵塞不及时流入市政排水管网，还会影响大范围的人员健康，造成财产损失</w:t>
      </w:r>
      <w:r>
        <w:rPr>
          <w:rFonts w:hint="eastAsia" w:ascii="宋体" w:hAnsi="宋体" w:eastAsia="宋体" w:cs="宋体"/>
          <w:color w:val="auto"/>
          <w:sz w:val="28"/>
          <w:szCs w:val="28"/>
          <w:lang w:eastAsia="zh-CN"/>
        </w:rPr>
        <w:t>。</w:t>
      </w:r>
    </w:p>
    <w:p>
      <w:pPr>
        <w:pStyle w:val="5"/>
        <w:spacing w:before="0" w:after="0" w:line="360" w:lineRule="auto"/>
        <w:jc w:val="both"/>
        <w:rPr>
          <w:rFonts w:hint="eastAsia" w:ascii="宋体" w:hAnsi="宋体" w:eastAsia="宋体" w:cs="宋体"/>
          <w:b/>
          <w:bCs/>
          <w:color w:val="auto"/>
          <w:sz w:val="28"/>
          <w:szCs w:val="28"/>
          <w:lang w:val="en-US" w:eastAsia="zh-CN"/>
        </w:rPr>
      </w:pPr>
      <w:bookmarkStart w:id="298" w:name="_Toc31598"/>
      <w:bookmarkStart w:id="299" w:name="_Toc8927"/>
      <w:bookmarkStart w:id="300" w:name="_Toc10335"/>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lang w:val="zh-CN"/>
        </w:rPr>
        <w:t>应急组织机构及职责</w:t>
      </w:r>
      <w:bookmarkEnd w:id="298"/>
      <w:bookmarkEnd w:id="299"/>
      <w:bookmarkEnd w:id="30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lang w:eastAsia="zh-CN"/>
        </w:rPr>
        <w:t>参见综合应急预案“2.2 公司应急组织机构”</w:t>
      </w:r>
      <w:r>
        <w:rPr>
          <w:rFonts w:hint="eastAsia" w:ascii="宋体" w:hAnsi="宋体" w:eastAsia="宋体" w:cs="宋体"/>
          <w:color w:val="auto"/>
          <w:sz w:val="28"/>
          <w:szCs w:val="28"/>
        </w:rPr>
        <w:t>。</w:t>
      </w:r>
    </w:p>
    <w:p>
      <w:pPr>
        <w:pStyle w:val="5"/>
        <w:spacing w:before="0" w:after="0" w:line="360" w:lineRule="auto"/>
        <w:jc w:val="both"/>
        <w:rPr>
          <w:rFonts w:hint="eastAsia" w:ascii="宋体" w:hAnsi="宋体" w:eastAsia="宋体" w:cs="宋体"/>
          <w:b/>
          <w:bCs/>
          <w:color w:val="auto"/>
          <w:sz w:val="28"/>
          <w:szCs w:val="28"/>
          <w:lang w:val="en-US" w:eastAsia="zh-CN"/>
        </w:rPr>
      </w:pPr>
      <w:bookmarkStart w:id="301" w:name="_Toc18012"/>
      <w:bookmarkStart w:id="302" w:name="_Toc22864"/>
      <w:bookmarkStart w:id="303" w:name="_Toc24874"/>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lang w:val="zh-CN"/>
        </w:rPr>
        <w:t>响应启动</w:t>
      </w:r>
      <w:bookmarkEnd w:id="301"/>
      <w:bookmarkEnd w:id="302"/>
      <w:bookmarkEnd w:id="303"/>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3.1指挥机构启动程序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1）事故发生后，第一发现人应立即向本厂现场负责人报告报告，并尽可能阻止事故的蔓延扩大。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2）现场负责人接到事故报告，立即将警情（包括发生事故的时间、地点、性质、类型、受伤人员情况、事故损失情况、需要的急救措施等）报告应急总指挥。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3）应急总指挥接警后，立即启动相关应急预案，通知各应急救援小组赶赴现场，实施救援。并在1小时内电话向当地县级以上人民政府及应急管理部门和负有应急管理职责的有关部门汇报。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）车间级响应——三级，事故所在车间可控制的事故，需成立现场应急小组，由事故车间负责人任组长，指挥、协调应急处置工作。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）公司级响应——二级，事故影响范围不会扩散至厂区外，需</w:t>
      </w:r>
      <w:r>
        <w:rPr>
          <w:rFonts w:hint="eastAsia" w:ascii="宋体" w:hAnsi="宋体" w:eastAsia="宋体" w:cs="宋体"/>
          <w:color w:val="auto"/>
          <w:sz w:val="28"/>
          <w:szCs w:val="28"/>
          <w:lang w:val="en-US" w:eastAsia="zh-CN"/>
        </w:rPr>
        <w:t>成立应急指挥部，总指挥由总经理担任</w:t>
      </w:r>
      <w:r>
        <w:rPr>
          <w:rFonts w:hint="eastAsia" w:ascii="宋体" w:hAnsi="宋体" w:eastAsia="宋体" w:cs="宋体"/>
          <w:color w:val="auto"/>
          <w:sz w:val="28"/>
          <w:szCs w:val="28"/>
          <w:lang w:eastAsia="zh-CN"/>
        </w:rPr>
        <w:t>，统一指挥、协调。需疏散事故区域及邻近区域的人员，可能需要通知周边企业、社区、社会救援力量、政府部门，可能需要外部援助。政府相关救援部门到达现场后，移交指挥权，并服从政府相关部门的调度。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社会级响应——一级，公司全部应急力量已不能控制事故。事故随时可能造成更大危害，甚至扩散到厂区以外，需疏散全体员工，需通知周边企业、社区、社会救援力量、政府部门，需要外部援助。政府相关救援部门到达现场后，移交指挥权，并服从政府相关部门的调度、安排和指挥。</w:t>
      </w:r>
    </w:p>
    <w:p>
      <w:pPr>
        <w:pStyle w:val="6"/>
        <w:spacing w:before="0" w:beforeLines="0" w:after="0" w:afterLines="0"/>
        <w:outlineLvl w:val="9"/>
        <w:rPr>
          <w:rFonts w:hint="eastAsia" w:ascii="宋体" w:hAnsi="宋体" w:eastAsia="宋体" w:cs="宋体"/>
          <w:color w:val="auto"/>
          <w:sz w:val="28"/>
          <w:szCs w:val="28"/>
          <w:lang w:val="en-US" w:eastAsia="zh-CN"/>
        </w:rPr>
        <w:sectPr>
          <w:type w:val="continuous"/>
          <w:pgSz w:w="11906" w:h="16838"/>
          <w:pgMar w:top="1417" w:right="1417" w:bottom="1417" w:left="1417" w:header="851" w:footer="992" w:gutter="567"/>
          <w:cols w:space="0" w:num="1"/>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3.2资源调度程序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本厂一旦发生安全事故后，当班人员通知应急总指挥后，应立即利用厂内配备的安全救援设施，展开救援。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二级事故响应时，本厂员工及各应急救援小组在应急总指挥的指挥协调下应充分利用厂内的应急资源，进行抢险救灾。发生一级事故响应时，仅靠本厂的应急资源无法满足救援需求，应急总指挥在向上级政府主管部门报告事故情况时，应同时申请政府应急救援物资和力量，如当地消防大队、医院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3.3医疗救护程序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1）后勤保障组接到报警后，携带医疗急救物品，立即赶往现场。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事故中，如发现现场有人员受伤、中毒及烧伤时，应立即将伤员抢救至空气新鲜并安全的地带。对中毒窒息无意识者立即实施心肺复苏，烧伤者注意保护创面防止二次受伤，有外伤者立即包扎。伤势较轻的，利用运输工具将受伤人员送往附近医院救治；如伤势较为严重，医疗救护组及时拨打120，待医院急救中心人员赶到后应将伤员受伤情况等基本资料简要介绍给医院急救人员，以便做好进一步救助。因抢救伤员、防止事故扩大以及疏通交通等原因需要移动现场物件时，必须做出标志、拍照、详细记录和绘制事故现场图，并妥善保存现场重要痕迹、物证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3.4应急避险程序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发生事故后，为防止无关人员误入现场造成伤害，由</w:t>
      </w:r>
      <w:r>
        <w:rPr>
          <w:rFonts w:hint="eastAsia" w:ascii="宋体" w:hAnsi="宋体" w:eastAsia="宋体" w:cs="宋体"/>
          <w:color w:val="auto"/>
          <w:sz w:val="28"/>
          <w:szCs w:val="28"/>
          <w:lang w:val="en-US" w:eastAsia="zh-CN"/>
        </w:rPr>
        <w:t>疏散隔离组</w:t>
      </w:r>
      <w:r>
        <w:rPr>
          <w:rFonts w:hint="eastAsia" w:ascii="宋体" w:hAnsi="宋体" w:eastAsia="宋体" w:cs="宋体"/>
          <w:color w:val="auto"/>
          <w:sz w:val="28"/>
          <w:szCs w:val="28"/>
          <w:lang w:eastAsia="zh-CN"/>
        </w:rPr>
        <w:t>根据事故的大小划定警戒区，设立标识，在其位置设置一个警戒人员。警戒人员负责对警戒区内的人员进行疏导，带领至指定的安全地点，同时禁止无关人员和车辆进入警戒区。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本厂从业人员听到紧急疏散报警后，要立即紧急撤离事故区域。紧急撤离时应注意：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1）应向上风方向转移；明确专人引导和护送疏散人员到安全区，并在疏散或撤离的路线上设立哨位，指明方向。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2）不要在低洼处滞留。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3）要查清是否有人留在事故区。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4）为使疏散工作顺利进行，每条疏散道路应保持出入口畅通无阻，并设有明显疏散方向或路线标志。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所有人员到达指定安全地点后，由疏散隔离组或指定专人对人员进行清点，并将清点情况报告给应急指挥部，确保所有人员全部撤离危险地点。如发现有人失踪时，必须第一时间通知应急指挥部，说明失踪人员最后出现的地点及当时正在从事的工作等详细情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事故周边区域的单位和人员的疏散由政府协助进行，本厂事先做好准备，包括向政府提出疏散建议。本厂管理人员积极与地方政府主管部门合作，保护公众免受紧急事故危害。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如事故超出控制范围，各抢险人员应立即撤离事故现场，并到达安全区域。</w:t>
      </w:r>
    </w:p>
    <w:p>
      <w:pPr>
        <w:pStyle w:val="6"/>
        <w:spacing w:before="0" w:beforeLines="0" w:after="0" w:afterLines="0"/>
        <w:outlineLvl w:val="9"/>
        <w:rPr>
          <w:rFonts w:hint="eastAsia" w:ascii="宋体" w:hAnsi="宋体" w:eastAsia="宋体" w:cs="宋体"/>
          <w:color w:val="auto"/>
          <w:sz w:val="28"/>
          <w:szCs w:val="28"/>
          <w:lang w:val="en-US" w:eastAsia="zh-CN"/>
        </w:rPr>
        <w:sectPr>
          <w:pgSz w:w="11906" w:h="16838"/>
          <w:pgMar w:top="1417" w:right="1417" w:bottom="1417" w:left="1417" w:header="1134" w:footer="1134" w:gutter="0"/>
          <w:pgNumType w:fmt="decimal"/>
          <w:cols w:space="720" w:num="1"/>
          <w:rtlGutter w:val="0"/>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3.5应急人员的安全防护程序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抢险过程中，救援人员应佩戴必要的安全防护装备，对于无法控制的生产安全事故，应立即通知专业救护人员，拨打120、119、110依靠外部力量。同时向安全区撤离，并设立警戒线。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公司24小时应急电话：0817-3811217。</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3.6事态监测程序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生产安全事故发生后，应急总指挥应坚守工作岗位，及时了解事故动向，分析判断事故严重性，以便随时启动相应的应急预案，协调指挥救援。</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3.7扩大应急响应程序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事故发展较快，难以在短时间内得到控制，立即启动上一级应急响应程序，以便得到更好的援助，控制住事态的发展。如二级立即上升为一级应急响应。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各应急救援小组组长或其他负责人，负责救援的指挥与控制工作。应急救援最重要的是抢救人员，应立即停止作业，维护现场秩序，采取现场急救措施，等待医疗人员到达。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当事故有扩大趋势时，向应急指挥办公室报告，由上级决定是否启动应急预案，及时与政府、公安、消防、医院等相关部门取得联系，保障通讯联络畅通。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现场应急小组通过手机、电话等方式向政府职能部门报警，报警的主要内容：伤害发生的时间、地点、背景，造成的损失（包括人员伤亡情况、人员受伤情况等），已采取的处理措施，需要救助的内容等。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应急预案响应流程见下图。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drawing>
          <wp:inline distT="0" distB="0" distL="114300" distR="114300">
            <wp:extent cx="5457190" cy="7038340"/>
            <wp:effectExtent l="0" t="0" r="10160" b="1016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0"/>
                    <a:stretch>
                      <a:fillRect/>
                    </a:stretch>
                  </pic:blipFill>
                  <pic:spPr>
                    <a:xfrm>
                      <a:off x="0" y="0"/>
                      <a:ext cx="5457190" cy="7038340"/>
                    </a:xfrm>
                    <a:prstGeom prst="rect">
                      <a:avLst/>
                    </a:prstGeom>
                    <a:noFill/>
                    <a:ln>
                      <a:noFill/>
                    </a:ln>
                  </pic:spPr>
                </pic:pic>
              </a:graphicData>
            </a:graphic>
          </wp:inline>
        </w:drawing>
      </w:r>
    </w:p>
    <w:p>
      <w:pPr>
        <w:pStyle w:val="5"/>
        <w:spacing w:before="0" w:after="0" w:line="360" w:lineRule="auto"/>
        <w:jc w:val="both"/>
        <w:rPr>
          <w:rFonts w:hint="eastAsia" w:ascii="宋体" w:hAnsi="宋体" w:eastAsia="宋体" w:cs="宋体"/>
          <w:b/>
          <w:bCs/>
          <w:color w:val="auto"/>
          <w:sz w:val="28"/>
          <w:szCs w:val="28"/>
          <w:lang w:val="en-US" w:eastAsia="zh-CN"/>
        </w:rPr>
      </w:pPr>
      <w:bookmarkStart w:id="304" w:name="_Toc9196"/>
      <w:bookmarkStart w:id="305" w:name="_Toc24842"/>
      <w:bookmarkStart w:id="306" w:name="_Toc17201"/>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rPr>
        <w:t>处置措施</w:t>
      </w:r>
      <w:bookmarkEnd w:id="304"/>
      <w:bookmarkEnd w:id="305"/>
      <w:bookmarkEnd w:id="306"/>
    </w:p>
    <w:p>
      <w:pPr>
        <w:pStyle w:val="6"/>
        <w:spacing w:before="0" w:beforeLines="0" w:after="0" w:afterLines="0"/>
        <w:rPr>
          <w:rFonts w:hint="eastAsia" w:ascii="宋体" w:hAnsi="宋体" w:eastAsia="宋体" w:cs="宋体"/>
          <w:color w:val="auto"/>
          <w:sz w:val="28"/>
          <w:szCs w:val="28"/>
          <w:lang w:val="en-US" w:eastAsia="zh-CN"/>
        </w:rPr>
      </w:pPr>
      <w:bookmarkStart w:id="307" w:name="_Toc2669"/>
      <w:bookmarkStart w:id="308" w:name="_Toc2416"/>
      <w:bookmarkStart w:id="309" w:name="_Toc30971"/>
      <w:r>
        <w:rPr>
          <w:rFonts w:hint="eastAsia" w:ascii="宋体" w:hAnsi="宋体" w:eastAsia="宋体" w:cs="宋体"/>
          <w:color w:val="auto"/>
          <w:sz w:val="28"/>
          <w:szCs w:val="28"/>
          <w:lang w:val="en-US" w:eastAsia="zh-CN"/>
        </w:rPr>
        <w:t xml:space="preserve">4.1 </w:t>
      </w:r>
      <w:r>
        <w:rPr>
          <w:rFonts w:hint="eastAsia" w:ascii="宋体" w:hAnsi="宋体" w:eastAsia="宋体" w:cs="宋体"/>
          <w:color w:val="auto"/>
          <w:sz w:val="28"/>
          <w:szCs w:val="28"/>
        </w:rPr>
        <w:t>事故发生后应采取的处理措施</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2" w:firstLineChars="200"/>
        <w:textAlignment w:val="auto"/>
        <w:rPr>
          <w:rFonts w:hint="eastAsia" w:ascii="宋体" w:hAnsi="宋体" w:eastAsia="宋体" w:cs="宋体"/>
          <w:b/>
          <w:bCs/>
          <w:color w:val="auto"/>
          <w:kern w:val="2"/>
          <w:sz w:val="28"/>
          <w:szCs w:val="24"/>
          <w:lang w:val="en-US" w:eastAsia="zh-CN" w:bidi="ar-SA"/>
        </w:rPr>
      </w:pPr>
      <w:r>
        <w:rPr>
          <w:rFonts w:hint="eastAsia" w:ascii="宋体" w:hAnsi="宋体" w:eastAsia="宋体" w:cs="宋体"/>
          <w:b/>
          <w:bCs/>
          <w:color w:val="auto"/>
          <w:kern w:val="2"/>
          <w:sz w:val="28"/>
          <w:szCs w:val="24"/>
          <w:lang w:val="en-US" w:eastAsia="zh-CN" w:bidi="ar-SA"/>
        </w:rPr>
        <w:t>（一）进入泄漏现场进行处理时，应注意以下安全防护措施：</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1）进入现场救援人员必须配备必要的个人防护器具，如防化服、护目镜、耐酸碱手套等。</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2）事故中心区应严禁一切火种，切断电源，禁止车辆进入，立即在边界设置警戒线。根据事故发生情况和事故进展，确定事故波及区人员的撤离方向及有关措施。</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3）危险化学品少量泄漏可采取沙子或化学吸附材料吸附等措施防止其流到地面并尽量避免流入排水口。</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4）应急处理时要服从统一指挥，严禁单独行动。</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2" w:firstLineChars="200"/>
        <w:textAlignment w:val="auto"/>
        <w:rPr>
          <w:rFonts w:hint="eastAsia" w:ascii="宋体" w:hAnsi="宋体" w:eastAsia="宋体" w:cs="宋体"/>
          <w:b/>
          <w:bCs/>
          <w:color w:val="auto"/>
          <w:kern w:val="2"/>
          <w:sz w:val="28"/>
          <w:szCs w:val="24"/>
          <w:lang w:val="en-US" w:eastAsia="zh-CN" w:bidi="ar-SA"/>
        </w:rPr>
      </w:pPr>
      <w:r>
        <w:rPr>
          <w:rFonts w:hint="eastAsia" w:ascii="宋体" w:hAnsi="宋体" w:eastAsia="宋体" w:cs="宋体"/>
          <w:b/>
          <w:bCs/>
          <w:color w:val="auto"/>
          <w:kern w:val="2"/>
          <w:sz w:val="28"/>
          <w:szCs w:val="24"/>
          <w:lang w:val="en-US" w:eastAsia="zh-CN" w:bidi="ar-SA"/>
        </w:rPr>
        <w:t>（二）泄漏源控制</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1）迅速采取关闭阀门、停止作业或改变工艺流程、物料走副线、局部停车、打循环、减负荷运行等措施。</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2）堵漏，采用危化品堵漏材料和堵漏技术手段堵住泄漏处。</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2" w:firstLineChars="200"/>
        <w:textAlignment w:val="auto"/>
        <w:rPr>
          <w:rFonts w:hint="eastAsia" w:ascii="宋体" w:hAnsi="宋体" w:eastAsia="宋体" w:cs="宋体"/>
          <w:b/>
          <w:bCs/>
          <w:color w:val="auto"/>
          <w:kern w:val="2"/>
          <w:sz w:val="28"/>
          <w:szCs w:val="24"/>
          <w:lang w:val="en-US" w:eastAsia="zh-CN" w:bidi="ar-SA"/>
        </w:rPr>
      </w:pPr>
      <w:r>
        <w:rPr>
          <w:rFonts w:hint="eastAsia" w:ascii="宋体" w:hAnsi="宋体" w:eastAsia="宋体" w:cs="宋体"/>
          <w:b/>
          <w:bCs/>
          <w:color w:val="auto"/>
          <w:kern w:val="2"/>
          <w:sz w:val="28"/>
          <w:szCs w:val="24"/>
          <w:lang w:val="en-US" w:eastAsia="zh-CN" w:bidi="ar-SA"/>
        </w:rPr>
        <w:t>（三）泄漏物处理</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1)围堤堵截：筑堤堵截泄漏液体或者引流到安全地点。</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稀释与覆盖：对于可燃物，也可以在现场施放大量水蒸气或氮气。破坏燃烧条件。对于液体泄漏，为降低物料向大气中的蒸发速度，可用泡沫或其他覆盖物品覆盖外泄的物料，在其表面形成覆盖层，抑制其蒸发。</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3)收容(集)：对于大量泄漏，可选择用防爆泵将泄漏出的物料抽入容器内；当泄漏量小时，可用吸附材料、中和材料等吸收中和，并收集到密闭容器中。</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4)废弃：将收集的泄漏物按照国家有关危险废弃物的处理法规处置。用消防水冲洗剩下的少量物料，冲洗水根据泄漏物性质排入污水系统处理或统一收集处理。</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 医疗救护应急处置措施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）迅速将化受伤伤害人员转移至车间外安全地带。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）对化学品灼伤者：立即用大量的清水冲洗，必要时送医院。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）对伤重者，应立即与当地医院取得联系，并详细说明事故地点、严重程度、本公司的联系电话，并派人到路口接应。</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4.3 警戒、疏散应急处置措施</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一</w:t>
      </w:r>
      <w:r>
        <w:rPr>
          <w:rFonts w:hint="eastAsia" w:ascii="宋体" w:hAnsi="宋体" w:eastAsia="宋体" w:cs="宋体"/>
          <w:b/>
          <w:color w:val="auto"/>
        </w:rPr>
        <w:t>）事故现场隔离方法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事故现场隔离区域由疏散隔离组派专人警戒。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事故现场隔离区域设置危险警告标志。例如，可用安全标志或警戒带将事故现场隔离。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疏散隔离组根据事故的势态和指挥部的指令确定警戒区域的范围，设置警戒标志。</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二</w:t>
      </w:r>
      <w:r>
        <w:rPr>
          <w:rFonts w:hint="eastAsia" w:ascii="宋体" w:hAnsi="宋体" w:eastAsia="宋体" w:cs="宋体"/>
          <w:b/>
          <w:color w:val="auto"/>
        </w:rPr>
        <w:t>）事故现场周边区域的道路隔离或交通疏导办法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疏散隔离组人员到达现场后，组织纠察，在事故现场周围设岗，疏导各交通要道，阻止无关、闲杂人员进入危险区域，并加强警戒和巡逻检查。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当事故应急进入社会响应程序，疏散隔离组派员协助交警部门对周边道路实行临时交通管制。</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（三）疏散隔离组负责实施人员紧急疏散、撤离：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（1）事故现场人员清点，撤离的方式、方法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预警应急须清点事故发生现场的工作人员并集合，撤离危险区，按照员工名册点名清点现场人员，组织人员从事故现场的安全通道迅速、有秩序地安全撤离，在集合地点招集人员。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（2）非事故现场人员紧急疏散的方式、方法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公司内工作人员听到事故警报后应立即集合，集合地点位于公司正门口前，根据事故现场情况，由疏散隔离组组长决定人员是否疏散和撤离。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安排外来车辆立即离开公司驶到安全地带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如危及公司外时，应迅速组织有关人员协助公司外公众、过往行人，向安全区地带疏散。</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（四）抢救人员在撤离前、撤离后的报告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事故处置救援组人员在撤离前，事故处置救援组将抢救人员的人数报告疏散隔离组组长。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事故扩大时或事故抢救完毕，抢救人员撤离后由现场指挥将抢救人员数量及受伤情况报告综合协调组组长</w:t>
      </w:r>
      <w:r>
        <w:rPr>
          <w:rFonts w:hint="eastAsia" w:ascii="宋体" w:hAnsi="宋体" w:eastAsia="宋体" w:cs="宋体"/>
          <w:color w:val="auto"/>
          <w:sz w:val="28"/>
          <w:szCs w:val="28"/>
          <w:lang w:val="en-US" w:eastAsia="zh-CN"/>
        </w:rPr>
        <w:t>。</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4.4 现场保护与现场洗消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疏散隔离组组长应安排人员对事故现场进行保护，在抢救伤员、防止事故扩大以及疏散人员等原因需要移动现场物件时，应做出标示、拍照或绘制事故现场图，并有效保护好现场重要痕迹、物证等。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事故处置救援组</w:t>
      </w:r>
      <w:r>
        <w:rPr>
          <w:rFonts w:hint="eastAsia" w:ascii="宋体" w:hAnsi="宋体" w:eastAsia="宋体" w:cs="宋体"/>
          <w:color w:val="auto"/>
          <w:sz w:val="28"/>
          <w:szCs w:val="28"/>
          <w:lang w:val="en-US" w:eastAsia="zh-CN"/>
        </w:rPr>
        <w:t>根据具体的事故情况，负责组织清理事故现场，对产生的污染物进行妥善处理。其中，属于危险废弃物的，应当交由专门的有资质的处置公司进行处置。对土壤产生污染的，应当联系有能力的第三方公司进行土壤污染处理。</w:t>
      </w:r>
    </w:p>
    <w:p>
      <w:pPr>
        <w:pStyle w:val="5"/>
        <w:spacing w:before="0" w:after="0" w:line="360" w:lineRule="auto"/>
        <w:jc w:val="both"/>
        <w:outlineLvl w:val="9"/>
        <w:rPr>
          <w:rFonts w:hint="eastAsia" w:ascii="宋体" w:hAnsi="宋体" w:eastAsia="宋体" w:cs="宋体"/>
          <w:b/>
          <w:bCs/>
          <w:color w:val="auto"/>
          <w:sz w:val="28"/>
          <w:szCs w:val="28"/>
          <w:lang w:val="en-US" w:eastAsia="zh-CN"/>
        </w:rPr>
        <w:sectPr>
          <w:type w:val="continuous"/>
          <w:pgSz w:w="11906" w:h="16838"/>
          <w:pgMar w:top="1417" w:right="1417" w:bottom="1417" w:left="1417" w:header="1134" w:footer="1134" w:gutter="0"/>
          <w:pgNumType w:fmt="decimal"/>
          <w:cols w:space="720" w:num="1"/>
          <w:rtlGutter w:val="0"/>
          <w:docGrid w:linePitch="312" w:charSpace="0"/>
        </w:sectPr>
      </w:pPr>
    </w:p>
    <w:bookmarkEnd w:id="307"/>
    <w:bookmarkEnd w:id="308"/>
    <w:bookmarkEnd w:id="309"/>
    <w:p>
      <w:pPr>
        <w:pStyle w:val="5"/>
        <w:spacing w:before="0" w:after="0" w:line="360" w:lineRule="auto"/>
        <w:jc w:val="both"/>
        <w:rPr>
          <w:rFonts w:hint="eastAsia" w:ascii="宋体" w:hAnsi="宋体" w:eastAsia="宋体" w:cs="宋体"/>
          <w:b/>
          <w:bCs/>
          <w:color w:val="auto"/>
          <w:sz w:val="28"/>
          <w:szCs w:val="28"/>
          <w:lang w:val="en-US" w:eastAsia="zh-CN"/>
        </w:rPr>
      </w:pPr>
      <w:bookmarkStart w:id="310" w:name="_Toc3307"/>
      <w:bookmarkStart w:id="311" w:name="_Toc2521"/>
      <w:bookmarkStart w:id="312" w:name="_Toc2073"/>
      <w:r>
        <w:rPr>
          <w:rFonts w:hint="eastAsia" w:ascii="宋体" w:hAnsi="宋体" w:eastAsia="宋体" w:cs="宋体"/>
          <w:b/>
          <w:bCs/>
          <w:color w:val="auto"/>
          <w:sz w:val="28"/>
          <w:szCs w:val="28"/>
          <w:lang w:val="en-US" w:eastAsia="zh-CN"/>
        </w:rPr>
        <w:t>5、</w:t>
      </w:r>
      <w:r>
        <w:rPr>
          <w:rFonts w:hint="eastAsia" w:ascii="宋体" w:hAnsi="宋体" w:eastAsia="宋体" w:cs="宋体"/>
          <w:b/>
          <w:bCs/>
          <w:color w:val="auto"/>
          <w:sz w:val="28"/>
          <w:szCs w:val="28"/>
          <w:lang w:val="zh-CN"/>
        </w:rPr>
        <w:t>应急保障</w:t>
      </w:r>
      <w:bookmarkEnd w:id="310"/>
      <w:bookmarkEnd w:id="311"/>
      <w:bookmarkEnd w:id="31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应急指挥部安排后勤保障组负责组织应急物资、装备的储备管理和应急处置时的调配。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按照平战结合的原则，后勤保障组确定应急物资、设备机具、防护用品的品种、规格和标准，报送需求计划，确保应急所需物资、装备及时供应、补充和更新。主要应急设备和物资储备见附件</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sectPr>
          <w:type w:val="continuous"/>
          <w:pgSz w:w="11906" w:h="16838"/>
          <w:pgMar w:top="1417" w:right="1417" w:bottom="1417" w:left="1417" w:header="1134" w:footer="1134" w:gutter="0"/>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outlineLvl w:val="9"/>
        <w:rPr>
          <w:rFonts w:hint="eastAsia" w:ascii="宋体" w:hAnsi="宋体" w:eastAsia="宋体" w:cs="宋体"/>
          <w:b/>
          <w:bCs/>
          <w:color w:val="auto"/>
          <w:kern w:val="44"/>
          <w:sz w:val="32"/>
          <w:szCs w:val="44"/>
          <w:lang w:val="en-US" w:eastAsia="zh-CN" w:bidi="ar-SA"/>
        </w:rPr>
        <w:sectPr>
          <w:type w:val="continuous"/>
          <w:pgSz w:w="11906" w:h="16838"/>
          <w:pgMar w:top="1588" w:right="1418" w:bottom="1418" w:left="1418" w:header="851" w:footer="992" w:gutter="567"/>
          <w:cols w:space="0" w:num="1"/>
          <w:docGrid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center"/>
        <w:textAlignment w:val="auto"/>
        <w:outlineLvl w:val="1"/>
        <w:rPr>
          <w:rFonts w:hint="eastAsia" w:ascii="宋体" w:hAnsi="宋体" w:eastAsia="宋体" w:cs="宋体"/>
          <w:color w:val="auto"/>
          <w:sz w:val="32"/>
          <w:szCs w:val="32"/>
          <w:lang w:val="en-US" w:eastAsia="zh-CN"/>
        </w:rPr>
      </w:pPr>
      <w:bookmarkStart w:id="313" w:name="_Toc6182"/>
      <w:bookmarkStart w:id="314" w:name="_Toc2009"/>
      <w:r>
        <w:rPr>
          <w:rFonts w:hint="eastAsia" w:ascii="宋体" w:hAnsi="宋体" w:eastAsia="宋体" w:cs="宋体"/>
          <w:color w:val="auto"/>
          <w:sz w:val="32"/>
          <w:szCs w:val="32"/>
          <w:lang w:val="en-US" w:eastAsia="zh-CN"/>
        </w:rPr>
        <w:t>四、有限空间作业专项应急预案</w:t>
      </w:r>
      <w:bookmarkEnd w:id="313"/>
      <w:bookmarkEnd w:id="314"/>
    </w:p>
    <w:p>
      <w:pPr>
        <w:pStyle w:val="5"/>
        <w:spacing w:before="0" w:after="0" w:line="360" w:lineRule="auto"/>
        <w:jc w:val="both"/>
        <w:rPr>
          <w:rFonts w:hint="eastAsia" w:ascii="宋体" w:hAnsi="宋体" w:eastAsia="宋体" w:cs="宋体"/>
          <w:b/>
          <w:bCs/>
          <w:color w:val="auto"/>
          <w:sz w:val="28"/>
          <w:szCs w:val="28"/>
          <w:lang w:val="zh-CN"/>
        </w:rPr>
      </w:pPr>
      <w:bookmarkStart w:id="315" w:name="_Toc14640"/>
      <w:bookmarkStart w:id="316" w:name="_Toc28316"/>
      <w:bookmarkStart w:id="317" w:name="_Toc11998"/>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lang w:val="zh-CN"/>
        </w:rPr>
        <w:t>适用范围</w:t>
      </w:r>
      <w:bookmarkEnd w:id="315"/>
      <w:bookmarkEnd w:id="316"/>
      <w:bookmarkEnd w:id="31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）适用范围：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本专项应急预案适用</w:t>
      </w:r>
      <w:r>
        <w:rPr>
          <w:rFonts w:hint="eastAsia" w:ascii="宋体" w:hAnsi="宋体" w:eastAsia="宋体" w:cs="宋体"/>
          <w:color w:val="auto"/>
          <w:sz w:val="28"/>
          <w:szCs w:val="28"/>
          <w:lang w:eastAsia="zh-CN"/>
        </w:rPr>
        <w:t>于埃夫科纳（南充）特种聚合物有限公司在储罐、管道、污水池、预处理池等有限空间内发生的有限空间作业事故的应急响应</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rPr>
        <w:t>本专项预案是公司综合应急预案的补充和完善，与综合预案</w:t>
      </w:r>
      <w:r>
        <w:rPr>
          <w:rFonts w:hint="eastAsia" w:ascii="宋体" w:hAnsi="宋体" w:eastAsia="宋体" w:cs="宋体"/>
          <w:color w:val="auto"/>
          <w:sz w:val="28"/>
          <w:szCs w:val="28"/>
          <w:lang w:eastAsia="zh-CN"/>
        </w:rPr>
        <w:t>联动响应。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）事故分布：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事故容易发生场所：甲类储罐区、生产车间检维修场所</w:t>
      </w:r>
      <w:r>
        <w:rPr>
          <w:rFonts w:hint="eastAsia" w:ascii="宋体" w:hAnsi="宋体" w:eastAsia="宋体" w:cs="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）严重程度及影响范围</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一旦发生中毒、窒息事故，公司配备的应急装备不能满足救援，可能会发生伤亡事故，如果其他人员贸然闯入施救，可能造成更多的人员伤亡。</w:t>
      </w:r>
    </w:p>
    <w:p>
      <w:pPr>
        <w:pStyle w:val="5"/>
        <w:spacing w:before="0" w:after="0" w:line="360" w:lineRule="auto"/>
        <w:jc w:val="both"/>
        <w:rPr>
          <w:rFonts w:hint="eastAsia" w:ascii="宋体" w:hAnsi="宋体" w:eastAsia="宋体" w:cs="宋体"/>
          <w:b/>
          <w:bCs/>
          <w:color w:val="auto"/>
          <w:sz w:val="28"/>
          <w:szCs w:val="28"/>
          <w:lang w:val="en-US" w:eastAsia="zh-CN"/>
        </w:rPr>
      </w:pPr>
      <w:bookmarkStart w:id="318" w:name="_Toc18823"/>
      <w:bookmarkStart w:id="319" w:name="_Toc3505"/>
      <w:bookmarkStart w:id="320" w:name="_Toc20975"/>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lang w:val="zh-CN"/>
        </w:rPr>
        <w:t>应急组织机构及职责</w:t>
      </w:r>
      <w:bookmarkEnd w:id="318"/>
      <w:bookmarkEnd w:id="319"/>
      <w:bookmarkEnd w:id="32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color w:val="auto"/>
          <w:sz w:val="28"/>
          <w:szCs w:val="28"/>
          <w:lang w:eastAsia="zh-CN"/>
        </w:rPr>
        <w:t>参见综合应急预案“2.2 公司应急组织机构”</w:t>
      </w:r>
      <w:r>
        <w:rPr>
          <w:rFonts w:hint="eastAsia" w:ascii="宋体" w:hAnsi="宋体" w:eastAsia="宋体" w:cs="宋体"/>
          <w:color w:val="auto"/>
          <w:sz w:val="28"/>
          <w:szCs w:val="28"/>
        </w:rPr>
        <w:t>。</w:t>
      </w:r>
    </w:p>
    <w:p>
      <w:pPr>
        <w:pStyle w:val="5"/>
        <w:spacing w:before="0" w:after="0" w:line="360" w:lineRule="auto"/>
        <w:jc w:val="both"/>
        <w:rPr>
          <w:rFonts w:hint="eastAsia" w:ascii="宋体" w:hAnsi="宋体" w:eastAsia="宋体" w:cs="宋体"/>
          <w:b/>
          <w:bCs/>
          <w:color w:val="auto"/>
          <w:sz w:val="28"/>
          <w:szCs w:val="28"/>
          <w:lang w:val="en-US" w:eastAsia="zh-CN"/>
        </w:rPr>
      </w:pPr>
      <w:bookmarkStart w:id="321" w:name="_Toc22271"/>
      <w:bookmarkStart w:id="322" w:name="_Toc2443"/>
      <w:bookmarkStart w:id="323" w:name="_Toc16275"/>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lang w:val="zh-CN"/>
        </w:rPr>
        <w:t>响应启动</w:t>
      </w:r>
      <w:bookmarkEnd w:id="321"/>
      <w:bookmarkEnd w:id="322"/>
      <w:bookmarkEnd w:id="323"/>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3.1指挥机构启动程序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1）事故发生后，第一发现人应立即向本厂现场负责人报告报告，并尽可能阻止事故的蔓延扩大。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2）现场负责人接到事故报告，立即将警情（包括发生事故的时间、地点、性质、类型、受伤人员情况、事故损失情况、需要的急救措施等）报告应急总指挥。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3）应急总指挥接警后，立即启动相关应急预案，通知各应急救援小组赶赴现场，实施救援。并在1小时内电话向当地县级以上人民政府及应急管理部门和负有应急管理职责的有关部门汇报。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）车间级响应——三级，事故所在车间可控制的事故，需成立现场应急小组，由事故车间负责人任组长，指挥、协调应急处置工作。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）公司级响应——二级，事故影响范围不会扩散至厂区外，需</w:t>
      </w:r>
      <w:r>
        <w:rPr>
          <w:rFonts w:hint="eastAsia" w:ascii="宋体" w:hAnsi="宋体" w:eastAsia="宋体" w:cs="宋体"/>
          <w:color w:val="auto"/>
          <w:sz w:val="28"/>
          <w:szCs w:val="28"/>
          <w:lang w:val="en-US" w:eastAsia="zh-CN"/>
        </w:rPr>
        <w:t>成立应急指挥部，总指挥由总经理担任</w:t>
      </w:r>
      <w:r>
        <w:rPr>
          <w:rFonts w:hint="eastAsia" w:ascii="宋体" w:hAnsi="宋体" w:eastAsia="宋体" w:cs="宋体"/>
          <w:color w:val="auto"/>
          <w:sz w:val="28"/>
          <w:szCs w:val="28"/>
          <w:lang w:eastAsia="zh-CN"/>
        </w:rPr>
        <w:t>，统一指挥、协调。需疏散事故区域及邻近区域的人员，可能需要通知周边企业、社区、社会救援力量、政府部门，可能需要外部援助。政府相关救援部门到达现场后，移交指挥权，并服从政府相关部门的调度。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社会级响应——一级，公司全部应急力量已不能控制事故。事故随时可能造成更大危害，甚至扩散到厂区以外，需疏散全体员工，需通知周边企业、社区、社会救援力量、政府部门，需要外部援助。政府相关救援部门到达现场后，移交指挥权，并服从政府相关部门的调度、安排和指挥。</w:t>
      </w:r>
    </w:p>
    <w:p>
      <w:pPr>
        <w:pStyle w:val="6"/>
        <w:spacing w:before="0" w:beforeLines="0" w:after="0" w:afterLines="0"/>
        <w:outlineLvl w:val="9"/>
        <w:rPr>
          <w:rFonts w:hint="eastAsia" w:ascii="宋体" w:hAnsi="宋体" w:eastAsia="宋体" w:cs="宋体"/>
          <w:color w:val="auto"/>
          <w:sz w:val="28"/>
          <w:szCs w:val="28"/>
          <w:lang w:val="en-US" w:eastAsia="zh-CN"/>
        </w:rPr>
        <w:sectPr>
          <w:pgSz w:w="11906" w:h="16838"/>
          <w:pgMar w:top="1417" w:right="1417" w:bottom="1417" w:left="1417" w:header="1134" w:footer="1134" w:gutter="0"/>
          <w:pgNumType w:fmt="decimal"/>
          <w:cols w:space="720" w:num="1"/>
          <w:rtlGutter w:val="0"/>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3.2资源调度程序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本厂一旦发生安全事故后，当班人员通知应急总指挥后，应立即利用厂内配备的安全救援设施，展开救援。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二级事故响应时，本厂员工及各应急救援小组在应急总指挥的指挥协调下应充分利用厂内的应急资源，进行抢险救灾。发生一级事故响应时，仅靠本厂的应急资源无法满足救援需求，应急总指挥在向上级政府主管部门报告事故情况时，应同时申请政府应急救援物资和力量，如当地消防大队、医院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3.3医疗救护程序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1）后勤保障组接到报警后，携带医疗急救物品，立即赶往现场。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事故中，如发现现场有人员受伤、中毒及烧伤时，应立即将伤员抢救至空气新鲜并安全的地带。对中毒窒息无意识者立即实施心肺复苏，烧伤者注意保护创面防止二次受伤，有外伤者立即包扎。伤势较轻的，利用运输工具将受伤人员送往附近医院救治；如伤势较为严重，医疗救护组及时拨打120，待医院急救中心人员赶到后应将伤员受伤情况等基本资料简要介绍给医院急救人员，以便做好进一步救助。因抢救伤员、防止事故扩大以及疏通交通等原因需要移动现场物件时，必须做出标志、拍照、详细记录和绘制事故现场图，并妥善保存现场重要痕迹、物证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3.4应急避险程序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发生事故后，为防止无关人员误入现场造成伤害，由</w:t>
      </w:r>
      <w:r>
        <w:rPr>
          <w:rFonts w:hint="eastAsia" w:ascii="宋体" w:hAnsi="宋体" w:eastAsia="宋体" w:cs="宋体"/>
          <w:color w:val="auto"/>
          <w:sz w:val="28"/>
          <w:szCs w:val="28"/>
          <w:lang w:val="en-US" w:eastAsia="zh-CN"/>
        </w:rPr>
        <w:t>疏散隔离组</w:t>
      </w:r>
      <w:r>
        <w:rPr>
          <w:rFonts w:hint="eastAsia" w:ascii="宋体" w:hAnsi="宋体" w:eastAsia="宋体" w:cs="宋体"/>
          <w:color w:val="auto"/>
          <w:sz w:val="28"/>
          <w:szCs w:val="28"/>
          <w:lang w:eastAsia="zh-CN"/>
        </w:rPr>
        <w:t>根据事故的大小划定警戒区，设立标识，在其位置设置一个警戒人员。警戒人员负责对警戒区内的人员进行疏导，带领至指定的安全地点，同时禁止无关人员和车辆进入警戒区。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本厂从业人员听到紧急疏散报警后，要立即紧急撤离事故区域。紧急撤离时应注意：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1）应向上风方向转移；明确专人引导和护送疏散人员到安全区，并在疏散或撤离的路线上设立哨位，指明方向。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2）不要在低洼处滞留。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3）要查清是否有人留在事故区。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4）为使疏散工作顺利进行，每条疏散道路应保持出入口畅通无阻，并设有明显疏散方向或路线标志。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所有人员到达指定安全地点后，由疏散隔离组或指定专人对人员进行清点，并将清点情况报告给应急指挥部，确保所有人员全部撤离危险地点。如发现有人失踪时，必须第一时间通知应急指挥部，说明失踪人员最后出现的地点及当时正在从事的工作等详细情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事故周边区域的单位和人员的疏散由政府协助进行，本厂事先做好准备，包括向政府提出疏散建议。本厂管理人员积极与地方政府主管部门合作，保护公众免受紧急事故危害。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如事故超出控制范围，各抢险人员应立即撤离事故现场，并到达安全区域。</w:t>
      </w:r>
    </w:p>
    <w:p>
      <w:pPr>
        <w:pStyle w:val="6"/>
        <w:spacing w:before="0" w:beforeLines="0" w:after="0" w:afterLines="0"/>
        <w:outlineLvl w:val="9"/>
        <w:rPr>
          <w:rFonts w:hint="eastAsia" w:ascii="宋体" w:hAnsi="宋体" w:eastAsia="宋体" w:cs="宋体"/>
          <w:color w:val="auto"/>
          <w:sz w:val="28"/>
          <w:szCs w:val="28"/>
          <w:lang w:val="en-US" w:eastAsia="zh-CN"/>
        </w:rPr>
        <w:sectPr>
          <w:type w:val="continuous"/>
          <w:pgSz w:w="11906" w:h="16838"/>
          <w:pgMar w:top="1417" w:right="1417" w:bottom="1417" w:left="1417" w:header="1134" w:footer="1134" w:gutter="0"/>
          <w:pgNumType w:fmt="decimal"/>
          <w:cols w:space="720" w:num="1"/>
          <w:rtlGutter w:val="0"/>
          <w:docGrid w:linePitch="312" w:charSpace="0"/>
        </w:sectPr>
      </w:pP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3.5应急人员的安全防护程序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抢险过程中，救援人员应佩戴必要的安全防护装备，对于无法控制的生产安全事故，应立即通知专业救护人员，拨打120、119、110依靠外部力量。同时向安全区撤离，并设立警戒线。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公司24小时应急电话：0817-3811217。</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3.6事态监测程序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生产安全事故发生后，应急总指挥应坚守工作岗位，及时了解事故动向，分析判断事故严重性，以便随时启动相应的应急预案，协调指挥救援。</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3.7扩大应急响应程序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事故发展较快，难以在短时间内得到控制，立即启动上一级应急响应程序，以便得到更好的援助，控制住事态的发展。如二级立即上升为一级应急响应。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各应急救援小组组长或其他负责人，负责救援的指挥与控制工作。应急救援最重要的是抢救人员，应立即停止作业，维护现场秩序，采取现场急救措施，等待医疗人员到达。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当事故有扩大趋势时，向应急指挥办公室报告，由上级决定是否启动应急预案，及时与政府、公安、消防、医院等相关部门取得联系，保障通讯联络畅通。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现场应急小组通过手机、电话等方式向政府职能部门报警，报警的主要内容：伤害发生的时间、地点、背景，造成的损失（包括人员伤亡情况、人员受伤情况等），已采取的处理措施，需要救助的内容等。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应急预案响应流程见下图。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drawing>
          <wp:inline distT="0" distB="0" distL="114300" distR="114300">
            <wp:extent cx="5457190" cy="7038340"/>
            <wp:effectExtent l="0" t="0" r="10160" b="1016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0"/>
                    <a:stretch>
                      <a:fillRect/>
                    </a:stretch>
                  </pic:blipFill>
                  <pic:spPr>
                    <a:xfrm>
                      <a:off x="0" y="0"/>
                      <a:ext cx="5457190" cy="7038340"/>
                    </a:xfrm>
                    <a:prstGeom prst="rect">
                      <a:avLst/>
                    </a:prstGeom>
                    <a:noFill/>
                    <a:ln>
                      <a:noFill/>
                    </a:ln>
                  </pic:spPr>
                </pic:pic>
              </a:graphicData>
            </a:graphic>
          </wp:inline>
        </w:drawing>
      </w:r>
    </w:p>
    <w:p>
      <w:pPr>
        <w:pStyle w:val="5"/>
        <w:spacing w:before="0" w:after="0" w:line="360" w:lineRule="auto"/>
        <w:jc w:val="both"/>
        <w:rPr>
          <w:rFonts w:hint="eastAsia" w:ascii="宋体" w:hAnsi="宋体" w:eastAsia="宋体" w:cs="宋体"/>
          <w:b/>
          <w:bCs/>
          <w:color w:val="auto"/>
          <w:sz w:val="28"/>
          <w:szCs w:val="28"/>
          <w:lang w:val="en-US" w:eastAsia="zh-CN"/>
        </w:rPr>
      </w:pPr>
      <w:bookmarkStart w:id="324" w:name="_Toc7571"/>
      <w:bookmarkStart w:id="325" w:name="_Toc25761"/>
      <w:bookmarkStart w:id="326" w:name="_Toc21653"/>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rPr>
        <w:t>处置措施</w:t>
      </w:r>
      <w:bookmarkEnd w:id="324"/>
      <w:bookmarkEnd w:id="325"/>
      <w:bookmarkEnd w:id="326"/>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4.1 </w:t>
      </w:r>
      <w:r>
        <w:rPr>
          <w:rFonts w:hint="eastAsia" w:ascii="宋体" w:hAnsi="宋体" w:eastAsia="宋体" w:cs="宋体"/>
          <w:color w:val="auto"/>
          <w:sz w:val="28"/>
          <w:szCs w:val="28"/>
        </w:rPr>
        <w:t>事故发生后应采取的处理措施</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（1）发生有限空间作业事故时，指挥者首先应收集下列信息：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①发生事故的具体位置；②人员伤亡等情况；③有限空间内部结构、存储物质性质；④事故现场其他危险源。</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（2）在安全的情况下应急处理：</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在操作时必须穿戴必要的个人防护品（如防毒面具、便携式气体浓度检测仪、空气呼吸器等）。</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（3）救援队伍到达现场后，会同现场应急小组摸清现场情况，迅速疏散闲杂人员，拉设警戒带，综合进行事态分析，最终采取合适的救援行动。</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①检测；</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②强制通风；</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④发生火灾的及时扑灭，有触电危险的要切断电源。</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4）果断决策，快速行动，抢救伤亡人员和控制危险源，防止灾情扩大。抢救伤亡人员时，必须坚持“依然活着”的原则，深入现场，采取一切可能的安全方法，在保证避免造成新的人员伤亡的情况下，积极进行救援行动，以最快的速度将中毒和受伤人员撤离现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（5）应急救援时的注意事项：</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①不明情况绝对不能冒险进入。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②必须对受限空间进行长时间的强制通风，稀释有毒有害、易燃易爆气体。</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③施救人员做好自我防护，系好安全绳、穿好防护服、戴上呼吸器，确保自身安全后方可施救。</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④施救人员应视自己能力大小进行，对超出自己施救能力的险情要及时毫不犹豫地向外求救。</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 医疗救护应急处置措施</w:t>
      </w:r>
    </w:p>
    <w:p>
      <w:pPr>
        <w:widowControl w:val="0"/>
        <w:adjustRightInd/>
        <w:snapToGrid/>
        <w:spacing w:line="360" w:lineRule="auto"/>
        <w:ind w:firstLine="560" w:firstLineChars="200"/>
        <w:rPr>
          <w:rFonts w:ascii="宋体" w:hAnsi="宋体" w:eastAsia="宋体" w:cs="Times New Roman"/>
          <w:color w:val="auto"/>
          <w:kern w:val="2"/>
          <w:sz w:val="28"/>
          <w:szCs w:val="28"/>
          <w:lang w:eastAsia="zh-CN"/>
        </w:rPr>
      </w:pPr>
      <w:r>
        <w:rPr>
          <w:rFonts w:hint="eastAsia" w:ascii="宋体" w:hAnsi="宋体" w:eastAsia="宋体" w:cs="Times New Roman"/>
          <w:color w:val="auto"/>
          <w:kern w:val="2"/>
          <w:sz w:val="28"/>
          <w:szCs w:val="28"/>
          <w:lang w:eastAsia="zh-CN"/>
        </w:rPr>
        <w:t>（1）</w:t>
      </w:r>
      <w:r>
        <w:rPr>
          <w:rFonts w:hint="eastAsia" w:ascii="宋体" w:hAnsi="宋体" w:eastAsia="宋体" w:cs="宋体"/>
          <w:color w:val="auto"/>
          <w:sz w:val="28"/>
          <w:szCs w:val="28"/>
          <w:lang w:val="en-US" w:eastAsia="zh-CN"/>
        </w:rPr>
        <w:t>搬运伤员，迅速将受伤者移至空气新鲜处，松解衣扣和腰带，清除口腔异物，维护呼吸道畅通，注意保暖</w:t>
      </w:r>
      <w:r>
        <w:rPr>
          <w:rFonts w:hint="eastAsia" w:ascii="宋体" w:hAnsi="宋体" w:eastAsia="宋体" w:cs="Times New Roman"/>
          <w:color w:val="auto"/>
          <w:kern w:val="2"/>
          <w:sz w:val="28"/>
          <w:szCs w:val="28"/>
          <w:lang w:eastAsia="zh-CN"/>
        </w:rPr>
        <w:t>。</w:t>
      </w:r>
    </w:p>
    <w:p>
      <w:pPr>
        <w:widowControl w:val="0"/>
        <w:adjustRightInd/>
        <w:snapToGrid/>
        <w:spacing w:line="360" w:lineRule="auto"/>
        <w:ind w:firstLine="560" w:firstLineChars="200"/>
        <w:rPr>
          <w:rFonts w:ascii="宋体" w:hAnsi="宋体" w:eastAsia="宋体" w:cs="Times New Roman"/>
          <w:color w:val="auto"/>
          <w:kern w:val="2"/>
          <w:sz w:val="28"/>
          <w:szCs w:val="28"/>
          <w:lang w:eastAsia="zh-CN"/>
        </w:rPr>
      </w:pPr>
      <w:r>
        <w:rPr>
          <w:rFonts w:hint="eastAsia" w:ascii="宋体" w:hAnsi="宋体" w:eastAsia="宋体" w:cs="Times New Roman"/>
          <w:color w:val="auto"/>
          <w:kern w:val="2"/>
          <w:sz w:val="28"/>
          <w:szCs w:val="28"/>
          <w:lang w:eastAsia="zh-CN"/>
        </w:rPr>
        <w:t>（</w:t>
      </w:r>
      <w:r>
        <w:rPr>
          <w:rFonts w:hint="eastAsia" w:ascii="宋体" w:hAnsi="宋体" w:cs="Times New Roman"/>
          <w:color w:val="auto"/>
          <w:kern w:val="2"/>
          <w:sz w:val="28"/>
          <w:szCs w:val="28"/>
          <w:lang w:val="en-US" w:eastAsia="zh-CN"/>
        </w:rPr>
        <w:t>2</w:t>
      </w:r>
      <w:r>
        <w:rPr>
          <w:rFonts w:hint="eastAsia" w:ascii="宋体" w:hAnsi="宋体" w:eastAsia="宋体" w:cs="Times New Roman"/>
          <w:color w:val="auto"/>
          <w:kern w:val="2"/>
          <w:sz w:val="28"/>
          <w:szCs w:val="28"/>
          <w:lang w:eastAsia="zh-CN"/>
        </w:rPr>
        <w:t>）创伤人员：对于危重创伤，首要抢救生命；创口出血，用绷带或止血带压迫包扎止血；如果动脉出血，必须把血管压住（压迫止血点），即压住比伤口距离心脏更近部位的动脉（止血点），并送医院注射破伤风预防针，作进一步医疗处理。</w:t>
      </w:r>
    </w:p>
    <w:p>
      <w:pPr>
        <w:widowControl w:val="0"/>
        <w:adjustRightInd/>
        <w:snapToGrid/>
        <w:spacing w:line="360" w:lineRule="auto"/>
        <w:ind w:firstLine="560" w:firstLineChars="200"/>
        <w:rPr>
          <w:rFonts w:ascii="宋体" w:hAnsi="宋体" w:eastAsia="宋体" w:cs="Times New Roman"/>
          <w:color w:val="auto"/>
          <w:kern w:val="2"/>
          <w:sz w:val="28"/>
          <w:szCs w:val="28"/>
          <w:lang w:eastAsia="zh-CN"/>
        </w:rPr>
      </w:pPr>
      <w:r>
        <w:rPr>
          <w:rFonts w:hint="eastAsia" w:ascii="宋体" w:hAnsi="宋体" w:eastAsia="宋体" w:cs="Times New Roman"/>
          <w:color w:val="auto"/>
          <w:kern w:val="2"/>
          <w:sz w:val="28"/>
          <w:szCs w:val="28"/>
          <w:lang w:eastAsia="zh-CN"/>
        </w:rPr>
        <w:t>（4）骨折者首先抢救生命，然后用妥善的方法将肢体固定，若备有特制的夹板最为妥善，否则就地取材，如树枝，木棍等作为夹板之用，也可将受伤的上肢绑在胸部，将受伤的下肢连同健肢一并绑起来。伤者经妥善固定后迅速运往医院。</w:t>
      </w:r>
    </w:p>
    <w:p>
      <w:pPr>
        <w:widowControl w:val="0"/>
        <w:adjustRightInd/>
        <w:snapToGrid/>
        <w:spacing w:line="360" w:lineRule="auto"/>
        <w:ind w:firstLine="560" w:firstLineChars="200"/>
        <w:rPr>
          <w:rFonts w:ascii="宋体" w:hAnsi="宋体" w:eastAsia="宋体" w:cs="Times New Roman"/>
          <w:color w:val="auto"/>
          <w:kern w:val="2"/>
          <w:sz w:val="28"/>
          <w:szCs w:val="28"/>
          <w:lang w:eastAsia="zh-CN"/>
        </w:rPr>
      </w:pPr>
      <w:r>
        <w:rPr>
          <w:rFonts w:hint="eastAsia" w:ascii="宋体" w:hAnsi="宋体" w:eastAsia="宋体" w:cs="Times New Roman"/>
          <w:color w:val="auto"/>
          <w:kern w:val="2"/>
          <w:sz w:val="28"/>
          <w:szCs w:val="28"/>
          <w:lang w:eastAsia="zh-CN"/>
        </w:rPr>
        <w:t>（5）呼吸心跳停止须现场进行人工呼吸、心脏挤压术。</w:t>
      </w:r>
    </w:p>
    <w:p>
      <w:pPr>
        <w:widowControl w:val="0"/>
        <w:adjustRightInd/>
        <w:snapToGrid/>
        <w:spacing w:line="360" w:lineRule="auto"/>
        <w:ind w:firstLine="560" w:firstLineChars="200"/>
        <w:rPr>
          <w:rFonts w:ascii="宋体" w:hAnsi="宋体" w:eastAsia="宋体" w:cs="Times New Roman"/>
          <w:color w:val="auto"/>
          <w:kern w:val="2"/>
          <w:sz w:val="28"/>
          <w:szCs w:val="28"/>
          <w:lang w:eastAsia="zh-CN"/>
        </w:rPr>
      </w:pPr>
      <w:r>
        <w:rPr>
          <w:rFonts w:hint="eastAsia" w:ascii="宋体" w:hAnsi="宋体" w:eastAsia="宋体" w:cs="Times New Roman"/>
          <w:color w:val="auto"/>
          <w:kern w:val="2"/>
          <w:sz w:val="28"/>
          <w:szCs w:val="28"/>
          <w:lang w:eastAsia="zh-CN"/>
        </w:rPr>
        <w:t>待救护车到场或动用最快的交通工具，及时护送伤员到医院。运送途中应尽量减少颠簸，同时密切注意伤者的呼吸、脉搏、血压及伤口情况。</w:t>
      </w:r>
    </w:p>
    <w:p>
      <w:pPr>
        <w:widowControl w:val="0"/>
        <w:spacing w:line="360" w:lineRule="auto"/>
        <w:ind w:firstLine="560" w:firstLineChars="200"/>
        <w:rPr>
          <w:rFonts w:ascii="宋体" w:hAnsi="宋体" w:eastAsia="宋体" w:cs="Times New Roman"/>
          <w:color w:val="auto"/>
          <w:kern w:val="24"/>
          <w:sz w:val="28"/>
          <w:szCs w:val="28"/>
          <w:lang w:val="en-US" w:eastAsia="zh-CN" w:bidi="ar-SA"/>
        </w:rPr>
      </w:pPr>
      <w:r>
        <w:rPr>
          <w:rFonts w:hint="eastAsia" w:ascii="宋体" w:hAnsi="宋体" w:eastAsia="宋体" w:cs="Times New Roman"/>
          <w:color w:val="auto"/>
          <w:kern w:val="24"/>
          <w:sz w:val="28"/>
          <w:szCs w:val="28"/>
          <w:lang w:val="en-US" w:eastAsia="zh-CN" w:bidi="ar-SA"/>
        </w:rPr>
        <w:t>（6）中毒伤者如发现呼吸困难、心跳停止，立即进行现场人工呼吸和胸外挤压复苏术。人工呼吸时，首先将伤者脱离毒区，清除伤者口腔异物，伤者平躺垫高颈部捏紧鼻孔，对伤者口中进行口对口吹气，时间约2秒钟；然后松开伤者的口、鼻，让其自行呼气，时间约3秒钟；频率每分钟16次。实施胸外挤压复苏术时，伤者平躺救护者双手交叉重叠对准伤者的左胸突部位进行上下按压，压陷深度约2—3厘米，频率80次/分，使用该方法时根据伤者身体情况注意力度，不要用力过猛造成伤者的其他伤害；在伤者没有恢复正常呼吸和心跳，救护者实施人工呼吸抢救要坚持不能间断和停止抢救（包括运送医院途中）。</w:t>
      </w:r>
    </w:p>
    <w:p>
      <w:pPr>
        <w:widowControl w:val="0"/>
        <w:spacing w:line="360" w:lineRule="auto"/>
        <w:ind w:firstLine="560" w:firstLineChars="200"/>
        <w:rPr>
          <w:rFonts w:ascii="宋体" w:hAnsi="宋体" w:eastAsia="宋体" w:cs="Times New Roman"/>
          <w:color w:val="auto"/>
          <w:kern w:val="24"/>
          <w:sz w:val="28"/>
          <w:szCs w:val="28"/>
          <w:lang w:val="en-US" w:eastAsia="zh-CN" w:bidi="ar-SA"/>
        </w:rPr>
      </w:pPr>
      <w:r>
        <w:rPr>
          <w:rFonts w:hint="eastAsia" w:ascii="宋体" w:hAnsi="宋体" w:cs="Times New Roman"/>
          <w:color w:val="auto"/>
          <w:kern w:val="24"/>
          <w:sz w:val="28"/>
          <w:szCs w:val="28"/>
          <w:lang w:val="en-US" w:eastAsia="zh-CN" w:bidi="ar-SA"/>
        </w:rPr>
        <w:t>（7）</w:t>
      </w:r>
      <w:r>
        <w:rPr>
          <w:rFonts w:hint="eastAsia" w:ascii="宋体" w:hAnsi="宋体" w:eastAsia="宋体" w:cs="Times New Roman"/>
          <w:color w:val="auto"/>
          <w:kern w:val="24"/>
          <w:sz w:val="28"/>
          <w:szCs w:val="28"/>
          <w:lang w:val="en-US" w:eastAsia="zh-CN" w:bidi="ar-SA"/>
        </w:rPr>
        <w:t>对不能自主呼吸、神智清楚的伤者，可采用空气呼吸器（正压式空气呼吸器）强制输入的办法，协助其将呼吸调整到正常状态。 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cs="Times New Roman"/>
          <w:color w:val="auto"/>
          <w:kern w:val="24"/>
          <w:sz w:val="28"/>
          <w:szCs w:val="28"/>
          <w:lang w:val="en-US" w:eastAsia="zh-CN" w:bidi="ar-SA"/>
        </w:rPr>
        <w:t>（8）</w:t>
      </w:r>
      <w:r>
        <w:rPr>
          <w:rFonts w:hint="eastAsia" w:ascii="宋体" w:hAnsi="宋体" w:eastAsia="宋体" w:cs="Times New Roman"/>
          <w:color w:val="auto"/>
          <w:kern w:val="24"/>
          <w:sz w:val="28"/>
          <w:szCs w:val="28"/>
          <w:lang w:val="en-US" w:eastAsia="zh-CN" w:bidi="ar-SA"/>
        </w:rPr>
        <w:t>通知医院派救护车把伤员快速送往附近医院抢救。在急救时如遇到危及生命的严重现象要立即进行心肺复苏</w:t>
      </w:r>
      <w:r>
        <w:rPr>
          <w:rFonts w:hint="eastAsia" w:ascii="宋体" w:hAnsi="宋体" w:eastAsia="宋体" w:cs="宋体"/>
          <w:color w:val="auto"/>
          <w:kern w:val="2"/>
          <w:sz w:val="28"/>
          <w:szCs w:val="24"/>
          <w:lang w:val="en-US" w:eastAsia="zh-CN" w:bidi="ar-SA"/>
        </w:rPr>
        <w:t>。</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4.3 警戒、疏散应急处置措施</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一</w:t>
      </w:r>
      <w:r>
        <w:rPr>
          <w:rFonts w:hint="eastAsia" w:ascii="宋体" w:hAnsi="宋体" w:eastAsia="宋体" w:cs="宋体"/>
          <w:b/>
          <w:color w:val="auto"/>
        </w:rPr>
        <w:t>）事故现场隔离方法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事故现场隔离区域由疏散隔离组派专人警戒。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事故现场隔离区域设置危险警告标志。例如，可用安全标志或警戒带将事故现场隔离。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疏散隔离组根据事故的势态和指挥部的指令确定警戒区域的范围，设置警戒标志。</w:t>
      </w:r>
    </w:p>
    <w:p>
      <w:pPr>
        <w:pStyle w:val="17"/>
        <w:rPr>
          <w:rFonts w:hint="eastAsia" w:ascii="宋体" w:hAnsi="宋体" w:eastAsia="宋体" w:cs="宋体"/>
          <w:b/>
          <w:color w:val="auto"/>
        </w:rPr>
      </w:pPr>
      <w:r>
        <w:rPr>
          <w:rFonts w:hint="eastAsia" w:ascii="宋体" w:hAnsi="宋体" w:eastAsia="宋体" w:cs="宋体"/>
          <w:b/>
          <w:color w:val="auto"/>
        </w:rPr>
        <w:t>（</w:t>
      </w:r>
      <w:r>
        <w:rPr>
          <w:rFonts w:hint="eastAsia" w:ascii="宋体" w:hAnsi="宋体" w:eastAsia="宋体" w:cs="宋体"/>
          <w:b/>
          <w:color w:val="auto"/>
          <w:lang w:eastAsia="zh-CN"/>
        </w:rPr>
        <w:t>二</w:t>
      </w:r>
      <w:r>
        <w:rPr>
          <w:rFonts w:hint="eastAsia" w:ascii="宋体" w:hAnsi="宋体" w:eastAsia="宋体" w:cs="宋体"/>
          <w:b/>
          <w:color w:val="auto"/>
        </w:rPr>
        <w:t>）事故现场周边区域的道路隔离或交通疏导办法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疏散隔离组人员到达现场后，组织纠察，在事故现场周围设岗，疏导各交通要道，阻止无关、闲杂人员进入危险区域，并加强警戒和巡逻检查。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当事故应急进入社会响应程序，疏散隔离组派员协助交警部门对周边道路实行临时交通管制。</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（三）疏散隔离组负责实施人员紧急疏散、撤离：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（1）事故现场人员清点，撤离的方式、方法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预警应急须清点事故发生现场的工作人员并集合，撤离危险区，按照员工名册点名清点现场人员，组织人员从事故现场的安全通道迅速、有秩序地安全撤离，在集合地点招集人员。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（2）非事故现场人员紧急疏散的方式、方法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公司内工作人员听到事故警报后应立即集合，集合地点位于公司正门口前，根据事故现场情况，由疏散隔离组组长决定人员是否疏散和撤离。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安排外来车辆立即离开公司驶到安全地带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如危及公司外时，应迅速组织有关人员协助公司外公众、过往行人，向安全区地带疏散。</w:t>
      </w:r>
    </w:p>
    <w:p>
      <w:pPr>
        <w:pStyle w:val="17"/>
        <w:rPr>
          <w:rFonts w:hint="eastAsia" w:ascii="宋体" w:hAnsi="宋体" w:eastAsia="宋体" w:cs="宋体"/>
          <w:b/>
          <w:color w:val="auto"/>
          <w:lang w:val="en-US" w:eastAsia="zh-CN"/>
        </w:rPr>
      </w:pPr>
      <w:r>
        <w:rPr>
          <w:rFonts w:hint="eastAsia" w:ascii="宋体" w:hAnsi="宋体" w:eastAsia="宋体" w:cs="宋体"/>
          <w:b/>
          <w:color w:val="auto"/>
          <w:lang w:val="en-US" w:eastAsia="zh-CN"/>
        </w:rPr>
        <w:t>（四）抢救人员在撤离前、撤离后的报告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事故处置救援组人员在撤离前，事故处置救援组将抢救人员的人数报告疏散隔离组组长。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事故扩大时或事故抢救完毕，抢救人员撤离后由现场指挥将抢救人员数量及受伤情况报告综合协调组组长</w:t>
      </w:r>
      <w:r>
        <w:rPr>
          <w:rFonts w:hint="eastAsia" w:ascii="宋体" w:hAnsi="宋体" w:eastAsia="宋体" w:cs="宋体"/>
          <w:color w:val="auto"/>
          <w:sz w:val="28"/>
          <w:szCs w:val="28"/>
          <w:lang w:val="en-US" w:eastAsia="zh-CN"/>
        </w:rPr>
        <w:t>。</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4.4 现场保护与现场洗消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疏散隔离组组长应安排人员对事故现场进行保护，在抢救伤员、防止事故扩大以及疏散人员等原因需要移动现场物件时，应做出标示、拍照或绘制事故现场图，并有效保护好现场重要痕迹、物证等。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事故处置救援组</w:t>
      </w:r>
      <w:r>
        <w:rPr>
          <w:rFonts w:hint="eastAsia" w:ascii="宋体" w:hAnsi="宋体" w:eastAsia="宋体" w:cs="宋体"/>
          <w:color w:val="auto"/>
          <w:sz w:val="28"/>
          <w:szCs w:val="28"/>
          <w:lang w:val="en-US" w:eastAsia="zh-CN"/>
        </w:rPr>
        <w:t>根据具体的事故情况，负责组织清理事故现场，对产生的污染物进行妥善处理。其中，属于危险废弃物的，应当交由专门的有资质的处置公司进行处置。对土壤产生污染的，应当联系有能力的第三方公司进行土壤污染处理。</w:t>
      </w:r>
    </w:p>
    <w:p>
      <w:pPr>
        <w:pStyle w:val="5"/>
        <w:spacing w:before="0" w:after="0" w:line="360" w:lineRule="auto"/>
        <w:jc w:val="both"/>
        <w:outlineLvl w:val="9"/>
        <w:rPr>
          <w:rFonts w:hint="eastAsia" w:ascii="宋体" w:hAnsi="宋体" w:eastAsia="宋体" w:cs="宋体"/>
          <w:b/>
          <w:bCs/>
          <w:color w:val="auto"/>
          <w:sz w:val="28"/>
          <w:szCs w:val="28"/>
          <w:lang w:val="en-US" w:eastAsia="zh-CN"/>
        </w:rPr>
        <w:sectPr>
          <w:type w:val="continuous"/>
          <w:pgSz w:w="11906" w:h="16838"/>
          <w:pgMar w:top="1417" w:right="1417" w:bottom="1417" w:left="1417" w:header="1134" w:footer="1134" w:gutter="0"/>
          <w:pgNumType w:fmt="decimal"/>
          <w:cols w:space="720" w:num="1"/>
          <w:rtlGutter w:val="0"/>
          <w:docGrid w:linePitch="312" w:charSpace="0"/>
        </w:sectPr>
      </w:pPr>
    </w:p>
    <w:p>
      <w:pPr>
        <w:pStyle w:val="5"/>
        <w:spacing w:before="0" w:after="0" w:line="360" w:lineRule="auto"/>
        <w:jc w:val="both"/>
        <w:rPr>
          <w:rFonts w:hint="eastAsia" w:ascii="宋体" w:hAnsi="宋体" w:eastAsia="宋体" w:cs="宋体"/>
          <w:b/>
          <w:bCs/>
          <w:color w:val="auto"/>
          <w:sz w:val="28"/>
          <w:szCs w:val="28"/>
          <w:lang w:val="en-US" w:eastAsia="zh-CN"/>
        </w:rPr>
      </w:pPr>
      <w:bookmarkStart w:id="327" w:name="_Toc6570"/>
      <w:bookmarkStart w:id="328" w:name="_Toc15759"/>
      <w:bookmarkStart w:id="329" w:name="_Toc5234"/>
      <w:r>
        <w:rPr>
          <w:rFonts w:hint="eastAsia" w:ascii="宋体" w:hAnsi="宋体" w:eastAsia="宋体" w:cs="宋体"/>
          <w:b/>
          <w:bCs/>
          <w:color w:val="auto"/>
          <w:sz w:val="28"/>
          <w:szCs w:val="28"/>
          <w:lang w:val="en-US" w:eastAsia="zh-CN"/>
        </w:rPr>
        <w:t>5、</w:t>
      </w:r>
      <w:r>
        <w:rPr>
          <w:rFonts w:hint="eastAsia" w:ascii="宋体" w:hAnsi="宋体" w:eastAsia="宋体" w:cs="宋体"/>
          <w:b/>
          <w:bCs/>
          <w:color w:val="auto"/>
          <w:sz w:val="28"/>
          <w:szCs w:val="28"/>
          <w:lang w:val="zh-CN"/>
        </w:rPr>
        <w:t>应急保障</w:t>
      </w:r>
      <w:bookmarkEnd w:id="327"/>
      <w:bookmarkEnd w:id="328"/>
      <w:bookmarkEnd w:id="329"/>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应急指挥部安排后勤保障组负责组织应急物资、装备的储备管理和应急处置时的调配。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按照平战结合的原则，后勤保障组确定应急物资、设备机具、防护用品的品种、规格和标准，报送需求计划，确保应急所需物资、装备及时供应、补充和更新。主要应急设备和物资储备见附件</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sectPr>
          <w:type w:val="continuous"/>
          <w:pgSz w:w="11906" w:h="16838"/>
          <w:pgMar w:top="1417" w:right="1417" w:bottom="1417" w:left="1417" w:header="1134" w:footer="1134" w:gutter="0"/>
          <w:pgNumType w:fmt="decimal"/>
          <w:cols w:space="720" w:num="1"/>
          <w:rtlGutter w:val="0"/>
          <w:docGrid w:linePitch="312" w:charSpace="0"/>
        </w:sectPr>
      </w:pPr>
    </w:p>
    <w:p>
      <w:pPr>
        <w:pStyle w:val="4"/>
        <w:keepNext/>
        <w:keepLines/>
        <w:pageBreakBefore w:val="0"/>
        <w:widowControl w:val="0"/>
        <w:kinsoku/>
        <w:wordWrap/>
        <w:overflowPunct/>
        <w:topLinePunct w:val="0"/>
        <w:autoSpaceDE/>
        <w:autoSpaceDN/>
        <w:bidi w:val="0"/>
        <w:adjustRightInd/>
        <w:snapToGrid/>
        <w:spacing w:before="625" w:beforeLines="200" w:after="625" w:afterLines="200" w:line="240" w:lineRule="auto"/>
        <w:jc w:val="center"/>
        <w:textAlignment w:val="auto"/>
        <w:rPr>
          <w:rFonts w:hint="eastAsia" w:ascii="宋体" w:hAnsi="宋体" w:eastAsia="宋体" w:cs="宋体"/>
          <w:color w:val="auto"/>
          <w:sz w:val="36"/>
          <w:szCs w:val="36"/>
        </w:rPr>
      </w:pPr>
      <w:bookmarkStart w:id="330" w:name="_Toc12514"/>
      <w:bookmarkStart w:id="331" w:name="_Toc19997"/>
      <w:r>
        <w:rPr>
          <w:rFonts w:hint="eastAsia" w:ascii="宋体" w:hAnsi="宋体" w:eastAsia="宋体" w:cs="宋体"/>
          <w:color w:val="auto"/>
          <w:sz w:val="36"/>
          <w:szCs w:val="36"/>
        </w:rPr>
        <w:t>第</w:t>
      </w:r>
      <w:r>
        <w:rPr>
          <w:rFonts w:hint="eastAsia" w:ascii="宋体" w:hAnsi="宋体" w:eastAsia="宋体" w:cs="宋体"/>
          <w:color w:val="auto"/>
          <w:sz w:val="36"/>
          <w:szCs w:val="36"/>
          <w:lang w:eastAsia="zh-CN"/>
        </w:rPr>
        <w:t>四</w:t>
      </w:r>
      <w:r>
        <w:rPr>
          <w:rFonts w:hint="eastAsia" w:ascii="宋体" w:hAnsi="宋体" w:eastAsia="宋体" w:cs="宋体"/>
          <w:color w:val="auto"/>
          <w:sz w:val="36"/>
          <w:szCs w:val="36"/>
        </w:rPr>
        <w:t>部分</w:t>
      </w:r>
      <w:r>
        <w:rPr>
          <w:rFonts w:hint="eastAsia" w:ascii="宋体" w:hAnsi="宋体" w:eastAsia="宋体" w:cs="宋体"/>
          <w:color w:val="auto"/>
          <w:sz w:val="36"/>
          <w:szCs w:val="36"/>
          <w:lang w:val="en-US" w:eastAsia="zh-CN"/>
        </w:rPr>
        <w:t xml:space="preserve"> </w:t>
      </w:r>
      <w:r>
        <w:rPr>
          <w:rFonts w:hint="eastAsia" w:ascii="宋体" w:hAnsi="宋体" w:eastAsia="宋体" w:cs="宋体"/>
          <w:color w:val="auto"/>
          <w:sz w:val="36"/>
          <w:szCs w:val="36"/>
        </w:rPr>
        <w:t>事故现场处置方案</w:t>
      </w:r>
      <w:bookmarkEnd w:id="236"/>
      <w:bookmarkEnd w:id="330"/>
      <w:bookmarkEnd w:id="331"/>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center"/>
        <w:textAlignment w:val="auto"/>
        <w:outlineLvl w:val="1"/>
        <w:rPr>
          <w:rFonts w:hint="eastAsia" w:ascii="宋体" w:hAnsi="宋体" w:eastAsia="宋体" w:cs="宋体"/>
          <w:color w:val="auto"/>
          <w:sz w:val="32"/>
          <w:szCs w:val="32"/>
          <w:lang w:val="en-US" w:eastAsia="zh-CN"/>
        </w:rPr>
      </w:pPr>
      <w:bookmarkStart w:id="332" w:name="_Toc4552"/>
      <w:bookmarkStart w:id="333" w:name="_Toc4999"/>
      <w:r>
        <w:rPr>
          <w:rFonts w:hint="eastAsia" w:ascii="宋体" w:hAnsi="宋体" w:eastAsia="宋体" w:cs="宋体"/>
          <w:color w:val="auto"/>
          <w:sz w:val="32"/>
          <w:szCs w:val="32"/>
          <w:lang w:val="en-US" w:eastAsia="zh-CN"/>
        </w:rPr>
        <w:t>一、火灾事故现场处置方案</w:t>
      </w:r>
      <w:bookmarkEnd w:id="237"/>
      <w:bookmarkEnd w:id="238"/>
      <w:bookmarkEnd w:id="332"/>
      <w:bookmarkEnd w:id="333"/>
    </w:p>
    <w:p>
      <w:pPr>
        <w:pStyle w:val="5"/>
        <w:spacing w:before="0" w:after="0" w:line="360" w:lineRule="auto"/>
        <w:jc w:val="both"/>
        <w:rPr>
          <w:rFonts w:hint="eastAsia" w:ascii="宋体" w:hAnsi="宋体" w:eastAsia="宋体" w:cs="宋体"/>
          <w:b/>
          <w:bCs/>
          <w:color w:val="auto"/>
          <w:sz w:val="28"/>
          <w:szCs w:val="28"/>
          <w:lang w:val="zh-CN"/>
        </w:rPr>
      </w:pPr>
      <w:bookmarkStart w:id="334" w:name="_Toc301471352"/>
      <w:bookmarkStart w:id="335" w:name="_Toc282508889"/>
      <w:bookmarkStart w:id="336" w:name="_Toc298254312"/>
      <w:bookmarkStart w:id="337" w:name="_Toc31412"/>
      <w:bookmarkStart w:id="338" w:name="_Toc24679"/>
      <w:bookmarkStart w:id="339" w:name="_Toc7206"/>
      <w:bookmarkStart w:id="340" w:name="_Toc4474"/>
      <w:r>
        <w:rPr>
          <w:rFonts w:hint="eastAsia" w:ascii="宋体" w:hAnsi="宋体" w:eastAsia="宋体" w:cs="宋体"/>
          <w:b/>
          <w:bCs/>
          <w:color w:val="auto"/>
          <w:sz w:val="28"/>
          <w:szCs w:val="28"/>
          <w:lang w:val="zh-CN"/>
        </w:rPr>
        <w:t>1、事故</w:t>
      </w:r>
      <w:bookmarkEnd w:id="334"/>
      <w:bookmarkEnd w:id="335"/>
      <w:bookmarkEnd w:id="336"/>
      <w:bookmarkEnd w:id="337"/>
      <w:r>
        <w:rPr>
          <w:rFonts w:hint="eastAsia" w:ascii="宋体" w:hAnsi="宋体" w:eastAsia="宋体" w:cs="宋体"/>
          <w:b/>
          <w:bCs/>
          <w:color w:val="auto"/>
          <w:sz w:val="28"/>
          <w:szCs w:val="28"/>
          <w:lang w:val="zh-CN"/>
        </w:rPr>
        <w:t>风险描述</w:t>
      </w:r>
      <w:bookmarkEnd w:id="338"/>
      <w:bookmarkEnd w:id="339"/>
      <w:bookmarkEnd w:id="34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bookmarkStart w:id="341" w:name="_Toc297111596"/>
      <w:bookmarkStart w:id="342" w:name="_Toc298254313"/>
      <w:bookmarkStart w:id="343" w:name="_Toc282508890"/>
      <w:bookmarkStart w:id="344" w:name="_Toc301471353"/>
      <w:r>
        <w:rPr>
          <w:rFonts w:hint="eastAsia" w:ascii="宋体" w:hAnsi="宋体" w:eastAsia="宋体" w:cs="宋体"/>
          <w:b/>
          <w:bCs/>
          <w:color w:val="auto"/>
          <w:sz w:val="28"/>
          <w:szCs w:val="28"/>
        </w:rPr>
        <w:t>1.1 危险性分析</w:t>
      </w:r>
      <w:bookmarkEnd w:id="341"/>
      <w:bookmarkEnd w:id="342"/>
      <w:bookmarkEnd w:id="343"/>
      <w:bookmarkEnd w:id="34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本公司涉及多种甲乙类易燃物质，液体内易燃物质，如丙烯酸、甲基丙烯酸、丁醇、仲丁醇、对二甲苯、醋酸丁酯等，其蒸气与空气可形成爆炸性混合物，在具备点火源或受热的条件下，燃烧就可能发生。形成点火源的因素主要有：明火和散发火花；高热物及高温表面：冲击、摩擦； 电气火花；静电火花；雷电火花、高热等。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2）在工艺过程中，若聚合工序中物料滴加速度过快，聚合反应失控， 轻则影响产品质量，重则反应釜中气体剧增，釜内压力过大，遇泄压系统失效，将造成超压爆炸等事故。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本公司各工序皆需在密闭条件下进行，如反应釜的搅拌器与反应釜之间的密封性能不好，母液压滤过程中选用的压滤机密封性不好等，设备内易燃易爆物料如癸烷、己烷挥发至空气中，与空气混合中爆炸性气体， 将易造成火灾爆炸事故。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4）本工序涉及压力设备、容器或管道可能因安全阀失灵、材质不合格、超压运行等原因造成设备或管道爆炸事故发生。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5）设置的各种储罐、中间储罐若未设置液位计，生产过程中可能因操作不当、作业人员疏忽大意，造成回流物料漫溢，引发火灾爆炸、中毒等事故发生。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6）生产装置区内吸烟、违规动火，金属工具、鞋钉等金属物与地面、工艺设备、管道等发生摩擦或撞击而产生的火花，作业人员带入静电，物料流动产生的静电，或存在其他形式的明火、点火源等，遇生产过程泄漏的易燃易爆气体容易发生火灾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7）生产区域属防爆区域，若选用的电器设备、仪表其防爆等级、类型不能满足该区域的防爆要求，在生产过程中可能因绝缘损坏、接触不良等产生电气火花，遇泄漏的易燃易爆气体有发生火灾爆炸的危险。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8）若各种管道、设备设置的静电接地装置接触不良或失效，可能造成设备、管道静电积聚放电，引起火灾爆炸事故。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9）公司办公楼等生活场所如果不加强明火管理，如出现烟头火柴乱丢、电器持续充电等情况时，可能发生火灾事故。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10）食堂内使用天然气，厨房用火多，若可燃气体的管道漏气，操作不当或烹调菜肴、油炸食品时不小心，都容易引起火灾，油污积在抽油烟机罩上及排气管内，当炉灶的火焰上升过高，触及这些油污时，便会马上引起火灾，并迅速蔓延到整个排风系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bookmarkStart w:id="345" w:name="_Toc282508891"/>
      <w:bookmarkStart w:id="346" w:name="_Toc297111597"/>
      <w:bookmarkStart w:id="347" w:name="_Toc298254314"/>
      <w:bookmarkStart w:id="348" w:name="_Toc301471354"/>
      <w:r>
        <w:rPr>
          <w:rFonts w:hint="eastAsia" w:ascii="宋体" w:hAnsi="宋体" w:eastAsia="宋体" w:cs="宋体"/>
          <w:b/>
          <w:bCs/>
          <w:color w:val="auto"/>
          <w:sz w:val="28"/>
          <w:szCs w:val="28"/>
        </w:rPr>
        <w:t>1.2 事故发生的区域、地点或装置</w:t>
      </w:r>
      <w:bookmarkEnd w:id="345"/>
      <w:bookmarkEnd w:id="346"/>
      <w:bookmarkEnd w:id="347"/>
      <w:bookmarkEnd w:id="34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bookmarkStart w:id="349" w:name="_Toc301471355"/>
      <w:bookmarkStart w:id="350" w:name="_Toc298254315"/>
      <w:bookmarkStart w:id="351" w:name="_Toc297111598"/>
      <w:bookmarkStart w:id="352" w:name="_Toc282508892"/>
      <w:r>
        <w:rPr>
          <w:rFonts w:hint="eastAsia" w:ascii="宋体" w:hAnsi="宋体" w:eastAsia="宋体" w:cs="宋体"/>
          <w:color w:val="auto"/>
          <w:sz w:val="28"/>
          <w:szCs w:val="28"/>
          <w:lang w:val="zh-CN" w:eastAsia="zh-CN"/>
        </w:rPr>
        <w:t>办公楼、生产车间、库房、生活辅助区等。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1.</w:t>
      </w: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 xml:space="preserve"> 事故前可能出现的预兆</w:t>
      </w:r>
      <w:bookmarkEnd w:id="349"/>
      <w:bookmarkEnd w:id="350"/>
      <w:bookmarkEnd w:id="351"/>
      <w:bookmarkEnd w:id="35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（1）作业过程中操作人员未按安全操作规程操作，公司未按安全检查制度对公司危险源进行隐患排查。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（2）设备在检修、设备改造、日常生产维护等工作中，执行制度不严、安全意识淡薄、引起附近的可燃物质燃烧。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（3）电气线路短路瞬间会产生很高的温度和热量，可以使电源线的绝缘层燃烧、金属融化，引起附近的可燃物质燃烧。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（4）电器短路和电器设备的选用不当，安装不合理，操作失误，违章操作，长期过负荷运行。均有可能造成火灾人身伤亡事故。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（5）烟气的味道，火灾发生时，烟气会向远处蔓延，烟是最明显的火灾征兆，烟气出现意味着情况可能非常危险。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eastAsia="zh-CN"/>
        </w:rPr>
        <w:t>（6）闻到烧焦东西的糊味，作业场所出现火花、明火等点火源。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rPr>
      </w:pPr>
      <w:r>
        <w:rPr>
          <w:rFonts w:hint="eastAsia" w:ascii="宋体" w:hAnsi="宋体" w:eastAsia="宋体" w:cs="宋体"/>
          <w:b/>
          <w:bCs/>
          <w:color w:val="auto"/>
          <w:sz w:val="28"/>
          <w:szCs w:val="28"/>
          <w:lang w:val="en-US" w:eastAsia="zh-CN"/>
        </w:rPr>
        <w:t xml:space="preserve">1.4 </w:t>
      </w:r>
      <w:r>
        <w:rPr>
          <w:rFonts w:hint="eastAsia" w:ascii="宋体" w:hAnsi="宋体" w:eastAsia="宋体" w:cs="宋体"/>
          <w:b/>
          <w:bCs/>
          <w:color w:val="auto"/>
          <w:sz w:val="28"/>
          <w:szCs w:val="28"/>
          <w:lang w:val="zh-CN"/>
        </w:rPr>
        <w:t>事故可能引发的次生、衍生事故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火灾可能引发坍塌，爆炸，燃烧烟气可能引发人员中毒，可能引发触电等。</w:t>
      </w:r>
    </w:p>
    <w:p>
      <w:pPr>
        <w:pStyle w:val="5"/>
        <w:spacing w:before="0" w:after="0" w:line="360" w:lineRule="auto"/>
        <w:jc w:val="both"/>
        <w:rPr>
          <w:rFonts w:hint="eastAsia" w:ascii="宋体" w:hAnsi="宋体" w:eastAsia="宋体" w:cs="宋体"/>
          <w:b/>
          <w:bCs/>
          <w:color w:val="auto"/>
          <w:sz w:val="28"/>
          <w:szCs w:val="28"/>
          <w:lang w:val="zh-CN"/>
        </w:rPr>
      </w:pPr>
      <w:bookmarkStart w:id="353" w:name="_Toc19381"/>
      <w:bookmarkStart w:id="354" w:name="_Toc31430"/>
      <w:bookmarkStart w:id="355" w:name="_Toc31935"/>
      <w:r>
        <w:rPr>
          <w:rFonts w:hint="eastAsia" w:ascii="宋体" w:hAnsi="宋体" w:eastAsia="宋体" w:cs="宋体"/>
          <w:b/>
          <w:bCs/>
          <w:color w:val="auto"/>
          <w:sz w:val="28"/>
          <w:szCs w:val="28"/>
          <w:lang w:val="zh-CN"/>
        </w:rPr>
        <w:t>2、应急工作职责</w:t>
      </w:r>
      <w:bookmarkEnd w:id="239"/>
      <w:bookmarkEnd w:id="240"/>
      <w:bookmarkEnd w:id="241"/>
      <w:bookmarkEnd w:id="242"/>
      <w:bookmarkEnd w:id="353"/>
      <w:bookmarkEnd w:id="354"/>
      <w:bookmarkEnd w:id="35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bookmarkStart w:id="356" w:name="_Toc282508894"/>
      <w:bookmarkStart w:id="357" w:name="_Toc301471357"/>
      <w:bookmarkStart w:id="358" w:name="_Toc298254317"/>
      <w:bookmarkStart w:id="359" w:name="_Toc297111600"/>
      <w:r>
        <w:rPr>
          <w:rFonts w:hint="eastAsia" w:ascii="宋体" w:hAnsi="宋体" w:eastAsia="宋体" w:cs="宋体"/>
          <w:b/>
          <w:bCs/>
          <w:color w:val="auto"/>
          <w:sz w:val="28"/>
          <w:szCs w:val="28"/>
        </w:rPr>
        <w:t xml:space="preserve">2.1 </w:t>
      </w:r>
      <w:bookmarkEnd w:id="356"/>
      <w:bookmarkEnd w:id="357"/>
      <w:bookmarkEnd w:id="358"/>
      <w:bookmarkEnd w:id="359"/>
      <w:r>
        <w:rPr>
          <w:rFonts w:hint="eastAsia" w:ascii="宋体" w:hAnsi="宋体" w:eastAsia="宋体" w:cs="宋体"/>
          <w:b/>
          <w:bCs/>
          <w:color w:val="auto"/>
          <w:sz w:val="28"/>
          <w:szCs w:val="28"/>
        </w:rPr>
        <w:t>现场应急小组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bookmarkStart w:id="360" w:name="_Toc298254318"/>
      <w:bookmarkStart w:id="361" w:name="_Toc301471358"/>
      <w:bookmarkStart w:id="362" w:name="_Toc297111601"/>
      <w:bookmarkStart w:id="363" w:name="_Toc282508895"/>
      <w:r>
        <w:rPr>
          <w:rFonts w:hint="eastAsia" w:ascii="宋体" w:hAnsi="宋体" w:eastAsia="宋体" w:cs="宋体"/>
          <w:b/>
          <w:bCs/>
          <w:color w:val="auto"/>
          <w:sz w:val="28"/>
          <w:szCs w:val="28"/>
        </w:rPr>
        <w:t>2.2 工作职责</w:t>
      </w:r>
      <w:bookmarkEnd w:id="360"/>
      <w:bookmarkEnd w:id="361"/>
      <w:bookmarkEnd w:id="362"/>
      <w:bookmarkEnd w:id="363"/>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rPr>
      </w:pPr>
      <w:bookmarkStart w:id="364" w:name="_Toc297111602"/>
      <w:bookmarkStart w:id="365" w:name="_Toc301471359"/>
      <w:bookmarkStart w:id="366" w:name="_Toc282508896"/>
      <w:bookmarkStart w:id="367" w:name="_Toc298254319"/>
      <w:r>
        <w:rPr>
          <w:rFonts w:hint="eastAsia" w:ascii="宋体" w:hAnsi="宋体" w:eastAsia="宋体" w:cs="宋体"/>
          <w:b/>
          <w:bCs/>
          <w:color w:val="auto"/>
          <w:sz w:val="28"/>
          <w:szCs w:val="28"/>
        </w:rPr>
        <w:t>2.2.1岗位员工职责</w:t>
      </w:r>
      <w:bookmarkEnd w:id="364"/>
      <w:bookmarkEnd w:id="365"/>
      <w:bookmarkEnd w:id="366"/>
      <w:bookmarkEnd w:id="36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bookmarkStart w:id="368" w:name="_Toc301471360"/>
      <w:bookmarkStart w:id="369" w:name="_Toc297111603"/>
      <w:bookmarkStart w:id="370" w:name="_Toc282508897"/>
      <w:bookmarkStart w:id="371" w:name="_Toc298254320"/>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）发现初始火灾，立即使用现场灭火器进行灭火。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）呼喊周围人员参加到灭火和报警。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）报告班组长或应急小组组长。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2.2.2班组长职责</w:t>
      </w:r>
      <w:bookmarkEnd w:id="368"/>
      <w:bookmarkEnd w:id="369"/>
      <w:bookmarkEnd w:id="370"/>
      <w:bookmarkEnd w:id="371"/>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）接到员工报告后，应立即到现场进行确认。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）组织本班组员工，启动现场应急处置措施执行。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）若火灾超出本班组控制能力，则立即疏散本班组人员和周围人员。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）立即上报现场应急小组组长。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rPr>
      </w:pPr>
      <w:bookmarkStart w:id="372" w:name="_Toc298254321"/>
      <w:bookmarkStart w:id="373" w:name="_Toc282508898"/>
      <w:bookmarkStart w:id="374" w:name="_Toc301471361"/>
      <w:bookmarkStart w:id="375" w:name="_Toc297111604"/>
      <w:r>
        <w:rPr>
          <w:rFonts w:hint="eastAsia" w:ascii="宋体" w:hAnsi="宋体" w:eastAsia="宋体" w:cs="宋体"/>
          <w:b/>
          <w:bCs/>
          <w:color w:val="auto"/>
          <w:sz w:val="28"/>
          <w:szCs w:val="28"/>
        </w:rPr>
        <w:t>2.2.3应急小组组长职责</w:t>
      </w:r>
      <w:bookmarkEnd w:id="372"/>
      <w:bookmarkEnd w:id="373"/>
      <w:bookmarkEnd w:id="374"/>
      <w:bookmarkEnd w:id="375"/>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）接到报告后，立即启动本现场处置方案。</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）组织本应急小组成员实施救火、应急疏散等应急措施。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）若火灾进一步扩大，或导致人员伤亡事故，上报应急指挥部，请求相应的应急预案；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376" w:name="_Toc301471362"/>
      <w:bookmarkStart w:id="377" w:name="_Toc19043"/>
      <w:bookmarkStart w:id="378" w:name="_Toc282508899"/>
      <w:bookmarkStart w:id="379" w:name="_Toc28354"/>
      <w:bookmarkStart w:id="380" w:name="_Toc298254322"/>
      <w:bookmarkStart w:id="381" w:name="_Toc22776"/>
      <w:bookmarkStart w:id="382" w:name="_Toc23681"/>
      <w:r>
        <w:rPr>
          <w:rFonts w:hint="eastAsia" w:ascii="宋体" w:hAnsi="宋体" w:eastAsia="宋体" w:cs="宋体"/>
          <w:b/>
          <w:bCs/>
          <w:color w:val="auto"/>
          <w:sz w:val="28"/>
          <w:szCs w:val="28"/>
          <w:lang w:val="zh-CN"/>
        </w:rPr>
        <w:t>3、应急处置</w:t>
      </w:r>
      <w:bookmarkEnd w:id="376"/>
      <w:bookmarkEnd w:id="377"/>
      <w:bookmarkEnd w:id="378"/>
      <w:bookmarkEnd w:id="379"/>
      <w:bookmarkEnd w:id="380"/>
      <w:bookmarkEnd w:id="381"/>
      <w:bookmarkEnd w:id="38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bookmarkStart w:id="383" w:name="_Toc298254323"/>
      <w:bookmarkStart w:id="384" w:name="_Toc301471363"/>
      <w:bookmarkStart w:id="385" w:name="_Toc282508900"/>
      <w:bookmarkStart w:id="386" w:name="_Toc297111606"/>
      <w:r>
        <w:rPr>
          <w:rFonts w:hint="eastAsia" w:ascii="宋体" w:hAnsi="宋体" w:eastAsia="宋体" w:cs="宋体"/>
          <w:b/>
          <w:bCs/>
          <w:color w:val="auto"/>
          <w:sz w:val="28"/>
          <w:szCs w:val="28"/>
        </w:rPr>
        <w:t>3.1 事故应急处置程序</w:t>
      </w:r>
      <w:bookmarkEnd w:id="383"/>
      <w:bookmarkEnd w:id="384"/>
      <w:bookmarkEnd w:id="385"/>
      <w:bookmarkEnd w:id="386"/>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rPr>
      </w:pPr>
      <w:r>
        <w:rPr>
          <w:rFonts w:hint="eastAsia" w:ascii="宋体" w:hAnsi="宋体" w:eastAsia="宋体" w:cs="宋体"/>
          <w:color w:val="auto"/>
          <w:sz w:val="28"/>
          <w:szCs w:val="28"/>
        </w:rPr>
        <w:t>火灾</w:t>
      </w: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666"/>
        <w:gridCol w:w="1583"/>
        <w:gridCol w:w="5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blHeader/>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bookmarkStart w:id="387" w:name="_Toc298254324"/>
            <w:bookmarkStart w:id="388" w:name="_Toc301471364"/>
            <w:bookmarkStart w:id="389" w:name="_Toc282508901"/>
            <w:bookmarkStart w:id="390" w:name="_Toc297111607"/>
            <w:r>
              <w:rPr>
                <w:rFonts w:hint="eastAsia" w:ascii="宋体" w:hAnsi="宋体" w:eastAsia="宋体" w:cs="宋体"/>
                <w:b/>
                <w:bCs/>
                <w:color w:val="auto"/>
                <w:sz w:val="24"/>
                <w:szCs w:val="24"/>
                <w:vertAlign w:val="baseline"/>
                <w:lang w:val="en-US" w:eastAsia="zh-CN"/>
              </w:rPr>
              <w:t>序号</w:t>
            </w:r>
          </w:p>
        </w:tc>
        <w:tc>
          <w:tcPr>
            <w:tcW w:w="1666"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58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141"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666"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发出火灾预警或事故警报</w:t>
            </w:r>
          </w:p>
        </w:tc>
        <w:tc>
          <w:tcPr>
            <w:tcW w:w="158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1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如：大声呼救“着火啦、快来救火”获取周围人员支援。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按下手动报警按钮。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666"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58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1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①指挥灭火救援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 xml:space="preserve"> 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666"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58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现场工作人员</w:t>
            </w:r>
          </w:p>
        </w:tc>
        <w:tc>
          <w:tcPr>
            <w:tcW w:w="51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①根据火灾类型使用不同灭火器材灭火。</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②保护未着火区域安全，如：关闭未着火区域防火门、喷淋降温等。</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③切断设备开关、</w:t>
            </w:r>
            <w:r>
              <w:rPr>
                <w:rFonts w:hint="eastAsia" w:eastAsia="宋体" w:cs="宋体"/>
                <w:color w:val="auto"/>
                <w:sz w:val="24"/>
                <w:szCs w:val="24"/>
                <w:vertAlign w:val="baseline"/>
                <w:lang w:val="en-US" w:eastAsia="zh-CN"/>
              </w:rPr>
              <w:t>管道阀门、</w:t>
            </w:r>
            <w:r>
              <w:rPr>
                <w:rFonts w:hint="eastAsia" w:ascii="宋体" w:hAnsi="宋体" w:eastAsia="宋体" w:cs="宋体"/>
                <w:color w:val="auto"/>
                <w:sz w:val="24"/>
                <w:szCs w:val="24"/>
                <w:vertAlign w:val="baseline"/>
                <w:lang w:val="en-US" w:eastAsia="zh-CN"/>
              </w:rPr>
              <w:t>电源开关等。</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切断着火部位及受到高温影响的电气设备电源和电源开关。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666"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58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1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现场处置人员判断无法有效控制火势；</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现场处置人员的安全受到威胁；</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r>
              <w:rPr>
                <w:rFonts w:hint="eastAsia"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有爆炸发生趋势</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w:t>
            </w:r>
            <w:r>
              <w:rPr>
                <w:rFonts w:hint="eastAsia" w:eastAsia="宋体" w:cs="宋体"/>
                <w:color w:val="auto"/>
                <w:sz w:val="24"/>
                <w:szCs w:val="24"/>
                <w:vertAlign w:val="baseline"/>
                <w:lang w:val="en-US" w:eastAsia="zh-CN"/>
              </w:rPr>
              <w:t>总经理</w:t>
            </w:r>
            <w:r>
              <w:rPr>
                <w:rFonts w:hint="eastAsia" w:ascii="宋体" w:hAnsi="宋体" w:eastAsia="宋体" w:cs="宋体"/>
                <w:color w:val="auto"/>
                <w:sz w:val="24"/>
                <w:szCs w:val="24"/>
                <w:vertAlign w:val="baseline"/>
                <w:lang w:val="en-US" w:eastAsia="zh-CN"/>
              </w:rPr>
              <w:t>报告，请求相应升级，说明火灾位置、着火物品、发展事态。</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组织现场人员撤离，确认现场隐蔽、独立场所人员已经疏散，所有人到紧急集合点集合。</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关闭着火区域门窗延缓火情传播。</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后续及措施见《火灾</w:t>
            </w:r>
            <w:r>
              <w:rPr>
                <w:rFonts w:hint="eastAsia" w:eastAsia="宋体" w:cs="宋体"/>
                <w:color w:val="auto"/>
                <w:sz w:val="24"/>
                <w:szCs w:val="24"/>
                <w:vertAlign w:val="baseline"/>
                <w:lang w:val="en-US" w:eastAsia="zh-CN"/>
              </w:rPr>
              <w:t>、爆炸</w:t>
            </w:r>
            <w:r>
              <w:rPr>
                <w:rFonts w:hint="eastAsia" w:ascii="宋体" w:hAnsi="宋体" w:eastAsia="宋体" w:cs="宋体"/>
                <w:color w:val="auto"/>
                <w:sz w:val="24"/>
                <w:szCs w:val="24"/>
                <w:vertAlign w:val="baseline"/>
                <w:lang w:val="en-US" w:eastAsia="zh-CN"/>
              </w:rPr>
              <w:t>事故专项应急预案》</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rPr>
      </w:pPr>
      <w:r>
        <w:rPr>
          <w:rFonts w:hint="eastAsia" w:ascii="宋体" w:hAnsi="宋体" w:eastAsia="宋体" w:cs="宋体"/>
          <w:b/>
          <w:bCs/>
          <w:color w:val="auto"/>
          <w:sz w:val="28"/>
          <w:szCs w:val="28"/>
          <w:lang w:val="zh-CN"/>
        </w:rPr>
        <w:t>3.2现场应急处置措施</w:t>
      </w:r>
    </w:p>
    <w:p>
      <w:pPr>
        <w:pStyle w:val="38"/>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pacing w:val="-6"/>
          <w:kern w:val="2"/>
          <w:sz w:val="28"/>
          <w:szCs w:val="28"/>
          <w:lang w:val="en-US" w:eastAsia="zh-CN" w:bidi="ar-SA"/>
        </w:rPr>
      </w:pPr>
      <w:r>
        <w:rPr>
          <w:rFonts w:hint="eastAsia" w:ascii="宋体" w:hAnsi="宋体" w:eastAsia="宋体" w:cs="宋体"/>
          <w:b/>
          <w:bCs/>
          <w:color w:val="auto"/>
          <w:spacing w:val="-6"/>
          <w:kern w:val="2"/>
          <w:sz w:val="28"/>
          <w:szCs w:val="28"/>
          <w:lang w:val="en-US" w:eastAsia="zh-CN" w:bidi="ar-SA"/>
        </w:rPr>
        <w:t>3.2.1 任何人员一旦发现火情，依据火情的严重程度进行如下操作：</w:t>
      </w:r>
    </w:p>
    <w:p>
      <w:pPr>
        <w:pStyle w:val="38"/>
        <w:keepNext w:val="0"/>
        <w:keepLines w:val="0"/>
        <w:pageBreakBefore w:val="0"/>
        <w:widowControl w:val="0"/>
        <w:kinsoku/>
        <w:wordWrap/>
        <w:overflowPunct/>
        <w:topLinePunct w:val="0"/>
        <w:autoSpaceDE/>
        <w:autoSpaceDN/>
        <w:bidi w:val="0"/>
        <w:adjustRightInd/>
        <w:spacing w:line="360" w:lineRule="auto"/>
        <w:ind w:firstLine="560"/>
        <w:textAlignment w:val="auto"/>
        <w:rPr>
          <w:rFonts w:hint="eastAsia" w:ascii="宋体" w:hAnsi="宋体" w:eastAsia="宋体" w:cs="宋体"/>
          <w:color w:val="auto"/>
          <w:spacing w:val="-6"/>
          <w:kern w:val="2"/>
          <w:sz w:val="28"/>
          <w:szCs w:val="28"/>
          <w:lang w:val="en-US" w:eastAsia="zh-CN" w:bidi="ar-SA"/>
        </w:rPr>
      </w:pPr>
      <w:r>
        <w:rPr>
          <w:rFonts w:hint="eastAsia" w:ascii="宋体" w:hAnsi="宋体" w:eastAsia="宋体" w:cs="宋体"/>
          <w:color w:val="auto"/>
          <w:spacing w:val="-6"/>
          <w:kern w:val="2"/>
          <w:sz w:val="28"/>
          <w:szCs w:val="28"/>
          <w:lang w:val="en-US" w:eastAsia="zh-CN" w:bidi="ar-SA"/>
        </w:rPr>
        <w:t>（1）火灾初期阶段，是扑灭火灾的最佳时机，因为初期火灾其燃烧面积少，火势较弱，在场人员如能及时采取正确措施，都能在尚未形成灾难之前迅速将火扑灭。因此，在发现火苗后的几分钟内利用灭火器材、消防栓、水带、水枪快速灭火，把火灾扑灭在初期阶段，能有效地控制火灾蔓延，避免造成重大经济损失和人员伤亡。</w:t>
      </w:r>
    </w:p>
    <w:p>
      <w:pPr>
        <w:pStyle w:val="38"/>
        <w:keepNext w:val="0"/>
        <w:keepLines w:val="0"/>
        <w:pageBreakBefore w:val="0"/>
        <w:widowControl w:val="0"/>
        <w:kinsoku/>
        <w:wordWrap/>
        <w:overflowPunct/>
        <w:topLinePunct w:val="0"/>
        <w:autoSpaceDE/>
        <w:autoSpaceDN/>
        <w:bidi w:val="0"/>
        <w:adjustRightInd/>
        <w:spacing w:line="360" w:lineRule="auto"/>
        <w:ind w:firstLine="560"/>
        <w:textAlignment w:val="auto"/>
        <w:rPr>
          <w:rFonts w:hint="eastAsia" w:ascii="宋体" w:hAnsi="宋体" w:eastAsia="宋体" w:cs="宋体"/>
          <w:color w:val="auto"/>
          <w:spacing w:val="-6"/>
          <w:kern w:val="2"/>
          <w:sz w:val="28"/>
          <w:szCs w:val="28"/>
          <w:lang w:val="en-US" w:eastAsia="zh-CN" w:bidi="ar-SA"/>
        </w:rPr>
      </w:pPr>
      <w:r>
        <w:rPr>
          <w:rFonts w:hint="eastAsia" w:ascii="宋体" w:hAnsi="宋体" w:eastAsia="宋体" w:cs="宋体"/>
          <w:color w:val="auto"/>
          <w:spacing w:val="-6"/>
          <w:kern w:val="2"/>
          <w:sz w:val="28"/>
          <w:szCs w:val="28"/>
          <w:lang w:val="en-US" w:eastAsia="zh-CN" w:bidi="ar-SA"/>
        </w:rPr>
        <w:t>（2）同时拨打火警电话119报警和向上级领导报告，上级领导启动相应级别的应急预案，扑灭火灾或者把火灾控制在一定范围内。</w:t>
      </w:r>
    </w:p>
    <w:p>
      <w:pPr>
        <w:pStyle w:val="38"/>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pacing w:val="-6"/>
          <w:kern w:val="2"/>
          <w:sz w:val="28"/>
          <w:szCs w:val="28"/>
          <w:lang w:val="en-US" w:eastAsia="zh-CN" w:bidi="ar-SA"/>
        </w:rPr>
      </w:pPr>
      <w:r>
        <w:rPr>
          <w:rFonts w:hint="eastAsia" w:ascii="宋体" w:hAnsi="宋体" w:eastAsia="宋体" w:cs="宋体"/>
          <w:b/>
          <w:bCs/>
          <w:color w:val="auto"/>
          <w:spacing w:val="-6"/>
          <w:kern w:val="2"/>
          <w:sz w:val="28"/>
          <w:szCs w:val="28"/>
          <w:lang w:val="en-US" w:eastAsia="zh-CN" w:bidi="ar-SA"/>
        </w:rPr>
        <w:t>3.2.2 对火势蔓延扩大，不可能马上扑灭的进行如下操作：</w:t>
      </w:r>
    </w:p>
    <w:p>
      <w:pPr>
        <w:pStyle w:val="38"/>
        <w:keepNext w:val="0"/>
        <w:keepLines w:val="0"/>
        <w:pageBreakBefore w:val="0"/>
        <w:widowControl w:val="0"/>
        <w:kinsoku/>
        <w:wordWrap/>
        <w:overflowPunct/>
        <w:topLinePunct w:val="0"/>
        <w:autoSpaceDE/>
        <w:autoSpaceDN/>
        <w:bidi w:val="0"/>
        <w:adjustRightInd/>
        <w:spacing w:line="360" w:lineRule="auto"/>
        <w:ind w:firstLine="560"/>
        <w:textAlignment w:val="auto"/>
        <w:rPr>
          <w:rFonts w:hint="eastAsia" w:ascii="宋体" w:hAnsi="宋体" w:eastAsia="宋体" w:cs="宋体"/>
          <w:color w:val="auto"/>
          <w:spacing w:val="-6"/>
          <w:kern w:val="2"/>
          <w:sz w:val="28"/>
          <w:szCs w:val="28"/>
          <w:lang w:val="en-US" w:eastAsia="zh-CN" w:bidi="ar-SA"/>
        </w:rPr>
      </w:pPr>
      <w:r>
        <w:rPr>
          <w:rFonts w:hint="eastAsia" w:ascii="宋体" w:hAnsi="宋体" w:eastAsia="宋体" w:cs="宋体"/>
          <w:color w:val="auto"/>
          <w:spacing w:val="-6"/>
          <w:kern w:val="2"/>
          <w:sz w:val="28"/>
          <w:szCs w:val="28"/>
          <w:lang w:val="en-US" w:eastAsia="zh-CN" w:bidi="ar-SA"/>
        </w:rPr>
        <w:t>（1）立即进行人员的紧急疏散，往上风向地点进行安全疏散，疏散到安全地点后立即清点人数，发现有缺少人员的情况时，现场最高领导或员工立即向总经理汇报。</w:t>
      </w:r>
    </w:p>
    <w:p>
      <w:pPr>
        <w:pStyle w:val="38"/>
        <w:keepNext w:val="0"/>
        <w:keepLines w:val="0"/>
        <w:pageBreakBefore w:val="0"/>
        <w:widowControl w:val="0"/>
        <w:kinsoku/>
        <w:wordWrap/>
        <w:overflowPunct/>
        <w:topLinePunct w:val="0"/>
        <w:autoSpaceDE/>
        <w:autoSpaceDN/>
        <w:bidi w:val="0"/>
        <w:adjustRightInd/>
        <w:spacing w:line="360" w:lineRule="auto"/>
        <w:ind w:firstLine="560"/>
        <w:textAlignment w:val="auto"/>
        <w:rPr>
          <w:rFonts w:hint="eastAsia" w:ascii="宋体" w:hAnsi="宋体" w:eastAsia="宋体" w:cs="宋体"/>
          <w:color w:val="auto"/>
          <w:spacing w:val="-6"/>
          <w:kern w:val="2"/>
          <w:sz w:val="28"/>
          <w:szCs w:val="28"/>
          <w:lang w:val="en-US" w:eastAsia="zh-CN" w:bidi="ar-SA"/>
        </w:rPr>
      </w:pPr>
      <w:r>
        <w:rPr>
          <w:rFonts w:hint="eastAsia" w:ascii="宋体" w:hAnsi="宋体" w:eastAsia="宋体" w:cs="宋体"/>
          <w:color w:val="auto"/>
          <w:spacing w:val="-6"/>
          <w:kern w:val="2"/>
          <w:sz w:val="28"/>
          <w:szCs w:val="28"/>
          <w:lang w:val="en-US" w:eastAsia="zh-CN" w:bidi="ar-SA"/>
        </w:rPr>
        <w:t>（2）拨打消防报警电话“119”，通报火场信息：单位名称、单位地址、着火地点、着火物资及火势大小，并安排人员到路口接应消防车。</w:t>
      </w:r>
    </w:p>
    <w:p>
      <w:pPr>
        <w:pStyle w:val="38"/>
        <w:keepNext w:val="0"/>
        <w:keepLines w:val="0"/>
        <w:pageBreakBefore w:val="0"/>
        <w:widowControl w:val="0"/>
        <w:kinsoku/>
        <w:wordWrap/>
        <w:overflowPunct/>
        <w:topLinePunct w:val="0"/>
        <w:autoSpaceDE/>
        <w:autoSpaceDN/>
        <w:bidi w:val="0"/>
        <w:adjustRightInd/>
        <w:spacing w:line="360" w:lineRule="auto"/>
        <w:ind w:firstLine="560"/>
        <w:textAlignment w:val="auto"/>
        <w:rPr>
          <w:rFonts w:hint="eastAsia" w:ascii="宋体" w:hAnsi="宋体" w:eastAsia="宋体" w:cs="宋体"/>
          <w:color w:val="auto"/>
          <w:spacing w:val="-6"/>
          <w:kern w:val="2"/>
          <w:sz w:val="28"/>
          <w:szCs w:val="28"/>
          <w:lang w:val="en-US" w:eastAsia="zh-CN" w:bidi="ar-SA"/>
        </w:rPr>
      </w:pPr>
      <w:r>
        <w:rPr>
          <w:rFonts w:hint="eastAsia" w:ascii="宋体" w:hAnsi="宋体" w:eastAsia="宋体" w:cs="宋体"/>
          <w:color w:val="auto"/>
          <w:spacing w:val="-6"/>
          <w:kern w:val="2"/>
          <w:sz w:val="28"/>
          <w:szCs w:val="28"/>
          <w:lang w:val="en-US" w:eastAsia="zh-CN" w:bidi="ar-SA"/>
        </w:rPr>
        <w:t>（3）发现有人员受伤，现场紧急救护处理，立即送往医院或者拨打救护电话“120”与医院联系。</w:t>
      </w:r>
    </w:p>
    <w:p>
      <w:pPr>
        <w:pStyle w:val="3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pacing w:val="-6"/>
          <w:kern w:val="2"/>
          <w:sz w:val="28"/>
          <w:szCs w:val="28"/>
          <w:lang w:val="en-US" w:eastAsia="zh-CN" w:bidi="ar-SA"/>
        </w:rPr>
      </w:pPr>
      <w:r>
        <w:rPr>
          <w:rFonts w:hint="eastAsia" w:ascii="宋体" w:hAnsi="宋体" w:eastAsia="宋体" w:cs="宋体"/>
          <w:b/>
          <w:bCs/>
          <w:color w:val="auto"/>
          <w:spacing w:val="-6"/>
          <w:kern w:val="2"/>
          <w:sz w:val="28"/>
          <w:szCs w:val="28"/>
          <w:lang w:val="en-US" w:eastAsia="zh-CN" w:bidi="ar-SA"/>
        </w:rPr>
        <w:t>3.2.3液体火灾和可溶化的固体物质火灾应急处置措施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CN" w:eastAsia="zh-CN"/>
        </w:rPr>
        <w:t>针对火灾的火势发展蔓延快和燃烧面积大的特点，积极采取统一指挥、以快制快；堵截火势、防止蔓延；重点突破、排除险情；分割包围、速战速决的灭火战术。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eastAsia="zh-CN"/>
        </w:rPr>
        <w:t>迅速切断着火点相关装置、电源。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eastAsia="zh-CN"/>
        </w:rPr>
        <w:t>应迅速查明燃烧范围、燃烧物品及其周围物品的品名和主要危险特性、火势蔓延的主要途径，燃烧的及燃烧产物是否有毒。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eastAsia="zh-CN"/>
        </w:rPr>
        <w:t>迅速疏散事故现场有关人员及转移着火源周围的重要物资（包括可能扩大火势和有爆炸危险的物资、性质重要、价格昂贵的物质及影响灭火战斗的物质、重要文件资料和票据等）。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zh-CN" w:eastAsia="zh-CN"/>
        </w:rPr>
        <w:t>正确选择最适合的灭火剂和灭火方法。火势较大时，应先堵截火势蔓延，控制燃烧范围，然后逐步扑灭火势。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val="zh-CN" w:eastAsia="zh-CN"/>
        </w:rPr>
        <w:t>应急救援人员佩戴防毒口罩、携带手提式干粉灭火器或推车式干粉灭火器、使用消火栓等进入火灾现场。扑救时，占领上风或侧风处。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val="zh-CN" w:eastAsia="zh-CN"/>
        </w:rPr>
        <w:t>首先消灭着火设备、可燃液体或固体可燃物的燃烧火苗或火焰，要喷水降温保护或尽快搬离现场，阻止火势蔓延扩大，然后直接向火源进攻，逐步缩小燃烧面积。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lang w:val="zh-CN" w:eastAsia="zh-CN"/>
        </w:rPr>
        <w:t>一旦火灾失控，总指挥立即下令现场应急人员撤离现场，并封锁现场，同时拨打119，将情况上报南充市应急管理局。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lang w:val="zh-CN" w:eastAsia="zh-CN"/>
        </w:rPr>
        <w:t>火灾扑灭后，仍然要派人监护现场，消灭余火。起火部门应当保护现场，接受事故调查，协助公司安全部门调查火灾原因，核定火灾损失，查明火灾责任，未经安全负责人的同意，不得擅自清理火灾现场。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lang w:val="zh-CN" w:eastAsia="zh-CN"/>
        </w:rPr>
        <w:t>洗消污水的排放经过环保监测部门的检测，以防造成次生灾害。</w:t>
      </w:r>
    </w:p>
    <w:p>
      <w:pPr>
        <w:pStyle w:val="38"/>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pacing w:val="-6"/>
          <w:kern w:val="2"/>
          <w:sz w:val="28"/>
          <w:szCs w:val="28"/>
          <w:lang w:val="en-US" w:eastAsia="zh-CN" w:bidi="ar-SA"/>
        </w:rPr>
      </w:pPr>
      <w:r>
        <w:rPr>
          <w:rFonts w:hint="eastAsia" w:ascii="宋体" w:hAnsi="宋体" w:eastAsia="宋体" w:cs="宋体"/>
          <w:b/>
          <w:bCs/>
          <w:color w:val="auto"/>
          <w:spacing w:val="-6"/>
          <w:kern w:val="2"/>
          <w:sz w:val="28"/>
          <w:szCs w:val="28"/>
          <w:lang w:val="en-US" w:eastAsia="zh-CN" w:bidi="ar-SA"/>
        </w:rPr>
        <w:t>3.2.4气体火灾应急处置措施</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扑救易燃易爆气体火灾切忌盲目灭火，即使在扑救周围火势以及冷却过程中不小心把泄漏处的火焰扑灭了，在没有采取堵漏措施的情况下，也必须立即用长点火棒将火点燃，使其恢复稳定燃烧。否则，大量可燃气体泄漏出来与空气混合，遇着火源就会发生爆炸，后果将不堪设想。</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首先应扑灭外围被火源引燃的可燃物火势，切断火势蔓延途径，控制燃烧范围，并积极抢救受伤和被因人员。</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如果有其他受到火焰辐射热威胁的压力容器，能疏散的应尽量在水枪的掩护下疏散到安全地带，不能疏散的应部署足够的水枪进行冷却保护。为防止容器爆裂伤人，进行冷却的人员应尽量采用低姿射水或利用现场坚实的掩蔽体防护。对卧式贮罐，冷却人员应选择贮罐四侧角作为射水阵地。</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如果是管道泄漏着火，应首先设法找到气源阀门。阀门完好时，只要关闭气体阀门，火势就会自动熄灭。</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管道泄漏关阀无效时，应根据火势大小判断气体压力和泄漏口的大小及其形状，准备好相应的堵漏材料（如软木塞、橡皮塞、粘合剂），堵漏时必须佩带相应的劳动防护用品。</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堵漏工作准备就绪后，即可用水扑救火势，也可用干粉、二氧化碳灭火，但仍需用水冷却烧烫的罐或管壁。火扑灭后，应立即用堵漏材料堵漏，同时用雾状水稀释和驱散泄漏出来的气体。</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一般情况下完成了堵漏也就完成了灭火工作，但有时一次堵漏不一定能成功，如果一次堵漏失败，再次堵漏需一定时间，应立即用长点火棒将泄漏处点燃，使其恢复稳定燃烧，以防止较长时间泄漏出来的大量可燃气体与空气混合后形成爆炸性混合物，从而存在发生爆炸的危险，并准备再次灭火堵漏。</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如果确认泄漏口很大,根本无法堵漏，只需冷却着火容器及其周围容器和可燃物品，控制着火范围，一直到燃气燃尽，火势自动熄灭。</w:t>
      </w:r>
    </w:p>
    <w:p>
      <w:pPr>
        <w:pStyle w:val="43"/>
        <w:snapToGrid w:val="0"/>
        <w:spacing w:before="0"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现场指挥应密切注意各种危险征兆，遇有火势熄灭后较长时间未能恢复稳定燃烧或受热辐射的容器安全阀火焰变亮耀眼、尖叫、晃动等爆裂征兆时，指挥员必须适时做出准确判断，及时下达撤退命令。现场人员看到或听到事先规定的撤退信号后，应迅速撤退至安全地带。</w:t>
      </w:r>
    </w:p>
    <w:p>
      <w:pPr>
        <w:pStyle w:val="38"/>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pacing w:val="-6"/>
          <w:kern w:val="2"/>
          <w:sz w:val="28"/>
          <w:szCs w:val="28"/>
          <w:lang w:val="en-US" w:eastAsia="zh-CN" w:bidi="ar-SA"/>
        </w:rPr>
      </w:pPr>
      <w:r>
        <w:rPr>
          <w:rFonts w:hint="eastAsia" w:ascii="宋体" w:hAnsi="宋体" w:eastAsia="宋体" w:cs="宋体"/>
          <w:b/>
          <w:bCs/>
          <w:color w:val="auto"/>
          <w:spacing w:val="-6"/>
          <w:kern w:val="2"/>
          <w:sz w:val="28"/>
          <w:szCs w:val="28"/>
          <w:lang w:val="en-US" w:eastAsia="zh-CN" w:bidi="ar-SA"/>
        </w:rPr>
        <w:t>3.2.5</w:t>
      </w:r>
      <w:r>
        <w:rPr>
          <w:rFonts w:hint="eastAsia" w:ascii="宋体" w:hAnsi="宋体" w:eastAsia="宋体" w:cs="宋体"/>
          <w:b/>
          <w:bCs/>
          <w:color w:val="auto"/>
          <w:sz w:val="28"/>
          <w:szCs w:val="28"/>
          <w:lang w:val="zh-CN" w:eastAsia="zh-CN"/>
        </w:rPr>
        <w:t>电气设备着火</w:t>
      </w:r>
      <w:r>
        <w:rPr>
          <w:rFonts w:hint="eastAsia" w:ascii="宋体" w:hAnsi="宋体" w:eastAsia="宋体" w:cs="宋体"/>
          <w:b/>
          <w:bCs/>
          <w:color w:val="auto"/>
          <w:spacing w:val="-6"/>
          <w:kern w:val="2"/>
          <w:sz w:val="28"/>
          <w:szCs w:val="28"/>
          <w:lang w:val="en-US" w:eastAsia="zh-CN" w:bidi="ar-SA"/>
        </w:rPr>
        <w:t>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CN" w:eastAsia="zh-CN"/>
        </w:rPr>
        <w:t>电线、电气设施着火，应首先切断供电线路及电气设备电源。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eastAsia="zh-CN"/>
        </w:rPr>
        <w:t>电气设备着火，灭火人员应充分利用现有的消防设施，装备器材投入灭火战斗。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eastAsia="zh-CN"/>
        </w:rPr>
        <w:t>及时疏散事故现场有关人员及转移着火源周围的物资。要喷水降温保护或尽快搬离现场。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eastAsia="zh-CN"/>
        </w:rPr>
        <w:t>着火事故现场由熟悉带电设备的技术人员负责灭火指挥或组织消防灭火组进行扑灭电气火灾。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zh-CN" w:eastAsia="zh-CN"/>
        </w:rPr>
        <w:t>扑救电气火灾，可选用干粉灭火器，不得使用水、泡沫灭火器灭火。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val="zh-CN" w:eastAsia="zh-CN"/>
        </w:rPr>
        <w:t>一旦火灾失控，总指挥立即下令现场应急人员撤离现场，并封锁现场，同时拨打119，将情况上报区应急办。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val="zh-CN" w:eastAsia="zh-CN"/>
        </w:rPr>
        <w:t>公安消防队到达后，协同配合公安消防队灭火抢险。</w:t>
      </w:r>
    </w:p>
    <w:p>
      <w:pPr>
        <w:pStyle w:val="38"/>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pacing w:val="-6"/>
          <w:kern w:val="2"/>
          <w:sz w:val="28"/>
          <w:szCs w:val="28"/>
          <w:lang w:val="en-US" w:eastAsia="zh-CN" w:bidi="ar-SA"/>
        </w:rPr>
        <w:t>3.2.6</w:t>
      </w:r>
      <w:r>
        <w:rPr>
          <w:rFonts w:hint="eastAsia" w:ascii="宋体" w:hAnsi="宋体" w:eastAsia="宋体" w:cs="宋体"/>
          <w:b/>
          <w:bCs/>
          <w:color w:val="auto"/>
          <w:sz w:val="28"/>
          <w:szCs w:val="28"/>
          <w:lang w:val="zh-CN" w:eastAsia="zh-CN"/>
        </w:rPr>
        <w:t>人员疏散和逃生自救处置措施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发生火灾时，在场人员有烟气中毒、窒息以及被热辐射、热气流烧伤的危险。因此，在发生火灾后，首先了解火场有无被困人员及其被困地点和抢救通道，以便进行安全疏散，并要求做到：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CN" w:eastAsia="zh-CN"/>
        </w:rPr>
        <w:t>稳定情绪，维护现场秩序；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eastAsia="zh-CN"/>
        </w:rPr>
        <w:t>能见度差，鱼贯撤离；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eastAsia="zh-CN"/>
        </w:rPr>
        <w:t>烟雾较浓，湿巾掩鼻，低姿撤离；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eastAsia="zh-CN"/>
        </w:rPr>
        <w:t>楼层着火，利用现有条件，快速疏散；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zh-CN" w:eastAsia="zh-CN"/>
        </w:rPr>
        <w:t>高处着火，冷静处置，不要跳下；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val="zh-CN" w:eastAsia="zh-CN"/>
        </w:rPr>
        <w:t>自身着火，快速扑打，不能奔跑；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val="zh-CN" w:eastAsia="zh-CN"/>
        </w:rPr>
        <w:t>保护疏散人员安全，防止再入“火口”。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pacing w:val="-6"/>
          <w:kern w:val="2"/>
          <w:sz w:val="28"/>
          <w:szCs w:val="28"/>
          <w:lang w:val="en-US" w:eastAsia="zh-CN" w:bidi="ar-SA"/>
        </w:rPr>
        <w:t>3.2.7</w:t>
      </w:r>
      <w:r>
        <w:rPr>
          <w:rFonts w:hint="eastAsia" w:ascii="宋体" w:hAnsi="宋体" w:eastAsia="宋体" w:cs="宋体"/>
          <w:b/>
          <w:bCs/>
          <w:color w:val="auto"/>
          <w:sz w:val="28"/>
          <w:szCs w:val="28"/>
          <w:lang w:val="zh-CN" w:eastAsia="zh-CN"/>
        </w:rPr>
        <w:t>现场抢救受伤人员的处置措施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1)受灼烧伤人员的处置措施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衣服着火时不可奔跑或大声喊叫，以免助火燃烧或引起呼吸道灼伤。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较小创面立即用冷水浸泡冲洗或冷敷烧伤部位10-30分钟，直到无痛感觉为止。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脱去或剪开燃烧衣物时，动作应轻柔、快捷，不可动作粗暴，强行撕脱而导致表皮再次损伤。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大面积烧伤患者不要喝白开水，应少量饮用补液盐水后尽快通过静脉补液。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妥善保护创面，避免再次污染，不可刺破水泡，不可用腆酒、酒精、红汞等消毒药物涂擦创面，以免加重损伤或影响下一步观察治疗。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若伤员为空腔、呼吸道、面部烧伤，应及时解松伤员颈部的衣物，清除口腔及呼吸道内的分泌物，给予吸氧。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伤员一般情况平稳后，要立即送往医院进一步治疗。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搬运时，伤员应取仰卧位，头部在车尾方向，动作应轻柔，行进要平稳，不可急剧加速或猛刹车，途中应随时观察病人情况，对途中发生呼吸、心跳停止者，应就地抢救。</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2)火场休克的急救措施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火场休克是由于严重创伤、烧伤、触电、骨折的剧烈疼痛和大出血等引起的一种威胁伤患生命，极危险的严重综合症。虽然有些伤不能直接置人于死地，但如果救治不及时，其引起的严重休克常常可以使人致命。休克的症状是口唇及面色苍白、四肢发凉、脉搏微弱、呼吸加快、出冷汗、表情淡漠、口渴，严重者可出现反应迟钝，甚至神志不清或昏迷，口唇肢端发绀，四肢冰凉，脉搏摸不清，血压下降，无尿。预防休克和休克急救的主要方法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在火场上要尽快地发现和抢救受伤人员，及时妥善地包扎伤口，减少出血、污染和疼痛。尤其对骨折、大关节伤和大块软组织伤，要及时地进行良好的固定。一切外出血都要及时有效地止血。凡确定有内出血的伤患，要迅速送往医院救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对急救后的伤患，要安置在安全可靠的地方，让伤患平卧休息，并给予亲切安慰和照顾，以消除伤患思想上的顾虑。待伤患得到短时间的休息后，急送医院治疗。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对有剧烈疼痛的伤患，要服止痛药。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对没有昏迷或无内脏损伤的伤患，要多次少量给予饮料，如姜汤、米汤、热茶水或淡盐水等。此外，冬季要注意保暖，夏季要注意防暑，有条件时要及时更换潮湿的衣服，使伤患平卧，保持呼吸通畅，必要时还应做人工呼吸。</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 窒息的救助措施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采用口对口人工呼吸及胸外心脏按压复苏。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施行胸外心脏按压时，应注意以下几点：伤员不宜躺卧在帆布、绳索担架或在钢丝床上，这是因为心脏解剖位置的缘故，否则达不到按压效果；切忌按压左胸部，这样不仅压不着心脏，反而会断肋骨，造成更多的损伤；正确使用按压力量。若为小孩则用单手按压，婴幼儿则一个指头按压；作心脏按压的同时，应进行人工呼吸；为检查心跳和呼吸是否恢复，允许操作暂停5min。若搬运伤员，按压中断时间不超过30秒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3.3报警方式及内容</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（1）报警方式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电话报警，公司内部 24 小时值班电话：0817-3811217。</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24小时有效的外部通信联络信息。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消防部门：119；公安部门：110；医疗急救：120。</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（2）报警内容：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火灾发生时间、地点；火势情况的严重程度、燃烧物和大约数量；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事故初步原因判断等。</w:t>
      </w:r>
    </w:p>
    <w:bookmarkEnd w:id="387"/>
    <w:bookmarkEnd w:id="388"/>
    <w:bookmarkEnd w:id="389"/>
    <w:bookmarkEnd w:id="390"/>
    <w:p>
      <w:pPr>
        <w:pStyle w:val="5"/>
        <w:spacing w:before="0" w:after="0" w:line="360" w:lineRule="auto"/>
        <w:jc w:val="both"/>
        <w:rPr>
          <w:rFonts w:hint="eastAsia" w:ascii="宋体" w:hAnsi="宋体" w:eastAsia="宋体" w:cs="宋体"/>
          <w:b/>
          <w:bCs/>
          <w:color w:val="auto"/>
          <w:sz w:val="28"/>
          <w:szCs w:val="28"/>
          <w:lang w:val="zh-CN"/>
        </w:rPr>
      </w:pPr>
      <w:bookmarkStart w:id="391" w:name="_Toc298254330"/>
      <w:bookmarkStart w:id="392" w:name="_Toc282508907"/>
      <w:bookmarkStart w:id="393" w:name="_Toc24071"/>
      <w:bookmarkStart w:id="394" w:name="_Toc301471370"/>
      <w:bookmarkStart w:id="395" w:name="_Toc11030"/>
      <w:bookmarkStart w:id="396" w:name="_Toc20880"/>
      <w:bookmarkStart w:id="397" w:name="_Toc9655"/>
      <w:r>
        <w:rPr>
          <w:rFonts w:hint="eastAsia" w:ascii="宋体" w:hAnsi="宋体" w:eastAsia="宋体" w:cs="宋体"/>
          <w:b/>
          <w:bCs/>
          <w:color w:val="auto"/>
          <w:sz w:val="28"/>
          <w:szCs w:val="28"/>
          <w:lang w:val="zh-CN"/>
        </w:rPr>
        <w:t>4、注意事项</w:t>
      </w:r>
      <w:bookmarkEnd w:id="391"/>
      <w:bookmarkEnd w:id="392"/>
      <w:bookmarkEnd w:id="393"/>
      <w:bookmarkEnd w:id="394"/>
      <w:bookmarkEnd w:id="395"/>
      <w:bookmarkEnd w:id="396"/>
      <w:bookmarkEnd w:id="39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（1）灭火人员应站在上风侧，对准火苗根部喷射。使用二氧化碳灭火时，当其浓度过高时，人就会感到呼吸困难，要注意防止窒息。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（2）参加火灾事故应急救援行动，应急救援人员必须佩戴和正确使用符合要求的防护用品。严禁救援人员在没有采取防护措施的情况下盲目施救。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（3）扑救电气设备着火时，灭火人员应穿绝缘鞋、戴绝缘手套，防毒面具等措施加强自我保护。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4）人身上不小心溅上油火时，应立即用灭火器进行扑灭，或快速脱下衣服，将火扑灭。不得使用水灭火。如来不及脱下衣服，应就地打滚，把火扑灭，然后现场人员冷静的帮他脱下衣服。救火时勿用衣物、扫帚来回扑打，以免使油火扩大着火范围。着火人也不要惊慌，乱跑乱跳、跑动，这样既影响救助，又可能扩大火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（5）处于高处火场自救时，不应盲目跳下。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（6）如事故发生在夜间，应设置临时照明灯，以便抢救，避免意外事故，但不能因此延误进行急救的时间。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（7）互救时应量力而行，进入事故现场必须有监护人。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（8）救援任务结束后，检查应急用品是否完好，失效或损坏的需及时补充更新，确保紧急情况下的安全、正常使用。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zh-CN" w:eastAsia="zh-CN"/>
        </w:rPr>
      </w:pPr>
    </w:p>
    <w:p>
      <w:pPr>
        <w:pStyle w:val="4"/>
        <w:keepNext w:val="0"/>
        <w:keepLines w:val="0"/>
        <w:widowControl/>
        <w:adjustRightInd w:val="0"/>
        <w:snapToGrid w:val="0"/>
        <w:spacing w:before="156" w:beforeLines="50" w:after="156" w:afterLines="50" w:line="360" w:lineRule="auto"/>
        <w:jc w:val="center"/>
        <w:outlineLvl w:val="9"/>
        <w:rPr>
          <w:rFonts w:hint="eastAsia" w:ascii="宋体" w:hAnsi="宋体" w:eastAsia="宋体" w:cs="宋体"/>
          <w:color w:val="auto"/>
          <w:sz w:val="32"/>
          <w:lang w:eastAsia="zh-CN"/>
        </w:rPr>
        <w:sectPr>
          <w:footerReference r:id="rId6" w:type="default"/>
          <w:pgSz w:w="11906" w:h="16838"/>
          <w:pgMar w:top="1417" w:right="1417" w:bottom="1417" w:left="1417" w:header="1134" w:footer="1134" w:gutter="0"/>
          <w:pgNumType w:fmt="decimal"/>
          <w:cols w:space="720" w:num="1"/>
          <w:rtlGutter w:val="0"/>
          <w:docGrid w:linePitch="312" w:charSpace="0"/>
        </w:sectPr>
      </w:pPr>
      <w:bookmarkStart w:id="398" w:name="_Toc30490"/>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center"/>
        <w:textAlignment w:val="auto"/>
        <w:outlineLvl w:val="1"/>
        <w:rPr>
          <w:rFonts w:hint="eastAsia" w:ascii="宋体" w:hAnsi="宋体" w:eastAsia="宋体" w:cs="宋体"/>
          <w:color w:val="auto"/>
          <w:sz w:val="32"/>
          <w:szCs w:val="32"/>
          <w:lang w:val="en-US" w:eastAsia="zh-CN"/>
        </w:rPr>
      </w:pPr>
      <w:bookmarkStart w:id="399" w:name="_Toc22348"/>
      <w:bookmarkStart w:id="400" w:name="_Toc26899"/>
      <w:r>
        <w:rPr>
          <w:rFonts w:hint="eastAsia" w:ascii="宋体" w:hAnsi="宋体" w:eastAsia="宋体" w:cs="宋体"/>
          <w:color w:val="auto"/>
          <w:sz w:val="32"/>
          <w:szCs w:val="32"/>
          <w:lang w:val="en-US" w:eastAsia="zh-CN"/>
        </w:rPr>
        <w:t>二、化学品泄漏事故现场处置方案</w:t>
      </w:r>
      <w:bookmarkEnd w:id="399"/>
      <w:bookmarkEnd w:id="400"/>
    </w:p>
    <w:p>
      <w:pPr>
        <w:pStyle w:val="5"/>
        <w:spacing w:before="0" w:after="0" w:line="360" w:lineRule="auto"/>
        <w:jc w:val="both"/>
        <w:rPr>
          <w:rFonts w:hint="eastAsia" w:ascii="宋体" w:hAnsi="宋体" w:eastAsia="宋体" w:cs="宋体"/>
          <w:b/>
          <w:bCs/>
          <w:color w:val="auto"/>
          <w:sz w:val="28"/>
          <w:szCs w:val="28"/>
          <w:lang w:val="zh-CN"/>
        </w:rPr>
      </w:pPr>
      <w:bookmarkStart w:id="401" w:name="_Toc12133"/>
      <w:bookmarkStart w:id="402" w:name="_Toc28904"/>
      <w:bookmarkStart w:id="403" w:name="_Toc30901"/>
      <w:r>
        <w:rPr>
          <w:rFonts w:hint="eastAsia" w:ascii="宋体" w:hAnsi="宋体" w:eastAsia="宋体" w:cs="宋体"/>
          <w:b/>
          <w:bCs/>
          <w:color w:val="auto"/>
          <w:sz w:val="28"/>
          <w:szCs w:val="28"/>
          <w:lang w:val="zh-CN"/>
        </w:rPr>
        <w:t>1、事故风险描述</w:t>
      </w:r>
      <w:bookmarkEnd w:id="401"/>
      <w:bookmarkEnd w:id="402"/>
      <w:bookmarkEnd w:id="403"/>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1.1 易燃液体储存、输送及装卸过程危险性分析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CN" w:eastAsia="zh-CN"/>
        </w:rPr>
        <w:t>）易燃液体脂肪烃、溶剂油、对二甲苯、仲丁醇、丁酮等储罐、 管道发生泄漏，容易发生火灾爆炸、中毒事故。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eastAsia="zh-CN"/>
        </w:rPr>
        <w:t>）若罐区未设置防火堤，防火堤高度不够，防火堤雨水排出口未设置截断阀，未设置直通事故应急池的管道，一旦发生储存的易燃液体大量泄漏事故，会造成泄漏物料沿地表向四周低洼处流淌，遇点火源可能发生火灾，甚至回燃引起罐体爆炸，使事故扩大；发生泄漏事故后，需进行灭火和对邻近罐进行冷却，含有储存物料的消防水也会四处流淌，造成环境污染等事故发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（3）若易燃液体储罐和管道未接地，法兰没有进行静电跨接，易造成静电积累，静电积累至一定程度放电时，遇物料泄漏或物料蒸汽与空气混合达到爆炸限时，可能引发火灾、爆炸事故。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（4）装卸易燃液体时，若槽车没有采取可靠接地的措施，物料输送过程中聚集的静电可能引发火灾、爆炸事故。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（5）若装卸易燃液体时采用软管，物料在软管内流动会产生静电， 卸料管道静电接地电阻增大或失效，易发生静电积聚放电，若遇爆炸性混合气体，可能发生火灾、爆炸。若使用的软管强度不够、存在材质缺陷等可能在使用过程中发生破裂引起易燃液体泄漏而发生火灾爆炸等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（6）若作业人员在操作过程中未穿戴必要的劳动保护用品，在装卸场所及罐区入口等处未设置消除人体静电等装置，当人体接触或吸入有毒蒸汽及气体，或发生物料泄漏时，会危害人员健康，使人员中毒。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（7）工作人员在装卸操作过程中，由于不慎员工可能从储罐或槽车上摔倒，造成人员伤亡。若作业人员违反操作规程致使在装卸过程中易燃液体泄漏，遇点火源可能发生火灾、爆炸事故。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（8）若易燃液体储罐区、泵区及装卸区的电器防爆装置损坏或由于其它原因产生电火花，遇泄漏的物料及其蒸气可能发生火灾、爆炸事故。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（9）若输送易燃液体的管道发生泄漏，易发生火灾爆炸、中毒事故。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lang w:val="zh-CN" w:eastAsia="zh-CN"/>
        </w:rPr>
        <w:t>）设置的储罐高，若设置的上罐扶梯及罐顶操作平台未设置栏杆。或设置不满足要求，可能发生高处坠落事故；梯步和平台未采取防滑措施， 遇雨天、滑绊等可能导致人员摔倒受伤。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（11）易燃液体储罐均为压力容器，若未定期进行探伤检测，不能及时发现易燃液体储罐罐体及焊缝的异常现象，可发生罐体穿孔，导致泄漏事故，造成人员伤亡。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（12）易燃液体储罐安全阀若未定期校验，在超压状态下不能及时有效地起到泄压作用，很可能造成罐体超压爆裂，大量物料泄漏，造成人员伤亡事故。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（13）若易燃液体罐区未按要求设置可燃有毒气体检测报警装置或损坏、失灵，发生泄漏时不能及时报警，不能及时控制初期事故，造成事故扩大。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（14）在灌装易燃液体的过程中，若从槽车上部接管，在灌装时，物料流动产生静电，容易发生安全事故。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（15）若设置的防火堤不同方位未设置人员进入罐区的人行踏步，人行踏步设置不合理等，可能因储罐发生泄漏等事故时，罐区内作业人员无法快速撤离，可能会对人员造成伤害。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（16）若储罐未设置液位计及高液位报警装置，容易发生储罐漫溢或抽瘪罐体等事故发生，造成财产损失和人员伤亡。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（17）若电机联轴器未设置防护装置，容易发生机械伤害事故；若电机金属外壳未接地，在异常状况下可能发生触电事故。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（18）若液体储罐未采取氮气保护，或罐顶未设置呼吸阀或阻火器， 挥发的易燃易爆蒸汽从通气管口排出，遇点火源有发生火灾爆炸的危险。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（19）若液体储罐顶部未设置水喷淋装置，在高温天气时，罐内物料受热加快挥发，从通气管口排出的易燃易爆蒸汽遇点火源有发生火灾爆炸的危险。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1.2 酸碱等腐蚀性物料储存、输送及装卸过程危险性分析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（1）若罐体、输送管路保养维护不当，发生裂口，或长期腐蚀造成穿孔,造成物料外泄会腐蚀周围设备或建筑，可能灼伤人员。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（2）若酸碱等腐蚀品储罐周围未设置防护堤或防护堤设置不合理， 若储罐发生大量泄漏，会造成酸碱大面积散流，引起设备腐蚀,人员伤亡和环境污染。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（3) 若酸碱腐蚀品储罐上若未安装液位计，在物料储存输送过程中， 工作人员只有通过人孔凭经验来判断液位的上升，若工作人员判断失误， 容易发生漫溢，四处流淌，腐蚀路基、设备设施等，还可能灼伤人员。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（4）若酸碱等腐蚀品储罐结合管处只采用一个阀门，若该阀门损坏， 发生酸碱泄漏，腐蚀路基、设备设施等，还可能灼伤人员。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（5）若储罐周围设置防护堤若高度不足，当储罐发生大量泄漏，会造成酸碱等腐蚀品大面积散流，引起设备腐蚀，人员伤亡和环境污染。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（6）若酸碱等腐蚀品储罐未设置防雷接地措施，遇雷击可能发生危险事故。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（7）若盐酸储罐采用钢质材料，容易发生腐蚀泄漏事故。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（8）若酸碱等腐蚀品储罐等场所地面、设备基础，围堰内壁等未进行防腐蚀处理，一旦发生酸泄漏，会对设备设施造成腐蚀。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（9）若酸碱等腐蚀品储存场所未设置必要的淋浴/洗眼器，若发生灼伤事故不能及时处理，将造成更大伤害。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1.3 其他危险化学品储存、运输及装卸过程危险性分析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（1）若桶装物料不按要求进行堆码，容易发生垮塌。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zh-CN" w:eastAsia="zh-CN"/>
        </w:rPr>
        <w:t>（2）物料运输、装卸过程中可能发生高处坠落、物体打击、车辆伤害的危害。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rPr>
        <w:t xml:space="preserve"> 事故发生的区域、地点或装置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zh-CN" w:eastAsia="zh-CN"/>
        </w:rPr>
        <w:t>工艺装置区、甲类储罐区、化学品储存和使用区等。</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en-US" w:eastAsia="zh-CN"/>
        </w:rPr>
        <w:t xml:space="preserve">1.5 </w:t>
      </w:r>
      <w:r>
        <w:rPr>
          <w:rFonts w:hint="eastAsia" w:ascii="宋体" w:hAnsi="宋体" w:eastAsia="宋体" w:cs="宋体"/>
          <w:b/>
          <w:bCs/>
          <w:color w:val="auto"/>
          <w:sz w:val="28"/>
          <w:szCs w:val="28"/>
          <w:lang w:val="zh-CN" w:eastAsia="zh-CN"/>
        </w:rPr>
        <w:t>事故前可能出现的征兆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浓烟或明火；液体流出；设备损坏。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rPr>
      </w:pPr>
      <w:r>
        <w:rPr>
          <w:rFonts w:hint="eastAsia" w:ascii="宋体" w:hAnsi="宋体" w:eastAsia="宋体" w:cs="宋体"/>
          <w:b/>
          <w:bCs/>
          <w:color w:val="auto"/>
          <w:sz w:val="28"/>
          <w:szCs w:val="28"/>
          <w:lang w:val="en-US" w:eastAsia="zh-CN"/>
        </w:rPr>
        <w:t xml:space="preserve">1.6 </w:t>
      </w:r>
      <w:r>
        <w:rPr>
          <w:rFonts w:hint="eastAsia" w:ascii="宋体" w:hAnsi="宋体" w:eastAsia="宋体" w:cs="宋体"/>
          <w:b/>
          <w:bCs/>
          <w:color w:val="auto"/>
          <w:sz w:val="28"/>
          <w:szCs w:val="28"/>
          <w:lang w:val="zh-CN"/>
        </w:rPr>
        <w:t>事故可能引发的次生、衍生事故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火灾爆炸、中毒和窒息、泄漏。</w:t>
      </w:r>
    </w:p>
    <w:p>
      <w:pPr>
        <w:pStyle w:val="5"/>
        <w:spacing w:before="0" w:after="0" w:line="360" w:lineRule="auto"/>
        <w:jc w:val="both"/>
        <w:rPr>
          <w:rFonts w:hint="eastAsia" w:ascii="宋体" w:hAnsi="宋体" w:eastAsia="宋体" w:cs="宋体"/>
          <w:b/>
          <w:bCs/>
          <w:color w:val="auto"/>
          <w:sz w:val="28"/>
          <w:szCs w:val="28"/>
          <w:lang w:val="zh-CN"/>
        </w:rPr>
      </w:pPr>
      <w:bookmarkStart w:id="404" w:name="_Toc28107"/>
      <w:bookmarkStart w:id="405" w:name="_Toc12764"/>
      <w:bookmarkStart w:id="406" w:name="_Toc22685"/>
      <w:r>
        <w:rPr>
          <w:rFonts w:hint="eastAsia" w:ascii="宋体" w:hAnsi="宋体" w:eastAsia="宋体" w:cs="宋体"/>
          <w:b/>
          <w:bCs/>
          <w:color w:val="auto"/>
          <w:sz w:val="28"/>
          <w:szCs w:val="28"/>
          <w:lang w:val="zh-CN"/>
        </w:rPr>
        <w:t>2、应急工作职责</w:t>
      </w:r>
      <w:bookmarkEnd w:id="404"/>
      <w:bookmarkEnd w:id="405"/>
      <w:bookmarkEnd w:id="40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w:t>
      </w:r>
      <w:r>
        <w:rPr>
          <w:rFonts w:hint="eastAsia" w:ascii="宋体" w:hAnsi="宋体" w:eastAsia="宋体" w:cs="宋体"/>
          <w:color w:val="auto"/>
          <w:sz w:val="28"/>
          <w:szCs w:val="28"/>
          <w:lang w:eastAsia="zh-CN"/>
        </w:rPr>
        <w:t>危化品泄漏</w:t>
      </w:r>
      <w:r>
        <w:rPr>
          <w:rFonts w:hint="eastAsia" w:ascii="宋体" w:hAnsi="宋体" w:eastAsia="宋体" w:cs="宋体"/>
          <w:color w:val="auto"/>
          <w:sz w:val="28"/>
          <w:szCs w:val="28"/>
        </w:rPr>
        <w:t>，应立即高声</w:t>
      </w:r>
      <w:r>
        <w:rPr>
          <w:rFonts w:hint="eastAsia" w:ascii="宋体" w:hAnsi="宋体" w:eastAsia="宋体" w:cs="宋体"/>
          <w:color w:val="auto"/>
          <w:sz w:val="28"/>
          <w:szCs w:val="28"/>
          <w:lang w:eastAsia="zh-CN"/>
        </w:rPr>
        <w:t>告知并采取堵漏措施</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在确保自身安全的情况下，应立即执行现场应急处置措施。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407" w:name="_Toc30273"/>
      <w:bookmarkStart w:id="408" w:name="_Toc27826"/>
      <w:bookmarkStart w:id="409" w:name="_Toc30894"/>
      <w:r>
        <w:rPr>
          <w:rFonts w:hint="eastAsia" w:ascii="宋体" w:hAnsi="宋体" w:eastAsia="宋体" w:cs="宋体"/>
          <w:b/>
          <w:bCs/>
          <w:color w:val="auto"/>
          <w:sz w:val="28"/>
          <w:szCs w:val="28"/>
          <w:lang w:val="zh-CN"/>
        </w:rPr>
        <w:t>3、应急处置</w:t>
      </w:r>
      <w:bookmarkEnd w:id="407"/>
      <w:bookmarkEnd w:id="408"/>
      <w:bookmarkEnd w:id="40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color w:val="auto"/>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661"/>
        <w:gridCol w:w="1578"/>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661"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57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291"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66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发出泄漏预警或事故警报</w:t>
            </w:r>
          </w:p>
        </w:tc>
        <w:tc>
          <w:tcPr>
            <w:tcW w:w="157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29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w:t>
            </w:r>
            <w:r>
              <w:rPr>
                <w:rFonts w:hint="eastAsia" w:eastAsia="宋体" w:cs="宋体"/>
                <w:color w:val="auto"/>
                <w:sz w:val="24"/>
                <w:szCs w:val="24"/>
                <w:vertAlign w:val="baseline"/>
                <w:lang w:val="en-US" w:eastAsia="zh-CN"/>
              </w:rPr>
              <w:t>管道</w:t>
            </w:r>
            <w:r>
              <w:rPr>
                <w:rFonts w:hint="eastAsia" w:ascii="宋体" w:hAnsi="宋体" w:eastAsia="宋体" w:cs="宋体"/>
                <w:color w:val="auto"/>
                <w:sz w:val="24"/>
                <w:szCs w:val="24"/>
                <w:vertAlign w:val="baseline"/>
                <w:lang w:val="en-US" w:eastAsia="zh-CN"/>
              </w:rPr>
              <w:t>破了，快来帮忙”获取周围人员支援。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66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57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29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②报告上级主管或总经理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66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57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现场作业人员</w:t>
            </w:r>
          </w:p>
        </w:tc>
        <w:tc>
          <w:tcPr>
            <w:tcW w:w="529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①利用</w:t>
            </w:r>
            <w:r>
              <w:rPr>
                <w:rFonts w:hint="eastAsia" w:eastAsia="宋体" w:cs="宋体"/>
                <w:color w:val="auto"/>
                <w:sz w:val="24"/>
                <w:szCs w:val="24"/>
                <w:vertAlign w:val="baseline"/>
                <w:lang w:val="en-US" w:eastAsia="zh-CN"/>
              </w:rPr>
              <w:t>吸附剂</w:t>
            </w:r>
            <w:r>
              <w:rPr>
                <w:rFonts w:hint="eastAsia" w:ascii="宋体" w:hAnsi="宋体" w:eastAsia="宋体" w:cs="宋体"/>
                <w:color w:val="auto"/>
                <w:sz w:val="24"/>
                <w:szCs w:val="24"/>
                <w:vertAlign w:val="baseline"/>
                <w:lang w:val="en-US" w:eastAsia="zh-CN"/>
              </w:rPr>
              <w:t>、沙土等吸收泄漏的</w:t>
            </w:r>
            <w:r>
              <w:rPr>
                <w:rFonts w:hint="eastAsia" w:eastAsia="宋体" w:cs="宋体"/>
                <w:color w:val="auto"/>
                <w:sz w:val="24"/>
                <w:szCs w:val="24"/>
                <w:vertAlign w:val="baseline"/>
                <w:lang w:val="en-US" w:eastAsia="zh-CN"/>
              </w:rPr>
              <w:t>危化品</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②引导已</w:t>
            </w:r>
            <w:r>
              <w:rPr>
                <w:rFonts w:hint="eastAsia" w:eastAsia="宋体" w:cs="宋体"/>
                <w:color w:val="auto"/>
                <w:sz w:val="24"/>
                <w:szCs w:val="24"/>
                <w:vertAlign w:val="baseline"/>
                <w:lang w:val="en-US" w:eastAsia="zh-CN"/>
              </w:rPr>
              <w:t>泄漏</w:t>
            </w:r>
            <w:r>
              <w:rPr>
                <w:rFonts w:hint="eastAsia" w:ascii="宋体" w:hAnsi="宋体" w:eastAsia="宋体" w:cs="宋体"/>
                <w:color w:val="auto"/>
                <w:sz w:val="24"/>
                <w:szCs w:val="24"/>
                <w:vertAlign w:val="baseline"/>
                <w:lang w:val="en-US" w:eastAsia="zh-CN"/>
              </w:rPr>
              <w:t>的</w:t>
            </w:r>
            <w:r>
              <w:rPr>
                <w:rFonts w:hint="eastAsia" w:eastAsia="宋体" w:cs="宋体"/>
                <w:color w:val="auto"/>
                <w:sz w:val="24"/>
                <w:szCs w:val="24"/>
                <w:vertAlign w:val="baseline"/>
                <w:lang w:val="en-US" w:eastAsia="zh-CN"/>
              </w:rPr>
              <w:t>危化品</w:t>
            </w:r>
            <w:r>
              <w:rPr>
                <w:rFonts w:hint="eastAsia" w:ascii="宋体" w:hAnsi="宋体" w:eastAsia="宋体" w:cs="宋体"/>
                <w:color w:val="auto"/>
                <w:sz w:val="24"/>
                <w:szCs w:val="24"/>
                <w:vertAlign w:val="baseline"/>
                <w:lang w:val="en-US" w:eastAsia="zh-CN"/>
              </w:rPr>
              <w:t>流向，保护未泄漏区域安全。</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③切断设备开关、</w:t>
            </w:r>
            <w:r>
              <w:rPr>
                <w:rFonts w:hint="eastAsia" w:eastAsia="宋体" w:cs="宋体"/>
                <w:color w:val="auto"/>
                <w:sz w:val="24"/>
                <w:szCs w:val="24"/>
                <w:vertAlign w:val="baseline"/>
                <w:lang w:val="en-US" w:eastAsia="zh-CN"/>
              </w:rPr>
              <w:t>管道阀门、</w:t>
            </w:r>
            <w:r>
              <w:rPr>
                <w:rFonts w:hint="eastAsia" w:ascii="宋体" w:hAnsi="宋体" w:eastAsia="宋体" w:cs="宋体"/>
                <w:color w:val="auto"/>
                <w:sz w:val="24"/>
                <w:szCs w:val="24"/>
                <w:vertAlign w:val="baseline"/>
                <w:lang w:val="en-US" w:eastAsia="zh-CN"/>
              </w:rPr>
              <w:t>电源开关等，转移受威胁的可燃物料。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66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57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29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现场处置人员判断无法有效控制</w:t>
            </w:r>
            <w:r>
              <w:rPr>
                <w:rFonts w:hint="eastAsia" w:eastAsia="宋体" w:cs="宋体"/>
                <w:color w:val="auto"/>
                <w:sz w:val="24"/>
                <w:szCs w:val="24"/>
                <w:vertAlign w:val="baseline"/>
                <w:lang w:val="en-US" w:eastAsia="zh-CN"/>
              </w:rPr>
              <w:t>危化品泄漏</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被其他衍生事故威胁；</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泄漏区域极有可能发生火灾危险。</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立即向应急值班室或总经理报告，请求相应升级，说明事故位置、泄漏部位、发展事态。</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组织现场人员撤离，确认现场隐蔽、独立场所人员已经疏散，所有人到紧急集合点集合。</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关闭泄漏区域门窗延缓泄漏区域扩大。</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后续及措施见《</w:t>
            </w:r>
            <w:r>
              <w:rPr>
                <w:rFonts w:hint="eastAsia" w:eastAsia="宋体" w:cs="宋体"/>
                <w:color w:val="auto"/>
                <w:sz w:val="24"/>
                <w:szCs w:val="24"/>
                <w:vertAlign w:val="baseline"/>
                <w:lang w:val="en-US" w:eastAsia="zh-CN"/>
              </w:rPr>
              <w:t>危化品泄漏</w:t>
            </w:r>
            <w:r>
              <w:rPr>
                <w:rFonts w:hint="eastAsia" w:ascii="宋体" w:hAnsi="宋体" w:eastAsia="宋体" w:cs="宋体"/>
                <w:color w:val="auto"/>
                <w:sz w:val="24"/>
                <w:szCs w:val="24"/>
                <w:vertAlign w:val="baseline"/>
                <w:lang w:val="en-US" w:eastAsia="zh-CN"/>
              </w:rPr>
              <w:t>事故专项应急预案》</w:t>
            </w:r>
          </w:p>
        </w:tc>
      </w:tr>
    </w:tbl>
    <w:p>
      <w:pPr>
        <w:pStyle w:val="2"/>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rPr>
      </w:pPr>
      <w:r>
        <w:rPr>
          <w:rFonts w:hint="eastAsia" w:ascii="宋体" w:hAnsi="宋体" w:eastAsia="宋体" w:cs="宋体"/>
          <w:b/>
          <w:bCs/>
          <w:color w:val="auto"/>
          <w:sz w:val="28"/>
          <w:szCs w:val="28"/>
          <w:lang w:val="zh-CN"/>
        </w:rPr>
        <w:t>3.2现场应急处置措施</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w:t>
      </w:r>
      <w:r>
        <w:rPr>
          <w:rFonts w:hint="eastAsia" w:eastAsia="宋体" w:cs="宋体"/>
          <w:color w:val="auto"/>
          <w:sz w:val="28"/>
          <w:szCs w:val="28"/>
          <w:lang w:eastAsia="zh-CN"/>
        </w:rPr>
        <w:t>措施</w:t>
      </w:r>
      <w:r>
        <w:rPr>
          <w:rFonts w:hint="eastAsia" w:ascii="宋体" w:hAnsi="宋体" w:eastAsia="宋体" w:cs="宋体"/>
          <w:color w:val="auto"/>
          <w:sz w:val="28"/>
          <w:szCs w:val="28"/>
          <w:lang w:eastAsia="zh-CN"/>
        </w:rPr>
        <w:t>如下</w:t>
      </w:r>
      <w:r>
        <w:rPr>
          <w:rFonts w:hint="eastAsia" w:eastAsia="宋体" w:cs="宋体"/>
          <w:color w:val="auto"/>
          <w:sz w:val="28"/>
          <w:szCs w:val="28"/>
          <w:lang w:eastAsia="zh-CN"/>
        </w:rPr>
        <w:t>：</w:t>
      </w:r>
    </w:p>
    <w:p>
      <w:pPr>
        <w:pStyle w:val="43"/>
        <w:pageBreakBefore w:val="0"/>
        <w:kinsoku/>
        <w:wordWrap/>
        <w:overflowPunct/>
        <w:topLinePunct w:val="0"/>
        <w:autoSpaceDE/>
        <w:autoSpaceDN/>
        <w:bidi w:val="0"/>
        <w:adjustRightInd/>
        <w:snapToGrid w:val="0"/>
        <w:spacing w:before="0" w:after="0" w:line="360" w:lineRule="auto"/>
        <w:ind w:firstLine="562" w:firstLineChars="200"/>
        <w:jc w:val="both"/>
        <w:textAlignment w:val="auto"/>
        <w:rPr>
          <w:rFonts w:hint="eastAsia" w:ascii="宋体" w:hAnsi="宋体" w:eastAsia="宋体" w:cs="宋体"/>
          <w:b/>
          <w:bCs/>
          <w:color w:val="auto"/>
          <w:sz w:val="28"/>
          <w:szCs w:val="28"/>
          <w:lang w:eastAsia="zh-CN"/>
        </w:rPr>
      </w:pPr>
      <w:r>
        <w:rPr>
          <w:rFonts w:hint="eastAsia" w:eastAsia="宋体" w:cs="宋体"/>
          <w:b/>
          <w:bCs/>
          <w:color w:val="auto"/>
          <w:sz w:val="28"/>
          <w:szCs w:val="28"/>
          <w:lang w:eastAsia="zh-CN"/>
        </w:rPr>
        <w:t>（一）</w:t>
      </w:r>
      <w:r>
        <w:rPr>
          <w:rFonts w:hint="eastAsia" w:ascii="宋体" w:hAnsi="宋体" w:eastAsia="宋体" w:cs="宋体"/>
          <w:b/>
          <w:bCs/>
          <w:color w:val="auto"/>
          <w:sz w:val="28"/>
          <w:szCs w:val="28"/>
          <w:lang w:eastAsia="zh-CN"/>
        </w:rPr>
        <w:t>进入泄漏现场进行处理时，应注意</w:t>
      </w:r>
      <w:r>
        <w:rPr>
          <w:rFonts w:hint="eastAsia" w:eastAsia="宋体" w:cs="宋体"/>
          <w:b/>
          <w:bCs/>
          <w:color w:val="auto"/>
          <w:sz w:val="28"/>
          <w:szCs w:val="28"/>
          <w:lang w:val="en-US" w:eastAsia="zh-CN"/>
        </w:rPr>
        <w:t>:</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1）进入现场救援人员必须配备必要的个人防护器具。</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2）事故中心区应严禁一切火种，切断电源，禁止车辆进入，立即在边界设置警戒线。根据事故发生情况和事故进展，确定事故波及区人员的撤离方向及有关措施。</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3）</w:t>
      </w:r>
      <w:r>
        <w:rPr>
          <w:rFonts w:hint="eastAsia" w:eastAsia="宋体" w:cs="宋体"/>
          <w:color w:val="auto"/>
          <w:sz w:val="28"/>
          <w:szCs w:val="28"/>
          <w:lang w:eastAsia="zh-CN"/>
        </w:rPr>
        <w:t>危化品</w:t>
      </w:r>
      <w:r>
        <w:rPr>
          <w:rFonts w:hint="eastAsia" w:ascii="宋体" w:hAnsi="宋体" w:eastAsia="宋体" w:cs="宋体"/>
          <w:color w:val="auto"/>
          <w:sz w:val="28"/>
          <w:szCs w:val="28"/>
          <w:lang w:eastAsia="zh-CN"/>
        </w:rPr>
        <w:t>少量泄漏可采取沙子吸着等措施防止其流到地面并尽量避免流入排水口。</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4）应急处理时要服从统一指挥，严禁单独行动。</w:t>
      </w:r>
    </w:p>
    <w:p>
      <w:pPr>
        <w:pStyle w:val="43"/>
        <w:pageBreakBefore w:val="0"/>
        <w:kinsoku/>
        <w:wordWrap/>
        <w:overflowPunct/>
        <w:topLinePunct w:val="0"/>
        <w:autoSpaceDE/>
        <w:autoSpaceDN/>
        <w:bidi w:val="0"/>
        <w:adjustRightInd/>
        <w:snapToGrid w:val="0"/>
        <w:spacing w:before="0" w:after="0" w:line="360" w:lineRule="auto"/>
        <w:ind w:firstLine="562" w:firstLineChars="200"/>
        <w:jc w:val="both"/>
        <w:textAlignment w:val="auto"/>
        <w:rPr>
          <w:rFonts w:hint="eastAsia" w:ascii="宋体" w:hAnsi="宋体" w:eastAsia="宋体" w:cs="宋体"/>
          <w:b/>
          <w:bCs/>
          <w:color w:val="auto"/>
          <w:sz w:val="28"/>
          <w:szCs w:val="28"/>
          <w:lang w:eastAsia="zh-CN"/>
        </w:rPr>
      </w:pPr>
      <w:r>
        <w:rPr>
          <w:rFonts w:hint="eastAsia" w:eastAsia="宋体" w:cs="宋体"/>
          <w:b/>
          <w:bCs/>
          <w:color w:val="auto"/>
          <w:sz w:val="28"/>
          <w:szCs w:val="28"/>
          <w:lang w:eastAsia="zh-CN"/>
        </w:rPr>
        <w:t>（二）紧急措施</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eastAsia="宋体" w:cs="宋体"/>
          <w:color w:val="auto"/>
          <w:sz w:val="28"/>
          <w:szCs w:val="28"/>
          <w:lang w:eastAsia="zh-CN"/>
        </w:rPr>
      </w:pPr>
      <w:r>
        <w:rPr>
          <w:rFonts w:hint="eastAsia" w:eastAsia="宋体" w:cs="宋体"/>
          <w:color w:val="auto"/>
          <w:sz w:val="28"/>
          <w:szCs w:val="28"/>
          <w:lang w:eastAsia="zh-CN"/>
        </w:rPr>
        <w:t>（</w:t>
      </w:r>
      <w:r>
        <w:rPr>
          <w:rFonts w:hint="eastAsia" w:eastAsia="宋体" w:cs="宋体"/>
          <w:color w:val="auto"/>
          <w:sz w:val="28"/>
          <w:szCs w:val="28"/>
          <w:lang w:val="en-US" w:eastAsia="zh-CN"/>
        </w:rPr>
        <w:t>1</w:t>
      </w:r>
      <w:r>
        <w:rPr>
          <w:rFonts w:hint="eastAsia" w:eastAsia="宋体" w:cs="宋体"/>
          <w:color w:val="auto"/>
          <w:sz w:val="28"/>
          <w:szCs w:val="28"/>
          <w:lang w:eastAsia="zh-CN"/>
        </w:rPr>
        <w:t>）危化品皮肤接触：立即脱去污染的衣着，用肥皂水和清水彻底冲洗皮肤。</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eastAsia="宋体" w:cs="宋体"/>
          <w:color w:val="auto"/>
          <w:sz w:val="28"/>
          <w:szCs w:val="28"/>
          <w:lang w:eastAsia="zh-CN"/>
        </w:rPr>
      </w:pPr>
      <w:r>
        <w:rPr>
          <w:rFonts w:hint="eastAsia" w:eastAsia="宋体" w:cs="宋体"/>
          <w:color w:val="auto"/>
          <w:sz w:val="28"/>
          <w:szCs w:val="28"/>
          <w:lang w:eastAsia="zh-CN"/>
        </w:rPr>
        <w:t>（</w:t>
      </w:r>
      <w:r>
        <w:rPr>
          <w:rFonts w:hint="eastAsia" w:eastAsia="宋体" w:cs="宋体"/>
          <w:color w:val="auto"/>
          <w:sz w:val="28"/>
          <w:szCs w:val="28"/>
          <w:lang w:val="en-US" w:eastAsia="zh-CN"/>
        </w:rPr>
        <w:t>2</w:t>
      </w:r>
      <w:r>
        <w:rPr>
          <w:rFonts w:hint="eastAsia" w:eastAsia="宋体" w:cs="宋体"/>
          <w:color w:val="auto"/>
          <w:sz w:val="28"/>
          <w:szCs w:val="28"/>
          <w:lang w:eastAsia="zh-CN"/>
        </w:rPr>
        <w:t>）危化品眼睛接触：立即提起眼睑，用大量流动清水或生理盐水彻底冲洗至少15分钟。</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eastAsia="宋体" w:cs="宋体"/>
          <w:color w:val="auto"/>
          <w:sz w:val="28"/>
          <w:szCs w:val="28"/>
          <w:lang w:eastAsia="zh-CN"/>
        </w:rPr>
      </w:pPr>
      <w:r>
        <w:rPr>
          <w:rFonts w:hint="eastAsia" w:eastAsia="宋体" w:cs="宋体"/>
          <w:color w:val="auto"/>
          <w:sz w:val="28"/>
          <w:szCs w:val="28"/>
          <w:lang w:eastAsia="zh-CN"/>
        </w:rPr>
        <w:t>（</w:t>
      </w:r>
      <w:r>
        <w:rPr>
          <w:rFonts w:hint="eastAsia" w:eastAsia="宋体" w:cs="宋体"/>
          <w:color w:val="auto"/>
          <w:sz w:val="28"/>
          <w:szCs w:val="28"/>
          <w:lang w:val="en-US" w:eastAsia="zh-CN"/>
        </w:rPr>
        <w:t>3</w:t>
      </w:r>
      <w:r>
        <w:rPr>
          <w:rFonts w:hint="eastAsia" w:eastAsia="宋体" w:cs="宋体"/>
          <w:color w:val="auto"/>
          <w:sz w:val="28"/>
          <w:szCs w:val="28"/>
          <w:lang w:eastAsia="zh-CN"/>
        </w:rPr>
        <w:t>）危化品吸入：迅速脱离现场至空气新鲜处。保持呼吸道通畅。如呼吸停止，立即进行人工呼吸。</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eastAsia="宋体" w:cs="宋体"/>
          <w:color w:val="auto"/>
          <w:sz w:val="28"/>
          <w:szCs w:val="28"/>
          <w:lang w:eastAsia="zh-CN"/>
        </w:rPr>
      </w:pPr>
      <w:r>
        <w:rPr>
          <w:rFonts w:hint="eastAsia" w:eastAsia="宋体" w:cs="宋体"/>
          <w:color w:val="auto"/>
          <w:sz w:val="28"/>
          <w:szCs w:val="28"/>
          <w:lang w:eastAsia="zh-CN"/>
        </w:rPr>
        <w:t>（</w:t>
      </w:r>
      <w:r>
        <w:rPr>
          <w:rFonts w:hint="eastAsia" w:eastAsia="宋体" w:cs="宋体"/>
          <w:color w:val="auto"/>
          <w:sz w:val="28"/>
          <w:szCs w:val="28"/>
          <w:lang w:val="en-US" w:eastAsia="zh-CN"/>
        </w:rPr>
        <w:t>4</w:t>
      </w:r>
      <w:r>
        <w:rPr>
          <w:rFonts w:hint="eastAsia" w:eastAsia="宋体" w:cs="宋体"/>
          <w:color w:val="auto"/>
          <w:sz w:val="28"/>
          <w:szCs w:val="28"/>
          <w:lang w:eastAsia="zh-CN"/>
        </w:rPr>
        <w:t>）危化品食入：用水漱口，给饮牛奶或蛋清。及时就医。</w:t>
      </w:r>
    </w:p>
    <w:p>
      <w:pPr>
        <w:pStyle w:val="43"/>
        <w:pageBreakBefore w:val="0"/>
        <w:kinsoku/>
        <w:wordWrap/>
        <w:overflowPunct/>
        <w:topLinePunct w:val="0"/>
        <w:autoSpaceDE/>
        <w:autoSpaceDN/>
        <w:bidi w:val="0"/>
        <w:adjustRightInd/>
        <w:snapToGrid w:val="0"/>
        <w:spacing w:before="0" w:after="0" w:line="360" w:lineRule="auto"/>
        <w:ind w:firstLine="562" w:firstLineChars="200"/>
        <w:jc w:val="both"/>
        <w:textAlignment w:val="auto"/>
        <w:rPr>
          <w:rFonts w:hint="eastAsia" w:eastAsia="宋体" w:cs="宋体"/>
          <w:b/>
          <w:bCs/>
          <w:color w:val="auto"/>
          <w:sz w:val="28"/>
          <w:szCs w:val="28"/>
          <w:lang w:eastAsia="zh-CN"/>
        </w:rPr>
      </w:pPr>
    </w:p>
    <w:p>
      <w:pPr>
        <w:pStyle w:val="43"/>
        <w:pageBreakBefore w:val="0"/>
        <w:kinsoku/>
        <w:wordWrap/>
        <w:overflowPunct/>
        <w:topLinePunct w:val="0"/>
        <w:autoSpaceDE/>
        <w:autoSpaceDN/>
        <w:bidi w:val="0"/>
        <w:adjustRightInd/>
        <w:snapToGrid w:val="0"/>
        <w:spacing w:before="0" w:after="0" w:line="360" w:lineRule="auto"/>
        <w:ind w:firstLine="562" w:firstLineChars="200"/>
        <w:jc w:val="both"/>
        <w:textAlignment w:val="auto"/>
        <w:rPr>
          <w:rFonts w:hint="eastAsia" w:ascii="宋体" w:hAnsi="宋体" w:eastAsia="宋体" w:cs="宋体"/>
          <w:b/>
          <w:bCs/>
          <w:color w:val="auto"/>
          <w:sz w:val="28"/>
          <w:szCs w:val="28"/>
          <w:lang w:eastAsia="zh-CN"/>
        </w:rPr>
      </w:pPr>
      <w:r>
        <w:rPr>
          <w:rFonts w:hint="eastAsia" w:eastAsia="宋体" w:cs="宋体"/>
          <w:b/>
          <w:bCs/>
          <w:color w:val="auto"/>
          <w:sz w:val="28"/>
          <w:szCs w:val="28"/>
          <w:lang w:eastAsia="zh-CN"/>
        </w:rPr>
        <w:t>（三）</w:t>
      </w:r>
      <w:r>
        <w:rPr>
          <w:rFonts w:hint="eastAsia" w:ascii="宋体" w:hAnsi="宋体" w:eastAsia="宋体" w:cs="宋体"/>
          <w:b/>
          <w:bCs/>
          <w:color w:val="auto"/>
          <w:sz w:val="28"/>
          <w:szCs w:val="28"/>
          <w:lang w:eastAsia="zh-CN"/>
        </w:rPr>
        <w:t>泄漏源控制</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1)迅速采取关闭阀门、停止作业或改变工艺流程、物料走副线、局部停车、打循环、减负荷运行等措施。</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2)堵漏，采用合适的材料和堵漏技术手段堵住泄漏处。</w:t>
      </w:r>
    </w:p>
    <w:p>
      <w:pPr>
        <w:pStyle w:val="43"/>
        <w:pageBreakBefore w:val="0"/>
        <w:kinsoku/>
        <w:wordWrap/>
        <w:overflowPunct/>
        <w:topLinePunct w:val="0"/>
        <w:autoSpaceDE/>
        <w:autoSpaceDN/>
        <w:bidi w:val="0"/>
        <w:adjustRightInd/>
        <w:snapToGrid w:val="0"/>
        <w:spacing w:before="0" w:after="0" w:line="360" w:lineRule="auto"/>
        <w:ind w:firstLine="562" w:firstLineChars="200"/>
        <w:jc w:val="both"/>
        <w:textAlignment w:val="auto"/>
        <w:rPr>
          <w:rFonts w:hint="eastAsia" w:ascii="宋体" w:hAnsi="宋体" w:eastAsia="宋体" w:cs="宋体"/>
          <w:b/>
          <w:bCs/>
          <w:color w:val="auto"/>
          <w:sz w:val="28"/>
          <w:szCs w:val="28"/>
          <w:lang w:eastAsia="zh-CN"/>
        </w:rPr>
      </w:pPr>
      <w:r>
        <w:rPr>
          <w:rFonts w:hint="eastAsia" w:eastAsia="宋体" w:cs="宋体"/>
          <w:b/>
          <w:bCs/>
          <w:color w:val="auto"/>
          <w:sz w:val="28"/>
          <w:szCs w:val="28"/>
          <w:lang w:eastAsia="zh-CN"/>
        </w:rPr>
        <w:t>（四）</w:t>
      </w:r>
      <w:r>
        <w:rPr>
          <w:rFonts w:hint="eastAsia" w:ascii="宋体" w:hAnsi="宋体" w:eastAsia="宋体" w:cs="宋体"/>
          <w:b/>
          <w:bCs/>
          <w:color w:val="auto"/>
          <w:sz w:val="28"/>
          <w:szCs w:val="28"/>
          <w:lang w:eastAsia="zh-CN"/>
        </w:rPr>
        <w:t>泄漏物处理</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1)围堤堵截：筑堤堵截泄漏液体或者引流到安全地点。</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2)稀释与覆盖：对于可燃物，也可以在现场施放大量水蒸气或氮气。破坏燃烧条件。对于液体泄漏，为降低物料向大气中的蒸发速度，可用泡沫或其他覆盖物品覆盖外泄的物料，在其表面形成覆盖层，抑制其蒸发。</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3)收容(集)：对于大量泄漏，可选择用防爆泵将泄漏出的物料抽入容器内；当泄漏量小时，可用吸附材料、中和材料等吸收中和，并收集到密闭容器中。</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eastAsia="宋体" w:cs="宋体"/>
          <w:color w:val="auto"/>
          <w:sz w:val="28"/>
          <w:szCs w:val="28"/>
          <w:lang w:eastAsia="zh-CN"/>
        </w:rPr>
        <w:t>（</w:t>
      </w:r>
      <w:r>
        <w:rPr>
          <w:rFonts w:hint="eastAsia" w:ascii="宋体" w:hAnsi="宋体" w:eastAsia="宋体" w:cs="宋体"/>
          <w:color w:val="auto"/>
          <w:sz w:val="28"/>
          <w:szCs w:val="28"/>
          <w:lang w:eastAsia="zh-CN"/>
        </w:rPr>
        <w:t>4)废弃：将收集的泄漏物按照国家有关危险废弃物的处理法规处置。用消防水冲洗剩下的少量物料，冲洗水根据泄漏物性质排入污水系统处理或统一收集处理。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 报告事项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3.3.1报警电话及联系方式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报警电话及联系方式见综合预案。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3.3.2报告内容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事故发生的时间和地点。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人员伤亡情况。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已采取的措施。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报告人及电话。</w:t>
      </w:r>
    </w:p>
    <w:p>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宋体" w:hAnsi="宋体" w:eastAsia="宋体" w:cs="宋体"/>
          <w:b/>
          <w:color w:val="auto"/>
          <w:kern w:val="0"/>
          <w:sz w:val="28"/>
          <w:szCs w:val="28"/>
          <w:lang w:eastAsia="zh-CN"/>
        </w:rPr>
      </w:pPr>
      <w:bookmarkStart w:id="410" w:name="_Toc15394"/>
      <w:bookmarkStart w:id="411" w:name="_Toc29548"/>
      <w:bookmarkStart w:id="412" w:name="_Toc22329"/>
      <w:bookmarkStart w:id="413" w:name="_Toc21651"/>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eastAsia="zh-CN"/>
        </w:rPr>
        <w:t>注意事项</w:t>
      </w:r>
      <w:bookmarkEnd w:id="410"/>
      <w:bookmarkEnd w:id="411"/>
      <w:bookmarkEnd w:id="412"/>
      <w:bookmarkEnd w:id="41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（1）进入现场救援人员必须配备必要的个人防护器具。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（2）首先检查抢险救援器材是否完好，正确使用抢险救援器材。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（3）现场应急处置抢险人员必须由2人以上组成，即至少有一监护人；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（4）事故中心区应严禁一切火种，切断电源，禁止车辆进入，立即在边界设置警戒线。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（5）根据事故发生情况和事故进展，确定事故波及区人员的撤离方向及有关措施。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（6）危化品少量泄漏可采取沙子吸着等措施防止其流到地面并尽量避免流入排水口。</w:t>
      </w:r>
    </w:p>
    <w:p>
      <w:pPr>
        <w:pStyle w:val="4"/>
        <w:keepNext w:val="0"/>
        <w:keepLines w:val="0"/>
        <w:widowControl/>
        <w:numPr>
          <w:ilvl w:val="0"/>
          <w:numId w:val="0"/>
        </w:numPr>
        <w:adjustRightInd w:val="0"/>
        <w:snapToGrid w:val="0"/>
        <w:spacing w:before="156" w:beforeLines="50" w:after="156" w:afterLines="50" w:line="360" w:lineRule="auto"/>
        <w:jc w:val="center"/>
        <w:outlineLvl w:val="9"/>
        <w:rPr>
          <w:rFonts w:hint="eastAsia" w:ascii="宋体" w:hAnsi="宋体" w:eastAsia="宋体" w:cs="宋体"/>
          <w:color w:val="auto"/>
          <w:sz w:val="32"/>
          <w:lang w:eastAsia="zh-CN"/>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414" w:name="_Toc18976"/>
      <w:bookmarkStart w:id="415" w:name="_Toc23117"/>
      <w:bookmarkStart w:id="416" w:name="_Toc16737"/>
      <w:r>
        <w:rPr>
          <w:rFonts w:hint="eastAsia" w:ascii="宋体" w:hAnsi="宋体" w:eastAsia="宋体" w:cs="宋体"/>
          <w:color w:val="auto"/>
          <w:sz w:val="32"/>
          <w:lang w:eastAsia="zh-CN"/>
        </w:rPr>
        <w:t>三</w:t>
      </w:r>
      <w:r>
        <w:rPr>
          <w:rFonts w:hint="eastAsia" w:ascii="宋体" w:hAnsi="宋体" w:eastAsia="宋体" w:cs="宋体"/>
          <w:color w:val="auto"/>
          <w:sz w:val="32"/>
        </w:rPr>
        <w:t>、触电事故现场处置方案</w:t>
      </w:r>
      <w:bookmarkEnd w:id="414"/>
      <w:bookmarkEnd w:id="415"/>
    </w:p>
    <w:p>
      <w:pPr>
        <w:pStyle w:val="5"/>
        <w:spacing w:before="0" w:after="0" w:line="360" w:lineRule="auto"/>
        <w:jc w:val="both"/>
        <w:rPr>
          <w:rFonts w:hint="eastAsia" w:ascii="宋体" w:hAnsi="宋体" w:eastAsia="宋体" w:cs="宋体"/>
          <w:b/>
          <w:bCs/>
          <w:color w:val="auto"/>
          <w:sz w:val="28"/>
          <w:szCs w:val="28"/>
          <w:lang w:val="zh-CN"/>
        </w:rPr>
      </w:pPr>
      <w:bookmarkStart w:id="417" w:name="_Toc24938"/>
      <w:bookmarkStart w:id="418" w:name="_Toc22480"/>
      <w:bookmarkStart w:id="419" w:name="_Toc21459"/>
      <w:r>
        <w:rPr>
          <w:rFonts w:hint="eastAsia" w:ascii="宋体" w:hAnsi="宋体" w:eastAsia="宋体" w:cs="宋体"/>
          <w:b/>
          <w:bCs/>
          <w:color w:val="auto"/>
          <w:sz w:val="28"/>
          <w:szCs w:val="28"/>
          <w:lang w:val="zh-CN"/>
        </w:rPr>
        <w:t>1、事故风险描述</w:t>
      </w:r>
      <w:bookmarkEnd w:id="417"/>
      <w:bookmarkEnd w:id="418"/>
      <w:bookmarkEnd w:id="41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1.1 危险性分析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动力、照明系统广泛遍布全厂，若遇电气设备缺陷、不合规范、屏护不符合规范、失效、设备接地（接零）保护不良或失效，运行操作失误、违章操作、检修，试验安全技术组织措施不当，人员过失或偶然事件等因素，均可能导致人员触碰高、低压带电体的直接触电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电气设备和使用的电动工具漏电，人员触碰其金属外壳，在接地（零）不良或漏电保护失效等情况，均有导致人员二次触电的危险。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在电气设备检修工作中，由于安全、技术组织不当等因素，如无挂上“禁止合闸”警示牌、违反电气检修规程等，都可能造成人员触碰高压或低压带电体的直接触电伤害。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临时用电线路、设施无按规范安装（尤其是临时线拖地和地面积水），无办临时审批手续。设备检修中的移动照明无采用安全电压。都可能造成人员触电伤害。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雷雨天气，防雷设施无定期检测或失效，亦会使人员遭受雷击伤害。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触电事故类型可分为电击事故和电伤事故。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当流经人体电流大于10mA时，人体将会产生危险的病理生理效应，并随着电流的增大、时间的增长将会产生心室纤维性颤动，乃至人体窒息（“假死”状态），在瞬间或在三分钟内就夺去人的生命。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当人体触电时，人体与带电体接触不良部分发生的电弧灼伤、电烙印，由于被电流熔化和蒸发的金属微粒等侵入人体皮肤引起（的）皮肤金属化，严重时也可能致人死亡。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可能发生触电事故的场所是变电所、配电室以及检查、维修电气设备、使用移动电气设备的场所。</w:t>
      </w:r>
    </w:p>
    <w:p>
      <w:pPr>
        <w:keepNext w:val="0"/>
        <w:keepLines w:val="0"/>
        <w:pageBreakBefore w:val="0"/>
        <w:kinsoku/>
        <w:wordWrap/>
        <w:overflowPunct/>
        <w:topLinePunct w:val="0"/>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8"/>
          <w:szCs w:val="28"/>
          <w:highlight w:val="none"/>
        </w:rPr>
        <w:t>1.</w:t>
      </w:r>
      <w:r>
        <w:rPr>
          <w:rFonts w:hint="eastAsia" w:ascii="宋体" w:hAnsi="宋体" w:eastAsia="宋体" w:cs="宋体"/>
          <w:b/>
          <w:i w:val="0"/>
          <w:iCs w:val="0"/>
          <w:color w:val="auto"/>
          <w:sz w:val="28"/>
          <w:szCs w:val="28"/>
          <w:highlight w:val="none"/>
          <w:lang w:val="en-US" w:eastAsia="zh-CN"/>
        </w:rPr>
        <w:t xml:space="preserve">3 </w:t>
      </w:r>
      <w:r>
        <w:rPr>
          <w:rFonts w:hint="eastAsia" w:ascii="宋体" w:hAnsi="宋体" w:eastAsia="宋体" w:cs="宋体"/>
          <w:b/>
          <w:i w:val="0"/>
          <w:iCs w:val="0"/>
          <w:color w:val="auto"/>
          <w:sz w:val="28"/>
          <w:szCs w:val="28"/>
          <w:highlight w:val="none"/>
        </w:rPr>
        <w:t>事故危害程度</w:t>
      </w:r>
    </w:p>
    <w:p>
      <w:pPr>
        <w:keepNext w:val="0"/>
        <w:keepLines w:val="0"/>
        <w:pageBreakBefore w:val="0"/>
        <w:kinsoku/>
        <w:wordWrap/>
        <w:overflowPunct/>
        <w:topLinePunct w:val="0"/>
        <w:bidi w:val="0"/>
        <w:adjustRightInd/>
        <w:snapToGrid/>
        <w:spacing w:line="360" w:lineRule="auto"/>
        <w:ind w:firstLine="420" w:firstLineChars="15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 xml:space="preserve"> 发生</w:t>
      </w:r>
      <w:r>
        <w:rPr>
          <w:rFonts w:hint="eastAsia" w:ascii="宋体" w:hAnsi="宋体" w:eastAsia="宋体" w:cs="宋体"/>
          <w:i w:val="0"/>
          <w:iCs w:val="0"/>
          <w:color w:val="auto"/>
          <w:sz w:val="28"/>
          <w:szCs w:val="28"/>
          <w:highlight w:val="none"/>
          <w:lang w:eastAsia="zh-CN"/>
        </w:rPr>
        <w:t>触电事故</w:t>
      </w:r>
      <w:r>
        <w:rPr>
          <w:rFonts w:hint="eastAsia" w:ascii="宋体" w:hAnsi="宋体" w:eastAsia="宋体" w:cs="宋体"/>
          <w:i w:val="0"/>
          <w:iCs w:val="0"/>
          <w:color w:val="auto"/>
          <w:sz w:val="28"/>
          <w:szCs w:val="28"/>
          <w:highlight w:val="none"/>
        </w:rPr>
        <w:t>后，可导致人员轻伤、重伤，甚至死亡。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eastAsia="zh-CN"/>
        </w:rPr>
        <w:t xml:space="preserve"> 事故前可能出现的预兆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　带电体裸露。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②　无漏电保护开关、PE接地。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③　临时用电线路无按规定设置。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④　作业人员无任何绝缘防护措施。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⑤　电工未经培训或无证上岗。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⑥　人员误操作。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⑦　大雾或雷雨天气户外作业。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⑧　设备绝缘受损放电、爬电现象。</w:t>
      </w:r>
    </w:p>
    <w:p>
      <w:pPr>
        <w:pStyle w:val="5"/>
        <w:spacing w:before="0" w:after="0" w:line="360" w:lineRule="auto"/>
        <w:jc w:val="both"/>
        <w:rPr>
          <w:rFonts w:hint="eastAsia" w:ascii="宋体" w:hAnsi="宋体" w:eastAsia="宋体" w:cs="宋体"/>
          <w:b/>
          <w:bCs/>
          <w:color w:val="auto"/>
          <w:sz w:val="28"/>
          <w:szCs w:val="28"/>
          <w:lang w:val="zh-CN"/>
        </w:rPr>
      </w:pPr>
      <w:bookmarkStart w:id="420" w:name="_Toc32337"/>
      <w:bookmarkStart w:id="421" w:name="_Toc30015"/>
      <w:bookmarkStart w:id="422" w:name="_Toc593"/>
      <w:r>
        <w:rPr>
          <w:rFonts w:hint="eastAsia" w:ascii="宋体" w:hAnsi="宋体" w:eastAsia="宋体" w:cs="宋体"/>
          <w:b/>
          <w:bCs/>
          <w:color w:val="auto"/>
          <w:sz w:val="28"/>
          <w:szCs w:val="28"/>
          <w:lang w:val="zh-CN"/>
        </w:rPr>
        <w:t>2、应急工作职责</w:t>
      </w:r>
      <w:bookmarkEnd w:id="420"/>
      <w:bookmarkEnd w:id="421"/>
      <w:bookmarkEnd w:id="42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发现可能或已触电者，应立即高声呼叫求救。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立即采取措施，使触电者脱离电源，如切断电源等。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423" w:name="_Toc28565"/>
      <w:bookmarkStart w:id="424" w:name="_Toc30832"/>
      <w:bookmarkStart w:id="425" w:name="_Toc5162"/>
      <w:bookmarkStart w:id="426" w:name="_Toc13334"/>
      <w:r>
        <w:rPr>
          <w:rFonts w:hint="eastAsia" w:ascii="宋体" w:hAnsi="宋体" w:eastAsia="宋体" w:cs="宋体"/>
          <w:b/>
          <w:bCs/>
          <w:color w:val="auto"/>
          <w:sz w:val="28"/>
          <w:szCs w:val="28"/>
          <w:lang w:val="zh-CN"/>
        </w:rPr>
        <w:t>3、应急处置</w:t>
      </w:r>
      <w:bookmarkEnd w:id="423"/>
      <w:bookmarkEnd w:id="424"/>
      <w:bookmarkEnd w:id="425"/>
      <w:bookmarkEnd w:id="42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541"/>
        <w:gridCol w:w="1401"/>
        <w:gridCol w:w="5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发出预警或事故警报</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如：大声呼救“有人触电啦、快来救人”获取周围人员支援。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现场工作人员</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①立即关闭与触电者相连线路/用电器/供电设施最近的上一级开关。（绝缘工具）</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②迅速对脱离带电体的触电者进行评估，视情况进行现场救护。</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③对触电现场进行排查确认，消除触电隐患。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④若触电者送往医院，待确认医院急救处置信息后，与触电者家属联系。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受伤人员出现昏迷、重伤、休克现象；</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w:t>
            </w:r>
            <w:r>
              <w:rPr>
                <w:rFonts w:hint="eastAsia" w:eastAsia="宋体" w:cs="宋体"/>
                <w:color w:val="auto"/>
                <w:sz w:val="24"/>
                <w:szCs w:val="24"/>
                <w:vertAlign w:val="baseline"/>
                <w:lang w:val="en-US" w:eastAsia="zh-CN"/>
              </w:rPr>
              <w:t>总经理</w:t>
            </w:r>
            <w:r>
              <w:rPr>
                <w:rFonts w:hint="eastAsia" w:ascii="宋体" w:hAnsi="宋体" w:eastAsia="宋体" w:cs="宋体"/>
                <w:color w:val="auto"/>
                <w:sz w:val="24"/>
                <w:szCs w:val="24"/>
                <w:vertAlign w:val="baseline"/>
                <w:lang w:val="en-US" w:eastAsia="zh-CN"/>
              </w:rPr>
              <w:t>报告，请求相应升级，说明事故位置、受伤人员情况、发展事态。</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3.2.1排险、控险应急处置措施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触电急救的要点是动作迅速，救护得法，切不可惊慌失措，束手无策。要贯彻“迅速、就地、正确、坚持”的触电急救八字方针。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发现有人触电，首先要尽快使触电者脱离电源，越快越好，然后根据触电者的具体症状进行对症施救。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脱离电源的基本方法有: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①</w:t>
      </w:r>
      <w:r>
        <w:rPr>
          <w:rFonts w:hint="eastAsia" w:ascii="宋体" w:hAnsi="宋体" w:eastAsia="宋体" w:cs="宋体"/>
          <w:color w:val="auto"/>
          <w:sz w:val="28"/>
          <w:szCs w:val="28"/>
        </w:rPr>
        <w:t>把触电者接触的那一部分带电设备、电源的开关、刀闸或其他断路设备断开；或将电源插头拔掉，以切断电源；或设法将触电者与带电设备脱离。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②</w:t>
      </w:r>
      <w:r>
        <w:rPr>
          <w:rFonts w:hint="eastAsia" w:ascii="宋体" w:hAnsi="宋体" w:eastAsia="宋体" w:cs="宋体"/>
          <w:color w:val="auto"/>
          <w:sz w:val="28"/>
          <w:szCs w:val="28"/>
        </w:rPr>
        <w:t>用干燥的绝缘木棒、竹竿、塑料棒等物件将电源线从触电者身上拨离或者将触电者拨离电源。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③</w:t>
      </w:r>
      <w:r>
        <w:rPr>
          <w:rFonts w:hint="eastAsia" w:ascii="宋体" w:hAnsi="宋体" w:eastAsia="宋体" w:cs="宋体"/>
          <w:color w:val="auto"/>
          <w:sz w:val="28"/>
          <w:szCs w:val="28"/>
        </w:rPr>
        <w:t>必要时可用绝缘工具（如带有绝缘柄的电工钳、干燥的木柄斧头以及锄头）切断电源线。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④</w:t>
      </w:r>
      <w:r>
        <w:rPr>
          <w:rFonts w:hint="eastAsia" w:ascii="宋体" w:hAnsi="宋体" w:eastAsia="宋体" w:cs="宋体"/>
          <w:color w:val="auto"/>
          <w:sz w:val="28"/>
          <w:szCs w:val="28"/>
        </w:rPr>
        <w:t>救护人戴上绝缘手套或在手上包缠干燥的衣服、围巾、帽子等绝缘物品拖拽触电者，使之脱离电源。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⑤</w:t>
      </w:r>
      <w:r>
        <w:rPr>
          <w:rFonts w:hint="eastAsia" w:ascii="宋体" w:hAnsi="宋体" w:eastAsia="宋体" w:cs="宋体"/>
          <w:color w:val="auto"/>
          <w:sz w:val="28"/>
          <w:szCs w:val="28"/>
        </w:rPr>
        <w:t>如果触电者由于痉挛手指紧握导线缠绕在身上，救护人可先用干燥的木板塞进触电者身下使其与地绝缘来隔断入地电流，然后再采取其他办法把电源切断。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⑥</w:t>
      </w:r>
      <w:r>
        <w:rPr>
          <w:rFonts w:hint="eastAsia" w:ascii="宋体" w:hAnsi="宋体" w:eastAsia="宋体" w:cs="宋体"/>
          <w:color w:val="auto"/>
          <w:sz w:val="28"/>
          <w:szCs w:val="28"/>
        </w:rPr>
        <w:t>如果触电者触及断落在地上的带电高压导线，且尚未确证线路无电之前，救护人员不可进入断线落地点8-10m的范围内，以预防跨步电压触电。进入该范围的救护人员应穿上绝缘靴接近触电者。触电者脱离带电导线后应迅速将其带至8-10m以外立即开始触电急救。只有在确证线路已经无电，才可在触电者离开触电导线后就地急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3.2.2医疗救护应急处置措施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触电伤员如神志清醒者，应使其就地躺平，严密观察，暂时不要站立或走动。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触电伤员如神志不清者，应让触电者就地仰面躺平，且确保气道通畅，并用5s时间，呼叫伤员或轻拍其肩部，以判定伤员是否意识丧失，禁止摇动伤员头部呼叫伤员。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触电者未失去知觉的救护措施：应让触电者在比较干燥、通风暖和的地方静卧休息，并派人严密观察，同时请医生前来或送往医院诊治。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触电者已失去知觉但尚有心跳和呼吸的抢救措施：应使其舒适地平卧着，解开衣服以利呼吸，四周不要围人，保持空气流通，冷天应注意保暖，同时立即请医生前来或送住医院救治。若发现触电者呼吸困难或心跳失常，应立即施行人工呼吸及胸外心脏挤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对“假死”者的急救措施：当判定触电者呼吸和心跳停止时，应立即按心肺复苏法就地抢救。方法如下：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消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预防将异物推到咽喉深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采用仰头抬颊法畅通气道。操作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呼吸、心跳情况的判定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触电伤员如意识丧失，应在10s内，用看、听、试的方法判定伤员呼吸心跳情况。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看——看伤员的胸部、腹部有无起伏动作。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听——用耳贴近伤员的口鼻处，听有无呼气声音。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试——试测口鼻有无呼气的气流。再用两手指轻试一侧(左或右)喉结旁凹陷处的颈动脉有无搏动。 若看、听、试结果，既无呼吸又无颈动脉搏动，可判定呼吸心跳停止。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触电伤员呼吸和心跳均停止时，应立即按心肺复苏法支持生命的三项基本措施，进行就地抢救：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通畅气道。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口对口(鼻)人工呼吸。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胸外接压(人工循环)。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抢救过程中的再判定</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按压吹气1min后(相当于单人抢救时做了4个15∶2压吹循环)，应用看、听、试方法在5～7s时间内完成对伤员呼吸和心跳是否恢复的再判定。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若判定颈动脉已有搏动但无呼吸，则暂停胸外按压，而再进行2次口对口 人工呼吸，接着每5s吹气一次(即每分钟12次)。如脉搏和呼吸均未恢复，则继续 坚持心肺复苏法抢救。</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在抢救过程中，要每隔数分钟再判定一次，每次判定时间均不得超过5～7s。在医务人员未接替抢救前，现场抢救人员不得放弃现场抢救。</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 报告事项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3.3.1报警电话及联系方式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报警电话及联系方式见综合预案。</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3.3.2报告内容</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触电事故发生的时间和地点。</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人员伤亡情况。</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已采取的措施。</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报告人及电话。</w:t>
      </w:r>
    </w:p>
    <w:p>
      <w:pPr>
        <w:pStyle w:val="5"/>
        <w:spacing w:before="0" w:after="0" w:line="360" w:lineRule="auto"/>
        <w:jc w:val="both"/>
        <w:rPr>
          <w:rFonts w:hint="eastAsia" w:ascii="宋体" w:hAnsi="宋体" w:eastAsia="宋体" w:cs="宋体"/>
          <w:b/>
          <w:bCs/>
          <w:color w:val="auto"/>
          <w:sz w:val="28"/>
          <w:szCs w:val="28"/>
          <w:lang w:val="zh-CN"/>
        </w:rPr>
      </w:pPr>
      <w:bookmarkStart w:id="427" w:name="_Toc20506"/>
      <w:bookmarkStart w:id="428" w:name="_Toc22085"/>
      <w:bookmarkStart w:id="429" w:name="_Toc5344"/>
      <w:bookmarkStart w:id="430" w:name="_Toc31678"/>
      <w:r>
        <w:rPr>
          <w:rFonts w:hint="eastAsia" w:ascii="宋体" w:hAnsi="宋体" w:eastAsia="宋体" w:cs="宋体"/>
          <w:b/>
          <w:bCs/>
          <w:color w:val="auto"/>
          <w:sz w:val="28"/>
          <w:szCs w:val="28"/>
          <w:lang w:val="zh-CN"/>
        </w:rPr>
        <w:t>4、注意事项</w:t>
      </w:r>
      <w:bookmarkEnd w:id="427"/>
      <w:bookmarkEnd w:id="428"/>
      <w:bookmarkEnd w:id="429"/>
      <w:bookmarkEnd w:id="43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在使触电者脱离电源时应注意的事项：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未采取绝缘措施触或触电者未脱离电源前，救护人不得直接触及触电者的皮肤和潮湿的衣服。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严禁救护人直接用手推、拉和触摸触电者；救护人不得采用金属或其他绝缘性能差的物体（如潮湿木棒、布带等）作为救护工具。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在拉拽触电者脱离电源的过程中，救护人宜用单手操作，并且救护人身体部位及所穿的鞋不能潮湿，这样对救护人比较安全。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当触电者位于高位时，应采取措施预防触电者在脱离电源后坠地摔伤或摔死（电击二次伤害）。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需要抢救的伤员，应立即就地坚持抢救，直至医疗人员接替救治。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救护触电伤员切除电源时，有时会同时使照明失电，因此应考虑事故照明、应急灯等临时照明。新的照明要符合使用场所防火的要求，但不能因此延误切除电源和进行急救。</w:t>
      </w:r>
    </w:p>
    <w:p>
      <w:pPr>
        <w:pStyle w:val="4"/>
        <w:keepNext w:val="0"/>
        <w:keepLines w:val="0"/>
        <w:widowControl/>
        <w:numPr>
          <w:ilvl w:val="0"/>
          <w:numId w:val="0"/>
        </w:numPr>
        <w:adjustRightInd w:val="0"/>
        <w:snapToGrid w:val="0"/>
        <w:spacing w:before="156" w:beforeLines="50" w:after="156" w:afterLines="50" w:line="360" w:lineRule="auto"/>
        <w:outlineLvl w:val="9"/>
        <w:rPr>
          <w:rFonts w:hint="eastAsia" w:ascii="宋体" w:hAnsi="宋体" w:eastAsia="宋体" w:cs="宋体"/>
          <w:color w:val="auto"/>
          <w:sz w:val="32"/>
          <w:lang w:eastAsia="zh-CN"/>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431" w:name="_Toc31627"/>
      <w:bookmarkStart w:id="432" w:name="_Toc4045"/>
      <w:r>
        <w:rPr>
          <w:rFonts w:hint="eastAsia" w:ascii="宋体" w:hAnsi="宋体" w:eastAsia="宋体" w:cs="宋体"/>
          <w:color w:val="auto"/>
          <w:sz w:val="32"/>
          <w:lang w:eastAsia="zh-CN"/>
        </w:rPr>
        <w:t>四</w:t>
      </w:r>
      <w:r>
        <w:rPr>
          <w:rFonts w:hint="eastAsia" w:ascii="宋体" w:hAnsi="宋体" w:eastAsia="宋体" w:cs="宋体"/>
          <w:color w:val="auto"/>
          <w:sz w:val="32"/>
        </w:rPr>
        <w:t>、</w:t>
      </w:r>
      <w:r>
        <w:rPr>
          <w:rFonts w:hint="eastAsia" w:ascii="宋体" w:hAnsi="宋体" w:eastAsia="宋体" w:cs="宋体"/>
          <w:color w:val="auto"/>
          <w:sz w:val="32"/>
          <w:lang w:eastAsia="zh-CN"/>
        </w:rPr>
        <w:t>灼烫</w:t>
      </w:r>
      <w:r>
        <w:rPr>
          <w:rFonts w:hint="eastAsia" w:ascii="宋体" w:hAnsi="宋体" w:eastAsia="宋体" w:cs="宋体"/>
          <w:color w:val="auto"/>
          <w:sz w:val="32"/>
        </w:rPr>
        <w:t>事故现场处置方案</w:t>
      </w:r>
      <w:bookmarkEnd w:id="431"/>
      <w:bookmarkEnd w:id="432"/>
    </w:p>
    <w:p>
      <w:pPr>
        <w:pStyle w:val="5"/>
        <w:spacing w:before="0" w:after="0" w:line="360" w:lineRule="auto"/>
        <w:jc w:val="both"/>
        <w:rPr>
          <w:rFonts w:hint="eastAsia" w:ascii="宋体" w:hAnsi="宋体" w:eastAsia="宋体" w:cs="宋体"/>
          <w:b/>
          <w:bCs/>
          <w:color w:val="auto"/>
          <w:sz w:val="28"/>
          <w:szCs w:val="28"/>
          <w:lang w:val="zh-CN"/>
        </w:rPr>
      </w:pPr>
      <w:bookmarkStart w:id="433" w:name="_Toc12396"/>
      <w:bookmarkStart w:id="434" w:name="_Toc31225"/>
      <w:bookmarkStart w:id="435" w:name="_Toc19639"/>
      <w:r>
        <w:rPr>
          <w:rFonts w:hint="eastAsia" w:ascii="宋体" w:hAnsi="宋体" w:eastAsia="宋体" w:cs="宋体"/>
          <w:b/>
          <w:bCs/>
          <w:color w:val="auto"/>
          <w:sz w:val="28"/>
          <w:szCs w:val="28"/>
          <w:lang w:val="zh-CN"/>
        </w:rPr>
        <w:t>1、事故风险描述</w:t>
      </w:r>
      <w:bookmarkEnd w:id="433"/>
      <w:bookmarkEnd w:id="434"/>
      <w:bookmarkEnd w:id="43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zh-CN" w:eastAsia="zh-CN"/>
        </w:rPr>
        <w:t>1.1 危险性分析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灼烫事故是指火焰烧伤、高温物体烫伤、化学灼伤(酸、碱、盐、有机物引起的体内外的灼伤)、物理灼伤(光、放射性物质引起的体内外的灼伤)。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本公司在生产过程中涉及火焰烧伤、高温物体烫伤、化学灼伤。</w:t>
      </w:r>
    </w:p>
    <w:p>
      <w:pPr>
        <w:pStyle w:val="2"/>
        <w:pageBreakBefore w:val="0"/>
        <w:widowControl w:val="0"/>
        <w:kinsoku/>
        <w:wordWrap/>
        <w:overflowPunct/>
        <w:topLinePunct w:val="0"/>
        <w:autoSpaceDE/>
        <w:autoSpaceDN/>
        <w:bidi w:val="0"/>
        <w:adjustRightInd/>
        <w:snapToGrid/>
        <w:spacing w:after="0" w:afterLines="0" w:line="360" w:lineRule="auto"/>
        <w:ind w:firstLine="560" w:firstLineChars="200"/>
        <w:jc w:val="both"/>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（1）人员如果接触盐酸、氢氧化钾等可导致化学腐蚀伤害。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）储存和传输腐蚀品的设备和管道发生泄漏，也可能导致人员受到化学灼伤伤害</w:t>
      </w:r>
      <w:r>
        <w:rPr>
          <w:rFonts w:hint="eastAsia" w:ascii="宋体" w:hAnsi="宋体" w:eastAsia="宋体" w:cs="宋体"/>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（3）本公司使用园区建好的蒸汽管网传输进行加热，若管道隔热措施失效，管道连接部位脱落等，人员直接接触高温设备、管道表面，易引发高温烫伤事故。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（4）若本公司高温设备未采取保温隔热措施，或保温隔热层破坏，作业人员在操作的过程中，可能对作业人员造成高温烫伤事故。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lang w:val="en-US" w:eastAsia="zh-CN"/>
        </w:rPr>
      </w:pPr>
      <w:r>
        <w:rPr>
          <w:rFonts w:hint="eastAsia" w:ascii="宋体" w:hAnsi="宋体" w:eastAsia="宋体" w:cs="宋体"/>
          <w:color w:val="auto"/>
          <w:sz w:val="28"/>
          <w:szCs w:val="28"/>
          <w:lang w:val="en-US" w:eastAsia="zh-CN"/>
        </w:rPr>
        <w:t>（5）若高温设备隔热措施不当，作业人员防护不当，违章作业、违章操作，意外接触高温设备及工件，可能造成人员灼烫事故。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可能发生触电事故的场所是高温管道、化学品储存和使用区等。</w:t>
      </w:r>
    </w:p>
    <w:p>
      <w:pPr>
        <w:keepNext w:val="0"/>
        <w:keepLines w:val="0"/>
        <w:pageBreakBefore w:val="0"/>
        <w:kinsoku/>
        <w:wordWrap/>
        <w:overflowPunct/>
        <w:topLinePunct w:val="0"/>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8"/>
          <w:szCs w:val="28"/>
          <w:highlight w:val="none"/>
        </w:rPr>
        <w:t>1.</w:t>
      </w:r>
      <w:r>
        <w:rPr>
          <w:rFonts w:hint="eastAsia" w:ascii="宋体" w:hAnsi="宋体" w:eastAsia="宋体" w:cs="宋体"/>
          <w:b/>
          <w:i w:val="0"/>
          <w:iCs w:val="0"/>
          <w:color w:val="auto"/>
          <w:sz w:val="28"/>
          <w:szCs w:val="28"/>
          <w:highlight w:val="none"/>
          <w:lang w:val="en-US" w:eastAsia="zh-CN"/>
        </w:rPr>
        <w:t xml:space="preserve">3 </w:t>
      </w:r>
      <w:r>
        <w:rPr>
          <w:rFonts w:hint="eastAsia" w:ascii="宋体" w:hAnsi="宋体" w:eastAsia="宋体" w:cs="宋体"/>
          <w:b/>
          <w:i w:val="0"/>
          <w:iCs w:val="0"/>
          <w:color w:val="auto"/>
          <w:sz w:val="28"/>
          <w:szCs w:val="28"/>
          <w:highlight w:val="none"/>
        </w:rPr>
        <w:t>事故危害程度</w:t>
      </w:r>
    </w:p>
    <w:p>
      <w:pPr>
        <w:keepNext w:val="0"/>
        <w:keepLines w:val="0"/>
        <w:pageBreakBefore w:val="0"/>
        <w:kinsoku/>
        <w:wordWrap/>
        <w:overflowPunct/>
        <w:topLinePunct w:val="0"/>
        <w:bidi w:val="0"/>
        <w:adjustRightInd/>
        <w:snapToGrid/>
        <w:spacing w:line="360" w:lineRule="auto"/>
        <w:ind w:firstLine="420" w:firstLineChars="15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 xml:space="preserve"> 发生</w:t>
      </w:r>
      <w:r>
        <w:rPr>
          <w:rFonts w:hint="eastAsia" w:ascii="宋体" w:hAnsi="宋体" w:eastAsia="宋体" w:cs="宋体"/>
          <w:i w:val="0"/>
          <w:iCs w:val="0"/>
          <w:color w:val="auto"/>
          <w:sz w:val="28"/>
          <w:szCs w:val="28"/>
          <w:highlight w:val="none"/>
          <w:lang w:eastAsia="zh-CN"/>
        </w:rPr>
        <w:t>事故</w:t>
      </w:r>
      <w:r>
        <w:rPr>
          <w:rFonts w:hint="eastAsia" w:ascii="宋体" w:hAnsi="宋体" w:eastAsia="宋体" w:cs="宋体"/>
          <w:i w:val="0"/>
          <w:iCs w:val="0"/>
          <w:color w:val="auto"/>
          <w:sz w:val="28"/>
          <w:szCs w:val="28"/>
          <w:highlight w:val="none"/>
        </w:rPr>
        <w:t>后，可导致人员轻伤、重伤，甚至死亡。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rPr>
      </w:pPr>
      <w:r>
        <w:rPr>
          <w:rFonts w:hint="eastAsia" w:ascii="宋体" w:hAnsi="宋体" w:eastAsia="宋体" w:cs="宋体"/>
          <w:b/>
          <w:bCs/>
          <w:color w:val="auto"/>
          <w:sz w:val="28"/>
          <w:szCs w:val="28"/>
          <w:lang w:val="en-US" w:eastAsia="zh-CN"/>
        </w:rPr>
        <w:t xml:space="preserve">1.4 </w:t>
      </w:r>
      <w:r>
        <w:rPr>
          <w:rFonts w:hint="eastAsia" w:ascii="宋体" w:hAnsi="宋体" w:eastAsia="宋体" w:cs="宋体"/>
          <w:b/>
          <w:bCs/>
          <w:color w:val="auto"/>
          <w:sz w:val="28"/>
          <w:szCs w:val="28"/>
          <w:lang w:val="zh-CN"/>
        </w:rPr>
        <w:t>事故可能引发的次生、衍生事故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color w:val="auto"/>
          <w:lang w:val="zh-CN" w:eastAsia="zh-CN"/>
        </w:rPr>
      </w:pPr>
      <w:r>
        <w:rPr>
          <w:rFonts w:hint="eastAsia" w:ascii="宋体" w:hAnsi="宋体" w:eastAsia="宋体" w:cs="宋体"/>
          <w:color w:val="auto"/>
          <w:sz w:val="28"/>
          <w:szCs w:val="28"/>
          <w:lang w:val="zh-CN" w:eastAsia="zh-CN"/>
        </w:rPr>
        <w:t>灼烫可能引发人员中毒事故。</w:t>
      </w:r>
    </w:p>
    <w:p>
      <w:pPr>
        <w:pStyle w:val="5"/>
        <w:spacing w:before="0" w:after="0" w:line="360" w:lineRule="auto"/>
        <w:jc w:val="both"/>
        <w:rPr>
          <w:rFonts w:hint="eastAsia" w:ascii="宋体" w:hAnsi="宋体" w:eastAsia="宋体" w:cs="宋体"/>
          <w:b/>
          <w:bCs/>
          <w:color w:val="auto"/>
          <w:sz w:val="28"/>
          <w:szCs w:val="28"/>
          <w:lang w:val="zh-CN"/>
        </w:rPr>
      </w:pPr>
      <w:bookmarkStart w:id="436" w:name="_Toc20895"/>
      <w:bookmarkStart w:id="437" w:name="_Toc6687"/>
      <w:bookmarkStart w:id="438" w:name="_Toc15401"/>
      <w:r>
        <w:rPr>
          <w:rFonts w:hint="eastAsia" w:ascii="宋体" w:hAnsi="宋体" w:eastAsia="宋体" w:cs="宋体"/>
          <w:b/>
          <w:bCs/>
          <w:color w:val="auto"/>
          <w:sz w:val="28"/>
          <w:szCs w:val="28"/>
          <w:lang w:val="zh-CN"/>
        </w:rPr>
        <w:t>2、应急工作职责</w:t>
      </w:r>
      <w:bookmarkEnd w:id="436"/>
      <w:bookmarkEnd w:id="437"/>
      <w:bookmarkEnd w:id="43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w:t>
      </w:r>
      <w:r>
        <w:rPr>
          <w:rFonts w:hint="eastAsia" w:ascii="宋体" w:hAnsi="宋体" w:eastAsia="宋体" w:cs="宋体"/>
          <w:color w:val="auto"/>
          <w:sz w:val="28"/>
          <w:szCs w:val="28"/>
          <w:lang w:val="en-US" w:eastAsia="zh-CN"/>
        </w:rPr>
        <w:t>灼烫事故</w:t>
      </w:r>
      <w:r>
        <w:rPr>
          <w:rFonts w:hint="eastAsia" w:ascii="宋体" w:hAnsi="宋体" w:eastAsia="宋体" w:cs="宋体"/>
          <w:color w:val="auto"/>
          <w:sz w:val="28"/>
          <w:szCs w:val="28"/>
        </w:rPr>
        <w:t>，应立即高声呼叫求救。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在确保自身安全的情况下，应立即执行现场应急处置措施。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439" w:name="_Toc25775"/>
      <w:bookmarkStart w:id="440" w:name="_Toc3872"/>
      <w:bookmarkStart w:id="441" w:name="_Toc1780"/>
      <w:r>
        <w:rPr>
          <w:rFonts w:hint="eastAsia" w:ascii="宋体" w:hAnsi="宋体" w:eastAsia="宋体" w:cs="宋体"/>
          <w:b/>
          <w:bCs/>
          <w:color w:val="auto"/>
          <w:sz w:val="28"/>
          <w:szCs w:val="28"/>
          <w:lang w:val="zh-CN"/>
        </w:rPr>
        <w:t>3、应急处置</w:t>
      </w:r>
      <w:bookmarkEnd w:id="439"/>
      <w:bookmarkEnd w:id="440"/>
      <w:bookmarkEnd w:id="44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1642"/>
        <w:gridCol w:w="1560"/>
        <w:gridCol w:w="5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blHeader/>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发出预警或事故警报</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如：大声呼救“有人受伤啦、快来救人”获取周围人员支援。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现场最高管理者</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②报告上级主管或总经理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现场作业人员</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w:t>
            </w:r>
            <w:r>
              <w:rPr>
                <w:rFonts w:hint="eastAsia" w:eastAsia="宋体" w:cs="宋体"/>
                <w:color w:val="auto"/>
                <w:sz w:val="24"/>
                <w:szCs w:val="24"/>
                <w:vertAlign w:val="baseline"/>
                <w:lang w:val="en-US" w:eastAsia="zh-CN"/>
              </w:rPr>
              <w:t>使</w:t>
            </w:r>
            <w:r>
              <w:rPr>
                <w:rFonts w:hint="eastAsia" w:ascii="宋体" w:hAnsi="宋体" w:eastAsia="宋体" w:cs="宋体"/>
                <w:color w:val="auto"/>
                <w:sz w:val="24"/>
                <w:szCs w:val="24"/>
                <w:vertAlign w:val="baseline"/>
                <w:lang w:val="en-US" w:eastAsia="zh-CN"/>
              </w:rPr>
              <w:t>受伤人员</w:t>
            </w:r>
            <w:r>
              <w:rPr>
                <w:rFonts w:hint="eastAsia" w:eastAsia="宋体" w:cs="宋体"/>
                <w:color w:val="auto"/>
                <w:sz w:val="24"/>
                <w:szCs w:val="24"/>
                <w:vertAlign w:val="baseline"/>
                <w:lang w:val="en-US" w:eastAsia="zh-CN"/>
              </w:rPr>
              <w:t>脱离危险环境</w:t>
            </w:r>
            <w:r>
              <w:rPr>
                <w:rFonts w:hint="eastAsia" w:ascii="宋体" w:hAnsi="宋体" w:eastAsia="宋体" w:cs="宋体"/>
                <w:color w:val="auto"/>
                <w:sz w:val="24"/>
                <w:szCs w:val="24"/>
                <w:vertAlign w:val="baseline"/>
                <w:lang w:val="en-US" w:eastAsia="zh-CN"/>
              </w:rPr>
              <w:t>，用水龙头冷水冲淋或冰敷。</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②拨打120电话报警并送医。</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w:t>
            </w:r>
            <w:r>
              <w:rPr>
                <w:rFonts w:hint="eastAsia" w:eastAsia="宋体" w:cs="宋体"/>
                <w:color w:val="auto"/>
                <w:sz w:val="24"/>
                <w:szCs w:val="24"/>
                <w:vertAlign w:val="baseline"/>
                <w:lang w:val="en-US" w:eastAsia="zh-CN"/>
              </w:rPr>
              <w:t>隔离警戒，保护事故现场</w:t>
            </w:r>
            <w:r>
              <w:rPr>
                <w:rFonts w:hint="eastAsia" w:ascii="宋体" w:hAnsi="宋体" w:eastAsia="宋体" w:cs="宋体"/>
                <w:color w:val="auto"/>
                <w:sz w:val="24"/>
                <w:szCs w:val="24"/>
                <w:vertAlign w:val="baseline"/>
                <w:lang w:val="en-US" w:eastAsia="zh-CN"/>
              </w:rPr>
              <w:t>，疏散受影响的人员。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现场最高管理者</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受伤人员出现昏迷、重伤、休克现象；</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立即向应急值班室或总经理报告，请求相应升级，说明事故位置、受伤人员情况、发展事态。</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sectPr>
          <w:pgSz w:w="11906" w:h="16838"/>
          <w:pgMar w:top="1417" w:right="1417" w:bottom="1417" w:left="1417" w:header="1134" w:footer="1134" w:gutter="0"/>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kern w:val="0"/>
          <w:sz w:val="28"/>
          <w:szCs w:val="20"/>
          <w:u w:val="none" w:color="000000"/>
          <w:lang w:val="en-US" w:eastAsia="zh-CN" w:bidi="ar-SA"/>
        </w:rPr>
        <w:t>（</w:t>
      </w:r>
      <w:r>
        <w:rPr>
          <w:rFonts w:hint="eastAsia" w:ascii="宋体" w:hAnsi="宋体" w:eastAsia="宋体" w:cs="宋体"/>
          <w:color w:val="auto"/>
          <w:sz w:val="28"/>
          <w:szCs w:val="28"/>
          <w:lang w:val="en-US" w:eastAsia="zh-CN"/>
        </w:rPr>
        <w:t>（1）当发生灼烫事故后，现场人员应立即向周围人员呼救并将受伤人员脱离危险区域，根据现场实际情况对受伤者进行现场急救。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（2）如果烫伤的面积比较小，可以先用水龙头的冷水，直接冲泡半个小时左右，以不再感到疼痛为止，这是因为冷水可以降温，降低烫伤肌肤的热度、减少伤害，可以防止烫伤面积扩大和损伤加重。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如果烫伤的面积比较大、比较严重，冲水已经不能解决了，可以在选择大盆子或者浴缸冷水浸泡，浸泡的时间可以相对长一些，但是不能让伤者的身体变冷，如果浸泡时发现伤者开始冷了，一定要做简单的保暖方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在穿着衣服被热水、热汤烫伤时，千万不要脱下衣服，而是先直接用冷水浇在衣服上降温，充分泡湿伤口后小心除去衣物，如衣服和皮肤粘在一起时，切勿撕拉，只能将未粘着部分剪去，粘着的部分留在皮肤上以后处理，再用清洁纱布覆盖伤面，以防污染。有水泡时千万不要弄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（5）如有无菌纱布可轻覆在伤口上。如没有，让小面积伤口暴露于空气中，大面积伤口用干净的床单、布单或纱布覆盖。不要弄破水疱。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（6）将伤者送往有烧伤整形科的医院进行救治。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（7）倘若伤者情况严重，出现休克状况，应当要让伤员静卧，头稍向后仰以保证其可以得到充足的氧气，立即拨打120急救中心电话。</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 报告事项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3.3.1报警电话及联系方式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报警电话及联系方式见综合预案。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3.3.2报告内容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事故发生的时间和地点。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人员伤亡情况。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已采取的措施。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报告人及电话。</w:t>
      </w:r>
    </w:p>
    <w:p>
      <w:pPr>
        <w:pStyle w:val="5"/>
        <w:spacing w:before="0" w:after="0" w:line="360" w:lineRule="auto"/>
        <w:jc w:val="both"/>
        <w:outlineLvl w:val="9"/>
        <w:rPr>
          <w:rFonts w:hint="eastAsia" w:ascii="宋体" w:hAnsi="宋体" w:eastAsia="宋体" w:cs="宋体"/>
          <w:b/>
          <w:bCs/>
          <w:color w:val="auto"/>
          <w:sz w:val="28"/>
          <w:szCs w:val="28"/>
          <w:lang w:val="zh-CN"/>
        </w:rPr>
        <w:sectPr>
          <w:type w:val="continuous"/>
          <w:pgSz w:w="11906" w:h="16838"/>
          <w:pgMar w:top="1417" w:right="1417" w:bottom="1417" w:left="1417" w:header="851" w:footer="992" w:gutter="0"/>
          <w:pgNumType w:fmt="decimal"/>
          <w:cols w:space="425" w:num="1"/>
          <w:docGrid w:type="lines" w:linePitch="312" w:charSpace="0"/>
        </w:sectPr>
      </w:pPr>
    </w:p>
    <w:p>
      <w:pPr>
        <w:pStyle w:val="5"/>
        <w:spacing w:before="0" w:after="0" w:line="360" w:lineRule="auto"/>
        <w:jc w:val="both"/>
        <w:rPr>
          <w:rFonts w:hint="eastAsia" w:ascii="宋体" w:hAnsi="宋体" w:eastAsia="宋体" w:cs="宋体"/>
          <w:b/>
          <w:bCs/>
          <w:color w:val="auto"/>
          <w:sz w:val="28"/>
          <w:szCs w:val="28"/>
          <w:lang w:val="zh-CN"/>
        </w:rPr>
      </w:pPr>
      <w:bookmarkStart w:id="442" w:name="_Toc25846"/>
      <w:bookmarkStart w:id="443" w:name="_Toc15811"/>
      <w:bookmarkStart w:id="444" w:name="_Toc32690"/>
      <w:bookmarkStart w:id="445" w:name="_Toc30748"/>
      <w:r>
        <w:rPr>
          <w:rFonts w:hint="eastAsia" w:ascii="宋体" w:hAnsi="宋体" w:eastAsia="宋体" w:cs="宋体"/>
          <w:b/>
          <w:bCs/>
          <w:color w:val="auto"/>
          <w:sz w:val="28"/>
          <w:szCs w:val="28"/>
          <w:lang w:val="zh-CN"/>
        </w:rPr>
        <w:t>4、注意事项</w:t>
      </w:r>
      <w:bookmarkEnd w:id="442"/>
      <w:bookmarkEnd w:id="443"/>
      <w:bookmarkEnd w:id="444"/>
      <w:bookmarkEnd w:id="445"/>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（1）应急救援人员应佩戴选择合适的防高温烫伤工具，及救护高温烫伤人员的所需药品。</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（2）急救必须遵循“安全第一，科学有效”的原则：对受伤人员，先现场紧急处理，后转移。</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（3）服从指挥，统一行动，相互协作，自救为主。</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（4）正确使用抢险救援器材。</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（5）现场应急处置抢险人员必须由2人以上组成，即至少有一监护人；</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（6）若事故发生在夜间，应设置临时照明灯，以便于抢救，避免意外事故的发生。</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（7）</w:t>
      </w:r>
      <w:r>
        <w:rPr>
          <w:rFonts w:hint="eastAsia" w:ascii="宋体" w:hAnsi="宋体" w:eastAsia="宋体" w:cs="宋体"/>
          <w:color w:val="auto"/>
          <w:sz w:val="28"/>
          <w:szCs w:val="28"/>
          <w:lang w:val="en-US" w:eastAsia="zh-CN"/>
        </w:rPr>
        <w:t>事故救援时应封锁事故现场，救援区域内，严禁一切无关人员、车辆和物品进入，同时，开辟应急救援人员、车辆及物资进出的安全通道，维持事故现场的治安和交通秩序</w:t>
      </w:r>
    </w:p>
    <w:p>
      <w:pPr>
        <w:pStyle w:val="2"/>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sectPr>
          <w:type w:val="continuous"/>
          <w:pgSz w:w="11906" w:h="16838"/>
          <w:pgMar w:top="1417" w:right="1417" w:bottom="1417" w:left="1417" w:header="1134" w:footer="1134" w:gutter="0"/>
          <w:pgNumType w:fmt="decimal"/>
          <w:cols w:space="720" w:num="1"/>
          <w:rtlGutter w:val="0"/>
          <w:docGrid w:linePitch="312" w:charSpace="0"/>
        </w:sectPr>
      </w:pPr>
    </w:p>
    <w:bookmarkEnd w:id="416"/>
    <w:p>
      <w:pPr>
        <w:pStyle w:val="4"/>
        <w:keepNext w:val="0"/>
        <w:keepLines w:val="0"/>
        <w:widowControl/>
        <w:numPr>
          <w:ilvl w:val="0"/>
          <w:numId w:val="0"/>
        </w:numPr>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446" w:name="_Toc8046"/>
      <w:bookmarkStart w:id="447" w:name="_Toc6458"/>
      <w:r>
        <w:rPr>
          <w:rFonts w:hint="eastAsia" w:ascii="宋体" w:hAnsi="宋体" w:eastAsia="宋体" w:cs="宋体"/>
          <w:color w:val="auto"/>
          <w:sz w:val="32"/>
          <w:lang w:eastAsia="zh-CN"/>
        </w:rPr>
        <w:t>五</w:t>
      </w:r>
      <w:r>
        <w:rPr>
          <w:rFonts w:hint="eastAsia" w:ascii="宋体" w:hAnsi="宋体" w:eastAsia="宋体" w:cs="宋体"/>
          <w:color w:val="auto"/>
          <w:sz w:val="32"/>
        </w:rPr>
        <w:t>、</w:t>
      </w:r>
      <w:r>
        <w:rPr>
          <w:rFonts w:hint="eastAsia" w:ascii="宋体" w:hAnsi="宋体" w:eastAsia="宋体" w:cs="宋体"/>
          <w:color w:val="auto"/>
          <w:sz w:val="32"/>
          <w:lang w:eastAsia="zh-CN"/>
        </w:rPr>
        <w:t>冻伤</w:t>
      </w:r>
      <w:r>
        <w:rPr>
          <w:rFonts w:hint="eastAsia" w:ascii="宋体" w:hAnsi="宋体" w:eastAsia="宋体" w:cs="宋体"/>
          <w:color w:val="auto"/>
          <w:sz w:val="32"/>
        </w:rPr>
        <w:t>事故现场处置方案</w:t>
      </w:r>
      <w:bookmarkEnd w:id="446"/>
      <w:bookmarkEnd w:id="447"/>
    </w:p>
    <w:p>
      <w:pPr>
        <w:pStyle w:val="5"/>
        <w:spacing w:before="0" w:after="0" w:line="360" w:lineRule="auto"/>
        <w:jc w:val="both"/>
        <w:rPr>
          <w:rFonts w:hint="eastAsia" w:ascii="宋体" w:hAnsi="宋体" w:eastAsia="宋体" w:cs="宋体"/>
          <w:b/>
          <w:bCs/>
          <w:color w:val="auto"/>
          <w:sz w:val="28"/>
          <w:szCs w:val="28"/>
          <w:lang w:val="zh-CN"/>
        </w:rPr>
      </w:pPr>
      <w:bookmarkStart w:id="448" w:name="_Toc2924"/>
      <w:bookmarkStart w:id="449" w:name="_Toc18189"/>
      <w:bookmarkStart w:id="450" w:name="_Toc23693"/>
      <w:r>
        <w:rPr>
          <w:rFonts w:hint="eastAsia" w:ascii="宋体" w:hAnsi="宋体" w:eastAsia="宋体" w:cs="宋体"/>
          <w:b/>
          <w:bCs/>
          <w:color w:val="auto"/>
          <w:sz w:val="28"/>
          <w:szCs w:val="28"/>
          <w:lang w:val="zh-CN"/>
        </w:rPr>
        <w:t>1、事故风险描述</w:t>
      </w:r>
      <w:bookmarkEnd w:id="448"/>
      <w:bookmarkEnd w:id="449"/>
      <w:bookmarkEnd w:id="45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zh-CN" w:eastAsia="zh-CN"/>
        </w:rPr>
        <w:t>1.1 危险性分析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冻伤是由于寒冷潮湿作用引起的人体局部或全身损伤。轻时可造成皮肤一过性损伤，要及时救治；重时可致永久性功能障碍，需进行专业救治。严重时可危及生命，需紧急抢救。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（1）本公司设有一套制冷系统，若制冷系统设备及管线发生泄漏可能发生低温冻伤事故。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lang w:val="en-US" w:eastAsia="zh-CN"/>
        </w:rPr>
      </w:pPr>
      <w:r>
        <w:rPr>
          <w:rFonts w:hint="eastAsia" w:ascii="宋体" w:hAnsi="宋体" w:eastAsia="宋体" w:cs="宋体"/>
          <w:color w:val="auto"/>
          <w:sz w:val="28"/>
          <w:szCs w:val="28"/>
          <w:lang w:val="en-US" w:eastAsia="zh-CN"/>
        </w:rPr>
        <w:t>（2）本公司设置有一台液氮储罐，主要用于开停车过程中氮气置换， 若液氮储罐发生泄漏可能发生低温冻伤事故。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可能发生触电事故的场所是制氮设备，制冷系统等。</w:t>
      </w:r>
    </w:p>
    <w:p>
      <w:pPr>
        <w:keepNext w:val="0"/>
        <w:keepLines w:val="0"/>
        <w:pageBreakBefore w:val="0"/>
        <w:kinsoku/>
        <w:wordWrap/>
        <w:overflowPunct/>
        <w:topLinePunct w:val="0"/>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8"/>
          <w:szCs w:val="28"/>
          <w:highlight w:val="none"/>
        </w:rPr>
        <w:t>1.</w:t>
      </w:r>
      <w:r>
        <w:rPr>
          <w:rFonts w:hint="eastAsia" w:ascii="宋体" w:hAnsi="宋体" w:eastAsia="宋体" w:cs="宋体"/>
          <w:b/>
          <w:i w:val="0"/>
          <w:iCs w:val="0"/>
          <w:color w:val="auto"/>
          <w:sz w:val="28"/>
          <w:szCs w:val="28"/>
          <w:highlight w:val="none"/>
          <w:lang w:val="en-US" w:eastAsia="zh-CN"/>
        </w:rPr>
        <w:t xml:space="preserve">3 </w:t>
      </w:r>
      <w:r>
        <w:rPr>
          <w:rFonts w:hint="eastAsia" w:ascii="宋体" w:hAnsi="宋体" w:eastAsia="宋体" w:cs="宋体"/>
          <w:b/>
          <w:i w:val="0"/>
          <w:iCs w:val="0"/>
          <w:color w:val="auto"/>
          <w:sz w:val="28"/>
          <w:szCs w:val="28"/>
          <w:highlight w:val="none"/>
        </w:rPr>
        <w:t>事故危害程度</w:t>
      </w:r>
    </w:p>
    <w:p>
      <w:pPr>
        <w:keepNext w:val="0"/>
        <w:keepLines w:val="0"/>
        <w:pageBreakBefore w:val="0"/>
        <w:kinsoku/>
        <w:wordWrap/>
        <w:overflowPunct/>
        <w:topLinePunct w:val="0"/>
        <w:bidi w:val="0"/>
        <w:adjustRightInd/>
        <w:snapToGrid/>
        <w:spacing w:line="360" w:lineRule="auto"/>
        <w:ind w:firstLine="420" w:firstLineChars="15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 xml:space="preserve"> 冻伤是在一定条件下由于寒冷作用于人体，引起局部的乃至全身的损伤 。冻伤的发生除了与寒冷的强度、风速、湿度、受冻时间有关，还与潮湿、局部血液循环不良和抗旱能力下降有关。一般将冻伤分为冻疮、局部冻伤和冻僵三种。在极端寒冷，特别在高原地区可发生肢体的冻伤，若核心体温低于正常，即使体温过低尚未出现,可加重冻伤。冻伤一般表现为耳廓、手、足等处发红或发紫、肿胀，严重时会出现肢体坏死，甚至死亡。</w:t>
      </w:r>
    </w:p>
    <w:p>
      <w:pPr>
        <w:pStyle w:val="5"/>
        <w:spacing w:before="0" w:after="0" w:line="360" w:lineRule="auto"/>
        <w:jc w:val="both"/>
        <w:rPr>
          <w:rFonts w:hint="eastAsia" w:ascii="宋体" w:hAnsi="宋体" w:eastAsia="宋体" w:cs="宋体"/>
          <w:b/>
          <w:bCs/>
          <w:color w:val="auto"/>
          <w:sz w:val="28"/>
          <w:szCs w:val="28"/>
          <w:lang w:val="zh-CN"/>
        </w:rPr>
      </w:pPr>
      <w:bookmarkStart w:id="451" w:name="_Toc28745"/>
      <w:bookmarkStart w:id="452" w:name="_Toc26523"/>
      <w:bookmarkStart w:id="453" w:name="_Toc20798"/>
      <w:r>
        <w:rPr>
          <w:rFonts w:hint="eastAsia" w:ascii="宋体" w:hAnsi="宋体" w:eastAsia="宋体" w:cs="宋体"/>
          <w:b/>
          <w:bCs/>
          <w:color w:val="auto"/>
          <w:sz w:val="28"/>
          <w:szCs w:val="28"/>
          <w:lang w:val="zh-CN"/>
        </w:rPr>
        <w:t>2、应急工作职责</w:t>
      </w:r>
      <w:bookmarkEnd w:id="451"/>
      <w:bookmarkEnd w:id="452"/>
      <w:bookmarkEnd w:id="45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w:t>
      </w:r>
      <w:r>
        <w:rPr>
          <w:rFonts w:hint="eastAsia" w:ascii="宋体" w:hAnsi="宋体" w:eastAsia="宋体" w:cs="宋体"/>
          <w:color w:val="auto"/>
          <w:sz w:val="28"/>
          <w:szCs w:val="28"/>
          <w:lang w:val="en-US" w:eastAsia="zh-CN"/>
        </w:rPr>
        <w:t>灼烫事故</w:t>
      </w:r>
      <w:r>
        <w:rPr>
          <w:rFonts w:hint="eastAsia" w:ascii="宋体" w:hAnsi="宋体" w:eastAsia="宋体" w:cs="宋体"/>
          <w:color w:val="auto"/>
          <w:sz w:val="28"/>
          <w:szCs w:val="28"/>
        </w:rPr>
        <w:t>，应立即高声呼叫求救。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在确保自身安全的情况下，应立即执行现场应急处置措施。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454" w:name="_Toc25785"/>
      <w:bookmarkStart w:id="455" w:name="_Toc11611"/>
      <w:bookmarkStart w:id="456" w:name="_Toc24351"/>
      <w:r>
        <w:rPr>
          <w:rFonts w:hint="eastAsia" w:ascii="宋体" w:hAnsi="宋体" w:eastAsia="宋体" w:cs="宋体"/>
          <w:b/>
          <w:bCs/>
          <w:color w:val="auto"/>
          <w:sz w:val="28"/>
          <w:szCs w:val="28"/>
          <w:lang w:val="zh-CN"/>
        </w:rPr>
        <w:t>3、应急处置</w:t>
      </w:r>
      <w:bookmarkEnd w:id="454"/>
      <w:bookmarkEnd w:id="455"/>
      <w:bookmarkEnd w:id="45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1642"/>
        <w:gridCol w:w="1560"/>
        <w:gridCol w:w="5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blHeader/>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发出预警或事故警报</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如：大声呼救“有人受伤啦、快来救人”获取周围人员支援。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现场最高管理者</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②报告上级主管或总经理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现场作业人员</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w:t>
            </w:r>
            <w:r>
              <w:rPr>
                <w:rFonts w:hint="eastAsia" w:eastAsia="宋体" w:cs="宋体"/>
                <w:color w:val="auto"/>
                <w:sz w:val="24"/>
                <w:szCs w:val="24"/>
                <w:vertAlign w:val="baseline"/>
                <w:lang w:val="en-US" w:eastAsia="zh-CN"/>
              </w:rPr>
              <w:t>将冻伤人员脱离寒冷环境，移到暖和地方，并將衣服解开，用毛巾、毛毯让全身保温，不可搓揉冻伤部位</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②拨打120电话报警并送医。</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w:t>
            </w:r>
            <w:r>
              <w:rPr>
                <w:rFonts w:hint="eastAsia" w:eastAsia="宋体" w:cs="宋体"/>
                <w:color w:val="auto"/>
                <w:sz w:val="24"/>
                <w:szCs w:val="24"/>
                <w:vertAlign w:val="baseline"/>
                <w:lang w:val="en-US" w:eastAsia="zh-CN"/>
              </w:rPr>
              <w:t>警戒周围，保护事故现场</w:t>
            </w:r>
            <w:r>
              <w:rPr>
                <w:rFonts w:hint="eastAsia" w:ascii="宋体" w:hAnsi="宋体" w:eastAsia="宋体" w:cs="宋体"/>
                <w:color w:val="auto"/>
                <w:sz w:val="24"/>
                <w:szCs w:val="24"/>
                <w:vertAlign w:val="baseline"/>
                <w:lang w:val="en-US" w:eastAsia="zh-CN"/>
              </w:rPr>
              <w:t>，疏散受影响的人员。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5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64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现场最高管理者</w:t>
            </w:r>
          </w:p>
        </w:tc>
        <w:tc>
          <w:tcPr>
            <w:tcW w:w="523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受伤人员出现昏迷、</w:t>
            </w:r>
            <w:r>
              <w:rPr>
                <w:rFonts w:hint="eastAsia" w:eastAsia="宋体" w:cs="宋体"/>
                <w:color w:val="auto"/>
                <w:sz w:val="24"/>
                <w:szCs w:val="24"/>
                <w:vertAlign w:val="baseline"/>
                <w:lang w:val="en-US" w:eastAsia="zh-CN"/>
              </w:rPr>
              <w:t>冻僵</w:t>
            </w:r>
            <w:r>
              <w:rPr>
                <w:rFonts w:hint="eastAsia" w:ascii="宋体" w:hAnsi="宋体" w:eastAsia="宋体" w:cs="宋体"/>
                <w:color w:val="auto"/>
                <w:sz w:val="24"/>
                <w:szCs w:val="24"/>
                <w:vertAlign w:val="baseline"/>
                <w:lang w:val="en-US" w:eastAsia="zh-CN"/>
              </w:rPr>
              <w:t>、休克现象；</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立即向应急值班室或总经理报告，请求相应升级，说明事故位置、受伤人员情况、发展事态。</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（一）冻伤急救和治疗原则：</w:t>
      </w:r>
      <w:r>
        <w:rPr>
          <w:rFonts w:hint="eastAsia" w:ascii="宋体" w:hAnsi="宋体" w:eastAsia="宋体" w:cs="宋体"/>
          <w:b/>
          <w:bCs/>
          <w:color w:val="auto"/>
          <w:sz w:val="28"/>
          <w:szCs w:val="28"/>
          <w:lang w:val="en-US" w:eastAsia="zh-CN"/>
        </w:rPr>
        <w:br w:type="textWrapping"/>
      </w:r>
      <w:r>
        <w:rPr>
          <w:rFonts w:hint="eastAsia" w:ascii="宋体" w:hAnsi="宋体" w:eastAsia="宋体" w:cs="宋体"/>
          <w:color w:val="auto"/>
          <w:sz w:val="28"/>
          <w:szCs w:val="28"/>
          <w:lang w:val="en-US" w:eastAsia="zh-CN"/>
        </w:rPr>
        <w:t xml:space="preserve">     （1）迅速脱离寒冷环境，防止继续受冻；</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（2）抓紧时间尽早快速复温；</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（3）局部涂敷冻伤膏；</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（4）改善局部</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"http://zhidao.baidu.com/search?word=%CE%A2%D1%AD%BB%B7&amp;fr=qb_search_exp&amp;ie=utf8"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微循环</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（5）抗休克，抗感染和保暖；</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（6）应用内服活血化瘀等类药物；</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（7）二、三度冻伤未能分清者按三度冻伤治疗；</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（8）冻伤的手术处理，应尽量减少伤残，最大限度的保留尚有存活能力的肢体功能。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（二）急救要点与方法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（1）将患者移到暖和的地方，并將衣服解开，用毛巾、毛毯让全身保温，不可搓揉冻伤部位。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（2）患者呼吸停止时，立刻将气道开放，并进行人工呼吸。若脉搏停止跳动，则要进行心肺复苏术。 </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（3）只有手脚冻伤时，可在患者稳定后，将手脚泡在溫水中（37～40度），也可给予温热的饮料，但不可用热水浸泡或是火来取暖。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（4）冻伤部位恢复后，要消毒患部并包扎起來，送医治疗。</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（三）急救方法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1）迅速而稳妥地将病人移入温暖环境，脱掉衣服、鞋袜，采取全身保暖措施，盖以棉被或毛毯，并用热水袋，水壶加热（注意用垫子，衣服或毯子隔开，不要直接放在皮肤上以防烫伤）放腋下及腹股沟，有条件用电毯包裹躯开，红外线和短波透热等，也可用温水，将病人浸入40～42°C温浴盆中，水温自34～35°C开始，5～10分钟后提高水温到42°C，待肛温升到34°C，有了规则的呼吸入心跳时，停止加温。 </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（2） 如病人意识存在，可给予温热饮料或小量酒，静脉滴入加温10％葡萄糖水（可将输液管加长到5～6米，浸泡在38～40°C水浴中），有助于改善循环。 </w:t>
      </w:r>
      <w:r>
        <w:rPr>
          <w:rFonts w:hint="eastAsia" w:ascii="宋体" w:hAnsi="宋体" w:eastAsia="宋体" w:cs="宋体"/>
          <w:color w:val="auto"/>
          <w:sz w:val="28"/>
          <w:szCs w:val="28"/>
          <w:lang w:val="en-US" w:eastAsia="zh-CN"/>
        </w:rPr>
        <w:br w:type="textWrapping"/>
      </w:r>
      <w:r>
        <w:rPr>
          <w:rFonts w:hint="eastAsia" w:ascii="宋体" w:hAnsi="宋体" w:eastAsia="宋体" w:cs="宋体"/>
          <w:color w:val="auto"/>
          <w:sz w:val="28"/>
          <w:szCs w:val="28"/>
          <w:lang w:val="en-US" w:eastAsia="zh-CN"/>
        </w:rPr>
        <w:t xml:space="preserve">    （3）除体表复温外，也可采用中心复温法，尤其是那些严重冻僵的伤员。可采用体外循环血液加温和腹膜透析。腹膜透析在一般医院都能进行，可用加温到49～54°C的透析液悬挂在3～4尺高度，通过在43°C水浴中保温的导管，灌入腹腔内，进行腹膜透析，每次约20～30分钟，可连续透析5～6次。每小时可使肛温升高2.9～3.6°C，有助于改善心、肾功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（4）其它治疗，包括纠正心律紊乱和酸中毒，注意并发症（肺炎，心肾功能不全、脑、肺水肿）的防治等。如伴有局部冻伤，应先抢救冻僵后，再按冻伤治疗原则处理。</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（四）治疗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（1）轻度冻伤的治疗方法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①用温水（38～42℃）浸泡患处，浸泡后用毛巾或柔软的干布进行局部按摩，切忌用火烤和用雪水摩擦。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 用花椒或辣椒秸煮水浸泡患处或用生姜涂擦局部，也有治疗作用。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 患处若破溃感染，应在局部用65～75％酒精或1%的新洁尔灭消毒，吸出水泡内液体，外涂冻疮膏、樟脑软膏等，保暖包扎。必要时应用</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"http://www.baike.com/wiki/抗生素"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抗生素</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及</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"http://www.baike.com/wiki/破伤风抗毒素"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破伤风抗毒素</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（2）严重冻伤的治疗方法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对于全身冻僵者，要迅速复温。先脱去或剪掉患者的湿冷的衣裤，在被褥中保暖，也可用25～30℃的温水进行淋浴或浸泡10分钟左右，使体温逐渐恢复正常。但应防止烫伤。冻伤的肢体应迅速在温水中使之温暖，水的温度要护理人员的手能忍受（不超过40.5℃），要小心避免烫伤失去知觉的组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若下肢受累但需步行一定距离去接受医疗时，不要解冻。外伤（如行走）可进一步加重解冻组织的损害，若再冷冻肯定会严重受损，但被冻的时间越长，对以后组织的损害越大。若受冻部分不立即解冻，则应轻轻地清洁，保持干燥，用无菌绷带保护，直至温暖解冻，这种较为稳定的办法是可行的。病人可服400mg</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"javascript:linkredwin('异丁洛芬');"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异丁洛芬</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，若可能应全身保暖。在医院内进行总体检查期间，应迅速将肢体置于大容器内温暖，水温保持在38～43℃。回暖后，微波测温，激光多普勒流量测定，</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"http://www.baike.com/wiki/血管造影"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血管造影</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或</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"http://www.baike.com/wiki/核磁共振"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核磁共振</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检查可用于检查周围循环，以指导治疗，改善预后。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③预防感染很重要，若坏疽是干的，感染不大可能。但湿性坏疽，像浸泡足一样，可能被感染；应该应用抗生素.若免疫接种不是最近进行的，则应给予破伤风类毒素。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④温暖后，肢体应保持干燥，暴露于暖空气中，尽可能做到无菌。大多数病人有脱水和血液浓缩；应口服或静脉滴注补液，并恢复电解质到正常水平。可采用的内科疗法并不一致，但目标是恢复循环，使细胞损害减至最小。最有效的是</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"http://www.baike.com/wiki/低分子右旋糖酐"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低分子右旋糖酐</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"javascript:linkredwin('异丁洛芬');"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异丁洛芬</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和</w:t>
      </w: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"javascript:linkredwin('丁咯地乐');" </w:instrText>
      </w:r>
      <w:r>
        <w:rPr>
          <w:rFonts w:hint="eastAsia" w:ascii="宋体" w:hAnsi="宋体" w:eastAsia="宋体" w:cs="宋体"/>
          <w:color w:val="auto"/>
          <w:sz w:val="28"/>
          <w:szCs w:val="28"/>
          <w:lang w:val="en-US" w:eastAsia="zh-CN"/>
        </w:rPr>
        <w:fldChar w:fldCharType="separate"/>
      </w:r>
      <w:r>
        <w:rPr>
          <w:rFonts w:hint="eastAsia" w:ascii="宋体" w:hAnsi="宋体" w:eastAsia="宋体" w:cs="宋体"/>
          <w:color w:val="auto"/>
          <w:sz w:val="28"/>
          <w:szCs w:val="28"/>
          <w:lang w:val="en-US" w:eastAsia="zh-CN"/>
        </w:rPr>
        <w:t>丁咯地乐</w:t>
      </w:r>
      <w:r>
        <w:rPr>
          <w:rFonts w:hint="eastAsia"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（buflomedil）。较强力的动脉内或静脉内给药以及化学或外科方法的交感切除现已很少应用，但对晚期灼痛还是有用的。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⑤ 营养和精神状态需要特别关心，手术应尽可能推迟，因为黑色硬壳常可脱落而留下活的组织。“正月冻伤，七月手术”是一句正确的格言。最好的长期治疗是漩涡浴及浴后轻轻擦干并休息。对冻伤后长期持续存在的症状（如麻木对寒冷过敏）尚无治疗办法。</w:t>
      </w:r>
    </w:p>
    <w:p>
      <w:pPr>
        <w:pStyle w:val="5"/>
        <w:spacing w:before="0" w:after="0" w:line="360" w:lineRule="auto"/>
        <w:jc w:val="both"/>
        <w:rPr>
          <w:rFonts w:hint="eastAsia" w:ascii="宋体" w:hAnsi="宋体" w:eastAsia="宋体" w:cs="宋体"/>
          <w:b/>
          <w:bCs/>
          <w:color w:val="auto"/>
          <w:sz w:val="28"/>
          <w:szCs w:val="28"/>
          <w:lang w:val="zh-CN"/>
        </w:rPr>
      </w:pPr>
      <w:bookmarkStart w:id="457" w:name="_Toc1454"/>
      <w:bookmarkStart w:id="458" w:name="_Toc11360"/>
      <w:bookmarkStart w:id="459" w:name="_Toc14798"/>
      <w:r>
        <w:rPr>
          <w:rFonts w:hint="eastAsia" w:ascii="宋体" w:hAnsi="宋体" w:eastAsia="宋体" w:cs="宋体"/>
          <w:b/>
          <w:bCs/>
          <w:color w:val="auto"/>
          <w:sz w:val="28"/>
          <w:szCs w:val="28"/>
          <w:lang w:val="zh-CN"/>
        </w:rPr>
        <w:t>4、注意事项</w:t>
      </w:r>
      <w:bookmarkEnd w:id="457"/>
      <w:bookmarkEnd w:id="458"/>
      <w:bookmarkEnd w:id="459"/>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（1）应急救援人员应佩戴手套、防寒大衣，及救护受伤人员所需的热水等。</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（2）急救必须遵循“安全第一，科学有效”的原则：对受伤人员，先现场紧急处理，后转移。</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（3）服从指挥，统一行动，相互协作，自救为主。</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（4）正确使用抢险救援器材。</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（5）现场应急处置抢险人员必须由2人以上组成，即至少有一监护人；</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（6）若事故发生在夜间，应设置临时照明灯，以便于抢救，避免意外事故的发生。</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（7）</w:t>
      </w:r>
      <w:r>
        <w:rPr>
          <w:rFonts w:hint="eastAsia" w:ascii="宋体" w:hAnsi="宋体" w:eastAsia="宋体" w:cs="宋体"/>
          <w:color w:val="auto"/>
          <w:sz w:val="28"/>
          <w:szCs w:val="28"/>
          <w:lang w:val="en-US" w:eastAsia="zh-CN"/>
        </w:rPr>
        <w:t>事故救援时应封锁事故现场，救援区域内，严禁一切无关人员、车辆和物品进入，同时，开辟应急救援人员、车辆及物资进出的安全通道，维持事故现场的治安和交通秩序</w:t>
      </w:r>
    </w:p>
    <w:p>
      <w:pPr>
        <w:pStyle w:val="2"/>
        <w:rPr>
          <w:rFonts w:hint="eastAsia"/>
          <w:lang w:eastAsia="zh-CN"/>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460" w:name="_Toc31731"/>
      <w:bookmarkStart w:id="461" w:name="_Toc1080"/>
      <w:r>
        <w:rPr>
          <w:rFonts w:hint="eastAsia" w:ascii="宋体" w:hAnsi="宋体" w:eastAsia="宋体" w:cs="宋体"/>
          <w:color w:val="auto"/>
          <w:sz w:val="32"/>
          <w:lang w:eastAsia="zh-CN"/>
        </w:rPr>
        <w:t>六</w:t>
      </w:r>
      <w:r>
        <w:rPr>
          <w:rFonts w:hint="eastAsia" w:ascii="宋体" w:hAnsi="宋体" w:eastAsia="宋体" w:cs="宋体"/>
          <w:color w:val="auto"/>
          <w:sz w:val="32"/>
        </w:rPr>
        <w:t>、</w:t>
      </w:r>
      <w:r>
        <w:rPr>
          <w:rFonts w:hint="eastAsia" w:ascii="宋体" w:hAnsi="宋体" w:eastAsia="宋体" w:cs="宋体"/>
          <w:color w:val="auto"/>
          <w:sz w:val="32"/>
          <w:lang w:eastAsia="zh-CN"/>
        </w:rPr>
        <w:t>机械伤害</w:t>
      </w:r>
      <w:r>
        <w:rPr>
          <w:rFonts w:hint="eastAsia" w:ascii="宋体" w:hAnsi="宋体" w:eastAsia="宋体" w:cs="宋体"/>
          <w:color w:val="auto"/>
          <w:sz w:val="32"/>
        </w:rPr>
        <w:t>事故现场处置方案</w:t>
      </w:r>
      <w:bookmarkEnd w:id="460"/>
      <w:bookmarkEnd w:id="461"/>
    </w:p>
    <w:p>
      <w:pPr>
        <w:pStyle w:val="5"/>
        <w:spacing w:before="0" w:after="0" w:line="360" w:lineRule="auto"/>
        <w:jc w:val="both"/>
        <w:rPr>
          <w:rFonts w:hint="eastAsia" w:ascii="宋体" w:hAnsi="宋体" w:eastAsia="宋体" w:cs="宋体"/>
          <w:b/>
          <w:bCs/>
          <w:color w:val="auto"/>
          <w:sz w:val="28"/>
          <w:szCs w:val="28"/>
          <w:lang w:val="zh-CN"/>
        </w:rPr>
      </w:pPr>
      <w:bookmarkStart w:id="462" w:name="_Toc1815"/>
      <w:bookmarkStart w:id="463" w:name="_Toc20968"/>
      <w:bookmarkStart w:id="464" w:name="_Toc551"/>
      <w:r>
        <w:rPr>
          <w:rFonts w:hint="eastAsia" w:ascii="宋体" w:hAnsi="宋体" w:eastAsia="宋体" w:cs="宋体"/>
          <w:b/>
          <w:bCs/>
          <w:color w:val="auto"/>
          <w:sz w:val="28"/>
          <w:szCs w:val="28"/>
          <w:lang w:val="zh-CN"/>
        </w:rPr>
        <w:t>1、事故风险描述</w:t>
      </w:r>
      <w:bookmarkEnd w:id="462"/>
      <w:bookmarkEnd w:id="463"/>
      <w:bookmarkEnd w:id="46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1.1 危险性分析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机械伤害是指机械设备运动（静止）部件、工具直接与人体接触引起的夹击、碰撞、剪切、卷入、绞、碾、割、刺等伤害。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本公司在生产过程涉及成套动力装置、空压机、压滤机、物料转运系统、等各类机械设备和转动设备，其设备运行过程易产生机械伤害事故，具体分析如下：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（1）机械设备因安全防护措施欠缺、员工操作不当，可能对操作人员造成绞碾、挤压等机械伤害危险。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（2）检修设备时，检修人员操作不当，可能造成对检修人员的机械伤害危险。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（3）作业空间狭小，人员作业过程肢体接触机械旋转或往复运行范围内，则可能对人员造成碰撞、挤压、绞碾等机械伤害。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机械设备运行过程中会产生大量的噪声，噪声对人体的健康影响是多方面的，表现最明显的是对听觉器官的损伤，长时间在强噪声环境下工作，可以导致职业性耳聋及噪声性耳聋。由于噪声的心理作用，分散人们的注意力容易引起工伤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（5）机械运转除了产生噪声外还产生振动，强烈的振动不仅引起机械部件的疲劳和损坏，使建筑结构强度降低甚至变形，还引起人员不适，特别是强振动作业环境，会引起职业性危害，产生振动病。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（6）若操作人员未按操作规程操作机械设备和工人未按规定穿戴劳动保护用品、自我保护意识不强造成的。操作人员不遵守安全规程，头发或服装卷进或夹入旋转部件及直线运动部件。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（7）生产过程中，设备的机械部分、工具、设备边缘锋利飞边和粗糙表面可能造成人员划伤、檫伤等。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（8）机械设备的防护保险装置、防护栏、保护盖不全或维修不及时， 设备防护门安全联锁失效等，可能造成卷入、绞伤、飞溅等事故。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（9）设备的电机、传动轴等转动部位的零部件松动、松脱、掉落可能造成人员受伤或设备损坏。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发生机械伤害的区域、地点或装置有：使用机械设备的所有场所。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设备主要危险部位有</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刀具的刀刃、工具设备边缘锋利飞边和粗糙表面、突出较长的机械部位、纵向运动部位、横向运动部位、单纯直线运动部位、直线的凸起部位、运动部分与静止部分的组合、单纯回转运动部位、卷进旋转运动中两个机械部件间的危险、摆动的机械部位、运动部位与静止部位的组合、回转运动的刀具、直线运动与回转运动的组合、回转运动与回转运动的组合、飞出的刀具、飞出的切屑、工件等。</w:t>
      </w:r>
    </w:p>
    <w:p>
      <w:pPr>
        <w:keepNext w:val="0"/>
        <w:keepLines w:val="0"/>
        <w:pageBreakBefore w:val="0"/>
        <w:kinsoku/>
        <w:wordWrap/>
        <w:overflowPunct/>
        <w:topLinePunct w:val="0"/>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8"/>
          <w:szCs w:val="28"/>
          <w:highlight w:val="none"/>
        </w:rPr>
        <w:t>1.</w:t>
      </w:r>
      <w:r>
        <w:rPr>
          <w:rFonts w:hint="eastAsia" w:ascii="宋体" w:hAnsi="宋体" w:eastAsia="宋体" w:cs="宋体"/>
          <w:b/>
          <w:i w:val="0"/>
          <w:iCs w:val="0"/>
          <w:color w:val="auto"/>
          <w:sz w:val="28"/>
          <w:szCs w:val="28"/>
          <w:highlight w:val="none"/>
          <w:lang w:val="en-US" w:eastAsia="zh-CN"/>
        </w:rPr>
        <w:t xml:space="preserve">3 </w:t>
      </w:r>
      <w:r>
        <w:rPr>
          <w:rFonts w:hint="eastAsia" w:ascii="宋体" w:hAnsi="宋体" w:eastAsia="宋体" w:cs="宋体"/>
          <w:b/>
          <w:i w:val="0"/>
          <w:iCs w:val="0"/>
          <w:color w:val="auto"/>
          <w:sz w:val="28"/>
          <w:szCs w:val="28"/>
          <w:highlight w:val="none"/>
        </w:rPr>
        <w:t>事故危害程度</w:t>
      </w:r>
    </w:p>
    <w:p>
      <w:pPr>
        <w:keepNext w:val="0"/>
        <w:keepLines w:val="0"/>
        <w:pageBreakBefore w:val="0"/>
        <w:kinsoku/>
        <w:wordWrap/>
        <w:overflowPunct/>
        <w:topLinePunct w:val="0"/>
        <w:bidi w:val="0"/>
        <w:adjustRightInd/>
        <w:snapToGrid/>
        <w:spacing w:line="360" w:lineRule="auto"/>
        <w:ind w:firstLine="420" w:firstLineChars="15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 xml:space="preserve"> 发生</w:t>
      </w:r>
      <w:r>
        <w:rPr>
          <w:rFonts w:hint="eastAsia" w:ascii="宋体" w:hAnsi="宋体" w:eastAsia="宋体" w:cs="宋体"/>
          <w:i w:val="0"/>
          <w:iCs w:val="0"/>
          <w:color w:val="auto"/>
          <w:sz w:val="28"/>
          <w:szCs w:val="28"/>
          <w:highlight w:val="none"/>
          <w:lang w:eastAsia="zh-CN"/>
        </w:rPr>
        <w:t>机械伤害事故</w:t>
      </w:r>
      <w:r>
        <w:rPr>
          <w:rFonts w:hint="eastAsia" w:ascii="宋体" w:hAnsi="宋体" w:eastAsia="宋体" w:cs="宋体"/>
          <w:i w:val="0"/>
          <w:iCs w:val="0"/>
          <w:color w:val="auto"/>
          <w:sz w:val="28"/>
          <w:szCs w:val="28"/>
          <w:highlight w:val="none"/>
        </w:rPr>
        <w:t>后，可导致人员轻伤、重伤，甚至死亡。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eastAsia="zh-CN"/>
        </w:rPr>
        <w:t xml:space="preserve"> 事故前可能出现的预兆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机械设备转动或传动部分外露，没有防护罩。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机械设备转动或传动部分防护罩脱落。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机械设备开动时发生异常振动。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机械设备转动或传动部分的固定螺栓松动。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设备带病运行。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作业人员违规违章操作，如带手套作业、酒后上岗、精神不集中、无证操作等。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作业过程中有人大声惊叫、呼救或突发异响。</w:t>
      </w:r>
    </w:p>
    <w:p>
      <w:pPr>
        <w:pStyle w:val="5"/>
        <w:spacing w:before="0" w:after="0" w:line="360" w:lineRule="auto"/>
        <w:jc w:val="both"/>
        <w:rPr>
          <w:rFonts w:hint="eastAsia" w:ascii="宋体" w:hAnsi="宋体" w:eastAsia="宋体" w:cs="宋体"/>
          <w:b/>
          <w:bCs/>
          <w:color w:val="auto"/>
          <w:sz w:val="28"/>
          <w:szCs w:val="28"/>
          <w:lang w:val="zh-CN"/>
        </w:rPr>
      </w:pPr>
      <w:bookmarkStart w:id="465" w:name="_Toc6440"/>
      <w:bookmarkStart w:id="466" w:name="_Toc32530"/>
      <w:bookmarkStart w:id="467" w:name="_Toc5266"/>
      <w:r>
        <w:rPr>
          <w:rFonts w:hint="eastAsia" w:ascii="宋体" w:hAnsi="宋体" w:eastAsia="宋体" w:cs="宋体"/>
          <w:b/>
          <w:bCs/>
          <w:color w:val="auto"/>
          <w:sz w:val="28"/>
          <w:szCs w:val="28"/>
          <w:lang w:val="zh-CN"/>
        </w:rPr>
        <w:t>2、应急工作职责</w:t>
      </w:r>
      <w:bookmarkEnd w:id="465"/>
      <w:bookmarkEnd w:id="466"/>
      <w:bookmarkEnd w:id="46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w:t>
      </w:r>
      <w:r>
        <w:rPr>
          <w:rFonts w:hint="eastAsia" w:ascii="宋体" w:hAnsi="宋体" w:eastAsia="宋体" w:cs="宋体"/>
          <w:color w:val="auto"/>
          <w:sz w:val="28"/>
          <w:szCs w:val="28"/>
          <w:lang w:eastAsia="zh-CN"/>
        </w:rPr>
        <w:t>事故</w:t>
      </w:r>
      <w:r>
        <w:rPr>
          <w:rFonts w:hint="eastAsia" w:ascii="宋体" w:hAnsi="宋体" w:eastAsia="宋体" w:cs="宋体"/>
          <w:color w:val="auto"/>
          <w:sz w:val="28"/>
          <w:szCs w:val="28"/>
        </w:rPr>
        <w:t>者，应立即高声呼叫求救。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立即采取措施，如切断电源</w:t>
      </w:r>
      <w:r>
        <w:rPr>
          <w:rFonts w:hint="eastAsia" w:ascii="宋体" w:hAnsi="宋体" w:eastAsia="宋体" w:cs="宋体"/>
          <w:color w:val="auto"/>
          <w:sz w:val="28"/>
          <w:szCs w:val="28"/>
          <w:lang w:eastAsia="zh-CN"/>
        </w:rPr>
        <w:t>、查看伤者</w:t>
      </w:r>
      <w:r>
        <w:rPr>
          <w:rFonts w:hint="eastAsia" w:ascii="宋体" w:hAnsi="宋体" w:eastAsia="宋体" w:cs="宋体"/>
          <w:color w:val="auto"/>
          <w:sz w:val="28"/>
          <w:szCs w:val="28"/>
        </w:rPr>
        <w:t>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468" w:name="_Toc19902"/>
      <w:bookmarkStart w:id="469" w:name="_Toc30203"/>
      <w:bookmarkStart w:id="470" w:name="_Toc26269"/>
      <w:r>
        <w:rPr>
          <w:rFonts w:hint="eastAsia" w:ascii="宋体" w:hAnsi="宋体" w:eastAsia="宋体" w:cs="宋体"/>
          <w:b/>
          <w:bCs/>
          <w:color w:val="auto"/>
          <w:sz w:val="28"/>
          <w:szCs w:val="28"/>
          <w:lang w:val="zh-CN"/>
        </w:rPr>
        <w:t>3、应急处置</w:t>
      </w:r>
      <w:bookmarkEnd w:id="468"/>
      <w:bookmarkEnd w:id="469"/>
      <w:bookmarkEnd w:id="47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541"/>
        <w:gridCol w:w="1401"/>
        <w:gridCol w:w="5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发出预警或事故警报</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如：大声呼救“有人被机器绞住、快来救人”获取周围人员支援。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 xml:space="preserve"> 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现场作业人员</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①根据人员受伤部位不同采取急救措施。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②</w:t>
            </w:r>
            <w:r>
              <w:rPr>
                <w:rFonts w:hint="eastAsia" w:ascii="宋体" w:hAnsi="宋体" w:eastAsia="宋体" w:cs="宋体"/>
                <w:color w:val="auto"/>
                <w:sz w:val="24"/>
                <w:szCs w:val="24"/>
                <w:vertAlign w:val="baseline"/>
                <w:lang w:val="en-US" w:eastAsia="zh-CN"/>
              </w:rPr>
              <w:t>切断着事故设备开关和区域电源开关。</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③隔离警戒，保护现场</w:t>
            </w:r>
            <w:r>
              <w:rPr>
                <w:rFonts w:hint="eastAsia" w:ascii="宋体" w:hAnsi="宋体" w:eastAsia="宋体" w:cs="宋体"/>
                <w:color w:val="auto"/>
                <w:sz w:val="24"/>
                <w:szCs w:val="24"/>
                <w:vertAlign w:val="baseline"/>
                <w:lang w:val="en-US" w:eastAsia="zh-CN"/>
              </w:rPr>
              <w:t>，疏散受影响的人员。</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④拨打120电话报警或送医。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54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401"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受伤人员出现昏迷、重伤、休克现象；</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w:t>
            </w:r>
            <w:r>
              <w:rPr>
                <w:rFonts w:hint="eastAsia" w:eastAsia="宋体" w:cs="宋体"/>
                <w:color w:val="auto"/>
                <w:sz w:val="24"/>
                <w:szCs w:val="24"/>
                <w:vertAlign w:val="baseline"/>
                <w:lang w:val="en-US" w:eastAsia="zh-CN"/>
              </w:rPr>
              <w:t>总经理</w:t>
            </w:r>
            <w:r>
              <w:rPr>
                <w:rFonts w:hint="eastAsia" w:ascii="宋体" w:hAnsi="宋体" w:eastAsia="宋体" w:cs="宋体"/>
                <w:color w:val="auto"/>
                <w:sz w:val="24"/>
                <w:szCs w:val="24"/>
                <w:vertAlign w:val="baseline"/>
                <w:lang w:val="en-US" w:eastAsia="zh-CN"/>
              </w:rPr>
              <w:t>报告，请求相应升级，说明事故位置、受伤人员情况、发展事态。</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b/>
          <w:i w:val="0"/>
          <w:iCs w:val="0"/>
          <w:color w:val="auto"/>
          <w:sz w:val="28"/>
          <w:szCs w:val="28"/>
          <w:lang w:val="en-US" w:eastAsia="zh-CN"/>
        </w:rPr>
      </w:pPr>
      <w:r>
        <w:rPr>
          <w:rFonts w:hint="eastAsia" w:ascii="宋体" w:hAnsi="宋体" w:eastAsia="宋体" w:cs="宋体"/>
          <w:b/>
          <w:i w:val="0"/>
          <w:iCs w:val="0"/>
          <w:color w:val="auto"/>
          <w:sz w:val="28"/>
          <w:szCs w:val="28"/>
          <w:lang w:val="en-US" w:eastAsia="zh-CN"/>
        </w:rPr>
        <w:t xml:space="preserve">3.2.1 一般机械伤害应急处置措施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（1）发现有人受伤后，必须立即停止运转的机械，向周围人员呼救，使受伤者脱落危险区域，受伤者伤势较轻的，立即送往医院包扎、止血后，送医院治疗。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伤势较重的，可用止血带或弹性胶管束缚上臂1/3部位止血。但在送大医院手术时应每隔1小时松开止血带5～10分钟，以免手部缺血坏死。注意不要用尼龙绳、电线等捆扎手腕或上臂等部位，否则不仅不能止血，反而加重出血，有的甚至造成手指坏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（3）如果手指发生骨折不全离断时，要用小木板、铁皮等临时做固定，同时也能起到止痛的作用。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假如发生断手指或断手，不要丢弃断肢，要用无菌纱布包裹断指，外罩塑料袋，在袋外放一些冰块或冰糕，尽快转运，争取在6～8小时内进行再植手术。千万不可把断指浸入酒精、消毒水、盐水等液体中转运，以免破坏断指的组织结构，影响再植成活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（5）肢体卷入设备内，被卡在设备内，不可用倒转设备的方法取出肢体，妥善的方法是拆除设备部件，同伤者送医院抢救，无法拆除时拨打当地119求救。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（6）发生头皮撕裂伤可采取以下急救措施：及时对伤者进行抢救，采取止痛及其他对症措施；用生理盐水冲洗有伤部位，涂红汞后用消毒大纱布块、消毒棉花紧紧包扎，压迫止血，送医院治疗。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（7）受伤人员出现肢体骨折时，应尽量保持受伤的体位，由医务人员对伤肢进行固定，并在其指导下采用正确的方式进行抬运，防止因救助方法不当导致伤情进一步加重。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（8）受伤人员出现呼吸、心跳停止症状后，必须立即进行心脏按压或人工呼吸。</w:t>
      </w:r>
    </w:p>
    <w:p>
      <w:pPr>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b/>
          <w:i w:val="0"/>
          <w:iCs w:val="0"/>
          <w:color w:val="auto"/>
          <w:sz w:val="28"/>
          <w:szCs w:val="28"/>
          <w:lang w:val="en-US" w:eastAsia="zh-CN"/>
        </w:rPr>
      </w:pPr>
      <w:r>
        <w:rPr>
          <w:rFonts w:hint="eastAsia" w:ascii="宋体" w:hAnsi="宋体" w:eastAsia="宋体" w:cs="宋体"/>
          <w:b/>
          <w:i w:val="0"/>
          <w:iCs w:val="0"/>
          <w:color w:val="auto"/>
          <w:sz w:val="28"/>
          <w:szCs w:val="28"/>
          <w:lang w:val="en-US" w:eastAsia="zh-CN"/>
        </w:rPr>
        <w:t xml:space="preserve">3.2.2 机械伤害事故引起人员伤亡的处置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（1）抢救受伤人员时几种情况的处理：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①如确认人员已死亡，立即保护现场；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 如发生人员昏迷、伤及内脏、骨折及大量失血：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a立即联系120、119急救车或距现场最近的医院,并说明伤情。为取得最佳抢救效果，还可根据伤情联系专科医院。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b外伤大出血：急救车未到前，（有急救资质人员）现场采取止血措施。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c骨折:注意搬动时的保护，对昏迷、可能伤及脊椎、内脏或伤情不详者一律用担架或平板，不得一人抬肩、一人抬腿。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③一般性外伤：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a视伤情送往医院，防止破伤风；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b轻微内伤，送医院检查。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（2）划出事故特定区域，非救援人员、未经允许不得进入特定区域。迅速核实作业人数，如有人员被压在倒塌的设备下面，要立即采取可靠措施加固四周，然后拆除或切割压住伤者的杆件，将伤员移出。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sz w:val="28"/>
          <w:szCs w:val="28"/>
          <w:lang w:val="en-US" w:eastAsia="zh-CN"/>
        </w:rPr>
        <w:t>（3）制定救援措施时一定要考虑所采取措施的安全性和风险，经评价确认安全无误后再实施救援，避免因采取措施不当而引发新的伤害或损失。</w:t>
      </w:r>
    </w:p>
    <w:p>
      <w:pPr>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b/>
          <w:i w:val="0"/>
          <w:iCs w:val="0"/>
          <w:color w:val="auto"/>
          <w:sz w:val="28"/>
          <w:szCs w:val="28"/>
        </w:rPr>
      </w:pPr>
      <w:bookmarkStart w:id="471" w:name="_Toc373506386"/>
      <w:r>
        <w:rPr>
          <w:rFonts w:hint="eastAsia" w:ascii="宋体" w:hAnsi="宋体" w:eastAsia="宋体" w:cs="宋体"/>
          <w:b/>
          <w:i w:val="0"/>
          <w:iCs w:val="0"/>
          <w:color w:val="auto"/>
          <w:sz w:val="28"/>
          <w:szCs w:val="28"/>
        </w:rPr>
        <w:t>3.2.</w:t>
      </w:r>
      <w:r>
        <w:rPr>
          <w:rFonts w:hint="eastAsia" w:ascii="宋体" w:hAnsi="宋体" w:eastAsia="宋体" w:cs="宋体"/>
          <w:b/>
          <w:i w:val="0"/>
          <w:iCs w:val="0"/>
          <w:color w:val="auto"/>
          <w:sz w:val="28"/>
          <w:szCs w:val="28"/>
          <w:lang w:val="en-US" w:eastAsia="zh-CN"/>
        </w:rPr>
        <w:t>3</w:t>
      </w:r>
      <w:r>
        <w:rPr>
          <w:rFonts w:hint="eastAsia" w:ascii="宋体" w:hAnsi="宋体" w:eastAsia="宋体" w:cs="宋体"/>
          <w:b/>
          <w:i w:val="0"/>
          <w:iCs w:val="0"/>
          <w:color w:val="auto"/>
          <w:sz w:val="28"/>
          <w:szCs w:val="28"/>
        </w:rPr>
        <w:t>医疗救护应急处置措施</w:t>
      </w:r>
      <w:bookmarkEnd w:id="471"/>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1）止血</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可采用压迫止血法、止血带止血法、加压包扎止血法和加垫屈肢止血法：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压迫止血法适用于头、颈、四肢动脉大血管出血的临时止血。</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止血带止血法适用于四肢大血管出血，尤其是动脉出血。</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加压包扎止血法适用于大血管和毛细血管的止血。</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加垫屈肢止血法多用于小臂和小腿的止血，它利用肘关节或膝关节的弯曲功能，压迫血管达到止血的目的。</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2）包扎：有外伤的伤员经过止血后，就应立即用急救包、纱布、绷带或毛巾等包扎起来。</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如果是头部或四肢外伤，一般用三角巾或绷带包扎，如果没有三角巾和绷带，可以用衣服和毛巾等物代替。头、面部外伤常采用以下包扎方法：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①头顶式包扎法。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②面部面具式包扎法。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③头面部风帽式包扎法。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④单眼包扎法。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如果是四肢外伤，则要根据受伤肢体和部位采用不同的包扎法。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手足部受伤的三角巾包扎法。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①三角开上肢包扎法。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②膝（肘）带式包扎法。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③前臂（小腿）毛巾包扎法。</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固定：骨折是一种比较多见的创伤。如果伤员的受伤部位出现剧烈疼痛、肿胀、变形以及不能活动等现象时，就有可能是发生了骨折。这时，必须利用一切可以利用的条件迅速、及时而准确地给伤员进行临时固定。常见的骨折是四肢骨折和脊柱骨折，根据骨折的不同部位，可以采用相应的方法固定。</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救运：经过急救之后，就要迅速向地方医院转送。</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搬运伤员是一个非常得要的环节。如果搬运不当，可使伤情加重，严重时还能造成神经、血管的损伤，甚至瘫痪，难以治疗，给受伤者带来终身的痛苦。因此，对伤员的搬运应十分注意。</w:t>
      </w:r>
    </w:p>
    <w:p>
      <w:pPr>
        <w:pageBreakBefore w:val="0"/>
        <w:widowControl w:val="0"/>
        <w:kinsoku/>
        <w:wordWrap/>
        <w:overflowPunct/>
        <w:topLinePunct w:val="0"/>
        <w:autoSpaceDE/>
        <w:autoSpaceDN/>
        <w:bidi w:val="0"/>
        <w:spacing w:line="360" w:lineRule="auto"/>
        <w:ind w:firstLine="560" w:firstLineChars="200"/>
        <w:textAlignment w:val="auto"/>
        <w:outlineLvl w:val="9"/>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如果伤员伤势不重，可采用背、抱、扶等方法将伤员运走，如果伤员有大腿或脊柱骨折、大出血或休克等情形时，就不能用以上的方法进行搬运，一定要把伤员小心的放在担架上抬送。</w:t>
      </w:r>
    </w:p>
    <w:p>
      <w:pPr>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b/>
          <w:i w:val="0"/>
          <w:iCs w:val="0"/>
          <w:color w:val="auto"/>
          <w:sz w:val="28"/>
          <w:szCs w:val="28"/>
        </w:rPr>
      </w:pPr>
      <w:bookmarkStart w:id="472" w:name="_Toc6199"/>
      <w:bookmarkStart w:id="473" w:name="_Toc15875"/>
      <w:bookmarkStart w:id="474" w:name="_Toc22775"/>
      <w:bookmarkStart w:id="475" w:name="_Toc373506387"/>
      <w:bookmarkStart w:id="476" w:name="_Toc27545"/>
      <w:r>
        <w:rPr>
          <w:rFonts w:hint="eastAsia" w:ascii="宋体" w:hAnsi="宋体" w:eastAsia="宋体" w:cs="宋体"/>
          <w:b/>
          <w:i w:val="0"/>
          <w:iCs w:val="0"/>
          <w:color w:val="auto"/>
          <w:sz w:val="28"/>
          <w:szCs w:val="28"/>
        </w:rPr>
        <w:t>3.3 报告事项</w:t>
      </w:r>
      <w:bookmarkEnd w:id="472"/>
      <w:bookmarkEnd w:id="473"/>
      <w:bookmarkEnd w:id="474"/>
      <w:bookmarkEnd w:id="475"/>
      <w:bookmarkEnd w:id="476"/>
    </w:p>
    <w:p>
      <w:pPr>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b/>
          <w:i w:val="0"/>
          <w:iCs w:val="0"/>
          <w:color w:val="auto"/>
          <w:sz w:val="28"/>
          <w:szCs w:val="28"/>
        </w:rPr>
      </w:pPr>
      <w:bookmarkStart w:id="477" w:name="_Toc373506388"/>
      <w:r>
        <w:rPr>
          <w:rFonts w:hint="eastAsia" w:ascii="宋体" w:hAnsi="宋体" w:eastAsia="宋体" w:cs="宋体"/>
          <w:b/>
          <w:i w:val="0"/>
          <w:iCs w:val="0"/>
          <w:color w:val="auto"/>
          <w:sz w:val="28"/>
          <w:szCs w:val="28"/>
        </w:rPr>
        <w:t>3.3.1报警电话及联系方式</w:t>
      </w:r>
      <w:bookmarkEnd w:id="47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lang w:eastAsia="zh-CN"/>
        </w:rPr>
      </w:pPr>
      <w:r>
        <w:rPr>
          <w:rFonts w:hint="eastAsia" w:ascii="宋体" w:hAnsi="宋体" w:eastAsia="宋体" w:cs="宋体"/>
          <w:i w:val="0"/>
          <w:iCs w:val="0"/>
          <w:color w:val="auto"/>
          <w:sz w:val="28"/>
          <w:szCs w:val="28"/>
          <w:lang w:eastAsia="zh-CN"/>
        </w:rPr>
        <w:t>报警电话及联系方式见附件。</w:t>
      </w:r>
    </w:p>
    <w:p>
      <w:pPr>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b/>
          <w:i w:val="0"/>
          <w:iCs w:val="0"/>
          <w:color w:val="auto"/>
          <w:sz w:val="28"/>
          <w:szCs w:val="28"/>
        </w:rPr>
      </w:pPr>
      <w:bookmarkStart w:id="478" w:name="_Toc373506389"/>
      <w:r>
        <w:rPr>
          <w:rFonts w:hint="eastAsia" w:ascii="宋体" w:hAnsi="宋体" w:eastAsia="宋体" w:cs="宋体"/>
          <w:b/>
          <w:i w:val="0"/>
          <w:iCs w:val="0"/>
          <w:color w:val="auto"/>
          <w:sz w:val="28"/>
          <w:szCs w:val="28"/>
        </w:rPr>
        <w:t>3.3.2报告内容</w:t>
      </w:r>
      <w:bookmarkEnd w:id="47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lang w:eastAsia="zh-CN"/>
        </w:rPr>
      </w:pPr>
      <w:r>
        <w:rPr>
          <w:rFonts w:hint="eastAsia" w:ascii="宋体" w:hAnsi="宋体" w:eastAsia="宋体" w:cs="宋体"/>
          <w:i w:val="0"/>
          <w:iCs w:val="0"/>
          <w:color w:val="auto"/>
          <w:sz w:val="28"/>
          <w:szCs w:val="28"/>
          <w:lang w:eastAsia="zh-CN"/>
        </w:rPr>
        <w:t>（</w:t>
      </w:r>
      <w:r>
        <w:rPr>
          <w:rFonts w:hint="eastAsia" w:ascii="宋体" w:hAnsi="宋体" w:eastAsia="宋体" w:cs="宋体"/>
          <w:i w:val="0"/>
          <w:iCs w:val="0"/>
          <w:color w:val="auto"/>
          <w:sz w:val="28"/>
          <w:szCs w:val="28"/>
          <w:lang w:val="en-US" w:eastAsia="zh-CN"/>
        </w:rPr>
        <w:t>1</w:t>
      </w:r>
      <w:r>
        <w:rPr>
          <w:rFonts w:hint="eastAsia" w:ascii="宋体" w:hAnsi="宋体" w:eastAsia="宋体" w:cs="宋体"/>
          <w:i w:val="0"/>
          <w:iCs w:val="0"/>
          <w:color w:val="auto"/>
          <w:sz w:val="28"/>
          <w:szCs w:val="28"/>
          <w:lang w:eastAsia="zh-CN"/>
        </w:rPr>
        <w:t>）机械伤害发生的时间和地点。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lang w:eastAsia="zh-CN"/>
        </w:rPr>
      </w:pPr>
      <w:r>
        <w:rPr>
          <w:rFonts w:hint="eastAsia" w:ascii="宋体" w:hAnsi="宋体" w:eastAsia="宋体" w:cs="宋体"/>
          <w:i w:val="0"/>
          <w:iCs w:val="0"/>
          <w:color w:val="auto"/>
          <w:sz w:val="28"/>
          <w:szCs w:val="28"/>
          <w:lang w:eastAsia="zh-CN"/>
        </w:rPr>
        <w:t>（</w:t>
      </w:r>
      <w:r>
        <w:rPr>
          <w:rFonts w:hint="eastAsia" w:ascii="宋体" w:hAnsi="宋体" w:eastAsia="宋体" w:cs="宋体"/>
          <w:i w:val="0"/>
          <w:iCs w:val="0"/>
          <w:color w:val="auto"/>
          <w:sz w:val="28"/>
          <w:szCs w:val="28"/>
          <w:lang w:val="en-US" w:eastAsia="zh-CN"/>
        </w:rPr>
        <w:t>2</w:t>
      </w:r>
      <w:r>
        <w:rPr>
          <w:rFonts w:hint="eastAsia" w:ascii="宋体" w:hAnsi="宋体" w:eastAsia="宋体" w:cs="宋体"/>
          <w:i w:val="0"/>
          <w:iCs w:val="0"/>
          <w:color w:val="auto"/>
          <w:sz w:val="28"/>
          <w:szCs w:val="28"/>
          <w:lang w:eastAsia="zh-CN"/>
        </w:rPr>
        <w:t>）人员伤亡情况。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lang w:eastAsia="zh-CN"/>
        </w:rPr>
      </w:pPr>
      <w:r>
        <w:rPr>
          <w:rFonts w:hint="eastAsia" w:ascii="宋体" w:hAnsi="宋体" w:eastAsia="宋体" w:cs="宋体"/>
          <w:i w:val="0"/>
          <w:iCs w:val="0"/>
          <w:color w:val="auto"/>
          <w:sz w:val="28"/>
          <w:szCs w:val="28"/>
          <w:lang w:eastAsia="zh-CN"/>
        </w:rPr>
        <w:t>（</w:t>
      </w:r>
      <w:r>
        <w:rPr>
          <w:rFonts w:hint="eastAsia" w:ascii="宋体" w:hAnsi="宋体" w:eastAsia="宋体" w:cs="宋体"/>
          <w:i w:val="0"/>
          <w:iCs w:val="0"/>
          <w:color w:val="auto"/>
          <w:sz w:val="28"/>
          <w:szCs w:val="28"/>
          <w:lang w:val="en-US" w:eastAsia="zh-CN"/>
        </w:rPr>
        <w:t>3</w:t>
      </w:r>
      <w:r>
        <w:rPr>
          <w:rFonts w:hint="eastAsia" w:ascii="宋体" w:hAnsi="宋体" w:eastAsia="宋体" w:cs="宋体"/>
          <w:i w:val="0"/>
          <w:iCs w:val="0"/>
          <w:color w:val="auto"/>
          <w:sz w:val="28"/>
          <w:szCs w:val="28"/>
          <w:lang w:eastAsia="zh-CN"/>
        </w:rPr>
        <w:t>）已采取的措施。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lang w:eastAsia="zh-CN"/>
        </w:rPr>
      </w:pPr>
      <w:r>
        <w:rPr>
          <w:rFonts w:hint="eastAsia" w:ascii="宋体" w:hAnsi="宋体" w:eastAsia="宋体" w:cs="宋体"/>
          <w:i w:val="0"/>
          <w:iCs w:val="0"/>
          <w:color w:val="auto"/>
          <w:sz w:val="28"/>
          <w:szCs w:val="28"/>
          <w:lang w:eastAsia="zh-CN"/>
        </w:rPr>
        <w:t>（</w:t>
      </w:r>
      <w:r>
        <w:rPr>
          <w:rFonts w:hint="eastAsia" w:ascii="宋体" w:hAnsi="宋体" w:eastAsia="宋体" w:cs="宋体"/>
          <w:i w:val="0"/>
          <w:iCs w:val="0"/>
          <w:color w:val="auto"/>
          <w:sz w:val="28"/>
          <w:szCs w:val="28"/>
          <w:lang w:val="en-US" w:eastAsia="zh-CN"/>
        </w:rPr>
        <w:t>4</w:t>
      </w:r>
      <w:r>
        <w:rPr>
          <w:rFonts w:hint="eastAsia" w:ascii="宋体" w:hAnsi="宋体" w:eastAsia="宋体" w:cs="宋体"/>
          <w:i w:val="0"/>
          <w:iCs w:val="0"/>
          <w:color w:val="auto"/>
          <w:sz w:val="28"/>
          <w:szCs w:val="28"/>
          <w:lang w:eastAsia="zh-CN"/>
        </w:rPr>
        <w:t>）报告人及电话。</w:t>
      </w:r>
    </w:p>
    <w:p>
      <w:pPr>
        <w:pStyle w:val="5"/>
        <w:spacing w:before="0" w:after="0" w:line="360" w:lineRule="auto"/>
        <w:jc w:val="both"/>
        <w:rPr>
          <w:rFonts w:hint="eastAsia" w:ascii="宋体" w:hAnsi="宋体" w:eastAsia="宋体" w:cs="宋体"/>
          <w:b/>
          <w:bCs/>
          <w:color w:val="auto"/>
          <w:sz w:val="28"/>
          <w:szCs w:val="28"/>
          <w:lang w:val="en-US" w:eastAsia="zh-CN"/>
        </w:rPr>
      </w:pPr>
      <w:bookmarkStart w:id="479" w:name="_Toc23073"/>
      <w:bookmarkStart w:id="480" w:name="_Toc24995"/>
      <w:bookmarkStart w:id="481" w:name="_Toc30900"/>
      <w:bookmarkStart w:id="482" w:name="_Toc22544"/>
      <w:bookmarkStart w:id="483" w:name="_Toc8167"/>
      <w:bookmarkStart w:id="484" w:name="_Toc373506390"/>
      <w:bookmarkStart w:id="485" w:name="_Toc5214"/>
      <w:bookmarkStart w:id="486" w:name="_Toc13109"/>
      <w:bookmarkStart w:id="487" w:name="_Toc21484"/>
      <w:bookmarkStart w:id="488" w:name="_Toc25927"/>
      <w:r>
        <w:rPr>
          <w:rFonts w:hint="eastAsia" w:ascii="宋体" w:hAnsi="宋体" w:eastAsia="宋体" w:cs="宋体"/>
          <w:b/>
          <w:bCs/>
          <w:color w:val="auto"/>
          <w:sz w:val="28"/>
          <w:szCs w:val="28"/>
          <w:lang w:val="en-US" w:eastAsia="zh-CN"/>
        </w:rPr>
        <w:t>4、注意事项</w:t>
      </w:r>
      <w:bookmarkEnd w:id="479"/>
      <w:bookmarkEnd w:id="480"/>
      <w:bookmarkEnd w:id="481"/>
      <w:bookmarkEnd w:id="482"/>
      <w:bookmarkEnd w:id="483"/>
      <w:bookmarkEnd w:id="484"/>
      <w:bookmarkEnd w:id="485"/>
      <w:bookmarkEnd w:id="486"/>
      <w:bookmarkEnd w:id="487"/>
      <w:bookmarkEnd w:id="48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rPr>
      </w:pPr>
      <w:r>
        <w:rPr>
          <w:rFonts w:hint="eastAsia" w:ascii="宋体" w:hAnsi="宋体" w:eastAsia="宋体" w:cs="宋体"/>
          <w:i w:val="0"/>
          <w:iCs w:val="0"/>
          <w:color w:val="auto"/>
          <w:sz w:val="28"/>
          <w:szCs w:val="28"/>
          <w:lang w:val="en-US" w:eastAsia="zh-CN"/>
        </w:rPr>
        <w:t>（1）</w:t>
      </w:r>
      <w:r>
        <w:rPr>
          <w:rFonts w:hint="eastAsia" w:ascii="宋体" w:hAnsi="宋体" w:eastAsia="宋体" w:cs="宋体"/>
          <w:i w:val="0"/>
          <w:iCs w:val="0"/>
          <w:color w:val="auto"/>
          <w:sz w:val="28"/>
          <w:szCs w:val="28"/>
        </w:rPr>
        <w:t>受伤者伤势严重，不要轻易移动伤者。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rPr>
      </w:pPr>
      <w:r>
        <w:rPr>
          <w:rFonts w:hint="eastAsia" w:ascii="宋体" w:hAnsi="宋体" w:eastAsia="宋体" w:cs="宋体"/>
          <w:i w:val="0"/>
          <w:iCs w:val="0"/>
          <w:color w:val="auto"/>
          <w:sz w:val="28"/>
          <w:szCs w:val="28"/>
          <w:lang w:val="en-US" w:eastAsia="zh-CN"/>
        </w:rPr>
        <w:t>（2）</w:t>
      </w:r>
      <w:r>
        <w:rPr>
          <w:rFonts w:hint="eastAsia" w:ascii="宋体" w:hAnsi="宋体" w:eastAsia="宋体" w:cs="宋体"/>
          <w:i w:val="0"/>
          <w:iCs w:val="0"/>
          <w:color w:val="auto"/>
          <w:sz w:val="28"/>
          <w:szCs w:val="28"/>
        </w:rPr>
        <w:t>去除伤员身上的用具和口袋中的硬物，注意不要让伤者受挤压。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rPr>
      </w:pPr>
      <w:r>
        <w:rPr>
          <w:rFonts w:hint="eastAsia" w:ascii="宋体" w:hAnsi="宋体" w:eastAsia="宋体" w:cs="宋体"/>
          <w:i w:val="0"/>
          <w:iCs w:val="0"/>
          <w:color w:val="auto"/>
          <w:sz w:val="28"/>
          <w:szCs w:val="28"/>
          <w:lang w:val="en-US" w:eastAsia="zh-CN"/>
        </w:rPr>
        <w:t>（3）</w:t>
      </w:r>
      <w:r>
        <w:rPr>
          <w:rFonts w:hint="eastAsia" w:ascii="宋体" w:hAnsi="宋体" w:eastAsia="宋体" w:cs="宋体"/>
          <w:i w:val="0"/>
          <w:iCs w:val="0"/>
          <w:color w:val="auto"/>
          <w:sz w:val="28"/>
          <w:szCs w:val="28"/>
        </w:rPr>
        <w:t>如上肢受伤将其固定于躯干，如下肢受伤将其固定于另一健肢。应垫高伤肢，消除肿胀。如上肢已扭曲，可用牵引法将上肢沿骨骼轴心拉直，但若拉伸时引起伤者剧痛或皮肤变白，应立即停止。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rPr>
      </w:pPr>
      <w:r>
        <w:rPr>
          <w:rFonts w:hint="eastAsia" w:ascii="宋体" w:hAnsi="宋体" w:eastAsia="宋体" w:cs="宋体"/>
          <w:i w:val="0"/>
          <w:iCs w:val="0"/>
          <w:color w:val="auto"/>
          <w:sz w:val="28"/>
          <w:szCs w:val="28"/>
          <w:lang w:val="en-US" w:eastAsia="zh-CN"/>
        </w:rPr>
        <w:t>（4）</w:t>
      </w:r>
      <w:r>
        <w:rPr>
          <w:rFonts w:hint="eastAsia" w:ascii="宋体" w:hAnsi="宋体" w:eastAsia="宋体" w:cs="宋体"/>
          <w:i w:val="0"/>
          <w:iCs w:val="0"/>
          <w:color w:val="auto"/>
          <w:sz w:val="28"/>
          <w:szCs w:val="28"/>
        </w:rPr>
        <w:t>如果伤口中已有赃物，不要用水冲洗，不要使用药物，也不要试图将裸露在伤口外的断骨复位，应在伤口上覆盖灭菌纱布，然后进行适度的包扎、固定。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rPr>
      </w:pPr>
      <w:r>
        <w:rPr>
          <w:rFonts w:hint="eastAsia" w:ascii="宋体" w:hAnsi="宋体" w:eastAsia="宋体" w:cs="宋体"/>
          <w:i w:val="0"/>
          <w:iCs w:val="0"/>
          <w:color w:val="auto"/>
          <w:sz w:val="28"/>
          <w:szCs w:val="28"/>
          <w:lang w:val="en-US" w:eastAsia="zh-CN"/>
        </w:rPr>
        <w:t>（5）</w:t>
      </w:r>
      <w:r>
        <w:rPr>
          <w:rFonts w:hint="eastAsia" w:ascii="宋体" w:hAnsi="宋体" w:eastAsia="宋体" w:cs="宋体"/>
          <w:i w:val="0"/>
          <w:iCs w:val="0"/>
          <w:color w:val="auto"/>
          <w:sz w:val="28"/>
          <w:szCs w:val="28"/>
        </w:rPr>
        <w:t>若发现窒息者，应及时解除其呼吸道梗塞和呼吸机能障碍，应立即解开伤员衣领，消除伤员口鼻、咽喉部的异物、血块、分泌物、呕吐物等。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rPr>
      </w:pPr>
      <w:r>
        <w:rPr>
          <w:rFonts w:hint="eastAsia" w:ascii="宋体" w:hAnsi="宋体" w:eastAsia="宋体" w:cs="宋体"/>
          <w:i w:val="0"/>
          <w:iCs w:val="0"/>
          <w:color w:val="auto"/>
          <w:sz w:val="28"/>
          <w:szCs w:val="28"/>
          <w:lang w:val="en-US" w:eastAsia="zh-CN"/>
        </w:rPr>
        <w:t>（6）</w:t>
      </w:r>
      <w:r>
        <w:rPr>
          <w:rFonts w:hint="eastAsia" w:ascii="宋体" w:hAnsi="宋体" w:eastAsia="宋体" w:cs="宋体"/>
          <w:i w:val="0"/>
          <w:iCs w:val="0"/>
          <w:color w:val="auto"/>
          <w:sz w:val="28"/>
          <w:szCs w:val="28"/>
        </w:rPr>
        <w:t>重伤员运送应用担架，腹部创伤及脊柱损伤者，应用卧位运送；胸部伤者一般取卧位，颅脑损伤者一般取仰卧偏头或侧卧位，以免呕吐误吸。</w:t>
      </w:r>
    </w:p>
    <w:p>
      <w:pPr>
        <w:pStyle w:val="4"/>
        <w:keepNext w:val="0"/>
        <w:keepLines w:val="0"/>
        <w:widowControl/>
        <w:adjustRightInd w:val="0"/>
        <w:snapToGrid w:val="0"/>
        <w:spacing w:before="156" w:beforeLines="50" w:after="156" w:afterLines="50" w:line="360" w:lineRule="auto"/>
        <w:jc w:val="center"/>
        <w:outlineLvl w:val="9"/>
        <w:rPr>
          <w:rFonts w:hint="eastAsia" w:ascii="宋体" w:hAnsi="宋体" w:eastAsia="宋体" w:cs="宋体"/>
          <w:color w:val="auto"/>
          <w:sz w:val="32"/>
          <w:lang w:eastAsia="zh-CN"/>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489" w:name="_Toc27867"/>
      <w:bookmarkStart w:id="490" w:name="_Toc6360"/>
      <w:r>
        <w:rPr>
          <w:rFonts w:hint="eastAsia" w:ascii="宋体" w:hAnsi="宋体" w:eastAsia="宋体" w:cs="宋体"/>
          <w:color w:val="auto"/>
          <w:sz w:val="32"/>
          <w:lang w:eastAsia="zh-CN"/>
        </w:rPr>
        <w:t>七</w:t>
      </w:r>
      <w:r>
        <w:rPr>
          <w:rFonts w:hint="eastAsia" w:ascii="宋体" w:hAnsi="宋体" w:eastAsia="宋体" w:cs="宋体"/>
          <w:color w:val="auto"/>
          <w:sz w:val="32"/>
        </w:rPr>
        <w:t>、高处坠落事故现场处置方案</w:t>
      </w:r>
      <w:bookmarkEnd w:id="489"/>
      <w:bookmarkEnd w:id="490"/>
    </w:p>
    <w:p>
      <w:pPr>
        <w:pStyle w:val="5"/>
        <w:spacing w:before="0" w:after="0" w:line="360" w:lineRule="auto"/>
        <w:jc w:val="both"/>
        <w:rPr>
          <w:rFonts w:hint="eastAsia" w:ascii="宋体" w:hAnsi="宋体" w:eastAsia="宋体" w:cs="宋体"/>
          <w:b/>
          <w:bCs/>
          <w:color w:val="auto"/>
          <w:sz w:val="28"/>
          <w:szCs w:val="28"/>
          <w:lang w:val="zh-CN"/>
        </w:rPr>
      </w:pPr>
      <w:bookmarkStart w:id="491" w:name="_Toc16931"/>
      <w:bookmarkStart w:id="492" w:name="_Toc15020"/>
      <w:bookmarkStart w:id="493" w:name="_Toc1445"/>
      <w:r>
        <w:rPr>
          <w:rFonts w:hint="eastAsia" w:ascii="宋体" w:hAnsi="宋体" w:eastAsia="宋体" w:cs="宋体"/>
          <w:b/>
          <w:bCs/>
          <w:color w:val="auto"/>
          <w:sz w:val="28"/>
          <w:szCs w:val="28"/>
          <w:lang w:val="zh-CN"/>
        </w:rPr>
        <w:t>1、事故风险描述</w:t>
      </w:r>
      <w:bookmarkEnd w:id="491"/>
      <w:bookmarkEnd w:id="492"/>
      <w:bookmarkEnd w:id="49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1.1 危险性分析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高处坠落是指在高处作业中发生坠落造成的伤害事故。本公司涉及高于 2m 以上的台阶和设施、设备，在进行作业、检修等过程中，如果安全防护不足、人员违规操作等，易导致高处坠落事故发生。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造成高处坠落的主要原因有：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（1）安全管理、规章制度存在漏洞，高处作业时未配备监护人员；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（2）不认真执行安全规程、违反操作规程，技术水平低；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（3）高处作业人员防护用品配备不足或存在缺陷；如：不扣安全带， 安全带扣环未扣到位或所扣位置不当；高处作业未戴安全帽或安全帽带子未扣牢等；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（4）高处作业平台安全防护设施不全，登高设施缺陷，不符合规定。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公司在高处设备、设施、 检维修等凡在坠落高度基准面2m以上(含2m)从事作业活动的人员，均可发生高处坠落事故。</w:t>
      </w:r>
    </w:p>
    <w:p>
      <w:pPr>
        <w:keepNext w:val="0"/>
        <w:keepLines w:val="0"/>
        <w:pageBreakBefore w:val="0"/>
        <w:kinsoku/>
        <w:wordWrap/>
        <w:overflowPunct/>
        <w:topLinePunct w:val="0"/>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bookmarkStart w:id="494" w:name="_Toc6081"/>
      <w:bookmarkStart w:id="495" w:name="_Toc6699"/>
      <w:r>
        <w:rPr>
          <w:rFonts w:hint="eastAsia" w:ascii="宋体" w:hAnsi="宋体" w:eastAsia="宋体" w:cs="宋体"/>
          <w:b/>
          <w:i w:val="0"/>
          <w:iCs w:val="0"/>
          <w:color w:val="auto"/>
          <w:sz w:val="28"/>
          <w:szCs w:val="28"/>
          <w:highlight w:val="none"/>
        </w:rPr>
        <w:t>1.</w:t>
      </w:r>
      <w:r>
        <w:rPr>
          <w:rFonts w:hint="eastAsia" w:ascii="宋体" w:hAnsi="宋体" w:eastAsia="宋体" w:cs="宋体"/>
          <w:b/>
          <w:i w:val="0"/>
          <w:iCs w:val="0"/>
          <w:color w:val="auto"/>
          <w:sz w:val="28"/>
          <w:szCs w:val="28"/>
          <w:highlight w:val="none"/>
          <w:lang w:val="en-US" w:eastAsia="zh-CN"/>
        </w:rPr>
        <w:t>3</w:t>
      </w:r>
      <w:r>
        <w:rPr>
          <w:rFonts w:hint="eastAsia" w:ascii="宋体" w:hAnsi="宋体" w:eastAsia="宋体" w:cs="宋体"/>
          <w:b/>
          <w:i w:val="0"/>
          <w:iCs w:val="0"/>
          <w:color w:val="auto"/>
          <w:sz w:val="28"/>
          <w:szCs w:val="28"/>
          <w:highlight w:val="none"/>
        </w:rPr>
        <w:t>事故危害程度</w:t>
      </w:r>
      <w:bookmarkEnd w:id="494"/>
      <w:bookmarkEnd w:id="495"/>
    </w:p>
    <w:p>
      <w:pPr>
        <w:keepNext w:val="0"/>
        <w:keepLines w:val="0"/>
        <w:pageBreakBefore w:val="0"/>
        <w:kinsoku/>
        <w:wordWrap/>
        <w:overflowPunct/>
        <w:topLinePunct w:val="0"/>
        <w:bidi w:val="0"/>
        <w:adjustRightInd/>
        <w:snapToGrid/>
        <w:spacing w:line="360" w:lineRule="auto"/>
        <w:ind w:firstLine="420" w:firstLineChars="15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 xml:space="preserve"> 发生高处坠落后，可导致人员轻伤、重伤，甚至死亡。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eastAsia="zh-CN"/>
        </w:rPr>
        <w:t>事故前可能出现的预兆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操作平台的防护栏不符合要求或损坏。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作业平台湿滑。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在高处作业时，下方没有架设安全防护网。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带人移动脚手架、高梯。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高处维修作业人员工作时没有系安全带、没有戴安全帽，或安全带有缺陷。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作业过程中有人大声惊叫、呼救或突发异响。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）人员思想消极、轻生、做出跳楼准备</w:t>
      </w:r>
      <w:r>
        <w:rPr>
          <w:rFonts w:hint="eastAsia" w:ascii="宋体" w:hAnsi="宋体" w:eastAsia="宋体" w:cs="宋体"/>
          <w:color w:val="auto"/>
          <w:sz w:val="28"/>
          <w:szCs w:val="28"/>
        </w:rPr>
        <w:t>。</w:t>
      </w:r>
    </w:p>
    <w:p>
      <w:pPr>
        <w:pStyle w:val="5"/>
        <w:spacing w:before="0" w:after="0" w:line="360" w:lineRule="auto"/>
        <w:jc w:val="both"/>
        <w:rPr>
          <w:rFonts w:hint="eastAsia" w:ascii="宋体" w:hAnsi="宋体" w:eastAsia="宋体" w:cs="宋体"/>
          <w:b/>
          <w:bCs/>
          <w:color w:val="auto"/>
          <w:sz w:val="28"/>
          <w:szCs w:val="28"/>
          <w:lang w:val="zh-CN"/>
        </w:rPr>
      </w:pPr>
      <w:bookmarkStart w:id="496" w:name="_Toc14994"/>
      <w:bookmarkStart w:id="497" w:name="_Toc27339"/>
      <w:bookmarkStart w:id="498" w:name="_Toc4582"/>
      <w:bookmarkStart w:id="499" w:name="_Toc9773"/>
      <w:r>
        <w:rPr>
          <w:rFonts w:hint="eastAsia" w:ascii="宋体" w:hAnsi="宋体" w:eastAsia="宋体" w:cs="宋体"/>
          <w:b/>
          <w:bCs/>
          <w:color w:val="auto"/>
          <w:sz w:val="28"/>
          <w:szCs w:val="28"/>
          <w:lang w:val="zh-CN"/>
        </w:rPr>
        <w:t>2、应急组织和职责</w:t>
      </w:r>
      <w:bookmarkEnd w:id="496"/>
      <w:bookmarkEnd w:id="497"/>
      <w:bookmarkEnd w:id="498"/>
      <w:bookmarkEnd w:id="49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sz w:val="28"/>
          <w:szCs w:val="28"/>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发现高处坠落事故，应立即高声呼叫求救。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在确保自身安全的情况下，应立即执行现场应急处置措施。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500" w:name="_Toc10930"/>
      <w:bookmarkStart w:id="501" w:name="_Toc19229"/>
      <w:bookmarkStart w:id="502" w:name="_Toc8803"/>
      <w:bookmarkStart w:id="503" w:name="_Toc22394"/>
      <w:r>
        <w:rPr>
          <w:rFonts w:hint="eastAsia" w:ascii="宋体" w:hAnsi="宋体" w:eastAsia="宋体" w:cs="宋体"/>
          <w:b/>
          <w:bCs/>
          <w:color w:val="auto"/>
          <w:sz w:val="28"/>
          <w:szCs w:val="28"/>
          <w:lang w:val="zh-CN"/>
        </w:rPr>
        <w:t>3、应急处置</w:t>
      </w:r>
      <w:bookmarkEnd w:id="500"/>
      <w:bookmarkEnd w:id="501"/>
      <w:bookmarkEnd w:id="502"/>
      <w:bookmarkEnd w:id="50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2000"/>
        <w:gridCol w:w="1319"/>
        <w:gridCol w:w="5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57"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200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319"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285"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200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发出预警或事故警报</w:t>
            </w:r>
          </w:p>
        </w:tc>
        <w:tc>
          <w:tcPr>
            <w:tcW w:w="1319"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28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如：大声呼救“有人受伤啦、快来救人”获取周围人员支援。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200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319"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现场负责人者</w:t>
            </w:r>
          </w:p>
        </w:tc>
        <w:tc>
          <w:tcPr>
            <w:tcW w:w="528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 xml:space="preserve"> 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200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319"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现场工作人员</w:t>
            </w:r>
          </w:p>
        </w:tc>
        <w:tc>
          <w:tcPr>
            <w:tcW w:w="528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①根据人员受伤部位不同采取急救措施。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w:t>
            </w:r>
            <w:r>
              <w:rPr>
                <w:rFonts w:hint="eastAsia" w:eastAsia="宋体" w:cs="宋体"/>
                <w:color w:val="auto"/>
                <w:sz w:val="24"/>
                <w:szCs w:val="24"/>
                <w:vertAlign w:val="baseline"/>
                <w:lang w:val="en-US" w:eastAsia="zh-CN"/>
              </w:rPr>
              <w:t>事故周围停止作业</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③隔离警戒，保护现场</w:t>
            </w:r>
            <w:r>
              <w:rPr>
                <w:rFonts w:hint="eastAsia" w:ascii="宋体" w:hAnsi="宋体" w:eastAsia="宋体" w:cs="宋体"/>
                <w:color w:val="auto"/>
                <w:sz w:val="24"/>
                <w:szCs w:val="24"/>
                <w:vertAlign w:val="baseline"/>
                <w:lang w:val="en-US" w:eastAsia="zh-CN"/>
              </w:rPr>
              <w:t>，疏散受影响的人员。</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④拨打120电话报警或送医。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200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319"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现场负责人者</w:t>
            </w:r>
          </w:p>
        </w:tc>
        <w:tc>
          <w:tcPr>
            <w:tcW w:w="528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受伤人员出现昏迷、重伤、休克现象；</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w:t>
            </w:r>
            <w:r>
              <w:rPr>
                <w:rFonts w:hint="eastAsia" w:eastAsia="宋体" w:cs="宋体"/>
                <w:color w:val="auto"/>
                <w:sz w:val="24"/>
                <w:szCs w:val="24"/>
                <w:vertAlign w:val="baseline"/>
                <w:lang w:val="en-US" w:eastAsia="zh-CN"/>
              </w:rPr>
              <w:t>总经理</w:t>
            </w:r>
            <w:r>
              <w:rPr>
                <w:rFonts w:hint="eastAsia" w:ascii="宋体" w:hAnsi="宋体" w:eastAsia="宋体" w:cs="宋体"/>
                <w:color w:val="auto"/>
                <w:sz w:val="24"/>
                <w:szCs w:val="24"/>
                <w:vertAlign w:val="baseline"/>
                <w:lang w:val="en-US" w:eastAsia="zh-CN"/>
              </w:rPr>
              <w:t>报告，请求相应升级，说明事故位置、受伤人员情况、发展事态。</w:t>
            </w:r>
          </w:p>
        </w:tc>
      </w:tr>
    </w:tbl>
    <w:p>
      <w:pPr>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3.2.1排险、控险应急处置措施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发生高处坠落事故后，现场人员立即向部门负责人报告，部门负责人接到报告后，立即到达事故现场，视情况及时启动应急预案。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事故现场指挥人员以最快速度组织人员做好现场警戒，并保护好事故现场，防止无关人员进入事故现场破坏事故现场，以便有关部门人员进行事故调查。同时，疏散无关人员。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3.2.2医疗救护应急处置措施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发生高处坠落事故后，抢救的重点应放在对休克、骨折和出血上进行处理。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出现颅脑损伤，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用绷带或布条包扎后，及时送往医院治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遇害有创伤性出血的伤员，应迅速包扎止血，使用伤员保持在头低脚高的卧位，并注意保暖。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 报告事项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3.3.1报警电话及联系方式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报警电话及联系方式见综合预案。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3.3.2报告内容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高处坠落事故发生的时间和地点。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人员伤亡情况。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已采取的措施。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报告人及电话。</w:t>
      </w:r>
    </w:p>
    <w:p>
      <w:pPr>
        <w:pStyle w:val="5"/>
        <w:spacing w:before="0" w:after="0" w:line="360" w:lineRule="auto"/>
        <w:jc w:val="both"/>
        <w:outlineLvl w:val="9"/>
        <w:rPr>
          <w:rFonts w:hint="eastAsia" w:ascii="宋体" w:hAnsi="宋体" w:eastAsia="宋体" w:cs="宋体"/>
          <w:b/>
          <w:bCs/>
          <w:color w:val="auto"/>
          <w:sz w:val="28"/>
          <w:szCs w:val="28"/>
          <w:lang w:val="zh-CN"/>
        </w:rPr>
        <w:sectPr>
          <w:pgSz w:w="11906" w:h="16838"/>
          <w:pgMar w:top="1417" w:right="1417" w:bottom="1417" w:left="1417" w:header="1134" w:footer="1134" w:gutter="0"/>
          <w:pgNumType w:fmt="decimal"/>
          <w:cols w:space="720" w:num="1"/>
          <w:rtlGutter w:val="0"/>
          <w:docGrid w:linePitch="312" w:charSpace="0"/>
        </w:sectPr>
      </w:pPr>
      <w:bookmarkStart w:id="504" w:name="_Toc3444"/>
    </w:p>
    <w:p>
      <w:pPr>
        <w:pStyle w:val="5"/>
        <w:spacing w:before="0" w:after="0" w:line="360" w:lineRule="auto"/>
        <w:jc w:val="both"/>
        <w:rPr>
          <w:rFonts w:hint="eastAsia" w:ascii="宋体" w:hAnsi="宋体" w:eastAsia="宋体" w:cs="宋体"/>
          <w:b/>
          <w:bCs/>
          <w:color w:val="auto"/>
          <w:sz w:val="28"/>
          <w:szCs w:val="28"/>
          <w:lang w:val="zh-CN"/>
        </w:rPr>
      </w:pPr>
      <w:bookmarkStart w:id="505" w:name="_Toc2500"/>
      <w:bookmarkStart w:id="506" w:name="_Toc20173"/>
      <w:bookmarkStart w:id="507" w:name="_Toc29651"/>
      <w:r>
        <w:rPr>
          <w:rFonts w:hint="eastAsia" w:ascii="宋体" w:hAnsi="宋体" w:eastAsia="宋体" w:cs="宋体"/>
          <w:b/>
          <w:bCs/>
          <w:color w:val="auto"/>
          <w:sz w:val="28"/>
          <w:szCs w:val="28"/>
          <w:lang w:val="zh-CN"/>
        </w:rPr>
        <w:t>4、注意事项</w:t>
      </w:r>
      <w:bookmarkEnd w:id="504"/>
      <w:bookmarkEnd w:id="505"/>
      <w:bookmarkEnd w:id="506"/>
      <w:bookmarkEnd w:id="50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事故发生后，应及时组织人员进行全力抢救，视情况拨打“120”急救电话报警。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受伤者伤势严重，不要轻易移动伤者。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去除伤员身上的用具和口袋中的硬物，注意不要让伤者受挤压。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应急救护人员应有一定的救护知识和技能，防止加重受伤人员的伤害。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注意保护好现场。</w:t>
      </w:r>
    </w:p>
    <w:p>
      <w:pPr>
        <w:pStyle w:val="4"/>
        <w:keepNext w:val="0"/>
        <w:keepLines w:val="0"/>
        <w:widowControl/>
        <w:numPr>
          <w:ilvl w:val="0"/>
          <w:numId w:val="0"/>
        </w:numPr>
        <w:adjustRightInd w:val="0"/>
        <w:snapToGrid w:val="0"/>
        <w:spacing w:before="156" w:beforeLines="50" w:after="156" w:afterLines="50" w:line="360" w:lineRule="auto"/>
        <w:jc w:val="center"/>
        <w:outlineLvl w:val="9"/>
        <w:rPr>
          <w:rFonts w:hint="eastAsia" w:ascii="宋体" w:hAnsi="宋体" w:eastAsia="宋体" w:cs="宋体"/>
          <w:color w:val="auto"/>
          <w:sz w:val="32"/>
          <w:lang w:eastAsia="zh-CN"/>
        </w:rPr>
        <w:sectPr>
          <w:type w:val="continuous"/>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508" w:name="_Toc151"/>
      <w:bookmarkStart w:id="509" w:name="_Toc4923"/>
      <w:bookmarkStart w:id="510" w:name="_Toc18737"/>
      <w:r>
        <w:rPr>
          <w:rFonts w:hint="eastAsia" w:ascii="宋体" w:hAnsi="宋体" w:eastAsia="宋体" w:cs="宋体"/>
          <w:color w:val="auto"/>
          <w:sz w:val="32"/>
          <w:lang w:eastAsia="zh-CN"/>
        </w:rPr>
        <w:t>八、物体打击</w:t>
      </w:r>
      <w:r>
        <w:rPr>
          <w:rFonts w:hint="eastAsia" w:ascii="宋体" w:hAnsi="宋体" w:eastAsia="宋体" w:cs="宋体"/>
          <w:color w:val="auto"/>
          <w:sz w:val="32"/>
        </w:rPr>
        <w:t>事故现场处置方案</w:t>
      </w:r>
      <w:bookmarkEnd w:id="508"/>
      <w:bookmarkEnd w:id="509"/>
    </w:p>
    <w:p>
      <w:pPr>
        <w:pStyle w:val="5"/>
        <w:spacing w:before="0" w:after="0" w:line="360" w:lineRule="auto"/>
        <w:jc w:val="both"/>
        <w:rPr>
          <w:rFonts w:hint="eastAsia" w:ascii="宋体" w:hAnsi="宋体" w:eastAsia="宋体" w:cs="宋体"/>
          <w:b/>
          <w:bCs/>
          <w:color w:val="auto"/>
          <w:sz w:val="28"/>
          <w:szCs w:val="28"/>
          <w:lang w:val="zh-CN"/>
        </w:rPr>
      </w:pPr>
      <w:bookmarkStart w:id="511" w:name="_Toc14573"/>
      <w:bookmarkStart w:id="512" w:name="_Toc27433"/>
      <w:bookmarkStart w:id="513" w:name="_Toc2078"/>
      <w:r>
        <w:rPr>
          <w:rFonts w:hint="eastAsia" w:ascii="宋体" w:hAnsi="宋体" w:eastAsia="宋体" w:cs="宋体"/>
          <w:b/>
          <w:bCs/>
          <w:color w:val="auto"/>
          <w:sz w:val="28"/>
          <w:szCs w:val="28"/>
          <w:lang w:val="zh-CN"/>
        </w:rPr>
        <w:t>1、事故风险描述</w:t>
      </w:r>
      <w:bookmarkEnd w:id="511"/>
      <w:bookmarkEnd w:id="512"/>
      <w:bookmarkEnd w:id="51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1.1 危险性分析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物体打击是指失控的物体在惯性力或重力等其他外力的作用下产生运动，打击人体而造成人身伤亡事故。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公司安装和检修大型设备、零部件的吊装作业，有可能发生吊装物跌落损坏设备和人员伤害等。在检修、施工、安装过程中，当高处作业时，拆卸的零部件、使用工具等物品，由于人的不安全行为、安全意识淡薄、注意力不集中等原因，违章操作、缺乏监护，会导致物品坠落击伤操作维修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本公司原料及成品堆垛过高、放置不稳固，在作业过程中易发生高处堆放物体掉落、垮塌，对作业人员形成物体打击伤害。</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bookmarkStart w:id="514" w:name="_Toc23344"/>
      <w:bookmarkStart w:id="515" w:name="_Toc30642"/>
      <w:r>
        <w:rPr>
          <w:rFonts w:hint="eastAsia" w:ascii="宋体" w:hAnsi="宋体" w:eastAsia="宋体" w:cs="宋体"/>
          <w:b/>
          <w:bCs/>
          <w:i w:val="0"/>
          <w:iCs w:val="0"/>
          <w:color w:val="auto"/>
          <w:sz w:val="28"/>
          <w:szCs w:val="28"/>
          <w:highlight w:val="none"/>
        </w:rPr>
        <w:t>1.</w:t>
      </w:r>
      <w:r>
        <w:rPr>
          <w:rFonts w:hint="eastAsia" w:ascii="宋体" w:hAnsi="宋体" w:eastAsia="宋体" w:cs="宋体"/>
          <w:b/>
          <w:bCs/>
          <w:i w:val="0"/>
          <w:iCs w:val="0"/>
          <w:color w:val="auto"/>
          <w:sz w:val="28"/>
          <w:szCs w:val="28"/>
          <w:highlight w:val="none"/>
          <w:lang w:val="en-US" w:eastAsia="zh-CN"/>
        </w:rPr>
        <w:t>2</w:t>
      </w:r>
      <w:r>
        <w:rPr>
          <w:rFonts w:hint="eastAsia" w:ascii="宋体" w:hAnsi="宋体" w:eastAsia="宋体" w:cs="宋体"/>
          <w:b/>
          <w:bCs/>
          <w:i w:val="0"/>
          <w:iCs w:val="0"/>
          <w:color w:val="auto"/>
          <w:sz w:val="28"/>
          <w:szCs w:val="28"/>
          <w:highlight w:val="none"/>
        </w:rPr>
        <w:t>事故可能发生的地点和装置</w:t>
      </w:r>
      <w:bookmarkEnd w:id="514"/>
      <w:bookmarkEnd w:id="515"/>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lang w:val="en-US" w:eastAsia="zh-CN"/>
        </w:rPr>
        <w:t>厂区登高平台，库房、</w:t>
      </w:r>
      <w:r>
        <w:rPr>
          <w:rFonts w:hint="eastAsia" w:ascii="宋体" w:hAnsi="宋体" w:eastAsia="宋体" w:cs="宋体"/>
          <w:i w:val="0"/>
          <w:iCs w:val="0"/>
          <w:color w:val="auto"/>
          <w:sz w:val="28"/>
          <w:szCs w:val="28"/>
          <w:highlight w:val="none"/>
        </w:rPr>
        <w:t>检修现场</w:t>
      </w:r>
      <w:r>
        <w:rPr>
          <w:rFonts w:hint="eastAsia" w:ascii="宋体" w:hAnsi="宋体" w:eastAsia="宋体" w:cs="宋体"/>
          <w:i w:val="0"/>
          <w:iCs w:val="0"/>
          <w:color w:val="auto"/>
          <w:sz w:val="28"/>
          <w:szCs w:val="28"/>
          <w:highlight w:val="none"/>
          <w:lang w:eastAsia="zh-CN"/>
        </w:rPr>
        <w:t>、</w:t>
      </w:r>
      <w:r>
        <w:rPr>
          <w:rFonts w:hint="eastAsia" w:ascii="宋体" w:hAnsi="宋体" w:eastAsia="宋体" w:cs="宋体"/>
          <w:i w:val="0"/>
          <w:iCs w:val="0"/>
          <w:color w:val="auto"/>
          <w:sz w:val="28"/>
          <w:szCs w:val="28"/>
          <w:highlight w:val="none"/>
        </w:rPr>
        <w:t>同一垂直面上存在交叉作业的区域等。</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bookmarkStart w:id="516" w:name="_Toc23743"/>
      <w:bookmarkStart w:id="517" w:name="_Toc19193"/>
      <w:r>
        <w:rPr>
          <w:rFonts w:hint="eastAsia" w:ascii="宋体" w:hAnsi="宋体" w:eastAsia="宋体" w:cs="宋体"/>
          <w:b/>
          <w:bCs/>
          <w:i w:val="0"/>
          <w:iCs w:val="0"/>
          <w:color w:val="auto"/>
          <w:sz w:val="28"/>
          <w:szCs w:val="28"/>
          <w:highlight w:val="none"/>
        </w:rPr>
        <w:t>1.</w:t>
      </w:r>
      <w:r>
        <w:rPr>
          <w:rFonts w:hint="eastAsia" w:ascii="宋体" w:hAnsi="宋体" w:eastAsia="宋体" w:cs="宋体"/>
          <w:b/>
          <w:bCs/>
          <w:i w:val="0"/>
          <w:iCs w:val="0"/>
          <w:color w:val="auto"/>
          <w:sz w:val="28"/>
          <w:szCs w:val="28"/>
          <w:highlight w:val="none"/>
          <w:lang w:val="en-US" w:eastAsia="zh-CN"/>
        </w:rPr>
        <w:t>3</w:t>
      </w:r>
      <w:r>
        <w:rPr>
          <w:rFonts w:hint="eastAsia" w:ascii="宋体" w:hAnsi="宋体" w:eastAsia="宋体" w:cs="宋体"/>
          <w:b/>
          <w:bCs/>
          <w:i w:val="0"/>
          <w:iCs w:val="0"/>
          <w:color w:val="auto"/>
          <w:sz w:val="28"/>
          <w:szCs w:val="28"/>
          <w:highlight w:val="none"/>
        </w:rPr>
        <w:t>事故危害程度</w:t>
      </w:r>
      <w:bookmarkEnd w:id="516"/>
      <w:bookmarkEnd w:id="517"/>
    </w:p>
    <w:p>
      <w:pPr>
        <w:pStyle w:val="48"/>
        <w:keepNext w:val="0"/>
        <w:keepLines w:val="0"/>
        <w:pageBreakBefore w:val="0"/>
        <w:numPr>
          <w:ilvl w:val="6"/>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物体打击事故可导致人员轻伤、重伤，甚至死亡事故。</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i w:val="0"/>
          <w:iCs w:val="0"/>
          <w:color w:val="auto"/>
          <w:sz w:val="28"/>
          <w:szCs w:val="28"/>
          <w:highlight w:val="none"/>
        </w:rPr>
      </w:pPr>
      <w:bookmarkStart w:id="518" w:name="_Toc1327"/>
      <w:bookmarkStart w:id="519" w:name="_Toc11118"/>
      <w:r>
        <w:rPr>
          <w:rFonts w:hint="eastAsia" w:ascii="宋体" w:hAnsi="宋体" w:eastAsia="宋体" w:cs="宋体"/>
          <w:b/>
          <w:bCs/>
          <w:i w:val="0"/>
          <w:iCs w:val="0"/>
          <w:color w:val="auto"/>
          <w:sz w:val="28"/>
          <w:szCs w:val="28"/>
          <w:highlight w:val="none"/>
        </w:rPr>
        <w:t>1.</w:t>
      </w:r>
      <w:r>
        <w:rPr>
          <w:rFonts w:hint="eastAsia" w:ascii="宋体" w:hAnsi="宋体" w:eastAsia="宋体" w:cs="宋体"/>
          <w:b/>
          <w:bCs/>
          <w:i w:val="0"/>
          <w:iCs w:val="0"/>
          <w:color w:val="auto"/>
          <w:sz w:val="28"/>
          <w:szCs w:val="28"/>
          <w:highlight w:val="none"/>
          <w:lang w:val="en-US" w:eastAsia="zh-CN"/>
        </w:rPr>
        <w:t>4</w:t>
      </w:r>
      <w:r>
        <w:rPr>
          <w:rFonts w:hint="eastAsia" w:ascii="宋体" w:hAnsi="宋体" w:eastAsia="宋体" w:cs="宋体"/>
          <w:b/>
          <w:bCs/>
          <w:i w:val="0"/>
          <w:iCs w:val="0"/>
          <w:color w:val="auto"/>
          <w:sz w:val="28"/>
          <w:szCs w:val="28"/>
          <w:highlight w:val="none"/>
        </w:rPr>
        <w:t>事前征兆</w:t>
      </w:r>
      <w:bookmarkEnd w:id="518"/>
      <w:bookmarkEnd w:id="51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w:t>
      </w:r>
      <w:r>
        <w:rPr>
          <w:rFonts w:hint="eastAsia" w:ascii="宋体" w:hAnsi="宋体" w:eastAsia="宋体" w:cs="宋体"/>
          <w:i w:val="0"/>
          <w:iCs w:val="0"/>
          <w:color w:val="auto"/>
          <w:sz w:val="28"/>
          <w:szCs w:val="28"/>
          <w:highlight w:val="none"/>
          <w:lang w:val="en-US" w:eastAsia="zh-CN"/>
        </w:rPr>
        <w:t>1</w:t>
      </w:r>
      <w:r>
        <w:rPr>
          <w:rFonts w:hint="eastAsia" w:ascii="宋体" w:hAnsi="宋体" w:eastAsia="宋体" w:cs="宋体"/>
          <w:i w:val="0"/>
          <w:iCs w:val="0"/>
          <w:color w:val="auto"/>
          <w:sz w:val="28"/>
          <w:szCs w:val="28"/>
          <w:highlight w:val="none"/>
        </w:rPr>
        <w:t>）设备</w:t>
      </w:r>
      <w:r>
        <w:rPr>
          <w:rFonts w:hint="eastAsia" w:ascii="宋体" w:hAnsi="宋体" w:eastAsia="宋体" w:cs="宋体"/>
          <w:i w:val="0"/>
          <w:iCs w:val="0"/>
          <w:color w:val="auto"/>
          <w:sz w:val="28"/>
          <w:szCs w:val="28"/>
          <w:highlight w:val="none"/>
          <w:lang w:val="en-US" w:eastAsia="zh-CN"/>
        </w:rPr>
        <w:t>设施</w:t>
      </w:r>
      <w:r>
        <w:rPr>
          <w:rFonts w:hint="eastAsia" w:ascii="宋体" w:hAnsi="宋体" w:eastAsia="宋体" w:cs="宋体"/>
          <w:i w:val="0"/>
          <w:iCs w:val="0"/>
          <w:color w:val="auto"/>
          <w:sz w:val="28"/>
          <w:szCs w:val="28"/>
          <w:highlight w:val="none"/>
        </w:rPr>
        <w:t>的防护装置失效，无法确保作业人员安全。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w:t>
      </w:r>
      <w:r>
        <w:rPr>
          <w:rFonts w:hint="eastAsia" w:ascii="宋体" w:hAnsi="宋体" w:eastAsia="宋体" w:cs="宋体"/>
          <w:i w:val="0"/>
          <w:iCs w:val="0"/>
          <w:color w:val="auto"/>
          <w:sz w:val="28"/>
          <w:szCs w:val="28"/>
          <w:highlight w:val="none"/>
          <w:lang w:val="en-US" w:eastAsia="zh-CN"/>
        </w:rPr>
        <w:t>2</w:t>
      </w:r>
      <w:r>
        <w:rPr>
          <w:rFonts w:hint="eastAsia" w:ascii="宋体" w:hAnsi="宋体" w:eastAsia="宋体" w:cs="宋体"/>
          <w:i w:val="0"/>
          <w:iCs w:val="0"/>
          <w:color w:val="auto"/>
          <w:sz w:val="28"/>
          <w:szCs w:val="28"/>
          <w:highlight w:val="none"/>
        </w:rPr>
        <w:t>）作业人员未经过安全培训教育上岗作业。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w:t>
      </w:r>
      <w:r>
        <w:rPr>
          <w:rFonts w:hint="eastAsia" w:ascii="宋体" w:hAnsi="宋体" w:eastAsia="宋体" w:cs="宋体"/>
          <w:i w:val="0"/>
          <w:iCs w:val="0"/>
          <w:color w:val="auto"/>
          <w:sz w:val="28"/>
          <w:szCs w:val="28"/>
          <w:highlight w:val="none"/>
          <w:lang w:val="en-US" w:eastAsia="zh-CN"/>
        </w:rPr>
        <w:t>3</w:t>
      </w:r>
      <w:r>
        <w:rPr>
          <w:rFonts w:hint="eastAsia" w:ascii="宋体" w:hAnsi="宋体" w:eastAsia="宋体" w:cs="宋体"/>
          <w:i w:val="0"/>
          <w:iCs w:val="0"/>
          <w:color w:val="auto"/>
          <w:sz w:val="28"/>
          <w:szCs w:val="28"/>
          <w:highlight w:val="none"/>
        </w:rPr>
        <w:t>）高处、临边作业时使用的工具，没有放入工具袋。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highlight w:val="none"/>
          <w:lang w:val="en-US" w:eastAsia="zh-CN"/>
        </w:rPr>
      </w:pPr>
      <w:r>
        <w:rPr>
          <w:rFonts w:hint="eastAsia" w:ascii="宋体" w:hAnsi="宋体" w:eastAsia="宋体" w:cs="宋体"/>
          <w:i w:val="0"/>
          <w:iCs w:val="0"/>
          <w:color w:val="auto"/>
          <w:sz w:val="28"/>
          <w:szCs w:val="28"/>
          <w:highlight w:val="none"/>
        </w:rPr>
        <w:t>（</w:t>
      </w:r>
      <w:r>
        <w:rPr>
          <w:rFonts w:hint="eastAsia" w:ascii="宋体" w:hAnsi="宋体" w:eastAsia="宋体" w:cs="宋体"/>
          <w:i w:val="0"/>
          <w:iCs w:val="0"/>
          <w:color w:val="auto"/>
          <w:sz w:val="28"/>
          <w:szCs w:val="28"/>
          <w:highlight w:val="none"/>
          <w:lang w:val="en-US" w:eastAsia="zh-CN"/>
        </w:rPr>
        <w:t>4</w:t>
      </w:r>
      <w:r>
        <w:rPr>
          <w:rFonts w:hint="eastAsia" w:ascii="宋体" w:hAnsi="宋体" w:eastAsia="宋体" w:cs="宋体"/>
          <w:i w:val="0"/>
          <w:iCs w:val="0"/>
          <w:color w:val="auto"/>
          <w:sz w:val="28"/>
          <w:szCs w:val="28"/>
          <w:highlight w:val="none"/>
        </w:rPr>
        <w:t>）</w:t>
      </w:r>
      <w:r>
        <w:rPr>
          <w:rFonts w:hint="eastAsia" w:ascii="宋体" w:hAnsi="宋体" w:eastAsia="宋体" w:cs="宋体"/>
          <w:i w:val="0"/>
          <w:iCs w:val="0"/>
          <w:color w:val="auto"/>
          <w:sz w:val="28"/>
          <w:szCs w:val="28"/>
          <w:highlight w:val="none"/>
          <w:lang w:val="en-US" w:eastAsia="zh-CN"/>
        </w:rPr>
        <w:t>货物放置不合理。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w:t>
      </w:r>
      <w:r>
        <w:rPr>
          <w:rFonts w:hint="eastAsia" w:ascii="宋体" w:hAnsi="宋体" w:eastAsia="宋体" w:cs="宋体"/>
          <w:i w:val="0"/>
          <w:iCs w:val="0"/>
          <w:color w:val="auto"/>
          <w:sz w:val="28"/>
          <w:szCs w:val="28"/>
          <w:highlight w:val="none"/>
          <w:lang w:val="en-US" w:eastAsia="zh-CN"/>
        </w:rPr>
        <w:t>5</w:t>
      </w:r>
      <w:r>
        <w:rPr>
          <w:rFonts w:hint="eastAsia" w:ascii="宋体" w:hAnsi="宋体" w:eastAsia="宋体" w:cs="宋体"/>
          <w:i w:val="0"/>
          <w:iCs w:val="0"/>
          <w:color w:val="auto"/>
          <w:sz w:val="28"/>
          <w:szCs w:val="28"/>
          <w:highlight w:val="none"/>
        </w:rPr>
        <w:t>）拆除</w:t>
      </w:r>
      <w:r>
        <w:rPr>
          <w:rFonts w:hint="eastAsia" w:ascii="宋体" w:hAnsi="宋体" w:eastAsia="宋体" w:cs="宋体"/>
          <w:i w:val="0"/>
          <w:iCs w:val="0"/>
          <w:color w:val="auto"/>
          <w:sz w:val="28"/>
          <w:szCs w:val="28"/>
          <w:highlight w:val="none"/>
          <w:lang w:eastAsia="zh-CN"/>
        </w:rPr>
        <w:t>、</w:t>
      </w:r>
      <w:r>
        <w:rPr>
          <w:rFonts w:hint="eastAsia" w:ascii="宋体" w:hAnsi="宋体" w:eastAsia="宋体" w:cs="宋体"/>
          <w:i w:val="0"/>
          <w:iCs w:val="0"/>
          <w:color w:val="auto"/>
          <w:sz w:val="28"/>
          <w:szCs w:val="28"/>
          <w:highlight w:val="none"/>
          <w:lang w:val="en-US" w:eastAsia="zh-CN"/>
        </w:rPr>
        <w:t>维修</w:t>
      </w:r>
      <w:r>
        <w:rPr>
          <w:rFonts w:hint="eastAsia" w:ascii="宋体" w:hAnsi="宋体" w:eastAsia="宋体" w:cs="宋体"/>
          <w:i w:val="0"/>
          <w:iCs w:val="0"/>
          <w:color w:val="auto"/>
          <w:sz w:val="28"/>
          <w:szCs w:val="28"/>
          <w:highlight w:val="none"/>
        </w:rPr>
        <w:t>作业时未设置警戒区域、缺少专人进行监护。</w:t>
      </w:r>
    </w:p>
    <w:p>
      <w:pPr>
        <w:pStyle w:val="5"/>
        <w:spacing w:before="0" w:after="0" w:line="360" w:lineRule="auto"/>
        <w:jc w:val="both"/>
        <w:rPr>
          <w:rFonts w:hint="eastAsia" w:ascii="宋体" w:hAnsi="宋体" w:eastAsia="宋体" w:cs="宋体"/>
          <w:b/>
          <w:bCs/>
          <w:color w:val="auto"/>
          <w:sz w:val="28"/>
          <w:szCs w:val="28"/>
          <w:lang w:val="zh-CN"/>
        </w:rPr>
      </w:pPr>
      <w:bookmarkStart w:id="520" w:name="_Toc3691"/>
      <w:bookmarkStart w:id="521" w:name="_Toc21411"/>
      <w:bookmarkStart w:id="522" w:name="_Toc24274"/>
      <w:r>
        <w:rPr>
          <w:rFonts w:hint="eastAsia" w:ascii="宋体" w:hAnsi="宋体" w:eastAsia="宋体" w:cs="宋体"/>
          <w:b/>
          <w:bCs/>
          <w:color w:val="auto"/>
          <w:sz w:val="28"/>
          <w:szCs w:val="28"/>
          <w:lang w:val="zh-CN"/>
        </w:rPr>
        <w:t>2、应急组织和职责</w:t>
      </w:r>
      <w:bookmarkEnd w:id="520"/>
      <w:bookmarkEnd w:id="521"/>
      <w:bookmarkEnd w:id="52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sz w:val="28"/>
          <w:szCs w:val="28"/>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w:t>
      </w:r>
      <w:r>
        <w:rPr>
          <w:rFonts w:hint="eastAsia" w:ascii="宋体" w:hAnsi="宋体" w:eastAsia="宋体" w:cs="宋体"/>
          <w:color w:val="auto"/>
          <w:sz w:val="28"/>
          <w:szCs w:val="28"/>
          <w:lang w:eastAsia="zh-CN"/>
        </w:rPr>
        <w:t>物体打击</w:t>
      </w:r>
      <w:r>
        <w:rPr>
          <w:rFonts w:hint="eastAsia" w:ascii="宋体" w:hAnsi="宋体" w:eastAsia="宋体" w:cs="宋体"/>
          <w:color w:val="auto"/>
          <w:sz w:val="28"/>
          <w:szCs w:val="28"/>
        </w:rPr>
        <w:t>事故，应立即高声呼叫求救。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在确保自身安全的情况下，应立即执行现场应急处置措施。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523" w:name="_Toc21414"/>
      <w:bookmarkStart w:id="524" w:name="_Toc27023"/>
      <w:bookmarkStart w:id="525" w:name="_Toc28306"/>
      <w:r>
        <w:rPr>
          <w:rFonts w:hint="eastAsia" w:ascii="宋体" w:hAnsi="宋体" w:eastAsia="宋体" w:cs="宋体"/>
          <w:b/>
          <w:bCs/>
          <w:color w:val="auto"/>
          <w:sz w:val="28"/>
          <w:szCs w:val="28"/>
          <w:lang w:val="zh-CN"/>
        </w:rPr>
        <w:t>3、应急处置</w:t>
      </w:r>
      <w:bookmarkEnd w:id="523"/>
      <w:bookmarkEnd w:id="524"/>
      <w:bookmarkEnd w:id="52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804"/>
        <w:gridCol w:w="1422"/>
        <w:gridCol w:w="5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7"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804"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422"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80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发出预警或事故警报</w:t>
            </w:r>
          </w:p>
        </w:tc>
        <w:tc>
          <w:tcPr>
            <w:tcW w:w="14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如：大声呼救“有人受伤啦、快来救人”获取周围人员支援。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80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4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80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4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现场工作人员</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①根据人员受伤部位不同采取急救措施。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w:t>
            </w:r>
            <w:r>
              <w:rPr>
                <w:rFonts w:hint="eastAsia" w:eastAsia="宋体" w:cs="宋体"/>
                <w:color w:val="auto"/>
                <w:sz w:val="24"/>
                <w:szCs w:val="24"/>
                <w:vertAlign w:val="baseline"/>
                <w:lang w:val="en-US" w:eastAsia="zh-CN"/>
              </w:rPr>
              <w:t>事故周围停止作业。</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③隔离警戒，保护现场</w:t>
            </w:r>
            <w:r>
              <w:rPr>
                <w:rFonts w:hint="eastAsia" w:ascii="宋体" w:hAnsi="宋体" w:eastAsia="宋体" w:cs="宋体"/>
                <w:color w:val="auto"/>
                <w:sz w:val="24"/>
                <w:szCs w:val="24"/>
                <w:vertAlign w:val="baseline"/>
                <w:lang w:val="en-US" w:eastAsia="zh-CN"/>
              </w:rPr>
              <w:t>，疏散受影响的人员。</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④拨打120电话报警或送医。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804"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42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30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受伤人员出现昏迷、重伤、休克现象；</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w:t>
            </w:r>
            <w:r>
              <w:rPr>
                <w:rFonts w:hint="eastAsia" w:eastAsia="宋体" w:cs="宋体"/>
                <w:color w:val="auto"/>
                <w:sz w:val="24"/>
                <w:szCs w:val="24"/>
                <w:vertAlign w:val="baseline"/>
                <w:lang w:val="en-US" w:eastAsia="zh-CN"/>
              </w:rPr>
              <w:t>总经理</w:t>
            </w:r>
            <w:r>
              <w:rPr>
                <w:rFonts w:hint="eastAsia" w:ascii="宋体" w:hAnsi="宋体" w:eastAsia="宋体" w:cs="宋体"/>
                <w:color w:val="auto"/>
                <w:sz w:val="24"/>
                <w:szCs w:val="24"/>
                <w:vertAlign w:val="baseline"/>
                <w:lang w:val="en-US" w:eastAsia="zh-CN"/>
              </w:rPr>
              <w:t>报告，请求相应升级，说明事故位置、受伤人员情况、发展事态。</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（1）当发生物体打击事故后，现场人员应立即向周围人员呼救并将受伤人员脱离危险区域，根据现场实际情况对受伤者进行现场急救。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（2）对于较浅的伤口，可用干净衣物或纱布包扎止血，动脉创伤出血，还应在出血位置的上方动脉搏动处用手指压迫或用止血胶管（或布带）在伤口近心端进行绑扎。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（3）较深创伤大出血，在现场做好应急止血加压包扎后，应立即准备救护车，送往医院进行救治，在止血的同时，还应密切注视伤员的神志、脉搏、呼吸等体征情况。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对怀疑或确认有骨折的人员应询问其自我感觉情况及疼痛部位，对于昏迷者要注意观察其体位有无改变，切勿随意搬动伤员，应先在骨折部位用木板条或竹板片于骨折位置的上、下关节处作临时固定，使断端不再移位或刺伤肌肉、神经或血管，然后呼叫120等待救援。如有骨折断端外露在皮肤外的，用干净的砂布覆盖好伤口，固定好骨折上下关节部位，然后呼叫120等待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（5）对于怀疑有脊椎骨折的伤员搬运时应用夹板或硬纸皮垫在伤员的身下，以免受伤的脊椎移位、断裂造成截瘫，如伤员不在危险区域，暂无生命危险的，最好待120医疗急救人员进行搬运。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如怀疑有颅脑损伤的，首先必须维持呼吸道通畅，昏迷伤员应侧卧位或仰卧偏头，以防舌根下坠或分泌物、呕吐物吸入气管，发生气道阻塞；对烦躁不安者可因地制宜的予以手足约束，以防止伤及开放伤口，积极组织送往医院救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如受伤人员呼吸和心跳均停止时，应立即按心肺复苏法支持生命的三项基本措施，进行就地抢救。步骤为：通畅气道→口对口（鼻）人工呼吸→胸外接压；在抢救过程中，要每隔数分钟判定一次，每次判定时间均不得超过 5～7s；在医务人员未接替抢救前，现场抢救人员不得放弃现场抢救。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 报告事项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3.3.1报警电话及联系方式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报警电话及联系方式见综合预案。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3.3.2报告内容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）物体打击</w:t>
      </w:r>
      <w:r>
        <w:rPr>
          <w:rFonts w:hint="eastAsia" w:ascii="宋体" w:hAnsi="宋体" w:eastAsia="宋体" w:cs="宋体"/>
          <w:color w:val="auto"/>
          <w:sz w:val="28"/>
          <w:szCs w:val="28"/>
        </w:rPr>
        <w:t>事故发生的时间和地点。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人员伤亡情况。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已采取的措施。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报告人及电话。</w:t>
      </w:r>
    </w:p>
    <w:p>
      <w:pPr>
        <w:pStyle w:val="5"/>
        <w:spacing w:before="0" w:after="0" w:line="360" w:lineRule="auto"/>
        <w:jc w:val="both"/>
        <w:rPr>
          <w:rFonts w:hint="eastAsia" w:ascii="宋体" w:hAnsi="宋体" w:eastAsia="宋体" w:cs="宋体"/>
          <w:b/>
          <w:bCs/>
          <w:color w:val="auto"/>
          <w:sz w:val="28"/>
          <w:szCs w:val="28"/>
          <w:lang w:val="zh-CN"/>
        </w:rPr>
      </w:pPr>
      <w:bookmarkStart w:id="526" w:name="_Toc12103"/>
      <w:bookmarkStart w:id="527" w:name="_Toc20656"/>
      <w:bookmarkStart w:id="528" w:name="_Toc10224"/>
      <w:r>
        <w:rPr>
          <w:rFonts w:hint="eastAsia" w:ascii="宋体" w:hAnsi="宋体" w:eastAsia="宋体" w:cs="宋体"/>
          <w:b/>
          <w:bCs/>
          <w:color w:val="auto"/>
          <w:sz w:val="28"/>
          <w:szCs w:val="28"/>
          <w:lang w:val="zh-CN"/>
        </w:rPr>
        <w:t>4、注意事项</w:t>
      </w:r>
      <w:bookmarkEnd w:id="526"/>
      <w:bookmarkEnd w:id="527"/>
      <w:bookmarkEnd w:id="52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对于由于物体坠落造成的物体打击伤害，在人员得到可靠救治后，应将现场设置隔离警示标识，以防止其他人员误入后造成伤害。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进行心肺复苏救治时，必须注意受害者姿势的正确性，操作时不能用力过大或频率过快。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脊柱有骨折伤员必须硬板担架运送，勿使脊柱扭曲，以防途中颠簸使脊柱骨折或脱位加重，造成或加重脊髓损伤。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搬运伤员过程中严禁只抬伤者的两肩或两腿，绝对不准单人搬运。必须先将伤员连同硬板一起固定后再行搬动。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用车辆运送伤员时，最好能把安放伤员的硬板悬空放置，以减缓车辆的颠簸，避免对伤员造成进一步的伤害。</w:t>
      </w:r>
    </w:p>
    <w:p>
      <w:pPr>
        <w:rPr>
          <w:rFonts w:hint="eastAsia" w:ascii="宋体" w:hAnsi="宋体" w:eastAsia="宋体" w:cs="宋体"/>
          <w:color w:val="auto"/>
          <w:lang w:val="zh-CN"/>
        </w:rPr>
      </w:pPr>
    </w:p>
    <w:p>
      <w:pPr>
        <w:rPr>
          <w:rFonts w:hint="eastAsia" w:ascii="宋体" w:hAnsi="宋体" w:eastAsia="宋体" w:cs="宋体"/>
          <w:color w:val="auto"/>
          <w:lang w:eastAsia="zh-CN"/>
        </w:rPr>
      </w:pPr>
    </w:p>
    <w:p>
      <w:pPr>
        <w:pStyle w:val="2"/>
        <w:rPr>
          <w:rFonts w:hint="eastAsia" w:ascii="宋体" w:hAnsi="宋体" w:eastAsia="宋体" w:cs="宋体"/>
          <w:color w:val="auto"/>
          <w:lang w:eastAsia="zh-CN"/>
        </w:rPr>
        <w:sectPr>
          <w:pgSz w:w="11906" w:h="16838"/>
          <w:pgMar w:top="1417" w:right="1417" w:bottom="1417" w:left="1417" w:header="1134" w:footer="1134" w:gutter="0"/>
          <w:pgNumType w:fmt="decimal"/>
          <w:cols w:space="720" w:num="1"/>
          <w:rtlGutter w:val="0"/>
          <w:docGrid w:linePitch="312" w:charSpace="0"/>
        </w:sectPr>
      </w:pPr>
    </w:p>
    <w:bookmarkEnd w:id="510"/>
    <w:p>
      <w:pPr>
        <w:pStyle w:val="4"/>
        <w:keepNext w:val="0"/>
        <w:keepLines w:val="0"/>
        <w:widowControl/>
        <w:numPr>
          <w:ilvl w:val="0"/>
          <w:numId w:val="0"/>
        </w:numPr>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529" w:name="_Toc25881"/>
      <w:bookmarkStart w:id="530" w:name="_Toc5483"/>
      <w:r>
        <w:rPr>
          <w:rFonts w:hint="eastAsia" w:ascii="宋体" w:hAnsi="宋体" w:eastAsia="宋体" w:cs="宋体"/>
          <w:color w:val="auto"/>
          <w:sz w:val="32"/>
          <w:lang w:eastAsia="zh-CN"/>
        </w:rPr>
        <w:t>九</w:t>
      </w:r>
      <w:r>
        <w:rPr>
          <w:rFonts w:hint="eastAsia" w:ascii="宋体" w:hAnsi="宋体" w:eastAsia="宋体" w:cs="宋体"/>
          <w:color w:val="auto"/>
          <w:sz w:val="32"/>
        </w:rPr>
        <w:t>、车辆伤害事故现场处置方案</w:t>
      </w:r>
      <w:bookmarkEnd w:id="529"/>
      <w:bookmarkEnd w:id="530"/>
    </w:p>
    <w:p>
      <w:pPr>
        <w:pStyle w:val="5"/>
        <w:spacing w:before="0" w:after="0" w:line="360" w:lineRule="auto"/>
        <w:jc w:val="both"/>
        <w:rPr>
          <w:rFonts w:hint="eastAsia" w:ascii="宋体" w:hAnsi="宋体" w:eastAsia="宋体" w:cs="宋体"/>
          <w:b/>
          <w:bCs/>
          <w:color w:val="auto"/>
          <w:sz w:val="28"/>
          <w:szCs w:val="28"/>
          <w:lang w:val="zh-CN"/>
        </w:rPr>
      </w:pPr>
      <w:bookmarkStart w:id="531" w:name="_Toc1890"/>
      <w:bookmarkStart w:id="532" w:name="_Toc18799"/>
      <w:bookmarkStart w:id="533" w:name="_Toc17897"/>
      <w:r>
        <w:rPr>
          <w:rFonts w:hint="eastAsia" w:ascii="宋体" w:hAnsi="宋体" w:eastAsia="宋体" w:cs="宋体"/>
          <w:b/>
          <w:bCs/>
          <w:color w:val="auto"/>
          <w:sz w:val="28"/>
          <w:szCs w:val="28"/>
          <w:lang w:val="zh-CN"/>
        </w:rPr>
        <w:t>1、事故风险描述</w:t>
      </w:r>
      <w:bookmarkEnd w:id="531"/>
      <w:bookmarkEnd w:id="532"/>
      <w:bookmarkEnd w:id="53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1.1 危险性分析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本公司厂内外运输量较大</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装卸运输过程中，若车况不良（尤其是信号系统或制运系统出现故障），驾驶员视野不清、判断失误、车速过快、操作不当或违者操作等原因，应可能发生车辆对人员、设备、物品、建筑物等的碰撞，造成人员伤亡、设备损伤、物品损坏等事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（1）原材料进出厂环节、叉车在转运</w:t>
      </w:r>
      <w:r>
        <w:rPr>
          <w:rFonts w:hint="eastAsia" w:ascii="宋体" w:hAnsi="宋体" w:eastAsia="宋体" w:cs="宋体"/>
          <w:color w:val="auto"/>
          <w:sz w:val="28"/>
          <w:szCs w:val="28"/>
          <w:lang w:eastAsia="zh-CN"/>
        </w:rPr>
        <w:t>、倒车</w:t>
      </w:r>
      <w:r>
        <w:rPr>
          <w:rFonts w:hint="eastAsia" w:ascii="宋体" w:hAnsi="宋体" w:eastAsia="宋体" w:cs="宋体"/>
          <w:color w:val="auto"/>
          <w:sz w:val="28"/>
          <w:szCs w:val="28"/>
        </w:rPr>
        <w:t>作业环节；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（2）车辆通过临时修建而未硬化的道路，上、下马道因路面湿滑、下雨和积水导致路面松软，临时修建的回填土马道路面以及边坡未夯实出现沉陷；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（3）车辆进入作业时，道路因宽度不够，转弯半径过小；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（4）在厂区内、外道路上等区域内有车辆运行的场所。</w:t>
      </w:r>
    </w:p>
    <w:p>
      <w:pPr>
        <w:keepNext w:val="0"/>
        <w:keepLines w:val="0"/>
        <w:pageBreakBefore w:val="0"/>
        <w:kinsoku/>
        <w:wordWrap/>
        <w:overflowPunct/>
        <w:topLinePunct w:val="0"/>
        <w:bidi w:val="0"/>
        <w:adjustRightInd/>
        <w:snapToGrid/>
        <w:spacing w:line="360" w:lineRule="auto"/>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8"/>
          <w:szCs w:val="28"/>
          <w:highlight w:val="none"/>
        </w:rPr>
        <w:t>1.</w:t>
      </w:r>
      <w:r>
        <w:rPr>
          <w:rFonts w:hint="eastAsia" w:ascii="宋体" w:hAnsi="宋体" w:eastAsia="宋体" w:cs="宋体"/>
          <w:b/>
          <w:i w:val="0"/>
          <w:iCs w:val="0"/>
          <w:color w:val="auto"/>
          <w:sz w:val="28"/>
          <w:szCs w:val="28"/>
          <w:highlight w:val="none"/>
          <w:lang w:val="en-US" w:eastAsia="zh-CN"/>
        </w:rPr>
        <w:t xml:space="preserve">3 </w:t>
      </w:r>
      <w:r>
        <w:rPr>
          <w:rFonts w:hint="eastAsia" w:ascii="宋体" w:hAnsi="宋体" w:eastAsia="宋体" w:cs="宋体"/>
          <w:b/>
          <w:i w:val="0"/>
          <w:iCs w:val="0"/>
          <w:color w:val="auto"/>
          <w:sz w:val="28"/>
          <w:szCs w:val="28"/>
          <w:highlight w:val="none"/>
        </w:rPr>
        <w:t>事故危害程度</w:t>
      </w:r>
    </w:p>
    <w:p>
      <w:pPr>
        <w:keepNext w:val="0"/>
        <w:keepLines w:val="0"/>
        <w:pageBreakBefore w:val="0"/>
        <w:kinsoku/>
        <w:wordWrap/>
        <w:overflowPunct/>
        <w:topLinePunct w:val="0"/>
        <w:bidi w:val="0"/>
        <w:adjustRightInd/>
        <w:snapToGrid/>
        <w:spacing w:line="360" w:lineRule="auto"/>
        <w:ind w:firstLine="420" w:firstLineChars="150"/>
        <w:textAlignment w:val="auto"/>
        <w:outlineLvl w:val="9"/>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 xml:space="preserve"> 发生</w:t>
      </w:r>
      <w:r>
        <w:rPr>
          <w:rFonts w:hint="eastAsia" w:ascii="宋体" w:hAnsi="宋体" w:eastAsia="宋体" w:cs="宋体"/>
          <w:i w:val="0"/>
          <w:iCs w:val="0"/>
          <w:color w:val="auto"/>
          <w:sz w:val="28"/>
          <w:szCs w:val="28"/>
          <w:highlight w:val="none"/>
          <w:lang w:eastAsia="zh-CN"/>
        </w:rPr>
        <w:t>车辆伤害事故</w:t>
      </w:r>
      <w:r>
        <w:rPr>
          <w:rFonts w:hint="eastAsia" w:ascii="宋体" w:hAnsi="宋体" w:eastAsia="宋体" w:cs="宋体"/>
          <w:i w:val="0"/>
          <w:iCs w:val="0"/>
          <w:color w:val="auto"/>
          <w:sz w:val="28"/>
          <w:szCs w:val="28"/>
          <w:highlight w:val="none"/>
        </w:rPr>
        <w:t>后，可导致人员轻伤、重伤，甚至死亡。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eastAsia="zh-CN"/>
        </w:rPr>
        <w:t xml:space="preserve"> 事故前可能出现的预兆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车辆存在缺陷，如刹车失灵、转向灯损坏等。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工作平台或场地存在缺陷，如路面湿滑、陡坡、作业场地狭窄、无限速标识等。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驾驶员不安全行为，如酒后驾驶、精力不集中、未按限速要求行车、无证驾驶等。</w:t>
      </w:r>
    </w:p>
    <w:p>
      <w:pPr>
        <w:pStyle w:val="5"/>
        <w:spacing w:before="0" w:after="0" w:line="360" w:lineRule="auto"/>
        <w:jc w:val="both"/>
        <w:rPr>
          <w:rFonts w:hint="eastAsia" w:ascii="宋体" w:hAnsi="宋体" w:eastAsia="宋体" w:cs="宋体"/>
          <w:b/>
          <w:bCs/>
          <w:color w:val="auto"/>
          <w:sz w:val="28"/>
          <w:szCs w:val="28"/>
          <w:lang w:val="zh-CN"/>
        </w:rPr>
      </w:pPr>
      <w:bookmarkStart w:id="534" w:name="_Toc11070"/>
      <w:bookmarkStart w:id="535" w:name="_Toc12941"/>
      <w:bookmarkStart w:id="536" w:name="_Toc14482"/>
      <w:r>
        <w:rPr>
          <w:rFonts w:hint="eastAsia" w:ascii="宋体" w:hAnsi="宋体" w:eastAsia="宋体" w:cs="宋体"/>
          <w:b/>
          <w:bCs/>
          <w:color w:val="auto"/>
          <w:sz w:val="28"/>
          <w:szCs w:val="28"/>
          <w:lang w:val="zh-CN"/>
        </w:rPr>
        <w:t>2、应急工作职责</w:t>
      </w:r>
      <w:bookmarkEnd w:id="534"/>
      <w:bookmarkEnd w:id="535"/>
      <w:bookmarkEnd w:id="53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事发地成立现场应急小组，由事故区域现场负责人、班组长及在岗班组成员组成，现场最高管理者担任应急小组组长。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发现车辆伤害，应立即高声呼叫求救。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在确保自身安全的情况下，应立即执行现场应急处置措施。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537" w:name="_Toc28493"/>
      <w:bookmarkStart w:id="538" w:name="_Toc14541"/>
      <w:bookmarkStart w:id="539" w:name="_Toc10567"/>
      <w:bookmarkStart w:id="540" w:name="_Toc18268"/>
      <w:r>
        <w:rPr>
          <w:rFonts w:hint="eastAsia" w:ascii="宋体" w:hAnsi="宋体" w:eastAsia="宋体" w:cs="宋体"/>
          <w:b/>
          <w:bCs/>
          <w:color w:val="auto"/>
          <w:sz w:val="28"/>
          <w:szCs w:val="28"/>
          <w:lang w:val="zh-CN"/>
        </w:rPr>
        <w:t>3、应急处置</w:t>
      </w:r>
      <w:bookmarkEnd w:id="537"/>
      <w:bookmarkEnd w:id="538"/>
      <w:bookmarkEnd w:id="539"/>
      <w:bookmarkEnd w:id="54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865"/>
        <w:gridCol w:w="1280"/>
        <w:gridCol w:w="5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865"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28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528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86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发出预警或事故警报</w:t>
            </w:r>
          </w:p>
        </w:tc>
        <w:tc>
          <w:tcPr>
            <w:tcW w:w="128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528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如：大声呼救“有人受伤啦、快来救人”获取周围人员支援。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86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28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28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86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28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现场工作人员</w:t>
            </w:r>
          </w:p>
        </w:tc>
        <w:tc>
          <w:tcPr>
            <w:tcW w:w="528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①根据人员受伤部位不同采取急救措施。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w:t>
            </w:r>
            <w:r>
              <w:rPr>
                <w:rFonts w:hint="eastAsia" w:eastAsia="宋体" w:cs="宋体"/>
                <w:color w:val="auto"/>
                <w:sz w:val="24"/>
                <w:szCs w:val="24"/>
                <w:vertAlign w:val="baseline"/>
                <w:lang w:val="en-US" w:eastAsia="zh-CN"/>
              </w:rPr>
              <w:t>事故周围停止作业</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③拨打120电话报警或送医。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865"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28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现场负责人</w:t>
            </w:r>
          </w:p>
        </w:tc>
        <w:tc>
          <w:tcPr>
            <w:tcW w:w="5288"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现场处置人员判断无法有效施救；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受伤人员出现昏迷、重伤、休克现象；</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w:t>
            </w:r>
            <w:r>
              <w:rPr>
                <w:rFonts w:hint="eastAsia" w:eastAsia="宋体" w:cs="宋体"/>
                <w:color w:val="auto"/>
                <w:sz w:val="24"/>
                <w:szCs w:val="24"/>
                <w:vertAlign w:val="baseline"/>
                <w:lang w:val="en-US" w:eastAsia="zh-CN"/>
              </w:rPr>
              <w:t>总经理</w:t>
            </w:r>
            <w:r>
              <w:rPr>
                <w:rFonts w:hint="eastAsia" w:ascii="宋体" w:hAnsi="宋体" w:eastAsia="宋体" w:cs="宋体"/>
                <w:color w:val="auto"/>
                <w:sz w:val="24"/>
                <w:szCs w:val="24"/>
                <w:vertAlign w:val="baseline"/>
                <w:lang w:val="en-US" w:eastAsia="zh-CN"/>
              </w:rPr>
              <w:t>报告，请求相应升级，说明事故位置、受伤人员情况、发展事态。</w:t>
            </w:r>
          </w:p>
        </w:tc>
      </w:tr>
    </w:tbl>
    <w:p>
      <w:pPr>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kern w:val="2"/>
          <w:sz w:val="28"/>
          <w:szCs w:val="28"/>
          <w:lang w:val="en-US" w:eastAsia="zh-CN" w:bidi="ar-SA"/>
        </w:rPr>
      </w:pPr>
      <w:bookmarkStart w:id="541" w:name="_Toc185217634"/>
      <w:bookmarkStart w:id="542" w:name="_Toc20931"/>
      <w:r>
        <w:rPr>
          <w:rFonts w:hint="eastAsia" w:ascii="宋体" w:hAnsi="宋体" w:eastAsia="宋体" w:cs="宋体"/>
          <w:b/>
          <w:bCs/>
          <w:color w:val="auto"/>
          <w:kern w:val="2"/>
          <w:sz w:val="28"/>
          <w:szCs w:val="28"/>
          <w:lang w:val="en-US" w:eastAsia="zh-CN" w:bidi="ar-SA"/>
        </w:rPr>
        <w:t>3.1 车辆起火事件</w:t>
      </w:r>
      <w:bookmarkEnd w:id="541"/>
      <w:r>
        <w:rPr>
          <w:rFonts w:hint="eastAsia" w:ascii="宋体" w:hAnsi="宋体" w:eastAsia="宋体" w:cs="宋体"/>
          <w:b/>
          <w:bCs/>
          <w:color w:val="auto"/>
          <w:kern w:val="2"/>
          <w:sz w:val="28"/>
          <w:szCs w:val="28"/>
          <w:lang w:val="en-US" w:eastAsia="zh-CN" w:bidi="ar-SA"/>
        </w:rPr>
        <w:t>处置措施</w:t>
      </w:r>
      <w:bookmarkEnd w:id="542"/>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（1）机动车辆若在停车场内发生自燃事故，第一目击者应大声呼喊，迅速利用停车场常备灭火器灭火，并立即通知值班负责人。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（2）值班负责人接到报告后，应立即组织灭火，疏散相邻车辆；火情继续扩大的，拨打119报警，并安排专人引导消防车辆进入现场。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（3）机动车辆在行驶过程中起火，驾驶员应立即靠右侧停车，使用车载灭火器灭火，并及时报告单位值班负责人；火情继续扩大的，及时拨打119报警，并向公司值班室报告。</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（4）随车人员应迅速离开车辆，协助驾驶员灭火，并请求过往车辆和群众的帮助。</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（5）发生机动车辆起火事件，值班室应在接到报告后，及时向公司应急办报告，并通知保险公司，核实损失；出现重大财产损失或人员伤亡的，应急指挥部按规定及时向当地政府主管部门报告。</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（6）应急处置结束后，应急办应配合交警等有关部门进行调查处理，与保险部门协调相关事宜，并在调查工作结束后一日内将事件发生经过、损失情况、处置过程和结果书面上报公司及公司应急指挥部。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kern w:val="2"/>
          <w:sz w:val="28"/>
          <w:szCs w:val="28"/>
          <w:lang w:val="en-US" w:eastAsia="zh-CN" w:bidi="ar-SA"/>
        </w:rPr>
      </w:pPr>
      <w:bookmarkStart w:id="543" w:name="_Toc185217635"/>
      <w:bookmarkStart w:id="544" w:name="_Toc19164"/>
      <w:bookmarkStart w:id="545" w:name="_Toc8988"/>
      <w:bookmarkStart w:id="546" w:name="_Toc17219"/>
      <w:r>
        <w:rPr>
          <w:rFonts w:hint="eastAsia" w:ascii="宋体" w:hAnsi="宋体" w:eastAsia="宋体" w:cs="宋体"/>
          <w:b/>
          <w:bCs/>
          <w:color w:val="auto"/>
          <w:kern w:val="2"/>
          <w:sz w:val="28"/>
          <w:szCs w:val="28"/>
          <w:lang w:val="en-US" w:eastAsia="zh-CN" w:bidi="ar-SA"/>
        </w:rPr>
        <w:t>3.2 车辆伤害事故应急</w:t>
      </w:r>
      <w:bookmarkEnd w:id="543"/>
      <w:r>
        <w:rPr>
          <w:rFonts w:hint="eastAsia" w:ascii="宋体" w:hAnsi="宋体" w:eastAsia="宋体" w:cs="宋体"/>
          <w:b/>
          <w:bCs/>
          <w:color w:val="auto"/>
          <w:kern w:val="2"/>
          <w:sz w:val="28"/>
          <w:szCs w:val="28"/>
          <w:lang w:val="en-US" w:eastAsia="zh-CN" w:bidi="ar-SA"/>
        </w:rPr>
        <w:t>处置措施</w:t>
      </w:r>
      <w:bookmarkEnd w:id="544"/>
      <w:bookmarkEnd w:id="545"/>
      <w:bookmarkEnd w:id="546"/>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 在发生车辆伤害事故后车辆驾驶员及车上人员第一步应当立即停车，保护现场痕迹物证，固定相关证据，同时应按规定汇报。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机动车发生交通事故，当事人对造成事实、责任无争议的，且符合当地轻微道路交通事故快撤快处快赔办法规定的轻微交通事故，报车属单位安全管理员同意后，可以自行到快处中心协商处理损害赔偿事宜。</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未造成人身伤亡及情节较轻的，当事人对事实或成因无争议的，自行协商处理赔偿事宜；不能及时撤离现场的，应当迅速报告至交通警察或公安机关交通管理部门。事故现场按规定放置警示三角架，打开车辆警示灯，在交警部门人员未到场前做好其它车辆通过导流。</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（4）造成人身伤亡事故的，驾驶员应当立即抢救受伤人员，并迅速拨打110、120求救，保护好现场；同时应报告值班室，因抢救伤员变动现场的，应当标明位置。</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（5）如果受伤人员必须立即治疗，同时找不到其它车辆协助运送的情况，当事人可以用发生事故的车辆送伤者到医院救治，但在移动现场前，必须将因移动现场后无法确定的车辆、人员倒地位置进行表划。</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（6）事故现场取证救助行动中，安排人员同时做好事故调查取证工作，以利于事故处理，防止证据遗失。</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（7）事故后在驾驶员生命受到威胁时，可视情况离开现场，但应保持与出警人员和公司应急办的联系。</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（8）应急办接报后应立即赶赴现场，配合有关部门采取应急处置。出现重大财产损失或人员伤亡的，应急办报告总指挥后，应按规定及时向上级单位和政府主管部门报告。</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kern w:val="2"/>
          <w:sz w:val="28"/>
          <w:szCs w:val="28"/>
          <w:lang w:val="en-US" w:eastAsia="zh-CN" w:bidi="ar-SA"/>
        </w:rPr>
      </w:pPr>
      <w:bookmarkStart w:id="547" w:name="_Toc27622"/>
      <w:bookmarkStart w:id="548" w:name="_Toc13979"/>
      <w:r>
        <w:rPr>
          <w:rFonts w:hint="eastAsia" w:ascii="宋体" w:hAnsi="宋体" w:eastAsia="宋体" w:cs="宋体"/>
          <w:b/>
          <w:bCs/>
          <w:color w:val="auto"/>
          <w:kern w:val="2"/>
          <w:sz w:val="28"/>
          <w:szCs w:val="28"/>
          <w:lang w:val="en-US" w:eastAsia="zh-CN" w:bidi="ar-SA"/>
        </w:rPr>
        <w:t>3.3 车辆故障应急处置措施</w:t>
      </w:r>
      <w:bookmarkEnd w:id="547"/>
      <w:bookmarkEnd w:id="548"/>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（1）车辆行驶过程中发生故障时，驾驶员应立即减速将车停靠到道路右侧安全地带，在道路来车方向距故障车50至100米（高速公路不低于150米）处摆放故障车警示牌，亮起示宽灯。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（2） 妥善安置故障车后，驾驶员应初步判定故障原因，排除故障。</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（3）驾驶员难以自行排除，应维护现场秩序，确保车辆、人员、随车物品的安全，同时报告公司值班室，等待支援。</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（4） 指挥部接到值班室报告后，应组织事故处置救援组队伍，及时赶赴车辆故障现场，帮助排除车辆故障；现场无法排除时，可拖至专业维修场修理。</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（5）运料车辆发生和紧急任务车辆发生故障，值班室接到报告后，要立即派出备用车辆赶赴现场进行替换。</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（6） 发生车辆倾翻事故时，当有人员被压埋在倾倒车辆下面或驾驶室内时，救援队伍应立即采用扩张工具将被压人员救出。在实施救援时，各组人员应按职责分工合作，采取适当警戒预防措施，防止车辆倾倒、挤压事故的再次发生。</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7）发现事故车辆油箱内油料泄漏时，应紧急疏散现场人员，严禁烟火及严禁使用通讯工具，采取措施堵塞泄漏，将油箱漏油部位堵漏，用沙石、泥土等覆盖地面油污，同时将随车灭火器准备于现场待用，避免发生燃烧爆炸。</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（8）发现有因车辆颠覆、变形被困于车内的人员时，及时调动、使用起重机械，撬捧、千斤顶等工具破拆车辆，解救被困人员，或协助公安消防部门破拆车辆，解救被困人员。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（9）如果有车辆压住伤者，应立即小心移开车辆，或用千斤顶顶起车辆，将伤者小心移出。再根据伤者的具体情况进行医疗救治。</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（10） 发生火灾时，应采取措施施救被困在驾驶室内无法逃生的人员，并应立即使机车熄火，防止电气火灾的蔓延扩大。灭火时，应防止二氧化碳等中毒窒息事故的发生。</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（11）应急指挥部根据现场情况，及时通知伤者家属赶到就治医院，配合医疗救护人员开展医疗救护，开展善后处理。</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（12）应急处置结束后，现场应急小组组长应在调查结束后一日内将事故发生经过、损失情况、处置过程和结果书面上报公司应急指挥部。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kern w:val="2"/>
          <w:sz w:val="28"/>
          <w:szCs w:val="28"/>
          <w:lang w:val="en-US" w:eastAsia="zh-CN" w:bidi="ar-SA"/>
        </w:rPr>
      </w:pPr>
      <w:bookmarkStart w:id="549" w:name="_Toc17902"/>
      <w:bookmarkStart w:id="550" w:name="_Toc29269"/>
      <w:bookmarkStart w:id="551" w:name="_Toc5284"/>
      <w:r>
        <w:rPr>
          <w:rFonts w:hint="eastAsia" w:ascii="宋体" w:hAnsi="宋体" w:eastAsia="宋体" w:cs="宋体"/>
          <w:b/>
          <w:bCs/>
          <w:color w:val="auto"/>
          <w:kern w:val="2"/>
          <w:sz w:val="28"/>
          <w:szCs w:val="28"/>
          <w:lang w:val="en-US" w:eastAsia="zh-CN" w:bidi="ar-SA"/>
        </w:rPr>
        <w:t>3.4 医疗救护应急处置措施</w:t>
      </w:r>
      <w:bookmarkEnd w:id="549"/>
      <w:bookmarkEnd w:id="550"/>
      <w:bookmarkEnd w:id="551"/>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（1）不要轻易移动受伤者，保持其呼吸道通畅；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（2）有出血时，应有效止血，包扎伤口；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（3）如果发生骨折，用双手稳定及承托受伤部位，限制骨折处活动并设置软垫，用绷带、夹板或替代品妥善固定伤肢；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4）发生断指（肢）应立即止血，应马上用止血带扎紧受伤的手或脚，或用手指压迫受伤的部位止血。伤口用无菌纱布或清洁棉布包扎，将断指（肢）也要用无菌纱布包扎，有条件的与冰块一起放入干净胶袋，并立即送医院进行手术；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（5）如果伤者出现呼吸或心跳停止，应进行心肺复苏急救。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（6） 去除伤员身上用具和口袋中的硬物，注意不让伤者再受到挤压；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（7）如上肢受伤将其固定于躯干，如下肢受伤将其固定于另一健肢。应垫高伤肢，消除肿胀。如上肢已扭曲，可用牵引法将上肢沿骨骼轴心拉直，但若拉伸时引起伤者剧痛或皮肤变白，应立即停止；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（8）如果伤口中已有异物，不要用水冲洗，不要使用药物，也不要试图将裸露在伤口外的断骨复位，应在伤口上覆盖灭菌纱布，然后进行适度的包扎、固定；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（9）若发现窒息者，应及时解除其呼吸道梗塞和呼吸机能障碍，应立即解开伤员衣领，消除伤员口鼻、咽喉部的异物、血块、分泌物、呕吐物等。</w:t>
      </w:r>
    </w:p>
    <w:p>
      <w:pPr>
        <w:pStyle w:val="6"/>
        <w:spacing w:before="0" w:beforeLines="0" w:after="0" w:afterLine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3.5 现场自救和互救</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（1）在抢救伤员过程中要做好周围倒塌物体的加固、监控工作，保证自身安全。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（2）在伤员救治和转移过程中，应遵循先重后轻的原则，采取固定等措施，防止加重伤员伤情。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（3）紧急情况下，可以动用肇事车辆运送伤员到医院救治，但要做好标记，并留人看护现场。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（4）要保持冷静，保护好事故现场依法合规配合做好事件处理。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 xml:space="preserve">（5） 若事件现场有危险化学品泄漏或可能产生爆炸时，应在保证自身安全前提下，将人员救出后立即撤离到安全地带。 </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宋体" w:hAnsi="宋体" w:eastAsia="宋体" w:cs="宋体"/>
          <w:color w:val="auto"/>
          <w:kern w:val="2"/>
          <w:sz w:val="28"/>
          <w:szCs w:val="24"/>
          <w:lang w:val="en-US" w:eastAsia="zh-CN" w:bidi="ar-SA"/>
        </w:rPr>
      </w:pPr>
      <w:r>
        <w:rPr>
          <w:rFonts w:hint="eastAsia" w:ascii="宋体" w:hAnsi="宋体" w:eastAsia="宋体" w:cs="宋体"/>
          <w:color w:val="auto"/>
          <w:kern w:val="2"/>
          <w:sz w:val="28"/>
          <w:szCs w:val="24"/>
          <w:lang w:val="en-US" w:eastAsia="zh-CN" w:bidi="ar-SA"/>
        </w:rPr>
        <w:t>（6）扑救车辆火灾时，人员一定要正确使用灭火器，且灭火人员一定要站在火源上风口。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 报告事项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3.3.1报警电话及联系方式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报警电话及联系方式见综合预案。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3.3.2报告内容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车辆伤害发生的时间和地点。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人员伤亡及设备损毁情况。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已采取的措施。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报告人及电话。</w:t>
      </w:r>
    </w:p>
    <w:p>
      <w:pPr>
        <w:pStyle w:val="5"/>
        <w:spacing w:before="0" w:after="0" w:line="360" w:lineRule="auto"/>
        <w:jc w:val="both"/>
        <w:rPr>
          <w:rFonts w:hint="eastAsia" w:ascii="宋体" w:hAnsi="宋体" w:eastAsia="宋体" w:cs="宋体"/>
          <w:b/>
          <w:bCs/>
          <w:color w:val="auto"/>
          <w:sz w:val="28"/>
          <w:szCs w:val="28"/>
          <w:lang w:val="zh-CN"/>
        </w:rPr>
      </w:pPr>
      <w:bookmarkStart w:id="552" w:name="_Toc6363"/>
      <w:bookmarkStart w:id="553" w:name="_Toc22174"/>
      <w:bookmarkStart w:id="554" w:name="_Toc23393"/>
      <w:bookmarkStart w:id="555" w:name="_Toc19740"/>
      <w:r>
        <w:rPr>
          <w:rFonts w:hint="eastAsia" w:ascii="宋体" w:hAnsi="宋体" w:eastAsia="宋体" w:cs="宋体"/>
          <w:b/>
          <w:bCs/>
          <w:color w:val="auto"/>
          <w:sz w:val="28"/>
          <w:szCs w:val="28"/>
          <w:lang w:val="zh-CN"/>
        </w:rPr>
        <w:t>4、注意事项</w:t>
      </w:r>
      <w:bookmarkEnd w:id="552"/>
      <w:bookmarkEnd w:id="553"/>
      <w:bookmarkEnd w:id="554"/>
      <w:bookmarkEnd w:id="5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受伤者伤势严重，不要轻易移动伤者。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去除伤员身上的用具和口袋中的硬物，注意不要让伤者受挤压。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如上肢受伤将其固定于躯干，如下肢受伤将其固定于另一健肢。应垫高伤肢，消除肿胀。如上肢已扭曲，可用牵引法将上肢沿骨骼轴心拉直，但若拉伸时引起伤者剧痛或皮肤变白，应立即停止。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如果伤口中已有赃物，不要用水冲洗，不要使用药物，也不要试图将裸露在伤口外的断骨复位，应在伤口上覆盖灭菌纱布，然后进行适度的包扎、固定。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若发现窒息者，应及时解除其呼吸道梗塞和呼吸机能障碍，应立即解开伤员衣领，消除伤员口鼻、咽喉部的异物、血块、分泌物、呕吐物等。</w:t>
      </w:r>
    </w:p>
    <w:p>
      <w:pPr>
        <w:pStyle w:val="4"/>
        <w:keepNext w:val="0"/>
        <w:keepLines w:val="0"/>
        <w:widowControl/>
        <w:adjustRightInd w:val="0"/>
        <w:snapToGrid w:val="0"/>
        <w:spacing w:before="156" w:beforeLines="50" w:after="156" w:afterLines="50" w:line="360" w:lineRule="auto"/>
        <w:jc w:val="center"/>
        <w:outlineLvl w:val="9"/>
        <w:rPr>
          <w:rFonts w:hint="eastAsia" w:ascii="宋体" w:hAnsi="宋体" w:eastAsia="宋体" w:cs="宋体"/>
          <w:color w:val="auto"/>
          <w:sz w:val="32"/>
          <w:lang w:eastAsia="zh-CN"/>
        </w:rPr>
      </w:pPr>
    </w:p>
    <w:p>
      <w:pPr>
        <w:rPr>
          <w:rFonts w:hint="eastAsia" w:ascii="宋体" w:hAnsi="宋体" w:eastAsia="宋体" w:cs="宋体"/>
          <w:color w:val="auto"/>
          <w:sz w:val="32"/>
          <w:lang w:eastAsia="zh-CN"/>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556" w:name="_Toc14706"/>
      <w:bookmarkStart w:id="557" w:name="_Toc12857"/>
      <w:r>
        <w:rPr>
          <w:rFonts w:hint="eastAsia" w:ascii="宋体" w:hAnsi="宋体" w:eastAsia="宋体" w:cs="宋体"/>
          <w:color w:val="auto"/>
          <w:sz w:val="32"/>
          <w:lang w:eastAsia="zh-CN"/>
        </w:rPr>
        <w:t>十</w:t>
      </w:r>
      <w:r>
        <w:rPr>
          <w:rFonts w:hint="eastAsia" w:ascii="宋体" w:hAnsi="宋体" w:eastAsia="宋体" w:cs="宋体"/>
          <w:color w:val="auto"/>
          <w:sz w:val="32"/>
        </w:rPr>
        <w:t>、</w:t>
      </w:r>
      <w:r>
        <w:rPr>
          <w:rFonts w:hint="eastAsia" w:ascii="宋体" w:hAnsi="宋体" w:eastAsia="宋体" w:cs="宋体"/>
          <w:color w:val="auto"/>
          <w:sz w:val="32"/>
          <w:lang w:eastAsia="zh-CN"/>
        </w:rPr>
        <w:t>中毒、窒息</w:t>
      </w:r>
      <w:r>
        <w:rPr>
          <w:rFonts w:hint="eastAsia" w:ascii="宋体" w:hAnsi="宋体" w:eastAsia="宋体" w:cs="宋体"/>
          <w:color w:val="auto"/>
          <w:sz w:val="32"/>
        </w:rPr>
        <w:t>事故现场处置方案</w:t>
      </w:r>
      <w:bookmarkEnd w:id="556"/>
      <w:bookmarkEnd w:id="557"/>
    </w:p>
    <w:p>
      <w:pPr>
        <w:pStyle w:val="5"/>
        <w:spacing w:before="0" w:after="0" w:line="360" w:lineRule="auto"/>
        <w:jc w:val="both"/>
        <w:rPr>
          <w:rFonts w:hint="eastAsia" w:ascii="宋体" w:hAnsi="宋体" w:eastAsia="宋体" w:cs="宋体"/>
          <w:b/>
          <w:bCs/>
          <w:color w:val="auto"/>
          <w:sz w:val="28"/>
          <w:szCs w:val="28"/>
          <w:lang w:val="zh-CN"/>
        </w:rPr>
      </w:pPr>
      <w:bookmarkStart w:id="558" w:name="_Toc17559"/>
      <w:bookmarkStart w:id="559" w:name="_Toc8703"/>
      <w:bookmarkStart w:id="560" w:name="_Toc14776"/>
      <w:r>
        <w:rPr>
          <w:rFonts w:hint="eastAsia" w:ascii="宋体" w:hAnsi="宋体" w:eastAsia="宋体" w:cs="宋体"/>
          <w:b/>
          <w:bCs/>
          <w:color w:val="auto"/>
          <w:sz w:val="28"/>
          <w:szCs w:val="28"/>
          <w:lang w:val="zh-CN"/>
        </w:rPr>
        <w:t>1、事故风险描述</w:t>
      </w:r>
      <w:bookmarkEnd w:id="558"/>
      <w:bookmarkEnd w:id="559"/>
      <w:bookmarkEnd w:id="56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1.1 危险性分析</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（1）本工序存在各类有毒有刺激性物质，如三氯甲烷、甲基丙烯酸、苯酐、顺酐、乙二醇丁醚等，三氯甲烷有毒，为可疑致癌物，具刺激性； 甲基丙烯酸具腐蚀性、刺激性，可致人体灼伤；苯酐具腐蚀性、刺激性， 可致人体灼伤；顺酐有毒，具腐蚀性、刺激性，可致人体灼伤，具致敏性； 乙二醇丁醚有毒，具刺激性；</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（2）本公司使用氮气进行吹扫、置换和保护，氮气本身无毒，但在工作环境中如果氮气含量过高使氧气浓度降低，可能导致人体缺氧而窒息。</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（3）若生产、储存设备密闭不完好，废气回收、处理系统存在缺陷， 作业人员个体防护不完善，作业场所通风不良等，作业人员吸入有毒物质或缺氧，易引发中毒和窒息事故。</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（4）在装卸、储存、使用有毒或腐蚀性物质时，人员违规操作，造成有毒或腐蚀性物质泄漏，在人员个体防护不当情况下，易引发人员中毒事故发生。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zh-CN" w:eastAsia="zh-CN" w:bidi="ar-SA"/>
        </w:rPr>
        <w:t>事故发生的区域、地点或装置：有毒危化品装卸、储存、使用场所；氮气吹扫场地；预处理池、污水池等有限空间</w:t>
      </w:r>
      <w:r>
        <w:rPr>
          <w:rFonts w:hint="eastAsia" w:ascii="宋体" w:hAnsi="宋体" w:eastAsia="宋体" w:cs="宋体"/>
          <w:color w:val="auto"/>
          <w:kern w:val="0"/>
          <w:sz w:val="28"/>
          <w:szCs w:val="20"/>
          <w:u w:val="none" w:color="000000"/>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eastAsia="zh-CN"/>
        </w:rPr>
        <w:t xml:space="preserve"> 事故前可能出现的预兆</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default" w:ascii="宋体" w:hAnsi="宋体" w:eastAsia="宋体" w:cs="宋体"/>
          <w:color w:val="auto"/>
          <w:kern w:val="0"/>
          <w:sz w:val="28"/>
          <w:szCs w:val="20"/>
          <w:u w:val="none" w:color="000000"/>
          <w:lang w:val="zh-CN" w:eastAsia="zh-CN" w:bidi="ar-SA"/>
        </w:rPr>
        <w:t>眼睛、喉咙感觉不适，呼吸困难等；</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color w:val="auto"/>
          <w:lang w:eastAsia="zh-CN"/>
        </w:rPr>
      </w:pPr>
      <w:r>
        <w:rPr>
          <w:rFonts w:hint="default" w:ascii="宋体" w:hAnsi="宋体" w:eastAsia="宋体" w:cs="宋体"/>
          <w:color w:val="auto"/>
          <w:kern w:val="0"/>
          <w:sz w:val="28"/>
          <w:szCs w:val="20"/>
          <w:u w:val="none" w:color="000000"/>
          <w:lang w:val="zh-CN" w:eastAsia="zh-CN" w:bidi="ar-SA"/>
        </w:rPr>
        <w:t>发现作业现场有人晕倒。</w:t>
      </w:r>
    </w:p>
    <w:p>
      <w:pPr>
        <w:pStyle w:val="5"/>
        <w:spacing w:before="0" w:after="0" w:line="360" w:lineRule="auto"/>
        <w:jc w:val="both"/>
        <w:rPr>
          <w:rFonts w:hint="eastAsia" w:ascii="宋体" w:hAnsi="宋体" w:eastAsia="宋体" w:cs="宋体"/>
          <w:b/>
          <w:bCs/>
          <w:color w:val="auto"/>
          <w:sz w:val="28"/>
          <w:szCs w:val="28"/>
          <w:lang w:val="zh-CN"/>
        </w:rPr>
      </w:pPr>
      <w:bookmarkStart w:id="561" w:name="_Toc3803"/>
      <w:bookmarkStart w:id="562" w:name="_Toc31775"/>
      <w:bookmarkStart w:id="563" w:name="_Toc28903"/>
      <w:r>
        <w:rPr>
          <w:rFonts w:hint="eastAsia" w:ascii="宋体" w:hAnsi="宋体" w:eastAsia="宋体" w:cs="宋体"/>
          <w:b/>
          <w:bCs/>
          <w:color w:val="auto"/>
          <w:sz w:val="28"/>
          <w:szCs w:val="28"/>
          <w:lang w:val="zh-CN"/>
        </w:rPr>
        <w:t>2、应急工作职责</w:t>
      </w:r>
      <w:bookmarkEnd w:id="561"/>
      <w:bookmarkEnd w:id="562"/>
      <w:bookmarkEnd w:id="56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sectPr>
          <w:pgSz w:w="11906" w:h="16838"/>
          <w:pgMar w:top="1417" w:right="1417" w:bottom="1417" w:left="1417" w:header="1134" w:footer="1134" w:gutter="0"/>
          <w:pgNumType w:fmt="decimal"/>
          <w:cols w:space="720" w:num="1"/>
          <w:rtlGutter w:val="0"/>
          <w:docGrid w:linePitch="312" w:charSpace="0"/>
        </w:sectPr>
      </w:pP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事发地成立现场应急小组，由事故区域现场负责人、班组长及在岗班组成员组成，现场负责人担任应急小组组长。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（2）采取应急处置措施，及时控制住当前局势，防止继续恶化。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（3）若中毒窒息者，伤情比较严重，应立即拨打120急救车，送医院抢救。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（4）疏散无关人员撤离现场</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564" w:name="_Toc5542"/>
      <w:bookmarkStart w:id="565" w:name="_Toc7621"/>
      <w:bookmarkStart w:id="566" w:name="_Toc19399"/>
      <w:r>
        <w:rPr>
          <w:rFonts w:hint="eastAsia" w:ascii="宋体" w:hAnsi="宋体" w:eastAsia="宋体" w:cs="宋体"/>
          <w:b/>
          <w:bCs/>
          <w:color w:val="auto"/>
          <w:sz w:val="28"/>
          <w:szCs w:val="28"/>
          <w:lang w:val="zh-CN"/>
        </w:rPr>
        <w:t>3、应急处置</w:t>
      </w:r>
      <w:bookmarkEnd w:id="564"/>
      <w:bookmarkEnd w:id="565"/>
      <w:bookmarkEnd w:id="56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560"/>
        <w:gridCol w:w="1483"/>
        <w:gridCol w:w="4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发出火灾预警或事故警报</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如：有人晕倒了，快来帮忙：</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②将患者移到安全、有利救治地点；严重中毒者，及时送医院。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现场负责人</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①指挥救援行动</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现场作业人员</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w:t>
            </w:r>
            <w:r>
              <w:rPr>
                <w:rFonts w:hint="eastAsia" w:eastAsia="宋体" w:cs="宋体"/>
                <w:color w:val="auto"/>
                <w:sz w:val="24"/>
                <w:szCs w:val="24"/>
                <w:vertAlign w:val="baseline"/>
                <w:lang w:val="en-US" w:eastAsia="zh-CN"/>
              </w:rPr>
              <w:t>利用救生圈、绳子将溺水人员救起，采取急救</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②将事故区域建立警戒范围，防止人员误入。</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③切断设备开关、电源开关、阀门开关等。</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④立即将中毒窒息人员抬到空气新鲜处施救。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现场负责人</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受威胁区域出现其他衍生事故；</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现场人员未佩戴防毒面具进入施救。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立即向应急值班室或总经理报告，请求相应升级，说明事故位置、伤亡情况、发展事态。</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组织现场人员撤离，确认现场隐蔽、独立场所人员已经疏散，所有人到紧急集合点集合。</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建立警戒范围，无关人员禁止入内。</w:t>
            </w:r>
          </w:p>
        </w:tc>
      </w:tr>
    </w:tbl>
    <w:p>
      <w:pPr>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bookmarkStart w:id="567" w:name="_Toc545"/>
      <w:bookmarkStart w:id="568" w:name="_Toc14580"/>
      <w:r>
        <w:rPr>
          <w:rFonts w:hint="eastAsia" w:ascii="宋体" w:hAnsi="宋体" w:eastAsia="宋体" w:cs="宋体"/>
          <w:b/>
          <w:bCs/>
          <w:color w:val="auto"/>
          <w:sz w:val="28"/>
          <w:szCs w:val="28"/>
          <w:lang w:val="en-US" w:eastAsia="zh-CN"/>
        </w:rPr>
        <w:t>3.2.1人员救护</w:t>
      </w:r>
      <w:bookmarkEnd w:id="567"/>
      <w:bookmarkEnd w:id="568"/>
      <w:r>
        <w:rPr>
          <w:rFonts w:hint="eastAsia" w:ascii="宋体" w:hAnsi="宋体" w:eastAsia="宋体" w:cs="宋体"/>
          <w:b/>
          <w:bCs/>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（1）迅速将窒息患者移至空气新鲜处，松解衣扣和腰带，摘下假牙和清除口腔异物，维护呼吸道通畅，注意保暖。</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（2）在搬运过程中要沉着、冷静，不要强拖硬拉，防止造成骨折；如果已有骨折或外伤，则要注意包扎和固定。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（3）在急救药箱取用适当的急救药品就地进行抢救。</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bookmarkStart w:id="569" w:name="_Toc11692"/>
      <w:bookmarkStart w:id="570" w:name="_Toc12477"/>
      <w:r>
        <w:rPr>
          <w:rFonts w:hint="eastAsia" w:ascii="宋体" w:hAnsi="宋体" w:eastAsia="宋体" w:cs="宋体"/>
          <w:b/>
          <w:bCs/>
          <w:color w:val="auto"/>
          <w:sz w:val="28"/>
          <w:szCs w:val="28"/>
          <w:lang w:val="en-US" w:eastAsia="zh-CN"/>
        </w:rPr>
        <w:t>3.2.2工艺操作</w:t>
      </w:r>
      <w:bookmarkEnd w:id="569"/>
      <w:bookmarkEnd w:id="57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根据作业中存在的风险种类和风险程度，依据相关防护标准，配备个人防护装备并确保正确佩戴。护具包括：防毒面具、安全带、安全帽、担架等。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事故区域加强自然通风和机械排风。对于密闭或狭小空间，施救人员应先强制向空间内部通风换气后方可进行施救。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综合勘查情况，确定警戒区域，设置警戒标志，疏散警戒区域内与救援无关人员。切断火源，严格限制出入。救援人员在上风、侧风方向选择救援前进路线。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迅速将窒息者撤离现场，转移到上风位置。在窒息者被救出后及时送往医院抢救；在等待救援时，监护人员应立即施救或采取现场急救措施。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bookmarkStart w:id="571" w:name="_Toc19635"/>
      <w:bookmarkStart w:id="572" w:name="_Toc3991"/>
      <w:r>
        <w:rPr>
          <w:rFonts w:hint="eastAsia" w:ascii="宋体" w:hAnsi="宋体" w:eastAsia="宋体" w:cs="宋体"/>
          <w:b/>
          <w:bCs/>
          <w:color w:val="auto"/>
          <w:sz w:val="28"/>
          <w:szCs w:val="28"/>
          <w:lang w:val="en-US" w:eastAsia="zh-CN"/>
        </w:rPr>
        <w:t>3.2.3事故控制</w:t>
      </w:r>
      <w:bookmarkEnd w:id="571"/>
      <w:bookmarkEnd w:id="57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进入事故现场进行应急处置的救援人员均必须接受过专门的培训和训练。在进入现场之前，应针对现场的情况，采取有效的个人防护。穿戴用品前，应认真对防护用品进行安全性能检查，确认完好后，方能使用。应当详细记录进入、撤出现场的人员姓名和时间，紧急撤离时应进行点名。严禁单独行动。现场应准备急救医药用品，并有医护人员待命。选择上风、侧风方向作为救援路线，同时应从上风、侧风方向抢救或引导撤出窒息的人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bookmarkStart w:id="573" w:name="_Toc20046"/>
      <w:bookmarkStart w:id="574" w:name="_Toc20325"/>
      <w:r>
        <w:rPr>
          <w:rFonts w:hint="eastAsia" w:ascii="宋体" w:hAnsi="宋体" w:eastAsia="宋体" w:cs="宋体"/>
          <w:b/>
          <w:bCs/>
          <w:color w:val="auto"/>
          <w:sz w:val="28"/>
          <w:szCs w:val="28"/>
          <w:lang w:val="en-US" w:eastAsia="zh-CN"/>
        </w:rPr>
        <w:t>3.2.4消防</w:t>
      </w:r>
      <w:bookmarkEnd w:id="573"/>
      <w:bookmarkEnd w:id="57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若现场出现火情，应立即使用消防设施（灭火器、消火栓）进行扑救，使用消火栓前注意切断现场电源，若火情不受控制，现场负责人立即向应急指挥部或主要负责人报告，必要时可直接拨打119电话报警。</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bookmarkStart w:id="575" w:name="_Toc27320"/>
      <w:bookmarkStart w:id="576" w:name="_Toc26046"/>
      <w:r>
        <w:rPr>
          <w:rFonts w:hint="eastAsia" w:ascii="宋体" w:hAnsi="宋体" w:eastAsia="宋体" w:cs="宋体"/>
          <w:b/>
          <w:bCs/>
          <w:color w:val="auto"/>
          <w:sz w:val="28"/>
          <w:szCs w:val="28"/>
          <w:lang w:val="en-US" w:eastAsia="zh-CN"/>
        </w:rPr>
        <w:t>3.2.5现场恢复</w:t>
      </w:r>
      <w:bookmarkEnd w:id="575"/>
      <w:bookmarkEnd w:id="576"/>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事故处理完毕后，现场应急小组应对现场进行消洗，清理杂物，报请公司主要负责人同意后，可恢复生产。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3.3 报告事项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eastAsia="zh-CN"/>
        </w:rPr>
      </w:pPr>
      <w:bookmarkStart w:id="577" w:name="_Toc30990"/>
      <w:r>
        <w:rPr>
          <w:rFonts w:hint="eastAsia" w:ascii="宋体" w:hAnsi="宋体" w:eastAsia="宋体" w:cs="宋体"/>
          <w:b/>
          <w:bCs/>
          <w:color w:val="auto"/>
          <w:sz w:val="28"/>
          <w:szCs w:val="28"/>
          <w:lang w:eastAsia="zh-CN"/>
        </w:rPr>
        <w:t>3.3.1报警电话及联系方式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现场负责人通过电话的方式向公司应急指挥部报告，应急总指挥负责向外部单位报告。必要时，现场负责人可直接向外部单位报告。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报警电话及联系方式见附件五。</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3.3.2事故报告的基本内容及要求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事故发生后五分钟内，现场负责人应向应急指挥部报告；若有人员受重伤或死亡的，主要负责人应1时内向南充市应急管理部门报告。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报告的基本内容：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单位基本情况（向外部单位报告时需报告）；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事故发生的时间和地点；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人员伤亡情况；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已采取的措施；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报告人及电话。</w:t>
      </w:r>
    </w:p>
    <w:p>
      <w:pPr>
        <w:pStyle w:val="5"/>
        <w:spacing w:before="0" w:after="0" w:line="360" w:lineRule="auto"/>
        <w:jc w:val="both"/>
        <w:rPr>
          <w:rFonts w:hint="eastAsia" w:ascii="宋体" w:hAnsi="宋体" w:eastAsia="宋体" w:cs="宋体"/>
          <w:b/>
          <w:bCs/>
          <w:color w:val="auto"/>
          <w:sz w:val="28"/>
          <w:szCs w:val="28"/>
          <w:lang w:val="zh-CN" w:eastAsia="zh-CN"/>
        </w:rPr>
      </w:pPr>
      <w:bookmarkStart w:id="578" w:name="_Toc5740"/>
      <w:bookmarkStart w:id="579" w:name="_Toc27953"/>
      <w:bookmarkStart w:id="580" w:name="_Toc13254"/>
      <w:bookmarkStart w:id="581" w:name="_Toc5614"/>
      <w:r>
        <w:rPr>
          <w:rFonts w:hint="eastAsia" w:ascii="宋体" w:hAnsi="宋体" w:eastAsia="宋体" w:cs="宋体"/>
          <w:b/>
          <w:bCs/>
          <w:color w:val="auto"/>
          <w:sz w:val="28"/>
          <w:szCs w:val="28"/>
          <w:lang w:val="zh-CN" w:eastAsia="zh-CN"/>
        </w:rPr>
        <w:t>4 注意事项</w:t>
      </w:r>
      <w:bookmarkEnd w:id="577"/>
      <w:bookmarkEnd w:id="578"/>
      <w:bookmarkEnd w:id="579"/>
      <w:bookmarkEnd w:id="580"/>
      <w:bookmarkEnd w:id="58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（一）佩带个人防护器具方面的注意事项：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防毒面具使用前需检查面具是否有裂痕、破口，确保面具与脸部贴合密封性；检查呼气阀有无变形，破裂及裂缝；检查头带是否有弹性、滤毒盒座密封圈是否完好；检查滤毒盒是否在使用期内。使用时将面具盖住口鼻，然后将头带框套拉到头顶；用双手将下面的头带拉向颈后，然后扣住；风干的面具请仔细检查连接部位及呼气阀、吸气阀的密合性，并将面具放于洁净的地方以便下次使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安全帽使用前检查外壳是否有裂纹、碰伤痕或磨损等，帽衬是否完整，确认完好后，方能使用。使用时将安全帽戴正、戴牢，不能晃动，要系紧下鄂带，调节好后箍，防止安全帽脱落。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安全带使用前应对安全带进行全面检查，确认完好后，方可使用。同时应选择符合特定使用范围的安全带。使用时应高挂低用，严禁低挂高用。使用大于3m长绳应加缓冲器（除自锁钩用吊绳外），并要防止摆动碰撞。不准打结使用，更不准将钩直接挂在安全绳上使用，钩子必须挂在连接环上用。在攀登和悬空等作业中，必须有牢靠的挂钩设施。在杆塔上作业时，应将安全带后备保护绳系在安全牢固的构件上，不得失去后备保护。安全带应系在牢固的物体上，禁止系挂在移动或不牢固的物件上。不得系在棱角锋利处。安全带要高挂和平行拴挂。</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z w:val="28"/>
          <w:szCs w:val="28"/>
          <w:lang w:eastAsia="zh-CN"/>
        </w:rPr>
        <w:t>（二）现场救护注意事项和救护措施</w:t>
      </w:r>
      <w:r>
        <w:rPr>
          <w:rFonts w:hint="eastAsia" w:ascii="宋体" w:hAnsi="宋体" w:eastAsia="宋体" w:cs="宋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担架使用时，由3~4人合成一组，将病人移上担架，病人头部在后，脚在前，抬担架的人脚步、行动要一致，向低处抬时（下楼），前面的人要抬高，后面的人要放低，使病人保持在水平状态，上台阶时则相反，走在担架后面的人要注意观察病人情况。脊柱操作病人要用硬板担架，并将病人身体固定在担架上，搬运注意保持脊柱的稳定。</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（三）实施救援注意事项：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进入事故现场进行应急处置的救援人员均必须接受过专门的培训和训练。在进入现场之前，应针对现场的情况，采取有效的个人防护。穿戴用品前，应认真对防护用品进行安全性能检查，确认完好后，方能使用。应当详细记录进入、撤出现场的人员姓名和时间，紧急撤离时应进行点名。严禁单独行动。现场应准备急救医药用品，并有医护人员待命。选择上风、侧风方向作为救援路线，同时应从上风、侧风方向抢救或引导撤出窒息的人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（四）安全防护注意事项：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（1）现场人员佩戴防护器具；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（2）防护不到位，不能进入危险区域。</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（五）现场自救和互救注意事项：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（1）先人后物：先抢救人员，后抢救财物。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（2）先重后轻：先抢救重伤人员，后抢救轻伤人员。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（3）先他人后自己：积极组织抢救被困人员，不能只顾自己。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（4）抢救的基本顺序：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现场呼救：利用附近的电话向公安、交通、医疗救护部门呼救。也可拦截过往车辆求救。就近向周边企业、部队、机关等单位紧急求援。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现场抢救：遇伤员被挤压、夹嵌在事故现场的，不要生拉硬拖，而应用机械拉开或切开挤压物品，再救出伤员。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现场急救：伤员救出后，应对其进行必要的检查和急救，再转送医。</w:t>
      </w:r>
    </w:p>
    <w:p>
      <w:pPr>
        <w:pStyle w:val="2"/>
        <w:rPr>
          <w:rFonts w:hint="eastAsia" w:ascii="宋体" w:hAnsi="宋体" w:eastAsia="宋体" w:cs="宋体"/>
          <w:color w:val="auto"/>
          <w:sz w:val="28"/>
          <w:szCs w:val="28"/>
          <w:lang w:eastAsia="zh-CN"/>
        </w:rPr>
      </w:pPr>
    </w:p>
    <w:p>
      <w:pPr>
        <w:pStyle w:val="2"/>
        <w:rPr>
          <w:rFonts w:hint="eastAsia" w:ascii="宋体" w:hAnsi="宋体" w:eastAsia="宋体" w:cs="宋体"/>
          <w:color w:val="auto"/>
          <w:sz w:val="28"/>
          <w:szCs w:val="28"/>
          <w:lang w:eastAsia="zh-CN"/>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center"/>
        <w:outlineLvl w:val="1"/>
        <w:rPr>
          <w:rFonts w:hint="eastAsia" w:ascii="宋体" w:hAnsi="宋体" w:eastAsia="宋体" w:cs="宋体"/>
          <w:color w:val="auto"/>
          <w:sz w:val="32"/>
        </w:rPr>
      </w:pPr>
      <w:bookmarkStart w:id="582" w:name="_Toc17113"/>
      <w:bookmarkStart w:id="583" w:name="_Toc9438"/>
      <w:r>
        <w:rPr>
          <w:rFonts w:hint="eastAsia" w:ascii="宋体" w:hAnsi="宋体" w:eastAsia="宋体" w:cs="宋体"/>
          <w:color w:val="auto"/>
          <w:sz w:val="32"/>
          <w:lang w:eastAsia="zh-CN"/>
        </w:rPr>
        <w:t>十一</w:t>
      </w:r>
      <w:r>
        <w:rPr>
          <w:rFonts w:hint="eastAsia" w:ascii="宋体" w:hAnsi="宋体" w:eastAsia="宋体" w:cs="宋体"/>
          <w:color w:val="auto"/>
          <w:sz w:val="32"/>
        </w:rPr>
        <w:t>、</w:t>
      </w:r>
      <w:r>
        <w:rPr>
          <w:rFonts w:hint="eastAsia" w:ascii="宋体" w:hAnsi="宋体" w:eastAsia="宋体" w:cs="宋体"/>
          <w:color w:val="auto"/>
          <w:sz w:val="32"/>
          <w:lang w:eastAsia="zh-CN"/>
        </w:rPr>
        <w:t>淹溺</w:t>
      </w:r>
      <w:r>
        <w:rPr>
          <w:rFonts w:hint="eastAsia" w:ascii="宋体" w:hAnsi="宋体" w:eastAsia="宋体" w:cs="宋体"/>
          <w:color w:val="auto"/>
          <w:sz w:val="32"/>
        </w:rPr>
        <w:t>事故现场处置方案</w:t>
      </w:r>
      <w:bookmarkEnd w:id="582"/>
      <w:bookmarkEnd w:id="583"/>
    </w:p>
    <w:p>
      <w:pPr>
        <w:pStyle w:val="5"/>
        <w:spacing w:before="0" w:after="0" w:line="360" w:lineRule="auto"/>
        <w:jc w:val="both"/>
        <w:rPr>
          <w:rFonts w:hint="eastAsia" w:ascii="宋体" w:hAnsi="宋体" w:eastAsia="宋体" w:cs="宋体"/>
          <w:b/>
          <w:bCs/>
          <w:color w:val="auto"/>
          <w:sz w:val="28"/>
          <w:szCs w:val="28"/>
          <w:lang w:val="zh-CN"/>
        </w:rPr>
      </w:pPr>
      <w:bookmarkStart w:id="584" w:name="_Toc9927"/>
      <w:bookmarkStart w:id="585" w:name="_Toc1449"/>
      <w:bookmarkStart w:id="586" w:name="_Toc3159"/>
      <w:r>
        <w:rPr>
          <w:rFonts w:hint="eastAsia" w:ascii="宋体" w:hAnsi="宋体" w:eastAsia="宋体" w:cs="宋体"/>
          <w:b/>
          <w:bCs/>
          <w:color w:val="auto"/>
          <w:sz w:val="28"/>
          <w:szCs w:val="28"/>
          <w:lang w:val="zh-CN"/>
        </w:rPr>
        <w:t>1、事故风险描述</w:t>
      </w:r>
      <w:bookmarkEnd w:id="584"/>
      <w:bookmarkEnd w:id="585"/>
      <w:bookmarkEnd w:id="58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1.1 危险性分析</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厂区设消防水池、污水处理池等，如果防护措施不完善，可能导致作业人员跌落池中，造成淹溺事故。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1.2 事故发生的区域、地点或装置</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zh-CN" w:eastAsia="zh-CN" w:bidi="ar-SA"/>
        </w:rPr>
        <w:t>事故发生的区域、地点或装置：消防水池、污水处理池</w:t>
      </w:r>
      <w:r>
        <w:rPr>
          <w:rFonts w:hint="eastAsia" w:ascii="宋体" w:hAnsi="宋体" w:eastAsia="宋体" w:cs="宋体"/>
          <w:color w:val="auto"/>
          <w:kern w:val="0"/>
          <w:sz w:val="28"/>
          <w:szCs w:val="20"/>
          <w:u w:val="none" w:color="000000"/>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1.</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val="zh-CN" w:eastAsia="zh-CN"/>
        </w:rPr>
        <w:t xml:space="preserve"> 事故前可能出现的预兆</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1</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在进入有限空间作业前</w:t>
      </w:r>
      <w:r>
        <w:rPr>
          <w:rFonts w:hint="eastAsia" w:ascii="宋体" w:hAnsi="宋体" w:eastAsia="宋体" w:cs="宋体"/>
          <w:color w:val="auto"/>
          <w:kern w:val="0"/>
          <w:sz w:val="28"/>
          <w:szCs w:val="20"/>
          <w:u w:val="none" w:color="000000"/>
          <w:lang w:val="zh-CN" w:eastAsia="zh-CN" w:bidi="ar-SA"/>
        </w:rPr>
        <w:t>未</w:t>
      </w:r>
      <w:r>
        <w:rPr>
          <w:rFonts w:hint="default" w:ascii="宋体" w:hAnsi="宋体" w:eastAsia="宋体" w:cs="宋体"/>
          <w:color w:val="auto"/>
          <w:kern w:val="0"/>
          <w:sz w:val="28"/>
          <w:szCs w:val="20"/>
          <w:u w:val="none" w:color="000000"/>
          <w:lang w:val="zh-CN" w:eastAsia="zh-CN" w:bidi="ar-SA"/>
        </w:rPr>
        <w:t>对空间进行通风换气处理</w:t>
      </w:r>
      <w:r>
        <w:rPr>
          <w:rFonts w:hint="eastAsia" w:ascii="宋体" w:hAnsi="宋体" w:eastAsia="宋体" w:cs="宋体"/>
          <w:color w:val="auto"/>
          <w:kern w:val="0"/>
          <w:sz w:val="28"/>
          <w:szCs w:val="20"/>
          <w:u w:val="none" w:color="000000"/>
          <w:lang w:val="zh-CN" w:eastAsia="zh-CN" w:bidi="ar-SA"/>
        </w:rPr>
        <w:t>，未</w:t>
      </w:r>
      <w:r>
        <w:rPr>
          <w:rFonts w:hint="default" w:ascii="宋体" w:hAnsi="宋体" w:eastAsia="宋体" w:cs="宋体"/>
          <w:color w:val="auto"/>
          <w:kern w:val="0"/>
          <w:sz w:val="28"/>
          <w:szCs w:val="20"/>
          <w:u w:val="none" w:color="000000"/>
          <w:lang w:val="zh-CN" w:eastAsia="zh-CN" w:bidi="ar-SA"/>
        </w:rPr>
        <w:t>检测空间内含氧量和有害物质含量。</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2</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工作人员在进入有限空间作业时</w:t>
      </w:r>
      <w:r>
        <w:rPr>
          <w:rFonts w:hint="eastAsia" w:ascii="宋体" w:hAnsi="宋体" w:eastAsia="宋体" w:cs="宋体"/>
          <w:color w:val="auto"/>
          <w:kern w:val="0"/>
          <w:sz w:val="28"/>
          <w:szCs w:val="20"/>
          <w:u w:val="none" w:color="000000"/>
          <w:lang w:val="zh-CN" w:eastAsia="zh-CN" w:bidi="ar-SA"/>
        </w:rPr>
        <w:t>未</w:t>
      </w:r>
      <w:r>
        <w:rPr>
          <w:rFonts w:hint="default" w:ascii="宋体" w:hAnsi="宋体" w:eastAsia="宋体" w:cs="宋体"/>
          <w:color w:val="auto"/>
          <w:kern w:val="0"/>
          <w:sz w:val="28"/>
          <w:szCs w:val="20"/>
          <w:u w:val="none" w:color="000000"/>
          <w:lang w:val="zh-CN" w:eastAsia="zh-CN" w:bidi="ar-SA"/>
        </w:rPr>
        <w:t>佩戴防护用品。</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3</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进行作业时在外部</w:t>
      </w:r>
      <w:r>
        <w:rPr>
          <w:rFonts w:hint="eastAsia" w:ascii="宋体" w:hAnsi="宋体" w:eastAsia="宋体" w:cs="宋体"/>
          <w:color w:val="auto"/>
          <w:kern w:val="0"/>
          <w:sz w:val="28"/>
          <w:szCs w:val="20"/>
          <w:u w:val="none" w:color="000000"/>
          <w:lang w:val="zh-CN" w:eastAsia="zh-CN" w:bidi="ar-SA"/>
        </w:rPr>
        <w:t>未</w:t>
      </w:r>
      <w:r>
        <w:rPr>
          <w:rFonts w:hint="default" w:ascii="宋体" w:hAnsi="宋体" w:eastAsia="宋体" w:cs="宋体"/>
          <w:color w:val="auto"/>
          <w:kern w:val="0"/>
          <w:sz w:val="28"/>
          <w:szCs w:val="20"/>
          <w:u w:val="none" w:color="000000"/>
          <w:lang w:val="zh-CN" w:eastAsia="zh-CN" w:bidi="ar-SA"/>
        </w:rPr>
        <w:t>配备监护人员。</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4</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有限空间内工作人员发生事故</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外部人员</w:t>
      </w:r>
      <w:r>
        <w:rPr>
          <w:rFonts w:hint="eastAsia" w:ascii="宋体" w:hAnsi="宋体" w:eastAsia="宋体" w:cs="宋体"/>
          <w:color w:val="auto"/>
          <w:kern w:val="0"/>
          <w:sz w:val="28"/>
          <w:szCs w:val="20"/>
          <w:u w:val="none" w:color="000000"/>
          <w:lang w:val="zh-CN" w:eastAsia="zh-CN" w:bidi="ar-SA"/>
        </w:rPr>
        <w:t>慌张，</w:t>
      </w:r>
      <w:r>
        <w:rPr>
          <w:rFonts w:hint="default" w:ascii="宋体" w:hAnsi="宋体" w:eastAsia="宋体" w:cs="宋体"/>
          <w:color w:val="auto"/>
          <w:kern w:val="0"/>
          <w:sz w:val="28"/>
          <w:szCs w:val="20"/>
          <w:u w:val="none" w:color="000000"/>
          <w:lang w:val="zh-CN" w:eastAsia="zh-CN" w:bidi="ar-SA"/>
        </w:rPr>
        <w:t>盲目抢救。</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color w:val="auto"/>
          <w:lang w:eastAsia="zh-CN"/>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5</w:t>
      </w:r>
      <w:r>
        <w:rPr>
          <w:rFonts w:hint="eastAsia" w:ascii="宋体" w:hAnsi="宋体" w:eastAsia="宋体" w:cs="宋体"/>
          <w:color w:val="auto"/>
          <w:kern w:val="0"/>
          <w:sz w:val="28"/>
          <w:szCs w:val="20"/>
          <w:u w:val="none" w:color="000000"/>
          <w:lang w:val="zh-CN" w:eastAsia="zh-CN" w:bidi="ar-SA"/>
        </w:rPr>
        <w:t>）未执行有限空间</w:t>
      </w:r>
      <w:r>
        <w:rPr>
          <w:rFonts w:hint="default" w:ascii="宋体" w:hAnsi="宋体" w:eastAsia="宋体" w:cs="宋体"/>
          <w:color w:val="auto"/>
          <w:kern w:val="0"/>
          <w:sz w:val="28"/>
          <w:szCs w:val="20"/>
          <w:u w:val="none" w:color="000000"/>
          <w:lang w:val="zh-CN" w:eastAsia="zh-CN" w:bidi="ar-SA"/>
        </w:rPr>
        <w:t>作业审批制度。</w:t>
      </w:r>
    </w:p>
    <w:p>
      <w:pPr>
        <w:pStyle w:val="5"/>
        <w:spacing w:before="0" w:after="0" w:line="360" w:lineRule="auto"/>
        <w:jc w:val="both"/>
        <w:rPr>
          <w:rFonts w:hint="eastAsia" w:ascii="宋体" w:hAnsi="宋体" w:eastAsia="宋体" w:cs="宋体"/>
          <w:b/>
          <w:bCs/>
          <w:color w:val="auto"/>
          <w:sz w:val="28"/>
          <w:szCs w:val="28"/>
          <w:lang w:val="zh-CN"/>
        </w:rPr>
      </w:pPr>
      <w:bookmarkStart w:id="587" w:name="_Toc7951"/>
      <w:bookmarkStart w:id="588" w:name="_Toc17669"/>
      <w:bookmarkStart w:id="589" w:name="_Toc17341"/>
      <w:r>
        <w:rPr>
          <w:rFonts w:hint="eastAsia" w:ascii="宋体" w:hAnsi="宋体" w:eastAsia="宋体" w:cs="宋体"/>
          <w:b/>
          <w:bCs/>
          <w:color w:val="auto"/>
          <w:sz w:val="28"/>
          <w:szCs w:val="28"/>
          <w:lang w:val="zh-CN"/>
        </w:rPr>
        <w:t>2、应急工作职责</w:t>
      </w:r>
      <w:bookmarkEnd w:id="587"/>
      <w:bookmarkEnd w:id="588"/>
      <w:bookmarkEnd w:id="58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现场处置方案的应急自救组织机构设置如下：</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sectPr>
          <w:pgSz w:w="11906" w:h="16838"/>
          <w:pgMar w:top="1417" w:right="1417" w:bottom="1417" w:left="1417" w:header="1134" w:footer="1134" w:gutter="0"/>
          <w:pgNumType w:fmt="decimal"/>
          <w:cols w:space="720" w:num="1"/>
          <w:rtlGutter w:val="0"/>
          <w:docGrid w:linePitch="312" w:charSpace="0"/>
        </w:sectPr>
      </w:pP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en-US" w:eastAsia="zh-CN" w:bidi="ar-SA"/>
        </w:rPr>
      </w:pPr>
      <w:r>
        <w:rPr>
          <w:rFonts w:hint="eastAsia" w:ascii="宋体" w:hAnsi="宋体" w:eastAsia="宋体" w:cs="宋体"/>
          <w:color w:val="auto"/>
          <w:kern w:val="0"/>
          <w:sz w:val="28"/>
          <w:szCs w:val="20"/>
          <w:u w:val="none" w:color="000000"/>
          <w:lang w:val="en-US" w:eastAsia="zh-CN" w:bidi="ar-SA"/>
        </w:rPr>
        <w:t>事发地成立现场应急小组，由事故区域现场负责人、班组长及在岗班组成员组成，现场负责人担任应急小组组长。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 工作职责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2.2.1岗位员工职责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发现</w:t>
      </w:r>
      <w:r>
        <w:rPr>
          <w:rFonts w:hint="eastAsia" w:ascii="宋体" w:hAnsi="宋体" w:eastAsia="宋体" w:cs="宋体"/>
          <w:color w:val="auto"/>
          <w:sz w:val="28"/>
          <w:szCs w:val="28"/>
          <w:lang w:eastAsia="zh-CN"/>
        </w:rPr>
        <w:t>中毒、窒息事故</w:t>
      </w:r>
      <w:r>
        <w:rPr>
          <w:rFonts w:hint="eastAsia" w:ascii="宋体" w:hAnsi="宋体" w:eastAsia="宋体" w:cs="宋体"/>
          <w:color w:val="auto"/>
          <w:sz w:val="28"/>
          <w:szCs w:val="28"/>
        </w:rPr>
        <w:t>，应立即高声呼叫求救。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在确保自身安全的情况下，应立即执行现场应急处置措施。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报告班组长或应急小组组长。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2.2.2班组长职责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接到员工报告后，应立即到现场进行确认。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组织本班组员工，按现场应急处置措施执行。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若事故后果超出本班组控制能力，立即上报部门应急小组组长。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接受并执行本应急小组组长的指令。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2.2.3应急小组组长职责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接到报告后，立即组织本应急小组成员。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组织本应急小组成员，按现场应急处置措施执行。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及时将情况上报应急指挥部，接受并执行应急指挥部的指令。</w:t>
      </w:r>
    </w:p>
    <w:p>
      <w:pPr>
        <w:pStyle w:val="5"/>
        <w:spacing w:before="0" w:after="0" w:line="360" w:lineRule="auto"/>
        <w:jc w:val="both"/>
        <w:rPr>
          <w:rFonts w:hint="eastAsia" w:ascii="宋体" w:hAnsi="宋体" w:eastAsia="宋体" w:cs="宋体"/>
          <w:b/>
          <w:bCs/>
          <w:color w:val="auto"/>
          <w:sz w:val="28"/>
          <w:szCs w:val="28"/>
          <w:lang w:val="zh-CN"/>
        </w:rPr>
      </w:pPr>
      <w:bookmarkStart w:id="590" w:name="_Toc13847"/>
      <w:bookmarkStart w:id="591" w:name="_Toc27373"/>
      <w:bookmarkStart w:id="592" w:name="_Toc5133"/>
      <w:r>
        <w:rPr>
          <w:rFonts w:hint="eastAsia" w:ascii="宋体" w:hAnsi="宋体" w:eastAsia="宋体" w:cs="宋体"/>
          <w:b/>
          <w:bCs/>
          <w:color w:val="auto"/>
          <w:sz w:val="28"/>
          <w:szCs w:val="28"/>
          <w:lang w:val="zh-CN"/>
        </w:rPr>
        <w:t>3、应急处置</w:t>
      </w:r>
      <w:bookmarkEnd w:id="590"/>
      <w:bookmarkEnd w:id="591"/>
      <w:bookmarkEnd w:id="59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3.1 事故应急处置程序</w:t>
      </w:r>
    </w:p>
    <w:p>
      <w:pPr>
        <w:pStyle w:val="43"/>
        <w:pageBreakBefore w:val="0"/>
        <w:kinsoku/>
        <w:wordWrap/>
        <w:overflowPunct/>
        <w:topLinePunct w:val="0"/>
        <w:autoSpaceDE/>
        <w:autoSpaceDN/>
        <w:bidi w:val="0"/>
        <w:adjustRightInd/>
        <w:snapToGrid w:val="0"/>
        <w:spacing w:before="0" w:after="0" w:line="360" w:lineRule="auto"/>
        <w:ind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事故发生</w:t>
      </w:r>
      <w:r>
        <w:rPr>
          <w:rFonts w:hint="eastAsia" w:ascii="宋体" w:hAnsi="宋体" w:eastAsia="宋体" w:cs="宋体"/>
          <w:color w:val="auto"/>
          <w:sz w:val="28"/>
          <w:szCs w:val="28"/>
        </w:rPr>
        <w:t>后，</w:t>
      </w:r>
      <w:r>
        <w:rPr>
          <w:rFonts w:hint="eastAsia" w:ascii="宋体" w:hAnsi="宋体" w:eastAsia="宋体" w:cs="宋体"/>
          <w:color w:val="auto"/>
          <w:sz w:val="28"/>
          <w:szCs w:val="28"/>
          <w:lang w:eastAsia="zh-CN"/>
        </w:rPr>
        <w:t>现场人员应急处置程序如下：</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560"/>
        <w:gridCol w:w="1483"/>
        <w:gridCol w:w="4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序号</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步骤</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执行人</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发出火灾预警或事故警报</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发现者</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①报告周边人员及现场负责人</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如：大声呼救“有人</w:t>
            </w:r>
            <w:r>
              <w:rPr>
                <w:rFonts w:hint="eastAsia" w:eastAsia="宋体" w:cs="宋体"/>
                <w:color w:val="auto"/>
                <w:sz w:val="24"/>
                <w:szCs w:val="24"/>
                <w:vertAlign w:val="baseline"/>
                <w:lang w:val="en-US" w:eastAsia="zh-CN"/>
              </w:rPr>
              <w:t>掉下水</w:t>
            </w:r>
            <w:r>
              <w:rPr>
                <w:rFonts w:hint="eastAsia" w:ascii="宋体" w:hAnsi="宋体" w:eastAsia="宋体" w:cs="宋体"/>
                <w:color w:val="auto"/>
                <w:sz w:val="24"/>
                <w:szCs w:val="24"/>
                <w:vertAlign w:val="baseline"/>
                <w:lang w:val="en-US" w:eastAsia="zh-CN"/>
              </w:rPr>
              <w:t>了，快来帮忙”获取周围人员支援。</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②通知受威胁人群撤离。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赶赴现场</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现场负责人</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①指挥救援行动</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接到报警后立即赶赴事发现场，根据现场情况调配人员处置。</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②报告</w:t>
            </w:r>
            <w:r>
              <w:rPr>
                <w:rFonts w:hint="eastAsia" w:eastAsia="宋体" w:cs="宋体"/>
                <w:color w:val="auto"/>
                <w:sz w:val="24"/>
                <w:szCs w:val="24"/>
                <w:vertAlign w:val="baseline"/>
                <w:lang w:val="en-US" w:eastAsia="zh-CN"/>
              </w:rPr>
              <w:t>现场负责人</w:t>
            </w:r>
            <w:r>
              <w:rPr>
                <w:rFonts w:hint="eastAsia" w:ascii="宋体" w:hAnsi="宋体" w:eastAsia="宋体" w:cs="宋体"/>
                <w:color w:val="auto"/>
                <w:sz w:val="24"/>
                <w:szCs w:val="24"/>
                <w:vertAlign w:val="baseline"/>
                <w:lang w:val="en-US" w:eastAsia="zh-CN"/>
              </w:rPr>
              <w:t>或</w:t>
            </w:r>
            <w:r>
              <w:rPr>
                <w:rFonts w:hint="eastAsia" w:eastAsia="宋体" w:cs="宋体"/>
                <w:color w:val="auto"/>
                <w:sz w:val="24"/>
                <w:szCs w:val="24"/>
                <w:vertAlign w:val="baseline"/>
                <w:lang w:val="en-US" w:eastAsia="zh-CN"/>
              </w:rPr>
              <w:t>总经理</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可通过电话方式联系，简述事发点、事故状态、人员伤亡等情况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第一时间处理</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现场作业人员</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w:t>
            </w:r>
            <w:r>
              <w:rPr>
                <w:rFonts w:hint="eastAsia" w:eastAsia="宋体" w:cs="宋体"/>
                <w:color w:val="auto"/>
                <w:sz w:val="24"/>
                <w:szCs w:val="24"/>
                <w:vertAlign w:val="baseline"/>
                <w:lang w:val="en-US" w:eastAsia="zh-CN"/>
              </w:rPr>
              <w:t>利用救生圈、绳子将溺水人员救起，采取急救</w:t>
            </w:r>
            <w:r>
              <w:rPr>
                <w:rFonts w:hint="eastAsia" w:ascii="宋体" w:hAnsi="宋体" w:eastAsia="宋体" w:cs="宋体"/>
                <w:color w:val="auto"/>
                <w:sz w:val="24"/>
                <w:szCs w:val="24"/>
                <w:vertAlign w:val="baseline"/>
                <w:lang w:val="en-US" w:eastAsia="zh-CN"/>
              </w:rPr>
              <w:t>。</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②将事故区域建立警戒范围，防止人员误入。</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③切断设备开关、电源开关、阀门开关等。</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④立即将中毒窒息人员抬到空气新鲜处施救。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1560"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响应升级</w:t>
            </w:r>
          </w:p>
        </w:tc>
        <w:tc>
          <w:tcPr>
            <w:tcW w:w="148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eastAsia="宋体" w:cs="宋体"/>
                <w:color w:val="auto"/>
                <w:sz w:val="24"/>
                <w:szCs w:val="24"/>
                <w:vertAlign w:val="baseline"/>
                <w:lang w:val="en-US" w:eastAsia="zh-CN"/>
              </w:rPr>
              <w:t>现场负责人</w:t>
            </w:r>
          </w:p>
        </w:tc>
        <w:tc>
          <w:tcPr>
            <w:tcW w:w="4953" w:type="dxa"/>
            <w:vAlign w:val="center"/>
          </w:tcPr>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①响应升级条件（满足下列之一）</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受威胁区域出现其他衍生事故；</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受威胁区域人员未能及时疏散。</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现场人员未佩戴防毒面具进入施救。</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②响应升级措施：</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立即向应急值班室或总经理报告，请求相应升级，说明事故位置、伤亡情况、发展事态。</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组织现场人员撤离，确认现场隐蔽、独立场所人员已经疏散，所有人到紧急集合点集合。</w:t>
            </w:r>
          </w:p>
          <w:p>
            <w:pPr>
              <w:pStyle w:val="43"/>
              <w:pageBreakBefore w:val="0"/>
              <w:kinsoku/>
              <w:wordWrap/>
              <w:overflowPunct/>
              <w:topLinePunct w:val="0"/>
              <w:autoSpaceDE/>
              <w:autoSpaceDN/>
              <w:bidi w:val="0"/>
              <w:adjustRightInd/>
              <w:snapToGrid w:val="0"/>
              <w:spacing w:before="0" w:after="0"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建立警戒范围，无关人员禁止入内。</w:t>
            </w:r>
          </w:p>
        </w:tc>
      </w:tr>
    </w:tbl>
    <w:p>
      <w:pPr>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lang w:val="zh-CN" w:eastAsia="zh-CN"/>
        </w:rPr>
      </w:pPr>
      <w:r>
        <w:rPr>
          <w:rFonts w:hint="eastAsia" w:ascii="宋体" w:hAnsi="宋体" w:eastAsia="宋体" w:cs="宋体"/>
          <w:b/>
          <w:bCs/>
          <w:color w:val="auto"/>
          <w:sz w:val="28"/>
          <w:szCs w:val="28"/>
          <w:lang w:val="zh-CN" w:eastAsia="zh-CN"/>
        </w:rPr>
        <w:t>3.2 现场应急处置措施</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sectPr>
          <w:type w:val="continuous"/>
          <w:pgSz w:w="11906" w:h="16838"/>
          <w:pgMar w:top="1417" w:right="1417" w:bottom="1417" w:left="1587" w:header="1134" w:footer="1134" w:gutter="0"/>
          <w:pgNumType w:fmt="decimal"/>
          <w:cols w:space="720" w:num="1"/>
          <w:rtlGutter w:val="0"/>
          <w:docGrid w:linePitch="312" w:charSpace="0"/>
        </w:sectPr>
      </w:pP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default" w:ascii="宋体" w:hAnsi="宋体" w:eastAsia="宋体" w:cs="宋体"/>
          <w:color w:val="auto"/>
          <w:kern w:val="0"/>
          <w:sz w:val="28"/>
          <w:szCs w:val="20"/>
          <w:u w:val="none" w:color="000000"/>
          <w:lang w:val="zh-CN" w:eastAsia="zh-CN" w:bidi="ar-SA"/>
        </w:rPr>
        <w:t>淹溺人员被抢救出水后，要立即进行如下抢救： </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1</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立即清除溺水者口鼻内的污物，检查溺水者口中是否有假牙。如有，则应取出，以免假牙堵塞呼吸道。 垫高溺水者腹部，使其头朝下，并压拍其背部，使吸入的水从口、鼻流出。这个过程要尽快，不可占过多时间，以便进行下一步抢救。 </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2</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检查溺水者是否有自主呼吸，如没有，应马上进行人工呼吸，方法是：使溺水者仰卧于硬板上或地面上，一只手托起其下颏，打开气道，另一只手捏住其鼻孔，口对口吹气，约每分钟16次～18次。 </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3</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在做人工呼吸的同时，检查溺水者的颈动脉，以判断心跳是否停止。如心跳停止，则应进行人工呼吸的同时进行体外心脏挤压，方法是：双手叠加对溺者心脏部位进行每分钟60次～80次的挤压。 </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default"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4</w:t>
      </w:r>
      <w:r>
        <w:rPr>
          <w:rFonts w:hint="eastAsia" w:ascii="宋体" w:hAnsi="宋体" w:eastAsia="宋体" w:cs="宋体"/>
          <w:color w:val="auto"/>
          <w:kern w:val="0"/>
          <w:sz w:val="28"/>
          <w:szCs w:val="20"/>
          <w:u w:val="none" w:color="000000"/>
          <w:lang w:val="zh-CN" w:eastAsia="zh-CN" w:bidi="ar-SA"/>
        </w:rPr>
        <w:t>）</w:t>
      </w:r>
      <w:r>
        <w:rPr>
          <w:rFonts w:hint="default" w:ascii="宋体" w:hAnsi="宋体" w:eastAsia="宋体" w:cs="宋体"/>
          <w:color w:val="auto"/>
          <w:kern w:val="0"/>
          <w:sz w:val="28"/>
          <w:szCs w:val="20"/>
          <w:u w:val="none" w:color="000000"/>
          <w:lang w:val="zh-CN" w:eastAsia="zh-CN" w:bidi="ar-SA"/>
        </w:rPr>
        <w:t>迅速将溺水者送医院急救，在送医院途中不要中断抢救。 遇险人员要积极自救，同时要想方设法通知救援人员自己所处的准确位置，以便得到及时救援； 救援人员按规定穿戴好防护用品，在保证自身安全的前提下，携带相关救援机具、物资（根据储备物资装备确定），对遇险人员进行抢救、搜救。</w:t>
      </w:r>
    </w:p>
    <w:p>
      <w:pPr>
        <w:pStyle w:val="5"/>
        <w:spacing w:before="0" w:after="0" w:line="360" w:lineRule="auto"/>
        <w:jc w:val="both"/>
        <w:rPr>
          <w:rFonts w:hint="eastAsia" w:ascii="宋体" w:hAnsi="宋体" w:eastAsia="宋体" w:cs="宋体"/>
          <w:b/>
          <w:bCs/>
          <w:color w:val="auto"/>
          <w:sz w:val="28"/>
          <w:szCs w:val="28"/>
          <w:lang w:val="zh-CN"/>
        </w:rPr>
      </w:pPr>
      <w:bookmarkStart w:id="593" w:name="_Toc18017"/>
      <w:bookmarkStart w:id="594" w:name="_Toc7966"/>
      <w:bookmarkStart w:id="595" w:name="_Toc16327"/>
      <w:r>
        <w:rPr>
          <w:rFonts w:hint="eastAsia" w:ascii="宋体" w:hAnsi="宋体" w:eastAsia="宋体" w:cs="宋体"/>
          <w:b/>
          <w:bCs/>
          <w:color w:val="auto"/>
          <w:sz w:val="28"/>
          <w:szCs w:val="28"/>
          <w:lang w:val="zh-CN"/>
        </w:rPr>
        <w:t>4、注意事项</w:t>
      </w:r>
      <w:bookmarkEnd w:id="593"/>
      <w:bookmarkEnd w:id="594"/>
      <w:bookmarkEnd w:id="595"/>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1</w:t>
      </w:r>
      <w:r>
        <w:rPr>
          <w:rFonts w:hint="eastAsia" w:ascii="宋体" w:hAnsi="宋体" w:eastAsia="宋体" w:cs="宋体"/>
          <w:color w:val="auto"/>
          <w:kern w:val="0"/>
          <w:sz w:val="28"/>
          <w:szCs w:val="20"/>
          <w:u w:val="none" w:color="000000"/>
          <w:lang w:val="zh-CN" w:eastAsia="zh-CN" w:bidi="ar-SA"/>
        </w:rPr>
        <w:t>）在救援过程中，应本着”以人为本”、“救人优先”、“防止事态扩大”的原则进行，应尽可能在第一时间内达到现场、抢救伤亡人员。</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2</w:t>
      </w:r>
      <w:r>
        <w:rPr>
          <w:rFonts w:hint="eastAsia" w:ascii="宋体" w:hAnsi="宋体" w:eastAsia="宋体" w:cs="宋体"/>
          <w:color w:val="auto"/>
          <w:kern w:val="0"/>
          <w:sz w:val="28"/>
          <w:szCs w:val="20"/>
          <w:u w:val="none" w:color="000000"/>
          <w:lang w:val="zh-CN" w:eastAsia="zh-CN" w:bidi="ar-SA"/>
        </w:rPr>
        <w:t>）在抢救伤亡人员过程中，要考虑事故现场有无对影响自身安全的危险因素存在，必要时要正确佩戴防护用品。</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3</w:t>
      </w:r>
      <w:r>
        <w:rPr>
          <w:rFonts w:hint="eastAsia" w:ascii="宋体" w:hAnsi="宋体" w:eastAsia="宋体" w:cs="宋体"/>
          <w:color w:val="auto"/>
          <w:kern w:val="0"/>
          <w:sz w:val="28"/>
          <w:szCs w:val="20"/>
          <w:u w:val="none" w:color="000000"/>
          <w:lang w:val="zh-CN" w:eastAsia="zh-CN" w:bidi="ar-SA"/>
        </w:rPr>
        <w:t>）对伤亡人员进行心肺复苏时，要领要正确，要一直坚持到医务人员到来为止，不得中途放弃。</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4</w:t>
      </w:r>
      <w:r>
        <w:rPr>
          <w:rFonts w:hint="eastAsia" w:ascii="宋体" w:hAnsi="宋体" w:eastAsia="宋体" w:cs="宋体"/>
          <w:color w:val="auto"/>
          <w:kern w:val="0"/>
          <w:sz w:val="28"/>
          <w:szCs w:val="20"/>
          <w:u w:val="none" w:color="000000"/>
          <w:lang w:val="zh-CN" w:eastAsia="zh-CN" w:bidi="ar-SA"/>
        </w:rPr>
        <w:t>）在向公司应急领导小组和社会应急救援力量报告时，应详细将事故发生的地点、人员伤亡情况、事故大致损失、现场处置和救援等情况进行报告，同时要做好急救车辆的引导。</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eastAsia="宋体" w:cs="宋体"/>
          <w:color w:val="auto"/>
          <w:kern w:val="0"/>
          <w:sz w:val="28"/>
          <w:szCs w:val="20"/>
          <w:u w:val="none" w:color="000000"/>
          <w:lang w:val="zh-CN" w:eastAsia="zh-CN" w:bidi="ar-SA"/>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5</w:t>
      </w:r>
      <w:r>
        <w:rPr>
          <w:rFonts w:hint="eastAsia" w:ascii="宋体" w:hAnsi="宋体" w:eastAsia="宋体" w:cs="宋体"/>
          <w:color w:val="auto"/>
          <w:kern w:val="0"/>
          <w:sz w:val="28"/>
          <w:szCs w:val="20"/>
          <w:u w:val="none" w:color="000000"/>
          <w:lang w:val="zh-CN" w:eastAsia="zh-CN" w:bidi="ar-SA"/>
        </w:rPr>
        <w:t>）各类应急器材和救援设施应配备齐全，并处于常备状态。</w:t>
      </w:r>
    </w:p>
    <w:p>
      <w:pPr>
        <w:keepNext/>
        <w:keepLines/>
        <w:pageBreakBefore w:val="0"/>
        <w:widowControl w:val="0"/>
        <w:kinsoku/>
        <w:wordWrap/>
        <w:overflowPunct/>
        <w:topLinePunct w:val="0"/>
        <w:autoSpaceDE/>
        <w:autoSpaceDN/>
        <w:bidi w:val="0"/>
        <w:adjustRightInd w:val="0"/>
        <w:snapToGrid w:val="0"/>
        <w:spacing w:before="0" w:beforeLines="0" w:line="360" w:lineRule="auto"/>
        <w:ind w:firstLine="560" w:firstLineChars="200"/>
        <w:jc w:val="left"/>
        <w:textAlignment w:val="auto"/>
        <w:outlineLvl w:val="9"/>
        <w:rPr>
          <w:rFonts w:hint="eastAsia" w:ascii="宋体" w:hAnsi="宋体"/>
          <w:color w:val="auto"/>
          <w:sz w:val="28"/>
          <w:szCs w:val="28"/>
        </w:rPr>
      </w:pPr>
      <w:r>
        <w:rPr>
          <w:rFonts w:hint="eastAsia" w:ascii="宋体" w:hAnsi="宋体" w:eastAsia="宋体" w:cs="宋体"/>
          <w:color w:val="auto"/>
          <w:kern w:val="0"/>
          <w:sz w:val="28"/>
          <w:szCs w:val="20"/>
          <w:u w:val="none" w:color="000000"/>
          <w:lang w:val="zh-CN" w:eastAsia="zh-CN" w:bidi="ar-SA"/>
        </w:rPr>
        <w:t>（</w:t>
      </w:r>
      <w:r>
        <w:rPr>
          <w:rFonts w:hint="eastAsia" w:ascii="宋体" w:hAnsi="宋体" w:eastAsia="宋体" w:cs="宋体"/>
          <w:color w:val="auto"/>
          <w:kern w:val="0"/>
          <w:sz w:val="28"/>
          <w:szCs w:val="20"/>
          <w:u w:val="none" w:color="000000"/>
          <w:lang w:val="en-US" w:eastAsia="zh-CN" w:bidi="ar-SA"/>
        </w:rPr>
        <w:t>6</w:t>
      </w:r>
      <w:r>
        <w:rPr>
          <w:rFonts w:hint="eastAsia" w:ascii="宋体" w:hAnsi="宋体" w:eastAsia="宋体" w:cs="宋体"/>
          <w:color w:val="auto"/>
          <w:kern w:val="0"/>
          <w:sz w:val="28"/>
          <w:szCs w:val="20"/>
          <w:u w:val="none" w:color="000000"/>
          <w:lang w:val="zh-CN" w:eastAsia="zh-CN" w:bidi="ar-SA"/>
        </w:rPr>
        <w:t>）应急救援结束后，要防止淹溺，造成二次事故。</w:t>
      </w:r>
    </w:p>
    <w:p>
      <w:pPr>
        <w:pStyle w:val="2"/>
        <w:rPr>
          <w:rFonts w:hint="eastAsia"/>
          <w:color w:val="auto"/>
          <w:lang w:eastAsia="zh-CN"/>
        </w:rPr>
      </w:pPr>
    </w:p>
    <w:p>
      <w:pPr>
        <w:rPr>
          <w:rFonts w:hint="eastAsia"/>
          <w:color w:val="auto"/>
          <w:lang w:eastAsia="zh-CN"/>
        </w:rPr>
        <w:sectPr>
          <w:type w:val="continuous"/>
          <w:pgSz w:w="11906" w:h="16838"/>
          <w:pgMar w:top="1417" w:right="1417" w:bottom="1417" w:left="1417" w:header="1134" w:footer="1134" w:gutter="0"/>
          <w:pgNumType w:fmt="decimal"/>
          <w:cols w:space="720" w:num="1"/>
          <w:rtlGutter w:val="0"/>
          <w:docGrid w:linePitch="312" w:charSpace="0"/>
        </w:sectPr>
      </w:pPr>
    </w:p>
    <w:bookmarkEnd w:id="243"/>
    <w:bookmarkEnd w:id="398"/>
    <w:p>
      <w:pPr>
        <w:pStyle w:val="4"/>
        <w:pageBreakBefore w:val="0"/>
        <w:kinsoku/>
        <w:wordWrap/>
        <w:overflowPunct/>
        <w:topLinePunct w:val="0"/>
        <w:bidi w:val="0"/>
        <w:spacing w:before="0" w:beforeLines="0" w:after="0" w:afterLines="0" w:line="360" w:lineRule="auto"/>
        <w:rPr>
          <w:rFonts w:hint="eastAsia" w:ascii="宋体" w:hAnsi="宋体" w:eastAsia="宋体" w:cs="宋体"/>
          <w:color w:val="auto"/>
          <w:lang w:eastAsia="zh-CN"/>
        </w:rPr>
      </w:pPr>
      <w:bookmarkStart w:id="596" w:name="_Toc8007"/>
      <w:bookmarkStart w:id="597" w:name="_Toc9740"/>
      <w:r>
        <w:rPr>
          <w:rFonts w:hint="eastAsia" w:ascii="宋体" w:hAnsi="宋体" w:eastAsia="宋体" w:cs="宋体"/>
          <w:color w:val="auto"/>
          <w:lang w:eastAsia="zh-CN"/>
        </w:rPr>
        <w:t>第五</w:t>
      </w:r>
      <w:r>
        <w:rPr>
          <w:rFonts w:hint="eastAsia" w:ascii="宋体" w:hAnsi="宋体" w:eastAsia="宋体" w:cs="宋体"/>
          <w:color w:val="auto"/>
        </w:rPr>
        <w:t xml:space="preserve">部分 </w:t>
      </w:r>
      <w:r>
        <w:rPr>
          <w:rFonts w:hint="eastAsia" w:ascii="宋体" w:hAnsi="宋体" w:eastAsia="宋体" w:cs="宋体"/>
          <w:color w:val="auto"/>
          <w:lang w:eastAsia="zh-CN"/>
        </w:rPr>
        <w:t>附件</w:t>
      </w:r>
      <w:bookmarkEnd w:id="596"/>
      <w:bookmarkEnd w:id="597"/>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598" w:name="_Toc11008"/>
      <w:bookmarkStart w:id="599" w:name="_Toc9832"/>
      <w:bookmarkStart w:id="600" w:name="_Toc6529"/>
      <w:bookmarkStart w:id="601" w:name="_Toc29881"/>
      <w:bookmarkStart w:id="602" w:name="_Toc20361"/>
      <w:bookmarkStart w:id="603" w:name="_Toc14479"/>
      <w:r>
        <w:rPr>
          <w:rFonts w:hint="eastAsia" w:ascii="宋体" w:hAnsi="宋体" w:eastAsia="宋体" w:cs="宋体"/>
          <w:color w:val="auto"/>
          <w:sz w:val="32"/>
          <w:lang w:eastAsia="zh-CN"/>
        </w:rPr>
        <w:t>附件1：生产经营单位慨况</w:t>
      </w:r>
      <w:bookmarkEnd w:id="598"/>
      <w:bookmarkEnd w:id="599"/>
      <w:bookmarkEnd w:id="600"/>
      <w:bookmarkEnd w:id="601"/>
      <w:bookmarkEnd w:id="602"/>
      <w:bookmarkEnd w:id="603"/>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04" w:name="_Toc2052"/>
      <w:bookmarkStart w:id="605" w:name="_Toc300"/>
      <w:bookmarkStart w:id="606" w:name="_Toc27647"/>
      <w:bookmarkStart w:id="607" w:name="_Toc8018"/>
      <w:r>
        <w:rPr>
          <w:rFonts w:hint="eastAsia" w:ascii="宋体" w:hAnsi="宋体" w:eastAsia="宋体" w:cs="宋体"/>
          <w:color w:val="auto"/>
          <w:sz w:val="28"/>
          <w:szCs w:val="28"/>
          <w:lang w:val="en-US" w:eastAsia="zh-CN"/>
        </w:rPr>
        <w:t>F1.1 单位简介</w:t>
      </w:r>
      <w:bookmarkEnd w:id="604"/>
      <w:bookmarkEnd w:id="605"/>
      <w:bookmarkEnd w:id="606"/>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埃夫科纳（南充）特种聚合物有限公司为海门埃夫科纳化学有限公司</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（以下简称“海门埃夫科纳”）全资子公司，于 2019 年7 月17日注册成立。</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公司海门工厂于 2008 年建成投产，公司现有职工 200 余人，大学及以上人员 80%左右，其中研究生以上学历 10 人以上。带有 R&amp;D 实验室，拥有独立的中扩试车间和生产车间。海门埃夫科纳主要产品有：各类聚丙烯酸酯系列、聚氨酯系列、有机硅系列及其他特种聚合物系列等产品，生产规模5000t/a。公司现有680L、4m³、10m³ 反应釜共10台；有1m³、3m³、4m³、5m³、7m³滴加釜共计8台；有10m³清洗釜2台。配备有废气收集吸附系统、废水回收系统、各类原料库、成品库、固废库、储存罐区等齐全。自2008 年投产以来，一直连续安全运行，不但满足了不断增大的国内市场，还远销东南亚、欧洲、非洲及南美洲等世界各地，较好地满足了国内外市场的需求。随着世界经济的发展，海门埃夫科纳现有生产能力不能满足市场需求，由于场地限制等原因，无法就地提升产能，因此海门埃夫科纳公司决定在南充投资建设本项目。</w:t>
      </w:r>
    </w:p>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企业基本情况一览表</w:t>
      </w:r>
    </w:p>
    <w:tbl>
      <w:tblPr>
        <w:tblStyle w:val="25"/>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188"/>
        <w:gridCol w:w="1275"/>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427" w:type="dxa"/>
            <w:noWrap w:val="0"/>
            <w:vAlign w:val="center"/>
          </w:tcPr>
          <w:p>
            <w:pPr>
              <w:numPr>
                <w:ilvl w:val="0"/>
                <w:numId w:val="0"/>
              </w:numPr>
              <w:spacing w:line="360" w:lineRule="auto"/>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企业名称</w:t>
            </w:r>
          </w:p>
        </w:tc>
        <w:tc>
          <w:tcPr>
            <w:tcW w:w="7132" w:type="dxa"/>
            <w:gridSpan w:val="3"/>
            <w:noWrap w:val="0"/>
            <w:vAlign w:val="center"/>
          </w:tcPr>
          <w:p>
            <w:pPr>
              <w:numPr>
                <w:ilvl w:val="0"/>
                <w:numId w:val="0"/>
              </w:numPr>
              <w:spacing w:line="360" w:lineRule="auto"/>
              <w:jc w:val="both"/>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埃夫科纳（南充）特种聚合物有限公司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427" w:type="dxa"/>
            <w:noWrap w:val="0"/>
            <w:vAlign w:val="center"/>
          </w:tcPr>
          <w:p>
            <w:pPr>
              <w:numPr>
                <w:ilvl w:val="0"/>
                <w:numId w:val="0"/>
              </w:numPr>
              <w:spacing w:line="360" w:lineRule="auto"/>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注册地址</w:t>
            </w:r>
          </w:p>
        </w:tc>
        <w:tc>
          <w:tcPr>
            <w:tcW w:w="7132" w:type="dxa"/>
            <w:gridSpan w:val="3"/>
            <w:noWrap w:val="0"/>
            <w:vAlign w:val="center"/>
          </w:tcPr>
          <w:p>
            <w:pPr>
              <w:numPr>
                <w:ilvl w:val="0"/>
                <w:numId w:val="0"/>
              </w:numPr>
              <w:spacing w:line="360" w:lineRule="auto"/>
              <w:jc w:val="both"/>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南充市嘉陵区文峰大道南充经济开发区企业服务中心8楼818号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427" w:type="dxa"/>
            <w:noWrap w:val="0"/>
            <w:vAlign w:val="center"/>
          </w:tcPr>
          <w:p>
            <w:pPr>
              <w:numPr>
                <w:ilvl w:val="0"/>
                <w:numId w:val="0"/>
              </w:numPr>
              <w:spacing w:line="360" w:lineRule="auto"/>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公司类型</w:t>
            </w:r>
          </w:p>
        </w:tc>
        <w:tc>
          <w:tcPr>
            <w:tcW w:w="3188" w:type="dxa"/>
            <w:noWrap w:val="0"/>
            <w:vAlign w:val="center"/>
          </w:tcPr>
          <w:p>
            <w:pPr>
              <w:numPr>
                <w:ilvl w:val="0"/>
                <w:numId w:val="0"/>
              </w:numPr>
              <w:spacing w:line="360" w:lineRule="auto"/>
              <w:jc w:val="both"/>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有限责任公司（非自然人投资或控股的法人独资）</w:t>
            </w:r>
          </w:p>
        </w:tc>
        <w:tc>
          <w:tcPr>
            <w:tcW w:w="1275" w:type="dxa"/>
            <w:noWrap w:val="0"/>
            <w:vAlign w:val="center"/>
          </w:tcPr>
          <w:p>
            <w:pPr>
              <w:numPr>
                <w:ilvl w:val="0"/>
                <w:numId w:val="0"/>
              </w:numPr>
              <w:spacing w:line="360" w:lineRule="auto"/>
              <w:ind w:left="0" w:leftChars="0" w:firstLine="0" w:firstLineChars="0"/>
              <w:jc w:val="both"/>
              <w:rPr>
                <w:rFonts w:hint="eastAsia" w:ascii="宋体" w:hAnsi="宋体" w:eastAsia="宋体" w:cs="宋体"/>
                <w:b/>
                <w:bCs/>
                <w:color w:val="auto"/>
                <w:kern w:val="2"/>
                <w:sz w:val="24"/>
                <w:szCs w:val="24"/>
                <w:vertAlign w:val="baseline"/>
                <w:lang w:val="en-US" w:eastAsia="zh-CN" w:bidi="ar-SA"/>
              </w:rPr>
            </w:pPr>
            <w:r>
              <w:rPr>
                <w:rFonts w:hint="eastAsia" w:ascii="宋体" w:hAnsi="宋体" w:eastAsia="宋体" w:cs="宋体"/>
                <w:b/>
                <w:bCs/>
                <w:color w:val="auto"/>
                <w:sz w:val="24"/>
                <w:szCs w:val="24"/>
                <w:vertAlign w:val="baseline"/>
                <w:lang w:val="en-US" w:eastAsia="zh-CN"/>
              </w:rPr>
              <w:t>成立日期</w:t>
            </w:r>
          </w:p>
        </w:tc>
        <w:tc>
          <w:tcPr>
            <w:tcW w:w="2669" w:type="dxa"/>
            <w:noWrap w:val="0"/>
            <w:vAlign w:val="center"/>
          </w:tcPr>
          <w:p>
            <w:pPr>
              <w:numPr>
                <w:ilvl w:val="0"/>
                <w:numId w:val="0"/>
              </w:numPr>
              <w:spacing w:line="360" w:lineRule="auto"/>
              <w:ind w:left="0" w:leftChars="0" w:firstLine="0" w:firstLineChars="0"/>
              <w:jc w:val="both"/>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2019年7月17日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427" w:type="dxa"/>
            <w:noWrap w:val="0"/>
            <w:vAlign w:val="center"/>
          </w:tcPr>
          <w:p>
            <w:pPr>
              <w:numPr>
                <w:ilvl w:val="0"/>
                <w:numId w:val="0"/>
              </w:numPr>
              <w:spacing w:line="360" w:lineRule="auto"/>
              <w:ind w:left="0" w:leftChars="0" w:firstLine="0" w:firstLineChars="0"/>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法人代表</w:t>
            </w:r>
          </w:p>
        </w:tc>
        <w:tc>
          <w:tcPr>
            <w:tcW w:w="3188" w:type="dxa"/>
            <w:noWrap w:val="0"/>
            <w:vAlign w:val="center"/>
          </w:tcPr>
          <w:p>
            <w:pPr>
              <w:numPr>
                <w:ilvl w:val="0"/>
                <w:numId w:val="0"/>
              </w:numPr>
              <w:spacing w:line="360" w:lineRule="auto"/>
              <w:jc w:val="both"/>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寥辽</w:t>
            </w:r>
          </w:p>
        </w:tc>
        <w:tc>
          <w:tcPr>
            <w:tcW w:w="1275" w:type="dxa"/>
            <w:noWrap w:val="0"/>
            <w:vAlign w:val="center"/>
          </w:tcPr>
          <w:p>
            <w:pPr>
              <w:numPr>
                <w:ilvl w:val="0"/>
                <w:numId w:val="0"/>
              </w:numPr>
              <w:spacing w:line="360" w:lineRule="auto"/>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注册资本</w:t>
            </w:r>
          </w:p>
        </w:tc>
        <w:tc>
          <w:tcPr>
            <w:tcW w:w="2669" w:type="dxa"/>
            <w:noWrap w:val="0"/>
            <w:vAlign w:val="center"/>
          </w:tcPr>
          <w:p>
            <w:pPr>
              <w:numPr>
                <w:ilvl w:val="0"/>
                <w:numId w:val="0"/>
              </w:numPr>
              <w:spacing w:line="360" w:lineRule="auto"/>
              <w:jc w:val="both"/>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陆仟陆佰万元整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427" w:type="dxa"/>
            <w:noWrap w:val="0"/>
            <w:vAlign w:val="center"/>
          </w:tcPr>
          <w:p>
            <w:pPr>
              <w:numPr>
                <w:ilvl w:val="0"/>
                <w:numId w:val="0"/>
              </w:numPr>
              <w:spacing w:line="360" w:lineRule="auto"/>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所属行业</w:t>
            </w:r>
          </w:p>
        </w:tc>
        <w:tc>
          <w:tcPr>
            <w:tcW w:w="3188" w:type="dxa"/>
            <w:noWrap w:val="0"/>
            <w:vAlign w:val="center"/>
          </w:tcPr>
          <w:p>
            <w:pPr>
              <w:numPr>
                <w:ilvl w:val="0"/>
                <w:numId w:val="0"/>
              </w:numPr>
              <w:spacing w:line="360" w:lineRule="auto"/>
              <w:jc w:val="both"/>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化学原料和化学制品制造业</w:t>
            </w:r>
          </w:p>
        </w:tc>
        <w:tc>
          <w:tcPr>
            <w:tcW w:w="1275" w:type="dxa"/>
            <w:noWrap w:val="0"/>
            <w:vAlign w:val="center"/>
          </w:tcPr>
          <w:p>
            <w:pPr>
              <w:numPr>
                <w:ilvl w:val="0"/>
                <w:numId w:val="0"/>
              </w:numPr>
              <w:spacing w:line="360" w:lineRule="auto"/>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登记机关</w:t>
            </w:r>
          </w:p>
        </w:tc>
        <w:tc>
          <w:tcPr>
            <w:tcW w:w="2669" w:type="dxa"/>
            <w:noWrap w:val="0"/>
            <w:vAlign w:val="center"/>
          </w:tcPr>
          <w:p>
            <w:pPr>
              <w:numPr>
                <w:ilvl w:val="0"/>
                <w:numId w:val="0"/>
              </w:numPr>
              <w:spacing w:line="360" w:lineRule="auto"/>
              <w:jc w:val="both"/>
              <w:rPr>
                <w:rFonts w:hint="default" w:ascii="宋体" w:hAnsi="宋体" w:eastAsia="宋体" w:cs="宋体"/>
                <w:b w:val="0"/>
                <w:bCs w:val="0"/>
                <w:color w:val="auto"/>
                <w:sz w:val="24"/>
                <w:szCs w:val="24"/>
                <w:vertAlign w:val="baseline"/>
                <w:lang w:val="en-US" w:eastAsia="zh-CN"/>
              </w:rPr>
            </w:pPr>
            <w:r>
              <w:rPr>
                <w:rFonts w:hint="default" w:ascii="宋体" w:hAnsi="宋体" w:eastAsia="宋体" w:cs="宋体"/>
                <w:b w:val="0"/>
                <w:bCs w:val="0"/>
                <w:color w:val="auto"/>
                <w:sz w:val="24"/>
                <w:szCs w:val="24"/>
                <w:vertAlign w:val="baseline"/>
                <w:lang w:val="en-US" w:eastAsia="zh-CN"/>
              </w:rPr>
              <w:t>南充市市场监督管理局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427" w:type="dxa"/>
            <w:tcBorders>
              <w:bottom w:val="single" w:color="auto" w:sz="4" w:space="0"/>
            </w:tcBorders>
            <w:noWrap w:val="0"/>
            <w:vAlign w:val="center"/>
          </w:tcPr>
          <w:p>
            <w:pPr>
              <w:numPr>
                <w:ilvl w:val="0"/>
                <w:numId w:val="0"/>
              </w:numPr>
              <w:spacing w:line="360" w:lineRule="auto"/>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经营范围</w:t>
            </w:r>
          </w:p>
        </w:tc>
        <w:tc>
          <w:tcPr>
            <w:tcW w:w="7132" w:type="dxa"/>
            <w:gridSpan w:val="3"/>
            <w:tcBorders>
              <w:bottom w:val="single" w:color="auto" w:sz="4" w:space="0"/>
            </w:tcBorders>
            <w:noWrap w:val="0"/>
            <w:vAlign w:val="center"/>
          </w:tcPr>
          <w:p>
            <w:pPr>
              <w:numPr>
                <w:ilvl w:val="0"/>
                <w:numId w:val="0"/>
              </w:numPr>
              <w:spacing w:line="360" w:lineRule="auto"/>
              <w:jc w:val="both"/>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专用化工特种添加剂、乳液、涂料、合成树脂、粘胶剂（车用、电子材料用）、色母粒、印花及通用着色用色浆、化妆品用色膏、其他合成树脂及表面活性剂的生产与销售（以上产品不含危险化学品）；化工原材料及产品（不含危险化学品），化学试剂（不含危险化学品），建筑材料、防水材料、复合材料、高分子材料，化工设备、实验设备销售；从事新材料、化工、化学技术专业领域内技术开发、技术转让、技术咨询、技术服务；从事货物进出口及技术进出口业务。（依法须经批准的项目，经相关部门批准后方可开展经营活动）</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9"/>
        <w:rPr>
          <w:rFonts w:hint="eastAsia" w:ascii="宋体" w:hAnsi="宋体" w:eastAsia="宋体" w:cs="宋体"/>
          <w:color w:val="auto"/>
          <w:sz w:val="28"/>
          <w:szCs w:val="28"/>
          <w:lang w:val="en-US" w:eastAsia="zh-CN"/>
        </w:rPr>
        <w:sectPr>
          <w:pgSz w:w="11906" w:h="16838"/>
          <w:pgMar w:top="1417" w:right="1417" w:bottom="1417" w:left="1417" w:header="1134" w:footer="1134" w:gutter="0"/>
          <w:pgNumType w:fmt="decimal"/>
          <w:cols w:space="720" w:num="1"/>
          <w:rtlGutter w:val="0"/>
          <w:docGrid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08" w:name="_Toc8471"/>
      <w:bookmarkStart w:id="609" w:name="_Toc8014"/>
      <w:bookmarkStart w:id="610" w:name="_Toc8178"/>
      <w:r>
        <w:rPr>
          <w:rFonts w:hint="eastAsia" w:ascii="宋体" w:hAnsi="宋体" w:eastAsia="宋体" w:cs="宋体"/>
          <w:color w:val="auto"/>
          <w:sz w:val="28"/>
          <w:szCs w:val="28"/>
          <w:lang w:val="en-US" w:eastAsia="zh-CN"/>
        </w:rPr>
        <w:t xml:space="preserve">F1.2 </w:t>
      </w:r>
      <w:r>
        <w:rPr>
          <w:rFonts w:hint="eastAsia" w:ascii="宋体" w:hAnsi="宋体" w:eastAsia="宋体" w:cs="宋体"/>
          <w:color w:val="auto"/>
          <w:sz w:val="28"/>
          <w:szCs w:val="28"/>
        </w:rPr>
        <w:t>地理位置及周边环境</w:t>
      </w:r>
      <w:bookmarkEnd w:id="608"/>
      <w:bookmarkEnd w:id="609"/>
      <w:bookmarkEnd w:id="610"/>
    </w:p>
    <w:p>
      <w:pPr>
        <w:keepNext/>
        <w:keepLines/>
        <w:pageBreakBefore w:val="0"/>
        <w:widowControl w:val="0"/>
        <w:kinsoku/>
        <w:wordWrap/>
        <w:overflowPunct/>
        <w:topLinePunct w:val="0"/>
        <w:autoSpaceDE/>
        <w:autoSpaceDN/>
        <w:bidi w:val="0"/>
        <w:adjustRightInd w:val="0"/>
        <w:snapToGrid w:val="0"/>
        <w:spacing w:before="0" w:beforeLines="0" w:after="0" w:line="360" w:lineRule="auto"/>
        <w:ind w:firstLine="560" w:firstLineChars="200"/>
        <w:jc w:val="both"/>
        <w:textAlignment w:val="auto"/>
        <w:outlineLvl w:val="9"/>
        <w:rPr>
          <w:rFonts w:hint="eastAsia" w:ascii="宋体" w:hAnsi="宋体" w:eastAsia="宋体" w:cs="宋体"/>
          <w:b w:val="0"/>
          <w:bCs w:val="0"/>
          <w:color w:val="auto"/>
          <w:kern w:val="2"/>
          <w:sz w:val="28"/>
          <w:szCs w:val="28"/>
          <w:lang w:val="en-US" w:eastAsia="zh-CN" w:bidi="ar-SA"/>
        </w:rPr>
        <w:sectPr>
          <w:type w:val="continuous"/>
          <w:pgSz w:w="11906" w:h="16838"/>
          <w:pgMar w:top="1417" w:right="1417" w:bottom="1417" w:left="1587" w:header="1134" w:footer="1134" w:gutter="0"/>
          <w:pgNumType w:fmt="decimal"/>
          <w:cols w:space="720" w:num="1"/>
          <w:rtlGutter w:val="0"/>
          <w:docGrid w:linePitch="312" w:charSpace="0"/>
        </w:sectPr>
      </w:pPr>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（1）地理位置</w:t>
      </w:r>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埃夫科纳（南充）特种聚合物有限公司位于南充化学工业园河西片区，地理位置图如附件7.1所示。</w:t>
      </w:r>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规划南充化学园区河西片区位于南充市南河西乡及羊口乡，园区为嘉陵江西岸河嘴地带，片区规划G212 国道以东浅丘台地，地理坐标：东经 106。02′38〞～106。06′22〞，北纬30。36′13〞～30。38′37〞。园区西侧有南北向国道G212 二级公路，向南200km 经武胜～广安直达重庆，向北 15km 至南充市区，向西经G42 成～ 南高速公路 350km 直达成都。铁路经南充接达～成线，远期有兰～渝线经过园区邻衔接。园区内拟建“两路一桥”连接东西片区、南北分别连接羊口乡和安居镇，并与 G212 国道贯通。沿江尚有船闸四级航道至重庆，南充航空可达广州，北京。</w:t>
      </w:r>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（2）周边关系</w:t>
      </w:r>
    </w:p>
    <w:p>
      <w:pPr>
        <w:spacing w:line="360" w:lineRule="auto"/>
        <w:ind w:firstLine="560" w:firstLineChars="200"/>
        <w:jc w:val="both"/>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埃夫科纳（南充）特种聚合物有限公司位于南充市四川省南充经济开发区河西片区，场地北侧为规划六路，规划六路北侧为园区供水站；南面为空地， 西南面为石达化工场地；东面为顺铁路，顺铁路东侧为园区铁路线；西面 为园区待规划的空地。公司周边关系图如附件7.2所示。</w:t>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11" w:name="_Toc7590"/>
      <w:bookmarkStart w:id="612" w:name="_Toc29561"/>
      <w:bookmarkStart w:id="613" w:name="_Toc11203"/>
      <w:r>
        <w:rPr>
          <w:rFonts w:hint="eastAsia" w:ascii="宋体" w:hAnsi="宋体" w:eastAsia="宋体" w:cs="宋体"/>
          <w:color w:val="auto"/>
          <w:sz w:val="28"/>
          <w:szCs w:val="28"/>
          <w:lang w:val="en-US" w:eastAsia="zh-CN"/>
        </w:rPr>
        <w:t>F1.3 主要原辅材料及产品</w:t>
      </w:r>
      <w:bookmarkEnd w:id="611"/>
      <w:bookmarkEnd w:id="612"/>
      <w:bookmarkEnd w:id="613"/>
    </w:p>
    <w:p>
      <w:pPr>
        <w:spacing w:line="360" w:lineRule="auto"/>
        <w:ind w:firstLine="560" w:firstLineChars="200"/>
        <w:jc w:val="both"/>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埃夫科纳（南充）特种聚合物有限公司主要生产产品为聚丙烯酸酯系列功能性聚合物、聚氨酯系列功能性聚合物、有机硅系列功能性聚合物、其他功能性聚合物（功能涂料），主要原辅材料如下表所示：</w:t>
      </w:r>
    </w:p>
    <w:p>
      <w:pPr>
        <w:spacing w:line="360" w:lineRule="auto"/>
        <w:ind w:firstLine="482" w:firstLineChars="200"/>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主要原辅材料消耗一览表</w:t>
      </w:r>
    </w:p>
    <w:tbl>
      <w:tblPr>
        <w:tblStyle w:val="25"/>
        <w:tblW w:w="89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2683"/>
        <w:gridCol w:w="2765"/>
        <w:gridCol w:w="664"/>
        <w:gridCol w:w="1063"/>
        <w:gridCol w:w="1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blHeader/>
          <w:jc w:val="center"/>
        </w:trPr>
        <w:tc>
          <w:tcPr>
            <w:tcW w:w="635" w:type="dxa"/>
          </w:tcPr>
          <w:p>
            <w:pPr>
              <w:pStyle w:val="51"/>
              <w:spacing w:before="86"/>
              <w:ind w:left="92" w:right="81"/>
              <w:jc w:val="center"/>
              <w:rPr>
                <w:b/>
                <w:color w:val="auto"/>
                <w:sz w:val="21"/>
              </w:rPr>
            </w:pPr>
            <w:r>
              <w:rPr>
                <w:b/>
                <w:color w:val="auto"/>
                <w:sz w:val="21"/>
              </w:rPr>
              <w:t>序号</w:t>
            </w:r>
          </w:p>
        </w:tc>
        <w:tc>
          <w:tcPr>
            <w:tcW w:w="2683" w:type="dxa"/>
          </w:tcPr>
          <w:p>
            <w:pPr>
              <w:pStyle w:val="51"/>
              <w:spacing w:before="86"/>
              <w:ind w:left="30" w:right="19"/>
              <w:jc w:val="center"/>
              <w:rPr>
                <w:b/>
                <w:color w:val="auto"/>
                <w:sz w:val="21"/>
              </w:rPr>
            </w:pPr>
            <w:r>
              <w:rPr>
                <w:b/>
                <w:color w:val="auto"/>
                <w:sz w:val="21"/>
              </w:rPr>
              <w:t>原辅料品种</w:t>
            </w:r>
          </w:p>
        </w:tc>
        <w:tc>
          <w:tcPr>
            <w:tcW w:w="2765" w:type="dxa"/>
          </w:tcPr>
          <w:p>
            <w:pPr>
              <w:pStyle w:val="51"/>
              <w:spacing w:before="86"/>
              <w:ind w:left="52" w:right="44"/>
              <w:jc w:val="center"/>
              <w:rPr>
                <w:b/>
                <w:color w:val="auto"/>
                <w:sz w:val="21"/>
              </w:rPr>
            </w:pPr>
            <w:r>
              <w:rPr>
                <w:b/>
                <w:color w:val="auto"/>
                <w:sz w:val="21"/>
              </w:rPr>
              <w:t>主要物质</w:t>
            </w:r>
          </w:p>
        </w:tc>
        <w:tc>
          <w:tcPr>
            <w:tcW w:w="664" w:type="dxa"/>
          </w:tcPr>
          <w:p>
            <w:pPr>
              <w:pStyle w:val="51"/>
              <w:spacing w:before="86"/>
              <w:ind w:left="105" w:right="96"/>
              <w:jc w:val="center"/>
              <w:rPr>
                <w:b/>
                <w:color w:val="auto"/>
                <w:sz w:val="21"/>
              </w:rPr>
            </w:pPr>
            <w:r>
              <w:rPr>
                <w:b/>
                <w:color w:val="auto"/>
                <w:sz w:val="21"/>
              </w:rPr>
              <w:t>单位</w:t>
            </w:r>
          </w:p>
        </w:tc>
        <w:tc>
          <w:tcPr>
            <w:tcW w:w="1063" w:type="dxa"/>
          </w:tcPr>
          <w:p>
            <w:pPr>
              <w:pStyle w:val="51"/>
              <w:spacing w:before="86"/>
              <w:ind w:left="98" w:right="87"/>
              <w:jc w:val="center"/>
              <w:rPr>
                <w:b/>
                <w:color w:val="auto"/>
                <w:sz w:val="21"/>
              </w:rPr>
            </w:pPr>
            <w:r>
              <w:rPr>
                <w:b/>
                <w:color w:val="auto"/>
                <w:sz w:val="21"/>
              </w:rPr>
              <w:t>年消耗量</w:t>
            </w:r>
          </w:p>
        </w:tc>
        <w:tc>
          <w:tcPr>
            <w:tcW w:w="1107" w:type="dxa"/>
          </w:tcPr>
          <w:p>
            <w:pPr>
              <w:pStyle w:val="51"/>
              <w:spacing w:before="86"/>
              <w:ind w:left="120" w:right="111"/>
              <w:jc w:val="center"/>
              <w:rPr>
                <w:b/>
                <w:color w:val="auto"/>
                <w:sz w:val="21"/>
              </w:rPr>
            </w:pPr>
            <w:r>
              <w:rPr>
                <w:b/>
                <w:color w:val="auto"/>
                <w:sz w:val="21"/>
              </w:rPr>
              <w:t>供应来源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3" w:hRule="atLeast"/>
          <w:jc w:val="center"/>
        </w:trPr>
        <w:tc>
          <w:tcPr>
            <w:tcW w:w="635" w:type="dxa"/>
          </w:tcPr>
          <w:p>
            <w:pPr>
              <w:pStyle w:val="51"/>
              <w:rPr>
                <w:b/>
                <w:color w:val="auto"/>
              </w:rPr>
            </w:pPr>
          </w:p>
          <w:p>
            <w:pPr>
              <w:pStyle w:val="51"/>
              <w:spacing w:before="8"/>
              <w:rPr>
                <w:b/>
                <w:color w:val="auto"/>
                <w:sz w:val="28"/>
              </w:rPr>
            </w:pPr>
          </w:p>
          <w:p>
            <w:pPr>
              <w:pStyle w:val="51"/>
              <w:spacing w:before="1"/>
              <w:ind w:left="8"/>
              <w:jc w:val="center"/>
              <w:rPr>
                <w:rFonts w:ascii="Times New Roman"/>
                <w:color w:val="auto"/>
                <w:sz w:val="21"/>
              </w:rPr>
            </w:pPr>
            <w:r>
              <w:rPr>
                <w:rFonts w:ascii="Times New Roman"/>
                <w:color w:val="auto"/>
                <w:w w:val="99"/>
                <w:sz w:val="21"/>
              </w:rPr>
              <w:t>1</w:t>
            </w:r>
          </w:p>
        </w:tc>
        <w:tc>
          <w:tcPr>
            <w:tcW w:w="2683" w:type="dxa"/>
          </w:tcPr>
          <w:p>
            <w:pPr>
              <w:pStyle w:val="51"/>
              <w:rPr>
                <w:b/>
                <w:color w:val="auto"/>
                <w:sz w:val="20"/>
              </w:rPr>
            </w:pPr>
          </w:p>
          <w:p>
            <w:pPr>
              <w:pStyle w:val="51"/>
              <w:spacing w:before="7"/>
              <w:rPr>
                <w:b/>
                <w:color w:val="auto"/>
                <w:sz w:val="29"/>
              </w:rPr>
            </w:pPr>
          </w:p>
          <w:p>
            <w:pPr>
              <w:pStyle w:val="51"/>
              <w:ind w:left="28" w:right="19"/>
              <w:jc w:val="center"/>
              <w:rPr>
                <w:color w:val="auto"/>
                <w:sz w:val="21"/>
              </w:rPr>
            </w:pPr>
            <w:r>
              <w:rPr>
                <w:color w:val="auto"/>
                <w:sz w:val="21"/>
              </w:rPr>
              <w:t>丙烯酸及其酯类单体</w:t>
            </w:r>
          </w:p>
        </w:tc>
        <w:tc>
          <w:tcPr>
            <w:tcW w:w="2765" w:type="dxa"/>
          </w:tcPr>
          <w:p>
            <w:pPr>
              <w:pStyle w:val="51"/>
              <w:spacing w:before="167" w:line="278" w:lineRule="auto"/>
              <w:ind w:left="106" w:right="-15" w:hanging="109"/>
              <w:jc w:val="center"/>
              <w:rPr>
                <w:color w:val="auto"/>
                <w:sz w:val="21"/>
              </w:rPr>
            </w:pPr>
            <w:r>
              <w:rPr>
                <w:color w:val="auto"/>
                <w:sz w:val="21"/>
              </w:rPr>
              <w:t xml:space="preserve">丙烯酸、丙烯酸乙酯、丙烯 酸丁酯、丙烯酸异辛酯、丙 </w:t>
            </w:r>
            <w:r>
              <w:rPr>
                <w:color w:val="auto"/>
                <w:spacing w:val="-6"/>
                <w:w w:val="95"/>
                <w:sz w:val="21"/>
              </w:rPr>
              <w:t xml:space="preserve">烯酸羟乙酯、丙烯酸羟丙酯、 </w:t>
            </w:r>
            <w:r>
              <w:rPr>
                <w:color w:val="auto"/>
                <w:spacing w:val="-6"/>
                <w:sz w:val="21"/>
              </w:rPr>
              <w:t>丙烯酸六氟丁酯等</w:t>
            </w:r>
          </w:p>
        </w:tc>
        <w:tc>
          <w:tcPr>
            <w:tcW w:w="664" w:type="dxa"/>
          </w:tcPr>
          <w:p>
            <w:pPr>
              <w:pStyle w:val="51"/>
              <w:rPr>
                <w:b/>
                <w:color w:val="auto"/>
                <w:sz w:val="20"/>
              </w:rPr>
            </w:pPr>
          </w:p>
          <w:p>
            <w:pPr>
              <w:pStyle w:val="51"/>
              <w:spacing w:before="7"/>
              <w:rPr>
                <w:b/>
                <w:color w:val="auto"/>
                <w:sz w:val="29"/>
              </w:rPr>
            </w:pPr>
          </w:p>
          <w:p>
            <w:pPr>
              <w:pStyle w:val="51"/>
              <w:ind w:left="9"/>
              <w:jc w:val="center"/>
              <w:rPr>
                <w:color w:val="auto"/>
                <w:sz w:val="21"/>
              </w:rPr>
            </w:pPr>
            <w:r>
              <w:rPr>
                <w:color w:val="auto"/>
                <w:w w:val="99"/>
                <w:sz w:val="21"/>
              </w:rPr>
              <w:t>吨</w:t>
            </w:r>
          </w:p>
        </w:tc>
        <w:tc>
          <w:tcPr>
            <w:tcW w:w="1063" w:type="dxa"/>
          </w:tcPr>
          <w:p>
            <w:pPr>
              <w:pStyle w:val="51"/>
              <w:rPr>
                <w:b/>
                <w:color w:val="auto"/>
              </w:rPr>
            </w:pPr>
          </w:p>
          <w:p>
            <w:pPr>
              <w:pStyle w:val="51"/>
              <w:spacing w:before="8"/>
              <w:rPr>
                <w:b/>
                <w:color w:val="auto"/>
                <w:sz w:val="28"/>
              </w:rPr>
            </w:pPr>
          </w:p>
          <w:p>
            <w:pPr>
              <w:pStyle w:val="51"/>
              <w:spacing w:before="1"/>
              <w:ind w:left="94" w:right="87"/>
              <w:jc w:val="center"/>
              <w:rPr>
                <w:rFonts w:ascii="Times New Roman"/>
                <w:color w:val="auto"/>
                <w:sz w:val="21"/>
              </w:rPr>
            </w:pPr>
            <w:r>
              <w:rPr>
                <w:rFonts w:ascii="Times New Roman"/>
                <w:color w:val="auto"/>
                <w:sz w:val="21"/>
              </w:rPr>
              <w:t>700</w:t>
            </w:r>
          </w:p>
        </w:tc>
        <w:tc>
          <w:tcPr>
            <w:tcW w:w="1107" w:type="dxa"/>
          </w:tcPr>
          <w:p>
            <w:pPr>
              <w:pStyle w:val="51"/>
              <w:rPr>
                <w:b/>
                <w:color w:val="auto"/>
                <w:sz w:val="20"/>
              </w:rPr>
            </w:pPr>
          </w:p>
          <w:p>
            <w:pPr>
              <w:pStyle w:val="51"/>
              <w:spacing w:before="7"/>
              <w:rPr>
                <w:b/>
                <w:color w:val="auto"/>
                <w:sz w:val="29"/>
              </w:rPr>
            </w:pPr>
          </w:p>
          <w:p>
            <w:pPr>
              <w:pStyle w:val="51"/>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jc w:val="center"/>
        </w:trPr>
        <w:tc>
          <w:tcPr>
            <w:tcW w:w="635" w:type="dxa"/>
          </w:tcPr>
          <w:p>
            <w:pPr>
              <w:pStyle w:val="51"/>
              <w:spacing w:before="6"/>
              <w:rPr>
                <w:b/>
                <w:color w:val="auto"/>
                <w:sz w:val="26"/>
              </w:rPr>
            </w:pPr>
          </w:p>
          <w:p>
            <w:pPr>
              <w:pStyle w:val="51"/>
              <w:ind w:left="8"/>
              <w:jc w:val="center"/>
              <w:rPr>
                <w:rFonts w:ascii="Times New Roman"/>
                <w:color w:val="auto"/>
                <w:sz w:val="21"/>
              </w:rPr>
            </w:pPr>
            <w:r>
              <w:rPr>
                <w:rFonts w:ascii="Times New Roman"/>
                <w:color w:val="auto"/>
                <w:w w:val="99"/>
                <w:sz w:val="21"/>
              </w:rPr>
              <w:t>2</w:t>
            </w:r>
          </w:p>
        </w:tc>
        <w:tc>
          <w:tcPr>
            <w:tcW w:w="2683" w:type="dxa"/>
          </w:tcPr>
          <w:p>
            <w:pPr>
              <w:pStyle w:val="51"/>
              <w:spacing w:before="5"/>
              <w:rPr>
                <w:b/>
                <w:color w:val="auto"/>
                <w:sz w:val="25"/>
              </w:rPr>
            </w:pPr>
          </w:p>
          <w:p>
            <w:pPr>
              <w:pStyle w:val="51"/>
              <w:ind w:left="25" w:right="19"/>
              <w:jc w:val="center"/>
              <w:rPr>
                <w:color w:val="auto"/>
                <w:sz w:val="21"/>
              </w:rPr>
            </w:pPr>
            <w:r>
              <w:rPr>
                <w:color w:val="auto"/>
                <w:sz w:val="21"/>
              </w:rPr>
              <w:t>甲基丙烯酸及其酯类单体</w:t>
            </w:r>
          </w:p>
        </w:tc>
        <w:tc>
          <w:tcPr>
            <w:tcW w:w="2765" w:type="dxa"/>
          </w:tcPr>
          <w:p>
            <w:pPr>
              <w:pStyle w:val="51"/>
              <w:spacing w:before="20"/>
              <w:ind w:left="142"/>
              <w:rPr>
                <w:color w:val="auto"/>
                <w:sz w:val="21"/>
              </w:rPr>
            </w:pPr>
            <w:r>
              <w:rPr>
                <w:color w:val="auto"/>
                <w:sz w:val="21"/>
              </w:rPr>
              <w:t>甲基丙烯酸、甲基丙烯酸甲</w:t>
            </w:r>
          </w:p>
          <w:p>
            <w:pPr>
              <w:pStyle w:val="51"/>
              <w:spacing w:before="2" w:line="310" w:lineRule="atLeast"/>
              <w:ind w:left="668" w:right="136" w:hanging="526"/>
              <w:rPr>
                <w:color w:val="auto"/>
                <w:sz w:val="21"/>
              </w:rPr>
            </w:pPr>
            <w:r>
              <w:rPr>
                <w:color w:val="auto"/>
                <w:sz w:val="21"/>
              </w:rPr>
              <w:t>酯、甲基丙烯酸丁酯、甲基丙烯酸异辛酯等</w:t>
            </w:r>
          </w:p>
        </w:tc>
        <w:tc>
          <w:tcPr>
            <w:tcW w:w="664" w:type="dxa"/>
          </w:tcPr>
          <w:p>
            <w:pPr>
              <w:pStyle w:val="51"/>
              <w:spacing w:before="5"/>
              <w:rPr>
                <w:b/>
                <w:color w:val="auto"/>
                <w:sz w:val="25"/>
              </w:rPr>
            </w:pPr>
          </w:p>
          <w:p>
            <w:pPr>
              <w:pStyle w:val="51"/>
              <w:ind w:left="9"/>
              <w:jc w:val="center"/>
              <w:rPr>
                <w:color w:val="auto"/>
                <w:sz w:val="21"/>
              </w:rPr>
            </w:pPr>
            <w:r>
              <w:rPr>
                <w:color w:val="auto"/>
                <w:w w:val="99"/>
                <w:sz w:val="21"/>
              </w:rPr>
              <w:t>吨</w:t>
            </w:r>
          </w:p>
        </w:tc>
        <w:tc>
          <w:tcPr>
            <w:tcW w:w="1063" w:type="dxa"/>
          </w:tcPr>
          <w:p>
            <w:pPr>
              <w:pStyle w:val="51"/>
              <w:spacing w:before="6"/>
              <w:rPr>
                <w:b/>
                <w:color w:val="auto"/>
                <w:sz w:val="26"/>
              </w:rPr>
            </w:pPr>
          </w:p>
          <w:p>
            <w:pPr>
              <w:pStyle w:val="51"/>
              <w:ind w:left="94" w:right="87"/>
              <w:jc w:val="center"/>
              <w:rPr>
                <w:rFonts w:ascii="Times New Roman"/>
                <w:color w:val="auto"/>
                <w:sz w:val="21"/>
              </w:rPr>
            </w:pPr>
            <w:r>
              <w:rPr>
                <w:rFonts w:ascii="Times New Roman"/>
                <w:color w:val="auto"/>
                <w:sz w:val="21"/>
              </w:rPr>
              <w:t>700</w:t>
            </w:r>
          </w:p>
        </w:tc>
        <w:tc>
          <w:tcPr>
            <w:tcW w:w="1107" w:type="dxa"/>
          </w:tcPr>
          <w:p>
            <w:pPr>
              <w:pStyle w:val="51"/>
              <w:spacing w:before="5"/>
              <w:rPr>
                <w:b/>
                <w:color w:val="auto"/>
                <w:sz w:val="25"/>
              </w:rPr>
            </w:pPr>
          </w:p>
          <w:p>
            <w:pPr>
              <w:pStyle w:val="51"/>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635" w:type="dxa"/>
          </w:tcPr>
          <w:p>
            <w:pPr>
              <w:pStyle w:val="51"/>
              <w:spacing w:before="5"/>
              <w:rPr>
                <w:b/>
                <w:color w:val="auto"/>
                <w:sz w:val="20"/>
              </w:rPr>
            </w:pPr>
          </w:p>
          <w:p>
            <w:pPr>
              <w:pStyle w:val="51"/>
              <w:ind w:left="8"/>
              <w:jc w:val="center"/>
              <w:rPr>
                <w:rFonts w:ascii="Times New Roman"/>
                <w:color w:val="auto"/>
                <w:sz w:val="21"/>
              </w:rPr>
            </w:pPr>
            <w:r>
              <w:rPr>
                <w:rFonts w:ascii="Times New Roman"/>
                <w:color w:val="auto"/>
                <w:w w:val="99"/>
                <w:sz w:val="21"/>
              </w:rPr>
              <w:t>3</w:t>
            </w:r>
          </w:p>
        </w:tc>
        <w:tc>
          <w:tcPr>
            <w:tcW w:w="2683" w:type="dxa"/>
          </w:tcPr>
          <w:p>
            <w:pPr>
              <w:pStyle w:val="51"/>
              <w:spacing w:before="4"/>
              <w:rPr>
                <w:b/>
                <w:color w:val="auto"/>
                <w:sz w:val="19"/>
              </w:rPr>
            </w:pPr>
          </w:p>
          <w:p>
            <w:pPr>
              <w:pStyle w:val="51"/>
              <w:ind w:left="28" w:right="19"/>
              <w:jc w:val="center"/>
              <w:rPr>
                <w:color w:val="auto"/>
                <w:sz w:val="21"/>
              </w:rPr>
            </w:pPr>
            <w:r>
              <w:rPr>
                <w:color w:val="auto"/>
                <w:sz w:val="21"/>
              </w:rPr>
              <w:t>一元醇单体</w:t>
            </w:r>
          </w:p>
        </w:tc>
        <w:tc>
          <w:tcPr>
            <w:tcW w:w="2765" w:type="dxa"/>
          </w:tcPr>
          <w:p>
            <w:pPr>
              <w:pStyle w:val="51"/>
              <w:spacing w:before="4"/>
              <w:rPr>
                <w:b/>
                <w:color w:val="auto"/>
                <w:sz w:val="19"/>
              </w:rPr>
            </w:pPr>
          </w:p>
          <w:p>
            <w:pPr>
              <w:pStyle w:val="51"/>
              <w:ind w:left="50" w:right="44"/>
              <w:jc w:val="center"/>
              <w:rPr>
                <w:color w:val="auto"/>
                <w:sz w:val="21"/>
              </w:rPr>
            </w:pPr>
            <w:r>
              <w:rPr>
                <w:color w:val="auto"/>
                <w:sz w:val="21"/>
              </w:rPr>
              <w:t>异辛醇</w:t>
            </w:r>
          </w:p>
        </w:tc>
        <w:tc>
          <w:tcPr>
            <w:tcW w:w="664" w:type="dxa"/>
          </w:tcPr>
          <w:p>
            <w:pPr>
              <w:pStyle w:val="51"/>
              <w:spacing w:before="4"/>
              <w:rPr>
                <w:b/>
                <w:color w:val="auto"/>
                <w:sz w:val="19"/>
              </w:rPr>
            </w:pPr>
          </w:p>
          <w:p>
            <w:pPr>
              <w:pStyle w:val="51"/>
              <w:ind w:left="9"/>
              <w:jc w:val="center"/>
              <w:rPr>
                <w:color w:val="auto"/>
                <w:sz w:val="21"/>
              </w:rPr>
            </w:pPr>
            <w:r>
              <w:rPr>
                <w:color w:val="auto"/>
                <w:w w:val="99"/>
                <w:sz w:val="21"/>
              </w:rPr>
              <w:t>吨</w:t>
            </w:r>
          </w:p>
        </w:tc>
        <w:tc>
          <w:tcPr>
            <w:tcW w:w="1063" w:type="dxa"/>
          </w:tcPr>
          <w:p>
            <w:pPr>
              <w:pStyle w:val="51"/>
              <w:spacing w:before="5"/>
              <w:rPr>
                <w:b/>
                <w:color w:val="auto"/>
                <w:sz w:val="20"/>
              </w:rPr>
            </w:pPr>
          </w:p>
          <w:p>
            <w:pPr>
              <w:pStyle w:val="51"/>
              <w:ind w:left="94" w:right="87"/>
              <w:jc w:val="center"/>
              <w:rPr>
                <w:rFonts w:ascii="Times New Roman"/>
                <w:color w:val="auto"/>
                <w:sz w:val="21"/>
              </w:rPr>
            </w:pPr>
            <w:r>
              <w:rPr>
                <w:rFonts w:ascii="Times New Roman"/>
                <w:color w:val="auto"/>
                <w:sz w:val="21"/>
              </w:rPr>
              <w:t>170</w:t>
            </w:r>
          </w:p>
        </w:tc>
        <w:tc>
          <w:tcPr>
            <w:tcW w:w="1107" w:type="dxa"/>
          </w:tcPr>
          <w:p>
            <w:pPr>
              <w:pStyle w:val="51"/>
              <w:spacing w:before="4"/>
              <w:rPr>
                <w:b/>
                <w:color w:val="auto"/>
                <w:sz w:val="19"/>
              </w:rPr>
            </w:pPr>
          </w:p>
          <w:p>
            <w:pPr>
              <w:pStyle w:val="51"/>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635" w:type="dxa"/>
          </w:tcPr>
          <w:p>
            <w:pPr>
              <w:pStyle w:val="51"/>
              <w:spacing w:before="101"/>
              <w:ind w:left="8"/>
              <w:jc w:val="center"/>
              <w:rPr>
                <w:rFonts w:ascii="Times New Roman"/>
                <w:color w:val="auto"/>
                <w:sz w:val="21"/>
              </w:rPr>
            </w:pPr>
            <w:r>
              <w:rPr>
                <w:rFonts w:ascii="Times New Roman"/>
                <w:color w:val="auto"/>
                <w:w w:val="99"/>
                <w:sz w:val="21"/>
              </w:rPr>
              <w:t>4</w:t>
            </w:r>
          </w:p>
        </w:tc>
        <w:tc>
          <w:tcPr>
            <w:tcW w:w="2683" w:type="dxa"/>
          </w:tcPr>
          <w:p>
            <w:pPr>
              <w:pStyle w:val="51"/>
              <w:spacing w:before="87"/>
              <w:ind w:left="28" w:right="19"/>
              <w:jc w:val="center"/>
              <w:rPr>
                <w:color w:val="auto"/>
                <w:sz w:val="21"/>
              </w:rPr>
            </w:pPr>
            <w:r>
              <w:rPr>
                <w:color w:val="auto"/>
                <w:sz w:val="21"/>
              </w:rPr>
              <w:t>二元醇单体</w:t>
            </w:r>
          </w:p>
        </w:tc>
        <w:tc>
          <w:tcPr>
            <w:tcW w:w="2765" w:type="dxa"/>
          </w:tcPr>
          <w:p>
            <w:pPr>
              <w:pStyle w:val="51"/>
              <w:spacing w:before="87"/>
              <w:ind w:left="47" w:right="44"/>
              <w:jc w:val="center"/>
              <w:rPr>
                <w:color w:val="auto"/>
                <w:sz w:val="21"/>
              </w:rPr>
            </w:pPr>
            <w:r>
              <w:rPr>
                <w:color w:val="auto"/>
                <w:sz w:val="21"/>
              </w:rPr>
              <w:t>丙二醇、乙二醇、新戊二醇</w:t>
            </w:r>
          </w:p>
        </w:tc>
        <w:tc>
          <w:tcPr>
            <w:tcW w:w="664" w:type="dxa"/>
          </w:tcPr>
          <w:p>
            <w:pPr>
              <w:pStyle w:val="51"/>
              <w:spacing w:before="87"/>
              <w:ind w:left="9"/>
              <w:jc w:val="center"/>
              <w:rPr>
                <w:color w:val="auto"/>
                <w:sz w:val="21"/>
              </w:rPr>
            </w:pPr>
            <w:r>
              <w:rPr>
                <w:color w:val="auto"/>
                <w:w w:val="99"/>
                <w:sz w:val="21"/>
              </w:rPr>
              <w:t>吨</w:t>
            </w:r>
          </w:p>
        </w:tc>
        <w:tc>
          <w:tcPr>
            <w:tcW w:w="1063" w:type="dxa"/>
          </w:tcPr>
          <w:p>
            <w:pPr>
              <w:pStyle w:val="51"/>
              <w:spacing w:before="101"/>
              <w:ind w:left="94" w:right="87"/>
              <w:jc w:val="center"/>
              <w:rPr>
                <w:rFonts w:ascii="Times New Roman"/>
                <w:color w:val="auto"/>
                <w:sz w:val="21"/>
              </w:rPr>
            </w:pPr>
            <w:r>
              <w:rPr>
                <w:rFonts w:ascii="Times New Roman"/>
                <w:color w:val="auto"/>
                <w:sz w:val="21"/>
              </w:rPr>
              <w:t>180</w:t>
            </w:r>
          </w:p>
        </w:tc>
        <w:tc>
          <w:tcPr>
            <w:tcW w:w="1107" w:type="dxa"/>
          </w:tcPr>
          <w:p>
            <w:pPr>
              <w:pStyle w:val="51"/>
              <w:spacing w:before="87"/>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635" w:type="dxa"/>
          </w:tcPr>
          <w:p>
            <w:pPr>
              <w:pStyle w:val="51"/>
              <w:spacing w:before="100"/>
              <w:ind w:left="8"/>
              <w:jc w:val="center"/>
              <w:rPr>
                <w:rFonts w:ascii="Times New Roman"/>
                <w:color w:val="auto"/>
                <w:sz w:val="21"/>
              </w:rPr>
            </w:pPr>
            <w:r>
              <w:rPr>
                <w:rFonts w:ascii="Times New Roman"/>
                <w:color w:val="auto"/>
                <w:w w:val="99"/>
                <w:sz w:val="21"/>
              </w:rPr>
              <w:t>5</w:t>
            </w:r>
          </w:p>
        </w:tc>
        <w:tc>
          <w:tcPr>
            <w:tcW w:w="2683" w:type="dxa"/>
          </w:tcPr>
          <w:p>
            <w:pPr>
              <w:pStyle w:val="51"/>
              <w:spacing w:before="87"/>
              <w:ind w:left="28" w:right="19"/>
              <w:jc w:val="center"/>
              <w:rPr>
                <w:color w:val="auto"/>
                <w:sz w:val="21"/>
              </w:rPr>
            </w:pPr>
            <w:r>
              <w:rPr>
                <w:color w:val="auto"/>
                <w:sz w:val="21"/>
              </w:rPr>
              <w:t>三元醇单体</w:t>
            </w:r>
          </w:p>
        </w:tc>
        <w:tc>
          <w:tcPr>
            <w:tcW w:w="2765" w:type="dxa"/>
          </w:tcPr>
          <w:p>
            <w:pPr>
              <w:pStyle w:val="51"/>
              <w:spacing w:before="87"/>
              <w:ind w:left="52" w:right="44"/>
              <w:jc w:val="center"/>
              <w:rPr>
                <w:color w:val="auto"/>
                <w:sz w:val="21"/>
              </w:rPr>
            </w:pPr>
            <w:r>
              <w:rPr>
                <w:color w:val="auto"/>
                <w:sz w:val="21"/>
              </w:rPr>
              <w:t>甘油、三羟甲基丙烷</w:t>
            </w:r>
          </w:p>
        </w:tc>
        <w:tc>
          <w:tcPr>
            <w:tcW w:w="664" w:type="dxa"/>
          </w:tcPr>
          <w:p>
            <w:pPr>
              <w:pStyle w:val="51"/>
              <w:spacing w:before="87"/>
              <w:ind w:left="9"/>
              <w:jc w:val="center"/>
              <w:rPr>
                <w:color w:val="auto"/>
                <w:sz w:val="21"/>
              </w:rPr>
            </w:pPr>
            <w:r>
              <w:rPr>
                <w:color w:val="auto"/>
                <w:w w:val="99"/>
                <w:sz w:val="21"/>
              </w:rPr>
              <w:t>吨</w:t>
            </w:r>
          </w:p>
        </w:tc>
        <w:tc>
          <w:tcPr>
            <w:tcW w:w="1063" w:type="dxa"/>
          </w:tcPr>
          <w:p>
            <w:pPr>
              <w:pStyle w:val="51"/>
              <w:spacing w:before="100"/>
              <w:ind w:left="94" w:right="87"/>
              <w:jc w:val="center"/>
              <w:rPr>
                <w:rFonts w:ascii="Times New Roman"/>
                <w:color w:val="auto"/>
                <w:sz w:val="21"/>
              </w:rPr>
            </w:pPr>
            <w:r>
              <w:rPr>
                <w:rFonts w:ascii="Times New Roman"/>
                <w:color w:val="auto"/>
                <w:sz w:val="21"/>
              </w:rPr>
              <w:t>170</w:t>
            </w:r>
          </w:p>
        </w:tc>
        <w:tc>
          <w:tcPr>
            <w:tcW w:w="1107" w:type="dxa"/>
          </w:tcPr>
          <w:p>
            <w:pPr>
              <w:pStyle w:val="51"/>
              <w:spacing w:before="87"/>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635" w:type="dxa"/>
          </w:tcPr>
          <w:p>
            <w:pPr>
              <w:pStyle w:val="51"/>
              <w:spacing w:before="189"/>
              <w:ind w:left="8"/>
              <w:jc w:val="center"/>
              <w:rPr>
                <w:rFonts w:ascii="Times New Roman"/>
                <w:color w:val="auto"/>
                <w:sz w:val="21"/>
              </w:rPr>
            </w:pPr>
            <w:r>
              <w:rPr>
                <w:rFonts w:ascii="Times New Roman"/>
                <w:color w:val="auto"/>
                <w:w w:val="99"/>
                <w:sz w:val="21"/>
              </w:rPr>
              <w:t>6</w:t>
            </w:r>
          </w:p>
        </w:tc>
        <w:tc>
          <w:tcPr>
            <w:tcW w:w="2683" w:type="dxa"/>
          </w:tcPr>
          <w:p>
            <w:pPr>
              <w:pStyle w:val="51"/>
              <w:spacing w:before="175"/>
              <w:ind w:left="25" w:right="19"/>
              <w:jc w:val="center"/>
              <w:rPr>
                <w:color w:val="auto"/>
                <w:sz w:val="21"/>
              </w:rPr>
            </w:pPr>
            <w:r>
              <w:rPr>
                <w:color w:val="auto"/>
                <w:sz w:val="21"/>
              </w:rPr>
              <w:t>各类合成脂肪酸</w:t>
            </w:r>
          </w:p>
        </w:tc>
        <w:tc>
          <w:tcPr>
            <w:tcW w:w="2765" w:type="dxa"/>
          </w:tcPr>
          <w:p>
            <w:pPr>
              <w:pStyle w:val="51"/>
              <w:spacing w:before="175"/>
              <w:ind w:left="50" w:right="44"/>
              <w:jc w:val="center"/>
              <w:rPr>
                <w:color w:val="auto"/>
                <w:sz w:val="21"/>
              </w:rPr>
            </w:pPr>
            <w:r>
              <w:rPr>
                <w:color w:val="auto"/>
                <w:sz w:val="21"/>
              </w:rPr>
              <w:t>塔尔油酸、油酸、豆油酸</w:t>
            </w:r>
          </w:p>
        </w:tc>
        <w:tc>
          <w:tcPr>
            <w:tcW w:w="664" w:type="dxa"/>
          </w:tcPr>
          <w:p>
            <w:pPr>
              <w:pStyle w:val="51"/>
              <w:spacing w:before="175"/>
              <w:ind w:left="9"/>
              <w:jc w:val="center"/>
              <w:rPr>
                <w:color w:val="auto"/>
                <w:sz w:val="21"/>
              </w:rPr>
            </w:pPr>
            <w:r>
              <w:rPr>
                <w:color w:val="auto"/>
                <w:w w:val="99"/>
                <w:sz w:val="21"/>
              </w:rPr>
              <w:t>吨</w:t>
            </w:r>
          </w:p>
        </w:tc>
        <w:tc>
          <w:tcPr>
            <w:tcW w:w="1063" w:type="dxa"/>
          </w:tcPr>
          <w:p>
            <w:pPr>
              <w:pStyle w:val="51"/>
              <w:spacing w:before="189"/>
              <w:ind w:left="94" w:right="87"/>
              <w:jc w:val="center"/>
              <w:rPr>
                <w:rFonts w:ascii="Times New Roman"/>
                <w:color w:val="auto"/>
                <w:sz w:val="21"/>
              </w:rPr>
            </w:pPr>
            <w:r>
              <w:rPr>
                <w:rFonts w:ascii="Times New Roman"/>
                <w:color w:val="auto"/>
                <w:sz w:val="21"/>
              </w:rPr>
              <w:t>170</w:t>
            </w:r>
          </w:p>
        </w:tc>
        <w:tc>
          <w:tcPr>
            <w:tcW w:w="1107" w:type="dxa"/>
          </w:tcPr>
          <w:p>
            <w:pPr>
              <w:pStyle w:val="51"/>
              <w:spacing w:before="175"/>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635" w:type="dxa"/>
          </w:tcPr>
          <w:p>
            <w:pPr>
              <w:pStyle w:val="51"/>
              <w:spacing w:before="8"/>
              <w:rPr>
                <w:b/>
                <w:color w:val="auto"/>
                <w:sz w:val="15"/>
              </w:rPr>
            </w:pPr>
          </w:p>
          <w:p>
            <w:pPr>
              <w:pStyle w:val="51"/>
              <w:ind w:left="8"/>
              <w:jc w:val="center"/>
              <w:rPr>
                <w:rFonts w:ascii="Times New Roman"/>
                <w:color w:val="auto"/>
                <w:sz w:val="21"/>
              </w:rPr>
            </w:pPr>
            <w:r>
              <w:rPr>
                <w:rFonts w:ascii="Times New Roman"/>
                <w:color w:val="auto"/>
                <w:w w:val="99"/>
                <w:sz w:val="21"/>
              </w:rPr>
              <w:t>7</w:t>
            </w:r>
          </w:p>
        </w:tc>
        <w:tc>
          <w:tcPr>
            <w:tcW w:w="2683" w:type="dxa"/>
          </w:tcPr>
          <w:p>
            <w:pPr>
              <w:pStyle w:val="51"/>
              <w:spacing w:before="31"/>
              <w:ind w:left="25" w:right="19"/>
              <w:jc w:val="center"/>
              <w:rPr>
                <w:color w:val="auto"/>
                <w:sz w:val="21"/>
              </w:rPr>
            </w:pPr>
            <w:r>
              <w:rPr>
                <w:color w:val="auto"/>
                <w:sz w:val="21"/>
              </w:rPr>
              <w:t>己二酸等多元酸单体，酸酐</w:t>
            </w:r>
          </w:p>
          <w:p>
            <w:pPr>
              <w:pStyle w:val="51"/>
              <w:spacing w:before="43"/>
              <w:ind w:left="25" w:right="19"/>
              <w:jc w:val="center"/>
              <w:rPr>
                <w:color w:val="auto"/>
                <w:sz w:val="21"/>
              </w:rPr>
            </w:pPr>
            <w:r>
              <w:rPr>
                <w:color w:val="auto"/>
                <w:sz w:val="21"/>
              </w:rPr>
              <w:t>单体</w:t>
            </w:r>
          </w:p>
        </w:tc>
        <w:tc>
          <w:tcPr>
            <w:tcW w:w="2765" w:type="dxa"/>
          </w:tcPr>
          <w:p>
            <w:pPr>
              <w:pStyle w:val="51"/>
              <w:spacing w:before="7"/>
              <w:rPr>
                <w:b/>
                <w:color w:val="auto"/>
                <w:sz w:val="14"/>
              </w:rPr>
            </w:pPr>
          </w:p>
          <w:p>
            <w:pPr>
              <w:pStyle w:val="51"/>
              <w:ind w:left="47" w:right="44"/>
              <w:jc w:val="center"/>
              <w:rPr>
                <w:color w:val="auto"/>
                <w:sz w:val="21"/>
              </w:rPr>
            </w:pPr>
            <w:r>
              <w:rPr>
                <w:color w:val="auto"/>
                <w:sz w:val="21"/>
              </w:rPr>
              <w:t>己二酸、苯酐、顺酐、酸酐</w:t>
            </w:r>
          </w:p>
        </w:tc>
        <w:tc>
          <w:tcPr>
            <w:tcW w:w="664" w:type="dxa"/>
          </w:tcPr>
          <w:p>
            <w:pPr>
              <w:pStyle w:val="51"/>
              <w:spacing w:before="7"/>
              <w:rPr>
                <w:b/>
                <w:color w:val="auto"/>
                <w:sz w:val="14"/>
              </w:rPr>
            </w:pPr>
          </w:p>
          <w:p>
            <w:pPr>
              <w:pStyle w:val="51"/>
              <w:ind w:left="9"/>
              <w:jc w:val="center"/>
              <w:rPr>
                <w:color w:val="auto"/>
                <w:sz w:val="21"/>
              </w:rPr>
            </w:pPr>
            <w:r>
              <w:rPr>
                <w:color w:val="auto"/>
                <w:w w:val="99"/>
                <w:sz w:val="21"/>
              </w:rPr>
              <w:t>吨</w:t>
            </w:r>
          </w:p>
        </w:tc>
        <w:tc>
          <w:tcPr>
            <w:tcW w:w="1063" w:type="dxa"/>
          </w:tcPr>
          <w:p>
            <w:pPr>
              <w:pStyle w:val="51"/>
              <w:spacing w:before="8"/>
              <w:rPr>
                <w:b/>
                <w:color w:val="auto"/>
                <w:sz w:val="15"/>
              </w:rPr>
            </w:pPr>
          </w:p>
          <w:p>
            <w:pPr>
              <w:pStyle w:val="51"/>
              <w:ind w:left="94" w:right="87"/>
              <w:jc w:val="center"/>
              <w:rPr>
                <w:rFonts w:ascii="Times New Roman"/>
                <w:color w:val="auto"/>
                <w:sz w:val="21"/>
              </w:rPr>
            </w:pPr>
            <w:r>
              <w:rPr>
                <w:rFonts w:ascii="Times New Roman"/>
                <w:color w:val="auto"/>
                <w:sz w:val="21"/>
              </w:rPr>
              <w:t>160</w:t>
            </w:r>
          </w:p>
        </w:tc>
        <w:tc>
          <w:tcPr>
            <w:tcW w:w="1107" w:type="dxa"/>
          </w:tcPr>
          <w:p>
            <w:pPr>
              <w:pStyle w:val="51"/>
              <w:spacing w:before="7"/>
              <w:rPr>
                <w:b/>
                <w:color w:val="auto"/>
                <w:sz w:val="14"/>
              </w:rPr>
            </w:pPr>
          </w:p>
          <w:p>
            <w:pPr>
              <w:pStyle w:val="51"/>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35" w:type="dxa"/>
          </w:tcPr>
          <w:p>
            <w:pPr>
              <w:pStyle w:val="51"/>
              <w:spacing w:before="185"/>
              <w:ind w:left="8"/>
              <w:jc w:val="center"/>
              <w:rPr>
                <w:rFonts w:ascii="Times New Roman"/>
                <w:color w:val="auto"/>
                <w:sz w:val="21"/>
              </w:rPr>
            </w:pPr>
            <w:r>
              <w:rPr>
                <w:rFonts w:ascii="Times New Roman"/>
                <w:color w:val="auto"/>
                <w:w w:val="99"/>
                <w:sz w:val="21"/>
              </w:rPr>
              <w:t>8</w:t>
            </w:r>
          </w:p>
        </w:tc>
        <w:tc>
          <w:tcPr>
            <w:tcW w:w="2683" w:type="dxa"/>
          </w:tcPr>
          <w:p>
            <w:pPr>
              <w:pStyle w:val="51"/>
              <w:spacing w:before="22"/>
              <w:ind w:left="25" w:right="19"/>
              <w:jc w:val="center"/>
              <w:rPr>
                <w:color w:val="auto"/>
                <w:sz w:val="21"/>
              </w:rPr>
            </w:pPr>
            <w:r>
              <w:rPr>
                <w:color w:val="auto"/>
                <w:sz w:val="21"/>
              </w:rPr>
              <w:t>聚醚，混合聚醚，烯丙基各</w:t>
            </w:r>
          </w:p>
          <w:p>
            <w:pPr>
              <w:pStyle w:val="51"/>
              <w:spacing w:before="43" w:line="261" w:lineRule="exact"/>
              <w:ind w:left="25" w:right="19"/>
              <w:jc w:val="center"/>
              <w:rPr>
                <w:color w:val="auto"/>
                <w:sz w:val="21"/>
              </w:rPr>
            </w:pPr>
            <w:r>
              <w:rPr>
                <w:color w:val="auto"/>
                <w:sz w:val="21"/>
              </w:rPr>
              <w:t>类聚醚</w:t>
            </w:r>
          </w:p>
        </w:tc>
        <w:tc>
          <w:tcPr>
            <w:tcW w:w="2765" w:type="dxa"/>
          </w:tcPr>
          <w:p>
            <w:pPr>
              <w:pStyle w:val="51"/>
              <w:spacing w:before="171"/>
              <w:ind w:left="50" w:right="44"/>
              <w:jc w:val="center"/>
              <w:rPr>
                <w:color w:val="auto"/>
                <w:sz w:val="21"/>
              </w:rPr>
            </w:pPr>
            <w:r>
              <w:rPr>
                <w:color w:val="auto"/>
                <w:sz w:val="21"/>
              </w:rPr>
              <w:t>聚乙二醇醚、聚丙二醇醚</w:t>
            </w:r>
          </w:p>
        </w:tc>
        <w:tc>
          <w:tcPr>
            <w:tcW w:w="664" w:type="dxa"/>
          </w:tcPr>
          <w:p>
            <w:pPr>
              <w:pStyle w:val="51"/>
              <w:spacing w:before="171"/>
              <w:ind w:left="9"/>
              <w:jc w:val="center"/>
              <w:rPr>
                <w:color w:val="auto"/>
                <w:sz w:val="21"/>
              </w:rPr>
            </w:pPr>
            <w:r>
              <w:rPr>
                <w:color w:val="auto"/>
                <w:w w:val="99"/>
                <w:sz w:val="21"/>
              </w:rPr>
              <w:t>吨</w:t>
            </w:r>
          </w:p>
        </w:tc>
        <w:tc>
          <w:tcPr>
            <w:tcW w:w="1063" w:type="dxa"/>
          </w:tcPr>
          <w:p>
            <w:pPr>
              <w:pStyle w:val="51"/>
              <w:spacing w:before="185"/>
              <w:ind w:left="97" w:right="87"/>
              <w:jc w:val="center"/>
              <w:rPr>
                <w:rFonts w:ascii="Times New Roman"/>
                <w:color w:val="auto"/>
                <w:sz w:val="21"/>
              </w:rPr>
            </w:pPr>
            <w:r>
              <w:rPr>
                <w:rFonts w:ascii="Times New Roman"/>
                <w:color w:val="auto"/>
                <w:sz w:val="21"/>
              </w:rPr>
              <w:t>1000</w:t>
            </w:r>
          </w:p>
        </w:tc>
        <w:tc>
          <w:tcPr>
            <w:tcW w:w="1107" w:type="dxa"/>
          </w:tcPr>
          <w:p>
            <w:pPr>
              <w:pStyle w:val="51"/>
              <w:spacing w:before="171"/>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635" w:type="dxa"/>
          </w:tcPr>
          <w:p>
            <w:pPr>
              <w:pStyle w:val="51"/>
              <w:spacing w:before="160"/>
              <w:ind w:left="8"/>
              <w:jc w:val="center"/>
              <w:rPr>
                <w:rFonts w:ascii="Times New Roman"/>
                <w:color w:val="auto"/>
                <w:sz w:val="21"/>
              </w:rPr>
            </w:pPr>
            <w:r>
              <w:rPr>
                <w:rFonts w:ascii="Times New Roman"/>
                <w:color w:val="auto"/>
                <w:w w:val="99"/>
                <w:sz w:val="21"/>
              </w:rPr>
              <w:t>9</w:t>
            </w:r>
          </w:p>
        </w:tc>
        <w:tc>
          <w:tcPr>
            <w:tcW w:w="2683" w:type="dxa"/>
          </w:tcPr>
          <w:p>
            <w:pPr>
              <w:pStyle w:val="51"/>
              <w:spacing w:before="21"/>
              <w:ind w:left="28" w:right="19"/>
              <w:jc w:val="center"/>
              <w:rPr>
                <w:color w:val="auto"/>
                <w:sz w:val="21"/>
              </w:rPr>
            </w:pPr>
            <w:r>
              <w:rPr>
                <w:color w:val="auto"/>
                <w:sz w:val="21"/>
              </w:rPr>
              <w:t>聚酯树脂，己内酯单体和树</w:t>
            </w:r>
          </w:p>
          <w:p>
            <w:pPr>
              <w:pStyle w:val="51"/>
              <w:spacing w:before="43" w:line="208" w:lineRule="exact"/>
              <w:ind w:left="9"/>
              <w:jc w:val="center"/>
              <w:rPr>
                <w:color w:val="auto"/>
                <w:sz w:val="21"/>
              </w:rPr>
            </w:pPr>
            <w:r>
              <w:rPr>
                <w:color w:val="auto"/>
                <w:w w:val="99"/>
                <w:sz w:val="21"/>
              </w:rPr>
              <w:t>脂</w:t>
            </w:r>
          </w:p>
        </w:tc>
        <w:tc>
          <w:tcPr>
            <w:tcW w:w="2765" w:type="dxa"/>
          </w:tcPr>
          <w:p>
            <w:pPr>
              <w:pStyle w:val="51"/>
              <w:spacing w:before="146"/>
              <w:ind w:left="52" w:right="44"/>
              <w:jc w:val="center"/>
              <w:rPr>
                <w:color w:val="auto"/>
                <w:sz w:val="21"/>
              </w:rPr>
            </w:pPr>
            <w:r>
              <w:rPr>
                <w:color w:val="auto"/>
                <w:sz w:val="21"/>
              </w:rPr>
              <w:t>己内酯及其聚醚树脂</w:t>
            </w:r>
          </w:p>
        </w:tc>
        <w:tc>
          <w:tcPr>
            <w:tcW w:w="664" w:type="dxa"/>
          </w:tcPr>
          <w:p>
            <w:pPr>
              <w:pStyle w:val="51"/>
              <w:spacing w:before="146"/>
              <w:ind w:left="9"/>
              <w:jc w:val="center"/>
              <w:rPr>
                <w:color w:val="auto"/>
                <w:sz w:val="21"/>
              </w:rPr>
            </w:pPr>
            <w:r>
              <w:rPr>
                <w:color w:val="auto"/>
                <w:w w:val="99"/>
                <w:sz w:val="21"/>
              </w:rPr>
              <w:t>吨</w:t>
            </w:r>
          </w:p>
        </w:tc>
        <w:tc>
          <w:tcPr>
            <w:tcW w:w="1063" w:type="dxa"/>
          </w:tcPr>
          <w:p>
            <w:pPr>
              <w:pStyle w:val="51"/>
              <w:spacing w:before="160"/>
              <w:ind w:left="94" w:right="87"/>
              <w:jc w:val="center"/>
              <w:rPr>
                <w:rFonts w:ascii="Times New Roman"/>
                <w:color w:val="auto"/>
                <w:sz w:val="21"/>
              </w:rPr>
            </w:pPr>
            <w:r>
              <w:rPr>
                <w:rFonts w:ascii="Times New Roman"/>
                <w:color w:val="auto"/>
                <w:sz w:val="21"/>
              </w:rPr>
              <w:t>180</w:t>
            </w:r>
          </w:p>
        </w:tc>
        <w:tc>
          <w:tcPr>
            <w:tcW w:w="1107" w:type="dxa"/>
          </w:tcPr>
          <w:p>
            <w:pPr>
              <w:pStyle w:val="51"/>
              <w:spacing w:before="146"/>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635" w:type="dxa"/>
          </w:tcPr>
          <w:p>
            <w:pPr>
              <w:pStyle w:val="51"/>
              <w:spacing w:before="172"/>
              <w:ind w:left="89" w:right="81"/>
              <w:jc w:val="center"/>
              <w:rPr>
                <w:rFonts w:ascii="Times New Roman"/>
                <w:color w:val="auto"/>
                <w:sz w:val="21"/>
              </w:rPr>
            </w:pPr>
            <w:r>
              <w:rPr>
                <w:rFonts w:ascii="Times New Roman"/>
                <w:color w:val="auto"/>
                <w:sz w:val="21"/>
              </w:rPr>
              <w:t>10</w:t>
            </w:r>
          </w:p>
        </w:tc>
        <w:tc>
          <w:tcPr>
            <w:tcW w:w="2683" w:type="dxa"/>
          </w:tcPr>
          <w:p>
            <w:pPr>
              <w:pStyle w:val="51"/>
              <w:spacing w:before="158"/>
              <w:ind w:left="28" w:right="19"/>
              <w:jc w:val="center"/>
              <w:rPr>
                <w:color w:val="auto"/>
                <w:sz w:val="21"/>
              </w:rPr>
            </w:pPr>
            <w:r>
              <w:rPr>
                <w:color w:val="auto"/>
                <w:sz w:val="21"/>
              </w:rPr>
              <w:t>聚氨酯单体</w:t>
            </w:r>
          </w:p>
        </w:tc>
        <w:tc>
          <w:tcPr>
            <w:tcW w:w="2765" w:type="dxa"/>
          </w:tcPr>
          <w:p>
            <w:pPr>
              <w:pStyle w:val="51"/>
              <w:spacing w:before="158"/>
              <w:ind w:left="55" w:right="42"/>
              <w:jc w:val="center"/>
              <w:rPr>
                <w:rFonts w:ascii="Times New Roman" w:eastAsia="Times New Roman"/>
                <w:color w:val="auto"/>
                <w:sz w:val="21"/>
              </w:rPr>
            </w:pPr>
            <w:r>
              <w:rPr>
                <w:rFonts w:ascii="Times New Roman" w:eastAsia="Times New Roman"/>
                <w:color w:val="auto"/>
                <w:sz w:val="21"/>
              </w:rPr>
              <w:t>TDI</w:t>
            </w:r>
            <w:r>
              <w:rPr>
                <w:color w:val="auto"/>
                <w:sz w:val="21"/>
              </w:rPr>
              <w:t>、</w:t>
            </w:r>
            <w:r>
              <w:rPr>
                <w:rFonts w:ascii="Times New Roman" w:eastAsia="Times New Roman"/>
                <w:color w:val="auto"/>
                <w:sz w:val="21"/>
              </w:rPr>
              <w:t>MDI</w:t>
            </w:r>
            <w:r>
              <w:rPr>
                <w:color w:val="auto"/>
                <w:sz w:val="21"/>
              </w:rPr>
              <w:t>、</w:t>
            </w:r>
            <w:r>
              <w:rPr>
                <w:rFonts w:ascii="Times New Roman" w:eastAsia="Times New Roman"/>
                <w:color w:val="auto"/>
                <w:sz w:val="21"/>
              </w:rPr>
              <w:t>HDI</w:t>
            </w:r>
            <w:r>
              <w:rPr>
                <w:color w:val="auto"/>
                <w:sz w:val="21"/>
              </w:rPr>
              <w:t>、</w:t>
            </w:r>
            <w:r>
              <w:rPr>
                <w:rFonts w:ascii="Times New Roman" w:eastAsia="Times New Roman"/>
                <w:color w:val="auto"/>
                <w:sz w:val="21"/>
              </w:rPr>
              <w:t>IPDI</w:t>
            </w:r>
          </w:p>
        </w:tc>
        <w:tc>
          <w:tcPr>
            <w:tcW w:w="664" w:type="dxa"/>
          </w:tcPr>
          <w:p>
            <w:pPr>
              <w:pStyle w:val="51"/>
              <w:spacing w:before="158"/>
              <w:ind w:left="9"/>
              <w:jc w:val="center"/>
              <w:rPr>
                <w:color w:val="auto"/>
                <w:sz w:val="21"/>
              </w:rPr>
            </w:pPr>
            <w:r>
              <w:rPr>
                <w:color w:val="auto"/>
                <w:w w:val="99"/>
                <w:sz w:val="21"/>
              </w:rPr>
              <w:t>吨</w:t>
            </w:r>
          </w:p>
        </w:tc>
        <w:tc>
          <w:tcPr>
            <w:tcW w:w="1063" w:type="dxa"/>
          </w:tcPr>
          <w:p>
            <w:pPr>
              <w:pStyle w:val="51"/>
              <w:spacing w:before="172"/>
              <w:ind w:left="94" w:right="87"/>
              <w:jc w:val="center"/>
              <w:rPr>
                <w:rFonts w:ascii="Times New Roman"/>
                <w:color w:val="auto"/>
                <w:sz w:val="21"/>
              </w:rPr>
            </w:pPr>
            <w:r>
              <w:rPr>
                <w:rFonts w:ascii="Times New Roman"/>
                <w:color w:val="auto"/>
                <w:sz w:val="21"/>
              </w:rPr>
              <w:t>170</w:t>
            </w:r>
          </w:p>
        </w:tc>
        <w:tc>
          <w:tcPr>
            <w:tcW w:w="1107" w:type="dxa"/>
          </w:tcPr>
          <w:p>
            <w:pPr>
              <w:pStyle w:val="51"/>
              <w:spacing w:before="158"/>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635" w:type="dxa"/>
          </w:tcPr>
          <w:p>
            <w:pPr>
              <w:pStyle w:val="51"/>
              <w:spacing w:before="100"/>
              <w:ind w:left="89" w:right="81"/>
              <w:jc w:val="center"/>
              <w:rPr>
                <w:rFonts w:ascii="Times New Roman"/>
                <w:color w:val="auto"/>
                <w:sz w:val="21"/>
              </w:rPr>
            </w:pPr>
            <w:r>
              <w:rPr>
                <w:rFonts w:ascii="Times New Roman"/>
                <w:color w:val="auto"/>
                <w:sz w:val="21"/>
              </w:rPr>
              <w:t>11</w:t>
            </w:r>
          </w:p>
        </w:tc>
        <w:tc>
          <w:tcPr>
            <w:tcW w:w="2683" w:type="dxa"/>
          </w:tcPr>
          <w:p>
            <w:pPr>
              <w:pStyle w:val="51"/>
              <w:spacing w:before="86"/>
              <w:ind w:left="28" w:right="19"/>
              <w:jc w:val="center"/>
              <w:rPr>
                <w:color w:val="auto"/>
                <w:sz w:val="21"/>
              </w:rPr>
            </w:pPr>
            <w:r>
              <w:rPr>
                <w:color w:val="auto"/>
                <w:sz w:val="21"/>
              </w:rPr>
              <w:t>聚氨酯树脂，固化剂</w:t>
            </w:r>
          </w:p>
        </w:tc>
        <w:tc>
          <w:tcPr>
            <w:tcW w:w="2765" w:type="dxa"/>
          </w:tcPr>
          <w:p>
            <w:pPr>
              <w:pStyle w:val="51"/>
              <w:spacing w:before="100"/>
              <w:ind w:left="8"/>
              <w:jc w:val="center"/>
              <w:rPr>
                <w:rFonts w:ascii="Times New Roman"/>
                <w:color w:val="auto"/>
                <w:sz w:val="21"/>
              </w:rPr>
            </w:pPr>
            <w:r>
              <w:rPr>
                <w:rFonts w:ascii="Times New Roman"/>
                <w:color w:val="auto"/>
                <w:w w:val="99"/>
                <w:sz w:val="21"/>
              </w:rPr>
              <w:t>-</w:t>
            </w:r>
          </w:p>
        </w:tc>
        <w:tc>
          <w:tcPr>
            <w:tcW w:w="664" w:type="dxa"/>
          </w:tcPr>
          <w:p>
            <w:pPr>
              <w:pStyle w:val="51"/>
              <w:spacing w:before="86"/>
              <w:ind w:left="9"/>
              <w:jc w:val="center"/>
              <w:rPr>
                <w:color w:val="auto"/>
                <w:sz w:val="21"/>
              </w:rPr>
            </w:pPr>
            <w:r>
              <w:rPr>
                <w:color w:val="auto"/>
                <w:w w:val="99"/>
                <w:sz w:val="21"/>
              </w:rPr>
              <w:t>吨</w:t>
            </w:r>
          </w:p>
        </w:tc>
        <w:tc>
          <w:tcPr>
            <w:tcW w:w="1063" w:type="dxa"/>
          </w:tcPr>
          <w:p>
            <w:pPr>
              <w:pStyle w:val="51"/>
              <w:spacing w:before="100"/>
              <w:ind w:left="97" w:right="87"/>
              <w:jc w:val="center"/>
              <w:rPr>
                <w:rFonts w:ascii="Times New Roman"/>
                <w:color w:val="auto"/>
                <w:sz w:val="21"/>
              </w:rPr>
            </w:pPr>
            <w:r>
              <w:rPr>
                <w:rFonts w:ascii="Times New Roman"/>
                <w:color w:val="auto"/>
                <w:sz w:val="21"/>
              </w:rPr>
              <w:t>1000</w:t>
            </w:r>
          </w:p>
        </w:tc>
        <w:tc>
          <w:tcPr>
            <w:tcW w:w="1107" w:type="dxa"/>
          </w:tcPr>
          <w:p>
            <w:pPr>
              <w:pStyle w:val="51"/>
              <w:spacing w:before="86"/>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635" w:type="dxa"/>
          </w:tcPr>
          <w:p>
            <w:pPr>
              <w:pStyle w:val="51"/>
              <w:spacing w:before="100"/>
              <w:ind w:left="89" w:right="81"/>
              <w:jc w:val="center"/>
              <w:rPr>
                <w:rFonts w:ascii="Times New Roman"/>
                <w:color w:val="auto"/>
                <w:sz w:val="21"/>
              </w:rPr>
            </w:pPr>
            <w:r>
              <w:rPr>
                <w:rFonts w:ascii="Times New Roman"/>
                <w:color w:val="auto"/>
                <w:sz w:val="21"/>
              </w:rPr>
              <w:t>12</w:t>
            </w:r>
          </w:p>
        </w:tc>
        <w:tc>
          <w:tcPr>
            <w:tcW w:w="2683" w:type="dxa"/>
          </w:tcPr>
          <w:p>
            <w:pPr>
              <w:pStyle w:val="51"/>
              <w:spacing w:before="86"/>
              <w:ind w:left="25" w:right="19"/>
              <w:jc w:val="center"/>
              <w:rPr>
                <w:color w:val="auto"/>
                <w:sz w:val="21"/>
              </w:rPr>
            </w:pPr>
            <w:r>
              <w:rPr>
                <w:color w:val="auto"/>
                <w:sz w:val="21"/>
              </w:rPr>
              <w:t>各类有机硅单体</w:t>
            </w:r>
          </w:p>
        </w:tc>
        <w:tc>
          <w:tcPr>
            <w:tcW w:w="2765" w:type="dxa"/>
          </w:tcPr>
          <w:p>
            <w:pPr>
              <w:pStyle w:val="51"/>
              <w:spacing w:before="100"/>
              <w:ind w:left="8"/>
              <w:jc w:val="center"/>
              <w:rPr>
                <w:rFonts w:ascii="Times New Roman"/>
                <w:color w:val="auto"/>
                <w:sz w:val="21"/>
              </w:rPr>
            </w:pPr>
            <w:r>
              <w:rPr>
                <w:rFonts w:ascii="Times New Roman"/>
                <w:color w:val="auto"/>
                <w:w w:val="99"/>
                <w:sz w:val="21"/>
              </w:rPr>
              <w:t>-</w:t>
            </w:r>
          </w:p>
        </w:tc>
        <w:tc>
          <w:tcPr>
            <w:tcW w:w="664" w:type="dxa"/>
          </w:tcPr>
          <w:p>
            <w:pPr>
              <w:pStyle w:val="51"/>
              <w:spacing w:before="86"/>
              <w:ind w:left="9"/>
              <w:jc w:val="center"/>
              <w:rPr>
                <w:color w:val="auto"/>
                <w:sz w:val="21"/>
              </w:rPr>
            </w:pPr>
            <w:r>
              <w:rPr>
                <w:color w:val="auto"/>
                <w:w w:val="99"/>
                <w:sz w:val="21"/>
              </w:rPr>
              <w:t>吨</w:t>
            </w:r>
          </w:p>
        </w:tc>
        <w:tc>
          <w:tcPr>
            <w:tcW w:w="1063" w:type="dxa"/>
          </w:tcPr>
          <w:p>
            <w:pPr>
              <w:pStyle w:val="51"/>
              <w:spacing w:before="100"/>
              <w:ind w:left="94" w:right="87"/>
              <w:jc w:val="center"/>
              <w:rPr>
                <w:rFonts w:ascii="Times New Roman"/>
                <w:color w:val="auto"/>
                <w:sz w:val="21"/>
              </w:rPr>
            </w:pPr>
            <w:r>
              <w:rPr>
                <w:rFonts w:ascii="Times New Roman"/>
                <w:color w:val="auto"/>
                <w:sz w:val="21"/>
              </w:rPr>
              <w:t>850</w:t>
            </w:r>
          </w:p>
        </w:tc>
        <w:tc>
          <w:tcPr>
            <w:tcW w:w="1107" w:type="dxa"/>
          </w:tcPr>
          <w:p>
            <w:pPr>
              <w:pStyle w:val="51"/>
              <w:spacing w:before="86"/>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tcPr>
          <w:p>
            <w:pPr>
              <w:pStyle w:val="51"/>
              <w:spacing w:before="100"/>
              <w:ind w:left="89" w:right="81"/>
              <w:jc w:val="center"/>
              <w:rPr>
                <w:rFonts w:ascii="Times New Roman"/>
                <w:color w:val="auto"/>
                <w:sz w:val="21"/>
              </w:rPr>
            </w:pPr>
            <w:r>
              <w:rPr>
                <w:rFonts w:ascii="Times New Roman"/>
                <w:color w:val="auto"/>
                <w:sz w:val="21"/>
              </w:rPr>
              <w:t>13</w:t>
            </w:r>
          </w:p>
        </w:tc>
        <w:tc>
          <w:tcPr>
            <w:tcW w:w="2683" w:type="dxa"/>
          </w:tcPr>
          <w:p>
            <w:pPr>
              <w:pStyle w:val="51"/>
              <w:spacing w:before="86"/>
              <w:ind w:left="28" w:right="19"/>
              <w:jc w:val="center"/>
              <w:rPr>
                <w:color w:val="auto"/>
                <w:sz w:val="21"/>
              </w:rPr>
            </w:pPr>
            <w:r>
              <w:rPr>
                <w:color w:val="auto"/>
                <w:sz w:val="21"/>
              </w:rPr>
              <w:t>机硅树脂，各类硅油</w:t>
            </w:r>
          </w:p>
        </w:tc>
        <w:tc>
          <w:tcPr>
            <w:tcW w:w="2765" w:type="dxa"/>
          </w:tcPr>
          <w:p>
            <w:pPr>
              <w:pStyle w:val="51"/>
              <w:spacing w:before="100"/>
              <w:ind w:left="8"/>
              <w:jc w:val="center"/>
              <w:rPr>
                <w:rFonts w:ascii="Times New Roman"/>
                <w:color w:val="auto"/>
                <w:sz w:val="21"/>
              </w:rPr>
            </w:pPr>
            <w:r>
              <w:rPr>
                <w:rFonts w:ascii="Times New Roman"/>
                <w:color w:val="auto"/>
                <w:w w:val="99"/>
                <w:sz w:val="21"/>
              </w:rPr>
              <w:t>-</w:t>
            </w:r>
          </w:p>
        </w:tc>
        <w:tc>
          <w:tcPr>
            <w:tcW w:w="664" w:type="dxa"/>
          </w:tcPr>
          <w:p>
            <w:pPr>
              <w:pStyle w:val="51"/>
              <w:spacing w:before="86"/>
              <w:ind w:left="9"/>
              <w:jc w:val="center"/>
              <w:rPr>
                <w:color w:val="auto"/>
                <w:sz w:val="21"/>
              </w:rPr>
            </w:pPr>
            <w:r>
              <w:rPr>
                <w:color w:val="auto"/>
                <w:w w:val="99"/>
                <w:sz w:val="21"/>
              </w:rPr>
              <w:t>吨</w:t>
            </w:r>
          </w:p>
        </w:tc>
        <w:tc>
          <w:tcPr>
            <w:tcW w:w="1063" w:type="dxa"/>
          </w:tcPr>
          <w:p>
            <w:pPr>
              <w:pStyle w:val="51"/>
              <w:spacing w:before="100"/>
              <w:ind w:left="97" w:right="87"/>
              <w:jc w:val="center"/>
              <w:rPr>
                <w:rFonts w:ascii="Times New Roman"/>
                <w:color w:val="auto"/>
                <w:sz w:val="21"/>
              </w:rPr>
            </w:pPr>
            <w:r>
              <w:rPr>
                <w:rFonts w:ascii="Times New Roman"/>
                <w:color w:val="auto"/>
                <w:sz w:val="21"/>
              </w:rPr>
              <w:t>1500</w:t>
            </w:r>
          </w:p>
        </w:tc>
        <w:tc>
          <w:tcPr>
            <w:tcW w:w="1107" w:type="dxa"/>
          </w:tcPr>
          <w:p>
            <w:pPr>
              <w:pStyle w:val="51"/>
              <w:spacing w:before="86"/>
              <w:ind w:left="118" w:right="111"/>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96"/>
              <w:ind w:left="89" w:leftChars="0" w:right="81" w:rightChars="0"/>
              <w:jc w:val="center"/>
              <w:rPr>
                <w:rFonts w:ascii="Times New Roman"/>
                <w:color w:val="auto"/>
                <w:sz w:val="21"/>
              </w:rPr>
            </w:pPr>
            <w:r>
              <w:rPr>
                <w:rFonts w:ascii="Times New Roman"/>
                <w:color w:val="auto"/>
                <w:sz w:val="21"/>
              </w:rPr>
              <w:t>14</w:t>
            </w:r>
          </w:p>
        </w:tc>
        <w:tc>
          <w:tcPr>
            <w:tcW w:w="2683" w:type="dxa"/>
            <w:vAlign w:val="top"/>
          </w:tcPr>
          <w:p>
            <w:pPr>
              <w:pStyle w:val="51"/>
              <w:spacing w:before="9"/>
              <w:rPr>
                <w:rFonts w:ascii="Times New Roman"/>
                <w:color w:val="auto"/>
                <w:sz w:val="15"/>
              </w:rPr>
            </w:pPr>
          </w:p>
          <w:p>
            <w:pPr>
              <w:pStyle w:val="51"/>
              <w:ind w:left="28" w:leftChars="0" w:right="19" w:rightChars="0"/>
              <w:jc w:val="center"/>
              <w:rPr>
                <w:color w:val="auto"/>
                <w:sz w:val="21"/>
              </w:rPr>
            </w:pPr>
            <w:r>
              <w:rPr>
                <w:color w:val="auto"/>
                <w:sz w:val="21"/>
              </w:rPr>
              <w:t>有机氟单体</w:t>
            </w:r>
          </w:p>
        </w:tc>
        <w:tc>
          <w:tcPr>
            <w:tcW w:w="2765" w:type="dxa"/>
            <w:vAlign w:val="top"/>
          </w:tcPr>
          <w:p>
            <w:pPr>
              <w:pStyle w:val="51"/>
              <w:spacing w:before="26"/>
              <w:ind w:left="47" w:right="44"/>
              <w:jc w:val="center"/>
              <w:rPr>
                <w:color w:val="auto"/>
                <w:sz w:val="21"/>
              </w:rPr>
            </w:pPr>
            <w:r>
              <w:rPr>
                <w:color w:val="auto"/>
                <w:sz w:val="21"/>
              </w:rPr>
              <w:t>全氟烷基丙烯酸酯、全氟烷</w:t>
            </w:r>
          </w:p>
          <w:p>
            <w:pPr>
              <w:pStyle w:val="51"/>
              <w:spacing w:before="43"/>
              <w:ind w:left="47" w:leftChars="0" w:right="44" w:rightChars="0"/>
              <w:jc w:val="center"/>
              <w:rPr>
                <w:rFonts w:ascii="Times New Roman"/>
                <w:color w:val="auto"/>
                <w:w w:val="99"/>
                <w:sz w:val="21"/>
              </w:rPr>
            </w:pPr>
            <w:r>
              <w:rPr>
                <w:color w:val="auto"/>
                <w:sz w:val="21"/>
              </w:rPr>
              <w:t>基醇聚醚</w:t>
            </w:r>
          </w:p>
        </w:tc>
        <w:tc>
          <w:tcPr>
            <w:tcW w:w="664" w:type="dxa"/>
            <w:vAlign w:val="top"/>
          </w:tcPr>
          <w:p>
            <w:pPr>
              <w:pStyle w:val="51"/>
              <w:spacing w:before="9"/>
              <w:rPr>
                <w:rFonts w:ascii="Times New Roman"/>
                <w:color w:val="auto"/>
                <w:sz w:val="15"/>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196"/>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9"/>
              <w:rPr>
                <w:rFonts w:ascii="Times New Roman"/>
                <w:color w:val="auto"/>
                <w:sz w:val="15"/>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15</w:t>
            </w:r>
          </w:p>
        </w:tc>
        <w:tc>
          <w:tcPr>
            <w:tcW w:w="2683" w:type="dxa"/>
            <w:vAlign w:val="top"/>
          </w:tcPr>
          <w:p>
            <w:pPr>
              <w:pStyle w:val="51"/>
              <w:spacing w:before="20"/>
              <w:ind w:left="31" w:right="12"/>
              <w:jc w:val="center"/>
              <w:rPr>
                <w:color w:val="auto"/>
                <w:sz w:val="21"/>
              </w:rPr>
            </w:pPr>
            <w:r>
              <w:rPr>
                <w:color w:val="auto"/>
                <w:sz w:val="21"/>
              </w:rPr>
              <w:t>有机氟树脂（聚四氟乙烯，</w:t>
            </w:r>
          </w:p>
          <w:p>
            <w:pPr>
              <w:pStyle w:val="51"/>
              <w:spacing w:before="43" w:line="222" w:lineRule="exact"/>
              <w:ind w:left="25" w:leftChars="0" w:right="19" w:rightChars="0"/>
              <w:jc w:val="center"/>
              <w:rPr>
                <w:color w:val="auto"/>
                <w:sz w:val="21"/>
              </w:rPr>
            </w:pPr>
            <w:r>
              <w:rPr>
                <w:color w:val="auto"/>
                <w:sz w:val="21"/>
              </w:rPr>
              <w:t>聚偏氟乙烯等）</w:t>
            </w:r>
          </w:p>
        </w:tc>
        <w:tc>
          <w:tcPr>
            <w:tcW w:w="2765" w:type="dxa"/>
            <w:vAlign w:val="top"/>
          </w:tcPr>
          <w:p>
            <w:pPr>
              <w:pStyle w:val="51"/>
              <w:spacing w:before="166"/>
              <w:ind w:left="8" w:leftChars="0"/>
              <w:jc w:val="center"/>
              <w:rPr>
                <w:rFonts w:ascii="Times New Roman"/>
                <w:color w:val="auto"/>
                <w:w w:val="99"/>
                <w:sz w:val="21"/>
              </w:rPr>
            </w:pPr>
            <w:r>
              <w:rPr>
                <w:rFonts w:ascii="Times New Roman"/>
                <w:color w:val="auto"/>
                <w:w w:val="99"/>
                <w:sz w:val="21"/>
              </w:rPr>
              <w:t>-</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87"/>
              <w:ind w:left="89" w:leftChars="0" w:right="81" w:rightChars="0"/>
              <w:jc w:val="center"/>
              <w:rPr>
                <w:rFonts w:ascii="Times New Roman"/>
                <w:color w:val="auto"/>
                <w:sz w:val="21"/>
              </w:rPr>
            </w:pPr>
            <w:r>
              <w:rPr>
                <w:rFonts w:ascii="Times New Roman"/>
                <w:color w:val="auto"/>
                <w:sz w:val="21"/>
              </w:rPr>
              <w:t>16</w:t>
            </w:r>
          </w:p>
        </w:tc>
        <w:tc>
          <w:tcPr>
            <w:tcW w:w="2683" w:type="dxa"/>
            <w:vAlign w:val="top"/>
          </w:tcPr>
          <w:p>
            <w:pPr>
              <w:pStyle w:val="51"/>
              <w:spacing w:before="22"/>
              <w:ind w:left="28" w:right="19"/>
              <w:jc w:val="center"/>
              <w:rPr>
                <w:color w:val="auto"/>
                <w:sz w:val="21"/>
              </w:rPr>
            </w:pPr>
            <w:r>
              <w:rPr>
                <w:color w:val="auto"/>
                <w:sz w:val="21"/>
              </w:rPr>
              <w:t>有机胺单体（各类咪唑，乙</w:t>
            </w:r>
          </w:p>
          <w:p>
            <w:pPr>
              <w:pStyle w:val="51"/>
              <w:spacing w:before="43" w:line="260" w:lineRule="exact"/>
              <w:ind w:left="25" w:leftChars="0" w:right="19" w:rightChars="0"/>
              <w:jc w:val="center"/>
              <w:rPr>
                <w:color w:val="auto"/>
                <w:sz w:val="21"/>
              </w:rPr>
            </w:pPr>
            <w:r>
              <w:rPr>
                <w:color w:val="auto"/>
                <w:sz w:val="21"/>
              </w:rPr>
              <w:t>醇胺，叔胺等）</w:t>
            </w:r>
          </w:p>
        </w:tc>
        <w:tc>
          <w:tcPr>
            <w:tcW w:w="2765" w:type="dxa"/>
            <w:vAlign w:val="top"/>
          </w:tcPr>
          <w:p>
            <w:pPr>
              <w:pStyle w:val="51"/>
              <w:spacing w:before="22"/>
              <w:ind w:left="47" w:right="44"/>
              <w:jc w:val="center"/>
              <w:rPr>
                <w:color w:val="auto"/>
                <w:sz w:val="21"/>
              </w:rPr>
            </w:pPr>
            <w:r>
              <w:rPr>
                <w:color w:val="auto"/>
                <w:sz w:val="21"/>
              </w:rPr>
              <w:t>咪唑、三乙醇胺、二甲基乙</w:t>
            </w:r>
          </w:p>
          <w:p>
            <w:pPr>
              <w:pStyle w:val="51"/>
              <w:spacing w:before="43" w:line="260" w:lineRule="exact"/>
              <w:ind w:left="53" w:leftChars="0" w:right="44" w:rightChars="0"/>
              <w:jc w:val="center"/>
              <w:rPr>
                <w:rFonts w:ascii="Times New Roman"/>
                <w:color w:val="auto"/>
                <w:w w:val="99"/>
                <w:sz w:val="21"/>
              </w:rPr>
            </w:pPr>
            <w:r>
              <w:rPr>
                <w:color w:val="auto"/>
                <w:sz w:val="21"/>
              </w:rPr>
              <w:t>醇胺、</w:t>
            </w:r>
            <w:r>
              <w:rPr>
                <w:rFonts w:ascii="Times New Roman" w:eastAsia="Times New Roman"/>
                <w:color w:val="auto"/>
                <w:sz w:val="21"/>
              </w:rPr>
              <w:t>AMP95</w:t>
            </w:r>
          </w:p>
        </w:tc>
        <w:tc>
          <w:tcPr>
            <w:tcW w:w="664" w:type="dxa"/>
            <w:vAlign w:val="top"/>
          </w:tcPr>
          <w:p>
            <w:pPr>
              <w:pStyle w:val="51"/>
              <w:spacing w:before="173"/>
              <w:ind w:left="9" w:leftChars="0"/>
              <w:jc w:val="center"/>
              <w:rPr>
                <w:color w:val="auto"/>
                <w:w w:val="99"/>
                <w:sz w:val="21"/>
              </w:rPr>
            </w:pPr>
            <w:r>
              <w:rPr>
                <w:color w:val="auto"/>
                <w:w w:val="99"/>
                <w:sz w:val="21"/>
              </w:rPr>
              <w:t>吨</w:t>
            </w:r>
          </w:p>
        </w:tc>
        <w:tc>
          <w:tcPr>
            <w:tcW w:w="1063" w:type="dxa"/>
            <w:vAlign w:val="top"/>
          </w:tcPr>
          <w:p>
            <w:pPr>
              <w:pStyle w:val="51"/>
              <w:spacing w:before="187"/>
              <w:ind w:left="94" w:leftChars="0" w:right="87" w:rightChars="0"/>
              <w:jc w:val="center"/>
              <w:rPr>
                <w:rFonts w:ascii="Times New Roman"/>
                <w:color w:val="auto"/>
                <w:sz w:val="21"/>
              </w:rPr>
            </w:pPr>
            <w:r>
              <w:rPr>
                <w:rFonts w:ascii="Times New Roman"/>
                <w:color w:val="auto"/>
                <w:sz w:val="21"/>
              </w:rPr>
              <w:t>175</w:t>
            </w:r>
          </w:p>
        </w:tc>
        <w:tc>
          <w:tcPr>
            <w:tcW w:w="1107" w:type="dxa"/>
            <w:vAlign w:val="top"/>
          </w:tcPr>
          <w:p>
            <w:pPr>
              <w:pStyle w:val="51"/>
              <w:spacing w:before="17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96"/>
              <w:ind w:left="89" w:leftChars="0" w:right="81" w:rightChars="0"/>
              <w:jc w:val="center"/>
              <w:rPr>
                <w:rFonts w:ascii="Times New Roman"/>
                <w:color w:val="auto"/>
                <w:sz w:val="21"/>
              </w:rPr>
            </w:pPr>
            <w:r>
              <w:rPr>
                <w:rFonts w:ascii="Times New Roman"/>
                <w:color w:val="auto"/>
                <w:sz w:val="21"/>
              </w:rPr>
              <w:t>17</w:t>
            </w:r>
          </w:p>
        </w:tc>
        <w:tc>
          <w:tcPr>
            <w:tcW w:w="2683" w:type="dxa"/>
            <w:vAlign w:val="top"/>
          </w:tcPr>
          <w:p>
            <w:pPr>
              <w:pStyle w:val="51"/>
              <w:spacing w:before="10"/>
              <w:rPr>
                <w:rFonts w:ascii="Times New Roman"/>
                <w:color w:val="auto"/>
                <w:sz w:val="15"/>
              </w:rPr>
            </w:pPr>
          </w:p>
          <w:p>
            <w:pPr>
              <w:pStyle w:val="51"/>
              <w:ind w:left="25" w:leftChars="0" w:right="19" w:rightChars="0"/>
              <w:jc w:val="center"/>
              <w:rPr>
                <w:color w:val="auto"/>
                <w:sz w:val="21"/>
              </w:rPr>
            </w:pPr>
            <w:r>
              <w:rPr>
                <w:color w:val="auto"/>
                <w:sz w:val="21"/>
              </w:rPr>
              <w:t>多乙烯多胺单体和低聚体</w:t>
            </w:r>
          </w:p>
        </w:tc>
        <w:tc>
          <w:tcPr>
            <w:tcW w:w="2765" w:type="dxa"/>
            <w:vAlign w:val="top"/>
          </w:tcPr>
          <w:p>
            <w:pPr>
              <w:pStyle w:val="51"/>
              <w:spacing w:before="10"/>
              <w:rPr>
                <w:rFonts w:ascii="Times New Roman"/>
                <w:color w:val="auto"/>
                <w:sz w:val="15"/>
              </w:rPr>
            </w:pPr>
          </w:p>
          <w:p>
            <w:pPr>
              <w:pStyle w:val="51"/>
              <w:ind w:left="47" w:leftChars="0" w:right="44" w:rightChars="0"/>
              <w:jc w:val="center"/>
              <w:rPr>
                <w:rFonts w:ascii="Times New Roman"/>
                <w:color w:val="auto"/>
                <w:w w:val="99"/>
                <w:sz w:val="21"/>
              </w:rPr>
            </w:pPr>
            <w:r>
              <w:rPr>
                <w:color w:val="auto"/>
                <w:sz w:val="21"/>
              </w:rPr>
              <w:t>二乙烯三胺、聚多乙烯多胺</w:t>
            </w:r>
          </w:p>
        </w:tc>
        <w:tc>
          <w:tcPr>
            <w:tcW w:w="664" w:type="dxa"/>
            <w:vAlign w:val="top"/>
          </w:tcPr>
          <w:p>
            <w:pPr>
              <w:pStyle w:val="51"/>
              <w:spacing w:before="10"/>
              <w:rPr>
                <w:rFonts w:ascii="Times New Roman"/>
                <w:color w:val="auto"/>
                <w:sz w:val="15"/>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196"/>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10"/>
              <w:rPr>
                <w:rFonts w:ascii="Times New Roman"/>
                <w:color w:val="auto"/>
                <w:sz w:val="15"/>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18</w:t>
            </w:r>
          </w:p>
        </w:tc>
        <w:tc>
          <w:tcPr>
            <w:tcW w:w="2683" w:type="dxa"/>
            <w:vAlign w:val="top"/>
          </w:tcPr>
          <w:p>
            <w:pPr>
              <w:pStyle w:val="51"/>
              <w:spacing w:before="86"/>
              <w:ind w:left="25" w:leftChars="0" w:right="19" w:rightChars="0"/>
              <w:jc w:val="center"/>
              <w:rPr>
                <w:color w:val="auto"/>
                <w:sz w:val="21"/>
              </w:rPr>
            </w:pPr>
            <w:r>
              <w:rPr>
                <w:color w:val="auto"/>
                <w:sz w:val="21"/>
              </w:rPr>
              <w:t>聚合胺树脂，聚醚胺树脂</w:t>
            </w:r>
          </w:p>
        </w:tc>
        <w:tc>
          <w:tcPr>
            <w:tcW w:w="2765" w:type="dxa"/>
            <w:vAlign w:val="top"/>
          </w:tcPr>
          <w:p>
            <w:pPr>
              <w:pStyle w:val="51"/>
              <w:spacing w:before="100"/>
              <w:ind w:left="8" w:leftChars="0"/>
              <w:jc w:val="center"/>
              <w:rPr>
                <w:rFonts w:ascii="Times New Roman"/>
                <w:color w:val="auto"/>
                <w:w w:val="99"/>
                <w:sz w:val="21"/>
              </w:rPr>
            </w:pPr>
            <w:r>
              <w:rPr>
                <w:rFonts w:ascii="Times New Roman"/>
                <w:color w:val="auto"/>
                <w:w w:val="99"/>
                <w:sz w:val="21"/>
              </w:rPr>
              <w:t>-</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2"/>
              <w:ind w:left="89" w:leftChars="0" w:right="81" w:rightChars="0"/>
              <w:jc w:val="center"/>
              <w:rPr>
                <w:rFonts w:ascii="Times New Roman"/>
                <w:color w:val="auto"/>
                <w:sz w:val="21"/>
              </w:rPr>
            </w:pPr>
            <w:r>
              <w:rPr>
                <w:rFonts w:ascii="Times New Roman"/>
                <w:color w:val="auto"/>
                <w:sz w:val="21"/>
              </w:rPr>
              <w:t>19</w:t>
            </w:r>
          </w:p>
        </w:tc>
        <w:tc>
          <w:tcPr>
            <w:tcW w:w="2683" w:type="dxa"/>
            <w:vAlign w:val="top"/>
          </w:tcPr>
          <w:p>
            <w:pPr>
              <w:pStyle w:val="51"/>
              <w:spacing w:before="88"/>
              <w:ind w:left="28" w:leftChars="0" w:right="19" w:rightChars="0"/>
              <w:jc w:val="center"/>
              <w:rPr>
                <w:color w:val="auto"/>
                <w:sz w:val="21"/>
              </w:rPr>
            </w:pPr>
            <w:r>
              <w:rPr>
                <w:color w:val="auto"/>
                <w:sz w:val="21"/>
              </w:rPr>
              <w:t>聚酰胺单体和树脂</w:t>
            </w:r>
          </w:p>
        </w:tc>
        <w:tc>
          <w:tcPr>
            <w:tcW w:w="2765" w:type="dxa"/>
            <w:vAlign w:val="top"/>
          </w:tcPr>
          <w:p>
            <w:pPr>
              <w:pStyle w:val="51"/>
              <w:spacing w:before="102"/>
              <w:ind w:left="8" w:leftChars="0"/>
              <w:jc w:val="center"/>
              <w:rPr>
                <w:rFonts w:ascii="Times New Roman"/>
                <w:color w:val="auto"/>
                <w:w w:val="99"/>
                <w:sz w:val="21"/>
              </w:rPr>
            </w:pPr>
            <w:r>
              <w:rPr>
                <w:rFonts w:ascii="Times New Roman"/>
                <w:color w:val="auto"/>
                <w:w w:val="99"/>
                <w:sz w:val="21"/>
              </w:rPr>
              <w:t>-</w:t>
            </w:r>
          </w:p>
        </w:tc>
        <w:tc>
          <w:tcPr>
            <w:tcW w:w="664" w:type="dxa"/>
            <w:vAlign w:val="top"/>
          </w:tcPr>
          <w:p>
            <w:pPr>
              <w:pStyle w:val="51"/>
              <w:spacing w:before="88"/>
              <w:ind w:left="9" w:leftChars="0"/>
              <w:jc w:val="center"/>
              <w:rPr>
                <w:color w:val="auto"/>
                <w:w w:val="99"/>
                <w:sz w:val="21"/>
              </w:rPr>
            </w:pPr>
            <w:r>
              <w:rPr>
                <w:color w:val="auto"/>
                <w:w w:val="99"/>
                <w:sz w:val="21"/>
              </w:rPr>
              <w:t>吨</w:t>
            </w:r>
          </w:p>
        </w:tc>
        <w:tc>
          <w:tcPr>
            <w:tcW w:w="1063" w:type="dxa"/>
            <w:vAlign w:val="top"/>
          </w:tcPr>
          <w:p>
            <w:pPr>
              <w:pStyle w:val="51"/>
              <w:spacing w:before="102"/>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88"/>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73"/>
              <w:ind w:left="89" w:leftChars="0" w:right="81" w:rightChars="0"/>
              <w:jc w:val="center"/>
              <w:rPr>
                <w:rFonts w:ascii="Times New Roman"/>
                <w:color w:val="auto"/>
                <w:sz w:val="21"/>
              </w:rPr>
            </w:pPr>
            <w:r>
              <w:rPr>
                <w:rFonts w:ascii="Times New Roman"/>
                <w:color w:val="auto"/>
                <w:sz w:val="21"/>
              </w:rPr>
              <w:t>20</w:t>
            </w:r>
          </w:p>
        </w:tc>
        <w:tc>
          <w:tcPr>
            <w:tcW w:w="2683" w:type="dxa"/>
            <w:vAlign w:val="top"/>
          </w:tcPr>
          <w:p>
            <w:pPr>
              <w:pStyle w:val="51"/>
              <w:spacing w:before="159"/>
              <w:ind w:left="28" w:leftChars="0" w:right="19" w:rightChars="0"/>
              <w:jc w:val="center"/>
              <w:rPr>
                <w:color w:val="auto"/>
                <w:sz w:val="21"/>
              </w:rPr>
            </w:pPr>
            <w:r>
              <w:rPr>
                <w:color w:val="auto"/>
                <w:sz w:val="21"/>
              </w:rPr>
              <w:t>聚烯烃树脂</w:t>
            </w:r>
          </w:p>
        </w:tc>
        <w:tc>
          <w:tcPr>
            <w:tcW w:w="2765" w:type="dxa"/>
            <w:vAlign w:val="top"/>
          </w:tcPr>
          <w:p>
            <w:pPr>
              <w:pStyle w:val="51"/>
              <w:spacing w:before="159"/>
              <w:ind w:left="47" w:leftChars="0" w:right="44" w:rightChars="0"/>
              <w:jc w:val="center"/>
              <w:rPr>
                <w:rFonts w:ascii="Times New Roman"/>
                <w:color w:val="auto"/>
                <w:w w:val="99"/>
                <w:sz w:val="21"/>
              </w:rPr>
            </w:pPr>
            <w:r>
              <w:rPr>
                <w:color w:val="auto"/>
                <w:sz w:val="21"/>
              </w:rPr>
              <w:t>聚丁二烯、聚乙烯，聚丙烯</w:t>
            </w:r>
          </w:p>
        </w:tc>
        <w:tc>
          <w:tcPr>
            <w:tcW w:w="664" w:type="dxa"/>
            <w:vAlign w:val="top"/>
          </w:tcPr>
          <w:p>
            <w:pPr>
              <w:pStyle w:val="51"/>
              <w:spacing w:before="159"/>
              <w:ind w:left="9" w:leftChars="0"/>
              <w:jc w:val="center"/>
              <w:rPr>
                <w:color w:val="auto"/>
                <w:w w:val="99"/>
                <w:sz w:val="21"/>
              </w:rPr>
            </w:pPr>
            <w:r>
              <w:rPr>
                <w:color w:val="auto"/>
                <w:w w:val="99"/>
                <w:sz w:val="21"/>
              </w:rPr>
              <w:t>吨</w:t>
            </w:r>
          </w:p>
        </w:tc>
        <w:tc>
          <w:tcPr>
            <w:tcW w:w="1063" w:type="dxa"/>
            <w:vAlign w:val="top"/>
          </w:tcPr>
          <w:p>
            <w:pPr>
              <w:pStyle w:val="51"/>
              <w:spacing w:before="173"/>
              <w:ind w:left="94" w:leftChars="0" w:right="87" w:rightChars="0"/>
              <w:jc w:val="center"/>
              <w:rPr>
                <w:rFonts w:ascii="Times New Roman"/>
                <w:color w:val="auto"/>
                <w:sz w:val="21"/>
              </w:rPr>
            </w:pPr>
            <w:r>
              <w:rPr>
                <w:rFonts w:ascii="Times New Roman"/>
                <w:color w:val="auto"/>
                <w:sz w:val="21"/>
              </w:rPr>
              <w:t>13</w:t>
            </w:r>
          </w:p>
        </w:tc>
        <w:tc>
          <w:tcPr>
            <w:tcW w:w="1107" w:type="dxa"/>
            <w:vAlign w:val="top"/>
          </w:tcPr>
          <w:p>
            <w:pPr>
              <w:pStyle w:val="51"/>
              <w:spacing w:before="159"/>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93"/>
              <w:ind w:left="89" w:leftChars="0" w:right="81" w:rightChars="0"/>
              <w:jc w:val="center"/>
              <w:rPr>
                <w:rFonts w:ascii="Times New Roman"/>
                <w:color w:val="auto"/>
                <w:sz w:val="21"/>
              </w:rPr>
            </w:pPr>
            <w:r>
              <w:rPr>
                <w:rFonts w:ascii="Times New Roman"/>
                <w:color w:val="auto"/>
                <w:sz w:val="21"/>
              </w:rPr>
              <w:t>21</w:t>
            </w:r>
          </w:p>
        </w:tc>
        <w:tc>
          <w:tcPr>
            <w:tcW w:w="2683" w:type="dxa"/>
            <w:vAlign w:val="top"/>
          </w:tcPr>
          <w:p>
            <w:pPr>
              <w:pStyle w:val="51"/>
              <w:spacing w:before="24"/>
              <w:ind w:left="25" w:right="19"/>
              <w:jc w:val="center"/>
              <w:rPr>
                <w:color w:val="auto"/>
                <w:sz w:val="21"/>
              </w:rPr>
            </w:pPr>
            <w:r>
              <w:rPr>
                <w:color w:val="auto"/>
                <w:sz w:val="21"/>
              </w:rPr>
              <w:t>过氧化物引发剂（丙烯酸聚</w:t>
            </w:r>
          </w:p>
          <w:p>
            <w:pPr>
              <w:pStyle w:val="51"/>
              <w:spacing w:before="42"/>
              <w:ind w:left="25" w:leftChars="0" w:right="19" w:rightChars="0"/>
              <w:jc w:val="center"/>
              <w:rPr>
                <w:color w:val="auto"/>
                <w:sz w:val="21"/>
              </w:rPr>
            </w:pPr>
            <w:r>
              <w:rPr>
                <w:color w:val="auto"/>
                <w:sz w:val="21"/>
              </w:rPr>
              <w:t>合用）</w:t>
            </w:r>
          </w:p>
        </w:tc>
        <w:tc>
          <w:tcPr>
            <w:tcW w:w="2765" w:type="dxa"/>
            <w:vAlign w:val="top"/>
          </w:tcPr>
          <w:p>
            <w:pPr>
              <w:pStyle w:val="51"/>
              <w:spacing w:before="193"/>
              <w:ind w:left="52" w:leftChars="0" w:right="44" w:rightChars="0"/>
              <w:jc w:val="center"/>
              <w:rPr>
                <w:rFonts w:ascii="Times New Roman"/>
                <w:color w:val="auto"/>
                <w:w w:val="99"/>
                <w:sz w:val="21"/>
              </w:rPr>
            </w:pPr>
            <w:r>
              <w:rPr>
                <w:rFonts w:ascii="Times New Roman"/>
                <w:color w:val="auto"/>
                <w:sz w:val="21"/>
              </w:rPr>
              <w:t>BPO</w:t>
            </w:r>
          </w:p>
        </w:tc>
        <w:tc>
          <w:tcPr>
            <w:tcW w:w="664" w:type="dxa"/>
            <w:vAlign w:val="top"/>
          </w:tcPr>
          <w:p>
            <w:pPr>
              <w:pStyle w:val="51"/>
              <w:spacing w:before="180"/>
              <w:ind w:left="9" w:leftChars="0"/>
              <w:jc w:val="center"/>
              <w:rPr>
                <w:color w:val="auto"/>
                <w:w w:val="99"/>
                <w:sz w:val="21"/>
              </w:rPr>
            </w:pPr>
            <w:r>
              <w:rPr>
                <w:color w:val="auto"/>
                <w:w w:val="99"/>
                <w:sz w:val="21"/>
              </w:rPr>
              <w:t>吨</w:t>
            </w:r>
          </w:p>
        </w:tc>
        <w:tc>
          <w:tcPr>
            <w:tcW w:w="1063" w:type="dxa"/>
            <w:vAlign w:val="top"/>
          </w:tcPr>
          <w:p>
            <w:pPr>
              <w:pStyle w:val="51"/>
              <w:spacing w:before="193"/>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180"/>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81"/>
              <w:ind w:left="89" w:leftChars="0" w:right="81" w:rightChars="0"/>
              <w:jc w:val="center"/>
              <w:rPr>
                <w:rFonts w:ascii="Times New Roman"/>
                <w:color w:val="auto"/>
                <w:sz w:val="21"/>
              </w:rPr>
            </w:pPr>
            <w:r>
              <w:rPr>
                <w:rFonts w:ascii="Times New Roman"/>
                <w:color w:val="auto"/>
                <w:sz w:val="21"/>
              </w:rPr>
              <w:t>22</w:t>
            </w:r>
          </w:p>
        </w:tc>
        <w:tc>
          <w:tcPr>
            <w:tcW w:w="2683" w:type="dxa"/>
            <w:vAlign w:val="top"/>
          </w:tcPr>
          <w:p>
            <w:pPr>
              <w:pStyle w:val="51"/>
              <w:spacing w:before="20"/>
              <w:ind w:left="25" w:right="19"/>
              <w:jc w:val="center"/>
              <w:rPr>
                <w:color w:val="auto"/>
                <w:sz w:val="21"/>
              </w:rPr>
            </w:pPr>
            <w:r>
              <w:rPr>
                <w:color w:val="auto"/>
                <w:sz w:val="21"/>
              </w:rPr>
              <w:t>偶氮引发剂（丙烯酸聚合</w:t>
            </w:r>
          </w:p>
          <w:p>
            <w:pPr>
              <w:pStyle w:val="51"/>
              <w:spacing w:before="43" w:line="249" w:lineRule="exact"/>
              <w:ind w:left="25" w:leftChars="0" w:right="19" w:rightChars="0"/>
              <w:jc w:val="center"/>
              <w:rPr>
                <w:color w:val="auto"/>
                <w:sz w:val="21"/>
              </w:rPr>
            </w:pPr>
            <w:r>
              <w:rPr>
                <w:color w:val="auto"/>
                <w:sz w:val="21"/>
              </w:rPr>
              <w:t>用）</w:t>
            </w:r>
          </w:p>
        </w:tc>
        <w:tc>
          <w:tcPr>
            <w:tcW w:w="2765" w:type="dxa"/>
            <w:vAlign w:val="top"/>
          </w:tcPr>
          <w:p>
            <w:pPr>
              <w:pStyle w:val="51"/>
              <w:spacing w:before="167"/>
              <w:ind w:left="50" w:leftChars="0" w:right="44" w:rightChars="0"/>
              <w:jc w:val="center"/>
              <w:rPr>
                <w:rFonts w:ascii="Times New Roman"/>
                <w:color w:val="auto"/>
                <w:w w:val="99"/>
                <w:sz w:val="21"/>
              </w:rPr>
            </w:pPr>
            <w:r>
              <w:rPr>
                <w:color w:val="auto"/>
                <w:sz w:val="21"/>
              </w:rPr>
              <w:t>偶氮二异丁腈</w:t>
            </w:r>
          </w:p>
        </w:tc>
        <w:tc>
          <w:tcPr>
            <w:tcW w:w="664" w:type="dxa"/>
            <w:vAlign w:val="top"/>
          </w:tcPr>
          <w:p>
            <w:pPr>
              <w:pStyle w:val="51"/>
              <w:spacing w:before="167"/>
              <w:ind w:left="9" w:leftChars="0"/>
              <w:jc w:val="center"/>
              <w:rPr>
                <w:color w:val="auto"/>
                <w:w w:val="99"/>
                <w:sz w:val="21"/>
              </w:rPr>
            </w:pPr>
            <w:r>
              <w:rPr>
                <w:color w:val="auto"/>
                <w:w w:val="99"/>
                <w:sz w:val="21"/>
              </w:rPr>
              <w:t>吨</w:t>
            </w:r>
          </w:p>
        </w:tc>
        <w:tc>
          <w:tcPr>
            <w:tcW w:w="1063" w:type="dxa"/>
            <w:vAlign w:val="top"/>
          </w:tcPr>
          <w:p>
            <w:pPr>
              <w:pStyle w:val="51"/>
              <w:spacing w:before="181"/>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16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74"/>
              <w:ind w:left="89" w:leftChars="0" w:right="81" w:rightChars="0"/>
              <w:jc w:val="center"/>
              <w:rPr>
                <w:rFonts w:ascii="Times New Roman"/>
                <w:color w:val="auto"/>
                <w:sz w:val="21"/>
              </w:rPr>
            </w:pPr>
            <w:r>
              <w:rPr>
                <w:rFonts w:ascii="Times New Roman"/>
                <w:color w:val="auto"/>
                <w:sz w:val="21"/>
              </w:rPr>
              <w:t>23</w:t>
            </w:r>
          </w:p>
        </w:tc>
        <w:tc>
          <w:tcPr>
            <w:tcW w:w="2683" w:type="dxa"/>
            <w:vAlign w:val="top"/>
          </w:tcPr>
          <w:p>
            <w:pPr>
              <w:pStyle w:val="51"/>
              <w:spacing w:before="160"/>
              <w:ind w:left="28" w:leftChars="0" w:right="19" w:rightChars="0"/>
              <w:jc w:val="center"/>
              <w:rPr>
                <w:color w:val="auto"/>
                <w:sz w:val="21"/>
              </w:rPr>
            </w:pPr>
            <w:r>
              <w:rPr>
                <w:color w:val="auto"/>
                <w:sz w:val="21"/>
              </w:rPr>
              <w:t>醇类溶剂</w:t>
            </w:r>
          </w:p>
        </w:tc>
        <w:tc>
          <w:tcPr>
            <w:tcW w:w="2765" w:type="dxa"/>
            <w:vAlign w:val="top"/>
          </w:tcPr>
          <w:p>
            <w:pPr>
              <w:pStyle w:val="51"/>
              <w:spacing w:before="160"/>
              <w:ind w:left="50" w:leftChars="0" w:right="44" w:rightChars="0"/>
              <w:jc w:val="center"/>
              <w:rPr>
                <w:rFonts w:ascii="Times New Roman"/>
                <w:color w:val="auto"/>
                <w:w w:val="99"/>
                <w:sz w:val="21"/>
              </w:rPr>
            </w:pPr>
            <w:r>
              <w:rPr>
                <w:color w:val="auto"/>
                <w:sz w:val="21"/>
              </w:rPr>
              <w:t>丁醇、仲丁醇、异丁醇</w:t>
            </w:r>
          </w:p>
        </w:tc>
        <w:tc>
          <w:tcPr>
            <w:tcW w:w="664" w:type="dxa"/>
            <w:vAlign w:val="top"/>
          </w:tcPr>
          <w:p>
            <w:pPr>
              <w:pStyle w:val="51"/>
              <w:spacing w:before="160"/>
              <w:ind w:left="9" w:leftChars="0"/>
              <w:jc w:val="center"/>
              <w:rPr>
                <w:color w:val="auto"/>
                <w:w w:val="99"/>
                <w:sz w:val="21"/>
              </w:rPr>
            </w:pPr>
            <w:r>
              <w:rPr>
                <w:color w:val="auto"/>
                <w:w w:val="99"/>
                <w:sz w:val="21"/>
              </w:rPr>
              <w:t>吨</w:t>
            </w:r>
          </w:p>
        </w:tc>
        <w:tc>
          <w:tcPr>
            <w:tcW w:w="1063" w:type="dxa"/>
            <w:vAlign w:val="top"/>
          </w:tcPr>
          <w:p>
            <w:pPr>
              <w:pStyle w:val="51"/>
              <w:spacing w:before="174"/>
              <w:ind w:left="97" w:leftChars="0" w:right="87" w:rightChars="0"/>
              <w:jc w:val="center"/>
              <w:rPr>
                <w:rFonts w:ascii="Times New Roman"/>
                <w:color w:val="auto"/>
                <w:sz w:val="21"/>
              </w:rPr>
            </w:pPr>
            <w:r>
              <w:rPr>
                <w:rFonts w:ascii="Times New Roman"/>
                <w:color w:val="auto"/>
                <w:sz w:val="21"/>
              </w:rPr>
              <w:t>1100</w:t>
            </w:r>
          </w:p>
        </w:tc>
        <w:tc>
          <w:tcPr>
            <w:tcW w:w="1107" w:type="dxa"/>
            <w:vAlign w:val="top"/>
          </w:tcPr>
          <w:p>
            <w:pPr>
              <w:pStyle w:val="51"/>
              <w:spacing w:before="160"/>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73"/>
              <w:ind w:left="89" w:leftChars="0" w:right="81" w:rightChars="0"/>
              <w:jc w:val="center"/>
              <w:rPr>
                <w:rFonts w:ascii="Times New Roman"/>
                <w:color w:val="auto"/>
                <w:sz w:val="21"/>
              </w:rPr>
            </w:pPr>
            <w:r>
              <w:rPr>
                <w:rFonts w:ascii="Times New Roman"/>
                <w:color w:val="auto"/>
                <w:sz w:val="21"/>
              </w:rPr>
              <w:t>24</w:t>
            </w:r>
          </w:p>
        </w:tc>
        <w:tc>
          <w:tcPr>
            <w:tcW w:w="2683" w:type="dxa"/>
            <w:vAlign w:val="top"/>
          </w:tcPr>
          <w:p>
            <w:pPr>
              <w:pStyle w:val="51"/>
              <w:spacing w:before="159"/>
              <w:ind w:left="28" w:leftChars="0" w:right="19" w:rightChars="0"/>
              <w:jc w:val="center"/>
              <w:rPr>
                <w:color w:val="auto"/>
                <w:sz w:val="21"/>
              </w:rPr>
            </w:pPr>
            <w:r>
              <w:rPr>
                <w:color w:val="auto"/>
                <w:sz w:val="21"/>
              </w:rPr>
              <w:t>芳烃溶剂</w:t>
            </w:r>
          </w:p>
        </w:tc>
        <w:tc>
          <w:tcPr>
            <w:tcW w:w="2765" w:type="dxa"/>
            <w:vAlign w:val="top"/>
          </w:tcPr>
          <w:p>
            <w:pPr>
              <w:pStyle w:val="51"/>
              <w:spacing w:before="20"/>
              <w:ind w:left="562"/>
              <w:rPr>
                <w:color w:val="auto"/>
                <w:sz w:val="21"/>
              </w:rPr>
            </w:pPr>
            <w:r>
              <w:rPr>
                <w:color w:val="auto"/>
                <w:sz w:val="21"/>
              </w:rPr>
              <w:t>对二甲苯、二甲苯</w:t>
            </w:r>
          </w:p>
          <w:p>
            <w:pPr>
              <w:pStyle w:val="51"/>
              <w:spacing w:before="43" w:line="237" w:lineRule="exact"/>
              <w:ind w:left="641" w:leftChars="0"/>
              <w:rPr>
                <w:rFonts w:ascii="Times New Roman"/>
                <w:color w:val="auto"/>
                <w:w w:val="99"/>
                <w:sz w:val="21"/>
              </w:rPr>
            </w:pPr>
            <w:r>
              <w:rPr>
                <w:color w:val="auto"/>
                <w:sz w:val="21"/>
              </w:rPr>
              <w:t xml:space="preserve">混合芳香烃 </w:t>
            </w:r>
            <w:r>
              <w:rPr>
                <w:rFonts w:ascii="Times New Roman" w:eastAsia="Times New Roman"/>
                <w:color w:val="auto"/>
                <w:sz w:val="21"/>
              </w:rPr>
              <w:t>150#</w:t>
            </w:r>
          </w:p>
        </w:tc>
        <w:tc>
          <w:tcPr>
            <w:tcW w:w="664" w:type="dxa"/>
            <w:vAlign w:val="top"/>
          </w:tcPr>
          <w:p>
            <w:pPr>
              <w:pStyle w:val="51"/>
              <w:spacing w:before="159"/>
              <w:ind w:left="9" w:leftChars="0"/>
              <w:jc w:val="center"/>
              <w:rPr>
                <w:color w:val="auto"/>
                <w:w w:val="99"/>
                <w:sz w:val="21"/>
              </w:rPr>
            </w:pPr>
            <w:r>
              <w:rPr>
                <w:color w:val="auto"/>
                <w:w w:val="99"/>
                <w:sz w:val="21"/>
              </w:rPr>
              <w:t>吨</w:t>
            </w:r>
          </w:p>
        </w:tc>
        <w:tc>
          <w:tcPr>
            <w:tcW w:w="1063" w:type="dxa"/>
            <w:vAlign w:val="top"/>
          </w:tcPr>
          <w:p>
            <w:pPr>
              <w:pStyle w:val="51"/>
              <w:spacing w:before="173"/>
              <w:ind w:left="97" w:leftChars="0" w:right="87" w:rightChars="0"/>
              <w:jc w:val="center"/>
              <w:rPr>
                <w:rFonts w:ascii="Times New Roman"/>
                <w:color w:val="auto"/>
                <w:sz w:val="21"/>
              </w:rPr>
            </w:pPr>
            <w:r>
              <w:rPr>
                <w:rFonts w:ascii="Times New Roman"/>
                <w:color w:val="auto"/>
                <w:sz w:val="21"/>
              </w:rPr>
              <w:t>1200</w:t>
            </w:r>
          </w:p>
        </w:tc>
        <w:tc>
          <w:tcPr>
            <w:tcW w:w="1107" w:type="dxa"/>
            <w:vAlign w:val="top"/>
          </w:tcPr>
          <w:p>
            <w:pPr>
              <w:pStyle w:val="51"/>
              <w:spacing w:before="159"/>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25</w:t>
            </w:r>
          </w:p>
        </w:tc>
        <w:tc>
          <w:tcPr>
            <w:tcW w:w="2683" w:type="dxa"/>
            <w:vAlign w:val="top"/>
          </w:tcPr>
          <w:p>
            <w:pPr>
              <w:pStyle w:val="51"/>
              <w:spacing w:before="151"/>
              <w:ind w:left="28" w:leftChars="0" w:right="19" w:rightChars="0"/>
              <w:jc w:val="center"/>
              <w:rPr>
                <w:color w:val="auto"/>
                <w:sz w:val="21"/>
              </w:rPr>
            </w:pPr>
            <w:r>
              <w:rPr>
                <w:color w:val="auto"/>
                <w:sz w:val="21"/>
              </w:rPr>
              <w:t>脂肪烃溶剂</w:t>
            </w:r>
          </w:p>
        </w:tc>
        <w:tc>
          <w:tcPr>
            <w:tcW w:w="2765" w:type="dxa"/>
            <w:vAlign w:val="top"/>
          </w:tcPr>
          <w:p>
            <w:pPr>
              <w:pStyle w:val="51"/>
              <w:spacing w:before="21"/>
              <w:ind w:left="47" w:right="44"/>
              <w:jc w:val="center"/>
              <w:rPr>
                <w:color w:val="auto"/>
                <w:sz w:val="21"/>
              </w:rPr>
            </w:pPr>
            <w:r>
              <w:rPr>
                <w:rFonts w:ascii="Times New Roman" w:eastAsia="Times New Roman"/>
                <w:color w:val="auto"/>
                <w:sz w:val="21"/>
              </w:rPr>
              <w:t>200#</w:t>
            </w:r>
            <w:r>
              <w:rPr>
                <w:color w:val="auto"/>
                <w:sz w:val="21"/>
              </w:rPr>
              <w:t>溶剂油、</w:t>
            </w:r>
            <w:r>
              <w:rPr>
                <w:rFonts w:ascii="Times New Roman" w:eastAsia="Times New Roman"/>
                <w:color w:val="auto"/>
                <w:sz w:val="21"/>
              </w:rPr>
              <w:t>150#</w:t>
            </w:r>
            <w:r>
              <w:rPr>
                <w:color w:val="auto"/>
                <w:sz w:val="21"/>
              </w:rPr>
              <w:t>溶剂油、</w:t>
            </w:r>
          </w:p>
          <w:p>
            <w:pPr>
              <w:pStyle w:val="51"/>
              <w:spacing w:before="43" w:line="221" w:lineRule="exact"/>
              <w:ind w:left="53" w:leftChars="0" w:right="44" w:rightChars="0"/>
              <w:jc w:val="center"/>
              <w:rPr>
                <w:rFonts w:ascii="Times New Roman"/>
                <w:color w:val="auto"/>
                <w:w w:val="99"/>
                <w:sz w:val="21"/>
              </w:rPr>
            </w:pPr>
            <w:r>
              <w:rPr>
                <w:rFonts w:ascii="Times New Roman" w:eastAsia="Times New Roman"/>
                <w:color w:val="auto"/>
                <w:sz w:val="21"/>
              </w:rPr>
              <w:t>100#</w:t>
            </w:r>
            <w:r>
              <w:rPr>
                <w:color w:val="auto"/>
                <w:sz w:val="21"/>
              </w:rPr>
              <w:t>溶剂油、</w:t>
            </w:r>
            <w:r>
              <w:rPr>
                <w:rFonts w:ascii="Times New Roman" w:eastAsia="Times New Roman"/>
                <w:color w:val="auto"/>
                <w:sz w:val="21"/>
              </w:rPr>
              <w:t>D50</w:t>
            </w:r>
            <w:r>
              <w:rPr>
                <w:color w:val="auto"/>
                <w:sz w:val="21"/>
              </w:rPr>
              <w:t>、</w:t>
            </w:r>
            <w:r>
              <w:rPr>
                <w:rFonts w:ascii="Times New Roman" w:eastAsia="Times New Roman"/>
                <w:color w:val="auto"/>
                <w:sz w:val="21"/>
              </w:rPr>
              <w:t>D60</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7" w:leftChars="0" w:right="87" w:rightChars="0"/>
              <w:jc w:val="center"/>
              <w:rPr>
                <w:rFonts w:ascii="Times New Roman"/>
                <w:color w:val="auto"/>
                <w:sz w:val="21"/>
              </w:rPr>
            </w:pPr>
            <w:r>
              <w:rPr>
                <w:rFonts w:ascii="Times New Roman"/>
                <w:color w:val="auto"/>
                <w:sz w:val="21"/>
              </w:rPr>
              <w:t>1200</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9"/>
              <w:rPr>
                <w:rFonts w:ascii="Times New Roman"/>
                <w:color w:val="auto"/>
                <w:sz w:val="18"/>
              </w:rPr>
            </w:pPr>
          </w:p>
          <w:p>
            <w:pPr>
              <w:pStyle w:val="51"/>
              <w:spacing w:before="1"/>
              <w:ind w:left="89" w:leftChars="0" w:right="81" w:rightChars="0"/>
              <w:jc w:val="center"/>
              <w:rPr>
                <w:rFonts w:ascii="Times New Roman"/>
                <w:color w:val="auto"/>
                <w:sz w:val="21"/>
              </w:rPr>
            </w:pPr>
            <w:r>
              <w:rPr>
                <w:rFonts w:ascii="Times New Roman"/>
                <w:color w:val="auto"/>
                <w:sz w:val="21"/>
              </w:rPr>
              <w:t>26</w:t>
            </w:r>
          </w:p>
        </w:tc>
        <w:tc>
          <w:tcPr>
            <w:tcW w:w="2683" w:type="dxa"/>
            <w:vAlign w:val="top"/>
          </w:tcPr>
          <w:p>
            <w:pPr>
              <w:pStyle w:val="51"/>
              <w:spacing w:before="7"/>
              <w:rPr>
                <w:rFonts w:ascii="Times New Roman"/>
                <w:color w:val="auto"/>
                <w:sz w:val="17"/>
              </w:rPr>
            </w:pPr>
          </w:p>
          <w:p>
            <w:pPr>
              <w:pStyle w:val="51"/>
              <w:ind w:left="28" w:leftChars="0" w:right="19" w:rightChars="0"/>
              <w:jc w:val="center"/>
              <w:rPr>
                <w:color w:val="auto"/>
                <w:sz w:val="21"/>
              </w:rPr>
            </w:pPr>
            <w:r>
              <w:rPr>
                <w:color w:val="auto"/>
                <w:sz w:val="21"/>
              </w:rPr>
              <w:t>醇醚溶剂</w:t>
            </w:r>
          </w:p>
        </w:tc>
        <w:tc>
          <w:tcPr>
            <w:tcW w:w="2765" w:type="dxa"/>
            <w:vAlign w:val="top"/>
          </w:tcPr>
          <w:p>
            <w:pPr>
              <w:pStyle w:val="51"/>
              <w:spacing w:before="7"/>
              <w:rPr>
                <w:rFonts w:ascii="Times New Roman"/>
                <w:color w:val="auto"/>
                <w:sz w:val="17"/>
              </w:rPr>
            </w:pPr>
          </w:p>
          <w:p>
            <w:pPr>
              <w:pStyle w:val="51"/>
              <w:ind w:left="50" w:leftChars="0" w:right="44" w:rightChars="0"/>
              <w:jc w:val="center"/>
              <w:rPr>
                <w:rFonts w:ascii="Times New Roman"/>
                <w:color w:val="auto"/>
                <w:w w:val="99"/>
                <w:sz w:val="21"/>
              </w:rPr>
            </w:pPr>
            <w:r>
              <w:rPr>
                <w:color w:val="auto"/>
                <w:sz w:val="21"/>
              </w:rPr>
              <w:t>丙二醇甲醚、乙二醇丁醚</w:t>
            </w:r>
          </w:p>
        </w:tc>
        <w:tc>
          <w:tcPr>
            <w:tcW w:w="664" w:type="dxa"/>
            <w:vAlign w:val="top"/>
          </w:tcPr>
          <w:p>
            <w:pPr>
              <w:pStyle w:val="51"/>
              <w:spacing w:before="7"/>
              <w:rPr>
                <w:rFonts w:ascii="Times New Roman"/>
                <w:color w:val="auto"/>
                <w:sz w:val="17"/>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9"/>
              <w:rPr>
                <w:rFonts w:ascii="Times New Roman"/>
                <w:color w:val="auto"/>
                <w:sz w:val="18"/>
              </w:rPr>
            </w:pPr>
          </w:p>
          <w:p>
            <w:pPr>
              <w:pStyle w:val="51"/>
              <w:spacing w:before="1"/>
              <w:ind w:left="97" w:leftChars="0" w:right="87" w:rightChars="0"/>
              <w:jc w:val="center"/>
              <w:rPr>
                <w:rFonts w:ascii="Times New Roman"/>
                <w:color w:val="auto"/>
                <w:sz w:val="21"/>
              </w:rPr>
            </w:pPr>
            <w:r>
              <w:rPr>
                <w:rFonts w:ascii="Times New Roman"/>
                <w:color w:val="auto"/>
                <w:sz w:val="21"/>
              </w:rPr>
              <w:t>1200</w:t>
            </w:r>
          </w:p>
        </w:tc>
        <w:tc>
          <w:tcPr>
            <w:tcW w:w="1107" w:type="dxa"/>
            <w:vAlign w:val="top"/>
          </w:tcPr>
          <w:p>
            <w:pPr>
              <w:pStyle w:val="51"/>
              <w:spacing w:before="7"/>
              <w:rPr>
                <w:rFonts w:ascii="Times New Roman"/>
                <w:color w:val="auto"/>
                <w:sz w:val="17"/>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27</w:t>
            </w:r>
          </w:p>
        </w:tc>
        <w:tc>
          <w:tcPr>
            <w:tcW w:w="2683" w:type="dxa"/>
            <w:vAlign w:val="top"/>
          </w:tcPr>
          <w:p>
            <w:pPr>
              <w:pStyle w:val="51"/>
              <w:spacing w:before="87"/>
              <w:ind w:left="28" w:leftChars="0" w:right="19" w:rightChars="0"/>
              <w:jc w:val="center"/>
              <w:rPr>
                <w:color w:val="auto"/>
                <w:sz w:val="21"/>
              </w:rPr>
            </w:pPr>
            <w:r>
              <w:rPr>
                <w:color w:val="auto"/>
                <w:sz w:val="21"/>
              </w:rPr>
              <w:t>醇醚酯溶剂</w:t>
            </w:r>
          </w:p>
        </w:tc>
        <w:tc>
          <w:tcPr>
            <w:tcW w:w="2765" w:type="dxa"/>
            <w:vAlign w:val="top"/>
          </w:tcPr>
          <w:p>
            <w:pPr>
              <w:pStyle w:val="51"/>
              <w:spacing w:before="87"/>
              <w:ind w:left="47" w:leftChars="0" w:right="44" w:rightChars="0"/>
              <w:jc w:val="center"/>
              <w:rPr>
                <w:rFonts w:ascii="Times New Roman"/>
                <w:color w:val="auto"/>
                <w:w w:val="99"/>
                <w:sz w:val="21"/>
              </w:rPr>
            </w:pPr>
            <w:r>
              <w:rPr>
                <w:color w:val="auto"/>
                <w:sz w:val="21"/>
              </w:rPr>
              <w:t>丙二醇甲醚醋酸酯</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7" w:leftChars="0" w:right="87" w:rightChars="0"/>
              <w:jc w:val="center"/>
              <w:rPr>
                <w:rFonts w:ascii="Times New Roman"/>
                <w:color w:val="auto"/>
                <w:sz w:val="21"/>
              </w:rPr>
            </w:pPr>
            <w:r>
              <w:rPr>
                <w:rFonts w:ascii="Times New Roman"/>
                <w:color w:val="auto"/>
                <w:sz w:val="21"/>
              </w:rPr>
              <w:t>1200</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28</w:t>
            </w:r>
          </w:p>
        </w:tc>
        <w:tc>
          <w:tcPr>
            <w:tcW w:w="2683" w:type="dxa"/>
            <w:vAlign w:val="top"/>
          </w:tcPr>
          <w:p>
            <w:pPr>
              <w:pStyle w:val="51"/>
              <w:spacing w:before="87"/>
              <w:ind w:left="25" w:leftChars="0" w:right="19" w:rightChars="0"/>
              <w:jc w:val="center"/>
              <w:rPr>
                <w:color w:val="auto"/>
                <w:sz w:val="21"/>
              </w:rPr>
            </w:pPr>
            <w:r>
              <w:rPr>
                <w:color w:val="auto"/>
                <w:sz w:val="21"/>
              </w:rPr>
              <w:t>酯类溶剂，醋酸丁酯等</w:t>
            </w:r>
          </w:p>
        </w:tc>
        <w:tc>
          <w:tcPr>
            <w:tcW w:w="2765" w:type="dxa"/>
            <w:vAlign w:val="top"/>
          </w:tcPr>
          <w:p>
            <w:pPr>
              <w:pStyle w:val="51"/>
              <w:spacing w:before="87"/>
              <w:ind w:left="52" w:leftChars="0" w:right="44" w:rightChars="0"/>
              <w:jc w:val="center"/>
              <w:rPr>
                <w:rFonts w:ascii="Times New Roman"/>
                <w:color w:val="auto"/>
                <w:w w:val="99"/>
                <w:sz w:val="21"/>
              </w:rPr>
            </w:pPr>
            <w:r>
              <w:rPr>
                <w:color w:val="auto"/>
                <w:sz w:val="21"/>
              </w:rPr>
              <w:t>醋酸丁酯、醋酸乙酯</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7" w:leftChars="0" w:right="87" w:rightChars="0"/>
              <w:jc w:val="center"/>
              <w:rPr>
                <w:rFonts w:ascii="Times New Roman"/>
                <w:color w:val="auto"/>
                <w:sz w:val="21"/>
              </w:rPr>
            </w:pPr>
            <w:r>
              <w:rPr>
                <w:rFonts w:ascii="Times New Roman"/>
                <w:color w:val="auto"/>
                <w:sz w:val="21"/>
              </w:rPr>
              <w:t>1200</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29</w:t>
            </w:r>
          </w:p>
        </w:tc>
        <w:tc>
          <w:tcPr>
            <w:tcW w:w="2683" w:type="dxa"/>
            <w:vAlign w:val="top"/>
          </w:tcPr>
          <w:p>
            <w:pPr>
              <w:pStyle w:val="51"/>
              <w:spacing w:before="87"/>
              <w:ind w:left="25" w:leftChars="0" w:right="19" w:rightChars="0"/>
              <w:jc w:val="center"/>
              <w:rPr>
                <w:color w:val="auto"/>
                <w:sz w:val="21"/>
              </w:rPr>
            </w:pPr>
            <w:r>
              <w:rPr>
                <w:color w:val="auto"/>
                <w:sz w:val="21"/>
              </w:rPr>
              <w:t>增塑剂</w:t>
            </w:r>
          </w:p>
        </w:tc>
        <w:tc>
          <w:tcPr>
            <w:tcW w:w="2765" w:type="dxa"/>
            <w:vAlign w:val="top"/>
          </w:tcPr>
          <w:p>
            <w:pPr>
              <w:pStyle w:val="51"/>
              <w:spacing w:before="101"/>
              <w:ind w:left="8" w:leftChars="0"/>
              <w:jc w:val="center"/>
              <w:rPr>
                <w:color w:val="auto"/>
                <w:sz w:val="21"/>
              </w:rPr>
            </w:pPr>
            <w:r>
              <w:rPr>
                <w:rFonts w:ascii="Times New Roman"/>
                <w:color w:val="auto"/>
                <w:w w:val="99"/>
                <w:sz w:val="21"/>
              </w:rPr>
              <w:t>-</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8" w:leftChars="0" w:right="86" w:rightChars="0"/>
              <w:jc w:val="center"/>
              <w:rPr>
                <w:rFonts w:ascii="Times New Roman"/>
                <w:color w:val="auto"/>
                <w:sz w:val="21"/>
              </w:rPr>
            </w:pPr>
            <w:r>
              <w:rPr>
                <w:rFonts w:ascii="Times New Roman"/>
                <w:color w:val="auto"/>
                <w:sz w:val="21"/>
              </w:rPr>
              <w:t>0.1</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30</w:t>
            </w:r>
          </w:p>
        </w:tc>
        <w:tc>
          <w:tcPr>
            <w:tcW w:w="2683" w:type="dxa"/>
            <w:vAlign w:val="top"/>
          </w:tcPr>
          <w:p>
            <w:pPr>
              <w:pStyle w:val="51"/>
              <w:spacing w:before="86"/>
              <w:ind w:left="28" w:leftChars="0" w:right="19" w:rightChars="0"/>
              <w:jc w:val="center"/>
              <w:rPr>
                <w:color w:val="auto"/>
                <w:sz w:val="21"/>
              </w:rPr>
            </w:pPr>
            <w:r>
              <w:rPr>
                <w:color w:val="auto"/>
                <w:sz w:val="21"/>
              </w:rPr>
              <w:t>酮类溶剂</w:t>
            </w:r>
          </w:p>
        </w:tc>
        <w:tc>
          <w:tcPr>
            <w:tcW w:w="2765" w:type="dxa"/>
            <w:vAlign w:val="top"/>
          </w:tcPr>
          <w:p>
            <w:pPr>
              <w:pStyle w:val="51"/>
              <w:spacing w:before="86"/>
              <w:ind w:left="50" w:leftChars="0" w:right="44" w:rightChars="0"/>
              <w:jc w:val="center"/>
              <w:rPr>
                <w:color w:val="auto"/>
                <w:sz w:val="21"/>
              </w:rPr>
            </w:pPr>
            <w:r>
              <w:rPr>
                <w:color w:val="auto"/>
                <w:sz w:val="21"/>
              </w:rPr>
              <w:t>丁酮、环己酮</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7" w:leftChars="0" w:right="87" w:rightChars="0"/>
              <w:jc w:val="center"/>
              <w:rPr>
                <w:rFonts w:ascii="Times New Roman"/>
                <w:color w:val="auto"/>
                <w:sz w:val="21"/>
              </w:rPr>
            </w:pPr>
            <w:r>
              <w:rPr>
                <w:rFonts w:ascii="Times New Roman"/>
                <w:color w:val="auto"/>
                <w:sz w:val="21"/>
              </w:rPr>
              <w:t>1200</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72"/>
              <w:ind w:left="89" w:leftChars="0" w:right="81" w:rightChars="0"/>
              <w:jc w:val="center"/>
              <w:rPr>
                <w:rFonts w:ascii="Times New Roman"/>
                <w:color w:val="auto"/>
                <w:sz w:val="21"/>
              </w:rPr>
            </w:pPr>
            <w:r>
              <w:rPr>
                <w:rFonts w:ascii="Times New Roman"/>
                <w:color w:val="auto"/>
                <w:sz w:val="21"/>
              </w:rPr>
              <w:t>31</w:t>
            </w:r>
          </w:p>
        </w:tc>
        <w:tc>
          <w:tcPr>
            <w:tcW w:w="2683" w:type="dxa"/>
            <w:vAlign w:val="top"/>
          </w:tcPr>
          <w:p>
            <w:pPr>
              <w:pStyle w:val="51"/>
              <w:spacing w:before="21"/>
              <w:ind w:left="25" w:right="19"/>
              <w:jc w:val="center"/>
              <w:rPr>
                <w:color w:val="auto"/>
                <w:sz w:val="21"/>
              </w:rPr>
            </w:pPr>
            <w:r>
              <w:rPr>
                <w:color w:val="auto"/>
                <w:sz w:val="21"/>
              </w:rPr>
              <w:t>催化剂（有机锡，特种化合</w:t>
            </w:r>
          </w:p>
          <w:p>
            <w:pPr>
              <w:pStyle w:val="51"/>
              <w:spacing w:before="43" w:line="236" w:lineRule="exact"/>
              <w:ind w:left="25" w:leftChars="0" w:right="19" w:rightChars="0"/>
              <w:jc w:val="center"/>
              <w:rPr>
                <w:color w:val="auto"/>
                <w:sz w:val="21"/>
              </w:rPr>
            </w:pPr>
            <w:r>
              <w:rPr>
                <w:color w:val="auto"/>
                <w:sz w:val="21"/>
              </w:rPr>
              <w:t>物等，微量）</w:t>
            </w:r>
          </w:p>
        </w:tc>
        <w:tc>
          <w:tcPr>
            <w:tcW w:w="2765" w:type="dxa"/>
            <w:vAlign w:val="top"/>
          </w:tcPr>
          <w:p>
            <w:pPr>
              <w:pStyle w:val="51"/>
              <w:spacing w:before="158"/>
              <w:ind w:left="47" w:leftChars="0" w:right="44" w:rightChars="0"/>
              <w:jc w:val="center"/>
              <w:rPr>
                <w:color w:val="auto"/>
                <w:sz w:val="21"/>
              </w:rPr>
            </w:pPr>
            <w:r>
              <w:rPr>
                <w:color w:val="auto"/>
                <w:sz w:val="21"/>
              </w:rPr>
              <w:t>月桂酸二丁基锡、六氯铂酸</w:t>
            </w:r>
          </w:p>
        </w:tc>
        <w:tc>
          <w:tcPr>
            <w:tcW w:w="664" w:type="dxa"/>
            <w:vAlign w:val="top"/>
          </w:tcPr>
          <w:p>
            <w:pPr>
              <w:pStyle w:val="51"/>
              <w:spacing w:before="158"/>
              <w:ind w:left="9" w:leftChars="0"/>
              <w:jc w:val="center"/>
              <w:rPr>
                <w:color w:val="auto"/>
                <w:w w:val="99"/>
                <w:sz w:val="21"/>
              </w:rPr>
            </w:pPr>
            <w:r>
              <w:rPr>
                <w:color w:val="auto"/>
                <w:w w:val="99"/>
                <w:sz w:val="21"/>
              </w:rPr>
              <w:t>吨</w:t>
            </w:r>
          </w:p>
        </w:tc>
        <w:tc>
          <w:tcPr>
            <w:tcW w:w="1063" w:type="dxa"/>
            <w:vAlign w:val="top"/>
          </w:tcPr>
          <w:p>
            <w:pPr>
              <w:pStyle w:val="51"/>
              <w:spacing w:before="172"/>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158"/>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32</w:t>
            </w:r>
          </w:p>
        </w:tc>
        <w:tc>
          <w:tcPr>
            <w:tcW w:w="2683" w:type="dxa"/>
            <w:vAlign w:val="top"/>
          </w:tcPr>
          <w:p>
            <w:pPr>
              <w:pStyle w:val="51"/>
              <w:spacing w:before="87"/>
              <w:ind w:left="28" w:leftChars="0" w:right="19" w:rightChars="0"/>
              <w:jc w:val="center"/>
              <w:rPr>
                <w:color w:val="auto"/>
                <w:sz w:val="21"/>
              </w:rPr>
            </w:pPr>
            <w:r>
              <w:rPr>
                <w:color w:val="auto"/>
                <w:sz w:val="21"/>
              </w:rPr>
              <w:t>阴离子型表面活性剂</w:t>
            </w:r>
          </w:p>
        </w:tc>
        <w:tc>
          <w:tcPr>
            <w:tcW w:w="2765" w:type="dxa"/>
            <w:vAlign w:val="top"/>
          </w:tcPr>
          <w:p>
            <w:pPr>
              <w:pStyle w:val="51"/>
              <w:spacing w:before="101"/>
              <w:ind w:left="8" w:leftChars="0"/>
              <w:jc w:val="center"/>
              <w:rPr>
                <w:color w:val="auto"/>
                <w:sz w:val="21"/>
              </w:rPr>
            </w:pPr>
            <w:r>
              <w:rPr>
                <w:rFonts w:ascii="Times New Roman"/>
                <w:color w:val="auto"/>
                <w:w w:val="99"/>
                <w:sz w:val="21"/>
              </w:rPr>
              <w:t>-</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33</w:t>
            </w:r>
          </w:p>
        </w:tc>
        <w:tc>
          <w:tcPr>
            <w:tcW w:w="2683" w:type="dxa"/>
            <w:vAlign w:val="top"/>
          </w:tcPr>
          <w:p>
            <w:pPr>
              <w:pStyle w:val="51"/>
              <w:spacing w:before="86"/>
              <w:ind w:left="28" w:leftChars="0" w:right="19" w:rightChars="0"/>
              <w:jc w:val="center"/>
              <w:rPr>
                <w:color w:val="auto"/>
                <w:sz w:val="21"/>
              </w:rPr>
            </w:pPr>
            <w:r>
              <w:rPr>
                <w:color w:val="auto"/>
                <w:sz w:val="21"/>
              </w:rPr>
              <w:t>阳离子型表面活性剂</w:t>
            </w:r>
          </w:p>
        </w:tc>
        <w:tc>
          <w:tcPr>
            <w:tcW w:w="2765" w:type="dxa"/>
            <w:vAlign w:val="top"/>
          </w:tcPr>
          <w:p>
            <w:pPr>
              <w:pStyle w:val="51"/>
              <w:spacing w:before="100"/>
              <w:ind w:left="8" w:leftChars="0"/>
              <w:jc w:val="center"/>
              <w:rPr>
                <w:color w:val="auto"/>
                <w:sz w:val="21"/>
              </w:rPr>
            </w:pPr>
            <w:r>
              <w:rPr>
                <w:rFonts w:ascii="Times New Roman"/>
                <w:color w:val="auto"/>
                <w:w w:val="99"/>
                <w:sz w:val="21"/>
              </w:rPr>
              <w:t>-</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34</w:t>
            </w:r>
          </w:p>
        </w:tc>
        <w:tc>
          <w:tcPr>
            <w:tcW w:w="2683" w:type="dxa"/>
            <w:vAlign w:val="top"/>
          </w:tcPr>
          <w:p>
            <w:pPr>
              <w:pStyle w:val="51"/>
              <w:spacing w:before="86"/>
              <w:ind w:left="28" w:leftChars="0" w:right="19" w:rightChars="0"/>
              <w:jc w:val="center"/>
              <w:rPr>
                <w:color w:val="auto"/>
                <w:sz w:val="21"/>
              </w:rPr>
            </w:pPr>
            <w:r>
              <w:rPr>
                <w:color w:val="auto"/>
                <w:sz w:val="21"/>
              </w:rPr>
              <w:t>非离子型表面活性剂</w:t>
            </w:r>
          </w:p>
        </w:tc>
        <w:tc>
          <w:tcPr>
            <w:tcW w:w="2765" w:type="dxa"/>
            <w:vAlign w:val="top"/>
          </w:tcPr>
          <w:p>
            <w:pPr>
              <w:pStyle w:val="51"/>
              <w:spacing w:before="100"/>
              <w:ind w:left="8" w:leftChars="0"/>
              <w:jc w:val="center"/>
              <w:rPr>
                <w:color w:val="auto"/>
                <w:sz w:val="21"/>
              </w:rPr>
            </w:pPr>
            <w:r>
              <w:rPr>
                <w:rFonts w:ascii="Times New Roman"/>
                <w:color w:val="auto"/>
                <w:w w:val="99"/>
                <w:sz w:val="21"/>
              </w:rPr>
              <w:t>-</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35</w:t>
            </w:r>
          </w:p>
        </w:tc>
        <w:tc>
          <w:tcPr>
            <w:tcW w:w="2683" w:type="dxa"/>
            <w:vAlign w:val="top"/>
          </w:tcPr>
          <w:p>
            <w:pPr>
              <w:pStyle w:val="51"/>
              <w:spacing w:before="86"/>
              <w:ind w:left="28" w:leftChars="0" w:right="19" w:rightChars="0"/>
              <w:jc w:val="center"/>
              <w:rPr>
                <w:color w:val="auto"/>
                <w:sz w:val="21"/>
              </w:rPr>
            </w:pPr>
            <w:r>
              <w:rPr>
                <w:color w:val="auto"/>
                <w:sz w:val="21"/>
              </w:rPr>
              <w:t>环氧树脂</w:t>
            </w:r>
          </w:p>
        </w:tc>
        <w:tc>
          <w:tcPr>
            <w:tcW w:w="2765" w:type="dxa"/>
            <w:vAlign w:val="top"/>
          </w:tcPr>
          <w:p>
            <w:pPr>
              <w:pStyle w:val="51"/>
              <w:spacing w:before="100"/>
              <w:ind w:left="8" w:leftChars="0"/>
              <w:jc w:val="center"/>
              <w:rPr>
                <w:color w:val="auto"/>
                <w:sz w:val="21"/>
              </w:rPr>
            </w:pPr>
            <w:r>
              <w:rPr>
                <w:rFonts w:ascii="Times New Roman"/>
                <w:color w:val="auto"/>
                <w:w w:val="99"/>
                <w:sz w:val="21"/>
              </w:rPr>
              <w:t>-</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2"/>
              <w:ind w:left="89" w:leftChars="0" w:right="81" w:rightChars="0"/>
              <w:jc w:val="center"/>
              <w:rPr>
                <w:rFonts w:ascii="Times New Roman"/>
                <w:color w:val="auto"/>
                <w:sz w:val="21"/>
              </w:rPr>
            </w:pPr>
            <w:r>
              <w:rPr>
                <w:rFonts w:ascii="Times New Roman"/>
                <w:color w:val="auto"/>
                <w:sz w:val="21"/>
              </w:rPr>
              <w:t>36</w:t>
            </w:r>
          </w:p>
        </w:tc>
        <w:tc>
          <w:tcPr>
            <w:tcW w:w="2683" w:type="dxa"/>
            <w:vAlign w:val="top"/>
          </w:tcPr>
          <w:p>
            <w:pPr>
              <w:pStyle w:val="51"/>
              <w:spacing w:before="88"/>
              <w:ind w:left="25" w:leftChars="0" w:right="19" w:rightChars="0"/>
              <w:jc w:val="center"/>
              <w:rPr>
                <w:color w:val="auto"/>
                <w:sz w:val="21"/>
              </w:rPr>
            </w:pPr>
            <w:r>
              <w:rPr>
                <w:color w:val="auto"/>
                <w:sz w:val="21"/>
              </w:rPr>
              <w:t>稀盐酸</w:t>
            </w:r>
          </w:p>
        </w:tc>
        <w:tc>
          <w:tcPr>
            <w:tcW w:w="2765" w:type="dxa"/>
            <w:vAlign w:val="top"/>
          </w:tcPr>
          <w:p>
            <w:pPr>
              <w:pStyle w:val="51"/>
              <w:spacing w:before="88"/>
              <w:ind w:left="50" w:leftChars="0" w:right="44" w:rightChars="0"/>
              <w:jc w:val="center"/>
              <w:rPr>
                <w:color w:val="auto"/>
                <w:sz w:val="21"/>
              </w:rPr>
            </w:pPr>
            <w:r>
              <w:rPr>
                <w:color w:val="auto"/>
                <w:sz w:val="21"/>
              </w:rPr>
              <w:t>盐酸</w:t>
            </w:r>
          </w:p>
        </w:tc>
        <w:tc>
          <w:tcPr>
            <w:tcW w:w="664" w:type="dxa"/>
            <w:vAlign w:val="top"/>
          </w:tcPr>
          <w:p>
            <w:pPr>
              <w:pStyle w:val="51"/>
              <w:spacing w:before="88"/>
              <w:ind w:left="9" w:leftChars="0"/>
              <w:jc w:val="center"/>
              <w:rPr>
                <w:color w:val="auto"/>
                <w:w w:val="99"/>
                <w:sz w:val="21"/>
              </w:rPr>
            </w:pPr>
            <w:r>
              <w:rPr>
                <w:color w:val="auto"/>
                <w:w w:val="99"/>
                <w:sz w:val="21"/>
              </w:rPr>
              <w:t>吨</w:t>
            </w:r>
          </w:p>
        </w:tc>
        <w:tc>
          <w:tcPr>
            <w:tcW w:w="1063" w:type="dxa"/>
            <w:vAlign w:val="top"/>
          </w:tcPr>
          <w:p>
            <w:pPr>
              <w:pStyle w:val="51"/>
              <w:spacing w:before="102"/>
              <w:ind w:left="98" w:leftChars="0" w:right="86" w:rightChars="0"/>
              <w:jc w:val="center"/>
              <w:rPr>
                <w:rFonts w:ascii="Times New Roman"/>
                <w:color w:val="auto"/>
                <w:sz w:val="21"/>
              </w:rPr>
            </w:pPr>
            <w:r>
              <w:rPr>
                <w:rFonts w:ascii="Times New Roman"/>
                <w:color w:val="auto"/>
                <w:sz w:val="21"/>
              </w:rPr>
              <w:t>0.3</w:t>
            </w:r>
          </w:p>
        </w:tc>
        <w:tc>
          <w:tcPr>
            <w:tcW w:w="1107" w:type="dxa"/>
            <w:vAlign w:val="top"/>
          </w:tcPr>
          <w:p>
            <w:pPr>
              <w:pStyle w:val="51"/>
              <w:spacing w:before="88"/>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37</w:t>
            </w:r>
          </w:p>
        </w:tc>
        <w:tc>
          <w:tcPr>
            <w:tcW w:w="2683" w:type="dxa"/>
            <w:vAlign w:val="top"/>
          </w:tcPr>
          <w:p>
            <w:pPr>
              <w:pStyle w:val="51"/>
              <w:spacing w:before="87"/>
              <w:ind w:left="25" w:leftChars="0" w:right="19" w:rightChars="0"/>
              <w:jc w:val="center"/>
              <w:rPr>
                <w:color w:val="auto"/>
                <w:sz w:val="21"/>
              </w:rPr>
            </w:pPr>
            <w:r>
              <w:rPr>
                <w:rFonts w:ascii="Times New Roman" w:eastAsia="Times New Roman"/>
                <w:color w:val="auto"/>
                <w:sz w:val="21"/>
              </w:rPr>
              <w:t>98%</w:t>
            </w:r>
            <w:r>
              <w:rPr>
                <w:color w:val="auto"/>
                <w:sz w:val="21"/>
              </w:rPr>
              <w:t>浓硫酸</w:t>
            </w:r>
          </w:p>
        </w:tc>
        <w:tc>
          <w:tcPr>
            <w:tcW w:w="2765" w:type="dxa"/>
            <w:vAlign w:val="top"/>
          </w:tcPr>
          <w:p>
            <w:pPr>
              <w:pStyle w:val="51"/>
              <w:spacing w:before="87"/>
              <w:ind w:left="50" w:leftChars="0" w:right="44" w:rightChars="0"/>
              <w:jc w:val="center"/>
              <w:rPr>
                <w:color w:val="auto"/>
                <w:sz w:val="21"/>
              </w:rPr>
            </w:pPr>
            <w:r>
              <w:rPr>
                <w:color w:val="auto"/>
                <w:sz w:val="21"/>
              </w:rPr>
              <w:t>硫酸</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4" w:leftChars="0" w:right="87" w:rightChars="0"/>
              <w:jc w:val="center"/>
              <w:rPr>
                <w:rFonts w:ascii="Times New Roman"/>
                <w:color w:val="auto"/>
                <w:sz w:val="21"/>
              </w:rPr>
            </w:pPr>
            <w:r>
              <w:rPr>
                <w:rFonts w:ascii="Times New Roman"/>
                <w:color w:val="auto"/>
                <w:sz w:val="21"/>
              </w:rPr>
              <w:t>0.63</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38</w:t>
            </w:r>
          </w:p>
        </w:tc>
        <w:tc>
          <w:tcPr>
            <w:tcW w:w="2683" w:type="dxa"/>
            <w:vAlign w:val="top"/>
          </w:tcPr>
          <w:p>
            <w:pPr>
              <w:pStyle w:val="51"/>
              <w:spacing w:before="87"/>
              <w:ind w:left="25" w:leftChars="0" w:right="19" w:rightChars="0"/>
              <w:jc w:val="center"/>
              <w:rPr>
                <w:color w:val="auto"/>
                <w:sz w:val="21"/>
              </w:rPr>
            </w:pPr>
            <w:r>
              <w:rPr>
                <w:color w:val="auto"/>
                <w:sz w:val="21"/>
              </w:rPr>
              <w:t>丙酮</w:t>
            </w:r>
          </w:p>
        </w:tc>
        <w:tc>
          <w:tcPr>
            <w:tcW w:w="2765" w:type="dxa"/>
            <w:vAlign w:val="top"/>
          </w:tcPr>
          <w:p>
            <w:pPr>
              <w:pStyle w:val="51"/>
              <w:spacing w:before="87"/>
              <w:ind w:left="50" w:leftChars="0" w:right="44" w:rightChars="0"/>
              <w:jc w:val="center"/>
              <w:rPr>
                <w:color w:val="auto"/>
                <w:sz w:val="21"/>
              </w:rPr>
            </w:pPr>
            <w:r>
              <w:rPr>
                <w:color w:val="auto"/>
                <w:sz w:val="21"/>
              </w:rPr>
              <w:t>丙酮</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8" w:leftChars="0" w:right="86" w:rightChars="0"/>
              <w:jc w:val="center"/>
              <w:rPr>
                <w:rFonts w:ascii="Times New Roman"/>
                <w:color w:val="auto"/>
                <w:sz w:val="21"/>
              </w:rPr>
            </w:pPr>
            <w:r>
              <w:rPr>
                <w:rFonts w:ascii="Times New Roman"/>
                <w:color w:val="auto"/>
                <w:sz w:val="21"/>
              </w:rPr>
              <w:t>0.1</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39</w:t>
            </w:r>
          </w:p>
        </w:tc>
        <w:tc>
          <w:tcPr>
            <w:tcW w:w="2683" w:type="dxa"/>
            <w:vAlign w:val="top"/>
          </w:tcPr>
          <w:p>
            <w:pPr>
              <w:pStyle w:val="51"/>
              <w:spacing w:before="86"/>
              <w:ind w:left="25" w:leftChars="0" w:right="19" w:rightChars="0"/>
              <w:jc w:val="center"/>
              <w:rPr>
                <w:color w:val="auto"/>
                <w:sz w:val="21"/>
              </w:rPr>
            </w:pPr>
            <w:r>
              <w:rPr>
                <w:color w:val="auto"/>
                <w:sz w:val="21"/>
              </w:rPr>
              <w:t>哌啶</w:t>
            </w:r>
          </w:p>
        </w:tc>
        <w:tc>
          <w:tcPr>
            <w:tcW w:w="2765" w:type="dxa"/>
            <w:vAlign w:val="top"/>
          </w:tcPr>
          <w:p>
            <w:pPr>
              <w:pStyle w:val="51"/>
              <w:spacing w:before="86"/>
              <w:ind w:left="50" w:leftChars="0" w:right="44" w:rightChars="0"/>
              <w:jc w:val="center"/>
              <w:rPr>
                <w:color w:val="auto"/>
                <w:sz w:val="21"/>
              </w:rPr>
            </w:pPr>
            <w:r>
              <w:rPr>
                <w:color w:val="auto"/>
                <w:sz w:val="21"/>
              </w:rPr>
              <w:t>哌啶</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7" w:leftChars="0" w:right="87" w:rightChars="0"/>
              <w:jc w:val="center"/>
              <w:rPr>
                <w:rFonts w:ascii="Times New Roman"/>
                <w:color w:val="auto"/>
                <w:sz w:val="21"/>
              </w:rPr>
            </w:pPr>
            <w:r>
              <w:rPr>
                <w:rFonts w:ascii="Times New Roman"/>
                <w:color w:val="auto"/>
                <w:sz w:val="21"/>
              </w:rPr>
              <w:t>44.16</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2"/>
              <w:ind w:left="89" w:leftChars="0" w:right="81" w:rightChars="0"/>
              <w:jc w:val="center"/>
              <w:rPr>
                <w:rFonts w:ascii="Times New Roman"/>
                <w:color w:val="auto"/>
                <w:sz w:val="21"/>
              </w:rPr>
            </w:pPr>
            <w:r>
              <w:rPr>
                <w:rFonts w:ascii="Times New Roman"/>
                <w:color w:val="auto"/>
                <w:sz w:val="21"/>
              </w:rPr>
              <w:t>40</w:t>
            </w:r>
          </w:p>
        </w:tc>
        <w:tc>
          <w:tcPr>
            <w:tcW w:w="2683" w:type="dxa"/>
            <w:vAlign w:val="top"/>
          </w:tcPr>
          <w:p>
            <w:pPr>
              <w:pStyle w:val="51"/>
              <w:spacing w:before="88"/>
              <w:ind w:left="28" w:leftChars="0" w:right="19" w:rightChars="0"/>
              <w:jc w:val="center"/>
              <w:rPr>
                <w:color w:val="auto"/>
                <w:sz w:val="21"/>
              </w:rPr>
            </w:pPr>
            <w:r>
              <w:rPr>
                <w:color w:val="auto"/>
                <w:sz w:val="21"/>
              </w:rPr>
              <w:t>丙烯酰胺</w:t>
            </w:r>
          </w:p>
        </w:tc>
        <w:tc>
          <w:tcPr>
            <w:tcW w:w="2765" w:type="dxa"/>
            <w:vAlign w:val="top"/>
          </w:tcPr>
          <w:p>
            <w:pPr>
              <w:pStyle w:val="51"/>
              <w:spacing w:before="88"/>
              <w:ind w:left="47" w:leftChars="0" w:right="44" w:rightChars="0"/>
              <w:jc w:val="center"/>
              <w:rPr>
                <w:color w:val="auto"/>
                <w:sz w:val="21"/>
              </w:rPr>
            </w:pPr>
            <w:r>
              <w:rPr>
                <w:color w:val="auto"/>
                <w:sz w:val="21"/>
              </w:rPr>
              <w:t>丙烯酰胺</w:t>
            </w:r>
          </w:p>
        </w:tc>
        <w:tc>
          <w:tcPr>
            <w:tcW w:w="664" w:type="dxa"/>
            <w:vAlign w:val="top"/>
          </w:tcPr>
          <w:p>
            <w:pPr>
              <w:pStyle w:val="51"/>
              <w:spacing w:before="88"/>
              <w:ind w:left="9" w:leftChars="0"/>
              <w:jc w:val="center"/>
              <w:rPr>
                <w:color w:val="auto"/>
                <w:w w:val="99"/>
                <w:sz w:val="21"/>
              </w:rPr>
            </w:pPr>
            <w:r>
              <w:rPr>
                <w:color w:val="auto"/>
                <w:w w:val="99"/>
                <w:sz w:val="21"/>
              </w:rPr>
              <w:t>吨</w:t>
            </w:r>
          </w:p>
        </w:tc>
        <w:tc>
          <w:tcPr>
            <w:tcW w:w="1063" w:type="dxa"/>
            <w:vAlign w:val="top"/>
          </w:tcPr>
          <w:p>
            <w:pPr>
              <w:pStyle w:val="51"/>
              <w:spacing w:before="102"/>
              <w:ind w:left="98" w:leftChars="0" w:right="86" w:rightChars="0"/>
              <w:jc w:val="center"/>
              <w:rPr>
                <w:rFonts w:ascii="Times New Roman"/>
                <w:color w:val="auto"/>
                <w:sz w:val="21"/>
              </w:rPr>
            </w:pPr>
            <w:r>
              <w:rPr>
                <w:rFonts w:ascii="Times New Roman"/>
                <w:color w:val="auto"/>
                <w:sz w:val="21"/>
              </w:rPr>
              <w:t>0.4</w:t>
            </w:r>
          </w:p>
        </w:tc>
        <w:tc>
          <w:tcPr>
            <w:tcW w:w="1107" w:type="dxa"/>
            <w:vAlign w:val="top"/>
          </w:tcPr>
          <w:p>
            <w:pPr>
              <w:pStyle w:val="51"/>
              <w:spacing w:before="88"/>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41</w:t>
            </w:r>
          </w:p>
        </w:tc>
        <w:tc>
          <w:tcPr>
            <w:tcW w:w="2683" w:type="dxa"/>
            <w:vAlign w:val="top"/>
          </w:tcPr>
          <w:p>
            <w:pPr>
              <w:pStyle w:val="51"/>
              <w:spacing w:before="87"/>
              <w:ind w:left="25" w:leftChars="0" w:right="19" w:rightChars="0"/>
              <w:jc w:val="center"/>
              <w:rPr>
                <w:color w:val="auto"/>
                <w:sz w:val="21"/>
              </w:rPr>
            </w:pPr>
            <w:r>
              <w:rPr>
                <w:color w:val="auto"/>
                <w:sz w:val="21"/>
              </w:rPr>
              <w:t>苯乙烯</w:t>
            </w:r>
          </w:p>
        </w:tc>
        <w:tc>
          <w:tcPr>
            <w:tcW w:w="2765" w:type="dxa"/>
            <w:vAlign w:val="top"/>
          </w:tcPr>
          <w:p>
            <w:pPr>
              <w:pStyle w:val="51"/>
              <w:spacing w:before="87"/>
              <w:ind w:left="50" w:leftChars="0" w:right="44" w:rightChars="0"/>
              <w:jc w:val="center"/>
              <w:rPr>
                <w:color w:val="auto"/>
                <w:sz w:val="21"/>
              </w:rPr>
            </w:pPr>
            <w:r>
              <w:rPr>
                <w:color w:val="auto"/>
                <w:sz w:val="21"/>
              </w:rPr>
              <w:t>苯乙烯</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4" w:leftChars="0" w:right="87" w:rightChars="0"/>
              <w:jc w:val="center"/>
              <w:rPr>
                <w:rFonts w:ascii="Times New Roman"/>
                <w:color w:val="auto"/>
                <w:sz w:val="21"/>
              </w:rPr>
            </w:pPr>
            <w:r>
              <w:rPr>
                <w:rFonts w:ascii="Times New Roman"/>
                <w:color w:val="auto"/>
                <w:sz w:val="21"/>
              </w:rPr>
              <w:t>522</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42</w:t>
            </w:r>
          </w:p>
        </w:tc>
        <w:tc>
          <w:tcPr>
            <w:tcW w:w="2683" w:type="dxa"/>
            <w:vAlign w:val="top"/>
          </w:tcPr>
          <w:p>
            <w:pPr>
              <w:pStyle w:val="51"/>
              <w:spacing w:before="87"/>
              <w:ind w:left="28" w:leftChars="0" w:right="19" w:rightChars="0"/>
              <w:jc w:val="center"/>
              <w:rPr>
                <w:color w:val="auto"/>
                <w:sz w:val="21"/>
              </w:rPr>
            </w:pPr>
            <w:r>
              <w:rPr>
                <w:color w:val="auto"/>
                <w:sz w:val="21"/>
              </w:rPr>
              <w:t>氨水（</w:t>
            </w:r>
            <w:r>
              <w:rPr>
                <w:rFonts w:ascii="Times New Roman" w:eastAsia="Times New Roman"/>
                <w:color w:val="auto"/>
                <w:sz w:val="21"/>
              </w:rPr>
              <w:t>30%</w:t>
            </w:r>
            <w:r>
              <w:rPr>
                <w:color w:val="auto"/>
                <w:sz w:val="21"/>
              </w:rPr>
              <w:t>）</w:t>
            </w:r>
          </w:p>
        </w:tc>
        <w:tc>
          <w:tcPr>
            <w:tcW w:w="2765" w:type="dxa"/>
            <w:vAlign w:val="top"/>
          </w:tcPr>
          <w:p>
            <w:pPr>
              <w:pStyle w:val="51"/>
              <w:spacing w:before="87"/>
              <w:ind w:left="8" w:leftChars="0"/>
              <w:jc w:val="center"/>
              <w:rPr>
                <w:color w:val="auto"/>
                <w:sz w:val="21"/>
              </w:rPr>
            </w:pPr>
            <w:r>
              <w:rPr>
                <w:color w:val="auto"/>
                <w:w w:val="99"/>
                <w:sz w:val="21"/>
              </w:rPr>
              <w:t>氨</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4" w:leftChars="0" w:right="87" w:rightChars="0"/>
              <w:jc w:val="center"/>
              <w:rPr>
                <w:rFonts w:ascii="Times New Roman"/>
                <w:color w:val="auto"/>
                <w:sz w:val="21"/>
              </w:rPr>
            </w:pPr>
            <w:r>
              <w:rPr>
                <w:rFonts w:ascii="Times New Roman"/>
                <w:color w:val="auto"/>
                <w:sz w:val="21"/>
              </w:rPr>
              <w:t>50</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43</w:t>
            </w:r>
          </w:p>
        </w:tc>
        <w:tc>
          <w:tcPr>
            <w:tcW w:w="2683" w:type="dxa"/>
            <w:vAlign w:val="top"/>
          </w:tcPr>
          <w:p>
            <w:pPr>
              <w:pStyle w:val="51"/>
              <w:spacing w:before="87"/>
              <w:ind w:left="28" w:leftChars="0" w:right="19" w:rightChars="0"/>
              <w:jc w:val="center"/>
              <w:rPr>
                <w:color w:val="auto"/>
                <w:sz w:val="21"/>
              </w:rPr>
            </w:pPr>
            <w:r>
              <w:rPr>
                <w:color w:val="auto"/>
                <w:sz w:val="21"/>
              </w:rPr>
              <w:t>过硫酸钠</w:t>
            </w:r>
          </w:p>
        </w:tc>
        <w:tc>
          <w:tcPr>
            <w:tcW w:w="2765" w:type="dxa"/>
            <w:vAlign w:val="top"/>
          </w:tcPr>
          <w:p>
            <w:pPr>
              <w:pStyle w:val="51"/>
              <w:spacing w:before="87"/>
              <w:ind w:left="47" w:leftChars="0" w:right="44" w:rightChars="0"/>
              <w:jc w:val="center"/>
              <w:rPr>
                <w:color w:val="auto"/>
                <w:sz w:val="21"/>
              </w:rPr>
            </w:pPr>
            <w:r>
              <w:rPr>
                <w:color w:val="auto"/>
                <w:sz w:val="21"/>
              </w:rPr>
              <w:t>过硫酸钠</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0"/>
              <w:ind w:left="7" w:leftChars="0"/>
              <w:jc w:val="center"/>
              <w:rPr>
                <w:rFonts w:ascii="Times New Roman"/>
                <w:color w:val="auto"/>
                <w:sz w:val="21"/>
              </w:rPr>
            </w:pPr>
            <w:r>
              <w:rPr>
                <w:rFonts w:ascii="Times New Roman"/>
                <w:color w:val="auto"/>
                <w:w w:val="99"/>
                <w:sz w:val="21"/>
              </w:rPr>
              <w:t>5</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44</w:t>
            </w:r>
          </w:p>
        </w:tc>
        <w:tc>
          <w:tcPr>
            <w:tcW w:w="2683" w:type="dxa"/>
            <w:vAlign w:val="top"/>
          </w:tcPr>
          <w:p>
            <w:pPr>
              <w:pStyle w:val="51"/>
              <w:spacing w:before="86"/>
              <w:ind w:left="25" w:leftChars="0" w:right="19" w:rightChars="0"/>
              <w:jc w:val="center"/>
              <w:rPr>
                <w:color w:val="auto"/>
                <w:sz w:val="21"/>
              </w:rPr>
            </w:pPr>
            <w:r>
              <w:rPr>
                <w:color w:val="auto"/>
                <w:sz w:val="21"/>
              </w:rPr>
              <w:t>亚磷酸三苯酯</w:t>
            </w:r>
          </w:p>
        </w:tc>
        <w:tc>
          <w:tcPr>
            <w:tcW w:w="2765" w:type="dxa"/>
            <w:vAlign w:val="top"/>
          </w:tcPr>
          <w:p>
            <w:pPr>
              <w:pStyle w:val="51"/>
              <w:spacing w:before="86"/>
              <w:ind w:left="50" w:leftChars="0" w:right="44" w:rightChars="0"/>
              <w:jc w:val="center"/>
              <w:rPr>
                <w:color w:val="auto"/>
                <w:sz w:val="21"/>
              </w:rPr>
            </w:pPr>
            <w:r>
              <w:rPr>
                <w:color w:val="auto"/>
                <w:sz w:val="21"/>
              </w:rPr>
              <w:t>亚磷酸三苯酯</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45</w:t>
            </w:r>
          </w:p>
        </w:tc>
        <w:tc>
          <w:tcPr>
            <w:tcW w:w="2683" w:type="dxa"/>
            <w:vAlign w:val="top"/>
          </w:tcPr>
          <w:p>
            <w:pPr>
              <w:pStyle w:val="51"/>
              <w:spacing w:before="86"/>
              <w:ind w:left="25" w:leftChars="0" w:right="19" w:rightChars="0"/>
              <w:jc w:val="center"/>
              <w:rPr>
                <w:color w:val="auto"/>
                <w:sz w:val="21"/>
              </w:rPr>
            </w:pPr>
            <w:r>
              <w:rPr>
                <w:color w:val="auto"/>
                <w:sz w:val="21"/>
              </w:rPr>
              <w:t>乙醇胺</w:t>
            </w:r>
          </w:p>
        </w:tc>
        <w:tc>
          <w:tcPr>
            <w:tcW w:w="2765" w:type="dxa"/>
            <w:vAlign w:val="top"/>
          </w:tcPr>
          <w:p>
            <w:pPr>
              <w:pStyle w:val="51"/>
              <w:spacing w:before="86"/>
              <w:ind w:left="52" w:leftChars="0" w:right="44" w:rightChars="0"/>
              <w:jc w:val="center"/>
              <w:rPr>
                <w:color w:val="auto"/>
                <w:sz w:val="21"/>
              </w:rPr>
            </w:pPr>
            <w:r>
              <w:rPr>
                <w:color w:val="auto"/>
                <w:sz w:val="21"/>
              </w:rPr>
              <w:t>二乙醇胺、三乙醇胺</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4" w:leftChars="0" w:right="87" w:rightChars="0"/>
              <w:jc w:val="center"/>
              <w:rPr>
                <w:rFonts w:ascii="Times New Roman"/>
                <w:color w:val="auto"/>
                <w:sz w:val="21"/>
              </w:rPr>
            </w:pPr>
            <w:r>
              <w:rPr>
                <w:rFonts w:ascii="Times New Roman"/>
                <w:color w:val="auto"/>
                <w:sz w:val="21"/>
              </w:rPr>
              <w:t>13</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2"/>
              <w:ind w:left="89" w:leftChars="0" w:right="81" w:rightChars="0"/>
              <w:jc w:val="center"/>
              <w:rPr>
                <w:rFonts w:ascii="Times New Roman"/>
                <w:color w:val="auto"/>
                <w:sz w:val="21"/>
              </w:rPr>
            </w:pPr>
            <w:r>
              <w:rPr>
                <w:rFonts w:ascii="Times New Roman"/>
                <w:color w:val="auto"/>
                <w:sz w:val="21"/>
              </w:rPr>
              <w:t>46</w:t>
            </w:r>
          </w:p>
        </w:tc>
        <w:tc>
          <w:tcPr>
            <w:tcW w:w="2683" w:type="dxa"/>
            <w:vAlign w:val="top"/>
          </w:tcPr>
          <w:p>
            <w:pPr>
              <w:pStyle w:val="51"/>
              <w:spacing w:before="88"/>
              <w:ind w:left="28" w:leftChars="0" w:right="19" w:rightChars="0"/>
              <w:jc w:val="center"/>
              <w:rPr>
                <w:color w:val="auto"/>
                <w:sz w:val="21"/>
              </w:rPr>
            </w:pPr>
            <w:r>
              <w:rPr>
                <w:color w:val="auto"/>
                <w:sz w:val="21"/>
              </w:rPr>
              <w:t>氢氧化钾、氢氧化钠</w:t>
            </w:r>
          </w:p>
        </w:tc>
        <w:tc>
          <w:tcPr>
            <w:tcW w:w="2765" w:type="dxa"/>
            <w:vAlign w:val="top"/>
          </w:tcPr>
          <w:p>
            <w:pPr>
              <w:pStyle w:val="51"/>
              <w:spacing w:before="88"/>
              <w:ind w:left="52" w:leftChars="0" w:right="44" w:rightChars="0"/>
              <w:jc w:val="center"/>
              <w:rPr>
                <w:color w:val="auto"/>
                <w:sz w:val="21"/>
              </w:rPr>
            </w:pPr>
            <w:r>
              <w:rPr>
                <w:color w:val="auto"/>
                <w:sz w:val="21"/>
              </w:rPr>
              <w:t>氢氧化钾、氢氧化钠</w:t>
            </w:r>
          </w:p>
        </w:tc>
        <w:tc>
          <w:tcPr>
            <w:tcW w:w="664" w:type="dxa"/>
            <w:vAlign w:val="top"/>
          </w:tcPr>
          <w:p>
            <w:pPr>
              <w:pStyle w:val="51"/>
              <w:spacing w:before="88"/>
              <w:ind w:left="9" w:leftChars="0"/>
              <w:jc w:val="center"/>
              <w:rPr>
                <w:color w:val="auto"/>
                <w:w w:val="99"/>
                <w:sz w:val="21"/>
              </w:rPr>
            </w:pPr>
            <w:r>
              <w:rPr>
                <w:color w:val="auto"/>
                <w:w w:val="99"/>
                <w:sz w:val="21"/>
              </w:rPr>
              <w:t>吨</w:t>
            </w:r>
          </w:p>
        </w:tc>
        <w:tc>
          <w:tcPr>
            <w:tcW w:w="1063" w:type="dxa"/>
            <w:vAlign w:val="top"/>
          </w:tcPr>
          <w:p>
            <w:pPr>
              <w:pStyle w:val="51"/>
              <w:spacing w:before="102"/>
              <w:ind w:left="98" w:leftChars="0" w:right="86" w:rightChars="0"/>
              <w:jc w:val="center"/>
              <w:rPr>
                <w:rFonts w:ascii="Times New Roman"/>
                <w:color w:val="auto"/>
                <w:sz w:val="21"/>
              </w:rPr>
            </w:pPr>
            <w:r>
              <w:rPr>
                <w:rFonts w:ascii="Times New Roman"/>
                <w:color w:val="auto"/>
                <w:sz w:val="21"/>
              </w:rPr>
              <w:t>0.3</w:t>
            </w:r>
          </w:p>
        </w:tc>
        <w:tc>
          <w:tcPr>
            <w:tcW w:w="1107" w:type="dxa"/>
            <w:vAlign w:val="top"/>
          </w:tcPr>
          <w:p>
            <w:pPr>
              <w:pStyle w:val="51"/>
              <w:spacing w:before="88"/>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47</w:t>
            </w:r>
          </w:p>
        </w:tc>
        <w:tc>
          <w:tcPr>
            <w:tcW w:w="2683" w:type="dxa"/>
            <w:vAlign w:val="top"/>
          </w:tcPr>
          <w:p>
            <w:pPr>
              <w:pStyle w:val="51"/>
              <w:spacing w:before="87"/>
              <w:ind w:left="28" w:leftChars="0" w:right="19" w:rightChars="0"/>
              <w:jc w:val="center"/>
              <w:rPr>
                <w:color w:val="auto"/>
                <w:sz w:val="21"/>
              </w:rPr>
            </w:pPr>
            <w:r>
              <w:rPr>
                <w:color w:val="auto"/>
                <w:sz w:val="21"/>
              </w:rPr>
              <w:t>二硫化碳</w:t>
            </w:r>
          </w:p>
        </w:tc>
        <w:tc>
          <w:tcPr>
            <w:tcW w:w="2765" w:type="dxa"/>
            <w:vAlign w:val="top"/>
          </w:tcPr>
          <w:p>
            <w:pPr>
              <w:pStyle w:val="51"/>
              <w:spacing w:before="87"/>
              <w:ind w:left="47" w:leftChars="0" w:right="44" w:rightChars="0"/>
              <w:jc w:val="center"/>
              <w:rPr>
                <w:color w:val="auto"/>
                <w:sz w:val="21"/>
              </w:rPr>
            </w:pPr>
            <w:r>
              <w:rPr>
                <w:color w:val="auto"/>
                <w:sz w:val="21"/>
              </w:rPr>
              <w:t>二硫化碳</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8" w:leftChars="0" w:right="86" w:rightChars="0"/>
              <w:jc w:val="center"/>
              <w:rPr>
                <w:rFonts w:ascii="Times New Roman"/>
                <w:color w:val="auto"/>
                <w:sz w:val="21"/>
              </w:rPr>
            </w:pPr>
            <w:r>
              <w:rPr>
                <w:rFonts w:ascii="Times New Roman"/>
                <w:color w:val="auto"/>
                <w:sz w:val="21"/>
              </w:rPr>
              <w:t>0.3</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48</w:t>
            </w:r>
          </w:p>
        </w:tc>
        <w:tc>
          <w:tcPr>
            <w:tcW w:w="2683" w:type="dxa"/>
            <w:vAlign w:val="top"/>
          </w:tcPr>
          <w:p>
            <w:pPr>
              <w:pStyle w:val="51"/>
              <w:spacing w:before="87"/>
              <w:ind w:left="25" w:leftChars="0" w:right="19" w:rightChars="0"/>
              <w:jc w:val="center"/>
              <w:rPr>
                <w:color w:val="auto"/>
                <w:sz w:val="21"/>
              </w:rPr>
            </w:pPr>
            <w:r>
              <w:rPr>
                <w:color w:val="auto"/>
                <w:sz w:val="21"/>
              </w:rPr>
              <w:t>氯仿</w:t>
            </w:r>
          </w:p>
        </w:tc>
        <w:tc>
          <w:tcPr>
            <w:tcW w:w="2765" w:type="dxa"/>
            <w:vAlign w:val="top"/>
          </w:tcPr>
          <w:p>
            <w:pPr>
              <w:pStyle w:val="51"/>
              <w:spacing w:before="87"/>
              <w:ind w:left="47" w:leftChars="0" w:right="44" w:rightChars="0"/>
              <w:jc w:val="center"/>
              <w:rPr>
                <w:color w:val="auto"/>
                <w:sz w:val="21"/>
              </w:rPr>
            </w:pPr>
            <w:r>
              <w:rPr>
                <w:color w:val="auto"/>
                <w:sz w:val="21"/>
              </w:rPr>
              <w:t>三氯甲烷</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98" w:leftChars="0" w:right="86" w:rightChars="0"/>
              <w:jc w:val="center"/>
              <w:rPr>
                <w:rFonts w:ascii="Times New Roman"/>
                <w:color w:val="auto"/>
                <w:sz w:val="21"/>
              </w:rPr>
            </w:pPr>
            <w:r>
              <w:rPr>
                <w:rFonts w:ascii="Times New Roman"/>
                <w:color w:val="auto"/>
                <w:sz w:val="21"/>
              </w:rPr>
              <w:t>0.3</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72"/>
              <w:ind w:left="89" w:leftChars="0" w:right="81" w:rightChars="0"/>
              <w:jc w:val="center"/>
              <w:rPr>
                <w:rFonts w:ascii="Times New Roman"/>
                <w:color w:val="auto"/>
                <w:sz w:val="21"/>
              </w:rPr>
            </w:pPr>
            <w:r>
              <w:rPr>
                <w:rFonts w:ascii="Times New Roman"/>
                <w:color w:val="auto"/>
                <w:sz w:val="21"/>
              </w:rPr>
              <w:t>49</w:t>
            </w:r>
          </w:p>
        </w:tc>
        <w:tc>
          <w:tcPr>
            <w:tcW w:w="2683" w:type="dxa"/>
            <w:vAlign w:val="top"/>
          </w:tcPr>
          <w:p>
            <w:pPr>
              <w:pStyle w:val="51"/>
              <w:spacing w:before="159"/>
              <w:ind w:left="28" w:leftChars="0" w:right="19" w:rightChars="0"/>
              <w:jc w:val="center"/>
              <w:rPr>
                <w:color w:val="auto"/>
                <w:sz w:val="21"/>
              </w:rPr>
            </w:pPr>
            <w:r>
              <w:rPr>
                <w:color w:val="auto"/>
                <w:sz w:val="21"/>
              </w:rPr>
              <w:t>乙烯基单体</w:t>
            </w:r>
          </w:p>
        </w:tc>
        <w:tc>
          <w:tcPr>
            <w:tcW w:w="2765" w:type="dxa"/>
            <w:vAlign w:val="top"/>
          </w:tcPr>
          <w:p>
            <w:pPr>
              <w:pStyle w:val="51"/>
              <w:spacing w:before="159"/>
              <w:ind w:left="50" w:leftChars="0" w:right="44" w:rightChars="0"/>
              <w:jc w:val="center"/>
              <w:rPr>
                <w:color w:val="auto"/>
                <w:sz w:val="21"/>
              </w:rPr>
            </w:pPr>
            <w:r>
              <w:rPr>
                <w:color w:val="auto"/>
                <w:sz w:val="21"/>
              </w:rPr>
              <w:t>乙烯基烷基醚、十二烯等</w:t>
            </w:r>
          </w:p>
        </w:tc>
        <w:tc>
          <w:tcPr>
            <w:tcW w:w="664" w:type="dxa"/>
            <w:vAlign w:val="top"/>
          </w:tcPr>
          <w:p>
            <w:pPr>
              <w:pStyle w:val="51"/>
              <w:spacing w:before="159"/>
              <w:ind w:left="9" w:leftChars="0"/>
              <w:jc w:val="center"/>
              <w:rPr>
                <w:color w:val="auto"/>
                <w:w w:val="99"/>
                <w:sz w:val="21"/>
              </w:rPr>
            </w:pPr>
            <w:r>
              <w:rPr>
                <w:color w:val="auto"/>
                <w:w w:val="99"/>
                <w:sz w:val="21"/>
              </w:rPr>
              <w:t>吨</w:t>
            </w:r>
          </w:p>
        </w:tc>
        <w:tc>
          <w:tcPr>
            <w:tcW w:w="1063" w:type="dxa"/>
            <w:vAlign w:val="top"/>
          </w:tcPr>
          <w:p>
            <w:pPr>
              <w:pStyle w:val="51"/>
              <w:spacing w:before="172"/>
              <w:ind w:left="94" w:leftChars="0" w:right="87" w:rightChars="0"/>
              <w:jc w:val="center"/>
              <w:rPr>
                <w:rFonts w:ascii="Times New Roman"/>
                <w:color w:val="auto"/>
                <w:sz w:val="21"/>
              </w:rPr>
            </w:pPr>
            <w:r>
              <w:rPr>
                <w:rFonts w:ascii="Times New Roman"/>
                <w:color w:val="auto"/>
                <w:sz w:val="21"/>
              </w:rPr>
              <w:t>550</w:t>
            </w:r>
          </w:p>
        </w:tc>
        <w:tc>
          <w:tcPr>
            <w:tcW w:w="1107" w:type="dxa"/>
            <w:vAlign w:val="top"/>
          </w:tcPr>
          <w:p>
            <w:pPr>
              <w:pStyle w:val="51"/>
              <w:spacing w:before="159"/>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95"/>
              <w:ind w:left="89" w:leftChars="0" w:right="81" w:rightChars="0"/>
              <w:jc w:val="center"/>
              <w:rPr>
                <w:rFonts w:ascii="Times New Roman"/>
                <w:color w:val="auto"/>
                <w:sz w:val="21"/>
              </w:rPr>
            </w:pPr>
            <w:r>
              <w:rPr>
                <w:rFonts w:ascii="Times New Roman"/>
                <w:color w:val="auto"/>
                <w:sz w:val="21"/>
              </w:rPr>
              <w:t>50</w:t>
            </w:r>
          </w:p>
        </w:tc>
        <w:tc>
          <w:tcPr>
            <w:tcW w:w="2683" w:type="dxa"/>
            <w:vAlign w:val="top"/>
          </w:tcPr>
          <w:p>
            <w:pPr>
              <w:pStyle w:val="51"/>
              <w:spacing w:before="8"/>
              <w:rPr>
                <w:rFonts w:ascii="Times New Roman"/>
                <w:color w:val="auto"/>
                <w:sz w:val="15"/>
              </w:rPr>
            </w:pPr>
          </w:p>
          <w:p>
            <w:pPr>
              <w:pStyle w:val="51"/>
              <w:spacing w:before="1"/>
              <w:ind w:left="25" w:leftChars="0" w:right="19" w:rightChars="0"/>
              <w:jc w:val="center"/>
              <w:rPr>
                <w:color w:val="auto"/>
                <w:sz w:val="21"/>
              </w:rPr>
            </w:pPr>
            <w:r>
              <w:rPr>
                <w:color w:val="auto"/>
                <w:sz w:val="21"/>
              </w:rPr>
              <w:t>乙烯基醚单体</w:t>
            </w:r>
          </w:p>
        </w:tc>
        <w:tc>
          <w:tcPr>
            <w:tcW w:w="2765" w:type="dxa"/>
            <w:vAlign w:val="top"/>
          </w:tcPr>
          <w:p>
            <w:pPr>
              <w:pStyle w:val="51"/>
              <w:spacing w:before="25"/>
              <w:ind w:left="47" w:right="44"/>
              <w:jc w:val="center"/>
              <w:rPr>
                <w:color w:val="auto"/>
                <w:sz w:val="21"/>
              </w:rPr>
            </w:pPr>
            <w:r>
              <w:rPr>
                <w:color w:val="auto"/>
                <w:sz w:val="21"/>
              </w:rPr>
              <w:t>乙烯基醚、乙烯基单乙二醇</w:t>
            </w:r>
          </w:p>
          <w:p>
            <w:pPr>
              <w:pStyle w:val="51"/>
              <w:spacing w:before="43"/>
              <w:ind w:left="8" w:leftChars="0"/>
              <w:jc w:val="center"/>
              <w:rPr>
                <w:color w:val="auto"/>
                <w:sz w:val="21"/>
              </w:rPr>
            </w:pPr>
            <w:r>
              <w:rPr>
                <w:color w:val="auto"/>
                <w:w w:val="99"/>
                <w:sz w:val="21"/>
              </w:rPr>
              <w:t>醚</w:t>
            </w:r>
          </w:p>
        </w:tc>
        <w:tc>
          <w:tcPr>
            <w:tcW w:w="664" w:type="dxa"/>
            <w:vAlign w:val="top"/>
          </w:tcPr>
          <w:p>
            <w:pPr>
              <w:pStyle w:val="51"/>
              <w:spacing w:before="8"/>
              <w:rPr>
                <w:rFonts w:ascii="Times New Roman"/>
                <w:color w:val="auto"/>
                <w:sz w:val="15"/>
              </w:rPr>
            </w:pPr>
          </w:p>
          <w:p>
            <w:pPr>
              <w:pStyle w:val="51"/>
              <w:spacing w:before="1"/>
              <w:ind w:left="9" w:leftChars="0"/>
              <w:jc w:val="center"/>
              <w:rPr>
                <w:color w:val="auto"/>
                <w:w w:val="99"/>
                <w:sz w:val="21"/>
              </w:rPr>
            </w:pPr>
            <w:r>
              <w:rPr>
                <w:color w:val="auto"/>
                <w:w w:val="99"/>
                <w:sz w:val="21"/>
              </w:rPr>
              <w:t>吨</w:t>
            </w:r>
          </w:p>
        </w:tc>
        <w:tc>
          <w:tcPr>
            <w:tcW w:w="1063" w:type="dxa"/>
            <w:vAlign w:val="top"/>
          </w:tcPr>
          <w:p>
            <w:pPr>
              <w:pStyle w:val="51"/>
              <w:spacing w:before="195"/>
              <w:ind w:left="94" w:leftChars="0" w:right="87" w:rightChars="0"/>
              <w:jc w:val="center"/>
              <w:rPr>
                <w:rFonts w:ascii="Times New Roman"/>
                <w:color w:val="auto"/>
                <w:sz w:val="21"/>
              </w:rPr>
            </w:pPr>
            <w:r>
              <w:rPr>
                <w:rFonts w:ascii="Times New Roman"/>
                <w:color w:val="auto"/>
                <w:sz w:val="21"/>
              </w:rPr>
              <w:t>500</w:t>
            </w:r>
          </w:p>
        </w:tc>
        <w:tc>
          <w:tcPr>
            <w:tcW w:w="1107" w:type="dxa"/>
            <w:vAlign w:val="top"/>
          </w:tcPr>
          <w:p>
            <w:pPr>
              <w:pStyle w:val="51"/>
              <w:spacing w:before="8"/>
              <w:rPr>
                <w:rFonts w:ascii="Times New Roman"/>
                <w:color w:val="auto"/>
                <w:sz w:val="15"/>
              </w:rPr>
            </w:pPr>
          </w:p>
          <w:p>
            <w:pPr>
              <w:pStyle w:val="51"/>
              <w:spacing w:before="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51</w:t>
            </w:r>
          </w:p>
        </w:tc>
        <w:tc>
          <w:tcPr>
            <w:tcW w:w="2683" w:type="dxa"/>
            <w:vAlign w:val="top"/>
          </w:tcPr>
          <w:p>
            <w:pPr>
              <w:pStyle w:val="51"/>
              <w:spacing w:before="152"/>
              <w:ind w:left="28" w:leftChars="0" w:right="19" w:rightChars="0"/>
              <w:jc w:val="center"/>
              <w:rPr>
                <w:color w:val="auto"/>
                <w:sz w:val="21"/>
              </w:rPr>
            </w:pPr>
            <w:r>
              <w:rPr>
                <w:color w:val="auto"/>
                <w:sz w:val="21"/>
              </w:rPr>
              <w:t>乙烯基吡啶</w:t>
            </w:r>
          </w:p>
        </w:tc>
        <w:tc>
          <w:tcPr>
            <w:tcW w:w="2765" w:type="dxa"/>
            <w:vAlign w:val="top"/>
          </w:tcPr>
          <w:p>
            <w:pPr>
              <w:pStyle w:val="51"/>
              <w:spacing w:before="152"/>
              <w:ind w:left="55" w:leftChars="0" w:right="44" w:rightChars="0"/>
              <w:jc w:val="center"/>
              <w:rPr>
                <w:color w:val="auto"/>
                <w:sz w:val="21"/>
              </w:rPr>
            </w:pPr>
            <w:r>
              <w:rPr>
                <w:rFonts w:ascii="Times New Roman" w:eastAsia="Times New Roman"/>
                <w:color w:val="auto"/>
                <w:sz w:val="21"/>
              </w:rPr>
              <w:t>2-</w:t>
            </w:r>
            <w:r>
              <w:rPr>
                <w:color w:val="auto"/>
                <w:sz w:val="21"/>
              </w:rPr>
              <w:t>乙烯基吡啶、</w:t>
            </w:r>
            <w:r>
              <w:rPr>
                <w:rFonts w:ascii="Times New Roman" w:eastAsia="Times New Roman"/>
                <w:color w:val="auto"/>
                <w:sz w:val="21"/>
              </w:rPr>
              <w:t>4-</w:t>
            </w:r>
            <w:r>
              <w:rPr>
                <w:color w:val="auto"/>
                <w:sz w:val="21"/>
              </w:rPr>
              <w:t>乙烯基吡啶</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16</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52</w:t>
            </w:r>
          </w:p>
        </w:tc>
        <w:tc>
          <w:tcPr>
            <w:tcW w:w="2683" w:type="dxa"/>
            <w:vAlign w:val="top"/>
          </w:tcPr>
          <w:p>
            <w:pPr>
              <w:pStyle w:val="51"/>
              <w:spacing w:before="152"/>
              <w:ind w:left="25" w:leftChars="0" w:right="19" w:rightChars="0"/>
              <w:jc w:val="center"/>
              <w:rPr>
                <w:color w:val="auto"/>
                <w:sz w:val="21"/>
              </w:rPr>
            </w:pPr>
            <w:r>
              <w:rPr>
                <w:color w:val="auto"/>
                <w:sz w:val="21"/>
              </w:rPr>
              <w:t>脂肪胺</w:t>
            </w:r>
          </w:p>
        </w:tc>
        <w:tc>
          <w:tcPr>
            <w:tcW w:w="2765" w:type="dxa"/>
            <w:vAlign w:val="top"/>
          </w:tcPr>
          <w:p>
            <w:pPr>
              <w:pStyle w:val="51"/>
              <w:spacing w:before="152"/>
              <w:ind w:left="50" w:leftChars="0" w:right="44" w:rightChars="0"/>
              <w:jc w:val="center"/>
              <w:rPr>
                <w:color w:val="auto"/>
                <w:sz w:val="21"/>
              </w:rPr>
            </w:pPr>
            <w:r>
              <w:rPr>
                <w:color w:val="auto"/>
                <w:sz w:val="21"/>
              </w:rPr>
              <w:t>脂肪胺</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45</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53</w:t>
            </w:r>
          </w:p>
        </w:tc>
        <w:tc>
          <w:tcPr>
            <w:tcW w:w="2683" w:type="dxa"/>
            <w:vAlign w:val="top"/>
          </w:tcPr>
          <w:p>
            <w:pPr>
              <w:pStyle w:val="51"/>
              <w:spacing w:before="151"/>
              <w:ind w:left="31" w:leftChars="0" w:right="19" w:rightChars="0"/>
              <w:jc w:val="center"/>
              <w:rPr>
                <w:color w:val="auto"/>
                <w:sz w:val="21"/>
              </w:rPr>
            </w:pPr>
            <w:r>
              <w:rPr>
                <w:rFonts w:ascii="Times New Roman" w:eastAsia="Times New Roman"/>
                <w:color w:val="auto"/>
                <w:sz w:val="21"/>
              </w:rPr>
              <w:t>2</w:t>
            </w:r>
            <w:r>
              <w:rPr>
                <w:color w:val="auto"/>
                <w:sz w:val="21"/>
              </w:rPr>
              <w:t>，</w:t>
            </w:r>
            <w:r>
              <w:rPr>
                <w:rFonts w:ascii="Times New Roman" w:eastAsia="Times New Roman"/>
                <w:color w:val="auto"/>
                <w:sz w:val="21"/>
              </w:rPr>
              <w:t>6</w:t>
            </w:r>
            <w:r>
              <w:rPr>
                <w:color w:val="auto"/>
                <w:sz w:val="21"/>
              </w:rPr>
              <w:t>，二叔丁基对甲酚、</w:t>
            </w:r>
            <w:r>
              <w:rPr>
                <w:rFonts w:ascii="Times New Roman" w:eastAsia="Times New Roman"/>
                <w:color w:val="auto"/>
                <w:sz w:val="21"/>
              </w:rPr>
              <w:t>264</w:t>
            </w:r>
          </w:p>
        </w:tc>
        <w:tc>
          <w:tcPr>
            <w:tcW w:w="2765" w:type="dxa"/>
            <w:vAlign w:val="top"/>
          </w:tcPr>
          <w:p>
            <w:pPr>
              <w:pStyle w:val="51"/>
              <w:spacing w:before="151"/>
              <w:ind w:left="53" w:leftChars="0" w:right="44" w:rightChars="0"/>
              <w:jc w:val="center"/>
              <w:rPr>
                <w:color w:val="auto"/>
                <w:sz w:val="21"/>
              </w:rPr>
            </w:pPr>
            <w:r>
              <w:rPr>
                <w:rFonts w:ascii="Times New Roman" w:eastAsia="Times New Roman"/>
                <w:color w:val="auto"/>
                <w:sz w:val="21"/>
              </w:rPr>
              <w:t>2</w:t>
            </w:r>
            <w:r>
              <w:rPr>
                <w:color w:val="auto"/>
                <w:sz w:val="21"/>
              </w:rPr>
              <w:t>，</w:t>
            </w:r>
            <w:r>
              <w:rPr>
                <w:rFonts w:ascii="Times New Roman" w:eastAsia="Times New Roman"/>
                <w:color w:val="auto"/>
                <w:sz w:val="21"/>
              </w:rPr>
              <w:t>6</w:t>
            </w:r>
            <w:r>
              <w:rPr>
                <w:color w:val="auto"/>
                <w:sz w:val="21"/>
              </w:rPr>
              <w:t>，二叔丁基对甲酚、</w:t>
            </w:r>
            <w:r>
              <w:rPr>
                <w:rFonts w:ascii="Times New Roman" w:eastAsia="Times New Roman"/>
                <w:color w:val="auto"/>
                <w:sz w:val="21"/>
              </w:rPr>
              <w:t>264</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8" w:leftChars="0" w:right="86" w:rightChars="0"/>
              <w:jc w:val="center"/>
              <w:rPr>
                <w:rFonts w:ascii="Times New Roman"/>
                <w:color w:val="auto"/>
                <w:sz w:val="21"/>
              </w:rPr>
            </w:pPr>
            <w:r>
              <w:rPr>
                <w:rFonts w:ascii="Times New Roman"/>
                <w:color w:val="auto"/>
                <w:sz w:val="21"/>
              </w:rPr>
              <w:t>1.4</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54</w:t>
            </w:r>
          </w:p>
        </w:tc>
        <w:tc>
          <w:tcPr>
            <w:tcW w:w="2683" w:type="dxa"/>
            <w:vAlign w:val="top"/>
          </w:tcPr>
          <w:p>
            <w:pPr>
              <w:pStyle w:val="51"/>
              <w:spacing w:before="152"/>
              <w:ind w:left="28" w:leftChars="0" w:right="19" w:rightChars="0"/>
              <w:jc w:val="center"/>
              <w:rPr>
                <w:color w:val="auto"/>
                <w:sz w:val="21"/>
              </w:rPr>
            </w:pPr>
            <w:r>
              <w:rPr>
                <w:color w:val="auto"/>
                <w:sz w:val="21"/>
              </w:rPr>
              <w:t>醋酸乙烯</w:t>
            </w:r>
          </w:p>
        </w:tc>
        <w:tc>
          <w:tcPr>
            <w:tcW w:w="2765" w:type="dxa"/>
            <w:vAlign w:val="top"/>
          </w:tcPr>
          <w:p>
            <w:pPr>
              <w:pStyle w:val="51"/>
              <w:spacing w:before="152"/>
              <w:ind w:left="47" w:leftChars="0" w:right="44" w:rightChars="0"/>
              <w:jc w:val="center"/>
              <w:rPr>
                <w:color w:val="auto"/>
                <w:sz w:val="21"/>
              </w:rPr>
            </w:pPr>
            <w:r>
              <w:rPr>
                <w:color w:val="auto"/>
                <w:sz w:val="21"/>
              </w:rPr>
              <w:t>醋酸乙烯</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50</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55</w:t>
            </w:r>
          </w:p>
        </w:tc>
        <w:tc>
          <w:tcPr>
            <w:tcW w:w="2683" w:type="dxa"/>
            <w:vAlign w:val="top"/>
          </w:tcPr>
          <w:p>
            <w:pPr>
              <w:pStyle w:val="51"/>
              <w:spacing w:before="152"/>
              <w:ind w:left="25" w:leftChars="0" w:right="19" w:rightChars="0"/>
              <w:jc w:val="center"/>
              <w:rPr>
                <w:color w:val="auto"/>
                <w:sz w:val="21"/>
              </w:rPr>
            </w:pPr>
            <w:r>
              <w:rPr>
                <w:color w:val="auto"/>
                <w:sz w:val="21"/>
              </w:rPr>
              <w:t>对甲氧基苯酚</w:t>
            </w:r>
          </w:p>
        </w:tc>
        <w:tc>
          <w:tcPr>
            <w:tcW w:w="2765" w:type="dxa"/>
            <w:vAlign w:val="top"/>
          </w:tcPr>
          <w:p>
            <w:pPr>
              <w:pStyle w:val="51"/>
              <w:spacing w:before="152"/>
              <w:ind w:left="50" w:leftChars="0" w:right="44" w:rightChars="0"/>
              <w:jc w:val="center"/>
              <w:rPr>
                <w:color w:val="auto"/>
                <w:sz w:val="21"/>
              </w:rPr>
            </w:pPr>
            <w:r>
              <w:rPr>
                <w:color w:val="auto"/>
                <w:sz w:val="21"/>
              </w:rPr>
              <w:t>对甲氧基苯酚</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8" w:leftChars="0" w:right="86" w:rightChars="0"/>
              <w:jc w:val="center"/>
              <w:rPr>
                <w:rFonts w:ascii="Times New Roman"/>
                <w:color w:val="auto"/>
                <w:sz w:val="21"/>
              </w:rPr>
            </w:pPr>
            <w:r>
              <w:rPr>
                <w:rFonts w:ascii="Times New Roman"/>
                <w:color w:val="auto"/>
                <w:sz w:val="21"/>
              </w:rPr>
              <w:t>0.8</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56</w:t>
            </w:r>
          </w:p>
        </w:tc>
        <w:tc>
          <w:tcPr>
            <w:tcW w:w="2683" w:type="dxa"/>
            <w:vAlign w:val="top"/>
          </w:tcPr>
          <w:p>
            <w:pPr>
              <w:pStyle w:val="51"/>
              <w:spacing w:before="151"/>
              <w:ind w:left="28" w:leftChars="0" w:right="19" w:rightChars="0"/>
              <w:jc w:val="center"/>
              <w:rPr>
                <w:color w:val="auto"/>
                <w:sz w:val="21"/>
              </w:rPr>
            </w:pPr>
            <w:r>
              <w:rPr>
                <w:color w:val="auto"/>
                <w:sz w:val="21"/>
              </w:rPr>
              <w:t>顺酐改性聚丁二烯</w:t>
            </w:r>
          </w:p>
        </w:tc>
        <w:tc>
          <w:tcPr>
            <w:tcW w:w="2765" w:type="dxa"/>
            <w:vAlign w:val="top"/>
          </w:tcPr>
          <w:p>
            <w:pPr>
              <w:pStyle w:val="51"/>
              <w:spacing w:before="151"/>
              <w:ind w:left="47" w:leftChars="0" w:right="44" w:rightChars="0"/>
              <w:jc w:val="center"/>
              <w:rPr>
                <w:color w:val="auto"/>
                <w:sz w:val="21"/>
              </w:rPr>
            </w:pPr>
            <w:r>
              <w:rPr>
                <w:color w:val="auto"/>
                <w:sz w:val="21"/>
              </w:rPr>
              <w:t>顺酐改性聚丁二烯</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4" w:leftChars="0" w:right="87" w:rightChars="0"/>
              <w:jc w:val="center"/>
              <w:rPr>
                <w:rFonts w:ascii="Times New Roman"/>
                <w:color w:val="auto"/>
                <w:sz w:val="21"/>
              </w:rPr>
            </w:pPr>
            <w:r>
              <w:rPr>
                <w:rFonts w:ascii="Times New Roman"/>
                <w:color w:val="auto"/>
                <w:sz w:val="21"/>
              </w:rPr>
              <w:t>239</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57</w:t>
            </w:r>
          </w:p>
        </w:tc>
        <w:tc>
          <w:tcPr>
            <w:tcW w:w="2683" w:type="dxa"/>
            <w:vAlign w:val="top"/>
          </w:tcPr>
          <w:p>
            <w:pPr>
              <w:pStyle w:val="51"/>
              <w:spacing w:before="153"/>
              <w:ind w:left="25" w:leftChars="0" w:right="19" w:rightChars="0"/>
              <w:jc w:val="center"/>
              <w:rPr>
                <w:color w:val="auto"/>
                <w:sz w:val="21"/>
              </w:rPr>
            </w:pPr>
            <w:r>
              <w:rPr>
                <w:color w:val="auto"/>
                <w:sz w:val="21"/>
              </w:rPr>
              <w:t>聚苯乙烯</w:t>
            </w:r>
            <w:r>
              <w:rPr>
                <w:rFonts w:ascii="Times New Roman" w:eastAsia="Times New Roman"/>
                <w:color w:val="auto"/>
                <w:sz w:val="21"/>
              </w:rPr>
              <w:t>-</w:t>
            </w:r>
            <w:r>
              <w:rPr>
                <w:color w:val="auto"/>
                <w:sz w:val="21"/>
              </w:rPr>
              <w:t>丁二烯树脂</w:t>
            </w:r>
          </w:p>
        </w:tc>
        <w:tc>
          <w:tcPr>
            <w:tcW w:w="2765" w:type="dxa"/>
            <w:vAlign w:val="top"/>
          </w:tcPr>
          <w:p>
            <w:pPr>
              <w:pStyle w:val="51"/>
              <w:spacing w:before="153"/>
              <w:ind w:left="52" w:leftChars="0" w:right="44" w:rightChars="0"/>
              <w:jc w:val="center"/>
              <w:rPr>
                <w:color w:val="auto"/>
                <w:sz w:val="21"/>
              </w:rPr>
            </w:pPr>
            <w:r>
              <w:rPr>
                <w:color w:val="auto"/>
                <w:sz w:val="21"/>
              </w:rPr>
              <w:t>聚苯乙烯</w:t>
            </w:r>
            <w:r>
              <w:rPr>
                <w:rFonts w:ascii="Times New Roman" w:eastAsia="Times New Roman"/>
                <w:color w:val="auto"/>
                <w:sz w:val="21"/>
              </w:rPr>
              <w:t>-</w:t>
            </w:r>
            <w:r>
              <w:rPr>
                <w:color w:val="auto"/>
                <w:sz w:val="21"/>
              </w:rPr>
              <w:t>丁二烯树脂</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239</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58</w:t>
            </w:r>
          </w:p>
        </w:tc>
        <w:tc>
          <w:tcPr>
            <w:tcW w:w="2683" w:type="dxa"/>
            <w:vAlign w:val="top"/>
          </w:tcPr>
          <w:p>
            <w:pPr>
              <w:pStyle w:val="51"/>
              <w:spacing w:before="152"/>
              <w:ind w:left="25" w:leftChars="0" w:right="19" w:rightChars="0"/>
              <w:jc w:val="center"/>
              <w:rPr>
                <w:color w:val="auto"/>
                <w:sz w:val="21"/>
              </w:rPr>
            </w:pPr>
            <w:r>
              <w:rPr>
                <w:color w:val="auto"/>
                <w:sz w:val="21"/>
              </w:rPr>
              <w:t>过氧化苯甲酰</w:t>
            </w:r>
          </w:p>
        </w:tc>
        <w:tc>
          <w:tcPr>
            <w:tcW w:w="2765" w:type="dxa"/>
            <w:vAlign w:val="top"/>
          </w:tcPr>
          <w:p>
            <w:pPr>
              <w:pStyle w:val="51"/>
              <w:spacing w:before="152"/>
              <w:ind w:left="50" w:leftChars="0" w:right="44" w:rightChars="0"/>
              <w:jc w:val="center"/>
              <w:rPr>
                <w:color w:val="auto"/>
                <w:sz w:val="21"/>
              </w:rPr>
            </w:pPr>
            <w:r>
              <w:rPr>
                <w:color w:val="auto"/>
                <w:sz w:val="21"/>
              </w:rPr>
              <w:t>过氧化苯甲酰</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1.88</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59</w:t>
            </w:r>
          </w:p>
        </w:tc>
        <w:tc>
          <w:tcPr>
            <w:tcW w:w="2683" w:type="dxa"/>
            <w:vAlign w:val="top"/>
          </w:tcPr>
          <w:p>
            <w:pPr>
              <w:pStyle w:val="51"/>
              <w:spacing w:before="151"/>
              <w:ind w:left="25" w:leftChars="0" w:right="19" w:rightChars="0"/>
              <w:jc w:val="center"/>
              <w:rPr>
                <w:color w:val="auto"/>
                <w:sz w:val="21"/>
              </w:rPr>
            </w:pPr>
            <w:r>
              <w:rPr>
                <w:color w:val="auto"/>
                <w:sz w:val="21"/>
              </w:rPr>
              <w:t>烷基醇</w:t>
            </w:r>
          </w:p>
        </w:tc>
        <w:tc>
          <w:tcPr>
            <w:tcW w:w="2765" w:type="dxa"/>
            <w:vAlign w:val="top"/>
          </w:tcPr>
          <w:p>
            <w:pPr>
              <w:pStyle w:val="51"/>
              <w:spacing w:before="151"/>
              <w:ind w:left="52" w:leftChars="0" w:right="44" w:rightChars="0"/>
              <w:jc w:val="center"/>
              <w:rPr>
                <w:color w:val="auto"/>
                <w:sz w:val="21"/>
              </w:rPr>
            </w:pPr>
            <w:r>
              <w:rPr>
                <w:color w:val="auto"/>
                <w:sz w:val="21"/>
              </w:rPr>
              <w:t>烷基醇、十二烷基醇</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4" w:leftChars="0" w:right="87" w:rightChars="0"/>
              <w:jc w:val="center"/>
              <w:rPr>
                <w:rFonts w:ascii="Times New Roman"/>
                <w:color w:val="auto"/>
                <w:sz w:val="21"/>
              </w:rPr>
            </w:pPr>
            <w:r>
              <w:rPr>
                <w:rFonts w:ascii="Times New Roman"/>
                <w:color w:val="auto"/>
                <w:sz w:val="21"/>
              </w:rPr>
              <w:t>406</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60</w:t>
            </w:r>
          </w:p>
        </w:tc>
        <w:tc>
          <w:tcPr>
            <w:tcW w:w="2683" w:type="dxa"/>
            <w:vAlign w:val="top"/>
          </w:tcPr>
          <w:p>
            <w:pPr>
              <w:pStyle w:val="51"/>
              <w:spacing w:before="152"/>
              <w:ind w:left="28" w:leftChars="0" w:right="19" w:rightChars="0"/>
              <w:jc w:val="center"/>
              <w:rPr>
                <w:color w:val="auto"/>
                <w:sz w:val="21"/>
              </w:rPr>
            </w:pPr>
            <w:r>
              <w:rPr>
                <w:color w:val="auto"/>
                <w:sz w:val="21"/>
              </w:rPr>
              <w:t>聚醚烷基醇</w:t>
            </w:r>
          </w:p>
        </w:tc>
        <w:tc>
          <w:tcPr>
            <w:tcW w:w="2765" w:type="dxa"/>
            <w:vAlign w:val="top"/>
          </w:tcPr>
          <w:p>
            <w:pPr>
              <w:pStyle w:val="51"/>
              <w:spacing w:before="152"/>
              <w:ind w:left="52" w:leftChars="0" w:right="44" w:rightChars="0"/>
              <w:jc w:val="center"/>
              <w:rPr>
                <w:color w:val="auto"/>
                <w:sz w:val="21"/>
              </w:rPr>
            </w:pPr>
            <w:r>
              <w:rPr>
                <w:color w:val="auto"/>
                <w:sz w:val="21"/>
              </w:rPr>
              <w:t>聚醚烷基醇</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200</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61</w:t>
            </w:r>
          </w:p>
        </w:tc>
        <w:tc>
          <w:tcPr>
            <w:tcW w:w="2683" w:type="dxa"/>
            <w:vAlign w:val="top"/>
          </w:tcPr>
          <w:p>
            <w:pPr>
              <w:pStyle w:val="51"/>
              <w:spacing w:before="152"/>
              <w:ind w:left="28" w:leftChars="0" w:right="19" w:rightChars="0"/>
              <w:jc w:val="center"/>
              <w:rPr>
                <w:color w:val="auto"/>
                <w:sz w:val="21"/>
              </w:rPr>
            </w:pPr>
            <w:r>
              <w:rPr>
                <w:color w:val="auto"/>
                <w:sz w:val="21"/>
              </w:rPr>
              <w:t>二正丁基二月桂酸锡</w:t>
            </w:r>
          </w:p>
        </w:tc>
        <w:tc>
          <w:tcPr>
            <w:tcW w:w="2765" w:type="dxa"/>
            <w:vAlign w:val="top"/>
          </w:tcPr>
          <w:p>
            <w:pPr>
              <w:pStyle w:val="51"/>
              <w:spacing w:before="152"/>
              <w:ind w:left="52" w:leftChars="0" w:right="44" w:rightChars="0"/>
              <w:jc w:val="center"/>
              <w:rPr>
                <w:color w:val="auto"/>
                <w:sz w:val="21"/>
              </w:rPr>
            </w:pPr>
            <w:r>
              <w:rPr>
                <w:color w:val="auto"/>
                <w:sz w:val="21"/>
              </w:rPr>
              <w:t>二正丁基二月桂酸锡</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8" w:leftChars="0" w:right="86" w:rightChars="0"/>
              <w:jc w:val="center"/>
              <w:rPr>
                <w:rFonts w:ascii="Times New Roman"/>
                <w:color w:val="auto"/>
                <w:sz w:val="21"/>
              </w:rPr>
            </w:pPr>
            <w:r>
              <w:rPr>
                <w:rFonts w:ascii="Times New Roman"/>
                <w:color w:val="auto"/>
                <w:sz w:val="21"/>
              </w:rPr>
              <w:t>0.5</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62</w:t>
            </w:r>
          </w:p>
        </w:tc>
        <w:tc>
          <w:tcPr>
            <w:tcW w:w="2683" w:type="dxa"/>
            <w:vAlign w:val="top"/>
          </w:tcPr>
          <w:p>
            <w:pPr>
              <w:pStyle w:val="51"/>
              <w:spacing w:before="151"/>
              <w:ind w:left="25" w:leftChars="0" w:right="19" w:rightChars="0"/>
              <w:jc w:val="center"/>
              <w:rPr>
                <w:color w:val="auto"/>
                <w:sz w:val="21"/>
              </w:rPr>
            </w:pPr>
            <w:r>
              <w:rPr>
                <w:color w:val="auto"/>
                <w:sz w:val="21"/>
              </w:rPr>
              <w:t>硬脂酸</w:t>
            </w:r>
          </w:p>
        </w:tc>
        <w:tc>
          <w:tcPr>
            <w:tcW w:w="2765" w:type="dxa"/>
            <w:vAlign w:val="top"/>
          </w:tcPr>
          <w:p>
            <w:pPr>
              <w:pStyle w:val="51"/>
              <w:spacing w:before="151"/>
              <w:ind w:left="52" w:leftChars="0" w:right="44" w:rightChars="0"/>
              <w:jc w:val="center"/>
              <w:rPr>
                <w:color w:val="auto"/>
                <w:sz w:val="21"/>
              </w:rPr>
            </w:pPr>
            <w:r>
              <w:rPr>
                <w:color w:val="auto"/>
                <w:sz w:val="21"/>
              </w:rPr>
              <w:t>硬脂酸、</w:t>
            </w:r>
            <w:r>
              <w:rPr>
                <w:rFonts w:ascii="Times New Roman" w:eastAsia="Times New Roman"/>
                <w:color w:val="auto"/>
                <w:sz w:val="21"/>
              </w:rPr>
              <w:t>12-</w:t>
            </w:r>
            <w:r>
              <w:rPr>
                <w:color w:val="auto"/>
                <w:sz w:val="21"/>
              </w:rPr>
              <w:t>羟基硬脂酸</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4" w:leftChars="0" w:right="87" w:rightChars="0"/>
              <w:jc w:val="center"/>
              <w:rPr>
                <w:rFonts w:ascii="Times New Roman"/>
                <w:color w:val="auto"/>
                <w:sz w:val="21"/>
              </w:rPr>
            </w:pPr>
            <w:r>
              <w:rPr>
                <w:rFonts w:ascii="Times New Roman"/>
                <w:color w:val="auto"/>
                <w:sz w:val="21"/>
              </w:rPr>
              <w:t>144</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63</w:t>
            </w:r>
          </w:p>
        </w:tc>
        <w:tc>
          <w:tcPr>
            <w:tcW w:w="2683" w:type="dxa"/>
            <w:vAlign w:val="top"/>
          </w:tcPr>
          <w:p>
            <w:pPr>
              <w:pStyle w:val="51"/>
              <w:spacing w:before="153"/>
              <w:ind w:left="28" w:leftChars="0" w:right="19" w:rightChars="0"/>
              <w:jc w:val="center"/>
              <w:rPr>
                <w:color w:val="auto"/>
                <w:sz w:val="21"/>
              </w:rPr>
            </w:pPr>
            <w:r>
              <w:rPr>
                <w:color w:val="auto"/>
                <w:sz w:val="21"/>
              </w:rPr>
              <w:t>改性聚醚</w:t>
            </w:r>
          </w:p>
        </w:tc>
        <w:tc>
          <w:tcPr>
            <w:tcW w:w="2765" w:type="dxa"/>
            <w:vAlign w:val="top"/>
          </w:tcPr>
          <w:p>
            <w:pPr>
              <w:pStyle w:val="51"/>
              <w:spacing w:before="153"/>
              <w:ind w:left="47" w:leftChars="0" w:right="44" w:rightChars="0"/>
              <w:jc w:val="center"/>
              <w:rPr>
                <w:color w:val="auto"/>
                <w:sz w:val="21"/>
              </w:rPr>
            </w:pPr>
            <w:r>
              <w:rPr>
                <w:color w:val="auto"/>
                <w:sz w:val="21"/>
              </w:rPr>
              <w:t>改性聚醚</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6"/>
              <w:ind w:left="97" w:leftChars="0" w:right="87" w:rightChars="0"/>
              <w:jc w:val="center"/>
              <w:rPr>
                <w:rFonts w:ascii="Times New Roman"/>
                <w:color w:val="auto"/>
                <w:sz w:val="21"/>
              </w:rPr>
            </w:pPr>
            <w:r>
              <w:rPr>
                <w:rFonts w:ascii="Times New Roman"/>
                <w:color w:val="auto"/>
                <w:sz w:val="21"/>
              </w:rPr>
              <w:t>116</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64</w:t>
            </w:r>
          </w:p>
        </w:tc>
        <w:tc>
          <w:tcPr>
            <w:tcW w:w="2683" w:type="dxa"/>
            <w:vAlign w:val="top"/>
          </w:tcPr>
          <w:p>
            <w:pPr>
              <w:pStyle w:val="51"/>
              <w:spacing w:before="21"/>
              <w:ind w:left="108" w:right="-15"/>
              <w:jc w:val="center"/>
              <w:rPr>
                <w:color w:val="auto"/>
                <w:sz w:val="21"/>
              </w:rPr>
            </w:pPr>
            <w:r>
              <w:rPr>
                <w:rFonts w:ascii="Times New Roman" w:eastAsia="Times New Roman"/>
                <w:color w:val="auto"/>
                <w:spacing w:val="-16"/>
                <w:sz w:val="21"/>
              </w:rPr>
              <w:t>2</w:t>
            </w:r>
            <w:r>
              <w:rPr>
                <w:color w:val="auto"/>
                <w:spacing w:val="-16"/>
                <w:sz w:val="21"/>
              </w:rPr>
              <w:t>，</w:t>
            </w:r>
            <w:r>
              <w:rPr>
                <w:rFonts w:ascii="Times New Roman" w:eastAsia="Times New Roman"/>
                <w:color w:val="auto"/>
                <w:spacing w:val="-16"/>
                <w:sz w:val="21"/>
              </w:rPr>
              <w:t>4</w:t>
            </w:r>
            <w:r>
              <w:rPr>
                <w:color w:val="auto"/>
                <w:spacing w:val="-16"/>
                <w:sz w:val="21"/>
              </w:rPr>
              <w:t>，</w:t>
            </w:r>
            <w:r>
              <w:rPr>
                <w:rFonts w:ascii="Times New Roman" w:eastAsia="Times New Roman"/>
                <w:color w:val="auto"/>
                <w:spacing w:val="-16"/>
                <w:sz w:val="21"/>
              </w:rPr>
              <w:t>6</w:t>
            </w:r>
            <w:r>
              <w:rPr>
                <w:rFonts w:ascii="Times New Roman" w:eastAsia="Times New Roman"/>
                <w:color w:val="auto"/>
                <w:spacing w:val="10"/>
                <w:sz w:val="21"/>
              </w:rPr>
              <w:t xml:space="preserve"> </w:t>
            </w:r>
            <w:r>
              <w:rPr>
                <w:color w:val="auto"/>
                <w:spacing w:val="-37"/>
                <w:sz w:val="21"/>
              </w:rPr>
              <w:t>三</w:t>
            </w:r>
            <w:r>
              <w:rPr>
                <w:color w:val="auto"/>
                <w:sz w:val="21"/>
              </w:rPr>
              <w:t>（二甲胺基甲基）</w:t>
            </w:r>
          </w:p>
          <w:p>
            <w:pPr>
              <w:pStyle w:val="51"/>
              <w:spacing w:before="43" w:line="221" w:lineRule="exact"/>
              <w:ind w:left="25" w:leftChars="0" w:right="19" w:rightChars="0"/>
              <w:jc w:val="center"/>
              <w:rPr>
                <w:color w:val="auto"/>
                <w:sz w:val="21"/>
              </w:rPr>
            </w:pPr>
            <w:r>
              <w:rPr>
                <w:color w:val="auto"/>
                <w:sz w:val="21"/>
              </w:rPr>
              <w:t>苯酚</w:t>
            </w:r>
          </w:p>
        </w:tc>
        <w:tc>
          <w:tcPr>
            <w:tcW w:w="2765" w:type="dxa"/>
            <w:vAlign w:val="top"/>
          </w:tcPr>
          <w:p>
            <w:pPr>
              <w:pStyle w:val="51"/>
              <w:spacing w:before="21"/>
              <w:ind w:left="106" w:right="-15"/>
              <w:jc w:val="center"/>
              <w:rPr>
                <w:color w:val="auto"/>
                <w:sz w:val="21"/>
              </w:rPr>
            </w:pPr>
            <w:r>
              <w:rPr>
                <w:rFonts w:ascii="Times New Roman" w:eastAsia="Times New Roman"/>
                <w:color w:val="auto"/>
                <w:spacing w:val="-4"/>
                <w:sz w:val="21"/>
              </w:rPr>
              <w:t>2</w:t>
            </w:r>
            <w:r>
              <w:rPr>
                <w:color w:val="auto"/>
                <w:spacing w:val="-4"/>
                <w:sz w:val="21"/>
              </w:rPr>
              <w:t>，</w:t>
            </w:r>
            <w:r>
              <w:rPr>
                <w:rFonts w:ascii="Times New Roman" w:eastAsia="Times New Roman"/>
                <w:color w:val="auto"/>
                <w:spacing w:val="-4"/>
                <w:sz w:val="21"/>
              </w:rPr>
              <w:t>4</w:t>
            </w:r>
            <w:r>
              <w:rPr>
                <w:color w:val="auto"/>
                <w:spacing w:val="-4"/>
                <w:sz w:val="21"/>
              </w:rPr>
              <w:t>，</w:t>
            </w:r>
            <w:r>
              <w:rPr>
                <w:rFonts w:ascii="Times New Roman" w:eastAsia="Times New Roman"/>
                <w:color w:val="auto"/>
                <w:spacing w:val="-4"/>
                <w:sz w:val="21"/>
              </w:rPr>
              <w:t>6</w:t>
            </w:r>
            <w:r>
              <w:rPr>
                <w:rFonts w:ascii="Times New Roman" w:eastAsia="Times New Roman"/>
                <w:color w:val="auto"/>
                <w:spacing w:val="43"/>
                <w:sz w:val="21"/>
              </w:rPr>
              <w:t xml:space="preserve"> </w:t>
            </w:r>
            <w:r>
              <w:rPr>
                <w:color w:val="auto"/>
                <w:spacing w:val="-8"/>
                <w:sz w:val="21"/>
              </w:rPr>
              <w:t>三</w:t>
            </w:r>
            <w:r>
              <w:rPr>
                <w:color w:val="auto"/>
                <w:sz w:val="21"/>
              </w:rPr>
              <w:t>（二甲胺基甲基）</w:t>
            </w:r>
          </w:p>
          <w:p>
            <w:pPr>
              <w:pStyle w:val="51"/>
              <w:spacing w:before="43" w:line="221" w:lineRule="exact"/>
              <w:ind w:left="50" w:leftChars="0" w:right="44" w:rightChars="0"/>
              <w:jc w:val="center"/>
              <w:rPr>
                <w:color w:val="auto"/>
                <w:sz w:val="21"/>
              </w:rPr>
            </w:pPr>
            <w:r>
              <w:rPr>
                <w:color w:val="auto"/>
                <w:sz w:val="21"/>
              </w:rPr>
              <w:t>苯酚</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65</w:t>
            </w:r>
          </w:p>
        </w:tc>
        <w:tc>
          <w:tcPr>
            <w:tcW w:w="2683" w:type="dxa"/>
            <w:vAlign w:val="top"/>
          </w:tcPr>
          <w:p>
            <w:pPr>
              <w:pStyle w:val="51"/>
              <w:spacing w:before="152"/>
              <w:ind w:left="28" w:leftChars="0" w:right="19" w:rightChars="0"/>
              <w:jc w:val="center"/>
              <w:rPr>
                <w:color w:val="auto"/>
                <w:sz w:val="21"/>
              </w:rPr>
            </w:pPr>
            <w:r>
              <w:rPr>
                <w:color w:val="auto"/>
                <w:sz w:val="21"/>
              </w:rPr>
              <w:t>己内酰胺</w:t>
            </w:r>
          </w:p>
        </w:tc>
        <w:tc>
          <w:tcPr>
            <w:tcW w:w="2765" w:type="dxa"/>
            <w:vAlign w:val="top"/>
          </w:tcPr>
          <w:p>
            <w:pPr>
              <w:pStyle w:val="51"/>
              <w:spacing w:before="152"/>
              <w:ind w:left="47" w:leftChars="0" w:right="44" w:rightChars="0"/>
              <w:jc w:val="center"/>
              <w:rPr>
                <w:color w:val="auto"/>
                <w:sz w:val="21"/>
              </w:rPr>
            </w:pPr>
            <w:r>
              <w:rPr>
                <w:color w:val="auto"/>
                <w:sz w:val="21"/>
              </w:rPr>
              <w:t>己内酰胺</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7" w:leftChars="0"/>
              <w:jc w:val="center"/>
              <w:rPr>
                <w:rFonts w:ascii="Times New Roman"/>
                <w:color w:val="auto"/>
                <w:sz w:val="21"/>
              </w:rPr>
            </w:pPr>
            <w:r>
              <w:rPr>
                <w:rFonts w:ascii="Times New Roman"/>
                <w:color w:val="auto"/>
                <w:w w:val="99"/>
                <w:sz w:val="21"/>
              </w:rPr>
              <w:t>2</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66</w:t>
            </w:r>
          </w:p>
        </w:tc>
        <w:tc>
          <w:tcPr>
            <w:tcW w:w="2683" w:type="dxa"/>
            <w:vAlign w:val="top"/>
          </w:tcPr>
          <w:p>
            <w:pPr>
              <w:pStyle w:val="51"/>
              <w:spacing w:before="151"/>
              <w:ind w:left="28" w:leftChars="0" w:right="19" w:rightChars="0"/>
              <w:jc w:val="center"/>
              <w:rPr>
                <w:color w:val="auto"/>
                <w:sz w:val="21"/>
              </w:rPr>
            </w:pPr>
            <w:r>
              <w:rPr>
                <w:color w:val="auto"/>
                <w:sz w:val="21"/>
              </w:rPr>
              <w:t>含氢硅油</w:t>
            </w:r>
          </w:p>
        </w:tc>
        <w:tc>
          <w:tcPr>
            <w:tcW w:w="2765" w:type="dxa"/>
            <w:vAlign w:val="top"/>
          </w:tcPr>
          <w:p>
            <w:pPr>
              <w:pStyle w:val="51"/>
              <w:spacing w:before="151"/>
              <w:ind w:left="47" w:leftChars="0" w:right="44" w:rightChars="0"/>
              <w:jc w:val="center"/>
              <w:rPr>
                <w:color w:val="auto"/>
                <w:sz w:val="21"/>
              </w:rPr>
            </w:pPr>
            <w:r>
              <w:rPr>
                <w:color w:val="auto"/>
                <w:sz w:val="21"/>
              </w:rPr>
              <w:t>含氢硅油</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4" w:leftChars="0" w:right="87" w:rightChars="0"/>
              <w:jc w:val="center"/>
              <w:rPr>
                <w:rFonts w:ascii="Times New Roman"/>
                <w:color w:val="auto"/>
                <w:sz w:val="21"/>
              </w:rPr>
            </w:pPr>
            <w:r>
              <w:rPr>
                <w:rFonts w:ascii="Times New Roman"/>
                <w:color w:val="auto"/>
                <w:sz w:val="21"/>
              </w:rPr>
              <w:t>580</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67</w:t>
            </w:r>
          </w:p>
        </w:tc>
        <w:tc>
          <w:tcPr>
            <w:tcW w:w="2683" w:type="dxa"/>
            <w:vAlign w:val="top"/>
          </w:tcPr>
          <w:p>
            <w:pPr>
              <w:pStyle w:val="51"/>
              <w:spacing w:before="153"/>
              <w:ind w:left="25" w:leftChars="0" w:right="19" w:rightChars="0"/>
              <w:jc w:val="center"/>
              <w:rPr>
                <w:color w:val="auto"/>
                <w:sz w:val="21"/>
              </w:rPr>
            </w:pPr>
            <w:r>
              <w:rPr>
                <w:color w:val="auto"/>
                <w:sz w:val="21"/>
              </w:rPr>
              <w:t>封头剂</w:t>
            </w:r>
          </w:p>
        </w:tc>
        <w:tc>
          <w:tcPr>
            <w:tcW w:w="2765" w:type="dxa"/>
            <w:vAlign w:val="top"/>
          </w:tcPr>
          <w:p>
            <w:pPr>
              <w:pStyle w:val="51"/>
              <w:spacing w:before="21"/>
              <w:ind w:left="47" w:right="44"/>
              <w:jc w:val="center"/>
              <w:rPr>
                <w:color w:val="auto"/>
                <w:sz w:val="21"/>
              </w:rPr>
            </w:pPr>
            <w:r>
              <w:rPr>
                <w:color w:val="auto"/>
                <w:sz w:val="21"/>
              </w:rPr>
              <w:t>封头剂（单封头）、封头剂</w:t>
            </w:r>
          </w:p>
          <w:p>
            <w:pPr>
              <w:pStyle w:val="51"/>
              <w:spacing w:before="43" w:line="221" w:lineRule="exact"/>
              <w:ind w:left="52" w:leftChars="0" w:right="44" w:rightChars="0"/>
              <w:jc w:val="center"/>
              <w:rPr>
                <w:color w:val="auto"/>
                <w:sz w:val="21"/>
              </w:rPr>
            </w:pPr>
            <w:r>
              <w:rPr>
                <w:color w:val="auto"/>
                <w:sz w:val="21"/>
              </w:rPr>
              <w:t>（双封头）</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94" w:leftChars="0" w:right="87" w:rightChars="0"/>
              <w:jc w:val="center"/>
              <w:rPr>
                <w:rFonts w:ascii="Times New Roman"/>
                <w:color w:val="auto"/>
                <w:sz w:val="21"/>
              </w:rPr>
            </w:pPr>
            <w:r>
              <w:rPr>
                <w:rFonts w:ascii="Times New Roman"/>
                <w:color w:val="auto"/>
                <w:sz w:val="21"/>
              </w:rPr>
              <w:t>100</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68</w:t>
            </w:r>
          </w:p>
        </w:tc>
        <w:tc>
          <w:tcPr>
            <w:tcW w:w="2683" w:type="dxa"/>
            <w:vAlign w:val="top"/>
          </w:tcPr>
          <w:p>
            <w:pPr>
              <w:pStyle w:val="51"/>
              <w:spacing w:before="152"/>
              <w:ind w:left="28" w:leftChars="0" w:right="19" w:rightChars="0"/>
              <w:jc w:val="center"/>
              <w:rPr>
                <w:color w:val="auto"/>
                <w:sz w:val="21"/>
              </w:rPr>
            </w:pPr>
            <w:r>
              <w:rPr>
                <w:color w:val="auto"/>
                <w:sz w:val="21"/>
              </w:rPr>
              <w:t>烯丙基聚乙二醇醚</w:t>
            </w:r>
          </w:p>
        </w:tc>
        <w:tc>
          <w:tcPr>
            <w:tcW w:w="2765" w:type="dxa"/>
            <w:vAlign w:val="top"/>
          </w:tcPr>
          <w:p>
            <w:pPr>
              <w:pStyle w:val="51"/>
              <w:spacing w:before="152"/>
              <w:ind w:left="47" w:leftChars="0" w:right="44" w:rightChars="0"/>
              <w:jc w:val="center"/>
              <w:rPr>
                <w:color w:val="auto"/>
                <w:sz w:val="21"/>
              </w:rPr>
            </w:pPr>
            <w:r>
              <w:rPr>
                <w:color w:val="auto"/>
                <w:sz w:val="21"/>
              </w:rPr>
              <w:t>烯丙基聚乙二醇醚</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7" w:leftChars="0" w:right="87" w:rightChars="0"/>
              <w:jc w:val="center"/>
              <w:rPr>
                <w:rFonts w:ascii="Times New Roman"/>
                <w:color w:val="auto"/>
                <w:sz w:val="21"/>
              </w:rPr>
            </w:pPr>
            <w:r>
              <w:rPr>
                <w:rFonts w:ascii="Times New Roman"/>
                <w:color w:val="auto"/>
                <w:sz w:val="21"/>
              </w:rPr>
              <w:t>1355</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69</w:t>
            </w:r>
          </w:p>
        </w:tc>
        <w:tc>
          <w:tcPr>
            <w:tcW w:w="2683" w:type="dxa"/>
            <w:vAlign w:val="top"/>
          </w:tcPr>
          <w:p>
            <w:pPr>
              <w:pStyle w:val="51"/>
              <w:spacing w:before="151"/>
              <w:ind w:left="25" w:leftChars="0" w:right="19" w:rightChars="0"/>
              <w:jc w:val="center"/>
              <w:rPr>
                <w:color w:val="auto"/>
                <w:sz w:val="21"/>
              </w:rPr>
            </w:pPr>
            <w:r>
              <w:rPr>
                <w:color w:val="auto"/>
                <w:sz w:val="21"/>
              </w:rPr>
              <w:t>贵金属催化剂</w:t>
            </w:r>
          </w:p>
        </w:tc>
        <w:tc>
          <w:tcPr>
            <w:tcW w:w="2765" w:type="dxa"/>
            <w:vAlign w:val="top"/>
          </w:tcPr>
          <w:p>
            <w:pPr>
              <w:pStyle w:val="51"/>
              <w:spacing w:before="151"/>
              <w:ind w:left="50" w:leftChars="0" w:right="44" w:rightChars="0"/>
              <w:jc w:val="center"/>
              <w:rPr>
                <w:color w:val="auto"/>
                <w:sz w:val="21"/>
              </w:rPr>
            </w:pPr>
            <w:r>
              <w:rPr>
                <w:color w:val="auto"/>
                <w:sz w:val="21"/>
              </w:rPr>
              <w:t>贵金属催化剂</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7" w:leftChars="0"/>
              <w:jc w:val="center"/>
              <w:rPr>
                <w:rFonts w:ascii="Times New Roman"/>
                <w:color w:val="auto"/>
                <w:sz w:val="21"/>
              </w:rPr>
            </w:pPr>
            <w:r>
              <w:rPr>
                <w:rFonts w:ascii="Times New Roman"/>
                <w:color w:val="auto"/>
                <w:w w:val="99"/>
                <w:sz w:val="21"/>
              </w:rPr>
              <w:t>9</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70</w:t>
            </w:r>
          </w:p>
        </w:tc>
        <w:tc>
          <w:tcPr>
            <w:tcW w:w="2683" w:type="dxa"/>
            <w:vAlign w:val="top"/>
          </w:tcPr>
          <w:p>
            <w:pPr>
              <w:pStyle w:val="51"/>
              <w:spacing w:before="153"/>
              <w:ind w:left="25" w:leftChars="0" w:right="19" w:rightChars="0"/>
              <w:jc w:val="center"/>
              <w:rPr>
                <w:color w:val="auto"/>
                <w:sz w:val="21"/>
              </w:rPr>
            </w:pPr>
            <w:r>
              <w:rPr>
                <w:color w:val="auto"/>
                <w:sz w:val="21"/>
              </w:rPr>
              <w:t>终止剂</w:t>
            </w:r>
          </w:p>
        </w:tc>
        <w:tc>
          <w:tcPr>
            <w:tcW w:w="2765" w:type="dxa"/>
            <w:vAlign w:val="top"/>
          </w:tcPr>
          <w:p>
            <w:pPr>
              <w:pStyle w:val="51"/>
              <w:spacing w:before="153"/>
              <w:ind w:left="50" w:leftChars="0" w:right="44" w:rightChars="0"/>
              <w:jc w:val="center"/>
              <w:rPr>
                <w:color w:val="auto"/>
                <w:sz w:val="21"/>
              </w:rPr>
            </w:pPr>
            <w:r>
              <w:rPr>
                <w:color w:val="auto"/>
                <w:sz w:val="21"/>
              </w:rPr>
              <w:t>终止剂</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71</w:t>
            </w:r>
          </w:p>
        </w:tc>
        <w:tc>
          <w:tcPr>
            <w:tcW w:w="2683" w:type="dxa"/>
            <w:vAlign w:val="top"/>
          </w:tcPr>
          <w:p>
            <w:pPr>
              <w:pStyle w:val="51"/>
              <w:spacing w:before="152"/>
              <w:ind w:left="25" w:leftChars="0" w:right="19" w:rightChars="0"/>
              <w:jc w:val="center"/>
              <w:rPr>
                <w:color w:val="auto"/>
                <w:sz w:val="21"/>
              </w:rPr>
            </w:pPr>
            <w:r>
              <w:rPr>
                <w:color w:val="auto"/>
                <w:sz w:val="21"/>
              </w:rPr>
              <w:t>碳酸钠</w:t>
            </w:r>
          </w:p>
        </w:tc>
        <w:tc>
          <w:tcPr>
            <w:tcW w:w="2765" w:type="dxa"/>
            <w:vAlign w:val="top"/>
          </w:tcPr>
          <w:p>
            <w:pPr>
              <w:pStyle w:val="51"/>
              <w:spacing w:before="152"/>
              <w:ind w:left="50" w:leftChars="0" w:right="44" w:rightChars="0"/>
              <w:jc w:val="center"/>
              <w:rPr>
                <w:color w:val="auto"/>
                <w:sz w:val="21"/>
              </w:rPr>
            </w:pPr>
            <w:r>
              <w:rPr>
                <w:color w:val="auto"/>
                <w:sz w:val="21"/>
              </w:rPr>
              <w:t>碳酸钠</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8" w:leftChars="0" w:right="86" w:rightChars="0"/>
              <w:jc w:val="center"/>
              <w:rPr>
                <w:rFonts w:ascii="Times New Roman"/>
                <w:color w:val="auto"/>
                <w:sz w:val="21"/>
              </w:rPr>
            </w:pPr>
            <w:r>
              <w:rPr>
                <w:rFonts w:ascii="Times New Roman"/>
                <w:color w:val="auto"/>
                <w:sz w:val="21"/>
              </w:rPr>
              <w:t>0.7</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72</w:t>
            </w:r>
          </w:p>
        </w:tc>
        <w:tc>
          <w:tcPr>
            <w:tcW w:w="2683" w:type="dxa"/>
            <w:vAlign w:val="top"/>
          </w:tcPr>
          <w:p>
            <w:pPr>
              <w:pStyle w:val="51"/>
              <w:spacing w:before="151"/>
              <w:ind w:left="28" w:leftChars="0" w:right="19" w:rightChars="0"/>
              <w:jc w:val="center"/>
              <w:rPr>
                <w:color w:val="auto"/>
                <w:sz w:val="21"/>
              </w:rPr>
            </w:pPr>
            <w:r>
              <w:rPr>
                <w:color w:val="auto"/>
                <w:sz w:val="21"/>
              </w:rPr>
              <w:t>开稀溶剂</w:t>
            </w:r>
          </w:p>
        </w:tc>
        <w:tc>
          <w:tcPr>
            <w:tcW w:w="2765" w:type="dxa"/>
            <w:vAlign w:val="top"/>
          </w:tcPr>
          <w:p>
            <w:pPr>
              <w:pStyle w:val="51"/>
              <w:spacing w:before="151"/>
              <w:ind w:left="47" w:leftChars="0" w:right="44" w:rightChars="0"/>
              <w:jc w:val="center"/>
              <w:rPr>
                <w:color w:val="auto"/>
                <w:sz w:val="21"/>
              </w:rPr>
            </w:pPr>
            <w:r>
              <w:rPr>
                <w:color w:val="auto"/>
                <w:sz w:val="21"/>
              </w:rPr>
              <w:t>开稀溶剂</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4" w:leftChars="0" w:right="87" w:rightChars="0"/>
              <w:jc w:val="center"/>
              <w:rPr>
                <w:rFonts w:ascii="Times New Roman"/>
                <w:color w:val="auto"/>
                <w:sz w:val="21"/>
              </w:rPr>
            </w:pPr>
            <w:r>
              <w:rPr>
                <w:rFonts w:ascii="Times New Roman"/>
                <w:color w:val="auto"/>
                <w:sz w:val="21"/>
              </w:rPr>
              <w:t>180</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73</w:t>
            </w:r>
          </w:p>
        </w:tc>
        <w:tc>
          <w:tcPr>
            <w:tcW w:w="2683" w:type="dxa"/>
            <w:vAlign w:val="top"/>
          </w:tcPr>
          <w:p>
            <w:pPr>
              <w:pStyle w:val="51"/>
              <w:spacing w:before="153"/>
              <w:ind w:left="28" w:leftChars="0" w:right="19" w:rightChars="0"/>
              <w:jc w:val="center"/>
              <w:rPr>
                <w:color w:val="auto"/>
                <w:sz w:val="21"/>
              </w:rPr>
            </w:pPr>
            <w:r>
              <w:rPr>
                <w:color w:val="auto"/>
                <w:sz w:val="21"/>
              </w:rPr>
              <w:t>烯烃单体</w:t>
            </w:r>
          </w:p>
        </w:tc>
        <w:tc>
          <w:tcPr>
            <w:tcW w:w="2765" w:type="dxa"/>
            <w:vAlign w:val="top"/>
          </w:tcPr>
          <w:p>
            <w:pPr>
              <w:pStyle w:val="51"/>
              <w:spacing w:before="153"/>
              <w:ind w:left="47" w:leftChars="0" w:right="44" w:rightChars="0"/>
              <w:jc w:val="center"/>
              <w:rPr>
                <w:color w:val="auto"/>
                <w:sz w:val="21"/>
              </w:rPr>
            </w:pPr>
            <w:r>
              <w:rPr>
                <w:color w:val="auto"/>
                <w:sz w:val="21"/>
              </w:rPr>
              <w:t>烯烃单体</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94" w:leftChars="0" w:right="87" w:rightChars="0"/>
              <w:jc w:val="center"/>
              <w:rPr>
                <w:rFonts w:ascii="Times New Roman"/>
                <w:color w:val="auto"/>
                <w:sz w:val="21"/>
              </w:rPr>
            </w:pPr>
            <w:r>
              <w:rPr>
                <w:rFonts w:ascii="Times New Roman"/>
                <w:color w:val="auto"/>
                <w:sz w:val="21"/>
              </w:rPr>
              <w:t>250</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74</w:t>
            </w:r>
          </w:p>
        </w:tc>
        <w:tc>
          <w:tcPr>
            <w:tcW w:w="2683" w:type="dxa"/>
            <w:vAlign w:val="top"/>
          </w:tcPr>
          <w:p>
            <w:pPr>
              <w:pStyle w:val="51"/>
              <w:spacing w:before="152"/>
              <w:ind w:left="25" w:leftChars="0" w:right="19" w:rightChars="0"/>
              <w:jc w:val="center"/>
              <w:rPr>
                <w:color w:val="auto"/>
                <w:sz w:val="21"/>
              </w:rPr>
            </w:pPr>
            <w:r>
              <w:rPr>
                <w:color w:val="auto"/>
                <w:sz w:val="21"/>
              </w:rPr>
              <w:t>硼化合物催化剂</w:t>
            </w:r>
          </w:p>
        </w:tc>
        <w:tc>
          <w:tcPr>
            <w:tcW w:w="2765" w:type="dxa"/>
            <w:vAlign w:val="top"/>
          </w:tcPr>
          <w:p>
            <w:pPr>
              <w:pStyle w:val="51"/>
              <w:spacing w:before="152"/>
              <w:ind w:left="50" w:leftChars="0" w:right="44" w:rightChars="0"/>
              <w:jc w:val="center"/>
              <w:rPr>
                <w:color w:val="auto"/>
                <w:sz w:val="21"/>
              </w:rPr>
            </w:pPr>
            <w:r>
              <w:rPr>
                <w:color w:val="auto"/>
                <w:sz w:val="21"/>
              </w:rPr>
              <w:t>硼化合物催化剂</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7" w:leftChars="0"/>
              <w:jc w:val="center"/>
              <w:rPr>
                <w:rFonts w:ascii="Times New Roman"/>
                <w:color w:val="auto"/>
                <w:sz w:val="21"/>
              </w:rPr>
            </w:pPr>
            <w:r>
              <w:rPr>
                <w:rFonts w:ascii="Times New Roman"/>
                <w:color w:val="auto"/>
                <w:w w:val="99"/>
                <w:sz w:val="21"/>
              </w:rPr>
              <w:t>2</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75</w:t>
            </w:r>
          </w:p>
        </w:tc>
        <w:tc>
          <w:tcPr>
            <w:tcW w:w="2683" w:type="dxa"/>
            <w:vAlign w:val="top"/>
          </w:tcPr>
          <w:p>
            <w:pPr>
              <w:pStyle w:val="51"/>
              <w:spacing w:before="151"/>
              <w:ind w:left="28" w:leftChars="0" w:right="19" w:rightChars="0"/>
              <w:jc w:val="center"/>
              <w:rPr>
                <w:color w:val="auto"/>
                <w:sz w:val="21"/>
              </w:rPr>
            </w:pPr>
            <w:r>
              <w:rPr>
                <w:color w:val="auto"/>
                <w:sz w:val="21"/>
              </w:rPr>
              <w:t>异辛基缩水甘油醚</w:t>
            </w:r>
          </w:p>
        </w:tc>
        <w:tc>
          <w:tcPr>
            <w:tcW w:w="2765" w:type="dxa"/>
            <w:vAlign w:val="top"/>
          </w:tcPr>
          <w:p>
            <w:pPr>
              <w:pStyle w:val="51"/>
              <w:spacing w:before="151"/>
              <w:ind w:left="47" w:leftChars="0" w:right="44" w:rightChars="0"/>
              <w:jc w:val="center"/>
              <w:rPr>
                <w:color w:val="auto"/>
                <w:sz w:val="21"/>
              </w:rPr>
            </w:pPr>
            <w:r>
              <w:rPr>
                <w:color w:val="auto"/>
                <w:sz w:val="21"/>
              </w:rPr>
              <w:t>异辛基缩水甘油醚</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4" w:leftChars="0" w:right="87" w:rightChars="0"/>
              <w:jc w:val="center"/>
              <w:rPr>
                <w:rFonts w:ascii="Times New Roman"/>
                <w:color w:val="auto"/>
                <w:sz w:val="21"/>
              </w:rPr>
            </w:pPr>
            <w:r>
              <w:rPr>
                <w:rFonts w:ascii="Times New Roman"/>
                <w:color w:val="auto"/>
                <w:sz w:val="21"/>
              </w:rPr>
              <w:t>640</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76</w:t>
            </w:r>
          </w:p>
        </w:tc>
        <w:tc>
          <w:tcPr>
            <w:tcW w:w="2683" w:type="dxa"/>
            <w:vAlign w:val="top"/>
          </w:tcPr>
          <w:p>
            <w:pPr>
              <w:pStyle w:val="51"/>
              <w:spacing w:before="153"/>
              <w:ind w:left="25" w:leftChars="0" w:right="19" w:rightChars="0"/>
              <w:jc w:val="center"/>
              <w:rPr>
                <w:color w:val="auto"/>
                <w:sz w:val="21"/>
              </w:rPr>
            </w:pPr>
            <w:r>
              <w:rPr>
                <w:color w:val="auto"/>
                <w:sz w:val="21"/>
              </w:rPr>
              <w:t>一元酸</w:t>
            </w:r>
          </w:p>
        </w:tc>
        <w:tc>
          <w:tcPr>
            <w:tcW w:w="2765" w:type="dxa"/>
            <w:vAlign w:val="top"/>
          </w:tcPr>
          <w:p>
            <w:pPr>
              <w:pStyle w:val="51"/>
              <w:spacing w:before="153"/>
              <w:ind w:left="50" w:leftChars="0" w:right="44" w:rightChars="0"/>
              <w:jc w:val="center"/>
              <w:rPr>
                <w:color w:val="auto"/>
                <w:sz w:val="21"/>
              </w:rPr>
            </w:pPr>
            <w:r>
              <w:rPr>
                <w:color w:val="auto"/>
                <w:sz w:val="21"/>
              </w:rPr>
              <w:t>一元酸（油酸</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97" w:leftChars="0" w:right="87" w:rightChars="0"/>
              <w:jc w:val="center"/>
              <w:rPr>
                <w:rFonts w:ascii="Times New Roman"/>
                <w:color w:val="auto"/>
                <w:sz w:val="21"/>
              </w:rPr>
            </w:pPr>
            <w:r>
              <w:rPr>
                <w:rFonts w:ascii="Times New Roman"/>
                <w:color w:val="auto"/>
                <w:sz w:val="21"/>
              </w:rPr>
              <w:t>192.5</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77</w:t>
            </w:r>
          </w:p>
        </w:tc>
        <w:tc>
          <w:tcPr>
            <w:tcW w:w="2683" w:type="dxa"/>
            <w:vAlign w:val="top"/>
          </w:tcPr>
          <w:p>
            <w:pPr>
              <w:pStyle w:val="51"/>
              <w:spacing w:before="152"/>
              <w:ind w:left="25" w:leftChars="0" w:right="19" w:rightChars="0"/>
              <w:jc w:val="center"/>
              <w:rPr>
                <w:color w:val="auto"/>
                <w:sz w:val="21"/>
              </w:rPr>
            </w:pPr>
            <w:r>
              <w:rPr>
                <w:color w:val="auto"/>
                <w:sz w:val="21"/>
              </w:rPr>
              <w:t>乙二酸</w:t>
            </w:r>
          </w:p>
        </w:tc>
        <w:tc>
          <w:tcPr>
            <w:tcW w:w="2765" w:type="dxa"/>
            <w:vAlign w:val="top"/>
          </w:tcPr>
          <w:p>
            <w:pPr>
              <w:pStyle w:val="51"/>
              <w:spacing w:before="152"/>
              <w:ind w:left="50" w:leftChars="0" w:right="44" w:rightChars="0"/>
              <w:jc w:val="center"/>
              <w:rPr>
                <w:color w:val="auto"/>
                <w:sz w:val="21"/>
              </w:rPr>
            </w:pPr>
            <w:r>
              <w:rPr>
                <w:color w:val="auto"/>
                <w:sz w:val="21"/>
              </w:rPr>
              <w:t>乙二酸</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8" w:leftChars="0" w:right="86" w:rightChars="0"/>
              <w:jc w:val="center"/>
              <w:rPr>
                <w:rFonts w:ascii="Times New Roman"/>
                <w:color w:val="auto"/>
                <w:sz w:val="21"/>
              </w:rPr>
            </w:pPr>
            <w:r>
              <w:rPr>
                <w:rFonts w:ascii="Times New Roman"/>
                <w:color w:val="auto"/>
                <w:sz w:val="21"/>
              </w:rPr>
              <w:t>11</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78</w:t>
            </w:r>
          </w:p>
        </w:tc>
        <w:tc>
          <w:tcPr>
            <w:tcW w:w="2683" w:type="dxa"/>
            <w:vAlign w:val="top"/>
          </w:tcPr>
          <w:p>
            <w:pPr>
              <w:pStyle w:val="51"/>
              <w:spacing w:before="151"/>
              <w:ind w:left="28" w:leftChars="0" w:right="19" w:rightChars="0"/>
              <w:jc w:val="center"/>
              <w:rPr>
                <w:color w:val="auto"/>
                <w:sz w:val="21"/>
              </w:rPr>
            </w:pPr>
            <w:r>
              <w:rPr>
                <w:color w:val="auto"/>
                <w:sz w:val="21"/>
              </w:rPr>
              <w:t>混合乙醇氨</w:t>
            </w:r>
          </w:p>
        </w:tc>
        <w:tc>
          <w:tcPr>
            <w:tcW w:w="2765" w:type="dxa"/>
            <w:vAlign w:val="top"/>
          </w:tcPr>
          <w:p>
            <w:pPr>
              <w:pStyle w:val="51"/>
              <w:spacing w:before="151"/>
              <w:ind w:left="52" w:leftChars="0" w:right="44" w:rightChars="0"/>
              <w:jc w:val="center"/>
              <w:rPr>
                <w:color w:val="auto"/>
                <w:sz w:val="21"/>
              </w:rPr>
            </w:pPr>
            <w:r>
              <w:rPr>
                <w:color w:val="auto"/>
                <w:sz w:val="21"/>
              </w:rPr>
              <w:t>混合乙醇氨</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4" w:leftChars="0" w:right="87" w:rightChars="0"/>
              <w:jc w:val="center"/>
              <w:rPr>
                <w:rFonts w:ascii="Times New Roman"/>
                <w:color w:val="auto"/>
                <w:sz w:val="21"/>
              </w:rPr>
            </w:pPr>
            <w:r>
              <w:rPr>
                <w:rFonts w:ascii="Times New Roman"/>
                <w:color w:val="auto"/>
                <w:sz w:val="21"/>
              </w:rPr>
              <w:t>88.2</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79</w:t>
            </w:r>
          </w:p>
        </w:tc>
        <w:tc>
          <w:tcPr>
            <w:tcW w:w="2683" w:type="dxa"/>
            <w:vAlign w:val="top"/>
          </w:tcPr>
          <w:p>
            <w:pPr>
              <w:pStyle w:val="51"/>
              <w:spacing w:before="153"/>
              <w:ind w:left="28" w:leftChars="0" w:right="19" w:rightChars="0"/>
              <w:jc w:val="center"/>
              <w:rPr>
                <w:color w:val="auto"/>
                <w:sz w:val="21"/>
              </w:rPr>
            </w:pPr>
            <w:r>
              <w:rPr>
                <w:color w:val="auto"/>
                <w:sz w:val="21"/>
              </w:rPr>
              <w:t>多聚磷酸</w:t>
            </w:r>
          </w:p>
        </w:tc>
        <w:tc>
          <w:tcPr>
            <w:tcW w:w="2765" w:type="dxa"/>
            <w:vAlign w:val="top"/>
          </w:tcPr>
          <w:p>
            <w:pPr>
              <w:pStyle w:val="51"/>
              <w:spacing w:before="153"/>
              <w:ind w:left="47" w:leftChars="0" w:right="44" w:rightChars="0"/>
              <w:jc w:val="center"/>
              <w:rPr>
                <w:color w:val="auto"/>
                <w:sz w:val="21"/>
              </w:rPr>
            </w:pPr>
            <w:r>
              <w:rPr>
                <w:color w:val="auto"/>
                <w:sz w:val="21"/>
              </w:rPr>
              <w:t>多聚磷酸</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94" w:leftChars="0" w:right="87" w:rightChars="0"/>
              <w:jc w:val="center"/>
              <w:rPr>
                <w:rFonts w:ascii="Times New Roman"/>
                <w:color w:val="auto"/>
                <w:sz w:val="21"/>
              </w:rPr>
            </w:pPr>
            <w:r>
              <w:rPr>
                <w:rFonts w:ascii="Times New Roman"/>
                <w:color w:val="auto"/>
                <w:sz w:val="21"/>
              </w:rPr>
              <w:t>68</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80</w:t>
            </w:r>
          </w:p>
        </w:tc>
        <w:tc>
          <w:tcPr>
            <w:tcW w:w="2683" w:type="dxa"/>
            <w:vAlign w:val="top"/>
          </w:tcPr>
          <w:p>
            <w:pPr>
              <w:pStyle w:val="51"/>
              <w:spacing w:before="152"/>
              <w:ind w:left="25" w:leftChars="0" w:right="19" w:rightChars="0"/>
              <w:jc w:val="center"/>
              <w:rPr>
                <w:color w:val="auto"/>
                <w:sz w:val="21"/>
              </w:rPr>
            </w:pPr>
            <w:r>
              <w:rPr>
                <w:color w:val="auto"/>
                <w:sz w:val="21"/>
              </w:rPr>
              <w:t>已内酯</w:t>
            </w:r>
          </w:p>
        </w:tc>
        <w:tc>
          <w:tcPr>
            <w:tcW w:w="2765" w:type="dxa"/>
            <w:vAlign w:val="top"/>
          </w:tcPr>
          <w:p>
            <w:pPr>
              <w:pStyle w:val="51"/>
              <w:spacing w:before="152"/>
              <w:ind w:left="50" w:leftChars="0" w:right="44" w:rightChars="0"/>
              <w:jc w:val="center"/>
              <w:rPr>
                <w:color w:val="auto"/>
                <w:sz w:val="21"/>
              </w:rPr>
            </w:pPr>
            <w:r>
              <w:rPr>
                <w:color w:val="auto"/>
                <w:sz w:val="21"/>
              </w:rPr>
              <w:t>已内酯</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255</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3"/>
              <w:ind w:left="89" w:leftChars="0" w:right="81" w:rightChars="0"/>
              <w:jc w:val="center"/>
              <w:rPr>
                <w:rFonts w:ascii="Times New Roman"/>
                <w:color w:val="auto"/>
                <w:sz w:val="21"/>
              </w:rPr>
            </w:pPr>
            <w:r>
              <w:rPr>
                <w:rFonts w:ascii="Times New Roman"/>
                <w:color w:val="auto"/>
                <w:sz w:val="21"/>
              </w:rPr>
              <w:t>81</w:t>
            </w:r>
          </w:p>
        </w:tc>
        <w:tc>
          <w:tcPr>
            <w:tcW w:w="2683" w:type="dxa"/>
            <w:vAlign w:val="top"/>
          </w:tcPr>
          <w:p>
            <w:pPr>
              <w:pStyle w:val="51"/>
              <w:spacing w:before="149"/>
              <w:ind w:left="28" w:leftChars="0" w:right="19" w:rightChars="0"/>
              <w:jc w:val="center"/>
              <w:rPr>
                <w:color w:val="auto"/>
                <w:sz w:val="21"/>
              </w:rPr>
            </w:pPr>
            <w:r>
              <w:rPr>
                <w:color w:val="auto"/>
                <w:sz w:val="21"/>
              </w:rPr>
              <w:t>聚醚、聚醚多元醇</w:t>
            </w:r>
          </w:p>
        </w:tc>
        <w:tc>
          <w:tcPr>
            <w:tcW w:w="2765" w:type="dxa"/>
            <w:vAlign w:val="top"/>
          </w:tcPr>
          <w:p>
            <w:pPr>
              <w:pStyle w:val="51"/>
              <w:spacing w:before="149"/>
              <w:ind w:left="52" w:leftChars="0" w:right="44" w:rightChars="0"/>
              <w:jc w:val="center"/>
              <w:rPr>
                <w:color w:val="auto"/>
                <w:sz w:val="21"/>
              </w:rPr>
            </w:pPr>
            <w:r>
              <w:rPr>
                <w:color w:val="auto"/>
                <w:sz w:val="21"/>
              </w:rPr>
              <w:t>聚醚多元醇</w:t>
            </w:r>
          </w:p>
        </w:tc>
        <w:tc>
          <w:tcPr>
            <w:tcW w:w="664" w:type="dxa"/>
            <w:vAlign w:val="top"/>
          </w:tcPr>
          <w:p>
            <w:pPr>
              <w:pStyle w:val="51"/>
              <w:spacing w:before="149"/>
              <w:ind w:left="9" w:leftChars="0"/>
              <w:jc w:val="center"/>
              <w:rPr>
                <w:color w:val="auto"/>
                <w:w w:val="99"/>
                <w:sz w:val="21"/>
              </w:rPr>
            </w:pPr>
            <w:r>
              <w:rPr>
                <w:color w:val="auto"/>
                <w:w w:val="99"/>
                <w:sz w:val="21"/>
              </w:rPr>
              <w:t>吨</w:t>
            </w:r>
          </w:p>
        </w:tc>
        <w:tc>
          <w:tcPr>
            <w:tcW w:w="1063" w:type="dxa"/>
            <w:vAlign w:val="top"/>
          </w:tcPr>
          <w:p>
            <w:pPr>
              <w:pStyle w:val="51"/>
              <w:spacing w:before="163"/>
              <w:ind w:left="94" w:leftChars="0" w:right="87" w:rightChars="0"/>
              <w:jc w:val="center"/>
              <w:rPr>
                <w:rFonts w:ascii="Times New Roman"/>
                <w:color w:val="auto"/>
                <w:sz w:val="21"/>
              </w:rPr>
            </w:pPr>
            <w:r>
              <w:rPr>
                <w:rFonts w:ascii="Times New Roman"/>
                <w:color w:val="auto"/>
                <w:sz w:val="21"/>
              </w:rPr>
              <w:t>527</w:t>
            </w:r>
          </w:p>
        </w:tc>
        <w:tc>
          <w:tcPr>
            <w:tcW w:w="1107" w:type="dxa"/>
            <w:vAlign w:val="top"/>
          </w:tcPr>
          <w:p>
            <w:pPr>
              <w:pStyle w:val="51"/>
              <w:spacing w:before="149"/>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82</w:t>
            </w:r>
          </w:p>
        </w:tc>
        <w:tc>
          <w:tcPr>
            <w:tcW w:w="2683" w:type="dxa"/>
            <w:vAlign w:val="top"/>
          </w:tcPr>
          <w:p>
            <w:pPr>
              <w:pStyle w:val="51"/>
              <w:spacing w:before="153"/>
              <w:ind w:left="28" w:leftChars="0" w:right="19" w:rightChars="0"/>
              <w:jc w:val="center"/>
              <w:rPr>
                <w:color w:val="auto"/>
                <w:sz w:val="21"/>
              </w:rPr>
            </w:pPr>
            <w:r>
              <w:rPr>
                <w:color w:val="auto"/>
                <w:sz w:val="21"/>
              </w:rPr>
              <w:t>二月桂酸二丁基锡</w:t>
            </w:r>
          </w:p>
        </w:tc>
        <w:tc>
          <w:tcPr>
            <w:tcW w:w="2765" w:type="dxa"/>
            <w:vAlign w:val="top"/>
          </w:tcPr>
          <w:p>
            <w:pPr>
              <w:pStyle w:val="51"/>
              <w:spacing w:before="167"/>
              <w:ind w:left="53" w:leftChars="0" w:right="44" w:rightChars="0"/>
              <w:jc w:val="center"/>
              <w:rPr>
                <w:color w:val="auto"/>
                <w:sz w:val="21"/>
              </w:rPr>
            </w:pPr>
            <w:r>
              <w:rPr>
                <w:rFonts w:ascii="Times New Roman"/>
                <w:color w:val="auto"/>
                <w:sz w:val="21"/>
              </w:rPr>
              <w:t>DBTDL</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94" w:leftChars="0" w:right="87" w:rightChars="0"/>
              <w:jc w:val="center"/>
              <w:rPr>
                <w:rFonts w:ascii="Times New Roman"/>
                <w:color w:val="auto"/>
                <w:sz w:val="21"/>
              </w:rPr>
            </w:pPr>
            <w:r>
              <w:rPr>
                <w:rFonts w:ascii="Times New Roman"/>
                <w:color w:val="auto"/>
                <w:sz w:val="21"/>
              </w:rPr>
              <w:t>0.08</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83</w:t>
            </w:r>
          </w:p>
        </w:tc>
        <w:tc>
          <w:tcPr>
            <w:tcW w:w="2683" w:type="dxa"/>
            <w:vAlign w:val="top"/>
          </w:tcPr>
          <w:p>
            <w:pPr>
              <w:pStyle w:val="51"/>
              <w:spacing w:before="152"/>
              <w:ind w:left="25" w:leftChars="0" w:right="19" w:rightChars="0"/>
              <w:jc w:val="center"/>
              <w:rPr>
                <w:color w:val="auto"/>
                <w:sz w:val="21"/>
              </w:rPr>
            </w:pPr>
            <w:r>
              <w:rPr>
                <w:color w:val="auto"/>
                <w:sz w:val="21"/>
              </w:rPr>
              <w:t>苯甲醇</w:t>
            </w:r>
          </w:p>
        </w:tc>
        <w:tc>
          <w:tcPr>
            <w:tcW w:w="2765" w:type="dxa"/>
            <w:vAlign w:val="top"/>
          </w:tcPr>
          <w:p>
            <w:pPr>
              <w:pStyle w:val="51"/>
              <w:spacing w:before="152"/>
              <w:ind w:left="50" w:leftChars="0" w:right="44" w:rightChars="0"/>
              <w:jc w:val="center"/>
              <w:rPr>
                <w:color w:val="auto"/>
                <w:sz w:val="21"/>
              </w:rPr>
            </w:pPr>
            <w:r>
              <w:rPr>
                <w:color w:val="auto"/>
                <w:sz w:val="21"/>
              </w:rPr>
              <w:t>苯甲醇</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30</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5"/>
              <w:ind w:left="89" w:leftChars="0" w:right="81" w:rightChars="0"/>
              <w:jc w:val="center"/>
              <w:rPr>
                <w:rFonts w:ascii="Times New Roman"/>
                <w:color w:val="auto"/>
                <w:sz w:val="21"/>
              </w:rPr>
            </w:pPr>
            <w:r>
              <w:rPr>
                <w:rFonts w:ascii="Times New Roman"/>
                <w:color w:val="auto"/>
                <w:sz w:val="21"/>
              </w:rPr>
              <w:t>84</w:t>
            </w:r>
          </w:p>
        </w:tc>
        <w:tc>
          <w:tcPr>
            <w:tcW w:w="2683" w:type="dxa"/>
            <w:vAlign w:val="top"/>
          </w:tcPr>
          <w:p>
            <w:pPr>
              <w:pStyle w:val="51"/>
              <w:spacing w:before="151"/>
              <w:ind w:left="28" w:leftChars="0" w:right="19" w:rightChars="0"/>
              <w:jc w:val="center"/>
              <w:rPr>
                <w:color w:val="auto"/>
                <w:sz w:val="21"/>
              </w:rPr>
            </w:pPr>
            <w:r>
              <w:rPr>
                <w:color w:val="auto"/>
                <w:sz w:val="21"/>
              </w:rPr>
              <w:t>多乙烯多胺</w:t>
            </w:r>
          </w:p>
        </w:tc>
        <w:tc>
          <w:tcPr>
            <w:tcW w:w="2765" w:type="dxa"/>
            <w:vAlign w:val="top"/>
          </w:tcPr>
          <w:p>
            <w:pPr>
              <w:pStyle w:val="51"/>
              <w:spacing w:before="151"/>
              <w:ind w:left="52" w:leftChars="0" w:right="44" w:rightChars="0"/>
              <w:jc w:val="center"/>
              <w:rPr>
                <w:color w:val="auto"/>
                <w:sz w:val="21"/>
              </w:rPr>
            </w:pPr>
            <w:r>
              <w:rPr>
                <w:color w:val="auto"/>
                <w:sz w:val="21"/>
              </w:rPr>
              <w:t>多乙烯多胺</w:t>
            </w:r>
          </w:p>
        </w:tc>
        <w:tc>
          <w:tcPr>
            <w:tcW w:w="664" w:type="dxa"/>
            <w:vAlign w:val="top"/>
          </w:tcPr>
          <w:p>
            <w:pPr>
              <w:pStyle w:val="51"/>
              <w:spacing w:before="151"/>
              <w:ind w:left="9" w:leftChars="0"/>
              <w:jc w:val="center"/>
              <w:rPr>
                <w:color w:val="auto"/>
                <w:w w:val="99"/>
                <w:sz w:val="21"/>
              </w:rPr>
            </w:pPr>
            <w:r>
              <w:rPr>
                <w:color w:val="auto"/>
                <w:w w:val="99"/>
                <w:sz w:val="21"/>
              </w:rPr>
              <w:t>吨</w:t>
            </w:r>
          </w:p>
        </w:tc>
        <w:tc>
          <w:tcPr>
            <w:tcW w:w="1063" w:type="dxa"/>
            <w:vAlign w:val="top"/>
          </w:tcPr>
          <w:p>
            <w:pPr>
              <w:pStyle w:val="51"/>
              <w:spacing w:before="165"/>
              <w:ind w:left="97" w:leftChars="0" w:right="87" w:rightChars="0"/>
              <w:jc w:val="center"/>
              <w:rPr>
                <w:rFonts w:ascii="Times New Roman"/>
                <w:color w:val="auto"/>
                <w:sz w:val="21"/>
              </w:rPr>
            </w:pPr>
            <w:r>
              <w:rPr>
                <w:rFonts w:ascii="Times New Roman"/>
                <w:color w:val="auto"/>
                <w:sz w:val="21"/>
              </w:rPr>
              <w:t>112</w:t>
            </w:r>
          </w:p>
        </w:tc>
        <w:tc>
          <w:tcPr>
            <w:tcW w:w="1107" w:type="dxa"/>
            <w:vAlign w:val="top"/>
          </w:tcPr>
          <w:p>
            <w:pPr>
              <w:pStyle w:val="51"/>
              <w:spacing w:before="1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85</w:t>
            </w:r>
          </w:p>
        </w:tc>
        <w:tc>
          <w:tcPr>
            <w:tcW w:w="2683" w:type="dxa"/>
            <w:vAlign w:val="top"/>
          </w:tcPr>
          <w:p>
            <w:pPr>
              <w:pStyle w:val="51"/>
              <w:spacing w:before="153"/>
              <w:ind w:left="25" w:leftChars="0" w:right="19" w:rightChars="0"/>
              <w:jc w:val="center"/>
              <w:rPr>
                <w:color w:val="auto"/>
                <w:sz w:val="21"/>
              </w:rPr>
            </w:pPr>
            <w:r>
              <w:rPr>
                <w:color w:val="auto"/>
                <w:sz w:val="21"/>
              </w:rPr>
              <w:t>碳酸钙</w:t>
            </w:r>
          </w:p>
        </w:tc>
        <w:tc>
          <w:tcPr>
            <w:tcW w:w="2765" w:type="dxa"/>
            <w:vAlign w:val="top"/>
          </w:tcPr>
          <w:p>
            <w:pPr>
              <w:pStyle w:val="51"/>
              <w:spacing w:before="153"/>
              <w:ind w:left="50" w:leftChars="0" w:right="44" w:rightChars="0"/>
              <w:jc w:val="center"/>
              <w:rPr>
                <w:color w:val="auto"/>
                <w:sz w:val="21"/>
              </w:rPr>
            </w:pPr>
            <w:r>
              <w:rPr>
                <w:color w:val="auto"/>
                <w:sz w:val="21"/>
              </w:rPr>
              <w:t>碳酸钙</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94" w:leftChars="0" w:right="87" w:rightChars="0"/>
              <w:jc w:val="center"/>
              <w:rPr>
                <w:rFonts w:ascii="Times New Roman"/>
                <w:color w:val="auto"/>
                <w:sz w:val="21"/>
              </w:rPr>
            </w:pPr>
            <w:r>
              <w:rPr>
                <w:rFonts w:ascii="Times New Roman"/>
                <w:color w:val="auto"/>
                <w:sz w:val="21"/>
              </w:rPr>
              <w:t>24</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86</w:t>
            </w:r>
          </w:p>
        </w:tc>
        <w:tc>
          <w:tcPr>
            <w:tcW w:w="2683" w:type="dxa"/>
            <w:vAlign w:val="top"/>
          </w:tcPr>
          <w:p>
            <w:pPr>
              <w:pStyle w:val="51"/>
              <w:spacing w:before="20"/>
              <w:ind w:left="25" w:right="19"/>
              <w:jc w:val="center"/>
              <w:rPr>
                <w:color w:val="auto"/>
                <w:sz w:val="21"/>
              </w:rPr>
            </w:pPr>
            <w:r>
              <w:rPr>
                <w:color w:val="auto"/>
                <w:sz w:val="21"/>
              </w:rPr>
              <w:t>聚丁二烯类树脂及改性树</w:t>
            </w:r>
          </w:p>
          <w:p>
            <w:pPr>
              <w:pStyle w:val="51"/>
              <w:spacing w:before="43" w:line="220" w:lineRule="exact"/>
              <w:ind w:left="9" w:leftChars="0"/>
              <w:jc w:val="center"/>
              <w:rPr>
                <w:color w:val="auto"/>
                <w:sz w:val="21"/>
              </w:rPr>
            </w:pPr>
            <w:r>
              <w:rPr>
                <w:color w:val="auto"/>
                <w:w w:val="99"/>
                <w:sz w:val="21"/>
              </w:rPr>
              <w:t>脂</w:t>
            </w:r>
          </w:p>
        </w:tc>
        <w:tc>
          <w:tcPr>
            <w:tcW w:w="2765" w:type="dxa"/>
            <w:vAlign w:val="top"/>
          </w:tcPr>
          <w:p>
            <w:pPr>
              <w:pStyle w:val="51"/>
              <w:spacing w:before="152"/>
              <w:ind w:left="47" w:leftChars="0" w:right="44" w:rightChars="0"/>
              <w:jc w:val="center"/>
              <w:rPr>
                <w:color w:val="auto"/>
                <w:sz w:val="21"/>
              </w:rPr>
            </w:pPr>
            <w:r>
              <w:rPr>
                <w:color w:val="auto"/>
                <w:sz w:val="21"/>
              </w:rPr>
              <w:t>聚丁二烯类树脂及改性树脂</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41</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7"/>
              <w:ind w:left="89" w:leftChars="0" w:right="81" w:rightChars="0"/>
              <w:jc w:val="center"/>
              <w:rPr>
                <w:rFonts w:ascii="Times New Roman"/>
                <w:color w:val="auto"/>
                <w:sz w:val="21"/>
              </w:rPr>
            </w:pPr>
            <w:r>
              <w:rPr>
                <w:rFonts w:ascii="Times New Roman"/>
                <w:color w:val="auto"/>
                <w:sz w:val="21"/>
              </w:rPr>
              <w:t>87</w:t>
            </w:r>
          </w:p>
        </w:tc>
        <w:tc>
          <w:tcPr>
            <w:tcW w:w="2683" w:type="dxa"/>
            <w:vAlign w:val="top"/>
          </w:tcPr>
          <w:p>
            <w:pPr>
              <w:pStyle w:val="51"/>
              <w:spacing w:before="153"/>
              <w:ind w:left="25" w:leftChars="0" w:right="19" w:rightChars="0"/>
              <w:jc w:val="center"/>
              <w:rPr>
                <w:color w:val="auto"/>
                <w:sz w:val="21"/>
              </w:rPr>
            </w:pPr>
            <w:r>
              <w:rPr>
                <w:color w:val="auto"/>
                <w:sz w:val="21"/>
              </w:rPr>
              <w:t>聚烯烃类树脂</w:t>
            </w:r>
          </w:p>
        </w:tc>
        <w:tc>
          <w:tcPr>
            <w:tcW w:w="2765" w:type="dxa"/>
            <w:vAlign w:val="top"/>
          </w:tcPr>
          <w:p>
            <w:pPr>
              <w:pStyle w:val="51"/>
              <w:spacing w:before="153"/>
              <w:ind w:left="47" w:leftChars="0" w:right="44" w:rightChars="0"/>
              <w:jc w:val="center"/>
              <w:rPr>
                <w:color w:val="auto"/>
                <w:sz w:val="21"/>
              </w:rPr>
            </w:pPr>
            <w:r>
              <w:rPr>
                <w:color w:val="auto"/>
                <w:sz w:val="21"/>
              </w:rPr>
              <w:t>聚乙烯、聚丙烯等</w:t>
            </w:r>
          </w:p>
        </w:tc>
        <w:tc>
          <w:tcPr>
            <w:tcW w:w="664" w:type="dxa"/>
            <w:vAlign w:val="top"/>
          </w:tcPr>
          <w:p>
            <w:pPr>
              <w:pStyle w:val="51"/>
              <w:spacing w:before="153"/>
              <w:ind w:left="9" w:leftChars="0"/>
              <w:jc w:val="center"/>
              <w:rPr>
                <w:color w:val="auto"/>
                <w:w w:val="99"/>
                <w:sz w:val="21"/>
              </w:rPr>
            </w:pPr>
            <w:r>
              <w:rPr>
                <w:color w:val="auto"/>
                <w:w w:val="99"/>
                <w:sz w:val="21"/>
              </w:rPr>
              <w:t>吨</w:t>
            </w:r>
          </w:p>
        </w:tc>
        <w:tc>
          <w:tcPr>
            <w:tcW w:w="1063" w:type="dxa"/>
            <w:vAlign w:val="top"/>
          </w:tcPr>
          <w:p>
            <w:pPr>
              <w:pStyle w:val="51"/>
              <w:spacing w:before="167"/>
              <w:ind w:left="94" w:leftChars="0" w:right="87" w:rightChars="0"/>
              <w:jc w:val="center"/>
              <w:rPr>
                <w:rFonts w:ascii="Times New Roman"/>
                <w:color w:val="auto"/>
                <w:sz w:val="21"/>
              </w:rPr>
            </w:pPr>
            <w:r>
              <w:rPr>
                <w:rFonts w:ascii="Times New Roman"/>
                <w:color w:val="auto"/>
                <w:sz w:val="21"/>
              </w:rPr>
              <w:t>41</w:t>
            </w:r>
          </w:p>
        </w:tc>
        <w:tc>
          <w:tcPr>
            <w:tcW w:w="1107" w:type="dxa"/>
            <w:vAlign w:val="top"/>
          </w:tcPr>
          <w:p>
            <w:pPr>
              <w:pStyle w:val="51"/>
              <w:spacing w:before="153"/>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66"/>
              <w:ind w:left="89" w:leftChars="0" w:right="81" w:rightChars="0"/>
              <w:jc w:val="center"/>
              <w:rPr>
                <w:rFonts w:ascii="Times New Roman"/>
                <w:color w:val="auto"/>
                <w:sz w:val="21"/>
              </w:rPr>
            </w:pPr>
            <w:r>
              <w:rPr>
                <w:rFonts w:ascii="Times New Roman"/>
                <w:color w:val="auto"/>
                <w:sz w:val="21"/>
              </w:rPr>
              <w:t>88</w:t>
            </w:r>
          </w:p>
        </w:tc>
        <w:tc>
          <w:tcPr>
            <w:tcW w:w="2683" w:type="dxa"/>
            <w:vAlign w:val="top"/>
          </w:tcPr>
          <w:p>
            <w:pPr>
              <w:pStyle w:val="51"/>
              <w:spacing w:before="20"/>
              <w:ind w:left="25" w:right="19"/>
              <w:jc w:val="center"/>
              <w:rPr>
                <w:color w:val="auto"/>
                <w:sz w:val="21"/>
              </w:rPr>
            </w:pPr>
            <w:r>
              <w:rPr>
                <w:color w:val="auto"/>
                <w:sz w:val="21"/>
              </w:rPr>
              <w:t>聚乙烯蜡、聚丙烯蜡、聚四</w:t>
            </w:r>
          </w:p>
          <w:p>
            <w:pPr>
              <w:pStyle w:val="51"/>
              <w:spacing w:before="43" w:line="222" w:lineRule="exact"/>
              <w:ind w:left="28" w:leftChars="0" w:right="19" w:rightChars="0"/>
              <w:jc w:val="center"/>
              <w:rPr>
                <w:color w:val="auto"/>
                <w:sz w:val="21"/>
              </w:rPr>
            </w:pPr>
            <w:r>
              <w:rPr>
                <w:color w:val="auto"/>
                <w:sz w:val="21"/>
              </w:rPr>
              <w:t>氟乙烯蜡</w:t>
            </w:r>
          </w:p>
        </w:tc>
        <w:tc>
          <w:tcPr>
            <w:tcW w:w="2765" w:type="dxa"/>
            <w:vAlign w:val="top"/>
          </w:tcPr>
          <w:p>
            <w:pPr>
              <w:pStyle w:val="51"/>
              <w:spacing w:before="20"/>
              <w:ind w:left="47" w:right="44"/>
              <w:jc w:val="center"/>
              <w:rPr>
                <w:color w:val="auto"/>
                <w:sz w:val="21"/>
              </w:rPr>
            </w:pPr>
            <w:r>
              <w:rPr>
                <w:color w:val="auto"/>
                <w:sz w:val="21"/>
              </w:rPr>
              <w:t>聚乙烯蜡、聚丙烯蜡、聚四</w:t>
            </w:r>
          </w:p>
          <w:p>
            <w:pPr>
              <w:pStyle w:val="51"/>
              <w:spacing w:before="43" w:line="222" w:lineRule="exact"/>
              <w:ind w:left="47" w:leftChars="0" w:right="44" w:rightChars="0"/>
              <w:jc w:val="center"/>
              <w:rPr>
                <w:color w:val="auto"/>
                <w:sz w:val="21"/>
              </w:rPr>
            </w:pPr>
            <w:r>
              <w:rPr>
                <w:color w:val="auto"/>
                <w:sz w:val="21"/>
              </w:rPr>
              <w:t>氟乙烯蜡</w:t>
            </w:r>
          </w:p>
        </w:tc>
        <w:tc>
          <w:tcPr>
            <w:tcW w:w="664" w:type="dxa"/>
            <w:vAlign w:val="top"/>
          </w:tcPr>
          <w:p>
            <w:pPr>
              <w:pStyle w:val="51"/>
              <w:spacing w:before="152"/>
              <w:ind w:left="9" w:leftChars="0"/>
              <w:jc w:val="center"/>
              <w:rPr>
                <w:color w:val="auto"/>
                <w:w w:val="99"/>
                <w:sz w:val="21"/>
              </w:rPr>
            </w:pPr>
            <w:r>
              <w:rPr>
                <w:color w:val="auto"/>
                <w:w w:val="99"/>
                <w:sz w:val="21"/>
              </w:rPr>
              <w:t>吨</w:t>
            </w:r>
          </w:p>
        </w:tc>
        <w:tc>
          <w:tcPr>
            <w:tcW w:w="1063" w:type="dxa"/>
            <w:vAlign w:val="top"/>
          </w:tcPr>
          <w:p>
            <w:pPr>
              <w:pStyle w:val="51"/>
              <w:spacing w:before="166"/>
              <w:ind w:left="94" w:leftChars="0" w:right="87" w:rightChars="0"/>
              <w:jc w:val="center"/>
              <w:rPr>
                <w:rFonts w:ascii="Times New Roman"/>
                <w:color w:val="auto"/>
                <w:sz w:val="21"/>
              </w:rPr>
            </w:pPr>
            <w:r>
              <w:rPr>
                <w:rFonts w:ascii="Times New Roman"/>
                <w:color w:val="auto"/>
                <w:sz w:val="21"/>
              </w:rPr>
              <w:t>221</w:t>
            </w:r>
          </w:p>
        </w:tc>
        <w:tc>
          <w:tcPr>
            <w:tcW w:w="1107" w:type="dxa"/>
            <w:vAlign w:val="top"/>
          </w:tcPr>
          <w:p>
            <w:pPr>
              <w:pStyle w:val="51"/>
              <w:spacing w:before="152"/>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6"/>
              <w:rPr>
                <w:rFonts w:ascii="Times New Roman"/>
                <w:color w:val="auto"/>
                <w:sz w:val="17"/>
              </w:rPr>
            </w:pPr>
          </w:p>
          <w:p>
            <w:pPr>
              <w:pStyle w:val="51"/>
              <w:ind w:left="89" w:leftChars="0" w:right="81" w:rightChars="0"/>
              <w:jc w:val="center"/>
              <w:rPr>
                <w:rFonts w:ascii="Times New Roman"/>
                <w:color w:val="auto"/>
                <w:sz w:val="21"/>
              </w:rPr>
            </w:pPr>
            <w:r>
              <w:rPr>
                <w:rFonts w:ascii="Times New Roman"/>
                <w:color w:val="auto"/>
                <w:sz w:val="21"/>
              </w:rPr>
              <w:t>89</w:t>
            </w:r>
          </w:p>
        </w:tc>
        <w:tc>
          <w:tcPr>
            <w:tcW w:w="2683" w:type="dxa"/>
            <w:vAlign w:val="top"/>
          </w:tcPr>
          <w:p>
            <w:pPr>
              <w:pStyle w:val="51"/>
              <w:spacing w:before="3"/>
              <w:rPr>
                <w:rFonts w:ascii="Times New Roman"/>
                <w:color w:val="auto"/>
                <w:sz w:val="16"/>
              </w:rPr>
            </w:pPr>
          </w:p>
          <w:p>
            <w:pPr>
              <w:pStyle w:val="51"/>
              <w:ind w:left="28" w:leftChars="0" w:right="19" w:rightChars="0"/>
              <w:jc w:val="center"/>
              <w:rPr>
                <w:color w:val="auto"/>
                <w:sz w:val="21"/>
              </w:rPr>
            </w:pPr>
            <w:r>
              <w:rPr>
                <w:color w:val="auto"/>
                <w:sz w:val="21"/>
              </w:rPr>
              <w:t>有机磷酸酯</w:t>
            </w:r>
          </w:p>
        </w:tc>
        <w:tc>
          <w:tcPr>
            <w:tcW w:w="2765" w:type="dxa"/>
            <w:vAlign w:val="top"/>
          </w:tcPr>
          <w:p>
            <w:pPr>
              <w:pStyle w:val="51"/>
              <w:spacing w:before="3"/>
              <w:rPr>
                <w:rFonts w:ascii="Times New Roman"/>
                <w:color w:val="auto"/>
                <w:sz w:val="16"/>
              </w:rPr>
            </w:pPr>
          </w:p>
          <w:p>
            <w:pPr>
              <w:pStyle w:val="51"/>
              <w:ind w:left="50" w:leftChars="0" w:right="44" w:rightChars="0"/>
              <w:jc w:val="center"/>
              <w:rPr>
                <w:color w:val="auto"/>
                <w:sz w:val="21"/>
              </w:rPr>
            </w:pPr>
            <w:r>
              <w:rPr>
                <w:color w:val="auto"/>
                <w:sz w:val="21"/>
              </w:rPr>
              <w:t>三烷基磷酸酯、聚酯磷酸酯</w:t>
            </w:r>
          </w:p>
        </w:tc>
        <w:tc>
          <w:tcPr>
            <w:tcW w:w="664" w:type="dxa"/>
            <w:vAlign w:val="top"/>
          </w:tcPr>
          <w:p>
            <w:pPr>
              <w:pStyle w:val="51"/>
              <w:spacing w:before="3"/>
              <w:rPr>
                <w:rFonts w:ascii="Times New Roman"/>
                <w:color w:val="auto"/>
                <w:sz w:val="16"/>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6"/>
              <w:rPr>
                <w:rFonts w:ascii="Times New Roman"/>
                <w:color w:val="auto"/>
                <w:sz w:val="17"/>
              </w:rPr>
            </w:pPr>
          </w:p>
          <w:p>
            <w:pPr>
              <w:pStyle w:val="51"/>
              <w:ind w:left="94" w:leftChars="0" w:right="87" w:rightChars="0"/>
              <w:jc w:val="center"/>
              <w:rPr>
                <w:rFonts w:ascii="Times New Roman"/>
                <w:color w:val="auto"/>
                <w:sz w:val="21"/>
              </w:rPr>
            </w:pPr>
            <w:r>
              <w:rPr>
                <w:rFonts w:ascii="Times New Roman"/>
                <w:color w:val="auto"/>
                <w:sz w:val="21"/>
              </w:rPr>
              <w:t>150</w:t>
            </w:r>
          </w:p>
        </w:tc>
        <w:tc>
          <w:tcPr>
            <w:tcW w:w="1107" w:type="dxa"/>
            <w:vAlign w:val="top"/>
          </w:tcPr>
          <w:p>
            <w:pPr>
              <w:pStyle w:val="51"/>
              <w:spacing w:before="3"/>
              <w:rPr>
                <w:rFonts w:ascii="Times New Roman"/>
                <w:color w:val="auto"/>
                <w:sz w:val="16"/>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4"/>
              <w:rPr>
                <w:rFonts w:ascii="Times New Roman"/>
                <w:color w:val="auto"/>
                <w:sz w:val="17"/>
              </w:rPr>
            </w:pPr>
          </w:p>
          <w:p>
            <w:pPr>
              <w:pStyle w:val="51"/>
              <w:spacing w:before="1"/>
              <w:ind w:left="89" w:leftChars="0" w:right="81" w:rightChars="0"/>
              <w:jc w:val="center"/>
              <w:rPr>
                <w:rFonts w:ascii="Times New Roman"/>
                <w:color w:val="auto"/>
                <w:sz w:val="21"/>
              </w:rPr>
            </w:pPr>
            <w:r>
              <w:rPr>
                <w:rFonts w:ascii="Times New Roman"/>
                <w:color w:val="auto"/>
                <w:sz w:val="21"/>
              </w:rPr>
              <w:t>90</w:t>
            </w:r>
          </w:p>
        </w:tc>
        <w:tc>
          <w:tcPr>
            <w:tcW w:w="2683" w:type="dxa"/>
            <w:vAlign w:val="top"/>
          </w:tcPr>
          <w:p>
            <w:pPr>
              <w:pStyle w:val="51"/>
              <w:spacing w:before="2"/>
              <w:rPr>
                <w:rFonts w:ascii="Times New Roman"/>
                <w:color w:val="auto"/>
                <w:sz w:val="16"/>
              </w:rPr>
            </w:pPr>
          </w:p>
          <w:p>
            <w:pPr>
              <w:pStyle w:val="51"/>
              <w:ind w:left="25" w:leftChars="0" w:right="19" w:rightChars="0"/>
              <w:jc w:val="center"/>
              <w:rPr>
                <w:color w:val="auto"/>
                <w:sz w:val="21"/>
              </w:rPr>
            </w:pPr>
            <w:r>
              <w:rPr>
                <w:color w:val="auto"/>
                <w:sz w:val="21"/>
              </w:rPr>
              <w:t>三羧甲基丙烷</w:t>
            </w:r>
          </w:p>
        </w:tc>
        <w:tc>
          <w:tcPr>
            <w:tcW w:w="2765" w:type="dxa"/>
            <w:vAlign w:val="top"/>
          </w:tcPr>
          <w:p>
            <w:pPr>
              <w:pStyle w:val="51"/>
              <w:spacing w:before="2"/>
              <w:rPr>
                <w:rFonts w:ascii="Times New Roman"/>
                <w:color w:val="auto"/>
                <w:sz w:val="16"/>
              </w:rPr>
            </w:pPr>
          </w:p>
          <w:p>
            <w:pPr>
              <w:pStyle w:val="51"/>
              <w:ind w:left="50" w:leftChars="0" w:right="44" w:rightChars="0"/>
              <w:jc w:val="center"/>
              <w:rPr>
                <w:color w:val="auto"/>
                <w:sz w:val="21"/>
              </w:rPr>
            </w:pPr>
            <w:r>
              <w:rPr>
                <w:color w:val="auto"/>
                <w:sz w:val="21"/>
              </w:rPr>
              <w:t>三羧甲基丙烷</w:t>
            </w:r>
          </w:p>
        </w:tc>
        <w:tc>
          <w:tcPr>
            <w:tcW w:w="664" w:type="dxa"/>
            <w:vAlign w:val="top"/>
          </w:tcPr>
          <w:p>
            <w:pPr>
              <w:pStyle w:val="51"/>
              <w:spacing w:before="2"/>
              <w:rPr>
                <w:rFonts w:ascii="Times New Roman"/>
                <w:color w:val="auto"/>
                <w:sz w:val="16"/>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4"/>
              <w:rPr>
                <w:rFonts w:ascii="Times New Roman"/>
                <w:color w:val="auto"/>
                <w:sz w:val="17"/>
              </w:rPr>
            </w:pPr>
          </w:p>
          <w:p>
            <w:pPr>
              <w:pStyle w:val="51"/>
              <w:spacing w:before="1"/>
              <w:ind w:left="94" w:leftChars="0" w:right="87" w:rightChars="0"/>
              <w:jc w:val="center"/>
              <w:rPr>
                <w:rFonts w:ascii="Times New Roman"/>
                <w:color w:val="auto"/>
                <w:sz w:val="21"/>
              </w:rPr>
            </w:pPr>
            <w:r>
              <w:rPr>
                <w:rFonts w:ascii="Times New Roman"/>
                <w:color w:val="auto"/>
                <w:sz w:val="21"/>
              </w:rPr>
              <w:t>38</w:t>
            </w:r>
          </w:p>
        </w:tc>
        <w:tc>
          <w:tcPr>
            <w:tcW w:w="1107" w:type="dxa"/>
            <w:vAlign w:val="top"/>
          </w:tcPr>
          <w:p>
            <w:pPr>
              <w:pStyle w:val="51"/>
              <w:spacing w:before="2"/>
              <w:rPr>
                <w:rFonts w:ascii="Times New Roman"/>
                <w:color w:val="auto"/>
                <w:sz w:val="16"/>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6"/>
              <w:rPr>
                <w:rFonts w:ascii="Times New Roman"/>
                <w:color w:val="auto"/>
                <w:sz w:val="17"/>
              </w:rPr>
            </w:pPr>
          </w:p>
          <w:p>
            <w:pPr>
              <w:pStyle w:val="51"/>
              <w:ind w:left="89" w:leftChars="0" w:right="81" w:rightChars="0"/>
              <w:jc w:val="center"/>
              <w:rPr>
                <w:rFonts w:ascii="Times New Roman"/>
                <w:color w:val="auto"/>
                <w:sz w:val="21"/>
              </w:rPr>
            </w:pPr>
            <w:r>
              <w:rPr>
                <w:rFonts w:ascii="Times New Roman"/>
                <w:color w:val="auto"/>
                <w:sz w:val="21"/>
              </w:rPr>
              <w:t>91</w:t>
            </w:r>
          </w:p>
        </w:tc>
        <w:tc>
          <w:tcPr>
            <w:tcW w:w="2683" w:type="dxa"/>
            <w:vAlign w:val="top"/>
          </w:tcPr>
          <w:p>
            <w:pPr>
              <w:pStyle w:val="51"/>
              <w:spacing w:before="3"/>
              <w:rPr>
                <w:rFonts w:ascii="Times New Roman"/>
                <w:color w:val="auto"/>
                <w:sz w:val="16"/>
              </w:rPr>
            </w:pPr>
          </w:p>
          <w:p>
            <w:pPr>
              <w:pStyle w:val="51"/>
              <w:ind w:left="25" w:leftChars="0" w:right="19" w:rightChars="0"/>
              <w:jc w:val="center"/>
              <w:rPr>
                <w:color w:val="auto"/>
                <w:sz w:val="21"/>
              </w:rPr>
            </w:pPr>
            <w:r>
              <w:rPr>
                <w:color w:val="auto"/>
                <w:sz w:val="21"/>
              </w:rPr>
              <w:t>铂金属催化剂</w:t>
            </w:r>
          </w:p>
        </w:tc>
        <w:tc>
          <w:tcPr>
            <w:tcW w:w="2765" w:type="dxa"/>
            <w:vAlign w:val="top"/>
          </w:tcPr>
          <w:p>
            <w:pPr>
              <w:pStyle w:val="51"/>
              <w:spacing w:before="3"/>
              <w:rPr>
                <w:rFonts w:ascii="Times New Roman"/>
                <w:color w:val="auto"/>
                <w:sz w:val="16"/>
              </w:rPr>
            </w:pPr>
          </w:p>
          <w:p>
            <w:pPr>
              <w:pStyle w:val="51"/>
              <w:ind w:left="50" w:leftChars="0" w:right="44" w:rightChars="0"/>
              <w:jc w:val="center"/>
              <w:rPr>
                <w:color w:val="auto"/>
                <w:sz w:val="21"/>
              </w:rPr>
            </w:pPr>
            <w:r>
              <w:rPr>
                <w:color w:val="auto"/>
                <w:sz w:val="21"/>
              </w:rPr>
              <w:t>铂金属催化剂</w:t>
            </w:r>
          </w:p>
        </w:tc>
        <w:tc>
          <w:tcPr>
            <w:tcW w:w="664" w:type="dxa"/>
            <w:vAlign w:val="top"/>
          </w:tcPr>
          <w:p>
            <w:pPr>
              <w:pStyle w:val="51"/>
              <w:spacing w:before="3"/>
              <w:rPr>
                <w:rFonts w:ascii="Times New Roman"/>
                <w:color w:val="auto"/>
                <w:sz w:val="16"/>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6"/>
              <w:rPr>
                <w:rFonts w:ascii="Times New Roman"/>
                <w:color w:val="auto"/>
                <w:sz w:val="17"/>
              </w:rPr>
            </w:pPr>
          </w:p>
          <w:p>
            <w:pPr>
              <w:pStyle w:val="51"/>
              <w:ind w:left="7" w:leftChars="0"/>
              <w:jc w:val="center"/>
              <w:rPr>
                <w:rFonts w:ascii="Times New Roman"/>
                <w:color w:val="auto"/>
                <w:sz w:val="21"/>
              </w:rPr>
            </w:pPr>
            <w:r>
              <w:rPr>
                <w:rFonts w:ascii="Times New Roman"/>
                <w:color w:val="auto"/>
                <w:w w:val="99"/>
                <w:sz w:val="21"/>
              </w:rPr>
              <w:t>8</w:t>
            </w:r>
          </w:p>
        </w:tc>
        <w:tc>
          <w:tcPr>
            <w:tcW w:w="1107" w:type="dxa"/>
            <w:vAlign w:val="top"/>
          </w:tcPr>
          <w:p>
            <w:pPr>
              <w:pStyle w:val="51"/>
              <w:spacing w:before="3"/>
              <w:rPr>
                <w:rFonts w:ascii="Times New Roman"/>
                <w:color w:val="auto"/>
                <w:sz w:val="16"/>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4"/>
              <w:rPr>
                <w:rFonts w:ascii="Times New Roman"/>
                <w:color w:val="auto"/>
                <w:sz w:val="17"/>
              </w:rPr>
            </w:pPr>
          </w:p>
          <w:p>
            <w:pPr>
              <w:pStyle w:val="51"/>
              <w:spacing w:before="1"/>
              <w:ind w:left="89" w:leftChars="0" w:right="81" w:rightChars="0"/>
              <w:jc w:val="center"/>
              <w:rPr>
                <w:rFonts w:ascii="Times New Roman"/>
                <w:color w:val="auto"/>
                <w:sz w:val="21"/>
              </w:rPr>
            </w:pPr>
            <w:r>
              <w:rPr>
                <w:rFonts w:ascii="Times New Roman"/>
                <w:color w:val="auto"/>
                <w:sz w:val="21"/>
              </w:rPr>
              <w:t>92</w:t>
            </w:r>
          </w:p>
        </w:tc>
        <w:tc>
          <w:tcPr>
            <w:tcW w:w="2683" w:type="dxa"/>
            <w:vAlign w:val="top"/>
          </w:tcPr>
          <w:p>
            <w:pPr>
              <w:pStyle w:val="51"/>
              <w:spacing w:before="186"/>
              <w:ind w:left="28" w:leftChars="0" w:right="19" w:rightChars="0"/>
              <w:jc w:val="center"/>
              <w:rPr>
                <w:color w:val="auto"/>
                <w:sz w:val="21"/>
              </w:rPr>
            </w:pPr>
            <w:r>
              <w:rPr>
                <w:rFonts w:ascii="Times New Roman" w:eastAsia="Times New Roman"/>
                <w:color w:val="auto"/>
                <w:sz w:val="21"/>
              </w:rPr>
              <w:t xml:space="preserve">DBTDL </w:t>
            </w:r>
            <w:r>
              <w:rPr>
                <w:color w:val="auto"/>
                <w:sz w:val="21"/>
              </w:rPr>
              <w:t>催化剂</w:t>
            </w:r>
          </w:p>
        </w:tc>
        <w:tc>
          <w:tcPr>
            <w:tcW w:w="2765" w:type="dxa"/>
            <w:vAlign w:val="top"/>
          </w:tcPr>
          <w:p>
            <w:pPr>
              <w:pStyle w:val="51"/>
              <w:spacing w:before="186"/>
              <w:ind w:left="52" w:leftChars="0" w:right="44" w:rightChars="0"/>
              <w:jc w:val="center"/>
              <w:rPr>
                <w:color w:val="auto"/>
                <w:sz w:val="21"/>
              </w:rPr>
            </w:pPr>
            <w:r>
              <w:rPr>
                <w:rFonts w:ascii="Times New Roman" w:eastAsia="Times New Roman"/>
                <w:color w:val="auto"/>
                <w:sz w:val="21"/>
              </w:rPr>
              <w:t xml:space="preserve">DBTDL </w:t>
            </w:r>
            <w:r>
              <w:rPr>
                <w:color w:val="auto"/>
                <w:sz w:val="21"/>
              </w:rPr>
              <w:t>催化剂</w:t>
            </w:r>
          </w:p>
        </w:tc>
        <w:tc>
          <w:tcPr>
            <w:tcW w:w="664" w:type="dxa"/>
            <w:vAlign w:val="top"/>
          </w:tcPr>
          <w:p>
            <w:pPr>
              <w:pStyle w:val="51"/>
              <w:spacing w:before="2"/>
              <w:rPr>
                <w:rFonts w:ascii="Times New Roman"/>
                <w:color w:val="auto"/>
                <w:sz w:val="16"/>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4"/>
              <w:rPr>
                <w:rFonts w:ascii="Times New Roman"/>
                <w:color w:val="auto"/>
                <w:sz w:val="17"/>
              </w:rPr>
            </w:pPr>
          </w:p>
          <w:p>
            <w:pPr>
              <w:pStyle w:val="51"/>
              <w:spacing w:before="1"/>
              <w:ind w:left="94" w:leftChars="0" w:right="87" w:rightChars="0"/>
              <w:jc w:val="center"/>
              <w:rPr>
                <w:rFonts w:ascii="Times New Roman"/>
                <w:color w:val="auto"/>
                <w:sz w:val="21"/>
              </w:rPr>
            </w:pPr>
            <w:r>
              <w:rPr>
                <w:rFonts w:ascii="Times New Roman"/>
                <w:color w:val="auto"/>
                <w:sz w:val="21"/>
              </w:rPr>
              <w:t>0.08</w:t>
            </w:r>
          </w:p>
        </w:tc>
        <w:tc>
          <w:tcPr>
            <w:tcW w:w="1107" w:type="dxa"/>
            <w:vAlign w:val="top"/>
          </w:tcPr>
          <w:p>
            <w:pPr>
              <w:pStyle w:val="51"/>
              <w:spacing w:before="2"/>
              <w:rPr>
                <w:rFonts w:ascii="Times New Roman"/>
                <w:color w:val="auto"/>
                <w:sz w:val="16"/>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6"/>
              <w:rPr>
                <w:rFonts w:ascii="Times New Roman"/>
                <w:color w:val="auto"/>
                <w:sz w:val="17"/>
              </w:rPr>
            </w:pPr>
          </w:p>
          <w:p>
            <w:pPr>
              <w:pStyle w:val="51"/>
              <w:ind w:left="89" w:leftChars="0" w:right="81" w:rightChars="0"/>
              <w:jc w:val="center"/>
              <w:rPr>
                <w:rFonts w:ascii="Times New Roman"/>
                <w:color w:val="auto"/>
                <w:sz w:val="21"/>
              </w:rPr>
            </w:pPr>
            <w:r>
              <w:rPr>
                <w:rFonts w:ascii="Times New Roman"/>
                <w:color w:val="auto"/>
                <w:sz w:val="21"/>
              </w:rPr>
              <w:t>93</w:t>
            </w:r>
          </w:p>
        </w:tc>
        <w:tc>
          <w:tcPr>
            <w:tcW w:w="2683" w:type="dxa"/>
            <w:vAlign w:val="top"/>
          </w:tcPr>
          <w:p>
            <w:pPr>
              <w:pStyle w:val="51"/>
              <w:spacing w:before="3"/>
              <w:rPr>
                <w:rFonts w:ascii="Times New Roman"/>
                <w:color w:val="auto"/>
                <w:sz w:val="16"/>
              </w:rPr>
            </w:pPr>
          </w:p>
          <w:p>
            <w:pPr>
              <w:pStyle w:val="51"/>
              <w:ind w:left="25" w:leftChars="0" w:right="19" w:rightChars="0"/>
              <w:jc w:val="center"/>
              <w:rPr>
                <w:color w:val="auto"/>
                <w:sz w:val="21"/>
              </w:rPr>
            </w:pPr>
            <w:r>
              <w:rPr>
                <w:color w:val="auto"/>
                <w:sz w:val="21"/>
              </w:rPr>
              <w:t>硼化合物催化剂</w:t>
            </w:r>
          </w:p>
        </w:tc>
        <w:tc>
          <w:tcPr>
            <w:tcW w:w="2765" w:type="dxa"/>
            <w:vAlign w:val="top"/>
          </w:tcPr>
          <w:p>
            <w:pPr>
              <w:pStyle w:val="51"/>
              <w:spacing w:before="3"/>
              <w:rPr>
                <w:rFonts w:ascii="Times New Roman"/>
                <w:color w:val="auto"/>
                <w:sz w:val="16"/>
              </w:rPr>
            </w:pPr>
          </w:p>
          <w:p>
            <w:pPr>
              <w:pStyle w:val="51"/>
              <w:ind w:left="50" w:leftChars="0" w:right="44" w:rightChars="0"/>
              <w:jc w:val="center"/>
              <w:rPr>
                <w:color w:val="auto"/>
                <w:sz w:val="21"/>
              </w:rPr>
            </w:pPr>
            <w:r>
              <w:rPr>
                <w:color w:val="auto"/>
                <w:sz w:val="21"/>
              </w:rPr>
              <w:t>硼化合物催化剂</w:t>
            </w:r>
          </w:p>
        </w:tc>
        <w:tc>
          <w:tcPr>
            <w:tcW w:w="664" w:type="dxa"/>
            <w:vAlign w:val="top"/>
          </w:tcPr>
          <w:p>
            <w:pPr>
              <w:pStyle w:val="51"/>
              <w:spacing w:before="3"/>
              <w:rPr>
                <w:rFonts w:ascii="Times New Roman"/>
                <w:color w:val="auto"/>
                <w:sz w:val="16"/>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6"/>
              <w:rPr>
                <w:rFonts w:ascii="Times New Roman"/>
                <w:color w:val="auto"/>
                <w:sz w:val="17"/>
              </w:rPr>
            </w:pPr>
          </w:p>
          <w:p>
            <w:pPr>
              <w:pStyle w:val="51"/>
              <w:ind w:left="7" w:leftChars="0"/>
              <w:jc w:val="center"/>
              <w:rPr>
                <w:rFonts w:ascii="Times New Roman"/>
                <w:color w:val="auto"/>
                <w:sz w:val="21"/>
              </w:rPr>
            </w:pPr>
            <w:r>
              <w:rPr>
                <w:rFonts w:ascii="Times New Roman"/>
                <w:color w:val="auto"/>
                <w:w w:val="99"/>
                <w:sz w:val="21"/>
              </w:rPr>
              <w:t>2</w:t>
            </w:r>
          </w:p>
        </w:tc>
        <w:tc>
          <w:tcPr>
            <w:tcW w:w="1107" w:type="dxa"/>
            <w:vAlign w:val="top"/>
          </w:tcPr>
          <w:p>
            <w:pPr>
              <w:pStyle w:val="51"/>
              <w:spacing w:before="3"/>
              <w:rPr>
                <w:rFonts w:ascii="Times New Roman"/>
                <w:color w:val="auto"/>
                <w:sz w:val="16"/>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2"/>
              <w:ind w:left="89" w:leftChars="0" w:right="81" w:rightChars="0"/>
              <w:jc w:val="center"/>
              <w:rPr>
                <w:rFonts w:ascii="Times New Roman"/>
                <w:color w:val="auto"/>
                <w:sz w:val="21"/>
              </w:rPr>
            </w:pPr>
            <w:r>
              <w:rPr>
                <w:rFonts w:ascii="Times New Roman"/>
                <w:color w:val="auto"/>
                <w:sz w:val="21"/>
              </w:rPr>
              <w:t>94</w:t>
            </w:r>
          </w:p>
        </w:tc>
        <w:tc>
          <w:tcPr>
            <w:tcW w:w="2683" w:type="dxa"/>
            <w:vAlign w:val="top"/>
          </w:tcPr>
          <w:p>
            <w:pPr>
              <w:pStyle w:val="51"/>
              <w:spacing w:before="88"/>
              <w:ind w:left="25" w:leftChars="0" w:right="19" w:rightChars="0"/>
              <w:jc w:val="center"/>
              <w:rPr>
                <w:color w:val="auto"/>
                <w:sz w:val="21"/>
              </w:rPr>
            </w:pPr>
            <w:r>
              <w:rPr>
                <w:color w:val="auto"/>
                <w:sz w:val="21"/>
              </w:rPr>
              <w:t>其他特种单体</w:t>
            </w:r>
          </w:p>
        </w:tc>
        <w:tc>
          <w:tcPr>
            <w:tcW w:w="2765" w:type="dxa"/>
            <w:vAlign w:val="top"/>
          </w:tcPr>
          <w:p>
            <w:pPr>
              <w:pStyle w:val="51"/>
              <w:spacing w:before="102"/>
              <w:ind w:left="8" w:leftChars="0"/>
              <w:jc w:val="center"/>
              <w:rPr>
                <w:color w:val="auto"/>
                <w:sz w:val="21"/>
              </w:rPr>
            </w:pPr>
            <w:r>
              <w:rPr>
                <w:rFonts w:ascii="Times New Roman"/>
                <w:color w:val="auto"/>
                <w:w w:val="99"/>
                <w:sz w:val="21"/>
              </w:rPr>
              <w:t>-</w:t>
            </w:r>
          </w:p>
        </w:tc>
        <w:tc>
          <w:tcPr>
            <w:tcW w:w="664" w:type="dxa"/>
            <w:vAlign w:val="top"/>
          </w:tcPr>
          <w:p>
            <w:pPr>
              <w:pStyle w:val="51"/>
              <w:spacing w:before="88"/>
              <w:ind w:left="9" w:leftChars="0"/>
              <w:jc w:val="center"/>
              <w:rPr>
                <w:color w:val="auto"/>
                <w:w w:val="99"/>
                <w:sz w:val="21"/>
              </w:rPr>
            </w:pPr>
            <w:r>
              <w:rPr>
                <w:color w:val="auto"/>
                <w:w w:val="99"/>
                <w:sz w:val="21"/>
              </w:rPr>
              <w:t>吨</w:t>
            </w:r>
          </w:p>
        </w:tc>
        <w:tc>
          <w:tcPr>
            <w:tcW w:w="1063" w:type="dxa"/>
            <w:vAlign w:val="top"/>
          </w:tcPr>
          <w:p>
            <w:pPr>
              <w:pStyle w:val="51"/>
              <w:spacing w:before="102"/>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88"/>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95</w:t>
            </w:r>
          </w:p>
        </w:tc>
        <w:tc>
          <w:tcPr>
            <w:tcW w:w="2683" w:type="dxa"/>
            <w:vAlign w:val="top"/>
          </w:tcPr>
          <w:p>
            <w:pPr>
              <w:pStyle w:val="51"/>
              <w:spacing w:before="87"/>
              <w:ind w:left="25" w:leftChars="0" w:right="19" w:rightChars="0"/>
              <w:jc w:val="center"/>
              <w:rPr>
                <w:color w:val="auto"/>
                <w:sz w:val="21"/>
              </w:rPr>
            </w:pPr>
            <w:r>
              <w:rPr>
                <w:color w:val="auto"/>
                <w:sz w:val="21"/>
              </w:rPr>
              <w:t>其他特种树脂</w:t>
            </w:r>
          </w:p>
        </w:tc>
        <w:tc>
          <w:tcPr>
            <w:tcW w:w="2765" w:type="dxa"/>
            <w:vAlign w:val="top"/>
          </w:tcPr>
          <w:p>
            <w:pPr>
              <w:pStyle w:val="51"/>
              <w:spacing w:before="101"/>
              <w:ind w:left="8" w:leftChars="0"/>
              <w:jc w:val="center"/>
              <w:rPr>
                <w:color w:val="auto"/>
                <w:sz w:val="21"/>
              </w:rPr>
            </w:pPr>
            <w:r>
              <w:rPr>
                <w:rFonts w:ascii="Times New Roman"/>
                <w:color w:val="auto"/>
                <w:w w:val="99"/>
                <w:sz w:val="21"/>
              </w:rPr>
              <w:t>-</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1"/>
              <w:ind w:left="89" w:leftChars="0" w:right="81" w:rightChars="0"/>
              <w:jc w:val="center"/>
              <w:rPr>
                <w:rFonts w:ascii="Times New Roman"/>
                <w:color w:val="auto"/>
                <w:sz w:val="21"/>
              </w:rPr>
            </w:pPr>
            <w:r>
              <w:rPr>
                <w:rFonts w:ascii="Times New Roman"/>
                <w:color w:val="auto"/>
                <w:sz w:val="21"/>
              </w:rPr>
              <w:t>96</w:t>
            </w:r>
          </w:p>
        </w:tc>
        <w:tc>
          <w:tcPr>
            <w:tcW w:w="2683" w:type="dxa"/>
            <w:vAlign w:val="top"/>
          </w:tcPr>
          <w:p>
            <w:pPr>
              <w:pStyle w:val="51"/>
              <w:spacing w:before="87"/>
              <w:ind w:left="28" w:leftChars="0" w:right="19" w:rightChars="0"/>
              <w:jc w:val="center"/>
              <w:rPr>
                <w:color w:val="auto"/>
                <w:sz w:val="21"/>
              </w:rPr>
            </w:pPr>
            <w:r>
              <w:rPr>
                <w:color w:val="auto"/>
                <w:sz w:val="21"/>
              </w:rPr>
              <w:t>硅烷以及硅烷偶联剂</w:t>
            </w:r>
          </w:p>
        </w:tc>
        <w:tc>
          <w:tcPr>
            <w:tcW w:w="2765" w:type="dxa"/>
            <w:vAlign w:val="top"/>
          </w:tcPr>
          <w:p>
            <w:pPr>
              <w:pStyle w:val="51"/>
              <w:spacing w:before="101"/>
              <w:ind w:left="8" w:leftChars="0"/>
              <w:jc w:val="center"/>
              <w:rPr>
                <w:color w:val="auto"/>
                <w:sz w:val="21"/>
              </w:rPr>
            </w:pPr>
            <w:r>
              <w:rPr>
                <w:rFonts w:ascii="Times New Roman"/>
                <w:color w:val="auto"/>
                <w:w w:val="99"/>
                <w:sz w:val="21"/>
              </w:rPr>
              <w:t>-</w:t>
            </w:r>
          </w:p>
        </w:tc>
        <w:tc>
          <w:tcPr>
            <w:tcW w:w="664" w:type="dxa"/>
            <w:vAlign w:val="top"/>
          </w:tcPr>
          <w:p>
            <w:pPr>
              <w:pStyle w:val="51"/>
              <w:spacing w:before="87"/>
              <w:ind w:left="9" w:leftChars="0"/>
              <w:jc w:val="center"/>
              <w:rPr>
                <w:color w:val="auto"/>
                <w:w w:val="99"/>
                <w:sz w:val="21"/>
              </w:rPr>
            </w:pPr>
            <w:r>
              <w:rPr>
                <w:color w:val="auto"/>
                <w:w w:val="99"/>
                <w:sz w:val="21"/>
              </w:rPr>
              <w:t>吨</w:t>
            </w:r>
          </w:p>
        </w:tc>
        <w:tc>
          <w:tcPr>
            <w:tcW w:w="1063" w:type="dxa"/>
            <w:vAlign w:val="top"/>
          </w:tcPr>
          <w:p>
            <w:pPr>
              <w:pStyle w:val="51"/>
              <w:spacing w:before="101"/>
              <w:ind w:left="7" w:leftChars="0"/>
              <w:jc w:val="center"/>
              <w:rPr>
                <w:rFonts w:ascii="Times New Roman"/>
                <w:color w:val="auto"/>
                <w:sz w:val="21"/>
              </w:rPr>
            </w:pPr>
            <w:r>
              <w:rPr>
                <w:rFonts w:ascii="Times New Roman"/>
                <w:color w:val="auto"/>
                <w:w w:val="99"/>
                <w:sz w:val="21"/>
              </w:rPr>
              <w:t>3</w:t>
            </w:r>
          </w:p>
        </w:tc>
        <w:tc>
          <w:tcPr>
            <w:tcW w:w="1107" w:type="dxa"/>
            <w:vAlign w:val="top"/>
          </w:tcPr>
          <w:p>
            <w:pPr>
              <w:pStyle w:val="51"/>
              <w:spacing w:before="87"/>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97</w:t>
            </w:r>
          </w:p>
        </w:tc>
        <w:tc>
          <w:tcPr>
            <w:tcW w:w="2683" w:type="dxa"/>
            <w:vAlign w:val="top"/>
          </w:tcPr>
          <w:p>
            <w:pPr>
              <w:pStyle w:val="51"/>
              <w:spacing w:before="86"/>
              <w:ind w:left="25" w:leftChars="0" w:right="19" w:rightChars="0"/>
              <w:jc w:val="center"/>
              <w:rPr>
                <w:color w:val="auto"/>
                <w:sz w:val="21"/>
              </w:rPr>
            </w:pPr>
            <w:r>
              <w:rPr>
                <w:color w:val="auto"/>
                <w:sz w:val="21"/>
              </w:rPr>
              <w:t>其他特种添加剂</w:t>
            </w:r>
          </w:p>
        </w:tc>
        <w:tc>
          <w:tcPr>
            <w:tcW w:w="2765" w:type="dxa"/>
            <w:vAlign w:val="top"/>
          </w:tcPr>
          <w:p>
            <w:pPr>
              <w:pStyle w:val="51"/>
              <w:spacing w:before="100"/>
              <w:ind w:left="8" w:leftChars="0"/>
              <w:jc w:val="center"/>
              <w:rPr>
                <w:color w:val="auto"/>
                <w:sz w:val="21"/>
              </w:rPr>
            </w:pPr>
            <w:r>
              <w:rPr>
                <w:rFonts w:ascii="Times New Roman"/>
                <w:color w:val="auto"/>
                <w:w w:val="99"/>
                <w:sz w:val="21"/>
              </w:rPr>
              <w:t>-</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7" w:leftChars="0"/>
              <w:jc w:val="center"/>
              <w:rPr>
                <w:rFonts w:ascii="Times New Roman"/>
                <w:color w:val="auto"/>
                <w:sz w:val="21"/>
              </w:rPr>
            </w:pPr>
            <w:r>
              <w:rPr>
                <w:rFonts w:ascii="Times New Roman"/>
                <w:color w:val="auto"/>
                <w:w w:val="99"/>
                <w:sz w:val="21"/>
              </w:rPr>
              <w:t>1</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96"/>
              <w:ind w:left="89" w:leftChars="0" w:right="81" w:rightChars="0"/>
              <w:jc w:val="center"/>
              <w:rPr>
                <w:rFonts w:ascii="Times New Roman"/>
                <w:color w:val="auto"/>
                <w:sz w:val="21"/>
              </w:rPr>
            </w:pPr>
            <w:r>
              <w:rPr>
                <w:rFonts w:ascii="Times New Roman"/>
                <w:color w:val="auto"/>
                <w:sz w:val="21"/>
              </w:rPr>
              <w:t>98</w:t>
            </w:r>
          </w:p>
        </w:tc>
        <w:tc>
          <w:tcPr>
            <w:tcW w:w="2683" w:type="dxa"/>
            <w:vAlign w:val="top"/>
          </w:tcPr>
          <w:p>
            <w:pPr>
              <w:pStyle w:val="51"/>
              <w:spacing w:before="26"/>
              <w:ind w:left="25" w:right="19"/>
              <w:jc w:val="center"/>
              <w:rPr>
                <w:color w:val="auto"/>
                <w:sz w:val="21"/>
              </w:rPr>
            </w:pPr>
            <w:r>
              <w:rPr>
                <w:color w:val="auto"/>
                <w:sz w:val="21"/>
              </w:rPr>
              <w:t>环氧类缩水甘油醚类树脂</w:t>
            </w:r>
          </w:p>
          <w:p>
            <w:pPr>
              <w:pStyle w:val="51"/>
              <w:spacing w:before="43"/>
              <w:ind w:left="25" w:leftChars="0" w:right="19" w:rightChars="0"/>
              <w:jc w:val="center"/>
              <w:rPr>
                <w:color w:val="auto"/>
                <w:sz w:val="21"/>
              </w:rPr>
            </w:pPr>
            <w:r>
              <w:rPr>
                <w:color w:val="auto"/>
                <w:sz w:val="21"/>
              </w:rPr>
              <w:t>稀释剂</w:t>
            </w:r>
          </w:p>
        </w:tc>
        <w:tc>
          <w:tcPr>
            <w:tcW w:w="2765" w:type="dxa"/>
            <w:vAlign w:val="top"/>
          </w:tcPr>
          <w:p>
            <w:pPr>
              <w:pStyle w:val="51"/>
              <w:spacing w:before="182"/>
              <w:ind w:left="50" w:leftChars="0" w:right="44" w:rightChars="0"/>
              <w:jc w:val="center"/>
              <w:rPr>
                <w:color w:val="auto"/>
                <w:sz w:val="21"/>
              </w:rPr>
            </w:pPr>
            <w:r>
              <w:rPr>
                <w:rFonts w:ascii="Times New Roman" w:eastAsia="Times New Roman"/>
                <w:color w:val="auto"/>
                <w:sz w:val="21"/>
              </w:rPr>
              <w:t>AGE</w:t>
            </w:r>
            <w:r>
              <w:rPr>
                <w:color w:val="auto"/>
                <w:sz w:val="21"/>
              </w:rPr>
              <w:t>、混合烷基缩水甘油醚</w:t>
            </w:r>
          </w:p>
        </w:tc>
        <w:tc>
          <w:tcPr>
            <w:tcW w:w="664" w:type="dxa"/>
            <w:vAlign w:val="top"/>
          </w:tcPr>
          <w:p>
            <w:pPr>
              <w:pStyle w:val="51"/>
              <w:spacing w:before="9"/>
              <w:rPr>
                <w:rFonts w:ascii="Times New Roman"/>
                <w:color w:val="auto"/>
                <w:sz w:val="15"/>
              </w:rPr>
            </w:pPr>
          </w:p>
          <w:p>
            <w:pPr>
              <w:pStyle w:val="51"/>
              <w:spacing w:before="1"/>
              <w:ind w:left="9" w:leftChars="0"/>
              <w:jc w:val="center"/>
              <w:rPr>
                <w:color w:val="auto"/>
                <w:w w:val="99"/>
                <w:sz w:val="21"/>
              </w:rPr>
            </w:pPr>
            <w:r>
              <w:rPr>
                <w:color w:val="auto"/>
                <w:w w:val="99"/>
                <w:sz w:val="21"/>
              </w:rPr>
              <w:t>吨</w:t>
            </w:r>
          </w:p>
        </w:tc>
        <w:tc>
          <w:tcPr>
            <w:tcW w:w="1063" w:type="dxa"/>
            <w:vAlign w:val="top"/>
          </w:tcPr>
          <w:p>
            <w:pPr>
              <w:pStyle w:val="51"/>
              <w:spacing w:before="196"/>
              <w:ind w:left="94" w:leftChars="0" w:right="87" w:rightChars="0"/>
              <w:jc w:val="center"/>
              <w:rPr>
                <w:rFonts w:ascii="Times New Roman"/>
                <w:color w:val="auto"/>
                <w:sz w:val="21"/>
              </w:rPr>
            </w:pPr>
            <w:r>
              <w:rPr>
                <w:rFonts w:ascii="Times New Roman"/>
                <w:color w:val="auto"/>
                <w:sz w:val="21"/>
              </w:rPr>
              <w:t>100</w:t>
            </w:r>
          </w:p>
        </w:tc>
        <w:tc>
          <w:tcPr>
            <w:tcW w:w="1107" w:type="dxa"/>
            <w:vAlign w:val="top"/>
          </w:tcPr>
          <w:p>
            <w:pPr>
              <w:pStyle w:val="51"/>
              <w:spacing w:before="9"/>
              <w:rPr>
                <w:rFonts w:ascii="Times New Roman"/>
                <w:color w:val="auto"/>
                <w:sz w:val="15"/>
              </w:rPr>
            </w:pPr>
          </w:p>
          <w:p>
            <w:pPr>
              <w:pStyle w:val="51"/>
              <w:spacing w:before="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2"/>
              <w:rPr>
                <w:rFonts w:ascii="Times New Roman"/>
                <w:color w:val="auto"/>
                <w:sz w:val="18"/>
              </w:rPr>
            </w:pPr>
          </w:p>
          <w:p>
            <w:pPr>
              <w:pStyle w:val="51"/>
              <w:spacing w:before="1"/>
              <w:ind w:left="89" w:leftChars="0" w:right="81" w:rightChars="0"/>
              <w:jc w:val="center"/>
              <w:rPr>
                <w:rFonts w:ascii="Times New Roman"/>
                <w:color w:val="auto"/>
                <w:sz w:val="21"/>
              </w:rPr>
            </w:pPr>
            <w:r>
              <w:rPr>
                <w:rFonts w:ascii="Times New Roman"/>
                <w:color w:val="auto"/>
                <w:sz w:val="21"/>
              </w:rPr>
              <w:t>99</w:t>
            </w:r>
          </w:p>
        </w:tc>
        <w:tc>
          <w:tcPr>
            <w:tcW w:w="2683" w:type="dxa"/>
            <w:vAlign w:val="top"/>
          </w:tcPr>
          <w:p>
            <w:pPr>
              <w:pStyle w:val="51"/>
              <w:spacing w:line="312" w:lineRule="exact"/>
              <w:ind w:left="312" w:leftChars="0" w:right="53" w:rightChars="0" w:hanging="204" w:firstLineChars="0"/>
              <w:rPr>
                <w:color w:val="auto"/>
                <w:sz w:val="21"/>
              </w:rPr>
            </w:pPr>
            <w:r>
              <w:rPr>
                <w:color w:val="auto"/>
                <w:sz w:val="21"/>
              </w:rPr>
              <w:t>合成蜡类（聚乙烯蜡、聚丙烯蜡、聚四氟乙烯蜡）</w:t>
            </w:r>
          </w:p>
        </w:tc>
        <w:tc>
          <w:tcPr>
            <w:tcW w:w="2765" w:type="dxa"/>
            <w:vAlign w:val="top"/>
          </w:tcPr>
          <w:p>
            <w:pPr>
              <w:pStyle w:val="51"/>
              <w:spacing w:before="2"/>
              <w:rPr>
                <w:rFonts w:ascii="Times New Roman"/>
                <w:color w:val="auto"/>
                <w:sz w:val="18"/>
              </w:rPr>
            </w:pPr>
          </w:p>
          <w:p>
            <w:pPr>
              <w:pStyle w:val="51"/>
              <w:spacing w:before="1"/>
              <w:ind w:left="8" w:leftChars="0"/>
              <w:jc w:val="center"/>
              <w:rPr>
                <w:color w:val="auto"/>
                <w:sz w:val="21"/>
              </w:rPr>
            </w:pPr>
            <w:r>
              <w:rPr>
                <w:rFonts w:ascii="Times New Roman"/>
                <w:color w:val="auto"/>
                <w:w w:val="99"/>
                <w:sz w:val="21"/>
              </w:rPr>
              <w:t>-</w:t>
            </w:r>
          </w:p>
        </w:tc>
        <w:tc>
          <w:tcPr>
            <w:tcW w:w="664" w:type="dxa"/>
            <w:vAlign w:val="top"/>
          </w:tcPr>
          <w:p>
            <w:pPr>
              <w:pStyle w:val="51"/>
              <w:rPr>
                <w:rFonts w:ascii="Times New Roman"/>
                <w:color w:val="auto"/>
                <w:sz w:val="17"/>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2"/>
              <w:rPr>
                <w:rFonts w:ascii="Times New Roman"/>
                <w:color w:val="auto"/>
                <w:sz w:val="18"/>
              </w:rPr>
            </w:pPr>
          </w:p>
          <w:p>
            <w:pPr>
              <w:pStyle w:val="51"/>
              <w:spacing w:before="1"/>
              <w:ind w:left="97" w:leftChars="0" w:right="87" w:rightChars="0"/>
              <w:jc w:val="center"/>
              <w:rPr>
                <w:rFonts w:ascii="Times New Roman"/>
                <w:color w:val="auto"/>
                <w:sz w:val="21"/>
              </w:rPr>
            </w:pPr>
            <w:r>
              <w:rPr>
                <w:rFonts w:ascii="Times New Roman"/>
                <w:color w:val="auto"/>
                <w:sz w:val="21"/>
              </w:rPr>
              <w:t>1200</w:t>
            </w:r>
          </w:p>
        </w:tc>
        <w:tc>
          <w:tcPr>
            <w:tcW w:w="1107" w:type="dxa"/>
            <w:vAlign w:val="top"/>
          </w:tcPr>
          <w:p>
            <w:pPr>
              <w:pStyle w:val="51"/>
              <w:rPr>
                <w:rFonts w:ascii="Times New Roman"/>
                <w:color w:val="auto"/>
                <w:sz w:val="17"/>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96"/>
              <w:ind w:left="89" w:leftChars="0" w:right="81" w:rightChars="0"/>
              <w:jc w:val="center"/>
              <w:rPr>
                <w:rFonts w:ascii="Times New Roman"/>
                <w:color w:val="auto"/>
                <w:sz w:val="21"/>
              </w:rPr>
            </w:pPr>
            <w:r>
              <w:rPr>
                <w:rFonts w:ascii="Times New Roman"/>
                <w:color w:val="auto"/>
                <w:sz w:val="21"/>
              </w:rPr>
              <w:t>100</w:t>
            </w:r>
          </w:p>
        </w:tc>
        <w:tc>
          <w:tcPr>
            <w:tcW w:w="2683" w:type="dxa"/>
            <w:vAlign w:val="top"/>
          </w:tcPr>
          <w:p>
            <w:pPr>
              <w:pStyle w:val="51"/>
              <w:spacing w:before="21"/>
              <w:ind w:left="108"/>
              <w:rPr>
                <w:color w:val="auto"/>
                <w:sz w:val="21"/>
              </w:rPr>
            </w:pPr>
            <w:r>
              <w:rPr>
                <w:color w:val="auto"/>
                <w:spacing w:val="-2"/>
                <w:w w:val="95"/>
                <w:sz w:val="21"/>
              </w:rPr>
              <w:t>功能性填料、矿物粉体、气</w:t>
            </w:r>
          </w:p>
          <w:p>
            <w:pPr>
              <w:pStyle w:val="51"/>
              <w:spacing w:before="43"/>
              <w:ind w:left="108" w:leftChars="0"/>
              <w:rPr>
                <w:color w:val="auto"/>
                <w:sz w:val="21"/>
              </w:rPr>
            </w:pPr>
            <w:r>
              <w:rPr>
                <w:color w:val="auto"/>
                <w:spacing w:val="-2"/>
                <w:w w:val="95"/>
                <w:sz w:val="21"/>
              </w:rPr>
              <w:t>相二氧化硅、高岭土、硅藻</w:t>
            </w:r>
          </w:p>
        </w:tc>
        <w:tc>
          <w:tcPr>
            <w:tcW w:w="2765" w:type="dxa"/>
            <w:vAlign w:val="top"/>
          </w:tcPr>
          <w:p>
            <w:pPr>
              <w:pStyle w:val="51"/>
              <w:spacing w:before="196"/>
              <w:ind w:left="8" w:leftChars="0"/>
              <w:jc w:val="center"/>
              <w:rPr>
                <w:color w:val="auto"/>
                <w:sz w:val="21"/>
              </w:rPr>
            </w:pPr>
            <w:r>
              <w:rPr>
                <w:rFonts w:ascii="Times New Roman"/>
                <w:color w:val="auto"/>
                <w:w w:val="99"/>
                <w:sz w:val="21"/>
              </w:rPr>
              <w:t>-</w:t>
            </w:r>
          </w:p>
        </w:tc>
        <w:tc>
          <w:tcPr>
            <w:tcW w:w="664" w:type="dxa"/>
            <w:vAlign w:val="top"/>
          </w:tcPr>
          <w:p>
            <w:pPr>
              <w:pStyle w:val="51"/>
              <w:spacing w:before="9"/>
              <w:rPr>
                <w:rFonts w:ascii="Times New Roman"/>
                <w:color w:val="auto"/>
                <w:sz w:val="15"/>
              </w:rPr>
            </w:pPr>
          </w:p>
          <w:p>
            <w:pPr>
              <w:pStyle w:val="51"/>
              <w:ind w:left="9" w:leftChars="0"/>
              <w:jc w:val="center"/>
              <w:rPr>
                <w:color w:val="auto"/>
                <w:w w:val="99"/>
                <w:sz w:val="21"/>
              </w:rPr>
            </w:pPr>
            <w:r>
              <w:rPr>
                <w:color w:val="auto"/>
                <w:w w:val="99"/>
                <w:sz w:val="21"/>
              </w:rPr>
              <w:t>吨</w:t>
            </w:r>
          </w:p>
        </w:tc>
        <w:tc>
          <w:tcPr>
            <w:tcW w:w="1063" w:type="dxa"/>
            <w:vAlign w:val="top"/>
          </w:tcPr>
          <w:p>
            <w:pPr>
              <w:pStyle w:val="51"/>
              <w:spacing w:before="196"/>
              <w:ind w:left="94" w:leftChars="0" w:right="87" w:rightChars="0"/>
              <w:jc w:val="center"/>
              <w:rPr>
                <w:rFonts w:ascii="Times New Roman"/>
                <w:color w:val="auto"/>
                <w:sz w:val="21"/>
              </w:rPr>
            </w:pPr>
            <w:r>
              <w:rPr>
                <w:rFonts w:ascii="Times New Roman"/>
                <w:color w:val="auto"/>
                <w:sz w:val="21"/>
              </w:rPr>
              <w:t>400</w:t>
            </w:r>
          </w:p>
        </w:tc>
        <w:tc>
          <w:tcPr>
            <w:tcW w:w="1107" w:type="dxa"/>
            <w:vAlign w:val="top"/>
          </w:tcPr>
          <w:p>
            <w:pPr>
              <w:pStyle w:val="51"/>
              <w:spacing w:before="9"/>
              <w:rPr>
                <w:rFonts w:ascii="Times New Roman"/>
                <w:color w:val="auto"/>
                <w:sz w:val="15"/>
              </w:rPr>
            </w:pPr>
          </w:p>
          <w:p>
            <w:pPr>
              <w:pStyle w:val="51"/>
              <w:ind w:left="118" w:leftChars="0" w:right="111" w:rightChars="0"/>
              <w:jc w:val="center"/>
              <w:rPr>
                <w:color w:val="auto"/>
                <w:sz w:val="21"/>
              </w:rPr>
            </w:pPr>
            <w:r>
              <w:rPr>
                <w:color w:val="auto"/>
                <w:sz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35" w:type="dxa"/>
            <w:vAlign w:val="top"/>
          </w:tcPr>
          <w:p>
            <w:pPr>
              <w:pStyle w:val="51"/>
              <w:spacing w:before="100"/>
              <w:ind w:left="89" w:leftChars="0" w:right="81" w:rightChars="0"/>
              <w:jc w:val="center"/>
              <w:rPr>
                <w:rFonts w:ascii="Times New Roman"/>
                <w:color w:val="auto"/>
                <w:sz w:val="21"/>
              </w:rPr>
            </w:pPr>
            <w:r>
              <w:rPr>
                <w:rFonts w:ascii="Times New Roman"/>
                <w:color w:val="auto"/>
                <w:sz w:val="21"/>
              </w:rPr>
              <w:t>101</w:t>
            </w:r>
          </w:p>
        </w:tc>
        <w:tc>
          <w:tcPr>
            <w:tcW w:w="2683" w:type="dxa"/>
            <w:vAlign w:val="top"/>
          </w:tcPr>
          <w:p>
            <w:pPr>
              <w:pStyle w:val="51"/>
              <w:spacing w:before="86"/>
              <w:ind w:left="28" w:leftChars="0" w:right="19" w:rightChars="0"/>
              <w:jc w:val="center"/>
              <w:rPr>
                <w:color w:val="auto"/>
                <w:sz w:val="21"/>
              </w:rPr>
            </w:pPr>
            <w:r>
              <w:rPr>
                <w:color w:val="auto"/>
                <w:sz w:val="21"/>
              </w:rPr>
              <w:t>颜料和染料</w:t>
            </w:r>
          </w:p>
        </w:tc>
        <w:tc>
          <w:tcPr>
            <w:tcW w:w="2765" w:type="dxa"/>
            <w:vAlign w:val="top"/>
          </w:tcPr>
          <w:p>
            <w:pPr>
              <w:pStyle w:val="51"/>
              <w:spacing w:before="100"/>
              <w:ind w:left="8" w:leftChars="0"/>
              <w:jc w:val="center"/>
              <w:rPr>
                <w:color w:val="auto"/>
                <w:sz w:val="21"/>
              </w:rPr>
            </w:pPr>
            <w:r>
              <w:rPr>
                <w:rFonts w:ascii="Times New Roman"/>
                <w:color w:val="auto"/>
                <w:w w:val="99"/>
                <w:sz w:val="21"/>
              </w:rPr>
              <w:t>-</w:t>
            </w:r>
          </w:p>
        </w:tc>
        <w:tc>
          <w:tcPr>
            <w:tcW w:w="664" w:type="dxa"/>
            <w:vAlign w:val="top"/>
          </w:tcPr>
          <w:p>
            <w:pPr>
              <w:pStyle w:val="51"/>
              <w:spacing w:before="86"/>
              <w:ind w:left="9" w:leftChars="0"/>
              <w:jc w:val="center"/>
              <w:rPr>
                <w:color w:val="auto"/>
                <w:w w:val="99"/>
                <w:sz w:val="21"/>
              </w:rPr>
            </w:pPr>
            <w:r>
              <w:rPr>
                <w:color w:val="auto"/>
                <w:w w:val="99"/>
                <w:sz w:val="21"/>
              </w:rPr>
              <w:t>吨</w:t>
            </w:r>
          </w:p>
        </w:tc>
        <w:tc>
          <w:tcPr>
            <w:tcW w:w="1063" w:type="dxa"/>
            <w:vAlign w:val="top"/>
          </w:tcPr>
          <w:p>
            <w:pPr>
              <w:pStyle w:val="51"/>
              <w:spacing w:before="100"/>
              <w:ind w:left="94" w:leftChars="0" w:right="87" w:rightChars="0"/>
              <w:jc w:val="center"/>
              <w:rPr>
                <w:rFonts w:ascii="Times New Roman"/>
                <w:color w:val="auto"/>
                <w:sz w:val="21"/>
              </w:rPr>
            </w:pPr>
            <w:r>
              <w:rPr>
                <w:rFonts w:ascii="Times New Roman"/>
                <w:color w:val="auto"/>
                <w:sz w:val="21"/>
              </w:rPr>
              <w:t>400</w:t>
            </w:r>
          </w:p>
        </w:tc>
        <w:tc>
          <w:tcPr>
            <w:tcW w:w="1107" w:type="dxa"/>
            <w:vAlign w:val="top"/>
          </w:tcPr>
          <w:p>
            <w:pPr>
              <w:pStyle w:val="51"/>
              <w:spacing w:before="86"/>
              <w:ind w:left="118" w:leftChars="0" w:right="111" w:rightChars="0"/>
              <w:jc w:val="center"/>
              <w:rPr>
                <w:color w:val="auto"/>
                <w:sz w:val="21"/>
              </w:rPr>
            </w:pPr>
            <w:r>
              <w:rPr>
                <w:color w:val="auto"/>
                <w:sz w:val="21"/>
              </w:rPr>
              <w:t>外购</w:t>
            </w:r>
          </w:p>
        </w:tc>
      </w:tr>
    </w:tbl>
    <w:p>
      <w:pPr>
        <w:keepNext/>
        <w:keepLines/>
        <w:pageBreakBefore w:val="0"/>
        <w:widowControl w:val="0"/>
        <w:kinsoku/>
        <w:wordWrap/>
        <w:overflowPunct/>
        <w:topLinePunct w:val="0"/>
        <w:autoSpaceDE/>
        <w:autoSpaceDN/>
        <w:bidi w:val="0"/>
        <w:adjustRightInd/>
        <w:snapToGrid/>
        <w:spacing w:before="0" w:beforeLines="0" w:after="0" w:line="360" w:lineRule="auto"/>
        <w:ind w:firstLine="0" w:firstLineChars="0"/>
        <w:jc w:val="left"/>
        <w:textAlignment w:val="auto"/>
        <w:outlineLvl w:val="9"/>
        <w:rPr>
          <w:rFonts w:hint="eastAsia" w:ascii="宋体" w:hAnsi="宋体" w:eastAsia="宋体" w:cs="宋体"/>
          <w:color w:val="auto"/>
          <w:sz w:val="21"/>
          <w:szCs w:val="21"/>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14" w:name="_Toc306"/>
      <w:bookmarkStart w:id="615" w:name="_Toc28304"/>
      <w:bookmarkStart w:id="616" w:name="_Toc6657"/>
      <w:r>
        <w:rPr>
          <w:rFonts w:hint="eastAsia" w:ascii="宋体" w:hAnsi="宋体" w:eastAsia="宋体" w:cs="宋体"/>
          <w:color w:val="auto"/>
          <w:sz w:val="28"/>
          <w:szCs w:val="28"/>
          <w:lang w:val="en-US" w:eastAsia="zh-CN"/>
        </w:rPr>
        <w:t>F1.4 主要工艺流程</w:t>
      </w:r>
      <w:bookmarkEnd w:id="614"/>
      <w:bookmarkEnd w:id="615"/>
      <w:bookmarkEnd w:id="616"/>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本公司主要产品为聚丙烯酸酯系列功能性聚合物、聚氨酯系列功能性 聚合物、有机硅系列功能性聚合物、其他功能性聚合物（功能涂料）。</w:t>
      </w:r>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（一）聚丙烯酸酯类产品</w:t>
      </w:r>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聚丙烯酸酯类产品公分四大类，即聚丙烯酸酯A 类产品、聚丙烯酸酯B 类产品、聚丙烯酸酯C 类产品、聚丙烯酸酯 D 类产品，均为丙烯酸树脂类产品。</w:t>
      </w:r>
    </w:p>
    <w:p>
      <w:p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聚丙烯酸酯A 类、聚丙烯酸酯 B 类、聚丙烯酸酯 C 类产品聚合反应属于溶液聚合，聚丙烯酸酯D 类产品聚合反应属于乳液聚合</w:t>
      </w:r>
    </w:p>
    <w:p>
      <w:pPr>
        <w:numPr>
          <w:ilvl w:val="0"/>
          <w:numId w:val="0"/>
        </w:num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（1）聚丙烯酸酯 A 类产品生产工艺流程</w:t>
      </w:r>
    </w:p>
    <w:p>
      <w:pPr>
        <w:numPr>
          <w:ilvl w:val="0"/>
          <w:numId w:val="0"/>
        </w:numPr>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聚丙烯酸酯 A 类产品主要由聚合单体、溶剂、引发剂在特定条件下合成。</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4667250" cy="4257675"/>
            <wp:effectExtent l="0" t="0" r="0" b="9525"/>
            <wp:docPr id="9" name="图片 9" descr="162493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4932416(1)"/>
                    <pic:cNvPicPr>
                      <a:picLocks noChangeAspect="1"/>
                    </pic:cNvPicPr>
                  </pic:nvPicPr>
                  <pic:blipFill>
                    <a:blip r:embed="rId11"/>
                    <a:stretch>
                      <a:fillRect/>
                    </a:stretch>
                  </pic:blipFill>
                  <pic:spPr>
                    <a:xfrm>
                      <a:off x="0" y="0"/>
                      <a:ext cx="4667250" cy="4257675"/>
                    </a:xfrm>
                    <a:prstGeom prst="rect">
                      <a:avLst/>
                    </a:prstGeom>
                  </pic:spPr>
                </pic:pic>
              </a:graphicData>
            </a:graphic>
          </wp:inline>
        </w:drawing>
      </w:r>
    </w:p>
    <w:p>
      <w:pPr>
        <w:pStyle w:val="32"/>
        <w:numPr>
          <w:ilvl w:val="0"/>
          <w:numId w:val="0"/>
        </w:numPr>
        <w:ind w:left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（2）聚丙烯酸酯 B 类产品生产工艺流程</w:t>
      </w:r>
    </w:p>
    <w:p>
      <w:pPr>
        <w:pStyle w:val="32"/>
        <w:numPr>
          <w:ilvl w:val="0"/>
          <w:numId w:val="0"/>
        </w:numPr>
        <w:ind w:firstLine="560" w:firstLineChars="200"/>
        <w:rPr>
          <w:rFonts w:hint="eastAsia"/>
          <w:color w:val="auto"/>
          <w:lang w:val="en-US" w:eastAsia="zh-CN"/>
        </w:rPr>
      </w:pPr>
      <w:r>
        <w:rPr>
          <w:rFonts w:hint="eastAsia" w:ascii="宋体" w:hAnsi="宋体" w:cs="宋体"/>
          <w:color w:val="auto"/>
          <w:sz w:val="28"/>
          <w:szCs w:val="28"/>
          <w:lang w:val="en-US" w:eastAsia="zh-CN"/>
        </w:rPr>
        <w:t>聚丙烯酸酯 B 类产品主要由聚合单体、溶剂、引发剂在特定条件下合成。</w:t>
      </w:r>
    </w:p>
    <w:p>
      <w:pPr>
        <w:jc w:val="center"/>
        <w:rPr>
          <w:rFonts w:hint="eastAsia"/>
          <w:color w:val="auto"/>
          <w:lang w:val="en-US" w:eastAsia="zh-CN"/>
        </w:rPr>
      </w:pPr>
      <w:r>
        <w:rPr>
          <w:rFonts w:hint="eastAsia"/>
          <w:color w:val="auto"/>
          <w:lang w:val="en-US" w:eastAsia="zh-CN"/>
        </w:rPr>
        <w:drawing>
          <wp:inline distT="0" distB="0" distL="114300" distR="114300">
            <wp:extent cx="4590415" cy="3372485"/>
            <wp:effectExtent l="0" t="0" r="635" b="18415"/>
            <wp:docPr id="18" name="图片 18" descr="162493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4932492"/>
                    <pic:cNvPicPr>
                      <a:picLocks noChangeAspect="1"/>
                    </pic:cNvPicPr>
                  </pic:nvPicPr>
                  <pic:blipFill>
                    <a:blip r:embed="rId12"/>
                    <a:stretch>
                      <a:fillRect/>
                    </a:stretch>
                  </pic:blipFill>
                  <pic:spPr>
                    <a:xfrm>
                      <a:off x="0" y="0"/>
                      <a:ext cx="4590415" cy="3372485"/>
                    </a:xfrm>
                    <a:prstGeom prst="rect">
                      <a:avLst/>
                    </a:prstGeom>
                  </pic:spPr>
                </pic:pic>
              </a:graphicData>
            </a:graphic>
          </wp:inline>
        </w:drawing>
      </w:r>
    </w:p>
    <w:p>
      <w:pPr>
        <w:rPr>
          <w:rFonts w:hint="eastAsia"/>
          <w:color w:val="auto"/>
          <w:lang w:val="en-US" w:eastAsia="zh-CN"/>
        </w:rPr>
      </w:pPr>
    </w:p>
    <w:p>
      <w:pPr>
        <w:pStyle w:val="32"/>
        <w:rPr>
          <w:rFonts w:hint="eastAsia"/>
          <w:color w:val="auto"/>
          <w:lang w:val="en-US" w:eastAsia="zh-CN"/>
        </w:rPr>
      </w:pPr>
    </w:p>
    <w:p>
      <w:pPr>
        <w:pStyle w:val="32"/>
        <w:numPr>
          <w:ilvl w:val="0"/>
          <w:numId w:val="0"/>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（3）聚丙烯酸酯 C 类产品生产工艺流程</w:t>
      </w:r>
    </w:p>
    <w:p>
      <w:pPr>
        <w:pStyle w:val="32"/>
        <w:numPr>
          <w:ilvl w:val="0"/>
          <w:numId w:val="0"/>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聚丙烯酸酯 C 类产品主要由聚合单体、溶剂、引发剂、催化剂及助剂等在特定条件下合成</w:t>
      </w:r>
    </w:p>
    <w:p>
      <w:pPr>
        <w:rPr>
          <w:rFonts w:hint="eastAsia"/>
          <w:color w:val="auto"/>
          <w:lang w:val="en-US" w:eastAsia="zh-CN"/>
        </w:rPr>
      </w:pPr>
    </w:p>
    <w:p>
      <w:pPr>
        <w:pStyle w:val="32"/>
        <w:rPr>
          <w:rFonts w:hint="eastAsia"/>
          <w:color w:val="auto"/>
          <w:lang w:val="en-US" w:eastAsia="zh-CN"/>
        </w:rPr>
      </w:pPr>
      <w:r>
        <w:rPr>
          <w:rFonts w:hint="eastAsia"/>
          <w:color w:val="auto"/>
          <w:lang w:val="en-US" w:eastAsia="zh-CN"/>
        </w:rPr>
        <w:drawing>
          <wp:inline distT="0" distB="0" distL="114300" distR="114300">
            <wp:extent cx="5102225" cy="5222240"/>
            <wp:effectExtent l="0" t="0" r="3175" b="16510"/>
            <wp:docPr id="24" name="图片 24" descr="162493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4932613(1)"/>
                    <pic:cNvPicPr>
                      <a:picLocks noChangeAspect="1"/>
                    </pic:cNvPicPr>
                  </pic:nvPicPr>
                  <pic:blipFill>
                    <a:blip r:embed="rId13"/>
                    <a:stretch>
                      <a:fillRect/>
                    </a:stretch>
                  </pic:blipFill>
                  <pic:spPr>
                    <a:xfrm>
                      <a:off x="0" y="0"/>
                      <a:ext cx="5102225" cy="5222240"/>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（4）聚丙烯酸酯D 类产品生产工艺流程</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60" w:firstLineChars="200"/>
        <w:textAlignment w:val="auto"/>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聚丙烯酸酯 D 类产品生产过程中涉及的化学反应主要为反应单体在引发剂的作用下产生的自由基共聚反应，反应过程中，溶剂不参与化学反应。其反应原理如下：</w:t>
      </w:r>
    </w:p>
    <w:p>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1120" w:firstLineChars="400"/>
        <w:textAlignment w:val="auto"/>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1）链引发</w:t>
      </w:r>
    </w:p>
    <w:p>
      <w:pPr>
        <w:pStyle w:val="3"/>
        <w:spacing w:before="1"/>
        <w:rPr>
          <w:color w:val="auto"/>
          <w:sz w:val="14"/>
        </w:rPr>
      </w:pPr>
      <w:r>
        <w:rPr>
          <w:color w:val="auto"/>
        </w:rPr>
        <w:drawing>
          <wp:anchor distT="0" distB="0" distL="0" distR="0" simplePos="0" relativeHeight="251662336" behindDoc="0" locked="0" layoutInCell="1" allowOverlap="1">
            <wp:simplePos x="0" y="0"/>
            <wp:positionH relativeFrom="page">
              <wp:posOffset>1255395</wp:posOffset>
            </wp:positionH>
            <wp:positionV relativeFrom="paragraph">
              <wp:posOffset>139700</wp:posOffset>
            </wp:positionV>
            <wp:extent cx="2618740" cy="271780"/>
            <wp:effectExtent l="0" t="0" r="10160" b="13970"/>
            <wp:wrapTopAndBottom/>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jpeg"/>
                    <pic:cNvPicPr>
                      <a:picLocks noChangeAspect="1"/>
                    </pic:cNvPicPr>
                  </pic:nvPicPr>
                  <pic:blipFill>
                    <a:blip r:embed="rId14" cstate="print"/>
                    <a:stretch>
                      <a:fillRect/>
                    </a:stretch>
                  </pic:blipFill>
                  <pic:spPr>
                    <a:xfrm>
                      <a:off x="0" y="0"/>
                      <a:ext cx="2618857" cy="271652"/>
                    </a:xfrm>
                    <a:prstGeom prst="rect">
                      <a:avLst/>
                    </a:prstGeom>
                  </pic:spPr>
                </pic:pic>
              </a:graphicData>
            </a:graphic>
          </wp:anchor>
        </w:drawing>
      </w:r>
      <w:r>
        <w:rPr>
          <w:color w:val="auto"/>
        </w:rPr>
        <w:drawing>
          <wp:anchor distT="0" distB="0" distL="0" distR="0" simplePos="0" relativeHeight="251663360" behindDoc="0" locked="0" layoutInCell="1" allowOverlap="1">
            <wp:simplePos x="0" y="0"/>
            <wp:positionH relativeFrom="page">
              <wp:posOffset>1255395</wp:posOffset>
            </wp:positionH>
            <wp:positionV relativeFrom="paragraph">
              <wp:posOffset>511175</wp:posOffset>
            </wp:positionV>
            <wp:extent cx="4039235" cy="522605"/>
            <wp:effectExtent l="0" t="0" r="18415" b="10795"/>
            <wp:wrapTopAndBottom/>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pic:cNvPicPr>
                      <a:picLocks noChangeAspect="1"/>
                    </pic:cNvPicPr>
                  </pic:nvPicPr>
                  <pic:blipFill>
                    <a:blip r:embed="rId15" cstate="print"/>
                    <a:stretch>
                      <a:fillRect/>
                    </a:stretch>
                  </pic:blipFill>
                  <pic:spPr>
                    <a:xfrm>
                      <a:off x="0" y="0"/>
                      <a:ext cx="4039386" cy="522922"/>
                    </a:xfrm>
                    <a:prstGeom prst="rect">
                      <a:avLst/>
                    </a:prstGeom>
                  </pic:spPr>
                </pic:pic>
              </a:graphicData>
            </a:graphic>
          </wp:anchor>
        </w:drawing>
      </w:r>
    </w:p>
    <w:p>
      <w:pPr>
        <w:pStyle w:val="3"/>
        <w:rPr>
          <w:color w:val="auto"/>
          <w:sz w:val="7"/>
        </w:rPr>
      </w:pPr>
    </w:p>
    <w:p>
      <w:pPr>
        <w:pStyle w:val="32"/>
        <w:keepNext w:val="0"/>
        <w:keepLines w:val="0"/>
        <w:pageBreakBefore w:val="0"/>
        <w:widowControl w:val="0"/>
        <w:numPr>
          <w:ilvl w:val="0"/>
          <w:numId w:val="0"/>
        </w:numPr>
        <w:kinsoku/>
        <w:wordWrap/>
        <w:overflowPunct/>
        <w:topLinePunct w:val="0"/>
        <w:bidi w:val="0"/>
        <w:snapToGrid/>
        <w:spacing w:line="360" w:lineRule="auto"/>
        <w:ind w:firstLine="1120" w:firstLineChars="4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2）链增长</w:t>
      </w:r>
    </w:p>
    <w:p>
      <w:pPr>
        <w:pStyle w:val="3"/>
        <w:spacing w:before="10"/>
        <w:rPr>
          <w:color w:val="auto"/>
          <w:sz w:val="15"/>
        </w:rPr>
      </w:pPr>
      <w:r>
        <w:rPr>
          <w:color w:val="auto"/>
        </w:rPr>
        <w:drawing>
          <wp:anchor distT="0" distB="0" distL="0" distR="0" simplePos="0" relativeHeight="251664384" behindDoc="0" locked="0" layoutInCell="1" allowOverlap="1">
            <wp:simplePos x="0" y="0"/>
            <wp:positionH relativeFrom="page">
              <wp:posOffset>1255395</wp:posOffset>
            </wp:positionH>
            <wp:positionV relativeFrom="paragraph">
              <wp:posOffset>153035</wp:posOffset>
            </wp:positionV>
            <wp:extent cx="3804285" cy="447675"/>
            <wp:effectExtent l="0" t="0" r="5715" b="9525"/>
            <wp:wrapTopAndBottom/>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jpeg"/>
                    <pic:cNvPicPr>
                      <a:picLocks noChangeAspect="1"/>
                    </pic:cNvPicPr>
                  </pic:nvPicPr>
                  <pic:blipFill>
                    <a:blip r:embed="rId16" cstate="print"/>
                    <a:stretch>
                      <a:fillRect/>
                    </a:stretch>
                  </pic:blipFill>
                  <pic:spPr>
                    <a:xfrm>
                      <a:off x="0" y="0"/>
                      <a:ext cx="3804376" cy="447484"/>
                    </a:xfrm>
                    <a:prstGeom prst="rect">
                      <a:avLst/>
                    </a:prstGeom>
                  </pic:spPr>
                </pic:pic>
              </a:graphicData>
            </a:graphic>
          </wp:anchor>
        </w:drawing>
      </w:r>
      <w:r>
        <w:rPr>
          <w:color w:val="auto"/>
        </w:rPr>
        <w:drawing>
          <wp:anchor distT="0" distB="0" distL="0" distR="0" simplePos="0" relativeHeight="251665408" behindDoc="0" locked="0" layoutInCell="1" allowOverlap="1">
            <wp:simplePos x="0" y="0"/>
            <wp:positionH relativeFrom="page">
              <wp:posOffset>1346200</wp:posOffset>
            </wp:positionH>
            <wp:positionV relativeFrom="paragraph">
              <wp:posOffset>753745</wp:posOffset>
            </wp:positionV>
            <wp:extent cx="3660775" cy="1214120"/>
            <wp:effectExtent l="0" t="0" r="15875" b="508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17" cstate="print"/>
                    <a:stretch>
                      <a:fillRect/>
                    </a:stretch>
                  </pic:blipFill>
                  <pic:spPr>
                    <a:xfrm>
                      <a:off x="0" y="0"/>
                      <a:ext cx="3660735" cy="1213865"/>
                    </a:xfrm>
                    <a:prstGeom prst="rect">
                      <a:avLst/>
                    </a:prstGeom>
                  </pic:spPr>
                </pic:pic>
              </a:graphicData>
            </a:graphic>
          </wp:anchor>
        </w:drawing>
      </w:r>
      <w:r>
        <w:rPr>
          <w:color w:val="auto"/>
        </w:rPr>
        <w:drawing>
          <wp:anchor distT="0" distB="0" distL="0" distR="0" simplePos="0" relativeHeight="251666432" behindDoc="0" locked="0" layoutInCell="1" allowOverlap="1">
            <wp:simplePos x="0" y="0"/>
            <wp:positionH relativeFrom="page">
              <wp:posOffset>1387475</wp:posOffset>
            </wp:positionH>
            <wp:positionV relativeFrom="paragraph">
              <wp:posOffset>2106930</wp:posOffset>
            </wp:positionV>
            <wp:extent cx="4829810" cy="2093595"/>
            <wp:effectExtent l="0" t="0" r="8890" b="1905"/>
            <wp:wrapTopAndBottom/>
            <wp:docPr id="2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a:picLocks noChangeAspect="1"/>
                    </pic:cNvPicPr>
                  </pic:nvPicPr>
                  <pic:blipFill>
                    <a:blip r:embed="rId18" cstate="print"/>
                    <a:stretch>
                      <a:fillRect/>
                    </a:stretch>
                  </pic:blipFill>
                  <pic:spPr>
                    <a:xfrm>
                      <a:off x="0" y="0"/>
                      <a:ext cx="4829814" cy="2093785"/>
                    </a:xfrm>
                    <a:prstGeom prst="rect">
                      <a:avLst/>
                    </a:prstGeom>
                  </pic:spPr>
                </pic:pic>
              </a:graphicData>
            </a:graphic>
          </wp:anchor>
        </w:drawing>
      </w:r>
    </w:p>
    <w:p>
      <w:pPr>
        <w:pStyle w:val="32"/>
        <w:keepNext w:val="0"/>
        <w:keepLines w:val="0"/>
        <w:pageBreakBefore w:val="0"/>
        <w:widowControl w:val="0"/>
        <w:numPr>
          <w:ilvl w:val="0"/>
          <w:numId w:val="0"/>
        </w:numPr>
        <w:kinsoku/>
        <w:wordWrap/>
        <w:overflowPunct/>
        <w:topLinePunct w:val="0"/>
        <w:bidi w:val="0"/>
        <w:snapToGrid/>
        <w:spacing w:line="360" w:lineRule="auto"/>
        <w:ind w:firstLine="1120" w:firstLineChars="4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3）链终止</w:t>
      </w:r>
    </w:p>
    <w:p>
      <w:pPr>
        <w:pStyle w:val="3"/>
        <w:spacing w:before="5"/>
        <w:rPr>
          <w:color w:val="auto"/>
          <w:sz w:val="7"/>
        </w:rPr>
      </w:pPr>
    </w:p>
    <w:p>
      <w:pPr>
        <w:pStyle w:val="32"/>
        <w:numPr>
          <w:ilvl w:val="0"/>
          <w:numId w:val="0"/>
        </w:numPr>
        <w:rPr>
          <w:rFonts w:hint="eastAsia" w:ascii="宋体" w:hAnsi="宋体" w:cs="宋体"/>
          <w:color w:val="auto"/>
          <w:sz w:val="28"/>
          <w:szCs w:val="28"/>
          <w:lang w:val="en-US" w:eastAsia="zh-CN"/>
        </w:rPr>
      </w:pPr>
      <w:r>
        <w:rPr>
          <w:color w:val="auto"/>
          <w:sz w:val="20"/>
        </w:rPr>
        <w:drawing>
          <wp:inline distT="0" distB="0" distL="0" distR="0">
            <wp:extent cx="4803140" cy="1114425"/>
            <wp:effectExtent l="0" t="0" r="16510" b="9525"/>
            <wp:docPr id="2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a:picLocks noChangeAspect="1"/>
                    </pic:cNvPicPr>
                  </pic:nvPicPr>
                  <pic:blipFill>
                    <a:blip r:embed="rId19" cstate="print"/>
                    <a:stretch>
                      <a:fillRect/>
                    </a:stretch>
                  </pic:blipFill>
                  <pic:spPr>
                    <a:xfrm>
                      <a:off x="0" y="0"/>
                      <a:ext cx="4803772" cy="1114805"/>
                    </a:xfrm>
                    <a:prstGeom prst="rect">
                      <a:avLst/>
                    </a:prstGeom>
                  </pic:spPr>
                </pic:pic>
              </a:graphicData>
            </a:graphic>
          </wp:inline>
        </w:drawing>
      </w:r>
    </w:p>
    <w:p>
      <w:pPr>
        <w:pStyle w:val="32"/>
        <w:numPr>
          <w:ilvl w:val="0"/>
          <w:numId w:val="0"/>
        </w:numPr>
        <w:rPr>
          <w:rFonts w:hint="eastAsia" w:ascii="宋体" w:hAnsi="宋体" w:cs="宋体"/>
          <w:color w:val="auto"/>
          <w:sz w:val="28"/>
          <w:szCs w:val="28"/>
          <w:lang w:val="en-US" w:eastAsia="zh-CN"/>
        </w:rPr>
      </w:pP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（二）聚氨酯系列功能性聚合物</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（1）聚酯生产工艺流程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聚酯合成主要为己内酯及其聚醚树脂与不同的醇、酸及聚醚进行化学反应，生成聚己内酯多元醇。本项目共有聚酯 A、聚酯B、聚酯 C 三种产品，各产品生产过程均一致，仅原反应原理、辅料种类及配比不同。</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jc w:val="center"/>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drawing>
          <wp:inline distT="0" distB="0" distL="114300" distR="114300">
            <wp:extent cx="3724275" cy="3228975"/>
            <wp:effectExtent l="0" t="0" r="9525" b="9525"/>
            <wp:docPr id="29" name="图片 29" descr="162493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24933062(1)"/>
                    <pic:cNvPicPr>
                      <a:picLocks noChangeAspect="1"/>
                    </pic:cNvPicPr>
                  </pic:nvPicPr>
                  <pic:blipFill>
                    <a:blip r:embed="rId20"/>
                    <a:stretch>
                      <a:fillRect/>
                    </a:stretch>
                  </pic:blipFill>
                  <pic:spPr>
                    <a:xfrm>
                      <a:off x="0" y="0"/>
                      <a:ext cx="3724275" cy="3228975"/>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（2）聚氨酯反应及改性生产工艺流程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聚氨酯合成主要为聚己内酯多元醇产品与含-NCO 基团的多异氰酸酯预聚体（TDI 三聚体、HDI 三聚体）在溶剂中经催化剂作用发生反应，生成聚氨酯树脂，然后再加入有机胺单体进行改性，生成改性聚氨酯。溶剂主要有二甲苯、醋酸丁酯、PMA；催化剂为二正丁基二月桂酸锡；有机胺单体主要包括三乙醇胺、二甲基乙醇胺、APM95、脂肪胺、咪唑、哌啶等</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jc w:val="center"/>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drawing>
          <wp:inline distT="0" distB="0" distL="114300" distR="114300">
            <wp:extent cx="3716655" cy="3500755"/>
            <wp:effectExtent l="0" t="0" r="17145" b="4445"/>
            <wp:docPr id="31" name="图片 31" descr="1624933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24933275(1)"/>
                    <pic:cNvPicPr>
                      <a:picLocks noChangeAspect="1"/>
                    </pic:cNvPicPr>
                  </pic:nvPicPr>
                  <pic:blipFill>
                    <a:blip r:embed="rId21"/>
                    <a:stretch>
                      <a:fillRect/>
                    </a:stretch>
                  </pic:blipFill>
                  <pic:spPr>
                    <a:xfrm>
                      <a:off x="0" y="0"/>
                      <a:ext cx="3716655" cy="3500755"/>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（三）有机硅系列功能性聚合物</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（1）有机硅类 A 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有机硅类A 产品生产过程主要包扩有机硅前体合成及有机硅改性两步反应，反应所得产品为全固体份产品（1820t/a），其中约 77%（1400t）直接外售，剩余 23%（420t）用溶剂稀释至固体分含量 70%后外售。</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含氢硅油前体合成用单体包括有机硅单体、D4、封头剂（单封头）、含氢硅油；改性树脂为聚醚类树脂；开稀溶剂有脂肪烃溶剂（200#溶剂油）、醋酸丁酯、仲丁醇。</w:t>
      </w:r>
    </w:p>
    <w:p>
      <w:pPr>
        <w:pStyle w:val="33"/>
        <w:widowControl w:val="0"/>
        <w:numPr>
          <w:ilvl w:val="0"/>
          <w:numId w:val="0"/>
        </w:numPr>
        <w:spacing w:before="120" w:after="120" w:line="360" w:lineRule="exact"/>
        <w:jc w:val="center"/>
        <w:rPr>
          <w:rFonts w:hint="eastAsia"/>
          <w:color w:val="auto"/>
          <w:lang w:val="en-US" w:eastAsia="zh-CN"/>
        </w:rPr>
      </w:pPr>
    </w:p>
    <w:p>
      <w:pPr>
        <w:jc w:val="center"/>
        <w:rPr>
          <w:rFonts w:hint="eastAsia"/>
          <w:color w:val="auto"/>
          <w:lang w:val="en-US" w:eastAsia="zh-CN"/>
        </w:rPr>
      </w:pPr>
      <w:r>
        <w:rPr>
          <w:rFonts w:hint="eastAsia"/>
          <w:color w:val="auto"/>
          <w:lang w:val="en-US" w:eastAsia="zh-CN"/>
        </w:rPr>
        <w:drawing>
          <wp:inline distT="0" distB="0" distL="114300" distR="114300">
            <wp:extent cx="5650865" cy="4662805"/>
            <wp:effectExtent l="0" t="0" r="6985" b="4445"/>
            <wp:docPr id="34" name="图片 34" descr="1624933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24933466(1)"/>
                    <pic:cNvPicPr>
                      <a:picLocks noChangeAspect="1"/>
                    </pic:cNvPicPr>
                  </pic:nvPicPr>
                  <pic:blipFill>
                    <a:blip r:embed="rId22"/>
                    <a:stretch>
                      <a:fillRect/>
                    </a:stretch>
                  </pic:blipFill>
                  <pic:spPr>
                    <a:xfrm>
                      <a:off x="0" y="0"/>
                      <a:ext cx="5650865" cy="4662805"/>
                    </a:xfrm>
                    <a:prstGeom prst="rect">
                      <a:avLst/>
                    </a:prstGeom>
                  </pic:spPr>
                </pic:pic>
              </a:graphicData>
            </a:graphic>
          </wp:inline>
        </w:drawing>
      </w:r>
    </w:p>
    <w:p>
      <w:pPr>
        <w:pStyle w:val="32"/>
        <w:rPr>
          <w:rFonts w:hint="eastAsia"/>
          <w:color w:val="auto"/>
          <w:lang w:val="en-US" w:eastAsia="zh-CN"/>
        </w:rPr>
      </w:pP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（2）有机硅类 B 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B 产品与A产品最大的区别在于前体合成时使用双封头封头剂， 外售开稀的溶剂型树脂的溶剂比例不一样。</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有机硅类B 产品由前体合成、改性、改性完成后得固体份产品， 大部分产品卖全固份，约 23%的产品开稀卖溶剂型有机硅类树脂。</w:t>
      </w:r>
    </w:p>
    <w:p>
      <w:pPr>
        <w:pStyle w:val="32"/>
        <w:keepNext w:val="0"/>
        <w:keepLines w:val="0"/>
        <w:pageBreakBefore w:val="0"/>
        <w:widowControl w:val="0"/>
        <w:numPr>
          <w:ilvl w:val="0"/>
          <w:numId w:val="0"/>
        </w:numPr>
        <w:kinsoku/>
        <w:wordWrap/>
        <w:overflowPunct/>
        <w:topLinePunct w:val="0"/>
        <w:bidi w:val="0"/>
        <w:snapToGrid/>
        <w:spacing w:line="360" w:lineRule="auto"/>
        <w:jc w:val="left"/>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drawing>
          <wp:inline distT="0" distB="0" distL="114300" distR="114300">
            <wp:extent cx="5652135" cy="4799965"/>
            <wp:effectExtent l="0" t="0" r="5715" b="635"/>
            <wp:docPr id="36" name="图片 36" descr="1624933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24933646(1)"/>
                    <pic:cNvPicPr>
                      <a:picLocks noChangeAspect="1"/>
                    </pic:cNvPicPr>
                  </pic:nvPicPr>
                  <pic:blipFill>
                    <a:blip r:embed="rId23"/>
                    <a:stretch>
                      <a:fillRect/>
                    </a:stretch>
                  </pic:blipFill>
                  <pic:spPr>
                    <a:xfrm>
                      <a:off x="0" y="0"/>
                      <a:ext cx="5652135" cy="4799965"/>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（3）有机硅类C 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有机硅类C 产品由含氢硅油、乙烯基单体、烯烃单体、乙烯基醚单体、铂金属催化剂（比例 0.08%）反应得到。该产品只外售全固份产品。</w:t>
      </w:r>
    </w:p>
    <w:p>
      <w:pPr>
        <w:pStyle w:val="33"/>
        <w:rPr>
          <w:rFonts w:hint="eastAsia" w:ascii="宋体" w:hAnsi="宋体" w:cs="宋体"/>
          <w:color w:val="auto"/>
          <w:sz w:val="28"/>
          <w:szCs w:val="28"/>
          <w:lang w:val="en-US" w:eastAsia="zh-CN"/>
        </w:rPr>
      </w:pPr>
    </w:p>
    <w:p>
      <w:pPr>
        <w:rPr>
          <w:rFonts w:hint="eastAsia" w:ascii="宋体" w:hAnsi="宋体" w:cs="宋体"/>
          <w:color w:val="auto"/>
          <w:sz w:val="28"/>
          <w:szCs w:val="28"/>
          <w:lang w:val="en-US" w:eastAsia="zh-CN"/>
        </w:rPr>
      </w:pPr>
    </w:p>
    <w:p>
      <w:pPr>
        <w:pStyle w:val="32"/>
        <w:jc w:val="center"/>
        <w:rPr>
          <w:rFonts w:hint="eastAsia"/>
          <w:color w:val="auto"/>
          <w:lang w:val="en-US" w:eastAsia="zh-CN"/>
        </w:rPr>
      </w:pPr>
      <w:r>
        <w:rPr>
          <w:rFonts w:hint="eastAsia"/>
          <w:color w:val="auto"/>
          <w:lang w:val="en-US" w:eastAsia="zh-CN"/>
        </w:rPr>
        <w:drawing>
          <wp:inline distT="0" distB="0" distL="114300" distR="114300">
            <wp:extent cx="5048250" cy="4486275"/>
            <wp:effectExtent l="0" t="0" r="0" b="9525"/>
            <wp:docPr id="54" name="图片 54" descr="1624933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24933743(1)"/>
                    <pic:cNvPicPr>
                      <a:picLocks noChangeAspect="1"/>
                    </pic:cNvPicPr>
                  </pic:nvPicPr>
                  <pic:blipFill>
                    <a:blip r:embed="rId24"/>
                    <a:stretch>
                      <a:fillRect/>
                    </a:stretch>
                  </pic:blipFill>
                  <pic:spPr>
                    <a:xfrm>
                      <a:off x="0" y="0"/>
                      <a:ext cx="5048250" cy="4486275"/>
                    </a:xfrm>
                    <a:prstGeom prst="rect">
                      <a:avLst/>
                    </a:prstGeom>
                  </pic:spPr>
                </pic:pic>
              </a:graphicData>
            </a:graphic>
          </wp:inline>
        </w:drawing>
      </w:r>
    </w:p>
    <w:p>
      <w:pPr>
        <w:rPr>
          <w:rFonts w:hint="eastAsia"/>
          <w:color w:val="auto"/>
          <w:lang w:val="en-US" w:eastAsia="zh-CN"/>
        </w:rPr>
      </w:pPr>
    </w:p>
    <w:p>
      <w:pPr>
        <w:pStyle w:val="32"/>
        <w:keepNext w:val="0"/>
        <w:keepLines w:val="0"/>
        <w:pageBreakBefore w:val="0"/>
        <w:widowControl w:val="0"/>
        <w:numPr>
          <w:ilvl w:val="0"/>
          <w:numId w:val="6"/>
        </w:numPr>
        <w:kinsoku/>
        <w:wordWrap/>
        <w:overflowPunct/>
        <w:topLinePunct w:val="0"/>
        <w:bidi w:val="0"/>
        <w:snapToGrid/>
        <w:spacing w:line="360" w:lineRule="auto"/>
        <w:ind w:left="0" w:leftChars="0"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有机硅类D产品生产工艺流程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有机硅类D 产品由前体D1、D2 合成，第一步为前体 D1 的合成， 第二步为前体 D2 的合成，第三步为前体D1、D2 合成 D 产品。该产品全固体份外售。</w:t>
      </w:r>
      <w:r>
        <w:rPr>
          <w:rFonts w:hint="eastAsia" w:ascii="宋体" w:hAnsi="宋体" w:eastAsia="宋体" w:cs="宋体"/>
          <w:color w:val="auto"/>
          <w:sz w:val="28"/>
          <w:szCs w:val="28"/>
          <w:lang w:val="en-US" w:eastAsia="zh-CN"/>
        </w:rPr>
        <w:t>其他功能性聚合物</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（四）水性聚丙烯酸酯产品生产工艺流程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eastAsia="宋体" w:cs="宋体"/>
          <w:color w:val="auto"/>
          <w:sz w:val="28"/>
          <w:szCs w:val="28"/>
          <w:lang w:val="en-US" w:eastAsia="zh-CN"/>
        </w:rPr>
        <w:t>将丙烯酸树脂、水和乳化剂按配方量称入反应釜中。开动搅拌，缓慢升温至一定温度，保温乳化一定时间，待检验合格后冷却，包装出厂</w:t>
      </w:r>
      <w:r>
        <w:rPr>
          <w:rFonts w:hint="eastAsia" w:ascii="宋体" w:hAnsi="宋体" w:cs="宋体"/>
          <w:color w:val="auto"/>
          <w:sz w:val="28"/>
          <w:szCs w:val="28"/>
          <w:lang w:val="en-US" w:eastAsia="zh-CN"/>
        </w:rPr>
        <w:t>。</w:t>
      </w:r>
    </w:p>
    <w:p>
      <w:pPr>
        <w:jc w:val="center"/>
        <w:rPr>
          <w:rFonts w:hint="eastAsia"/>
          <w:color w:val="auto"/>
          <w:lang w:val="en-US" w:eastAsia="zh-CN"/>
        </w:rPr>
      </w:pPr>
      <w:r>
        <w:rPr>
          <w:rFonts w:hint="eastAsia"/>
          <w:color w:val="auto"/>
          <w:lang w:val="en-US" w:eastAsia="zh-CN"/>
        </w:rPr>
        <w:drawing>
          <wp:inline distT="0" distB="0" distL="114300" distR="114300">
            <wp:extent cx="5406390" cy="681990"/>
            <wp:effectExtent l="0" t="0" r="3810" b="3810"/>
            <wp:docPr id="56" name="图片 56" descr="1624934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24934046(1)"/>
                    <pic:cNvPicPr>
                      <a:picLocks noChangeAspect="1"/>
                    </pic:cNvPicPr>
                  </pic:nvPicPr>
                  <pic:blipFill>
                    <a:blip r:embed="rId25"/>
                    <a:stretch>
                      <a:fillRect/>
                    </a:stretch>
                  </pic:blipFill>
                  <pic:spPr>
                    <a:xfrm>
                      <a:off x="0" y="0"/>
                      <a:ext cx="5406390" cy="681990"/>
                    </a:xfrm>
                    <a:prstGeom prst="rect">
                      <a:avLst/>
                    </a:prstGeom>
                  </pic:spPr>
                </pic:pic>
              </a:graphicData>
            </a:graphic>
          </wp:inline>
        </w:drawing>
      </w:r>
    </w:p>
    <w:p>
      <w:pPr>
        <w:rPr>
          <w:rFonts w:hint="eastAsia"/>
          <w:color w:val="auto"/>
          <w:lang w:val="en-US" w:eastAsia="zh-CN"/>
        </w:rPr>
      </w:pP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（五）水性聚氨酯产品生产工艺流程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反应釜中按配方比投入聚氨酯树脂、水和乳化剂，开动搅拌，缓慢升温至一定温度，并保温乳化一定时间，待检验合格后冷却、包装出厂。</w:t>
      </w:r>
    </w:p>
    <w:p>
      <w:pPr>
        <w:pStyle w:val="32"/>
        <w:jc w:val="center"/>
        <w:rPr>
          <w:rFonts w:hint="eastAsia"/>
          <w:color w:val="auto"/>
          <w:lang w:val="en-US" w:eastAsia="zh-CN"/>
        </w:rPr>
      </w:pPr>
      <w:r>
        <w:rPr>
          <w:rFonts w:hint="eastAsia"/>
          <w:color w:val="auto"/>
          <w:lang w:val="en-US" w:eastAsia="zh-CN"/>
        </w:rPr>
        <w:drawing>
          <wp:inline distT="0" distB="0" distL="114300" distR="114300">
            <wp:extent cx="5351145" cy="730250"/>
            <wp:effectExtent l="0" t="0" r="1905" b="12700"/>
            <wp:docPr id="57" name="图片 57" descr="1624934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24934144(1)"/>
                    <pic:cNvPicPr>
                      <a:picLocks noChangeAspect="1"/>
                    </pic:cNvPicPr>
                  </pic:nvPicPr>
                  <pic:blipFill>
                    <a:blip r:embed="rId26"/>
                    <a:stretch>
                      <a:fillRect/>
                    </a:stretch>
                  </pic:blipFill>
                  <pic:spPr>
                    <a:xfrm>
                      <a:off x="0" y="0"/>
                      <a:ext cx="5351145" cy="730250"/>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（六）水性有机硅系产品生产工艺流程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在反应釜中按配方比加入有机硅树脂、水和乳化剂，开动搅拌，缓慢升温至一定温度，继续保温乳化一定时间，待检验合格后，冷却、包装出厂。</w:t>
      </w:r>
    </w:p>
    <w:p>
      <w:pPr>
        <w:jc w:val="center"/>
        <w:rPr>
          <w:rFonts w:hint="eastAsia"/>
          <w:color w:val="auto"/>
          <w:lang w:val="en-US" w:eastAsia="zh-CN"/>
        </w:rPr>
      </w:pPr>
      <w:r>
        <w:rPr>
          <w:rFonts w:hint="eastAsia"/>
          <w:color w:val="auto"/>
          <w:lang w:val="en-US" w:eastAsia="zh-CN"/>
        </w:rPr>
        <w:drawing>
          <wp:inline distT="0" distB="0" distL="114300" distR="114300">
            <wp:extent cx="5203190" cy="696595"/>
            <wp:effectExtent l="0" t="0" r="16510" b="8255"/>
            <wp:docPr id="58" name="图片 58" descr="1624934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24934208(1)"/>
                    <pic:cNvPicPr>
                      <a:picLocks noChangeAspect="1"/>
                    </pic:cNvPicPr>
                  </pic:nvPicPr>
                  <pic:blipFill>
                    <a:blip r:embed="rId27"/>
                    <a:stretch>
                      <a:fillRect/>
                    </a:stretch>
                  </pic:blipFill>
                  <pic:spPr>
                    <a:xfrm>
                      <a:off x="0" y="0"/>
                      <a:ext cx="5203190" cy="696595"/>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（七）其他功能性聚合物</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其他功能性聚合物主要包括聚酯及醇酸类聚合物、磷酸酯聚合物、聚酰胺及胺类、聚烯烃聚合物、环氧树脂涂料、合成蜡类。</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（1）聚酯及醇酸类聚合物产品生产工艺流程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聚酯及醇酸类聚合物分 A、B 两种产品，其中 A 类主要为一元酸、二元酸与二元醇进行酯化反应，生成聚酯树脂；B 类主要为油酸与混合乙醇胺进行酯化反应，生成油酸乙醇胺树脂。</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聚酯及醇酸 A 类产品主要由一元酸、二元酸与二元醇进行酯化反应， 生成聚酯树脂，再采用溶剂开稀后外售。</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聚酯及醇酸 B 类产品也是由醇、混合乙醇胺在特定条件下合成脂类产品，再采用溶剂开稀后外售。</w:t>
      </w:r>
    </w:p>
    <w:p>
      <w:pPr>
        <w:pStyle w:val="33"/>
        <w:rPr>
          <w:rFonts w:hint="eastAsia"/>
          <w:color w:val="auto"/>
          <w:lang w:val="en-US" w:eastAsia="zh-CN"/>
        </w:rPr>
      </w:pPr>
    </w:p>
    <w:p>
      <w:pPr>
        <w:pStyle w:val="33"/>
        <w:rPr>
          <w:rFonts w:hint="eastAsia" w:ascii="宋体" w:hAnsi="宋体" w:cs="宋体"/>
          <w:color w:val="auto"/>
          <w:sz w:val="28"/>
          <w:szCs w:val="28"/>
          <w:lang w:val="en-US" w:eastAsia="zh-CN"/>
        </w:rPr>
      </w:pPr>
    </w:p>
    <w:p>
      <w:pPr>
        <w:jc w:val="center"/>
        <w:rPr>
          <w:rFonts w:hint="eastAsia"/>
          <w:color w:val="auto"/>
          <w:lang w:val="en-US" w:eastAsia="zh-CN"/>
        </w:rPr>
      </w:pPr>
      <w:r>
        <w:rPr>
          <w:color w:val="auto"/>
          <w:sz w:val="20"/>
        </w:rPr>
        <w:drawing>
          <wp:inline distT="0" distB="0" distL="0" distR="0">
            <wp:extent cx="5666105" cy="4243070"/>
            <wp:effectExtent l="0" t="0" r="10795" b="5080"/>
            <wp:docPr id="7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jpeg"/>
                    <pic:cNvPicPr>
                      <a:picLocks noChangeAspect="1"/>
                    </pic:cNvPicPr>
                  </pic:nvPicPr>
                  <pic:blipFill>
                    <a:blip r:embed="rId28" cstate="print"/>
                    <a:stretch>
                      <a:fillRect/>
                    </a:stretch>
                  </pic:blipFill>
                  <pic:spPr>
                    <a:xfrm>
                      <a:off x="0" y="0"/>
                      <a:ext cx="5666105" cy="4243070"/>
                    </a:xfrm>
                    <a:prstGeom prst="rect">
                      <a:avLst/>
                    </a:prstGeom>
                  </pic:spPr>
                </pic:pic>
              </a:graphicData>
            </a:graphic>
          </wp:inline>
        </w:drawing>
      </w:r>
    </w:p>
    <w:p>
      <w:pPr>
        <w:pStyle w:val="33"/>
        <w:rPr>
          <w:rFonts w:hint="eastAsia"/>
          <w:color w:val="auto"/>
          <w:lang w:val="en-US" w:eastAsia="zh-CN"/>
        </w:rPr>
      </w:pPr>
    </w:p>
    <w:p>
      <w:pPr>
        <w:jc w:val="center"/>
        <w:rPr>
          <w:rFonts w:hint="eastAsia"/>
          <w:color w:val="auto"/>
          <w:lang w:val="en-US" w:eastAsia="zh-CN"/>
        </w:rPr>
      </w:pPr>
      <w:r>
        <w:rPr>
          <w:color w:val="auto"/>
          <w:sz w:val="20"/>
        </w:rPr>
        <w:drawing>
          <wp:inline distT="0" distB="0" distL="0" distR="0">
            <wp:extent cx="5132070" cy="4057650"/>
            <wp:effectExtent l="0" t="0" r="11430" b="0"/>
            <wp:docPr id="8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jpeg"/>
                    <pic:cNvPicPr>
                      <a:picLocks noChangeAspect="1"/>
                    </pic:cNvPicPr>
                  </pic:nvPicPr>
                  <pic:blipFill>
                    <a:blip r:embed="rId29" cstate="print"/>
                    <a:stretch>
                      <a:fillRect/>
                    </a:stretch>
                  </pic:blipFill>
                  <pic:spPr>
                    <a:xfrm>
                      <a:off x="0" y="0"/>
                      <a:ext cx="5132070" cy="4057650"/>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（2）磷酸酯类产品生产工艺流程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磷酸酯类产品生产过程为，在催化剂的作用下，聚醚多元醇对己内脂进行开环加成合成羟基前体，羟基前体再与多聚磷酸进行酯化反应，制得磷酸酯类产品，再采用溶剂开稀外售.</w:t>
      </w:r>
    </w:p>
    <w:p>
      <w:pPr>
        <w:pStyle w:val="33"/>
        <w:rPr>
          <w:rFonts w:hint="eastAsia" w:ascii="宋体" w:hAnsi="宋体" w:cs="宋体"/>
          <w:color w:val="auto"/>
          <w:sz w:val="28"/>
          <w:szCs w:val="28"/>
          <w:lang w:val="en-US" w:eastAsia="zh-CN"/>
        </w:rPr>
      </w:pPr>
    </w:p>
    <w:p>
      <w:pPr>
        <w:rPr>
          <w:rFonts w:hint="eastAsia" w:ascii="宋体" w:hAnsi="宋体" w:cs="宋体"/>
          <w:color w:val="auto"/>
          <w:sz w:val="28"/>
          <w:szCs w:val="28"/>
          <w:lang w:val="en-US" w:eastAsia="zh-CN"/>
        </w:rPr>
      </w:pPr>
    </w:p>
    <w:p>
      <w:pPr>
        <w:pStyle w:val="32"/>
        <w:jc w:val="center"/>
        <w:rPr>
          <w:rFonts w:hint="eastAsia"/>
          <w:color w:val="auto"/>
          <w:lang w:val="en-US" w:eastAsia="zh-CN"/>
        </w:rPr>
      </w:pPr>
      <w:r>
        <w:rPr>
          <w:color w:val="auto"/>
        </w:rPr>
        <w:drawing>
          <wp:inline distT="0" distB="0" distL="0" distR="0">
            <wp:extent cx="5608955" cy="4488815"/>
            <wp:effectExtent l="0" t="0" r="10795" b="6985"/>
            <wp:docPr id="8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3.jpeg"/>
                    <pic:cNvPicPr>
                      <a:picLocks noChangeAspect="1"/>
                    </pic:cNvPicPr>
                  </pic:nvPicPr>
                  <pic:blipFill>
                    <a:blip r:embed="rId30" cstate="print"/>
                    <a:stretch>
                      <a:fillRect/>
                    </a:stretch>
                  </pic:blipFill>
                  <pic:spPr>
                    <a:xfrm>
                      <a:off x="0" y="0"/>
                      <a:ext cx="5608955" cy="4488815"/>
                    </a:xfrm>
                    <a:prstGeom prst="rect">
                      <a:avLst/>
                    </a:prstGeom>
                  </pic:spPr>
                </pic:pic>
              </a:graphicData>
            </a:graphic>
          </wp:inline>
        </w:drawing>
      </w:r>
    </w:p>
    <w:p>
      <w:pPr>
        <w:rPr>
          <w:rFonts w:hint="default"/>
          <w:color w:val="auto"/>
          <w:lang w:val="en-US" w:eastAsia="zh-CN"/>
        </w:rPr>
      </w:pP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（3）聚酰胺及胺类产品生产工艺流程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聚酰胺及胺类产品主要由一元酸、二元酸与多乙烯多胺聚合，脱除水，</w:t>
      </w:r>
    </w:p>
    <w:p>
      <w:pPr>
        <w:pStyle w:val="32"/>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合成的固体份产品采用溶剂开稀，开稀溶剂主要为 150#溶剂油、苯甲醇和丁醇。</w:t>
      </w:r>
    </w:p>
    <w:p>
      <w:pPr>
        <w:pStyle w:val="33"/>
        <w:rPr>
          <w:rFonts w:hint="eastAsia" w:ascii="宋体" w:hAnsi="宋体" w:cs="宋体"/>
          <w:color w:val="auto"/>
          <w:sz w:val="28"/>
          <w:szCs w:val="28"/>
          <w:lang w:val="en-US" w:eastAsia="zh-CN"/>
        </w:rPr>
      </w:pPr>
    </w:p>
    <w:p>
      <w:pPr>
        <w:jc w:val="center"/>
        <w:rPr>
          <w:rFonts w:hint="eastAsia"/>
          <w:color w:val="auto"/>
          <w:lang w:val="en-US" w:eastAsia="zh-CN"/>
        </w:rPr>
      </w:pPr>
      <w:r>
        <w:rPr>
          <w:color w:val="auto"/>
          <w:sz w:val="20"/>
        </w:rPr>
        <w:drawing>
          <wp:inline distT="0" distB="0" distL="0" distR="0">
            <wp:extent cx="5381625" cy="4389120"/>
            <wp:effectExtent l="0" t="0" r="9525" b="11430"/>
            <wp:docPr id="5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6.jpeg"/>
                    <pic:cNvPicPr>
                      <a:picLocks noChangeAspect="1"/>
                    </pic:cNvPicPr>
                  </pic:nvPicPr>
                  <pic:blipFill>
                    <a:blip r:embed="rId31" cstate="print"/>
                    <a:stretch>
                      <a:fillRect/>
                    </a:stretch>
                  </pic:blipFill>
                  <pic:spPr>
                    <a:xfrm>
                      <a:off x="0" y="0"/>
                      <a:ext cx="5381625" cy="4389120"/>
                    </a:xfrm>
                    <a:prstGeom prst="rect">
                      <a:avLst/>
                    </a:prstGeom>
                  </pic:spPr>
                </pic:pic>
              </a:graphicData>
            </a:graphic>
          </wp:inline>
        </w:drawing>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（4）环氧树脂涂产品生产工艺流程料</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环氧树脂涂料主要由环氧树脂、着色颜料、填料、溶剂和助剂等原辅材料直接分装而成。</w:t>
      </w:r>
    </w:p>
    <w:p>
      <w:pPr>
        <w:pStyle w:val="33"/>
        <w:rPr>
          <w:rFonts w:hint="eastAsia" w:ascii="宋体" w:hAnsi="宋体" w:cs="宋体"/>
          <w:color w:val="auto"/>
          <w:sz w:val="28"/>
          <w:szCs w:val="28"/>
          <w:lang w:val="en-US" w:eastAsia="zh-CN"/>
        </w:rPr>
      </w:pPr>
    </w:p>
    <w:p>
      <w:pPr>
        <w:jc w:val="center"/>
        <w:rPr>
          <w:rFonts w:hint="eastAsia"/>
          <w:color w:val="auto"/>
          <w:lang w:val="en-US" w:eastAsia="zh-CN"/>
        </w:rPr>
      </w:pPr>
      <w:r>
        <w:rPr>
          <w:color w:val="auto"/>
          <w:sz w:val="20"/>
        </w:rPr>
        <w:drawing>
          <wp:inline distT="0" distB="0" distL="0" distR="0">
            <wp:extent cx="4928235" cy="4117340"/>
            <wp:effectExtent l="0" t="0" r="5715" b="16510"/>
            <wp:docPr id="6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7.jpeg"/>
                    <pic:cNvPicPr>
                      <a:picLocks noChangeAspect="1"/>
                    </pic:cNvPicPr>
                  </pic:nvPicPr>
                  <pic:blipFill>
                    <a:blip r:embed="rId32" cstate="print"/>
                    <a:stretch>
                      <a:fillRect/>
                    </a:stretch>
                  </pic:blipFill>
                  <pic:spPr>
                    <a:xfrm>
                      <a:off x="0" y="0"/>
                      <a:ext cx="4928235" cy="4117340"/>
                    </a:xfrm>
                    <a:prstGeom prst="rect">
                      <a:avLst/>
                    </a:prstGeom>
                  </pic:spPr>
                </pic:pic>
              </a:graphicData>
            </a:graphic>
          </wp:inline>
        </w:drawing>
      </w:r>
    </w:p>
    <w:p>
      <w:pPr>
        <w:rPr>
          <w:rFonts w:hint="eastAsia"/>
          <w:color w:val="auto"/>
          <w:lang w:val="en-US" w:eastAsia="zh-CN"/>
        </w:rPr>
      </w:pP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（5）聚烯烃类产品生产工艺流程</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聚烯烃类产品主要由聚丁二烯类树脂及改性树脂、顺酐改性聚丁二烯、聚苯乙烯-丁二烯树脂，聚烯烃类树脂（聚乙烯、聚丙烯）等原辅材料直接分装聚烯烃类产品。</w:t>
      </w:r>
    </w:p>
    <w:p>
      <w:pPr>
        <w:pStyle w:val="33"/>
        <w:rPr>
          <w:rFonts w:hint="eastAsia" w:ascii="宋体" w:hAnsi="宋体" w:cs="宋体"/>
          <w:color w:val="auto"/>
          <w:sz w:val="28"/>
          <w:szCs w:val="28"/>
          <w:lang w:val="en-US" w:eastAsia="zh-CN"/>
        </w:rPr>
      </w:pPr>
    </w:p>
    <w:p>
      <w:pPr>
        <w:rPr>
          <w:rFonts w:hint="eastAsia" w:ascii="宋体" w:hAnsi="宋体" w:cs="宋体"/>
          <w:color w:val="auto"/>
          <w:sz w:val="28"/>
          <w:szCs w:val="28"/>
          <w:lang w:val="en-US" w:eastAsia="zh-CN"/>
        </w:rPr>
      </w:pPr>
    </w:p>
    <w:p>
      <w:pPr>
        <w:pStyle w:val="32"/>
        <w:jc w:val="center"/>
        <w:rPr>
          <w:rFonts w:hint="eastAsia"/>
          <w:color w:val="auto"/>
          <w:lang w:val="en-US" w:eastAsia="zh-CN"/>
        </w:rPr>
      </w:pPr>
      <w:r>
        <w:rPr>
          <w:color w:val="auto"/>
        </w:rPr>
        <w:drawing>
          <wp:inline distT="0" distB="0" distL="0" distR="0">
            <wp:extent cx="4817110" cy="3860165"/>
            <wp:effectExtent l="0" t="0" r="2540" b="6985"/>
            <wp:docPr id="9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8.jpeg"/>
                    <pic:cNvPicPr>
                      <a:picLocks noChangeAspect="1"/>
                    </pic:cNvPicPr>
                  </pic:nvPicPr>
                  <pic:blipFill>
                    <a:blip r:embed="rId33" cstate="print"/>
                    <a:stretch>
                      <a:fillRect/>
                    </a:stretch>
                  </pic:blipFill>
                  <pic:spPr>
                    <a:xfrm>
                      <a:off x="0" y="0"/>
                      <a:ext cx="4817110" cy="3860165"/>
                    </a:xfrm>
                    <a:prstGeom prst="rect">
                      <a:avLst/>
                    </a:prstGeom>
                  </pic:spPr>
                </pic:pic>
              </a:graphicData>
            </a:graphic>
          </wp:inline>
        </w:drawing>
      </w:r>
    </w:p>
    <w:p>
      <w:pPr>
        <w:rPr>
          <w:rFonts w:hint="eastAsia"/>
          <w:color w:val="auto"/>
          <w:lang w:val="en-US" w:eastAsia="zh-CN"/>
        </w:rPr>
      </w:pPr>
    </w:p>
    <w:p>
      <w:pPr>
        <w:pStyle w:val="32"/>
        <w:keepNext w:val="0"/>
        <w:keepLines w:val="0"/>
        <w:pageBreakBefore w:val="0"/>
        <w:widowControl w:val="0"/>
        <w:numPr>
          <w:ilvl w:val="0"/>
          <w:numId w:val="6"/>
        </w:numPr>
        <w:kinsoku/>
        <w:wordWrap/>
        <w:overflowPunct/>
        <w:topLinePunct w:val="0"/>
        <w:bidi w:val="0"/>
        <w:snapToGrid/>
        <w:spacing w:line="360" w:lineRule="auto"/>
        <w:ind w:left="0" w:leftChars="0"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合成蜡类产品生产工艺流程合</w:t>
      </w:r>
    </w:p>
    <w:p>
      <w:pPr>
        <w:pStyle w:val="32"/>
        <w:keepNext w:val="0"/>
        <w:keepLines w:val="0"/>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成蜡类产品生产工艺为改性蜡预聚物直接分装，再使用 150#溶剂油溶解粉体蜡，即为合成蜡类产品。</w:t>
      </w:r>
    </w:p>
    <w:p>
      <w:pPr>
        <w:pStyle w:val="33"/>
        <w:rPr>
          <w:rFonts w:hint="eastAsia" w:ascii="宋体" w:hAnsi="宋体" w:cs="宋体"/>
          <w:color w:val="auto"/>
          <w:sz w:val="28"/>
          <w:szCs w:val="28"/>
          <w:lang w:val="en-US" w:eastAsia="zh-CN"/>
        </w:rPr>
      </w:pPr>
    </w:p>
    <w:p>
      <w:pPr>
        <w:rPr>
          <w:rFonts w:hint="eastAsia" w:ascii="宋体" w:hAnsi="宋体" w:cs="宋体"/>
          <w:color w:val="auto"/>
          <w:sz w:val="28"/>
          <w:szCs w:val="28"/>
          <w:lang w:val="en-US" w:eastAsia="zh-CN"/>
        </w:rPr>
      </w:pPr>
    </w:p>
    <w:p>
      <w:pPr>
        <w:pStyle w:val="33"/>
        <w:jc w:val="both"/>
        <w:rPr>
          <w:rFonts w:hint="eastAsia"/>
          <w:color w:val="auto"/>
          <w:lang w:val="en-US" w:eastAsia="zh-CN"/>
        </w:rPr>
      </w:pPr>
    </w:p>
    <w:p>
      <w:pPr>
        <w:rPr>
          <w:rFonts w:hint="eastAsia"/>
          <w:color w:val="auto"/>
          <w:lang w:val="en-US" w:eastAsia="zh-CN"/>
        </w:rPr>
      </w:pPr>
    </w:p>
    <w:p>
      <w:pPr>
        <w:pStyle w:val="32"/>
        <w:rPr>
          <w:rFonts w:hint="eastAsia"/>
          <w:color w:val="auto"/>
          <w:lang w:val="en-US" w:eastAsia="zh-CN"/>
        </w:rPr>
      </w:pPr>
    </w:p>
    <w:p>
      <w:pPr>
        <w:pStyle w:val="33"/>
        <w:rPr>
          <w:rFonts w:hint="eastAsia"/>
          <w:color w:val="auto"/>
          <w:lang w:val="en-US" w:eastAsia="zh-CN"/>
        </w:rPr>
      </w:pPr>
    </w:p>
    <w:p>
      <w:pPr>
        <w:jc w:val="center"/>
        <w:rPr>
          <w:rFonts w:hint="eastAsia"/>
          <w:color w:val="auto"/>
          <w:lang w:val="en-US" w:eastAsia="zh-CN"/>
        </w:rPr>
      </w:pPr>
      <w:r>
        <w:rPr>
          <w:color w:val="auto"/>
        </w:rPr>
        <w:drawing>
          <wp:inline distT="0" distB="0" distL="0" distR="0">
            <wp:extent cx="3520440" cy="3961130"/>
            <wp:effectExtent l="0" t="0" r="3810" b="1270"/>
            <wp:docPr id="10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9.jpeg"/>
                    <pic:cNvPicPr>
                      <a:picLocks noChangeAspect="1"/>
                    </pic:cNvPicPr>
                  </pic:nvPicPr>
                  <pic:blipFill>
                    <a:blip r:embed="rId34" cstate="print"/>
                    <a:stretch>
                      <a:fillRect/>
                    </a:stretch>
                  </pic:blipFill>
                  <pic:spPr>
                    <a:xfrm>
                      <a:off x="0" y="0"/>
                      <a:ext cx="3520440" cy="3961130"/>
                    </a:xfrm>
                    <a:prstGeom prst="rect">
                      <a:avLst/>
                    </a:prstGeom>
                  </pic:spPr>
                </pic:pic>
              </a:graphicData>
            </a:graphic>
          </wp:inline>
        </w:drawing>
      </w:r>
    </w:p>
    <w:p>
      <w:pPr>
        <w:rPr>
          <w:rFonts w:hint="eastAsia"/>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17" w:name="_Toc21873"/>
      <w:bookmarkStart w:id="618" w:name="_Toc28767"/>
      <w:bookmarkStart w:id="619" w:name="_Toc16421"/>
      <w:r>
        <w:rPr>
          <w:rFonts w:hint="eastAsia" w:ascii="宋体" w:hAnsi="宋体" w:eastAsia="宋体" w:cs="宋体"/>
          <w:color w:val="auto"/>
          <w:sz w:val="28"/>
          <w:szCs w:val="28"/>
          <w:lang w:val="en-US" w:eastAsia="zh-CN"/>
        </w:rPr>
        <w:t>F1.5 主要生产设备</w:t>
      </w:r>
      <w:bookmarkEnd w:id="617"/>
      <w:bookmarkEnd w:id="618"/>
      <w:bookmarkEnd w:id="619"/>
    </w:p>
    <w:p>
      <w:pPr>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公司</w:t>
      </w:r>
      <w:r>
        <w:rPr>
          <w:rFonts w:hint="eastAsia" w:ascii="宋体" w:hAnsi="宋体" w:eastAsia="宋体" w:cs="宋体"/>
          <w:color w:val="auto"/>
          <w:sz w:val="28"/>
          <w:szCs w:val="28"/>
          <w:lang w:eastAsia="zh-CN"/>
        </w:rPr>
        <w:t>现有主要生产设备如下表所示：</w:t>
      </w:r>
    </w:p>
    <w:tbl>
      <w:tblPr>
        <w:tblStyle w:val="25"/>
        <w:tblW w:w="893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6"/>
        <w:gridCol w:w="561"/>
        <w:gridCol w:w="1775"/>
        <w:gridCol w:w="4318"/>
        <w:gridCol w:w="925"/>
        <w:gridCol w:w="6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tblHeader/>
          <w:jc w:val="center"/>
        </w:trPr>
        <w:tc>
          <w:tcPr>
            <w:tcW w:w="706" w:type="dxa"/>
            <w:tcBorders>
              <w:bottom w:val="single" w:color="000000" w:sz="6" w:space="0"/>
              <w:right w:val="single" w:color="000000" w:sz="6" w:space="0"/>
            </w:tcBorders>
          </w:tcPr>
          <w:p>
            <w:pPr>
              <w:pStyle w:val="51"/>
              <w:spacing w:before="76"/>
              <w:ind w:left="148"/>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w:t>
            </w:r>
          </w:p>
        </w:tc>
        <w:tc>
          <w:tcPr>
            <w:tcW w:w="561" w:type="dxa"/>
            <w:tcBorders>
              <w:left w:val="single" w:color="000000" w:sz="6" w:space="0"/>
              <w:bottom w:val="single" w:color="000000" w:sz="6" w:space="0"/>
              <w:right w:val="single" w:color="000000" w:sz="6" w:space="0"/>
            </w:tcBorders>
          </w:tcPr>
          <w:p>
            <w:pPr>
              <w:pStyle w:val="51"/>
              <w:spacing w:before="76"/>
              <w:ind w:left="61" w:right="36"/>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775" w:type="dxa"/>
            <w:tcBorders>
              <w:left w:val="single" w:color="000000" w:sz="6" w:space="0"/>
              <w:bottom w:val="single" w:color="000000" w:sz="6" w:space="0"/>
              <w:right w:val="single" w:color="000000" w:sz="6" w:space="0"/>
            </w:tcBorders>
          </w:tcPr>
          <w:p>
            <w:pPr>
              <w:pStyle w:val="51"/>
              <w:spacing w:before="76"/>
              <w:ind w:left="50" w:right="26"/>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设备名称</w:t>
            </w:r>
          </w:p>
        </w:tc>
        <w:tc>
          <w:tcPr>
            <w:tcW w:w="4318" w:type="dxa"/>
            <w:tcBorders>
              <w:left w:val="single" w:color="000000" w:sz="6" w:space="0"/>
              <w:bottom w:val="single" w:color="000000" w:sz="6" w:space="0"/>
              <w:right w:val="single" w:color="000000" w:sz="6" w:space="0"/>
            </w:tcBorders>
          </w:tcPr>
          <w:p>
            <w:pPr>
              <w:pStyle w:val="51"/>
              <w:spacing w:before="76"/>
              <w:ind w:left="28"/>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规格/型号</w:t>
            </w:r>
          </w:p>
        </w:tc>
        <w:tc>
          <w:tcPr>
            <w:tcW w:w="925" w:type="dxa"/>
            <w:tcBorders>
              <w:left w:val="single" w:color="000000" w:sz="6" w:space="0"/>
              <w:bottom w:val="single" w:color="000000" w:sz="6" w:space="0"/>
              <w:right w:val="single" w:color="000000" w:sz="6" w:space="0"/>
            </w:tcBorders>
          </w:tcPr>
          <w:p>
            <w:pPr>
              <w:pStyle w:val="51"/>
              <w:spacing w:before="76"/>
              <w:ind w:right="239"/>
              <w:jc w:val="right"/>
              <w:rPr>
                <w:rFonts w:hint="eastAsia" w:ascii="宋体" w:hAnsi="宋体" w:eastAsia="宋体" w:cs="宋体"/>
                <w:b/>
                <w:bCs/>
                <w:color w:val="auto"/>
                <w:sz w:val="24"/>
                <w:szCs w:val="24"/>
              </w:rPr>
            </w:pPr>
            <w:r>
              <w:rPr>
                <w:rFonts w:hint="eastAsia" w:ascii="宋体" w:hAnsi="宋体" w:eastAsia="宋体" w:cs="宋体"/>
                <w:b/>
                <w:bCs/>
                <w:color w:val="auto"/>
                <w:w w:val="95"/>
                <w:sz w:val="24"/>
                <w:szCs w:val="24"/>
              </w:rPr>
              <w:t>材质</w:t>
            </w:r>
          </w:p>
        </w:tc>
        <w:tc>
          <w:tcPr>
            <w:tcW w:w="652" w:type="dxa"/>
            <w:tcBorders>
              <w:left w:val="single" w:color="000000" w:sz="6" w:space="0"/>
              <w:bottom w:val="single" w:color="000000" w:sz="6" w:space="0"/>
            </w:tcBorders>
          </w:tcPr>
          <w:p>
            <w:pPr>
              <w:pStyle w:val="51"/>
              <w:spacing w:before="76"/>
              <w:ind w:left="108" w:right="75"/>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5" w:hRule="atLeast"/>
          <w:jc w:val="center"/>
        </w:trPr>
        <w:tc>
          <w:tcPr>
            <w:tcW w:w="706" w:type="dxa"/>
            <w:vMerge w:val="restart"/>
            <w:tcBorders>
              <w:top w:val="single" w:color="000000" w:sz="6" w:space="0"/>
              <w:bottom w:val="single" w:color="000000" w:sz="6" w:space="0"/>
              <w:right w:val="single" w:color="000000" w:sz="6" w:space="0"/>
            </w:tcBorders>
          </w:tcPr>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spacing w:before="12"/>
              <w:rPr>
                <w:rFonts w:hint="eastAsia" w:ascii="宋体" w:hAnsi="宋体" w:eastAsia="宋体" w:cs="宋体"/>
                <w:b/>
                <w:color w:val="auto"/>
                <w:sz w:val="24"/>
                <w:szCs w:val="24"/>
              </w:rPr>
            </w:pPr>
          </w:p>
          <w:p>
            <w:pPr>
              <w:pStyle w:val="51"/>
              <w:spacing w:line="278" w:lineRule="auto"/>
              <w:ind w:left="45" w:right="22"/>
              <w:jc w:val="center"/>
              <w:rPr>
                <w:rFonts w:hint="eastAsia" w:ascii="宋体" w:hAnsi="宋体" w:eastAsia="宋体" w:cs="宋体"/>
                <w:color w:val="auto"/>
                <w:sz w:val="24"/>
                <w:szCs w:val="24"/>
              </w:rPr>
            </w:pPr>
            <w:r>
              <w:rPr>
                <w:rFonts w:hint="eastAsia" w:ascii="宋体" w:hAnsi="宋体" w:eastAsia="宋体" w:cs="宋体"/>
                <w:color w:val="auto"/>
                <w:sz w:val="24"/>
                <w:szCs w:val="24"/>
              </w:rPr>
              <w:t>聚丙烯酸酯系列</w:t>
            </w: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13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1</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117"/>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丙烯酸反应釜</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131"/>
              <w:ind w:left="30"/>
              <w:jc w:val="center"/>
              <w:rPr>
                <w:rFonts w:hint="eastAsia" w:ascii="宋体" w:hAnsi="宋体" w:eastAsia="宋体" w:cs="宋体"/>
                <w:color w:val="auto"/>
                <w:sz w:val="24"/>
                <w:szCs w:val="24"/>
              </w:rPr>
            </w:pPr>
            <w:r>
              <w:rPr>
                <w:rFonts w:hint="eastAsia" w:ascii="宋体" w:hAnsi="宋体" w:eastAsia="宋体" w:cs="宋体"/>
                <w:color w:val="auto"/>
                <w:sz w:val="24"/>
                <w:szCs w:val="24"/>
              </w:rPr>
              <w:t>1×10000L/2×5000L/1×1000L</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131"/>
              <w:ind w:right="227"/>
              <w:jc w:val="right"/>
              <w:rPr>
                <w:rFonts w:hint="eastAsia" w:ascii="宋体" w:hAnsi="宋体" w:eastAsia="宋体" w:cs="宋体"/>
                <w:color w:val="auto"/>
                <w:sz w:val="24"/>
                <w:szCs w:val="24"/>
              </w:rPr>
            </w:pPr>
            <w:r>
              <w:rPr>
                <w:rFonts w:hint="eastAsia" w:ascii="宋体" w:hAnsi="宋体" w:eastAsia="宋体" w:cs="宋体"/>
                <w:color w:val="auto"/>
                <w:w w:val="95"/>
                <w:sz w:val="24"/>
                <w:szCs w:val="24"/>
              </w:rPr>
              <w:t>316L</w:t>
            </w:r>
          </w:p>
        </w:tc>
        <w:tc>
          <w:tcPr>
            <w:tcW w:w="652" w:type="dxa"/>
            <w:tcBorders>
              <w:top w:val="single" w:color="000000" w:sz="6" w:space="0"/>
              <w:left w:val="single" w:color="000000" w:sz="6" w:space="0"/>
              <w:bottom w:val="single" w:color="000000" w:sz="6" w:space="0"/>
            </w:tcBorders>
          </w:tcPr>
          <w:p>
            <w:pPr>
              <w:pStyle w:val="51"/>
              <w:spacing w:before="131"/>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8"/>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2</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4"/>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滴加釜</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8"/>
              <w:ind w:left="30"/>
              <w:jc w:val="center"/>
              <w:rPr>
                <w:rFonts w:hint="eastAsia" w:ascii="宋体" w:hAnsi="宋体" w:eastAsia="宋体" w:cs="宋体"/>
                <w:color w:val="auto"/>
                <w:sz w:val="24"/>
                <w:szCs w:val="24"/>
              </w:rPr>
            </w:pPr>
            <w:r>
              <w:rPr>
                <w:rFonts w:hint="eastAsia" w:ascii="宋体" w:hAnsi="宋体" w:eastAsia="宋体" w:cs="宋体"/>
                <w:color w:val="auto"/>
                <w:sz w:val="24"/>
                <w:szCs w:val="24"/>
              </w:rPr>
              <w:t>1×8000L/2×4000L/1×800L</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8"/>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8"/>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8"/>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3</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4"/>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冷凝器（列管式）</w:t>
            </w:r>
          </w:p>
        </w:tc>
        <w:tc>
          <w:tcPr>
            <w:tcW w:w="4318" w:type="dxa"/>
            <w:tcBorders>
              <w:top w:val="single" w:color="000000" w:sz="6" w:space="0"/>
              <w:left w:val="single" w:color="000000" w:sz="6" w:space="0"/>
              <w:bottom w:val="single" w:color="000000" w:sz="6" w:space="0"/>
              <w:right w:val="single" w:color="000000" w:sz="6" w:space="0"/>
            </w:tcBorders>
          </w:tcPr>
          <w:p>
            <w:pPr>
              <w:pStyle w:val="51"/>
              <w:rPr>
                <w:rFonts w:hint="eastAsia" w:ascii="宋体" w:hAnsi="宋体" w:eastAsia="宋体" w:cs="宋体"/>
                <w:color w:val="auto"/>
                <w:sz w:val="24"/>
                <w:szCs w:val="24"/>
              </w:rPr>
            </w:pP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8"/>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8"/>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8"/>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4"/>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冷凝器（夹套式）</w:t>
            </w:r>
          </w:p>
        </w:tc>
        <w:tc>
          <w:tcPr>
            <w:tcW w:w="4318" w:type="dxa"/>
            <w:tcBorders>
              <w:top w:val="single" w:color="000000" w:sz="6" w:space="0"/>
              <w:left w:val="single" w:color="000000" w:sz="6" w:space="0"/>
              <w:bottom w:val="single" w:color="000000" w:sz="6" w:space="0"/>
              <w:right w:val="single" w:color="000000" w:sz="6" w:space="0"/>
            </w:tcBorders>
          </w:tcPr>
          <w:p>
            <w:pPr>
              <w:pStyle w:val="51"/>
              <w:rPr>
                <w:rFonts w:hint="eastAsia" w:ascii="宋体" w:hAnsi="宋体" w:eastAsia="宋体" w:cs="宋体"/>
                <w:color w:val="auto"/>
                <w:sz w:val="24"/>
                <w:szCs w:val="24"/>
              </w:rPr>
            </w:pP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8"/>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8"/>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7"/>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5</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3"/>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分水器</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83"/>
              <w:ind w:left="30"/>
              <w:jc w:val="center"/>
              <w:rPr>
                <w:rFonts w:hint="eastAsia" w:ascii="宋体" w:hAnsi="宋体" w:eastAsia="宋体" w:cs="宋体"/>
                <w:color w:val="auto"/>
                <w:sz w:val="24"/>
                <w:szCs w:val="24"/>
              </w:rPr>
            </w:pPr>
            <w:r>
              <w:rPr>
                <w:rFonts w:hint="eastAsia" w:ascii="宋体" w:hAnsi="宋体" w:eastAsia="宋体" w:cs="宋体"/>
                <w:color w:val="auto"/>
                <w:sz w:val="24"/>
                <w:szCs w:val="24"/>
              </w:rPr>
              <w:t>200L（Ф300×400）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7"/>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7"/>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7"/>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6</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3"/>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过滤泵</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7"/>
              <w:ind w:left="26"/>
              <w:jc w:val="center"/>
              <w:rPr>
                <w:rFonts w:hint="eastAsia" w:ascii="宋体" w:hAnsi="宋体" w:eastAsia="宋体" w:cs="宋体"/>
                <w:color w:val="auto"/>
                <w:sz w:val="24"/>
                <w:szCs w:val="24"/>
              </w:rPr>
            </w:pPr>
            <w:r>
              <w:rPr>
                <w:rFonts w:hint="eastAsia" w:ascii="宋体" w:hAnsi="宋体" w:eastAsia="宋体" w:cs="宋体"/>
                <w:color w:val="auto"/>
                <w:sz w:val="24"/>
                <w:szCs w:val="24"/>
              </w:rPr>
              <w:t>NCB8/0.5</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7"/>
              <w:ind w:left="25"/>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w:t>
            </w:r>
          </w:p>
        </w:tc>
        <w:tc>
          <w:tcPr>
            <w:tcW w:w="652" w:type="dxa"/>
            <w:tcBorders>
              <w:top w:val="single" w:color="000000" w:sz="6" w:space="0"/>
              <w:left w:val="single" w:color="000000" w:sz="6" w:space="0"/>
              <w:bottom w:val="single" w:color="000000" w:sz="6" w:space="0"/>
            </w:tcBorders>
          </w:tcPr>
          <w:p>
            <w:pPr>
              <w:pStyle w:val="51"/>
              <w:spacing w:before="97"/>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9"/>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7</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5"/>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布袋过滤器</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9"/>
              <w:ind w:left="30"/>
              <w:jc w:val="center"/>
              <w:rPr>
                <w:rFonts w:hint="eastAsia" w:ascii="宋体" w:hAnsi="宋体" w:eastAsia="宋体" w:cs="宋体"/>
                <w:color w:val="auto"/>
                <w:sz w:val="24"/>
                <w:szCs w:val="24"/>
              </w:rPr>
            </w:pPr>
            <w:r>
              <w:rPr>
                <w:rFonts w:hint="eastAsia" w:ascii="宋体" w:hAnsi="宋体" w:eastAsia="宋体" w:cs="宋体"/>
                <w:color w:val="auto"/>
                <w:sz w:val="24"/>
                <w:szCs w:val="24"/>
              </w:rPr>
              <w:t>DL-1P2S-A</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9"/>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9"/>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8"/>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8</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4"/>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自吸泵</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8"/>
              <w:ind w:left="26"/>
              <w:jc w:val="center"/>
              <w:rPr>
                <w:rFonts w:hint="eastAsia" w:ascii="宋体" w:hAnsi="宋体" w:eastAsia="宋体" w:cs="宋体"/>
                <w:color w:val="auto"/>
                <w:sz w:val="24"/>
                <w:szCs w:val="24"/>
              </w:rPr>
            </w:pPr>
            <w:r>
              <w:rPr>
                <w:rFonts w:hint="eastAsia" w:ascii="宋体" w:hAnsi="宋体" w:eastAsia="宋体" w:cs="宋体"/>
                <w:color w:val="auto"/>
                <w:sz w:val="24"/>
                <w:szCs w:val="24"/>
              </w:rPr>
              <w:t>ZXB40-20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8"/>
              <w:ind w:left="25"/>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w:t>
            </w:r>
          </w:p>
        </w:tc>
        <w:tc>
          <w:tcPr>
            <w:tcW w:w="652" w:type="dxa"/>
            <w:tcBorders>
              <w:top w:val="single" w:color="000000" w:sz="6" w:space="0"/>
              <w:left w:val="single" w:color="000000" w:sz="6" w:space="0"/>
              <w:bottom w:val="single" w:color="000000" w:sz="6" w:space="0"/>
            </w:tcBorders>
          </w:tcPr>
          <w:p>
            <w:pPr>
              <w:pStyle w:val="51"/>
              <w:spacing w:before="98"/>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5" w:hRule="atLeast"/>
          <w:jc w:val="center"/>
        </w:trPr>
        <w:tc>
          <w:tcPr>
            <w:tcW w:w="706" w:type="dxa"/>
            <w:vMerge w:val="restart"/>
            <w:tcBorders>
              <w:top w:val="single" w:color="000000" w:sz="6" w:space="0"/>
              <w:bottom w:val="single" w:color="000000" w:sz="6" w:space="0"/>
              <w:right w:val="single" w:color="000000" w:sz="6" w:space="0"/>
            </w:tcBorders>
          </w:tcPr>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spacing w:before="1" w:line="278" w:lineRule="auto"/>
              <w:ind w:left="148" w:right="22" w:hanging="104"/>
              <w:rPr>
                <w:rFonts w:hint="eastAsia" w:ascii="宋体" w:hAnsi="宋体" w:eastAsia="宋体" w:cs="宋体"/>
                <w:color w:val="auto"/>
                <w:sz w:val="24"/>
                <w:szCs w:val="24"/>
              </w:rPr>
            </w:pPr>
            <w:r>
              <w:rPr>
                <w:rFonts w:hint="eastAsia" w:ascii="宋体" w:hAnsi="宋体" w:eastAsia="宋体" w:cs="宋体"/>
                <w:color w:val="auto"/>
                <w:sz w:val="24"/>
                <w:szCs w:val="24"/>
              </w:rPr>
              <w:t>聚氨酯系列</w:t>
            </w: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10"/>
              <w:rPr>
                <w:rFonts w:hint="eastAsia" w:ascii="宋体" w:hAnsi="宋体" w:eastAsia="宋体" w:cs="宋体"/>
                <w:b/>
                <w:color w:val="auto"/>
                <w:sz w:val="24"/>
                <w:szCs w:val="24"/>
              </w:rPr>
            </w:pPr>
          </w:p>
          <w:p>
            <w:pPr>
              <w:pStyle w:val="5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1</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
              <w:rPr>
                <w:rFonts w:hint="eastAsia" w:ascii="宋体" w:hAnsi="宋体" w:eastAsia="宋体" w:cs="宋体"/>
                <w:b/>
                <w:color w:val="auto"/>
                <w:sz w:val="24"/>
                <w:szCs w:val="24"/>
              </w:rPr>
            </w:pPr>
          </w:p>
          <w:p>
            <w:pPr>
              <w:pStyle w:val="51"/>
              <w:spacing w:before="1"/>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聚氨酯反应釜</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10"/>
              <w:rPr>
                <w:rFonts w:hint="eastAsia" w:ascii="宋体" w:hAnsi="宋体" w:eastAsia="宋体" w:cs="宋体"/>
                <w:b/>
                <w:color w:val="auto"/>
                <w:sz w:val="24"/>
                <w:szCs w:val="24"/>
              </w:rPr>
            </w:pPr>
          </w:p>
          <w:p>
            <w:pPr>
              <w:pStyle w:val="51"/>
              <w:ind w:left="33"/>
              <w:jc w:val="center"/>
              <w:rPr>
                <w:rFonts w:hint="eastAsia" w:ascii="宋体" w:hAnsi="宋体" w:eastAsia="宋体" w:cs="宋体"/>
                <w:color w:val="auto"/>
                <w:sz w:val="24"/>
                <w:szCs w:val="24"/>
              </w:rPr>
            </w:pPr>
            <w:r>
              <w:rPr>
                <w:rFonts w:hint="eastAsia" w:ascii="宋体" w:hAnsi="宋体" w:eastAsia="宋体" w:cs="宋体"/>
                <w:color w:val="auto"/>
                <w:sz w:val="24"/>
                <w:szCs w:val="24"/>
              </w:rPr>
              <w:t>2×10000L/2×5000L/1×1000L/1×300L</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10"/>
              <w:rPr>
                <w:rFonts w:hint="eastAsia" w:ascii="宋体" w:hAnsi="宋体" w:eastAsia="宋体" w:cs="宋体"/>
                <w:b/>
                <w:color w:val="auto"/>
                <w:sz w:val="24"/>
                <w:szCs w:val="24"/>
              </w:rPr>
            </w:pPr>
          </w:p>
          <w:p>
            <w:pPr>
              <w:pStyle w:val="51"/>
              <w:ind w:right="227"/>
              <w:jc w:val="right"/>
              <w:rPr>
                <w:rFonts w:hint="eastAsia" w:ascii="宋体" w:hAnsi="宋体" w:eastAsia="宋体" w:cs="宋体"/>
                <w:color w:val="auto"/>
                <w:sz w:val="24"/>
                <w:szCs w:val="24"/>
              </w:rPr>
            </w:pPr>
            <w:r>
              <w:rPr>
                <w:rFonts w:hint="eastAsia" w:ascii="宋体" w:hAnsi="宋体" w:eastAsia="宋体" w:cs="宋体"/>
                <w:color w:val="auto"/>
                <w:w w:val="95"/>
                <w:sz w:val="24"/>
                <w:szCs w:val="24"/>
              </w:rPr>
              <w:t>316L</w:t>
            </w:r>
          </w:p>
        </w:tc>
        <w:tc>
          <w:tcPr>
            <w:tcW w:w="652" w:type="dxa"/>
            <w:tcBorders>
              <w:top w:val="single" w:color="000000" w:sz="6" w:space="0"/>
              <w:left w:val="single" w:color="000000" w:sz="6" w:space="0"/>
              <w:bottom w:val="single" w:color="000000" w:sz="6" w:space="0"/>
            </w:tcBorders>
          </w:tcPr>
          <w:p>
            <w:pPr>
              <w:pStyle w:val="51"/>
              <w:spacing w:before="10"/>
              <w:rPr>
                <w:rFonts w:hint="eastAsia" w:ascii="宋体" w:hAnsi="宋体" w:eastAsia="宋体" w:cs="宋体"/>
                <w:b/>
                <w:color w:val="auto"/>
                <w:sz w:val="24"/>
                <w:szCs w:val="24"/>
              </w:rPr>
            </w:pPr>
          </w:p>
          <w:p>
            <w:pPr>
              <w:pStyle w:val="51"/>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3"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5"/>
              <w:rPr>
                <w:rFonts w:hint="eastAsia" w:ascii="宋体" w:hAnsi="宋体" w:eastAsia="宋体" w:cs="宋体"/>
                <w:b/>
                <w:color w:val="auto"/>
                <w:sz w:val="24"/>
                <w:szCs w:val="24"/>
              </w:rPr>
            </w:pPr>
          </w:p>
          <w:p>
            <w:pPr>
              <w:pStyle w:val="5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2</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4"/>
              <w:rPr>
                <w:rFonts w:hint="eastAsia" w:ascii="宋体" w:hAnsi="宋体" w:eastAsia="宋体" w:cs="宋体"/>
                <w:b/>
                <w:color w:val="auto"/>
                <w:sz w:val="24"/>
                <w:szCs w:val="24"/>
              </w:rPr>
            </w:pPr>
          </w:p>
          <w:p>
            <w:pPr>
              <w:pStyle w:val="51"/>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滴加釜</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5"/>
              <w:rPr>
                <w:rFonts w:hint="eastAsia" w:ascii="宋体" w:hAnsi="宋体" w:eastAsia="宋体" w:cs="宋体"/>
                <w:b/>
                <w:color w:val="auto"/>
                <w:sz w:val="24"/>
                <w:szCs w:val="24"/>
              </w:rPr>
            </w:pPr>
          </w:p>
          <w:p>
            <w:pPr>
              <w:pStyle w:val="51"/>
              <w:ind w:left="33"/>
              <w:jc w:val="center"/>
              <w:rPr>
                <w:rFonts w:hint="eastAsia" w:ascii="宋体" w:hAnsi="宋体" w:eastAsia="宋体" w:cs="宋体"/>
                <w:color w:val="auto"/>
                <w:sz w:val="24"/>
                <w:szCs w:val="24"/>
              </w:rPr>
            </w:pPr>
            <w:r>
              <w:rPr>
                <w:rFonts w:hint="eastAsia" w:ascii="宋体" w:hAnsi="宋体" w:eastAsia="宋体" w:cs="宋体"/>
                <w:color w:val="auto"/>
                <w:sz w:val="24"/>
                <w:szCs w:val="24"/>
              </w:rPr>
              <w:t>2×8000L/1×3000L+1x2000L/1×800L/1×200L</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5"/>
              <w:rPr>
                <w:rFonts w:hint="eastAsia" w:ascii="宋体" w:hAnsi="宋体" w:eastAsia="宋体" w:cs="宋体"/>
                <w:b/>
                <w:color w:val="auto"/>
                <w:sz w:val="24"/>
                <w:szCs w:val="24"/>
              </w:rPr>
            </w:pPr>
          </w:p>
          <w:p>
            <w:pPr>
              <w:pStyle w:val="51"/>
              <w:ind w:right="227"/>
              <w:jc w:val="right"/>
              <w:rPr>
                <w:rFonts w:hint="eastAsia" w:ascii="宋体" w:hAnsi="宋体" w:eastAsia="宋体" w:cs="宋体"/>
                <w:color w:val="auto"/>
                <w:sz w:val="24"/>
                <w:szCs w:val="24"/>
              </w:rPr>
            </w:pPr>
            <w:r>
              <w:rPr>
                <w:rFonts w:hint="eastAsia" w:ascii="宋体" w:hAnsi="宋体" w:eastAsia="宋体" w:cs="宋体"/>
                <w:color w:val="auto"/>
                <w:w w:val="95"/>
                <w:sz w:val="24"/>
                <w:szCs w:val="24"/>
              </w:rPr>
              <w:t>316L</w:t>
            </w:r>
          </w:p>
        </w:tc>
        <w:tc>
          <w:tcPr>
            <w:tcW w:w="652" w:type="dxa"/>
            <w:tcBorders>
              <w:top w:val="single" w:color="000000" w:sz="6" w:space="0"/>
              <w:left w:val="single" w:color="000000" w:sz="6" w:space="0"/>
              <w:bottom w:val="single" w:color="000000" w:sz="6" w:space="0"/>
            </w:tcBorders>
          </w:tcPr>
          <w:p>
            <w:pPr>
              <w:pStyle w:val="51"/>
              <w:spacing w:before="5"/>
              <w:rPr>
                <w:rFonts w:hint="eastAsia" w:ascii="宋体" w:hAnsi="宋体" w:eastAsia="宋体" w:cs="宋体"/>
                <w:b/>
                <w:color w:val="auto"/>
                <w:sz w:val="24"/>
                <w:szCs w:val="24"/>
              </w:rPr>
            </w:pPr>
          </w:p>
          <w:p>
            <w:pPr>
              <w:pStyle w:val="51"/>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8"/>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3</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4"/>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冷凝器（列管式）</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84"/>
              <w:ind w:left="28"/>
              <w:jc w:val="center"/>
              <w:rPr>
                <w:rFonts w:hint="eastAsia" w:ascii="宋体" w:hAnsi="宋体" w:eastAsia="宋体" w:cs="宋体"/>
                <w:color w:val="auto"/>
                <w:sz w:val="24"/>
                <w:szCs w:val="24"/>
              </w:rPr>
            </w:pPr>
            <w:r>
              <w:rPr>
                <w:rFonts w:hint="eastAsia" w:ascii="宋体" w:hAnsi="宋体" w:eastAsia="宋体" w:cs="宋体"/>
                <w:color w:val="auto"/>
                <w:sz w:val="24"/>
                <w:szCs w:val="24"/>
              </w:rPr>
              <w:t>F=30m</w:t>
            </w:r>
            <w:r>
              <w:rPr>
                <w:rFonts w:hint="eastAsia" w:ascii="宋体" w:hAnsi="宋体" w:eastAsia="宋体" w:cs="宋体"/>
                <w:color w:val="auto"/>
                <w:position w:val="7"/>
                <w:sz w:val="24"/>
                <w:szCs w:val="24"/>
              </w:rPr>
              <w:t>2</w:t>
            </w:r>
            <w:r>
              <w:rPr>
                <w:rFonts w:hint="eastAsia" w:ascii="宋体" w:hAnsi="宋体" w:eastAsia="宋体" w:cs="宋体"/>
                <w:color w:val="auto"/>
                <w:sz w:val="24"/>
                <w:szCs w:val="24"/>
              </w:rPr>
              <w:t>（Ф400×3700）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8"/>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8"/>
              <w:ind w:left="108" w:right="72"/>
              <w:jc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7"/>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3"/>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冷凝器（夹套式）</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7"/>
              <w:ind w:left="29"/>
              <w:jc w:val="center"/>
              <w:rPr>
                <w:rFonts w:hint="eastAsia" w:ascii="宋体" w:hAnsi="宋体" w:eastAsia="宋体" w:cs="宋体"/>
                <w:color w:val="auto"/>
                <w:sz w:val="24"/>
                <w:szCs w:val="24"/>
              </w:rPr>
            </w:pPr>
            <w:r>
              <w:rPr>
                <w:rFonts w:hint="eastAsia" w:ascii="宋体" w:hAnsi="宋体" w:eastAsia="宋体" w:cs="宋体"/>
                <w:color w:val="auto"/>
                <w:sz w:val="24"/>
                <w:szCs w:val="24"/>
              </w:rPr>
              <w:t>Ф300/400×2000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7"/>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7"/>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48"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7"/>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5</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3"/>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分水器</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83"/>
              <w:ind w:left="30"/>
              <w:jc w:val="center"/>
              <w:rPr>
                <w:rFonts w:hint="eastAsia" w:ascii="宋体" w:hAnsi="宋体" w:eastAsia="宋体" w:cs="宋体"/>
                <w:color w:val="auto"/>
                <w:sz w:val="24"/>
                <w:szCs w:val="24"/>
              </w:rPr>
            </w:pPr>
            <w:r>
              <w:rPr>
                <w:rFonts w:hint="eastAsia" w:ascii="宋体" w:hAnsi="宋体" w:eastAsia="宋体" w:cs="宋体"/>
                <w:color w:val="auto"/>
                <w:sz w:val="24"/>
                <w:szCs w:val="24"/>
              </w:rPr>
              <w:t>200L（Ф300×400）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7"/>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7"/>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9"/>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6</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5"/>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过滤泵</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9"/>
              <w:ind w:left="26"/>
              <w:jc w:val="center"/>
              <w:rPr>
                <w:rFonts w:hint="eastAsia" w:ascii="宋体" w:hAnsi="宋体" w:eastAsia="宋体" w:cs="宋体"/>
                <w:color w:val="auto"/>
                <w:sz w:val="24"/>
                <w:szCs w:val="24"/>
              </w:rPr>
            </w:pPr>
            <w:r>
              <w:rPr>
                <w:rFonts w:hint="eastAsia" w:ascii="宋体" w:hAnsi="宋体" w:eastAsia="宋体" w:cs="宋体"/>
                <w:color w:val="auto"/>
                <w:sz w:val="24"/>
                <w:szCs w:val="24"/>
              </w:rPr>
              <w:t>NCB8/0.5</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9"/>
              <w:ind w:left="25"/>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w:t>
            </w:r>
          </w:p>
        </w:tc>
        <w:tc>
          <w:tcPr>
            <w:tcW w:w="652" w:type="dxa"/>
            <w:tcBorders>
              <w:top w:val="single" w:color="000000" w:sz="6" w:space="0"/>
              <w:left w:val="single" w:color="000000" w:sz="6" w:space="0"/>
              <w:bottom w:val="single" w:color="000000" w:sz="6" w:space="0"/>
            </w:tcBorders>
          </w:tcPr>
          <w:p>
            <w:pPr>
              <w:pStyle w:val="51"/>
              <w:spacing w:before="99"/>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8"/>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7</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4"/>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布袋过滤器</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8"/>
              <w:ind w:left="30"/>
              <w:jc w:val="center"/>
              <w:rPr>
                <w:rFonts w:hint="eastAsia" w:ascii="宋体" w:hAnsi="宋体" w:eastAsia="宋体" w:cs="宋体"/>
                <w:color w:val="auto"/>
                <w:sz w:val="24"/>
                <w:szCs w:val="24"/>
              </w:rPr>
            </w:pPr>
            <w:r>
              <w:rPr>
                <w:rFonts w:hint="eastAsia" w:ascii="宋体" w:hAnsi="宋体" w:eastAsia="宋体" w:cs="宋体"/>
                <w:color w:val="auto"/>
                <w:sz w:val="24"/>
                <w:szCs w:val="24"/>
              </w:rPr>
              <w:t>DL-1P2S-A</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8"/>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8"/>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48" w:hRule="atLeast"/>
          <w:jc w:val="center"/>
        </w:trPr>
        <w:tc>
          <w:tcPr>
            <w:tcW w:w="706" w:type="dxa"/>
            <w:vMerge w:val="continue"/>
            <w:tcBorders>
              <w:top w:val="nil"/>
              <w:bottom w:val="single" w:color="000000" w:sz="6" w:space="0"/>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8"/>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8</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84"/>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自吸泵</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8"/>
              <w:ind w:left="26"/>
              <w:jc w:val="center"/>
              <w:rPr>
                <w:rFonts w:hint="eastAsia" w:ascii="宋体" w:hAnsi="宋体" w:eastAsia="宋体" w:cs="宋体"/>
                <w:color w:val="auto"/>
                <w:sz w:val="24"/>
                <w:szCs w:val="24"/>
              </w:rPr>
            </w:pPr>
            <w:r>
              <w:rPr>
                <w:rFonts w:hint="eastAsia" w:ascii="宋体" w:hAnsi="宋体" w:eastAsia="宋体" w:cs="宋体"/>
                <w:color w:val="auto"/>
                <w:sz w:val="24"/>
                <w:szCs w:val="24"/>
              </w:rPr>
              <w:t>ZXB40-20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8"/>
              <w:ind w:left="25"/>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w:t>
            </w:r>
          </w:p>
        </w:tc>
        <w:tc>
          <w:tcPr>
            <w:tcW w:w="652" w:type="dxa"/>
            <w:tcBorders>
              <w:top w:val="single" w:color="000000" w:sz="6" w:space="0"/>
              <w:left w:val="single" w:color="000000" w:sz="6" w:space="0"/>
              <w:bottom w:val="single" w:color="000000" w:sz="6" w:space="0"/>
            </w:tcBorders>
          </w:tcPr>
          <w:p>
            <w:pPr>
              <w:pStyle w:val="51"/>
              <w:spacing w:before="98"/>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2" w:hRule="atLeast"/>
          <w:jc w:val="center"/>
        </w:trPr>
        <w:tc>
          <w:tcPr>
            <w:tcW w:w="706" w:type="dxa"/>
            <w:vMerge w:val="restart"/>
            <w:tcBorders>
              <w:top w:val="single" w:color="000000" w:sz="6" w:space="0"/>
              <w:right w:val="single" w:color="000000" w:sz="6" w:space="0"/>
            </w:tcBorders>
          </w:tcPr>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rPr>
                <w:rFonts w:hint="eastAsia" w:ascii="宋体" w:hAnsi="宋体" w:eastAsia="宋体" w:cs="宋体"/>
                <w:b/>
                <w:color w:val="auto"/>
                <w:sz w:val="24"/>
                <w:szCs w:val="24"/>
              </w:rPr>
            </w:pPr>
          </w:p>
          <w:p>
            <w:pPr>
              <w:pStyle w:val="51"/>
              <w:spacing w:before="12"/>
              <w:rPr>
                <w:rFonts w:hint="eastAsia" w:ascii="宋体" w:hAnsi="宋体" w:eastAsia="宋体" w:cs="宋体"/>
                <w:b/>
                <w:color w:val="auto"/>
                <w:sz w:val="24"/>
                <w:szCs w:val="24"/>
              </w:rPr>
            </w:pPr>
          </w:p>
          <w:p>
            <w:pPr>
              <w:pStyle w:val="51"/>
              <w:spacing w:line="278" w:lineRule="auto"/>
              <w:ind w:left="148" w:right="22" w:hanging="104"/>
              <w:rPr>
                <w:rFonts w:hint="eastAsia" w:ascii="宋体" w:hAnsi="宋体" w:eastAsia="宋体" w:cs="宋体"/>
                <w:color w:val="auto"/>
                <w:sz w:val="24"/>
                <w:szCs w:val="24"/>
              </w:rPr>
            </w:pPr>
            <w:r>
              <w:rPr>
                <w:rFonts w:hint="eastAsia" w:ascii="宋体" w:hAnsi="宋体" w:eastAsia="宋体" w:cs="宋体"/>
                <w:color w:val="auto"/>
                <w:sz w:val="24"/>
                <w:szCs w:val="24"/>
              </w:rPr>
              <w:t>有机硅系列</w:t>
            </w:r>
          </w:p>
        </w:tc>
        <w:tc>
          <w:tcPr>
            <w:tcW w:w="561" w:type="dxa"/>
            <w:tcBorders>
              <w:top w:val="single" w:color="000000" w:sz="6" w:space="0"/>
              <w:left w:val="single" w:color="000000" w:sz="6" w:space="0"/>
              <w:bottom w:val="single" w:color="000000" w:sz="6" w:space="0"/>
              <w:right w:val="single" w:color="000000" w:sz="6" w:space="0"/>
            </w:tcBorders>
          </w:tcPr>
          <w:p>
            <w:pPr>
              <w:pStyle w:val="51"/>
              <w:rPr>
                <w:rFonts w:hint="eastAsia" w:ascii="宋体" w:hAnsi="宋体" w:eastAsia="宋体" w:cs="宋体"/>
                <w:b/>
                <w:color w:val="auto"/>
                <w:sz w:val="24"/>
                <w:szCs w:val="24"/>
              </w:rPr>
            </w:pPr>
          </w:p>
          <w:p>
            <w:pPr>
              <w:pStyle w:val="5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1</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12"/>
              <w:rPr>
                <w:rFonts w:hint="eastAsia" w:ascii="宋体" w:hAnsi="宋体" w:eastAsia="宋体" w:cs="宋体"/>
                <w:b/>
                <w:color w:val="auto"/>
                <w:sz w:val="24"/>
                <w:szCs w:val="24"/>
              </w:rPr>
            </w:pPr>
          </w:p>
          <w:p>
            <w:pPr>
              <w:pStyle w:val="51"/>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有机硅反应釜</w:t>
            </w:r>
          </w:p>
        </w:tc>
        <w:tc>
          <w:tcPr>
            <w:tcW w:w="4318" w:type="dxa"/>
            <w:tcBorders>
              <w:top w:val="single" w:color="000000" w:sz="6" w:space="0"/>
              <w:left w:val="single" w:color="000000" w:sz="6" w:space="0"/>
              <w:bottom w:val="single" w:color="000000" w:sz="6" w:space="0"/>
              <w:right w:val="single" w:color="000000" w:sz="6" w:space="0"/>
            </w:tcBorders>
          </w:tcPr>
          <w:p>
            <w:pPr>
              <w:pStyle w:val="51"/>
              <w:rPr>
                <w:rFonts w:hint="eastAsia" w:ascii="宋体" w:hAnsi="宋体" w:eastAsia="宋体" w:cs="宋体"/>
                <w:b/>
                <w:color w:val="auto"/>
                <w:sz w:val="24"/>
                <w:szCs w:val="24"/>
              </w:rPr>
            </w:pPr>
          </w:p>
          <w:p>
            <w:pPr>
              <w:pStyle w:val="51"/>
              <w:ind w:left="33"/>
              <w:jc w:val="center"/>
              <w:rPr>
                <w:rFonts w:hint="eastAsia" w:ascii="宋体" w:hAnsi="宋体" w:eastAsia="宋体" w:cs="宋体"/>
                <w:color w:val="auto"/>
                <w:sz w:val="24"/>
                <w:szCs w:val="24"/>
              </w:rPr>
            </w:pPr>
            <w:r>
              <w:rPr>
                <w:rFonts w:hint="eastAsia" w:ascii="宋体" w:hAnsi="宋体" w:eastAsia="宋体" w:cs="宋体"/>
                <w:color w:val="auto"/>
                <w:sz w:val="24"/>
                <w:szCs w:val="24"/>
              </w:rPr>
              <w:t>1×10000L/2×5000L/1×1000L/1×300L</w:t>
            </w:r>
          </w:p>
        </w:tc>
        <w:tc>
          <w:tcPr>
            <w:tcW w:w="925" w:type="dxa"/>
            <w:tcBorders>
              <w:top w:val="single" w:color="000000" w:sz="6" w:space="0"/>
              <w:left w:val="single" w:color="000000" w:sz="6" w:space="0"/>
              <w:bottom w:val="single" w:color="000000" w:sz="6" w:space="0"/>
              <w:right w:val="single" w:color="000000" w:sz="6" w:space="0"/>
            </w:tcBorders>
          </w:tcPr>
          <w:p>
            <w:pPr>
              <w:pStyle w:val="51"/>
              <w:rPr>
                <w:rFonts w:hint="eastAsia" w:ascii="宋体" w:hAnsi="宋体" w:eastAsia="宋体" w:cs="宋体"/>
                <w:b/>
                <w:color w:val="auto"/>
                <w:sz w:val="24"/>
                <w:szCs w:val="24"/>
              </w:rPr>
            </w:pPr>
          </w:p>
          <w:p>
            <w:pPr>
              <w:pStyle w:val="51"/>
              <w:ind w:right="227"/>
              <w:jc w:val="right"/>
              <w:rPr>
                <w:rFonts w:hint="eastAsia" w:ascii="宋体" w:hAnsi="宋体" w:eastAsia="宋体" w:cs="宋体"/>
                <w:color w:val="auto"/>
                <w:sz w:val="24"/>
                <w:szCs w:val="24"/>
              </w:rPr>
            </w:pPr>
            <w:r>
              <w:rPr>
                <w:rFonts w:hint="eastAsia" w:ascii="宋体" w:hAnsi="宋体" w:eastAsia="宋体" w:cs="宋体"/>
                <w:color w:val="auto"/>
                <w:w w:val="95"/>
                <w:sz w:val="24"/>
                <w:szCs w:val="24"/>
              </w:rPr>
              <w:t>316L</w:t>
            </w:r>
          </w:p>
        </w:tc>
        <w:tc>
          <w:tcPr>
            <w:tcW w:w="652" w:type="dxa"/>
            <w:tcBorders>
              <w:top w:val="single" w:color="000000" w:sz="6" w:space="0"/>
              <w:left w:val="single" w:color="000000" w:sz="6" w:space="0"/>
              <w:bottom w:val="single" w:color="000000" w:sz="6" w:space="0"/>
            </w:tcBorders>
          </w:tcPr>
          <w:p>
            <w:pPr>
              <w:pStyle w:val="51"/>
              <w:rPr>
                <w:rFonts w:hint="eastAsia" w:ascii="宋体" w:hAnsi="宋体" w:eastAsia="宋体" w:cs="宋体"/>
                <w:b/>
                <w:color w:val="auto"/>
                <w:sz w:val="24"/>
                <w:szCs w:val="24"/>
              </w:rPr>
            </w:pPr>
          </w:p>
          <w:p>
            <w:pPr>
              <w:pStyle w:val="51"/>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35" w:hRule="atLeast"/>
          <w:jc w:val="center"/>
        </w:trPr>
        <w:tc>
          <w:tcPr>
            <w:tcW w:w="706" w:type="dxa"/>
            <w:vMerge w:val="continue"/>
            <w:tcBorders>
              <w:top w:val="nil"/>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6"/>
              <w:rPr>
                <w:rFonts w:hint="eastAsia" w:ascii="宋体" w:hAnsi="宋体" w:eastAsia="宋体" w:cs="宋体"/>
                <w:b/>
                <w:color w:val="auto"/>
                <w:sz w:val="24"/>
                <w:szCs w:val="24"/>
              </w:rPr>
            </w:pPr>
          </w:p>
          <w:p>
            <w:pPr>
              <w:pStyle w:val="5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2</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5"/>
              <w:rPr>
                <w:rFonts w:hint="eastAsia" w:ascii="宋体" w:hAnsi="宋体" w:eastAsia="宋体" w:cs="宋体"/>
                <w:b/>
                <w:color w:val="auto"/>
                <w:sz w:val="24"/>
                <w:szCs w:val="24"/>
              </w:rPr>
            </w:pPr>
          </w:p>
          <w:p>
            <w:pPr>
              <w:pStyle w:val="51"/>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滴加釜</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6"/>
              <w:rPr>
                <w:rFonts w:hint="eastAsia" w:ascii="宋体" w:hAnsi="宋体" w:eastAsia="宋体" w:cs="宋体"/>
                <w:b/>
                <w:color w:val="auto"/>
                <w:sz w:val="24"/>
                <w:szCs w:val="24"/>
              </w:rPr>
            </w:pPr>
          </w:p>
          <w:p>
            <w:pPr>
              <w:pStyle w:val="51"/>
              <w:ind w:left="33"/>
              <w:jc w:val="center"/>
              <w:rPr>
                <w:rFonts w:hint="eastAsia" w:ascii="宋体" w:hAnsi="宋体" w:eastAsia="宋体" w:cs="宋体"/>
                <w:color w:val="auto"/>
                <w:sz w:val="24"/>
                <w:szCs w:val="24"/>
              </w:rPr>
            </w:pPr>
            <w:r>
              <w:rPr>
                <w:rFonts w:hint="eastAsia" w:ascii="宋体" w:hAnsi="宋体" w:eastAsia="宋体" w:cs="宋体"/>
                <w:color w:val="auto"/>
                <w:sz w:val="24"/>
                <w:szCs w:val="24"/>
              </w:rPr>
              <w:t>1×8000L/2×4000L/1×800L/1×200L</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6"/>
              <w:rPr>
                <w:rFonts w:hint="eastAsia" w:ascii="宋体" w:hAnsi="宋体" w:eastAsia="宋体" w:cs="宋体"/>
                <w:b/>
                <w:color w:val="auto"/>
                <w:sz w:val="24"/>
                <w:szCs w:val="24"/>
              </w:rPr>
            </w:pPr>
          </w:p>
          <w:p>
            <w:pPr>
              <w:pStyle w:val="51"/>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6"/>
              <w:rPr>
                <w:rFonts w:hint="eastAsia" w:ascii="宋体" w:hAnsi="宋体" w:eastAsia="宋体" w:cs="宋体"/>
                <w:b/>
                <w:color w:val="auto"/>
                <w:sz w:val="24"/>
                <w:szCs w:val="24"/>
              </w:rPr>
            </w:pPr>
          </w:p>
          <w:p>
            <w:pPr>
              <w:pStyle w:val="51"/>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jc w:val="center"/>
        </w:trPr>
        <w:tc>
          <w:tcPr>
            <w:tcW w:w="706" w:type="dxa"/>
            <w:vMerge w:val="continue"/>
            <w:tcBorders>
              <w:top w:val="nil"/>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3</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77"/>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冷凝器（列管式）</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77"/>
              <w:ind w:left="28"/>
              <w:jc w:val="center"/>
              <w:rPr>
                <w:rFonts w:hint="eastAsia" w:ascii="宋体" w:hAnsi="宋体" w:eastAsia="宋体" w:cs="宋体"/>
                <w:color w:val="auto"/>
                <w:sz w:val="24"/>
                <w:szCs w:val="24"/>
              </w:rPr>
            </w:pPr>
            <w:r>
              <w:rPr>
                <w:rFonts w:hint="eastAsia" w:ascii="宋体" w:hAnsi="宋体" w:eastAsia="宋体" w:cs="宋体"/>
                <w:color w:val="auto"/>
                <w:sz w:val="24"/>
                <w:szCs w:val="24"/>
              </w:rPr>
              <w:t>F=30m</w:t>
            </w:r>
            <w:r>
              <w:rPr>
                <w:rFonts w:hint="eastAsia" w:ascii="宋体" w:hAnsi="宋体" w:eastAsia="宋体" w:cs="宋体"/>
                <w:color w:val="auto"/>
                <w:position w:val="7"/>
                <w:sz w:val="24"/>
                <w:szCs w:val="24"/>
              </w:rPr>
              <w:t>2</w:t>
            </w:r>
            <w:r>
              <w:rPr>
                <w:rFonts w:hint="eastAsia" w:ascii="宋体" w:hAnsi="宋体" w:eastAsia="宋体" w:cs="宋体"/>
                <w:color w:val="auto"/>
                <w:sz w:val="24"/>
                <w:szCs w:val="24"/>
              </w:rPr>
              <w:t>（Ф400×3700）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1"/>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1"/>
              <w:ind w:left="108" w:right="72"/>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706" w:type="dxa"/>
            <w:vMerge w:val="continue"/>
            <w:tcBorders>
              <w:top w:val="nil"/>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bottom w:val="single" w:color="000000" w:sz="6" w:space="0"/>
              <w:right w:val="single" w:color="000000" w:sz="6" w:space="0"/>
            </w:tcBorders>
          </w:tcPr>
          <w:p>
            <w:pPr>
              <w:pStyle w:val="51"/>
              <w:spacing w:before="9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4</w:t>
            </w:r>
          </w:p>
        </w:tc>
        <w:tc>
          <w:tcPr>
            <w:tcW w:w="1775" w:type="dxa"/>
            <w:tcBorders>
              <w:top w:val="single" w:color="000000" w:sz="6" w:space="0"/>
              <w:left w:val="single" w:color="000000" w:sz="6" w:space="0"/>
              <w:bottom w:val="single" w:color="000000" w:sz="6" w:space="0"/>
              <w:right w:val="single" w:color="000000" w:sz="6" w:space="0"/>
            </w:tcBorders>
          </w:tcPr>
          <w:p>
            <w:pPr>
              <w:pStyle w:val="51"/>
              <w:spacing w:before="77"/>
              <w:ind w:left="50" w:right="26"/>
              <w:jc w:val="center"/>
              <w:rPr>
                <w:rFonts w:hint="eastAsia" w:ascii="宋体" w:hAnsi="宋体" w:eastAsia="宋体" w:cs="宋体"/>
                <w:color w:val="auto"/>
                <w:sz w:val="24"/>
                <w:szCs w:val="24"/>
              </w:rPr>
            </w:pPr>
            <w:r>
              <w:rPr>
                <w:rFonts w:hint="eastAsia" w:ascii="宋体" w:hAnsi="宋体" w:eastAsia="宋体" w:cs="宋体"/>
                <w:color w:val="auto"/>
                <w:sz w:val="24"/>
                <w:szCs w:val="24"/>
              </w:rPr>
              <w:t>冷凝器（夹套式）</w:t>
            </w:r>
          </w:p>
        </w:tc>
        <w:tc>
          <w:tcPr>
            <w:tcW w:w="4318" w:type="dxa"/>
            <w:tcBorders>
              <w:top w:val="single" w:color="000000" w:sz="6" w:space="0"/>
              <w:left w:val="single" w:color="000000" w:sz="6" w:space="0"/>
              <w:bottom w:val="single" w:color="000000" w:sz="6" w:space="0"/>
              <w:right w:val="single" w:color="000000" w:sz="6" w:space="0"/>
            </w:tcBorders>
          </w:tcPr>
          <w:p>
            <w:pPr>
              <w:pStyle w:val="51"/>
              <w:spacing w:before="91"/>
              <w:ind w:left="29"/>
              <w:jc w:val="center"/>
              <w:rPr>
                <w:rFonts w:hint="eastAsia" w:ascii="宋体" w:hAnsi="宋体" w:eastAsia="宋体" w:cs="宋体"/>
                <w:color w:val="auto"/>
                <w:sz w:val="24"/>
                <w:szCs w:val="24"/>
              </w:rPr>
            </w:pPr>
            <w:r>
              <w:rPr>
                <w:rFonts w:hint="eastAsia" w:ascii="宋体" w:hAnsi="宋体" w:eastAsia="宋体" w:cs="宋体"/>
                <w:color w:val="auto"/>
                <w:sz w:val="24"/>
                <w:szCs w:val="24"/>
              </w:rPr>
              <w:t>Ф300/400×2000</w:t>
            </w:r>
          </w:p>
        </w:tc>
        <w:tc>
          <w:tcPr>
            <w:tcW w:w="925" w:type="dxa"/>
            <w:tcBorders>
              <w:top w:val="single" w:color="000000" w:sz="6" w:space="0"/>
              <w:left w:val="single" w:color="000000" w:sz="6" w:space="0"/>
              <w:bottom w:val="single" w:color="000000" w:sz="6" w:space="0"/>
              <w:right w:val="single" w:color="000000" w:sz="6" w:space="0"/>
            </w:tcBorders>
          </w:tcPr>
          <w:p>
            <w:pPr>
              <w:pStyle w:val="51"/>
              <w:spacing w:before="91"/>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bottom w:val="single" w:color="000000" w:sz="6" w:space="0"/>
            </w:tcBorders>
          </w:tcPr>
          <w:p>
            <w:pPr>
              <w:pStyle w:val="51"/>
              <w:spacing w:before="91"/>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2" w:hRule="atLeast"/>
          <w:jc w:val="center"/>
        </w:trPr>
        <w:tc>
          <w:tcPr>
            <w:tcW w:w="706" w:type="dxa"/>
            <w:vMerge w:val="continue"/>
            <w:tcBorders>
              <w:top w:val="nil"/>
              <w:right w:val="single" w:color="000000" w:sz="6" w:space="0"/>
            </w:tcBorders>
          </w:tcPr>
          <w:p>
            <w:pPr>
              <w:rPr>
                <w:rFonts w:hint="eastAsia" w:ascii="宋体" w:hAnsi="宋体" w:eastAsia="宋体" w:cs="宋体"/>
                <w:color w:val="auto"/>
                <w:sz w:val="24"/>
                <w:szCs w:val="24"/>
              </w:rPr>
            </w:pPr>
          </w:p>
        </w:tc>
        <w:tc>
          <w:tcPr>
            <w:tcW w:w="561" w:type="dxa"/>
            <w:tcBorders>
              <w:top w:val="single" w:color="000000" w:sz="6" w:space="0"/>
              <w:left w:val="single" w:color="000000" w:sz="6" w:space="0"/>
              <w:right w:val="single" w:color="000000" w:sz="6" w:space="0"/>
            </w:tcBorders>
          </w:tcPr>
          <w:p>
            <w:pPr>
              <w:pStyle w:val="51"/>
              <w:spacing w:before="91"/>
              <w:ind w:left="28"/>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5</w:t>
            </w:r>
          </w:p>
        </w:tc>
        <w:tc>
          <w:tcPr>
            <w:tcW w:w="1775" w:type="dxa"/>
            <w:tcBorders>
              <w:top w:val="single" w:color="000000" w:sz="6" w:space="0"/>
              <w:left w:val="single" w:color="000000" w:sz="6" w:space="0"/>
              <w:right w:val="single" w:color="000000" w:sz="6" w:space="0"/>
            </w:tcBorders>
          </w:tcPr>
          <w:p>
            <w:pPr>
              <w:pStyle w:val="51"/>
              <w:spacing w:before="77"/>
              <w:ind w:left="50" w:right="24"/>
              <w:jc w:val="center"/>
              <w:rPr>
                <w:rFonts w:hint="eastAsia" w:ascii="宋体" w:hAnsi="宋体" w:eastAsia="宋体" w:cs="宋体"/>
                <w:color w:val="auto"/>
                <w:sz w:val="24"/>
                <w:szCs w:val="24"/>
              </w:rPr>
            </w:pPr>
            <w:r>
              <w:rPr>
                <w:rFonts w:hint="eastAsia" w:ascii="宋体" w:hAnsi="宋体" w:eastAsia="宋体" w:cs="宋体"/>
                <w:color w:val="auto"/>
                <w:sz w:val="24"/>
                <w:szCs w:val="24"/>
              </w:rPr>
              <w:t>分水器</w:t>
            </w:r>
          </w:p>
        </w:tc>
        <w:tc>
          <w:tcPr>
            <w:tcW w:w="4318" w:type="dxa"/>
            <w:tcBorders>
              <w:top w:val="single" w:color="000000" w:sz="6" w:space="0"/>
              <w:left w:val="single" w:color="000000" w:sz="6" w:space="0"/>
              <w:right w:val="single" w:color="000000" w:sz="6" w:space="0"/>
            </w:tcBorders>
          </w:tcPr>
          <w:p>
            <w:pPr>
              <w:pStyle w:val="51"/>
              <w:spacing w:before="77"/>
              <w:ind w:left="30"/>
              <w:jc w:val="center"/>
              <w:rPr>
                <w:rFonts w:hint="eastAsia" w:ascii="宋体" w:hAnsi="宋体" w:eastAsia="宋体" w:cs="宋体"/>
                <w:color w:val="auto"/>
                <w:sz w:val="24"/>
                <w:szCs w:val="24"/>
              </w:rPr>
            </w:pPr>
            <w:r>
              <w:rPr>
                <w:rFonts w:hint="eastAsia" w:ascii="宋体" w:hAnsi="宋体" w:eastAsia="宋体" w:cs="宋体"/>
                <w:color w:val="auto"/>
                <w:sz w:val="24"/>
                <w:szCs w:val="24"/>
              </w:rPr>
              <w:t>200L（Ф300×400）</w:t>
            </w:r>
          </w:p>
        </w:tc>
        <w:tc>
          <w:tcPr>
            <w:tcW w:w="925" w:type="dxa"/>
            <w:tcBorders>
              <w:top w:val="single" w:color="000000" w:sz="6" w:space="0"/>
              <w:left w:val="single" w:color="000000" w:sz="6" w:space="0"/>
              <w:right w:val="single" w:color="000000" w:sz="6" w:space="0"/>
            </w:tcBorders>
          </w:tcPr>
          <w:p>
            <w:pPr>
              <w:pStyle w:val="51"/>
              <w:spacing w:before="91"/>
              <w:ind w:right="291"/>
              <w:jc w:val="right"/>
              <w:rPr>
                <w:rFonts w:hint="eastAsia" w:ascii="宋体" w:hAnsi="宋体" w:eastAsia="宋体" w:cs="宋体"/>
                <w:color w:val="auto"/>
                <w:sz w:val="24"/>
                <w:szCs w:val="24"/>
              </w:rPr>
            </w:pPr>
            <w:r>
              <w:rPr>
                <w:rFonts w:hint="eastAsia" w:ascii="宋体" w:hAnsi="宋体" w:eastAsia="宋体" w:cs="宋体"/>
                <w:color w:val="auto"/>
                <w:sz w:val="24"/>
                <w:szCs w:val="24"/>
              </w:rPr>
              <w:t>304</w:t>
            </w:r>
          </w:p>
        </w:tc>
        <w:tc>
          <w:tcPr>
            <w:tcW w:w="652" w:type="dxa"/>
            <w:tcBorders>
              <w:top w:val="single" w:color="000000" w:sz="6" w:space="0"/>
              <w:left w:val="single" w:color="000000" w:sz="6" w:space="0"/>
            </w:tcBorders>
          </w:tcPr>
          <w:p>
            <w:pPr>
              <w:pStyle w:val="51"/>
              <w:spacing w:before="91"/>
              <w:ind w:left="36"/>
              <w:jc w:val="center"/>
              <w:rPr>
                <w:rFonts w:hint="eastAsia" w:ascii="宋体" w:hAnsi="宋体" w:eastAsia="宋体" w:cs="宋体"/>
                <w:color w:val="auto"/>
                <w:sz w:val="24"/>
                <w:szCs w:val="24"/>
              </w:rPr>
            </w:pPr>
            <w:r>
              <w:rPr>
                <w:rFonts w:hint="eastAsia" w:ascii="宋体" w:hAnsi="宋体" w:eastAsia="宋体" w:cs="宋体"/>
                <w:color w:val="auto"/>
                <w:w w:val="99"/>
                <w:sz w:val="24"/>
                <w:szCs w:val="24"/>
              </w:rPr>
              <w:t>5</w:t>
            </w:r>
          </w:p>
        </w:tc>
      </w:tr>
    </w:tbl>
    <w:p>
      <w:pPr>
        <w:pStyle w:val="2"/>
        <w:rPr>
          <w:rFonts w:hint="eastAsia"/>
          <w:color w:val="auto"/>
          <w:lang w:eastAsia="zh-CN"/>
        </w:rPr>
      </w:pPr>
    </w:p>
    <w:bookmarkEnd w:id="607"/>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val="en-US" w:eastAsia="zh-CN"/>
        </w:rPr>
      </w:pPr>
      <w:bookmarkStart w:id="620" w:name="_Toc26168"/>
      <w:bookmarkStart w:id="621" w:name="_Toc9468"/>
      <w:bookmarkStart w:id="622" w:name="_Toc18769"/>
      <w:r>
        <w:rPr>
          <w:rFonts w:hint="eastAsia" w:ascii="宋体" w:hAnsi="宋体" w:eastAsia="宋体" w:cs="宋体"/>
          <w:color w:val="auto"/>
          <w:sz w:val="32"/>
          <w:lang w:eastAsia="zh-CN"/>
        </w:rPr>
        <w:t>附件</w:t>
      </w:r>
      <w:r>
        <w:rPr>
          <w:rFonts w:hint="eastAsia" w:ascii="宋体" w:hAnsi="宋体" w:eastAsia="宋体" w:cs="宋体"/>
          <w:color w:val="auto"/>
          <w:sz w:val="32"/>
          <w:lang w:val="en-US" w:eastAsia="zh-CN"/>
        </w:rPr>
        <w:t>2</w:t>
      </w:r>
      <w:r>
        <w:rPr>
          <w:rFonts w:hint="eastAsia" w:ascii="宋体" w:hAnsi="宋体" w:eastAsia="宋体" w:cs="宋体"/>
          <w:color w:val="auto"/>
          <w:sz w:val="32"/>
          <w:lang w:eastAsia="zh-CN"/>
        </w:rPr>
        <w:t>：</w:t>
      </w:r>
      <w:r>
        <w:rPr>
          <w:rFonts w:hint="eastAsia" w:ascii="宋体" w:hAnsi="宋体" w:eastAsia="宋体" w:cs="宋体"/>
          <w:color w:val="auto"/>
          <w:sz w:val="32"/>
          <w:lang w:val="en-US" w:eastAsia="zh-CN"/>
        </w:rPr>
        <w:t>风险评估结果</w:t>
      </w:r>
      <w:bookmarkEnd w:id="620"/>
      <w:bookmarkEnd w:id="621"/>
      <w:bookmarkEnd w:id="622"/>
    </w:p>
    <w:p>
      <w:pPr>
        <w:spacing w:line="360" w:lineRule="auto"/>
        <w:ind w:firstLine="560" w:firstLineChars="200"/>
        <w:rPr>
          <w:rFonts w:hint="eastAsia" w:ascii="宋体" w:hAnsi="宋体" w:eastAsia="宋体" w:cs="宋体"/>
          <w:color w:val="auto"/>
          <w:sz w:val="28"/>
          <w:szCs w:val="28"/>
          <w:lang w:val="en-US" w:eastAsia="zh-CN"/>
        </w:rPr>
      </w:pPr>
      <w:bookmarkStart w:id="623" w:name="_Toc14727"/>
      <w:bookmarkStart w:id="624" w:name="_Toc10439"/>
      <w:bookmarkStart w:id="625" w:name="_Toc11573"/>
      <w:r>
        <w:rPr>
          <w:rFonts w:hint="eastAsia" w:ascii="宋体" w:hAnsi="宋体" w:eastAsia="宋体" w:cs="宋体"/>
          <w:color w:val="auto"/>
          <w:sz w:val="28"/>
          <w:szCs w:val="28"/>
          <w:lang w:val="en-US" w:eastAsia="zh-CN"/>
        </w:rPr>
        <w:t>埃夫科纳（南充）特种聚合物有限公司主要存在的危险有害因素：火灾、爆炸、高温灼烫、化学灼伤及腐蚀、低温冻伤、中毒窒息、机械伤害、触电、车辆伤害、高处坠落、物体打击、危险化学品泄漏、淹溺、受限空间等。</w:t>
      </w:r>
    </w:p>
    <w:p>
      <w:pPr>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可能导致的职业危害主要有：振动、噪声以及高温。</w:t>
      </w:r>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626" w:name="_Toc24358"/>
      <w:bookmarkStart w:id="627" w:name="_Toc4216"/>
      <w:r>
        <w:rPr>
          <w:rFonts w:hint="eastAsia" w:ascii="宋体" w:hAnsi="宋体" w:eastAsia="宋体" w:cs="宋体"/>
          <w:color w:val="auto"/>
          <w:sz w:val="32"/>
          <w:lang w:eastAsia="zh-CN"/>
        </w:rPr>
        <w:t>附件</w:t>
      </w:r>
      <w:r>
        <w:rPr>
          <w:rFonts w:hint="eastAsia" w:ascii="宋体" w:hAnsi="宋体" w:eastAsia="宋体" w:cs="宋体"/>
          <w:color w:val="auto"/>
          <w:sz w:val="32"/>
          <w:lang w:val="en-US" w:eastAsia="zh-CN"/>
        </w:rPr>
        <w:t>3</w:t>
      </w:r>
      <w:r>
        <w:rPr>
          <w:rFonts w:hint="eastAsia" w:ascii="宋体" w:hAnsi="宋体" w:eastAsia="宋体" w:cs="宋体"/>
          <w:color w:val="auto"/>
          <w:sz w:val="32"/>
          <w:lang w:eastAsia="zh-CN"/>
        </w:rPr>
        <w:t>：预案体系与衔接</w:t>
      </w:r>
      <w:bookmarkEnd w:id="623"/>
      <w:bookmarkEnd w:id="624"/>
      <w:bookmarkEnd w:id="625"/>
      <w:bookmarkEnd w:id="626"/>
      <w:bookmarkEnd w:id="627"/>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28" w:name="_Toc404"/>
      <w:bookmarkStart w:id="629" w:name="_Toc27597"/>
      <w:bookmarkStart w:id="630" w:name="_Toc19797"/>
      <w:bookmarkStart w:id="631" w:name="_Toc21167"/>
      <w:r>
        <w:rPr>
          <w:rFonts w:hint="eastAsia" w:ascii="宋体" w:hAnsi="宋体" w:eastAsia="宋体" w:cs="宋体"/>
          <w:color w:val="auto"/>
          <w:sz w:val="28"/>
          <w:szCs w:val="28"/>
          <w:lang w:val="en-US" w:eastAsia="zh-CN"/>
        </w:rPr>
        <w:t>F3.1应急预案体系</w:t>
      </w:r>
      <w:bookmarkEnd w:id="628"/>
      <w:bookmarkEnd w:id="629"/>
      <w:bookmarkEnd w:id="630"/>
      <w:bookmarkEnd w:id="631"/>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埃夫科纳（南充）特种聚合物有限公司</w:t>
      </w:r>
      <w:r>
        <w:rPr>
          <w:rFonts w:hint="eastAsia" w:ascii="宋体" w:hAnsi="宋体" w:eastAsia="宋体" w:cs="宋体"/>
          <w:color w:val="auto"/>
          <w:sz w:val="28"/>
          <w:szCs w:val="28"/>
        </w:rPr>
        <w:t>生产安全事故应急预案的外部衔接预案是</w:t>
      </w:r>
      <w:r>
        <w:rPr>
          <w:rFonts w:hint="eastAsia" w:ascii="宋体" w:hAnsi="宋体" w:eastAsia="宋体" w:cs="宋体"/>
          <w:color w:val="auto"/>
          <w:sz w:val="28"/>
          <w:szCs w:val="28"/>
          <w:lang w:eastAsia="zh-CN"/>
        </w:rPr>
        <w:t>南充市经济技术开发区政府</w:t>
      </w:r>
      <w:r>
        <w:rPr>
          <w:rFonts w:hint="eastAsia" w:ascii="宋体" w:hAnsi="宋体" w:eastAsia="宋体" w:cs="宋体"/>
          <w:color w:val="auto"/>
          <w:sz w:val="28"/>
          <w:szCs w:val="28"/>
        </w:rPr>
        <w:t>生产安全事故应急预案，本公司的应急预案体系由综合应急预案、专项应急预案</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现场处置方案</w:t>
      </w:r>
      <w:r>
        <w:rPr>
          <w:rFonts w:hint="eastAsia" w:ascii="宋体" w:hAnsi="宋体" w:eastAsia="宋体" w:cs="宋体"/>
          <w:color w:val="auto"/>
          <w:sz w:val="28"/>
          <w:szCs w:val="28"/>
          <w:lang w:eastAsia="zh-CN"/>
        </w:rPr>
        <w:t>和附件</w:t>
      </w:r>
      <w:r>
        <w:rPr>
          <w:rFonts w:hint="eastAsia" w:ascii="宋体" w:hAnsi="宋体" w:eastAsia="宋体" w:cs="宋体"/>
          <w:color w:val="auto"/>
          <w:sz w:val="28"/>
          <w:szCs w:val="28"/>
        </w:rPr>
        <w:t>构成。</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综合应急预案是公司应对生产安全事故而制定的规范性文件，是公司应急预案体系的总纲，是应急预案体系的组成部分。综合应急预案主要从总体上阐述事故的应急工作原则，包括公司应急组织机构及职责、应急预案体系、事故风险描述、预警及信息报告、应急响应、保障措施、应急预案管理等内容。</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专项应急预案是公司为应对某一类型或某几种类型事故，或者针对重要生产设施、重大危险源、重大活动等内容而制定的应急预案。专项应急预案主要包括事故风险分析、应急指挥机构及职责、处置程序和措施等内容。</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现场处置方案是公司根据不同事故类别，针对具体的场所、装置或设施所制定的应急处置措施，主要包括事故风险分析、应急工作职责、应急处置和注意事项等内容。</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埃夫科纳（南充）特种聚合物有限公司</w:t>
      </w:r>
      <w:r>
        <w:rPr>
          <w:rFonts w:hint="eastAsia" w:ascii="宋体" w:hAnsi="宋体" w:eastAsia="宋体" w:cs="宋体"/>
          <w:color w:val="auto"/>
          <w:sz w:val="28"/>
          <w:szCs w:val="28"/>
        </w:rPr>
        <w:t>生产安全事故应急预案体系见</w:t>
      </w:r>
      <w:r>
        <w:rPr>
          <w:rFonts w:hint="eastAsia" w:ascii="宋体" w:hAnsi="宋体" w:eastAsia="宋体" w:cs="宋体"/>
          <w:color w:val="auto"/>
          <w:sz w:val="28"/>
          <w:szCs w:val="28"/>
          <w:lang w:eastAsia="zh-CN"/>
        </w:rPr>
        <w:t>下表</w:t>
      </w:r>
      <w:r>
        <w:rPr>
          <w:rFonts w:hint="eastAsia" w:ascii="宋体" w:hAnsi="宋体" w:eastAsia="宋体" w:cs="宋体"/>
          <w:color w:val="auto"/>
          <w:sz w:val="28"/>
          <w:szCs w:val="28"/>
        </w:rPr>
        <w:t>，包括综合应急预案、专项应急预案、现场处置方案。</w:t>
      </w:r>
    </w:p>
    <w:tbl>
      <w:tblPr>
        <w:tblStyle w:val="25"/>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239"/>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100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预案层级</w:t>
            </w:r>
          </w:p>
        </w:tc>
        <w:tc>
          <w:tcPr>
            <w:tcW w:w="237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预案名称</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60" w:line="30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tcBorders>
              <w:top w:val="single" w:color="auto" w:sz="4" w:space="0"/>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综合应急预案</w:t>
            </w:r>
          </w:p>
        </w:tc>
        <w:tc>
          <w:tcPr>
            <w:tcW w:w="2371" w:type="pct"/>
            <w:tcBorders>
              <w:top w:val="single" w:color="auto" w:sz="4" w:space="0"/>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生产安全事故综合应急预案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restar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专项应急预案</w:t>
            </w: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火灾、爆炸事故专项应急预案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容器爆炸事故专项应急预案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危化品泄漏事故专项应急预案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有限空间作业专项应急预案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04" w:type="pct"/>
            <w:vMerge w:val="restar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现场处置方案</w:t>
            </w: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火灾事故现场处置方案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固体、液体、气体、电气火灾初期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危化品泄漏事故现场处置方案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小面积泄漏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触电事故现场处置方案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各部门用电器与电气设施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灼烫事故现场处置方案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冻伤事故现场处置方案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机械伤害事故现场处置方案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高处坠落事故现场处置方案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厂区各处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物体打击事故现场处置方案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厂区各处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车辆伤害事故现场处置方案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bCs/>
                <w:color w:val="auto"/>
                <w:sz w:val="24"/>
                <w:szCs w:val="24"/>
                <w:highlight w:val="none"/>
                <w:lang w:val="en-US" w:eastAsia="zh-CN"/>
              </w:rPr>
              <w:t>厂区内外道路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中毒、窒息事故现场处置方案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厂区各处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04" w:type="pct"/>
            <w:vMerge w:val="continue"/>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eastAsia="zh-CN"/>
              </w:rPr>
            </w:pPr>
          </w:p>
        </w:tc>
        <w:tc>
          <w:tcPr>
            <w:tcW w:w="2371" w:type="pct"/>
            <w:tcBorders>
              <w:left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淹溺事故现场处置方案</w:t>
            </w:r>
          </w:p>
        </w:tc>
        <w:tc>
          <w:tcPr>
            <w:tcW w:w="162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napToGrid w:val="0"/>
              <w:spacing w:before="60" w:line="300" w:lineRule="auto"/>
              <w:jc w:val="center"/>
              <w:rPr>
                <w:rFonts w:hint="eastAsia" w:ascii="宋体" w:hAnsi="宋体" w:eastAsia="宋体" w:cs="宋体"/>
                <w:color w:val="auto"/>
                <w:sz w:val="24"/>
                <w:szCs w:val="24"/>
                <w:lang w:val="en-US" w:eastAsia="zh-CN"/>
              </w:rPr>
            </w:pPr>
            <w:r>
              <w:rPr>
                <w:rFonts w:hint="eastAsia" w:ascii="宋体" w:hAnsi="宋体" w:eastAsia="宋体" w:cs="宋体"/>
                <w:bCs/>
                <w:color w:val="auto"/>
                <w:sz w:val="24"/>
                <w:szCs w:val="24"/>
                <w:highlight w:val="none"/>
                <w:lang w:val="en-US" w:eastAsia="zh-CN"/>
              </w:rPr>
              <w:t>水池</w:t>
            </w:r>
          </w:p>
        </w:tc>
      </w:tr>
    </w:tbl>
    <w:p>
      <w:pPr>
        <w:pStyle w:val="2"/>
        <w:rPr>
          <w:rFonts w:hint="eastAsia"/>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32" w:name="_Toc18860"/>
      <w:bookmarkStart w:id="633" w:name="_Toc32435"/>
      <w:bookmarkStart w:id="634" w:name="_Toc19363"/>
      <w:bookmarkStart w:id="635" w:name="_Toc17910"/>
      <w:r>
        <w:rPr>
          <w:rFonts w:hint="eastAsia" w:ascii="宋体" w:hAnsi="宋体" w:eastAsia="宋体" w:cs="宋体"/>
          <w:color w:val="auto"/>
          <w:sz w:val="28"/>
          <w:szCs w:val="28"/>
          <w:lang w:val="en-US" w:eastAsia="zh-CN"/>
        </w:rPr>
        <w:t>F3.2 预案的衔接性</w:t>
      </w:r>
      <w:bookmarkEnd w:id="632"/>
      <w:bookmarkEnd w:id="633"/>
      <w:bookmarkEnd w:id="634"/>
      <w:bookmarkEnd w:id="635"/>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both"/>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公司《生产安全事故综合应急预案》与《</w:t>
      </w:r>
      <w:r>
        <w:rPr>
          <w:rFonts w:hint="eastAsia" w:ascii="宋体" w:hAnsi="宋体" w:cs="宋体"/>
          <w:color w:val="auto"/>
          <w:kern w:val="2"/>
          <w:sz w:val="28"/>
          <w:szCs w:val="28"/>
          <w:lang w:val="en-US" w:eastAsia="zh-CN" w:bidi="ar-SA"/>
        </w:rPr>
        <w:t>南充市经济技术开发区</w:t>
      </w:r>
      <w:r>
        <w:rPr>
          <w:rFonts w:hint="eastAsia" w:ascii="宋体" w:hAnsi="宋体" w:eastAsia="宋体" w:cs="宋体"/>
          <w:color w:val="auto"/>
          <w:kern w:val="2"/>
          <w:sz w:val="28"/>
          <w:szCs w:val="28"/>
          <w:lang w:val="en-US" w:eastAsia="zh-CN" w:bidi="ar-SA"/>
        </w:rPr>
        <w:t>生产安全事故应急预案》相衔接，当发生超过公司的应急处置能力时，启动《</w:t>
      </w:r>
      <w:r>
        <w:rPr>
          <w:rFonts w:hint="eastAsia" w:ascii="宋体" w:hAnsi="宋体" w:cs="宋体"/>
          <w:color w:val="auto"/>
          <w:kern w:val="2"/>
          <w:sz w:val="28"/>
          <w:szCs w:val="28"/>
          <w:lang w:val="en-US" w:eastAsia="zh-CN" w:bidi="ar-SA"/>
        </w:rPr>
        <w:t>南充市经济技术开发区</w:t>
      </w:r>
      <w:r>
        <w:rPr>
          <w:rFonts w:hint="eastAsia" w:ascii="宋体" w:hAnsi="宋体" w:eastAsia="宋体" w:cs="宋体"/>
          <w:color w:val="auto"/>
          <w:kern w:val="2"/>
          <w:sz w:val="28"/>
          <w:szCs w:val="28"/>
          <w:lang w:val="en-US" w:eastAsia="zh-CN" w:bidi="ar-SA"/>
        </w:rPr>
        <w:t>生产安全事故应急预案》等地方政府及其相关部门应急预案，进行扩大应急。</w:t>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36" w:name="_Toc18524"/>
      <w:bookmarkStart w:id="637" w:name="_Toc3686"/>
      <w:bookmarkStart w:id="638" w:name="_Toc16643"/>
      <w:bookmarkStart w:id="639" w:name="_Toc31625"/>
      <w:r>
        <w:rPr>
          <w:rFonts w:hint="eastAsia" w:ascii="宋体" w:hAnsi="宋体" w:eastAsia="宋体" w:cs="宋体"/>
          <w:color w:val="auto"/>
          <w:sz w:val="28"/>
          <w:szCs w:val="28"/>
          <w:lang w:val="en-US" w:eastAsia="zh-CN"/>
        </w:rPr>
        <w:t>F3.3 应急工作原则</w:t>
      </w:r>
      <w:bookmarkEnd w:id="636"/>
      <w:bookmarkEnd w:id="637"/>
      <w:bookmarkEnd w:id="638"/>
      <w:bookmarkEnd w:id="63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（1）一是以人为本，减少危害原则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（2）二是依法规范，依靠科学的原则，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3）三是统一领导，分级负责的原则：公司安全领导小组统一领导在公司范围内突发安全事故的应急处置，落实岗位责任制，明确相关责任职责权限，必要时对车间部门突发安全事故根据应急管理和处置提供指导和帮助。各车间、部门根据本预案制订分预案、专项预案并负责相关应急处置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4）四是实战结合，反应及时原则：坚持预防为主，常备不懈，经常性地做好应对突发安全事故的思想准备、预案准备、机制准备和工作准备，建立、健全应急处置队伍，做好对公司员工的宣传教育工作，并定期演练、演习，确保突发安全事故发生时能够迅速反应、科学应对、妥善处置。</w:t>
      </w:r>
    </w:p>
    <w:p>
      <w:pPr>
        <w:pStyle w:val="5"/>
        <w:jc w:val="both"/>
        <w:outlineLvl w:val="9"/>
        <w:rPr>
          <w:rFonts w:hint="eastAsia" w:ascii="宋体" w:hAnsi="宋体" w:eastAsia="宋体" w:cs="宋体"/>
          <w:color w:val="auto"/>
          <w:sz w:val="28"/>
          <w:szCs w:val="28"/>
        </w:rPr>
        <w:sectPr>
          <w:type w:val="continuous"/>
          <w:pgSz w:w="11906" w:h="16838"/>
          <w:pgMar w:top="1417" w:right="1417" w:bottom="1417" w:left="1417" w:header="1134" w:footer="1134" w:gutter="0"/>
          <w:pgNumType w:fmt="decimal"/>
          <w:cols w:space="720" w:num="1"/>
          <w:rtlGutter w:val="0"/>
          <w:docGrid w:linePitch="312" w:charSpace="0"/>
        </w:sectPr>
      </w:pPr>
      <w:bookmarkStart w:id="640" w:name="_Toc16382"/>
      <w:bookmarkStart w:id="641" w:name="_Toc29636"/>
      <w:bookmarkStart w:id="642" w:name="_Toc10540"/>
      <w:bookmarkStart w:id="643" w:name="_Toc16766"/>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644" w:name="_Toc22599"/>
      <w:bookmarkStart w:id="645" w:name="_Toc13577"/>
      <w:r>
        <w:rPr>
          <w:rFonts w:hint="eastAsia" w:ascii="宋体" w:hAnsi="宋体" w:eastAsia="宋体" w:cs="宋体"/>
          <w:color w:val="auto"/>
          <w:sz w:val="32"/>
          <w:lang w:eastAsia="zh-CN"/>
        </w:rPr>
        <w:t>附件</w:t>
      </w:r>
      <w:r>
        <w:rPr>
          <w:rFonts w:hint="eastAsia" w:ascii="宋体" w:hAnsi="宋体" w:eastAsia="宋体" w:cs="宋体"/>
          <w:color w:val="auto"/>
          <w:sz w:val="32"/>
          <w:lang w:val="en-US" w:eastAsia="zh-CN"/>
        </w:rPr>
        <w:t>4</w:t>
      </w:r>
      <w:r>
        <w:rPr>
          <w:rFonts w:hint="eastAsia" w:ascii="宋体" w:hAnsi="宋体" w:eastAsia="宋体" w:cs="宋体"/>
          <w:color w:val="auto"/>
          <w:sz w:val="32"/>
          <w:lang w:eastAsia="zh-CN"/>
        </w:rPr>
        <w:t>：应急物资装备清单</w:t>
      </w:r>
      <w:bookmarkEnd w:id="640"/>
      <w:bookmarkEnd w:id="641"/>
      <w:bookmarkEnd w:id="642"/>
      <w:bookmarkEnd w:id="643"/>
      <w:bookmarkEnd w:id="644"/>
      <w:bookmarkEnd w:id="645"/>
      <w:bookmarkStart w:id="646" w:name="_Toc26496"/>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val="0"/>
          <w:sz w:val="24"/>
          <w:szCs w:val="24"/>
          <w:lang w:eastAsia="zh-CN"/>
        </w:rPr>
      </w:pPr>
      <w:r>
        <w:rPr>
          <w:rFonts w:hint="eastAsia" w:ascii="宋体" w:hAnsi="宋体" w:eastAsia="宋体" w:cs="宋体"/>
          <w:b/>
          <w:bCs w:val="0"/>
          <w:color w:val="auto"/>
          <w:sz w:val="28"/>
          <w:szCs w:val="28"/>
          <w:lang w:val="en-US" w:eastAsia="zh-CN"/>
        </w:rPr>
        <w:t>现有应急物资清单</w:t>
      </w:r>
    </w:p>
    <w:tbl>
      <w:tblPr>
        <w:tblStyle w:val="25"/>
        <w:tblpPr w:leftFromText="180" w:rightFromText="180" w:vertAnchor="text" w:horzAnchor="page" w:tblpXSpec="center" w:tblpY="69"/>
        <w:tblOverlap w:val="never"/>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240"/>
        <w:gridCol w:w="1005"/>
        <w:gridCol w:w="1094"/>
        <w:gridCol w:w="1570"/>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62" w:type="dxa"/>
            <w:vAlign w:val="center"/>
          </w:tcPr>
          <w:p>
            <w:pPr>
              <w:spacing w:line="48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编号</w:t>
            </w:r>
          </w:p>
        </w:tc>
        <w:tc>
          <w:tcPr>
            <w:tcW w:w="2240" w:type="dxa"/>
            <w:vAlign w:val="center"/>
          </w:tcPr>
          <w:p>
            <w:pPr>
              <w:spacing w:line="48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设备名称</w:t>
            </w:r>
          </w:p>
        </w:tc>
        <w:tc>
          <w:tcPr>
            <w:tcW w:w="1005" w:type="dxa"/>
            <w:vAlign w:val="center"/>
          </w:tcPr>
          <w:p>
            <w:pPr>
              <w:spacing w:line="48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数量</w:t>
            </w:r>
          </w:p>
        </w:tc>
        <w:tc>
          <w:tcPr>
            <w:tcW w:w="1094" w:type="dxa"/>
            <w:vAlign w:val="center"/>
          </w:tcPr>
          <w:p>
            <w:pPr>
              <w:spacing w:line="48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w:t>
            </w:r>
          </w:p>
        </w:tc>
        <w:tc>
          <w:tcPr>
            <w:tcW w:w="1570" w:type="dxa"/>
            <w:vAlign w:val="center"/>
          </w:tcPr>
          <w:p>
            <w:pPr>
              <w:spacing w:line="48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保存地点</w:t>
            </w:r>
          </w:p>
        </w:tc>
        <w:tc>
          <w:tcPr>
            <w:tcW w:w="2165" w:type="dxa"/>
            <w:vAlign w:val="center"/>
          </w:tcPr>
          <w:p>
            <w:pPr>
              <w:spacing w:line="48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负责人及联系</w:t>
            </w:r>
          </w:p>
          <w:p>
            <w:pPr>
              <w:spacing w:line="48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01</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正压式空气呼吸机</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套</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李茂13962737523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02</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化学防护服</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40</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套</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李茂13962737523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03</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过滤式防毒面具</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200</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个</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解平13862881912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04</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便携式可燃气体检测报警仪</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个</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机修车间</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何良18040440039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05</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便携式氧气检测报警仪</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个</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机修车间</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何良18040440039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06</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手电筒（防爆）</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20</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个</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李茂13962737523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07</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对讲机（防爆）</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20</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台</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解平13862881912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08</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急救药箱</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12</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套</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解平13862881912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09</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应急处置工具箱（无火花工具）</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6</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套</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李茂13962737523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2"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警示牌</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套</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机修车间</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何良18040440039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62" w:type="dxa"/>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11</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隔离警示带</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盘</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生产部</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解平13862881912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62" w:type="dxa"/>
            <w:vAlign w:val="top"/>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lang w:val="en-US" w:eastAsia="zh-CN"/>
              </w:rPr>
              <w:t>12</w:t>
            </w:r>
          </w:p>
        </w:tc>
        <w:tc>
          <w:tcPr>
            <w:tcW w:w="2240" w:type="dxa"/>
            <w:vAlign w:val="center"/>
          </w:tcPr>
          <w:p>
            <w:pPr>
              <w:spacing w:line="300" w:lineRule="exact"/>
              <w:jc w:val="center"/>
              <w:rPr>
                <w:rFonts w:hint="eastAsia" w:ascii="宋体" w:hAnsi="宋体" w:eastAsia="宋体" w:cs="宋体"/>
                <w:b w:val="0"/>
                <w:bCs w:val="0"/>
                <w:color w:val="auto"/>
                <w:sz w:val="24"/>
                <w:szCs w:val="24"/>
              </w:rPr>
            </w:pPr>
            <w:r>
              <w:rPr>
                <w:rFonts w:hint="eastAsia" w:ascii="宋体" w:hAnsi="宋体" w:eastAsia="宋体" w:cs="宋体"/>
                <w:sz w:val="24"/>
                <w:szCs w:val="24"/>
              </w:rPr>
              <w:t>反光背心</w:t>
            </w:r>
          </w:p>
        </w:tc>
        <w:tc>
          <w:tcPr>
            <w:tcW w:w="1005" w:type="dxa"/>
            <w:vAlign w:val="center"/>
          </w:tcPr>
          <w:p>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000000"/>
                <w:sz w:val="24"/>
                <w:szCs w:val="24"/>
                <w:lang w:val="en-US" w:eastAsia="zh-CN"/>
              </w:rPr>
              <w:t>3</w:t>
            </w:r>
          </w:p>
        </w:tc>
        <w:tc>
          <w:tcPr>
            <w:tcW w:w="1094"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lang w:eastAsia="zh-CN"/>
              </w:rPr>
              <w:t>套</w:t>
            </w:r>
          </w:p>
        </w:tc>
        <w:tc>
          <w:tcPr>
            <w:tcW w:w="1570"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lang w:eastAsia="zh-CN"/>
              </w:rPr>
              <w:t>门卫室</w:t>
            </w:r>
          </w:p>
        </w:tc>
        <w:tc>
          <w:tcPr>
            <w:tcW w:w="2165" w:type="dxa"/>
            <w:vAlign w:val="center"/>
          </w:tcPr>
          <w:p>
            <w:pPr>
              <w:spacing w:line="48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解平13862881912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62" w:type="dxa"/>
            <w:vAlign w:val="top"/>
          </w:tcPr>
          <w:p>
            <w:pPr>
              <w:spacing w:line="480" w:lineRule="exact"/>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w:t>
            </w:r>
          </w:p>
        </w:tc>
        <w:tc>
          <w:tcPr>
            <w:tcW w:w="2240"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消防水池</w:t>
            </w:r>
          </w:p>
        </w:tc>
        <w:tc>
          <w:tcPr>
            <w:tcW w:w="1005" w:type="dxa"/>
            <w:vAlign w:val="center"/>
          </w:tcPr>
          <w:p>
            <w:pPr>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5</w:t>
            </w:r>
          </w:p>
        </w:tc>
        <w:tc>
          <w:tcPr>
            <w:tcW w:w="1094" w:type="dxa"/>
            <w:vAlign w:val="center"/>
          </w:tcPr>
          <w:p>
            <w:pPr>
              <w:spacing w:line="480" w:lineRule="exact"/>
              <w:jc w:val="center"/>
              <w:rPr>
                <w:rFonts w:hint="eastAsia" w:ascii="宋体" w:hAnsi="宋体" w:eastAsia="宋体" w:cs="宋体"/>
                <w:b w:val="0"/>
                <w:bCs w:val="0"/>
                <w:sz w:val="24"/>
                <w:szCs w:val="24"/>
                <w:lang w:eastAsia="zh-CN"/>
              </w:rPr>
            </w:pPr>
            <w:r>
              <w:rPr>
                <w:rFonts w:hint="eastAsia" w:ascii="宋体" w:hAnsi="宋体" w:eastAsia="宋体" w:cs="宋体"/>
                <w:b w:val="0"/>
                <w:bCs w:val="0"/>
                <w:color w:val="000000"/>
                <w:sz w:val="24"/>
                <w:szCs w:val="24"/>
                <w:lang w:val="en-US" w:eastAsia="zh-CN"/>
              </w:rPr>
              <w:t>m³</w:t>
            </w:r>
          </w:p>
        </w:tc>
        <w:tc>
          <w:tcPr>
            <w:tcW w:w="1570" w:type="dxa"/>
            <w:vAlign w:val="center"/>
          </w:tcPr>
          <w:p>
            <w:pPr>
              <w:spacing w:line="480" w:lineRule="exact"/>
              <w:jc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厂区</w:t>
            </w:r>
          </w:p>
        </w:tc>
        <w:tc>
          <w:tcPr>
            <w:tcW w:w="2165" w:type="dxa"/>
            <w:vAlign w:val="center"/>
          </w:tcPr>
          <w:p>
            <w:pPr>
              <w:spacing w:line="480" w:lineRule="exact"/>
              <w:jc w:val="center"/>
              <w:rPr>
                <w:rFonts w:hint="eastAsia" w:ascii="宋体" w:hAnsi="宋体" w:eastAsia="宋体" w:cs="宋体"/>
                <w:b w:val="0"/>
                <w:bCs w:val="0"/>
                <w:sz w:val="24"/>
                <w:szCs w:val="24"/>
              </w:rPr>
            </w:pPr>
            <w:r>
              <w:rPr>
                <w:rFonts w:hint="eastAsia" w:ascii="宋体" w:hAnsi="宋体" w:eastAsia="宋体" w:cs="宋体"/>
                <w:b w:val="0"/>
                <w:bCs w:val="0"/>
                <w:color w:val="auto"/>
                <w:sz w:val="24"/>
                <w:szCs w:val="24"/>
              </w:rPr>
              <w:t>解平13862881912</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val="0"/>
          <w:sz w:val="24"/>
          <w:szCs w:val="24"/>
          <w:lang w:eastAsia="zh-CN"/>
        </w:rPr>
      </w:pPr>
      <w:r>
        <w:rPr>
          <w:rFonts w:hint="eastAsia" w:ascii="宋体" w:hAnsi="宋体" w:eastAsia="宋体" w:cs="宋体"/>
          <w:b/>
          <w:bCs w:val="0"/>
          <w:color w:val="auto"/>
          <w:sz w:val="28"/>
          <w:szCs w:val="28"/>
          <w:lang w:val="en-US" w:eastAsia="zh-CN"/>
        </w:rPr>
        <w:t>补充应急资源</w:t>
      </w:r>
    </w:p>
    <w:tbl>
      <w:tblPr>
        <w:tblStyle w:val="25"/>
        <w:tblW w:w="48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514"/>
        <w:gridCol w:w="1765"/>
        <w:gridCol w:w="1272"/>
        <w:gridCol w:w="1502"/>
        <w:gridCol w:w="1323"/>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60" w:line="30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51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60" w:line="300" w:lineRule="auto"/>
              <w:jc w:val="center"/>
              <w:rPr>
                <w:rFonts w:hint="eastAsia" w:ascii="宋体" w:hAnsi="宋体" w:eastAsia="宋体" w:cs="宋体"/>
                <w:b/>
                <w:bCs/>
                <w:sz w:val="24"/>
                <w:szCs w:val="24"/>
              </w:rPr>
            </w:pPr>
            <w:r>
              <w:rPr>
                <w:rFonts w:hint="eastAsia" w:ascii="宋体" w:hAnsi="宋体" w:eastAsia="宋体" w:cs="宋体"/>
                <w:b/>
                <w:bCs/>
                <w:sz w:val="24"/>
                <w:szCs w:val="24"/>
              </w:rPr>
              <w:t>预案名称</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60" w:line="300" w:lineRule="auto"/>
              <w:jc w:val="center"/>
              <w:rPr>
                <w:rFonts w:hint="eastAsia" w:ascii="宋体" w:hAnsi="宋体" w:eastAsia="宋体" w:cs="宋体"/>
                <w:b/>
                <w:bCs/>
                <w:sz w:val="24"/>
                <w:szCs w:val="24"/>
              </w:rPr>
            </w:pPr>
            <w:r>
              <w:rPr>
                <w:rFonts w:hint="eastAsia" w:ascii="宋体" w:hAnsi="宋体" w:eastAsia="宋体" w:cs="宋体"/>
                <w:b/>
                <w:bCs/>
                <w:sz w:val="24"/>
                <w:szCs w:val="24"/>
              </w:rPr>
              <w:t>应急物资差距</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60" w:line="300" w:lineRule="auto"/>
              <w:jc w:val="center"/>
              <w:rPr>
                <w:rFonts w:hint="eastAsia" w:ascii="宋体" w:hAnsi="宋体" w:eastAsia="宋体" w:cs="宋体"/>
                <w:b/>
                <w:bCs/>
                <w:sz w:val="24"/>
                <w:szCs w:val="24"/>
              </w:rPr>
            </w:pPr>
            <w:r>
              <w:rPr>
                <w:rFonts w:hint="eastAsia" w:ascii="宋体" w:hAnsi="宋体" w:eastAsia="宋体" w:cs="宋体"/>
                <w:b/>
                <w:bCs/>
                <w:sz w:val="24"/>
                <w:szCs w:val="24"/>
              </w:rPr>
              <w:t>行动计划</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60" w:line="300" w:lineRule="auto"/>
              <w:jc w:val="center"/>
              <w:rPr>
                <w:rFonts w:hint="eastAsia" w:ascii="宋体" w:hAnsi="宋体" w:eastAsia="宋体" w:cs="宋体"/>
                <w:b/>
                <w:bCs/>
                <w:sz w:val="24"/>
                <w:szCs w:val="24"/>
              </w:rPr>
            </w:pPr>
            <w:r>
              <w:rPr>
                <w:rFonts w:hint="eastAsia" w:ascii="宋体" w:hAnsi="宋体" w:eastAsia="宋体" w:cs="宋体"/>
                <w:b/>
                <w:bCs/>
                <w:sz w:val="24"/>
                <w:szCs w:val="24"/>
              </w:rPr>
              <w:t>负责部门</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60" w:line="300" w:lineRule="auto"/>
              <w:jc w:val="center"/>
              <w:rPr>
                <w:rFonts w:hint="eastAsia" w:ascii="宋体" w:hAnsi="宋体" w:eastAsia="宋体" w:cs="宋体"/>
                <w:b/>
                <w:bCs/>
                <w:sz w:val="24"/>
                <w:szCs w:val="24"/>
              </w:rPr>
            </w:pPr>
            <w:r>
              <w:rPr>
                <w:rFonts w:hint="eastAsia" w:ascii="宋体" w:hAnsi="宋体" w:eastAsia="宋体" w:cs="宋体"/>
                <w:b/>
                <w:bCs/>
                <w:sz w:val="24"/>
                <w:szCs w:val="24"/>
              </w:rPr>
              <w:t>期限</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60" w:line="300" w:lineRule="auto"/>
              <w:jc w:val="center"/>
              <w:rPr>
                <w:rFonts w:hint="eastAsia" w:ascii="宋体" w:hAnsi="宋体" w:eastAsia="宋体" w:cs="宋体"/>
                <w:b/>
                <w:bCs/>
                <w:sz w:val="24"/>
                <w:szCs w:val="24"/>
              </w:rPr>
            </w:pPr>
            <w:r>
              <w:rPr>
                <w:rFonts w:hint="eastAsia" w:ascii="宋体" w:hAnsi="宋体" w:eastAsia="宋体" w:cs="宋体"/>
                <w:b/>
                <w:bCs/>
                <w:sz w:val="24"/>
                <w:szCs w:val="24"/>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4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51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火灾、容器爆炸事故应急预案</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r>
              <w:rPr>
                <w:rFonts w:hint="eastAsia" w:ascii="宋体" w:hAnsi="宋体" w:eastAsia="宋体" w:cs="宋体"/>
                <w:color w:val="auto"/>
                <w:sz w:val="24"/>
                <w:szCs w:val="24"/>
              </w:rPr>
              <w:t>担架</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应急广播系统</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采购手摇报警器</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42" w:type="dxa"/>
            <w:vMerge w:val="restart"/>
            <w:tcBorders>
              <w:top w:val="single" w:color="auto" w:sz="4" w:space="0"/>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514" w:type="dxa"/>
            <w:vMerge w:val="restart"/>
            <w:tcBorders>
              <w:top w:val="single" w:color="auto" w:sz="4" w:space="0"/>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color w:val="auto"/>
                <w:sz w:val="24"/>
                <w:szCs w:val="24"/>
                <w:lang w:eastAsia="zh-CN"/>
              </w:rPr>
              <w:t>危险化学品泄漏专项预案、</w:t>
            </w:r>
            <w:r>
              <w:rPr>
                <w:rFonts w:hint="eastAsia" w:ascii="宋体" w:hAnsi="宋体" w:eastAsia="宋体" w:cs="宋体"/>
                <w:color w:val="auto"/>
                <w:sz w:val="24"/>
                <w:szCs w:val="24"/>
              </w:rPr>
              <w:t>化学品泄漏现场处置方案</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r>
              <w:rPr>
                <w:rFonts w:hint="eastAsia" w:ascii="宋体" w:hAnsi="宋体" w:eastAsia="宋体" w:cs="宋体"/>
                <w:color w:val="auto"/>
                <w:sz w:val="24"/>
                <w:szCs w:val="24"/>
              </w:rPr>
              <w:t>防化眼镜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防化靴、防化手套</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r>
              <w:rPr>
                <w:rFonts w:hint="eastAsia" w:ascii="宋体" w:hAnsi="宋体" w:eastAsia="宋体" w:cs="宋体"/>
                <w:color w:val="auto"/>
                <w:sz w:val="24"/>
                <w:szCs w:val="24"/>
              </w:rPr>
              <w:t>化学品泄漏吸附用品</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42" w:type="dxa"/>
            <w:vMerge w:val="continue"/>
            <w:tcBorders>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消防沙</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42" w:type="dxa"/>
            <w:vMerge w:val="restart"/>
            <w:tcBorders>
              <w:top w:val="single" w:color="auto" w:sz="4" w:space="0"/>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514" w:type="dxa"/>
            <w:vMerge w:val="restart"/>
            <w:tcBorders>
              <w:top w:val="single" w:color="auto" w:sz="4" w:space="0"/>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color w:val="auto"/>
                <w:sz w:val="24"/>
                <w:szCs w:val="24"/>
                <w:lang w:eastAsia="zh-CN"/>
              </w:rPr>
              <w:t>有限空间作业、中毒窒息</w:t>
            </w:r>
            <w:r>
              <w:rPr>
                <w:rFonts w:hint="eastAsia" w:ascii="宋体" w:hAnsi="宋体" w:eastAsia="宋体" w:cs="宋体"/>
                <w:color w:val="auto"/>
                <w:sz w:val="24"/>
                <w:szCs w:val="24"/>
              </w:rPr>
              <w:t>事故</w:t>
            </w:r>
            <w:r>
              <w:rPr>
                <w:rFonts w:hint="eastAsia" w:ascii="宋体" w:hAnsi="宋体" w:eastAsia="宋体" w:cs="宋体"/>
                <w:color w:val="auto"/>
                <w:sz w:val="24"/>
                <w:szCs w:val="24"/>
                <w:lang w:eastAsia="zh-CN"/>
              </w:rPr>
              <w:t>应急预案</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鼓风机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鼓风带</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安全带和安全绳</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担架</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restart"/>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514" w:type="dxa"/>
            <w:vMerge w:val="restart"/>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color w:val="auto"/>
                <w:sz w:val="24"/>
                <w:szCs w:val="24"/>
                <w:lang w:eastAsia="zh-CN"/>
              </w:rPr>
              <w:t>触</w:t>
            </w:r>
            <w:r>
              <w:rPr>
                <w:rFonts w:hint="eastAsia" w:ascii="宋体" w:hAnsi="宋体" w:eastAsia="宋体" w:cs="宋体"/>
                <w:color w:val="auto"/>
                <w:sz w:val="24"/>
                <w:szCs w:val="24"/>
              </w:rPr>
              <w:t>电事故现场处置方案</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担架</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心肺复苏辅助用品</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医疗机构借用</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restart"/>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514" w:type="dxa"/>
            <w:vMerge w:val="restart"/>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color w:val="auto"/>
                <w:sz w:val="24"/>
                <w:szCs w:val="24"/>
              </w:rPr>
              <w:t>灼</w:t>
            </w:r>
            <w:r>
              <w:rPr>
                <w:rFonts w:hint="eastAsia" w:ascii="宋体" w:hAnsi="宋体" w:eastAsia="宋体" w:cs="宋体"/>
                <w:color w:val="auto"/>
                <w:sz w:val="24"/>
                <w:szCs w:val="24"/>
                <w:lang w:eastAsia="zh-CN"/>
              </w:rPr>
              <w:t>烫</w:t>
            </w:r>
            <w:r>
              <w:rPr>
                <w:rFonts w:hint="eastAsia" w:ascii="宋体" w:hAnsi="宋体" w:eastAsia="宋体" w:cs="宋体"/>
                <w:color w:val="auto"/>
                <w:sz w:val="24"/>
                <w:szCs w:val="24"/>
              </w:rPr>
              <w:t>事故现场处</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化学品封堵吸附用品</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酸灼伤处理用品</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color w:val="auto"/>
                <w:sz w:val="24"/>
                <w:szCs w:val="24"/>
                <w:lang w:eastAsia="zh-CN"/>
              </w:rPr>
              <w:t>冻伤事故</w:t>
            </w:r>
            <w:r>
              <w:rPr>
                <w:rFonts w:hint="eastAsia" w:ascii="宋体" w:hAnsi="宋体" w:eastAsia="宋体" w:cs="宋体"/>
                <w:color w:val="auto"/>
                <w:sz w:val="24"/>
                <w:szCs w:val="24"/>
              </w:rPr>
              <w:t>现场处置方案</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冻伤膏</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2" w:type="dxa"/>
            <w:vMerge w:val="restart"/>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514" w:type="dxa"/>
            <w:vMerge w:val="restart"/>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机械伤害</w:t>
            </w:r>
            <w:r>
              <w:rPr>
                <w:rFonts w:hint="eastAsia" w:ascii="宋体" w:hAnsi="宋体" w:eastAsia="宋体" w:cs="宋体"/>
                <w:color w:val="auto"/>
                <w:sz w:val="24"/>
                <w:szCs w:val="24"/>
                <w:lang w:eastAsia="zh-CN"/>
              </w:rPr>
              <w:t>、高处坠落、物体打击、车辆伤害、</w:t>
            </w:r>
            <w:r>
              <w:rPr>
                <w:rFonts w:hint="eastAsia" w:ascii="宋体" w:hAnsi="宋体" w:eastAsia="宋体" w:cs="宋体"/>
                <w:color w:val="auto"/>
                <w:sz w:val="24"/>
                <w:szCs w:val="24"/>
              </w:rPr>
              <w:t>事故现场处置方案</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担架</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color w:val="auto"/>
                <w:sz w:val="24"/>
                <w:szCs w:val="24"/>
                <w:lang w:eastAsia="zh-CN"/>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骨折固定用品</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42" w:type="dxa"/>
            <w:vMerge w:val="restart"/>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514" w:type="dxa"/>
            <w:vMerge w:val="restart"/>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淹溺</w:t>
            </w:r>
            <w:r>
              <w:rPr>
                <w:rFonts w:hint="eastAsia" w:ascii="宋体" w:hAnsi="宋体" w:eastAsia="宋体" w:cs="宋体"/>
                <w:color w:val="auto"/>
                <w:sz w:val="24"/>
                <w:szCs w:val="24"/>
              </w:rPr>
              <w:t>事故现场处置方案</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营救溺水人员脱离险境的物品（绳子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救生圈）</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42" w:type="dxa"/>
            <w:vMerge w:val="continue"/>
            <w:tcBorders>
              <w:left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sz w:val="24"/>
                <w:szCs w:val="24"/>
              </w:rPr>
            </w:pPr>
          </w:p>
        </w:tc>
        <w:tc>
          <w:tcPr>
            <w:tcW w:w="1514" w:type="dxa"/>
            <w:vMerge w:val="continue"/>
            <w:tcBorders>
              <w:left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color w:val="auto"/>
                <w:sz w:val="24"/>
                <w:szCs w:val="24"/>
                <w:lang w:eastAsia="zh-CN"/>
              </w:rPr>
            </w:pP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担架</w:t>
            </w:r>
          </w:p>
        </w:tc>
        <w:tc>
          <w:tcPr>
            <w:tcW w:w="127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购买</w:t>
            </w:r>
          </w:p>
        </w:tc>
        <w:tc>
          <w:tcPr>
            <w:tcW w:w="150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lang w:eastAsia="zh-CN"/>
              </w:rPr>
              <w:t>安全环保部</w:t>
            </w:r>
          </w:p>
        </w:tc>
        <w:tc>
          <w:tcPr>
            <w:tcW w:w="132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08</w:t>
            </w:r>
            <w:r>
              <w:rPr>
                <w:rFonts w:hint="eastAsia" w:ascii="宋体" w:hAnsi="宋体" w:eastAsia="宋体" w:cs="宋体"/>
                <w:sz w:val="24"/>
                <w:szCs w:val="24"/>
              </w:rPr>
              <w:t>-20</w:t>
            </w: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before="60" w:line="300" w:lineRule="auto"/>
              <w:rPr>
                <w:rFonts w:hint="eastAsia" w:ascii="宋体" w:hAnsi="宋体" w:eastAsia="宋体" w:cs="宋体"/>
                <w:sz w:val="24"/>
                <w:szCs w:val="24"/>
              </w:rPr>
            </w:pPr>
            <w:r>
              <w:rPr>
                <w:rFonts w:hint="eastAsia" w:ascii="宋体" w:hAnsi="宋体" w:eastAsia="宋体" w:cs="宋体"/>
                <w:sz w:val="24"/>
                <w:szCs w:val="24"/>
              </w:rPr>
              <w:t>进行中</w:t>
            </w:r>
          </w:p>
        </w:tc>
      </w:tr>
    </w:tbl>
    <w:p>
      <w:pPr>
        <w:rPr>
          <w:rFonts w:hint="eastAsia" w:ascii="宋体" w:hAnsi="宋体" w:eastAsia="宋体" w:cs="宋体"/>
          <w:color w:val="auto"/>
          <w:sz w:val="28"/>
          <w:szCs w:val="28"/>
          <w:lang w:eastAsia="zh-CN"/>
        </w:rPr>
      </w:pPr>
    </w:p>
    <w:p>
      <w:pPr>
        <w:pStyle w:val="2"/>
        <w:rPr>
          <w:rFonts w:hint="eastAsia"/>
        </w:rPr>
      </w:pPr>
    </w:p>
    <w:p>
      <w:pPr>
        <w:rPr>
          <w:rFonts w:hint="eastAsia" w:ascii="宋体" w:hAnsi="宋体" w:eastAsia="宋体" w:cs="宋体"/>
          <w:color w:val="auto"/>
        </w:rPr>
      </w:pP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宋体" w:hAnsi="宋体" w:eastAsia="宋体" w:cs="宋体"/>
          <w:color w:val="auto"/>
          <w:sz w:val="28"/>
          <w:szCs w:val="28"/>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647" w:name="_Toc5010"/>
      <w:bookmarkStart w:id="648" w:name="_Toc8333"/>
      <w:r>
        <w:rPr>
          <w:rFonts w:hint="eastAsia" w:ascii="宋体" w:hAnsi="宋体" w:eastAsia="宋体" w:cs="宋体"/>
          <w:color w:val="auto"/>
          <w:sz w:val="32"/>
          <w:lang w:eastAsia="zh-CN"/>
        </w:rPr>
        <w:t>附件</w:t>
      </w:r>
      <w:r>
        <w:rPr>
          <w:rFonts w:hint="eastAsia" w:ascii="宋体" w:hAnsi="宋体" w:eastAsia="宋体" w:cs="宋体"/>
          <w:color w:val="auto"/>
          <w:sz w:val="32"/>
          <w:lang w:val="en-US" w:eastAsia="zh-CN"/>
        </w:rPr>
        <w:t>5</w:t>
      </w:r>
      <w:r>
        <w:rPr>
          <w:rFonts w:hint="eastAsia" w:ascii="宋体" w:hAnsi="宋体" w:eastAsia="宋体" w:cs="宋体"/>
          <w:color w:val="auto"/>
          <w:sz w:val="32"/>
          <w:lang w:eastAsia="zh-CN"/>
        </w:rPr>
        <w:t>：有关应急部门、机构或人员联系方式</w:t>
      </w:r>
      <w:bookmarkEnd w:id="646"/>
      <w:bookmarkEnd w:id="647"/>
      <w:bookmarkEnd w:id="648"/>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lang w:val="en-US" w:eastAsia="zh-CN"/>
        </w:rPr>
      </w:pPr>
      <w:bookmarkStart w:id="649" w:name="_Toc30569"/>
      <w:bookmarkStart w:id="650" w:name="_Toc19295"/>
      <w:bookmarkStart w:id="651" w:name="_Toc16674"/>
      <w:bookmarkStart w:id="652" w:name="_Toc13672"/>
      <w:bookmarkStart w:id="653" w:name="_Toc32329"/>
      <w:bookmarkStart w:id="654" w:name="_Toc25065"/>
      <w:r>
        <w:rPr>
          <w:rFonts w:hint="eastAsia" w:ascii="宋体" w:hAnsi="宋体" w:eastAsia="宋体" w:cs="宋体"/>
          <w:color w:val="auto"/>
          <w:sz w:val="28"/>
          <w:szCs w:val="28"/>
          <w:lang w:val="en-US" w:eastAsia="zh-CN"/>
        </w:rPr>
        <w:t>F5.1 应急救援内部联系方式</w:t>
      </w:r>
      <w:bookmarkEnd w:id="649"/>
      <w:bookmarkEnd w:id="650"/>
      <w:bookmarkEnd w:id="651"/>
      <w:bookmarkEnd w:id="652"/>
      <w:bookmarkEnd w:id="653"/>
      <w:bookmarkEnd w:id="654"/>
      <w:bookmarkStart w:id="655" w:name="_Toc2929"/>
    </w:p>
    <w:p>
      <w:pPr>
        <w:rPr>
          <w:rFonts w:hint="eastAsia"/>
          <w:color w:val="auto"/>
          <w:lang w:val="en-US" w:eastAsia="zh-CN"/>
        </w:rPr>
      </w:pPr>
    </w:p>
    <w:tbl>
      <w:tblPr>
        <w:tblStyle w:val="25"/>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1559"/>
        <w:gridCol w:w="198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指挥部组成</w:t>
            </w:r>
          </w:p>
        </w:tc>
        <w:tc>
          <w:tcPr>
            <w:tcW w:w="1559"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姓  名</w:t>
            </w:r>
          </w:p>
        </w:tc>
        <w:tc>
          <w:tcPr>
            <w:tcW w:w="1984"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联系方式</w:t>
            </w:r>
          </w:p>
        </w:tc>
        <w:tc>
          <w:tcPr>
            <w:tcW w:w="2977" w:type="dxa"/>
            <w:shd w:val="clear" w:color="auto" w:fill="D9D9D9"/>
            <w:vAlign w:val="center"/>
          </w:tcPr>
          <w:p>
            <w:pPr>
              <w:pStyle w:val="3"/>
              <w:spacing w:before="1" w:line="500" w:lineRule="exact"/>
              <w:jc w:val="center"/>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公司职务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总指挥</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廖  辽</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13825068608</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副总指挥</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李小华</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13983601259</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营运副总经理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胡  德</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18512306069</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人事行政副总经理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廖钒屹</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15823212350</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总经理助理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严  伟</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15996528627</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孙迎春</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13882232577</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安全环保部经理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周  文</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15267289305</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工艺设备部经理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朱月志</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13996067482</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电气设备工程师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顾泽锋</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13606281561</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技术部经理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综合协调组长</w:t>
            </w:r>
          </w:p>
        </w:tc>
        <w:tc>
          <w:tcPr>
            <w:tcW w:w="1559"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胡  德</w:t>
            </w:r>
          </w:p>
        </w:tc>
        <w:tc>
          <w:tcPr>
            <w:tcW w:w="198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18512306069</w:t>
            </w:r>
          </w:p>
        </w:tc>
        <w:tc>
          <w:tcPr>
            <w:tcW w:w="2977"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人事行政副总经理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孙迎春</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13882232577</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安全环保部经理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周  文</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15267289305</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工艺设备部经理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邹家刚</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18980300259</w:t>
            </w:r>
          </w:p>
        </w:tc>
        <w:tc>
          <w:tcPr>
            <w:tcW w:w="2977"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建构筑物管理工程师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王  华</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15882648707</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物流经理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事故处置救援组长</w:t>
            </w:r>
          </w:p>
        </w:tc>
        <w:tc>
          <w:tcPr>
            <w:tcW w:w="1559"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严  伟</w:t>
            </w:r>
          </w:p>
        </w:tc>
        <w:tc>
          <w:tcPr>
            <w:tcW w:w="198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15996528627</w:t>
            </w:r>
          </w:p>
        </w:tc>
        <w:tc>
          <w:tcPr>
            <w:tcW w:w="2977"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李  茂</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13962737523</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生产部车间主管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余卫东</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18068132361</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孙同林</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15896251657</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陆山成</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13813762922</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阮小宇</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13390970010</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陈  晗</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17780040152</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机修电工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何  良</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18040440039</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设备工程师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何世文</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17721828775</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机修电工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解小龙</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15851235238</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生产部操作工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冯记春</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18145049927</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机修仪表工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苏兴彪</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13408122505</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机修焊工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顾泽锋</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13606281561</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技术部经理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疏散隔离组长</w:t>
            </w:r>
          </w:p>
        </w:tc>
        <w:tc>
          <w:tcPr>
            <w:tcW w:w="1559"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解平英</w:t>
            </w:r>
          </w:p>
        </w:tc>
        <w:tc>
          <w:tcPr>
            <w:tcW w:w="198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13862881912</w:t>
            </w:r>
          </w:p>
        </w:tc>
        <w:tc>
          <w:tcPr>
            <w:tcW w:w="2977"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生产部车间管理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顾陈飞</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19952667523</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朱云龙</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18921463296</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生产部工艺员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秦世杰</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13350631593</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生产部操作工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廖  涛</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18681635381</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采购经理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后勤保障组长</w:t>
            </w:r>
          </w:p>
        </w:tc>
        <w:tc>
          <w:tcPr>
            <w:tcW w:w="1559"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刘春艳</w:t>
            </w:r>
          </w:p>
        </w:tc>
        <w:tc>
          <w:tcPr>
            <w:tcW w:w="1984" w:type="dxa"/>
            <w:shd w:val="clear" w:color="auto" w:fill="D9D9D9"/>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15181774132</w:t>
            </w:r>
          </w:p>
        </w:tc>
        <w:tc>
          <w:tcPr>
            <w:tcW w:w="2977" w:type="dxa"/>
            <w:shd w:val="clear" w:color="auto" w:fill="D9D9D9"/>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财务、行政助理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朱月志</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13996067482</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电气设备工程师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唐康然</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18181117010</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安全环保部安全员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熊巧玲</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19881772317</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人事行政专员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成员</w:t>
            </w:r>
          </w:p>
        </w:tc>
        <w:tc>
          <w:tcPr>
            <w:tcW w:w="1559"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杨明忠</w:t>
            </w:r>
          </w:p>
        </w:tc>
        <w:tc>
          <w:tcPr>
            <w:tcW w:w="198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19112326008</w:t>
            </w:r>
          </w:p>
        </w:tc>
        <w:tc>
          <w:tcPr>
            <w:tcW w:w="2977" w:type="dxa"/>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行政部司机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64" w:type="dxa"/>
            <w:vAlign w:val="center"/>
          </w:tcPr>
          <w:p>
            <w:pPr>
              <w:pStyle w:val="3"/>
              <w:spacing w:before="1" w:line="500" w:lineRule="exact"/>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24小时应急值班电话</w:t>
            </w:r>
          </w:p>
        </w:tc>
        <w:tc>
          <w:tcPr>
            <w:tcW w:w="6520" w:type="dxa"/>
            <w:gridSpan w:val="3"/>
            <w:vAlign w:val="center"/>
          </w:tcPr>
          <w:p>
            <w:pPr>
              <w:pStyle w:val="3"/>
              <w:spacing w:before="1" w:line="500" w:lineRule="exact"/>
              <w:ind w:firstLine="440" w:firstLineChars="200"/>
              <w:jc w:val="center"/>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0817-3811217</w:t>
            </w:r>
          </w:p>
        </w:tc>
      </w:tr>
    </w:tbl>
    <w:p>
      <w:pPr>
        <w:pStyle w:val="2"/>
        <w:rPr>
          <w:rFonts w:hint="eastAsia"/>
          <w:color w:val="auto"/>
          <w:lang w:val="en-US" w:eastAsia="zh-CN"/>
        </w:rPr>
        <w:sectPr>
          <w:pgSz w:w="11906" w:h="16838"/>
          <w:pgMar w:top="1417" w:right="1417" w:bottom="1417" w:left="1417" w:header="1134" w:footer="1134" w:gutter="0"/>
          <w:pgNumType w:fmt="decimal"/>
          <w:cols w:space="720" w:num="1"/>
          <w:rtlGutter w:val="0"/>
          <w:docGrid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656" w:name="_Toc17509"/>
      <w:bookmarkStart w:id="657" w:name="_Toc24610"/>
      <w:bookmarkStart w:id="658" w:name="_Toc28233"/>
      <w:r>
        <w:rPr>
          <w:rFonts w:hint="eastAsia" w:ascii="宋体" w:hAnsi="宋体" w:eastAsia="宋体" w:cs="宋体"/>
          <w:color w:val="auto"/>
          <w:sz w:val="28"/>
          <w:szCs w:val="28"/>
          <w:lang w:val="en-US" w:eastAsia="zh-CN"/>
        </w:rPr>
        <w:t>F5.2 应急救援外部联系方式</w:t>
      </w:r>
      <w:bookmarkEnd w:id="655"/>
      <w:bookmarkEnd w:id="656"/>
      <w:bookmarkEnd w:id="657"/>
      <w:bookmarkEnd w:id="658"/>
    </w:p>
    <w:p>
      <w:pPr>
        <w:pStyle w:val="35"/>
        <w:rPr>
          <w:rFonts w:hint="eastAsia" w:ascii="宋体" w:hAnsi="宋体" w:eastAsia="宋体" w:cs="宋体"/>
          <w:color w:val="auto"/>
        </w:rPr>
      </w:pPr>
      <w:bookmarkStart w:id="659" w:name="_Toc17188"/>
    </w:p>
    <w:tbl>
      <w:tblPr>
        <w:tblStyle w:val="25"/>
        <w:tblW w:w="84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7"/>
        <w:gridCol w:w="3750"/>
        <w:gridCol w:w="3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序号</w:t>
            </w:r>
          </w:p>
        </w:tc>
        <w:tc>
          <w:tcPr>
            <w:tcW w:w="3750" w:type="dxa"/>
            <w:vAlign w:val="center"/>
          </w:tcPr>
          <w:p>
            <w:pPr>
              <w:spacing w:before="161" w:line="364" w:lineRule="auto"/>
              <w:ind w:left="470" w:right="386" w:firstLine="798" w:firstLineChars="331"/>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3732" w:type="dxa"/>
            <w:vAlign w:val="center"/>
          </w:tcPr>
          <w:p>
            <w:pPr>
              <w:spacing w:before="161" w:line="364" w:lineRule="auto"/>
              <w:ind w:left="470" w:right="386" w:firstLine="798" w:firstLineChars="331"/>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国家医疗中心</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010-63131122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国家化学事故应急咨询</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0532-83889090/83889191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公安部门</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急救中心</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消防电话</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南充市政府办公室</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0817-2225116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南充市人民政府应急管理办公室</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0817-2666601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南充市生态环境局</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0817-2666355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南充市公安局</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0817-2803000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南充市公安消防支队</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0817-2609530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南充市中心医院</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0817-2222658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南充经开区人民政府</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0817-3639991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南充市嘉陵生态环境局</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0817-3883076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997" w:type="dxa"/>
            <w:vAlign w:val="center"/>
          </w:tcPr>
          <w:p>
            <w:pPr>
              <w:spacing w:before="161" w:line="364" w:lineRule="auto"/>
              <w:ind w:right="386"/>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南充经开区公安分局</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0817-3637510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997" w:type="dxa"/>
            <w:vAlign w:val="center"/>
          </w:tcPr>
          <w:p>
            <w:pPr>
              <w:spacing w:before="161" w:line="364" w:lineRule="auto"/>
              <w:ind w:right="386"/>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3750"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南充市中心医院嘉陵院区</w:t>
            </w:r>
          </w:p>
        </w:tc>
        <w:tc>
          <w:tcPr>
            <w:tcW w:w="3732" w:type="dxa"/>
            <w:vAlign w:val="center"/>
          </w:tcPr>
          <w:p>
            <w:pPr>
              <w:spacing w:before="161" w:line="364" w:lineRule="auto"/>
              <w:ind w:right="386"/>
              <w:jc w:val="center"/>
              <w:rPr>
                <w:rFonts w:hint="eastAsia" w:ascii="宋体" w:hAnsi="宋体" w:eastAsia="宋体" w:cs="宋体"/>
                <w:color w:val="auto"/>
                <w:sz w:val="24"/>
                <w:szCs w:val="24"/>
              </w:rPr>
            </w:pPr>
            <w:r>
              <w:rPr>
                <w:rFonts w:hint="eastAsia" w:ascii="宋体" w:hAnsi="宋体" w:eastAsia="宋体" w:cs="宋体"/>
                <w:color w:val="auto"/>
                <w:sz w:val="24"/>
                <w:szCs w:val="24"/>
              </w:rPr>
              <w:t>0817-3633548</w:t>
            </w:r>
          </w:p>
        </w:tc>
      </w:tr>
    </w:tbl>
    <w:p>
      <w:pPr>
        <w:rPr>
          <w:rFonts w:hint="eastAsia"/>
          <w:color w:val="auto"/>
        </w:rPr>
        <w:sectPr>
          <w:pgSz w:w="11906" w:h="16838"/>
          <w:pgMar w:top="1417" w:right="1417" w:bottom="1417" w:left="1417" w:header="1134" w:footer="1134" w:gutter="0"/>
          <w:pgNumType w:fmt="decimal"/>
          <w:cols w:space="720" w:num="1"/>
          <w:rtlGutter w:val="0"/>
          <w:docGrid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660" w:name="_Toc16840"/>
      <w:bookmarkStart w:id="661" w:name="_Toc828"/>
      <w:r>
        <w:rPr>
          <w:rFonts w:hint="eastAsia" w:ascii="宋体" w:hAnsi="宋体" w:eastAsia="宋体" w:cs="宋体"/>
          <w:color w:val="auto"/>
          <w:sz w:val="32"/>
          <w:lang w:eastAsia="zh-CN"/>
        </w:rPr>
        <w:t>附件6：应急信息报告表</w:t>
      </w:r>
      <w:bookmarkEnd w:id="659"/>
      <w:bookmarkEnd w:id="660"/>
      <w:bookmarkEnd w:id="661"/>
    </w:p>
    <w:p>
      <w:pPr>
        <w:jc w:val="center"/>
        <w:rPr>
          <w:rFonts w:hint="eastAsia" w:ascii="宋体" w:hAnsi="宋体" w:eastAsia="宋体" w:cs="宋体"/>
          <w:b/>
          <w:bCs/>
          <w:color w:val="auto"/>
          <w:sz w:val="32"/>
          <w:szCs w:val="32"/>
        </w:rPr>
      </w:pP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生产安全事故接报登记表</w:t>
      </w:r>
    </w:p>
    <w:p>
      <w:pPr>
        <w:spacing w:line="300" w:lineRule="exact"/>
        <w:jc w:val="left"/>
        <w:rPr>
          <w:rFonts w:hint="eastAsia" w:ascii="宋体" w:hAnsi="宋体" w:eastAsia="宋体" w:cs="宋体"/>
          <w:bCs/>
          <w:color w:val="auto"/>
          <w:szCs w:val="21"/>
        </w:rPr>
      </w:pPr>
    </w:p>
    <w:p>
      <w:pPr>
        <w:spacing w:line="300" w:lineRule="exact"/>
        <w:jc w:val="left"/>
        <w:rPr>
          <w:rFonts w:hint="eastAsia" w:ascii="宋体" w:hAnsi="宋体" w:eastAsia="宋体" w:cs="宋体"/>
          <w:bCs/>
          <w:color w:val="auto"/>
          <w:szCs w:val="21"/>
        </w:rPr>
      </w:pPr>
      <w:r>
        <w:rPr>
          <w:rFonts w:hint="eastAsia" w:ascii="宋体" w:hAnsi="宋体" w:eastAsia="宋体" w:cs="宋体"/>
          <w:bCs/>
          <w:color w:val="auto"/>
          <w:szCs w:val="21"/>
        </w:rPr>
        <w:t>接报人：</w:t>
      </w:r>
    </w:p>
    <w:p>
      <w:pPr>
        <w:spacing w:line="300" w:lineRule="exact"/>
        <w:jc w:val="left"/>
        <w:rPr>
          <w:rFonts w:hint="eastAsia" w:ascii="宋体" w:hAnsi="宋体" w:eastAsia="宋体" w:cs="宋体"/>
          <w:bCs/>
          <w:color w:val="auto"/>
          <w:szCs w:val="21"/>
        </w:rPr>
      </w:pPr>
    </w:p>
    <w:p>
      <w:pPr>
        <w:spacing w:after="120" w:afterLines="50" w:line="300" w:lineRule="exact"/>
        <w:jc w:val="left"/>
        <w:rPr>
          <w:rFonts w:hint="eastAsia" w:ascii="宋体" w:hAnsi="宋体" w:eastAsia="宋体" w:cs="宋体"/>
          <w:bCs/>
          <w:color w:val="auto"/>
          <w:szCs w:val="21"/>
        </w:rPr>
      </w:pPr>
      <w:r>
        <w:rPr>
          <w:rFonts w:hint="eastAsia" w:ascii="宋体" w:hAnsi="宋体" w:eastAsia="宋体" w:cs="宋体"/>
          <w:bCs/>
          <w:color w:val="auto"/>
          <w:szCs w:val="21"/>
        </w:rPr>
        <w:t>接报时间：       年     月    日     时     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6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事故类型</w:t>
            </w:r>
          </w:p>
        </w:tc>
        <w:tc>
          <w:tcPr>
            <w:tcW w:w="6234" w:type="dxa"/>
            <w:noWrap w:val="0"/>
            <w:vAlign w:val="center"/>
          </w:tcPr>
          <w:p>
            <w:pPr>
              <w:spacing w:line="300" w:lineRule="exact"/>
              <w:jc w:val="center"/>
              <w:rPr>
                <w:rFonts w:hint="eastAsia" w:ascii="宋体" w:hAnsi="宋体" w:eastAsia="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事故发生时间</w:t>
            </w:r>
          </w:p>
        </w:tc>
        <w:tc>
          <w:tcPr>
            <w:tcW w:w="6234" w:type="dxa"/>
            <w:noWrap w:val="0"/>
            <w:vAlign w:val="center"/>
          </w:tcPr>
          <w:p>
            <w:pPr>
              <w:spacing w:line="300" w:lineRule="exact"/>
              <w:jc w:val="center"/>
              <w:rPr>
                <w:rFonts w:hint="eastAsia" w:ascii="宋体" w:hAnsi="宋体" w:eastAsia="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事故发生地点</w:t>
            </w:r>
          </w:p>
        </w:tc>
        <w:tc>
          <w:tcPr>
            <w:tcW w:w="6234" w:type="dxa"/>
            <w:noWrap w:val="0"/>
            <w:vAlign w:val="center"/>
          </w:tcPr>
          <w:p>
            <w:pPr>
              <w:spacing w:line="300" w:lineRule="exact"/>
              <w:jc w:val="center"/>
              <w:rPr>
                <w:rFonts w:hint="eastAsia" w:ascii="宋体" w:hAnsi="宋体" w:eastAsia="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事故详细情况</w:t>
            </w:r>
          </w:p>
        </w:tc>
        <w:tc>
          <w:tcPr>
            <w:tcW w:w="6234" w:type="dxa"/>
            <w:noWrap w:val="0"/>
            <w:vAlign w:val="center"/>
          </w:tcPr>
          <w:p>
            <w:pPr>
              <w:spacing w:line="300" w:lineRule="exact"/>
              <w:jc w:val="center"/>
              <w:rPr>
                <w:rFonts w:hint="eastAsia" w:ascii="宋体" w:hAnsi="宋体" w:eastAsia="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报告人姓名</w:t>
            </w:r>
          </w:p>
        </w:tc>
        <w:tc>
          <w:tcPr>
            <w:tcW w:w="6234" w:type="dxa"/>
            <w:noWrap w:val="0"/>
            <w:vAlign w:val="center"/>
          </w:tcPr>
          <w:p>
            <w:pPr>
              <w:spacing w:line="300" w:lineRule="exact"/>
              <w:jc w:val="center"/>
              <w:rPr>
                <w:rFonts w:hint="eastAsia" w:ascii="宋体" w:hAnsi="宋体" w:eastAsia="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报告人联系方式</w:t>
            </w:r>
          </w:p>
        </w:tc>
        <w:tc>
          <w:tcPr>
            <w:tcW w:w="6234" w:type="dxa"/>
            <w:noWrap w:val="0"/>
            <w:vAlign w:val="center"/>
          </w:tcPr>
          <w:p>
            <w:pPr>
              <w:spacing w:line="300" w:lineRule="exact"/>
              <w:jc w:val="center"/>
              <w:rPr>
                <w:rFonts w:hint="eastAsia" w:ascii="宋体" w:hAnsi="宋体" w:eastAsia="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接报后处理</w:t>
            </w:r>
          </w:p>
        </w:tc>
        <w:tc>
          <w:tcPr>
            <w:tcW w:w="6234" w:type="dxa"/>
            <w:noWrap w:val="0"/>
            <w:vAlign w:val="center"/>
          </w:tcPr>
          <w:p>
            <w:pPr>
              <w:spacing w:line="300" w:lineRule="exact"/>
              <w:jc w:val="center"/>
              <w:rPr>
                <w:rFonts w:hint="eastAsia" w:ascii="宋体" w:hAnsi="宋体" w:eastAsia="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2660" w:type="dxa"/>
            <w:noWrap w:val="0"/>
            <w:vAlign w:val="center"/>
          </w:tcPr>
          <w:p>
            <w:pPr>
              <w:spacing w:line="300" w:lineRule="exact"/>
              <w:jc w:val="center"/>
              <w:rPr>
                <w:rFonts w:hint="eastAsia" w:ascii="宋体" w:hAnsi="宋体" w:eastAsia="宋体" w:cs="宋体"/>
                <w:bCs/>
                <w:color w:val="auto"/>
                <w:szCs w:val="21"/>
              </w:rPr>
            </w:pPr>
            <w:r>
              <w:rPr>
                <w:rFonts w:hint="eastAsia" w:ascii="宋体" w:hAnsi="宋体" w:eastAsia="宋体" w:cs="宋体"/>
                <w:bCs/>
                <w:color w:val="auto"/>
                <w:szCs w:val="21"/>
              </w:rPr>
              <w:t>备注</w:t>
            </w:r>
          </w:p>
        </w:tc>
        <w:tc>
          <w:tcPr>
            <w:tcW w:w="6234" w:type="dxa"/>
            <w:noWrap w:val="0"/>
            <w:vAlign w:val="center"/>
          </w:tcPr>
          <w:p>
            <w:pPr>
              <w:spacing w:line="300" w:lineRule="exact"/>
              <w:jc w:val="center"/>
              <w:rPr>
                <w:rFonts w:hint="eastAsia" w:ascii="宋体" w:hAnsi="宋体" w:eastAsia="宋体" w:cs="宋体"/>
                <w:bCs/>
                <w:color w:val="auto"/>
                <w:szCs w:val="21"/>
              </w:rPr>
            </w:pPr>
          </w:p>
        </w:tc>
      </w:tr>
    </w:tbl>
    <w:p>
      <w:pPr>
        <w:jc w:val="center"/>
        <w:rPr>
          <w:rFonts w:hint="eastAsia" w:ascii="宋体" w:hAnsi="宋体" w:eastAsia="宋体" w:cs="宋体"/>
          <w:b/>
          <w:bCs/>
          <w:color w:val="auto"/>
          <w:sz w:val="32"/>
          <w:szCs w:val="32"/>
        </w:rPr>
        <w:sectPr>
          <w:pgSz w:w="11906" w:h="16838"/>
          <w:pgMar w:top="1417" w:right="1417" w:bottom="1417" w:left="1417" w:header="1134" w:footer="1134" w:gutter="0"/>
          <w:pgNumType w:fmt="decimal"/>
          <w:cols w:space="720" w:num="1"/>
          <w:rtlGutter w:val="0"/>
          <w:docGrid w:linePitch="312" w:charSpace="0"/>
        </w:sectPr>
      </w:pPr>
    </w:p>
    <w:p>
      <w:pPr>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事故</w:t>
      </w:r>
      <w:r>
        <w:rPr>
          <w:rFonts w:hint="eastAsia" w:ascii="宋体" w:hAnsi="宋体" w:eastAsia="宋体" w:cs="宋体"/>
          <w:b/>
          <w:bCs/>
          <w:color w:val="auto"/>
          <w:sz w:val="32"/>
          <w:szCs w:val="32"/>
          <w:lang w:eastAsia="zh-CN"/>
        </w:rPr>
        <w:t>预警信息发布表</w:t>
      </w:r>
    </w:p>
    <w:tbl>
      <w:tblPr>
        <w:tblStyle w:val="25"/>
        <w:tblW w:w="8838" w:type="dxa"/>
        <w:tblInd w:w="0" w:type="dxa"/>
        <w:tblLayout w:type="fixed"/>
        <w:tblCellMar>
          <w:top w:w="0" w:type="dxa"/>
          <w:left w:w="0" w:type="dxa"/>
          <w:bottom w:w="0" w:type="dxa"/>
          <w:right w:w="0" w:type="dxa"/>
        </w:tblCellMar>
      </w:tblPr>
      <w:tblGrid>
        <w:gridCol w:w="1914"/>
        <w:gridCol w:w="2308"/>
        <w:gridCol w:w="1712"/>
        <w:gridCol w:w="2904"/>
      </w:tblGrid>
      <w:tr>
        <w:tblPrEx>
          <w:tblCellMar>
            <w:top w:w="0" w:type="dxa"/>
            <w:left w:w="0" w:type="dxa"/>
            <w:bottom w:w="0" w:type="dxa"/>
            <w:right w:w="0" w:type="dxa"/>
          </w:tblCellMar>
        </w:tblPrEx>
        <w:trPr>
          <w:trHeight w:val="1266"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单位名称</w:t>
            </w:r>
          </w:p>
        </w:tc>
        <w:tc>
          <w:tcPr>
            <w:tcW w:w="230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c>
          <w:tcPr>
            <w:tcW w:w="1712"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lang w:eastAsia="zh-CN"/>
              </w:rPr>
              <w:t>类别</w:t>
            </w:r>
          </w:p>
        </w:tc>
        <w:tc>
          <w:tcPr>
            <w:tcW w:w="2904"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1266"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预警级别</w:t>
            </w:r>
          </w:p>
        </w:tc>
        <w:tc>
          <w:tcPr>
            <w:tcW w:w="230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c>
          <w:tcPr>
            <w:tcW w:w="4616" w:type="dxa"/>
            <w:gridSpan w:val="2"/>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val="en-US" w:eastAsia="zh-CN"/>
              </w:rPr>
            </w:pPr>
            <w:r>
              <w:rPr>
                <w:rFonts w:hint="eastAsia" w:ascii="宋体" w:hAnsi="宋体" w:eastAsia="宋体" w:cs="宋体"/>
                <w:i w:val="0"/>
                <w:iCs w:val="0"/>
                <w:color w:val="auto"/>
                <w:kern w:val="0"/>
                <w:sz w:val="24"/>
                <w:lang w:eastAsia="zh-CN"/>
              </w:rPr>
              <w:sym w:font="Wingdings" w:char="00A8"/>
            </w:r>
            <w:r>
              <w:rPr>
                <w:rFonts w:hint="eastAsia" w:ascii="宋体" w:hAnsi="宋体" w:eastAsia="宋体" w:cs="宋体"/>
                <w:i w:val="0"/>
                <w:iCs w:val="0"/>
                <w:color w:val="auto"/>
                <w:kern w:val="0"/>
                <w:sz w:val="24"/>
                <w:lang w:eastAsia="zh-CN"/>
              </w:rPr>
              <w:t>红色预警</w:t>
            </w:r>
            <w:r>
              <w:rPr>
                <w:rFonts w:hint="eastAsia" w:ascii="宋体" w:hAnsi="宋体" w:eastAsia="宋体" w:cs="宋体"/>
                <w:i w:val="0"/>
                <w:iCs w:val="0"/>
                <w:color w:val="auto"/>
                <w:kern w:val="0"/>
                <w:sz w:val="24"/>
                <w:lang w:val="en-US" w:eastAsia="zh-CN"/>
              </w:rPr>
              <w:t xml:space="preserve">  </w:t>
            </w:r>
            <w:r>
              <w:rPr>
                <w:rFonts w:hint="eastAsia" w:ascii="宋体" w:hAnsi="宋体" w:eastAsia="宋体" w:cs="宋体"/>
                <w:i w:val="0"/>
                <w:iCs w:val="0"/>
                <w:color w:val="auto"/>
                <w:kern w:val="0"/>
                <w:sz w:val="24"/>
                <w:lang w:eastAsia="zh-CN"/>
              </w:rPr>
              <w:sym w:font="Wingdings" w:char="00A8"/>
            </w:r>
            <w:r>
              <w:rPr>
                <w:rFonts w:hint="eastAsia" w:ascii="宋体" w:hAnsi="宋体" w:eastAsia="宋体" w:cs="宋体"/>
                <w:i w:val="0"/>
                <w:iCs w:val="0"/>
                <w:color w:val="auto"/>
                <w:kern w:val="0"/>
                <w:sz w:val="24"/>
                <w:lang w:val="en-US" w:eastAsia="zh-CN"/>
              </w:rPr>
              <w:t xml:space="preserve">橙色预警  </w:t>
            </w:r>
            <w:r>
              <w:rPr>
                <w:rFonts w:hint="eastAsia" w:ascii="宋体" w:hAnsi="宋体" w:eastAsia="宋体" w:cs="宋体"/>
                <w:i w:val="0"/>
                <w:iCs w:val="0"/>
                <w:color w:val="auto"/>
                <w:kern w:val="0"/>
                <w:sz w:val="24"/>
                <w:lang w:eastAsia="zh-CN"/>
              </w:rPr>
              <w:sym w:font="Wingdings" w:char="00A8"/>
            </w:r>
            <w:r>
              <w:rPr>
                <w:rFonts w:hint="eastAsia" w:ascii="宋体" w:hAnsi="宋体" w:eastAsia="宋体" w:cs="宋体"/>
                <w:i w:val="0"/>
                <w:iCs w:val="0"/>
                <w:color w:val="auto"/>
                <w:kern w:val="0"/>
                <w:sz w:val="24"/>
                <w:lang w:val="en-US" w:eastAsia="zh-CN"/>
              </w:rPr>
              <w:t xml:space="preserve"> 黄色预警</w:t>
            </w:r>
          </w:p>
        </w:tc>
      </w:tr>
      <w:tr>
        <w:tblPrEx>
          <w:tblCellMar>
            <w:top w:w="0" w:type="dxa"/>
            <w:left w:w="0" w:type="dxa"/>
            <w:bottom w:w="0" w:type="dxa"/>
            <w:right w:w="0" w:type="dxa"/>
          </w:tblCellMar>
        </w:tblPrEx>
        <w:trPr>
          <w:trHeight w:val="1266"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预警起始时间</w:t>
            </w:r>
          </w:p>
        </w:tc>
        <w:tc>
          <w:tcPr>
            <w:tcW w:w="692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val="en-US" w:eastAsia="zh-CN"/>
              </w:rPr>
            </w:pPr>
            <w:r>
              <w:rPr>
                <w:rFonts w:hint="eastAsia" w:ascii="宋体" w:hAnsi="宋体" w:eastAsia="宋体" w:cs="宋体"/>
                <w:i w:val="0"/>
                <w:iCs w:val="0"/>
                <w:color w:val="auto"/>
                <w:kern w:val="0"/>
                <w:sz w:val="24"/>
                <w:lang w:val="en-US" w:eastAsia="zh-CN"/>
              </w:rPr>
              <w:t xml:space="preserve">年   月   日  时  分 -----    年   月   日  时  分  </w:t>
            </w:r>
          </w:p>
        </w:tc>
      </w:tr>
      <w:tr>
        <w:tblPrEx>
          <w:tblCellMar>
            <w:top w:w="0" w:type="dxa"/>
            <w:left w:w="0" w:type="dxa"/>
            <w:bottom w:w="0" w:type="dxa"/>
            <w:right w:w="0" w:type="dxa"/>
          </w:tblCellMar>
        </w:tblPrEx>
        <w:trPr>
          <w:trHeight w:val="1266"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预警区域或场所</w:t>
            </w:r>
          </w:p>
        </w:tc>
        <w:tc>
          <w:tcPr>
            <w:tcW w:w="692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auto"/>
              </w:rPr>
            </w:pPr>
          </w:p>
          <w:p>
            <w:pPr>
              <w:pStyle w:val="2"/>
              <w:rPr>
                <w:rFonts w:hint="eastAsia" w:ascii="宋体" w:hAnsi="宋体" w:eastAsia="宋体" w:cs="宋体"/>
                <w:i w:val="0"/>
                <w:iCs w:val="0"/>
                <w:color w:val="auto"/>
                <w:kern w:val="0"/>
                <w:sz w:val="24"/>
              </w:rPr>
            </w:pPr>
          </w:p>
          <w:p>
            <w:pPr>
              <w:pStyle w:val="2"/>
              <w:ind w:left="0" w:leftChars="0" w:firstLine="0" w:firstLineChars="0"/>
              <w:rPr>
                <w:rFonts w:hint="eastAsia" w:ascii="宋体" w:hAnsi="宋体" w:eastAsia="宋体" w:cs="宋体"/>
                <w:i w:val="0"/>
                <w:iCs w:val="0"/>
                <w:color w:val="auto"/>
                <w:kern w:val="0"/>
                <w:sz w:val="24"/>
              </w:rPr>
            </w:pPr>
          </w:p>
          <w:p>
            <w:pPr>
              <w:pStyle w:val="2"/>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1266"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警示事项</w:t>
            </w:r>
          </w:p>
        </w:tc>
        <w:tc>
          <w:tcPr>
            <w:tcW w:w="692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auto"/>
              </w:rPr>
            </w:pPr>
          </w:p>
          <w:p>
            <w:pPr>
              <w:pStyle w:val="2"/>
              <w:rPr>
                <w:rFonts w:hint="eastAsia" w:ascii="宋体" w:hAnsi="宋体" w:eastAsia="宋体" w:cs="宋体"/>
                <w:i w:val="0"/>
                <w:iCs w:val="0"/>
                <w:color w:val="auto"/>
                <w:kern w:val="0"/>
                <w:sz w:val="24"/>
              </w:rPr>
            </w:pPr>
          </w:p>
          <w:p>
            <w:pPr>
              <w:pStyle w:val="2"/>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1266"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可能影响范围</w:t>
            </w:r>
          </w:p>
        </w:tc>
        <w:tc>
          <w:tcPr>
            <w:tcW w:w="692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auto"/>
              </w:rPr>
            </w:pPr>
          </w:p>
          <w:p>
            <w:pPr>
              <w:pStyle w:val="2"/>
              <w:ind w:left="0" w:leftChars="0" w:firstLine="0" w:firstLineChars="0"/>
              <w:rPr>
                <w:rFonts w:hint="eastAsia" w:ascii="宋体" w:hAnsi="宋体" w:eastAsia="宋体" w:cs="宋体"/>
                <w:i w:val="0"/>
                <w:iCs w:val="0"/>
                <w:color w:val="auto"/>
                <w:kern w:val="0"/>
                <w:sz w:val="24"/>
              </w:rPr>
            </w:pPr>
          </w:p>
          <w:p>
            <w:pPr>
              <w:pStyle w:val="2"/>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1266"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应对措施和防范建议</w:t>
            </w:r>
          </w:p>
        </w:tc>
        <w:tc>
          <w:tcPr>
            <w:tcW w:w="692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auto"/>
              </w:rPr>
            </w:pPr>
          </w:p>
          <w:p>
            <w:pPr>
              <w:pStyle w:val="2"/>
              <w:rPr>
                <w:rFonts w:hint="eastAsia" w:ascii="宋体" w:hAnsi="宋体" w:eastAsia="宋体" w:cs="宋体"/>
                <w:i w:val="0"/>
                <w:iCs w:val="0"/>
                <w:color w:val="auto"/>
                <w:kern w:val="0"/>
                <w:sz w:val="24"/>
              </w:rPr>
            </w:pPr>
          </w:p>
          <w:p>
            <w:pPr>
              <w:pStyle w:val="2"/>
              <w:rPr>
                <w:rFonts w:hint="eastAsia" w:ascii="宋体" w:hAnsi="宋体" w:eastAsia="宋体" w:cs="宋体"/>
                <w:i w:val="0"/>
                <w:iCs w:val="0"/>
                <w:color w:val="auto"/>
                <w:kern w:val="0"/>
                <w:sz w:val="24"/>
              </w:rPr>
            </w:pPr>
          </w:p>
          <w:p>
            <w:pPr>
              <w:pStyle w:val="2"/>
              <w:rPr>
                <w:rFonts w:hint="eastAsia" w:ascii="宋体" w:hAnsi="宋体" w:eastAsia="宋体" w:cs="宋体"/>
                <w:i w:val="0"/>
                <w:iCs w:val="0"/>
                <w:color w:val="auto"/>
                <w:kern w:val="0"/>
                <w:sz w:val="24"/>
              </w:rPr>
            </w:pPr>
          </w:p>
          <w:p>
            <w:pPr>
              <w:pStyle w:val="2"/>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1298" w:hRule="atLeast"/>
        </w:trPr>
        <w:tc>
          <w:tcPr>
            <w:tcW w:w="191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预警发布单位</w:t>
            </w:r>
          </w:p>
        </w:tc>
        <w:tc>
          <w:tcPr>
            <w:tcW w:w="230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c>
          <w:tcPr>
            <w:tcW w:w="1712"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lang w:eastAsia="zh-CN"/>
              </w:rPr>
            </w:pPr>
            <w:r>
              <w:rPr>
                <w:rFonts w:hint="eastAsia" w:ascii="宋体" w:hAnsi="宋体" w:eastAsia="宋体" w:cs="宋体"/>
                <w:i w:val="0"/>
                <w:iCs w:val="0"/>
                <w:color w:val="auto"/>
                <w:kern w:val="0"/>
                <w:sz w:val="24"/>
                <w:lang w:eastAsia="zh-CN"/>
              </w:rPr>
              <w:t>预警发布时间</w:t>
            </w:r>
          </w:p>
        </w:tc>
        <w:tc>
          <w:tcPr>
            <w:tcW w:w="2904"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lang w:val="en-US" w:eastAsia="zh-CN"/>
              </w:rPr>
              <w:t xml:space="preserve"> 年   月   日   时  分  </w:t>
            </w:r>
          </w:p>
        </w:tc>
      </w:tr>
    </w:tbl>
    <w:p>
      <w:pPr>
        <w:jc w:val="center"/>
        <w:rPr>
          <w:rFonts w:hint="eastAsia" w:ascii="宋体" w:hAnsi="宋体" w:eastAsia="宋体" w:cs="宋体"/>
          <w:b/>
          <w:bCs/>
          <w:color w:val="auto"/>
          <w:sz w:val="32"/>
          <w:szCs w:val="32"/>
        </w:rPr>
      </w:pPr>
    </w:p>
    <w:p>
      <w:pPr>
        <w:pStyle w:val="2"/>
        <w:jc w:val="both"/>
        <w:rPr>
          <w:rFonts w:hint="eastAsia" w:ascii="宋体" w:hAnsi="宋体" w:eastAsia="宋体" w:cs="宋体"/>
          <w:b/>
          <w:bCs/>
          <w:color w:val="auto"/>
          <w:sz w:val="32"/>
          <w:szCs w:val="32"/>
          <w:lang w:eastAsia="zh-CN"/>
        </w:rPr>
      </w:pPr>
    </w:p>
    <w:p>
      <w:pPr>
        <w:pStyle w:val="2"/>
        <w:jc w:val="center"/>
        <w:rPr>
          <w:rFonts w:hint="eastAsia" w:ascii="宋体" w:hAnsi="宋体" w:eastAsia="宋体" w:cs="宋体"/>
          <w:b/>
          <w:bCs/>
          <w:color w:val="auto"/>
          <w:sz w:val="32"/>
          <w:szCs w:val="32"/>
          <w:lang w:eastAsia="zh-CN"/>
        </w:rPr>
        <w:sectPr>
          <w:pgSz w:w="11906" w:h="16838"/>
          <w:pgMar w:top="1417" w:right="1417" w:bottom="1417" w:left="1587" w:header="1134" w:footer="1134" w:gutter="0"/>
          <w:pgNumType w:fmt="decimal"/>
          <w:cols w:space="720" w:num="1"/>
          <w:rtlGutter w:val="0"/>
          <w:docGrid w:linePitch="312" w:charSpace="0"/>
        </w:sectPr>
      </w:pPr>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b/>
          <w:color w:val="auto"/>
          <w:kern w:val="2"/>
          <w:sz w:val="28"/>
          <w:szCs w:val="28"/>
          <w:lang w:eastAsia="zh-CN"/>
        </w:rPr>
      </w:pPr>
      <w:bookmarkStart w:id="662" w:name="_Toc22806_WPSOffice_Level3"/>
      <w:bookmarkStart w:id="663" w:name="_Toc22047_WPSOffice_Level3"/>
      <w:bookmarkStart w:id="664" w:name="_Toc20653_WPSOffice_Level3"/>
      <w:bookmarkStart w:id="665" w:name="_Toc26184_WPSOffice_Level3"/>
      <w:bookmarkStart w:id="666" w:name="_Toc19708_WPSOffice_Level3"/>
      <w:bookmarkStart w:id="667" w:name="_Toc5489_WPSOffice_Level3"/>
      <w:bookmarkStart w:id="668" w:name="_Toc19327_WPSOffice_Level3"/>
      <w:bookmarkStart w:id="669" w:name="_Toc17372_WPSOffice_Level3"/>
      <w:bookmarkStart w:id="670" w:name="_Toc24817_WPSOffice_Level3"/>
      <w:bookmarkStart w:id="671" w:name="_Toc14342_WPSOffice_Level3"/>
      <w:bookmarkStart w:id="672" w:name="_Toc18424_WPSOffice_Level3"/>
      <w:bookmarkStart w:id="673" w:name="_Toc16505_WPSOffice_Level3"/>
      <w:bookmarkStart w:id="674" w:name="_Toc22048_WPSOffice_Level3"/>
      <w:r>
        <w:rPr>
          <w:rFonts w:hint="eastAsia" w:ascii="宋体" w:hAnsi="宋体" w:eastAsia="宋体" w:cs="宋体"/>
          <w:b/>
          <w:color w:val="auto"/>
          <w:kern w:val="2"/>
          <w:sz w:val="28"/>
          <w:szCs w:val="28"/>
          <w:lang w:eastAsia="zh-CN"/>
        </w:rPr>
        <w:t>关于启动</w:t>
      </w:r>
      <w:r>
        <w:rPr>
          <w:rFonts w:hint="eastAsia" w:ascii="宋体" w:hAnsi="宋体" w:eastAsia="宋体" w:cs="宋体"/>
          <w:b/>
          <w:color w:val="auto"/>
          <w:kern w:val="2"/>
          <w:sz w:val="28"/>
          <w:szCs w:val="28"/>
          <w:u w:val="single"/>
          <w:lang w:eastAsia="zh-CN"/>
        </w:rPr>
        <w:t xml:space="preserve">                </w:t>
      </w:r>
      <w:r>
        <w:rPr>
          <w:rFonts w:hint="eastAsia" w:ascii="宋体" w:hAnsi="宋体" w:eastAsia="宋体" w:cs="宋体"/>
          <w:b/>
          <w:color w:val="auto"/>
          <w:kern w:val="2"/>
          <w:sz w:val="28"/>
          <w:szCs w:val="28"/>
          <w:lang w:eastAsia="zh-CN"/>
        </w:rPr>
        <w:t>应急预案的通知</w:t>
      </w:r>
      <w:bookmarkEnd w:id="662"/>
      <w:bookmarkEnd w:id="663"/>
      <w:bookmarkEnd w:id="664"/>
      <w:bookmarkEnd w:id="665"/>
      <w:bookmarkEnd w:id="666"/>
      <w:bookmarkEnd w:id="667"/>
      <w:bookmarkEnd w:id="668"/>
      <w:bookmarkEnd w:id="669"/>
      <w:bookmarkEnd w:id="670"/>
      <w:bookmarkEnd w:id="671"/>
      <w:bookmarkEnd w:id="672"/>
      <w:bookmarkEnd w:id="673"/>
      <w:bookmarkEnd w:id="674"/>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u w:val="single"/>
          <w:lang w:eastAsia="zh-CN"/>
        </w:rPr>
        <w:t xml:space="preserve">           </w:t>
      </w:r>
      <w:bookmarkStart w:id="675" w:name="_Toc4252_WPSOffice_Level2"/>
      <w:bookmarkStart w:id="676" w:name="_Toc25364_WPSOffice_Level3"/>
      <w:bookmarkStart w:id="677" w:name="_Toc18552_WPSOffice_Level2"/>
      <w:bookmarkStart w:id="678" w:name="_Toc31621_WPSOffice_Level2"/>
      <w:bookmarkStart w:id="679" w:name="_Toc20678_WPSOffice_Level2"/>
      <w:bookmarkStart w:id="680" w:name="_Toc1919_WPSOffice_Level2"/>
      <w:bookmarkStart w:id="681" w:name="_Toc9548_WPSOffice_Level3"/>
      <w:bookmarkStart w:id="682" w:name="_Toc27300_WPSOffice_Level2"/>
      <w:bookmarkStart w:id="683" w:name="_Toc16909_WPSOffice_Level2"/>
      <w:bookmarkStart w:id="684" w:name="_Toc25149_WPSOffice_Level2"/>
      <w:bookmarkStart w:id="685" w:name="_Toc23930_WPSOffice_Level2"/>
      <w:bookmarkStart w:id="686" w:name="_Toc15660_WPSOffice_Level2"/>
      <w:bookmarkStart w:id="687" w:name="_Toc29485_WPSOffice_Level2"/>
      <w:bookmarkStart w:id="688" w:name="_Toc32376_WPSOffice_Level2"/>
      <w:r>
        <w:rPr>
          <w:rFonts w:hint="eastAsia" w:ascii="宋体" w:hAnsi="宋体" w:eastAsia="宋体" w:cs="宋体"/>
          <w:color w:val="auto"/>
          <w:kern w:val="2"/>
          <w:sz w:val="28"/>
          <w:szCs w:val="28"/>
          <w:lang w:eastAsia="zh-CN"/>
        </w:rPr>
        <w:t>字〔    〕</w:t>
      </w:r>
      <w:r>
        <w:rPr>
          <w:rFonts w:hint="eastAsia" w:ascii="宋体" w:hAnsi="宋体" w:eastAsia="宋体" w:cs="宋体"/>
          <w:color w:val="auto"/>
          <w:kern w:val="2"/>
          <w:sz w:val="28"/>
          <w:szCs w:val="28"/>
          <w:u w:val="single"/>
          <w:lang w:eastAsia="zh-CN"/>
        </w:rPr>
        <w:t xml:space="preserve">       </w:t>
      </w:r>
      <w:r>
        <w:rPr>
          <w:rFonts w:hint="eastAsia" w:ascii="宋体" w:hAnsi="宋体" w:eastAsia="宋体" w:cs="宋体"/>
          <w:color w:val="auto"/>
          <w:kern w:val="2"/>
          <w:sz w:val="28"/>
          <w:szCs w:val="28"/>
          <w:lang w:eastAsia="zh-CN"/>
        </w:rPr>
        <w:t>号</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8"/>
          <w:szCs w:val="28"/>
          <w:u w:val="single"/>
          <w:lang w:eastAsia="zh-CN"/>
        </w:rPr>
      </w:pP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u w:val="single"/>
          <w:lang w:eastAsia="zh-CN"/>
        </w:rPr>
      </w:pPr>
      <w:r>
        <w:rPr>
          <w:rFonts w:hint="eastAsia" w:ascii="宋体" w:hAnsi="宋体" w:eastAsia="宋体" w:cs="宋体"/>
          <w:color w:val="auto"/>
          <w:kern w:val="2"/>
          <w:sz w:val="24"/>
          <w:szCs w:val="24"/>
          <w:lang w:eastAsia="zh-CN"/>
        </w:rPr>
        <w:t xml:space="preserve">  </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年</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月</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日</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时，在我司</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（单位）发生了</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。到目前，已造成</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（人员伤亡、财产损失等情况）。造成事件的原因是</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（或者原因正在调查）。</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经研究，决定启动</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应急预案。</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（各部门、救援小组工作安排）</w:t>
      </w:r>
    </w:p>
    <w:p>
      <w:pPr>
        <w:keepNext w:val="0"/>
        <w:keepLines w:val="0"/>
        <w:pageBreakBefore w:val="0"/>
        <w:widowControl w:val="0"/>
        <w:kinsoku/>
        <w:wordWrap w:val="0"/>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特此公告</w:t>
      </w:r>
    </w:p>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kern w:val="2"/>
          <w:sz w:val="24"/>
          <w:szCs w:val="24"/>
          <w:lang w:eastAsia="zh-CN"/>
        </w:rPr>
      </w:pPr>
      <w:bookmarkStart w:id="689" w:name="_Toc16741_WPSOffice_Level2"/>
      <w:bookmarkStart w:id="690" w:name="_Toc18972_WPSOffice_Level2"/>
      <w:bookmarkStart w:id="691" w:name="_Toc31572_WPSOffice_Level3"/>
      <w:bookmarkStart w:id="692" w:name="_Toc24465_WPSOffice_Level2"/>
      <w:bookmarkStart w:id="693" w:name="_Toc16903_WPSOffice_Level2"/>
      <w:bookmarkStart w:id="694" w:name="_Toc27288_WPSOffice_Level2"/>
      <w:bookmarkStart w:id="695" w:name="_Toc29198_WPSOffice_Level2"/>
      <w:bookmarkStart w:id="696" w:name="_Toc6332_WPSOffice_Level3"/>
      <w:bookmarkStart w:id="697" w:name="_Toc29987_WPSOffice_Level2"/>
      <w:bookmarkStart w:id="698" w:name="_Toc28949_WPSOffice_Level2"/>
      <w:bookmarkStart w:id="699" w:name="_Toc25591_WPSOffice_Level2"/>
      <w:bookmarkStart w:id="700" w:name="_Toc18259_WPSOffice_Level2"/>
      <w:bookmarkStart w:id="701" w:name="_Toc25249_WPSOffice_Level2"/>
      <w:bookmarkStart w:id="702" w:name="_Toc1072_WPSOffice_Level2"/>
      <w:r>
        <w:rPr>
          <w:rFonts w:hint="eastAsia" w:ascii="宋体" w:hAnsi="宋体" w:eastAsia="宋体" w:cs="宋体"/>
          <w:color w:val="auto"/>
          <w:kern w:val="2"/>
          <w:sz w:val="24"/>
          <w:szCs w:val="24"/>
          <w:lang w:eastAsia="zh-CN"/>
        </w:rPr>
        <w:t>（签章）：</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Pr>
          <w:rFonts w:hint="eastAsia" w:ascii="宋体" w:hAnsi="宋体" w:eastAsia="宋体" w:cs="宋体"/>
          <w:color w:val="auto"/>
          <w:kern w:val="2"/>
          <w:sz w:val="24"/>
          <w:szCs w:val="24"/>
          <w:lang w:eastAsia="zh-CN"/>
        </w:rPr>
        <w:t xml:space="preserve">           </w:t>
      </w:r>
    </w:p>
    <w:p>
      <w:pPr>
        <w:keepNext w:val="0"/>
        <w:keepLines w:val="0"/>
        <w:pageBreakBefore w:val="0"/>
        <w:widowControl w:val="0"/>
        <w:kinsoku/>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kern w:val="2"/>
          <w:sz w:val="24"/>
          <w:szCs w:val="24"/>
          <w:lang w:eastAsia="zh-CN"/>
        </w:rPr>
      </w:pPr>
      <w:bookmarkStart w:id="703" w:name="_Toc31223_WPSOffice_Level3"/>
      <w:bookmarkStart w:id="704" w:name="_Toc24972_WPSOffice_Level2"/>
      <w:bookmarkStart w:id="705" w:name="_Toc27329_WPSOffice_Level2"/>
      <w:bookmarkStart w:id="706" w:name="_Toc18381_WPSOffice_Level2"/>
      <w:bookmarkStart w:id="707" w:name="_Toc7021_WPSOffice_Level2"/>
      <w:bookmarkStart w:id="708" w:name="_Toc13425_WPSOffice_Level2"/>
      <w:bookmarkStart w:id="709" w:name="_Toc129_WPSOffice_Level2"/>
      <w:bookmarkStart w:id="710" w:name="_Toc26887_WPSOffice_Level2"/>
      <w:bookmarkStart w:id="711" w:name="_Toc20927_WPSOffice_Level3"/>
      <w:bookmarkStart w:id="712" w:name="_Toc8530_WPSOffice_Level2"/>
      <w:bookmarkStart w:id="713" w:name="_Toc31689_WPSOffice_Level2"/>
      <w:bookmarkStart w:id="714" w:name="_Toc16121_WPSOffice_Level2"/>
      <w:bookmarkStart w:id="715" w:name="_Toc11645_WPSOffice_Level2"/>
      <w:bookmarkStart w:id="716" w:name="_Toc26786_WPSOffice_Level2"/>
      <w:r>
        <w:rPr>
          <w:rFonts w:hint="eastAsia" w:ascii="宋体" w:hAnsi="宋体" w:eastAsia="宋体" w:cs="宋体"/>
          <w:color w:val="auto"/>
          <w:kern w:val="2"/>
          <w:sz w:val="24"/>
          <w:szCs w:val="24"/>
          <w:lang w:eastAsia="zh-CN"/>
        </w:rPr>
        <w:t>年   月   日</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keepNext w:val="0"/>
        <w:keepLines w:val="0"/>
        <w:pageBreakBefore w:val="0"/>
        <w:widowControl w:val="0"/>
        <w:kinsoku/>
        <w:overflowPunct/>
        <w:topLinePunct w:val="0"/>
        <w:autoSpaceDE/>
        <w:autoSpaceDN/>
        <w:bidi w:val="0"/>
        <w:adjustRightInd/>
        <w:snapToGrid/>
        <w:spacing w:line="360" w:lineRule="auto"/>
        <w:ind w:firstLine="482"/>
        <w:jc w:val="center"/>
        <w:textAlignment w:val="auto"/>
        <w:rPr>
          <w:rFonts w:ascii="宋体" w:hAnsi="宋体" w:eastAsia="宋体" w:cs="宋体"/>
          <w:b/>
          <w:color w:val="auto"/>
          <w:kern w:val="2"/>
          <w:sz w:val="28"/>
          <w:szCs w:val="28"/>
          <w:lang w:eastAsia="zh-CN"/>
        </w:rPr>
      </w:pPr>
      <w:bookmarkStart w:id="717" w:name="_Toc19605_WPSOffice_Level3"/>
      <w:bookmarkStart w:id="718" w:name="_Toc23287_WPSOffice_Level3"/>
      <w:bookmarkStart w:id="719" w:name="_Toc29655_WPSOffice_Level3"/>
      <w:bookmarkStart w:id="720" w:name="_Toc13831_WPSOffice_Level3"/>
      <w:bookmarkStart w:id="721" w:name="_Toc31364_WPSOffice_Level3"/>
      <w:bookmarkStart w:id="722" w:name="_Toc11653_WPSOffice_Level3"/>
      <w:bookmarkStart w:id="723" w:name="_Toc1903_WPSOffice_Level3"/>
      <w:bookmarkStart w:id="724" w:name="_Toc20189_WPSOffice_Level3"/>
      <w:bookmarkStart w:id="725" w:name="_Toc7782_WPSOffice_Level3"/>
      <w:bookmarkStart w:id="726" w:name="_Toc16072_WPSOffice_Level3"/>
      <w:bookmarkStart w:id="727" w:name="_Toc6797_WPSOffice_Level3"/>
      <w:bookmarkStart w:id="728" w:name="_Toc24948_WPSOffice_Level3"/>
      <w:bookmarkStart w:id="729" w:name="_Toc19429_WPSOffice_Level3"/>
    </w:p>
    <w:p>
      <w:pPr>
        <w:keepNext w:val="0"/>
        <w:keepLines w:val="0"/>
        <w:pageBreakBefore w:val="0"/>
        <w:widowControl w:val="0"/>
        <w:kinsoku/>
        <w:overflowPunct/>
        <w:topLinePunct w:val="0"/>
        <w:autoSpaceDE/>
        <w:autoSpaceDN/>
        <w:bidi w:val="0"/>
        <w:adjustRightInd/>
        <w:snapToGrid/>
        <w:spacing w:line="360" w:lineRule="auto"/>
        <w:ind w:firstLine="482"/>
        <w:jc w:val="center"/>
        <w:textAlignment w:val="auto"/>
        <w:rPr>
          <w:rFonts w:ascii="宋体" w:hAnsi="宋体" w:eastAsia="宋体" w:cs="宋体"/>
          <w:b/>
          <w:color w:val="auto"/>
          <w:kern w:val="2"/>
          <w:sz w:val="28"/>
          <w:szCs w:val="28"/>
          <w:lang w:eastAsia="zh-CN"/>
        </w:rPr>
      </w:pPr>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kern w:val="2"/>
          <w:sz w:val="28"/>
          <w:szCs w:val="28"/>
          <w:lang w:eastAsia="zh-CN"/>
        </w:rPr>
      </w:pPr>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b/>
          <w:color w:val="auto"/>
          <w:kern w:val="2"/>
          <w:sz w:val="28"/>
          <w:szCs w:val="28"/>
          <w:lang w:eastAsia="zh-CN"/>
        </w:rPr>
      </w:pPr>
      <w:r>
        <w:rPr>
          <w:rFonts w:hint="eastAsia" w:ascii="宋体" w:hAnsi="宋体" w:eastAsia="宋体" w:cs="宋体"/>
          <w:b/>
          <w:color w:val="auto"/>
          <w:kern w:val="2"/>
          <w:sz w:val="28"/>
          <w:szCs w:val="28"/>
          <w:lang w:eastAsia="zh-CN"/>
        </w:rPr>
        <w:t>关于处理</w:t>
      </w:r>
      <w:r>
        <w:rPr>
          <w:rFonts w:hint="eastAsia" w:ascii="宋体" w:hAnsi="宋体" w:eastAsia="宋体" w:cs="宋体"/>
          <w:b/>
          <w:color w:val="auto"/>
          <w:kern w:val="2"/>
          <w:sz w:val="28"/>
          <w:szCs w:val="28"/>
          <w:u w:val="single"/>
          <w:lang w:eastAsia="zh-CN"/>
        </w:rPr>
        <w:t xml:space="preserve">                </w:t>
      </w:r>
      <w:r>
        <w:rPr>
          <w:rFonts w:hint="eastAsia" w:ascii="宋体" w:hAnsi="宋体" w:eastAsia="宋体" w:cs="宋体"/>
          <w:b/>
          <w:color w:val="auto"/>
          <w:kern w:val="2"/>
          <w:sz w:val="28"/>
          <w:szCs w:val="28"/>
          <w:lang w:eastAsia="zh-CN"/>
        </w:rPr>
        <w:t>的情况报告</w:t>
      </w:r>
      <w:bookmarkEnd w:id="717"/>
      <w:bookmarkEnd w:id="718"/>
      <w:bookmarkEnd w:id="719"/>
      <w:bookmarkEnd w:id="720"/>
      <w:bookmarkEnd w:id="721"/>
      <w:bookmarkEnd w:id="722"/>
      <w:bookmarkEnd w:id="723"/>
      <w:bookmarkEnd w:id="724"/>
      <w:bookmarkEnd w:id="725"/>
      <w:bookmarkEnd w:id="726"/>
      <w:bookmarkEnd w:id="727"/>
      <w:bookmarkEnd w:id="728"/>
      <w:bookmarkEnd w:id="729"/>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u w:val="single"/>
          <w:lang w:eastAsia="zh-CN"/>
        </w:rPr>
        <w:t xml:space="preserve">           </w:t>
      </w:r>
      <w:bookmarkStart w:id="730" w:name="_Toc21762_WPSOffice_Level2"/>
      <w:bookmarkStart w:id="731" w:name="_Toc13279_WPSOffice_Level2"/>
      <w:bookmarkStart w:id="732" w:name="_Toc20909_WPSOffice_Level2"/>
      <w:bookmarkStart w:id="733" w:name="_Toc23712_WPSOffice_Level2"/>
      <w:bookmarkStart w:id="734" w:name="_Toc4007_WPSOffice_Level2"/>
      <w:bookmarkStart w:id="735" w:name="_Toc26998_WPSOffice_Level2"/>
      <w:bookmarkStart w:id="736" w:name="_Toc2519_WPSOffice_Level2"/>
      <w:bookmarkStart w:id="737" w:name="_Toc15681_WPSOffice_Level3"/>
      <w:bookmarkStart w:id="738" w:name="_Toc16614_WPSOffice_Level3"/>
      <w:bookmarkStart w:id="739" w:name="_Toc29822_WPSOffice_Level2"/>
      <w:bookmarkStart w:id="740" w:name="_Toc27021_WPSOffice_Level2"/>
      <w:bookmarkStart w:id="741" w:name="_Toc9514_WPSOffice_Level2"/>
      <w:bookmarkStart w:id="742" w:name="_Toc10679_WPSOffice_Level2"/>
      <w:bookmarkStart w:id="743" w:name="_Toc8140_WPSOffice_Level2"/>
      <w:r>
        <w:rPr>
          <w:rFonts w:hint="eastAsia" w:ascii="宋体" w:hAnsi="宋体" w:eastAsia="宋体" w:cs="宋体"/>
          <w:color w:val="auto"/>
          <w:kern w:val="2"/>
          <w:sz w:val="28"/>
          <w:szCs w:val="28"/>
          <w:lang w:eastAsia="zh-CN"/>
        </w:rPr>
        <w:t>字〔    〕</w:t>
      </w:r>
      <w:r>
        <w:rPr>
          <w:rFonts w:hint="eastAsia" w:ascii="宋体" w:hAnsi="宋体" w:eastAsia="宋体" w:cs="宋体"/>
          <w:color w:val="auto"/>
          <w:kern w:val="2"/>
          <w:sz w:val="28"/>
          <w:szCs w:val="28"/>
          <w:u w:val="single"/>
          <w:lang w:eastAsia="zh-CN"/>
        </w:rPr>
        <w:t xml:space="preserve">       </w:t>
      </w:r>
      <w:r>
        <w:rPr>
          <w:rFonts w:hint="eastAsia" w:ascii="宋体" w:hAnsi="宋体" w:eastAsia="宋体" w:cs="宋体"/>
          <w:color w:val="auto"/>
          <w:kern w:val="2"/>
          <w:sz w:val="28"/>
          <w:szCs w:val="28"/>
          <w:lang w:eastAsia="zh-CN"/>
        </w:rPr>
        <w:t>号</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8"/>
          <w:szCs w:val="28"/>
          <w:u w:val="single"/>
          <w:lang w:eastAsia="zh-CN"/>
        </w:rPr>
      </w:pP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u w:val="single"/>
          <w:lang w:eastAsia="zh-CN"/>
        </w:rPr>
      </w:pPr>
      <w:r>
        <w:rPr>
          <w:rFonts w:hint="eastAsia" w:ascii="宋体" w:hAnsi="宋体" w:eastAsia="宋体" w:cs="宋体"/>
          <w:color w:val="auto"/>
          <w:kern w:val="2"/>
          <w:sz w:val="24"/>
          <w:szCs w:val="24"/>
          <w:lang w:eastAsia="zh-CN"/>
        </w:rPr>
        <w:t xml:space="preserve">    </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年</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月</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日</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时，在我司</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（单位）发生了</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。到目前，已造成</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（人员伤亡、财产损失等情况）。造成事件的原因是</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（或者原因正在调查）。</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事件的进展情况将续报。</w:t>
      </w:r>
    </w:p>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（签章）：        </w:t>
      </w:r>
    </w:p>
    <w:p>
      <w:pPr>
        <w:keepNext w:val="0"/>
        <w:keepLines w:val="0"/>
        <w:pageBreakBefore w:val="0"/>
        <w:widowControl w:val="0"/>
        <w:kinsoku/>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sz w:val="24"/>
          <w:szCs w:val="24"/>
        </w:rPr>
        <w:sectPr>
          <w:pgSz w:w="11906" w:h="16838"/>
          <w:pgMar w:top="1417" w:right="1417" w:bottom="1417" w:left="1417" w:header="851" w:footer="992" w:gutter="0"/>
          <w:cols w:space="720" w:num="1"/>
          <w:docGrid w:type="lines" w:linePitch="312" w:charSpace="0"/>
        </w:sectPr>
      </w:pPr>
      <w:bookmarkStart w:id="744" w:name="_Toc30585_WPSOffice_Level2"/>
      <w:bookmarkStart w:id="745" w:name="_Toc15050_WPSOffice_Level2"/>
      <w:bookmarkStart w:id="746" w:name="_Toc11292_WPSOffice_Level2"/>
      <w:bookmarkStart w:id="747" w:name="_Toc4691_WPSOffice_Level2"/>
      <w:bookmarkStart w:id="748" w:name="_Toc18891_WPSOffice_Level2"/>
      <w:bookmarkStart w:id="749" w:name="_Toc17819_WPSOffice_Level2"/>
      <w:bookmarkStart w:id="750" w:name="_Toc29847_WPSOffice_Level2"/>
      <w:bookmarkStart w:id="751" w:name="_Toc20305_WPSOffice_Level2"/>
      <w:bookmarkStart w:id="752" w:name="_Toc11179_WPSOffice_Level2"/>
      <w:bookmarkStart w:id="753" w:name="_Toc17269_WPSOffice_Level3"/>
      <w:bookmarkStart w:id="754" w:name="_Toc22633_WPSOffice_Level2"/>
      <w:bookmarkStart w:id="755" w:name="_Toc2931_WPSOffice_Level3"/>
      <w:bookmarkStart w:id="756" w:name="_Toc11102_WPSOffice_Level2"/>
      <w:bookmarkStart w:id="757" w:name="_Toc9008_WPSOffice_Level2"/>
      <w:r>
        <w:rPr>
          <w:rFonts w:hint="eastAsia" w:ascii="宋体" w:hAnsi="宋体" w:eastAsia="宋体" w:cs="宋体"/>
          <w:color w:val="auto"/>
          <w:kern w:val="2"/>
          <w:sz w:val="24"/>
          <w:szCs w:val="24"/>
          <w:lang w:eastAsia="zh-CN"/>
        </w:rPr>
        <w:t>年   月   日</w:t>
      </w:r>
      <w:bookmarkEnd w:id="744"/>
      <w:bookmarkEnd w:id="745"/>
      <w:bookmarkEnd w:id="746"/>
      <w:bookmarkEnd w:id="747"/>
      <w:bookmarkEnd w:id="748"/>
      <w:bookmarkEnd w:id="749"/>
      <w:bookmarkEnd w:id="750"/>
      <w:bookmarkEnd w:id="751"/>
      <w:bookmarkEnd w:id="752"/>
      <w:bookmarkEnd w:id="753"/>
    </w:p>
    <w:bookmarkEnd w:id="754"/>
    <w:bookmarkEnd w:id="755"/>
    <w:bookmarkEnd w:id="756"/>
    <w:bookmarkEnd w:id="757"/>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b/>
          <w:color w:val="auto"/>
          <w:kern w:val="2"/>
          <w:sz w:val="28"/>
          <w:szCs w:val="28"/>
          <w:u w:val="single"/>
          <w:lang w:eastAsia="zh-CN"/>
        </w:rPr>
      </w:pPr>
      <w:bookmarkStart w:id="758" w:name="_Toc10704_WPSOffice_Level3"/>
      <w:bookmarkStart w:id="759" w:name="_Toc301_WPSOffice_Level3"/>
      <w:bookmarkStart w:id="760" w:name="_Toc2591_WPSOffice_Level3"/>
      <w:bookmarkStart w:id="761" w:name="_Toc13375_WPSOffice_Level3"/>
      <w:bookmarkStart w:id="762" w:name="_Toc30165_WPSOffice_Level3"/>
      <w:bookmarkStart w:id="763" w:name="_Toc23816_WPSOffice_Level3"/>
      <w:bookmarkStart w:id="764" w:name="_Toc27224_WPSOffice_Level3"/>
      <w:bookmarkStart w:id="765" w:name="_Toc14673_WPSOffice_Level3"/>
      <w:bookmarkStart w:id="766" w:name="_Toc19302_WPSOffice_Level3"/>
      <w:bookmarkStart w:id="767" w:name="_Toc15491_WPSOffice_Level3"/>
      <w:bookmarkStart w:id="768" w:name="_Toc20005_WPSOffice_Level3"/>
      <w:bookmarkStart w:id="769" w:name="_Toc24135_WPSOffice_Level3"/>
      <w:bookmarkStart w:id="770" w:name="_Toc21317_WPSOffice_Level3"/>
      <w:r>
        <w:rPr>
          <w:rFonts w:hint="eastAsia" w:ascii="宋体" w:hAnsi="宋体" w:eastAsia="宋体" w:cs="宋体"/>
          <w:b/>
          <w:color w:val="auto"/>
          <w:kern w:val="2"/>
          <w:sz w:val="28"/>
          <w:szCs w:val="28"/>
          <w:lang w:eastAsia="zh-CN"/>
        </w:rPr>
        <w:t>关于结束</w:t>
      </w:r>
      <w:r>
        <w:rPr>
          <w:rFonts w:hint="eastAsia" w:ascii="宋体" w:hAnsi="宋体" w:eastAsia="宋体" w:cs="宋体"/>
          <w:b/>
          <w:color w:val="auto"/>
          <w:kern w:val="2"/>
          <w:sz w:val="28"/>
          <w:szCs w:val="28"/>
          <w:u w:val="single"/>
          <w:lang w:eastAsia="zh-CN"/>
        </w:rPr>
        <w:t xml:space="preserve">                  </w:t>
      </w:r>
      <w:r>
        <w:rPr>
          <w:rFonts w:hint="eastAsia" w:ascii="宋体" w:hAnsi="宋体" w:eastAsia="宋体" w:cs="宋体"/>
          <w:b/>
          <w:color w:val="auto"/>
          <w:kern w:val="2"/>
          <w:sz w:val="28"/>
          <w:szCs w:val="28"/>
          <w:lang w:eastAsia="zh-CN"/>
        </w:rPr>
        <w:t>应急状态的公告</w:t>
      </w:r>
      <w:bookmarkEnd w:id="758"/>
      <w:bookmarkEnd w:id="759"/>
      <w:bookmarkEnd w:id="760"/>
      <w:bookmarkEnd w:id="761"/>
      <w:bookmarkEnd w:id="762"/>
      <w:bookmarkEnd w:id="763"/>
      <w:bookmarkEnd w:id="764"/>
      <w:bookmarkEnd w:id="765"/>
      <w:bookmarkEnd w:id="766"/>
      <w:bookmarkEnd w:id="767"/>
      <w:bookmarkEnd w:id="768"/>
      <w:bookmarkEnd w:id="769"/>
      <w:bookmarkEnd w:id="770"/>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u w:val="single"/>
          <w:lang w:eastAsia="zh-CN"/>
        </w:rPr>
        <w:t xml:space="preserve">       </w:t>
      </w:r>
      <w:bookmarkStart w:id="771" w:name="_Toc18855_WPSOffice_Level3"/>
      <w:bookmarkStart w:id="772" w:name="_Toc3897_WPSOffice_Level2"/>
      <w:bookmarkStart w:id="773" w:name="_Toc8179_WPSOffice_Level2"/>
      <w:bookmarkStart w:id="774" w:name="_Toc25110_WPSOffice_Level2"/>
      <w:bookmarkStart w:id="775" w:name="_Toc8515_WPSOffice_Level2"/>
      <w:bookmarkStart w:id="776" w:name="_Toc28102_WPSOffice_Level2"/>
      <w:bookmarkStart w:id="777" w:name="_Toc5138_WPSOffice_Level2"/>
      <w:bookmarkStart w:id="778" w:name="_Toc22993_WPSOffice_Level2"/>
      <w:bookmarkStart w:id="779" w:name="_Toc24760_WPSOffice_Level2"/>
      <w:bookmarkStart w:id="780" w:name="_Toc691_WPSOffice_Level3"/>
      <w:bookmarkStart w:id="781" w:name="_Toc16480_WPSOffice_Level2"/>
      <w:bookmarkStart w:id="782" w:name="_Toc16693_WPSOffice_Level2"/>
      <w:bookmarkStart w:id="783" w:name="_Toc18583_WPSOffice_Level2"/>
      <w:bookmarkStart w:id="784" w:name="_Toc19256_WPSOffice_Level2"/>
      <w:r>
        <w:rPr>
          <w:rFonts w:hint="eastAsia" w:ascii="宋体" w:hAnsi="宋体" w:eastAsia="宋体" w:cs="宋体"/>
          <w:color w:val="auto"/>
          <w:kern w:val="2"/>
          <w:sz w:val="28"/>
          <w:szCs w:val="28"/>
          <w:lang w:eastAsia="zh-CN"/>
        </w:rPr>
        <w:t>字〔    〕</w:t>
      </w:r>
      <w:r>
        <w:rPr>
          <w:rFonts w:hint="eastAsia" w:ascii="宋体" w:hAnsi="宋体" w:eastAsia="宋体" w:cs="宋体"/>
          <w:color w:val="auto"/>
          <w:kern w:val="2"/>
          <w:sz w:val="28"/>
          <w:szCs w:val="28"/>
          <w:u w:val="single"/>
          <w:lang w:eastAsia="zh-CN"/>
        </w:rPr>
        <w:t xml:space="preserve">       </w:t>
      </w:r>
      <w:r>
        <w:rPr>
          <w:rFonts w:hint="eastAsia" w:ascii="宋体" w:hAnsi="宋体" w:eastAsia="宋体" w:cs="宋体"/>
          <w:color w:val="auto"/>
          <w:kern w:val="2"/>
          <w:sz w:val="28"/>
          <w:szCs w:val="28"/>
          <w:lang w:eastAsia="zh-CN"/>
        </w:rPr>
        <w:t>号</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pStyle w:val="17"/>
        <w:keepNext w:val="0"/>
        <w:keepLines w:val="0"/>
        <w:pageBreakBefore w:val="0"/>
        <w:widowControl w:val="0"/>
        <w:kinsoku/>
        <w:overflowPunct/>
        <w:topLinePunct w:val="0"/>
        <w:autoSpaceDE/>
        <w:autoSpaceDN/>
        <w:bidi w:val="0"/>
        <w:adjustRightInd/>
        <w:snapToGrid/>
        <w:spacing w:line="360" w:lineRule="auto"/>
        <w:ind w:firstLine="560" w:firstLineChars="200"/>
        <w:textAlignment w:val="auto"/>
        <w:rPr>
          <w:color w:val="auto"/>
          <w:sz w:val="28"/>
          <w:szCs w:val="28"/>
          <w:lang w:eastAsia="zh-CN"/>
        </w:rPr>
      </w:pP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年</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月</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日</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时，我司</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（单位）发生了</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。到目前，已造成</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（人员伤亡、财产损失等情况）。事件的原因是</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（或者原因正在调查）。</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事件发生后，</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采取了</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应急行动，</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（采取的应急处置、救援措施等基本情况）。</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鉴于事件已得到有效控制，经研究，现决定结束应急状态。请各有关人员抓紧做好善后工作。</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特此公告</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kern w:val="2"/>
          <w:sz w:val="24"/>
          <w:szCs w:val="24"/>
          <w:lang w:eastAsia="zh-CN"/>
        </w:rPr>
      </w:pPr>
      <w:bookmarkStart w:id="785" w:name="_Toc4152_WPSOffice_Level2"/>
      <w:bookmarkStart w:id="786" w:name="_Toc5049_WPSOffice_Level2"/>
      <w:bookmarkStart w:id="787" w:name="_Toc27811_WPSOffice_Level2"/>
      <w:bookmarkStart w:id="788" w:name="_Toc32118_WPSOffice_Level2"/>
      <w:bookmarkStart w:id="789" w:name="_Toc7443_WPSOffice_Level2"/>
      <w:bookmarkStart w:id="790" w:name="_Toc19117_WPSOffice_Level2"/>
      <w:bookmarkStart w:id="791" w:name="_Toc15205_WPSOffice_Level2"/>
      <w:bookmarkStart w:id="792" w:name="_Toc2469_WPSOffice_Level2"/>
      <w:bookmarkStart w:id="793" w:name="_Toc27027_WPSOffice_Level2"/>
      <w:bookmarkStart w:id="794" w:name="_Toc21627_WPSOffice_Level2"/>
      <w:bookmarkStart w:id="795" w:name="_Toc3191_WPSOffice_Level2"/>
      <w:bookmarkStart w:id="796" w:name="_Toc21667_WPSOffice_Level2"/>
      <w:bookmarkStart w:id="797" w:name="_Toc21891_WPSOffice_Level3"/>
      <w:bookmarkStart w:id="798" w:name="_Toc22079_WPSOffice_Level3"/>
      <w:r>
        <w:rPr>
          <w:rFonts w:hint="eastAsia" w:ascii="宋体" w:hAnsi="宋体" w:eastAsia="宋体" w:cs="宋体"/>
          <w:color w:val="auto"/>
          <w:kern w:val="2"/>
          <w:sz w:val="24"/>
          <w:szCs w:val="24"/>
          <w:lang w:eastAsia="zh-CN"/>
        </w:rPr>
        <w:t>（签章）：</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Pr>
          <w:rFonts w:hint="eastAsia" w:ascii="宋体" w:hAnsi="宋体" w:eastAsia="宋体" w:cs="宋体"/>
          <w:color w:val="auto"/>
          <w:kern w:val="2"/>
          <w:sz w:val="24"/>
          <w:szCs w:val="24"/>
          <w:lang w:eastAsia="zh-CN"/>
        </w:rPr>
        <w:t xml:space="preserve">          </w:t>
      </w:r>
    </w:p>
    <w:p>
      <w:pPr>
        <w:keepNext w:val="0"/>
        <w:keepLines w:val="0"/>
        <w:pageBreakBefore w:val="0"/>
        <w:widowControl w:val="0"/>
        <w:kinsoku/>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kern w:val="2"/>
          <w:sz w:val="24"/>
          <w:szCs w:val="24"/>
          <w:lang w:eastAsia="zh-CN"/>
        </w:rPr>
      </w:pPr>
      <w:bookmarkStart w:id="799" w:name="_Toc23872_WPSOffice_Level2"/>
      <w:bookmarkStart w:id="800" w:name="_Toc22580_WPSOffice_Level2"/>
      <w:bookmarkStart w:id="801" w:name="_Toc25911_WPSOffice_Level2"/>
      <w:bookmarkStart w:id="802" w:name="_Toc29390_WPSOffice_Level2"/>
      <w:bookmarkStart w:id="803" w:name="_Toc11642_WPSOffice_Level2"/>
      <w:bookmarkStart w:id="804" w:name="_Toc31278_WPSOffice_Level2"/>
      <w:bookmarkStart w:id="805" w:name="_Toc25611_WPSOffice_Level2"/>
      <w:bookmarkStart w:id="806" w:name="_Toc4581_WPSOffice_Level2"/>
      <w:bookmarkStart w:id="807" w:name="_Toc7164_WPSOffice_Level2"/>
      <w:bookmarkStart w:id="808" w:name="_Toc886_WPSOffice_Level3"/>
      <w:bookmarkStart w:id="809" w:name="_Toc5143_WPSOffice_Level2"/>
      <w:bookmarkStart w:id="810" w:name="_Toc17139_WPSOffice_Level2"/>
      <w:bookmarkStart w:id="811" w:name="_Toc10382_WPSOffice_Level2"/>
      <w:bookmarkStart w:id="812" w:name="_Toc4752_WPSOffice_Level3"/>
      <w:r>
        <w:rPr>
          <w:rFonts w:hint="eastAsia" w:ascii="宋体" w:hAnsi="宋体" w:eastAsia="宋体" w:cs="宋体"/>
          <w:color w:val="auto"/>
          <w:kern w:val="2"/>
          <w:sz w:val="24"/>
          <w:szCs w:val="24"/>
          <w:lang w:eastAsia="zh-CN"/>
        </w:rPr>
        <w:t>年   月   日</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Start w:id="813" w:name="_Toc8037_WPSOffice_Level3"/>
      <w:bookmarkStart w:id="814" w:name="_Toc32070_WPSOffice_Level3"/>
      <w:bookmarkStart w:id="815" w:name="_Toc15894_WPSOffice_Level3"/>
      <w:bookmarkStart w:id="816" w:name="_Toc7600_WPSOffice_Level3"/>
      <w:bookmarkStart w:id="817" w:name="_Toc7194_WPSOffice_Level3"/>
      <w:bookmarkStart w:id="818" w:name="_Toc19963_WPSOffice_Level3"/>
      <w:bookmarkStart w:id="819" w:name="_Toc9066_WPSOffice_Level3"/>
      <w:bookmarkStart w:id="820" w:name="_Toc32417_WPSOffice_Level3"/>
      <w:bookmarkStart w:id="821" w:name="_Toc13195_WPSOffice_Level3"/>
      <w:bookmarkStart w:id="822" w:name="_Toc210_WPSOffice_Level3"/>
      <w:bookmarkStart w:id="823" w:name="_Toc699_WPSOffice_Level3"/>
      <w:bookmarkStart w:id="824" w:name="_Toc25519_WPSOffice_Level3"/>
      <w:bookmarkStart w:id="825" w:name="_Toc23915_WPSOffice_Level3"/>
    </w:p>
    <w:p>
      <w:pPr>
        <w:keepNext w:val="0"/>
        <w:keepLines w:val="0"/>
        <w:pageBreakBefore w:val="0"/>
        <w:widowControl w:val="0"/>
        <w:kinsoku/>
        <w:overflowPunct/>
        <w:topLinePunct w:val="0"/>
        <w:autoSpaceDE/>
        <w:autoSpaceDN/>
        <w:bidi w:val="0"/>
        <w:adjustRightInd/>
        <w:snapToGrid/>
        <w:spacing w:line="360" w:lineRule="auto"/>
        <w:ind w:firstLine="480"/>
        <w:jc w:val="center"/>
        <w:textAlignment w:val="auto"/>
        <w:rPr>
          <w:rFonts w:ascii="宋体" w:hAnsi="宋体" w:eastAsia="宋体" w:cs="宋体"/>
          <w:color w:val="auto"/>
          <w:kern w:val="2"/>
          <w:sz w:val="28"/>
          <w:szCs w:val="28"/>
          <w:lang w:eastAsia="zh-CN"/>
        </w:rPr>
      </w:pPr>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b/>
          <w:color w:val="auto"/>
          <w:kern w:val="2"/>
          <w:sz w:val="28"/>
          <w:szCs w:val="28"/>
          <w:lang w:eastAsia="zh-CN"/>
        </w:rPr>
      </w:pPr>
      <w:r>
        <w:rPr>
          <w:rFonts w:hint="eastAsia" w:ascii="宋体" w:hAnsi="宋体" w:eastAsia="宋体" w:cs="宋体"/>
          <w:b/>
          <w:color w:val="auto"/>
          <w:kern w:val="2"/>
          <w:sz w:val="28"/>
          <w:szCs w:val="28"/>
          <w:lang w:eastAsia="zh-CN"/>
        </w:rPr>
        <w:t>关于</w:t>
      </w:r>
      <w:r>
        <w:rPr>
          <w:rFonts w:hint="eastAsia" w:ascii="宋体" w:hAnsi="宋体" w:eastAsia="宋体" w:cs="宋体"/>
          <w:b/>
          <w:color w:val="auto"/>
          <w:kern w:val="2"/>
          <w:sz w:val="28"/>
          <w:szCs w:val="28"/>
          <w:u w:val="single"/>
          <w:lang w:eastAsia="zh-CN"/>
        </w:rPr>
        <w:t xml:space="preserve">             </w:t>
      </w:r>
      <w:r>
        <w:rPr>
          <w:rFonts w:hint="eastAsia" w:ascii="宋体" w:hAnsi="宋体" w:eastAsia="宋体" w:cs="宋体"/>
          <w:b/>
          <w:color w:val="auto"/>
          <w:kern w:val="2"/>
          <w:sz w:val="28"/>
          <w:szCs w:val="28"/>
          <w:lang w:eastAsia="zh-CN"/>
        </w:rPr>
        <w:t>的新闻发布稿件</w:t>
      </w:r>
      <w:bookmarkEnd w:id="813"/>
      <w:bookmarkEnd w:id="814"/>
      <w:bookmarkEnd w:id="815"/>
      <w:bookmarkEnd w:id="816"/>
      <w:bookmarkEnd w:id="817"/>
      <w:bookmarkEnd w:id="818"/>
      <w:bookmarkEnd w:id="819"/>
      <w:bookmarkEnd w:id="820"/>
      <w:bookmarkEnd w:id="821"/>
      <w:bookmarkEnd w:id="822"/>
      <w:bookmarkEnd w:id="823"/>
      <w:bookmarkEnd w:id="824"/>
      <w:bookmarkEnd w:id="825"/>
    </w:p>
    <w:p>
      <w:pPr>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u w:val="single"/>
          <w:lang w:eastAsia="zh-CN"/>
        </w:rPr>
        <w:t xml:space="preserve">       </w:t>
      </w:r>
      <w:bookmarkStart w:id="826" w:name="_Toc20081_WPSOffice_Level2"/>
      <w:bookmarkStart w:id="827" w:name="_Toc22661_WPSOffice_Level3"/>
      <w:bookmarkStart w:id="828" w:name="_Toc6367_WPSOffice_Level2"/>
      <w:bookmarkStart w:id="829" w:name="_Toc17336_WPSOffice_Level2"/>
      <w:bookmarkStart w:id="830" w:name="_Toc22605_WPSOffice_Level2"/>
      <w:bookmarkStart w:id="831" w:name="_Toc783_WPSOffice_Level2"/>
      <w:bookmarkStart w:id="832" w:name="_Toc8369_WPSOffice_Level2"/>
      <w:bookmarkStart w:id="833" w:name="_Toc5569_WPSOffice_Level2"/>
      <w:bookmarkStart w:id="834" w:name="_Toc30701_WPSOffice_Level2"/>
      <w:bookmarkStart w:id="835" w:name="_Toc6746_WPSOffice_Level2"/>
      <w:bookmarkStart w:id="836" w:name="_Toc1428_WPSOffice_Level2"/>
      <w:bookmarkStart w:id="837" w:name="_Toc19785_WPSOffice_Level3"/>
      <w:bookmarkStart w:id="838" w:name="_Toc12323_WPSOffice_Level2"/>
      <w:bookmarkStart w:id="839" w:name="_Toc5331_WPSOffice_Level2"/>
      <w:r>
        <w:rPr>
          <w:rFonts w:hint="eastAsia" w:ascii="宋体" w:hAnsi="宋体" w:eastAsia="宋体" w:cs="宋体"/>
          <w:color w:val="auto"/>
          <w:kern w:val="2"/>
          <w:sz w:val="28"/>
          <w:szCs w:val="28"/>
          <w:lang w:eastAsia="zh-CN"/>
        </w:rPr>
        <w:t>字〔    〕</w:t>
      </w:r>
      <w:r>
        <w:rPr>
          <w:rFonts w:hint="eastAsia" w:ascii="宋体" w:hAnsi="宋体" w:eastAsia="宋体" w:cs="宋体"/>
          <w:color w:val="auto"/>
          <w:kern w:val="2"/>
          <w:sz w:val="28"/>
          <w:szCs w:val="28"/>
          <w:u w:val="single"/>
          <w:lang w:eastAsia="zh-CN"/>
        </w:rPr>
        <w:t xml:space="preserve">       </w:t>
      </w:r>
      <w:r>
        <w:rPr>
          <w:rFonts w:hint="eastAsia" w:ascii="宋体" w:hAnsi="宋体" w:eastAsia="宋体" w:cs="宋体"/>
          <w:color w:val="auto"/>
          <w:kern w:val="2"/>
          <w:sz w:val="28"/>
          <w:szCs w:val="28"/>
          <w:lang w:eastAsia="zh-CN"/>
        </w:rPr>
        <w:t>号</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pPr>
        <w:pStyle w:val="17"/>
        <w:keepNext w:val="0"/>
        <w:keepLines w:val="0"/>
        <w:pageBreakBefore w:val="0"/>
        <w:widowControl w:val="0"/>
        <w:kinsoku/>
        <w:overflowPunct/>
        <w:topLinePunct w:val="0"/>
        <w:autoSpaceDE/>
        <w:autoSpaceDN/>
        <w:bidi w:val="0"/>
        <w:adjustRightInd/>
        <w:snapToGrid/>
        <w:spacing w:line="360" w:lineRule="auto"/>
        <w:ind w:firstLine="560" w:firstLineChars="200"/>
        <w:textAlignment w:val="auto"/>
        <w:rPr>
          <w:color w:val="auto"/>
          <w:sz w:val="28"/>
          <w:szCs w:val="28"/>
          <w:lang w:eastAsia="zh-CN"/>
        </w:rPr>
      </w:pP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年</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月</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日</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时，我司</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 xml:space="preserve"> 发生了</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。到目前，已造成</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（人员伤亡、财产损失等情况）。事件的原因是</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（或者原因正在调查）。</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u w:val="single"/>
          <w:lang w:eastAsia="zh-CN"/>
        </w:rPr>
      </w:pPr>
      <w:r>
        <w:rPr>
          <w:rFonts w:hint="eastAsia" w:ascii="宋体" w:hAnsi="宋体" w:eastAsia="宋体" w:cs="宋体"/>
          <w:color w:val="auto"/>
          <w:kern w:val="2"/>
          <w:sz w:val="24"/>
          <w:szCs w:val="24"/>
          <w:lang w:eastAsia="zh-CN"/>
        </w:rPr>
        <w:t>事件发生后，我司采取了</w:t>
      </w: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应急行动，下一步</w:t>
      </w:r>
      <w:r>
        <w:rPr>
          <w:rFonts w:hint="eastAsia" w:ascii="宋体" w:hAnsi="宋体" w:eastAsia="宋体" w:cs="宋体"/>
          <w:color w:val="auto"/>
          <w:kern w:val="2"/>
          <w:sz w:val="24"/>
          <w:szCs w:val="24"/>
          <w:u w:val="single"/>
          <w:lang w:eastAsia="zh-CN"/>
        </w:rPr>
        <w:t xml:space="preserve">                </w:t>
      </w:r>
    </w:p>
    <w:p>
      <w:pPr>
        <w:keepNext w:val="0"/>
        <w:keepLines w:val="0"/>
        <w:pageBreakBefore w:val="0"/>
        <w:widowControl w:val="0"/>
        <w:kinsoku/>
        <w:overflowPunct/>
        <w:topLinePunct w:val="0"/>
        <w:autoSpaceDE/>
        <w:autoSpaceDN/>
        <w:bidi w:val="0"/>
        <w:adjustRightInd/>
        <w:snapToGrid/>
        <w:spacing w:line="360" w:lineRule="auto"/>
        <w:ind w:firstLine="0" w:firstLineChars="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u w:val="single"/>
          <w:lang w:eastAsia="zh-CN"/>
        </w:rPr>
        <w:t xml:space="preserve">                                                             </w:t>
      </w:r>
      <w:r>
        <w:rPr>
          <w:rFonts w:hint="eastAsia" w:ascii="宋体" w:hAnsi="宋体" w:eastAsia="宋体" w:cs="宋体"/>
          <w:color w:val="auto"/>
          <w:kern w:val="2"/>
          <w:sz w:val="24"/>
          <w:szCs w:val="24"/>
          <w:lang w:eastAsia="zh-CN"/>
        </w:rPr>
        <w:t>。</w:t>
      </w:r>
    </w:p>
    <w:p>
      <w:pPr>
        <w:keepNext w:val="0"/>
        <w:keepLines w:val="0"/>
        <w:pageBreakBefore w:val="0"/>
        <w:widowControl w:val="0"/>
        <w:kinsoku/>
        <w:overflowPunct/>
        <w:topLinePunct w:val="0"/>
        <w:autoSpaceDE/>
        <w:autoSpaceDN/>
        <w:bidi w:val="0"/>
        <w:adjustRightInd/>
        <w:snapToGrid/>
        <w:spacing w:line="360" w:lineRule="auto"/>
        <w:ind w:firstLine="480"/>
        <w:jc w:val="both"/>
        <w:textAlignment w:val="auto"/>
        <w:rPr>
          <w:rFonts w:ascii="宋体" w:hAnsi="宋体" w:eastAsia="宋体" w:cs="宋体"/>
          <w:color w:val="auto"/>
          <w:kern w:val="2"/>
          <w:sz w:val="24"/>
          <w:szCs w:val="24"/>
          <w:lang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kern w:val="2"/>
          <w:sz w:val="24"/>
          <w:szCs w:val="24"/>
          <w:lang w:eastAsia="zh-CN"/>
        </w:rPr>
      </w:pPr>
      <w:bookmarkStart w:id="840" w:name="_Toc26853_WPSOffice_Level2"/>
      <w:bookmarkStart w:id="841" w:name="_Toc7316_WPSOffice_Level2"/>
      <w:bookmarkStart w:id="842" w:name="_Toc8704_WPSOffice_Level2"/>
      <w:bookmarkStart w:id="843" w:name="_Toc22533_WPSOffice_Level3"/>
      <w:bookmarkStart w:id="844" w:name="_Toc27498_WPSOffice_Level2"/>
      <w:bookmarkStart w:id="845" w:name="_Toc4969_WPSOffice_Level2"/>
      <w:bookmarkStart w:id="846" w:name="_Toc8286_WPSOffice_Level2"/>
      <w:bookmarkStart w:id="847" w:name="_Toc25419_WPSOffice_Level2"/>
      <w:bookmarkStart w:id="848" w:name="_Toc20311_WPSOffice_Level2"/>
      <w:bookmarkStart w:id="849" w:name="_Toc1664_WPSOffice_Level2"/>
      <w:bookmarkStart w:id="850" w:name="_Toc28577_WPSOffice_Level2"/>
      <w:bookmarkStart w:id="851" w:name="_Toc25332_WPSOffice_Level2"/>
      <w:bookmarkStart w:id="852" w:name="_Toc10633_WPSOffice_Level3"/>
      <w:bookmarkStart w:id="853" w:name="_Toc13122_WPSOffice_Level2"/>
      <w:r>
        <w:rPr>
          <w:rFonts w:hint="eastAsia" w:ascii="宋体" w:hAnsi="宋体" w:eastAsia="宋体" w:cs="宋体"/>
          <w:color w:val="auto"/>
          <w:kern w:val="2"/>
          <w:sz w:val="24"/>
          <w:szCs w:val="24"/>
          <w:lang w:eastAsia="zh-CN"/>
        </w:rPr>
        <w:t>（签章）：</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Pr>
          <w:rFonts w:hint="eastAsia" w:ascii="宋体" w:hAnsi="宋体" w:eastAsia="宋体" w:cs="宋体"/>
          <w:color w:val="auto"/>
          <w:kern w:val="2"/>
          <w:sz w:val="24"/>
          <w:szCs w:val="24"/>
          <w:lang w:eastAsia="zh-CN"/>
        </w:rPr>
        <w:t xml:space="preserve">          </w:t>
      </w:r>
    </w:p>
    <w:p>
      <w:pPr>
        <w:keepNext w:val="0"/>
        <w:keepLines w:val="0"/>
        <w:pageBreakBefore w:val="0"/>
        <w:widowControl w:val="0"/>
        <w:kinsoku/>
        <w:overflowPunct/>
        <w:topLinePunct w:val="0"/>
        <w:autoSpaceDE/>
        <w:autoSpaceDN/>
        <w:bidi w:val="0"/>
        <w:adjustRightInd/>
        <w:snapToGrid/>
        <w:spacing w:line="360" w:lineRule="auto"/>
        <w:ind w:firstLine="0" w:firstLineChars="0"/>
        <w:jc w:val="right"/>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年   月   日</w:t>
      </w:r>
    </w:p>
    <w:p>
      <w:pPr>
        <w:pStyle w:val="17"/>
        <w:keepNext w:val="0"/>
        <w:keepLines w:val="0"/>
        <w:pageBreakBefore w:val="0"/>
        <w:widowControl w:val="0"/>
        <w:kinsoku/>
        <w:overflowPunct/>
        <w:topLinePunct w:val="0"/>
        <w:autoSpaceDE/>
        <w:autoSpaceDN/>
        <w:bidi w:val="0"/>
        <w:adjustRightInd/>
        <w:snapToGrid/>
        <w:spacing w:line="360" w:lineRule="auto"/>
        <w:textAlignment w:val="auto"/>
        <w:rPr>
          <w:rFonts w:eastAsia="宋体" w:cs="宋体"/>
          <w:color w:val="auto"/>
          <w:sz w:val="28"/>
          <w:szCs w:val="28"/>
          <w:lang w:eastAsia="zh-CN"/>
        </w:rPr>
        <w:sectPr>
          <w:footerReference r:id="rId7" w:type="default"/>
          <w:pgSz w:w="11906" w:h="16838"/>
          <w:pgMar w:top="1588" w:right="1418" w:bottom="1418" w:left="1418" w:header="851" w:footer="567" w:gutter="567"/>
          <w:cols w:space="425" w:num="1"/>
          <w:docGrid w:linePitch="381" w:charSpace="0"/>
        </w:sectPr>
      </w:pP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生产安全事故报告</w:t>
      </w:r>
    </w:p>
    <w:p>
      <w:pPr>
        <w:widowControl/>
        <w:snapToGrid w:val="0"/>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报送单位（盖章）：　　 　　　　　          　　日期：   年    月   日</w:t>
      </w:r>
    </w:p>
    <w:tbl>
      <w:tblPr>
        <w:tblStyle w:val="25"/>
        <w:tblW w:w="0" w:type="auto"/>
        <w:tblInd w:w="0" w:type="dxa"/>
        <w:tblLayout w:type="fixed"/>
        <w:tblCellMar>
          <w:top w:w="0" w:type="dxa"/>
          <w:left w:w="0" w:type="dxa"/>
          <w:bottom w:w="0" w:type="dxa"/>
          <w:right w:w="0" w:type="dxa"/>
        </w:tblCellMar>
      </w:tblPr>
      <w:tblGrid>
        <w:gridCol w:w="1212"/>
        <w:gridCol w:w="799"/>
        <w:gridCol w:w="995"/>
        <w:gridCol w:w="1198"/>
        <w:gridCol w:w="331"/>
        <w:gridCol w:w="1664"/>
        <w:gridCol w:w="399"/>
        <w:gridCol w:w="864"/>
        <w:gridCol w:w="1824"/>
      </w:tblGrid>
      <w:tr>
        <w:tblPrEx>
          <w:tblCellMar>
            <w:top w:w="0" w:type="dxa"/>
            <w:left w:w="0" w:type="dxa"/>
            <w:bottom w:w="0" w:type="dxa"/>
            <w:right w:w="0" w:type="dxa"/>
          </w:tblCellMar>
        </w:tblPrEx>
        <w:trPr>
          <w:trHeight w:val="778"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事件分类</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570"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发生地点</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517"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发生时间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bCs/>
                <w:i w:val="0"/>
                <w:iCs w:val="0"/>
                <w:color w:val="auto"/>
                <w:sz w:val="24"/>
              </w:rPr>
              <w:t xml:space="preserve">    时   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得到信息时间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bCs/>
                <w:i w:val="0"/>
                <w:iCs w:val="0"/>
                <w:color w:val="auto"/>
                <w:sz w:val="24"/>
              </w:rPr>
              <w:t xml:space="preserve">    时   分</w:t>
            </w:r>
          </w:p>
        </w:tc>
      </w:tr>
      <w:tr>
        <w:tblPrEx>
          <w:tblCellMar>
            <w:top w:w="0" w:type="dxa"/>
            <w:left w:w="0" w:type="dxa"/>
            <w:bottom w:w="0" w:type="dxa"/>
            <w:right w:w="0" w:type="dxa"/>
          </w:tblCellMar>
        </w:tblPrEx>
        <w:trPr>
          <w:trHeight w:val="49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上报信息时间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bCs/>
                <w:i w:val="0"/>
                <w:iCs w:val="0"/>
                <w:color w:val="auto"/>
                <w:sz w:val="24"/>
              </w:rPr>
              <w:t xml:space="preserve">    时   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结束时间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bCs/>
                <w:i w:val="0"/>
                <w:iCs w:val="0"/>
                <w:color w:val="auto"/>
                <w:sz w:val="24"/>
              </w:rPr>
              <w:t xml:space="preserve">    时   分</w:t>
            </w:r>
          </w:p>
        </w:tc>
      </w:tr>
      <w:tr>
        <w:tblPrEx>
          <w:tblCellMar>
            <w:top w:w="0" w:type="dxa"/>
            <w:left w:w="0" w:type="dxa"/>
            <w:bottom w:w="0" w:type="dxa"/>
            <w:right w:w="0" w:type="dxa"/>
          </w:tblCellMar>
        </w:tblPrEx>
        <w:trPr>
          <w:trHeight w:val="585"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事件持续时间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c>
          <w:tcPr>
            <w:tcW w:w="20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bCs/>
                <w:i w:val="0"/>
                <w:iCs w:val="0"/>
                <w:color w:val="auto"/>
                <w:sz w:val="24"/>
              </w:rPr>
              <w:t>小时</w:t>
            </w:r>
          </w:p>
        </w:tc>
        <w:tc>
          <w:tcPr>
            <w:tcW w:w="2688" w:type="dxa"/>
            <w:gridSpan w:val="2"/>
            <w:tcBorders>
              <w:top w:val="nil"/>
              <w:left w:val="single" w:color="auto" w:sz="4" w:space="0"/>
              <w:bottom w:val="single" w:color="auto" w:sz="8" w:space="0"/>
              <w:right w:val="single" w:color="auto" w:sz="8" w:space="0"/>
            </w:tcBorders>
            <w:noWrap w:val="0"/>
            <w:vAlign w:val="center"/>
          </w:tcPr>
          <w:p>
            <w:pPr>
              <w:spacing w:before="100" w:beforeAutospacing="1" w:after="100" w:afterAutospacing="1"/>
              <w:ind w:left="688"/>
              <w:jc w:val="center"/>
              <w:rPr>
                <w:rFonts w:hint="eastAsia" w:ascii="宋体" w:hAnsi="宋体" w:eastAsia="宋体" w:cs="宋体"/>
                <w:i w:val="0"/>
                <w:iCs w:val="0"/>
                <w:color w:val="auto"/>
                <w:kern w:val="0"/>
                <w:sz w:val="24"/>
              </w:rPr>
            </w:pPr>
            <w:r>
              <w:rPr>
                <w:rFonts w:hint="eastAsia" w:ascii="宋体" w:hAnsi="宋体" w:eastAsia="宋体" w:cs="宋体"/>
                <w:bCs/>
                <w:i w:val="0"/>
                <w:iCs w:val="0"/>
                <w:color w:val="auto"/>
                <w:sz w:val="24"/>
              </w:rPr>
              <w:t>分钟</w:t>
            </w: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交通影响情况</w:t>
            </w:r>
          </w:p>
        </w:tc>
        <w:tc>
          <w:tcPr>
            <w:tcW w:w="727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预案启动类别</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c>
          <w:tcPr>
            <w:tcW w:w="2063" w:type="dxa"/>
            <w:gridSpan w:val="2"/>
            <w:tcBorders>
              <w:top w:val="nil"/>
              <w:left w:val="single" w:color="auto" w:sz="4" w:space="0"/>
              <w:bottom w:val="single" w:color="auto" w:sz="8" w:space="0"/>
              <w:right w:val="single" w:color="auto" w:sz="4" w:space="0"/>
            </w:tcBorders>
            <w:noWrap w:val="0"/>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预案启动级别</w:t>
            </w:r>
          </w:p>
        </w:tc>
        <w:tc>
          <w:tcPr>
            <w:tcW w:w="2688" w:type="dxa"/>
            <w:gridSpan w:val="2"/>
            <w:tcBorders>
              <w:top w:val="nil"/>
              <w:left w:val="single" w:color="auto" w:sz="4" w:space="0"/>
              <w:bottom w:val="single" w:color="auto" w:sz="8" w:space="0"/>
              <w:right w:val="single" w:color="auto" w:sz="8" w:space="0"/>
            </w:tcBorders>
            <w:noWrap w:val="0"/>
            <w:vAlign w:val="center"/>
          </w:tcPr>
          <w:p>
            <w:pPr>
              <w:widowControl/>
              <w:spacing w:before="100" w:beforeAutospacing="1" w:after="100" w:afterAutospacing="1"/>
              <w:jc w:val="center"/>
              <w:rPr>
                <w:rFonts w:hint="eastAsia" w:ascii="宋体" w:hAnsi="宋体" w:eastAsia="宋体" w:cs="宋体"/>
                <w:i w:val="0"/>
                <w:iCs w:val="0"/>
                <w:color w:val="auto"/>
                <w:kern w:val="0"/>
                <w:sz w:val="24"/>
              </w:rPr>
            </w:pPr>
          </w:p>
        </w:tc>
      </w:tr>
      <w:tr>
        <w:tblPrEx>
          <w:tblCellMar>
            <w:top w:w="0" w:type="dxa"/>
            <w:left w:w="0" w:type="dxa"/>
            <w:bottom w:w="0" w:type="dxa"/>
            <w:right w:w="0" w:type="dxa"/>
          </w:tblCellMar>
        </w:tblPrEx>
        <w:trPr>
          <w:trHeight w:val="604"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主办部门</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jc w:val="center"/>
              <w:rPr>
                <w:rFonts w:hint="eastAsia" w:ascii="宋体" w:hAnsi="宋体" w:eastAsia="宋体" w:cs="宋体"/>
                <w:bCs/>
                <w:i w:val="0"/>
                <w:iCs w:val="0"/>
                <w:color w:val="auto"/>
                <w:sz w:val="24"/>
              </w:rPr>
            </w:pPr>
          </w:p>
        </w:tc>
        <w:tc>
          <w:tcPr>
            <w:tcW w:w="2063" w:type="dxa"/>
            <w:gridSpan w:val="2"/>
            <w:tcBorders>
              <w:top w:val="nil"/>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bCs/>
                <w:i w:val="0"/>
                <w:iCs w:val="0"/>
                <w:color w:val="auto"/>
                <w:sz w:val="24"/>
              </w:rPr>
            </w:pPr>
            <w:r>
              <w:rPr>
                <w:rFonts w:hint="eastAsia" w:ascii="宋体" w:hAnsi="宋体" w:eastAsia="宋体" w:cs="宋体"/>
                <w:bCs/>
                <w:i w:val="0"/>
                <w:iCs w:val="0"/>
                <w:color w:val="auto"/>
                <w:sz w:val="24"/>
              </w:rPr>
              <w:t>辅办部门</w:t>
            </w:r>
          </w:p>
        </w:tc>
        <w:tc>
          <w:tcPr>
            <w:tcW w:w="2688" w:type="dxa"/>
            <w:gridSpan w:val="2"/>
            <w:tcBorders>
              <w:top w:val="nil"/>
              <w:left w:val="single" w:color="auto" w:sz="4" w:space="0"/>
              <w:bottom w:val="single" w:color="auto" w:sz="8" w:space="0"/>
              <w:right w:val="single" w:color="auto" w:sz="8" w:space="0"/>
            </w:tcBorders>
            <w:noWrap w:val="0"/>
            <w:vAlign w:val="center"/>
          </w:tcPr>
          <w:p>
            <w:pPr>
              <w:jc w:val="center"/>
              <w:rPr>
                <w:rFonts w:hint="eastAsia" w:ascii="宋体" w:hAnsi="宋体" w:eastAsia="宋体" w:cs="宋体"/>
                <w:bCs/>
                <w:i w:val="0"/>
                <w:iCs w:val="0"/>
                <w:color w:val="auto"/>
                <w:sz w:val="24"/>
              </w:rPr>
            </w:pPr>
          </w:p>
        </w:tc>
      </w:tr>
      <w:tr>
        <w:tblPrEx>
          <w:tblCellMar>
            <w:top w:w="0" w:type="dxa"/>
            <w:left w:w="0" w:type="dxa"/>
            <w:bottom w:w="0" w:type="dxa"/>
            <w:right w:w="0" w:type="dxa"/>
          </w:tblCellMar>
        </w:tblPrEx>
        <w:trPr>
          <w:trHeight w:val="3641"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before="100" w:beforeAutospacing="1" w:after="100" w:afterAutospacing="1" w:line="360" w:lineRule="auto"/>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基本情况描述：</w:t>
            </w:r>
          </w:p>
          <w:p>
            <w:pPr>
              <w:widowControl/>
              <w:spacing w:before="100" w:beforeAutospacing="1" w:after="100" w:afterAutospacing="1" w:line="360" w:lineRule="auto"/>
              <w:rPr>
                <w:rFonts w:hint="eastAsia" w:ascii="宋体" w:hAnsi="宋体" w:eastAsia="宋体" w:cs="宋体"/>
                <w:i w:val="0"/>
                <w:iCs w:val="0"/>
                <w:color w:val="auto"/>
                <w:kern w:val="0"/>
                <w:sz w:val="24"/>
              </w:rPr>
            </w:pPr>
          </w:p>
          <w:p>
            <w:pPr>
              <w:widowControl/>
              <w:spacing w:before="100" w:beforeAutospacing="1" w:after="100" w:afterAutospacing="1" w:line="360" w:lineRule="auto"/>
              <w:rPr>
                <w:rFonts w:hint="eastAsia" w:ascii="宋体" w:hAnsi="宋体" w:eastAsia="宋体" w:cs="宋体"/>
                <w:i w:val="0"/>
                <w:iCs w:val="0"/>
                <w:color w:val="auto"/>
                <w:kern w:val="0"/>
                <w:sz w:val="24"/>
              </w:rPr>
            </w:pPr>
          </w:p>
          <w:p>
            <w:pPr>
              <w:widowControl/>
              <w:spacing w:before="100" w:beforeAutospacing="1" w:after="100" w:afterAutospacing="1" w:line="360" w:lineRule="auto"/>
              <w:rPr>
                <w:rFonts w:hint="eastAsia" w:ascii="宋体" w:hAnsi="宋体" w:eastAsia="宋体" w:cs="宋体"/>
                <w:i w:val="0"/>
                <w:iCs w:val="0"/>
                <w:color w:val="auto"/>
                <w:kern w:val="0"/>
                <w:sz w:val="24"/>
              </w:rPr>
            </w:pPr>
          </w:p>
          <w:p>
            <w:pPr>
              <w:widowControl/>
              <w:spacing w:before="100" w:beforeAutospacing="1" w:after="100" w:afterAutospacing="1" w:line="360" w:lineRule="auto"/>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　　　　　　　　　　　　  　　　　　 （写不下时可另附页）</w:t>
            </w:r>
          </w:p>
        </w:tc>
      </w:tr>
      <w:tr>
        <w:tblPrEx>
          <w:tblCellMar>
            <w:top w:w="0" w:type="dxa"/>
            <w:left w:w="0" w:type="dxa"/>
            <w:bottom w:w="0" w:type="dxa"/>
            <w:right w:w="0" w:type="dxa"/>
          </w:tblCellMar>
        </w:tblPrEx>
        <w:trPr>
          <w:trHeight w:val="2657"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left"/>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处置情况：</w:t>
            </w:r>
          </w:p>
          <w:p>
            <w:pPr>
              <w:widowControl/>
              <w:spacing w:before="100" w:beforeAutospacing="1" w:after="100" w:afterAutospacing="1" w:line="360" w:lineRule="auto"/>
              <w:jc w:val="left"/>
              <w:rPr>
                <w:rFonts w:hint="eastAsia" w:ascii="宋体" w:hAnsi="宋体" w:eastAsia="宋体" w:cs="宋体"/>
                <w:i w:val="0"/>
                <w:iCs w:val="0"/>
                <w:color w:val="auto"/>
                <w:kern w:val="0"/>
                <w:sz w:val="24"/>
              </w:rPr>
            </w:pPr>
          </w:p>
          <w:p>
            <w:pPr>
              <w:widowControl/>
              <w:spacing w:before="100" w:beforeAutospacing="1" w:after="100" w:afterAutospacing="1" w:line="360" w:lineRule="auto"/>
              <w:jc w:val="left"/>
              <w:rPr>
                <w:rFonts w:hint="eastAsia" w:ascii="宋体" w:hAnsi="宋体" w:eastAsia="宋体" w:cs="宋体"/>
                <w:i w:val="0"/>
                <w:iCs w:val="0"/>
                <w:color w:val="auto"/>
                <w:kern w:val="0"/>
                <w:sz w:val="24"/>
              </w:rPr>
            </w:pPr>
          </w:p>
          <w:p>
            <w:pPr>
              <w:widowControl/>
              <w:spacing w:before="100" w:beforeAutospacing="1" w:after="100" w:afterAutospacing="1" w:line="360" w:lineRule="auto"/>
              <w:jc w:val="left"/>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　　　　　　　　　　　　　　　　　 （写不下时可另附页）</w:t>
            </w:r>
          </w:p>
        </w:tc>
      </w:tr>
      <w:tr>
        <w:tblPrEx>
          <w:tblCellMar>
            <w:top w:w="0" w:type="dxa"/>
            <w:left w:w="0" w:type="dxa"/>
            <w:bottom w:w="0" w:type="dxa"/>
            <w:right w:w="0" w:type="dxa"/>
          </w:tblCellMar>
        </w:tblPrEx>
        <w:trPr>
          <w:trHeight w:val="258" w:hRule="atLeast"/>
        </w:trPr>
        <w:tc>
          <w:tcPr>
            <w:tcW w:w="121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负责人</w:t>
            </w:r>
          </w:p>
        </w:tc>
        <w:tc>
          <w:tcPr>
            <w:tcW w:w="17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i w:val="0"/>
                <w:iCs w:val="0"/>
                <w:color w:val="auto"/>
                <w:kern w:val="0"/>
                <w:sz w:val="24"/>
              </w:rPr>
            </w:pPr>
          </w:p>
        </w:tc>
        <w:tc>
          <w:tcPr>
            <w:tcW w:w="119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报送人</w:t>
            </w:r>
          </w:p>
        </w:tc>
        <w:tc>
          <w:tcPr>
            <w:tcW w:w="1995" w:type="dxa"/>
            <w:gridSpan w:val="2"/>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i w:val="0"/>
                <w:iCs w:val="0"/>
                <w:color w:val="auto"/>
                <w:kern w:val="0"/>
                <w:sz w:val="24"/>
              </w:rPr>
            </w:pPr>
          </w:p>
        </w:tc>
        <w:tc>
          <w:tcPr>
            <w:tcW w:w="12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line="360" w:lineRule="auto"/>
              <w:jc w:val="center"/>
              <w:rPr>
                <w:rFonts w:hint="eastAsia" w:ascii="宋体" w:hAnsi="宋体" w:eastAsia="宋体" w:cs="宋体"/>
                <w:i w:val="0"/>
                <w:iCs w:val="0"/>
                <w:color w:val="auto"/>
                <w:kern w:val="0"/>
                <w:sz w:val="24"/>
              </w:rPr>
            </w:pPr>
            <w:r>
              <w:rPr>
                <w:rFonts w:hint="eastAsia" w:ascii="宋体" w:hAnsi="宋体" w:eastAsia="宋体" w:cs="宋体"/>
                <w:i w:val="0"/>
                <w:iCs w:val="0"/>
                <w:color w:val="auto"/>
                <w:kern w:val="0"/>
                <w:sz w:val="24"/>
              </w:rPr>
              <w:t>联系方式</w:t>
            </w:r>
          </w:p>
        </w:tc>
        <w:tc>
          <w:tcPr>
            <w:tcW w:w="1824" w:type="dxa"/>
            <w:tcBorders>
              <w:top w:val="nil"/>
              <w:left w:val="single" w:color="auto" w:sz="4" w:space="0"/>
              <w:bottom w:val="single" w:color="auto" w:sz="8" w:space="0"/>
              <w:right w:val="single" w:color="auto" w:sz="8" w:space="0"/>
            </w:tcBorders>
            <w:noWrap w:val="0"/>
            <w:vAlign w:val="center"/>
          </w:tcPr>
          <w:p>
            <w:pPr>
              <w:spacing w:before="100" w:beforeAutospacing="1" w:after="100" w:afterAutospacing="1" w:line="360" w:lineRule="auto"/>
              <w:jc w:val="center"/>
              <w:rPr>
                <w:rFonts w:hint="eastAsia" w:ascii="宋体" w:hAnsi="宋体" w:eastAsia="宋体" w:cs="宋体"/>
                <w:i w:val="0"/>
                <w:iCs w:val="0"/>
                <w:color w:val="auto"/>
                <w:kern w:val="0"/>
                <w:sz w:val="24"/>
              </w:rPr>
            </w:pPr>
          </w:p>
        </w:tc>
      </w:tr>
    </w:tbl>
    <w:p>
      <w:pPr>
        <w:jc w:val="center"/>
        <w:rPr>
          <w:rFonts w:hint="eastAsia" w:ascii="宋体" w:hAnsi="宋体" w:eastAsia="宋体" w:cs="宋体"/>
          <w:b/>
          <w:bCs/>
          <w:color w:val="auto"/>
          <w:sz w:val="32"/>
          <w:szCs w:val="32"/>
        </w:rPr>
        <w:sectPr>
          <w:pgSz w:w="11906" w:h="16838"/>
          <w:pgMar w:top="1417" w:right="1417" w:bottom="1417" w:left="1587" w:header="1134" w:footer="1134" w:gutter="0"/>
          <w:pgNumType w:fmt="decimal"/>
          <w:cols w:space="720" w:num="1"/>
          <w:rtlGutter w:val="0"/>
          <w:docGrid w:linePitch="312" w:charSpace="0"/>
        </w:sectPr>
      </w:pPr>
      <w:r>
        <w:rPr>
          <w:rFonts w:hint="eastAsia" w:ascii="宋体" w:hAnsi="宋体" w:eastAsia="宋体" w:cs="宋体"/>
          <w:b/>
          <w:i w:val="0"/>
          <w:iCs w:val="0"/>
          <w:color w:val="auto"/>
          <w:sz w:val="24"/>
        </w:rPr>
        <w:br w:type="page"/>
      </w: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生产安全事故上报表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681"/>
        <w:gridCol w:w="567"/>
        <w:gridCol w:w="851"/>
        <w:gridCol w:w="276"/>
        <w:gridCol w:w="915"/>
        <w:gridCol w:w="1102"/>
        <w:gridCol w:w="10"/>
        <w:gridCol w:w="815"/>
        <w:gridCol w:w="10"/>
        <w:gridCol w:w="743"/>
        <w:gridCol w:w="240"/>
        <w:gridCol w:w="872"/>
        <w:gridCol w:w="12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报告单位</w:t>
            </w:r>
          </w:p>
        </w:tc>
        <w:tc>
          <w:tcPr>
            <w:tcW w:w="1694" w:type="dxa"/>
            <w:gridSpan w:val="3"/>
            <w:noWrap w:val="0"/>
            <w:vAlign w:val="center"/>
          </w:tcPr>
          <w:p>
            <w:pPr>
              <w:jc w:val="center"/>
              <w:rPr>
                <w:rFonts w:hint="eastAsia" w:ascii="宋体" w:hAnsi="宋体" w:eastAsia="宋体" w:cs="宋体"/>
                <w:color w:val="auto"/>
                <w:sz w:val="24"/>
              </w:rPr>
            </w:pPr>
          </w:p>
        </w:tc>
        <w:tc>
          <w:tcPr>
            <w:tcW w:w="2017"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报 告 人</w:t>
            </w:r>
          </w:p>
        </w:tc>
        <w:tc>
          <w:tcPr>
            <w:tcW w:w="3519" w:type="dxa"/>
            <w:gridSpan w:val="8"/>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报告时间</w:t>
            </w:r>
          </w:p>
        </w:tc>
        <w:tc>
          <w:tcPr>
            <w:tcW w:w="1694" w:type="dxa"/>
            <w:gridSpan w:val="3"/>
            <w:noWrap w:val="0"/>
            <w:vAlign w:val="center"/>
          </w:tcPr>
          <w:p>
            <w:pPr>
              <w:jc w:val="center"/>
              <w:rPr>
                <w:rFonts w:hint="eastAsia" w:ascii="宋体" w:hAnsi="宋体" w:eastAsia="宋体" w:cs="宋体"/>
                <w:color w:val="auto"/>
                <w:sz w:val="24"/>
              </w:rPr>
            </w:pPr>
          </w:p>
        </w:tc>
        <w:tc>
          <w:tcPr>
            <w:tcW w:w="2017"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记 录 人</w:t>
            </w:r>
          </w:p>
        </w:tc>
        <w:tc>
          <w:tcPr>
            <w:tcW w:w="3519" w:type="dxa"/>
            <w:gridSpan w:val="8"/>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事故单位</w:t>
            </w:r>
          </w:p>
        </w:tc>
        <w:tc>
          <w:tcPr>
            <w:tcW w:w="1694" w:type="dxa"/>
            <w:gridSpan w:val="3"/>
            <w:noWrap w:val="0"/>
            <w:vAlign w:val="center"/>
          </w:tcPr>
          <w:p>
            <w:pPr>
              <w:jc w:val="center"/>
              <w:rPr>
                <w:rFonts w:hint="eastAsia" w:ascii="宋体" w:hAnsi="宋体" w:eastAsia="宋体" w:cs="宋体"/>
                <w:color w:val="auto"/>
                <w:sz w:val="24"/>
              </w:rPr>
            </w:pPr>
          </w:p>
        </w:tc>
        <w:tc>
          <w:tcPr>
            <w:tcW w:w="2017"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经济类型</w:t>
            </w:r>
          </w:p>
        </w:tc>
        <w:tc>
          <w:tcPr>
            <w:tcW w:w="3519" w:type="dxa"/>
            <w:gridSpan w:val="8"/>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事故时间</w:t>
            </w:r>
          </w:p>
        </w:tc>
        <w:tc>
          <w:tcPr>
            <w:tcW w:w="1694" w:type="dxa"/>
            <w:gridSpan w:val="3"/>
            <w:noWrap w:val="0"/>
            <w:vAlign w:val="center"/>
          </w:tcPr>
          <w:p>
            <w:pPr>
              <w:jc w:val="center"/>
              <w:rPr>
                <w:rFonts w:hint="eastAsia" w:ascii="宋体" w:hAnsi="宋体" w:eastAsia="宋体" w:cs="宋体"/>
                <w:color w:val="auto"/>
                <w:sz w:val="24"/>
              </w:rPr>
            </w:pPr>
          </w:p>
        </w:tc>
        <w:tc>
          <w:tcPr>
            <w:tcW w:w="2017"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行  业</w:t>
            </w:r>
          </w:p>
        </w:tc>
        <w:tc>
          <w:tcPr>
            <w:tcW w:w="3519" w:type="dxa"/>
            <w:gridSpan w:val="8"/>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事故地点</w:t>
            </w:r>
          </w:p>
        </w:tc>
        <w:tc>
          <w:tcPr>
            <w:tcW w:w="1694" w:type="dxa"/>
            <w:gridSpan w:val="3"/>
            <w:noWrap w:val="0"/>
            <w:vAlign w:val="center"/>
          </w:tcPr>
          <w:p>
            <w:pPr>
              <w:jc w:val="center"/>
              <w:rPr>
                <w:rFonts w:hint="eastAsia" w:ascii="宋体" w:hAnsi="宋体" w:eastAsia="宋体" w:cs="宋体"/>
                <w:color w:val="auto"/>
                <w:sz w:val="24"/>
              </w:rPr>
            </w:pPr>
          </w:p>
        </w:tc>
        <w:tc>
          <w:tcPr>
            <w:tcW w:w="2017"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事故类别</w:t>
            </w:r>
          </w:p>
        </w:tc>
        <w:tc>
          <w:tcPr>
            <w:tcW w:w="3519" w:type="dxa"/>
            <w:gridSpan w:val="8"/>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有无证照</w:t>
            </w:r>
          </w:p>
        </w:tc>
        <w:tc>
          <w:tcPr>
            <w:tcW w:w="1694" w:type="dxa"/>
            <w:gridSpan w:val="3"/>
            <w:noWrap w:val="0"/>
            <w:vAlign w:val="center"/>
          </w:tcPr>
          <w:p>
            <w:pPr>
              <w:jc w:val="center"/>
              <w:rPr>
                <w:rFonts w:hint="eastAsia" w:ascii="宋体" w:hAnsi="宋体" w:eastAsia="宋体" w:cs="宋体"/>
                <w:color w:val="auto"/>
                <w:sz w:val="24"/>
              </w:rPr>
            </w:pPr>
          </w:p>
        </w:tc>
        <w:tc>
          <w:tcPr>
            <w:tcW w:w="915" w:type="dxa"/>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死亡</w:t>
            </w:r>
          </w:p>
          <w:p>
            <w:pPr>
              <w:jc w:val="center"/>
              <w:rPr>
                <w:rFonts w:hint="eastAsia" w:ascii="宋体" w:hAnsi="宋体" w:eastAsia="宋体" w:cs="宋体"/>
                <w:color w:val="auto"/>
                <w:sz w:val="24"/>
              </w:rPr>
            </w:pPr>
            <w:r>
              <w:rPr>
                <w:rFonts w:hint="eastAsia" w:ascii="宋体" w:hAnsi="宋体" w:eastAsia="宋体" w:cs="宋体"/>
                <w:color w:val="auto"/>
                <w:sz w:val="24"/>
              </w:rPr>
              <w:t>（人）</w:t>
            </w:r>
          </w:p>
        </w:tc>
        <w:tc>
          <w:tcPr>
            <w:tcW w:w="1102" w:type="dxa"/>
            <w:noWrap w:val="0"/>
            <w:vAlign w:val="center"/>
          </w:tcPr>
          <w:p>
            <w:pPr>
              <w:jc w:val="center"/>
              <w:rPr>
                <w:rFonts w:hint="eastAsia" w:ascii="宋体" w:hAnsi="宋体" w:eastAsia="宋体" w:cs="宋体"/>
                <w:color w:val="auto"/>
                <w:sz w:val="24"/>
              </w:rPr>
            </w:pPr>
          </w:p>
        </w:tc>
        <w:tc>
          <w:tcPr>
            <w:tcW w:w="835" w:type="dxa"/>
            <w:gridSpan w:val="3"/>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重伤</w:t>
            </w:r>
          </w:p>
          <w:p>
            <w:pPr>
              <w:jc w:val="center"/>
              <w:rPr>
                <w:rFonts w:hint="eastAsia" w:ascii="宋体" w:hAnsi="宋体" w:eastAsia="宋体" w:cs="宋体"/>
                <w:color w:val="auto"/>
                <w:sz w:val="24"/>
              </w:rPr>
            </w:pPr>
            <w:r>
              <w:rPr>
                <w:rFonts w:hint="eastAsia" w:ascii="宋体" w:hAnsi="宋体" w:eastAsia="宋体" w:cs="宋体"/>
                <w:color w:val="auto"/>
                <w:sz w:val="24"/>
              </w:rPr>
              <w:t>（人）</w:t>
            </w:r>
          </w:p>
        </w:tc>
        <w:tc>
          <w:tcPr>
            <w:tcW w:w="983" w:type="dxa"/>
            <w:gridSpan w:val="2"/>
            <w:noWrap w:val="0"/>
            <w:vAlign w:val="center"/>
          </w:tcPr>
          <w:p>
            <w:pPr>
              <w:jc w:val="center"/>
              <w:rPr>
                <w:rFonts w:hint="eastAsia" w:ascii="宋体" w:hAnsi="宋体" w:eastAsia="宋体" w:cs="宋体"/>
                <w:color w:val="auto"/>
                <w:sz w:val="24"/>
              </w:rPr>
            </w:pPr>
          </w:p>
        </w:tc>
        <w:tc>
          <w:tcPr>
            <w:tcW w:w="99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轻伤</w:t>
            </w:r>
          </w:p>
          <w:p>
            <w:pPr>
              <w:jc w:val="center"/>
              <w:rPr>
                <w:rFonts w:hint="eastAsia" w:ascii="宋体" w:hAnsi="宋体" w:eastAsia="宋体" w:cs="宋体"/>
                <w:color w:val="auto"/>
                <w:sz w:val="24"/>
              </w:rPr>
            </w:pPr>
            <w:r>
              <w:rPr>
                <w:rFonts w:hint="eastAsia" w:ascii="宋体" w:hAnsi="宋体" w:eastAsia="宋体" w:cs="宋体"/>
                <w:color w:val="auto"/>
                <w:sz w:val="24"/>
              </w:rPr>
              <w:t>（人）</w:t>
            </w:r>
          </w:p>
        </w:tc>
        <w:tc>
          <w:tcPr>
            <w:tcW w:w="709" w:type="dxa"/>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企业规模</w:t>
            </w:r>
          </w:p>
        </w:tc>
        <w:tc>
          <w:tcPr>
            <w:tcW w:w="1694" w:type="dxa"/>
            <w:gridSpan w:val="3"/>
            <w:noWrap w:val="0"/>
            <w:vAlign w:val="center"/>
          </w:tcPr>
          <w:p>
            <w:pPr>
              <w:jc w:val="center"/>
              <w:rPr>
                <w:rFonts w:hint="eastAsia" w:ascii="宋体" w:hAnsi="宋体" w:eastAsia="宋体" w:cs="宋体"/>
                <w:color w:val="auto"/>
                <w:sz w:val="24"/>
              </w:rPr>
            </w:pPr>
          </w:p>
        </w:tc>
        <w:tc>
          <w:tcPr>
            <w:tcW w:w="2017"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直接经济损失</w:t>
            </w:r>
          </w:p>
          <w:p>
            <w:pPr>
              <w:jc w:val="center"/>
              <w:rPr>
                <w:rFonts w:hint="eastAsia" w:ascii="宋体" w:hAnsi="宋体" w:eastAsia="宋体" w:cs="宋体"/>
                <w:color w:val="auto"/>
                <w:sz w:val="24"/>
              </w:rPr>
            </w:pPr>
            <w:r>
              <w:rPr>
                <w:rFonts w:hint="eastAsia" w:ascii="宋体" w:hAnsi="宋体" w:eastAsia="宋体" w:cs="宋体"/>
                <w:color w:val="auto"/>
                <w:sz w:val="24"/>
              </w:rPr>
              <w:t>（万元）</w:t>
            </w:r>
          </w:p>
        </w:tc>
        <w:tc>
          <w:tcPr>
            <w:tcW w:w="3519" w:type="dxa"/>
            <w:gridSpan w:val="8"/>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报告单位电话</w:t>
            </w:r>
          </w:p>
        </w:tc>
        <w:tc>
          <w:tcPr>
            <w:tcW w:w="1694" w:type="dxa"/>
            <w:gridSpan w:val="3"/>
            <w:noWrap w:val="0"/>
            <w:vAlign w:val="center"/>
          </w:tcPr>
          <w:p>
            <w:pPr>
              <w:jc w:val="center"/>
              <w:rPr>
                <w:rFonts w:hint="eastAsia" w:ascii="宋体" w:hAnsi="宋体" w:eastAsia="宋体" w:cs="宋体"/>
                <w:color w:val="auto"/>
                <w:sz w:val="24"/>
              </w:rPr>
            </w:pPr>
          </w:p>
        </w:tc>
        <w:tc>
          <w:tcPr>
            <w:tcW w:w="2017"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事故单位电话</w:t>
            </w:r>
          </w:p>
        </w:tc>
        <w:tc>
          <w:tcPr>
            <w:tcW w:w="3519" w:type="dxa"/>
            <w:gridSpan w:val="8"/>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jc w:val="center"/>
        </w:trPr>
        <w:tc>
          <w:tcPr>
            <w:tcW w:w="1051" w:type="dxa"/>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事</w:t>
            </w:r>
          </w:p>
          <w:p>
            <w:pPr>
              <w:jc w:val="center"/>
              <w:rPr>
                <w:rFonts w:hint="eastAsia" w:ascii="宋体" w:hAnsi="宋体" w:eastAsia="宋体" w:cs="宋体"/>
                <w:color w:val="auto"/>
                <w:sz w:val="24"/>
              </w:rPr>
            </w:pPr>
            <w:r>
              <w:rPr>
                <w:rFonts w:hint="eastAsia" w:ascii="宋体" w:hAnsi="宋体" w:eastAsia="宋体" w:cs="宋体"/>
                <w:color w:val="auto"/>
                <w:sz w:val="24"/>
              </w:rPr>
              <w:t>故</w:t>
            </w:r>
          </w:p>
          <w:p>
            <w:pPr>
              <w:jc w:val="center"/>
              <w:rPr>
                <w:rFonts w:hint="eastAsia" w:ascii="宋体" w:hAnsi="宋体" w:eastAsia="宋体" w:cs="宋体"/>
                <w:color w:val="auto"/>
                <w:sz w:val="24"/>
              </w:rPr>
            </w:pPr>
            <w:r>
              <w:rPr>
                <w:rFonts w:hint="eastAsia" w:ascii="宋体" w:hAnsi="宋体" w:eastAsia="宋体" w:cs="宋体"/>
                <w:color w:val="auto"/>
                <w:sz w:val="24"/>
              </w:rPr>
              <w:t>简</w:t>
            </w:r>
          </w:p>
          <w:p>
            <w:pPr>
              <w:jc w:val="center"/>
              <w:rPr>
                <w:rFonts w:hint="eastAsia" w:ascii="宋体" w:hAnsi="宋体" w:eastAsia="宋体" w:cs="宋体"/>
                <w:color w:val="auto"/>
                <w:sz w:val="24"/>
              </w:rPr>
            </w:pPr>
            <w:r>
              <w:rPr>
                <w:rFonts w:hint="eastAsia" w:ascii="宋体" w:hAnsi="宋体" w:eastAsia="宋体" w:cs="宋体"/>
                <w:color w:val="auto"/>
                <w:sz w:val="24"/>
              </w:rPr>
              <w:t>况</w:t>
            </w:r>
          </w:p>
          <w:p>
            <w:pPr>
              <w:jc w:val="center"/>
              <w:rPr>
                <w:rFonts w:hint="eastAsia" w:ascii="宋体" w:hAnsi="宋体" w:eastAsia="宋体" w:cs="宋体"/>
                <w:color w:val="auto"/>
                <w:sz w:val="24"/>
              </w:rPr>
            </w:pPr>
            <w:r>
              <w:rPr>
                <w:rFonts w:hint="eastAsia" w:ascii="宋体" w:hAnsi="宋体" w:eastAsia="宋体" w:cs="宋体"/>
                <w:color w:val="auto"/>
                <w:sz w:val="24"/>
              </w:rPr>
              <w:t>及</w:t>
            </w:r>
          </w:p>
          <w:p>
            <w:pPr>
              <w:jc w:val="center"/>
              <w:rPr>
                <w:rFonts w:hint="eastAsia" w:ascii="宋体" w:hAnsi="宋体" w:eastAsia="宋体" w:cs="宋体"/>
                <w:color w:val="auto"/>
                <w:sz w:val="24"/>
              </w:rPr>
            </w:pPr>
            <w:r>
              <w:rPr>
                <w:rFonts w:hint="eastAsia" w:ascii="宋体" w:hAnsi="宋体" w:eastAsia="宋体" w:cs="宋体"/>
                <w:color w:val="auto"/>
                <w:sz w:val="24"/>
              </w:rPr>
              <w:t>原</w:t>
            </w:r>
          </w:p>
          <w:p>
            <w:pPr>
              <w:jc w:val="center"/>
              <w:rPr>
                <w:rFonts w:hint="eastAsia" w:ascii="宋体" w:hAnsi="宋体" w:eastAsia="宋体" w:cs="宋体"/>
                <w:color w:val="auto"/>
                <w:sz w:val="24"/>
              </w:rPr>
            </w:pPr>
            <w:r>
              <w:rPr>
                <w:rFonts w:hint="eastAsia" w:ascii="宋体" w:hAnsi="宋体" w:eastAsia="宋体" w:cs="宋体"/>
                <w:color w:val="auto"/>
                <w:sz w:val="24"/>
              </w:rPr>
              <w:t>因</w:t>
            </w:r>
          </w:p>
        </w:tc>
        <w:tc>
          <w:tcPr>
            <w:tcW w:w="7911" w:type="dxa"/>
            <w:gridSpan w:val="14"/>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1" w:type="dxa"/>
            <w:vMerge w:val="restart"/>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伤</w:t>
            </w:r>
          </w:p>
          <w:p>
            <w:pPr>
              <w:jc w:val="center"/>
              <w:rPr>
                <w:rFonts w:hint="eastAsia" w:ascii="宋体" w:hAnsi="宋体" w:eastAsia="宋体" w:cs="宋体"/>
                <w:color w:val="auto"/>
                <w:sz w:val="24"/>
              </w:rPr>
            </w:pPr>
            <w:r>
              <w:rPr>
                <w:rFonts w:hint="eastAsia" w:ascii="宋体" w:hAnsi="宋体" w:eastAsia="宋体" w:cs="宋体"/>
                <w:color w:val="auto"/>
                <w:sz w:val="24"/>
              </w:rPr>
              <w:t>亡</w:t>
            </w:r>
          </w:p>
          <w:p>
            <w:pPr>
              <w:jc w:val="center"/>
              <w:rPr>
                <w:rFonts w:hint="eastAsia" w:ascii="宋体" w:hAnsi="宋体" w:eastAsia="宋体" w:cs="宋体"/>
                <w:color w:val="auto"/>
                <w:sz w:val="24"/>
              </w:rPr>
            </w:pPr>
            <w:r>
              <w:rPr>
                <w:rFonts w:hint="eastAsia" w:ascii="宋体" w:hAnsi="宋体" w:eastAsia="宋体" w:cs="宋体"/>
                <w:color w:val="auto"/>
                <w:sz w:val="24"/>
              </w:rPr>
              <w:t>人</w:t>
            </w:r>
          </w:p>
          <w:p>
            <w:pPr>
              <w:jc w:val="center"/>
              <w:rPr>
                <w:rFonts w:hint="eastAsia" w:ascii="宋体" w:hAnsi="宋体" w:eastAsia="宋体" w:cs="宋体"/>
                <w:color w:val="auto"/>
                <w:sz w:val="24"/>
              </w:rPr>
            </w:pPr>
            <w:r>
              <w:rPr>
                <w:rFonts w:hint="eastAsia" w:ascii="宋体" w:hAnsi="宋体" w:eastAsia="宋体" w:cs="宋体"/>
                <w:color w:val="auto"/>
                <w:sz w:val="24"/>
              </w:rPr>
              <w:t>员</w:t>
            </w:r>
          </w:p>
          <w:p>
            <w:pPr>
              <w:jc w:val="center"/>
              <w:rPr>
                <w:rFonts w:hint="eastAsia" w:ascii="宋体" w:hAnsi="宋体" w:eastAsia="宋体" w:cs="宋体"/>
                <w:color w:val="auto"/>
                <w:sz w:val="24"/>
              </w:rPr>
            </w:pPr>
            <w:r>
              <w:rPr>
                <w:rFonts w:hint="eastAsia" w:ascii="宋体" w:hAnsi="宋体" w:eastAsia="宋体" w:cs="宋体"/>
                <w:color w:val="auto"/>
                <w:sz w:val="24"/>
              </w:rPr>
              <w:t>情</w:t>
            </w:r>
          </w:p>
          <w:p>
            <w:pPr>
              <w:jc w:val="center"/>
              <w:rPr>
                <w:rFonts w:hint="eastAsia" w:ascii="宋体" w:hAnsi="宋体" w:eastAsia="宋体" w:cs="宋体"/>
                <w:color w:val="auto"/>
                <w:sz w:val="24"/>
              </w:rPr>
            </w:pPr>
            <w:r>
              <w:rPr>
                <w:rFonts w:hint="eastAsia" w:ascii="宋体" w:hAnsi="宋体" w:eastAsia="宋体" w:cs="宋体"/>
                <w:color w:val="auto"/>
                <w:sz w:val="24"/>
              </w:rPr>
              <w:t>况</w:t>
            </w:r>
          </w:p>
        </w:tc>
        <w:tc>
          <w:tcPr>
            <w:tcW w:w="1248"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851" w:type="dxa"/>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1191"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111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文化程度</w:t>
            </w:r>
          </w:p>
        </w:tc>
        <w:tc>
          <w:tcPr>
            <w:tcW w:w="815" w:type="dxa"/>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用工性质</w:t>
            </w:r>
          </w:p>
        </w:tc>
        <w:tc>
          <w:tcPr>
            <w:tcW w:w="753"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工种</w:t>
            </w:r>
          </w:p>
        </w:tc>
        <w:tc>
          <w:tcPr>
            <w:tcW w:w="1112"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级别</w:t>
            </w:r>
          </w:p>
        </w:tc>
        <w:tc>
          <w:tcPr>
            <w:tcW w:w="829" w:type="dxa"/>
            <w:gridSpan w:val="2"/>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工龄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1" w:type="dxa"/>
            <w:vMerge w:val="continue"/>
            <w:noWrap w:val="0"/>
            <w:vAlign w:val="center"/>
          </w:tcPr>
          <w:p>
            <w:pPr>
              <w:jc w:val="center"/>
              <w:rPr>
                <w:rFonts w:hint="eastAsia" w:ascii="宋体" w:hAnsi="宋体" w:eastAsia="宋体" w:cs="宋体"/>
                <w:color w:val="auto"/>
                <w:sz w:val="24"/>
              </w:rPr>
            </w:pPr>
          </w:p>
        </w:tc>
        <w:tc>
          <w:tcPr>
            <w:tcW w:w="1248" w:type="dxa"/>
            <w:gridSpan w:val="2"/>
            <w:noWrap w:val="0"/>
            <w:vAlign w:val="center"/>
          </w:tcPr>
          <w:p>
            <w:pPr>
              <w:jc w:val="center"/>
              <w:rPr>
                <w:rFonts w:hint="eastAsia" w:ascii="宋体" w:hAnsi="宋体" w:eastAsia="宋体" w:cs="宋体"/>
                <w:color w:val="auto"/>
                <w:sz w:val="24"/>
              </w:rPr>
            </w:pPr>
          </w:p>
        </w:tc>
        <w:tc>
          <w:tcPr>
            <w:tcW w:w="851" w:type="dxa"/>
            <w:noWrap w:val="0"/>
            <w:vAlign w:val="center"/>
          </w:tcPr>
          <w:p>
            <w:pPr>
              <w:jc w:val="center"/>
              <w:rPr>
                <w:rFonts w:hint="eastAsia" w:ascii="宋体" w:hAnsi="宋体" w:eastAsia="宋体" w:cs="宋体"/>
                <w:color w:val="auto"/>
                <w:sz w:val="24"/>
              </w:rPr>
            </w:pPr>
          </w:p>
        </w:tc>
        <w:tc>
          <w:tcPr>
            <w:tcW w:w="1191"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15" w:type="dxa"/>
            <w:noWrap w:val="0"/>
            <w:vAlign w:val="center"/>
          </w:tcPr>
          <w:p>
            <w:pPr>
              <w:jc w:val="center"/>
              <w:rPr>
                <w:rFonts w:hint="eastAsia" w:ascii="宋体" w:hAnsi="宋体" w:eastAsia="宋体" w:cs="宋体"/>
                <w:color w:val="auto"/>
                <w:sz w:val="24"/>
              </w:rPr>
            </w:pPr>
          </w:p>
        </w:tc>
        <w:tc>
          <w:tcPr>
            <w:tcW w:w="753"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29" w:type="dxa"/>
            <w:gridSpan w:val="2"/>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1" w:type="dxa"/>
            <w:vMerge w:val="continue"/>
            <w:noWrap w:val="0"/>
            <w:vAlign w:val="center"/>
          </w:tcPr>
          <w:p>
            <w:pPr>
              <w:jc w:val="center"/>
              <w:rPr>
                <w:rFonts w:hint="eastAsia" w:ascii="宋体" w:hAnsi="宋体" w:eastAsia="宋体" w:cs="宋体"/>
                <w:color w:val="auto"/>
                <w:sz w:val="24"/>
              </w:rPr>
            </w:pPr>
          </w:p>
        </w:tc>
        <w:tc>
          <w:tcPr>
            <w:tcW w:w="1248" w:type="dxa"/>
            <w:gridSpan w:val="2"/>
            <w:noWrap w:val="0"/>
            <w:vAlign w:val="center"/>
          </w:tcPr>
          <w:p>
            <w:pPr>
              <w:jc w:val="center"/>
              <w:rPr>
                <w:rFonts w:hint="eastAsia" w:ascii="宋体" w:hAnsi="宋体" w:eastAsia="宋体" w:cs="宋体"/>
                <w:color w:val="auto"/>
                <w:sz w:val="24"/>
              </w:rPr>
            </w:pPr>
          </w:p>
        </w:tc>
        <w:tc>
          <w:tcPr>
            <w:tcW w:w="851" w:type="dxa"/>
            <w:noWrap w:val="0"/>
            <w:vAlign w:val="center"/>
          </w:tcPr>
          <w:p>
            <w:pPr>
              <w:jc w:val="center"/>
              <w:rPr>
                <w:rFonts w:hint="eastAsia" w:ascii="宋体" w:hAnsi="宋体" w:eastAsia="宋体" w:cs="宋体"/>
                <w:color w:val="auto"/>
                <w:sz w:val="24"/>
              </w:rPr>
            </w:pPr>
          </w:p>
        </w:tc>
        <w:tc>
          <w:tcPr>
            <w:tcW w:w="1191"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15" w:type="dxa"/>
            <w:noWrap w:val="0"/>
            <w:vAlign w:val="center"/>
          </w:tcPr>
          <w:p>
            <w:pPr>
              <w:jc w:val="center"/>
              <w:rPr>
                <w:rFonts w:hint="eastAsia" w:ascii="宋体" w:hAnsi="宋体" w:eastAsia="宋体" w:cs="宋体"/>
                <w:color w:val="auto"/>
                <w:sz w:val="24"/>
              </w:rPr>
            </w:pPr>
          </w:p>
        </w:tc>
        <w:tc>
          <w:tcPr>
            <w:tcW w:w="753"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29" w:type="dxa"/>
            <w:gridSpan w:val="2"/>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1" w:type="dxa"/>
            <w:vMerge w:val="continue"/>
            <w:noWrap w:val="0"/>
            <w:vAlign w:val="center"/>
          </w:tcPr>
          <w:p>
            <w:pPr>
              <w:jc w:val="center"/>
              <w:rPr>
                <w:rFonts w:hint="eastAsia" w:ascii="宋体" w:hAnsi="宋体" w:eastAsia="宋体" w:cs="宋体"/>
                <w:color w:val="auto"/>
                <w:sz w:val="24"/>
              </w:rPr>
            </w:pPr>
          </w:p>
        </w:tc>
        <w:tc>
          <w:tcPr>
            <w:tcW w:w="1248" w:type="dxa"/>
            <w:gridSpan w:val="2"/>
            <w:noWrap w:val="0"/>
            <w:vAlign w:val="center"/>
          </w:tcPr>
          <w:p>
            <w:pPr>
              <w:jc w:val="center"/>
              <w:rPr>
                <w:rFonts w:hint="eastAsia" w:ascii="宋体" w:hAnsi="宋体" w:eastAsia="宋体" w:cs="宋体"/>
                <w:color w:val="auto"/>
                <w:sz w:val="24"/>
              </w:rPr>
            </w:pPr>
          </w:p>
        </w:tc>
        <w:tc>
          <w:tcPr>
            <w:tcW w:w="851" w:type="dxa"/>
            <w:noWrap w:val="0"/>
            <w:vAlign w:val="center"/>
          </w:tcPr>
          <w:p>
            <w:pPr>
              <w:jc w:val="center"/>
              <w:rPr>
                <w:rFonts w:hint="eastAsia" w:ascii="宋体" w:hAnsi="宋体" w:eastAsia="宋体" w:cs="宋体"/>
                <w:color w:val="auto"/>
                <w:sz w:val="24"/>
              </w:rPr>
            </w:pPr>
          </w:p>
        </w:tc>
        <w:tc>
          <w:tcPr>
            <w:tcW w:w="1191"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15" w:type="dxa"/>
            <w:noWrap w:val="0"/>
            <w:vAlign w:val="center"/>
          </w:tcPr>
          <w:p>
            <w:pPr>
              <w:jc w:val="center"/>
              <w:rPr>
                <w:rFonts w:hint="eastAsia" w:ascii="宋体" w:hAnsi="宋体" w:eastAsia="宋体" w:cs="宋体"/>
                <w:color w:val="auto"/>
                <w:sz w:val="24"/>
              </w:rPr>
            </w:pPr>
          </w:p>
        </w:tc>
        <w:tc>
          <w:tcPr>
            <w:tcW w:w="753"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29" w:type="dxa"/>
            <w:gridSpan w:val="2"/>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1" w:type="dxa"/>
            <w:vMerge w:val="continue"/>
            <w:noWrap w:val="0"/>
            <w:vAlign w:val="center"/>
          </w:tcPr>
          <w:p>
            <w:pPr>
              <w:jc w:val="center"/>
              <w:rPr>
                <w:rFonts w:hint="eastAsia" w:ascii="宋体" w:hAnsi="宋体" w:eastAsia="宋体" w:cs="宋体"/>
                <w:color w:val="auto"/>
                <w:sz w:val="24"/>
              </w:rPr>
            </w:pPr>
          </w:p>
        </w:tc>
        <w:tc>
          <w:tcPr>
            <w:tcW w:w="1248" w:type="dxa"/>
            <w:gridSpan w:val="2"/>
            <w:noWrap w:val="0"/>
            <w:vAlign w:val="center"/>
          </w:tcPr>
          <w:p>
            <w:pPr>
              <w:jc w:val="center"/>
              <w:rPr>
                <w:rFonts w:hint="eastAsia" w:ascii="宋体" w:hAnsi="宋体" w:eastAsia="宋体" w:cs="宋体"/>
                <w:color w:val="auto"/>
                <w:sz w:val="24"/>
              </w:rPr>
            </w:pPr>
          </w:p>
        </w:tc>
        <w:tc>
          <w:tcPr>
            <w:tcW w:w="851" w:type="dxa"/>
            <w:noWrap w:val="0"/>
            <w:vAlign w:val="center"/>
          </w:tcPr>
          <w:p>
            <w:pPr>
              <w:jc w:val="center"/>
              <w:rPr>
                <w:rFonts w:hint="eastAsia" w:ascii="宋体" w:hAnsi="宋体" w:eastAsia="宋体" w:cs="宋体"/>
                <w:color w:val="auto"/>
                <w:sz w:val="24"/>
              </w:rPr>
            </w:pPr>
          </w:p>
        </w:tc>
        <w:tc>
          <w:tcPr>
            <w:tcW w:w="1191"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15" w:type="dxa"/>
            <w:noWrap w:val="0"/>
            <w:vAlign w:val="center"/>
          </w:tcPr>
          <w:p>
            <w:pPr>
              <w:jc w:val="center"/>
              <w:rPr>
                <w:rFonts w:hint="eastAsia" w:ascii="宋体" w:hAnsi="宋体" w:eastAsia="宋体" w:cs="宋体"/>
                <w:color w:val="auto"/>
                <w:sz w:val="24"/>
              </w:rPr>
            </w:pPr>
          </w:p>
        </w:tc>
        <w:tc>
          <w:tcPr>
            <w:tcW w:w="753" w:type="dxa"/>
            <w:gridSpan w:val="2"/>
            <w:noWrap w:val="0"/>
            <w:vAlign w:val="center"/>
          </w:tcPr>
          <w:p>
            <w:pPr>
              <w:jc w:val="center"/>
              <w:rPr>
                <w:rFonts w:hint="eastAsia" w:ascii="宋体" w:hAnsi="宋体" w:eastAsia="宋体" w:cs="宋体"/>
                <w:color w:val="auto"/>
                <w:sz w:val="24"/>
              </w:rPr>
            </w:pPr>
          </w:p>
        </w:tc>
        <w:tc>
          <w:tcPr>
            <w:tcW w:w="1112" w:type="dxa"/>
            <w:gridSpan w:val="2"/>
            <w:noWrap w:val="0"/>
            <w:vAlign w:val="center"/>
          </w:tcPr>
          <w:p>
            <w:pPr>
              <w:jc w:val="center"/>
              <w:rPr>
                <w:rFonts w:hint="eastAsia" w:ascii="宋体" w:hAnsi="宋体" w:eastAsia="宋体" w:cs="宋体"/>
                <w:color w:val="auto"/>
                <w:sz w:val="24"/>
              </w:rPr>
            </w:pPr>
          </w:p>
        </w:tc>
        <w:tc>
          <w:tcPr>
            <w:tcW w:w="829" w:type="dxa"/>
            <w:gridSpan w:val="2"/>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1051" w:type="dxa"/>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领</w:t>
            </w:r>
          </w:p>
          <w:p>
            <w:pPr>
              <w:jc w:val="center"/>
              <w:rPr>
                <w:rFonts w:hint="eastAsia" w:ascii="宋体" w:hAnsi="宋体" w:eastAsia="宋体" w:cs="宋体"/>
                <w:color w:val="auto"/>
                <w:sz w:val="24"/>
              </w:rPr>
            </w:pPr>
            <w:r>
              <w:rPr>
                <w:rFonts w:hint="eastAsia" w:ascii="宋体" w:hAnsi="宋体" w:eastAsia="宋体" w:cs="宋体"/>
                <w:color w:val="auto"/>
                <w:sz w:val="24"/>
              </w:rPr>
              <w:t>导</w:t>
            </w:r>
          </w:p>
          <w:p>
            <w:pPr>
              <w:jc w:val="center"/>
              <w:rPr>
                <w:rFonts w:hint="eastAsia" w:ascii="宋体" w:hAnsi="宋体" w:eastAsia="宋体" w:cs="宋体"/>
                <w:color w:val="auto"/>
                <w:sz w:val="24"/>
              </w:rPr>
            </w:pPr>
            <w:r>
              <w:rPr>
                <w:rFonts w:hint="eastAsia" w:ascii="宋体" w:hAnsi="宋体" w:eastAsia="宋体" w:cs="宋体"/>
                <w:color w:val="auto"/>
                <w:sz w:val="24"/>
              </w:rPr>
              <w:t>批</w:t>
            </w:r>
          </w:p>
          <w:p>
            <w:pPr>
              <w:jc w:val="center"/>
              <w:rPr>
                <w:rFonts w:hint="eastAsia" w:ascii="宋体" w:hAnsi="宋体" w:eastAsia="宋体" w:cs="宋体"/>
                <w:color w:val="auto"/>
                <w:sz w:val="24"/>
              </w:rPr>
            </w:pPr>
            <w:r>
              <w:rPr>
                <w:rFonts w:hint="eastAsia" w:ascii="宋体" w:hAnsi="宋体" w:eastAsia="宋体" w:cs="宋体"/>
                <w:color w:val="auto"/>
                <w:sz w:val="24"/>
              </w:rPr>
              <w:t>示</w:t>
            </w:r>
          </w:p>
        </w:tc>
        <w:tc>
          <w:tcPr>
            <w:tcW w:w="7911" w:type="dxa"/>
            <w:gridSpan w:val="14"/>
            <w:noWrap w:val="0"/>
            <w:vAlign w:val="center"/>
          </w:tcPr>
          <w:p>
            <w:pPr>
              <w:jc w:val="center"/>
              <w:rPr>
                <w:rFonts w:hint="eastAsia" w:ascii="宋体" w:hAnsi="宋体" w:eastAsia="宋体" w:cs="宋体"/>
                <w:color w:val="auto"/>
                <w:sz w:val="24"/>
              </w:rPr>
            </w:pPr>
          </w:p>
        </w:tc>
      </w:tr>
    </w:tbl>
    <w:p>
      <w:pPr>
        <w:jc w:val="center"/>
        <w:rPr>
          <w:rFonts w:hint="eastAsia" w:ascii="宋体" w:hAnsi="宋体" w:eastAsia="宋体" w:cs="宋体"/>
          <w:b/>
          <w:color w:val="auto"/>
          <w:sz w:val="32"/>
          <w:szCs w:val="32"/>
        </w:rPr>
      </w:pPr>
      <w:r>
        <w:rPr>
          <w:rFonts w:hint="eastAsia" w:ascii="宋体" w:hAnsi="宋体" w:eastAsia="宋体" w:cs="宋体"/>
          <w:b/>
          <w:bCs/>
          <w:color w:val="auto"/>
          <w:sz w:val="32"/>
          <w:szCs w:val="32"/>
        </w:rPr>
        <w:br w:type="page"/>
      </w:r>
      <w:bookmarkStart w:id="854" w:name="_Toc415144704"/>
      <w:bookmarkStart w:id="855" w:name="_Toc419044084"/>
      <w:bookmarkStart w:id="856" w:name="_Toc418868530"/>
      <w:bookmarkStart w:id="857" w:name="_Toc415563453"/>
      <w:r>
        <w:rPr>
          <w:rFonts w:hint="eastAsia" w:ascii="宋体" w:hAnsi="宋体" w:eastAsia="宋体" w:cs="宋体"/>
          <w:b/>
          <w:color w:val="auto"/>
          <w:sz w:val="32"/>
          <w:szCs w:val="32"/>
        </w:rPr>
        <w:t>应急救援预案演练记录表</w:t>
      </w:r>
      <w:bookmarkEnd w:id="854"/>
      <w:bookmarkEnd w:id="855"/>
      <w:bookmarkEnd w:id="856"/>
      <w:bookmarkEnd w:id="857"/>
    </w:p>
    <w:tbl>
      <w:tblPr>
        <w:tblStyle w:val="2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15"/>
        <w:gridCol w:w="65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1" w:hRule="atLeast"/>
          <w:jc w:val="center"/>
        </w:trPr>
        <w:tc>
          <w:tcPr>
            <w:tcW w:w="2315"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演练预案名称</w:t>
            </w:r>
          </w:p>
        </w:tc>
        <w:tc>
          <w:tcPr>
            <w:tcW w:w="6596"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1" w:hRule="atLeast"/>
          <w:jc w:val="center"/>
        </w:trPr>
        <w:tc>
          <w:tcPr>
            <w:tcW w:w="2315"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参与人员</w:t>
            </w:r>
          </w:p>
        </w:tc>
        <w:tc>
          <w:tcPr>
            <w:tcW w:w="6596"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790" w:hRule="atLeast"/>
          <w:jc w:val="center"/>
        </w:trPr>
        <w:tc>
          <w:tcPr>
            <w:tcW w:w="2315" w:type="dxa"/>
            <w:tcBorders>
              <w:bottom w:val="single" w:color="000000" w:sz="6" w:space="0"/>
            </w:tcBorders>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预演安排</w:t>
            </w:r>
          </w:p>
        </w:tc>
        <w:tc>
          <w:tcPr>
            <w:tcW w:w="6596" w:type="dxa"/>
            <w:tcBorders>
              <w:bottom w:val="single" w:color="000000" w:sz="6" w:space="0"/>
            </w:tcBorders>
            <w:noWrap w:val="0"/>
            <w:vAlign w:val="center"/>
          </w:tcPr>
          <w:p>
            <w:pPr>
              <w:spacing w:line="440" w:lineRule="exact"/>
              <w:jc w:val="center"/>
              <w:rPr>
                <w:rFonts w:hint="eastAsia" w:ascii="宋体" w:hAnsi="宋体" w:eastAsia="宋体" w:cs="宋体"/>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035" w:hRule="atLeast"/>
          <w:jc w:val="center"/>
        </w:trPr>
        <w:tc>
          <w:tcPr>
            <w:tcW w:w="2315" w:type="dxa"/>
            <w:tcBorders>
              <w:bottom w:val="single" w:color="000000" w:sz="6" w:space="0"/>
            </w:tcBorders>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应急演练过程</w:t>
            </w:r>
          </w:p>
        </w:tc>
        <w:tc>
          <w:tcPr>
            <w:tcW w:w="6596" w:type="dxa"/>
            <w:tcBorders>
              <w:bottom w:val="single" w:color="000000" w:sz="6" w:space="0"/>
            </w:tcBorders>
            <w:noWrap w:val="0"/>
            <w:vAlign w:val="center"/>
          </w:tcPr>
          <w:p>
            <w:pPr>
              <w:spacing w:line="440" w:lineRule="exact"/>
              <w:ind w:firstLine="420" w:firstLineChars="200"/>
              <w:rPr>
                <w:rFonts w:hint="eastAsia" w:ascii="宋体" w:hAnsi="宋体" w:eastAsia="宋体" w:cs="宋体"/>
                <w:color w:val="auto"/>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243" w:hRule="atLeast"/>
          <w:jc w:val="center"/>
        </w:trPr>
        <w:tc>
          <w:tcPr>
            <w:tcW w:w="2315" w:type="dxa"/>
            <w:tcBorders>
              <w:bottom w:val="single" w:color="000000" w:sz="6"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演习效果</w:t>
            </w:r>
          </w:p>
        </w:tc>
        <w:tc>
          <w:tcPr>
            <w:tcW w:w="6596" w:type="dxa"/>
            <w:tcBorders>
              <w:bottom w:val="single" w:color="000000" w:sz="6" w:space="0"/>
            </w:tcBorders>
            <w:noWrap w:val="0"/>
            <w:vAlign w:val="center"/>
          </w:tcPr>
          <w:p>
            <w:pPr>
              <w:spacing w:line="440" w:lineRule="exact"/>
              <w:ind w:firstLine="420" w:firstLineChars="200"/>
              <w:rPr>
                <w:rFonts w:hint="eastAsia" w:ascii="宋体" w:hAnsi="宋体" w:eastAsia="宋体" w:cs="宋体"/>
                <w:color w:val="auto"/>
                <w:szCs w:val="21"/>
              </w:rPr>
            </w:pPr>
          </w:p>
        </w:tc>
      </w:tr>
    </w:tbl>
    <w:p>
      <w:pPr>
        <w:rPr>
          <w:rFonts w:hint="eastAsia" w:ascii="宋体" w:hAnsi="宋体" w:eastAsia="宋体" w:cs="宋体"/>
          <w:color w:val="auto"/>
        </w:rPr>
      </w:pPr>
      <w:r>
        <w:rPr>
          <w:rFonts w:hint="eastAsia" w:ascii="宋体" w:hAnsi="宋体" w:eastAsia="宋体" w:cs="宋体"/>
          <w:color w:val="auto"/>
          <w:sz w:val="24"/>
        </w:rPr>
        <w:t>记录员：                                     演习日期：</w:t>
      </w:r>
    </w:p>
    <w:p>
      <w:pPr>
        <w:rPr>
          <w:rFonts w:hint="eastAsia" w:ascii="宋体" w:hAnsi="宋体" w:eastAsia="宋体" w:cs="宋体"/>
          <w:color w:val="auto"/>
        </w:rPr>
        <w:sectPr>
          <w:pgSz w:w="11906" w:h="16838"/>
          <w:pgMar w:top="1417" w:right="1417" w:bottom="1417" w:left="1587" w:header="1134" w:footer="1134" w:gutter="0"/>
          <w:pgNumType w:fmt="decimal"/>
          <w:cols w:space="720" w:num="1"/>
          <w:rtlGutter w:val="0"/>
          <w:docGrid w:linePitch="312" w:charSpace="0"/>
        </w:sectPr>
      </w:pPr>
    </w:p>
    <w:p>
      <w:pPr>
        <w:jc w:val="center"/>
        <w:rPr>
          <w:rFonts w:hint="eastAsia" w:ascii="宋体" w:hAnsi="宋体" w:eastAsia="宋体" w:cs="宋体"/>
          <w:b/>
          <w:color w:val="auto"/>
          <w:sz w:val="32"/>
          <w:szCs w:val="32"/>
        </w:rPr>
      </w:pPr>
      <w:bookmarkStart w:id="858" w:name="_Toc415563454"/>
      <w:bookmarkStart w:id="859" w:name="_Toc418868531"/>
      <w:bookmarkStart w:id="860" w:name="_Toc419044085"/>
      <w:bookmarkStart w:id="861" w:name="_Toc415144705"/>
      <w:r>
        <w:rPr>
          <w:rFonts w:hint="eastAsia" w:ascii="宋体" w:hAnsi="宋体" w:eastAsia="宋体" w:cs="宋体"/>
          <w:b/>
          <w:color w:val="auto"/>
          <w:sz w:val="32"/>
          <w:szCs w:val="32"/>
        </w:rPr>
        <w:t>应急救援预案评审记录表</w:t>
      </w:r>
      <w:bookmarkEnd w:id="858"/>
      <w:bookmarkEnd w:id="859"/>
      <w:bookmarkEnd w:id="860"/>
      <w:bookmarkEnd w:id="861"/>
    </w:p>
    <w:p>
      <w:pPr>
        <w:jc w:val="center"/>
        <w:rPr>
          <w:rFonts w:hint="eastAsia" w:ascii="宋体" w:hAnsi="宋体" w:eastAsia="宋体" w:cs="宋体"/>
          <w:b/>
          <w:color w:val="auto"/>
          <w:sz w:val="36"/>
        </w:rPr>
      </w:pP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6"/>
        <w:gridCol w:w="712"/>
        <w:gridCol w:w="331"/>
        <w:gridCol w:w="2434"/>
        <w:gridCol w:w="1794"/>
        <w:gridCol w:w="257"/>
        <w:gridCol w:w="23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2039" w:type="dxa"/>
            <w:gridSpan w:val="3"/>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评审预案名称</w:t>
            </w:r>
          </w:p>
        </w:tc>
        <w:tc>
          <w:tcPr>
            <w:tcW w:w="6818" w:type="dxa"/>
            <w:gridSpan w:val="4"/>
            <w:noWrap w:val="0"/>
            <w:vAlign w:val="center"/>
          </w:tcPr>
          <w:p>
            <w:pPr>
              <w:pStyle w:val="36"/>
              <w:rPr>
                <w:rFonts w:hint="eastAsia" w:ascii="宋体" w:hAnsi="宋体" w:eastAsia="宋体" w:cs="宋体"/>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2039" w:type="dxa"/>
            <w:gridSpan w:val="3"/>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评审时间</w:t>
            </w:r>
          </w:p>
        </w:tc>
        <w:tc>
          <w:tcPr>
            <w:tcW w:w="2434" w:type="dxa"/>
            <w:noWrap w:val="0"/>
            <w:vAlign w:val="center"/>
          </w:tcPr>
          <w:p>
            <w:pPr>
              <w:pStyle w:val="36"/>
              <w:rPr>
                <w:rFonts w:hint="eastAsia" w:ascii="宋体" w:hAnsi="宋体" w:eastAsia="宋体" w:cs="宋体"/>
                <w:color w:val="auto"/>
                <w:lang w:val="en-US" w:eastAsia="zh-CN"/>
              </w:rPr>
            </w:pPr>
          </w:p>
        </w:tc>
        <w:tc>
          <w:tcPr>
            <w:tcW w:w="2051" w:type="dxa"/>
            <w:gridSpan w:val="2"/>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评审地点</w:t>
            </w:r>
          </w:p>
        </w:tc>
        <w:tc>
          <w:tcPr>
            <w:tcW w:w="2333" w:type="dxa"/>
            <w:noWrap w:val="0"/>
            <w:vAlign w:val="center"/>
          </w:tcPr>
          <w:p>
            <w:pPr>
              <w:pStyle w:val="36"/>
              <w:rPr>
                <w:rFonts w:hint="eastAsia" w:ascii="宋体" w:hAnsi="宋体" w:eastAsia="宋体" w:cs="宋体"/>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7" w:hRule="atLeast"/>
          <w:jc w:val="center"/>
        </w:trPr>
        <w:tc>
          <w:tcPr>
            <w:tcW w:w="2039" w:type="dxa"/>
            <w:gridSpan w:val="3"/>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评审人员</w:t>
            </w:r>
          </w:p>
        </w:tc>
        <w:tc>
          <w:tcPr>
            <w:tcW w:w="6818" w:type="dxa"/>
            <w:gridSpan w:val="4"/>
            <w:noWrap w:val="0"/>
            <w:vAlign w:val="center"/>
          </w:tcPr>
          <w:p>
            <w:pPr>
              <w:pStyle w:val="36"/>
              <w:rPr>
                <w:rFonts w:hint="eastAsia" w:ascii="宋体" w:hAnsi="宋体" w:eastAsia="宋体" w:cs="宋体"/>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0" w:hRule="atLeast"/>
          <w:jc w:val="center"/>
        </w:trPr>
        <w:tc>
          <w:tcPr>
            <w:tcW w:w="996" w:type="dxa"/>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评</w:t>
            </w:r>
          </w:p>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审</w:t>
            </w:r>
          </w:p>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内</w:t>
            </w:r>
          </w:p>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容</w:t>
            </w:r>
          </w:p>
        </w:tc>
        <w:tc>
          <w:tcPr>
            <w:tcW w:w="7861" w:type="dxa"/>
            <w:gridSpan w:val="6"/>
            <w:noWrap w:val="0"/>
            <w:vAlign w:val="center"/>
          </w:tcPr>
          <w:p>
            <w:pPr>
              <w:pStyle w:val="36"/>
              <w:jc w:val="both"/>
              <w:rPr>
                <w:rFonts w:hint="eastAsia" w:ascii="宋体" w:hAnsi="宋体" w:eastAsia="宋体" w:cs="宋体"/>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3" w:hRule="atLeast"/>
          <w:jc w:val="center"/>
        </w:trPr>
        <w:tc>
          <w:tcPr>
            <w:tcW w:w="996" w:type="dxa"/>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评</w:t>
            </w:r>
          </w:p>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审</w:t>
            </w:r>
          </w:p>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结</w:t>
            </w:r>
          </w:p>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果</w:t>
            </w:r>
          </w:p>
        </w:tc>
        <w:tc>
          <w:tcPr>
            <w:tcW w:w="7861" w:type="dxa"/>
            <w:gridSpan w:val="6"/>
            <w:noWrap w:val="0"/>
            <w:vAlign w:val="center"/>
          </w:tcPr>
          <w:p>
            <w:pPr>
              <w:pStyle w:val="36"/>
              <w:jc w:val="both"/>
              <w:rPr>
                <w:rFonts w:hint="eastAsia" w:ascii="宋体" w:hAnsi="宋体" w:eastAsia="宋体" w:cs="宋体"/>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6" w:hRule="atLeast"/>
          <w:jc w:val="center"/>
        </w:trPr>
        <w:tc>
          <w:tcPr>
            <w:tcW w:w="1708" w:type="dxa"/>
            <w:gridSpan w:val="2"/>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记录人</w:t>
            </w:r>
          </w:p>
        </w:tc>
        <w:tc>
          <w:tcPr>
            <w:tcW w:w="2765" w:type="dxa"/>
            <w:gridSpan w:val="2"/>
            <w:noWrap w:val="0"/>
            <w:vAlign w:val="center"/>
          </w:tcPr>
          <w:p>
            <w:pPr>
              <w:pStyle w:val="36"/>
              <w:jc w:val="both"/>
              <w:rPr>
                <w:rFonts w:hint="eastAsia" w:ascii="宋体" w:hAnsi="宋体" w:eastAsia="宋体" w:cs="宋体"/>
                <w:color w:val="auto"/>
                <w:lang w:val="en-US" w:eastAsia="zh-CN"/>
              </w:rPr>
            </w:pPr>
          </w:p>
        </w:tc>
        <w:tc>
          <w:tcPr>
            <w:tcW w:w="1794" w:type="dxa"/>
            <w:noWrap w:val="0"/>
            <w:vAlign w:val="center"/>
          </w:tcPr>
          <w:p>
            <w:pPr>
              <w:pStyle w:val="36"/>
              <w:rPr>
                <w:rFonts w:hint="eastAsia" w:ascii="宋体" w:hAnsi="宋体" w:eastAsia="宋体" w:cs="宋体"/>
                <w:color w:val="auto"/>
                <w:lang w:val="en-US" w:eastAsia="zh-CN"/>
              </w:rPr>
            </w:pPr>
            <w:r>
              <w:rPr>
                <w:rFonts w:hint="eastAsia" w:ascii="宋体" w:hAnsi="宋体" w:eastAsia="宋体" w:cs="宋体"/>
                <w:color w:val="auto"/>
                <w:lang w:val="en-US" w:eastAsia="zh-CN"/>
              </w:rPr>
              <w:t>负责人</w:t>
            </w:r>
          </w:p>
        </w:tc>
        <w:tc>
          <w:tcPr>
            <w:tcW w:w="2590" w:type="dxa"/>
            <w:gridSpan w:val="2"/>
            <w:noWrap w:val="0"/>
            <w:vAlign w:val="center"/>
          </w:tcPr>
          <w:p>
            <w:pPr>
              <w:pStyle w:val="36"/>
              <w:jc w:val="both"/>
              <w:rPr>
                <w:rFonts w:hint="eastAsia" w:ascii="宋体" w:hAnsi="宋体" w:eastAsia="宋体" w:cs="宋体"/>
                <w:color w:val="auto"/>
                <w:lang w:val="en-US" w:eastAsia="zh-CN"/>
              </w:rPr>
            </w:pPr>
          </w:p>
        </w:tc>
      </w:tr>
    </w:tbl>
    <w:p>
      <w:pPr>
        <w:rPr>
          <w:rFonts w:hint="eastAsia" w:ascii="宋体" w:hAnsi="宋体" w:eastAsia="宋体" w:cs="宋体"/>
          <w:color w:val="auto"/>
        </w:rPr>
        <w:sectPr>
          <w:pgSz w:w="11906" w:h="16838"/>
          <w:pgMar w:top="1417" w:right="1417" w:bottom="1417" w:left="1587" w:header="1134" w:footer="1134" w:gutter="0"/>
          <w:pgNumType w:fmt="decimal"/>
          <w:cols w:space="720" w:num="1"/>
          <w:rtlGutter w:val="0"/>
          <w:docGrid w:linePitch="312" w:charSpace="0"/>
        </w:sectPr>
      </w:pPr>
    </w:p>
    <w:p>
      <w:pPr>
        <w:jc w:val="center"/>
        <w:rPr>
          <w:rFonts w:hint="eastAsia" w:ascii="宋体" w:hAnsi="宋体" w:eastAsia="宋体" w:cs="宋体"/>
          <w:b/>
          <w:color w:val="auto"/>
          <w:sz w:val="32"/>
          <w:szCs w:val="32"/>
        </w:rPr>
      </w:pPr>
      <w:bookmarkStart w:id="862" w:name="_Toc419044086"/>
      <w:bookmarkStart w:id="863" w:name="_Toc415563455"/>
      <w:bookmarkStart w:id="864" w:name="_Toc418868532"/>
      <w:bookmarkStart w:id="865" w:name="_Toc415144706"/>
      <w:r>
        <w:rPr>
          <w:rFonts w:hint="eastAsia" w:ascii="宋体" w:hAnsi="宋体" w:eastAsia="宋体" w:cs="宋体"/>
          <w:b/>
          <w:color w:val="auto"/>
          <w:sz w:val="32"/>
          <w:szCs w:val="32"/>
        </w:rPr>
        <w:t>应急救援预案修订记录</w:t>
      </w:r>
      <w:bookmarkEnd w:id="862"/>
      <w:bookmarkEnd w:id="863"/>
      <w:bookmarkEnd w:id="864"/>
      <w:bookmarkEnd w:id="865"/>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814"/>
        <w:gridCol w:w="1374"/>
        <w:gridCol w:w="1545"/>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27" w:type="dxa"/>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应急预案修订日期:</w:t>
            </w:r>
          </w:p>
        </w:tc>
        <w:tc>
          <w:tcPr>
            <w:tcW w:w="6193" w:type="dxa"/>
            <w:gridSpan w:val="4"/>
            <w:noWrap w:val="0"/>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27" w:type="dxa"/>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应急预案签发日期:</w:t>
            </w:r>
          </w:p>
        </w:tc>
        <w:tc>
          <w:tcPr>
            <w:tcW w:w="6193" w:type="dxa"/>
            <w:gridSpan w:val="4"/>
            <w:noWrap w:val="0"/>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27" w:type="dxa"/>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应急预案实施日期:</w:t>
            </w:r>
          </w:p>
        </w:tc>
        <w:tc>
          <w:tcPr>
            <w:tcW w:w="6193" w:type="dxa"/>
            <w:gridSpan w:val="4"/>
            <w:noWrap w:val="0"/>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8720" w:type="dxa"/>
            <w:gridSpan w:val="5"/>
            <w:noWrap w:val="0"/>
            <w:vAlign w:val="top"/>
          </w:tcPr>
          <w:p>
            <w:pPr>
              <w:rPr>
                <w:rFonts w:hint="eastAsia" w:ascii="宋体" w:hAnsi="宋体" w:eastAsia="宋体" w:cs="宋体"/>
                <w:color w:val="auto"/>
                <w:szCs w:val="21"/>
              </w:rPr>
            </w:pPr>
            <w:r>
              <w:rPr>
                <w:rFonts w:hint="eastAsia" w:ascii="宋体" w:hAnsi="宋体" w:eastAsia="宋体" w:cs="宋体"/>
                <w:color w:val="auto"/>
                <w:szCs w:val="21"/>
              </w:rPr>
              <w:t xml:space="preserve">应急预案的修订参加人员: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720" w:type="dxa"/>
            <w:gridSpan w:val="5"/>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应急预案的修订内容: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0" w:type="dxa"/>
            <w:gridSpan w:val="5"/>
            <w:noWrap w:val="0"/>
            <w:vAlign w:val="top"/>
          </w:tcPr>
          <w:p>
            <w:pPr>
              <w:spacing w:line="360" w:lineRule="auto"/>
              <w:ind w:firstLine="210" w:firstLineChars="100"/>
              <w:jc w:val="left"/>
              <w:rPr>
                <w:rFonts w:hint="eastAsia" w:ascii="宋体" w:hAnsi="宋体" w:eastAsia="宋体" w:cs="宋体"/>
                <w:color w:val="auto"/>
                <w:szCs w:val="21"/>
              </w:rPr>
            </w:pPr>
          </w:p>
          <w:p>
            <w:pPr>
              <w:spacing w:line="360" w:lineRule="auto"/>
              <w:ind w:firstLine="210" w:firstLineChars="100"/>
              <w:jc w:val="left"/>
              <w:rPr>
                <w:rFonts w:hint="eastAsia" w:ascii="宋体" w:hAnsi="宋体" w:eastAsia="宋体" w:cs="宋体"/>
                <w:color w:val="auto"/>
                <w:szCs w:val="21"/>
              </w:rPr>
            </w:pPr>
          </w:p>
          <w:p>
            <w:pPr>
              <w:spacing w:line="360" w:lineRule="auto"/>
              <w:jc w:val="lef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41" w:type="dxa"/>
            <w:gridSpan w:val="2"/>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应急预案的修订评审:</w:t>
            </w:r>
          </w:p>
        </w:tc>
        <w:tc>
          <w:tcPr>
            <w:tcW w:w="1374" w:type="dxa"/>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符合□</w:t>
            </w:r>
          </w:p>
        </w:tc>
        <w:tc>
          <w:tcPr>
            <w:tcW w:w="1545" w:type="dxa"/>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基本符合□</w:t>
            </w:r>
          </w:p>
        </w:tc>
        <w:tc>
          <w:tcPr>
            <w:tcW w:w="2460" w:type="dxa"/>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3341" w:type="dxa"/>
            <w:gridSpan w:val="2"/>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基本符合修改意见或建议:</w:t>
            </w:r>
          </w:p>
        </w:tc>
        <w:tc>
          <w:tcPr>
            <w:tcW w:w="5379" w:type="dxa"/>
            <w:gridSpan w:val="3"/>
            <w:noWrap w:val="0"/>
            <w:vAlign w:val="top"/>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3341" w:type="dxa"/>
            <w:gridSpan w:val="2"/>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不符合修改意见或建议:</w:t>
            </w:r>
          </w:p>
        </w:tc>
        <w:tc>
          <w:tcPr>
            <w:tcW w:w="5379" w:type="dxa"/>
            <w:gridSpan w:val="3"/>
            <w:noWrap w:val="0"/>
            <w:vAlign w:val="top"/>
          </w:tcPr>
          <w:p>
            <w:pPr>
              <w:rPr>
                <w:rFonts w:hint="eastAsia" w:ascii="宋体" w:hAnsi="宋体" w:eastAsia="宋体" w:cs="宋体"/>
                <w:color w:val="auto"/>
                <w:szCs w:val="21"/>
              </w:rPr>
            </w:pPr>
          </w:p>
          <w:p>
            <w:pPr>
              <w:rPr>
                <w:rFonts w:hint="eastAsia" w:ascii="宋体" w:hAnsi="宋体" w:eastAsia="宋体" w:cs="宋体"/>
                <w:color w:val="auto"/>
                <w:szCs w:val="21"/>
              </w:rPr>
            </w:pPr>
          </w:p>
          <w:p>
            <w:pPr>
              <w:rPr>
                <w:rFonts w:hint="eastAsia" w:ascii="宋体" w:hAnsi="宋体" w:eastAsia="宋体" w:cs="宋体"/>
                <w:color w:val="auto"/>
                <w:szCs w:val="21"/>
              </w:rPr>
            </w:pPr>
          </w:p>
          <w:p>
            <w:pPr>
              <w:rPr>
                <w:rFonts w:hint="eastAsia" w:ascii="宋体" w:hAnsi="宋体" w:eastAsia="宋体" w:cs="宋体"/>
                <w:color w:val="auto"/>
                <w:szCs w:val="21"/>
              </w:rPr>
            </w:pPr>
          </w:p>
          <w:p>
            <w:pP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41" w:type="dxa"/>
            <w:gridSpan w:val="2"/>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应急预案的发布签字:</w:t>
            </w:r>
          </w:p>
        </w:tc>
        <w:tc>
          <w:tcPr>
            <w:tcW w:w="5379" w:type="dxa"/>
            <w:gridSpan w:val="3"/>
            <w:noWrap w:val="0"/>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41" w:type="dxa"/>
            <w:gridSpan w:val="2"/>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 xml:space="preserve">应急预案修订签发日期: </w:t>
            </w:r>
          </w:p>
        </w:tc>
        <w:tc>
          <w:tcPr>
            <w:tcW w:w="5379" w:type="dxa"/>
            <w:gridSpan w:val="3"/>
            <w:noWrap w:val="0"/>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41" w:type="dxa"/>
            <w:gridSpan w:val="2"/>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 xml:space="preserve">应急预案修订实施日期: </w:t>
            </w:r>
          </w:p>
        </w:tc>
        <w:tc>
          <w:tcPr>
            <w:tcW w:w="5379" w:type="dxa"/>
            <w:gridSpan w:val="3"/>
            <w:noWrap w:val="0"/>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41" w:type="dxa"/>
            <w:gridSpan w:val="2"/>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 xml:space="preserve">应急预案再修订日期: </w:t>
            </w:r>
          </w:p>
        </w:tc>
        <w:tc>
          <w:tcPr>
            <w:tcW w:w="5379" w:type="dxa"/>
            <w:gridSpan w:val="3"/>
            <w:noWrap w:val="0"/>
            <w:vAlign w:val="center"/>
          </w:tcPr>
          <w:p>
            <w:pPr>
              <w:jc w:val="center"/>
              <w:rPr>
                <w:rFonts w:hint="eastAsia" w:ascii="宋体" w:hAnsi="宋体" w:eastAsia="宋体" w:cs="宋体"/>
                <w:color w:val="auto"/>
                <w:szCs w:val="21"/>
              </w:rPr>
            </w:pPr>
          </w:p>
        </w:tc>
      </w:tr>
    </w:tbl>
    <w:p>
      <w:pPr>
        <w:rPr>
          <w:rFonts w:hint="eastAsia" w:ascii="宋体" w:hAnsi="宋体" w:eastAsia="宋体" w:cs="宋体"/>
          <w:color w:val="auto"/>
        </w:rPr>
        <w:sectPr>
          <w:pgSz w:w="11906" w:h="16838"/>
          <w:pgMar w:top="1417" w:right="1417" w:bottom="1417" w:left="1587" w:header="1134" w:footer="1134" w:gutter="0"/>
          <w:pgNumType w:fmt="decimal"/>
          <w:cols w:space="720" w:num="1"/>
          <w:rtlGutter w:val="0"/>
          <w:docGrid w:linePitch="395" w:charSpace="0"/>
        </w:sectPr>
      </w:pPr>
    </w:p>
    <w:p>
      <w:pPr>
        <w:spacing w:line="540" w:lineRule="exact"/>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生产经营单位生产安全事故</w:t>
      </w:r>
    </w:p>
    <w:p>
      <w:pPr>
        <w:spacing w:line="540" w:lineRule="exact"/>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应急预案备案申报表</w:t>
      </w:r>
    </w:p>
    <w:tbl>
      <w:tblPr>
        <w:tblStyle w:val="25"/>
        <w:tblW w:w="8523"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549"/>
        <w:gridCol w:w="2880"/>
        <w:gridCol w:w="1346"/>
        <w:gridCol w:w="2748"/>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549" w:type="dxa"/>
            <w:tcBorders>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单位名称</w:t>
            </w:r>
          </w:p>
        </w:tc>
        <w:tc>
          <w:tcPr>
            <w:tcW w:w="6974" w:type="dxa"/>
            <w:gridSpan w:val="3"/>
            <w:tcBorders>
              <w:left w:val="single" w:color="auto" w:sz="2" w:space="0"/>
              <w:bottom w:val="single" w:color="auto" w:sz="2" w:space="0"/>
            </w:tcBorders>
            <w:noWrap w:val="0"/>
            <w:vAlign w:val="center"/>
          </w:tcPr>
          <w:p>
            <w:pPr>
              <w:ind w:right="480"/>
              <w:rPr>
                <w:rFonts w:hint="eastAsia" w:ascii="宋体" w:hAnsi="宋体" w:eastAsia="宋体" w:cs="宋体"/>
                <w:snapToGrid w:val="0"/>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1549" w:type="dxa"/>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pacing w:val="60"/>
                <w:kern w:val="0"/>
                <w:sz w:val="24"/>
              </w:rPr>
              <w:t>联系</w:t>
            </w:r>
            <w:r>
              <w:rPr>
                <w:rFonts w:hint="eastAsia" w:ascii="宋体" w:hAnsi="宋体" w:eastAsia="宋体" w:cs="宋体"/>
                <w:b/>
                <w:color w:val="auto"/>
                <w:spacing w:val="1"/>
                <w:kern w:val="0"/>
                <w:sz w:val="24"/>
              </w:rPr>
              <w:t>人</w:t>
            </w:r>
          </w:p>
        </w:tc>
        <w:tc>
          <w:tcPr>
            <w:tcW w:w="2880"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snapToGrid w:val="0"/>
                <w:color w:val="auto"/>
                <w:sz w:val="24"/>
              </w:rPr>
            </w:pPr>
          </w:p>
        </w:tc>
        <w:tc>
          <w:tcPr>
            <w:tcW w:w="1346"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联系电话</w:t>
            </w:r>
          </w:p>
        </w:tc>
        <w:tc>
          <w:tcPr>
            <w:tcW w:w="2748" w:type="dxa"/>
            <w:tcBorders>
              <w:top w:val="single" w:color="auto" w:sz="2" w:space="0"/>
              <w:left w:val="single" w:color="auto" w:sz="2" w:space="0"/>
              <w:bottom w:val="single" w:color="auto" w:sz="2" w:space="0"/>
            </w:tcBorders>
            <w:noWrap w:val="0"/>
            <w:vAlign w:val="center"/>
          </w:tcPr>
          <w:p>
            <w:pPr>
              <w:rPr>
                <w:rFonts w:hint="eastAsia" w:ascii="宋体" w:hAnsi="宋体" w:eastAsia="宋体" w:cs="宋体"/>
                <w:snapToGrid w:val="0"/>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549" w:type="dxa"/>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传    真</w:t>
            </w:r>
          </w:p>
        </w:tc>
        <w:tc>
          <w:tcPr>
            <w:tcW w:w="2880" w:type="dxa"/>
            <w:tcBorders>
              <w:top w:val="single" w:color="auto" w:sz="2" w:space="0"/>
              <w:left w:val="single" w:color="auto" w:sz="2" w:space="0"/>
              <w:bottom w:val="single" w:color="auto" w:sz="2" w:space="0"/>
              <w:right w:val="single" w:color="auto" w:sz="2" w:space="0"/>
            </w:tcBorders>
            <w:noWrap w:val="0"/>
            <w:vAlign w:val="center"/>
          </w:tcPr>
          <w:p>
            <w:pPr>
              <w:ind w:right="480"/>
              <w:rPr>
                <w:rFonts w:hint="eastAsia" w:ascii="宋体" w:hAnsi="宋体" w:eastAsia="宋体" w:cs="宋体"/>
                <w:b/>
                <w:color w:val="auto"/>
                <w:sz w:val="24"/>
              </w:rPr>
            </w:pPr>
          </w:p>
        </w:tc>
        <w:tc>
          <w:tcPr>
            <w:tcW w:w="1346"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电子信箱</w:t>
            </w:r>
          </w:p>
        </w:tc>
        <w:tc>
          <w:tcPr>
            <w:tcW w:w="2748" w:type="dxa"/>
            <w:tcBorders>
              <w:top w:val="single" w:color="auto" w:sz="2" w:space="0"/>
              <w:left w:val="single" w:color="auto" w:sz="2" w:space="0"/>
              <w:bottom w:val="single" w:color="auto" w:sz="2" w:space="0"/>
            </w:tcBorders>
            <w:noWrap w:val="0"/>
            <w:vAlign w:val="center"/>
          </w:tcPr>
          <w:p>
            <w:pPr>
              <w:spacing w:line="480" w:lineRule="auto"/>
              <w:jc w:val="right"/>
              <w:rPr>
                <w:rFonts w:hint="eastAsia" w:ascii="宋体" w:hAnsi="宋体" w:eastAsia="宋体" w:cs="宋体"/>
                <w:b/>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1549" w:type="dxa"/>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法定代表人</w:t>
            </w:r>
          </w:p>
        </w:tc>
        <w:tc>
          <w:tcPr>
            <w:tcW w:w="2880"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p>
        </w:tc>
        <w:tc>
          <w:tcPr>
            <w:tcW w:w="1346"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资产总额</w:t>
            </w:r>
          </w:p>
        </w:tc>
        <w:tc>
          <w:tcPr>
            <w:tcW w:w="2748" w:type="dxa"/>
            <w:tcBorders>
              <w:top w:val="single" w:color="auto" w:sz="2" w:space="0"/>
              <w:left w:val="single" w:color="auto" w:sz="2" w:space="0"/>
              <w:bottom w:val="single" w:color="auto" w:sz="2" w:space="0"/>
            </w:tcBorders>
            <w:noWrap w:val="0"/>
            <w:vAlign w:val="center"/>
          </w:tcPr>
          <w:p>
            <w:pPr>
              <w:jc w:val="center"/>
              <w:rPr>
                <w:rFonts w:hint="eastAsia" w:ascii="宋体" w:hAnsi="宋体" w:eastAsia="宋体" w:cs="宋体"/>
                <w:snapToGrid w:val="0"/>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549" w:type="dxa"/>
            <w:tcBorders>
              <w:top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行业类型</w:t>
            </w:r>
          </w:p>
        </w:tc>
        <w:tc>
          <w:tcPr>
            <w:tcW w:w="2880"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p>
        </w:tc>
        <w:tc>
          <w:tcPr>
            <w:tcW w:w="1346"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从业人数</w:t>
            </w:r>
          </w:p>
        </w:tc>
        <w:tc>
          <w:tcPr>
            <w:tcW w:w="2748" w:type="dxa"/>
            <w:tcBorders>
              <w:top w:val="single" w:color="auto" w:sz="2" w:space="0"/>
              <w:left w:val="single" w:color="auto" w:sz="2" w:space="0"/>
              <w:bottom w:val="single" w:color="auto" w:sz="2" w:space="0"/>
            </w:tcBorders>
            <w:noWrap w:val="0"/>
            <w:vAlign w:val="center"/>
          </w:tcPr>
          <w:p>
            <w:pPr>
              <w:jc w:val="center"/>
              <w:rPr>
                <w:rFonts w:hint="eastAsia" w:ascii="宋体" w:hAnsi="宋体" w:eastAsia="宋体" w:cs="宋体"/>
                <w:b/>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549" w:type="dxa"/>
            <w:tcBorders>
              <w:top w:val="single" w:color="auto" w:sz="2" w:space="0"/>
              <w:bottom w:val="single" w:color="auto" w:sz="1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单位地址</w:t>
            </w:r>
          </w:p>
        </w:tc>
        <w:tc>
          <w:tcPr>
            <w:tcW w:w="2880" w:type="dxa"/>
            <w:tcBorders>
              <w:top w:val="single" w:color="auto" w:sz="2" w:space="0"/>
              <w:left w:val="single" w:color="auto" w:sz="2" w:space="0"/>
              <w:bottom w:val="single" w:color="auto" w:sz="12" w:space="0"/>
              <w:right w:val="single" w:color="auto" w:sz="2" w:space="0"/>
            </w:tcBorders>
            <w:noWrap w:val="0"/>
            <w:vAlign w:val="center"/>
          </w:tcPr>
          <w:p>
            <w:pPr>
              <w:jc w:val="center"/>
              <w:rPr>
                <w:rFonts w:hint="eastAsia" w:ascii="宋体" w:hAnsi="宋体" w:eastAsia="宋体" w:cs="宋体"/>
                <w:b/>
                <w:color w:val="auto"/>
                <w:sz w:val="24"/>
              </w:rPr>
            </w:pPr>
          </w:p>
        </w:tc>
        <w:tc>
          <w:tcPr>
            <w:tcW w:w="1346" w:type="dxa"/>
            <w:tcBorders>
              <w:top w:val="single" w:color="auto" w:sz="2" w:space="0"/>
              <w:left w:val="single" w:color="auto" w:sz="2" w:space="0"/>
              <w:bottom w:val="single" w:color="auto" w:sz="12" w:space="0"/>
              <w:right w:val="single" w:color="auto" w:sz="2" w:space="0"/>
            </w:tcBorders>
            <w:noWrap w:val="0"/>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邮政编码</w:t>
            </w:r>
          </w:p>
        </w:tc>
        <w:tc>
          <w:tcPr>
            <w:tcW w:w="2748" w:type="dxa"/>
            <w:tcBorders>
              <w:top w:val="single" w:color="auto" w:sz="2" w:space="0"/>
              <w:left w:val="single" w:color="auto" w:sz="2" w:space="0"/>
              <w:bottom w:val="single" w:color="auto" w:sz="12" w:space="0"/>
            </w:tcBorders>
            <w:noWrap w:val="0"/>
            <w:vAlign w:val="center"/>
          </w:tcPr>
          <w:p>
            <w:pPr>
              <w:jc w:val="right"/>
              <w:rPr>
                <w:rFonts w:hint="eastAsia" w:ascii="宋体" w:hAnsi="宋体" w:eastAsia="宋体" w:cs="宋体"/>
                <w:b/>
                <w:color w:val="auto"/>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8523" w:type="dxa"/>
            <w:gridSpan w:val="4"/>
            <w:tcBorders>
              <w:top w:val="single" w:color="auto" w:sz="12" w:space="0"/>
            </w:tcBorders>
            <w:noWrap w:val="0"/>
            <w:vAlign w:val="center"/>
          </w:tcPr>
          <w:p>
            <w:pPr>
              <w:ind w:firstLine="200" w:firstLineChars="200"/>
              <w:rPr>
                <w:rFonts w:hint="eastAsia" w:ascii="宋体" w:hAnsi="宋体" w:eastAsia="宋体" w:cs="宋体"/>
                <w:snapToGrid w:val="0"/>
                <w:color w:val="auto"/>
                <w:sz w:val="10"/>
                <w:szCs w:val="10"/>
              </w:rPr>
            </w:pPr>
          </w:p>
          <w:p>
            <w:pPr>
              <w:ind w:firstLine="560" w:firstLineChars="200"/>
              <w:rPr>
                <w:rFonts w:hint="eastAsia" w:ascii="宋体" w:hAnsi="宋体" w:eastAsia="宋体" w:cs="宋体"/>
                <w:snapToGrid w:val="0"/>
                <w:color w:val="auto"/>
              </w:rPr>
            </w:pPr>
            <w:r>
              <w:rPr>
                <w:rFonts w:hint="eastAsia" w:ascii="宋体" w:hAnsi="宋体" w:eastAsia="宋体" w:cs="宋体"/>
                <w:snapToGrid w:val="0"/>
                <w:color w:val="auto"/>
                <w:sz w:val="28"/>
              </w:rPr>
              <w:t>根据《生产安全事故应急预案管理办法》，现将我单位于    年   月   日签署发布的：</w:t>
            </w: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rPr>
                <w:rFonts w:hint="eastAsia" w:ascii="宋体" w:hAnsi="宋体" w:eastAsia="宋体" w:cs="宋体"/>
                <w:snapToGrid w:val="0"/>
                <w:color w:val="auto"/>
                <w:sz w:val="28"/>
              </w:rPr>
            </w:pPr>
            <w:r>
              <w:rPr>
                <w:rFonts w:hint="eastAsia" w:ascii="宋体" w:hAnsi="宋体" w:eastAsia="宋体" w:cs="宋体"/>
                <w:snapToGrid w:val="0"/>
                <w:color w:val="auto"/>
                <w:sz w:val="28"/>
              </w:rPr>
              <w:t>等预案，以及相关备案材料报上，请予备案。</w:t>
            </w:r>
          </w:p>
          <w:p>
            <w:pPr>
              <w:ind w:firstLine="560" w:firstLineChars="200"/>
              <w:rPr>
                <w:rFonts w:hint="eastAsia" w:ascii="宋体" w:hAnsi="宋体" w:eastAsia="宋体" w:cs="宋体"/>
                <w:snapToGrid w:val="0"/>
                <w:color w:val="auto"/>
                <w:sz w:val="28"/>
              </w:rPr>
            </w:pPr>
            <w:r>
              <w:rPr>
                <w:rFonts w:hint="eastAsia" w:ascii="宋体" w:hAnsi="宋体" w:eastAsia="宋体" w:cs="宋体"/>
                <w:snapToGrid w:val="0"/>
                <w:color w:val="auto"/>
                <w:sz w:val="28"/>
              </w:rPr>
              <w:t>本单位承诺，本单位在办理备案中所提供的相关文件及其信息均经本单位确认真实，无虚假，且未隐瞒事实。</w:t>
            </w:r>
          </w:p>
          <w:p>
            <w:pPr>
              <w:rPr>
                <w:rFonts w:hint="eastAsia" w:ascii="宋体" w:hAnsi="宋体" w:eastAsia="宋体" w:cs="宋体"/>
                <w:snapToGrid w:val="0"/>
                <w:color w:val="auto"/>
              </w:rPr>
            </w:pPr>
          </w:p>
          <w:p>
            <w:pPr>
              <w:rPr>
                <w:rFonts w:hint="eastAsia" w:ascii="宋体" w:hAnsi="宋体" w:eastAsia="宋体" w:cs="宋体"/>
                <w:snapToGrid w:val="0"/>
                <w:color w:val="auto"/>
              </w:rPr>
            </w:pPr>
          </w:p>
          <w:p>
            <w:pPr>
              <w:jc w:val="center"/>
              <w:rPr>
                <w:rFonts w:hint="eastAsia" w:ascii="宋体" w:hAnsi="宋体" w:eastAsia="宋体" w:cs="宋体"/>
                <w:b/>
                <w:color w:val="auto"/>
                <w:sz w:val="24"/>
              </w:rPr>
            </w:pPr>
            <w:r>
              <w:rPr>
                <w:rFonts w:hint="eastAsia" w:ascii="宋体" w:hAnsi="宋体" w:eastAsia="宋体" w:cs="宋体"/>
                <w:snapToGrid w:val="0"/>
                <w:color w:val="auto"/>
              </w:rPr>
              <w:t xml:space="preserve">                             （</w:t>
            </w:r>
            <w:r>
              <w:rPr>
                <w:rFonts w:hint="eastAsia" w:ascii="宋体" w:hAnsi="宋体" w:eastAsia="宋体" w:cs="宋体"/>
                <w:b/>
                <w:color w:val="auto"/>
                <w:sz w:val="24"/>
              </w:rPr>
              <w:t>单位公章）</w:t>
            </w:r>
          </w:p>
          <w:p>
            <w:pPr>
              <w:jc w:val="center"/>
              <w:rPr>
                <w:rFonts w:hint="eastAsia" w:ascii="宋体" w:hAnsi="宋体" w:eastAsia="宋体" w:cs="宋体"/>
                <w:b/>
                <w:color w:val="auto"/>
                <w:sz w:val="24"/>
              </w:rPr>
            </w:pPr>
          </w:p>
          <w:p>
            <w:pPr>
              <w:wordWrap w:val="0"/>
              <w:jc w:val="right"/>
              <w:rPr>
                <w:rFonts w:hint="eastAsia" w:ascii="宋体" w:hAnsi="宋体" w:eastAsia="宋体" w:cs="宋体"/>
                <w:b/>
                <w:color w:val="auto"/>
                <w:sz w:val="24"/>
              </w:rPr>
            </w:pPr>
            <w:r>
              <w:rPr>
                <w:rFonts w:hint="eastAsia" w:ascii="宋体" w:hAnsi="宋体" w:eastAsia="宋体" w:cs="宋体"/>
                <w:snapToGrid w:val="0"/>
                <w:color w:val="auto"/>
                <w:sz w:val="24"/>
              </w:rPr>
              <w:t xml:space="preserve">                          </w:t>
            </w:r>
            <w:r>
              <w:rPr>
                <w:rFonts w:hint="eastAsia" w:ascii="宋体" w:hAnsi="宋体" w:eastAsia="宋体" w:cs="宋体"/>
                <w:snapToGrid w:val="0"/>
                <w:color w:val="auto"/>
                <w:sz w:val="24"/>
                <w:u w:val="single"/>
              </w:rPr>
              <w:t xml:space="preserve">       </w:t>
            </w:r>
            <w:r>
              <w:rPr>
                <w:rFonts w:hint="eastAsia" w:ascii="宋体" w:hAnsi="宋体" w:eastAsia="宋体" w:cs="宋体"/>
                <w:b/>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b/>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b/>
                <w:color w:val="auto"/>
                <w:sz w:val="24"/>
              </w:rPr>
              <w:t>日</w:t>
            </w:r>
          </w:p>
          <w:p>
            <w:pPr>
              <w:pStyle w:val="2"/>
              <w:wordWrap/>
              <w:rPr>
                <w:rFonts w:hint="eastAsia" w:ascii="宋体" w:hAnsi="宋体" w:eastAsia="宋体" w:cs="宋体"/>
                <w:b/>
                <w:color w:val="auto"/>
                <w:sz w:val="24"/>
              </w:rPr>
            </w:pPr>
          </w:p>
          <w:p>
            <w:pPr>
              <w:jc w:val="center"/>
              <w:outlineLvl w:val="9"/>
              <w:rPr>
                <w:rFonts w:hint="eastAsia" w:ascii="宋体" w:hAnsi="宋体" w:eastAsia="宋体" w:cs="宋体"/>
                <w:b/>
                <w:color w:val="auto"/>
              </w:rPr>
            </w:pPr>
          </w:p>
        </w:tc>
      </w:tr>
    </w:tbl>
    <w:p>
      <w:pPr>
        <w:rPr>
          <w:rFonts w:hint="eastAsia" w:ascii="宋体" w:hAnsi="宋体" w:eastAsia="宋体" w:cs="宋体"/>
          <w:color w:val="auto"/>
        </w:rPr>
      </w:pPr>
    </w:p>
    <w:p>
      <w:pPr>
        <w:pStyle w:val="5"/>
        <w:spacing w:before="0" w:after="0" w:line="360" w:lineRule="auto"/>
        <w:outlineLvl w:val="9"/>
        <w:rPr>
          <w:rFonts w:hint="eastAsia" w:ascii="宋体" w:hAnsi="宋体" w:eastAsia="宋体" w:cs="宋体"/>
          <w:color w:val="auto"/>
          <w:sz w:val="28"/>
          <w:szCs w:val="28"/>
        </w:rPr>
        <w:sectPr>
          <w:pgSz w:w="11907" w:h="16840"/>
          <w:pgMar w:top="1418" w:right="1417" w:bottom="1418" w:left="1417" w:header="1077" w:footer="1134" w:gutter="0"/>
          <w:pgNumType w:fmt="decimal"/>
          <w:cols w:space="425" w:num="1"/>
          <w:titlePg/>
          <w:docGrid w:type="lines"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866" w:name="_Toc14765"/>
      <w:bookmarkStart w:id="867" w:name="_Toc32691"/>
      <w:bookmarkStart w:id="868" w:name="_Toc17270"/>
      <w:bookmarkStart w:id="869" w:name="_Toc24213"/>
      <w:bookmarkStart w:id="870" w:name="_Toc8817"/>
      <w:bookmarkStart w:id="871" w:name="_Toc21464"/>
      <w:r>
        <w:rPr>
          <w:rFonts w:hint="eastAsia" w:ascii="宋体" w:hAnsi="宋体" w:eastAsia="宋体" w:cs="宋体"/>
          <w:color w:val="auto"/>
          <w:sz w:val="32"/>
          <w:lang w:eastAsia="zh-CN"/>
        </w:rPr>
        <w:t>附件</w:t>
      </w:r>
      <w:r>
        <w:rPr>
          <w:rFonts w:hint="eastAsia" w:ascii="宋体" w:hAnsi="宋体" w:eastAsia="宋体" w:cs="宋体"/>
          <w:color w:val="auto"/>
          <w:sz w:val="32"/>
          <w:lang w:val="en-US" w:eastAsia="zh-CN"/>
        </w:rPr>
        <w:t>7</w:t>
      </w:r>
      <w:r>
        <w:rPr>
          <w:rFonts w:hint="eastAsia" w:ascii="宋体" w:hAnsi="宋体" w:eastAsia="宋体" w:cs="宋体"/>
          <w:color w:val="auto"/>
          <w:sz w:val="32"/>
          <w:lang w:eastAsia="zh-CN"/>
        </w:rPr>
        <w:t>：关键的路线、标识和图纸</w:t>
      </w:r>
      <w:bookmarkEnd w:id="866"/>
      <w:bookmarkEnd w:id="867"/>
      <w:bookmarkEnd w:id="868"/>
      <w:bookmarkEnd w:id="869"/>
      <w:bookmarkEnd w:id="870"/>
      <w:bookmarkEnd w:id="871"/>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lang w:val="en-US" w:eastAsia="zh-CN"/>
        </w:rPr>
      </w:pPr>
      <w:bookmarkStart w:id="872" w:name="_Toc29501"/>
      <w:bookmarkStart w:id="873" w:name="_Toc5452"/>
      <w:bookmarkStart w:id="874" w:name="_Toc15728"/>
      <w:bookmarkStart w:id="875" w:name="_Toc14997"/>
      <w:r>
        <w:rPr>
          <w:rFonts w:hint="eastAsia" w:ascii="宋体" w:hAnsi="宋体" w:eastAsia="宋体" w:cs="宋体"/>
          <w:color w:val="auto"/>
          <w:sz w:val="28"/>
          <w:szCs w:val="28"/>
          <w:lang w:val="en-US" w:eastAsia="zh-CN"/>
        </w:rPr>
        <w:t>F7.1 公司地理位置图</w:t>
      </w:r>
      <w:bookmarkEnd w:id="872"/>
      <w:bookmarkEnd w:id="873"/>
      <w:bookmarkEnd w:id="874"/>
      <w:bookmarkEnd w:id="875"/>
      <w:bookmarkStart w:id="876" w:name="_Toc19232"/>
    </w:p>
    <w:p>
      <w:pPr>
        <w:pStyle w:val="2"/>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color w:val="auto"/>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color w:val="auto"/>
        </w:rPr>
        <w:drawing>
          <wp:inline distT="0" distB="0" distL="114300" distR="114300">
            <wp:extent cx="5205730" cy="6569075"/>
            <wp:effectExtent l="0" t="0" r="13970" b="3175"/>
            <wp:docPr id="62" name="图片 62" descr="C:/Users/Administrator/AppData/Local/Temp/picturecompress_2021052917483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AppData/Local/Temp/picturecompress_20210529174836/output_1.pngoutput_1"/>
                    <pic:cNvPicPr>
                      <a:picLocks noChangeAspect="1"/>
                    </pic:cNvPicPr>
                  </pic:nvPicPr>
                  <pic:blipFill>
                    <a:blip r:embed="rId35"/>
                    <a:srcRect l="8250" t="7164" r="6128" b="9101"/>
                    <a:stretch>
                      <a:fillRect/>
                    </a:stretch>
                  </pic:blipFill>
                  <pic:spPr>
                    <a:xfrm>
                      <a:off x="0" y="0"/>
                      <a:ext cx="5205730" cy="6569075"/>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877" w:name="_Toc16040"/>
      <w:bookmarkStart w:id="878" w:name="_Toc25226"/>
      <w:bookmarkStart w:id="879" w:name="_Toc10203"/>
      <w:r>
        <w:rPr>
          <w:rFonts w:hint="eastAsia" w:ascii="宋体" w:hAnsi="宋体" w:eastAsia="宋体" w:cs="宋体"/>
          <w:color w:val="auto"/>
          <w:sz w:val="28"/>
          <w:szCs w:val="28"/>
          <w:lang w:val="en-US" w:eastAsia="zh-CN"/>
        </w:rPr>
        <w:t>F7.2 周边关系图</w:t>
      </w:r>
      <w:bookmarkEnd w:id="876"/>
      <w:bookmarkEnd w:id="877"/>
      <w:bookmarkEnd w:id="878"/>
      <w:bookmarkEnd w:id="879"/>
    </w:p>
    <w:p>
      <w:pPr>
        <w:pStyle w:val="2"/>
        <w:ind w:left="0" w:leftChars="0" w:firstLine="0" w:firstLineChars="0"/>
        <w:jc w:val="center"/>
        <w:rPr>
          <w:rFonts w:hint="eastAsia" w:ascii="宋体" w:hAnsi="宋体" w:eastAsia="宋体" w:cs="宋体"/>
          <w:color w:val="auto"/>
          <w:lang w:val="en-US" w:eastAsia="zh-CN"/>
        </w:rPr>
        <w:sectPr>
          <w:pgSz w:w="11906" w:h="16838"/>
          <w:pgMar w:top="1417" w:right="1417" w:bottom="1417" w:left="1417" w:header="851" w:footer="992" w:gutter="0"/>
          <w:pgNumType w:fmt="decimal"/>
          <w:cols w:space="425" w:num="1"/>
          <w:docGrid w:type="lines" w:linePitch="312" w:charSpace="0"/>
        </w:sectPr>
      </w:pPr>
      <w:bookmarkStart w:id="880" w:name="_Toc17929"/>
      <w:r>
        <w:rPr>
          <w:color w:val="auto"/>
        </w:rPr>
        <w:drawing>
          <wp:inline distT="0" distB="0" distL="114300" distR="114300">
            <wp:extent cx="5223510" cy="7338060"/>
            <wp:effectExtent l="0" t="0" r="15240" b="15240"/>
            <wp:docPr id="100" name="图片 100" descr="C:/Users/Administrator/AppData/Local/Temp/picturecompress_2021052918283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AppData/Local/Temp/picturecompress_20210529182839/output_1.pngoutput_1"/>
                    <pic:cNvPicPr>
                      <a:picLocks noChangeAspect="1"/>
                    </pic:cNvPicPr>
                  </pic:nvPicPr>
                  <pic:blipFill>
                    <a:blip r:embed="rId36"/>
                    <a:srcRect l="7612" t="13623" r="5992" b="14424"/>
                    <a:stretch>
                      <a:fillRect/>
                    </a:stretch>
                  </pic:blipFill>
                  <pic:spPr>
                    <a:xfrm>
                      <a:off x="0" y="0"/>
                      <a:ext cx="5223510" cy="7338060"/>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881" w:name="_Toc4266"/>
      <w:bookmarkStart w:id="882" w:name="_Toc15245"/>
      <w:bookmarkStart w:id="883" w:name="_Toc14852"/>
      <w:r>
        <w:rPr>
          <w:rFonts w:hint="eastAsia" w:ascii="宋体" w:hAnsi="宋体" w:eastAsia="宋体" w:cs="宋体"/>
          <w:color w:val="auto"/>
          <w:sz w:val="28"/>
          <w:szCs w:val="28"/>
          <w:lang w:val="en-US" w:eastAsia="zh-CN"/>
        </w:rPr>
        <w:t>F7.3 总平面布置图</w:t>
      </w:r>
      <w:bookmarkEnd w:id="880"/>
      <w:bookmarkEnd w:id="881"/>
      <w:bookmarkEnd w:id="882"/>
      <w:bookmarkEnd w:id="883"/>
      <w:bookmarkStart w:id="884" w:name="_Toc6251"/>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color w:val="auto"/>
          <w:sz w:val="28"/>
          <w:szCs w:val="28"/>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color w:val="auto"/>
          <w:spacing w:val="-7"/>
        </w:rPr>
        <w:drawing>
          <wp:inline distT="0" distB="0" distL="114300" distR="114300">
            <wp:extent cx="4439920" cy="5720080"/>
            <wp:effectExtent l="0" t="0" r="13970" b="17780"/>
            <wp:docPr id="16" name="图片 16" descr="埃夫科纳（南充）环评报告 报批全本_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埃夫科纳（南充）环评报告 报批全本_654"/>
                    <pic:cNvPicPr>
                      <a:picLocks noChangeAspect="1"/>
                    </pic:cNvPicPr>
                  </pic:nvPicPr>
                  <pic:blipFill>
                    <a:blip r:embed="rId37"/>
                    <a:srcRect l="5828" t="12816" r="10037" b="13044"/>
                    <a:stretch>
                      <a:fillRect/>
                    </a:stretch>
                  </pic:blipFill>
                  <pic:spPr>
                    <a:xfrm rot="5400000">
                      <a:off x="0" y="0"/>
                      <a:ext cx="4439920" cy="5720080"/>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885" w:name="_Toc6225"/>
      <w:bookmarkStart w:id="886" w:name="_Toc29600"/>
      <w:bookmarkStart w:id="887" w:name="_Toc31309"/>
      <w:r>
        <w:rPr>
          <w:rFonts w:hint="eastAsia" w:ascii="宋体" w:hAnsi="宋体" w:eastAsia="宋体" w:cs="宋体"/>
          <w:color w:val="auto"/>
          <w:sz w:val="28"/>
          <w:szCs w:val="28"/>
          <w:lang w:val="en-US" w:eastAsia="zh-CN"/>
        </w:rPr>
        <w:t xml:space="preserve">F7.4 </w:t>
      </w:r>
      <w:bookmarkEnd w:id="884"/>
      <w:bookmarkStart w:id="888" w:name="_Toc31822"/>
      <w:r>
        <w:rPr>
          <w:rFonts w:hint="eastAsia" w:ascii="宋体" w:hAnsi="宋体" w:eastAsia="宋体" w:cs="宋体"/>
          <w:color w:val="auto"/>
          <w:sz w:val="28"/>
          <w:szCs w:val="28"/>
          <w:lang w:val="en-US" w:eastAsia="zh-CN"/>
        </w:rPr>
        <w:t>车间平面布置图</w:t>
      </w:r>
      <w:bookmarkEnd w:id="885"/>
      <w:bookmarkEnd w:id="886"/>
      <w:bookmarkEnd w:id="887"/>
    </w:p>
    <w:p>
      <w:pPr>
        <w:pStyle w:val="15"/>
        <w:jc w:val="center"/>
        <w:rPr>
          <w:rFonts w:hint="eastAsia" w:ascii="宋体" w:hAnsi="宋体" w:eastAsia="宋体" w:cs="宋体"/>
          <w:color w:val="auto"/>
          <w:lang w:val="en-US" w:eastAsia="zh-CN"/>
        </w:rPr>
      </w:pPr>
      <w:r>
        <w:rPr>
          <w:rFonts w:hint="eastAsia"/>
          <w:color w:val="auto"/>
          <w:sz w:val="20"/>
        </w:rPr>
        <w:drawing>
          <wp:inline distT="0" distB="0" distL="114300" distR="114300">
            <wp:extent cx="9029065" cy="4896485"/>
            <wp:effectExtent l="0" t="0" r="635" b="18415"/>
            <wp:docPr id="103" name="图片 103" descr="埃夫科纳（南充）环评报告 报批全本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埃夫科纳（南充）环评报告 报批全本_656"/>
                    <pic:cNvPicPr>
                      <a:picLocks noChangeAspect="1"/>
                    </pic:cNvPicPr>
                  </pic:nvPicPr>
                  <pic:blipFill>
                    <a:blip r:embed="rId38"/>
                    <a:srcRect l="17510" t="5908" r="17834" b="3302"/>
                    <a:stretch>
                      <a:fillRect/>
                    </a:stretch>
                  </pic:blipFill>
                  <pic:spPr>
                    <a:xfrm>
                      <a:off x="0" y="0"/>
                      <a:ext cx="9029065" cy="4896485"/>
                    </a:xfrm>
                    <a:prstGeom prst="rect">
                      <a:avLst/>
                    </a:prstGeom>
                  </pic:spPr>
                </pic:pic>
              </a:graphicData>
            </a:graphic>
          </wp:inline>
        </w:drawing>
      </w:r>
    </w:p>
    <w:p>
      <w:pPr>
        <w:pStyle w:val="15"/>
        <w:jc w:val="center"/>
        <w:rPr>
          <w:rFonts w:hint="eastAsia" w:ascii="宋体" w:hAnsi="宋体" w:eastAsia="宋体" w:cs="宋体"/>
          <w:color w:val="auto"/>
          <w:lang w:val="en-US" w:eastAsia="zh-CN"/>
        </w:rPr>
        <w:sectPr>
          <w:pgSz w:w="16838" w:h="11906" w:orient="landscape"/>
          <w:pgMar w:top="1417" w:right="1417" w:bottom="1417" w:left="1417" w:header="851" w:footer="992" w:gutter="0"/>
          <w:pgNumType w:fmt="decimal"/>
          <w:cols w:space="425" w:num="1"/>
          <w:docGrid w:type="lines" w:linePitch="312" w:charSpace="0"/>
        </w:sectPr>
      </w:pPr>
    </w:p>
    <w:p>
      <w:pPr>
        <w:pStyle w:val="15"/>
        <w:jc w:val="center"/>
        <w:rPr>
          <w:rFonts w:hint="eastAsia"/>
          <w:color w:val="auto"/>
          <w:sz w:val="20"/>
        </w:rPr>
        <w:sectPr>
          <w:pgSz w:w="16838" w:h="11906" w:orient="landscape"/>
          <w:pgMar w:top="1417" w:right="1417" w:bottom="1417" w:left="1417" w:header="851" w:footer="992" w:gutter="0"/>
          <w:pgNumType w:fmt="decimal"/>
          <w:cols w:space="425" w:num="1"/>
          <w:docGrid w:type="lines" w:linePitch="312" w:charSpace="0"/>
        </w:sectPr>
      </w:pPr>
      <w:r>
        <w:rPr>
          <w:rFonts w:hint="eastAsia"/>
          <w:color w:val="auto"/>
          <w:sz w:val="20"/>
        </w:rPr>
        <w:drawing>
          <wp:inline distT="0" distB="0" distL="114300" distR="114300">
            <wp:extent cx="8613140" cy="5318760"/>
            <wp:effectExtent l="0" t="0" r="16510" b="15240"/>
            <wp:docPr id="104" name="图片 104" descr="埃夫科纳（南充）环评报告 报批全本_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埃夫科纳（南充）环评报告 报批全本_657"/>
                    <pic:cNvPicPr>
                      <a:picLocks noChangeAspect="1"/>
                    </pic:cNvPicPr>
                  </pic:nvPicPr>
                  <pic:blipFill>
                    <a:blip r:embed="rId39"/>
                    <a:srcRect l="20941" t="2082" r="20445" b="2677"/>
                    <a:stretch>
                      <a:fillRect/>
                    </a:stretch>
                  </pic:blipFill>
                  <pic:spPr>
                    <a:xfrm>
                      <a:off x="0" y="0"/>
                      <a:ext cx="8613140" cy="5318760"/>
                    </a:xfrm>
                    <a:prstGeom prst="rect">
                      <a:avLst/>
                    </a:prstGeom>
                  </pic:spPr>
                </pic:pic>
              </a:graphicData>
            </a:graphic>
          </wp:inline>
        </w:drawing>
      </w:r>
    </w:p>
    <w:p>
      <w:pPr>
        <w:pStyle w:val="15"/>
        <w:jc w:val="center"/>
        <w:rPr>
          <w:rFonts w:hint="eastAsia"/>
          <w:color w:val="auto"/>
          <w:sz w:val="20"/>
        </w:rPr>
        <w:sectPr>
          <w:pgSz w:w="16838" w:h="11906" w:orient="landscape"/>
          <w:pgMar w:top="1417" w:right="1417" w:bottom="1417" w:left="1417" w:header="851" w:footer="992" w:gutter="0"/>
          <w:pgNumType w:fmt="decimal"/>
          <w:cols w:space="425" w:num="1"/>
          <w:docGrid w:type="lines" w:linePitch="312" w:charSpace="0"/>
        </w:sectPr>
      </w:pPr>
      <w:r>
        <w:rPr>
          <w:rFonts w:hint="eastAsia"/>
          <w:color w:val="auto"/>
          <w:sz w:val="20"/>
        </w:rPr>
        <w:drawing>
          <wp:inline distT="0" distB="0" distL="114300" distR="114300">
            <wp:extent cx="8533130" cy="4897120"/>
            <wp:effectExtent l="0" t="0" r="1270" b="17780"/>
            <wp:docPr id="105" name="图片 105" descr="埃夫科纳（南充）环评报告 报批全本_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埃夫科纳（南充）环评报告 报批全本_658"/>
                    <pic:cNvPicPr>
                      <a:picLocks noChangeAspect="1"/>
                    </pic:cNvPicPr>
                  </pic:nvPicPr>
                  <pic:blipFill>
                    <a:blip r:embed="rId40"/>
                    <a:srcRect l="20246" t="3867" r="19849" b="3867"/>
                    <a:stretch>
                      <a:fillRect/>
                    </a:stretch>
                  </pic:blipFill>
                  <pic:spPr>
                    <a:xfrm>
                      <a:off x="0" y="0"/>
                      <a:ext cx="8533130" cy="4897120"/>
                    </a:xfrm>
                    <a:prstGeom prst="rect">
                      <a:avLst/>
                    </a:prstGeom>
                  </pic:spPr>
                </pic:pic>
              </a:graphicData>
            </a:graphic>
          </wp:inline>
        </w:drawing>
      </w:r>
    </w:p>
    <w:p>
      <w:pPr>
        <w:pStyle w:val="15"/>
        <w:jc w:val="center"/>
        <w:rPr>
          <w:rFonts w:hint="eastAsia"/>
          <w:color w:val="auto"/>
          <w:sz w:val="20"/>
          <w:lang w:val="en-US" w:eastAsia="zh-CN"/>
        </w:rPr>
        <w:sectPr>
          <w:pgSz w:w="16838" w:h="11906" w:orient="landscape"/>
          <w:pgMar w:top="1417" w:right="1417" w:bottom="1417" w:left="1417" w:header="851" w:footer="992" w:gutter="0"/>
          <w:pgNumType w:fmt="decimal"/>
          <w:cols w:space="425" w:num="1"/>
          <w:docGrid w:type="lines" w:linePitch="312" w:charSpace="0"/>
        </w:sectPr>
      </w:pPr>
      <w:r>
        <w:rPr>
          <w:rFonts w:hint="eastAsia"/>
          <w:color w:val="auto"/>
          <w:sz w:val="20"/>
        </w:rPr>
        <w:drawing>
          <wp:inline distT="0" distB="0" distL="114300" distR="114300">
            <wp:extent cx="8715375" cy="4605020"/>
            <wp:effectExtent l="0" t="0" r="9525" b="5080"/>
            <wp:docPr id="106" name="图片 106" descr="埃夫科纳（南充）环评报告 报批全本_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埃夫科纳（南充）环评报告 报批全本_659"/>
                    <pic:cNvPicPr>
                      <a:picLocks noChangeAspect="1"/>
                    </pic:cNvPicPr>
                  </pic:nvPicPr>
                  <pic:blipFill>
                    <a:blip r:embed="rId41"/>
                    <a:srcRect l="20544" t="5651" r="20544" b="4462"/>
                    <a:stretch>
                      <a:fillRect/>
                    </a:stretch>
                  </pic:blipFill>
                  <pic:spPr>
                    <a:xfrm>
                      <a:off x="0" y="0"/>
                      <a:ext cx="8715375" cy="4605020"/>
                    </a:xfrm>
                    <a:prstGeom prst="rect">
                      <a:avLst/>
                    </a:prstGeom>
                  </pic:spPr>
                </pic:pic>
              </a:graphicData>
            </a:graphic>
          </wp:inline>
        </w:drawing>
      </w:r>
    </w:p>
    <w:bookmarkEnd w:id="888"/>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889" w:name="_Toc12823"/>
      <w:bookmarkStart w:id="890" w:name="_Toc4837"/>
      <w:bookmarkStart w:id="891" w:name="_Toc8697"/>
      <w:bookmarkStart w:id="892" w:name="_Toc23457"/>
      <w:r>
        <w:rPr>
          <w:rFonts w:hint="eastAsia" w:ascii="宋体" w:hAnsi="宋体" w:eastAsia="宋体" w:cs="宋体"/>
          <w:color w:val="auto"/>
          <w:sz w:val="28"/>
          <w:szCs w:val="28"/>
          <w:lang w:val="en-US" w:eastAsia="zh-CN"/>
        </w:rPr>
        <w:t>F7.5 应急疏散及集合点图</w:t>
      </w:r>
      <w:bookmarkEnd w:id="889"/>
      <w:bookmarkEnd w:id="890"/>
      <w:bookmarkEnd w:id="891"/>
    </w:p>
    <w:p>
      <w:pPr>
        <w:jc w:val="both"/>
        <w:rPr>
          <w:rFonts w:hint="eastAsia"/>
          <w:color w:val="auto"/>
          <w:lang w:val="en-US" w:eastAsia="zh-CN"/>
        </w:rPr>
      </w:pPr>
    </w:p>
    <w:p>
      <w:pPr>
        <w:pStyle w:val="2"/>
        <w:rPr>
          <w:rFonts w:hint="eastAsia"/>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lang w:val="en-US" w:eastAsia="zh-CN"/>
        </w:rPr>
        <w:drawing>
          <wp:inline distT="0" distB="0" distL="114300" distR="114300">
            <wp:extent cx="5517515" cy="4376420"/>
            <wp:effectExtent l="0" t="0" r="6985" b="5080"/>
            <wp:docPr id="17" name="图片 17" descr="162607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6078394"/>
                    <pic:cNvPicPr>
                      <a:picLocks noChangeAspect="1"/>
                    </pic:cNvPicPr>
                  </pic:nvPicPr>
                  <pic:blipFill>
                    <a:blip r:embed="rId42"/>
                    <a:stretch>
                      <a:fillRect/>
                    </a:stretch>
                  </pic:blipFill>
                  <pic:spPr>
                    <a:xfrm>
                      <a:off x="0" y="0"/>
                      <a:ext cx="5517515" cy="4376420"/>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893" w:name="_Toc13585"/>
      <w:bookmarkStart w:id="894" w:name="_Toc10705"/>
      <w:bookmarkStart w:id="895" w:name="_Toc20224"/>
      <w:r>
        <w:rPr>
          <w:rFonts w:hint="eastAsia" w:ascii="宋体" w:hAnsi="宋体" w:eastAsia="宋体" w:cs="宋体"/>
          <w:color w:val="auto"/>
          <w:sz w:val="28"/>
          <w:szCs w:val="28"/>
          <w:lang w:val="en-US" w:eastAsia="zh-CN"/>
        </w:rPr>
        <w:t>F7.6 应急物资分布图</w:t>
      </w:r>
      <w:bookmarkEnd w:id="893"/>
      <w:bookmarkEnd w:id="894"/>
      <w:bookmarkEnd w:id="895"/>
    </w:p>
    <w:p>
      <w:pPr>
        <w:jc w:val="center"/>
        <w:rPr>
          <w:rFonts w:hint="eastAsia"/>
          <w:lang w:val="en-US" w:eastAsia="zh-CN"/>
        </w:rPr>
        <w:sectPr>
          <w:pgSz w:w="16838" w:h="11906" w:orient="landscape"/>
          <w:pgMar w:top="1417" w:right="1417" w:bottom="1417" w:left="1417" w:header="851" w:footer="992" w:gutter="0"/>
          <w:pgNumType w:fmt="decimal"/>
          <w:cols w:space="425" w:num="1"/>
          <w:docGrid w:type="lines" w:linePitch="312" w:charSpace="0"/>
        </w:sectPr>
      </w:pPr>
      <w:r>
        <w:rPr>
          <w:rFonts w:hint="eastAsia"/>
          <w:lang w:val="en-US" w:eastAsia="zh-CN"/>
        </w:rPr>
        <w:drawing>
          <wp:inline distT="0" distB="0" distL="114300" distR="114300">
            <wp:extent cx="6852285" cy="5276215"/>
            <wp:effectExtent l="0" t="0" r="5715" b="635"/>
            <wp:docPr id="22" name="图片 22" descr="1626081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26081314(1)"/>
                    <pic:cNvPicPr>
                      <a:picLocks noChangeAspect="1"/>
                    </pic:cNvPicPr>
                  </pic:nvPicPr>
                  <pic:blipFill>
                    <a:blip r:embed="rId43"/>
                    <a:stretch>
                      <a:fillRect/>
                    </a:stretch>
                  </pic:blipFill>
                  <pic:spPr>
                    <a:xfrm>
                      <a:off x="0" y="0"/>
                      <a:ext cx="6852285" cy="5276215"/>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896" w:name="_Toc13235"/>
      <w:bookmarkStart w:id="897" w:name="_Toc31240"/>
      <w:bookmarkStart w:id="898" w:name="_Toc19096"/>
      <w:r>
        <w:rPr>
          <w:rFonts w:hint="eastAsia" w:ascii="宋体" w:hAnsi="宋体" w:eastAsia="宋体" w:cs="宋体"/>
          <w:color w:val="auto"/>
          <w:sz w:val="28"/>
          <w:szCs w:val="28"/>
          <w:lang w:val="en-US" w:eastAsia="zh-CN"/>
        </w:rPr>
        <w:t>F7.7 危险及重要目标分布图</w:t>
      </w:r>
      <w:bookmarkEnd w:id="896"/>
      <w:bookmarkEnd w:id="897"/>
      <w:bookmarkEnd w:id="898"/>
    </w:p>
    <w:p>
      <w:pPr>
        <w:jc w:val="center"/>
        <w:rPr>
          <w:rFonts w:hint="eastAsia"/>
          <w:lang w:val="en-US" w:eastAsia="zh-CN"/>
        </w:rPr>
        <w:sectPr>
          <w:pgSz w:w="11906" w:h="16838"/>
          <w:pgMar w:top="1417" w:right="1417" w:bottom="1417" w:left="1417" w:header="851" w:footer="992" w:gutter="0"/>
          <w:pgNumType w:fmt="decimal"/>
          <w:cols w:space="425" w:num="1"/>
          <w:docGrid w:type="lines" w:linePitch="312" w:charSpace="0"/>
        </w:sectPr>
      </w:pPr>
      <w:r>
        <w:rPr>
          <w:rFonts w:hint="eastAsia"/>
          <w:lang w:val="en-US" w:eastAsia="zh-CN"/>
        </w:rPr>
        <w:drawing>
          <wp:inline distT="0" distB="0" distL="114300" distR="114300">
            <wp:extent cx="5467350" cy="5629275"/>
            <wp:effectExtent l="0" t="0" r="0" b="9525"/>
            <wp:docPr id="21" name="图片 21" descr="1626079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6079583(1)"/>
                    <pic:cNvPicPr>
                      <a:picLocks noChangeAspect="1"/>
                    </pic:cNvPicPr>
                  </pic:nvPicPr>
                  <pic:blipFill>
                    <a:blip r:embed="rId44"/>
                    <a:stretch>
                      <a:fillRect/>
                    </a:stretch>
                  </pic:blipFill>
                  <pic:spPr>
                    <a:xfrm>
                      <a:off x="0" y="0"/>
                      <a:ext cx="5467350" cy="5629275"/>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jc w:val="left"/>
        <w:textAlignment w:val="auto"/>
        <w:outlineLvl w:val="1"/>
        <w:rPr>
          <w:rFonts w:hint="eastAsia" w:ascii="宋体" w:hAnsi="宋体" w:eastAsia="宋体" w:cs="宋体"/>
          <w:color w:val="auto"/>
          <w:sz w:val="28"/>
          <w:szCs w:val="28"/>
          <w:lang w:val="en-US" w:eastAsia="zh-CN"/>
        </w:rPr>
      </w:pPr>
      <w:bookmarkStart w:id="899" w:name="_Toc25485"/>
      <w:bookmarkStart w:id="900" w:name="_Toc17695"/>
      <w:bookmarkStart w:id="901" w:name="_Toc7349"/>
      <w:r>
        <w:rPr>
          <w:rFonts w:hint="eastAsia" w:ascii="宋体" w:hAnsi="宋体" w:eastAsia="宋体" w:cs="宋体"/>
          <w:color w:val="auto"/>
          <w:sz w:val="28"/>
          <w:szCs w:val="28"/>
          <w:lang w:val="en-US" w:eastAsia="zh-CN"/>
        </w:rPr>
        <w:t>F7.8 附近医院地理位置图及路线图</w:t>
      </w:r>
      <w:bookmarkEnd w:id="892"/>
      <w:bookmarkEnd w:id="899"/>
      <w:bookmarkEnd w:id="900"/>
      <w:bookmarkEnd w:id="901"/>
    </w:p>
    <w:p>
      <w:pPr>
        <w:rPr>
          <w:rFonts w:hint="eastAsia" w:ascii="宋体" w:hAnsi="宋体" w:eastAsia="宋体" w:cs="宋体"/>
          <w:color w:val="auto"/>
          <w:sz w:val="28"/>
          <w:szCs w:val="28"/>
          <w:lang w:val="en-US" w:eastAsia="zh-CN"/>
        </w:rPr>
      </w:pPr>
    </w:p>
    <w:p>
      <w:pPr>
        <w:pStyle w:val="32"/>
        <w:rPr>
          <w:rFonts w:hint="eastAsia"/>
          <w:color w:val="auto"/>
          <w:lang w:val="en-US" w:eastAsia="zh-CN"/>
        </w:rPr>
      </w:pPr>
    </w:p>
    <w:p>
      <w:pPr>
        <w:jc w:val="center"/>
        <w:rPr>
          <w:rFonts w:hint="eastAsia" w:ascii="宋体" w:hAnsi="宋体" w:eastAsia="宋体" w:cs="宋体"/>
          <w:color w:val="auto"/>
          <w:lang w:eastAsia="zh-CN"/>
        </w:rPr>
      </w:pPr>
      <w:bookmarkStart w:id="902" w:name="_Toc16406"/>
      <w:r>
        <w:rPr>
          <w:rFonts w:hint="eastAsia" w:ascii="宋体" w:hAnsi="宋体" w:eastAsia="宋体" w:cs="宋体"/>
          <w:color w:val="auto"/>
          <w:lang w:eastAsia="zh-CN"/>
        </w:rPr>
        <w:drawing>
          <wp:inline distT="0" distB="0" distL="114300" distR="114300">
            <wp:extent cx="5635625" cy="4893310"/>
            <wp:effectExtent l="0" t="0" r="3175" b="2540"/>
            <wp:docPr id="2" name="图片 2" descr="162495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4953182(1)"/>
                    <pic:cNvPicPr>
                      <a:picLocks noChangeAspect="1"/>
                    </pic:cNvPicPr>
                  </pic:nvPicPr>
                  <pic:blipFill>
                    <a:blip r:embed="rId45"/>
                    <a:stretch>
                      <a:fillRect/>
                    </a:stretch>
                  </pic:blipFill>
                  <pic:spPr>
                    <a:xfrm>
                      <a:off x="0" y="0"/>
                      <a:ext cx="5635625" cy="4893310"/>
                    </a:xfrm>
                    <a:prstGeom prst="rect">
                      <a:avLst/>
                    </a:prstGeom>
                  </pic:spPr>
                </pic:pic>
              </a:graphicData>
            </a:graphic>
          </wp:inline>
        </w:drawing>
      </w:r>
    </w:p>
    <w:p>
      <w:pPr>
        <w:pStyle w:val="24"/>
        <w:jc w:val="center"/>
        <w:rPr>
          <w:rFonts w:hint="eastAsia" w:ascii="宋体" w:hAnsi="宋体" w:eastAsia="宋体" w:cs="宋体"/>
          <w:color w:val="auto"/>
          <w:lang w:eastAsia="zh-CN"/>
        </w:rPr>
        <w:sectPr>
          <w:pgSz w:w="11906" w:h="16838"/>
          <w:pgMar w:top="1417" w:right="1417" w:bottom="1417" w:left="1417" w:header="851" w:footer="992" w:gutter="0"/>
          <w:pgNumType w:fmt="decimal"/>
          <w:cols w:space="425" w:num="1"/>
          <w:docGrid w:type="lines" w:linePitch="312" w:charSpace="0"/>
        </w:sectPr>
      </w:pPr>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903" w:name="_Toc18802"/>
      <w:bookmarkStart w:id="904" w:name="_Toc12513"/>
      <w:r>
        <w:rPr>
          <w:rFonts w:hint="eastAsia" w:ascii="宋体" w:hAnsi="宋体" w:eastAsia="宋体" w:cs="宋体"/>
          <w:color w:val="auto"/>
          <w:sz w:val="32"/>
          <w:lang w:eastAsia="zh-CN"/>
        </w:rPr>
        <w:t>附件</w:t>
      </w:r>
      <w:r>
        <w:rPr>
          <w:rFonts w:hint="eastAsia" w:ascii="宋体" w:hAnsi="宋体" w:eastAsia="宋体" w:cs="宋体"/>
          <w:color w:val="auto"/>
          <w:sz w:val="32"/>
          <w:lang w:val="en-US" w:eastAsia="zh-CN"/>
        </w:rPr>
        <w:t>8</w:t>
      </w:r>
      <w:r>
        <w:rPr>
          <w:rFonts w:hint="eastAsia" w:ascii="宋体" w:hAnsi="宋体" w:eastAsia="宋体" w:cs="宋体"/>
          <w:color w:val="auto"/>
          <w:sz w:val="32"/>
          <w:lang w:eastAsia="zh-CN"/>
        </w:rPr>
        <w:t>：医疗应急救援协议</w:t>
      </w:r>
      <w:bookmarkEnd w:id="902"/>
      <w:bookmarkEnd w:id="903"/>
      <w:bookmarkEnd w:id="904"/>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color w:val="auto"/>
          <w:sz w:val="30"/>
          <w:szCs w:val="30"/>
        </w:rPr>
      </w:pPr>
      <w:bookmarkStart w:id="905" w:name="_Toc29884"/>
      <w:bookmarkStart w:id="906" w:name="_Toc27190"/>
      <w:r>
        <w:rPr>
          <w:rFonts w:hint="eastAsia" w:ascii="宋体" w:hAnsi="宋体" w:eastAsia="宋体" w:cs="宋体"/>
          <w:b/>
          <w:color w:val="auto"/>
          <w:sz w:val="30"/>
          <w:szCs w:val="30"/>
        </w:rPr>
        <w:t>医疗救护协议</w:t>
      </w:r>
      <w:bookmarkEnd w:id="905"/>
    </w:p>
    <w:p>
      <w:pPr>
        <w:rPr>
          <w:rFonts w:hint="eastAsia" w:ascii="宋体" w:hAnsi="宋体" w:eastAsia="宋体" w:cs="宋体"/>
          <w:color w:val="auto"/>
          <w:sz w:val="24"/>
        </w:rPr>
      </w:pPr>
      <w:r>
        <w:rPr>
          <w:rFonts w:hint="eastAsia" w:ascii="宋体" w:hAnsi="宋体" w:eastAsia="宋体" w:cs="宋体"/>
          <w:color w:val="auto"/>
          <w:sz w:val="24"/>
        </w:rPr>
        <w:t>甲方：</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（以下简称甲方）</w:t>
      </w:r>
    </w:p>
    <w:p>
      <w:pPr>
        <w:rPr>
          <w:rFonts w:hint="eastAsia" w:ascii="宋体" w:hAnsi="宋体" w:eastAsia="宋体" w:cs="宋体"/>
          <w:color w:val="auto"/>
          <w:sz w:val="24"/>
        </w:rPr>
      </w:pPr>
    </w:p>
    <w:p>
      <w:pPr>
        <w:rPr>
          <w:rFonts w:hint="eastAsia" w:ascii="宋体" w:hAnsi="宋体" w:eastAsia="宋体" w:cs="宋体"/>
          <w:color w:val="auto"/>
          <w:sz w:val="24"/>
        </w:rPr>
      </w:pPr>
      <w:r>
        <w:rPr>
          <w:rFonts w:hint="eastAsia" w:ascii="宋体" w:hAnsi="宋体" w:eastAsia="宋体" w:cs="宋体"/>
          <w:color w:val="auto"/>
          <w:sz w:val="24"/>
        </w:rPr>
        <w:t>乙方：</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lang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（以下简称乙方）</w:t>
      </w:r>
    </w:p>
    <w:p>
      <w:pPr>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根据《安全生产法》之有关规定，生产经营单位在发生伤亡事故时，有关单位必须实施抢险救援。为确保</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lang w:val="en-US" w:eastAsia="zh-CN"/>
        </w:rPr>
        <w:t>的</w:t>
      </w:r>
      <w:r>
        <w:rPr>
          <w:rFonts w:hint="eastAsia" w:ascii="宋体" w:hAnsi="宋体" w:eastAsia="宋体" w:cs="宋体"/>
          <w:color w:val="auto"/>
          <w:sz w:val="24"/>
        </w:rPr>
        <w:t>员工在事故后能及时得到救治，保障员工生命安全，减少人员伤亡及损失，经甲乙双方协商，特达成以下协议。</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1、甲方在生产期间要加强对员工的安全教育，在发生伤亡事故时，必须立即送往乙方及时治疗。</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2、乙方负责甲方的一切工伤事故的抢救、治疗。</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3、甲方如发生工伤事故，必须立即告知乙方，以便作好医疗准备，确保不延误受伤工人的有效抢救和治疗时间。</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4、乙方在接到甲方的伤员时，必须发扬“人道主义”精神，无条件地尽心、尽责进行救护，以确保受伤人员的身体健康和生命安全。</w:t>
      </w:r>
    </w:p>
    <w:p>
      <w:pPr>
        <w:spacing w:line="360" w:lineRule="auto"/>
        <w:ind w:firstLine="420"/>
        <w:rPr>
          <w:rFonts w:hint="eastAsia" w:ascii="宋体" w:hAnsi="宋体" w:eastAsia="宋体" w:cs="宋体"/>
          <w:color w:val="auto"/>
          <w:sz w:val="24"/>
        </w:rPr>
      </w:pPr>
      <w:r>
        <w:rPr>
          <w:rFonts w:hint="eastAsia" w:ascii="宋体" w:hAnsi="宋体" w:eastAsia="宋体" w:cs="宋体"/>
          <w:color w:val="auto"/>
          <w:sz w:val="24"/>
        </w:rPr>
        <w:t>5、甲方伤员在乙方的救治期间，不得以任何理由拖欠医院的医药费、护理费等一切费用。</w:t>
      </w:r>
    </w:p>
    <w:p>
      <w:pPr>
        <w:spacing w:line="360" w:lineRule="auto"/>
        <w:ind w:firstLine="420"/>
        <w:rPr>
          <w:rFonts w:hint="eastAsia" w:ascii="宋体" w:hAnsi="宋体" w:eastAsia="宋体" w:cs="宋体"/>
          <w:color w:val="auto"/>
          <w:sz w:val="24"/>
        </w:rPr>
      </w:pPr>
      <w:r>
        <w:rPr>
          <w:rFonts w:hint="eastAsia" w:ascii="宋体" w:hAnsi="宋体" w:eastAsia="宋体" w:cs="宋体"/>
          <w:color w:val="auto"/>
          <w:sz w:val="24"/>
        </w:rPr>
        <w:t>6、双方达成上述协议，如有违反协议者，造成后果，将依法承担赔偿责任。</w:t>
      </w:r>
    </w:p>
    <w:p>
      <w:pPr>
        <w:spacing w:line="360" w:lineRule="auto"/>
        <w:ind w:firstLine="420"/>
        <w:rPr>
          <w:rFonts w:hint="eastAsia" w:ascii="宋体" w:hAnsi="宋体" w:eastAsia="宋体" w:cs="宋体"/>
          <w:color w:val="auto"/>
          <w:sz w:val="24"/>
        </w:rPr>
      </w:pPr>
      <w:r>
        <w:rPr>
          <w:rFonts w:hint="eastAsia" w:ascii="宋体" w:hAnsi="宋体" w:eastAsia="宋体" w:cs="宋体"/>
          <w:color w:val="auto"/>
          <w:sz w:val="24"/>
        </w:rPr>
        <w:t>7、此协议一式两份，双方签字之日起生效。</w:t>
      </w:r>
    </w:p>
    <w:p>
      <w:pPr>
        <w:rPr>
          <w:rFonts w:hint="eastAsia" w:ascii="宋体" w:hAnsi="宋体" w:eastAsia="宋体" w:cs="宋体"/>
          <w:color w:val="auto"/>
          <w:sz w:val="24"/>
        </w:rPr>
      </w:pPr>
    </w:p>
    <w:p>
      <w:pPr>
        <w:rPr>
          <w:rFonts w:hint="eastAsia" w:ascii="宋体" w:hAnsi="宋体" w:eastAsia="宋体" w:cs="宋体"/>
          <w:color w:val="auto"/>
          <w:sz w:val="24"/>
        </w:rPr>
      </w:pPr>
    </w:p>
    <w:p>
      <w:pPr>
        <w:ind w:firstLine="420"/>
        <w:rPr>
          <w:rFonts w:hint="eastAsia" w:ascii="宋体" w:hAnsi="宋体" w:eastAsia="宋体" w:cs="宋体"/>
          <w:color w:val="auto"/>
          <w:sz w:val="24"/>
        </w:rPr>
      </w:pPr>
      <w:r>
        <w:rPr>
          <w:rFonts w:hint="eastAsia" w:ascii="宋体" w:hAnsi="宋体" w:eastAsia="宋体" w:cs="宋体"/>
          <w:color w:val="auto"/>
          <w:sz w:val="24"/>
        </w:rPr>
        <w:t>甲方（单位盖章）                        乙方（单位盖章）</w:t>
      </w: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ind w:firstLine="420"/>
        <w:rPr>
          <w:rFonts w:hint="eastAsia" w:ascii="宋体" w:hAnsi="宋体" w:eastAsia="宋体" w:cs="宋体"/>
          <w:color w:val="auto"/>
          <w:sz w:val="24"/>
        </w:rPr>
      </w:pPr>
      <w:r>
        <w:rPr>
          <w:rFonts w:hint="eastAsia" w:ascii="宋体" w:hAnsi="宋体" w:eastAsia="宋体" w:cs="宋体"/>
          <w:color w:val="auto"/>
          <w:sz w:val="24"/>
        </w:rPr>
        <w:t>负责人（签字）                          负责人（签字）</w:t>
      </w:r>
    </w:p>
    <w:p>
      <w:pPr>
        <w:ind w:firstLine="420"/>
        <w:rPr>
          <w:rFonts w:hint="eastAsia" w:ascii="宋体" w:hAnsi="宋体" w:eastAsia="宋体" w:cs="宋体"/>
          <w:color w:val="auto"/>
          <w:sz w:val="24"/>
        </w:rPr>
      </w:pPr>
    </w:p>
    <w:p>
      <w:pPr>
        <w:ind w:firstLine="5280" w:firstLineChars="2200"/>
        <w:rPr>
          <w:rFonts w:hint="eastAsia" w:ascii="宋体" w:hAnsi="宋体" w:eastAsia="宋体" w:cs="宋体"/>
          <w:color w:val="auto"/>
          <w:sz w:val="24"/>
        </w:rPr>
      </w:pPr>
    </w:p>
    <w:p>
      <w:pPr>
        <w:ind w:firstLine="5280" w:firstLineChars="2200"/>
        <w:rPr>
          <w:rFonts w:hint="eastAsia" w:ascii="宋体" w:hAnsi="宋体" w:eastAsia="宋体" w:cs="宋体"/>
          <w:color w:val="auto"/>
          <w:sz w:val="24"/>
        </w:rPr>
      </w:pPr>
      <w:r>
        <w:rPr>
          <w:rFonts w:hint="eastAsia" w:ascii="宋体" w:hAnsi="宋体" w:eastAsia="宋体" w:cs="宋体"/>
          <w:color w:val="auto"/>
          <w:sz w:val="24"/>
        </w:rPr>
        <w:t>年    月    日</w:t>
      </w:r>
    </w:p>
    <w:p>
      <w:pPr>
        <w:rPr>
          <w:rFonts w:hint="eastAsia" w:ascii="宋体" w:hAnsi="宋体" w:eastAsia="宋体" w:cs="宋体"/>
          <w:color w:val="auto"/>
        </w:rPr>
      </w:pPr>
    </w:p>
    <w:bookmarkEnd w:id="906"/>
    <w:p>
      <w:pPr>
        <w:pStyle w:val="15"/>
        <w:ind w:left="0" w:leftChars="0" w:firstLine="0" w:firstLineChars="0"/>
        <w:rPr>
          <w:rFonts w:hint="eastAsia" w:ascii="宋体" w:hAnsi="宋体" w:eastAsia="宋体" w:cs="宋体"/>
          <w:color w:val="auto"/>
        </w:rPr>
        <w:sectPr>
          <w:pgSz w:w="11906" w:h="16838"/>
          <w:pgMar w:top="1417" w:right="1417" w:bottom="1417" w:left="1417" w:header="851" w:footer="992" w:gutter="0"/>
          <w:pgNumType w:fmt="decimal"/>
          <w:cols w:space="425" w:num="1"/>
          <w:docGrid w:type="lines" w:linePitch="312" w:charSpace="0"/>
        </w:sectPr>
      </w:pPr>
    </w:p>
    <w:p>
      <w:pPr>
        <w:pStyle w:val="4"/>
        <w:pageBreakBefore w:val="0"/>
        <w:kinsoku/>
        <w:wordWrap/>
        <w:overflowPunct/>
        <w:topLinePunct w:val="0"/>
        <w:bidi w:val="0"/>
        <w:spacing w:before="0" w:beforeLines="0" w:after="0" w:afterLines="0" w:line="360" w:lineRule="auto"/>
        <w:rPr>
          <w:rFonts w:hint="eastAsia" w:ascii="宋体" w:hAnsi="宋体" w:eastAsia="宋体" w:cs="宋体"/>
          <w:color w:val="auto"/>
          <w:lang w:eastAsia="zh-CN"/>
        </w:rPr>
      </w:pPr>
      <w:bookmarkStart w:id="907" w:name="_Toc5033"/>
      <w:bookmarkStart w:id="908" w:name="_Toc2373"/>
      <w:bookmarkStart w:id="909" w:name="_Toc23960"/>
      <w:r>
        <w:rPr>
          <w:rFonts w:hint="eastAsia" w:ascii="宋体" w:hAnsi="宋体" w:eastAsia="宋体" w:cs="宋体"/>
          <w:color w:val="auto"/>
          <w:lang w:eastAsia="zh-CN"/>
        </w:rPr>
        <w:t>第</w:t>
      </w:r>
      <w:r>
        <w:rPr>
          <w:rFonts w:hint="eastAsia" w:ascii="宋体" w:hAnsi="宋体" w:eastAsia="宋体" w:cs="宋体"/>
          <w:color w:val="auto"/>
          <w:lang w:val="en-US" w:eastAsia="zh-CN"/>
        </w:rPr>
        <w:t>六</w:t>
      </w:r>
      <w:r>
        <w:rPr>
          <w:rFonts w:hint="eastAsia" w:ascii="宋体" w:hAnsi="宋体" w:eastAsia="宋体" w:cs="宋体"/>
          <w:color w:val="auto"/>
          <w:lang w:eastAsia="zh-CN"/>
        </w:rPr>
        <w:t>部分  附录</w:t>
      </w:r>
      <w:bookmarkEnd w:id="907"/>
      <w:bookmarkEnd w:id="908"/>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910" w:name="_Toc24014"/>
      <w:bookmarkStart w:id="911" w:name="_Toc4430"/>
      <w:bookmarkStart w:id="912" w:name="_Toc25615"/>
      <w:r>
        <w:rPr>
          <w:rFonts w:hint="eastAsia" w:ascii="宋体" w:hAnsi="宋体" w:eastAsia="宋体" w:cs="宋体"/>
          <w:color w:val="auto"/>
          <w:sz w:val="32"/>
          <w:lang w:eastAsia="zh-CN"/>
        </w:rPr>
        <w:t>附录A 生产安全事故风险评估报告</w:t>
      </w:r>
      <w:bookmarkEnd w:id="910"/>
      <w:bookmarkEnd w:id="911"/>
      <w:bookmarkEnd w:id="912"/>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913" w:name="_Toc5027"/>
      <w:bookmarkStart w:id="914" w:name="_Toc2017"/>
      <w:bookmarkStart w:id="915" w:name="_Toc32705"/>
      <w:r>
        <w:rPr>
          <w:rFonts w:hint="eastAsia" w:ascii="宋体" w:hAnsi="宋体" w:eastAsia="宋体" w:cs="宋体"/>
          <w:color w:val="auto"/>
          <w:sz w:val="32"/>
          <w:lang w:eastAsia="zh-CN"/>
        </w:rPr>
        <w:t>附录B 生产安全事故应急资源调查报告</w:t>
      </w:r>
      <w:bookmarkEnd w:id="913"/>
      <w:bookmarkEnd w:id="914"/>
      <w:bookmarkEnd w:id="915"/>
    </w:p>
    <w:p>
      <w:pPr>
        <w:pStyle w:val="4"/>
        <w:keepNext w:val="0"/>
        <w:keepLines w:val="0"/>
        <w:widowControl/>
        <w:numPr>
          <w:ilvl w:val="0"/>
          <w:numId w:val="0"/>
        </w:numPr>
        <w:adjustRightInd w:val="0"/>
        <w:snapToGrid w:val="0"/>
        <w:spacing w:before="156" w:beforeLines="50" w:after="156" w:afterLines="50" w:line="360" w:lineRule="auto"/>
        <w:jc w:val="left"/>
        <w:outlineLvl w:val="1"/>
        <w:rPr>
          <w:rFonts w:hint="eastAsia" w:ascii="宋体" w:hAnsi="宋体" w:eastAsia="宋体" w:cs="宋体"/>
          <w:color w:val="auto"/>
          <w:sz w:val="32"/>
          <w:lang w:eastAsia="zh-CN"/>
        </w:rPr>
      </w:pPr>
      <w:bookmarkStart w:id="916" w:name="_Toc24748"/>
      <w:r>
        <w:rPr>
          <w:rFonts w:hint="eastAsia" w:ascii="宋体" w:hAnsi="宋体" w:eastAsia="宋体" w:cs="宋体"/>
          <w:color w:val="auto"/>
          <w:sz w:val="32"/>
          <w:lang w:eastAsia="zh-CN"/>
        </w:rPr>
        <w:t>附录</w:t>
      </w:r>
      <w:r>
        <w:rPr>
          <w:rFonts w:hint="eastAsia" w:ascii="宋体" w:hAnsi="宋体" w:eastAsia="宋体" w:cs="宋体"/>
          <w:color w:val="auto"/>
          <w:sz w:val="32"/>
          <w:lang w:val="en-US" w:eastAsia="zh-CN"/>
        </w:rPr>
        <w:t>C</w:t>
      </w:r>
      <w:r>
        <w:rPr>
          <w:rFonts w:hint="eastAsia" w:ascii="宋体" w:hAnsi="宋体" w:eastAsia="宋体" w:cs="宋体"/>
          <w:color w:val="auto"/>
          <w:sz w:val="32"/>
          <w:lang w:eastAsia="zh-CN"/>
        </w:rPr>
        <w:t xml:space="preserve"> 桌面演练方案</w:t>
      </w:r>
      <w:bookmarkEnd w:id="909"/>
      <w:bookmarkEnd w:id="916"/>
    </w:p>
    <w:p>
      <w:pPr>
        <w:rPr>
          <w:rFonts w:hint="eastAsia"/>
          <w:lang w:eastAsia="zh-CN"/>
        </w:rPr>
      </w:pPr>
    </w:p>
    <w:p>
      <w:pPr>
        <w:pStyle w:val="15"/>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outlineLvl w:val="9"/>
        <w:rPr>
          <w:rFonts w:hint="eastAsia" w:ascii="宋体" w:hAnsi="宋体" w:eastAsia="宋体" w:cs="宋体"/>
          <w:color w:val="auto"/>
          <w:sz w:val="28"/>
          <w:szCs w:val="28"/>
        </w:rPr>
      </w:pPr>
    </w:p>
    <w:sectPr>
      <w:pgSz w:w="11906" w:h="16838"/>
      <w:pgMar w:top="1417"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3000509000000000000"/>
    <w:charset w:val="86"/>
    <w:family w:val="script"/>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lang w:eastAsia="zh-CN"/>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ind w:firstLine="400"/>
                            <w:rPr>
                              <w:rStyle w:val="29"/>
                              <w:rFonts w:ascii="Times New Roman" w:hAnsi="Times New Roman" w:cs="Times New Roman"/>
                              <w:sz w:val="20"/>
                              <w:szCs w:val="20"/>
                            </w:rPr>
                          </w:pPr>
                          <w:r>
                            <w:rPr>
                              <w:rFonts w:ascii="Times New Roman" w:hAnsi="Times New Roman" w:cs="Times New Roman"/>
                              <w:sz w:val="20"/>
                              <w:szCs w:val="20"/>
                            </w:rPr>
                            <w:fldChar w:fldCharType="begin"/>
                          </w:r>
                          <w:r>
                            <w:rPr>
                              <w:rStyle w:val="29"/>
                              <w:rFonts w:ascii="Times New Roman" w:hAnsi="Times New Roman" w:cs="Times New Roman"/>
                              <w:sz w:val="20"/>
                              <w:szCs w:val="20"/>
                            </w:rPr>
                            <w:instrText xml:space="preserve">PAGE  </w:instrText>
                          </w:r>
                          <w:r>
                            <w:rPr>
                              <w:rFonts w:ascii="Times New Roman" w:hAnsi="Times New Roman" w:cs="Times New Roman"/>
                              <w:sz w:val="20"/>
                              <w:szCs w:val="20"/>
                            </w:rPr>
                            <w:fldChar w:fldCharType="separate"/>
                          </w:r>
                          <w:r>
                            <w:rPr>
                              <w:rStyle w:val="29"/>
                              <w:rFonts w:ascii="Times New Roman" w:hAnsi="Times New Roman" w:cs="Times New Roman"/>
                              <w:sz w:val="20"/>
                              <w:szCs w:val="20"/>
                            </w:rPr>
                            <w:t>105</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0"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7ctaozAgAAZQQAAA4AAAAAAAAAAQAgAAAAHwEAAGRycy9lMm9Eb2MueG1sUEsF&#10;BgAAAAAGAAYAWQEAAMQFAAAAAA==&#10;">
              <v:fill on="f" focussize="0,0"/>
              <v:stroke on="f" weight="0.5pt"/>
              <v:imagedata o:title=""/>
              <o:lock v:ext="edit" aspectratio="f"/>
              <v:textbox inset="0mm,0mm,0mm,0mm" style="mso-fit-shape-to-text:t;">
                <w:txbxContent>
                  <w:p>
                    <w:pPr>
                      <w:pStyle w:val="18"/>
                      <w:ind w:firstLine="400"/>
                      <w:rPr>
                        <w:rStyle w:val="29"/>
                        <w:rFonts w:ascii="Times New Roman" w:hAnsi="Times New Roman" w:cs="Times New Roman"/>
                        <w:sz w:val="20"/>
                        <w:szCs w:val="20"/>
                      </w:rPr>
                    </w:pPr>
                    <w:r>
                      <w:rPr>
                        <w:rFonts w:ascii="Times New Roman" w:hAnsi="Times New Roman" w:cs="Times New Roman"/>
                        <w:sz w:val="20"/>
                        <w:szCs w:val="20"/>
                      </w:rPr>
                      <w:fldChar w:fldCharType="begin"/>
                    </w:r>
                    <w:r>
                      <w:rPr>
                        <w:rStyle w:val="29"/>
                        <w:rFonts w:ascii="Times New Roman" w:hAnsi="Times New Roman" w:cs="Times New Roman"/>
                        <w:sz w:val="20"/>
                        <w:szCs w:val="20"/>
                      </w:rPr>
                      <w:instrText xml:space="preserve">PAGE  </w:instrText>
                    </w:r>
                    <w:r>
                      <w:rPr>
                        <w:rFonts w:ascii="Times New Roman" w:hAnsi="Times New Roman" w:cs="Times New Roman"/>
                        <w:sz w:val="20"/>
                        <w:szCs w:val="20"/>
                      </w:rPr>
                      <w:fldChar w:fldCharType="separate"/>
                    </w:r>
                    <w:r>
                      <w:rPr>
                        <w:rStyle w:val="29"/>
                        <w:rFonts w:ascii="Times New Roman" w:hAnsi="Times New Roman" w:cs="Times New Roman"/>
                        <w:sz w:val="20"/>
                        <w:szCs w:val="20"/>
                      </w:rPr>
                      <w:t>105</w:t>
                    </w:r>
                    <w:r>
                      <w:rPr>
                        <w:rFonts w:ascii="Times New Roman" w:hAnsi="Times New Roman" w:cs="Times New Roman"/>
                        <w:sz w:val="20"/>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rPr>
        <w:color w:val="0000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CC1926"/>
    <w:multiLevelType w:val="singleLevel"/>
    <w:tmpl w:val="B9CC1926"/>
    <w:lvl w:ilvl="0" w:tentative="0">
      <w:start w:val="1"/>
      <w:numFmt w:val="bullet"/>
      <w:lvlText w:val=""/>
      <w:lvlJc w:val="left"/>
      <w:pPr>
        <w:ind w:left="420" w:hanging="420"/>
      </w:pPr>
      <w:rPr>
        <w:rFonts w:hint="default" w:ascii="Wingdings" w:hAnsi="Wingdings"/>
      </w:rPr>
    </w:lvl>
  </w:abstractNum>
  <w:abstractNum w:abstractNumId="1">
    <w:nsid w:val="00000012"/>
    <w:multiLevelType w:val="multilevel"/>
    <w:tmpl w:val="00000012"/>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525" w:firstLine="0"/>
      </w:pPr>
      <w:rPr>
        <w:rFonts w:hint="eastAsia" w:ascii="黑体" w:hAnsi="Times New Roman" w:eastAsia="黑体"/>
        <w:b w:val="0"/>
        <w:i w:val="0"/>
        <w:color w:val="auto"/>
        <w:sz w:val="21"/>
      </w:rPr>
    </w:lvl>
    <w:lvl w:ilvl="3" w:tentative="0">
      <w:start w:val="1"/>
      <w:numFmt w:val="decimal"/>
      <w:suff w:val="nothing"/>
      <w:lvlText w:val="%1%2.%3.%4　"/>
      <w:lvlJc w:val="left"/>
      <w:pPr>
        <w:ind w:left="735" w:firstLine="0"/>
      </w:pPr>
      <w:rPr>
        <w:rFonts w:hint="eastAsia" w:ascii="黑体" w:hAnsi="Times New Roman" w:eastAsia="黑体"/>
        <w:b w:val="0"/>
        <w:i w:val="0"/>
        <w:sz w:val="21"/>
      </w:rPr>
    </w:lvl>
    <w:lvl w:ilvl="4" w:tentative="0">
      <w:start w:val="1"/>
      <w:numFmt w:val="decimal"/>
      <w:suff w:val="nothing"/>
      <w:lvlText w:val="%1%2.%3.%4.%5　"/>
      <w:lvlJc w:val="left"/>
      <w:pPr>
        <w:ind w:left="840" w:firstLine="0"/>
      </w:pPr>
      <w:rPr>
        <w:rFonts w:hint="eastAsia" w:ascii="黑体" w:hAnsi="Times New Roman" w:eastAsia="黑体"/>
        <w:b w:val="0"/>
        <w:i w:val="0"/>
        <w:sz w:val="21"/>
        <w:szCs w:val="21"/>
      </w:rPr>
    </w:lvl>
    <w:lvl w:ilvl="5" w:tentative="0">
      <w:start w:val="1"/>
      <w:numFmt w:val="decimal"/>
      <w:pStyle w:val="49"/>
      <w:suff w:val="nothing"/>
      <w:lvlText w:val="%1%2.%3.%4.%5.%6　"/>
      <w:lvlJc w:val="left"/>
      <w:pPr>
        <w:ind w:left="0" w:firstLine="0"/>
      </w:pPr>
      <w:rPr>
        <w:rFonts w:hint="eastAsia" w:ascii="黑体" w:hAnsi="Times New Roman" w:eastAsia="黑体"/>
        <w:b w:val="0"/>
        <w:i w:val="0"/>
        <w:sz w:val="21"/>
      </w:rPr>
    </w:lvl>
    <w:lvl w:ilvl="6" w:tentative="0">
      <w:start w:val="1"/>
      <w:numFmt w:val="decimal"/>
      <w:pStyle w:val="4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00000014"/>
    <w:multiLevelType w:val="multilevel"/>
    <w:tmpl w:val="00000014"/>
    <w:lvl w:ilvl="0" w:tentative="0">
      <w:start w:val="1"/>
      <w:numFmt w:val="upperLetter"/>
      <w:pStyle w:val="59"/>
      <w:suff w:val="nothing"/>
      <w:lvlText w:val="附　录　%1"/>
      <w:lvlJc w:val="left"/>
      <w:pPr>
        <w:ind w:left="0" w:firstLine="0"/>
      </w:pPr>
      <w:rPr>
        <w:rFonts w:hint="eastAsia" w:ascii="黑体" w:hAnsi="Times New Roman" w:eastAsia="黑体"/>
        <w:b w:val="0"/>
        <w:i w:val="0"/>
        <w:sz w:val="28"/>
      </w:rPr>
    </w:lvl>
    <w:lvl w:ilvl="1" w:tentative="0">
      <w:start w:val="1"/>
      <w:numFmt w:val="decimal"/>
      <w:suff w:val="nothing"/>
      <w:lvlText w:val="%1.%2　"/>
      <w:lvlJc w:val="left"/>
      <w:pPr>
        <w:ind w:left="63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hAnsi="Times New Roman"/>
        <w:b w:val="0"/>
        <w:i w:val="0"/>
        <w:caps w:val="0"/>
        <w:smallCaps w:val="0"/>
        <w:strike w:val="0"/>
        <w:dstrike w:val="0"/>
        <w:vanish w:val="0"/>
        <w:spacing w:val="0"/>
        <w:kern w:val="0"/>
        <w:position w:val="0"/>
        <w:sz w:val="28"/>
        <w:u w:val="none"/>
        <w:vertAlign w:val="baseline"/>
      </w:rPr>
    </w:lvl>
    <w:lvl w:ilvl="3" w:tentative="0">
      <w:start w:val="1"/>
      <w:numFmt w:val="decimal"/>
      <w:suff w:val="nothing"/>
      <w:lvlText w:val="%1.%2.%3.%4　"/>
      <w:lvlJc w:val="left"/>
      <w:pPr>
        <w:ind w:left="0" w:firstLine="0"/>
      </w:pPr>
      <w:rPr>
        <w:rFonts w:hint="eastAsia" w:ascii="黑体" w:hAnsi="Times New Roman" w:eastAsia="黑体"/>
        <w:b w:val="0"/>
        <w:i w:val="0"/>
        <w:sz w:val="28"/>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2554401D"/>
    <w:multiLevelType w:val="multilevel"/>
    <w:tmpl w:val="2554401D"/>
    <w:lvl w:ilvl="0" w:tentative="0">
      <w:start w:val="1"/>
      <w:numFmt w:val="decimal"/>
      <w:lvlText w:val="（%1）"/>
      <w:lvlJc w:val="left"/>
      <w:pPr>
        <w:tabs>
          <w:tab w:val="left" w:pos="1280"/>
        </w:tabs>
        <w:ind w:left="1280" w:hanging="720"/>
      </w:pPr>
      <w:rPr>
        <w:rFonts w:hint="eastAsia" w:ascii="宋体" w:hAnsi="宋体" w:eastAsia="宋体"/>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4">
    <w:nsid w:val="33AF70A0"/>
    <w:multiLevelType w:val="multilevel"/>
    <w:tmpl w:val="33AF70A0"/>
    <w:lvl w:ilvl="0" w:tentative="0">
      <w:start w:val="1"/>
      <w:numFmt w:val="decimal"/>
      <w:lvlText w:val="（%1）"/>
      <w:lvlJc w:val="left"/>
      <w:pPr>
        <w:tabs>
          <w:tab w:val="left" w:pos="1290"/>
        </w:tabs>
        <w:ind w:left="1290" w:hanging="720"/>
      </w:pPr>
      <w:rPr>
        <w:rFonts w:hint="default" w:ascii="宋体" w:hAnsi="宋体" w:eastAsia="宋体"/>
      </w:rPr>
    </w:lvl>
    <w:lvl w:ilvl="1" w:tentative="0">
      <w:start w:val="1"/>
      <w:numFmt w:val="lowerLetter"/>
      <w:lvlText w:val="%2)"/>
      <w:lvlJc w:val="left"/>
      <w:pPr>
        <w:tabs>
          <w:tab w:val="left" w:pos="1410"/>
        </w:tabs>
        <w:ind w:left="1410" w:hanging="420"/>
      </w:pPr>
    </w:lvl>
    <w:lvl w:ilvl="2" w:tentative="0">
      <w:start w:val="1"/>
      <w:numFmt w:val="lowerRoman"/>
      <w:lvlText w:val="%3."/>
      <w:lvlJc w:val="right"/>
      <w:pPr>
        <w:tabs>
          <w:tab w:val="left" w:pos="1830"/>
        </w:tabs>
        <w:ind w:left="1830" w:hanging="420"/>
      </w:pPr>
    </w:lvl>
    <w:lvl w:ilvl="3" w:tentative="0">
      <w:start w:val="1"/>
      <w:numFmt w:val="decimal"/>
      <w:lvlText w:val="%4."/>
      <w:lvlJc w:val="left"/>
      <w:pPr>
        <w:tabs>
          <w:tab w:val="left" w:pos="2250"/>
        </w:tabs>
        <w:ind w:left="2250" w:hanging="420"/>
      </w:pPr>
    </w:lvl>
    <w:lvl w:ilvl="4" w:tentative="0">
      <w:start w:val="1"/>
      <w:numFmt w:val="lowerLetter"/>
      <w:lvlText w:val="%5)"/>
      <w:lvlJc w:val="left"/>
      <w:pPr>
        <w:tabs>
          <w:tab w:val="left" w:pos="2670"/>
        </w:tabs>
        <w:ind w:left="2670" w:hanging="420"/>
      </w:pPr>
    </w:lvl>
    <w:lvl w:ilvl="5" w:tentative="0">
      <w:start w:val="1"/>
      <w:numFmt w:val="lowerRoman"/>
      <w:lvlText w:val="%6."/>
      <w:lvlJc w:val="right"/>
      <w:pPr>
        <w:tabs>
          <w:tab w:val="left" w:pos="3090"/>
        </w:tabs>
        <w:ind w:left="3090" w:hanging="420"/>
      </w:pPr>
    </w:lvl>
    <w:lvl w:ilvl="6" w:tentative="0">
      <w:start w:val="1"/>
      <w:numFmt w:val="decimal"/>
      <w:lvlText w:val="%7."/>
      <w:lvlJc w:val="left"/>
      <w:pPr>
        <w:tabs>
          <w:tab w:val="left" w:pos="3510"/>
        </w:tabs>
        <w:ind w:left="3510" w:hanging="420"/>
      </w:pPr>
    </w:lvl>
    <w:lvl w:ilvl="7" w:tentative="0">
      <w:start w:val="1"/>
      <w:numFmt w:val="lowerLetter"/>
      <w:lvlText w:val="%8)"/>
      <w:lvlJc w:val="left"/>
      <w:pPr>
        <w:tabs>
          <w:tab w:val="left" w:pos="3930"/>
        </w:tabs>
        <w:ind w:left="3930" w:hanging="420"/>
      </w:pPr>
    </w:lvl>
    <w:lvl w:ilvl="8" w:tentative="0">
      <w:start w:val="1"/>
      <w:numFmt w:val="lowerRoman"/>
      <w:lvlText w:val="%9."/>
      <w:lvlJc w:val="right"/>
      <w:pPr>
        <w:tabs>
          <w:tab w:val="left" w:pos="4350"/>
        </w:tabs>
        <w:ind w:left="4350" w:hanging="420"/>
      </w:pPr>
    </w:lvl>
  </w:abstractNum>
  <w:abstractNum w:abstractNumId="5">
    <w:nsid w:val="6B957CAF"/>
    <w:multiLevelType w:val="multilevel"/>
    <w:tmpl w:val="6B957C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401046"/>
    <w:rsid w:val="00674603"/>
    <w:rsid w:val="008D3E4A"/>
    <w:rsid w:val="009E3AB5"/>
    <w:rsid w:val="017C0DD2"/>
    <w:rsid w:val="01895902"/>
    <w:rsid w:val="01A16F3B"/>
    <w:rsid w:val="01BF0403"/>
    <w:rsid w:val="026416BB"/>
    <w:rsid w:val="02A7751C"/>
    <w:rsid w:val="02D41465"/>
    <w:rsid w:val="02ED6DC1"/>
    <w:rsid w:val="03656539"/>
    <w:rsid w:val="03F34FD6"/>
    <w:rsid w:val="041D73D4"/>
    <w:rsid w:val="045D667C"/>
    <w:rsid w:val="04A6731B"/>
    <w:rsid w:val="05000018"/>
    <w:rsid w:val="051F5614"/>
    <w:rsid w:val="054B5A55"/>
    <w:rsid w:val="05841529"/>
    <w:rsid w:val="0599561F"/>
    <w:rsid w:val="05EB6A53"/>
    <w:rsid w:val="05F7008F"/>
    <w:rsid w:val="06051915"/>
    <w:rsid w:val="061B28F1"/>
    <w:rsid w:val="064F16F4"/>
    <w:rsid w:val="06847B15"/>
    <w:rsid w:val="06C07658"/>
    <w:rsid w:val="06C667A2"/>
    <w:rsid w:val="06F506EB"/>
    <w:rsid w:val="07063692"/>
    <w:rsid w:val="07362F89"/>
    <w:rsid w:val="07912A43"/>
    <w:rsid w:val="07A05922"/>
    <w:rsid w:val="08364912"/>
    <w:rsid w:val="083A0E09"/>
    <w:rsid w:val="08AB3FE1"/>
    <w:rsid w:val="092C567F"/>
    <w:rsid w:val="09506152"/>
    <w:rsid w:val="098F3076"/>
    <w:rsid w:val="099B2E89"/>
    <w:rsid w:val="09E52BA9"/>
    <w:rsid w:val="0A3B5495"/>
    <w:rsid w:val="0A56287E"/>
    <w:rsid w:val="0ADD6C12"/>
    <w:rsid w:val="0AEB5BFB"/>
    <w:rsid w:val="0B0509B3"/>
    <w:rsid w:val="0B292DB4"/>
    <w:rsid w:val="0B3C76CD"/>
    <w:rsid w:val="0B44690F"/>
    <w:rsid w:val="0BF25C92"/>
    <w:rsid w:val="0C0D47AA"/>
    <w:rsid w:val="0C2E041F"/>
    <w:rsid w:val="0CCC3DD7"/>
    <w:rsid w:val="0CCD49E0"/>
    <w:rsid w:val="0CEF1975"/>
    <w:rsid w:val="0D240CB5"/>
    <w:rsid w:val="0D62615B"/>
    <w:rsid w:val="0D6B0196"/>
    <w:rsid w:val="0DCC303F"/>
    <w:rsid w:val="0DD409CA"/>
    <w:rsid w:val="0DEF6021"/>
    <w:rsid w:val="0E0778F3"/>
    <w:rsid w:val="0E607130"/>
    <w:rsid w:val="0EA46CF8"/>
    <w:rsid w:val="0EBD15AC"/>
    <w:rsid w:val="0EDE494C"/>
    <w:rsid w:val="0EF02A3C"/>
    <w:rsid w:val="0F45761F"/>
    <w:rsid w:val="0F700A75"/>
    <w:rsid w:val="0FE110E5"/>
    <w:rsid w:val="0FF77AA4"/>
    <w:rsid w:val="104E193F"/>
    <w:rsid w:val="10A63BA1"/>
    <w:rsid w:val="10F906A4"/>
    <w:rsid w:val="1117670E"/>
    <w:rsid w:val="115D7172"/>
    <w:rsid w:val="11751C6B"/>
    <w:rsid w:val="118A5318"/>
    <w:rsid w:val="11BC7BDF"/>
    <w:rsid w:val="11DB305E"/>
    <w:rsid w:val="122D2AFF"/>
    <w:rsid w:val="12401046"/>
    <w:rsid w:val="12510DCC"/>
    <w:rsid w:val="1257699E"/>
    <w:rsid w:val="12614E5C"/>
    <w:rsid w:val="128F5F21"/>
    <w:rsid w:val="12FE4939"/>
    <w:rsid w:val="139A3C19"/>
    <w:rsid w:val="13EA1488"/>
    <w:rsid w:val="14253569"/>
    <w:rsid w:val="14336FBC"/>
    <w:rsid w:val="143776FA"/>
    <w:rsid w:val="143A6616"/>
    <w:rsid w:val="14F366A7"/>
    <w:rsid w:val="15197EDE"/>
    <w:rsid w:val="155A1F81"/>
    <w:rsid w:val="15880DE3"/>
    <w:rsid w:val="15C116B0"/>
    <w:rsid w:val="163041BD"/>
    <w:rsid w:val="16307A2D"/>
    <w:rsid w:val="165D3169"/>
    <w:rsid w:val="170920B5"/>
    <w:rsid w:val="1710439D"/>
    <w:rsid w:val="172E5F5F"/>
    <w:rsid w:val="17495442"/>
    <w:rsid w:val="1791524D"/>
    <w:rsid w:val="179A2751"/>
    <w:rsid w:val="17BC6072"/>
    <w:rsid w:val="17C959B8"/>
    <w:rsid w:val="18140FF0"/>
    <w:rsid w:val="184B140E"/>
    <w:rsid w:val="18746FF7"/>
    <w:rsid w:val="18E567D5"/>
    <w:rsid w:val="190535A9"/>
    <w:rsid w:val="19413B91"/>
    <w:rsid w:val="1954698B"/>
    <w:rsid w:val="1A5B3907"/>
    <w:rsid w:val="1AA5497E"/>
    <w:rsid w:val="1AB0284C"/>
    <w:rsid w:val="1AB71527"/>
    <w:rsid w:val="1ABB6570"/>
    <w:rsid w:val="1AC63A65"/>
    <w:rsid w:val="1AD961C5"/>
    <w:rsid w:val="1AF5429A"/>
    <w:rsid w:val="1B306782"/>
    <w:rsid w:val="1B3A0983"/>
    <w:rsid w:val="1B6A5DEA"/>
    <w:rsid w:val="1B740802"/>
    <w:rsid w:val="1B837A51"/>
    <w:rsid w:val="1BBE6F07"/>
    <w:rsid w:val="1BDF090E"/>
    <w:rsid w:val="1BE079EB"/>
    <w:rsid w:val="1C0347FD"/>
    <w:rsid w:val="1C055786"/>
    <w:rsid w:val="1C177893"/>
    <w:rsid w:val="1C4F3704"/>
    <w:rsid w:val="1C6B280E"/>
    <w:rsid w:val="1CAD3A39"/>
    <w:rsid w:val="1D290B0A"/>
    <w:rsid w:val="1D782209"/>
    <w:rsid w:val="1D810DA2"/>
    <w:rsid w:val="1DD11A02"/>
    <w:rsid w:val="1E0E538E"/>
    <w:rsid w:val="1E3B6E3D"/>
    <w:rsid w:val="1E471077"/>
    <w:rsid w:val="1E8F30EB"/>
    <w:rsid w:val="1E8F745C"/>
    <w:rsid w:val="1EB060BD"/>
    <w:rsid w:val="1EFB14BD"/>
    <w:rsid w:val="1F5D2B3C"/>
    <w:rsid w:val="1FAB061C"/>
    <w:rsid w:val="201A4D87"/>
    <w:rsid w:val="20383B88"/>
    <w:rsid w:val="205265E0"/>
    <w:rsid w:val="205D59E7"/>
    <w:rsid w:val="208701CF"/>
    <w:rsid w:val="20924983"/>
    <w:rsid w:val="20935DD2"/>
    <w:rsid w:val="20EA4117"/>
    <w:rsid w:val="21332F57"/>
    <w:rsid w:val="213D1C13"/>
    <w:rsid w:val="21B363BF"/>
    <w:rsid w:val="21E43A2C"/>
    <w:rsid w:val="21ED2174"/>
    <w:rsid w:val="21F46DC0"/>
    <w:rsid w:val="21FF7441"/>
    <w:rsid w:val="2216136E"/>
    <w:rsid w:val="22190A47"/>
    <w:rsid w:val="22225711"/>
    <w:rsid w:val="22485215"/>
    <w:rsid w:val="226E4984"/>
    <w:rsid w:val="228B4ACD"/>
    <w:rsid w:val="22CC3030"/>
    <w:rsid w:val="230001A7"/>
    <w:rsid w:val="232D7016"/>
    <w:rsid w:val="23964235"/>
    <w:rsid w:val="247805CF"/>
    <w:rsid w:val="249B6260"/>
    <w:rsid w:val="257426F5"/>
    <w:rsid w:val="25912DDF"/>
    <w:rsid w:val="25E75920"/>
    <w:rsid w:val="2609758B"/>
    <w:rsid w:val="26AB3749"/>
    <w:rsid w:val="27305FDD"/>
    <w:rsid w:val="275F79C1"/>
    <w:rsid w:val="279C6CFA"/>
    <w:rsid w:val="27F614BB"/>
    <w:rsid w:val="27FD2B76"/>
    <w:rsid w:val="27FE5E60"/>
    <w:rsid w:val="280753C1"/>
    <w:rsid w:val="28177CE6"/>
    <w:rsid w:val="28B42240"/>
    <w:rsid w:val="28EC0A30"/>
    <w:rsid w:val="293B7F83"/>
    <w:rsid w:val="295F4E92"/>
    <w:rsid w:val="29806238"/>
    <w:rsid w:val="29971B98"/>
    <w:rsid w:val="299C7D71"/>
    <w:rsid w:val="29AF3CD4"/>
    <w:rsid w:val="29FF5F55"/>
    <w:rsid w:val="2A4558B1"/>
    <w:rsid w:val="2AAA60B7"/>
    <w:rsid w:val="2ACA2145"/>
    <w:rsid w:val="2B4B2C0E"/>
    <w:rsid w:val="2B656394"/>
    <w:rsid w:val="2BC708D9"/>
    <w:rsid w:val="2C1316FC"/>
    <w:rsid w:val="2C17784C"/>
    <w:rsid w:val="2C35317B"/>
    <w:rsid w:val="2C401003"/>
    <w:rsid w:val="2C4C1227"/>
    <w:rsid w:val="2CBA22F9"/>
    <w:rsid w:val="2CC976F5"/>
    <w:rsid w:val="2CDB6D13"/>
    <w:rsid w:val="2CE577FE"/>
    <w:rsid w:val="2E1F0BD4"/>
    <w:rsid w:val="2E321EDA"/>
    <w:rsid w:val="2E4A5CC9"/>
    <w:rsid w:val="2E6969E8"/>
    <w:rsid w:val="2EB41EC6"/>
    <w:rsid w:val="2EDC48B9"/>
    <w:rsid w:val="2F305E1C"/>
    <w:rsid w:val="2F4348E2"/>
    <w:rsid w:val="2FB5651B"/>
    <w:rsid w:val="2FEB1FCC"/>
    <w:rsid w:val="30010313"/>
    <w:rsid w:val="300304B6"/>
    <w:rsid w:val="308074E3"/>
    <w:rsid w:val="31136AB5"/>
    <w:rsid w:val="31C07DA8"/>
    <w:rsid w:val="31D86E71"/>
    <w:rsid w:val="32011D94"/>
    <w:rsid w:val="3227467C"/>
    <w:rsid w:val="32361D86"/>
    <w:rsid w:val="328972CB"/>
    <w:rsid w:val="32BE28C8"/>
    <w:rsid w:val="32F35B17"/>
    <w:rsid w:val="32F5174F"/>
    <w:rsid w:val="33207C30"/>
    <w:rsid w:val="339569AB"/>
    <w:rsid w:val="33D71E1E"/>
    <w:rsid w:val="34220FF3"/>
    <w:rsid w:val="34341DC0"/>
    <w:rsid w:val="347A433A"/>
    <w:rsid w:val="34D76F82"/>
    <w:rsid w:val="358A7F07"/>
    <w:rsid w:val="3591411A"/>
    <w:rsid w:val="35934979"/>
    <w:rsid w:val="35B15B64"/>
    <w:rsid w:val="35CE4D64"/>
    <w:rsid w:val="3605413D"/>
    <w:rsid w:val="3630646C"/>
    <w:rsid w:val="364022FE"/>
    <w:rsid w:val="36461FE0"/>
    <w:rsid w:val="365F2C3B"/>
    <w:rsid w:val="3679095D"/>
    <w:rsid w:val="374A2E4F"/>
    <w:rsid w:val="37684E3B"/>
    <w:rsid w:val="37D83968"/>
    <w:rsid w:val="37F74256"/>
    <w:rsid w:val="38177AF1"/>
    <w:rsid w:val="388C6576"/>
    <w:rsid w:val="388E3ED3"/>
    <w:rsid w:val="38B047B8"/>
    <w:rsid w:val="38B34E52"/>
    <w:rsid w:val="38CD6854"/>
    <w:rsid w:val="38F4535C"/>
    <w:rsid w:val="39671E46"/>
    <w:rsid w:val="398709DA"/>
    <w:rsid w:val="39C80710"/>
    <w:rsid w:val="3A4F2C01"/>
    <w:rsid w:val="3A8B3DC8"/>
    <w:rsid w:val="3AA32D46"/>
    <w:rsid w:val="3ADF0FDA"/>
    <w:rsid w:val="3B0D15CF"/>
    <w:rsid w:val="3B39083B"/>
    <w:rsid w:val="3B3B7646"/>
    <w:rsid w:val="3B40533E"/>
    <w:rsid w:val="3B667D7E"/>
    <w:rsid w:val="3C7C4331"/>
    <w:rsid w:val="3C8463E0"/>
    <w:rsid w:val="3CB22218"/>
    <w:rsid w:val="3CC1443E"/>
    <w:rsid w:val="3CE26658"/>
    <w:rsid w:val="3D225E4D"/>
    <w:rsid w:val="3DEC4AC8"/>
    <w:rsid w:val="3E630090"/>
    <w:rsid w:val="3E6452C0"/>
    <w:rsid w:val="3E786462"/>
    <w:rsid w:val="3E8A597E"/>
    <w:rsid w:val="3EA52A83"/>
    <w:rsid w:val="3EDF789E"/>
    <w:rsid w:val="3F204A6D"/>
    <w:rsid w:val="3F37491E"/>
    <w:rsid w:val="3F6B4118"/>
    <w:rsid w:val="3F897E1A"/>
    <w:rsid w:val="3F8F5236"/>
    <w:rsid w:val="3F9228EB"/>
    <w:rsid w:val="3FC824EC"/>
    <w:rsid w:val="3FF81128"/>
    <w:rsid w:val="40246BD7"/>
    <w:rsid w:val="402A2FA6"/>
    <w:rsid w:val="40533AE9"/>
    <w:rsid w:val="40A15D35"/>
    <w:rsid w:val="40DE7B86"/>
    <w:rsid w:val="41002139"/>
    <w:rsid w:val="411B0951"/>
    <w:rsid w:val="41431BFD"/>
    <w:rsid w:val="416126FE"/>
    <w:rsid w:val="420868F0"/>
    <w:rsid w:val="421917E8"/>
    <w:rsid w:val="422B1057"/>
    <w:rsid w:val="42435681"/>
    <w:rsid w:val="42581A0F"/>
    <w:rsid w:val="42B311EC"/>
    <w:rsid w:val="43360177"/>
    <w:rsid w:val="43552AAD"/>
    <w:rsid w:val="435647DA"/>
    <w:rsid w:val="43577176"/>
    <w:rsid w:val="436268B4"/>
    <w:rsid w:val="437600C0"/>
    <w:rsid w:val="43827B94"/>
    <w:rsid w:val="441C415F"/>
    <w:rsid w:val="4428668C"/>
    <w:rsid w:val="442A2BC0"/>
    <w:rsid w:val="447176E4"/>
    <w:rsid w:val="44A83409"/>
    <w:rsid w:val="44C9472F"/>
    <w:rsid w:val="44E90DEC"/>
    <w:rsid w:val="450A5230"/>
    <w:rsid w:val="45E148E1"/>
    <w:rsid w:val="46175D77"/>
    <w:rsid w:val="46192B90"/>
    <w:rsid w:val="4626149E"/>
    <w:rsid w:val="46B15599"/>
    <w:rsid w:val="46F618B7"/>
    <w:rsid w:val="475E4F08"/>
    <w:rsid w:val="47910212"/>
    <w:rsid w:val="479C7F39"/>
    <w:rsid w:val="47D94057"/>
    <w:rsid w:val="48000B4E"/>
    <w:rsid w:val="48703039"/>
    <w:rsid w:val="488F1695"/>
    <w:rsid w:val="48950BA8"/>
    <w:rsid w:val="48BA169B"/>
    <w:rsid w:val="48CC3810"/>
    <w:rsid w:val="493D76E6"/>
    <w:rsid w:val="4942395D"/>
    <w:rsid w:val="498342EB"/>
    <w:rsid w:val="498D269F"/>
    <w:rsid w:val="49B51E88"/>
    <w:rsid w:val="49B93CD2"/>
    <w:rsid w:val="49D0644E"/>
    <w:rsid w:val="4A20687B"/>
    <w:rsid w:val="4AD179F2"/>
    <w:rsid w:val="4ADE620C"/>
    <w:rsid w:val="4AE84144"/>
    <w:rsid w:val="4B0B4A40"/>
    <w:rsid w:val="4B415504"/>
    <w:rsid w:val="4BAD0488"/>
    <w:rsid w:val="4C1F0D90"/>
    <w:rsid w:val="4C9A7FA8"/>
    <w:rsid w:val="4C9B6919"/>
    <w:rsid w:val="4CDC5F0E"/>
    <w:rsid w:val="4D04095A"/>
    <w:rsid w:val="4D263B53"/>
    <w:rsid w:val="4DC00ABF"/>
    <w:rsid w:val="4DE35372"/>
    <w:rsid w:val="4E6D76E2"/>
    <w:rsid w:val="4E8C5209"/>
    <w:rsid w:val="4ECE14FE"/>
    <w:rsid w:val="4EFE03A7"/>
    <w:rsid w:val="4F187A9F"/>
    <w:rsid w:val="4FA65678"/>
    <w:rsid w:val="4FA95F86"/>
    <w:rsid w:val="4FB62F6E"/>
    <w:rsid w:val="4FDE6CDA"/>
    <w:rsid w:val="50015ECE"/>
    <w:rsid w:val="502A2324"/>
    <w:rsid w:val="50A364DD"/>
    <w:rsid w:val="50CF4EDA"/>
    <w:rsid w:val="5113522F"/>
    <w:rsid w:val="512F3B69"/>
    <w:rsid w:val="513B2B0F"/>
    <w:rsid w:val="519D7B49"/>
    <w:rsid w:val="51AE5A20"/>
    <w:rsid w:val="51BB5751"/>
    <w:rsid w:val="52033F6D"/>
    <w:rsid w:val="523422C8"/>
    <w:rsid w:val="52672796"/>
    <w:rsid w:val="52954A8D"/>
    <w:rsid w:val="52F03BE8"/>
    <w:rsid w:val="534B5259"/>
    <w:rsid w:val="53667092"/>
    <w:rsid w:val="537D434B"/>
    <w:rsid w:val="53A43FDE"/>
    <w:rsid w:val="54295420"/>
    <w:rsid w:val="546D75BC"/>
    <w:rsid w:val="547B4A0F"/>
    <w:rsid w:val="54D02A71"/>
    <w:rsid w:val="54EB5FAF"/>
    <w:rsid w:val="55224DF3"/>
    <w:rsid w:val="556134F4"/>
    <w:rsid w:val="558B6465"/>
    <w:rsid w:val="55E80B76"/>
    <w:rsid w:val="56473AF2"/>
    <w:rsid w:val="565A4280"/>
    <w:rsid w:val="566441E9"/>
    <w:rsid w:val="56775EC9"/>
    <w:rsid w:val="56885BD3"/>
    <w:rsid w:val="56A55E63"/>
    <w:rsid w:val="57314082"/>
    <w:rsid w:val="57583FCD"/>
    <w:rsid w:val="5764151D"/>
    <w:rsid w:val="576769C6"/>
    <w:rsid w:val="57721656"/>
    <w:rsid w:val="579708F3"/>
    <w:rsid w:val="57A120FD"/>
    <w:rsid w:val="57AC7BD6"/>
    <w:rsid w:val="58365ED0"/>
    <w:rsid w:val="58BA79D9"/>
    <w:rsid w:val="58C1349A"/>
    <w:rsid w:val="58C53CE9"/>
    <w:rsid w:val="58EB2FE3"/>
    <w:rsid w:val="592741D3"/>
    <w:rsid w:val="59692BFD"/>
    <w:rsid w:val="59754F15"/>
    <w:rsid w:val="59847513"/>
    <w:rsid w:val="59933C27"/>
    <w:rsid w:val="59AF70AC"/>
    <w:rsid w:val="59C57709"/>
    <w:rsid w:val="59CF3871"/>
    <w:rsid w:val="5A092172"/>
    <w:rsid w:val="5A1C3309"/>
    <w:rsid w:val="5A3169B6"/>
    <w:rsid w:val="5A3E0F7B"/>
    <w:rsid w:val="5A797A1F"/>
    <w:rsid w:val="5AA07FDE"/>
    <w:rsid w:val="5AE67D96"/>
    <w:rsid w:val="5B222D87"/>
    <w:rsid w:val="5B9F2B61"/>
    <w:rsid w:val="5BDA6907"/>
    <w:rsid w:val="5C2F1F3C"/>
    <w:rsid w:val="5CCD78E5"/>
    <w:rsid w:val="5D2F0977"/>
    <w:rsid w:val="5D3D4A76"/>
    <w:rsid w:val="5D786D9A"/>
    <w:rsid w:val="5DA55E67"/>
    <w:rsid w:val="5EE458EC"/>
    <w:rsid w:val="5EFA60AF"/>
    <w:rsid w:val="5F3A32A5"/>
    <w:rsid w:val="5F3E3573"/>
    <w:rsid w:val="5FAE422F"/>
    <w:rsid w:val="5FCA5005"/>
    <w:rsid w:val="5FE633D0"/>
    <w:rsid w:val="600F2232"/>
    <w:rsid w:val="601441D4"/>
    <w:rsid w:val="607A0673"/>
    <w:rsid w:val="60D0295E"/>
    <w:rsid w:val="61007081"/>
    <w:rsid w:val="61241890"/>
    <w:rsid w:val="61332E74"/>
    <w:rsid w:val="615A3743"/>
    <w:rsid w:val="61762E70"/>
    <w:rsid w:val="617E5583"/>
    <w:rsid w:val="61E0486A"/>
    <w:rsid w:val="61E57EF7"/>
    <w:rsid w:val="61F55529"/>
    <w:rsid w:val="620217F4"/>
    <w:rsid w:val="62085F7D"/>
    <w:rsid w:val="6286015E"/>
    <w:rsid w:val="62D61594"/>
    <w:rsid w:val="62D851CB"/>
    <w:rsid w:val="630D50C7"/>
    <w:rsid w:val="63A410F1"/>
    <w:rsid w:val="63C8484F"/>
    <w:rsid w:val="63D61394"/>
    <w:rsid w:val="63F3674B"/>
    <w:rsid w:val="641B5C6F"/>
    <w:rsid w:val="6438445F"/>
    <w:rsid w:val="644636D1"/>
    <w:rsid w:val="64472F61"/>
    <w:rsid w:val="647F3265"/>
    <w:rsid w:val="64CB4138"/>
    <w:rsid w:val="64EB223F"/>
    <w:rsid w:val="651C0EF4"/>
    <w:rsid w:val="656653FC"/>
    <w:rsid w:val="65913746"/>
    <w:rsid w:val="65DD0450"/>
    <w:rsid w:val="66365F8E"/>
    <w:rsid w:val="668E7831"/>
    <w:rsid w:val="66B13DE5"/>
    <w:rsid w:val="66F64A87"/>
    <w:rsid w:val="671D5639"/>
    <w:rsid w:val="672963CF"/>
    <w:rsid w:val="674C7CEA"/>
    <w:rsid w:val="679F7D6F"/>
    <w:rsid w:val="67B347A7"/>
    <w:rsid w:val="67C02164"/>
    <w:rsid w:val="68743A33"/>
    <w:rsid w:val="68A5325B"/>
    <w:rsid w:val="68C029A8"/>
    <w:rsid w:val="68C55BD8"/>
    <w:rsid w:val="699D75AE"/>
    <w:rsid w:val="69D50104"/>
    <w:rsid w:val="6A50384A"/>
    <w:rsid w:val="6AB97B05"/>
    <w:rsid w:val="6B397FF1"/>
    <w:rsid w:val="6B6671B9"/>
    <w:rsid w:val="6B866E5D"/>
    <w:rsid w:val="6BAD59AC"/>
    <w:rsid w:val="6C6154F4"/>
    <w:rsid w:val="6CE12B2C"/>
    <w:rsid w:val="6CEA0421"/>
    <w:rsid w:val="6CFB0BD4"/>
    <w:rsid w:val="6D48480A"/>
    <w:rsid w:val="6D860EE1"/>
    <w:rsid w:val="6DA95382"/>
    <w:rsid w:val="6DF844C9"/>
    <w:rsid w:val="6DFC796B"/>
    <w:rsid w:val="6E0A5CAB"/>
    <w:rsid w:val="6E7E0FE4"/>
    <w:rsid w:val="6E99460B"/>
    <w:rsid w:val="6EEB5D7E"/>
    <w:rsid w:val="6F0A4947"/>
    <w:rsid w:val="6F224244"/>
    <w:rsid w:val="6F6E0AF0"/>
    <w:rsid w:val="6F9215C0"/>
    <w:rsid w:val="6FB37D5B"/>
    <w:rsid w:val="6FC510CB"/>
    <w:rsid w:val="708B1B79"/>
    <w:rsid w:val="70E34C53"/>
    <w:rsid w:val="71452387"/>
    <w:rsid w:val="716E139E"/>
    <w:rsid w:val="721D2D35"/>
    <w:rsid w:val="72395658"/>
    <w:rsid w:val="72543232"/>
    <w:rsid w:val="726534BC"/>
    <w:rsid w:val="72852E95"/>
    <w:rsid w:val="72B813CF"/>
    <w:rsid w:val="734C36F8"/>
    <w:rsid w:val="734E1023"/>
    <w:rsid w:val="736B3C84"/>
    <w:rsid w:val="738420F3"/>
    <w:rsid w:val="73AD0DF4"/>
    <w:rsid w:val="73B549D8"/>
    <w:rsid w:val="74A11FD3"/>
    <w:rsid w:val="74F25BE0"/>
    <w:rsid w:val="753200B5"/>
    <w:rsid w:val="758837E3"/>
    <w:rsid w:val="759F0857"/>
    <w:rsid w:val="75BA1254"/>
    <w:rsid w:val="75E30EE0"/>
    <w:rsid w:val="7627060E"/>
    <w:rsid w:val="763640F6"/>
    <w:rsid w:val="769421A2"/>
    <w:rsid w:val="76A207DB"/>
    <w:rsid w:val="76BD3C87"/>
    <w:rsid w:val="76F34733"/>
    <w:rsid w:val="7780376B"/>
    <w:rsid w:val="77896225"/>
    <w:rsid w:val="77A31ACC"/>
    <w:rsid w:val="77C64708"/>
    <w:rsid w:val="78115CCC"/>
    <w:rsid w:val="781B67D3"/>
    <w:rsid w:val="785A0418"/>
    <w:rsid w:val="78732F50"/>
    <w:rsid w:val="78B26188"/>
    <w:rsid w:val="78BB6E93"/>
    <w:rsid w:val="78E45E2B"/>
    <w:rsid w:val="795B41DF"/>
    <w:rsid w:val="79CD57BE"/>
    <w:rsid w:val="79D13B1E"/>
    <w:rsid w:val="79EA169C"/>
    <w:rsid w:val="7A86078F"/>
    <w:rsid w:val="7A8D2CA4"/>
    <w:rsid w:val="7A9513E9"/>
    <w:rsid w:val="7AEC61A4"/>
    <w:rsid w:val="7B0F5E48"/>
    <w:rsid w:val="7B1F1A58"/>
    <w:rsid w:val="7B9910FD"/>
    <w:rsid w:val="7BD73ACA"/>
    <w:rsid w:val="7BF520A3"/>
    <w:rsid w:val="7C1033E4"/>
    <w:rsid w:val="7C3354DE"/>
    <w:rsid w:val="7C686B5A"/>
    <w:rsid w:val="7C816C8A"/>
    <w:rsid w:val="7CC0095E"/>
    <w:rsid w:val="7CF43BA6"/>
    <w:rsid w:val="7D5A5E6B"/>
    <w:rsid w:val="7DCB6D07"/>
    <w:rsid w:val="7E044140"/>
    <w:rsid w:val="7E304EF9"/>
    <w:rsid w:val="7E317010"/>
    <w:rsid w:val="7E395D12"/>
    <w:rsid w:val="7E8059A9"/>
    <w:rsid w:val="7EAB6A75"/>
    <w:rsid w:val="7ED8656E"/>
    <w:rsid w:val="7EED054D"/>
    <w:rsid w:val="7F2E071A"/>
    <w:rsid w:val="7F5D3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21"/>
      <w:szCs w:val="24"/>
      <w:lang w:val="en-US" w:eastAsia="zh-CN" w:bidi="ar-SA"/>
    </w:rPr>
  </w:style>
  <w:style w:type="paragraph" w:styleId="4">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5">
    <w:name w:val="heading 2"/>
    <w:basedOn w:val="1"/>
    <w:next w:val="1"/>
    <w:qFormat/>
    <w:uiPriority w:val="9"/>
    <w:pPr>
      <w:keepNext/>
      <w:keepLines/>
      <w:adjustRightInd w:val="0"/>
      <w:snapToGrid w:val="0"/>
      <w:spacing w:before="50" w:beforeLines="50" w:line="360" w:lineRule="auto"/>
      <w:jc w:val="center"/>
      <w:outlineLvl w:val="1"/>
    </w:pPr>
    <w:rPr>
      <w:rFonts w:ascii="仿宋" w:hAnsi="仿宋" w:eastAsia="楷体"/>
      <w:b/>
      <w:bCs/>
      <w:sz w:val="32"/>
      <w:szCs w:val="32"/>
    </w:rPr>
  </w:style>
  <w:style w:type="paragraph" w:styleId="6">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7">
    <w:name w:val="heading 4"/>
    <w:basedOn w:val="1"/>
    <w:next w:val="1"/>
    <w:qFormat/>
    <w:uiPriority w:val="9"/>
    <w:pPr>
      <w:keepNext/>
      <w:keepLines/>
      <w:adjustRightInd w:val="0"/>
      <w:snapToGrid w:val="0"/>
      <w:spacing w:line="360" w:lineRule="auto"/>
      <w:ind w:firstLine="422" w:firstLineChars="200"/>
      <w:jc w:val="left"/>
      <w:outlineLvl w:val="3"/>
    </w:pPr>
    <w:rPr>
      <w:rFonts w:ascii="仿宋" w:hAnsi="仿宋" w:eastAsia="宋体"/>
      <w:bCs/>
      <w:sz w:val="28"/>
      <w:szCs w:val="32"/>
    </w:rPr>
  </w:style>
  <w:style w:type="paragraph" w:styleId="8">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afterLines="0"/>
    </w:pPr>
  </w:style>
  <w:style w:type="paragraph" w:styleId="9">
    <w:name w:val="toc 7"/>
    <w:basedOn w:val="4"/>
    <w:next w:val="1"/>
    <w:qFormat/>
    <w:uiPriority w:val="0"/>
    <w:pPr>
      <w:spacing w:line="360" w:lineRule="auto"/>
      <w:ind w:firstLine="619" w:firstLineChars="257"/>
    </w:pPr>
    <w:rPr>
      <w:sz w:val="24"/>
      <w:lang w:val="en-GB"/>
    </w:rPr>
  </w:style>
  <w:style w:type="paragraph" w:styleId="10">
    <w:name w:val="Document Map"/>
    <w:basedOn w:val="1"/>
    <w:semiHidden/>
    <w:qFormat/>
    <w:uiPriority w:val="0"/>
    <w:pPr>
      <w:shd w:val="clear" w:color="auto" w:fill="000080"/>
    </w:pPr>
  </w:style>
  <w:style w:type="paragraph" w:styleId="11">
    <w:name w:val="toa heading"/>
    <w:basedOn w:val="1"/>
    <w:next w:val="1"/>
    <w:unhideWhenUsed/>
    <w:qFormat/>
    <w:uiPriority w:val="99"/>
    <w:pPr>
      <w:spacing w:before="120" w:beforeLines="0" w:beforeAutospacing="0"/>
    </w:pPr>
    <w:rPr>
      <w:rFonts w:ascii="Arial" w:hAnsi="Arial"/>
      <w:sz w:val="24"/>
    </w:rPr>
  </w:style>
  <w:style w:type="paragraph" w:styleId="12">
    <w:name w:val="Body Text Indent"/>
    <w:basedOn w:val="1"/>
    <w:next w:val="13"/>
    <w:qFormat/>
    <w:uiPriority w:val="0"/>
    <w:pPr>
      <w:tabs>
        <w:tab w:val="left" w:pos="2520"/>
      </w:tabs>
      <w:adjustRightInd w:val="0"/>
      <w:spacing w:line="520" w:lineRule="exact"/>
      <w:ind w:firstLine="480" w:firstLineChars="200"/>
      <w:textAlignment w:val="baseline"/>
    </w:pPr>
    <w:rPr>
      <w:sz w:val="24"/>
    </w:rPr>
  </w:style>
  <w:style w:type="paragraph" w:styleId="13">
    <w:name w:val="index heading"/>
    <w:basedOn w:val="1"/>
    <w:next w:val="14"/>
    <w:qFormat/>
    <w:uiPriority w:val="0"/>
    <w:pPr>
      <w:spacing w:before="120" w:after="120"/>
    </w:pPr>
    <w:rPr>
      <w:b/>
      <w:bCs/>
      <w:i/>
      <w:iCs/>
      <w:sz w:val="20"/>
      <w:szCs w:val="20"/>
    </w:rPr>
  </w:style>
  <w:style w:type="paragraph" w:styleId="14">
    <w:name w:val="index 1"/>
    <w:basedOn w:val="1"/>
    <w:next w:val="1"/>
    <w:semiHidden/>
    <w:qFormat/>
    <w:uiPriority w:val="0"/>
    <w:pPr>
      <w:adjustRightInd w:val="0"/>
      <w:snapToGrid w:val="0"/>
      <w:spacing w:line="600" w:lineRule="exact"/>
      <w:jc w:val="center"/>
    </w:pPr>
    <w:rPr>
      <w:b/>
      <w:sz w:val="32"/>
      <w:szCs w:val="32"/>
    </w:rPr>
  </w:style>
  <w:style w:type="paragraph" w:styleId="15">
    <w:name w:val="Block Text"/>
    <w:basedOn w:val="1"/>
    <w:qFormat/>
    <w:uiPriority w:val="0"/>
    <w:pPr>
      <w:ind w:left="113" w:right="113"/>
    </w:pPr>
    <w:rPr>
      <w:sz w:val="24"/>
    </w:rPr>
  </w:style>
  <w:style w:type="paragraph" w:styleId="16">
    <w:name w:val="Plain Text"/>
    <w:basedOn w:val="1"/>
    <w:qFormat/>
    <w:uiPriority w:val="0"/>
    <w:rPr>
      <w:rFonts w:ascii="宋体" w:hAnsi="Courier New" w:eastAsia="宋体"/>
      <w:kern w:val="2"/>
      <w:sz w:val="28"/>
      <w:lang w:val="en-US" w:eastAsia="zh-CN" w:bidi="ar-SA"/>
    </w:rPr>
  </w:style>
  <w:style w:type="paragraph" w:styleId="17">
    <w:name w:val="Body Text Indent 2"/>
    <w:basedOn w:val="1"/>
    <w:qFormat/>
    <w:uiPriority w:val="0"/>
    <w:pPr>
      <w:spacing w:line="360" w:lineRule="auto"/>
      <w:ind w:firstLine="570"/>
    </w:pPr>
    <w:rPr>
      <w:sz w:val="28"/>
    </w:rPr>
  </w:style>
  <w:style w:type="paragraph" w:styleId="18">
    <w:name w:val="footer"/>
    <w:basedOn w:val="1"/>
    <w:next w:val="9"/>
    <w:qFormat/>
    <w:uiPriority w:val="0"/>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style>
  <w:style w:type="paragraph" w:styleId="21">
    <w:name w:val="Body Text Indent 3"/>
    <w:basedOn w:val="1"/>
    <w:qFormat/>
    <w:uiPriority w:val="0"/>
    <w:pPr>
      <w:ind w:firstLine="720" w:firstLineChars="257"/>
    </w:pPr>
    <w:rPr>
      <w:sz w:val="28"/>
    </w:rPr>
  </w:style>
  <w:style w:type="paragraph" w:styleId="22">
    <w:name w:val="toc 2"/>
    <w:basedOn w:val="1"/>
    <w:next w:val="1"/>
    <w:uiPriority w:val="0"/>
    <w:pPr>
      <w:ind w:left="420" w:leftChars="200"/>
    </w:pPr>
  </w:style>
  <w:style w:type="paragraph" w:styleId="23">
    <w:name w:val="Normal (Web)"/>
    <w:basedOn w:val="1"/>
    <w:qFormat/>
    <w:uiPriority w:val="0"/>
    <w:pPr>
      <w:widowControl/>
      <w:spacing w:before="100" w:beforeLines="0" w:beforeAutospacing="1" w:after="100" w:afterLines="0" w:afterAutospacing="1"/>
      <w:jc w:val="left"/>
    </w:pPr>
    <w:rPr>
      <w:rFonts w:ascii="Arial Unicode MS" w:hAnsi="Arial Unicode MS" w:eastAsia="Arial Unicode MS"/>
      <w:kern w:val="0"/>
      <w:sz w:val="24"/>
    </w:rPr>
  </w:style>
  <w:style w:type="paragraph" w:styleId="24">
    <w:name w:val="Body Text First Indent 2"/>
    <w:basedOn w:val="12"/>
    <w:next w:val="1"/>
    <w:qFormat/>
    <w:uiPriority w:val="0"/>
    <w:pPr>
      <w:tabs>
        <w:tab w:val="left" w:pos="1545"/>
      </w:tabs>
      <w:adjustRightInd/>
      <w:spacing w:line="360" w:lineRule="auto"/>
      <w:ind w:left="0" w:leftChars="0" w:firstLine="420" w:firstLineChars="200"/>
      <w:textAlignment w:val="auto"/>
    </w:pPr>
    <w:rPr>
      <w:rFonts w:ascii="Times New Roman" w:hAnsi="Times New Roman" w:eastAsia="宋体"/>
      <w:szCs w:val="21"/>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style>
  <w:style w:type="character" w:styleId="29">
    <w:name w:val="page number"/>
    <w:basedOn w:val="27"/>
    <w:qFormat/>
    <w:uiPriority w:val="0"/>
  </w:style>
  <w:style w:type="character" w:styleId="30">
    <w:name w:val="Emphasis"/>
    <w:basedOn w:val="27"/>
    <w:qFormat/>
    <w:uiPriority w:val="0"/>
    <w:rPr>
      <w:i/>
    </w:rPr>
  </w:style>
  <w:style w:type="character" w:styleId="31">
    <w:name w:val="Hyperlink"/>
    <w:basedOn w:val="27"/>
    <w:qFormat/>
    <w:uiPriority w:val="0"/>
    <w:rPr>
      <w:color w:val="0000FF"/>
      <w:u w:val="single"/>
    </w:rPr>
  </w:style>
  <w:style w:type="paragraph" w:customStyle="1" w:styleId="32">
    <w:name w:val="Default"/>
    <w:next w:val="33"/>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3">
    <w:name w:val="样式1"/>
    <w:basedOn w:val="13"/>
    <w:next w:val="1"/>
    <w:qFormat/>
    <w:uiPriority w:val="0"/>
    <w:pPr>
      <w:spacing w:line="360" w:lineRule="exact"/>
      <w:jc w:val="center"/>
    </w:pPr>
    <w:rPr>
      <w:b w:val="0"/>
      <w:bCs w:val="0"/>
      <w:sz w:val="18"/>
      <w:szCs w:val="21"/>
    </w:rPr>
  </w:style>
  <w:style w:type="paragraph" w:customStyle="1" w:styleId="34">
    <w:name w:val=" Char"/>
    <w:basedOn w:val="10"/>
    <w:qFormat/>
    <w:uiPriority w:val="0"/>
    <w:rPr>
      <w:rFonts w:ascii="Tahoma" w:hAnsi="Tahoma" w:cs="Tahoma"/>
      <w:sz w:val="28"/>
    </w:rPr>
  </w:style>
  <w:style w:type="paragraph" w:customStyle="1" w:styleId="35">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36">
    <w:name w:val="正文2"/>
    <w:basedOn w:val="1"/>
    <w:qFormat/>
    <w:uiPriority w:val="0"/>
    <w:pPr>
      <w:jc w:val="center"/>
    </w:pPr>
    <w:rPr>
      <w:rFonts w:ascii="宋体"/>
      <w:sz w:val="24"/>
    </w:rPr>
  </w:style>
  <w:style w:type="paragraph" w:customStyle="1" w:styleId="37">
    <w:name w:val="_Style 25"/>
    <w:basedOn w:val="3"/>
    <w:next w:val="2"/>
    <w:qFormat/>
    <w:uiPriority w:val="0"/>
    <w:pPr>
      <w:ind w:firstLine="420" w:firstLineChars="100"/>
    </w:pPr>
    <w:rPr>
      <w:rFonts w:ascii="Times New Roman" w:hAnsi="Times New Roman"/>
      <w:szCs w:val="24"/>
    </w:rPr>
  </w:style>
  <w:style w:type="paragraph" w:customStyle="1" w:styleId="38">
    <w:name w:val="List Paragraph"/>
    <w:basedOn w:val="1"/>
    <w:qFormat/>
    <w:uiPriority w:val="0"/>
    <w:pPr>
      <w:ind w:firstLine="420" w:firstLineChars="200"/>
    </w:pPr>
    <w:rPr>
      <w:szCs w:val="21"/>
    </w:rPr>
  </w:style>
  <w:style w:type="paragraph" w:customStyle="1" w:styleId="39">
    <w:name w:val="首行缩进2字符"/>
    <w:basedOn w:val="1"/>
    <w:qFormat/>
    <w:uiPriority w:val="0"/>
    <w:pPr>
      <w:spacing w:line="360" w:lineRule="auto"/>
      <w:ind w:firstLine="560" w:firstLineChars="200"/>
    </w:pPr>
    <w:rPr>
      <w:sz w:val="28"/>
      <w:szCs w:val="28"/>
    </w:rPr>
  </w:style>
  <w:style w:type="paragraph" w:customStyle="1" w:styleId="40">
    <w:name w:val="L正文"/>
    <w:basedOn w:val="1"/>
    <w:qFormat/>
    <w:uiPriority w:val="0"/>
    <w:rPr>
      <w:sz w:val="28"/>
      <w:szCs w:val="24"/>
    </w:rPr>
  </w:style>
  <w:style w:type="paragraph" w:customStyle="1" w:styleId="41">
    <w:name w:val="章标题"/>
    <w:basedOn w:val="1"/>
    <w:next w:val="35"/>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42">
    <w:name w:val="表格1"/>
    <w:basedOn w:val="1"/>
    <w:qFormat/>
    <w:uiPriority w:val="0"/>
    <w:pPr>
      <w:keepNext w:val="0"/>
      <w:keepLines w:val="0"/>
      <w:widowControl w:val="0"/>
      <w:suppressLineNumbers w:val="0"/>
      <w:adjustRightInd w:val="0"/>
      <w:snapToGrid w:val="0"/>
      <w:spacing w:before="0" w:beforeLines="0" w:beforeAutospacing="0" w:after="0" w:afterLines="0" w:afterAutospacing="0" w:line="240" w:lineRule="auto"/>
      <w:ind w:left="0" w:right="0" w:firstLine="0" w:firstLineChars="0"/>
      <w:jc w:val="center"/>
    </w:pPr>
    <w:rPr>
      <w:rFonts w:ascii="Times New Roman" w:hAnsi="Times New Roman"/>
      <w:kern w:val="0"/>
      <w:sz w:val="28"/>
      <w:szCs w:val="20"/>
      <w:lang w:bidi="ar"/>
    </w:rPr>
  </w:style>
  <w:style w:type="paragraph" w:customStyle="1" w:styleId="43">
    <w:name w:val="p16"/>
    <w:basedOn w:val="1"/>
    <w:qFormat/>
    <w:uiPriority w:val="99"/>
    <w:pPr>
      <w:widowControl/>
      <w:spacing w:before="100" w:after="100"/>
      <w:jc w:val="left"/>
    </w:pPr>
    <w:rPr>
      <w:rFonts w:ascii="宋体" w:hAnsi="宋体"/>
      <w:kern w:val="0"/>
      <w:sz w:val="24"/>
    </w:rPr>
  </w:style>
  <w:style w:type="character" w:customStyle="1" w:styleId="44">
    <w:name w:val="NormalCharacter"/>
    <w:qFormat/>
    <w:uiPriority w:val="99"/>
    <w:rPr>
      <w:rFonts w:ascii="Times New Roman" w:hAnsi="Times New Roman" w:eastAsia="宋体"/>
    </w:rPr>
  </w:style>
  <w:style w:type="paragraph" w:customStyle="1" w:styleId="45">
    <w:name w:val="formatted"/>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46">
    <w:name w:val="小四号正文"/>
    <w:basedOn w:val="1"/>
    <w:qFormat/>
    <w:uiPriority w:val="0"/>
    <w:pPr>
      <w:spacing w:line="360" w:lineRule="auto"/>
      <w:ind w:firstLine="200" w:firstLineChars="200"/>
    </w:pPr>
    <w:rPr>
      <w:sz w:val="24"/>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二级条标题"/>
    <w:basedOn w:val="49"/>
    <w:next w:val="1"/>
    <w:qFormat/>
    <w:uiPriority w:val="0"/>
    <w:pPr>
      <w:numPr>
        <w:ilvl w:val="6"/>
        <w:numId w:val="1"/>
      </w:numPr>
      <w:tabs>
        <w:tab w:val="left" w:pos="360"/>
      </w:tabs>
      <w:ind w:left="735"/>
      <w:outlineLvl w:val="3"/>
    </w:pPr>
  </w:style>
  <w:style w:type="paragraph" w:customStyle="1" w:styleId="49">
    <w:name w:val="一级条标题"/>
    <w:basedOn w:val="41"/>
    <w:next w:val="1"/>
    <w:qFormat/>
    <w:uiPriority w:val="0"/>
    <w:pPr>
      <w:numPr>
        <w:ilvl w:val="5"/>
        <w:numId w:val="1"/>
      </w:numPr>
      <w:tabs>
        <w:tab w:val="left" w:pos="360"/>
      </w:tabs>
      <w:spacing w:before="0" w:beforeLines="0" w:after="0" w:afterLines="0"/>
      <w:ind w:left="525"/>
      <w:outlineLvl w:val="2"/>
    </w:pPr>
  </w:style>
  <w:style w:type="paragraph" w:customStyle="1" w:styleId="50">
    <w:name w:val="Body text|3"/>
    <w:basedOn w:val="1"/>
    <w:qFormat/>
    <w:uiPriority w:val="99"/>
    <w:pPr>
      <w:spacing w:after="40" w:line="621" w:lineRule="exact"/>
      <w:ind w:firstLine="660"/>
    </w:pPr>
    <w:rPr>
      <w:rFonts w:ascii="宋体" w:hAnsi="宋体" w:cs="宋体"/>
      <w:sz w:val="30"/>
      <w:szCs w:val="30"/>
      <w:lang w:val="zh-TW" w:eastAsia="zh-TW"/>
    </w:rPr>
  </w:style>
  <w:style w:type="paragraph" w:customStyle="1" w:styleId="51">
    <w:name w:val="Table Paragraph"/>
    <w:basedOn w:val="1"/>
    <w:qFormat/>
    <w:uiPriority w:val="1"/>
    <w:rPr>
      <w:rFonts w:ascii="宋体" w:hAnsi="宋体" w:eastAsia="宋体" w:cs="宋体"/>
    </w:rPr>
  </w:style>
  <w:style w:type="paragraph" w:customStyle="1" w:styleId="52">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szCs w:val="20"/>
    </w:rPr>
  </w:style>
  <w:style w:type="paragraph" w:customStyle="1" w:styleId="53">
    <w:name w:val="_Style 197"/>
    <w:basedOn w:val="1"/>
    <w:next w:val="38"/>
    <w:qFormat/>
    <w:uiPriority w:val="0"/>
    <w:pPr>
      <w:snapToGrid/>
      <w:spacing w:line="240" w:lineRule="auto"/>
      <w:ind w:firstLine="200" w:firstLineChars="200"/>
    </w:pPr>
    <w:rPr>
      <w:rFonts w:ascii="Calibri" w:hAnsi="Calibri"/>
      <w:sz w:val="21"/>
      <w:szCs w:val="22"/>
    </w:rPr>
  </w:style>
  <w:style w:type="paragraph" w:customStyle="1" w:styleId="54">
    <w:name w:val="WPSOffice手动目录 2"/>
    <w:uiPriority w:val="0"/>
    <w:pPr>
      <w:ind w:leftChars="200"/>
    </w:pPr>
    <w:rPr>
      <w:rFonts w:ascii="Times New Roman" w:hAnsi="Times New Roman" w:eastAsia="宋体" w:cs="Times New Roman"/>
      <w:sz w:val="20"/>
      <w:szCs w:val="20"/>
    </w:rPr>
  </w:style>
  <w:style w:type="paragraph" w:customStyle="1" w:styleId="55">
    <w:name w:val="BodyText1I"/>
    <w:basedOn w:val="56"/>
    <w:qFormat/>
    <w:uiPriority w:val="0"/>
    <w:pPr>
      <w:autoSpaceDE/>
      <w:autoSpaceDN/>
      <w:spacing w:after="120" w:line="240" w:lineRule="auto"/>
      <w:ind w:firstLine="420" w:firstLineChars="100"/>
      <w:jc w:val="both"/>
      <w:textAlignment w:val="auto"/>
    </w:pPr>
    <w:rPr>
      <w:rFonts w:ascii="Times New Roman" w:hAnsi="Calibri" w:eastAsia="宋体"/>
      <w:color w:val="000000"/>
      <w:kern w:val="2"/>
      <w:sz w:val="21"/>
      <w:szCs w:val="24"/>
      <w:lang w:val="en-US" w:eastAsia="zh-CN" w:bidi="ar-SA"/>
    </w:rPr>
  </w:style>
  <w:style w:type="paragraph" w:customStyle="1" w:styleId="56">
    <w:name w:val="BodyText"/>
    <w:basedOn w:val="1"/>
    <w:qFormat/>
    <w:uiPriority w:val="0"/>
    <w:pPr>
      <w:spacing w:line="400" w:lineRule="exact"/>
      <w:jc w:val="both"/>
      <w:textAlignment w:val="baseline"/>
    </w:pPr>
    <w:rPr>
      <w:rFonts w:ascii="Calibri" w:hAnsi="Calibri" w:eastAsia="宋体"/>
      <w:kern w:val="2"/>
      <w:sz w:val="28"/>
      <w:szCs w:val="24"/>
      <w:lang w:val="en-US" w:eastAsia="zh-CN" w:bidi="ar-SA"/>
    </w:rPr>
  </w:style>
  <w:style w:type="paragraph" w:customStyle="1" w:styleId="57">
    <w:name w:val="_Style 2"/>
    <w:basedOn w:val="1"/>
    <w:qFormat/>
    <w:uiPriority w:val="0"/>
    <w:pPr>
      <w:ind w:firstLine="420" w:firstLineChars="200"/>
    </w:pPr>
  </w:style>
  <w:style w:type="paragraph" w:customStyle="1" w:styleId="58">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59">
    <w:name w:val="附录标识"/>
    <w:basedOn w:val="1"/>
    <w:uiPriority w:val="0"/>
    <w:pPr>
      <w:numPr>
        <w:ilvl w:val="0"/>
        <w:numId w:val="2"/>
      </w:numPr>
      <w:tabs>
        <w:tab w:val="left" w:pos="6405"/>
      </w:tabs>
      <w:spacing w:after="200" w:afterLines="0" w:afterAutospacing="0"/>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60967</Words>
  <Characters>63986</Characters>
  <Lines>0</Lines>
  <Paragraphs>0</Paragraphs>
  <TotalTime>1</TotalTime>
  <ScaleCrop>false</ScaleCrop>
  <LinksUpToDate>false</LinksUpToDate>
  <CharactersWithSpaces>65522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2021-04-12T09:00:00Z</dcterms:created>
  <dc:creator>Administrator</dc:creator>
  <cp:lastModifiedBy>玫瑰园的茉莉</cp:lastModifiedBy>
  <cp:lastPrinted>2021-05-17T08:21:00Z</cp:lastPrinted>
  <dcterms:modified xsi:type="dcterms:W3CDTF">2021-07-21T09:45:59Z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C9CD6890F37E46E2AA511B55EF5CB6D0</vt:lpwstr>
  </property>
</Properties>
</file>