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b/>
          <w:bCs/>
          <w:sz w:val="44"/>
          <w:szCs w:val="44"/>
          <w:lang w:val="zh-CN"/>
        </w:rPr>
      </w:pPr>
      <w:r>
        <w:rPr>
          <w:rFonts w:ascii="宋体" w:hAnsi="宋体"/>
          <w:b/>
          <w:bCs/>
          <w:sz w:val="44"/>
          <w:szCs w:val="44"/>
          <w:lang w:val="zh-CN"/>
        </w:rPr>
        <w:t>南充石达化工有限公司安全生产事故</w:t>
      </w:r>
    </w:p>
    <w:p>
      <w:pPr>
        <w:autoSpaceDE w:val="0"/>
        <w:autoSpaceDN w:val="0"/>
        <w:adjustRightInd w:val="0"/>
        <w:spacing w:line="360" w:lineRule="auto"/>
        <w:jc w:val="center"/>
        <w:rPr>
          <w:rFonts w:hint="eastAsia" w:ascii="宋体" w:hAnsi="宋体" w:eastAsia="宋体"/>
          <w:b/>
          <w:bCs/>
          <w:sz w:val="44"/>
          <w:szCs w:val="44"/>
          <w:lang w:eastAsia="zh-CN"/>
        </w:rPr>
      </w:pPr>
      <w:r>
        <w:rPr>
          <w:rFonts w:ascii="宋体" w:hAnsi="宋体"/>
          <w:b/>
          <w:bCs/>
          <w:sz w:val="44"/>
          <w:szCs w:val="44"/>
          <w:lang w:val="zh-CN"/>
        </w:rPr>
        <w:t>应急救援预案</w:t>
      </w:r>
      <w:r>
        <w:rPr>
          <w:rFonts w:hint="eastAsia" w:ascii="宋体" w:hAnsi="宋体"/>
          <w:b/>
          <w:bCs/>
          <w:sz w:val="44"/>
          <w:szCs w:val="44"/>
          <w:lang w:val="zh-CN" w:eastAsia="zh-CN"/>
        </w:rPr>
        <w:t>修改说明</w:t>
      </w:r>
    </w:p>
    <w:p>
      <w:pPr>
        <w:widowControl/>
        <w:spacing w:line="480" w:lineRule="exact"/>
        <w:ind w:firstLine="560" w:firstLineChars="200"/>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sz w:val="28"/>
          <w:szCs w:val="28"/>
        </w:rPr>
        <w:t>2020年12月11日，</w:t>
      </w:r>
      <w:r>
        <w:rPr>
          <w:rFonts w:hint="eastAsia" w:asciiTheme="minorEastAsia" w:hAnsiTheme="minorEastAsia" w:eastAsiaTheme="minorEastAsia" w:cstheme="minorEastAsia"/>
          <w:bCs/>
          <w:sz w:val="28"/>
          <w:szCs w:val="28"/>
        </w:rPr>
        <w:t>南充石达化工有限公司</w:t>
      </w:r>
      <w:r>
        <w:rPr>
          <w:rFonts w:hint="eastAsia" w:asciiTheme="minorEastAsia" w:hAnsiTheme="minorEastAsia" w:eastAsiaTheme="minorEastAsia" w:cstheme="minorEastAsia"/>
          <w:sz w:val="28"/>
          <w:szCs w:val="28"/>
        </w:rPr>
        <w:t>组织专家对</w:t>
      </w:r>
      <w:r>
        <w:rPr>
          <w:rFonts w:hint="eastAsia" w:asciiTheme="minorEastAsia" w:hAnsiTheme="minorEastAsia" w:eastAsiaTheme="minorEastAsia" w:cstheme="minorEastAsia"/>
          <w:sz w:val="28"/>
          <w:szCs w:val="28"/>
          <w:lang w:eastAsia="zh-CN"/>
        </w:rPr>
        <w:t>本</w:t>
      </w:r>
      <w:r>
        <w:rPr>
          <w:rFonts w:hint="eastAsia" w:asciiTheme="minorEastAsia" w:hAnsiTheme="minorEastAsia" w:eastAsiaTheme="minorEastAsia" w:cstheme="minorEastAsia"/>
          <w:sz w:val="28"/>
          <w:szCs w:val="28"/>
        </w:rPr>
        <w:t>公司编制的生产安全事故综合预案及专项预案进行了评审，</w:t>
      </w:r>
      <w:r>
        <w:rPr>
          <w:rFonts w:hint="eastAsia" w:asciiTheme="minorEastAsia" w:hAnsiTheme="minorEastAsia" w:eastAsiaTheme="minorEastAsia" w:cstheme="minorEastAsia"/>
          <w:sz w:val="28"/>
          <w:szCs w:val="28"/>
          <w:lang w:eastAsia="zh-CN"/>
        </w:rPr>
        <w:t>针对专家提出的评审修改意见，公司组织人员，</w:t>
      </w:r>
      <w:bookmarkStart w:id="1" w:name="_GoBack"/>
      <w:bookmarkEnd w:id="1"/>
      <w:r>
        <w:rPr>
          <w:rFonts w:hint="eastAsia" w:asciiTheme="minorEastAsia" w:hAnsiTheme="minorEastAsia" w:eastAsiaTheme="minorEastAsia" w:cstheme="minorEastAsia"/>
          <w:sz w:val="28"/>
          <w:szCs w:val="28"/>
          <w:lang w:eastAsia="zh-CN"/>
        </w:rPr>
        <w:t>对应急预案进行了修改和完善。现将修改和完善情况说明如下：</w:t>
      </w:r>
    </w:p>
    <w:p>
      <w:pPr>
        <w:spacing w:line="44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对</w:t>
      </w:r>
      <w:r>
        <w:rPr>
          <w:rFonts w:hint="eastAsia" w:asciiTheme="minorEastAsia" w:hAnsiTheme="minorEastAsia" w:eastAsiaTheme="minorEastAsia" w:cstheme="minorEastAsia"/>
          <w:sz w:val="28"/>
          <w:szCs w:val="28"/>
        </w:rPr>
        <w:t>应急预案文字、格式等内容</w:t>
      </w:r>
      <w:r>
        <w:rPr>
          <w:rFonts w:hint="eastAsia" w:asciiTheme="minorEastAsia" w:hAnsiTheme="minorEastAsia" w:eastAsiaTheme="minorEastAsia" w:cstheme="minorEastAsia"/>
          <w:sz w:val="28"/>
          <w:szCs w:val="28"/>
          <w:lang w:eastAsia="zh-CN"/>
        </w:rPr>
        <w:t>进行了修订；</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2、编制依据中</w:t>
      </w:r>
      <w:r>
        <w:rPr>
          <w:rFonts w:hint="eastAsia" w:asciiTheme="minorEastAsia" w:hAnsiTheme="minorEastAsia" w:eastAsiaTheme="minorEastAsia" w:cstheme="minorEastAsia"/>
          <w:sz w:val="28"/>
          <w:szCs w:val="28"/>
          <w:lang w:eastAsia="zh-CN"/>
        </w:rPr>
        <w:t>增加了</w:t>
      </w:r>
      <w:r>
        <w:rPr>
          <w:rFonts w:hint="eastAsia" w:asciiTheme="minorEastAsia" w:hAnsiTheme="minorEastAsia" w:eastAsiaTheme="minorEastAsia" w:cstheme="minorEastAsia"/>
          <w:sz w:val="28"/>
          <w:szCs w:val="28"/>
        </w:rPr>
        <w:t>《生产安全事故应急预案管理办法》（应急管理部2号令）</w:t>
      </w:r>
      <w:r>
        <w:rPr>
          <w:rFonts w:hint="eastAsia" w:asciiTheme="minorEastAsia" w:hAnsiTheme="minorEastAsia" w:eastAsiaTheme="minorEastAsia" w:cstheme="minorEastAsia"/>
          <w:sz w:val="28"/>
          <w:szCs w:val="28"/>
          <w:lang w:eastAsia="zh-CN"/>
        </w:rPr>
        <w:t>，将《安全色》</w:t>
      </w:r>
      <w:r>
        <w:rPr>
          <w:rFonts w:hint="eastAsia" w:asciiTheme="minorEastAsia" w:hAnsiTheme="minorEastAsia" w:eastAsiaTheme="minorEastAsia" w:cstheme="minorEastAsia"/>
          <w:sz w:val="28"/>
          <w:szCs w:val="28"/>
          <w:lang w:val="en-US" w:eastAsia="zh-CN"/>
        </w:rPr>
        <w:t>GB2893－2008修改为</w:t>
      </w:r>
      <w:r>
        <w:rPr>
          <w:rFonts w:hint="eastAsia" w:asciiTheme="minorEastAsia" w:hAnsiTheme="minorEastAsia" w:eastAsiaTheme="minorEastAsia" w:cstheme="minorEastAsia"/>
          <w:sz w:val="28"/>
          <w:szCs w:val="28"/>
        </w:rPr>
        <w:t>《图形符号安全色和安全标志 第5部分：安全标志使用原则与要求》GB/T 2893.5-2020</w:t>
      </w:r>
      <w:r>
        <w:rPr>
          <w:rFonts w:hint="eastAsia" w:asciiTheme="minorEastAsia" w:hAnsiTheme="minorEastAsia" w:eastAsiaTheme="minorEastAsia" w:cstheme="minorEastAsia"/>
          <w:sz w:val="28"/>
          <w:szCs w:val="28"/>
          <w:lang w:eastAsia="zh-CN"/>
        </w:rPr>
        <w:t>，并将</w:t>
      </w:r>
      <w:r>
        <w:rPr>
          <w:rFonts w:hint="eastAsia" w:asciiTheme="minorEastAsia" w:hAnsiTheme="minorEastAsia" w:eastAsiaTheme="minorEastAsia" w:cstheme="minorEastAsia"/>
          <w:sz w:val="28"/>
          <w:szCs w:val="28"/>
        </w:rPr>
        <w:t>《安全标志及其使用导则》（GB2894-20</w:t>
      </w:r>
      <w:r>
        <w:rPr>
          <w:rFonts w:hint="eastAsia" w:asciiTheme="minorEastAsia" w:hAnsiTheme="minorEastAsia" w:eastAsia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修改为</w:t>
      </w:r>
      <w:r>
        <w:rPr>
          <w:rFonts w:hint="eastAsia" w:asciiTheme="minorEastAsia" w:hAnsiTheme="minorEastAsia" w:eastAsiaTheme="minorEastAsia" w:cstheme="minorEastAsia"/>
          <w:sz w:val="28"/>
          <w:szCs w:val="28"/>
        </w:rPr>
        <w:t>（GB2894-20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p>
    <w:p>
      <w:pPr>
        <w:spacing w:line="44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3、明确应急响应分级要素的具体内容</w:t>
      </w:r>
      <w:r>
        <w:rPr>
          <w:rFonts w:hint="eastAsia" w:asciiTheme="minorEastAsia" w:hAnsiTheme="minorEastAsia" w:eastAsiaTheme="minorEastAsia" w:cstheme="minorEastAsia"/>
          <w:sz w:val="28"/>
          <w:szCs w:val="28"/>
          <w:lang w:eastAsia="zh-CN"/>
        </w:rPr>
        <w:t>，详细情况见预案</w:t>
      </w:r>
      <w:r>
        <w:rPr>
          <w:rFonts w:hint="eastAsia" w:asciiTheme="minorEastAsia" w:hAnsiTheme="minorEastAsia" w:eastAsiaTheme="minorEastAsia" w:cstheme="minorEastAsia"/>
          <w:sz w:val="28"/>
          <w:szCs w:val="28"/>
          <w:lang w:val="en-US" w:eastAsia="zh-CN"/>
        </w:rPr>
        <w:t>1.4节；</w:t>
      </w:r>
    </w:p>
    <w:p>
      <w:pPr>
        <w:pStyle w:val="7"/>
        <w:tabs>
          <w:tab w:val="right" w:leader="dot" w:pos="8300"/>
        </w:tabs>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4、细化应急组织机构及人员职责</w:t>
      </w:r>
      <w:r>
        <w:rPr>
          <w:rFonts w:hint="eastAsia" w:asciiTheme="minorEastAsia" w:hAnsiTheme="minorEastAsia" w:eastAsiaTheme="minorEastAsia" w:cstheme="minorEastAsia"/>
          <w:sz w:val="28"/>
          <w:szCs w:val="28"/>
          <w:lang w:eastAsia="zh-CN"/>
        </w:rPr>
        <w:t>，详细情况见预案</w:t>
      </w:r>
      <w:r>
        <w:rPr>
          <w:rFonts w:hint="eastAsia" w:asciiTheme="minorEastAsia" w:hAnsiTheme="minorEastAsia" w:eastAsiaTheme="minorEastAsia" w:cstheme="minorEastAsia"/>
          <w:sz w:val="28"/>
          <w:szCs w:val="28"/>
          <w:lang w:val="en-US" w:eastAsia="zh-CN"/>
        </w:rPr>
        <w:t>2.1节；</w:t>
      </w:r>
    </w:p>
    <w:p>
      <w:pPr>
        <w:pStyle w:val="7"/>
        <w:tabs>
          <w:tab w:val="right" w:leader="dot" w:pos="8300"/>
        </w:tabs>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5、应急队伍保障应明确相应的人力资源(包括专家、技术、专兼职应急救援队伍及协议应急救援队伍等内容)</w:t>
      </w:r>
      <w:r>
        <w:rPr>
          <w:rFonts w:hint="eastAsia" w:asciiTheme="minorEastAsia" w:hAnsiTheme="minorEastAsia" w:eastAsiaTheme="minorEastAsia" w:cstheme="minorEastAsia"/>
          <w:sz w:val="28"/>
          <w:szCs w:val="28"/>
          <w:lang w:eastAsia="zh-CN"/>
        </w:rPr>
        <w:t>，见综合应急预案</w:t>
      </w:r>
      <w:r>
        <w:rPr>
          <w:rFonts w:hint="eastAsia" w:asciiTheme="minorEastAsia" w:hAnsiTheme="minorEastAsia" w:eastAsiaTheme="minorEastAsia" w:cstheme="minorEastAsia"/>
          <w:sz w:val="28"/>
          <w:szCs w:val="28"/>
          <w:lang w:val="en-US" w:eastAsia="zh-CN"/>
        </w:rPr>
        <w:t>2.3条。</w:t>
      </w:r>
    </w:p>
    <w:p>
      <w:pPr>
        <w:spacing w:line="440" w:lineRule="exact"/>
        <w:ind w:firstLine="560" w:firstLineChars="200"/>
        <w:rPr>
          <w:rFonts w:hint="eastAsia" w:asciiTheme="minorEastAsia" w:hAnsiTheme="minorEastAsia" w:eastAsiaTheme="minorEastAsia" w:cstheme="minorEastAsia"/>
          <w:w w:val="90"/>
          <w:sz w:val="28"/>
          <w:szCs w:val="28"/>
          <w:lang w:val="en-US" w:eastAsia="zh-CN"/>
        </w:rPr>
      </w:pPr>
      <w:r>
        <w:rPr>
          <w:rFonts w:hint="eastAsia" w:asciiTheme="minorEastAsia" w:hAnsiTheme="minorEastAsia" w:eastAsiaTheme="minorEastAsia" w:cstheme="minorEastAsia"/>
          <w:sz w:val="28"/>
          <w:szCs w:val="28"/>
        </w:rPr>
        <w:t>6、专项预案中补充组织机构包括储存单元现场班组人员</w:t>
      </w:r>
      <w:r>
        <w:rPr>
          <w:rFonts w:hint="eastAsia" w:asciiTheme="minorEastAsia" w:hAnsiTheme="minorEastAsia" w:eastAsiaTheme="minorEastAsia" w:cstheme="minorEastAsia"/>
          <w:sz w:val="28"/>
          <w:szCs w:val="28"/>
          <w:lang w:eastAsia="zh-CN"/>
        </w:rPr>
        <w:t>。详细情况见《</w:t>
      </w:r>
      <w:r>
        <w:rPr>
          <w:rFonts w:hint="eastAsia" w:asciiTheme="minorEastAsia" w:hAnsiTheme="minorEastAsia" w:eastAsiaTheme="minorEastAsia" w:cstheme="minorEastAsia"/>
          <w:sz w:val="28"/>
          <w:szCs w:val="28"/>
          <w:lang w:val="zh-CN"/>
        </w:rPr>
        <w:t>原料存储单元重大危险源专项预案</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3.2节第7小节和《异辛烷存储单元专项预案》3.2节第7小节。</w:t>
      </w:r>
    </w:p>
    <w:p>
      <w:pPr>
        <w:spacing w:line="48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7、现场处置方案中应急处置措施明确报警责任人以及报警电话上报管理部门、相关应急救援单位、联系方式和联系人员，事故报告的基本要求</w:t>
      </w:r>
      <w:r>
        <w:rPr>
          <w:rFonts w:hint="eastAsia" w:asciiTheme="minorEastAsia" w:hAnsiTheme="minorEastAsia" w:eastAsiaTheme="minorEastAsia" w:cstheme="minorEastAsia"/>
          <w:sz w:val="28"/>
          <w:szCs w:val="28"/>
          <w:lang w:eastAsia="zh-CN"/>
        </w:rPr>
        <w:t>等内容，补充在各现场外置方案第</w:t>
      </w:r>
      <w:r>
        <w:rPr>
          <w:rFonts w:hint="eastAsia" w:asciiTheme="minorEastAsia" w:hAnsiTheme="minorEastAsia" w:eastAsiaTheme="minorEastAsia" w:cstheme="minorEastAsia"/>
          <w:sz w:val="28"/>
          <w:szCs w:val="28"/>
          <w:lang w:val="en-US" w:eastAsia="zh-CN"/>
        </w:rPr>
        <w:t>4节应急程序部分中。</w:t>
      </w:r>
    </w:p>
    <w:p>
      <w:pPr>
        <w:spacing w:line="48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8、补充联动实施细则</w:t>
      </w:r>
      <w:r>
        <w:rPr>
          <w:rFonts w:hint="eastAsia" w:asciiTheme="minorEastAsia" w:hAnsiTheme="minorEastAsia" w:eastAsiaTheme="minorEastAsia" w:cstheme="minorEastAsia"/>
          <w:sz w:val="28"/>
          <w:szCs w:val="28"/>
          <w:lang w:eastAsia="zh-CN"/>
        </w:rPr>
        <w:t>，见综合应急预案</w:t>
      </w:r>
      <w:r>
        <w:rPr>
          <w:rFonts w:hint="eastAsia" w:asciiTheme="minorEastAsia" w:hAnsiTheme="minorEastAsia" w:eastAsiaTheme="minorEastAsia" w:cstheme="minorEastAsia"/>
          <w:sz w:val="28"/>
          <w:szCs w:val="28"/>
          <w:lang w:val="en-US" w:eastAsia="zh-CN"/>
        </w:rPr>
        <w:t>1.4条响应分级及联动实施。</w:t>
      </w:r>
    </w:p>
    <w:p>
      <w:pPr>
        <w:pStyle w:val="6"/>
        <w:ind w:firstLine="560" w:firstLineChars="200"/>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rPr>
        <w:t>9、增加</w:t>
      </w:r>
      <w:r>
        <w:rPr>
          <w:rFonts w:hint="eastAsia" w:asciiTheme="minorEastAsia" w:hAnsiTheme="minorEastAsia" w:eastAsiaTheme="minorEastAsia" w:cstheme="minorEastAsia"/>
          <w:b w:val="0"/>
          <w:bCs w:val="0"/>
          <w:sz w:val="28"/>
          <w:szCs w:val="28"/>
          <w:lang w:eastAsia="zh-CN"/>
        </w:rPr>
        <w:t>了</w:t>
      </w:r>
      <w:r>
        <w:rPr>
          <w:rFonts w:hint="eastAsia" w:asciiTheme="minorEastAsia" w:hAnsiTheme="minorEastAsia" w:eastAsiaTheme="minorEastAsia" w:cstheme="minorEastAsia"/>
          <w:b w:val="0"/>
          <w:bCs w:val="0"/>
          <w:sz w:val="28"/>
          <w:szCs w:val="28"/>
        </w:rPr>
        <w:t>风险分析结果的应对措施</w:t>
      </w:r>
      <w:r>
        <w:rPr>
          <w:rFonts w:hint="eastAsia" w:asciiTheme="minorEastAsia" w:hAnsiTheme="minorEastAsia" w:eastAsiaTheme="minorEastAsia" w:cstheme="minorEastAsia"/>
          <w:b w:val="0"/>
          <w:bCs w:val="0"/>
          <w:sz w:val="28"/>
          <w:szCs w:val="28"/>
          <w:lang w:eastAsia="zh-CN"/>
        </w:rPr>
        <w:t>，详细情况见</w:t>
      </w:r>
      <w:bookmarkStart w:id="0" w:name="_Toc14844"/>
      <w:r>
        <w:rPr>
          <w:rFonts w:hint="eastAsia" w:asciiTheme="minorEastAsia" w:hAnsiTheme="minorEastAsia" w:eastAsiaTheme="minorEastAsia" w:cstheme="minorEastAsia"/>
          <w:b w:val="0"/>
          <w:bCs w:val="0"/>
          <w:sz w:val="28"/>
          <w:szCs w:val="28"/>
        </w:rPr>
        <w:t>附件2风险评估结果</w:t>
      </w:r>
      <w:bookmarkEnd w:id="0"/>
      <w:r>
        <w:rPr>
          <w:rFonts w:hint="eastAsia" w:asciiTheme="minorEastAsia" w:hAnsiTheme="minorEastAsia" w:eastAsiaTheme="minorEastAsia" w:cstheme="minorEastAsia"/>
          <w:b w:val="0"/>
          <w:bCs w:val="0"/>
          <w:sz w:val="28"/>
          <w:szCs w:val="28"/>
          <w:lang w:eastAsia="zh-CN"/>
        </w:rPr>
        <w:t>的中的风险防范措施。</w:t>
      </w:r>
    </w:p>
    <w:p>
      <w:pPr>
        <w:ind w:firstLine="560" w:firstLineChars="200"/>
        <w:rPr>
          <w:rFonts w:hint="eastAsia" w:asciiTheme="minorEastAsia" w:hAnsiTheme="minorEastAsia" w:eastAsiaTheme="minorEastAsia" w:cstheme="minorEastAsia"/>
          <w:sz w:val="28"/>
          <w:szCs w:val="28"/>
          <w:lang w:eastAsia="zh-CN"/>
        </w:rPr>
      </w:pPr>
    </w:p>
    <w:p>
      <w:pPr>
        <w:pStyle w:val="2"/>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C16BB"/>
    <w:rsid w:val="05DE5BDA"/>
    <w:rsid w:val="0B8752FB"/>
    <w:rsid w:val="0DC530E3"/>
    <w:rsid w:val="0FDE3AFC"/>
    <w:rsid w:val="23CC16BB"/>
    <w:rsid w:val="3031279B"/>
    <w:rsid w:val="505115D4"/>
    <w:rsid w:val="537B1030"/>
    <w:rsid w:val="5A35299B"/>
    <w:rsid w:val="77C11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Times New Roman" w:hAnsi="Times New Roman" w:eastAsia="宋体" w:cs="Times New Roman"/>
      <w:kern w:val="2"/>
      <w:sz w:val="28"/>
      <w:szCs w:val="24"/>
      <w:lang w:val="en-US" w:eastAsia="zh-CN" w:bidi="ar-SA"/>
    </w:rPr>
  </w:style>
  <w:style w:type="paragraph" w:styleId="6">
    <w:name w:val="heading 1"/>
    <w:basedOn w:val="1"/>
    <w:next w:val="1"/>
    <w:qFormat/>
    <w:uiPriority w:val="99"/>
    <w:pPr>
      <w:keepNext/>
      <w:keepLines/>
      <w:outlineLvl w:val="0"/>
    </w:pPr>
    <w:rPr>
      <w:b/>
      <w:bCs/>
      <w:kern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szCs w:val="24"/>
    </w:rPr>
  </w:style>
  <w:style w:type="paragraph" w:styleId="3">
    <w:name w:val="Body Text Indent"/>
    <w:basedOn w:val="1"/>
    <w:next w:val="4"/>
    <w:qFormat/>
    <w:uiPriority w:val="0"/>
    <w:pPr>
      <w:spacing w:after="120" w:line="240" w:lineRule="auto"/>
      <w:ind w:left="420" w:leftChars="200"/>
    </w:pPr>
    <w:rPr>
      <w:rFonts w:ascii="Times New Roman" w:hAnsi="Times New Roman" w:eastAsia="宋体" w:cs="Times New Roman"/>
      <w:sz w:val="21"/>
      <w:szCs w:val="24"/>
    </w:rPr>
  </w:style>
  <w:style w:type="paragraph" w:styleId="4">
    <w:name w:val="index heading"/>
    <w:basedOn w:val="1"/>
    <w:next w:val="5"/>
    <w:unhideWhenUsed/>
    <w:qFormat/>
    <w:uiPriority w:val="0"/>
    <w:pPr>
      <w:spacing w:beforeLines="0" w:afterLines="0"/>
    </w:pPr>
    <w:rPr>
      <w:rFonts w:hint="default" w:ascii="Tahoma" w:hAnsi="Tahoma" w:eastAsia="仿宋_GB2312"/>
      <w:sz w:val="28"/>
    </w:rPr>
  </w:style>
  <w:style w:type="paragraph" w:styleId="5">
    <w:name w:val="index 1"/>
    <w:basedOn w:val="1"/>
    <w:next w:val="1"/>
    <w:unhideWhenUsed/>
    <w:qFormat/>
    <w:uiPriority w:val="0"/>
    <w:pPr>
      <w:spacing w:beforeLines="0" w:afterLines="0"/>
    </w:pPr>
    <w:rPr>
      <w:rFonts w:hint="eastAsia"/>
      <w:sz w:val="28"/>
    </w:rPr>
  </w:style>
  <w:style w:type="paragraph" w:styleId="7">
    <w:name w:val="toc 1"/>
    <w:basedOn w:val="1"/>
    <w:next w:val="1"/>
    <w:qFormat/>
    <w:uiPriority w:val="39"/>
    <w:pPr>
      <w:spacing w:line="600" w:lineRule="exact"/>
    </w:pPr>
    <w:rPr>
      <w:rFonts w:ascii="Calibri" w:hAnsi="Calibri"/>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2020-12-15T02:19:00Z</dcterms:created>
  <dc:creator>棋迷</dc:creator>
  <cp:lastModifiedBy>嚣张的墙</cp:lastModifiedBy>
  <dcterms:modified xsi:type="dcterms:W3CDTF">2020-12-21T05:56:13Z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