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ind w:firstLine="1044"/>
        <w:jc w:val="right"/>
        <w:rPr>
          <w:b/>
          <w:sz w:val="28"/>
          <w:szCs w:val="28"/>
        </w:rPr>
      </w:pPr>
      <w:bookmarkStart w:id="0" w:name="_Toc459150227"/>
    </w:p>
    <w:p>
      <w:pPr>
        <w:jc w:val="center"/>
        <w:rPr>
          <w:sz w:val="32"/>
          <w:szCs w:val="32"/>
        </w:rPr>
      </w:pPr>
    </w:p>
    <w:p>
      <w:pPr>
        <w:spacing w:line="360" w:lineRule="auto"/>
        <w:rPr>
          <w:rFonts w:ascii="宋体" w:hAnsi="宋体"/>
          <w:b/>
          <w:bCs/>
          <w:caps/>
          <w:sz w:val="48"/>
          <w:szCs w:val="48"/>
        </w:rPr>
      </w:pPr>
    </w:p>
    <w:p>
      <w:pPr>
        <w:pStyle w:val="31"/>
        <w:ind w:left="0" w:leftChars="0" w:firstLine="0" w:firstLineChars="0"/>
        <w:jc w:val="center"/>
        <w:rPr>
          <w:sz w:val="44"/>
          <w:szCs w:val="44"/>
        </w:rPr>
      </w:pPr>
      <w:r>
        <w:rPr>
          <w:rFonts w:hint="eastAsia" w:ascii="宋体" w:hAnsi="宋体"/>
          <w:b/>
          <w:bCs/>
          <w:caps/>
          <w:sz w:val="44"/>
          <w:szCs w:val="44"/>
        </w:rPr>
        <w:t>南充市顺庆区芦溪农机加油站</w:t>
      </w:r>
    </w:p>
    <w:p>
      <w:pPr>
        <w:spacing w:line="360" w:lineRule="auto"/>
        <w:jc w:val="center"/>
        <w:rPr>
          <w:rFonts w:ascii="宋体" w:hAnsi="宋体"/>
          <w:b/>
          <w:bCs/>
          <w:caps/>
          <w:sz w:val="48"/>
          <w:szCs w:val="48"/>
        </w:rPr>
      </w:pPr>
    </w:p>
    <w:p>
      <w:pPr>
        <w:spacing w:line="360" w:lineRule="auto"/>
        <w:jc w:val="center"/>
        <w:rPr>
          <w:rFonts w:ascii="宋体" w:hAnsi="宋体"/>
          <w:b/>
          <w:bCs/>
          <w:caps/>
          <w:sz w:val="48"/>
          <w:szCs w:val="48"/>
        </w:rPr>
      </w:pPr>
    </w:p>
    <w:p>
      <w:pPr>
        <w:jc w:val="both"/>
        <w:rPr>
          <w:rFonts w:ascii="宋体" w:hAnsi="宋体"/>
          <w:b/>
          <w:bCs/>
          <w:caps/>
          <w:sz w:val="48"/>
          <w:szCs w:val="48"/>
        </w:rPr>
      </w:pPr>
    </w:p>
    <w:p>
      <w:pPr>
        <w:pStyle w:val="36"/>
        <w:jc w:val="center"/>
      </w:pPr>
    </w:p>
    <w:p>
      <w:pPr>
        <w:spacing w:line="360" w:lineRule="auto"/>
        <w:jc w:val="center"/>
        <w:rPr>
          <w:rFonts w:ascii="宋体" w:hAnsi="宋体"/>
          <w:b/>
          <w:bCs/>
          <w:caps/>
          <w:sz w:val="72"/>
          <w:szCs w:val="72"/>
        </w:rPr>
      </w:pPr>
      <w:r>
        <w:rPr>
          <w:rFonts w:hint="eastAsia" w:ascii="宋体" w:hAnsi="宋体"/>
          <w:b/>
          <w:bCs/>
          <w:caps/>
          <w:sz w:val="72"/>
          <w:szCs w:val="72"/>
          <w:lang w:eastAsia="zh-CN"/>
        </w:rPr>
        <w:t>事故</w:t>
      </w:r>
      <w:r>
        <w:rPr>
          <w:rFonts w:hint="eastAsia" w:ascii="宋体" w:hAnsi="宋体"/>
          <w:b/>
          <w:bCs/>
          <w:caps/>
          <w:sz w:val="72"/>
          <w:szCs w:val="72"/>
        </w:rPr>
        <w:t>应急资源调查报告</w:t>
      </w:r>
    </w:p>
    <w:p>
      <w:pPr>
        <w:jc w:val="center"/>
        <w:rPr>
          <w:sz w:val="32"/>
          <w:szCs w:val="32"/>
        </w:rPr>
      </w:pPr>
    </w:p>
    <w:p>
      <w:pPr>
        <w:jc w:val="center"/>
        <w:rPr>
          <w:sz w:val="32"/>
          <w:szCs w:val="32"/>
        </w:rPr>
      </w:pPr>
    </w:p>
    <w:p>
      <w:pPr>
        <w:pStyle w:val="36"/>
        <w:ind w:left="0" w:firstLine="0"/>
        <w:rPr>
          <w:sz w:val="32"/>
          <w:szCs w:val="32"/>
        </w:rPr>
      </w:pPr>
    </w:p>
    <w:p>
      <w:pPr>
        <w:rPr>
          <w:sz w:val="32"/>
          <w:szCs w:val="32"/>
        </w:rPr>
      </w:pPr>
    </w:p>
    <w:p>
      <w:pPr>
        <w:pStyle w:val="2"/>
        <w:rPr>
          <w:sz w:val="32"/>
          <w:szCs w:val="32"/>
        </w:rPr>
      </w:pPr>
    </w:p>
    <w:p>
      <w:pPr>
        <w:pStyle w:val="2"/>
        <w:rPr>
          <w:sz w:val="32"/>
          <w:szCs w:val="32"/>
        </w:rPr>
      </w:pPr>
    </w:p>
    <w:p>
      <w:pPr>
        <w:pStyle w:val="2"/>
        <w:rPr>
          <w:sz w:val="32"/>
          <w:szCs w:val="32"/>
        </w:rPr>
      </w:pPr>
    </w:p>
    <w:p>
      <w:pPr>
        <w:pStyle w:val="2"/>
        <w:rPr>
          <w:sz w:val="32"/>
          <w:szCs w:val="32"/>
        </w:rPr>
      </w:pPr>
    </w:p>
    <w:p>
      <w:pPr>
        <w:pStyle w:val="2"/>
        <w:rPr>
          <w:sz w:val="32"/>
          <w:szCs w:val="32"/>
        </w:rPr>
      </w:pPr>
    </w:p>
    <w:p>
      <w:pPr>
        <w:pStyle w:val="36"/>
      </w:pPr>
    </w:p>
    <w:tbl>
      <w:tblPr>
        <w:tblStyle w:val="53"/>
        <w:tblW w:w="7968" w:type="dxa"/>
        <w:jc w:val="center"/>
        <w:tblInd w:w="0" w:type="dxa"/>
        <w:tblLayout w:type="fixed"/>
        <w:tblCellMar>
          <w:top w:w="0" w:type="dxa"/>
          <w:left w:w="108" w:type="dxa"/>
          <w:bottom w:w="0" w:type="dxa"/>
          <w:right w:w="108" w:type="dxa"/>
        </w:tblCellMar>
      </w:tblPr>
      <w:tblGrid>
        <w:gridCol w:w="7968"/>
      </w:tblGrid>
      <w:tr>
        <w:tblPrEx>
          <w:tblLayout w:type="fixed"/>
          <w:tblCellMar>
            <w:top w:w="0" w:type="dxa"/>
            <w:left w:w="108" w:type="dxa"/>
            <w:bottom w:w="0" w:type="dxa"/>
            <w:right w:w="108" w:type="dxa"/>
          </w:tblCellMar>
        </w:tblPrEx>
        <w:trPr>
          <w:jc w:val="center"/>
        </w:trPr>
        <w:tc>
          <w:tcPr>
            <w:tcW w:w="7968" w:type="dxa"/>
            <w:vAlign w:val="center"/>
          </w:tcPr>
          <w:p>
            <w:pPr>
              <w:ind w:firstLine="280" w:firstLineChars="100"/>
              <w:jc w:val="center"/>
              <w:rPr>
                <w:rFonts w:eastAsia="黑体"/>
                <w:b/>
                <w:bCs/>
                <w:sz w:val="28"/>
                <w:szCs w:val="28"/>
              </w:rPr>
            </w:pPr>
            <w:r>
              <w:rPr>
                <w:rFonts w:eastAsia="黑体"/>
                <w:bCs/>
                <w:sz w:val="28"/>
                <w:szCs w:val="28"/>
              </w:rPr>
              <w:t>编制单位：</w:t>
            </w:r>
            <w:r>
              <w:rPr>
                <w:rFonts w:hint="eastAsia" w:eastAsia="黑体"/>
                <w:bCs/>
                <w:sz w:val="28"/>
                <w:szCs w:val="28"/>
              </w:rPr>
              <w:t>南充市顺庆区芦溪农机加油站</w:t>
            </w:r>
          </w:p>
        </w:tc>
      </w:tr>
      <w:tr>
        <w:tblPrEx>
          <w:tblLayout w:type="fixed"/>
          <w:tblCellMar>
            <w:top w:w="0" w:type="dxa"/>
            <w:left w:w="108" w:type="dxa"/>
            <w:bottom w:w="0" w:type="dxa"/>
            <w:right w:w="108" w:type="dxa"/>
          </w:tblCellMar>
        </w:tblPrEx>
        <w:trPr>
          <w:jc w:val="center"/>
        </w:trPr>
        <w:tc>
          <w:tcPr>
            <w:tcW w:w="7968" w:type="dxa"/>
            <w:vAlign w:val="center"/>
          </w:tcPr>
          <w:p>
            <w:pPr>
              <w:ind w:firstLine="280" w:firstLineChars="100"/>
              <w:jc w:val="center"/>
              <w:rPr>
                <w:sz w:val="28"/>
                <w:szCs w:val="28"/>
              </w:rPr>
            </w:pPr>
            <w:r>
              <w:rPr>
                <w:rFonts w:eastAsia="黑体"/>
                <w:bCs/>
                <w:sz w:val="28"/>
                <w:szCs w:val="28"/>
              </w:rPr>
              <w:t>编制时间：20</w:t>
            </w:r>
            <w:r>
              <w:rPr>
                <w:rFonts w:hint="eastAsia" w:eastAsia="黑体"/>
                <w:bCs/>
                <w:sz w:val="28"/>
                <w:szCs w:val="28"/>
              </w:rPr>
              <w:t>20</w:t>
            </w:r>
            <w:r>
              <w:rPr>
                <w:rFonts w:eastAsia="黑体"/>
                <w:bCs/>
                <w:sz w:val="28"/>
                <w:szCs w:val="28"/>
              </w:rPr>
              <w:t>年</w:t>
            </w:r>
            <w:r>
              <w:rPr>
                <w:rFonts w:hint="eastAsia" w:eastAsia="黑体"/>
                <w:bCs/>
                <w:sz w:val="28"/>
                <w:szCs w:val="28"/>
                <w:lang w:val="en-US" w:eastAsia="zh-CN"/>
              </w:rPr>
              <w:t>6</w:t>
            </w:r>
            <w:r>
              <w:rPr>
                <w:rFonts w:eastAsia="黑体"/>
                <w:bCs/>
                <w:sz w:val="28"/>
                <w:szCs w:val="28"/>
              </w:rPr>
              <w:t>月</w:t>
            </w:r>
          </w:p>
        </w:tc>
      </w:tr>
    </w:tbl>
    <w:p/>
    <w:p/>
    <w:p>
      <w:pPr>
        <w:sectPr>
          <w:pgSz w:w="11906" w:h="16838"/>
          <w:pgMar w:top="1418" w:right="1134" w:bottom="1134" w:left="1134" w:header="851" w:footer="992" w:gutter="0"/>
          <w:cols w:space="720" w:num="1"/>
          <w:docGrid w:type="lines" w:linePitch="312" w:charSpace="0"/>
        </w:sectPr>
      </w:pPr>
    </w:p>
    <w:p>
      <w:pPr>
        <w:jc w:val="center"/>
        <w:rPr>
          <w:rFonts w:eastAsia="黑体"/>
          <w:b/>
          <w:bCs/>
          <w:sz w:val="36"/>
          <w:szCs w:val="36"/>
        </w:rPr>
      </w:pPr>
      <w:bookmarkStart w:id="1" w:name="_Toc481937753"/>
      <w:bookmarkStart w:id="2" w:name="_Toc485124504"/>
      <w:r>
        <w:rPr>
          <w:rFonts w:eastAsia="黑体"/>
          <w:b/>
          <w:bCs/>
          <w:sz w:val="36"/>
          <w:szCs w:val="36"/>
        </w:rPr>
        <w:t>目  录</w:t>
      </w:r>
      <w:bookmarkEnd w:id="1"/>
      <w:bookmarkEnd w:id="2"/>
    </w:p>
    <w:p>
      <w:pPr>
        <w:pStyle w:val="33"/>
        <w:tabs>
          <w:tab w:val="right" w:leader="dot" w:pos="9638"/>
        </w:tabs>
      </w:pPr>
      <w:r>
        <w:rPr>
          <w:b w:val="0"/>
        </w:rPr>
        <w:fldChar w:fldCharType="begin"/>
      </w:r>
      <w:r>
        <w:rPr>
          <w:b w:val="0"/>
        </w:rPr>
        <w:instrText xml:space="preserve"> TOC \o "2-3" \h \z \t "标题 1,1"</w:instrText>
      </w:r>
      <w:r>
        <w:rPr>
          <w:b w:val="0"/>
        </w:rPr>
        <w:fldChar w:fldCharType="separate"/>
      </w:r>
      <w:r>
        <w:fldChar w:fldCharType="begin"/>
      </w:r>
      <w:r>
        <w:instrText xml:space="preserve"> HYPERLINK \l "_Toc3968" </w:instrText>
      </w:r>
      <w:r>
        <w:fldChar w:fldCharType="separate"/>
      </w:r>
      <w:r>
        <w:t>1 总则</w:t>
      </w:r>
      <w:r>
        <w:tab/>
      </w:r>
      <w:r>
        <w:fldChar w:fldCharType="begin"/>
      </w:r>
      <w:r>
        <w:instrText xml:space="preserve"> PAGEREF _Toc3968 </w:instrText>
      </w:r>
      <w:r>
        <w:fldChar w:fldCharType="separate"/>
      </w:r>
      <w:r>
        <w:t>1</w:t>
      </w:r>
      <w:r>
        <w:fldChar w:fldCharType="end"/>
      </w:r>
      <w:r>
        <w:fldChar w:fldCharType="end"/>
      </w:r>
    </w:p>
    <w:p>
      <w:pPr>
        <w:pStyle w:val="40"/>
        <w:tabs>
          <w:tab w:val="right" w:leader="dot" w:pos="9638"/>
        </w:tabs>
        <w:ind w:left="420"/>
      </w:pPr>
      <w:r>
        <w:fldChar w:fldCharType="begin"/>
      </w:r>
      <w:r>
        <w:instrText xml:space="preserve"> HYPERLINK \l "_Toc14102" </w:instrText>
      </w:r>
      <w:r>
        <w:fldChar w:fldCharType="separate"/>
      </w:r>
      <w:r>
        <w:rPr>
          <w:szCs w:val="28"/>
        </w:rPr>
        <w:t>1.1 调查对象及范围</w:t>
      </w:r>
      <w:r>
        <w:tab/>
      </w:r>
      <w:r>
        <w:fldChar w:fldCharType="begin"/>
      </w:r>
      <w:r>
        <w:instrText xml:space="preserve"> PAGEREF _Toc14102 </w:instrText>
      </w:r>
      <w:r>
        <w:fldChar w:fldCharType="separate"/>
      </w:r>
      <w:r>
        <w:t>1</w:t>
      </w:r>
      <w:r>
        <w:fldChar w:fldCharType="end"/>
      </w:r>
      <w:r>
        <w:fldChar w:fldCharType="end"/>
      </w:r>
    </w:p>
    <w:p>
      <w:pPr>
        <w:pStyle w:val="40"/>
        <w:tabs>
          <w:tab w:val="right" w:leader="dot" w:pos="9638"/>
        </w:tabs>
        <w:ind w:left="420"/>
      </w:pPr>
      <w:r>
        <w:fldChar w:fldCharType="begin"/>
      </w:r>
      <w:r>
        <w:instrText xml:space="preserve"> HYPERLINK \l "_Toc31092" </w:instrText>
      </w:r>
      <w:r>
        <w:fldChar w:fldCharType="separate"/>
      </w:r>
      <w:r>
        <w:rPr>
          <w:szCs w:val="28"/>
        </w:rPr>
        <w:t>1.2 调查目的</w:t>
      </w:r>
      <w:r>
        <w:tab/>
      </w:r>
      <w:r>
        <w:fldChar w:fldCharType="begin"/>
      </w:r>
      <w:r>
        <w:instrText xml:space="preserve"> PAGEREF _Toc31092 </w:instrText>
      </w:r>
      <w:r>
        <w:fldChar w:fldCharType="separate"/>
      </w:r>
      <w:r>
        <w:t>1</w:t>
      </w:r>
      <w:r>
        <w:fldChar w:fldCharType="end"/>
      </w:r>
      <w:r>
        <w:fldChar w:fldCharType="end"/>
      </w:r>
    </w:p>
    <w:p>
      <w:pPr>
        <w:pStyle w:val="40"/>
        <w:tabs>
          <w:tab w:val="right" w:leader="dot" w:pos="9638"/>
        </w:tabs>
        <w:ind w:left="420"/>
      </w:pPr>
      <w:r>
        <w:fldChar w:fldCharType="begin"/>
      </w:r>
      <w:r>
        <w:instrText xml:space="preserve"> HYPERLINK \l "_Toc28523" </w:instrText>
      </w:r>
      <w:r>
        <w:fldChar w:fldCharType="separate"/>
      </w:r>
      <w:r>
        <w:rPr>
          <w:szCs w:val="28"/>
        </w:rPr>
        <w:t>1.3 调查工作程序</w:t>
      </w:r>
      <w:r>
        <w:tab/>
      </w:r>
      <w:r>
        <w:fldChar w:fldCharType="begin"/>
      </w:r>
      <w:r>
        <w:instrText xml:space="preserve"> PAGEREF _Toc28523 </w:instrText>
      </w:r>
      <w:r>
        <w:fldChar w:fldCharType="separate"/>
      </w:r>
      <w:r>
        <w:t>1</w:t>
      </w:r>
      <w:r>
        <w:fldChar w:fldCharType="end"/>
      </w:r>
      <w:r>
        <w:fldChar w:fldCharType="end"/>
      </w:r>
    </w:p>
    <w:p>
      <w:pPr>
        <w:pStyle w:val="40"/>
        <w:tabs>
          <w:tab w:val="right" w:leader="dot" w:pos="9638"/>
        </w:tabs>
        <w:ind w:left="420"/>
      </w:pPr>
      <w:r>
        <w:fldChar w:fldCharType="begin"/>
      </w:r>
      <w:r>
        <w:instrText xml:space="preserve"> HYPERLINK \l "_Toc23809" </w:instrText>
      </w:r>
      <w:r>
        <w:fldChar w:fldCharType="separate"/>
      </w:r>
      <w:r>
        <w:rPr>
          <w:szCs w:val="28"/>
        </w:rPr>
        <w:t>1.4 调查的主要依据</w:t>
      </w:r>
      <w:r>
        <w:tab/>
      </w:r>
      <w:r>
        <w:fldChar w:fldCharType="begin"/>
      </w:r>
      <w:r>
        <w:instrText xml:space="preserve"> PAGEREF _Toc23809 </w:instrText>
      </w:r>
      <w:r>
        <w:fldChar w:fldCharType="separate"/>
      </w:r>
      <w:r>
        <w:t>2</w:t>
      </w:r>
      <w:r>
        <w:fldChar w:fldCharType="end"/>
      </w:r>
      <w:r>
        <w:fldChar w:fldCharType="end"/>
      </w:r>
    </w:p>
    <w:p>
      <w:pPr>
        <w:pStyle w:val="24"/>
        <w:tabs>
          <w:tab w:val="right" w:leader="dot" w:pos="9638"/>
        </w:tabs>
        <w:ind w:left="840"/>
      </w:pPr>
      <w:r>
        <w:fldChar w:fldCharType="begin"/>
      </w:r>
      <w:r>
        <w:instrText xml:space="preserve"> HYPERLINK \l "_Toc20928" </w:instrText>
      </w:r>
      <w:r>
        <w:fldChar w:fldCharType="separate"/>
      </w:r>
      <w:r>
        <w:rPr>
          <w:szCs w:val="28"/>
        </w:rPr>
        <w:t>1.4.1相关法律、法规</w:t>
      </w:r>
      <w:r>
        <w:tab/>
      </w:r>
      <w:r>
        <w:fldChar w:fldCharType="begin"/>
      </w:r>
      <w:r>
        <w:instrText xml:space="preserve"> PAGEREF _Toc20928 </w:instrText>
      </w:r>
      <w:r>
        <w:fldChar w:fldCharType="separate"/>
      </w:r>
      <w:r>
        <w:t>2</w:t>
      </w:r>
      <w:r>
        <w:fldChar w:fldCharType="end"/>
      </w:r>
      <w:r>
        <w:fldChar w:fldCharType="end"/>
      </w:r>
    </w:p>
    <w:p>
      <w:pPr>
        <w:pStyle w:val="24"/>
        <w:tabs>
          <w:tab w:val="right" w:leader="dot" w:pos="9638"/>
        </w:tabs>
        <w:ind w:left="840"/>
      </w:pPr>
      <w:r>
        <w:fldChar w:fldCharType="begin"/>
      </w:r>
      <w:r>
        <w:instrText xml:space="preserve"> HYPERLINK \l "_Toc30510" </w:instrText>
      </w:r>
      <w:r>
        <w:fldChar w:fldCharType="separate"/>
      </w:r>
      <w:r>
        <w:rPr>
          <w:szCs w:val="28"/>
        </w:rPr>
        <w:t>1.4.</w:t>
      </w:r>
      <w:r>
        <w:rPr>
          <w:rFonts w:hint="eastAsia"/>
          <w:szCs w:val="28"/>
        </w:rPr>
        <w:t>2</w:t>
      </w:r>
      <w:r>
        <w:rPr>
          <w:szCs w:val="28"/>
        </w:rPr>
        <w:t>相关标准、规范</w:t>
      </w:r>
      <w:r>
        <w:tab/>
      </w:r>
      <w:r>
        <w:fldChar w:fldCharType="begin"/>
      </w:r>
      <w:r>
        <w:instrText xml:space="preserve"> PAGEREF _Toc30510 </w:instrText>
      </w:r>
      <w:r>
        <w:fldChar w:fldCharType="separate"/>
      </w:r>
      <w:r>
        <w:t>2</w:t>
      </w:r>
      <w:r>
        <w:fldChar w:fldCharType="end"/>
      </w:r>
      <w:r>
        <w:fldChar w:fldCharType="end"/>
      </w:r>
    </w:p>
    <w:p>
      <w:pPr>
        <w:pStyle w:val="33"/>
        <w:tabs>
          <w:tab w:val="right" w:leader="dot" w:pos="9638"/>
        </w:tabs>
      </w:pPr>
      <w:r>
        <w:fldChar w:fldCharType="begin"/>
      </w:r>
      <w:r>
        <w:instrText xml:space="preserve"> HYPERLINK \l "_Toc1872" </w:instrText>
      </w:r>
      <w:r>
        <w:fldChar w:fldCharType="separate"/>
      </w:r>
      <w:r>
        <w:t>2 生产经营单位应急资源</w:t>
      </w:r>
      <w:r>
        <w:tab/>
      </w:r>
      <w:r>
        <w:fldChar w:fldCharType="begin"/>
      </w:r>
      <w:r>
        <w:instrText xml:space="preserve"> PAGEREF _Toc1872 </w:instrText>
      </w:r>
      <w:r>
        <w:fldChar w:fldCharType="separate"/>
      </w:r>
      <w:r>
        <w:t>3</w:t>
      </w:r>
      <w:r>
        <w:fldChar w:fldCharType="end"/>
      </w:r>
      <w:r>
        <w:fldChar w:fldCharType="end"/>
      </w:r>
    </w:p>
    <w:p>
      <w:pPr>
        <w:pStyle w:val="40"/>
        <w:tabs>
          <w:tab w:val="right" w:leader="dot" w:pos="9638"/>
        </w:tabs>
        <w:ind w:left="420"/>
      </w:pPr>
      <w:r>
        <w:fldChar w:fldCharType="begin"/>
      </w:r>
      <w:r>
        <w:instrText xml:space="preserve"> HYPERLINK \l "_Toc29527" </w:instrText>
      </w:r>
      <w:r>
        <w:fldChar w:fldCharType="separate"/>
      </w:r>
      <w:r>
        <w:t>2.1 应急组织体系</w:t>
      </w:r>
      <w:r>
        <w:tab/>
      </w:r>
      <w:r>
        <w:fldChar w:fldCharType="begin"/>
      </w:r>
      <w:r>
        <w:instrText xml:space="preserve"> PAGEREF _Toc29527 </w:instrText>
      </w:r>
      <w:r>
        <w:fldChar w:fldCharType="separate"/>
      </w:r>
      <w:r>
        <w:t>4</w:t>
      </w:r>
      <w:r>
        <w:fldChar w:fldCharType="end"/>
      </w:r>
      <w:r>
        <w:fldChar w:fldCharType="end"/>
      </w:r>
    </w:p>
    <w:p>
      <w:pPr>
        <w:pStyle w:val="40"/>
        <w:tabs>
          <w:tab w:val="right" w:leader="dot" w:pos="9638"/>
        </w:tabs>
        <w:ind w:left="420"/>
      </w:pPr>
      <w:r>
        <w:fldChar w:fldCharType="begin"/>
      </w:r>
      <w:r>
        <w:instrText xml:space="preserve"> HYPERLINK \l "_Toc16618" </w:instrText>
      </w:r>
      <w:r>
        <w:fldChar w:fldCharType="separate"/>
      </w:r>
      <w:r>
        <w:rPr>
          <w:szCs w:val="28"/>
        </w:rPr>
        <w:t>2.2 应急指挥机构及职责</w:t>
      </w:r>
      <w:r>
        <w:tab/>
      </w:r>
      <w:r>
        <w:fldChar w:fldCharType="begin"/>
      </w:r>
      <w:r>
        <w:instrText xml:space="preserve"> PAGEREF _Toc16618 </w:instrText>
      </w:r>
      <w:r>
        <w:fldChar w:fldCharType="separate"/>
      </w:r>
      <w:r>
        <w:t>4</w:t>
      </w:r>
      <w:r>
        <w:fldChar w:fldCharType="end"/>
      </w:r>
      <w:r>
        <w:fldChar w:fldCharType="end"/>
      </w:r>
    </w:p>
    <w:p>
      <w:pPr>
        <w:pStyle w:val="24"/>
        <w:tabs>
          <w:tab w:val="right" w:leader="dot" w:pos="9638"/>
        </w:tabs>
        <w:ind w:left="840"/>
      </w:pPr>
      <w:r>
        <w:fldChar w:fldCharType="begin"/>
      </w:r>
      <w:r>
        <w:instrText xml:space="preserve"> HYPERLINK \l "_Toc11878" </w:instrText>
      </w:r>
      <w:r>
        <w:fldChar w:fldCharType="separate"/>
      </w:r>
      <w:r>
        <w:rPr>
          <w:szCs w:val="28"/>
        </w:rPr>
        <w:t>2.2.1 应急指挥机构</w:t>
      </w:r>
      <w:r>
        <w:tab/>
      </w:r>
      <w:r>
        <w:fldChar w:fldCharType="begin"/>
      </w:r>
      <w:r>
        <w:instrText xml:space="preserve"> PAGEREF _Toc11878 </w:instrText>
      </w:r>
      <w:r>
        <w:fldChar w:fldCharType="separate"/>
      </w:r>
      <w:r>
        <w:t>4</w:t>
      </w:r>
      <w:r>
        <w:fldChar w:fldCharType="end"/>
      </w:r>
      <w:r>
        <w:fldChar w:fldCharType="end"/>
      </w:r>
    </w:p>
    <w:p>
      <w:pPr>
        <w:pStyle w:val="24"/>
        <w:tabs>
          <w:tab w:val="right" w:leader="dot" w:pos="9638"/>
        </w:tabs>
        <w:ind w:left="840"/>
      </w:pPr>
      <w:r>
        <w:fldChar w:fldCharType="begin"/>
      </w:r>
      <w:r>
        <w:instrText xml:space="preserve"> HYPERLINK \l "_Toc6376" </w:instrText>
      </w:r>
      <w:r>
        <w:fldChar w:fldCharType="separate"/>
      </w:r>
      <w:r>
        <w:rPr>
          <w:rFonts w:hint="eastAsia"/>
          <w:szCs w:val="30"/>
        </w:rPr>
        <w:t>2.2.2领导小组</w:t>
      </w:r>
      <w:r>
        <w:rPr>
          <w:rFonts w:hint="eastAsia"/>
          <w:szCs w:val="30"/>
          <w:lang w:val="zh-CN"/>
        </w:rPr>
        <w:t>职责</w:t>
      </w:r>
      <w:r>
        <w:tab/>
      </w:r>
      <w:r>
        <w:rPr>
          <w:rFonts w:hint="eastAsia"/>
        </w:rPr>
        <w:t>4</w:t>
      </w:r>
      <w:r>
        <w:rPr>
          <w:rFonts w:hint="eastAsia"/>
        </w:rPr>
        <w:fldChar w:fldCharType="end"/>
      </w:r>
    </w:p>
    <w:p>
      <w:pPr>
        <w:pStyle w:val="24"/>
        <w:tabs>
          <w:tab w:val="right" w:leader="dot" w:pos="9638"/>
        </w:tabs>
        <w:ind w:left="840"/>
      </w:pPr>
      <w:r>
        <w:fldChar w:fldCharType="begin"/>
      </w:r>
      <w:r>
        <w:instrText xml:space="preserve"> HYPERLINK \l "_Toc12729" </w:instrText>
      </w:r>
      <w:r>
        <w:fldChar w:fldCharType="separate"/>
      </w:r>
      <w:r>
        <w:rPr>
          <w:rFonts w:hint="eastAsia"/>
          <w:szCs w:val="30"/>
        </w:rPr>
        <w:t>2.2.3总指挥及职责</w:t>
      </w:r>
      <w:r>
        <w:tab/>
      </w:r>
      <w:r>
        <w:fldChar w:fldCharType="begin"/>
      </w:r>
      <w:r>
        <w:instrText xml:space="preserve"> PAGEREF _Toc12729 </w:instrText>
      </w:r>
      <w:r>
        <w:fldChar w:fldCharType="separate"/>
      </w:r>
      <w:r>
        <w:t>5</w:t>
      </w:r>
      <w:r>
        <w:fldChar w:fldCharType="end"/>
      </w:r>
      <w:r>
        <w:fldChar w:fldCharType="end"/>
      </w:r>
    </w:p>
    <w:p>
      <w:pPr>
        <w:pStyle w:val="24"/>
        <w:tabs>
          <w:tab w:val="right" w:leader="dot" w:pos="9638"/>
        </w:tabs>
        <w:ind w:left="840"/>
      </w:pPr>
      <w:r>
        <w:fldChar w:fldCharType="begin"/>
      </w:r>
      <w:r>
        <w:instrText xml:space="preserve"> HYPERLINK \l "_Toc22207" </w:instrText>
      </w:r>
      <w:r>
        <w:fldChar w:fldCharType="separate"/>
      </w:r>
      <w:r>
        <w:rPr>
          <w:rFonts w:hint="eastAsia"/>
          <w:szCs w:val="30"/>
        </w:rPr>
        <w:t>2.2.4副总指挥及职责</w:t>
      </w:r>
      <w:r>
        <w:tab/>
      </w:r>
      <w:r>
        <w:fldChar w:fldCharType="begin"/>
      </w:r>
      <w:r>
        <w:instrText xml:space="preserve"> PAGEREF _Toc22207 </w:instrText>
      </w:r>
      <w:r>
        <w:fldChar w:fldCharType="separate"/>
      </w:r>
      <w:r>
        <w:t>6</w:t>
      </w:r>
      <w:r>
        <w:fldChar w:fldCharType="end"/>
      </w:r>
      <w:r>
        <w:fldChar w:fldCharType="end"/>
      </w:r>
    </w:p>
    <w:p>
      <w:pPr>
        <w:pStyle w:val="24"/>
        <w:tabs>
          <w:tab w:val="right" w:leader="dot" w:pos="9638"/>
        </w:tabs>
        <w:ind w:left="840"/>
      </w:pPr>
      <w:r>
        <w:fldChar w:fldCharType="begin"/>
      </w:r>
      <w:r>
        <w:instrText xml:space="preserve"> HYPERLINK \l "_Toc29064" </w:instrText>
      </w:r>
      <w:r>
        <w:fldChar w:fldCharType="separate"/>
      </w:r>
      <w:r>
        <w:rPr>
          <w:rFonts w:hint="eastAsia"/>
          <w:szCs w:val="30"/>
        </w:rPr>
        <w:t>2.2.5抢险救援组及职责</w:t>
      </w:r>
      <w:r>
        <w:tab/>
      </w:r>
      <w:r>
        <w:rPr>
          <w:rFonts w:hint="eastAsia"/>
        </w:rPr>
        <w:t>6</w:t>
      </w:r>
      <w:r>
        <w:rPr>
          <w:rFonts w:hint="eastAsia"/>
        </w:rPr>
        <w:fldChar w:fldCharType="end"/>
      </w:r>
    </w:p>
    <w:p>
      <w:pPr>
        <w:pStyle w:val="24"/>
        <w:tabs>
          <w:tab w:val="right" w:leader="dot" w:pos="9638"/>
        </w:tabs>
        <w:ind w:left="840"/>
      </w:pPr>
      <w:r>
        <w:fldChar w:fldCharType="begin"/>
      </w:r>
      <w:r>
        <w:instrText xml:space="preserve"> HYPERLINK \l "_Toc20985" </w:instrText>
      </w:r>
      <w:r>
        <w:fldChar w:fldCharType="separate"/>
      </w:r>
      <w:r>
        <w:rPr>
          <w:rFonts w:hint="eastAsia"/>
          <w:szCs w:val="30"/>
        </w:rPr>
        <w:t>2.2.6警戒后勤组及职责</w:t>
      </w:r>
      <w:r>
        <w:tab/>
      </w:r>
      <w:r>
        <w:fldChar w:fldCharType="begin"/>
      </w:r>
      <w:r>
        <w:instrText xml:space="preserve"> PAGEREF _Toc20985 </w:instrText>
      </w:r>
      <w:r>
        <w:fldChar w:fldCharType="separate"/>
      </w:r>
      <w:r>
        <w:t>6</w:t>
      </w:r>
      <w:r>
        <w:fldChar w:fldCharType="end"/>
      </w:r>
      <w:r>
        <w:fldChar w:fldCharType="end"/>
      </w:r>
    </w:p>
    <w:p>
      <w:pPr>
        <w:pStyle w:val="24"/>
        <w:tabs>
          <w:tab w:val="right" w:leader="dot" w:pos="9638"/>
        </w:tabs>
        <w:ind w:left="840"/>
      </w:pPr>
      <w:r>
        <w:fldChar w:fldCharType="begin"/>
      </w:r>
      <w:r>
        <w:instrText xml:space="preserve"> HYPERLINK \l "_Toc23263" </w:instrText>
      </w:r>
      <w:r>
        <w:fldChar w:fldCharType="separate"/>
      </w:r>
      <w:r>
        <w:rPr>
          <w:rFonts w:hint="eastAsia"/>
          <w:szCs w:val="30"/>
        </w:rPr>
        <w:t>2.2.7救护调查组及职责</w:t>
      </w:r>
      <w:r>
        <w:tab/>
      </w:r>
      <w:r>
        <w:fldChar w:fldCharType="begin"/>
      </w:r>
      <w:r>
        <w:instrText xml:space="preserve"> PAGEREF _Toc23263 </w:instrText>
      </w:r>
      <w:r>
        <w:fldChar w:fldCharType="separate"/>
      </w:r>
      <w:r>
        <w:t>7</w:t>
      </w:r>
      <w:r>
        <w:fldChar w:fldCharType="end"/>
      </w:r>
      <w:r>
        <w:fldChar w:fldCharType="end"/>
      </w:r>
      <w:r>
        <w:fldChar w:fldCharType="begin"/>
      </w:r>
      <w:r>
        <w:instrText xml:space="preserve"> HYPERLINK \l "_Toc21996" </w:instrText>
      </w:r>
      <w:r>
        <w:fldChar w:fldCharType="separate"/>
      </w:r>
      <w:r>
        <w:fldChar w:fldCharType="end"/>
      </w:r>
    </w:p>
    <w:p>
      <w:pPr>
        <w:pStyle w:val="40"/>
        <w:tabs>
          <w:tab w:val="right" w:leader="dot" w:pos="9638"/>
        </w:tabs>
        <w:ind w:left="420"/>
      </w:pPr>
      <w:r>
        <w:fldChar w:fldCharType="begin"/>
      </w:r>
      <w:r>
        <w:instrText xml:space="preserve"> HYPERLINK \l "_Toc10502" </w:instrText>
      </w:r>
      <w:r>
        <w:fldChar w:fldCharType="separate"/>
      </w:r>
      <w:r>
        <w:t>2.3 应急物质及措施</w:t>
      </w:r>
      <w:r>
        <w:tab/>
      </w:r>
      <w:r>
        <w:fldChar w:fldCharType="begin"/>
      </w:r>
      <w:r>
        <w:instrText xml:space="preserve"> PAGEREF _Toc10502 </w:instrText>
      </w:r>
      <w:r>
        <w:fldChar w:fldCharType="separate"/>
      </w:r>
      <w:r>
        <w:t>7</w:t>
      </w:r>
      <w:r>
        <w:fldChar w:fldCharType="end"/>
      </w:r>
      <w:r>
        <w:fldChar w:fldCharType="end"/>
      </w:r>
    </w:p>
    <w:p>
      <w:pPr>
        <w:pStyle w:val="40"/>
        <w:tabs>
          <w:tab w:val="right" w:leader="dot" w:pos="9638"/>
        </w:tabs>
        <w:ind w:left="420"/>
      </w:pPr>
      <w:r>
        <w:fldChar w:fldCharType="begin"/>
      </w:r>
      <w:r>
        <w:instrText xml:space="preserve"> HYPERLINK \l "_Toc24006" </w:instrText>
      </w:r>
      <w:r>
        <w:fldChar w:fldCharType="separate"/>
      </w:r>
      <w:r>
        <w:t>2.4 资金保障措施</w:t>
      </w:r>
      <w:r>
        <w:tab/>
      </w:r>
      <w:r>
        <w:fldChar w:fldCharType="begin"/>
      </w:r>
      <w:r>
        <w:instrText xml:space="preserve"> PAGEREF _Toc24006 </w:instrText>
      </w:r>
      <w:r>
        <w:fldChar w:fldCharType="separate"/>
      </w:r>
      <w:r>
        <w:t>9</w:t>
      </w:r>
      <w:r>
        <w:fldChar w:fldCharType="end"/>
      </w:r>
      <w:r>
        <w:fldChar w:fldCharType="end"/>
      </w:r>
    </w:p>
    <w:p>
      <w:pPr>
        <w:pStyle w:val="33"/>
        <w:tabs>
          <w:tab w:val="right" w:leader="dot" w:pos="9638"/>
        </w:tabs>
      </w:pPr>
      <w:r>
        <w:fldChar w:fldCharType="begin"/>
      </w:r>
      <w:r>
        <w:instrText xml:space="preserve"> HYPERLINK \l "_Toc32592" </w:instrText>
      </w:r>
      <w:r>
        <w:fldChar w:fldCharType="separate"/>
      </w:r>
      <w:r>
        <w:t>3 周边社会应急资源调查</w:t>
      </w:r>
      <w:r>
        <w:tab/>
      </w:r>
      <w:r>
        <w:fldChar w:fldCharType="begin"/>
      </w:r>
      <w:r>
        <w:instrText xml:space="preserve"> PAGEREF _Toc32592 </w:instrText>
      </w:r>
      <w:r>
        <w:fldChar w:fldCharType="separate"/>
      </w:r>
      <w:r>
        <w:t>10</w:t>
      </w:r>
      <w:r>
        <w:fldChar w:fldCharType="end"/>
      </w:r>
      <w:r>
        <w:fldChar w:fldCharType="end"/>
      </w:r>
    </w:p>
    <w:p>
      <w:pPr>
        <w:pStyle w:val="33"/>
        <w:tabs>
          <w:tab w:val="right" w:leader="dot" w:pos="9638"/>
        </w:tabs>
      </w:pPr>
      <w:r>
        <w:fldChar w:fldCharType="begin"/>
      </w:r>
      <w:r>
        <w:instrText xml:space="preserve"> HYPERLINK \l "_Toc13570" </w:instrText>
      </w:r>
      <w:r>
        <w:fldChar w:fldCharType="separate"/>
      </w:r>
      <w:r>
        <w:t>4 应急资源不足或差距分析</w:t>
      </w:r>
      <w:r>
        <w:tab/>
      </w:r>
      <w:r>
        <w:fldChar w:fldCharType="begin"/>
      </w:r>
      <w:r>
        <w:instrText xml:space="preserve"> PAGEREF _Toc13570 </w:instrText>
      </w:r>
      <w:r>
        <w:fldChar w:fldCharType="separate"/>
      </w:r>
      <w:r>
        <w:t>13</w:t>
      </w:r>
      <w:r>
        <w:fldChar w:fldCharType="end"/>
      </w:r>
      <w:r>
        <w:fldChar w:fldCharType="end"/>
      </w:r>
    </w:p>
    <w:p>
      <w:pPr>
        <w:pStyle w:val="33"/>
        <w:tabs>
          <w:tab w:val="right" w:leader="dot" w:pos="9638"/>
        </w:tabs>
      </w:pPr>
      <w:r>
        <w:fldChar w:fldCharType="begin"/>
      </w:r>
      <w:r>
        <w:instrText xml:space="preserve"> HYPERLINK \l "_Toc30700" </w:instrText>
      </w:r>
      <w:r>
        <w:fldChar w:fldCharType="separate"/>
      </w:r>
      <w:r>
        <w:t>5 应急资源调查主要结论</w:t>
      </w:r>
      <w:r>
        <w:tab/>
      </w:r>
      <w:r>
        <w:fldChar w:fldCharType="begin"/>
      </w:r>
      <w:r>
        <w:instrText xml:space="preserve"> PAGEREF _Toc30700 </w:instrText>
      </w:r>
      <w:r>
        <w:fldChar w:fldCharType="separate"/>
      </w:r>
      <w:r>
        <w:t>13</w:t>
      </w:r>
      <w:r>
        <w:fldChar w:fldCharType="end"/>
      </w:r>
      <w:r>
        <w:fldChar w:fldCharType="end"/>
      </w:r>
    </w:p>
    <w:p>
      <w:pPr>
        <w:pStyle w:val="33"/>
        <w:tabs>
          <w:tab w:val="right" w:leader="dot" w:pos="9638"/>
        </w:tabs>
      </w:pPr>
      <w:r>
        <w:fldChar w:fldCharType="begin"/>
      </w:r>
      <w:r>
        <w:instrText xml:space="preserve"> HYPERLINK \l "_Toc10846" </w:instrText>
      </w:r>
      <w:r>
        <w:fldChar w:fldCharType="separate"/>
      </w:r>
      <w:r>
        <w:t>6 完善应急资源的具体措施</w:t>
      </w:r>
      <w:r>
        <w:tab/>
      </w:r>
      <w:r>
        <w:fldChar w:fldCharType="begin"/>
      </w:r>
      <w:r>
        <w:instrText xml:space="preserve"> PAGEREF _Toc10846 </w:instrText>
      </w:r>
      <w:r>
        <w:fldChar w:fldCharType="separate"/>
      </w:r>
      <w:r>
        <w:t>13</w:t>
      </w:r>
      <w:r>
        <w:fldChar w:fldCharType="end"/>
      </w:r>
      <w:r>
        <w:fldChar w:fldCharType="end"/>
      </w:r>
    </w:p>
    <w:p>
      <w:pPr>
        <w:spacing w:line="360" w:lineRule="exact"/>
      </w:pPr>
      <w:r>
        <w:fldChar w:fldCharType="end"/>
      </w:r>
    </w:p>
    <w:p>
      <w:pPr>
        <w:sectPr>
          <w:pgSz w:w="11906" w:h="16838"/>
          <w:pgMar w:top="1418" w:right="1134" w:bottom="1134" w:left="1134" w:header="851" w:footer="992" w:gutter="0"/>
          <w:cols w:space="720" w:num="1"/>
          <w:docGrid w:type="lines" w:linePitch="312" w:charSpace="0"/>
        </w:sectPr>
      </w:pPr>
    </w:p>
    <w:bookmarkEnd w:id="0"/>
    <w:p>
      <w:pPr>
        <w:pStyle w:val="3"/>
      </w:pPr>
      <w:bookmarkStart w:id="3" w:name="_Toc2845016"/>
      <w:bookmarkStart w:id="4" w:name="_Toc3968"/>
      <w:bookmarkStart w:id="5" w:name="_Toc481135156"/>
      <w:r>
        <w:t>1 总则</w:t>
      </w:r>
      <w:bookmarkEnd w:id="3"/>
      <w:bookmarkEnd w:id="4"/>
    </w:p>
    <w:p>
      <w:pPr>
        <w:pStyle w:val="4"/>
        <w:spacing w:line="560" w:lineRule="exact"/>
        <w:rPr>
          <w:szCs w:val="28"/>
        </w:rPr>
      </w:pPr>
      <w:bookmarkStart w:id="6" w:name="_Toc14102"/>
      <w:bookmarkStart w:id="7" w:name="_Toc2845017"/>
      <w:r>
        <w:rPr>
          <w:szCs w:val="28"/>
        </w:rPr>
        <w:t>1.1 调查对象及范围</w:t>
      </w:r>
      <w:bookmarkEnd w:id="6"/>
      <w:bookmarkEnd w:id="7"/>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sz w:val="28"/>
          <w:szCs w:val="28"/>
        </w:rPr>
      </w:pPr>
      <w:r>
        <w:rPr>
          <w:sz w:val="28"/>
          <w:szCs w:val="28"/>
        </w:rPr>
        <w:t>此次调查对象为</w:t>
      </w:r>
      <w:r>
        <w:rPr>
          <w:rFonts w:hint="eastAsia"/>
          <w:sz w:val="28"/>
          <w:szCs w:val="28"/>
        </w:rPr>
        <w:t>南充市顺庆区芦溪农机加油站</w:t>
      </w:r>
      <w:r>
        <w:rPr>
          <w:rFonts w:hint="eastAsia"/>
          <w:sz w:val="28"/>
          <w:szCs w:val="28"/>
          <w:lang w:eastAsia="zh-CN"/>
        </w:rPr>
        <w:t>（以下简称</w:t>
      </w:r>
      <w:r>
        <w:rPr>
          <w:rFonts w:hint="eastAsia"/>
          <w:sz w:val="28"/>
          <w:szCs w:val="28"/>
        </w:rPr>
        <w:t>芦溪农机加油站</w:t>
      </w:r>
      <w:r>
        <w:rPr>
          <w:rFonts w:hint="eastAsia"/>
          <w:sz w:val="28"/>
          <w:szCs w:val="28"/>
          <w:lang w:eastAsia="zh-CN"/>
        </w:rPr>
        <w:t>）</w:t>
      </w:r>
      <w:r>
        <w:rPr>
          <w:sz w:val="28"/>
          <w:szCs w:val="28"/>
        </w:rPr>
        <w:t>，范围包括加油站经营过程中可能发生的泄漏、火灾、爆炸、中毒、车辆伤害、电气伤害、机械伤害等各类生产安全事故引起的人身伤害及财产损失事故。</w:t>
      </w:r>
    </w:p>
    <w:p>
      <w:pPr>
        <w:pStyle w:val="4"/>
        <w:spacing w:line="560" w:lineRule="exact"/>
        <w:rPr>
          <w:szCs w:val="28"/>
        </w:rPr>
      </w:pPr>
      <w:bookmarkStart w:id="8" w:name="_Toc2845018"/>
      <w:bookmarkStart w:id="9" w:name="_Toc31092"/>
      <w:r>
        <w:rPr>
          <w:szCs w:val="28"/>
        </w:rPr>
        <w:t>1.2 调查目的</w:t>
      </w:r>
      <w:bookmarkEnd w:id="8"/>
      <w:bookmarkEnd w:id="9"/>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为全面贯彻落实“安全第一、预防为主、综合治理”安全生产基本方针，切实加强加油站各类突发事件应急管理工作，进一步规范加油站生产安全事故的管理和应急响应程序，建立健全与芦溪镇人民政府、南充市应急管理局、顺庆区消防大队等政府相关职能部门相适应的，指挥统一、功能齐全、反应快捷、运转高效的应急体系，及时有效实施应急救援各项措施，控制和减少事故损失，保障员工生命、财产安全，保证加油站正常生产经营秩序，按照《生产经营单位安全生产事故应急预案编制导则》的规定。结合实际情况，特制定本《事故应急资源调查报告》。</w:t>
      </w:r>
    </w:p>
    <w:p>
      <w:pPr>
        <w:pStyle w:val="4"/>
        <w:spacing w:line="560" w:lineRule="exact"/>
        <w:rPr>
          <w:szCs w:val="28"/>
        </w:rPr>
      </w:pPr>
      <w:bookmarkStart w:id="10" w:name="_Toc2845019"/>
      <w:bookmarkStart w:id="11" w:name="_Toc28523"/>
      <w:r>
        <w:rPr>
          <w:szCs w:val="28"/>
        </w:rPr>
        <w:t>1.3 调查工作程序</w:t>
      </w:r>
      <w:bookmarkEnd w:id="10"/>
      <w:bookmarkEnd w:id="11"/>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成立以加油站主负责人陈荣学为领导的安全事故应急资源调查小组，根据编写的应急预案和事故风险评估的相关内容以及实际的需求，对照加油站实际情况和周边可用资源的情况进行调查和编写《事故应急资源调查报告》。</w:t>
      </w:r>
    </w:p>
    <w:p>
      <w:pPr>
        <w:pStyle w:val="4"/>
        <w:rPr>
          <w:szCs w:val="28"/>
        </w:rPr>
      </w:pPr>
      <w:bookmarkStart w:id="12" w:name="_Toc481135188"/>
      <w:bookmarkStart w:id="13" w:name="_Toc23809"/>
      <w:bookmarkStart w:id="14" w:name="_Toc2845020"/>
      <w:r>
        <w:rPr>
          <w:szCs w:val="28"/>
        </w:rPr>
        <w:t xml:space="preserve">1.4 </w:t>
      </w:r>
      <w:bookmarkEnd w:id="12"/>
      <w:r>
        <w:rPr>
          <w:szCs w:val="28"/>
        </w:rPr>
        <w:t>调查的主要依据</w:t>
      </w:r>
      <w:bookmarkEnd w:id="13"/>
      <w:bookmarkEnd w:id="14"/>
    </w:p>
    <w:p>
      <w:pPr>
        <w:pStyle w:val="5"/>
        <w:rPr>
          <w:sz w:val="28"/>
          <w:szCs w:val="28"/>
        </w:rPr>
      </w:pPr>
      <w:bookmarkStart w:id="15" w:name="_Toc20928"/>
      <w:bookmarkStart w:id="16" w:name="_Toc2845021"/>
      <w:bookmarkStart w:id="17" w:name="_Toc438205753"/>
      <w:bookmarkStart w:id="18" w:name="_Toc184009547"/>
      <w:r>
        <w:rPr>
          <w:sz w:val="28"/>
          <w:szCs w:val="28"/>
        </w:rPr>
        <w:t>1.4.1相关法律、法规</w:t>
      </w:r>
      <w:bookmarkEnd w:id="15"/>
      <w:bookmarkEnd w:id="16"/>
      <w:bookmarkEnd w:id="17"/>
      <w:bookmarkEnd w:id="18"/>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1）《中华人民共和国安全生产法》(主席令第13号，2014年)；</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2）《生产安全事故应急预案管理办法》（2016年6月3日国家安全生产监督管理总局令第88号公布，根据2019年7月11日应急管理部令第2号修正）；</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bookmarkStart w:id="19" w:name="_Toc184009548"/>
      <w:bookmarkStart w:id="20" w:name="_Toc30510"/>
      <w:bookmarkStart w:id="21" w:name="_Toc438205755"/>
      <w:bookmarkStart w:id="22" w:name="_Toc2845022"/>
      <w:r>
        <w:rPr>
          <w:rFonts w:hint="eastAsia"/>
          <w:sz w:val="28"/>
          <w:szCs w:val="28"/>
        </w:rPr>
        <w:t>1.4.2相关标准、规范</w:t>
      </w:r>
      <w:bookmarkEnd w:id="19"/>
      <w:bookmarkEnd w:id="20"/>
      <w:bookmarkEnd w:id="21"/>
      <w:bookmarkEnd w:id="22"/>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1）《汽车加油加气站设计与施工规范（2014年版）》（GB50156-2012）；</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2）《危险化学品重大危险源辨识》（GB18218-2018）；</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3）《生产经营单位生产安全事故应急救援预案编制导则》（GB/T 29639-2013）；</w:t>
      </w:r>
    </w:p>
    <w:p>
      <w:pPr>
        <w:spacing w:line="360" w:lineRule="auto"/>
        <w:ind w:firstLine="480" w:firstLineChars="200"/>
        <w:rPr>
          <w:sz w:val="24"/>
          <w:szCs w:val="28"/>
        </w:rPr>
      </w:pPr>
    </w:p>
    <w:p>
      <w:pPr>
        <w:pStyle w:val="3"/>
      </w:pPr>
      <w:r>
        <w:rPr>
          <w:sz w:val="28"/>
        </w:rPr>
        <w:br w:type="page"/>
      </w:r>
      <w:bookmarkEnd w:id="5"/>
      <w:bookmarkStart w:id="23" w:name="_Toc1872"/>
      <w:bookmarkStart w:id="24" w:name="_Toc2845023"/>
      <w:r>
        <w:t>2 生产经营单位应急资源</w:t>
      </w:r>
      <w:bookmarkEnd w:id="23"/>
      <w:bookmarkEnd w:id="24"/>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bookmarkStart w:id="25" w:name="_Toc332285110"/>
      <w:bookmarkStart w:id="26" w:name="_Toc176022623"/>
      <w:bookmarkStart w:id="27" w:name="_Toc2845024"/>
      <w:bookmarkStart w:id="28" w:name="_Toc497428027"/>
      <w:r>
        <w:rPr>
          <w:rFonts w:hint="eastAsia"/>
          <w:sz w:val="28"/>
          <w:szCs w:val="28"/>
        </w:rPr>
        <w:t>加油站成立以主要负责人陈荣学为组长的应急抢险救援领导小组，成员由全体员工组成，各人应急职责及分工明确。员工均经过安全教育培训，具备基本的安全知识和应急能力，持证上岗；主要负责人和安全管理人员取得安全管理资格。现场配备消防器材包括推车式干粉灭火器、手提式干粉灭火器、灭火毯、消防桶、消防沙等，同时配备发电机作为应急电源。若发生事故，尤其是油品泄漏、火灾、爆炸应急处理能力相对较强。当事故发生时，由应急救援领导小组组长任应急救援总指挥，应急救援领导小组副组长任应急救援副总指挥，负责组织和指挥应急抢险救护工作。如果应急救援领导小组组长不在加油站时，则由应急救援领导小组副组长任临时总指挥，如果应急领导组长或应急领导副组长均不在加油站时，则由当班加油员代理组长职务，全权负责应急抢险及救护工作。</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2、外部应急力量</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芦溪农机加油站位于顺庆区芦溪镇，交通方便。加油站能借用的外部力量包括芦溪排出所、芦溪镇人民政府、顺庆区消防大队、芦溪镇中心卫生院、顺庆区生态环境局、南充市应急管理局。</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芦溪派出所距离本加油站约200米，发生事故时2分钟内能到达现场。</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芦溪镇人民政府距离本加油站约180米，发生事故时2分钟内能到达现场。</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顺庆区消防大队距离本加油站约18公里，发生事故时25分钟内能到达现场。</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芦溪镇中心卫生院距离本加油站约50米，发生事故时2分钟内能到达现场。</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顺庆区生态环境局距离本加油站约18.5公里，发生事故时25分钟内能到达现场。</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顺庆区应急管理局距离本加油站约1</w:t>
      </w:r>
      <w:r>
        <w:rPr>
          <w:rFonts w:hint="eastAsia"/>
          <w:sz w:val="28"/>
          <w:szCs w:val="28"/>
          <w:lang w:val="en-US" w:eastAsia="zh-CN"/>
        </w:rPr>
        <w:t>9</w:t>
      </w:r>
      <w:r>
        <w:rPr>
          <w:rFonts w:hint="eastAsia"/>
          <w:sz w:val="28"/>
          <w:szCs w:val="28"/>
        </w:rPr>
        <w:t>.5公里，发生事故时25分钟内能到达现场。</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南充市应急管理局距离本加油站约13.5公里，发生事故时20分钟内能到达现场。</w:t>
      </w:r>
    </w:p>
    <w:p>
      <w:pPr>
        <w:pStyle w:val="4"/>
      </w:pPr>
      <w:bookmarkStart w:id="29" w:name="_Toc29527"/>
      <w:r>
        <w:t xml:space="preserve">2.1 </w:t>
      </w:r>
      <w:bookmarkEnd w:id="25"/>
      <w:bookmarkEnd w:id="26"/>
      <w:r>
        <w:t>应急组织体系</w:t>
      </w:r>
      <w:bookmarkEnd w:id="27"/>
      <w:bookmarkEnd w:id="28"/>
      <w:bookmarkEnd w:id="29"/>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bookmarkStart w:id="30" w:name="_Toc497428028"/>
      <w:r>
        <w:rPr>
          <w:rFonts w:hint="eastAsia"/>
          <w:sz w:val="28"/>
          <w:szCs w:val="28"/>
        </w:rPr>
        <w:t>总 指 挥：陈荣学</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副总指挥：雍炎光</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成  员：史良鹏  吕亚兰  何琴  董英</w:t>
      </w:r>
    </w:p>
    <w:p>
      <w:pPr>
        <w:pStyle w:val="4"/>
        <w:rPr>
          <w:szCs w:val="28"/>
        </w:rPr>
      </w:pPr>
      <w:bookmarkStart w:id="31" w:name="_Toc16618"/>
      <w:bookmarkStart w:id="32" w:name="_Toc2845025"/>
      <w:r>
        <w:rPr>
          <w:szCs w:val="28"/>
        </w:rPr>
        <w:t>2.2 应急指挥机构及职责</w:t>
      </w:r>
      <w:bookmarkEnd w:id="30"/>
      <w:bookmarkEnd w:id="31"/>
      <w:bookmarkEnd w:id="32"/>
    </w:p>
    <w:p>
      <w:pPr>
        <w:pStyle w:val="5"/>
        <w:rPr>
          <w:sz w:val="28"/>
          <w:szCs w:val="28"/>
        </w:rPr>
      </w:pPr>
      <w:bookmarkStart w:id="33" w:name="_Toc497428029"/>
      <w:bookmarkStart w:id="34" w:name="_Toc2845026"/>
      <w:bookmarkStart w:id="35" w:name="_Toc11878"/>
      <w:r>
        <w:rPr>
          <w:sz w:val="28"/>
          <w:szCs w:val="28"/>
        </w:rPr>
        <w:t>2.2.1 应急指挥机构</w:t>
      </w:r>
      <w:bookmarkEnd w:id="33"/>
      <w:bookmarkEnd w:id="34"/>
      <w:bookmarkEnd w:id="35"/>
    </w:p>
    <w:p>
      <w:pPr>
        <w:tabs>
          <w:tab w:val="left" w:pos="402"/>
        </w:tabs>
        <w:spacing w:line="360" w:lineRule="auto"/>
        <w:ind w:firstLine="420" w:firstLineChars="150"/>
        <w:rPr>
          <w:rFonts w:ascii="宋体" w:hAnsi="宋体" w:cs="宋体"/>
          <w:sz w:val="28"/>
          <w:szCs w:val="28"/>
        </w:rPr>
      </w:pPr>
      <w:bookmarkStart w:id="36" w:name="_Toc497428030"/>
      <w:r>
        <w:rPr>
          <w:sz w:val="28"/>
        </w:rPr>
        <w:pict>
          <v:shape id="_x0000_s1026" o:spid="_x0000_s1026" o:spt="202" type="#_x0000_t202" style="position:absolute;left:0pt;margin-left:116.6pt;margin-top:30.3pt;height:44.25pt;width:179.95pt;z-index:251735040;mso-width-relative:page;mso-height-relative:page;" fillcolor="#FFFFFF [3201]" filled="t" coordsize="21600,21600" o:gfxdata="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yWiKQ1gAAAAoBAAAPAAAAAAAA&#10;AAEAIAAAACIAAABkcnMvZG93bnJldi54bWxQSwECFAAUAAAACACHTuJAbZpIxE0CAAB3BAAADgAA&#10;AAAAAAABACAAAAAlAQAAZHJzL2Uyb0RvYy54bWxQSwUGAAAAAAYABgBZAQAA5AUAAAAA&#10;">
            <v:path/>
            <v:fill on="t" focussize="0,0"/>
            <v:stroke weight="0.5pt" joinstyle="round"/>
            <v:imagedata o:title=""/>
            <o:lock v:ext="edit"/>
            <v:textbox>
              <w:txbxContent>
                <w:p>
                  <w:r>
                    <w:rPr>
                      <w:rFonts w:hint="eastAsia" w:ascii="宋体" w:hAnsi="宋体" w:cs="宋体"/>
                      <w:sz w:val="28"/>
                      <w:szCs w:val="28"/>
                    </w:rPr>
                    <w:t>应急救援总指挥：陈荣学</w:t>
                  </w:r>
                </w:p>
              </w:txbxContent>
            </v:textbox>
          </v:shape>
        </w:pict>
      </w:r>
      <w:r>
        <w:rPr>
          <w:sz w:val="28"/>
          <w:szCs w:val="28"/>
        </w:rPr>
        <w:t>事故应急救援领导小组</w:t>
      </w:r>
    </w:p>
    <w:p>
      <w:pPr>
        <w:tabs>
          <w:tab w:val="left" w:pos="3231"/>
          <w:tab w:val="right" w:pos="9070"/>
        </w:tabs>
        <w:ind w:firstLine="2520" w:firstLineChars="900"/>
        <w:jc w:val="left"/>
        <w:rPr>
          <w:rFonts w:ascii="宋体" w:hAnsi="宋体" w:cs="宋体"/>
          <w:sz w:val="28"/>
          <w:szCs w:val="28"/>
        </w:rPr>
      </w:pPr>
    </w:p>
    <w:p>
      <w:pPr>
        <w:pStyle w:val="31"/>
        <w:tabs>
          <w:tab w:val="left" w:pos="360"/>
        </w:tabs>
        <w:ind w:firstLine="560"/>
        <w:rPr>
          <w:sz w:val="28"/>
        </w:rPr>
      </w:pPr>
      <w:r>
        <w:rPr>
          <w:sz w:val="28"/>
        </w:rPr>
        <w:pict>
          <v:shape id="_x0000_s2053" o:spid="_x0000_s2053" o:spt="32" type="#_x0000_t32" style="position:absolute;left:0pt;flip:x;margin-left:207.05pt;margin-top:15.15pt;height:66.7pt;width:0.3pt;z-index:251740160;mso-width-relative:page;mso-height-relative:page;" filled="f" coordsize="21600,21600">
            <v:path arrowok="t"/>
            <v:fill on="f" focussize="0,0"/>
            <v:stroke endarrow="open"/>
            <v:imagedata o:title=""/>
            <o:lock v:ext="edit"/>
          </v:shape>
        </w:pict>
      </w:r>
      <w:r>
        <w:rPr>
          <w:sz w:val="28"/>
        </w:rPr>
        <w:pict>
          <v:shape id="_x0000_s2051" o:spid="_x0000_s2051" o:spt="202" type="#_x0000_t202" style="position:absolute;left:0pt;margin-left:234.3pt;margin-top:22.55pt;height:39pt;width:111pt;z-index:251736064;mso-width-relative:page;mso-height-relative:page;" fillcolor="#FFFFFF [3201]" filled="t" coordsize="21600,21600" o:gfxdata="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kVkfzWAAAACgEAAA8AAAAAAAAAAQAg&#10;AAAAIgAAAGRycy9kb3ducmV2LnhtbFBLAQIUABQAAAAIAIdO4kBrq7LTSQIAAHcEAAAOAAAAAAAA&#10;AAEAIAAAACUBAABkcnMvZTJvRG9jLnhtbFBLBQYAAAAABgAGAFkBAADgBQAAAAA=&#10;">
            <v:path/>
            <v:fill on="t" focussize="0,0"/>
            <v:stroke weight="0.5pt" joinstyle="round"/>
            <v:imagedata o:title=""/>
            <o:lock v:ext="edit"/>
            <v:textbox>
              <w:txbxContent>
                <w:p>
                  <w:r>
                    <w:rPr>
                      <w:rFonts w:hint="eastAsia" w:ascii="宋体" w:hAnsi="宋体" w:cs="宋体"/>
                      <w:sz w:val="28"/>
                      <w:szCs w:val="28"/>
                    </w:rPr>
                    <w:t>副总指挥：雍炎光</w:t>
                  </w:r>
                </w:p>
              </w:txbxContent>
            </v:textbox>
          </v:shape>
        </w:pict>
      </w:r>
    </w:p>
    <w:p>
      <w:pPr>
        <w:pStyle w:val="31"/>
        <w:ind w:firstLine="560"/>
        <w:rPr>
          <w:highlight w:val="green"/>
        </w:rPr>
      </w:pPr>
      <w:r>
        <w:rPr>
          <w:sz w:val="28"/>
        </w:rPr>
        <w:pict>
          <v:shape id="_x0000_s2054" o:spid="_x0000_s2054" o:spt="32" type="#_x0000_t32" style="position:absolute;left:0pt;flip:x;margin-left:208.05pt;margin-top:7.85pt;height:0.75pt;width:23.25pt;z-index:251741184;mso-width-relative:page;mso-height-relative:page;" filled="f" stroked="t" coordsize="21600,21600" o:gfxdata="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53leB2gAAAAsB&#10;AAAPAAAAAAAAAAEAIAAAACIAAABkcnMvZG93bnJldi54bWxQSwECFAAUAAAACACHTuJA5TpxIxkC&#10;AAD0AwAADgAAAAAAAAABACAAAAApAQAAZHJzL2Uyb0RvYy54bWxQSwUGAAAAAAYABgBZAQAAtAUA&#10;AAAA&#10;">
            <v:path arrowok="t"/>
            <v:fill on="f" focussize="0,0"/>
            <v:stroke color="#0D0D0D [3069]" endarrow="open"/>
            <v:imagedata o:title=""/>
            <o:lock v:ext="edit"/>
          </v:shape>
        </w:pict>
      </w:r>
    </w:p>
    <w:p>
      <w:pPr>
        <w:spacing w:line="360" w:lineRule="auto"/>
        <w:jc w:val="center"/>
        <w:rPr>
          <w:highlight w:val="green"/>
        </w:rPr>
      </w:pPr>
      <w:bookmarkStart w:id="37" w:name="_Toc2845027"/>
    </w:p>
    <w:p>
      <w:pPr>
        <w:pStyle w:val="31"/>
        <w:ind w:firstLine="560"/>
        <w:rPr>
          <w:highlight w:val="green"/>
        </w:rPr>
      </w:pPr>
      <w:r>
        <w:rPr>
          <w:sz w:val="28"/>
        </w:rPr>
        <w:pict>
          <v:shape id="_x0000_s2057" o:spid="_x0000_s2057" o:spt="32" type="#_x0000_t32" style="position:absolute;left:0pt;margin-left:205.8pt;margin-top:1.85pt;height:25.5pt;width:0pt;z-index:251828224;mso-width-relative:page;mso-height-relative:page;" filled="f" stroked="t" coordsize="21600,21600" o:gfxdata="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vRLivtgAAAALAQAADwAA&#10;AAAAAAABACAAAAAiAAAAZHJzL2Rvd25yZXYueG1sUEsBAhQAFAAAAAgAh07iQCizY6zdAQAAfAMA&#10;AA4AAAAAAAAAAQAgAAAAJwEAAGRycy9lMm9Eb2MueG1sUEsFBgAAAAAGAAYAWQEAAHYFAAAAAA==&#10;">
            <v:path arrowok="t"/>
            <v:fill on="f" focussize="0,0"/>
            <v:stroke color="#000000 [3213]" endarrow="open"/>
            <v:imagedata o:title=""/>
            <o:lock v:ext="edit"/>
          </v:shape>
        </w:pict>
      </w:r>
      <w:r>
        <w:rPr>
          <w:sz w:val="28"/>
        </w:rPr>
        <w:pict>
          <v:shape id="_x0000_s2060" o:spid="_x0000_s2060" o:spt="32" type="#_x0000_t32" style="position:absolute;left:0pt;margin-left:304.8pt;margin-top:1.1pt;height:25.5pt;width:0pt;z-index:251913216;mso-width-relative:page;mso-height-relative:page;" filled="f" stroked="t" coordsize="21600,21600" o:gfxdata="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pE8On1wAAAAsBAAAPAAAA&#10;AAAAAAEAIAAAACIAAABkcnMvZG93bnJldi54bWxQSwECFAAUAAAACACHTuJABrsosd0BAAB8AwAA&#10;DgAAAAAAAAABACAAAAAmAQAAZHJzL2Uyb0RvYy54bWxQSwUGAAAAAAYABgBZAQAAdQUAAAAA&#10;">
            <v:path arrowok="t"/>
            <v:fill on="f" focussize="0,0"/>
            <v:stroke color="#000000 [3213]" endarrow="open"/>
            <v:imagedata o:title=""/>
            <o:lock v:ext="edit"/>
          </v:shape>
        </w:pict>
      </w:r>
      <w:r>
        <w:rPr>
          <w:sz w:val="28"/>
        </w:rPr>
        <w:pict>
          <v:shape id="_x0000_s2056" o:spid="_x0000_s2056" o:spt="32" type="#_x0000_t32" style="position:absolute;left:0pt;margin-left:95.55pt;margin-top:1.85pt;height:25.5pt;width:0pt;z-index:251743232;mso-width-relative:page;mso-height-relative:page;" filled="f" stroked="t" coordsize="21600,21600" o:gfxdata="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yk&#10;b8fXAAAACwEAAA8AAAAAAAAAAQAgAAAAIgAAAGRycy9kb3ducmV2LnhtbFBLAQIUABQAAAAIAIdO&#10;4kBQ/fZ66wEAAIgDAAAOAAAAAAAAAAEAIAAAACYBAABkcnMvZTJvRG9jLnhtbFBLBQYAAAAABgAG&#10;AFkBAACDBQAAAAA=&#10;">
            <v:path arrowok="t"/>
            <v:fill on="f" focussize="0,0"/>
            <v:stroke color="#000000 [3213]" endarrow="open"/>
            <v:imagedata o:title=""/>
            <o:lock v:ext="edit"/>
          </v:shape>
        </w:pict>
      </w:r>
      <w:r>
        <w:rPr>
          <w:sz w:val="28"/>
        </w:rPr>
        <w:pict>
          <v:line id="_x0000_s2055" o:spid="_x0000_s2055" o:spt="20" style="position:absolute;left:0pt;flip:y;margin-left:94.8pt;margin-top:1.1pt;height:0.75pt;width:209.25pt;z-index:251742208;mso-width-relative:page;mso-height-relative:page;" stroked="t" coordsize="21600,21600" o:gfxdata="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PAPwrXAAAACwEAAA8AAAAAAAAAAQAgAAAA&#10;IgAAAGRycy9kb3ducmV2LnhtbFBLAQIUABQAAAAIAIdO4kDWPdXC0wEAAGkDAAAOAAAAAAAAAAEA&#10;IAAAACYBAABkcnMvZTJvRG9jLnhtbFBLBQYAAAAABgAGAFkBAABrBQAAAAA=&#10;">
            <v:path arrowok="t"/>
            <v:fill focussize="0,0"/>
            <v:stroke color="#000000 [3213]"/>
            <v:imagedata o:title=""/>
            <o:lock v:ext="edit"/>
          </v:line>
        </w:pict>
      </w:r>
    </w:p>
    <w:p>
      <w:pPr>
        <w:pStyle w:val="31"/>
        <w:ind w:firstLine="560"/>
        <w:rPr>
          <w:highlight w:val="green"/>
        </w:rPr>
      </w:pPr>
      <w:r>
        <w:rPr>
          <w:sz w:val="28"/>
        </w:rPr>
        <w:pict>
          <v:shape id="_x0000_s2059" o:spid="_x0000_s2059" o:spt="202" type="#_x0000_t202" style="position:absolute;left:0pt;margin-left:290.55pt;margin-top:5.85pt;height:84.75pt;width:32.05pt;z-index:251739136;mso-width-relative:page;mso-height-relative:page;" coordsize="21600,21600">
            <v:path/>
            <v:fill focussize="0,0"/>
            <v:stroke weight="0.5pt" joinstyle="round"/>
            <v:imagedata o:title=""/>
            <o:lock v:ext="edit"/>
            <v:textbox>
              <w:txbxContent>
                <w:p>
                  <w:pPr>
                    <w:spacing w:line="120" w:lineRule="auto"/>
                    <w:rPr>
                      <w:rFonts w:ascii="宋体" w:hAnsi="宋体" w:cs="宋体"/>
                      <w:spacing w:val="-11"/>
                      <w:sz w:val="24"/>
                    </w:rPr>
                  </w:pPr>
                  <w:r>
                    <w:rPr>
                      <w:rFonts w:hint="eastAsia" w:ascii="宋体" w:hAnsi="宋体" w:cs="宋体"/>
                      <w:spacing w:val="-11"/>
                      <w:sz w:val="24"/>
                    </w:rPr>
                    <w:t>救</w:t>
                  </w:r>
                </w:p>
                <w:p>
                  <w:pPr>
                    <w:spacing w:line="120" w:lineRule="auto"/>
                    <w:rPr>
                      <w:rFonts w:ascii="宋体" w:hAnsi="宋体" w:cs="宋体"/>
                      <w:spacing w:val="-11"/>
                      <w:sz w:val="24"/>
                    </w:rPr>
                  </w:pPr>
                  <w:r>
                    <w:rPr>
                      <w:rFonts w:hint="eastAsia" w:ascii="宋体" w:hAnsi="宋体" w:cs="宋体"/>
                      <w:spacing w:val="-11"/>
                      <w:sz w:val="24"/>
                    </w:rPr>
                    <w:t>护</w:t>
                  </w:r>
                </w:p>
                <w:p>
                  <w:pPr>
                    <w:spacing w:line="120" w:lineRule="auto"/>
                    <w:rPr>
                      <w:rFonts w:ascii="宋体" w:hAnsi="宋体" w:cs="宋体"/>
                      <w:spacing w:val="-11"/>
                      <w:sz w:val="24"/>
                    </w:rPr>
                  </w:pPr>
                  <w:r>
                    <w:rPr>
                      <w:rFonts w:hint="eastAsia" w:ascii="宋体" w:hAnsi="宋体" w:cs="宋体"/>
                      <w:spacing w:val="-11"/>
                      <w:sz w:val="24"/>
                    </w:rPr>
                    <w:t>调</w:t>
                  </w:r>
                </w:p>
                <w:p>
                  <w:pPr>
                    <w:spacing w:line="120" w:lineRule="auto"/>
                    <w:rPr>
                      <w:rFonts w:ascii="宋体" w:hAnsi="宋体" w:cs="宋体"/>
                      <w:spacing w:val="-11"/>
                      <w:sz w:val="24"/>
                    </w:rPr>
                  </w:pPr>
                  <w:r>
                    <w:rPr>
                      <w:rFonts w:hint="eastAsia" w:ascii="宋体" w:hAnsi="宋体" w:cs="宋体"/>
                      <w:spacing w:val="-11"/>
                      <w:sz w:val="24"/>
                    </w:rPr>
                    <w:t>查</w:t>
                  </w:r>
                </w:p>
                <w:p>
                  <w:pPr>
                    <w:spacing w:line="120" w:lineRule="auto"/>
                    <w:rPr>
                      <w:rFonts w:ascii="宋体" w:hAnsi="宋体" w:cs="宋体"/>
                      <w:spacing w:val="-11"/>
                      <w:sz w:val="24"/>
                    </w:rPr>
                  </w:pPr>
                  <w:r>
                    <w:rPr>
                      <w:rFonts w:hint="eastAsia" w:ascii="宋体" w:hAnsi="宋体" w:cs="宋体"/>
                      <w:spacing w:val="-11"/>
                      <w:sz w:val="24"/>
                    </w:rPr>
                    <w:t>组</w:t>
                  </w:r>
                </w:p>
                <w:p>
                  <w:pPr>
                    <w:spacing w:line="120" w:lineRule="auto"/>
                    <w:rPr>
                      <w:rFonts w:ascii="宋体" w:hAnsi="宋体" w:cs="宋体"/>
                      <w:spacing w:val="-11"/>
                      <w:sz w:val="24"/>
                    </w:rPr>
                  </w:pPr>
                </w:p>
              </w:txbxContent>
            </v:textbox>
          </v:shape>
        </w:pict>
      </w:r>
      <w:r>
        <w:rPr>
          <w:sz w:val="28"/>
        </w:rPr>
        <w:pict>
          <v:shape id="_x0000_s2052" o:spid="_x0000_s2052" o:spt="202" type="#_x0000_t202" style="position:absolute;left:0pt;margin-left:78.3pt;margin-top:5.8pt;height:84.05pt;width:30.1pt;z-index:251737088;mso-width-relative:page;mso-height-relative:page;" coordsize="21600,21600" o:gfxdata="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VVwB69cAAAALAQAADwAAAAAAAAAB&#10;ACAAAAAiAAAAZHJzL2Rvd25yZXYueG1sUEsBAhQAFAAAAAgAh07iQLACmpVKAgAAdwQAAA4AAAAA&#10;AAAAAQAgAAAAJgEAAGRycy9lMm9Eb2MueG1sUEsFBgAAAAAGAAYAWQEAAOIFAAAAAA==&#10;">
            <v:path/>
            <v:fill focussize="0,0"/>
            <v:stroke weight="0.5pt" joinstyle="round"/>
            <v:imagedata o:title=""/>
            <o:lock v:ext="edit"/>
            <v:textbox>
              <w:txbxContent>
                <w:p>
                  <w:pPr>
                    <w:spacing w:line="120" w:lineRule="auto"/>
                    <w:rPr>
                      <w:rFonts w:ascii="宋体" w:hAnsi="宋体" w:cs="宋体"/>
                      <w:spacing w:val="-11"/>
                      <w:sz w:val="24"/>
                    </w:rPr>
                  </w:pPr>
                  <w:r>
                    <w:rPr>
                      <w:rFonts w:hint="eastAsia" w:ascii="宋体" w:hAnsi="宋体" w:cs="宋体"/>
                      <w:spacing w:val="-11"/>
                      <w:sz w:val="24"/>
                    </w:rPr>
                    <w:t>抢</w:t>
                  </w:r>
                </w:p>
                <w:p>
                  <w:pPr>
                    <w:spacing w:line="120" w:lineRule="auto"/>
                    <w:rPr>
                      <w:rFonts w:ascii="宋体" w:hAnsi="宋体" w:cs="宋体"/>
                      <w:spacing w:val="-11"/>
                      <w:sz w:val="24"/>
                    </w:rPr>
                  </w:pPr>
                  <w:r>
                    <w:rPr>
                      <w:rFonts w:hint="eastAsia" w:ascii="宋体" w:hAnsi="宋体" w:cs="宋体"/>
                      <w:spacing w:val="-11"/>
                      <w:sz w:val="24"/>
                    </w:rPr>
                    <w:t>险</w:t>
                  </w:r>
                </w:p>
                <w:p>
                  <w:pPr>
                    <w:spacing w:line="120" w:lineRule="auto"/>
                    <w:rPr>
                      <w:rFonts w:ascii="宋体" w:hAnsi="宋体" w:cs="宋体"/>
                      <w:spacing w:val="-11"/>
                      <w:sz w:val="24"/>
                    </w:rPr>
                  </w:pPr>
                  <w:r>
                    <w:rPr>
                      <w:rFonts w:hint="eastAsia" w:ascii="宋体" w:hAnsi="宋体" w:cs="宋体"/>
                      <w:spacing w:val="-11"/>
                      <w:sz w:val="24"/>
                    </w:rPr>
                    <w:t>救</w:t>
                  </w:r>
                </w:p>
                <w:p>
                  <w:pPr>
                    <w:spacing w:line="120" w:lineRule="auto"/>
                    <w:rPr>
                      <w:rFonts w:ascii="宋体" w:hAnsi="宋体" w:cs="宋体"/>
                      <w:spacing w:val="-11"/>
                      <w:sz w:val="24"/>
                    </w:rPr>
                  </w:pPr>
                  <w:r>
                    <w:rPr>
                      <w:rFonts w:hint="eastAsia" w:ascii="宋体" w:hAnsi="宋体" w:cs="宋体"/>
                      <w:spacing w:val="-11"/>
                      <w:sz w:val="24"/>
                    </w:rPr>
                    <w:t>援</w:t>
                  </w:r>
                </w:p>
                <w:p>
                  <w:pPr>
                    <w:spacing w:line="120" w:lineRule="auto"/>
                    <w:rPr>
                      <w:rFonts w:ascii="宋体" w:hAnsi="宋体" w:cs="宋体"/>
                      <w:spacing w:val="-11"/>
                      <w:sz w:val="28"/>
                      <w:szCs w:val="28"/>
                    </w:rPr>
                  </w:pPr>
                  <w:r>
                    <w:rPr>
                      <w:rFonts w:hint="eastAsia" w:ascii="宋体" w:hAnsi="宋体" w:cs="宋体"/>
                      <w:spacing w:val="-11"/>
                      <w:sz w:val="24"/>
                    </w:rPr>
                    <w:t>组</w:t>
                  </w:r>
                </w:p>
              </w:txbxContent>
            </v:textbox>
          </v:shape>
        </w:pict>
      </w:r>
      <w:r>
        <w:rPr>
          <w:sz w:val="28"/>
        </w:rPr>
        <w:pict>
          <v:shape id="_x0000_s2058" o:spid="_x0000_s2058" o:spt="202" type="#_x0000_t202" style="position:absolute;left:0pt;margin-left:187.05pt;margin-top:4.25pt;height:82.5pt;width:31.45pt;z-index:251738112;mso-width-relative:page;mso-height-relative:page;" coordsize="21600,21600" o:gfxdata="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zQ1o91wAAAAsBAAAPAAAAAAAA&#10;AAEAIAAAACIAAABkcnMvZG93bnJldi54bWxQSwECFAAUAAAACACHTuJAh/Ku+UwCAAB5BAAADgAA&#10;AAAAAAABACAAAAAmAQAAZHJzL2Uyb0RvYy54bWxQSwUGAAAAAAYABgBZAQAA5AUAAAAA&#10;">
            <v:path/>
            <v:fill focussize="0,0"/>
            <v:stroke weight="0.5pt" joinstyle="round"/>
            <v:imagedata o:title=""/>
            <o:lock v:ext="edit"/>
            <v:textbox>
              <w:txbxContent>
                <w:p>
                  <w:pPr>
                    <w:spacing w:line="120" w:lineRule="auto"/>
                    <w:rPr>
                      <w:rFonts w:ascii="宋体" w:hAnsi="宋体" w:cs="宋体"/>
                      <w:spacing w:val="-11"/>
                      <w:sz w:val="24"/>
                    </w:rPr>
                  </w:pPr>
                  <w:r>
                    <w:rPr>
                      <w:rFonts w:hint="eastAsia" w:ascii="宋体" w:hAnsi="宋体" w:cs="宋体"/>
                      <w:spacing w:val="-11"/>
                      <w:sz w:val="24"/>
                    </w:rPr>
                    <w:t>警</w:t>
                  </w:r>
                </w:p>
                <w:p>
                  <w:pPr>
                    <w:spacing w:line="120" w:lineRule="auto"/>
                    <w:rPr>
                      <w:rFonts w:ascii="宋体" w:hAnsi="宋体" w:cs="宋体"/>
                      <w:spacing w:val="-11"/>
                      <w:sz w:val="24"/>
                    </w:rPr>
                  </w:pPr>
                  <w:r>
                    <w:rPr>
                      <w:rFonts w:hint="eastAsia" w:ascii="宋体" w:hAnsi="宋体" w:cs="宋体"/>
                      <w:spacing w:val="-11"/>
                      <w:sz w:val="24"/>
                    </w:rPr>
                    <w:t>戒</w:t>
                  </w:r>
                </w:p>
                <w:p>
                  <w:pPr>
                    <w:spacing w:line="120" w:lineRule="auto"/>
                    <w:rPr>
                      <w:rFonts w:ascii="宋体" w:hAnsi="宋体" w:cs="宋体"/>
                      <w:spacing w:val="-11"/>
                      <w:sz w:val="24"/>
                    </w:rPr>
                  </w:pPr>
                  <w:r>
                    <w:rPr>
                      <w:rFonts w:hint="eastAsia" w:ascii="宋体" w:hAnsi="宋体" w:cs="宋体"/>
                      <w:spacing w:val="-11"/>
                      <w:sz w:val="24"/>
                    </w:rPr>
                    <w:t>后</w:t>
                  </w:r>
                </w:p>
                <w:p>
                  <w:pPr>
                    <w:spacing w:line="120" w:lineRule="auto"/>
                    <w:rPr>
                      <w:rFonts w:ascii="宋体" w:hAnsi="宋体" w:cs="宋体"/>
                      <w:spacing w:val="-11"/>
                      <w:sz w:val="24"/>
                    </w:rPr>
                  </w:pPr>
                  <w:r>
                    <w:rPr>
                      <w:rFonts w:hint="eastAsia" w:ascii="宋体" w:hAnsi="宋体" w:cs="宋体"/>
                      <w:spacing w:val="-11"/>
                      <w:sz w:val="24"/>
                    </w:rPr>
                    <w:t>勤</w:t>
                  </w:r>
                </w:p>
                <w:p>
                  <w:pPr>
                    <w:spacing w:line="120" w:lineRule="auto"/>
                    <w:rPr>
                      <w:rFonts w:ascii="宋体" w:hAnsi="宋体" w:cs="宋体"/>
                      <w:spacing w:val="-11"/>
                      <w:sz w:val="24"/>
                    </w:rPr>
                  </w:pPr>
                  <w:r>
                    <w:rPr>
                      <w:rFonts w:hint="eastAsia" w:ascii="宋体" w:hAnsi="宋体" w:cs="宋体"/>
                      <w:spacing w:val="-11"/>
                      <w:sz w:val="24"/>
                    </w:rPr>
                    <w:t>组</w:t>
                  </w:r>
                </w:p>
              </w:txbxContent>
            </v:textbox>
          </v:shape>
        </w:pict>
      </w:r>
    </w:p>
    <w:p>
      <w:pPr>
        <w:pStyle w:val="31"/>
        <w:rPr>
          <w:highlight w:val="green"/>
        </w:rPr>
      </w:pPr>
    </w:p>
    <w:p>
      <w:pPr>
        <w:pStyle w:val="31"/>
        <w:rPr>
          <w:highlight w:val="green"/>
        </w:rPr>
      </w:pPr>
    </w:p>
    <w:p>
      <w:pPr>
        <w:spacing w:line="360" w:lineRule="auto"/>
        <w:jc w:val="center"/>
        <w:rPr>
          <w:rStyle w:val="91"/>
          <w:rFonts w:ascii="Times New Roman" w:hAnsi="Times New Roman"/>
          <w:sz w:val="24"/>
        </w:rPr>
      </w:pPr>
      <w:bookmarkStart w:id="38" w:name="_Toc452"/>
    </w:p>
    <w:p>
      <w:pPr>
        <w:spacing w:line="360" w:lineRule="auto"/>
        <w:jc w:val="center"/>
      </w:pPr>
      <w:r>
        <w:rPr>
          <w:rStyle w:val="91"/>
          <w:rFonts w:ascii="Times New Roman" w:hAnsi="Times New Roman"/>
          <w:sz w:val="24"/>
        </w:rPr>
        <w:t>应急组织架构图</w:t>
      </w:r>
      <w:bookmarkEnd w:id="37"/>
      <w:bookmarkEnd w:id="38"/>
    </w:p>
    <w:bookmarkEnd w:id="36"/>
    <w:p>
      <w:pPr>
        <w:spacing w:line="360" w:lineRule="auto"/>
        <w:rPr>
          <w:rFonts w:ascii="宋体" w:hAnsi="宋体" w:cs="仿宋_GB2312"/>
          <w:b/>
          <w:bCs/>
          <w:sz w:val="28"/>
          <w:szCs w:val="28"/>
        </w:rPr>
      </w:pPr>
      <w:r>
        <w:rPr>
          <w:rFonts w:hint="eastAsia"/>
          <w:b/>
          <w:bCs/>
          <w:sz w:val="30"/>
          <w:szCs w:val="30"/>
        </w:rPr>
        <w:t>2.2.2</w:t>
      </w:r>
      <w:r>
        <w:rPr>
          <w:b/>
          <w:bCs/>
          <w:sz w:val="28"/>
          <w:szCs w:val="28"/>
        </w:rPr>
        <w:t>领导小组</w:t>
      </w:r>
      <w:r>
        <w:rPr>
          <w:rFonts w:hint="eastAsia"/>
          <w:b/>
          <w:bCs/>
          <w:sz w:val="30"/>
          <w:szCs w:val="30"/>
          <w:lang w:val="zh-CN"/>
        </w:rPr>
        <w:t>职责</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（1）</w:t>
      </w:r>
      <w:r>
        <w:rPr>
          <w:rFonts w:hint="eastAsia"/>
          <w:sz w:val="28"/>
          <w:szCs w:val="28"/>
          <w:lang w:val="zh-CN"/>
        </w:rPr>
        <w:t>贯彻落实国家有关事故应急处理管理工作的法律、法规和上级部门的有关规章制度，执行政府关于事故应急处理的重大部</w:t>
      </w:r>
      <w:r>
        <w:rPr>
          <w:rFonts w:hint="eastAsia"/>
          <w:sz w:val="28"/>
          <w:szCs w:val="28"/>
        </w:rPr>
        <w:t>署。</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（2）危急事件发生后，应立即组织各应急处置工作组按职责分工，赶赴现场组织事故处理。按照“以人为本，安全第一”的原则，进行应急处理。</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（3）指挥开展事故应急处理、救援和生产、生活恢复等各项工作。</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（4）负责向政府有关部门报告事故情况和事故处理进展情况。</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（5）做好事故（发生原因、处理经过、设备损坏和经济损失情况）调查工作。</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（6）发布、启动和解除生产安全事故应急预案的命令。</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（7）审查批准现场救援方案。</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（8）按照预案程序和现场救援方案，组织、协调、指挥生产安全事故应急救援工作的有效实施。</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（9）根据事故发展状态和现场救援过程中出现的新问题，随时变更、修改救援方案，及时采取相应的应急处理措施。</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（10）紧急调用各类救援物资、设备、人员和占用场地，并负责督促归还或给予适当补偿。</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（11）总结应急预案工作经验教训。</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（12）办理政府主管部门交办的其他事项。</w:t>
      </w:r>
    </w:p>
    <w:p>
      <w:pPr>
        <w:pStyle w:val="5"/>
        <w:rPr>
          <w:sz w:val="30"/>
          <w:szCs w:val="30"/>
        </w:rPr>
      </w:pPr>
      <w:bookmarkStart w:id="39" w:name="_Toc12729"/>
      <w:r>
        <w:rPr>
          <w:rFonts w:hint="eastAsia"/>
          <w:sz w:val="30"/>
          <w:szCs w:val="30"/>
        </w:rPr>
        <w:t>2.2.3总指挥及职责</w:t>
      </w:r>
      <w:bookmarkEnd w:id="39"/>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总指挥：陈荣学</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职责：负责加油站突发事故应急处理，全面协调、指挥、制定和实施正确有效的突发事故应急抢险方案，并亲临现场指挥，组织人员对物资、设备进行救援处理，有效地减少事件损失，防止事件蔓延、扩大，具体如下：</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1.分析紧急状态和确定相应报警级别；</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2.指挥、协调应急反应行动；</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3.与外部应急反应机构的联络；</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4.直接监察应急人员的行动；</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5.保护现场和人员的安全；</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6.向政府汇报事故情况，必要时向政府机构发出支援请求；组织事故调查，总结事故经验教训。</w:t>
      </w:r>
    </w:p>
    <w:p>
      <w:pPr>
        <w:pStyle w:val="5"/>
        <w:rPr>
          <w:sz w:val="30"/>
          <w:szCs w:val="30"/>
        </w:rPr>
      </w:pPr>
      <w:bookmarkStart w:id="40" w:name="_Toc22207"/>
      <w:r>
        <w:rPr>
          <w:rFonts w:hint="eastAsia"/>
          <w:sz w:val="30"/>
          <w:szCs w:val="30"/>
        </w:rPr>
        <w:t>2.2.4副总指挥及职责</w:t>
      </w:r>
      <w:bookmarkEnd w:id="40"/>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副总指挥：雍炎光</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kern w:val="0"/>
          <w:sz w:val="28"/>
          <w:szCs w:val="28"/>
          <w:lang w:eastAsia="zh-CN"/>
        </w:rPr>
      </w:pPr>
      <w:r>
        <w:rPr>
          <w:rFonts w:hint="eastAsia"/>
          <w:sz w:val="28"/>
          <w:szCs w:val="28"/>
        </w:rPr>
        <w:t>职责：紧急情况发生后总指挥尚未到达或由于工作原因无法到场时，由副总指挥负责紧急事件发生时现场应急救援的全面组织、指挥、决策，当总指挥到场后，向总指挥移交指挥权，并在随后的救援工作中密切配合、协助总指挥进行事故报告、事故救援工作</w:t>
      </w:r>
      <w:r>
        <w:rPr>
          <w:rFonts w:hint="eastAsia"/>
          <w:sz w:val="28"/>
          <w:szCs w:val="28"/>
          <w:lang w:eastAsia="zh-CN"/>
        </w:rPr>
        <w:t>。</w:t>
      </w:r>
    </w:p>
    <w:p>
      <w:pPr>
        <w:spacing w:line="360" w:lineRule="auto"/>
        <w:rPr>
          <w:rFonts w:ascii="宋体" w:hAnsi="宋体" w:cs="仿宋_GB2312"/>
          <w:b/>
          <w:bCs/>
          <w:sz w:val="28"/>
          <w:szCs w:val="28"/>
        </w:rPr>
      </w:pPr>
      <w:bookmarkStart w:id="41" w:name="_Toc15022"/>
      <w:r>
        <w:rPr>
          <w:rFonts w:hint="eastAsia"/>
          <w:b/>
          <w:bCs/>
          <w:sz w:val="30"/>
          <w:szCs w:val="30"/>
        </w:rPr>
        <w:t>2.2.5</w:t>
      </w:r>
      <w:bookmarkEnd w:id="41"/>
      <w:r>
        <w:rPr>
          <w:rFonts w:hint="eastAsia"/>
          <w:b/>
          <w:bCs/>
          <w:sz w:val="30"/>
          <w:szCs w:val="30"/>
        </w:rPr>
        <w:t>抢险救援组及职责</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组  长：史良鹏</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 xml:space="preserve">成  员：吕亚兰    </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职  责：</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1.负责控制现场事态，现场事故情况监测；</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2.负责调整现场应急抢险方案，组织开展抢险工作；</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3.负责落实指挥部抢险指令和实施抢险方案。</w:t>
      </w:r>
    </w:p>
    <w:p>
      <w:pPr>
        <w:pStyle w:val="5"/>
        <w:rPr>
          <w:sz w:val="30"/>
          <w:szCs w:val="30"/>
        </w:rPr>
      </w:pPr>
      <w:bookmarkStart w:id="42" w:name="_Toc20985"/>
      <w:r>
        <w:rPr>
          <w:rFonts w:hint="eastAsia"/>
          <w:sz w:val="30"/>
          <w:szCs w:val="30"/>
        </w:rPr>
        <w:t>2.2.6警戒后勤组及职责</w:t>
      </w:r>
      <w:bookmarkEnd w:id="42"/>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组  长：何琴</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任  务：组织现场人员疏散、撤离，并确定警戒范围。</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职  责：</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1.保证现场秩序，安全快速地疏散现场无关人员至安全区域。</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2.专用仪器动态检测事故现场油品、天然气泄漏范围，确定警戒范围，标明警戒区域,保证救援通道顺畅、抢险物资和伤员的顺利进出，禁止无关人员通行或靠近。</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3.保障抢险救援生活物资的供应、确保应急救援的通讯联络、畅通及其他后勤保障工作。</w:t>
      </w:r>
    </w:p>
    <w:p>
      <w:pPr>
        <w:pStyle w:val="5"/>
        <w:rPr>
          <w:sz w:val="30"/>
          <w:szCs w:val="30"/>
        </w:rPr>
      </w:pPr>
      <w:bookmarkStart w:id="43" w:name="_Toc23263"/>
      <w:r>
        <w:rPr>
          <w:rFonts w:hint="eastAsia"/>
          <w:sz w:val="30"/>
          <w:szCs w:val="30"/>
        </w:rPr>
        <w:t>2.2.7救护调查组及职责</w:t>
      </w:r>
      <w:bookmarkEnd w:id="43"/>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组  长：雍炎光</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成  员：董英</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应急物资：担架、急救药箱</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职  责：</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1.对受伤人员进行初步救护处理、转院运送等工作。</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2.负责做好伤员住院期间临时护理工作；受伤人员的治疗及伤员家属的安抚工作。</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3.保护事故现场并取证，配合相关职能部门，对事故发生的原因进行分析、调查。</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4、将事故情况形成书面材料，并对事故提出处理意见或建议。</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sz w:val="24"/>
          <w:szCs w:val="28"/>
        </w:rPr>
      </w:pPr>
      <w:r>
        <w:rPr>
          <w:rFonts w:hint="eastAsia"/>
          <w:sz w:val="28"/>
          <w:szCs w:val="28"/>
        </w:rPr>
        <w:t>内部应急联络通讯录见下表：</w:t>
      </w:r>
    </w:p>
    <w:p>
      <w:pPr>
        <w:spacing w:line="360" w:lineRule="auto"/>
        <w:jc w:val="center"/>
        <w:rPr>
          <w:b/>
          <w:bCs/>
          <w:sz w:val="24"/>
        </w:rPr>
      </w:pPr>
      <w:r>
        <w:rPr>
          <w:b/>
          <w:bCs/>
          <w:sz w:val="24"/>
        </w:rPr>
        <w:t>内部应急救援机构通讯录</w:t>
      </w:r>
    </w:p>
    <w:tbl>
      <w:tblPr>
        <w:tblStyle w:val="53"/>
        <w:tblW w:w="7896" w:type="dxa"/>
        <w:jc w:val="center"/>
        <w:tblInd w:w="1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8"/>
        <w:gridCol w:w="1511"/>
        <w:gridCol w:w="2372"/>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jc w:val="center"/>
        </w:trPr>
        <w:tc>
          <w:tcPr>
            <w:tcW w:w="3859" w:type="dxa"/>
            <w:gridSpan w:val="2"/>
            <w:vAlign w:val="center"/>
          </w:tcPr>
          <w:p>
            <w:pPr>
              <w:tabs>
                <w:tab w:val="left" w:pos="540"/>
              </w:tabs>
              <w:adjustRightInd w:val="0"/>
              <w:snapToGrid w:val="0"/>
              <w:jc w:val="center"/>
              <w:rPr>
                <w:rFonts w:ascii="宋体" w:hAnsi="宋体" w:cs="宋体"/>
                <w:b/>
                <w:kern w:val="0"/>
                <w:sz w:val="24"/>
              </w:rPr>
            </w:pPr>
            <w:r>
              <w:rPr>
                <w:rFonts w:hint="eastAsia" w:ascii="宋体" w:hAnsi="宋体" w:cs="宋体"/>
                <w:b/>
                <w:kern w:val="0"/>
                <w:sz w:val="24"/>
              </w:rPr>
              <w:t>相关单位</w:t>
            </w:r>
            <w:r>
              <w:rPr>
                <w:rFonts w:ascii="宋体" w:hAnsi="宋体" w:cs="宋体"/>
                <w:b/>
                <w:kern w:val="0"/>
                <w:sz w:val="24"/>
              </w:rPr>
              <w:t>/</w:t>
            </w:r>
            <w:r>
              <w:rPr>
                <w:rFonts w:hint="eastAsia" w:ascii="宋体" w:hAnsi="宋体" w:cs="宋体"/>
                <w:b/>
                <w:kern w:val="0"/>
                <w:sz w:val="24"/>
              </w:rPr>
              <w:t>人员</w:t>
            </w:r>
          </w:p>
        </w:tc>
        <w:tc>
          <w:tcPr>
            <w:tcW w:w="2372" w:type="dxa"/>
            <w:vAlign w:val="center"/>
          </w:tcPr>
          <w:p>
            <w:pPr>
              <w:widowControl/>
              <w:tabs>
                <w:tab w:val="left" w:pos="540"/>
              </w:tabs>
              <w:adjustRightInd w:val="0"/>
              <w:snapToGrid w:val="0"/>
              <w:jc w:val="center"/>
              <w:rPr>
                <w:rFonts w:ascii="宋体" w:hAnsi="宋体" w:cs="宋体"/>
                <w:b/>
                <w:kern w:val="0"/>
                <w:sz w:val="24"/>
              </w:rPr>
            </w:pPr>
            <w:r>
              <w:rPr>
                <w:rFonts w:hint="eastAsia" w:ascii="宋体" w:hAnsi="宋体" w:cs="宋体"/>
                <w:b/>
                <w:kern w:val="0"/>
                <w:sz w:val="24"/>
              </w:rPr>
              <w:t>联系电话</w:t>
            </w:r>
          </w:p>
        </w:tc>
        <w:tc>
          <w:tcPr>
            <w:tcW w:w="1665" w:type="dxa"/>
            <w:vAlign w:val="center"/>
          </w:tcPr>
          <w:p>
            <w:pPr>
              <w:widowControl/>
              <w:tabs>
                <w:tab w:val="left" w:pos="540"/>
              </w:tabs>
              <w:adjustRightInd w:val="0"/>
              <w:snapToGrid w:val="0"/>
              <w:jc w:val="center"/>
              <w:rPr>
                <w:rFonts w:ascii="宋体" w:hAnsi="宋体" w:cs="宋体"/>
                <w:b/>
                <w:kern w:val="0"/>
                <w:sz w:val="24"/>
              </w:rPr>
            </w:pPr>
            <w:r>
              <w:rPr>
                <w:rFonts w:hint="eastAsia" w:ascii="宋体" w:hAnsi="宋体" w:cs="宋体"/>
                <w:b/>
                <w:kern w:val="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jc w:val="center"/>
        </w:trPr>
        <w:tc>
          <w:tcPr>
            <w:tcW w:w="2348" w:type="dxa"/>
            <w:vAlign w:val="center"/>
          </w:tcPr>
          <w:p>
            <w:pPr>
              <w:widowControl/>
              <w:tabs>
                <w:tab w:val="left" w:pos="540"/>
              </w:tabs>
              <w:adjustRightInd w:val="0"/>
              <w:snapToGrid w:val="0"/>
              <w:jc w:val="center"/>
              <w:rPr>
                <w:rFonts w:ascii="宋体" w:hAnsi="宋体" w:cs="宋体"/>
                <w:b/>
                <w:kern w:val="0"/>
                <w:sz w:val="24"/>
              </w:rPr>
            </w:pPr>
            <w:r>
              <w:rPr>
                <w:rFonts w:hint="eastAsia" w:ascii="宋体" w:hAnsi="宋体" w:cs="宋体"/>
                <w:b/>
                <w:kern w:val="0"/>
                <w:sz w:val="24"/>
              </w:rPr>
              <w:t>应急总指挥</w:t>
            </w:r>
          </w:p>
        </w:tc>
        <w:tc>
          <w:tcPr>
            <w:tcW w:w="1511" w:type="dxa"/>
            <w:vAlign w:val="center"/>
          </w:tcPr>
          <w:p>
            <w:pPr>
              <w:widowControl/>
              <w:tabs>
                <w:tab w:val="left" w:pos="540"/>
              </w:tabs>
              <w:adjustRightInd w:val="0"/>
              <w:snapToGrid w:val="0"/>
              <w:jc w:val="center"/>
              <w:rPr>
                <w:rFonts w:ascii="宋体" w:hAnsi="宋体" w:cs="宋体"/>
                <w:kern w:val="0"/>
                <w:sz w:val="24"/>
              </w:rPr>
            </w:pPr>
            <w:r>
              <w:rPr>
                <w:rFonts w:hint="eastAsia" w:ascii="宋体" w:hAnsi="宋体" w:cs="宋体"/>
                <w:kern w:val="0"/>
                <w:sz w:val="28"/>
                <w:szCs w:val="28"/>
              </w:rPr>
              <w:t>陈荣学</w:t>
            </w:r>
          </w:p>
        </w:tc>
        <w:tc>
          <w:tcPr>
            <w:tcW w:w="2372" w:type="dxa"/>
            <w:vAlign w:val="center"/>
          </w:tcPr>
          <w:p>
            <w:pPr>
              <w:widowControl/>
              <w:tabs>
                <w:tab w:val="left" w:pos="540"/>
              </w:tabs>
              <w:adjustRightInd w:val="0"/>
              <w:snapToGrid w:val="0"/>
              <w:jc w:val="center"/>
              <w:rPr>
                <w:rFonts w:ascii="宋体" w:hAnsi="宋体" w:cs="宋体"/>
                <w:kern w:val="0"/>
                <w:sz w:val="24"/>
              </w:rPr>
            </w:pPr>
            <w:r>
              <w:rPr>
                <w:rFonts w:hint="eastAsia" w:ascii="宋体" w:hAnsi="宋体" w:cs="宋体"/>
                <w:kern w:val="0"/>
                <w:sz w:val="24"/>
              </w:rPr>
              <w:t>13568613556</w:t>
            </w:r>
          </w:p>
        </w:tc>
        <w:tc>
          <w:tcPr>
            <w:tcW w:w="1665" w:type="dxa"/>
            <w:vAlign w:val="center"/>
          </w:tcPr>
          <w:p>
            <w:pPr>
              <w:widowControl/>
              <w:tabs>
                <w:tab w:val="left" w:pos="540"/>
              </w:tabs>
              <w:adjustRightInd w:val="0"/>
              <w:snapToGrid w:val="0"/>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jc w:val="center"/>
        </w:trPr>
        <w:tc>
          <w:tcPr>
            <w:tcW w:w="2348" w:type="dxa"/>
            <w:vAlign w:val="center"/>
          </w:tcPr>
          <w:p>
            <w:pPr>
              <w:widowControl/>
              <w:tabs>
                <w:tab w:val="left" w:pos="540"/>
              </w:tabs>
              <w:adjustRightInd w:val="0"/>
              <w:snapToGrid w:val="0"/>
              <w:jc w:val="center"/>
              <w:rPr>
                <w:rFonts w:ascii="宋体" w:hAnsi="宋体" w:cs="宋体"/>
                <w:b/>
                <w:kern w:val="0"/>
                <w:sz w:val="24"/>
              </w:rPr>
            </w:pPr>
            <w:r>
              <w:rPr>
                <w:rFonts w:hint="eastAsia" w:ascii="宋体" w:hAnsi="宋体" w:cs="宋体"/>
                <w:b/>
                <w:kern w:val="0"/>
                <w:sz w:val="24"/>
              </w:rPr>
              <w:t>应急副总指挥</w:t>
            </w:r>
          </w:p>
        </w:tc>
        <w:tc>
          <w:tcPr>
            <w:tcW w:w="1511" w:type="dxa"/>
            <w:vAlign w:val="center"/>
          </w:tcPr>
          <w:p>
            <w:pPr>
              <w:widowControl/>
              <w:tabs>
                <w:tab w:val="left" w:pos="540"/>
              </w:tabs>
              <w:adjustRightInd w:val="0"/>
              <w:snapToGrid w:val="0"/>
              <w:jc w:val="center"/>
              <w:rPr>
                <w:rFonts w:ascii="宋体" w:hAnsi="宋体" w:cs="宋体"/>
                <w:kern w:val="0"/>
                <w:sz w:val="24"/>
              </w:rPr>
            </w:pPr>
            <w:r>
              <w:rPr>
                <w:rFonts w:hint="eastAsia" w:ascii="宋体" w:hAnsi="宋体" w:cs="宋体"/>
                <w:kern w:val="0"/>
                <w:sz w:val="28"/>
                <w:szCs w:val="28"/>
              </w:rPr>
              <w:t>雍炎光</w:t>
            </w:r>
          </w:p>
        </w:tc>
        <w:tc>
          <w:tcPr>
            <w:tcW w:w="2372" w:type="dxa"/>
            <w:vAlign w:val="center"/>
          </w:tcPr>
          <w:p>
            <w:pPr>
              <w:widowControl/>
              <w:tabs>
                <w:tab w:val="left" w:pos="540"/>
              </w:tabs>
              <w:adjustRightInd w:val="0"/>
              <w:snapToGrid w:val="0"/>
              <w:jc w:val="center"/>
              <w:rPr>
                <w:rFonts w:ascii="宋体" w:hAnsi="宋体" w:cs="宋体"/>
                <w:kern w:val="0"/>
                <w:sz w:val="24"/>
              </w:rPr>
            </w:pPr>
            <w:r>
              <w:rPr>
                <w:rFonts w:hint="eastAsia" w:ascii="宋体" w:hAnsi="宋体" w:cs="宋体"/>
                <w:kern w:val="0"/>
                <w:sz w:val="24"/>
              </w:rPr>
              <w:t>18784272288</w:t>
            </w:r>
          </w:p>
        </w:tc>
        <w:tc>
          <w:tcPr>
            <w:tcW w:w="1665" w:type="dxa"/>
            <w:vAlign w:val="center"/>
          </w:tcPr>
          <w:p>
            <w:pPr>
              <w:widowControl/>
              <w:tabs>
                <w:tab w:val="left" w:pos="540"/>
              </w:tabs>
              <w:adjustRightInd w:val="0"/>
              <w:snapToGrid w:val="0"/>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8" w:hRule="atLeast"/>
          <w:jc w:val="center"/>
        </w:trPr>
        <w:tc>
          <w:tcPr>
            <w:tcW w:w="2348" w:type="dxa"/>
            <w:vAlign w:val="center"/>
          </w:tcPr>
          <w:p>
            <w:pPr>
              <w:adjustRightInd w:val="0"/>
              <w:snapToGrid w:val="0"/>
              <w:jc w:val="center"/>
              <w:rPr>
                <w:rFonts w:ascii="宋体" w:hAnsi="宋体" w:cs="宋体"/>
                <w:b/>
                <w:kern w:val="0"/>
                <w:sz w:val="24"/>
              </w:rPr>
            </w:pPr>
            <w:r>
              <w:rPr>
                <w:rFonts w:hint="eastAsia" w:ascii="宋体" w:hAnsi="宋体" w:cs="宋体"/>
                <w:b/>
                <w:kern w:val="0"/>
                <w:sz w:val="24"/>
              </w:rPr>
              <w:t>抢险救援组组长</w:t>
            </w:r>
          </w:p>
        </w:tc>
        <w:tc>
          <w:tcPr>
            <w:tcW w:w="1511" w:type="dxa"/>
            <w:vAlign w:val="center"/>
          </w:tcPr>
          <w:p>
            <w:pPr>
              <w:widowControl/>
              <w:tabs>
                <w:tab w:val="left" w:pos="540"/>
              </w:tabs>
              <w:adjustRightInd w:val="0"/>
              <w:snapToGrid w:val="0"/>
              <w:jc w:val="center"/>
              <w:rPr>
                <w:rFonts w:ascii="宋体" w:hAnsi="宋体" w:cs="宋体"/>
                <w:kern w:val="0"/>
                <w:sz w:val="24"/>
              </w:rPr>
            </w:pPr>
            <w:r>
              <w:rPr>
                <w:rFonts w:hint="eastAsia" w:ascii="宋体" w:hAnsi="宋体" w:cs="宋体"/>
                <w:kern w:val="0"/>
                <w:sz w:val="28"/>
                <w:szCs w:val="28"/>
              </w:rPr>
              <w:t>史良鹏</w:t>
            </w:r>
          </w:p>
        </w:tc>
        <w:tc>
          <w:tcPr>
            <w:tcW w:w="2372" w:type="dxa"/>
            <w:vAlign w:val="center"/>
          </w:tcPr>
          <w:p>
            <w:pPr>
              <w:widowControl/>
              <w:tabs>
                <w:tab w:val="left" w:pos="540"/>
              </w:tabs>
              <w:adjustRightInd w:val="0"/>
              <w:snapToGrid w:val="0"/>
              <w:jc w:val="center"/>
              <w:rPr>
                <w:rFonts w:ascii="宋体" w:hAnsi="宋体" w:cs="宋体"/>
                <w:kern w:val="0"/>
                <w:sz w:val="24"/>
              </w:rPr>
            </w:pPr>
            <w:r>
              <w:rPr>
                <w:rFonts w:hint="eastAsia" w:ascii="宋体" w:hAnsi="宋体" w:cs="宋体"/>
                <w:kern w:val="0"/>
                <w:sz w:val="24"/>
              </w:rPr>
              <w:t>18725559235</w:t>
            </w:r>
          </w:p>
        </w:tc>
        <w:tc>
          <w:tcPr>
            <w:tcW w:w="1665" w:type="dxa"/>
            <w:vAlign w:val="center"/>
          </w:tcPr>
          <w:p>
            <w:pPr>
              <w:widowControl/>
              <w:tabs>
                <w:tab w:val="left" w:pos="540"/>
              </w:tabs>
              <w:adjustRightInd w:val="0"/>
              <w:snapToGrid w:val="0"/>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2348" w:type="dxa"/>
            <w:vAlign w:val="center"/>
          </w:tcPr>
          <w:p>
            <w:pPr>
              <w:adjustRightInd w:val="0"/>
              <w:snapToGrid w:val="0"/>
              <w:jc w:val="center"/>
              <w:rPr>
                <w:rFonts w:ascii="宋体" w:hAnsi="宋体" w:cs="宋体"/>
                <w:b/>
                <w:kern w:val="0"/>
                <w:sz w:val="24"/>
              </w:rPr>
            </w:pPr>
            <w:r>
              <w:rPr>
                <w:rFonts w:ascii="宋体" w:hAnsi="宋体" w:cs="宋体"/>
                <w:b/>
                <w:kern w:val="0"/>
                <w:sz w:val="24"/>
              </w:rPr>
              <w:t>成员</w:t>
            </w:r>
          </w:p>
        </w:tc>
        <w:tc>
          <w:tcPr>
            <w:tcW w:w="1511" w:type="dxa"/>
            <w:vAlign w:val="center"/>
          </w:tcPr>
          <w:p>
            <w:pPr>
              <w:widowControl/>
              <w:tabs>
                <w:tab w:val="left" w:pos="540"/>
              </w:tabs>
              <w:adjustRightInd w:val="0"/>
              <w:snapToGrid w:val="0"/>
              <w:jc w:val="center"/>
              <w:rPr>
                <w:rFonts w:ascii="宋体" w:hAnsi="宋体" w:cs="宋体"/>
                <w:kern w:val="0"/>
                <w:sz w:val="24"/>
              </w:rPr>
            </w:pPr>
            <w:r>
              <w:rPr>
                <w:rFonts w:hint="eastAsia" w:ascii="宋体" w:hAnsi="宋体" w:cs="宋体"/>
                <w:kern w:val="0"/>
                <w:sz w:val="28"/>
                <w:szCs w:val="28"/>
              </w:rPr>
              <w:t>吕亚兰</w:t>
            </w:r>
          </w:p>
        </w:tc>
        <w:tc>
          <w:tcPr>
            <w:tcW w:w="2372" w:type="dxa"/>
            <w:vAlign w:val="center"/>
          </w:tcPr>
          <w:p>
            <w:pPr>
              <w:widowControl/>
              <w:tabs>
                <w:tab w:val="left" w:pos="540"/>
              </w:tabs>
              <w:adjustRightInd w:val="0"/>
              <w:snapToGrid w:val="0"/>
              <w:jc w:val="center"/>
              <w:rPr>
                <w:rFonts w:ascii="宋体" w:hAnsi="宋体" w:cs="宋体"/>
                <w:kern w:val="0"/>
                <w:sz w:val="24"/>
              </w:rPr>
            </w:pPr>
            <w:r>
              <w:rPr>
                <w:rFonts w:hint="eastAsia" w:ascii="宋体" w:hAnsi="宋体" w:cs="宋体"/>
                <w:kern w:val="0"/>
                <w:sz w:val="24"/>
              </w:rPr>
              <w:t>18784287715</w:t>
            </w:r>
          </w:p>
        </w:tc>
        <w:tc>
          <w:tcPr>
            <w:tcW w:w="1665" w:type="dxa"/>
            <w:vAlign w:val="center"/>
          </w:tcPr>
          <w:p>
            <w:pPr>
              <w:widowControl/>
              <w:tabs>
                <w:tab w:val="left" w:pos="540"/>
              </w:tabs>
              <w:adjustRightInd w:val="0"/>
              <w:snapToGrid w:val="0"/>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jc w:val="center"/>
        </w:trPr>
        <w:tc>
          <w:tcPr>
            <w:tcW w:w="2348" w:type="dxa"/>
            <w:vAlign w:val="center"/>
          </w:tcPr>
          <w:p>
            <w:pPr>
              <w:adjustRightInd w:val="0"/>
              <w:snapToGrid w:val="0"/>
              <w:jc w:val="center"/>
              <w:rPr>
                <w:rFonts w:ascii="宋体" w:hAnsi="宋体" w:cs="宋体"/>
                <w:b/>
                <w:kern w:val="0"/>
                <w:sz w:val="24"/>
              </w:rPr>
            </w:pPr>
            <w:r>
              <w:rPr>
                <w:rFonts w:hint="eastAsia"/>
                <w:b/>
                <w:sz w:val="30"/>
                <w:szCs w:val="30"/>
              </w:rPr>
              <w:t>警戒后勤组</w:t>
            </w:r>
            <w:r>
              <w:rPr>
                <w:rFonts w:hint="eastAsia" w:ascii="宋体" w:hAnsi="宋体" w:cs="宋体"/>
                <w:b/>
                <w:kern w:val="0"/>
                <w:sz w:val="24"/>
              </w:rPr>
              <w:t>组长</w:t>
            </w:r>
          </w:p>
        </w:tc>
        <w:tc>
          <w:tcPr>
            <w:tcW w:w="1511" w:type="dxa"/>
            <w:vAlign w:val="center"/>
          </w:tcPr>
          <w:p>
            <w:pPr>
              <w:widowControl/>
              <w:tabs>
                <w:tab w:val="left" w:pos="540"/>
              </w:tabs>
              <w:adjustRightInd w:val="0"/>
              <w:snapToGrid w:val="0"/>
              <w:jc w:val="center"/>
              <w:rPr>
                <w:rFonts w:ascii="宋体" w:hAnsi="宋体" w:cs="宋体"/>
                <w:kern w:val="0"/>
                <w:sz w:val="24"/>
              </w:rPr>
            </w:pPr>
            <w:r>
              <w:rPr>
                <w:rFonts w:hint="eastAsia" w:ascii="宋体" w:hAnsi="宋体" w:cs="宋体"/>
                <w:kern w:val="0"/>
                <w:sz w:val="28"/>
                <w:szCs w:val="28"/>
              </w:rPr>
              <w:t>何琴</w:t>
            </w:r>
          </w:p>
        </w:tc>
        <w:tc>
          <w:tcPr>
            <w:tcW w:w="2372" w:type="dxa"/>
            <w:vAlign w:val="center"/>
          </w:tcPr>
          <w:p>
            <w:pPr>
              <w:adjustRightInd w:val="0"/>
              <w:snapToGrid w:val="0"/>
              <w:jc w:val="center"/>
              <w:rPr>
                <w:rFonts w:ascii="宋体" w:hAnsi="宋体" w:cs="宋体"/>
                <w:kern w:val="0"/>
                <w:sz w:val="24"/>
              </w:rPr>
            </w:pPr>
            <w:r>
              <w:rPr>
                <w:rFonts w:hint="eastAsia" w:ascii="宋体" w:hAnsi="宋体" w:cs="宋体"/>
                <w:kern w:val="0"/>
                <w:sz w:val="24"/>
              </w:rPr>
              <w:t>13890748306</w:t>
            </w:r>
          </w:p>
        </w:tc>
        <w:tc>
          <w:tcPr>
            <w:tcW w:w="1665" w:type="dxa"/>
            <w:vAlign w:val="center"/>
          </w:tcPr>
          <w:p>
            <w:pPr>
              <w:widowControl/>
              <w:tabs>
                <w:tab w:val="left" w:pos="540"/>
              </w:tabs>
              <w:adjustRightInd w:val="0"/>
              <w:snapToGrid w:val="0"/>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2348" w:type="dxa"/>
            <w:vAlign w:val="center"/>
          </w:tcPr>
          <w:p>
            <w:pPr>
              <w:adjustRightInd w:val="0"/>
              <w:snapToGrid w:val="0"/>
              <w:jc w:val="center"/>
              <w:rPr>
                <w:rFonts w:ascii="宋体" w:hAnsi="宋体" w:cs="宋体"/>
                <w:b/>
                <w:kern w:val="0"/>
                <w:sz w:val="24"/>
              </w:rPr>
            </w:pPr>
            <w:r>
              <w:rPr>
                <w:rFonts w:hint="eastAsia"/>
                <w:b/>
                <w:sz w:val="30"/>
                <w:szCs w:val="30"/>
              </w:rPr>
              <w:t>救护调查组</w:t>
            </w:r>
            <w:r>
              <w:rPr>
                <w:rFonts w:hint="eastAsia" w:ascii="宋体" w:hAnsi="宋体" w:cs="宋体"/>
                <w:b/>
                <w:kern w:val="0"/>
                <w:sz w:val="24"/>
              </w:rPr>
              <w:t>组长</w:t>
            </w:r>
          </w:p>
        </w:tc>
        <w:tc>
          <w:tcPr>
            <w:tcW w:w="1511" w:type="dxa"/>
            <w:vAlign w:val="center"/>
          </w:tcPr>
          <w:p>
            <w:pPr>
              <w:widowControl/>
              <w:tabs>
                <w:tab w:val="left" w:pos="540"/>
              </w:tabs>
              <w:adjustRightInd w:val="0"/>
              <w:snapToGrid w:val="0"/>
              <w:jc w:val="center"/>
              <w:rPr>
                <w:rFonts w:ascii="宋体" w:hAnsi="宋体" w:cs="宋体"/>
                <w:kern w:val="0"/>
                <w:sz w:val="24"/>
              </w:rPr>
            </w:pPr>
            <w:r>
              <w:rPr>
                <w:rFonts w:hint="eastAsia" w:ascii="宋体" w:hAnsi="宋体" w:cs="宋体"/>
                <w:kern w:val="0"/>
                <w:sz w:val="28"/>
                <w:szCs w:val="28"/>
              </w:rPr>
              <w:t>董英</w:t>
            </w:r>
          </w:p>
        </w:tc>
        <w:tc>
          <w:tcPr>
            <w:tcW w:w="2372" w:type="dxa"/>
            <w:vAlign w:val="center"/>
          </w:tcPr>
          <w:p>
            <w:pPr>
              <w:widowControl/>
              <w:tabs>
                <w:tab w:val="left" w:pos="540"/>
              </w:tabs>
              <w:adjustRightInd w:val="0"/>
              <w:snapToGrid w:val="0"/>
              <w:jc w:val="center"/>
              <w:rPr>
                <w:rFonts w:ascii="宋体" w:hAnsi="宋体" w:cs="宋体"/>
                <w:kern w:val="0"/>
                <w:sz w:val="24"/>
              </w:rPr>
            </w:pPr>
            <w:r>
              <w:rPr>
                <w:rFonts w:hint="eastAsia" w:ascii="宋体" w:hAnsi="宋体" w:cs="宋体"/>
                <w:kern w:val="0"/>
                <w:sz w:val="24"/>
              </w:rPr>
              <w:t>13219137162</w:t>
            </w:r>
          </w:p>
        </w:tc>
        <w:tc>
          <w:tcPr>
            <w:tcW w:w="1665" w:type="dxa"/>
            <w:vAlign w:val="center"/>
          </w:tcPr>
          <w:p>
            <w:pPr>
              <w:widowControl/>
              <w:tabs>
                <w:tab w:val="left" w:pos="540"/>
              </w:tabs>
              <w:adjustRightInd w:val="0"/>
              <w:snapToGrid w:val="0"/>
              <w:jc w:val="center"/>
              <w:rPr>
                <w:rFonts w:ascii="宋体" w:hAnsi="宋体" w:cs="宋体"/>
                <w:kern w:val="0"/>
                <w:sz w:val="24"/>
              </w:rPr>
            </w:pPr>
          </w:p>
        </w:tc>
      </w:tr>
    </w:tbl>
    <w:p>
      <w:pPr>
        <w:pStyle w:val="31"/>
      </w:pPr>
    </w:p>
    <w:p>
      <w:pPr>
        <w:pStyle w:val="4"/>
      </w:pPr>
      <w:bookmarkStart w:id="44" w:name="_Toc10502"/>
      <w:bookmarkStart w:id="45" w:name="_Toc2845029"/>
      <w:r>
        <w:t>2.3 应急物质及措施</w:t>
      </w:r>
      <w:bookmarkEnd w:id="44"/>
      <w:bookmarkEnd w:id="45"/>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本加油站设置储罐液位监测报警装置，采用自动监测方式；并安装油气回收系统，油气回收采用一次、二次油气回收系统；同时在加油站内设置视频探头，全方面对站区进行监控，监控室设在站房值班室内。加油站设置了高低液位报警功能的液位报警系统。</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pPr>
      <w:r>
        <w:rPr>
          <w:rFonts w:hint="eastAsia"/>
          <w:sz w:val="28"/>
          <w:szCs w:val="28"/>
        </w:rPr>
        <w:t>依据预案应急处置的需求，建立健全站内应急物资储备为主和社会救援物资为辅的应急物资供应保障体系，完善应急物资储备的区域联动机制，做到站内、外应急物资资源共享的动态管理。在应急状态下，由站长统一调配使用。本加油站应急救援物资配备如下：</w:t>
      </w:r>
    </w:p>
    <w:p>
      <w:pPr>
        <w:spacing w:line="360" w:lineRule="auto"/>
        <w:ind w:firstLine="482" w:firstLineChars="200"/>
        <w:jc w:val="center"/>
        <w:rPr>
          <w:rFonts w:eastAsia="黑体"/>
          <w:b/>
          <w:sz w:val="24"/>
        </w:rPr>
      </w:pPr>
      <w:bookmarkStart w:id="46" w:name="_Toc504405036"/>
      <w:r>
        <w:rPr>
          <w:rFonts w:eastAsia="黑体"/>
          <w:b/>
          <w:sz w:val="24"/>
        </w:rPr>
        <w:t>应急救援物资装备统计</w:t>
      </w:r>
      <w:bookmarkEnd w:id="46"/>
    </w:p>
    <w:p>
      <w:pPr>
        <w:pStyle w:val="31"/>
        <w:ind w:firstLine="482"/>
        <w:rPr>
          <w:rFonts w:eastAsia="黑体"/>
          <w:b/>
          <w:sz w:val="24"/>
        </w:rPr>
      </w:pPr>
    </w:p>
    <w:p>
      <w:pPr>
        <w:spacing w:line="360" w:lineRule="auto"/>
        <w:jc w:val="center"/>
        <w:rPr>
          <w:rStyle w:val="132"/>
          <w:rFonts w:hint="default" w:ascii="Times New Roman" w:hAnsi="Times New Roman" w:cs="宋体"/>
          <w:sz w:val="24"/>
          <w:szCs w:val="24"/>
        </w:rPr>
      </w:pPr>
      <w:r>
        <w:rPr>
          <w:rFonts w:hint="eastAsia" w:cs="宋体"/>
          <w:b/>
          <w:sz w:val="24"/>
        </w:rPr>
        <w:t>应急物资清单</w:t>
      </w:r>
      <w:bookmarkStart w:id="47" w:name="_Toc238976697"/>
      <w:bookmarkEnd w:id="47"/>
      <w:bookmarkStart w:id="48" w:name="_Toc255133951"/>
      <w:bookmarkEnd w:id="48"/>
      <w:bookmarkStart w:id="49" w:name="_Toc13466"/>
      <w:bookmarkEnd w:id="49"/>
      <w:bookmarkStart w:id="50" w:name="_Toc504989648"/>
      <w:bookmarkEnd w:id="50"/>
      <w:bookmarkStart w:id="51" w:name="_Toc27435"/>
      <w:bookmarkEnd w:id="51"/>
    </w:p>
    <w:tbl>
      <w:tblPr>
        <w:tblStyle w:val="53"/>
        <w:tblW w:w="8107" w:type="dxa"/>
        <w:tblInd w:w="3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418"/>
        <w:gridCol w:w="2357"/>
        <w:gridCol w:w="1365"/>
        <w:gridCol w:w="735"/>
        <w:gridCol w:w="765"/>
        <w:gridCol w:w="1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3" w:type="dxa"/>
            <w:gridSpan w:val="2"/>
            <w:vAlign w:val="center"/>
          </w:tcPr>
          <w:p>
            <w:pPr>
              <w:pStyle w:val="22"/>
              <w:spacing w:after="0" w:line="360" w:lineRule="auto"/>
              <w:ind w:left="0" w:leftChars="0" w:right="0" w:rightChars="0"/>
              <w:jc w:val="center"/>
            </w:pPr>
            <w:r>
              <w:rPr>
                <w:rFonts w:hint="eastAsia"/>
              </w:rPr>
              <w:t>序号</w:t>
            </w:r>
          </w:p>
        </w:tc>
        <w:tc>
          <w:tcPr>
            <w:tcW w:w="4457" w:type="dxa"/>
            <w:gridSpan w:val="3"/>
            <w:vAlign w:val="center"/>
          </w:tcPr>
          <w:p>
            <w:pPr>
              <w:pStyle w:val="22"/>
              <w:spacing w:after="0" w:line="360" w:lineRule="auto"/>
              <w:ind w:left="0" w:leftChars="0" w:right="0" w:rightChars="0"/>
              <w:jc w:val="center"/>
            </w:pPr>
            <w:r>
              <w:rPr>
                <w:rFonts w:hint="eastAsia"/>
              </w:rPr>
              <w:t>器材设备名称</w:t>
            </w:r>
          </w:p>
        </w:tc>
        <w:tc>
          <w:tcPr>
            <w:tcW w:w="2587" w:type="dxa"/>
            <w:gridSpan w:val="2"/>
            <w:vAlign w:val="center"/>
          </w:tcPr>
          <w:p>
            <w:pPr>
              <w:pStyle w:val="22"/>
              <w:spacing w:after="0" w:line="360" w:lineRule="auto"/>
              <w:ind w:left="0" w:leftChars="0" w:right="0" w:rightChars="0"/>
              <w:jc w:val="center"/>
            </w:pPr>
            <w:r>
              <w:rPr>
                <w:rFonts w:hint="eastAsia"/>
              </w:rPr>
              <w:t>配备数量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3" w:type="dxa"/>
            <w:gridSpan w:val="2"/>
            <w:vAlign w:val="center"/>
          </w:tcPr>
          <w:p>
            <w:pPr>
              <w:pStyle w:val="22"/>
              <w:spacing w:after="0" w:line="360" w:lineRule="auto"/>
              <w:ind w:left="0" w:leftChars="0" w:right="0" w:rightChars="0"/>
              <w:jc w:val="center"/>
            </w:pPr>
            <w:r>
              <w:rPr>
                <w:rFonts w:hint="eastAsia"/>
              </w:rPr>
              <w:t>1</w:t>
            </w:r>
          </w:p>
        </w:tc>
        <w:tc>
          <w:tcPr>
            <w:tcW w:w="4457" w:type="dxa"/>
            <w:gridSpan w:val="3"/>
            <w:vAlign w:val="center"/>
          </w:tcPr>
          <w:p>
            <w:pPr>
              <w:spacing w:line="320" w:lineRule="exact"/>
              <w:ind w:firstLine="580"/>
            </w:pPr>
            <w:r>
              <w:rPr>
                <w:rFonts w:hint="eastAsia"/>
                <w:szCs w:val="21"/>
              </w:rPr>
              <w:t>防毒面具</w:t>
            </w:r>
          </w:p>
        </w:tc>
        <w:tc>
          <w:tcPr>
            <w:tcW w:w="2587" w:type="dxa"/>
            <w:gridSpan w:val="2"/>
            <w:vAlign w:val="center"/>
          </w:tcPr>
          <w:p>
            <w:pPr>
              <w:spacing w:line="320" w:lineRule="exact"/>
              <w:jc w:val="center"/>
            </w:pPr>
            <w:r>
              <w:rPr>
                <w:rFonts w:hint="eastAsia"/>
                <w:szCs w:val="21"/>
              </w:rPr>
              <w:t>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3" w:type="dxa"/>
            <w:gridSpan w:val="2"/>
            <w:vAlign w:val="center"/>
          </w:tcPr>
          <w:p>
            <w:pPr>
              <w:pStyle w:val="22"/>
              <w:spacing w:after="0" w:line="360" w:lineRule="auto"/>
              <w:ind w:left="0" w:leftChars="0" w:right="0" w:rightChars="0"/>
              <w:jc w:val="center"/>
            </w:pPr>
            <w:r>
              <w:rPr>
                <w:rFonts w:hint="eastAsia"/>
              </w:rPr>
              <w:t>2</w:t>
            </w:r>
          </w:p>
        </w:tc>
        <w:tc>
          <w:tcPr>
            <w:tcW w:w="4457" w:type="dxa"/>
            <w:gridSpan w:val="3"/>
            <w:vAlign w:val="center"/>
          </w:tcPr>
          <w:p>
            <w:pPr>
              <w:spacing w:line="320" w:lineRule="exact"/>
              <w:ind w:firstLine="580"/>
              <w:rPr>
                <w:szCs w:val="21"/>
              </w:rPr>
            </w:pPr>
            <w:r>
              <w:rPr>
                <w:rFonts w:hint="eastAsia"/>
                <w:szCs w:val="21"/>
              </w:rPr>
              <w:t>防爆手电筒</w:t>
            </w:r>
          </w:p>
        </w:tc>
        <w:tc>
          <w:tcPr>
            <w:tcW w:w="2587" w:type="dxa"/>
            <w:gridSpan w:val="2"/>
            <w:vAlign w:val="center"/>
          </w:tcPr>
          <w:p>
            <w:pPr>
              <w:spacing w:line="320" w:lineRule="exact"/>
              <w:jc w:val="center"/>
            </w:pPr>
            <w:r>
              <w:rPr>
                <w:rFonts w:hint="eastAsia"/>
                <w:szCs w:val="21"/>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3" w:type="dxa"/>
            <w:gridSpan w:val="2"/>
            <w:vAlign w:val="center"/>
          </w:tcPr>
          <w:p>
            <w:pPr>
              <w:pStyle w:val="22"/>
              <w:spacing w:after="0" w:line="360" w:lineRule="auto"/>
              <w:ind w:left="0" w:leftChars="0" w:right="0" w:rightChars="0"/>
              <w:jc w:val="center"/>
            </w:pPr>
            <w:r>
              <w:rPr>
                <w:rFonts w:hint="eastAsia"/>
              </w:rPr>
              <w:t>3</w:t>
            </w:r>
          </w:p>
        </w:tc>
        <w:tc>
          <w:tcPr>
            <w:tcW w:w="4457" w:type="dxa"/>
            <w:gridSpan w:val="3"/>
            <w:vAlign w:val="center"/>
          </w:tcPr>
          <w:p>
            <w:pPr>
              <w:spacing w:line="320" w:lineRule="exact"/>
              <w:ind w:firstLine="580"/>
              <w:rPr>
                <w:szCs w:val="21"/>
              </w:rPr>
            </w:pPr>
            <w:r>
              <w:rPr>
                <w:rFonts w:hint="eastAsia"/>
                <w:szCs w:val="21"/>
              </w:rPr>
              <w:t>手提喇叭</w:t>
            </w:r>
          </w:p>
        </w:tc>
        <w:tc>
          <w:tcPr>
            <w:tcW w:w="2587" w:type="dxa"/>
            <w:gridSpan w:val="2"/>
            <w:vAlign w:val="center"/>
          </w:tcPr>
          <w:p>
            <w:pPr>
              <w:spacing w:line="320" w:lineRule="exact"/>
              <w:jc w:val="center"/>
              <w:rPr>
                <w:szCs w:val="21"/>
              </w:rPr>
            </w:pPr>
            <w:r>
              <w:rPr>
                <w:rFonts w:hint="eastAsia"/>
                <w:szCs w:val="21"/>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3" w:type="dxa"/>
            <w:gridSpan w:val="2"/>
            <w:vAlign w:val="center"/>
          </w:tcPr>
          <w:p>
            <w:pPr>
              <w:pStyle w:val="22"/>
              <w:spacing w:after="0" w:line="360" w:lineRule="auto"/>
              <w:ind w:left="0" w:leftChars="0" w:right="0" w:rightChars="0"/>
              <w:jc w:val="center"/>
            </w:pPr>
            <w:r>
              <w:rPr>
                <w:rFonts w:hint="eastAsia"/>
              </w:rPr>
              <w:t>4</w:t>
            </w:r>
          </w:p>
        </w:tc>
        <w:tc>
          <w:tcPr>
            <w:tcW w:w="4457" w:type="dxa"/>
            <w:gridSpan w:val="3"/>
            <w:vAlign w:val="center"/>
          </w:tcPr>
          <w:p>
            <w:pPr>
              <w:spacing w:line="320" w:lineRule="exact"/>
              <w:ind w:firstLine="580"/>
            </w:pPr>
            <w:r>
              <w:rPr>
                <w:rFonts w:hint="eastAsia"/>
                <w:szCs w:val="21"/>
              </w:rPr>
              <w:t>防护手套</w:t>
            </w:r>
          </w:p>
        </w:tc>
        <w:tc>
          <w:tcPr>
            <w:tcW w:w="2587" w:type="dxa"/>
            <w:gridSpan w:val="2"/>
            <w:vAlign w:val="center"/>
          </w:tcPr>
          <w:p>
            <w:pPr>
              <w:spacing w:line="320" w:lineRule="exact"/>
              <w:jc w:val="center"/>
            </w:pPr>
            <w:r>
              <w:rPr>
                <w:rFonts w:hint="eastAsia"/>
                <w:szCs w:val="21"/>
              </w:rPr>
              <w:t>3双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3" w:type="dxa"/>
            <w:gridSpan w:val="2"/>
            <w:vAlign w:val="center"/>
          </w:tcPr>
          <w:p>
            <w:pPr>
              <w:pStyle w:val="22"/>
              <w:spacing w:after="0" w:line="360" w:lineRule="auto"/>
              <w:ind w:left="0" w:leftChars="0" w:right="0" w:rightChars="0"/>
              <w:jc w:val="center"/>
            </w:pPr>
            <w:r>
              <w:rPr>
                <w:rFonts w:hint="eastAsia"/>
              </w:rPr>
              <w:t>5</w:t>
            </w:r>
          </w:p>
        </w:tc>
        <w:tc>
          <w:tcPr>
            <w:tcW w:w="4457" w:type="dxa"/>
            <w:gridSpan w:val="3"/>
            <w:vAlign w:val="center"/>
          </w:tcPr>
          <w:p>
            <w:pPr>
              <w:spacing w:line="320" w:lineRule="exact"/>
              <w:ind w:firstLine="580"/>
            </w:pPr>
            <w:r>
              <w:rPr>
                <w:rFonts w:hint="eastAsia"/>
                <w:szCs w:val="21"/>
              </w:rPr>
              <w:t>防爆叉</w:t>
            </w:r>
          </w:p>
        </w:tc>
        <w:tc>
          <w:tcPr>
            <w:tcW w:w="2587" w:type="dxa"/>
            <w:gridSpan w:val="2"/>
            <w:vAlign w:val="center"/>
          </w:tcPr>
          <w:p>
            <w:pPr>
              <w:spacing w:line="320" w:lineRule="exact"/>
              <w:jc w:val="center"/>
            </w:pPr>
            <w:r>
              <w:rPr>
                <w:rFonts w:hint="eastAsia"/>
                <w:szCs w:val="21"/>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3" w:type="dxa"/>
            <w:gridSpan w:val="2"/>
            <w:vAlign w:val="center"/>
          </w:tcPr>
          <w:p>
            <w:pPr>
              <w:pStyle w:val="22"/>
              <w:spacing w:after="0" w:line="360" w:lineRule="auto"/>
              <w:ind w:left="0" w:leftChars="0" w:right="0" w:rightChars="0"/>
              <w:jc w:val="center"/>
            </w:pPr>
            <w:r>
              <w:rPr>
                <w:rFonts w:hint="eastAsia"/>
              </w:rPr>
              <w:t>6</w:t>
            </w:r>
          </w:p>
        </w:tc>
        <w:tc>
          <w:tcPr>
            <w:tcW w:w="4457" w:type="dxa"/>
            <w:gridSpan w:val="3"/>
            <w:vAlign w:val="center"/>
          </w:tcPr>
          <w:p>
            <w:pPr>
              <w:spacing w:line="320" w:lineRule="exact"/>
              <w:ind w:firstLine="580"/>
            </w:pPr>
            <w:r>
              <w:rPr>
                <w:rFonts w:hint="eastAsia"/>
                <w:szCs w:val="21"/>
              </w:rPr>
              <w:t>防爆头盔</w:t>
            </w:r>
          </w:p>
        </w:tc>
        <w:tc>
          <w:tcPr>
            <w:tcW w:w="2587" w:type="dxa"/>
            <w:gridSpan w:val="2"/>
            <w:vAlign w:val="center"/>
          </w:tcPr>
          <w:p>
            <w:pPr>
              <w:spacing w:line="320" w:lineRule="exact"/>
              <w:jc w:val="center"/>
            </w:pPr>
            <w:r>
              <w:rPr>
                <w:rFonts w:hint="eastAsia"/>
                <w:szCs w:val="21"/>
              </w:rPr>
              <w:t>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3" w:type="dxa"/>
            <w:gridSpan w:val="2"/>
            <w:vAlign w:val="center"/>
          </w:tcPr>
          <w:p>
            <w:pPr>
              <w:pStyle w:val="22"/>
              <w:spacing w:after="0" w:line="360" w:lineRule="auto"/>
              <w:ind w:left="0" w:leftChars="0" w:right="0" w:rightChars="0"/>
              <w:jc w:val="center"/>
            </w:pPr>
            <w:r>
              <w:rPr>
                <w:rFonts w:hint="eastAsia"/>
              </w:rPr>
              <w:t>7</w:t>
            </w:r>
          </w:p>
        </w:tc>
        <w:tc>
          <w:tcPr>
            <w:tcW w:w="4457" w:type="dxa"/>
            <w:gridSpan w:val="3"/>
            <w:vAlign w:val="center"/>
          </w:tcPr>
          <w:p>
            <w:pPr>
              <w:spacing w:line="320" w:lineRule="exact"/>
              <w:ind w:firstLine="580"/>
            </w:pPr>
            <w:r>
              <w:rPr>
                <w:rFonts w:hint="eastAsia"/>
                <w:szCs w:val="21"/>
              </w:rPr>
              <w:t>消防服</w:t>
            </w:r>
          </w:p>
        </w:tc>
        <w:tc>
          <w:tcPr>
            <w:tcW w:w="2587" w:type="dxa"/>
            <w:gridSpan w:val="2"/>
            <w:vAlign w:val="center"/>
          </w:tcPr>
          <w:p>
            <w:pPr>
              <w:spacing w:line="320" w:lineRule="exact"/>
              <w:jc w:val="center"/>
            </w:pPr>
            <w:r>
              <w:rPr>
                <w:rFonts w:hint="eastAsia"/>
                <w:szCs w:val="21"/>
              </w:rPr>
              <w:t>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3" w:type="dxa"/>
            <w:gridSpan w:val="2"/>
            <w:vAlign w:val="center"/>
          </w:tcPr>
          <w:p>
            <w:pPr>
              <w:pStyle w:val="22"/>
              <w:spacing w:after="0" w:line="360" w:lineRule="auto"/>
              <w:ind w:left="0" w:leftChars="0" w:right="0" w:rightChars="0"/>
              <w:jc w:val="center"/>
            </w:pPr>
            <w:r>
              <w:rPr>
                <w:rFonts w:hint="eastAsia"/>
              </w:rPr>
              <w:t>8</w:t>
            </w:r>
          </w:p>
        </w:tc>
        <w:tc>
          <w:tcPr>
            <w:tcW w:w="4457" w:type="dxa"/>
            <w:gridSpan w:val="3"/>
            <w:vAlign w:val="center"/>
          </w:tcPr>
          <w:p>
            <w:pPr>
              <w:spacing w:line="320" w:lineRule="exact"/>
              <w:ind w:firstLine="580"/>
            </w:pPr>
            <w:r>
              <w:rPr>
                <w:rFonts w:hint="eastAsia"/>
                <w:szCs w:val="21"/>
              </w:rPr>
              <w:t>医药箱</w:t>
            </w:r>
          </w:p>
        </w:tc>
        <w:tc>
          <w:tcPr>
            <w:tcW w:w="2587" w:type="dxa"/>
            <w:gridSpan w:val="2"/>
            <w:vAlign w:val="center"/>
          </w:tcPr>
          <w:p>
            <w:pPr>
              <w:spacing w:line="320" w:lineRule="exact"/>
              <w:jc w:val="center"/>
            </w:pPr>
            <w:r>
              <w:rPr>
                <w:rFonts w:hint="eastAsia"/>
                <w:szCs w:val="21"/>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07" w:type="dxa"/>
            <w:gridSpan w:val="7"/>
            <w:vAlign w:val="center"/>
          </w:tcPr>
          <w:p>
            <w:pPr>
              <w:pStyle w:val="22"/>
              <w:spacing w:after="0" w:line="360" w:lineRule="auto"/>
              <w:ind w:left="0" w:leftChars="0" w:right="0" w:rightChars="0"/>
              <w:jc w:val="center"/>
            </w:pPr>
            <w:r>
              <w:rPr>
                <w:rFonts w:hint="eastAsia"/>
              </w:rPr>
              <w:t>消防器材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vAlign w:val="center"/>
          </w:tcPr>
          <w:p>
            <w:pPr>
              <w:pStyle w:val="22"/>
              <w:spacing w:after="0" w:line="360" w:lineRule="auto"/>
              <w:ind w:left="0" w:leftChars="0" w:right="0" w:rightChars="0"/>
              <w:jc w:val="center"/>
            </w:pPr>
            <w:r>
              <w:rPr>
                <w:rFonts w:hint="eastAsia"/>
              </w:rPr>
              <w:t>序号</w:t>
            </w:r>
          </w:p>
        </w:tc>
        <w:tc>
          <w:tcPr>
            <w:tcW w:w="2775" w:type="dxa"/>
            <w:gridSpan w:val="2"/>
            <w:vAlign w:val="center"/>
          </w:tcPr>
          <w:p>
            <w:pPr>
              <w:pStyle w:val="22"/>
              <w:spacing w:after="0" w:line="360" w:lineRule="auto"/>
              <w:ind w:left="0" w:leftChars="0" w:right="0" w:rightChars="0"/>
              <w:jc w:val="center"/>
            </w:pPr>
            <w:r>
              <w:rPr>
                <w:rFonts w:hint="eastAsia"/>
              </w:rPr>
              <w:t>名称</w:t>
            </w:r>
          </w:p>
        </w:tc>
        <w:tc>
          <w:tcPr>
            <w:tcW w:w="1365" w:type="dxa"/>
            <w:vAlign w:val="center"/>
          </w:tcPr>
          <w:p>
            <w:pPr>
              <w:pStyle w:val="22"/>
              <w:spacing w:after="0" w:line="360" w:lineRule="auto"/>
              <w:ind w:left="0" w:leftChars="0" w:right="0" w:rightChars="0"/>
              <w:jc w:val="center"/>
            </w:pPr>
            <w:r>
              <w:rPr>
                <w:rFonts w:hint="eastAsia"/>
              </w:rPr>
              <w:t>规格</w:t>
            </w:r>
          </w:p>
        </w:tc>
        <w:tc>
          <w:tcPr>
            <w:tcW w:w="735" w:type="dxa"/>
            <w:vAlign w:val="center"/>
          </w:tcPr>
          <w:p>
            <w:pPr>
              <w:pStyle w:val="22"/>
              <w:spacing w:after="0" w:line="360" w:lineRule="auto"/>
              <w:ind w:left="0" w:leftChars="0" w:right="0" w:rightChars="0"/>
              <w:jc w:val="center"/>
            </w:pPr>
            <w:r>
              <w:rPr>
                <w:rFonts w:hint="eastAsia"/>
              </w:rPr>
              <w:t>单位</w:t>
            </w:r>
          </w:p>
        </w:tc>
        <w:tc>
          <w:tcPr>
            <w:tcW w:w="765" w:type="dxa"/>
            <w:vAlign w:val="center"/>
          </w:tcPr>
          <w:p>
            <w:pPr>
              <w:pStyle w:val="22"/>
              <w:spacing w:after="0" w:line="360" w:lineRule="auto"/>
              <w:ind w:left="0" w:leftChars="0" w:right="0" w:rightChars="0"/>
              <w:jc w:val="center"/>
            </w:pPr>
            <w:r>
              <w:rPr>
                <w:rFonts w:hint="eastAsia"/>
              </w:rPr>
              <w:t>数量</w:t>
            </w:r>
          </w:p>
        </w:tc>
        <w:tc>
          <w:tcPr>
            <w:tcW w:w="1822" w:type="dxa"/>
            <w:vAlign w:val="center"/>
          </w:tcPr>
          <w:p>
            <w:pPr>
              <w:pStyle w:val="22"/>
              <w:spacing w:after="0" w:line="360" w:lineRule="auto"/>
              <w:ind w:left="0" w:leftChars="0" w:right="0" w:rightChars="0"/>
              <w:jc w:val="center"/>
            </w:pPr>
            <w:r>
              <w:rPr>
                <w:rFonts w:hint="eastAsia"/>
              </w:rPr>
              <w:t>配置场所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vAlign w:val="center"/>
          </w:tcPr>
          <w:p>
            <w:pPr>
              <w:pStyle w:val="22"/>
              <w:spacing w:after="0" w:line="360" w:lineRule="auto"/>
              <w:ind w:left="0" w:leftChars="0" w:right="0" w:rightChars="0"/>
              <w:jc w:val="center"/>
              <w:rPr>
                <w:szCs w:val="21"/>
              </w:rPr>
            </w:pPr>
            <w:r>
              <w:rPr>
                <w:rFonts w:hint="eastAsia"/>
                <w:szCs w:val="21"/>
              </w:rPr>
              <w:t>1</w:t>
            </w:r>
          </w:p>
        </w:tc>
        <w:tc>
          <w:tcPr>
            <w:tcW w:w="2775" w:type="dxa"/>
            <w:gridSpan w:val="2"/>
            <w:vAlign w:val="center"/>
          </w:tcPr>
          <w:p>
            <w:pPr>
              <w:pStyle w:val="22"/>
              <w:spacing w:after="0" w:line="360" w:lineRule="auto"/>
              <w:ind w:left="0" w:leftChars="0" w:right="0" w:rightChars="0"/>
              <w:jc w:val="center"/>
              <w:rPr>
                <w:szCs w:val="21"/>
              </w:rPr>
            </w:pPr>
            <w:r>
              <w:rPr>
                <w:rFonts w:hint="eastAsia"/>
                <w:szCs w:val="21"/>
              </w:rPr>
              <w:t>手提式磷酸铵盐干粉灭火器</w:t>
            </w:r>
          </w:p>
        </w:tc>
        <w:tc>
          <w:tcPr>
            <w:tcW w:w="1365" w:type="dxa"/>
            <w:vAlign w:val="center"/>
          </w:tcPr>
          <w:p>
            <w:pPr>
              <w:pStyle w:val="22"/>
              <w:spacing w:after="0" w:line="360" w:lineRule="auto"/>
              <w:ind w:left="0" w:leftChars="0" w:right="0" w:rightChars="0"/>
              <w:jc w:val="center"/>
              <w:rPr>
                <w:szCs w:val="21"/>
              </w:rPr>
            </w:pPr>
            <w:r>
              <w:rPr>
                <w:rFonts w:hint="eastAsia"/>
                <w:szCs w:val="21"/>
              </w:rPr>
              <w:t>MF/ABC4</w:t>
            </w:r>
          </w:p>
        </w:tc>
        <w:tc>
          <w:tcPr>
            <w:tcW w:w="735" w:type="dxa"/>
            <w:vAlign w:val="center"/>
          </w:tcPr>
          <w:p>
            <w:pPr>
              <w:pStyle w:val="22"/>
              <w:spacing w:after="0" w:line="360" w:lineRule="auto"/>
              <w:ind w:left="0" w:leftChars="0" w:right="0" w:rightChars="0"/>
              <w:jc w:val="center"/>
              <w:rPr>
                <w:szCs w:val="21"/>
              </w:rPr>
            </w:pPr>
            <w:r>
              <w:rPr>
                <w:rFonts w:hint="eastAsia"/>
                <w:szCs w:val="21"/>
              </w:rPr>
              <w:t>具</w:t>
            </w:r>
          </w:p>
        </w:tc>
        <w:tc>
          <w:tcPr>
            <w:tcW w:w="765" w:type="dxa"/>
            <w:vAlign w:val="center"/>
          </w:tcPr>
          <w:p>
            <w:pPr>
              <w:pStyle w:val="22"/>
              <w:spacing w:after="0" w:line="360" w:lineRule="auto"/>
              <w:ind w:left="0" w:leftChars="0" w:right="0" w:rightChars="0"/>
              <w:jc w:val="center"/>
              <w:rPr>
                <w:szCs w:val="21"/>
              </w:rPr>
            </w:pPr>
            <w:r>
              <w:rPr>
                <w:rFonts w:hint="eastAsia"/>
                <w:szCs w:val="21"/>
              </w:rPr>
              <w:t>4</w:t>
            </w:r>
          </w:p>
        </w:tc>
        <w:tc>
          <w:tcPr>
            <w:tcW w:w="1822" w:type="dxa"/>
            <w:vAlign w:val="center"/>
          </w:tcPr>
          <w:p>
            <w:pPr>
              <w:pStyle w:val="22"/>
              <w:spacing w:after="0" w:line="360" w:lineRule="auto"/>
              <w:ind w:left="0" w:leftChars="0" w:right="0" w:rightChars="0"/>
              <w:jc w:val="center"/>
              <w:rPr>
                <w:szCs w:val="21"/>
              </w:rPr>
            </w:pPr>
            <w:r>
              <w:rPr>
                <w:rFonts w:hint="eastAsia"/>
                <w:szCs w:val="21"/>
              </w:rPr>
              <w:t>加油区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vAlign w:val="center"/>
          </w:tcPr>
          <w:p>
            <w:pPr>
              <w:pStyle w:val="22"/>
              <w:spacing w:after="0" w:line="360" w:lineRule="auto"/>
              <w:ind w:left="0" w:leftChars="0" w:right="0" w:rightChars="0"/>
              <w:jc w:val="center"/>
              <w:rPr>
                <w:szCs w:val="21"/>
              </w:rPr>
            </w:pPr>
            <w:r>
              <w:rPr>
                <w:rFonts w:hint="eastAsia"/>
                <w:szCs w:val="21"/>
              </w:rPr>
              <w:t>2</w:t>
            </w:r>
          </w:p>
        </w:tc>
        <w:tc>
          <w:tcPr>
            <w:tcW w:w="2775" w:type="dxa"/>
            <w:gridSpan w:val="2"/>
            <w:vAlign w:val="center"/>
          </w:tcPr>
          <w:p>
            <w:pPr>
              <w:pStyle w:val="22"/>
              <w:spacing w:after="0" w:line="360" w:lineRule="auto"/>
              <w:ind w:left="0" w:leftChars="0" w:right="0" w:rightChars="0"/>
              <w:jc w:val="center"/>
              <w:rPr>
                <w:szCs w:val="21"/>
              </w:rPr>
            </w:pPr>
            <w:r>
              <w:rPr>
                <w:rFonts w:hint="eastAsia"/>
                <w:szCs w:val="21"/>
              </w:rPr>
              <w:t>手提式磷酸铵盐干粉灭火器</w:t>
            </w:r>
          </w:p>
        </w:tc>
        <w:tc>
          <w:tcPr>
            <w:tcW w:w="1365" w:type="dxa"/>
            <w:vAlign w:val="center"/>
          </w:tcPr>
          <w:p>
            <w:pPr>
              <w:pStyle w:val="22"/>
              <w:spacing w:after="0" w:line="360" w:lineRule="auto"/>
              <w:ind w:left="0" w:leftChars="0" w:right="0" w:rightChars="0"/>
              <w:jc w:val="center"/>
              <w:rPr>
                <w:szCs w:val="21"/>
              </w:rPr>
            </w:pPr>
            <w:r>
              <w:rPr>
                <w:rFonts w:hint="eastAsia"/>
                <w:szCs w:val="21"/>
              </w:rPr>
              <w:t>MF/ABC4</w:t>
            </w:r>
          </w:p>
        </w:tc>
        <w:tc>
          <w:tcPr>
            <w:tcW w:w="735" w:type="dxa"/>
            <w:vAlign w:val="center"/>
          </w:tcPr>
          <w:p>
            <w:pPr>
              <w:pStyle w:val="22"/>
              <w:spacing w:after="0" w:line="360" w:lineRule="auto"/>
              <w:ind w:left="0" w:leftChars="0" w:right="0" w:rightChars="0"/>
              <w:jc w:val="center"/>
              <w:rPr>
                <w:szCs w:val="21"/>
              </w:rPr>
            </w:pPr>
            <w:r>
              <w:rPr>
                <w:rFonts w:hint="eastAsia"/>
                <w:szCs w:val="21"/>
              </w:rPr>
              <w:t>具</w:t>
            </w:r>
          </w:p>
        </w:tc>
        <w:tc>
          <w:tcPr>
            <w:tcW w:w="765" w:type="dxa"/>
            <w:vAlign w:val="center"/>
          </w:tcPr>
          <w:p>
            <w:pPr>
              <w:pStyle w:val="22"/>
              <w:spacing w:after="0" w:line="360" w:lineRule="auto"/>
              <w:ind w:left="0" w:leftChars="0" w:right="0" w:rightChars="0"/>
              <w:jc w:val="center"/>
              <w:rPr>
                <w:szCs w:val="21"/>
              </w:rPr>
            </w:pPr>
            <w:r>
              <w:rPr>
                <w:rFonts w:hint="eastAsia"/>
                <w:szCs w:val="21"/>
              </w:rPr>
              <w:t>2</w:t>
            </w:r>
          </w:p>
        </w:tc>
        <w:tc>
          <w:tcPr>
            <w:tcW w:w="1822" w:type="dxa"/>
            <w:vAlign w:val="center"/>
          </w:tcPr>
          <w:p>
            <w:pPr>
              <w:pStyle w:val="22"/>
              <w:spacing w:after="0" w:line="360" w:lineRule="auto"/>
              <w:ind w:left="0" w:leftChars="0" w:right="0" w:rightChars="0"/>
              <w:jc w:val="center"/>
              <w:rPr>
                <w:szCs w:val="21"/>
              </w:rPr>
            </w:pPr>
            <w:r>
              <w:rPr>
                <w:rFonts w:hint="eastAsia"/>
                <w:szCs w:val="21"/>
              </w:rPr>
              <w:t>配发电间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vAlign w:val="center"/>
          </w:tcPr>
          <w:p>
            <w:pPr>
              <w:pStyle w:val="22"/>
              <w:spacing w:after="0" w:line="360" w:lineRule="auto"/>
              <w:ind w:left="0" w:leftChars="0" w:right="0" w:rightChars="0"/>
              <w:jc w:val="center"/>
              <w:rPr>
                <w:szCs w:val="21"/>
              </w:rPr>
            </w:pPr>
            <w:r>
              <w:rPr>
                <w:rFonts w:hint="eastAsia"/>
                <w:szCs w:val="21"/>
              </w:rPr>
              <w:t>3</w:t>
            </w:r>
          </w:p>
        </w:tc>
        <w:tc>
          <w:tcPr>
            <w:tcW w:w="2775" w:type="dxa"/>
            <w:gridSpan w:val="2"/>
            <w:vAlign w:val="center"/>
          </w:tcPr>
          <w:p>
            <w:pPr>
              <w:pStyle w:val="22"/>
              <w:spacing w:after="0" w:line="360" w:lineRule="auto"/>
              <w:ind w:left="0" w:leftChars="0" w:right="0" w:rightChars="0"/>
              <w:jc w:val="center"/>
              <w:rPr>
                <w:szCs w:val="21"/>
              </w:rPr>
            </w:pPr>
            <w:r>
              <w:rPr>
                <w:rFonts w:hint="eastAsia"/>
                <w:szCs w:val="21"/>
              </w:rPr>
              <w:t>手提式磷酸铵盐干粉灭火器</w:t>
            </w:r>
          </w:p>
        </w:tc>
        <w:tc>
          <w:tcPr>
            <w:tcW w:w="1365" w:type="dxa"/>
            <w:vAlign w:val="center"/>
          </w:tcPr>
          <w:p>
            <w:pPr>
              <w:pStyle w:val="22"/>
              <w:spacing w:after="0" w:line="360" w:lineRule="auto"/>
              <w:ind w:left="0" w:leftChars="0" w:right="0" w:rightChars="0"/>
              <w:jc w:val="center"/>
              <w:rPr>
                <w:szCs w:val="21"/>
              </w:rPr>
            </w:pPr>
            <w:r>
              <w:rPr>
                <w:rFonts w:hint="eastAsia"/>
                <w:szCs w:val="21"/>
              </w:rPr>
              <w:t>MF/ABC4</w:t>
            </w:r>
          </w:p>
        </w:tc>
        <w:tc>
          <w:tcPr>
            <w:tcW w:w="735" w:type="dxa"/>
            <w:vAlign w:val="center"/>
          </w:tcPr>
          <w:p>
            <w:pPr>
              <w:pStyle w:val="22"/>
              <w:spacing w:after="0" w:line="360" w:lineRule="auto"/>
              <w:ind w:left="0" w:leftChars="0" w:right="0" w:rightChars="0"/>
              <w:jc w:val="center"/>
              <w:rPr>
                <w:szCs w:val="21"/>
              </w:rPr>
            </w:pPr>
            <w:r>
              <w:rPr>
                <w:rFonts w:hint="eastAsia"/>
                <w:szCs w:val="21"/>
              </w:rPr>
              <w:t>具</w:t>
            </w:r>
          </w:p>
        </w:tc>
        <w:tc>
          <w:tcPr>
            <w:tcW w:w="765" w:type="dxa"/>
            <w:vAlign w:val="center"/>
          </w:tcPr>
          <w:p>
            <w:pPr>
              <w:pStyle w:val="22"/>
              <w:spacing w:after="0" w:line="360" w:lineRule="auto"/>
              <w:ind w:left="0" w:leftChars="0" w:right="0" w:rightChars="0"/>
              <w:jc w:val="center"/>
              <w:rPr>
                <w:szCs w:val="21"/>
              </w:rPr>
            </w:pPr>
            <w:r>
              <w:rPr>
                <w:rFonts w:hint="eastAsia"/>
                <w:szCs w:val="21"/>
              </w:rPr>
              <w:t>6</w:t>
            </w:r>
          </w:p>
        </w:tc>
        <w:tc>
          <w:tcPr>
            <w:tcW w:w="1822" w:type="dxa"/>
            <w:vAlign w:val="center"/>
          </w:tcPr>
          <w:p>
            <w:pPr>
              <w:pStyle w:val="22"/>
              <w:spacing w:after="0" w:line="360" w:lineRule="auto"/>
              <w:ind w:left="0" w:leftChars="0" w:right="0" w:rightChars="0"/>
              <w:jc w:val="center"/>
              <w:rPr>
                <w:szCs w:val="21"/>
              </w:rPr>
            </w:pPr>
            <w:r>
              <w:rPr>
                <w:rFonts w:hint="eastAsia"/>
                <w:szCs w:val="21"/>
              </w:rPr>
              <w:t>站房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vAlign w:val="center"/>
          </w:tcPr>
          <w:p>
            <w:pPr>
              <w:pStyle w:val="22"/>
              <w:spacing w:after="0" w:line="360" w:lineRule="auto"/>
              <w:ind w:left="0" w:leftChars="0" w:right="0" w:rightChars="0"/>
              <w:jc w:val="center"/>
              <w:rPr>
                <w:szCs w:val="21"/>
              </w:rPr>
            </w:pPr>
            <w:r>
              <w:rPr>
                <w:rFonts w:hint="eastAsia"/>
                <w:szCs w:val="21"/>
              </w:rPr>
              <w:t>4</w:t>
            </w:r>
          </w:p>
        </w:tc>
        <w:tc>
          <w:tcPr>
            <w:tcW w:w="2775" w:type="dxa"/>
            <w:gridSpan w:val="2"/>
            <w:vAlign w:val="center"/>
          </w:tcPr>
          <w:p>
            <w:pPr>
              <w:pStyle w:val="22"/>
              <w:spacing w:after="0" w:line="360" w:lineRule="auto"/>
              <w:ind w:left="0" w:leftChars="0" w:right="0" w:rightChars="0"/>
              <w:jc w:val="center"/>
              <w:rPr>
                <w:szCs w:val="21"/>
              </w:rPr>
            </w:pPr>
            <w:r>
              <w:rPr>
                <w:rFonts w:hint="eastAsia"/>
                <w:szCs w:val="21"/>
              </w:rPr>
              <w:t>手提式磷酸铵盐干粉灭火器</w:t>
            </w:r>
          </w:p>
        </w:tc>
        <w:tc>
          <w:tcPr>
            <w:tcW w:w="1365" w:type="dxa"/>
            <w:vAlign w:val="center"/>
          </w:tcPr>
          <w:p>
            <w:pPr>
              <w:pStyle w:val="22"/>
              <w:spacing w:after="0" w:line="360" w:lineRule="auto"/>
              <w:ind w:left="0" w:leftChars="0" w:right="0" w:rightChars="0"/>
              <w:jc w:val="center"/>
              <w:rPr>
                <w:szCs w:val="21"/>
              </w:rPr>
            </w:pPr>
            <w:r>
              <w:rPr>
                <w:rFonts w:hint="eastAsia"/>
                <w:szCs w:val="21"/>
              </w:rPr>
              <w:t>MFT/ABC35</w:t>
            </w:r>
          </w:p>
        </w:tc>
        <w:tc>
          <w:tcPr>
            <w:tcW w:w="735" w:type="dxa"/>
            <w:vAlign w:val="center"/>
          </w:tcPr>
          <w:p>
            <w:pPr>
              <w:pStyle w:val="22"/>
              <w:spacing w:after="0" w:line="360" w:lineRule="auto"/>
              <w:ind w:left="0" w:leftChars="0" w:right="0" w:rightChars="0"/>
              <w:jc w:val="center"/>
              <w:rPr>
                <w:szCs w:val="21"/>
              </w:rPr>
            </w:pPr>
            <w:r>
              <w:rPr>
                <w:rFonts w:hint="eastAsia"/>
                <w:szCs w:val="21"/>
              </w:rPr>
              <w:t>台</w:t>
            </w:r>
          </w:p>
        </w:tc>
        <w:tc>
          <w:tcPr>
            <w:tcW w:w="765" w:type="dxa"/>
            <w:vAlign w:val="center"/>
          </w:tcPr>
          <w:p>
            <w:pPr>
              <w:pStyle w:val="22"/>
              <w:spacing w:after="0" w:line="360" w:lineRule="auto"/>
              <w:ind w:left="0" w:leftChars="0" w:right="0" w:rightChars="0"/>
              <w:jc w:val="center"/>
              <w:rPr>
                <w:szCs w:val="21"/>
              </w:rPr>
            </w:pPr>
            <w:r>
              <w:rPr>
                <w:rFonts w:hint="eastAsia"/>
                <w:szCs w:val="21"/>
              </w:rPr>
              <w:t>2</w:t>
            </w:r>
          </w:p>
        </w:tc>
        <w:tc>
          <w:tcPr>
            <w:tcW w:w="1822" w:type="dxa"/>
            <w:vAlign w:val="center"/>
          </w:tcPr>
          <w:p>
            <w:pPr>
              <w:pStyle w:val="22"/>
              <w:spacing w:after="0" w:line="360" w:lineRule="auto"/>
              <w:ind w:left="0" w:leftChars="0" w:right="0" w:rightChars="0"/>
              <w:jc w:val="center"/>
              <w:rPr>
                <w:szCs w:val="21"/>
              </w:rPr>
            </w:pPr>
            <w:r>
              <w:rPr>
                <w:rFonts w:hint="eastAsia"/>
                <w:szCs w:val="21"/>
              </w:rPr>
              <w:t>油罐区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vAlign w:val="center"/>
          </w:tcPr>
          <w:p>
            <w:pPr>
              <w:pStyle w:val="22"/>
              <w:spacing w:after="0" w:line="360" w:lineRule="auto"/>
              <w:ind w:left="0" w:leftChars="0" w:right="0" w:rightChars="0"/>
              <w:jc w:val="center"/>
              <w:rPr>
                <w:szCs w:val="21"/>
              </w:rPr>
            </w:pPr>
            <w:r>
              <w:rPr>
                <w:rFonts w:hint="eastAsia"/>
                <w:szCs w:val="21"/>
              </w:rPr>
              <w:t>5</w:t>
            </w:r>
          </w:p>
        </w:tc>
        <w:tc>
          <w:tcPr>
            <w:tcW w:w="2775" w:type="dxa"/>
            <w:gridSpan w:val="2"/>
            <w:vAlign w:val="center"/>
          </w:tcPr>
          <w:p>
            <w:pPr>
              <w:pStyle w:val="22"/>
              <w:spacing w:after="0" w:line="360" w:lineRule="auto"/>
              <w:ind w:left="0" w:leftChars="0" w:right="0" w:rightChars="0"/>
              <w:jc w:val="center"/>
              <w:rPr>
                <w:szCs w:val="21"/>
              </w:rPr>
            </w:pPr>
            <w:r>
              <w:rPr>
                <w:rFonts w:hint="eastAsia"/>
                <w:szCs w:val="21"/>
              </w:rPr>
              <w:t>灭火毯</w:t>
            </w:r>
          </w:p>
        </w:tc>
        <w:tc>
          <w:tcPr>
            <w:tcW w:w="1365" w:type="dxa"/>
            <w:vAlign w:val="center"/>
          </w:tcPr>
          <w:p>
            <w:pPr>
              <w:pStyle w:val="22"/>
              <w:spacing w:after="0" w:line="360" w:lineRule="auto"/>
              <w:ind w:left="0" w:leftChars="0" w:right="0" w:rightChars="0"/>
              <w:jc w:val="center"/>
              <w:rPr>
                <w:szCs w:val="21"/>
              </w:rPr>
            </w:pPr>
            <w:r>
              <w:rPr>
                <w:rFonts w:hint="eastAsia"/>
                <w:szCs w:val="21"/>
              </w:rPr>
              <w:t>/</w:t>
            </w:r>
          </w:p>
        </w:tc>
        <w:tc>
          <w:tcPr>
            <w:tcW w:w="735" w:type="dxa"/>
            <w:vAlign w:val="center"/>
          </w:tcPr>
          <w:p>
            <w:pPr>
              <w:pStyle w:val="22"/>
              <w:spacing w:after="0" w:line="360" w:lineRule="auto"/>
              <w:ind w:left="0" w:leftChars="0" w:right="0" w:rightChars="0"/>
              <w:jc w:val="center"/>
              <w:rPr>
                <w:szCs w:val="21"/>
              </w:rPr>
            </w:pPr>
            <w:r>
              <w:rPr>
                <w:rFonts w:hint="eastAsia"/>
                <w:szCs w:val="21"/>
              </w:rPr>
              <w:t>块</w:t>
            </w:r>
          </w:p>
        </w:tc>
        <w:tc>
          <w:tcPr>
            <w:tcW w:w="765" w:type="dxa"/>
            <w:vAlign w:val="center"/>
          </w:tcPr>
          <w:p>
            <w:pPr>
              <w:pStyle w:val="22"/>
              <w:spacing w:after="0" w:line="360" w:lineRule="auto"/>
              <w:ind w:left="0" w:leftChars="0" w:right="0" w:rightChars="0"/>
              <w:jc w:val="center"/>
              <w:rPr>
                <w:szCs w:val="21"/>
              </w:rPr>
            </w:pPr>
            <w:r>
              <w:rPr>
                <w:rFonts w:hint="eastAsia"/>
                <w:szCs w:val="21"/>
              </w:rPr>
              <w:t>4</w:t>
            </w:r>
          </w:p>
        </w:tc>
        <w:tc>
          <w:tcPr>
            <w:tcW w:w="1822" w:type="dxa"/>
            <w:vAlign w:val="center"/>
          </w:tcPr>
          <w:p>
            <w:pPr>
              <w:pStyle w:val="22"/>
              <w:spacing w:after="0" w:line="360" w:lineRule="auto"/>
              <w:ind w:left="0" w:leftChars="0" w:right="0" w:rightChars="0"/>
              <w:jc w:val="center"/>
              <w:rPr>
                <w:szCs w:val="21"/>
              </w:rPr>
            </w:pPr>
            <w:r>
              <w:rPr>
                <w:rFonts w:hint="eastAsia"/>
                <w:szCs w:val="21"/>
              </w:rPr>
              <w:t>加油机、卸油口区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vAlign w:val="center"/>
          </w:tcPr>
          <w:p>
            <w:pPr>
              <w:pStyle w:val="22"/>
              <w:spacing w:after="0" w:line="360" w:lineRule="auto"/>
              <w:ind w:left="0" w:leftChars="0" w:right="0" w:rightChars="0"/>
              <w:jc w:val="center"/>
              <w:rPr>
                <w:szCs w:val="21"/>
              </w:rPr>
            </w:pPr>
            <w:r>
              <w:rPr>
                <w:rFonts w:hint="eastAsia"/>
                <w:szCs w:val="21"/>
              </w:rPr>
              <w:t>6</w:t>
            </w:r>
          </w:p>
        </w:tc>
        <w:tc>
          <w:tcPr>
            <w:tcW w:w="2775" w:type="dxa"/>
            <w:gridSpan w:val="2"/>
            <w:vAlign w:val="center"/>
          </w:tcPr>
          <w:p>
            <w:pPr>
              <w:pStyle w:val="22"/>
              <w:spacing w:after="0" w:line="360" w:lineRule="auto"/>
              <w:ind w:left="0" w:leftChars="0" w:right="0" w:rightChars="0"/>
              <w:jc w:val="center"/>
              <w:rPr>
                <w:szCs w:val="21"/>
              </w:rPr>
            </w:pPr>
            <w:r>
              <w:rPr>
                <w:rFonts w:hint="eastAsia"/>
                <w:szCs w:val="21"/>
              </w:rPr>
              <w:t>消防沙</w:t>
            </w:r>
          </w:p>
        </w:tc>
        <w:tc>
          <w:tcPr>
            <w:tcW w:w="1365" w:type="dxa"/>
            <w:vAlign w:val="center"/>
          </w:tcPr>
          <w:p>
            <w:pPr>
              <w:pStyle w:val="22"/>
              <w:spacing w:after="0" w:line="360" w:lineRule="auto"/>
              <w:ind w:left="0" w:leftChars="0" w:right="0" w:rightChars="0"/>
              <w:jc w:val="center"/>
              <w:rPr>
                <w:szCs w:val="21"/>
              </w:rPr>
            </w:pPr>
            <w:r>
              <w:rPr>
                <w:rFonts w:hint="eastAsia"/>
                <w:szCs w:val="21"/>
              </w:rPr>
              <w:t>/</w:t>
            </w:r>
          </w:p>
        </w:tc>
        <w:tc>
          <w:tcPr>
            <w:tcW w:w="735" w:type="dxa"/>
            <w:vAlign w:val="center"/>
          </w:tcPr>
          <w:p>
            <w:pPr>
              <w:pStyle w:val="22"/>
              <w:spacing w:after="0" w:line="360" w:lineRule="auto"/>
              <w:ind w:left="0" w:leftChars="0" w:right="0" w:rightChars="0"/>
              <w:jc w:val="center"/>
              <w:rPr>
                <w:szCs w:val="21"/>
              </w:rPr>
            </w:pPr>
            <w:r>
              <w:rPr>
                <w:rFonts w:hint="eastAsia"/>
                <w:szCs w:val="21"/>
              </w:rPr>
              <w:t>m</w:t>
            </w:r>
            <w:r>
              <w:rPr>
                <w:rFonts w:hint="eastAsia"/>
                <w:szCs w:val="21"/>
                <w:vertAlign w:val="superscript"/>
              </w:rPr>
              <w:t>3</w:t>
            </w:r>
          </w:p>
        </w:tc>
        <w:tc>
          <w:tcPr>
            <w:tcW w:w="765" w:type="dxa"/>
            <w:vAlign w:val="center"/>
          </w:tcPr>
          <w:p>
            <w:pPr>
              <w:pStyle w:val="22"/>
              <w:spacing w:after="0" w:line="360" w:lineRule="auto"/>
              <w:ind w:left="0" w:leftChars="0" w:right="0" w:rightChars="0"/>
              <w:jc w:val="center"/>
              <w:rPr>
                <w:szCs w:val="21"/>
              </w:rPr>
            </w:pPr>
            <w:r>
              <w:rPr>
                <w:rFonts w:hint="eastAsia"/>
                <w:szCs w:val="21"/>
              </w:rPr>
              <w:t>2</w:t>
            </w:r>
          </w:p>
        </w:tc>
        <w:tc>
          <w:tcPr>
            <w:tcW w:w="1822" w:type="dxa"/>
            <w:vAlign w:val="center"/>
          </w:tcPr>
          <w:p>
            <w:pPr>
              <w:pStyle w:val="22"/>
              <w:spacing w:after="0" w:line="360" w:lineRule="auto"/>
              <w:ind w:left="0" w:leftChars="0" w:right="0" w:rightChars="0"/>
              <w:jc w:val="center"/>
              <w:rPr>
                <w:szCs w:val="21"/>
              </w:rPr>
            </w:pPr>
            <w:r>
              <w:rPr>
                <w:rFonts w:hint="eastAsia"/>
                <w:szCs w:val="21"/>
              </w:rPr>
              <w:t>消防沙池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vAlign w:val="center"/>
          </w:tcPr>
          <w:p>
            <w:pPr>
              <w:pStyle w:val="22"/>
              <w:spacing w:after="0" w:line="360" w:lineRule="auto"/>
              <w:ind w:left="0" w:leftChars="0" w:right="0" w:rightChars="0"/>
              <w:jc w:val="center"/>
              <w:rPr>
                <w:szCs w:val="21"/>
              </w:rPr>
            </w:pPr>
            <w:r>
              <w:rPr>
                <w:rFonts w:hint="eastAsia"/>
                <w:szCs w:val="21"/>
              </w:rPr>
              <w:t>7</w:t>
            </w:r>
          </w:p>
        </w:tc>
        <w:tc>
          <w:tcPr>
            <w:tcW w:w="2775" w:type="dxa"/>
            <w:gridSpan w:val="2"/>
            <w:vAlign w:val="center"/>
          </w:tcPr>
          <w:p>
            <w:pPr>
              <w:pStyle w:val="22"/>
              <w:spacing w:after="0" w:line="360" w:lineRule="auto"/>
              <w:ind w:left="0" w:leftChars="0" w:right="0" w:rightChars="0"/>
              <w:jc w:val="center"/>
              <w:rPr>
                <w:szCs w:val="21"/>
              </w:rPr>
            </w:pPr>
            <w:r>
              <w:rPr>
                <w:rFonts w:hint="eastAsia"/>
                <w:szCs w:val="21"/>
              </w:rPr>
              <w:t>消防铲</w:t>
            </w:r>
          </w:p>
        </w:tc>
        <w:tc>
          <w:tcPr>
            <w:tcW w:w="1365" w:type="dxa"/>
            <w:vAlign w:val="center"/>
          </w:tcPr>
          <w:p>
            <w:pPr>
              <w:pStyle w:val="22"/>
              <w:spacing w:after="0" w:line="360" w:lineRule="auto"/>
              <w:ind w:left="0" w:leftChars="0" w:right="0" w:rightChars="0"/>
              <w:jc w:val="center"/>
              <w:rPr>
                <w:szCs w:val="21"/>
              </w:rPr>
            </w:pPr>
            <w:r>
              <w:rPr>
                <w:rFonts w:hint="eastAsia"/>
                <w:szCs w:val="21"/>
              </w:rPr>
              <w:t>/</w:t>
            </w:r>
          </w:p>
        </w:tc>
        <w:tc>
          <w:tcPr>
            <w:tcW w:w="735" w:type="dxa"/>
            <w:vAlign w:val="center"/>
          </w:tcPr>
          <w:p>
            <w:pPr>
              <w:pStyle w:val="22"/>
              <w:spacing w:after="0" w:line="360" w:lineRule="auto"/>
              <w:ind w:left="0" w:leftChars="0" w:right="0" w:rightChars="0"/>
              <w:jc w:val="center"/>
              <w:rPr>
                <w:szCs w:val="21"/>
              </w:rPr>
            </w:pPr>
            <w:r>
              <w:rPr>
                <w:rFonts w:hint="eastAsia"/>
                <w:szCs w:val="21"/>
              </w:rPr>
              <w:t>把</w:t>
            </w:r>
          </w:p>
        </w:tc>
        <w:tc>
          <w:tcPr>
            <w:tcW w:w="765" w:type="dxa"/>
            <w:vAlign w:val="center"/>
          </w:tcPr>
          <w:p>
            <w:pPr>
              <w:pStyle w:val="22"/>
              <w:spacing w:after="0" w:line="360" w:lineRule="auto"/>
              <w:ind w:left="0" w:leftChars="0" w:right="0" w:rightChars="0"/>
              <w:jc w:val="center"/>
              <w:rPr>
                <w:szCs w:val="21"/>
              </w:rPr>
            </w:pPr>
            <w:r>
              <w:rPr>
                <w:rFonts w:hint="eastAsia"/>
                <w:szCs w:val="21"/>
              </w:rPr>
              <w:t>2</w:t>
            </w:r>
          </w:p>
        </w:tc>
        <w:tc>
          <w:tcPr>
            <w:tcW w:w="1822" w:type="dxa"/>
            <w:vAlign w:val="center"/>
          </w:tcPr>
          <w:p>
            <w:pPr>
              <w:pStyle w:val="22"/>
              <w:spacing w:after="0" w:line="360" w:lineRule="auto"/>
              <w:ind w:left="0" w:leftChars="0" w:right="0" w:rightChars="0"/>
              <w:jc w:val="center"/>
              <w:rPr>
                <w:szCs w:val="21"/>
              </w:rPr>
            </w:pPr>
            <w:r>
              <w:rPr>
                <w:rFonts w:hint="eastAsia"/>
                <w:szCs w:val="21"/>
              </w:rPr>
              <w:t>消防器材箱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vAlign w:val="center"/>
          </w:tcPr>
          <w:p>
            <w:pPr>
              <w:pStyle w:val="22"/>
              <w:spacing w:after="0" w:line="360" w:lineRule="auto"/>
              <w:ind w:left="0" w:leftChars="0" w:right="0" w:rightChars="0"/>
              <w:jc w:val="center"/>
              <w:rPr>
                <w:szCs w:val="21"/>
              </w:rPr>
            </w:pPr>
            <w:r>
              <w:rPr>
                <w:rFonts w:hint="eastAsia"/>
                <w:szCs w:val="21"/>
              </w:rPr>
              <w:t>8</w:t>
            </w:r>
          </w:p>
        </w:tc>
        <w:tc>
          <w:tcPr>
            <w:tcW w:w="2775" w:type="dxa"/>
            <w:gridSpan w:val="2"/>
            <w:vAlign w:val="center"/>
          </w:tcPr>
          <w:p>
            <w:pPr>
              <w:pStyle w:val="22"/>
              <w:spacing w:after="0" w:line="360" w:lineRule="auto"/>
              <w:ind w:left="0" w:leftChars="0" w:right="0" w:rightChars="0"/>
              <w:jc w:val="center"/>
              <w:rPr>
                <w:szCs w:val="21"/>
              </w:rPr>
            </w:pPr>
            <w:r>
              <w:rPr>
                <w:rFonts w:hint="eastAsia"/>
                <w:szCs w:val="21"/>
              </w:rPr>
              <w:t>消防桶</w:t>
            </w:r>
          </w:p>
        </w:tc>
        <w:tc>
          <w:tcPr>
            <w:tcW w:w="1365" w:type="dxa"/>
            <w:vAlign w:val="center"/>
          </w:tcPr>
          <w:p>
            <w:pPr>
              <w:pStyle w:val="22"/>
              <w:spacing w:after="0" w:line="360" w:lineRule="auto"/>
              <w:ind w:left="0" w:leftChars="0" w:right="0" w:rightChars="0"/>
              <w:jc w:val="center"/>
              <w:rPr>
                <w:szCs w:val="21"/>
              </w:rPr>
            </w:pPr>
            <w:r>
              <w:rPr>
                <w:rFonts w:hint="eastAsia"/>
                <w:szCs w:val="21"/>
              </w:rPr>
              <w:t>/</w:t>
            </w:r>
          </w:p>
        </w:tc>
        <w:tc>
          <w:tcPr>
            <w:tcW w:w="735" w:type="dxa"/>
            <w:vAlign w:val="center"/>
          </w:tcPr>
          <w:p>
            <w:pPr>
              <w:pStyle w:val="22"/>
              <w:spacing w:after="0" w:line="360" w:lineRule="auto"/>
              <w:ind w:left="0" w:leftChars="0" w:right="0" w:rightChars="0"/>
              <w:jc w:val="center"/>
              <w:rPr>
                <w:szCs w:val="21"/>
              </w:rPr>
            </w:pPr>
            <w:r>
              <w:rPr>
                <w:rFonts w:hint="eastAsia"/>
                <w:szCs w:val="21"/>
              </w:rPr>
              <w:t>只</w:t>
            </w:r>
          </w:p>
        </w:tc>
        <w:tc>
          <w:tcPr>
            <w:tcW w:w="765" w:type="dxa"/>
            <w:vAlign w:val="center"/>
          </w:tcPr>
          <w:p>
            <w:pPr>
              <w:pStyle w:val="22"/>
              <w:spacing w:after="0" w:line="360" w:lineRule="auto"/>
              <w:ind w:left="0" w:leftChars="0" w:right="0" w:rightChars="0"/>
              <w:jc w:val="center"/>
              <w:rPr>
                <w:szCs w:val="21"/>
              </w:rPr>
            </w:pPr>
            <w:r>
              <w:rPr>
                <w:rFonts w:hint="eastAsia"/>
                <w:szCs w:val="21"/>
              </w:rPr>
              <w:t>2</w:t>
            </w:r>
          </w:p>
        </w:tc>
        <w:tc>
          <w:tcPr>
            <w:tcW w:w="1822" w:type="dxa"/>
            <w:vAlign w:val="center"/>
          </w:tcPr>
          <w:p>
            <w:pPr>
              <w:pStyle w:val="22"/>
              <w:spacing w:after="0" w:line="360" w:lineRule="auto"/>
              <w:ind w:left="0" w:leftChars="0" w:right="0" w:rightChars="0"/>
              <w:jc w:val="center"/>
              <w:rPr>
                <w:szCs w:val="21"/>
              </w:rPr>
            </w:pPr>
            <w:r>
              <w:rPr>
                <w:rFonts w:hint="eastAsia"/>
                <w:szCs w:val="21"/>
              </w:rPr>
              <w:t>消防器材箱</w:t>
            </w:r>
          </w:p>
        </w:tc>
      </w:tr>
    </w:tbl>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sz w:val="28"/>
          <w:szCs w:val="28"/>
        </w:rPr>
      </w:pPr>
      <w:bookmarkStart w:id="52" w:name="_Toc2845030"/>
      <w:r>
        <w:rPr>
          <w:rFonts w:hint="eastAsia"/>
          <w:sz w:val="28"/>
          <w:szCs w:val="28"/>
        </w:rPr>
        <w:t>应急救护设备的管理：加油站所有应急设备、器材，设专人管理，保证完好、有效、随时可用；加油站建立应急设备、器材台帐，记录所有设备、器材名称、型号、数量、所在位置、有效期限；加油站定期更换失效、过期的药品、器材，并有相应的跟踪检查制度和措施。</w:t>
      </w:r>
    </w:p>
    <w:p>
      <w:pPr>
        <w:pStyle w:val="4"/>
      </w:pPr>
      <w:bookmarkStart w:id="53" w:name="_Toc24006"/>
      <w:r>
        <w:t>2.4 资金保障措施</w:t>
      </w:r>
      <w:bookmarkEnd w:id="52"/>
      <w:bookmarkEnd w:id="53"/>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1、加油站划拨了事故应急救援资金，专款专用。</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2、加油站事故应急救援资金由总指挥负责统筹安排。</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sz w:val="28"/>
          <w:szCs w:val="28"/>
        </w:rPr>
        <w:sectPr>
          <w:headerReference r:id="rId3" w:type="default"/>
          <w:footerReference r:id="rId4" w:type="default"/>
          <w:pgSz w:w="11906" w:h="16838"/>
          <w:pgMar w:top="1440" w:right="1797" w:bottom="1440" w:left="1797" w:header="851" w:footer="992" w:gutter="0"/>
          <w:pgNumType w:start="1"/>
          <w:cols w:space="720" w:num="1"/>
          <w:docGrid w:type="lines" w:linePitch="312" w:charSpace="0"/>
        </w:sectPr>
      </w:pPr>
      <w:r>
        <w:rPr>
          <w:rFonts w:hint="eastAsia"/>
          <w:sz w:val="28"/>
          <w:szCs w:val="28"/>
        </w:rPr>
        <w:t>加油站保障安全生产事故急需费用。在年度预算中按照相关规定为加油站预备应急救援经费，优先用于安全生产事故处置工作；同时设立应急专项资金并建立应急经费快速拨付机制。处置安全生产事故经费按照有关规定及供给渠道予以解决；应急指挥信息化建设、日常维护、队伍培训、演习等开支纳入年度计划解决，保证专款专用，提</w:t>
      </w:r>
      <w:r>
        <w:rPr>
          <w:sz w:val="28"/>
          <w:szCs w:val="28"/>
        </w:rPr>
        <w:t>高资金使用效率。</w:t>
      </w:r>
    </w:p>
    <w:p>
      <w:pPr>
        <w:pStyle w:val="3"/>
      </w:pPr>
      <w:bookmarkStart w:id="54" w:name="_Toc32592"/>
      <w:bookmarkStart w:id="55" w:name="_Toc2845031"/>
      <w:r>
        <w:t>3 周边社会应急资源调查</w:t>
      </w:r>
      <w:bookmarkEnd w:id="54"/>
      <w:bookmarkEnd w:id="55"/>
    </w:p>
    <w:p>
      <w:pPr>
        <w:spacing w:line="360" w:lineRule="auto"/>
        <w:ind w:firstLine="560" w:firstLineChars="200"/>
        <w:rPr>
          <w:sz w:val="28"/>
          <w:szCs w:val="28"/>
        </w:rPr>
      </w:pPr>
      <w:r>
        <w:rPr>
          <w:sz w:val="28"/>
          <w:szCs w:val="28"/>
        </w:rPr>
        <w:t>（1）地理位置</w:t>
      </w:r>
    </w:p>
    <w:p>
      <w:pPr>
        <w:ind w:firstLine="480"/>
        <w:rPr>
          <w:sz w:val="28"/>
          <w:szCs w:val="28"/>
        </w:rPr>
      </w:pPr>
      <w:r>
        <w:rPr>
          <w:rFonts w:hint="eastAsia"/>
          <w:sz w:val="28"/>
          <w:szCs w:val="28"/>
        </w:rPr>
        <w:t>加油站具体经营地址位于顺庆区芦溪镇。</w:t>
      </w:r>
    </w:p>
    <w:p>
      <w:pPr>
        <w:ind w:firstLine="480"/>
        <w:jc w:val="center"/>
        <w:rPr>
          <w:rFonts w:ascii="宋体" w:hAnsi="宋体" w:cs="宋体"/>
          <w:color w:val="000000"/>
          <w:kern w:val="0"/>
          <w:sz w:val="24"/>
        </w:rPr>
      </w:pPr>
      <w:r>
        <w:rPr>
          <w:rFonts w:ascii="宋体" w:hAnsi="宋体" w:cs="宋体"/>
          <w:color w:val="000000"/>
          <w:kern w:val="0"/>
          <w:sz w:val="24"/>
        </w:rPr>
        <w:pict>
          <v:shape id="_x0000_i1025" o:spt="75" type="#_x0000_t75" style="height:268.5pt;width:394pt;" filled="f" o:preferrelative="t" stroked="f" coordsize="21600,21600">
            <v:path/>
            <v:fill on="f" focussize="0,0"/>
            <v:stroke on="f" joinstyle="miter"/>
            <v:imagedata r:id="rId6" o:title=""/>
            <o:lock v:ext="edit" aspectratio="t"/>
            <w10:wrap type="none"/>
            <w10:anchorlock/>
          </v:shape>
        </w:pict>
      </w:r>
    </w:p>
    <w:p>
      <w:pPr>
        <w:pStyle w:val="2"/>
        <w:rPr>
          <w:rFonts w:ascii="宋体" w:hAnsi="宋体" w:cs="宋体"/>
          <w:color w:val="000000"/>
          <w:kern w:val="0"/>
          <w:sz w:val="24"/>
        </w:rPr>
      </w:pPr>
    </w:p>
    <w:p>
      <w:pPr>
        <w:jc w:val="center"/>
        <w:rPr>
          <w:rFonts w:eastAsia="黑体"/>
          <w:sz w:val="24"/>
        </w:rPr>
      </w:pPr>
      <w:r>
        <w:rPr>
          <w:rFonts w:eastAsia="黑体"/>
          <w:sz w:val="24"/>
        </w:rPr>
        <w:t>图3-1 地理位置示意图</w:t>
      </w:r>
    </w:p>
    <w:p>
      <w:pPr>
        <w:pStyle w:val="2"/>
        <w:rPr>
          <w:rFonts w:eastAsia="黑体"/>
          <w:sz w:val="24"/>
        </w:rPr>
      </w:pPr>
    </w:p>
    <w:p>
      <w:pPr>
        <w:pStyle w:val="2"/>
        <w:rPr>
          <w:rFonts w:eastAsia="黑体"/>
          <w:sz w:val="24"/>
        </w:rPr>
      </w:pPr>
      <w:r>
        <w:rPr>
          <w:rFonts w:hint="eastAsia" w:eastAsia="黑体"/>
          <w:sz w:val="24"/>
          <w:lang w:eastAsia="zh-CN"/>
        </w:rPr>
        <w:pict>
          <v:shape id="_x0000_i1026" o:spt="75" alt="bf8b42e99011a1860751b8789662f63" type="#_x0000_t75" style="height:265.75pt;width:415.25pt;" filled="f" o:preferrelative="t" stroked="f" coordsize="21600,21600">
            <v:path/>
            <v:fill on="f" focussize="0,0"/>
            <v:stroke on="f"/>
            <v:imagedata r:id="rId7" o:title="bf8b42e99011a1860751b8789662f63"/>
            <o:lock v:ext="edit" aspectratio="t"/>
            <w10:wrap type="none"/>
            <w10:anchorlock/>
          </v:shape>
        </w:pict>
      </w:r>
      <w:bookmarkStart w:id="66" w:name="_GoBack"/>
      <w:bookmarkEnd w:id="66"/>
    </w:p>
    <w:p>
      <w:pPr>
        <w:spacing w:line="360" w:lineRule="auto"/>
        <w:ind w:firstLine="560" w:firstLineChars="200"/>
        <w:rPr>
          <w:sz w:val="28"/>
          <w:szCs w:val="28"/>
        </w:rPr>
      </w:pPr>
      <w:r>
        <w:rPr>
          <w:sz w:val="28"/>
          <w:szCs w:val="28"/>
        </w:rPr>
        <w:t>（2）外部救援力量</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bookmarkStart w:id="56" w:name="_Toc496274636"/>
      <w:bookmarkStart w:id="57" w:name="_Toc425525805"/>
      <w:r>
        <w:rPr>
          <w:rFonts w:hint="eastAsia"/>
          <w:sz w:val="28"/>
          <w:szCs w:val="28"/>
        </w:rPr>
        <w:t>芦溪农机加油站位于顺庆区芦溪镇，交通方便。加油站能借用的外部力量包括芦溪排出所、芦溪镇人民政府、顺庆区消防大队、芦溪镇中心卫生院、顺庆区生态环境局、南充市应急管理局。</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芦溪派出所距离本加油站约200米，发生事故时2分钟内能到达现场。</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芦溪镇人民政府距离本加油站约180米，发生事故时2分钟内能到达现场。</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顺庆区消防大队距离本加油站约18公里，发生事故时25分钟内能到达现场。</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芦溪镇中心卫生院距离本加油站约50米，发生事故时2分钟内能到达现场。</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顺庆区生态环境局距离本加油站约18.5公里，发生事故时25分钟内能到达现场。</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南充市应急管理局距离本加油站约13.5公里，发生事故时20分钟内能到达现场。</w:t>
      </w:r>
    </w:p>
    <w:p>
      <w:pPr>
        <w:spacing w:line="360" w:lineRule="auto"/>
        <w:ind w:firstLine="562" w:firstLineChars="200"/>
        <w:rPr>
          <w:sz w:val="28"/>
          <w:szCs w:val="28"/>
        </w:rPr>
      </w:pPr>
      <w:r>
        <w:rPr>
          <w:b/>
          <w:bCs/>
          <w:sz w:val="28"/>
          <w:szCs w:val="28"/>
        </w:rPr>
        <w:t>一、请求政府协调应急救援力量</w:t>
      </w:r>
      <w:bookmarkEnd w:id="56"/>
      <w:bookmarkEnd w:id="57"/>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外部救援工作具体由指挥部负责，指挥部门负责与外部救援单位及时取得联系，并将具体地点、路线、发生事故的情况，救援所需器材的种类与外部救援单位讲清楚，同时应安排专人去接应并引路。</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主要参与部门有：</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公安部门</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协助本加油站进行警戒，封锁相关要道，防止无关人员进入事故现场和污染区。</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消防中心</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发生火灾事故时，进行灭火的救护。</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环保部门</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提供事故时的实时监测和污染区的处理工作。</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医疗单位</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kern w:val="0"/>
          <w:sz w:val="28"/>
          <w:szCs w:val="28"/>
        </w:rPr>
      </w:pPr>
      <w:r>
        <w:rPr>
          <w:rFonts w:hint="eastAsia"/>
          <w:sz w:val="28"/>
          <w:szCs w:val="28"/>
        </w:rPr>
        <w:t>提供伤员、中毒救护的治疗服务和现场救护所需要的药品和人员。</w:t>
      </w:r>
    </w:p>
    <w:p>
      <w:pPr>
        <w:spacing w:line="360" w:lineRule="auto"/>
        <w:ind w:firstLine="562" w:firstLineChars="200"/>
        <w:rPr>
          <w:sz w:val="28"/>
          <w:szCs w:val="28"/>
        </w:rPr>
      </w:pPr>
      <w:r>
        <w:rPr>
          <w:b/>
          <w:bCs/>
          <w:sz w:val="28"/>
          <w:szCs w:val="28"/>
        </w:rPr>
        <w:t>二、专职应急队伍</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一旦发生生产安全事故时，应急救援指挥部应及时组织应急救援组队事故进行抢险救援。一旦事件危害超过本加油站应急救援能力时，应及时向政府部门求援，并联络外部救援单位，请求外部救援单位（</w:t>
      </w:r>
      <w:r>
        <w:rPr>
          <w:rFonts w:hint="eastAsia"/>
          <w:sz w:val="28"/>
          <w:szCs w:val="28"/>
          <w:lang w:eastAsia="zh-CN"/>
        </w:rPr>
        <w:t>顺庆区消防支队</w:t>
      </w:r>
      <w:r>
        <w:rPr>
          <w:rFonts w:hint="eastAsia"/>
          <w:sz w:val="28"/>
          <w:szCs w:val="28"/>
        </w:rPr>
        <w:t>）的支援。在联络的同时，需同时通告内容包括但不限于以下内容：</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a、事件发生的时间和地点；</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b、事件类型：火灾、爆炸、泄漏（暂时状态、连续状态）；</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c、估计造成事件的泄漏量；</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d、已采取的应急措施；</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 xml:space="preserve">e、已污染的范围、潜在的危害程度、转化方式趋向； </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 xml:space="preserve">f、健康危害与必要的医疗措施； </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g、联系人姓名和电话。</w:t>
      </w:r>
    </w:p>
    <w:p>
      <w:pPr>
        <w:spacing w:line="360" w:lineRule="auto"/>
        <w:ind w:firstLine="482" w:firstLineChars="200"/>
        <w:jc w:val="center"/>
        <w:rPr>
          <w:rFonts w:eastAsia="黑体"/>
          <w:b/>
          <w:sz w:val="24"/>
        </w:rPr>
      </w:pPr>
      <w:bookmarkStart w:id="58" w:name="_Toc504413652"/>
      <w:bookmarkStart w:id="59" w:name="_Toc497430718"/>
      <w:r>
        <w:rPr>
          <w:rFonts w:eastAsia="黑体"/>
          <w:b/>
          <w:sz w:val="24"/>
        </w:rPr>
        <w:t>外部应急救援通讯表</w:t>
      </w:r>
      <w:bookmarkEnd w:id="58"/>
      <w:bookmarkEnd w:id="59"/>
    </w:p>
    <w:tbl>
      <w:tblPr>
        <w:tblStyle w:val="53"/>
        <w:tblW w:w="8130" w:type="dxa"/>
        <w:tblInd w:w="2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9"/>
        <w:gridCol w:w="2221"/>
        <w:gridCol w:w="2917"/>
        <w:gridCol w:w="1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19" w:type="dxa"/>
          </w:tcPr>
          <w:p>
            <w:pPr>
              <w:spacing w:line="360" w:lineRule="auto"/>
              <w:jc w:val="center"/>
              <w:rPr>
                <w:b/>
                <w:sz w:val="24"/>
              </w:rPr>
            </w:pPr>
            <w:r>
              <w:rPr>
                <w:b/>
                <w:sz w:val="24"/>
              </w:rPr>
              <w:t>类型</w:t>
            </w:r>
          </w:p>
        </w:tc>
        <w:tc>
          <w:tcPr>
            <w:tcW w:w="2221" w:type="dxa"/>
          </w:tcPr>
          <w:p>
            <w:pPr>
              <w:spacing w:line="360" w:lineRule="auto"/>
              <w:jc w:val="center"/>
              <w:rPr>
                <w:b/>
                <w:sz w:val="24"/>
              </w:rPr>
            </w:pPr>
            <w:r>
              <w:rPr>
                <w:b/>
                <w:sz w:val="24"/>
              </w:rPr>
              <w:t>名称</w:t>
            </w:r>
          </w:p>
        </w:tc>
        <w:tc>
          <w:tcPr>
            <w:tcW w:w="2917" w:type="dxa"/>
          </w:tcPr>
          <w:p>
            <w:pPr>
              <w:spacing w:line="360" w:lineRule="auto"/>
              <w:jc w:val="center"/>
              <w:rPr>
                <w:b/>
                <w:sz w:val="24"/>
              </w:rPr>
            </w:pPr>
            <w:r>
              <w:rPr>
                <w:b/>
                <w:sz w:val="24"/>
              </w:rPr>
              <w:t>地址</w:t>
            </w:r>
          </w:p>
        </w:tc>
        <w:tc>
          <w:tcPr>
            <w:tcW w:w="1673" w:type="dxa"/>
          </w:tcPr>
          <w:p>
            <w:pPr>
              <w:spacing w:line="360" w:lineRule="auto"/>
              <w:jc w:val="center"/>
              <w:rPr>
                <w:b/>
                <w:sz w:val="24"/>
              </w:rPr>
            </w:pPr>
            <w:r>
              <w:rPr>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19" w:type="dxa"/>
            <w:vAlign w:val="center"/>
          </w:tcPr>
          <w:p>
            <w:pPr>
              <w:spacing w:line="360" w:lineRule="auto"/>
              <w:jc w:val="center"/>
              <w:rPr>
                <w:sz w:val="24"/>
              </w:rPr>
            </w:pPr>
            <w:r>
              <w:rPr>
                <w:sz w:val="24"/>
              </w:rPr>
              <w:t>公安机关（派出所）</w:t>
            </w:r>
          </w:p>
        </w:tc>
        <w:tc>
          <w:tcPr>
            <w:tcW w:w="2221" w:type="dxa"/>
          </w:tcPr>
          <w:p>
            <w:pPr>
              <w:spacing w:line="360" w:lineRule="auto"/>
              <w:jc w:val="center"/>
              <w:rPr>
                <w:sz w:val="24"/>
              </w:rPr>
            </w:pPr>
            <w:r>
              <w:rPr>
                <w:rFonts w:hint="eastAsia"/>
                <w:color w:val="000000"/>
                <w:sz w:val="28"/>
                <w:szCs w:val="28"/>
              </w:rPr>
              <w:t>芦溪排出所</w:t>
            </w:r>
          </w:p>
        </w:tc>
        <w:tc>
          <w:tcPr>
            <w:tcW w:w="2917" w:type="dxa"/>
          </w:tcPr>
          <w:p>
            <w:pPr>
              <w:spacing w:line="360" w:lineRule="auto"/>
              <w:jc w:val="center"/>
              <w:rPr>
                <w:sz w:val="24"/>
              </w:rPr>
            </w:pPr>
            <w:r>
              <w:rPr>
                <w:rFonts w:hint="eastAsia"/>
                <w:sz w:val="28"/>
                <w:szCs w:val="28"/>
              </w:rPr>
              <w:t>芦溪镇铧场街71号</w:t>
            </w:r>
          </w:p>
        </w:tc>
        <w:tc>
          <w:tcPr>
            <w:tcW w:w="1673" w:type="dxa"/>
          </w:tcPr>
          <w:p>
            <w:pPr>
              <w:spacing w:line="360" w:lineRule="auto"/>
              <w:jc w:val="center"/>
              <w:rPr>
                <w:sz w:val="24"/>
              </w:rPr>
            </w:pPr>
            <w:r>
              <w:rPr>
                <w:rFonts w:hint="eastAsia"/>
                <w:sz w:val="24"/>
              </w:rPr>
              <w:t>0817-2441188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19" w:type="dxa"/>
            <w:vAlign w:val="center"/>
          </w:tcPr>
          <w:p>
            <w:pPr>
              <w:spacing w:line="360" w:lineRule="auto"/>
              <w:jc w:val="center"/>
              <w:rPr>
                <w:sz w:val="24"/>
              </w:rPr>
            </w:pPr>
            <w:r>
              <w:rPr>
                <w:sz w:val="24"/>
              </w:rPr>
              <w:t>消防单位</w:t>
            </w:r>
          </w:p>
        </w:tc>
        <w:tc>
          <w:tcPr>
            <w:tcW w:w="2221" w:type="dxa"/>
          </w:tcPr>
          <w:p>
            <w:pPr>
              <w:spacing w:line="360" w:lineRule="auto"/>
              <w:jc w:val="center"/>
              <w:rPr>
                <w:sz w:val="24"/>
              </w:rPr>
            </w:pPr>
            <w:r>
              <w:rPr>
                <w:rFonts w:hint="eastAsia" w:cs="宋体"/>
                <w:sz w:val="24"/>
              </w:rPr>
              <w:t>顺庆区消防支队</w:t>
            </w:r>
          </w:p>
        </w:tc>
        <w:tc>
          <w:tcPr>
            <w:tcW w:w="2917" w:type="dxa"/>
          </w:tcPr>
          <w:p>
            <w:pPr>
              <w:spacing w:line="360" w:lineRule="auto"/>
              <w:jc w:val="center"/>
              <w:rPr>
                <w:sz w:val="24"/>
              </w:rPr>
            </w:pPr>
            <w:r>
              <w:rPr>
                <w:rFonts w:hint="eastAsia" w:cs="宋体"/>
                <w:sz w:val="24"/>
              </w:rPr>
              <w:t>顺庆区宁安巷241号</w:t>
            </w:r>
          </w:p>
        </w:tc>
        <w:tc>
          <w:tcPr>
            <w:tcW w:w="1673" w:type="dxa"/>
          </w:tcPr>
          <w:p>
            <w:pPr>
              <w:spacing w:line="360" w:lineRule="auto"/>
              <w:jc w:val="center"/>
              <w:rPr>
                <w:sz w:val="24"/>
              </w:rPr>
            </w:pPr>
            <w:r>
              <w:rPr>
                <w:rFonts w:hint="eastAsia"/>
                <w:sz w:val="24"/>
              </w:rPr>
              <w:t>1</w:t>
            </w:r>
            <w:r>
              <w:rPr>
                <w:sz w:val="24"/>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19" w:type="dxa"/>
            <w:vAlign w:val="center"/>
          </w:tcPr>
          <w:p>
            <w:pPr>
              <w:spacing w:line="360" w:lineRule="auto"/>
              <w:jc w:val="center"/>
              <w:rPr>
                <w:sz w:val="24"/>
              </w:rPr>
            </w:pPr>
            <w:r>
              <w:rPr>
                <w:sz w:val="24"/>
              </w:rPr>
              <w:t>医疗卫生</w:t>
            </w:r>
          </w:p>
          <w:p>
            <w:pPr>
              <w:spacing w:line="360" w:lineRule="auto"/>
              <w:jc w:val="center"/>
              <w:rPr>
                <w:sz w:val="24"/>
              </w:rPr>
            </w:pPr>
            <w:r>
              <w:rPr>
                <w:sz w:val="24"/>
              </w:rPr>
              <w:t>机构</w:t>
            </w:r>
          </w:p>
        </w:tc>
        <w:tc>
          <w:tcPr>
            <w:tcW w:w="2221" w:type="dxa"/>
          </w:tcPr>
          <w:p>
            <w:pPr>
              <w:spacing w:line="360" w:lineRule="auto"/>
              <w:jc w:val="center"/>
              <w:rPr>
                <w:sz w:val="24"/>
              </w:rPr>
            </w:pPr>
            <w:r>
              <w:rPr>
                <w:rFonts w:hint="eastAsia" w:cs="宋体"/>
                <w:sz w:val="24"/>
                <w:shd w:val="clear" w:color="auto" w:fill="FFFFFF"/>
              </w:rPr>
              <w:t>芦溪镇中心卫生院</w:t>
            </w:r>
          </w:p>
        </w:tc>
        <w:tc>
          <w:tcPr>
            <w:tcW w:w="2917" w:type="dxa"/>
          </w:tcPr>
          <w:p>
            <w:pPr>
              <w:spacing w:line="360" w:lineRule="auto"/>
              <w:jc w:val="center"/>
              <w:rPr>
                <w:sz w:val="24"/>
              </w:rPr>
            </w:pPr>
            <w:r>
              <w:rPr>
                <w:rFonts w:hint="eastAsia" w:cs="宋体"/>
                <w:sz w:val="24"/>
                <w:shd w:val="clear" w:color="auto" w:fill="FFFFFF"/>
              </w:rPr>
              <w:t>芦溪镇文卫街与芦灯路交叉路口往西北约50米</w:t>
            </w:r>
          </w:p>
        </w:tc>
        <w:tc>
          <w:tcPr>
            <w:tcW w:w="1673" w:type="dxa"/>
          </w:tcPr>
          <w:p>
            <w:pPr>
              <w:spacing w:line="360" w:lineRule="auto"/>
              <w:jc w:val="center"/>
              <w:rPr>
                <w:sz w:val="24"/>
              </w:rPr>
            </w:pPr>
            <w:r>
              <w:rPr>
                <w:rFonts w:hint="eastAsia"/>
                <w:sz w:val="24"/>
              </w:rPr>
              <w:t>0817-2441006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19" w:type="dxa"/>
            <w:vMerge w:val="restart"/>
            <w:vAlign w:val="center"/>
          </w:tcPr>
          <w:p>
            <w:pPr>
              <w:spacing w:line="360" w:lineRule="auto"/>
              <w:jc w:val="center"/>
              <w:rPr>
                <w:sz w:val="24"/>
              </w:rPr>
            </w:pPr>
            <w:r>
              <w:rPr>
                <w:sz w:val="24"/>
              </w:rPr>
              <w:t>其他</w:t>
            </w:r>
          </w:p>
        </w:tc>
        <w:tc>
          <w:tcPr>
            <w:tcW w:w="2221" w:type="dxa"/>
          </w:tcPr>
          <w:p>
            <w:pPr>
              <w:spacing w:line="360" w:lineRule="auto"/>
              <w:jc w:val="center"/>
              <w:rPr>
                <w:sz w:val="24"/>
              </w:rPr>
            </w:pPr>
            <w:r>
              <w:rPr>
                <w:rFonts w:hint="eastAsia" w:cs="宋体"/>
                <w:sz w:val="24"/>
              </w:rPr>
              <w:t>芦溪镇</w:t>
            </w:r>
            <w:r>
              <w:rPr>
                <w:rFonts w:hint="eastAsia"/>
                <w:sz w:val="24"/>
              </w:rPr>
              <w:t>人民政府</w:t>
            </w:r>
          </w:p>
        </w:tc>
        <w:tc>
          <w:tcPr>
            <w:tcW w:w="2917" w:type="dxa"/>
          </w:tcPr>
          <w:p>
            <w:pPr>
              <w:spacing w:line="360" w:lineRule="auto"/>
              <w:jc w:val="center"/>
              <w:rPr>
                <w:sz w:val="24"/>
              </w:rPr>
            </w:pPr>
            <w:r>
              <w:rPr>
                <w:rFonts w:hint="eastAsia" w:cs="宋体"/>
                <w:sz w:val="24"/>
              </w:rPr>
              <w:t>芦溪镇潆马路与幸福路交叉口</w:t>
            </w:r>
          </w:p>
        </w:tc>
        <w:tc>
          <w:tcPr>
            <w:tcW w:w="1673" w:type="dxa"/>
          </w:tcPr>
          <w:p>
            <w:pPr>
              <w:spacing w:line="360" w:lineRule="auto"/>
              <w:jc w:val="center"/>
              <w:rPr>
                <w:sz w:val="24"/>
              </w:rPr>
            </w:pPr>
            <w:r>
              <w:rPr>
                <w:rFonts w:hint="eastAsia"/>
                <w:sz w:val="24"/>
              </w:rPr>
              <w:t>0817-2441057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1319" w:type="dxa"/>
            <w:vMerge w:val="continue"/>
          </w:tcPr>
          <w:p>
            <w:pPr>
              <w:spacing w:line="360" w:lineRule="auto"/>
              <w:jc w:val="center"/>
              <w:rPr>
                <w:sz w:val="24"/>
              </w:rPr>
            </w:pPr>
          </w:p>
        </w:tc>
        <w:tc>
          <w:tcPr>
            <w:tcW w:w="2221" w:type="dxa"/>
          </w:tcPr>
          <w:p>
            <w:pPr>
              <w:spacing w:line="360" w:lineRule="auto"/>
              <w:jc w:val="center"/>
              <w:rPr>
                <w:sz w:val="24"/>
              </w:rPr>
            </w:pPr>
            <w:r>
              <w:rPr>
                <w:rFonts w:hint="eastAsia" w:cs="宋体"/>
                <w:sz w:val="24"/>
              </w:rPr>
              <w:t>南充市</w:t>
            </w:r>
            <w:r>
              <w:rPr>
                <w:rFonts w:hint="eastAsia"/>
                <w:sz w:val="24"/>
              </w:rPr>
              <w:t>应急管理局</w:t>
            </w:r>
          </w:p>
        </w:tc>
        <w:tc>
          <w:tcPr>
            <w:tcW w:w="2917" w:type="dxa"/>
          </w:tcPr>
          <w:p>
            <w:pPr>
              <w:spacing w:line="360" w:lineRule="auto"/>
              <w:jc w:val="center"/>
              <w:rPr>
                <w:sz w:val="24"/>
              </w:rPr>
            </w:pPr>
            <w:r>
              <w:rPr>
                <w:rFonts w:hint="eastAsia" w:cs="宋体"/>
                <w:sz w:val="24"/>
              </w:rPr>
              <w:t>顺庆区万年西路2号</w:t>
            </w:r>
          </w:p>
        </w:tc>
        <w:tc>
          <w:tcPr>
            <w:tcW w:w="1673" w:type="dxa"/>
          </w:tcPr>
          <w:p>
            <w:pPr>
              <w:spacing w:line="360" w:lineRule="auto"/>
              <w:jc w:val="center"/>
              <w:rPr>
                <w:sz w:val="24"/>
              </w:rPr>
            </w:pPr>
            <w:r>
              <w:rPr>
                <w:rFonts w:hint="eastAsia"/>
                <w:sz w:val="24"/>
              </w:rPr>
              <w:t>0817-2222419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19" w:type="dxa"/>
            <w:vMerge w:val="continue"/>
          </w:tcPr>
          <w:p>
            <w:pPr>
              <w:spacing w:line="360" w:lineRule="auto"/>
              <w:jc w:val="center"/>
              <w:rPr>
                <w:sz w:val="24"/>
              </w:rPr>
            </w:pPr>
          </w:p>
        </w:tc>
        <w:tc>
          <w:tcPr>
            <w:tcW w:w="2221" w:type="dxa"/>
          </w:tcPr>
          <w:p>
            <w:pPr>
              <w:spacing w:line="360" w:lineRule="auto"/>
              <w:jc w:val="center"/>
              <w:rPr>
                <w:sz w:val="24"/>
              </w:rPr>
            </w:pPr>
            <w:r>
              <w:rPr>
                <w:rFonts w:hint="eastAsia" w:cs="宋体"/>
                <w:sz w:val="24"/>
              </w:rPr>
              <w:t>顺庆区</w:t>
            </w:r>
            <w:r>
              <w:rPr>
                <w:rFonts w:hint="eastAsia"/>
                <w:sz w:val="24"/>
              </w:rPr>
              <w:t>生态环境局</w:t>
            </w:r>
          </w:p>
        </w:tc>
        <w:tc>
          <w:tcPr>
            <w:tcW w:w="2917" w:type="dxa"/>
          </w:tcPr>
          <w:p>
            <w:pPr>
              <w:spacing w:line="360" w:lineRule="auto"/>
              <w:jc w:val="center"/>
              <w:rPr>
                <w:sz w:val="24"/>
              </w:rPr>
            </w:pPr>
            <w:r>
              <w:rPr>
                <w:rFonts w:hint="eastAsia" w:cs="宋体"/>
                <w:sz w:val="24"/>
              </w:rPr>
              <w:t>顺庆区北湖路314号附近</w:t>
            </w:r>
          </w:p>
        </w:tc>
        <w:tc>
          <w:tcPr>
            <w:tcW w:w="1673" w:type="dxa"/>
          </w:tcPr>
          <w:p>
            <w:pPr>
              <w:spacing w:line="360" w:lineRule="auto"/>
              <w:jc w:val="center"/>
              <w:rPr>
                <w:sz w:val="24"/>
              </w:rPr>
            </w:pPr>
            <w:r>
              <w:rPr>
                <w:rFonts w:hint="eastAsia"/>
                <w:sz w:val="24"/>
              </w:rPr>
              <w:t>0817-2666355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30" w:type="dxa"/>
            <w:gridSpan w:val="4"/>
          </w:tcPr>
          <w:p>
            <w:pPr>
              <w:spacing w:line="360" w:lineRule="auto"/>
              <w:jc w:val="center"/>
              <w:rPr>
                <w:sz w:val="24"/>
              </w:rPr>
            </w:pPr>
            <w:r>
              <w:rPr>
                <w:sz w:val="24"/>
              </w:rPr>
              <w:t>注：不涉及相应栏目可不填</w:t>
            </w:r>
          </w:p>
        </w:tc>
      </w:tr>
    </w:tbl>
    <w:p>
      <w:pPr>
        <w:sectPr>
          <w:pgSz w:w="11906" w:h="16838"/>
          <w:pgMar w:top="1440" w:right="1797" w:bottom="1440" w:left="1797" w:header="851" w:footer="992" w:gutter="0"/>
          <w:cols w:space="720" w:num="1"/>
          <w:docGrid w:type="lines" w:linePitch="312" w:charSpace="0"/>
        </w:sectPr>
      </w:pPr>
    </w:p>
    <w:p>
      <w:pPr>
        <w:pStyle w:val="3"/>
      </w:pPr>
      <w:bookmarkStart w:id="60" w:name="_Toc13570"/>
      <w:bookmarkStart w:id="61" w:name="_Toc2845032"/>
      <w:r>
        <w:t>4 应急资源不足或差距分析</w:t>
      </w:r>
      <w:bookmarkEnd w:id="60"/>
      <w:bookmarkEnd w:id="61"/>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加油站应急管理领导小组认真做好应急救援物资及装备的日常维护和保管工作，做到应急物资资源共享、动态管理，确保在发生事故（事件）后，所有应急救援物资及装备能够及时应用于应急救援处理中，在应急状态下，由应急指挥统一调配使用。同时主动与周边加油站建立物资互补协作关系，必要时互相支援。平时，本站救援物资适当増加储备，以备不时之需。</w:t>
      </w:r>
    </w:p>
    <w:p>
      <w:pPr>
        <w:pStyle w:val="21"/>
        <w:spacing w:before="156"/>
        <w:rPr>
          <w:rFonts w:ascii="Times New Roman" w:hAnsi="Times New Roman"/>
        </w:rPr>
      </w:pPr>
    </w:p>
    <w:p>
      <w:pPr>
        <w:pStyle w:val="3"/>
      </w:pPr>
      <w:bookmarkStart w:id="62" w:name="_Toc2845033"/>
      <w:bookmarkStart w:id="63" w:name="_Toc30700"/>
      <w:r>
        <w:t>5 应急资源调查主要结论</w:t>
      </w:r>
      <w:bookmarkEnd w:id="62"/>
      <w:bookmarkEnd w:id="63"/>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本次应急资源调查从“人、财、物”三方面进行了调查：本企业已组建了应急救援机构，配备了必要的应急设施及装备，并制定了专项经费保障措施，确定本企业内部应急资源及外部应急资源基本能够满足企业初期事故的应急救援。</w:t>
      </w:r>
    </w:p>
    <w:p>
      <w:pPr>
        <w:pStyle w:val="2"/>
      </w:pPr>
    </w:p>
    <w:p>
      <w:pPr>
        <w:pStyle w:val="3"/>
      </w:pPr>
      <w:bookmarkStart w:id="64" w:name="_Toc2845034"/>
      <w:bookmarkStart w:id="65" w:name="_Toc10846"/>
      <w:r>
        <w:t>6 完善应急资源的具体措施</w:t>
      </w:r>
      <w:bookmarkEnd w:id="64"/>
      <w:bookmarkEnd w:id="65"/>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 xml:space="preserve">我单位的应急物资储备的品种包括自然灾害类、安全事故灾难类、应急抢险类及其它。  </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 xml:space="preserve">应急物资储备定额由安全环保办根据现场的实际应急需要确定。后勤部负责落实应急物资储备情况，落实经费保障，科学合理确定物资储备的种类、方式和数量，加强实物储备。   </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 xml:space="preserve">坚持“谁主管、谁负责”的原则，做到“专业管理、保障急需、专物专用”，所以应急物资未获得组长批准不得擅自发放。对已消耗的应急物资要在规定的时间内，按调出物资的规格、数量、质量重新购置。 </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同时应急物资坚持公开、透明、节俭的原则，严格按照采购制度、程序和流程操作，做到谁采购、谁签字、谁负责。</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sz w:val="28"/>
          <w:szCs w:val="28"/>
        </w:rPr>
      </w:pPr>
      <w:r>
        <w:rPr>
          <w:rFonts w:hint="eastAsia"/>
          <w:sz w:val="28"/>
          <w:szCs w:val="28"/>
        </w:rPr>
        <w:t>要加强对应急物资的采购、储备、管理等环节的监督检查，对管理混乱、冒领、挪用应急物资等问题，依法依规严肃查处。</w:t>
      </w:r>
    </w:p>
    <w:p>
      <w:pPr>
        <w:spacing w:line="360" w:lineRule="auto"/>
        <w:jc w:val="center"/>
        <w:outlineLvl w:val="0"/>
        <w:rPr>
          <w:rFonts w:ascii="黑体" w:hAnsi="宋体" w:eastAsia="黑体"/>
          <w:b/>
          <w:sz w:val="32"/>
          <w:szCs w:val="32"/>
        </w:rPr>
      </w:pPr>
    </w:p>
    <w:sectPr>
      <w:pgSz w:w="11906" w:h="16838"/>
      <w:pgMar w:top="1440" w:right="1797" w:bottom="1440" w:left="1797" w:header="851" w:footer="992"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default"/>
    <w:sig w:usb0="A00002EF" w:usb1="4000207B" w:usb2="00000000" w:usb3="00000000" w:csb0="2000019F" w:csb1="00000000"/>
  </w:font>
  <w:font w:name="Verdana">
    <w:panose1 w:val="020B0604030504040204"/>
    <w:charset w:val="00"/>
    <w:family w:val="swiss"/>
    <w:pitch w:val="default"/>
    <w:sig w:usb0="A10006FF" w:usb1="4000205B" w:usb2="00000010" w:usb3="00000000" w:csb0="2000019F" w:csb1="00000000"/>
  </w:font>
  <w:font w:name="方正书宋简体">
    <w:altName w:val="宋体"/>
    <w:panose1 w:val="00000000000000000000"/>
    <w:charset w:val="86"/>
    <w:family w:val="auto"/>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TimesNewRomanPSMT">
    <w:altName w:val="Times New Roman"/>
    <w:panose1 w:val="00000000000000000000"/>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spacing w:before="120"/>
      <w:jc w:val="center"/>
    </w:pPr>
    <w:r>
      <w:fldChar w:fldCharType="begin"/>
    </w:r>
    <w:r>
      <w:instrText xml:space="preserve">PAGE   \* MERGEFORMAT</w:instrText>
    </w:r>
    <w:r>
      <w:fldChar w:fldCharType="separate"/>
    </w:r>
    <w:r>
      <w:rPr>
        <w:lang w:val="zh-CN"/>
      </w:rPr>
      <w:t>1</w:t>
    </w:r>
    <w:r>
      <w:fldChar w:fldCharType="end"/>
    </w:r>
  </w:p>
  <w:p>
    <w:pPr>
      <w:pStyle w:val="3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rPr>
        <w:b/>
        <w:sz w:val="21"/>
        <w:szCs w:val="21"/>
      </w:rPr>
    </w:pPr>
    <w:r>
      <w:rPr>
        <w:rFonts w:hint="eastAsia" w:ascii="宋体" w:hAnsi="宋体"/>
        <w:b/>
        <w:sz w:val="21"/>
        <w:szCs w:val="21"/>
      </w:rPr>
      <w:t>芦溪农机加油站应急资源调查报告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3501A3"/>
    <w:multiLevelType w:val="multilevel"/>
    <w:tmpl w:val="6C3501A3"/>
    <w:lvl w:ilvl="0" w:tentative="0">
      <w:start w:val="1"/>
      <w:numFmt w:val="decimal"/>
      <w:pStyle w:val="79"/>
      <w:lvlText w:val="%1."/>
      <w:lvlJc w:val="left"/>
      <w:pPr>
        <w:tabs>
          <w:tab w:val="left" w:pos="840"/>
        </w:tabs>
        <w:ind w:left="840" w:hanging="4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1"/>
  </w:compat>
  <w:rsids>
    <w:rsidRoot w:val="009A0B21"/>
    <w:rsid w:val="00004CEF"/>
    <w:rsid w:val="000116DF"/>
    <w:rsid w:val="00017319"/>
    <w:rsid w:val="00020080"/>
    <w:rsid w:val="000420E3"/>
    <w:rsid w:val="00060DEB"/>
    <w:rsid w:val="000B1698"/>
    <w:rsid w:val="000D7EBC"/>
    <w:rsid w:val="000E1EF7"/>
    <w:rsid w:val="000E4D77"/>
    <w:rsid w:val="000F6667"/>
    <w:rsid w:val="001121D6"/>
    <w:rsid w:val="00115422"/>
    <w:rsid w:val="00132F3C"/>
    <w:rsid w:val="00133558"/>
    <w:rsid w:val="001467B2"/>
    <w:rsid w:val="0017334D"/>
    <w:rsid w:val="001749FD"/>
    <w:rsid w:val="0019356D"/>
    <w:rsid w:val="0019516D"/>
    <w:rsid w:val="001963ED"/>
    <w:rsid w:val="001A4EBE"/>
    <w:rsid w:val="001A755D"/>
    <w:rsid w:val="001D59FF"/>
    <w:rsid w:val="001F5606"/>
    <w:rsid w:val="0023030B"/>
    <w:rsid w:val="00230A45"/>
    <w:rsid w:val="00245D76"/>
    <w:rsid w:val="00251447"/>
    <w:rsid w:val="00270699"/>
    <w:rsid w:val="002740DA"/>
    <w:rsid w:val="00275AE4"/>
    <w:rsid w:val="00286258"/>
    <w:rsid w:val="00287E03"/>
    <w:rsid w:val="0029549E"/>
    <w:rsid w:val="002A0572"/>
    <w:rsid w:val="002B1D8B"/>
    <w:rsid w:val="002F06A0"/>
    <w:rsid w:val="00313553"/>
    <w:rsid w:val="00314288"/>
    <w:rsid w:val="0034118F"/>
    <w:rsid w:val="003506FC"/>
    <w:rsid w:val="0035217A"/>
    <w:rsid w:val="00365231"/>
    <w:rsid w:val="00380E4F"/>
    <w:rsid w:val="003A4ADB"/>
    <w:rsid w:val="003B48B8"/>
    <w:rsid w:val="003B7B33"/>
    <w:rsid w:val="003E49CA"/>
    <w:rsid w:val="003E5770"/>
    <w:rsid w:val="00407B69"/>
    <w:rsid w:val="0041102F"/>
    <w:rsid w:val="004175A6"/>
    <w:rsid w:val="004A75A2"/>
    <w:rsid w:val="004D416D"/>
    <w:rsid w:val="004D7D63"/>
    <w:rsid w:val="004E5A15"/>
    <w:rsid w:val="004F0C4C"/>
    <w:rsid w:val="004F29AF"/>
    <w:rsid w:val="004F503F"/>
    <w:rsid w:val="004F520D"/>
    <w:rsid w:val="004F7C63"/>
    <w:rsid w:val="00503CC5"/>
    <w:rsid w:val="0052059C"/>
    <w:rsid w:val="00530E87"/>
    <w:rsid w:val="0056062D"/>
    <w:rsid w:val="00561AC5"/>
    <w:rsid w:val="005642A3"/>
    <w:rsid w:val="0057625F"/>
    <w:rsid w:val="0057692B"/>
    <w:rsid w:val="00583C81"/>
    <w:rsid w:val="005840F8"/>
    <w:rsid w:val="005965A9"/>
    <w:rsid w:val="005D12D3"/>
    <w:rsid w:val="005E1181"/>
    <w:rsid w:val="00610B81"/>
    <w:rsid w:val="00615775"/>
    <w:rsid w:val="00616871"/>
    <w:rsid w:val="00623B47"/>
    <w:rsid w:val="00625F86"/>
    <w:rsid w:val="00636B8A"/>
    <w:rsid w:val="00636F68"/>
    <w:rsid w:val="00641A45"/>
    <w:rsid w:val="00652B56"/>
    <w:rsid w:val="006617A1"/>
    <w:rsid w:val="00663466"/>
    <w:rsid w:val="00682661"/>
    <w:rsid w:val="00686BB0"/>
    <w:rsid w:val="00687A40"/>
    <w:rsid w:val="006A08BC"/>
    <w:rsid w:val="006A2647"/>
    <w:rsid w:val="006B47F0"/>
    <w:rsid w:val="006E3F30"/>
    <w:rsid w:val="006E52BC"/>
    <w:rsid w:val="00713F20"/>
    <w:rsid w:val="00720B33"/>
    <w:rsid w:val="00721945"/>
    <w:rsid w:val="007261AC"/>
    <w:rsid w:val="0073032B"/>
    <w:rsid w:val="00730940"/>
    <w:rsid w:val="0073379B"/>
    <w:rsid w:val="00734B77"/>
    <w:rsid w:val="007378CE"/>
    <w:rsid w:val="00751186"/>
    <w:rsid w:val="00754097"/>
    <w:rsid w:val="0076603E"/>
    <w:rsid w:val="00770ABD"/>
    <w:rsid w:val="00777C6B"/>
    <w:rsid w:val="007844A4"/>
    <w:rsid w:val="0079240F"/>
    <w:rsid w:val="007A6CA4"/>
    <w:rsid w:val="007C002A"/>
    <w:rsid w:val="007D2AE2"/>
    <w:rsid w:val="00800BD2"/>
    <w:rsid w:val="0080635C"/>
    <w:rsid w:val="00811C10"/>
    <w:rsid w:val="00822BB2"/>
    <w:rsid w:val="00835ED9"/>
    <w:rsid w:val="008529B6"/>
    <w:rsid w:val="00853C6C"/>
    <w:rsid w:val="00855A96"/>
    <w:rsid w:val="0087570D"/>
    <w:rsid w:val="00882344"/>
    <w:rsid w:val="00893B91"/>
    <w:rsid w:val="00894F4B"/>
    <w:rsid w:val="008B5C43"/>
    <w:rsid w:val="008D4B70"/>
    <w:rsid w:val="008F0F86"/>
    <w:rsid w:val="009176C8"/>
    <w:rsid w:val="009244E6"/>
    <w:rsid w:val="00925C19"/>
    <w:rsid w:val="00926139"/>
    <w:rsid w:val="009325EE"/>
    <w:rsid w:val="00933C2F"/>
    <w:rsid w:val="00955F86"/>
    <w:rsid w:val="00961F40"/>
    <w:rsid w:val="009635C5"/>
    <w:rsid w:val="00991DD8"/>
    <w:rsid w:val="009A0B21"/>
    <w:rsid w:val="009D1CAB"/>
    <w:rsid w:val="009F5D98"/>
    <w:rsid w:val="00A00749"/>
    <w:rsid w:val="00A16BBC"/>
    <w:rsid w:val="00A24C37"/>
    <w:rsid w:val="00A259AE"/>
    <w:rsid w:val="00A27724"/>
    <w:rsid w:val="00A31BAF"/>
    <w:rsid w:val="00A45874"/>
    <w:rsid w:val="00A51FAD"/>
    <w:rsid w:val="00A57D29"/>
    <w:rsid w:val="00A864DF"/>
    <w:rsid w:val="00A92F56"/>
    <w:rsid w:val="00A94E07"/>
    <w:rsid w:val="00AB2F9D"/>
    <w:rsid w:val="00AC7171"/>
    <w:rsid w:val="00AF50CB"/>
    <w:rsid w:val="00AF5776"/>
    <w:rsid w:val="00B040FB"/>
    <w:rsid w:val="00B04871"/>
    <w:rsid w:val="00B04BC7"/>
    <w:rsid w:val="00B06581"/>
    <w:rsid w:val="00B15B5B"/>
    <w:rsid w:val="00B23796"/>
    <w:rsid w:val="00B23FF3"/>
    <w:rsid w:val="00B249AC"/>
    <w:rsid w:val="00B27F58"/>
    <w:rsid w:val="00B4063E"/>
    <w:rsid w:val="00B527B3"/>
    <w:rsid w:val="00B556FD"/>
    <w:rsid w:val="00B80817"/>
    <w:rsid w:val="00B85841"/>
    <w:rsid w:val="00B86BB5"/>
    <w:rsid w:val="00B87258"/>
    <w:rsid w:val="00B95A69"/>
    <w:rsid w:val="00BB0CD4"/>
    <w:rsid w:val="00BB0EDC"/>
    <w:rsid w:val="00BB141D"/>
    <w:rsid w:val="00BB2E9A"/>
    <w:rsid w:val="00BC1903"/>
    <w:rsid w:val="00BC27EB"/>
    <w:rsid w:val="00BD0EE5"/>
    <w:rsid w:val="00BD208B"/>
    <w:rsid w:val="00BD714A"/>
    <w:rsid w:val="00BF336D"/>
    <w:rsid w:val="00C06DBF"/>
    <w:rsid w:val="00C1211D"/>
    <w:rsid w:val="00C34678"/>
    <w:rsid w:val="00C80673"/>
    <w:rsid w:val="00C81A83"/>
    <w:rsid w:val="00CA381E"/>
    <w:rsid w:val="00CB36AF"/>
    <w:rsid w:val="00CB73EF"/>
    <w:rsid w:val="00CE4128"/>
    <w:rsid w:val="00CF0E85"/>
    <w:rsid w:val="00CF3681"/>
    <w:rsid w:val="00D03791"/>
    <w:rsid w:val="00D068CA"/>
    <w:rsid w:val="00D108CC"/>
    <w:rsid w:val="00D26923"/>
    <w:rsid w:val="00D304AA"/>
    <w:rsid w:val="00D35519"/>
    <w:rsid w:val="00D356AF"/>
    <w:rsid w:val="00D5216B"/>
    <w:rsid w:val="00D67007"/>
    <w:rsid w:val="00D73D06"/>
    <w:rsid w:val="00D8562C"/>
    <w:rsid w:val="00DA1C1A"/>
    <w:rsid w:val="00DA5BF8"/>
    <w:rsid w:val="00DB2A31"/>
    <w:rsid w:val="00DB7003"/>
    <w:rsid w:val="00DE292C"/>
    <w:rsid w:val="00DE394C"/>
    <w:rsid w:val="00E016C7"/>
    <w:rsid w:val="00E05C35"/>
    <w:rsid w:val="00E07602"/>
    <w:rsid w:val="00E2126C"/>
    <w:rsid w:val="00E24D76"/>
    <w:rsid w:val="00E333FB"/>
    <w:rsid w:val="00E408AD"/>
    <w:rsid w:val="00E80509"/>
    <w:rsid w:val="00E8103B"/>
    <w:rsid w:val="00E82994"/>
    <w:rsid w:val="00E94B71"/>
    <w:rsid w:val="00EC42B9"/>
    <w:rsid w:val="00ED4D13"/>
    <w:rsid w:val="00F06690"/>
    <w:rsid w:val="00F11831"/>
    <w:rsid w:val="00F12C8A"/>
    <w:rsid w:val="00F25411"/>
    <w:rsid w:val="00F376D8"/>
    <w:rsid w:val="00F44265"/>
    <w:rsid w:val="00F545A5"/>
    <w:rsid w:val="00F759A5"/>
    <w:rsid w:val="00F829B7"/>
    <w:rsid w:val="00F93752"/>
    <w:rsid w:val="00FB20FA"/>
    <w:rsid w:val="00FD5879"/>
    <w:rsid w:val="00FE69AD"/>
    <w:rsid w:val="01C333F0"/>
    <w:rsid w:val="04FC3975"/>
    <w:rsid w:val="0516362A"/>
    <w:rsid w:val="06140DE1"/>
    <w:rsid w:val="081E7F5C"/>
    <w:rsid w:val="084D1071"/>
    <w:rsid w:val="08C41F5F"/>
    <w:rsid w:val="11A845F2"/>
    <w:rsid w:val="12867FCC"/>
    <w:rsid w:val="133B041B"/>
    <w:rsid w:val="18512442"/>
    <w:rsid w:val="199C0EAB"/>
    <w:rsid w:val="1E8A662A"/>
    <w:rsid w:val="1F094881"/>
    <w:rsid w:val="211734ED"/>
    <w:rsid w:val="26BC2896"/>
    <w:rsid w:val="28B607AB"/>
    <w:rsid w:val="294516D6"/>
    <w:rsid w:val="29F91106"/>
    <w:rsid w:val="2A413BFC"/>
    <w:rsid w:val="31504153"/>
    <w:rsid w:val="315557F2"/>
    <w:rsid w:val="3161656C"/>
    <w:rsid w:val="31BC5BB7"/>
    <w:rsid w:val="32BF0B5C"/>
    <w:rsid w:val="36A71375"/>
    <w:rsid w:val="3E1734C5"/>
    <w:rsid w:val="3E8B74AA"/>
    <w:rsid w:val="3F7639ED"/>
    <w:rsid w:val="467116A8"/>
    <w:rsid w:val="4750139F"/>
    <w:rsid w:val="47C66495"/>
    <w:rsid w:val="490E0F23"/>
    <w:rsid w:val="4B2B7DAF"/>
    <w:rsid w:val="4B867C70"/>
    <w:rsid w:val="4BE7229D"/>
    <w:rsid w:val="4DA42644"/>
    <w:rsid w:val="4DC06663"/>
    <w:rsid w:val="4FDB59CC"/>
    <w:rsid w:val="542C06BA"/>
    <w:rsid w:val="57E478A2"/>
    <w:rsid w:val="584B284C"/>
    <w:rsid w:val="594425B5"/>
    <w:rsid w:val="5BA62A3A"/>
    <w:rsid w:val="601D5986"/>
    <w:rsid w:val="602A2878"/>
    <w:rsid w:val="607A31AC"/>
    <w:rsid w:val="62E218C7"/>
    <w:rsid w:val="67BA4A61"/>
    <w:rsid w:val="6AC65AEF"/>
    <w:rsid w:val="6AF83B55"/>
    <w:rsid w:val="6F1E1687"/>
    <w:rsid w:val="6F4D6F07"/>
    <w:rsid w:val="702A1212"/>
    <w:rsid w:val="712366A5"/>
    <w:rsid w:val="7313674D"/>
    <w:rsid w:val="74FD6C7D"/>
    <w:rsid w:val="77A20606"/>
    <w:rsid w:val="78312774"/>
    <w:rsid w:val="794966BC"/>
    <w:rsid w:val="794F3783"/>
    <w:rsid w:val="7E502A76"/>
    <w:rsid w:val="7EAB71D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2"/>
      <o:rules v:ext="edit">
        <o:r id="V:Rule1" type="connector" idref="#_x0000_s2053"/>
        <o:r id="V:Rule2" type="connector" idref="#_x0000_s2054"/>
        <o:r id="V:Rule3" type="connector" idref="#_x0000_s2056"/>
        <o:r id="V:Rule4" type="connector" idref="#_x0000_s2057"/>
        <o:r id="V:Rule5" type="connector" idref="#_x0000_s2060"/>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qFormat="1" w:unhideWhenUsed="0" w:uiPriority="0" w:name="macro"/>
    <w:lsdException w:unhideWhenUsed="0" w:uiPriority="0" w:semiHidden="0" w:name="toa heading"/>
    <w:lsdException w:qFormat="1"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99"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qFormat="1"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27"/>
    <w:qFormat/>
    <w:uiPriority w:val="0"/>
    <w:pPr>
      <w:widowControl/>
      <w:adjustRightInd w:val="0"/>
      <w:snapToGrid w:val="0"/>
      <w:spacing w:line="360" w:lineRule="auto"/>
      <w:jc w:val="center"/>
      <w:outlineLvl w:val="0"/>
    </w:pPr>
    <w:rPr>
      <w:rFonts w:ascii="黑体"/>
      <w:b/>
      <w:kern w:val="0"/>
      <w:sz w:val="30"/>
      <w:szCs w:val="28"/>
    </w:rPr>
  </w:style>
  <w:style w:type="paragraph" w:styleId="4">
    <w:name w:val="heading 2"/>
    <w:basedOn w:val="1"/>
    <w:next w:val="1"/>
    <w:link w:val="91"/>
    <w:qFormat/>
    <w:uiPriority w:val="9"/>
    <w:pPr>
      <w:keepNext/>
      <w:keepLines/>
      <w:spacing w:before="260" w:after="260" w:line="360" w:lineRule="auto"/>
      <w:outlineLvl w:val="1"/>
    </w:pPr>
    <w:rPr>
      <w:rFonts w:ascii="Arial" w:hAnsi="Arial"/>
      <w:b/>
      <w:bCs/>
      <w:sz w:val="28"/>
      <w:szCs w:val="32"/>
    </w:rPr>
  </w:style>
  <w:style w:type="paragraph" w:styleId="5">
    <w:name w:val="heading 3"/>
    <w:basedOn w:val="1"/>
    <w:next w:val="1"/>
    <w:link w:val="95"/>
    <w:qFormat/>
    <w:uiPriority w:val="0"/>
    <w:pPr>
      <w:keepNext/>
      <w:keepLines/>
      <w:widowControl/>
      <w:spacing w:line="360" w:lineRule="auto"/>
      <w:jc w:val="left"/>
      <w:outlineLvl w:val="2"/>
    </w:pPr>
    <w:rPr>
      <w:b/>
      <w:bCs/>
      <w:sz w:val="24"/>
      <w:szCs w:val="32"/>
    </w:rPr>
  </w:style>
  <w:style w:type="paragraph" w:styleId="6">
    <w:name w:val="heading 4"/>
    <w:basedOn w:val="1"/>
    <w:next w:val="1"/>
    <w:link w:val="96"/>
    <w:qFormat/>
    <w:uiPriority w:val="0"/>
    <w:pPr>
      <w:keepNext/>
      <w:keepLines/>
      <w:widowControl/>
      <w:spacing w:before="280" w:after="290" w:line="376" w:lineRule="auto"/>
      <w:jc w:val="left"/>
      <w:outlineLvl w:val="3"/>
    </w:pPr>
    <w:rPr>
      <w:rFonts w:ascii="Arial" w:hAnsi="Arial" w:eastAsia="黑体"/>
      <w:b/>
      <w:bCs/>
      <w:sz w:val="28"/>
      <w:szCs w:val="28"/>
    </w:rPr>
  </w:style>
  <w:style w:type="paragraph" w:styleId="7">
    <w:name w:val="heading 5"/>
    <w:basedOn w:val="1"/>
    <w:next w:val="1"/>
    <w:link w:val="114"/>
    <w:qFormat/>
    <w:uiPriority w:val="0"/>
    <w:pPr>
      <w:keepNext/>
      <w:keepLines/>
      <w:widowControl/>
      <w:spacing w:before="280" w:after="290" w:line="376" w:lineRule="auto"/>
      <w:jc w:val="left"/>
      <w:outlineLvl w:val="4"/>
    </w:pPr>
    <w:rPr>
      <w:b/>
      <w:bCs/>
      <w:sz w:val="28"/>
      <w:szCs w:val="28"/>
    </w:rPr>
  </w:style>
  <w:style w:type="paragraph" w:styleId="8">
    <w:name w:val="heading 6"/>
    <w:basedOn w:val="1"/>
    <w:next w:val="1"/>
    <w:qFormat/>
    <w:uiPriority w:val="0"/>
    <w:pPr>
      <w:widowControl/>
      <w:spacing w:before="240" w:after="60"/>
      <w:jc w:val="left"/>
      <w:outlineLvl w:val="5"/>
    </w:pPr>
    <w:rPr>
      <w:rFonts w:ascii="Calibri" w:hAnsi="Calibri" w:cs="宋体"/>
      <w:b/>
      <w:bCs/>
      <w:kern w:val="0"/>
      <w:sz w:val="20"/>
      <w:szCs w:val="20"/>
    </w:rPr>
  </w:style>
  <w:style w:type="paragraph" w:styleId="9">
    <w:name w:val="heading 7"/>
    <w:basedOn w:val="1"/>
    <w:next w:val="1"/>
    <w:link w:val="116"/>
    <w:qFormat/>
    <w:uiPriority w:val="0"/>
    <w:pPr>
      <w:widowControl/>
      <w:spacing w:before="240" w:after="60"/>
      <w:jc w:val="left"/>
      <w:outlineLvl w:val="6"/>
    </w:pPr>
    <w:rPr>
      <w:rFonts w:cs="宋体"/>
      <w:kern w:val="0"/>
      <w:sz w:val="24"/>
    </w:rPr>
  </w:style>
  <w:style w:type="paragraph" w:styleId="10">
    <w:name w:val="heading 8"/>
    <w:basedOn w:val="1"/>
    <w:next w:val="1"/>
    <w:link w:val="124"/>
    <w:qFormat/>
    <w:uiPriority w:val="0"/>
    <w:pPr>
      <w:widowControl/>
      <w:spacing w:before="240" w:after="60"/>
      <w:jc w:val="left"/>
      <w:outlineLvl w:val="7"/>
    </w:pPr>
    <w:rPr>
      <w:rFonts w:cs="宋体"/>
      <w:i/>
      <w:iCs/>
      <w:kern w:val="0"/>
      <w:sz w:val="24"/>
    </w:rPr>
  </w:style>
  <w:style w:type="paragraph" w:styleId="11">
    <w:name w:val="heading 9"/>
    <w:basedOn w:val="1"/>
    <w:next w:val="1"/>
    <w:link w:val="115"/>
    <w:qFormat/>
    <w:uiPriority w:val="0"/>
    <w:pPr>
      <w:widowControl/>
      <w:spacing w:before="240" w:after="60"/>
      <w:jc w:val="left"/>
      <w:outlineLvl w:val="8"/>
    </w:pPr>
    <w:rPr>
      <w:rFonts w:ascii="Cambria" w:hAnsi="Cambria" w:cs="宋体"/>
      <w:kern w:val="0"/>
      <w:sz w:val="20"/>
      <w:szCs w:val="20"/>
    </w:rPr>
  </w:style>
  <w:style w:type="character" w:default="1" w:styleId="46">
    <w:name w:val="Default Paragraph Font"/>
    <w:semiHidden/>
    <w:unhideWhenUsed/>
    <w:qFormat/>
    <w:uiPriority w:val="1"/>
  </w:style>
  <w:style w:type="table" w:default="1" w:styleId="53">
    <w:name w:val="Normal Table"/>
    <w:semiHidden/>
    <w:unhideWhenUsed/>
    <w:qFormat/>
    <w:uiPriority w:val="99"/>
    <w:tblPr>
      <w:tblLayout w:type="fixed"/>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styleId="12">
    <w:name w:val="annotation subject"/>
    <w:basedOn w:val="13"/>
    <w:next w:val="13"/>
    <w:qFormat/>
    <w:uiPriority w:val="0"/>
    <w:rPr>
      <w:b/>
      <w:bCs/>
    </w:rPr>
  </w:style>
  <w:style w:type="paragraph" w:styleId="13">
    <w:name w:val="annotation text"/>
    <w:basedOn w:val="1"/>
    <w:link w:val="89"/>
    <w:qFormat/>
    <w:uiPriority w:val="0"/>
    <w:pPr>
      <w:jc w:val="left"/>
    </w:pPr>
  </w:style>
  <w:style w:type="paragraph" w:styleId="14">
    <w:name w:val="toc 7"/>
    <w:basedOn w:val="1"/>
    <w:next w:val="1"/>
    <w:unhideWhenUsed/>
    <w:qFormat/>
    <w:uiPriority w:val="0"/>
    <w:pPr>
      <w:ind w:left="2520" w:leftChars="1200"/>
    </w:pPr>
    <w:rPr>
      <w:rFonts w:ascii="Calibri" w:hAnsi="Calibri"/>
      <w:szCs w:val="22"/>
    </w:rPr>
  </w:style>
  <w:style w:type="paragraph" w:styleId="15">
    <w:name w:val="macro"/>
    <w:semiHidden/>
    <w:qFormat/>
    <w:uiPriority w:val="0"/>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6">
    <w:name w:val="Normal Indent"/>
    <w:basedOn w:val="1"/>
    <w:link w:val="125"/>
    <w:qFormat/>
    <w:uiPriority w:val="0"/>
    <w:pPr>
      <w:ind w:firstLine="420" w:firstLineChars="200"/>
    </w:pPr>
    <w:rPr>
      <w:rFonts w:ascii="宋体"/>
      <w:kern w:val="28"/>
      <w:sz w:val="28"/>
    </w:rPr>
  </w:style>
  <w:style w:type="paragraph" w:styleId="17">
    <w:name w:val="caption"/>
    <w:basedOn w:val="1"/>
    <w:next w:val="1"/>
    <w:qFormat/>
    <w:uiPriority w:val="0"/>
    <w:pPr>
      <w:widowControl/>
      <w:spacing w:before="152" w:after="160"/>
      <w:jc w:val="left"/>
    </w:pPr>
    <w:rPr>
      <w:rFonts w:ascii="Arial" w:hAnsi="Arial" w:eastAsia="黑体" w:cs="Arial"/>
      <w:kern w:val="0"/>
      <w:sz w:val="20"/>
      <w:szCs w:val="20"/>
    </w:rPr>
  </w:style>
  <w:style w:type="paragraph" w:styleId="18">
    <w:name w:val="Document Map"/>
    <w:basedOn w:val="1"/>
    <w:semiHidden/>
    <w:qFormat/>
    <w:uiPriority w:val="0"/>
    <w:pPr>
      <w:shd w:val="clear" w:color="auto" w:fill="000080"/>
    </w:pPr>
  </w:style>
  <w:style w:type="paragraph" w:styleId="19">
    <w:name w:val="Salutation"/>
    <w:basedOn w:val="1"/>
    <w:next w:val="1"/>
    <w:qFormat/>
    <w:uiPriority w:val="0"/>
    <w:rPr>
      <w:sz w:val="24"/>
    </w:rPr>
  </w:style>
  <w:style w:type="paragraph" w:styleId="20">
    <w:name w:val="Body Text"/>
    <w:basedOn w:val="1"/>
    <w:qFormat/>
    <w:uiPriority w:val="0"/>
    <w:rPr>
      <w:rFonts w:ascii="仿宋_GB2312" w:eastAsia="仿宋_GB2312"/>
      <w:sz w:val="30"/>
    </w:rPr>
  </w:style>
  <w:style w:type="paragraph" w:styleId="21">
    <w:name w:val="Body Text Indent"/>
    <w:basedOn w:val="1"/>
    <w:link w:val="121"/>
    <w:qFormat/>
    <w:uiPriority w:val="0"/>
    <w:pPr>
      <w:widowControl/>
      <w:adjustRightInd w:val="0"/>
      <w:snapToGrid w:val="0"/>
      <w:spacing w:beforeLines="50" w:line="360" w:lineRule="auto"/>
      <w:ind w:firstLine="560" w:firstLineChars="200"/>
      <w:jc w:val="left"/>
    </w:pPr>
    <w:rPr>
      <w:rFonts w:ascii="宋体" w:hAnsi="宋体"/>
      <w:sz w:val="28"/>
      <w:szCs w:val="28"/>
    </w:rPr>
  </w:style>
  <w:style w:type="paragraph" w:styleId="22">
    <w:name w:val="Block Text"/>
    <w:basedOn w:val="1"/>
    <w:qFormat/>
    <w:uiPriority w:val="99"/>
    <w:pPr>
      <w:spacing w:after="120"/>
      <w:ind w:left="1440" w:leftChars="700" w:right="700" w:rightChars="700"/>
    </w:pPr>
  </w:style>
  <w:style w:type="paragraph" w:styleId="23">
    <w:name w:val="toc 5"/>
    <w:basedOn w:val="1"/>
    <w:next w:val="1"/>
    <w:unhideWhenUsed/>
    <w:qFormat/>
    <w:uiPriority w:val="0"/>
    <w:pPr>
      <w:ind w:left="1680" w:leftChars="800"/>
    </w:pPr>
    <w:rPr>
      <w:rFonts w:ascii="Calibri" w:hAnsi="Calibri"/>
      <w:szCs w:val="22"/>
    </w:rPr>
  </w:style>
  <w:style w:type="paragraph" w:styleId="24">
    <w:name w:val="toc 3"/>
    <w:basedOn w:val="1"/>
    <w:next w:val="1"/>
    <w:qFormat/>
    <w:uiPriority w:val="39"/>
    <w:pPr>
      <w:widowControl/>
      <w:spacing w:line="360" w:lineRule="auto"/>
      <w:ind w:left="400" w:leftChars="400"/>
      <w:jc w:val="left"/>
    </w:pPr>
  </w:style>
  <w:style w:type="paragraph" w:styleId="25">
    <w:name w:val="Plain Text"/>
    <w:basedOn w:val="1"/>
    <w:link w:val="107"/>
    <w:qFormat/>
    <w:uiPriority w:val="0"/>
    <w:rPr>
      <w:rFonts w:ascii="宋体" w:hAnsi="Courier New"/>
      <w:sz w:val="28"/>
      <w:szCs w:val="20"/>
    </w:rPr>
  </w:style>
  <w:style w:type="paragraph" w:styleId="26">
    <w:name w:val="toc 8"/>
    <w:basedOn w:val="1"/>
    <w:next w:val="1"/>
    <w:unhideWhenUsed/>
    <w:qFormat/>
    <w:uiPriority w:val="0"/>
    <w:pPr>
      <w:ind w:left="2940" w:leftChars="1400"/>
    </w:pPr>
    <w:rPr>
      <w:rFonts w:ascii="Calibri" w:hAnsi="Calibri"/>
      <w:szCs w:val="22"/>
    </w:rPr>
  </w:style>
  <w:style w:type="paragraph" w:styleId="27">
    <w:name w:val="Date"/>
    <w:basedOn w:val="1"/>
    <w:next w:val="1"/>
    <w:qFormat/>
    <w:uiPriority w:val="0"/>
    <w:pPr>
      <w:widowControl/>
      <w:ind w:left="100" w:leftChars="2500"/>
      <w:jc w:val="left"/>
    </w:pPr>
  </w:style>
  <w:style w:type="paragraph" w:styleId="28">
    <w:name w:val="Body Text Indent 2"/>
    <w:basedOn w:val="1"/>
    <w:link w:val="129"/>
    <w:qFormat/>
    <w:uiPriority w:val="0"/>
    <w:pPr>
      <w:widowControl/>
      <w:spacing w:after="120" w:line="480" w:lineRule="auto"/>
      <w:ind w:left="420" w:leftChars="200"/>
      <w:jc w:val="left"/>
    </w:pPr>
  </w:style>
  <w:style w:type="paragraph" w:styleId="29">
    <w:name w:val="Balloon Text"/>
    <w:basedOn w:val="1"/>
    <w:link w:val="101"/>
    <w:qFormat/>
    <w:uiPriority w:val="0"/>
    <w:pPr>
      <w:widowControl/>
      <w:jc w:val="left"/>
    </w:pPr>
    <w:rPr>
      <w:sz w:val="18"/>
      <w:szCs w:val="18"/>
    </w:rPr>
  </w:style>
  <w:style w:type="paragraph" w:styleId="30">
    <w:name w:val="footer"/>
    <w:basedOn w:val="1"/>
    <w:link w:val="90"/>
    <w:qFormat/>
    <w:uiPriority w:val="99"/>
    <w:pPr>
      <w:tabs>
        <w:tab w:val="center" w:pos="4153"/>
        <w:tab w:val="right" w:pos="8306"/>
      </w:tabs>
      <w:snapToGrid w:val="0"/>
      <w:jc w:val="left"/>
    </w:pPr>
    <w:rPr>
      <w:sz w:val="18"/>
      <w:szCs w:val="18"/>
    </w:rPr>
  </w:style>
  <w:style w:type="paragraph" w:styleId="31">
    <w:name w:val="Body Text First Indent 2"/>
    <w:basedOn w:val="1"/>
    <w:qFormat/>
    <w:uiPriority w:val="0"/>
    <w:pPr>
      <w:spacing w:after="120"/>
      <w:ind w:left="420" w:leftChars="200" w:firstLine="420" w:firstLineChars="200"/>
    </w:pPr>
  </w:style>
  <w:style w:type="paragraph" w:styleId="3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33">
    <w:name w:val="toc 1"/>
    <w:basedOn w:val="1"/>
    <w:next w:val="1"/>
    <w:qFormat/>
    <w:uiPriority w:val="39"/>
    <w:pPr>
      <w:spacing w:line="360" w:lineRule="auto"/>
    </w:pPr>
    <w:rPr>
      <w:b/>
    </w:rPr>
  </w:style>
  <w:style w:type="paragraph" w:styleId="34">
    <w:name w:val="toc 4"/>
    <w:basedOn w:val="1"/>
    <w:next w:val="1"/>
    <w:semiHidden/>
    <w:qFormat/>
    <w:uiPriority w:val="0"/>
    <w:pPr>
      <w:ind w:left="1260" w:leftChars="600"/>
    </w:pPr>
  </w:style>
  <w:style w:type="paragraph" w:styleId="35">
    <w:name w:val="Subtitle"/>
    <w:basedOn w:val="1"/>
    <w:next w:val="1"/>
    <w:link w:val="131"/>
    <w:qFormat/>
    <w:uiPriority w:val="0"/>
    <w:pPr>
      <w:widowControl/>
      <w:adjustRightInd w:val="0"/>
      <w:snapToGrid w:val="0"/>
      <w:spacing w:line="360" w:lineRule="auto"/>
      <w:ind w:firstLine="482" w:firstLineChars="200"/>
      <w:outlineLvl w:val="1"/>
    </w:pPr>
    <w:rPr>
      <w:rFonts w:ascii="宋体" w:hAnsi="宋体"/>
      <w:b/>
      <w:kern w:val="0"/>
      <w:sz w:val="24"/>
    </w:rPr>
  </w:style>
  <w:style w:type="paragraph" w:styleId="36">
    <w:name w:val="List"/>
    <w:basedOn w:val="1"/>
    <w:next w:val="1"/>
    <w:unhideWhenUsed/>
    <w:qFormat/>
    <w:uiPriority w:val="99"/>
    <w:pPr>
      <w:ind w:left="420" w:hanging="420"/>
    </w:pPr>
  </w:style>
  <w:style w:type="paragraph" w:styleId="37">
    <w:name w:val="toc 6"/>
    <w:basedOn w:val="1"/>
    <w:next w:val="1"/>
    <w:unhideWhenUsed/>
    <w:qFormat/>
    <w:uiPriority w:val="0"/>
    <w:pPr>
      <w:ind w:left="2100" w:leftChars="1000"/>
    </w:pPr>
    <w:rPr>
      <w:rFonts w:ascii="Calibri" w:hAnsi="Calibri"/>
      <w:szCs w:val="22"/>
    </w:rPr>
  </w:style>
  <w:style w:type="paragraph" w:styleId="38">
    <w:name w:val="Body Text Indent 3"/>
    <w:basedOn w:val="1"/>
    <w:qFormat/>
    <w:uiPriority w:val="0"/>
    <w:pPr>
      <w:spacing w:line="560" w:lineRule="exact"/>
      <w:ind w:firstLine="630" w:firstLineChars="225"/>
    </w:pPr>
    <w:rPr>
      <w:rFonts w:ascii="宋体" w:hAnsi="宋体"/>
      <w:sz w:val="28"/>
    </w:rPr>
  </w:style>
  <w:style w:type="paragraph" w:styleId="39">
    <w:name w:val="table of figures"/>
    <w:basedOn w:val="1"/>
    <w:next w:val="1"/>
    <w:qFormat/>
    <w:uiPriority w:val="0"/>
    <w:pPr>
      <w:ind w:left="200" w:leftChars="200" w:hanging="200" w:hangingChars="200"/>
    </w:pPr>
  </w:style>
  <w:style w:type="paragraph" w:styleId="40">
    <w:name w:val="toc 2"/>
    <w:basedOn w:val="1"/>
    <w:next w:val="1"/>
    <w:qFormat/>
    <w:uiPriority w:val="39"/>
    <w:pPr>
      <w:spacing w:line="360" w:lineRule="auto"/>
      <w:ind w:left="200" w:leftChars="200"/>
    </w:pPr>
  </w:style>
  <w:style w:type="paragraph" w:styleId="41">
    <w:name w:val="toc 9"/>
    <w:basedOn w:val="1"/>
    <w:next w:val="1"/>
    <w:unhideWhenUsed/>
    <w:qFormat/>
    <w:uiPriority w:val="0"/>
    <w:pPr>
      <w:ind w:left="3360" w:leftChars="1600"/>
    </w:pPr>
    <w:rPr>
      <w:rFonts w:ascii="Calibri" w:hAnsi="Calibri"/>
      <w:szCs w:val="22"/>
    </w:rPr>
  </w:style>
  <w:style w:type="paragraph" w:styleId="42">
    <w:name w:val="Body Text 2"/>
    <w:basedOn w:val="1"/>
    <w:qFormat/>
    <w:uiPriority w:val="0"/>
    <w:pPr>
      <w:spacing w:after="120" w:line="480" w:lineRule="auto"/>
    </w:pPr>
  </w:style>
  <w:style w:type="paragraph" w:styleId="4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4">
    <w:name w:val="Normal (Web)"/>
    <w:basedOn w:val="1"/>
    <w:link w:val="94"/>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paragraph" w:styleId="45">
    <w:name w:val="Title"/>
    <w:basedOn w:val="1"/>
    <w:next w:val="1"/>
    <w:link w:val="99"/>
    <w:qFormat/>
    <w:uiPriority w:val="0"/>
    <w:pPr>
      <w:widowControl/>
      <w:spacing w:before="240" w:after="60"/>
      <w:jc w:val="center"/>
      <w:outlineLvl w:val="0"/>
    </w:pPr>
    <w:rPr>
      <w:rFonts w:ascii="Cambria" w:hAnsi="Cambria"/>
      <w:b/>
      <w:bCs/>
      <w:sz w:val="32"/>
      <w:szCs w:val="32"/>
    </w:rPr>
  </w:style>
  <w:style w:type="character" w:styleId="47">
    <w:name w:val="Strong"/>
    <w:qFormat/>
    <w:uiPriority w:val="0"/>
    <w:rPr>
      <w:b/>
      <w:bCs/>
    </w:rPr>
  </w:style>
  <w:style w:type="character" w:styleId="48">
    <w:name w:val="page number"/>
    <w:basedOn w:val="46"/>
    <w:qFormat/>
    <w:uiPriority w:val="0"/>
  </w:style>
  <w:style w:type="character" w:styleId="49">
    <w:name w:val="Emphasis"/>
    <w:qFormat/>
    <w:uiPriority w:val="0"/>
    <w:rPr>
      <w:rFonts w:ascii="Calibri" w:hAnsi="Calibri"/>
      <w:b/>
      <w:i/>
      <w:iCs/>
    </w:rPr>
  </w:style>
  <w:style w:type="character" w:styleId="50">
    <w:name w:val="HTML Typewriter"/>
    <w:qFormat/>
    <w:uiPriority w:val="0"/>
    <w:rPr>
      <w:rFonts w:ascii="宋体" w:hAnsi="宋体" w:eastAsia="宋体" w:cs="宋体"/>
      <w:sz w:val="24"/>
      <w:szCs w:val="24"/>
    </w:rPr>
  </w:style>
  <w:style w:type="character" w:styleId="51">
    <w:name w:val="Hyperlink"/>
    <w:qFormat/>
    <w:uiPriority w:val="99"/>
    <w:rPr>
      <w:color w:val="0000FF"/>
      <w:u w:val="single"/>
    </w:rPr>
  </w:style>
  <w:style w:type="character" w:styleId="52">
    <w:name w:val="annotation reference"/>
    <w:qFormat/>
    <w:uiPriority w:val="0"/>
    <w:rPr>
      <w:sz w:val="21"/>
      <w:szCs w:val="21"/>
    </w:rPr>
  </w:style>
  <w:style w:type="table" w:styleId="54">
    <w:name w:val="Table Grid"/>
    <w:basedOn w:val="5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55">
    <w:name w:val="样式"/>
    <w:basedOn w:val="1"/>
    <w:qFormat/>
    <w:uiPriority w:val="99"/>
    <w:pPr>
      <w:ind w:firstLine="420" w:firstLineChars="200"/>
    </w:pPr>
  </w:style>
  <w:style w:type="paragraph" w:customStyle="1" w:styleId="56">
    <w:name w:val="默认段落字体 Para Char Char Char Char Char Char Char Char Char1 Char Char Char Char Char Char Char"/>
    <w:basedOn w:val="18"/>
    <w:qFormat/>
    <w:uiPriority w:val="0"/>
    <w:rPr>
      <w:rFonts w:ascii="Tahoma" w:hAnsi="Tahoma" w:cs="Tahoma"/>
      <w:sz w:val="28"/>
    </w:rPr>
  </w:style>
  <w:style w:type="paragraph" w:customStyle="1" w:styleId="57">
    <w:name w:val="安评小4表格正文左对齐"/>
    <w:qFormat/>
    <w:uiPriority w:val="0"/>
    <w:pPr>
      <w:widowControl w:val="0"/>
      <w:adjustRightInd w:val="0"/>
      <w:snapToGrid w:val="0"/>
      <w:spacing w:line="440" w:lineRule="exact"/>
    </w:pPr>
    <w:rPr>
      <w:rFonts w:ascii="Times New Roman" w:hAnsi="Times New Roman" w:eastAsia="宋体" w:cs="宋体"/>
      <w:snapToGrid w:val="0"/>
      <w:sz w:val="24"/>
      <w:szCs w:val="24"/>
      <w:lang w:val="en-US" w:eastAsia="zh-CN" w:bidi="ar-SA"/>
    </w:rPr>
  </w:style>
  <w:style w:type="paragraph" w:customStyle="1" w:styleId="58">
    <w:name w:val="标题4"/>
    <w:basedOn w:val="1"/>
    <w:next w:val="1"/>
    <w:qFormat/>
    <w:uiPriority w:val="0"/>
    <w:pPr>
      <w:tabs>
        <w:tab w:val="left" w:pos="360"/>
        <w:tab w:val="left" w:pos="840"/>
      </w:tabs>
      <w:snapToGrid w:val="0"/>
      <w:spacing w:line="360" w:lineRule="auto"/>
    </w:pPr>
    <w:rPr>
      <w:sz w:val="28"/>
      <w:szCs w:val="20"/>
    </w:rPr>
  </w:style>
  <w:style w:type="paragraph" w:customStyle="1" w:styleId="59">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
    <w:name w:val="_Style 59"/>
    <w:basedOn w:val="3"/>
    <w:next w:val="1"/>
    <w:qFormat/>
    <w:uiPriority w:val="0"/>
    <w:pPr>
      <w:keepNext/>
      <w:keepLines/>
      <w:adjustRightInd/>
      <w:snapToGrid/>
      <w:spacing w:before="240" w:line="259" w:lineRule="auto"/>
      <w:jc w:val="left"/>
      <w:outlineLvl w:val="9"/>
    </w:pPr>
    <w:rPr>
      <w:rFonts w:ascii="Calibri Light" w:hAnsi="Calibri Light"/>
      <w:b w:val="0"/>
      <w:color w:val="2E74B5"/>
      <w:sz w:val="32"/>
      <w:szCs w:val="32"/>
    </w:rPr>
  </w:style>
  <w:style w:type="paragraph" w:customStyle="1" w:styleId="61">
    <w:name w:val="首行缩进2个字符"/>
    <w:basedOn w:val="1"/>
    <w:qFormat/>
    <w:uiPriority w:val="0"/>
    <w:pPr>
      <w:widowControl/>
      <w:spacing w:line="360" w:lineRule="auto"/>
      <w:ind w:firstLine="200" w:firstLineChars="200"/>
      <w:jc w:val="left"/>
    </w:pPr>
    <w:rPr>
      <w:rFonts w:ascii="宋体"/>
      <w:kern w:val="28"/>
      <w:sz w:val="28"/>
      <w:szCs w:val="28"/>
    </w:rPr>
  </w:style>
  <w:style w:type="paragraph" w:customStyle="1" w:styleId="62">
    <w:name w:val="样式4"/>
    <w:basedOn w:val="39"/>
    <w:qFormat/>
    <w:uiPriority w:val="0"/>
    <w:pPr>
      <w:spacing w:line="360" w:lineRule="auto"/>
      <w:ind w:left="0" w:leftChars="0" w:firstLine="0" w:firstLineChars="0"/>
      <w:jc w:val="center"/>
    </w:pPr>
  </w:style>
  <w:style w:type="paragraph" w:styleId="63">
    <w:name w:val="List Paragraph"/>
    <w:basedOn w:val="1"/>
    <w:qFormat/>
    <w:uiPriority w:val="0"/>
    <w:pPr>
      <w:widowControl/>
      <w:ind w:left="720"/>
      <w:contextualSpacing/>
      <w:jc w:val="left"/>
    </w:pPr>
    <w:rPr>
      <w:rFonts w:ascii="Calibri" w:hAnsi="Calibri" w:cs="宋体"/>
      <w:kern w:val="0"/>
      <w:sz w:val="24"/>
      <w:lang w:eastAsia="en-US" w:bidi="en-US"/>
    </w:rPr>
  </w:style>
  <w:style w:type="paragraph" w:customStyle="1" w:styleId="64">
    <w:name w:val="缩进正文"/>
    <w:basedOn w:val="21"/>
    <w:qFormat/>
    <w:uiPriority w:val="0"/>
    <w:pPr>
      <w:spacing w:beforeLines="0" w:line="300" w:lineRule="auto"/>
      <w:ind w:firstLine="200" w:firstLineChars="0"/>
    </w:pPr>
    <w:rPr>
      <w:rFonts w:hAnsi="Times New Roman" w:cs="宋体"/>
      <w:kern w:val="0"/>
      <w:szCs w:val="20"/>
    </w:rPr>
  </w:style>
  <w:style w:type="paragraph" w:customStyle="1" w:styleId="65">
    <w:name w:val="正文（修改）"/>
    <w:basedOn w:val="1"/>
    <w:qFormat/>
    <w:uiPriority w:val="0"/>
    <w:pPr>
      <w:snapToGrid w:val="0"/>
      <w:spacing w:line="360" w:lineRule="auto"/>
      <w:ind w:firstLine="200" w:firstLineChars="200"/>
    </w:pPr>
    <w:rPr>
      <w:rFonts w:cs="宋体"/>
      <w:kern w:val="0"/>
      <w:sz w:val="24"/>
      <w:szCs w:val="28"/>
    </w:rPr>
  </w:style>
  <w:style w:type="paragraph" w:customStyle="1" w:styleId="66">
    <w:name w:val="标题3"/>
    <w:basedOn w:val="5"/>
    <w:qFormat/>
    <w:uiPriority w:val="0"/>
    <w:pPr>
      <w:keepNext w:val="0"/>
      <w:keepLines w:val="0"/>
      <w:widowControl w:val="0"/>
      <w:spacing w:beforeLines="50" w:line="300" w:lineRule="auto"/>
      <w:ind w:firstLine="656" w:firstLineChars="200"/>
      <w:jc w:val="both"/>
      <w:outlineLvl w:val="9"/>
    </w:pPr>
    <w:rPr>
      <w:rFonts w:ascii="宋体"/>
      <w:b w:val="0"/>
      <w:bCs w:val="0"/>
      <w:spacing w:val="24"/>
      <w:sz w:val="28"/>
      <w:szCs w:val="20"/>
    </w:rPr>
  </w:style>
  <w:style w:type="paragraph" w:customStyle="1" w:styleId="67">
    <w:name w:val="表格"/>
    <w:basedOn w:val="1"/>
    <w:link w:val="92"/>
    <w:qFormat/>
    <w:uiPriority w:val="0"/>
    <w:pPr>
      <w:spacing w:before="50" w:after="50"/>
      <w:jc w:val="center"/>
    </w:pPr>
    <w:rPr>
      <w:rFonts w:ascii="宋体"/>
      <w:szCs w:val="20"/>
    </w:rPr>
  </w:style>
  <w:style w:type="paragraph" w:styleId="68">
    <w:name w:val="Quote"/>
    <w:basedOn w:val="1"/>
    <w:next w:val="1"/>
    <w:link w:val="105"/>
    <w:qFormat/>
    <w:uiPriority w:val="0"/>
    <w:pPr>
      <w:widowControl/>
      <w:jc w:val="left"/>
    </w:pPr>
    <w:rPr>
      <w:rFonts w:cs="宋体"/>
      <w:i/>
      <w:kern w:val="0"/>
      <w:sz w:val="24"/>
    </w:rPr>
  </w:style>
  <w:style w:type="paragraph" w:styleId="69">
    <w:name w:val="Intense Quote"/>
    <w:basedOn w:val="1"/>
    <w:next w:val="1"/>
    <w:link w:val="102"/>
    <w:qFormat/>
    <w:uiPriority w:val="0"/>
    <w:pPr>
      <w:widowControl/>
      <w:ind w:left="720" w:right="720"/>
      <w:jc w:val="left"/>
    </w:pPr>
    <w:rPr>
      <w:rFonts w:cs="宋体"/>
      <w:b/>
      <w:i/>
      <w:kern w:val="0"/>
      <w:sz w:val="24"/>
      <w:szCs w:val="20"/>
    </w:rPr>
  </w:style>
  <w:style w:type="paragraph" w:customStyle="1" w:styleId="70">
    <w:name w:val="正文缩2"/>
    <w:basedOn w:val="1"/>
    <w:link w:val="104"/>
    <w:qFormat/>
    <w:uiPriority w:val="0"/>
    <w:pPr>
      <w:widowControl/>
      <w:spacing w:line="360" w:lineRule="auto"/>
      <w:ind w:firstLine="560" w:firstLineChars="200"/>
      <w:jc w:val="left"/>
    </w:pPr>
    <w:rPr>
      <w:sz w:val="28"/>
      <w:szCs w:val="20"/>
    </w:rPr>
  </w:style>
  <w:style w:type="paragraph" w:styleId="71">
    <w:name w:val="No Spacing"/>
    <w:basedOn w:val="1"/>
    <w:qFormat/>
    <w:uiPriority w:val="0"/>
    <w:pPr>
      <w:widowControl/>
      <w:jc w:val="left"/>
    </w:pPr>
    <w:rPr>
      <w:rFonts w:ascii="Calibri" w:hAnsi="Calibri" w:cs="宋体"/>
      <w:kern w:val="0"/>
      <w:sz w:val="24"/>
      <w:szCs w:val="32"/>
      <w:lang w:eastAsia="en-US" w:bidi="en-US"/>
    </w:rPr>
  </w:style>
  <w:style w:type="paragraph" w:customStyle="1" w:styleId="72">
    <w:name w:val="安评小4表格正文居中"/>
    <w:qFormat/>
    <w:uiPriority w:val="0"/>
    <w:pPr>
      <w:widowControl w:val="0"/>
      <w:adjustRightInd w:val="0"/>
      <w:snapToGrid w:val="0"/>
      <w:spacing w:line="440" w:lineRule="exact"/>
      <w:jc w:val="center"/>
    </w:pPr>
    <w:rPr>
      <w:rFonts w:ascii="宋体" w:hAnsi="Times New Roman" w:eastAsia="宋体" w:cs="Times New Roman"/>
      <w:bCs/>
      <w:snapToGrid w:val="0"/>
      <w:sz w:val="24"/>
      <w:szCs w:val="21"/>
      <w:lang w:val="en-US" w:eastAsia="zh-CN" w:bidi="ar-SA"/>
    </w:rPr>
  </w:style>
  <w:style w:type="paragraph" w:customStyle="1" w:styleId="73">
    <w:name w:val="2"/>
    <w:basedOn w:val="1"/>
    <w:qFormat/>
    <w:uiPriority w:val="0"/>
    <w:pPr>
      <w:tabs>
        <w:tab w:val="left" w:pos="540"/>
      </w:tabs>
      <w:spacing w:line="440" w:lineRule="exact"/>
    </w:pPr>
    <w:rPr>
      <w:kern w:val="0"/>
      <w:szCs w:val="32"/>
    </w:rPr>
  </w:style>
  <w:style w:type="paragraph" w:customStyle="1" w:styleId="74">
    <w:name w:val="Char Char Char Char Char Char"/>
    <w:basedOn w:val="1"/>
    <w:next w:val="15"/>
    <w:qFormat/>
    <w:uiPriority w:val="0"/>
    <w:rPr>
      <w:sz w:val="28"/>
      <w:szCs w:val="28"/>
    </w:rPr>
  </w:style>
  <w:style w:type="paragraph" w:customStyle="1" w:styleId="75">
    <w:name w:val="char"/>
    <w:basedOn w:val="1"/>
    <w:qFormat/>
    <w:uiPriority w:val="0"/>
    <w:pPr>
      <w:widowControl/>
      <w:spacing w:after="160"/>
      <w:jc w:val="left"/>
    </w:pPr>
  </w:style>
  <w:style w:type="paragraph" w:customStyle="1" w:styleId="76">
    <w:name w:val="郭表格"/>
    <w:basedOn w:val="1"/>
    <w:link w:val="117"/>
    <w:qFormat/>
    <w:uiPriority w:val="0"/>
    <w:pPr>
      <w:jc w:val="center"/>
    </w:pPr>
    <w:rPr>
      <w:szCs w:val="21"/>
    </w:rPr>
  </w:style>
  <w:style w:type="paragraph" w:customStyle="1" w:styleId="77">
    <w:name w:val="Char Char Char1 Char Char Char Char"/>
    <w:basedOn w:val="1"/>
    <w:qFormat/>
    <w:uiPriority w:val="0"/>
    <w:pPr>
      <w:widowControl/>
      <w:spacing w:after="160" w:line="240" w:lineRule="exact"/>
      <w:jc w:val="left"/>
    </w:pPr>
    <w:rPr>
      <w:rFonts w:ascii="Verdana" w:hAnsi="Verdana" w:cs="Verdana"/>
      <w:kern w:val="0"/>
      <w:sz w:val="20"/>
      <w:szCs w:val="20"/>
      <w:lang w:eastAsia="en-US"/>
    </w:rPr>
  </w:style>
  <w:style w:type="paragraph" w:customStyle="1" w:styleId="78">
    <w:name w:val="郭表格标题"/>
    <w:basedOn w:val="1"/>
    <w:link w:val="97"/>
    <w:qFormat/>
    <w:uiPriority w:val="0"/>
    <w:pPr>
      <w:spacing w:line="360" w:lineRule="auto"/>
      <w:jc w:val="center"/>
    </w:pPr>
    <w:rPr>
      <w:b/>
      <w:bCs/>
      <w:kern w:val="0"/>
      <w:szCs w:val="21"/>
    </w:rPr>
  </w:style>
  <w:style w:type="paragraph" w:customStyle="1" w:styleId="79">
    <w:name w:val="Char2"/>
    <w:basedOn w:val="1"/>
    <w:qFormat/>
    <w:uiPriority w:val="0"/>
    <w:pPr>
      <w:numPr>
        <w:ilvl w:val="0"/>
        <w:numId w:val="1"/>
      </w:numPr>
      <w:tabs>
        <w:tab w:val="left" w:pos="920"/>
      </w:tabs>
      <w:ind w:firstLine="0"/>
    </w:pPr>
    <w:rPr>
      <w:szCs w:val="20"/>
    </w:rPr>
  </w:style>
  <w:style w:type="paragraph" w:customStyle="1" w:styleId="80">
    <w:name w:val="样式2"/>
    <w:basedOn w:val="1"/>
    <w:link w:val="130"/>
    <w:qFormat/>
    <w:uiPriority w:val="0"/>
    <w:pPr>
      <w:spacing w:line="288" w:lineRule="auto"/>
      <w:ind w:firstLine="420" w:firstLineChars="200"/>
    </w:pPr>
    <w:rPr>
      <w:rFonts w:ascii="方正书宋简体" w:eastAsia="方正书宋简体"/>
      <w:szCs w:val="21"/>
      <w:lang w:val="zh-CN"/>
    </w:rPr>
  </w:style>
  <w:style w:type="paragraph" w:customStyle="1" w:styleId="81">
    <w:name w:val="xl34"/>
    <w:basedOn w:val="1"/>
    <w:qFormat/>
    <w:uiPriority w:val="0"/>
    <w:pPr>
      <w:widowControl/>
      <w:pBdr>
        <w:bottom w:val="single" w:color="auto" w:sz="4" w:space="0"/>
        <w:right w:val="single" w:color="auto" w:sz="4" w:space="0"/>
      </w:pBdr>
      <w:spacing w:before="100" w:beforeAutospacing="1" w:after="100" w:afterAutospacing="1"/>
      <w:jc w:val="center"/>
    </w:pPr>
    <w:rPr>
      <w:kern w:val="0"/>
      <w:sz w:val="24"/>
    </w:rPr>
  </w:style>
  <w:style w:type="paragraph" w:customStyle="1" w:styleId="82">
    <w:name w:val="Char Char Char Char"/>
    <w:basedOn w:val="1"/>
    <w:next w:val="15"/>
    <w:qFormat/>
    <w:uiPriority w:val="0"/>
    <w:rPr>
      <w:sz w:val="28"/>
      <w:szCs w:val="28"/>
    </w:rPr>
  </w:style>
  <w:style w:type="paragraph" w:customStyle="1" w:styleId="83">
    <w:name w:val="默认段落字体 Para Char Char Char Char"/>
    <w:basedOn w:val="1"/>
    <w:qFormat/>
    <w:uiPriority w:val="0"/>
    <w:pPr>
      <w:widowControl/>
      <w:jc w:val="left"/>
    </w:pPr>
  </w:style>
  <w:style w:type="paragraph" w:customStyle="1" w:styleId="84">
    <w:name w:val="Char Char Char Char Char Char Char Char Char"/>
    <w:basedOn w:val="1"/>
    <w:next w:val="15"/>
    <w:qFormat/>
    <w:uiPriority w:val="0"/>
    <w:rPr>
      <w:sz w:val="28"/>
      <w:szCs w:val="28"/>
    </w:rPr>
  </w:style>
  <w:style w:type="paragraph" w:customStyle="1" w:styleId="85">
    <w:name w:val="Char Char Char Char Char Char Char Char Char Char Char"/>
    <w:basedOn w:val="1"/>
    <w:qFormat/>
    <w:uiPriority w:val="0"/>
    <w:rPr>
      <w:szCs w:val="20"/>
    </w:rPr>
  </w:style>
  <w:style w:type="character" w:customStyle="1" w:styleId="86">
    <w:name w:val="_Style 85"/>
    <w:qFormat/>
    <w:uiPriority w:val="0"/>
    <w:rPr>
      <w:rFonts w:ascii="Cambria" w:hAnsi="Cambria" w:eastAsia="宋体"/>
      <w:b/>
      <w:i/>
      <w:sz w:val="24"/>
      <w:szCs w:val="24"/>
    </w:rPr>
  </w:style>
  <w:style w:type="character" w:customStyle="1" w:styleId="87">
    <w:name w:val="正文1"/>
    <w:qFormat/>
    <w:uiPriority w:val="0"/>
    <w:rPr>
      <w:rFonts w:hint="eastAsia" w:ascii="宋体" w:hAnsi="宋体" w:eastAsia="宋体"/>
      <w:sz w:val="22"/>
      <w:szCs w:val="22"/>
    </w:rPr>
  </w:style>
  <w:style w:type="character" w:customStyle="1" w:styleId="88">
    <w:name w:val="fontstyle41"/>
    <w:qFormat/>
    <w:uiPriority w:val="0"/>
    <w:rPr>
      <w:rFonts w:hint="eastAsia" w:ascii="宋体" w:hAnsi="宋体" w:eastAsia="宋体"/>
      <w:color w:val="000000"/>
      <w:sz w:val="28"/>
      <w:szCs w:val="28"/>
    </w:rPr>
  </w:style>
  <w:style w:type="character" w:customStyle="1" w:styleId="89">
    <w:name w:val="批注文字 字符"/>
    <w:link w:val="13"/>
    <w:qFormat/>
    <w:uiPriority w:val="0"/>
    <w:rPr>
      <w:rFonts w:eastAsia="宋体"/>
      <w:kern w:val="2"/>
      <w:sz w:val="21"/>
      <w:szCs w:val="24"/>
      <w:lang w:val="en-US" w:eastAsia="zh-CN" w:bidi="ar-SA"/>
    </w:rPr>
  </w:style>
  <w:style w:type="character" w:customStyle="1" w:styleId="90">
    <w:name w:val="页脚 字符"/>
    <w:link w:val="30"/>
    <w:qFormat/>
    <w:uiPriority w:val="99"/>
    <w:rPr>
      <w:rFonts w:eastAsia="宋体"/>
      <w:kern w:val="2"/>
      <w:sz w:val="18"/>
      <w:szCs w:val="18"/>
      <w:lang w:val="en-US" w:eastAsia="zh-CN" w:bidi="ar-SA"/>
    </w:rPr>
  </w:style>
  <w:style w:type="character" w:customStyle="1" w:styleId="91">
    <w:name w:val="标题 2 字符"/>
    <w:link w:val="4"/>
    <w:qFormat/>
    <w:uiPriority w:val="9"/>
    <w:rPr>
      <w:rFonts w:ascii="Arial" w:hAnsi="Arial" w:eastAsia="宋体"/>
      <w:b/>
      <w:bCs/>
      <w:kern w:val="2"/>
      <w:sz w:val="28"/>
      <w:szCs w:val="32"/>
    </w:rPr>
  </w:style>
  <w:style w:type="character" w:customStyle="1" w:styleId="92">
    <w:name w:val="表格 Char"/>
    <w:link w:val="67"/>
    <w:qFormat/>
    <w:uiPriority w:val="0"/>
    <w:rPr>
      <w:rFonts w:ascii="宋体" w:eastAsia="宋体"/>
      <w:kern w:val="2"/>
      <w:sz w:val="21"/>
      <w:lang w:val="en-US" w:eastAsia="zh-CN" w:bidi="ar-SA"/>
    </w:rPr>
  </w:style>
  <w:style w:type="character" w:customStyle="1" w:styleId="93">
    <w:name w:val="apple-converted-space"/>
    <w:basedOn w:val="46"/>
    <w:qFormat/>
    <w:uiPriority w:val="0"/>
  </w:style>
  <w:style w:type="character" w:customStyle="1" w:styleId="94">
    <w:name w:val="普通(网站) 字符"/>
    <w:link w:val="44"/>
    <w:qFormat/>
    <w:uiPriority w:val="0"/>
    <w:rPr>
      <w:rFonts w:ascii="Arial Unicode MS" w:hAnsi="Arial Unicode MS" w:eastAsia="Arial Unicode MS" w:cs="Arial Unicode MS"/>
      <w:sz w:val="24"/>
      <w:szCs w:val="24"/>
      <w:lang w:val="en-US" w:eastAsia="zh-CN" w:bidi="ar-SA"/>
    </w:rPr>
  </w:style>
  <w:style w:type="character" w:customStyle="1" w:styleId="95">
    <w:name w:val="标题 3 字符"/>
    <w:link w:val="5"/>
    <w:qFormat/>
    <w:uiPriority w:val="0"/>
    <w:rPr>
      <w:rFonts w:eastAsia="宋体"/>
      <w:b/>
      <w:bCs/>
      <w:kern w:val="2"/>
      <w:sz w:val="24"/>
      <w:szCs w:val="32"/>
    </w:rPr>
  </w:style>
  <w:style w:type="character" w:customStyle="1" w:styleId="96">
    <w:name w:val="标题 4 字符"/>
    <w:link w:val="6"/>
    <w:qFormat/>
    <w:uiPriority w:val="0"/>
    <w:rPr>
      <w:rFonts w:ascii="Arial" w:hAnsi="Arial" w:eastAsia="黑体"/>
      <w:b/>
      <w:bCs/>
      <w:kern w:val="2"/>
      <w:sz w:val="28"/>
      <w:szCs w:val="28"/>
      <w:lang w:val="en-US" w:eastAsia="zh-CN" w:bidi="ar-SA"/>
    </w:rPr>
  </w:style>
  <w:style w:type="character" w:customStyle="1" w:styleId="97">
    <w:name w:val="郭表格标题 Char Char"/>
    <w:link w:val="78"/>
    <w:qFormat/>
    <w:uiPriority w:val="0"/>
    <w:rPr>
      <w:b/>
      <w:bCs/>
      <w:sz w:val="21"/>
      <w:szCs w:val="21"/>
    </w:rPr>
  </w:style>
  <w:style w:type="character" w:customStyle="1" w:styleId="98">
    <w:name w:val="Char Char5"/>
    <w:qFormat/>
    <w:uiPriority w:val="0"/>
    <w:rPr>
      <w:kern w:val="2"/>
      <w:sz w:val="18"/>
      <w:szCs w:val="18"/>
    </w:rPr>
  </w:style>
  <w:style w:type="character" w:customStyle="1" w:styleId="99">
    <w:name w:val="标题 字符"/>
    <w:link w:val="45"/>
    <w:qFormat/>
    <w:uiPriority w:val="0"/>
    <w:rPr>
      <w:rFonts w:ascii="Cambria" w:hAnsi="Cambria" w:eastAsia="宋体"/>
      <w:b/>
      <w:bCs/>
      <w:kern w:val="2"/>
      <w:sz w:val="32"/>
      <w:szCs w:val="32"/>
      <w:lang w:val="en-US" w:eastAsia="zh-CN" w:bidi="ar-SA"/>
    </w:rPr>
  </w:style>
  <w:style w:type="character" w:customStyle="1" w:styleId="100">
    <w:name w:val="fontstyle51"/>
    <w:qFormat/>
    <w:uiPriority w:val="0"/>
    <w:rPr>
      <w:rFonts w:hint="default" w:ascii="楷体" w:hAnsi="楷体"/>
      <w:color w:val="000000"/>
      <w:sz w:val="32"/>
      <w:szCs w:val="32"/>
    </w:rPr>
  </w:style>
  <w:style w:type="character" w:customStyle="1" w:styleId="101">
    <w:name w:val="批注框文本 字符"/>
    <w:link w:val="29"/>
    <w:qFormat/>
    <w:uiPriority w:val="0"/>
    <w:rPr>
      <w:rFonts w:eastAsia="宋体"/>
      <w:kern w:val="2"/>
      <w:sz w:val="18"/>
      <w:szCs w:val="18"/>
      <w:lang w:val="en-US" w:eastAsia="zh-CN" w:bidi="ar-SA"/>
    </w:rPr>
  </w:style>
  <w:style w:type="character" w:customStyle="1" w:styleId="102">
    <w:name w:val="明显引用 字符"/>
    <w:link w:val="69"/>
    <w:qFormat/>
    <w:uiPriority w:val="0"/>
    <w:rPr>
      <w:rFonts w:ascii="Calibri" w:hAnsi="Calibri" w:eastAsia="宋体" w:cs="宋体"/>
      <w:b/>
      <w:i/>
      <w:sz w:val="24"/>
      <w:lang w:bidi="ar-SA"/>
    </w:rPr>
  </w:style>
  <w:style w:type="character" w:customStyle="1" w:styleId="103">
    <w:name w:val="标题 1 Char"/>
    <w:qFormat/>
    <w:uiPriority w:val="0"/>
    <w:rPr>
      <w:b/>
      <w:bCs/>
      <w:kern w:val="44"/>
      <w:sz w:val="44"/>
      <w:szCs w:val="44"/>
    </w:rPr>
  </w:style>
  <w:style w:type="character" w:customStyle="1" w:styleId="104">
    <w:name w:val="正文缩2 Char Char"/>
    <w:link w:val="70"/>
    <w:qFormat/>
    <w:uiPriority w:val="0"/>
    <w:rPr>
      <w:rFonts w:ascii="Calibri" w:hAnsi="Calibri" w:eastAsia="宋体"/>
      <w:kern w:val="2"/>
      <w:sz w:val="28"/>
      <w:lang w:bidi="ar-SA"/>
    </w:rPr>
  </w:style>
  <w:style w:type="character" w:customStyle="1" w:styleId="105">
    <w:name w:val="引用 字符"/>
    <w:link w:val="68"/>
    <w:qFormat/>
    <w:uiPriority w:val="0"/>
    <w:rPr>
      <w:rFonts w:ascii="Calibri" w:hAnsi="Calibri" w:eastAsia="宋体" w:cs="宋体"/>
      <w:i/>
      <w:sz w:val="24"/>
      <w:szCs w:val="24"/>
      <w:lang w:bidi="ar-SA"/>
    </w:rPr>
  </w:style>
  <w:style w:type="character" w:customStyle="1" w:styleId="106">
    <w:name w:val="fontstyle11"/>
    <w:qFormat/>
    <w:uiPriority w:val="0"/>
    <w:rPr>
      <w:rFonts w:hint="eastAsia" w:ascii="黑体" w:hAnsi="黑体" w:eastAsia="黑体"/>
      <w:color w:val="000000"/>
      <w:sz w:val="28"/>
      <w:szCs w:val="28"/>
    </w:rPr>
  </w:style>
  <w:style w:type="character" w:customStyle="1" w:styleId="107">
    <w:name w:val="纯文本 字符"/>
    <w:link w:val="25"/>
    <w:qFormat/>
    <w:uiPriority w:val="0"/>
    <w:rPr>
      <w:rFonts w:ascii="宋体" w:hAnsi="Courier New" w:eastAsia="宋体"/>
      <w:kern w:val="2"/>
      <w:sz w:val="28"/>
      <w:lang w:val="en-US" w:eastAsia="zh-CN" w:bidi="ar-SA"/>
    </w:rPr>
  </w:style>
  <w:style w:type="character" w:customStyle="1" w:styleId="108">
    <w:name w:val="apple-style-span"/>
    <w:basedOn w:val="46"/>
    <w:qFormat/>
    <w:uiPriority w:val="0"/>
  </w:style>
  <w:style w:type="character" w:customStyle="1" w:styleId="109">
    <w:name w:val="_Style 108"/>
    <w:qFormat/>
    <w:uiPriority w:val="0"/>
    <w:rPr>
      <w:sz w:val="24"/>
      <w:szCs w:val="24"/>
      <w:u w:val="single"/>
    </w:rPr>
  </w:style>
  <w:style w:type="character" w:customStyle="1" w:styleId="110">
    <w:name w:val="nava12"/>
    <w:qFormat/>
    <w:uiPriority w:val="0"/>
    <w:rPr>
      <w:color w:val="333333"/>
      <w:sz w:val="24"/>
      <w:szCs w:val="24"/>
      <w:u w:val="none"/>
    </w:rPr>
  </w:style>
  <w:style w:type="character" w:customStyle="1" w:styleId="111">
    <w:name w:val="_Style 110"/>
    <w:qFormat/>
    <w:uiPriority w:val="0"/>
    <w:rPr>
      <w:i/>
      <w:color w:val="5A5A5A"/>
    </w:rPr>
  </w:style>
  <w:style w:type="character" w:customStyle="1" w:styleId="112">
    <w:name w:val="fontstyle21"/>
    <w:qFormat/>
    <w:uiPriority w:val="0"/>
    <w:rPr>
      <w:rFonts w:hint="default" w:ascii="楷体" w:hAnsi="楷体"/>
      <w:color w:val="000000"/>
      <w:sz w:val="32"/>
      <w:szCs w:val="32"/>
    </w:rPr>
  </w:style>
  <w:style w:type="character" w:customStyle="1" w:styleId="113">
    <w:name w:val="_Style 112"/>
    <w:qFormat/>
    <w:uiPriority w:val="0"/>
    <w:rPr>
      <w:b/>
      <w:sz w:val="24"/>
      <w:u w:val="single"/>
    </w:rPr>
  </w:style>
  <w:style w:type="character" w:customStyle="1" w:styleId="114">
    <w:name w:val="标题 5 字符"/>
    <w:link w:val="7"/>
    <w:qFormat/>
    <w:uiPriority w:val="0"/>
    <w:rPr>
      <w:rFonts w:eastAsia="宋体"/>
      <w:b/>
      <w:bCs/>
      <w:kern w:val="2"/>
      <w:sz w:val="28"/>
      <w:szCs w:val="28"/>
      <w:lang w:val="en-US" w:eastAsia="zh-CN" w:bidi="ar-SA"/>
    </w:rPr>
  </w:style>
  <w:style w:type="character" w:customStyle="1" w:styleId="115">
    <w:name w:val="标题 9 字符"/>
    <w:link w:val="11"/>
    <w:qFormat/>
    <w:uiPriority w:val="0"/>
    <w:rPr>
      <w:rFonts w:ascii="Cambria" w:hAnsi="Cambria" w:eastAsia="宋体" w:cs="宋体"/>
      <w:lang w:bidi="ar-SA"/>
    </w:rPr>
  </w:style>
  <w:style w:type="character" w:customStyle="1" w:styleId="116">
    <w:name w:val="标题 7 字符"/>
    <w:link w:val="9"/>
    <w:qFormat/>
    <w:uiPriority w:val="0"/>
    <w:rPr>
      <w:rFonts w:ascii="Calibri" w:hAnsi="Calibri" w:eastAsia="宋体" w:cs="宋体"/>
      <w:sz w:val="24"/>
      <w:szCs w:val="24"/>
      <w:lang w:bidi="ar-SA"/>
    </w:rPr>
  </w:style>
  <w:style w:type="character" w:customStyle="1" w:styleId="117">
    <w:name w:val="郭表格 Char Char"/>
    <w:link w:val="76"/>
    <w:qFormat/>
    <w:uiPriority w:val="0"/>
    <w:rPr>
      <w:kern w:val="2"/>
      <w:sz w:val="21"/>
      <w:szCs w:val="21"/>
    </w:rPr>
  </w:style>
  <w:style w:type="character" w:customStyle="1" w:styleId="118">
    <w:name w:val="style131"/>
    <w:qFormat/>
    <w:uiPriority w:val="0"/>
    <w:rPr>
      <w:color w:val="333333"/>
      <w:sz w:val="21"/>
      <w:szCs w:val="21"/>
    </w:rPr>
  </w:style>
  <w:style w:type="character" w:customStyle="1" w:styleId="119">
    <w:name w:val="wenzhang1"/>
    <w:qFormat/>
    <w:uiPriority w:val="0"/>
    <w:rPr>
      <w:sz w:val="18"/>
      <w:szCs w:val="18"/>
      <w:u w:val="none"/>
    </w:rPr>
  </w:style>
  <w:style w:type="character" w:customStyle="1" w:styleId="120">
    <w:name w:val="fontstyle31"/>
    <w:qFormat/>
    <w:uiPriority w:val="0"/>
    <w:rPr>
      <w:rFonts w:hint="eastAsia" w:ascii="黑体" w:hAnsi="黑体" w:eastAsia="黑体"/>
      <w:color w:val="000000"/>
      <w:sz w:val="28"/>
      <w:szCs w:val="28"/>
    </w:rPr>
  </w:style>
  <w:style w:type="character" w:customStyle="1" w:styleId="121">
    <w:name w:val="正文文本缩进 字符"/>
    <w:link w:val="21"/>
    <w:qFormat/>
    <w:uiPriority w:val="0"/>
    <w:rPr>
      <w:rFonts w:ascii="宋体" w:hAnsi="宋体" w:eastAsia="宋体"/>
      <w:kern w:val="2"/>
      <w:sz w:val="28"/>
      <w:szCs w:val="28"/>
      <w:lang w:val="en-US" w:eastAsia="zh-CN" w:bidi="ar-SA"/>
    </w:rPr>
  </w:style>
  <w:style w:type="character" w:customStyle="1" w:styleId="122">
    <w:name w:val="_Style 121"/>
    <w:qFormat/>
    <w:uiPriority w:val="0"/>
    <w:rPr>
      <w:b/>
      <w:i/>
      <w:sz w:val="24"/>
      <w:szCs w:val="24"/>
      <w:u w:val="single"/>
    </w:rPr>
  </w:style>
  <w:style w:type="character" w:customStyle="1" w:styleId="123">
    <w:name w:val="标题1"/>
    <w:basedOn w:val="46"/>
    <w:qFormat/>
    <w:uiPriority w:val="0"/>
  </w:style>
  <w:style w:type="character" w:customStyle="1" w:styleId="124">
    <w:name w:val="标题 8 字符"/>
    <w:link w:val="10"/>
    <w:qFormat/>
    <w:uiPriority w:val="0"/>
    <w:rPr>
      <w:rFonts w:ascii="Calibri" w:hAnsi="Calibri" w:eastAsia="宋体" w:cs="宋体"/>
      <w:i/>
      <w:iCs/>
      <w:sz w:val="24"/>
      <w:szCs w:val="24"/>
      <w:lang w:bidi="ar-SA"/>
    </w:rPr>
  </w:style>
  <w:style w:type="character" w:customStyle="1" w:styleId="125">
    <w:name w:val="正文缩进 字符"/>
    <w:link w:val="16"/>
    <w:qFormat/>
    <w:uiPriority w:val="0"/>
    <w:rPr>
      <w:rFonts w:ascii="宋体" w:eastAsia="宋体"/>
      <w:kern w:val="28"/>
      <w:sz w:val="28"/>
      <w:szCs w:val="24"/>
      <w:lang w:val="en-US" w:eastAsia="zh-CN" w:bidi="ar-SA"/>
    </w:rPr>
  </w:style>
  <w:style w:type="character" w:customStyle="1" w:styleId="126">
    <w:name w:val="Part Char"/>
    <w:qFormat/>
    <w:uiPriority w:val="0"/>
    <w:rPr>
      <w:rFonts w:ascii="Cambria" w:hAnsi="Cambria"/>
      <w:b/>
      <w:bCs/>
      <w:kern w:val="32"/>
      <w:sz w:val="32"/>
      <w:szCs w:val="32"/>
    </w:rPr>
  </w:style>
  <w:style w:type="character" w:customStyle="1" w:styleId="127">
    <w:name w:val="标题 1 字符"/>
    <w:link w:val="3"/>
    <w:qFormat/>
    <w:uiPriority w:val="0"/>
    <w:rPr>
      <w:rFonts w:ascii="黑体" w:eastAsia="宋体"/>
      <w:b/>
      <w:sz w:val="30"/>
      <w:szCs w:val="28"/>
    </w:rPr>
  </w:style>
  <w:style w:type="character" w:customStyle="1" w:styleId="128">
    <w:name w:val="fontstyle01"/>
    <w:qFormat/>
    <w:uiPriority w:val="0"/>
    <w:rPr>
      <w:rFonts w:hint="default" w:ascii="TimesNewRomanPSMT" w:hAnsi="TimesNewRomanPSMT"/>
      <w:color w:val="000000"/>
      <w:sz w:val="32"/>
      <w:szCs w:val="32"/>
    </w:rPr>
  </w:style>
  <w:style w:type="character" w:customStyle="1" w:styleId="129">
    <w:name w:val="正文文本缩进 2 字符"/>
    <w:link w:val="28"/>
    <w:qFormat/>
    <w:uiPriority w:val="0"/>
    <w:rPr>
      <w:rFonts w:eastAsia="宋体"/>
      <w:kern w:val="2"/>
      <w:sz w:val="21"/>
      <w:szCs w:val="24"/>
      <w:lang w:val="en-US" w:eastAsia="zh-CN" w:bidi="ar-SA"/>
    </w:rPr>
  </w:style>
  <w:style w:type="character" w:customStyle="1" w:styleId="130">
    <w:name w:val="样式2 Char"/>
    <w:link w:val="80"/>
    <w:qFormat/>
    <w:uiPriority w:val="0"/>
    <w:rPr>
      <w:rFonts w:ascii="方正书宋简体" w:eastAsia="方正书宋简体"/>
      <w:kern w:val="2"/>
      <w:sz w:val="21"/>
      <w:szCs w:val="21"/>
      <w:lang w:val="zh-CN" w:eastAsia="zh-CN" w:bidi="ar-SA"/>
    </w:rPr>
  </w:style>
  <w:style w:type="character" w:customStyle="1" w:styleId="131">
    <w:name w:val="副标题 字符"/>
    <w:link w:val="35"/>
    <w:qFormat/>
    <w:uiPriority w:val="0"/>
    <w:rPr>
      <w:rFonts w:ascii="宋体" w:hAnsi="宋体" w:eastAsia="宋体"/>
      <w:b/>
      <w:sz w:val="24"/>
      <w:szCs w:val="24"/>
      <w:lang w:val="en-US" w:eastAsia="zh-CN" w:bidi="ar-SA"/>
    </w:rPr>
  </w:style>
  <w:style w:type="character" w:customStyle="1" w:styleId="132">
    <w:name w:val="15"/>
    <w:qFormat/>
    <w:uiPriority w:val="0"/>
    <w:rPr>
      <w:rFonts w:hint="eastAsia" w:ascii="宋体" w:hAnsi="宋体" w:eastAsia="宋体"/>
      <w:b/>
      <w:bCs/>
      <w:sz w:val="32"/>
      <w:szCs w:val="32"/>
    </w:rPr>
  </w:style>
  <w:style w:type="table" w:customStyle="1" w:styleId="133">
    <w:name w:val="网格型3"/>
    <w:basedOn w:val="5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34">
    <w:name w:val="网格型1"/>
    <w:basedOn w:val="5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35">
    <w:name w:val="网格型2"/>
    <w:basedOn w:val="5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Info spid="_x0000_s2053"/>
    <customShpInfo spid="_x0000_s2051"/>
    <customShpInfo spid="_x0000_s2054"/>
    <customShpInfo spid="_x0000_s2057"/>
    <customShpInfo spid="_x0000_s2060"/>
    <customShpInfo spid="_x0000_s2056"/>
    <customShpInfo spid="_x0000_s2055"/>
    <customShpInfo spid="_x0000_s2059"/>
    <customShpInfo spid="_x0000_s2052"/>
    <customShpInfo spid="_x0000_s205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17</Pages>
  <Words>5307</Words>
  <Characters>2030</Characters>
  <Lines>16</Lines>
  <Paragraphs>14</Paragraphs>
  <TotalTime>3</TotalTime>
  <ScaleCrop>false</ScaleCrop>
  <LinksUpToDate>false</LinksUpToDate>
  <CharactersWithSpaces>7323</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2017-05-07T01:49:00Z</dcterms:created>
  <dc:creator>Administrator</dc:creator>
  <cp:lastModifiedBy>Administrator</cp:lastModifiedBy>
  <cp:lastPrinted>2020-06-03T02:12:00Z</cp:lastPrinted>
  <dcterms:modified xsi:type="dcterms:W3CDTF">2020-07-05T03:00:00Z</dcterms:modified>
  <dc:title>达州市泰恒通新能源有限公司</dc:title>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