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2"/>
          <w:szCs w:val="32"/>
        </w:rPr>
      </w:pPr>
      <w:bookmarkStart w:id="0" w:name="_Toc459150227"/>
    </w:p>
    <w:p>
      <w:pPr>
        <w:jc w:val="center"/>
        <w:rPr>
          <w:sz w:val="32"/>
          <w:szCs w:val="32"/>
        </w:rPr>
      </w:pPr>
    </w:p>
    <w:p>
      <w:pPr>
        <w:spacing w:line="360" w:lineRule="auto"/>
        <w:jc w:val="center"/>
        <w:rPr>
          <w:rFonts w:ascii="宋体" w:hAnsi="宋体"/>
          <w:b/>
          <w:bCs/>
          <w:caps/>
          <w:sz w:val="48"/>
          <w:szCs w:val="48"/>
        </w:rPr>
      </w:pPr>
    </w:p>
    <w:p>
      <w:pPr>
        <w:spacing w:line="360" w:lineRule="auto"/>
        <w:jc w:val="center"/>
        <w:rPr>
          <w:rFonts w:ascii="Times New Roman" w:hAnsi="Times New Roman"/>
          <w:b/>
          <w:bCs/>
          <w:caps/>
          <w:sz w:val="48"/>
          <w:szCs w:val="48"/>
        </w:rPr>
      </w:pPr>
    </w:p>
    <w:p>
      <w:pPr>
        <w:spacing w:line="360" w:lineRule="auto"/>
        <w:ind w:firstLine="420"/>
        <w:jc w:val="center"/>
        <w:rPr>
          <w:rFonts w:ascii="Times New Roman" w:hAnsi="Times New Roman"/>
          <w:b/>
          <w:bCs/>
          <w:caps/>
          <w:sz w:val="48"/>
          <w:szCs w:val="48"/>
        </w:rPr>
      </w:pPr>
      <w:r>
        <w:rPr>
          <w:rFonts w:hint="eastAsia" w:ascii="Times New Roman" w:hAnsi="Times New Roman"/>
          <w:b/>
          <w:bCs/>
          <w:caps/>
          <w:sz w:val="48"/>
          <w:szCs w:val="48"/>
        </w:rPr>
        <w:t>南充市顺庆区芦溪农机加油站</w:t>
      </w:r>
    </w:p>
    <w:p>
      <w:pPr>
        <w:pStyle w:val="36"/>
        <w:spacing w:before="156"/>
      </w:pPr>
    </w:p>
    <w:p>
      <w:pPr>
        <w:spacing w:line="360" w:lineRule="auto"/>
        <w:jc w:val="center"/>
        <w:rPr>
          <w:rFonts w:ascii="Times New Roman" w:hAnsi="Times New Roman"/>
          <w:b/>
          <w:bCs/>
          <w:caps/>
          <w:sz w:val="48"/>
          <w:szCs w:val="48"/>
        </w:rPr>
      </w:pPr>
    </w:p>
    <w:p>
      <w:pPr>
        <w:pStyle w:val="41"/>
        <w:rPr>
          <w:rFonts w:ascii="Times New Roman" w:hAnsi="Times New Roman"/>
          <w:b/>
          <w:bCs/>
          <w:caps/>
          <w:sz w:val="48"/>
          <w:szCs w:val="48"/>
        </w:rPr>
      </w:pPr>
    </w:p>
    <w:p>
      <w:pPr>
        <w:rPr>
          <w:rFonts w:ascii="Times New Roman" w:hAnsi="Times New Roman"/>
          <w:b/>
          <w:bCs/>
          <w:caps/>
          <w:sz w:val="48"/>
          <w:szCs w:val="48"/>
        </w:rPr>
      </w:pPr>
    </w:p>
    <w:p>
      <w:pPr>
        <w:pStyle w:val="41"/>
      </w:pPr>
    </w:p>
    <w:p>
      <w:pPr>
        <w:spacing w:line="360" w:lineRule="auto"/>
        <w:jc w:val="center"/>
        <w:rPr>
          <w:rFonts w:ascii="Times New Roman" w:hAnsi="Times New Roman"/>
          <w:b/>
          <w:bCs/>
          <w:caps/>
          <w:sz w:val="48"/>
          <w:szCs w:val="48"/>
        </w:rPr>
      </w:pPr>
    </w:p>
    <w:p>
      <w:pPr>
        <w:spacing w:line="360" w:lineRule="auto"/>
        <w:jc w:val="center"/>
        <w:rPr>
          <w:rFonts w:ascii="Times New Roman" w:hAnsi="Times New Roman"/>
          <w:b/>
          <w:bCs/>
          <w:caps/>
          <w:sz w:val="48"/>
          <w:szCs w:val="48"/>
        </w:rPr>
      </w:pPr>
      <w:r>
        <w:rPr>
          <w:rFonts w:hint="eastAsia" w:ascii="Times New Roman" w:hAnsi="Times New Roman"/>
          <w:b/>
          <w:bCs/>
          <w:caps/>
          <w:sz w:val="48"/>
          <w:szCs w:val="48"/>
        </w:rPr>
        <w:t>事故风险辨识评估</w:t>
      </w:r>
      <w:r>
        <w:rPr>
          <w:rFonts w:ascii="Times New Roman" w:hAnsi="Times New Roman"/>
          <w:b/>
          <w:bCs/>
          <w:caps/>
          <w:sz w:val="48"/>
          <w:szCs w:val="48"/>
        </w:rPr>
        <w:t>报告</w:t>
      </w:r>
    </w:p>
    <w:p>
      <w:pPr>
        <w:jc w:val="center"/>
        <w:rPr>
          <w:rFonts w:ascii="Times New Roman" w:hAnsi="Times New Roman"/>
          <w:sz w:val="32"/>
          <w:szCs w:val="32"/>
        </w:rPr>
      </w:pPr>
    </w:p>
    <w:p>
      <w:pPr>
        <w:jc w:val="center"/>
        <w:rPr>
          <w:rFonts w:ascii="Times New Roman" w:hAnsi="Times New Roman"/>
          <w:sz w:val="32"/>
          <w:szCs w:val="32"/>
        </w:rPr>
      </w:pPr>
    </w:p>
    <w:p>
      <w:pP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tbl>
      <w:tblPr>
        <w:tblStyle w:val="59"/>
        <w:tblW w:w="8448" w:type="dxa"/>
        <w:jc w:val="center"/>
        <w:tblInd w:w="0" w:type="dxa"/>
        <w:tblLayout w:type="fixed"/>
        <w:tblCellMar>
          <w:top w:w="0" w:type="dxa"/>
          <w:left w:w="108" w:type="dxa"/>
          <w:bottom w:w="0" w:type="dxa"/>
          <w:right w:w="108" w:type="dxa"/>
        </w:tblCellMar>
      </w:tblPr>
      <w:tblGrid>
        <w:gridCol w:w="8448"/>
      </w:tblGrid>
      <w:tr>
        <w:tblPrEx>
          <w:tblLayout w:type="fixed"/>
          <w:tblCellMar>
            <w:top w:w="0" w:type="dxa"/>
            <w:left w:w="108" w:type="dxa"/>
            <w:bottom w:w="0" w:type="dxa"/>
            <w:right w:w="108" w:type="dxa"/>
          </w:tblCellMar>
        </w:tblPrEx>
        <w:trPr>
          <w:jc w:val="center"/>
        </w:trPr>
        <w:tc>
          <w:tcPr>
            <w:tcW w:w="8448" w:type="dxa"/>
            <w:vAlign w:val="center"/>
          </w:tcPr>
          <w:p>
            <w:pPr>
              <w:ind w:firstLine="280" w:firstLineChars="100"/>
              <w:jc w:val="center"/>
              <w:rPr>
                <w:rFonts w:ascii="Times New Roman" w:hAnsi="Times New Roman" w:eastAsia="黑体"/>
                <w:b/>
                <w:bCs/>
                <w:sz w:val="28"/>
                <w:szCs w:val="28"/>
              </w:rPr>
            </w:pPr>
            <w:r>
              <w:rPr>
                <w:rFonts w:ascii="Times New Roman" w:hAnsi="Times New Roman" w:eastAsia="黑体"/>
                <w:bCs/>
                <w:sz w:val="28"/>
                <w:szCs w:val="28"/>
              </w:rPr>
              <w:t>编制单位：</w:t>
            </w:r>
            <w:r>
              <w:rPr>
                <w:rFonts w:hint="eastAsia" w:ascii="Times New Roman" w:hAnsi="Times New Roman" w:eastAsia="黑体"/>
                <w:bCs/>
                <w:sz w:val="28"/>
                <w:szCs w:val="28"/>
              </w:rPr>
              <w:t>南充市顺庆区芦溪农机加油站</w:t>
            </w:r>
          </w:p>
        </w:tc>
      </w:tr>
      <w:tr>
        <w:tblPrEx>
          <w:tblLayout w:type="fixed"/>
          <w:tblCellMar>
            <w:top w:w="0" w:type="dxa"/>
            <w:left w:w="108" w:type="dxa"/>
            <w:bottom w:w="0" w:type="dxa"/>
            <w:right w:w="108" w:type="dxa"/>
          </w:tblCellMar>
        </w:tblPrEx>
        <w:trPr>
          <w:jc w:val="center"/>
        </w:trPr>
        <w:tc>
          <w:tcPr>
            <w:tcW w:w="8448" w:type="dxa"/>
            <w:vAlign w:val="center"/>
          </w:tcPr>
          <w:p>
            <w:pPr>
              <w:ind w:firstLine="280" w:firstLineChars="100"/>
              <w:jc w:val="center"/>
              <w:rPr>
                <w:rFonts w:ascii="Times New Roman" w:hAnsi="Times New Roman"/>
                <w:sz w:val="28"/>
                <w:szCs w:val="28"/>
              </w:rPr>
            </w:pPr>
            <w:r>
              <w:rPr>
                <w:rFonts w:ascii="Times New Roman" w:hAnsi="Times New Roman" w:eastAsia="黑体"/>
                <w:bCs/>
                <w:sz w:val="28"/>
                <w:szCs w:val="28"/>
              </w:rPr>
              <w:t>编制时间：</w:t>
            </w:r>
            <w:r>
              <w:rPr>
                <w:rFonts w:hint="eastAsia" w:ascii="Times New Roman" w:hAnsi="Times New Roman" w:eastAsia="黑体"/>
                <w:bCs/>
                <w:sz w:val="28"/>
                <w:szCs w:val="28"/>
              </w:rPr>
              <w:t>2020</w:t>
            </w:r>
            <w:r>
              <w:rPr>
                <w:rFonts w:ascii="Times New Roman" w:hAnsi="Times New Roman" w:eastAsia="黑体"/>
                <w:bCs/>
                <w:sz w:val="28"/>
                <w:szCs w:val="28"/>
              </w:rPr>
              <w:t>年</w:t>
            </w:r>
            <w:r>
              <w:rPr>
                <w:rFonts w:hint="eastAsia" w:ascii="Times New Roman" w:hAnsi="Times New Roman" w:eastAsia="黑体"/>
                <w:bCs/>
                <w:sz w:val="28"/>
                <w:szCs w:val="28"/>
                <w:lang w:val="en-US" w:eastAsia="zh-CN"/>
              </w:rPr>
              <w:t>6</w:t>
            </w:r>
            <w:r>
              <w:rPr>
                <w:rFonts w:ascii="Times New Roman" w:hAnsi="Times New Roman" w:eastAsia="黑体"/>
                <w:bCs/>
                <w:sz w:val="28"/>
                <w:szCs w:val="28"/>
              </w:rPr>
              <w:t>月</w:t>
            </w:r>
          </w:p>
        </w:tc>
      </w:tr>
    </w:tbl>
    <w:p>
      <w:pPr>
        <w:rPr>
          <w:rFonts w:ascii="Times New Roman" w:hAnsi="Times New Roman"/>
        </w:rPr>
        <w:sectPr>
          <w:headerReference r:id="rId3" w:type="default"/>
          <w:footerReference r:id="rId4" w:type="default"/>
          <w:pgSz w:w="11906" w:h="16838"/>
          <w:pgMar w:top="1418" w:right="1134" w:bottom="1134" w:left="1134" w:header="851" w:footer="992" w:gutter="0"/>
          <w:cols w:space="720" w:num="1"/>
          <w:docGrid w:type="lines" w:linePitch="312" w:charSpace="0"/>
        </w:sectPr>
      </w:pPr>
    </w:p>
    <w:p>
      <w:pPr>
        <w:pStyle w:val="3"/>
        <w:rPr>
          <w:rFonts w:ascii="Times New Roman" w:hAnsi="Times New Roman"/>
        </w:rPr>
      </w:pPr>
      <w:bookmarkStart w:id="1" w:name="_Toc518639221"/>
      <w:bookmarkStart w:id="2" w:name="_Toc504407613"/>
      <w:bookmarkStart w:id="3" w:name="_Toc2847117"/>
      <w:bookmarkStart w:id="4" w:name="_Toc2847278"/>
      <w:bookmarkStart w:id="5" w:name="_Toc504674260"/>
      <w:bookmarkStart w:id="6" w:name="_Toc7617"/>
      <w:bookmarkStart w:id="7" w:name="_Toc3591"/>
      <w:bookmarkStart w:id="8" w:name="_Toc502005956"/>
      <w:bookmarkStart w:id="9" w:name="_Toc504412373"/>
      <w:bookmarkStart w:id="10" w:name="_Toc2846925"/>
      <w:bookmarkStart w:id="11" w:name="_Toc504946217"/>
      <w:bookmarkStart w:id="12" w:name="_Toc508113621"/>
      <w:bookmarkStart w:id="13" w:name="_Toc3587"/>
      <w:bookmarkStart w:id="14" w:name="_Toc518109000"/>
      <w:bookmarkStart w:id="15" w:name="_Toc497429442"/>
      <w:bookmarkStart w:id="16" w:name="_Toc509532244"/>
      <w:bookmarkStart w:id="17" w:name="_Toc481937753"/>
      <w:bookmarkStart w:id="18" w:name="_Toc485124504"/>
      <w:bookmarkStart w:id="19" w:name="_Toc488149853"/>
      <w:bookmarkStart w:id="20" w:name="_Toc488149796"/>
      <w:r>
        <w:rPr>
          <w:rFonts w:ascii="Times New Roman" w:hAnsi="Times New Roman"/>
        </w:rPr>
        <w:t>前言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360" w:lineRule="auto"/>
        <w:ind w:firstLine="560" w:firstLineChars="200"/>
        <w:jc w:val="left"/>
        <w:rPr>
          <w:rFonts w:ascii="Times New Roman" w:hAnsi="Times New Roman"/>
          <w:sz w:val="28"/>
          <w:szCs w:val="28"/>
        </w:rPr>
      </w:pPr>
      <w:r>
        <w:rPr>
          <w:rFonts w:ascii="Times New Roman" w:hAnsi="Times New Roman"/>
          <w:sz w:val="28"/>
          <w:szCs w:val="28"/>
        </w:rPr>
        <w:t>根据《中华人民共和国安全生产法》及《生产安全事故应急预案管理办法》（</w:t>
      </w:r>
      <w:r>
        <w:rPr>
          <w:rFonts w:hint="eastAsia" w:ascii="Times New Roman" w:hAnsi="Times New Roman"/>
          <w:sz w:val="28"/>
          <w:szCs w:val="28"/>
        </w:rPr>
        <w:t>2016年6月3日国家安全生产监督管理总局令第88号公布，根据2019年7月11日应急管理部令第2号修正</w:t>
      </w:r>
      <w:r>
        <w:rPr>
          <w:rFonts w:ascii="Times New Roman" w:hAnsi="Times New Roman"/>
          <w:sz w:val="28"/>
          <w:szCs w:val="28"/>
        </w:rPr>
        <w:t xml:space="preserve">）要求，“第十条 </w:t>
      </w:r>
      <w:r>
        <w:rPr>
          <w:rFonts w:hint="eastAsia" w:ascii="Times New Roman" w:hAnsi="Times New Roman"/>
          <w:sz w:val="28"/>
          <w:szCs w:val="28"/>
        </w:rPr>
        <w:t>编制应急预案前，编制单位应当进行事故风险辨识、评估和应急资源调查</w:t>
      </w:r>
      <w:r>
        <w:rPr>
          <w:rFonts w:ascii="Times New Roman" w:hAnsi="Times New Roman"/>
          <w:sz w:val="28"/>
          <w:szCs w:val="28"/>
        </w:rPr>
        <w:t xml:space="preserve">。” </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事故风险评估，是指针对不同事故种类及特点，识别存在的危险、危害因素，分析事故可能产生的直接后果以及次生、衍生后果，评估各种后果的危险程度和影响范围，提出防范和控制事故风险措施的过程。</w:t>
      </w:r>
    </w:p>
    <w:p>
      <w:pPr>
        <w:spacing w:line="360" w:lineRule="auto"/>
        <w:ind w:firstLine="560" w:firstLineChars="200"/>
        <w:jc w:val="left"/>
        <w:rPr>
          <w:rFonts w:ascii="Times New Roman" w:hAnsi="Times New Roman"/>
          <w:sz w:val="28"/>
          <w:szCs w:val="28"/>
        </w:rPr>
      </w:pPr>
      <w:r>
        <w:rPr>
          <w:rFonts w:ascii="Times New Roman" w:hAnsi="Times New Roman"/>
          <w:sz w:val="28"/>
          <w:szCs w:val="28"/>
        </w:rPr>
        <w:t>为进一步降低和消除加油站各类事故带来的灾难，做好生产安全事故应急预案编制工作，在组织相关人员开展事故分析评估的基础上，编制完成了《</w:t>
      </w:r>
      <w:r>
        <w:rPr>
          <w:rFonts w:hint="eastAsia" w:ascii="Times New Roman" w:hAnsi="Times New Roman"/>
          <w:sz w:val="28"/>
          <w:szCs w:val="28"/>
        </w:rPr>
        <w:t>事故风险辨识评估报告</w:t>
      </w:r>
      <w:r>
        <w:rPr>
          <w:rFonts w:ascii="Times New Roman" w:hAnsi="Times New Roman"/>
          <w:sz w:val="28"/>
          <w:szCs w:val="28"/>
        </w:rPr>
        <w:t>》，以便于发生事故后遵照执行。编制《</w:t>
      </w:r>
      <w:r>
        <w:rPr>
          <w:rFonts w:hint="eastAsia" w:ascii="Times New Roman" w:hAnsi="Times New Roman"/>
          <w:sz w:val="28"/>
          <w:szCs w:val="28"/>
        </w:rPr>
        <w:t>事故风险辨识评估报告</w:t>
      </w:r>
      <w:r>
        <w:rPr>
          <w:rFonts w:ascii="Times New Roman" w:hAnsi="Times New Roman"/>
          <w:sz w:val="28"/>
          <w:szCs w:val="28"/>
        </w:rPr>
        <w:t>》的目的是在加油站一旦发生事故后在抢险救援方面有章可循，避免因慌乱而耽误救援时间，造成不必要的人员伤亡和财产损失。事故风险分析报告主要内容包括：事故风险评估目的、事故风险评估原则、企业概况、事故风险评估组织、事故风险评估过程、事故风险评估范围、危险、有害因素辨识与分析、预防控制措施、评估结论。主要识别加油站潜在的危险、有害因素，分析事故的可能性及产生后果的严重性，评估各类后果的危害程度和影响范围。</w:t>
      </w:r>
    </w:p>
    <w:p>
      <w:pPr>
        <w:pStyle w:val="3"/>
        <w:rPr>
          <w:rFonts w:ascii="Times New Roman" w:hAnsi="Times New Roman"/>
        </w:rPr>
      </w:pPr>
      <w:bookmarkStart w:id="21" w:name="_Toc504946218"/>
      <w:bookmarkStart w:id="22" w:name="_Toc2846926"/>
      <w:bookmarkStart w:id="23" w:name="_Toc504674261"/>
      <w:bookmarkStart w:id="24" w:name="_Toc504407614"/>
      <w:bookmarkStart w:id="25" w:name="_Toc518639222"/>
      <w:bookmarkStart w:id="26" w:name="_Toc509532245"/>
      <w:bookmarkStart w:id="27" w:name="_Toc508113622"/>
      <w:bookmarkStart w:id="28" w:name="_Toc502005957"/>
      <w:bookmarkStart w:id="29" w:name="_Toc497429443"/>
      <w:bookmarkStart w:id="30" w:name="_Toc504412374"/>
      <w:bookmarkStart w:id="31" w:name="_Toc518109001"/>
      <w:r>
        <w:rPr>
          <w:rFonts w:ascii="Times New Roman" w:hAnsi="Times New Roman"/>
        </w:rPr>
        <w:br w:type="page"/>
      </w:r>
      <w:bookmarkStart w:id="32" w:name="_Toc2847118"/>
      <w:bookmarkStart w:id="33" w:name="_Toc29608"/>
      <w:bookmarkStart w:id="34" w:name="_Toc2847279"/>
      <w:bookmarkStart w:id="35" w:name="_Toc81"/>
      <w:bookmarkStart w:id="36" w:name="_Toc23051"/>
      <w:r>
        <w:rPr>
          <w:rFonts w:ascii="Times New Roman" w:hAnsi="Times New Roman"/>
        </w:rPr>
        <w:t>目  录</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38"/>
        <w:tabs>
          <w:tab w:val="right" w:leader="dot" w:pos="9638"/>
        </w:tabs>
      </w:pPr>
      <w:r>
        <w:fldChar w:fldCharType="begin"/>
      </w:r>
      <w:r>
        <w:rPr>
          <w:rFonts w:hint="eastAsia"/>
        </w:rPr>
        <w:instrText xml:space="preserve">TOC \o "2-3" \h \z \t "标题 1,1,前言、引言标题,1"</w:instrText>
      </w:r>
      <w:r>
        <w:fldChar w:fldCharType="separate"/>
      </w:r>
    </w:p>
    <w:p>
      <w:pPr>
        <w:pStyle w:val="38"/>
        <w:tabs>
          <w:tab w:val="right" w:leader="dot" w:pos="9638"/>
        </w:tabs>
      </w:pPr>
      <w:r>
        <w:fldChar w:fldCharType="begin"/>
      </w:r>
      <w:r>
        <w:instrText xml:space="preserve"> HYPERLINK \l _Toc18247 </w:instrText>
      </w:r>
      <w:r>
        <w:fldChar w:fldCharType="separate"/>
      </w:r>
      <w:r>
        <w:t>1 概述</w:t>
      </w:r>
      <w:r>
        <w:tab/>
      </w:r>
      <w:r>
        <w:fldChar w:fldCharType="begin"/>
      </w:r>
      <w:r>
        <w:instrText xml:space="preserve"> PAGEREF _Toc18247 </w:instrText>
      </w:r>
      <w:r>
        <w:fldChar w:fldCharType="separate"/>
      </w:r>
      <w:r>
        <w:t>1</w:t>
      </w:r>
      <w:r>
        <w:fldChar w:fldCharType="end"/>
      </w:r>
      <w:r>
        <w:fldChar w:fldCharType="end"/>
      </w:r>
    </w:p>
    <w:p>
      <w:pPr>
        <w:pStyle w:val="45"/>
        <w:tabs>
          <w:tab w:val="right" w:leader="dot" w:pos="9638"/>
        </w:tabs>
      </w:pPr>
      <w:r>
        <w:fldChar w:fldCharType="begin"/>
      </w:r>
      <w:r>
        <w:instrText xml:space="preserve"> HYPERLINK \l _Toc27463 </w:instrText>
      </w:r>
      <w:r>
        <w:fldChar w:fldCharType="separate"/>
      </w:r>
      <w:r>
        <w:t>1.1 评估的主要依据</w:t>
      </w:r>
      <w:r>
        <w:tab/>
      </w:r>
      <w:r>
        <w:fldChar w:fldCharType="begin"/>
      </w:r>
      <w:r>
        <w:instrText xml:space="preserve"> PAGEREF _Toc27463 </w:instrText>
      </w:r>
      <w:r>
        <w:fldChar w:fldCharType="separate"/>
      </w:r>
      <w:r>
        <w:t>1</w:t>
      </w:r>
      <w:r>
        <w:fldChar w:fldCharType="end"/>
      </w:r>
      <w:r>
        <w:fldChar w:fldCharType="end"/>
      </w:r>
    </w:p>
    <w:p>
      <w:pPr>
        <w:pStyle w:val="29"/>
        <w:tabs>
          <w:tab w:val="right" w:leader="dot" w:pos="9638"/>
        </w:tabs>
      </w:pPr>
      <w:r>
        <w:fldChar w:fldCharType="begin"/>
      </w:r>
      <w:r>
        <w:instrText xml:space="preserve"> HYPERLINK \l _Toc23838 </w:instrText>
      </w:r>
      <w:r>
        <w:fldChar w:fldCharType="separate"/>
      </w:r>
      <w:r>
        <w:rPr>
          <w:szCs w:val="28"/>
        </w:rPr>
        <w:t>1.1.1 相关法律、法规</w:t>
      </w:r>
      <w:r>
        <w:tab/>
      </w:r>
      <w:r>
        <w:fldChar w:fldCharType="begin"/>
      </w:r>
      <w:r>
        <w:instrText xml:space="preserve"> PAGEREF _Toc23838 </w:instrText>
      </w:r>
      <w:r>
        <w:fldChar w:fldCharType="separate"/>
      </w:r>
      <w:r>
        <w:t>1</w:t>
      </w:r>
      <w:r>
        <w:fldChar w:fldCharType="end"/>
      </w:r>
      <w:r>
        <w:fldChar w:fldCharType="end"/>
      </w:r>
    </w:p>
    <w:p>
      <w:pPr>
        <w:pStyle w:val="29"/>
        <w:tabs>
          <w:tab w:val="right" w:leader="dot" w:pos="9638"/>
        </w:tabs>
      </w:pPr>
      <w:r>
        <w:fldChar w:fldCharType="begin"/>
      </w:r>
      <w:r>
        <w:instrText xml:space="preserve"> HYPERLINK \l _Toc19272 </w:instrText>
      </w:r>
      <w:r>
        <w:fldChar w:fldCharType="separate"/>
      </w:r>
      <w:r>
        <w:rPr>
          <w:szCs w:val="28"/>
        </w:rPr>
        <w:t>1.1.2 相关标准、规范</w:t>
      </w:r>
      <w:r>
        <w:tab/>
      </w:r>
      <w:r>
        <w:fldChar w:fldCharType="begin"/>
      </w:r>
      <w:r>
        <w:instrText xml:space="preserve"> PAGEREF _Toc19272 </w:instrText>
      </w:r>
      <w:r>
        <w:fldChar w:fldCharType="separate"/>
      </w:r>
      <w:r>
        <w:t>1</w:t>
      </w:r>
      <w:r>
        <w:fldChar w:fldCharType="end"/>
      </w:r>
      <w:r>
        <w:fldChar w:fldCharType="end"/>
      </w:r>
    </w:p>
    <w:p>
      <w:pPr>
        <w:pStyle w:val="45"/>
        <w:tabs>
          <w:tab w:val="right" w:leader="dot" w:pos="9638"/>
        </w:tabs>
      </w:pPr>
      <w:r>
        <w:fldChar w:fldCharType="begin"/>
      </w:r>
      <w:r>
        <w:instrText xml:space="preserve"> HYPERLINK \l _Toc24107 </w:instrText>
      </w:r>
      <w:r>
        <w:fldChar w:fldCharType="separate"/>
      </w:r>
      <w:r>
        <w:rPr>
          <w:szCs w:val="28"/>
        </w:rPr>
        <w:t>1.2 评估目的</w:t>
      </w:r>
      <w:r>
        <w:tab/>
      </w:r>
      <w:r>
        <w:fldChar w:fldCharType="begin"/>
      </w:r>
      <w:r>
        <w:instrText xml:space="preserve"> PAGEREF _Toc24107 </w:instrText>
      </w:r>
      <w:r>
        <w:fldChar w:fldCharType="separate"/>
      </w:r>
      <w:r>
        <w:t>2</w:t>
      </w:r>
      <w:r>
        <w:fldChar w:fldCharType="end"/>
      </w:r>
      <w:r>
        <w:fldChar w:fldCharType="end"/>
      </w:r>
    </w:p>
    <w:p>
      <w:pPr>
        <w:pStyle w:val="45"/>
        <w:tabs>
          <w:tab w:val="right" w:leader="dot" w:pos="9638"/>
        </w:tabs>
      </w:pPr>
      <w:r>
        <w:fldChar w:fldCharType="begin"/>
      </w:r>
      <w:r>
        <w:instrText xml:space="preserve"> HYPERLINK \l _Toc21516 </w:instrText>
      </w:r>
      <w:r>
        <w:fldChar w:fldCharType="separate"/>
      </w:r>
      <w:r>
        <w:rPr>
          <w:szCs w:val="28"/>
        </w:rPr>
        <w:t>1.3 风险评估范围</w:t>
      </w:r>
      <w:r>
        <w:tab/>
      </w:r>
      <w:r>
        <w:fldChar w:fldCharType="begin"/>
      </w:r>
      <w:r>
        <w:instrText xml:space="preserve"> PAGEREF _Toc21516 </w:instrText>
      </w:r>
      <w:r>
        <w:fldChar w:fldCharType="separate"/>
      </w:r>
      <w:r>
        <w:t>2</w:t>
      </w:r>
      <w:r>
        <w:fldChar w:fldCharType="end"/>
      </w:r>
      <w:r>
        <w:fldChar w:fldCharType="end"/>
      </w:r>
    </w:p>
    <w:p>
      <w:pPr>
        <w:pStyle w:val="45"/>
        <w:tabs>
          <w:tab w:val="right" w:leader="dot" w:pos="9638"/>
        </w:tabs>
      </w:pPr>
      <w:r>
        <w:fldChar w:fldCharType="begin"/>
      </w:r>
      <w:r>
        <w:instrText xml:space="preserve"> HYPERLINK \l _Toc21180 </w:instrText>
      </w:r>
      <w:r>
        <w:fldChar w:fldCharType="separate"/>
      </w:r>
      <w:r>
        <w:rPr>
          <w:szCs w:val="28"/>
        </w:rPr>
        <w:t>1.4 评估程序</w:t>
      </w:r>
      <w:r>
        <w:tab/>
      </w:r>
      <w:r>
        <w:fldChar w:fldCharType="begin"/>
      </w:r>
      <w:r>
        <w:instrText xml:space="preserve"> PAGEREF _Toc21180 </w:instrText>
      </w:r>
      <w:r>
        <w:fldChar w:fldCharType="separate"/>
      </w:r>
      <w:r>
        <w:t>2</w:t>
      </w:r>
      <w:r>
        <w:fldChar w:fldCharType="end"/>
      </w:r>
      <w:r>
        <w:fldChar w:fldCharType="end"/>
      </w:r>
    </w:p>
    <w:p>
      <w:pPr>
        <w:pStyle w:val="38"/>
        <w:tabs>
          <w:tab w:val="right" w:leader="dot" w:pos="9638"/>
        </w:tabs>
      </w:pPr>
      <w:r>
        <w:fldChar w:fldCharType="begin"/>
      </w:r>
      <w:r>
        <w:instrText xml:space="preserve"> HYPERLINK \l _Toc19999 </w:instrText>
      </w:r>
      <w:r>
        <w:fldChar w:fldCharType="separate"/>
      </w:r>
      <w:r>
        <w:t>2 企业基本情况</w:t>
      </w:r>
      <w:r>
        <w:tab/>
      </w:r>
      <w:r>
        <w:fldChar w:fldCharType="begin"/>
      </w:r>
      <w:r>
        <w:instrText xml:space="preserve"> PAGEREF _Toc19999 </w:instrText>
      </w:r>
      <w:r>
        <w:fldChar w:fldCharType="separate"/>
      </w:r>
      <w:r>
        <w:t>3</w:t>
      </w:r>
      <w:r>
        <w:fldChar w:fldCharType="end"/>
      </w:r>
      <w:r>
        <w:fldChar w:fldCharType="end"/>
      </w:r>
    </w:p>
    <w:p>
      <w:pPr>
        <w:pStyle w:val="45"/>
        <w:tabs>
          <w:tab w:val="right" w:leader="dot" w:pos="9638"/>
        </w:tabs>
      </w:pPr>
      <w:r>
        <w:fldChar w:fldCharType="begin"/>
      </w:r>
      <w:r>
        <w:instrText xml:space="preserve"> HYPERLINK \l _Toc10741 </w:instrText>
      </w:r>
      <w:r>
        <w:fldChar w:fldCharType="separate"/>
      </w:r>
      <w:r>
        <w:t>2.1 企业概况</w:t>
      </w:r>
      <w:r>
        <w:tab/>
      </w:r>
      <w:r>
        <w:fldChar w:fldCharType="begin"/>
      </w:r>
      <w:r>
        <w:instrText xml:space="preserve"> PAGEREF _Toc10741 </w:instrText>
      </w:r>
      <w:r>
        <w:fldChar w:fldCharType="separate"/>
      </w:r>
      <w:r>
        <w:t>3</w:t>
      </w:r>
      <w:r>
        <w:fldChar w:fldCharType="end"/>
      </w:r>
      <w:r>
        <w:fldChar w:fldCharType="end"/>
      </w:r>
    </w:p>
    <w:p>
      <w:pPr>
        <w:pStyle w:val="45"/>
        <w:tabs>
          <w:tab w:val="right" w:leader="dot" w:pos="9638"/>
        </w:tabs>
      </w:pPr>
      <w:r>
        <w:fldChar w:fldCharType="begin"/>
      </w:r>
      <w:r>
        <w:instrText xml:space="preserve"> HYPERLINK \l _Toc11244 </w:instrText>
      </w:r>
      <w:r>
        <w:fldChar w:fldCharType="separate"/>
      </w:r>
      <w:r>
        <w:t>2.2 企业位置及周边关系</w:t>
      </w:r>
      <w:r>
        <w:tab/>
      </w:r>
      <w:r>
        <w:fldChar w:fldCharType="begin"/>
      </w:r>
      <w:r>
        <w:instrText xml:space="preserve"> PAGEREF _Toc11244 </w:instrText>
      </w:r>
      <w:r>
        <w:fldChar w:fldCharType="separate"/>
      </w:r>
      <w:r>
        <w:t>3</w:t>
      </w:r>
      <w:r>
        <w:fldChar w:fldCharType="end"/>
      </w:r>
      <w:r>
        <w:fldChar w:fldCharType="end"/>
      </w:r>
    </w:p>
    <w:p>
      <w:pPr>
        <w:pStyle w:val="45"/>
        <w:tabs>
          <w:tab w:val="right" w:leader="dot" w:pos="9638"/>
        </w:tabs>
      </w:pPr>
      <w:r>
        <w:fldChar w:fldCharType="begin"/>
      </w:r>
      <w:r>
        <w:instrText xml:space="preserve"> HYPERLINK \l _Toc12493 </w:instrText>
      </w:r>
      <w:r>
        <w:fldChar w:fldCharType="separate"/>
      </w:r>
      <w:r>
        <w:rPr>
          <w:rFonts w:hint="eastAsia"/>
        </w:rPr>
        <w:t>2.3总平面布置</w:t>
      </w:r>
      <w:r>
        <w:tab/>
      </w:r>
      <w:r>
        <w:fldChar w:fldCharType="begin"/>
      </w:r>
      <w:r>
        <w:instrText xml:space="preserve"> PAGEREF _Toc12493 </w:instrText>
      </w:r>
      <w:r>
        <w:fldChar w:fldCharType="separate"/>
      </w:r>
      <w:r>
        <w:t>5</w:t>
      </w:r>
      <w:r>
        <w:fldChar w:fldCharType="end"/>
      </w:r>
      <w:r>
        <w:fldChar w:fldCharType="end"/>
      </w:r>
    </w:p>
    <w:p>
      <w:pPr>
        <w:pStyle w:val="45"/>
        <w:tabs>
          <w:tab w:val="right" w:leader="dot" w:pos="9638"/>
        </w:tabs>
      </w:pPr>
      <w:r>
        <w:fldChar w:fldCharType="begin"/>
      </w:r>
      <w:r>
        <w:instrText xml:space="preserve"> HYPERLINK \l _Toc24653 </w:instrText>
      </w:r>
      <w:r>
        <w:fldChar w:fldCharType="separate"/>
      </w:r>
      <w:r>
        <w:t>2.</w:t>
      </w:r>
      <w:r>
        <w:rPr>
          <w:rFonts w:hint="eastAsia"/>
        </w:rPr>
        <w:t>4</w:t>
      </w:r>
      <w:r>
        <w:t xml:space="preserve"> 工艺流程简述</w:t>
      </w:r>
      <w:r>
        <w:tab/>
      </w:r>
      <w:r>
        <w:fldChar w:fldCharType="begin"/>
      </w:r>
      <w:r>
        <w:instrText xml:space="preserve"> PAGEREF _Toc24653 </w:instrText>
      </w:r>
      <w:r>
        <w:fldChar w:fldCharType="separate"/>
      </w:r>
      <w:r>
        <w:t>7</w:t>
      </w:r>
      <w:r>
        <w:fldChar w:fldCharType="end"/>
      </w:r>
      <w:r>
        <w:fldChar w:fldCharType="end"/>
      </w:r>
    </w:p>
    <w:p>
      <w:pPr>
        <w:pStyle w:val="29"/>
        <w:tabs>
          <w:tab w:val="right" w:leader="dot" w:pos="9638"/>
        </w:tabs>
      </w:pPr>
      <w:r>
        <w:fldChar w:fldCharType="begin"/>
      </w:r>
      <w:r>
        <w:instrText xml:space="preserve"> HYPERLINK \l _Toc15384 </w:instrText>
      </w:r>
      <w:r>
        <w:fldChar w:fldCharType="separate"/>
      </w:r>
      <w:r>
        <w:rPr>
          <w:rFonts w:hint="eastAsia"/>
          <w:szCs w:val="28"/>
        </w:rPr>
        <w:t>2.4.1加油站主要设备、设施现状</w:t>
      </w:r>
      <w:r>
        <w:tab/>
      </w:r>
      <w:r>
        <w:fldChar w:fldCharType="begin"/>
      </w:r>
      <w:r>
        <w:instrText xml:space="preserve"> PAGEREF _Toc15384 </w:instrText>
      </w:r>
      <w:r>
        <w:fldChar w:fldCharType="separate"/>
      </w:r>
      <w:r>
        <w:t>8</w:t>
      </w:r>
      <w:r>
        <w:fldChar w:fldCharType="end"/>
      </w:r>
      <w:r>
        <w:fldChar w:fldCharType="end"/>
      </w:r>
    </w:p>
    <w:p>
      <w:pPr>
        <w:pStyle w:val="29"/>
        <w:tabs>
          <w:tab w:val="right" w:leader="dot" w:pos="9638"/>
        </w:tabs>
      </w:pPr>
      <w:r>
        <w:fldChar w:fldCharType="begin"/>
      </w:r>
      <w:r>
        <w:instrText xml:space="preserve"> HYPERLINK \l _Toc15300 </w:instrText>
      </w:r>
      <w:r>
        <w:fldChar w:fldCharType="separate"/>
      </w:r>
      <w:r>
        <w:rPr>
          <w:rFonts w:hint="eastAsia"/>
          <w:szCs w:val="28"/>
        </w:rPr>
        <w:t>2.4.2设备设施检测情况</w:t>
      </w:r>
      <w:r>
        <w:tab/>
      </w:r>
      <w:r>
        <w:fldChar w:fldCharType="begin"/>
      </w:r>
      <w:r>
        <w:instrText xml:space="preserve"> PAGEREF _Toc15300 </w:instrText>
      </w:r>
      <w:r>
        <w:fldChar w:fldCharType="separate"/>
      </w:r>
      <w:r>
        <w:t>9</w:t>
      </w:r>
      <w:r>
        <w:fldChar w:fldCharType="end"/>
      </w:r>
      <w:r>
        <w:fldChar w:fldCharType="end"/>
      </w:r>
    </w:p>
    <w:p>
      <w:pPr>
        <w:pStyle w:val="29"/>
        <w:tabs>
          <w:tab w:val="right" w:leader="dot" w:pos="9638"/>
        </w:tabs>
      </w:pPr>
      <w:r>
        <w:fldChar w:fldCharType="begin"/>
      </w:r>
      <w:r>
        <w:instrText xml:space="preserve"> HYPERLINK \l _Toc19913 </w:instrText>
      </w:r>
      <w:r>
        <w:fldChar w:fldCharType="separate"/>
      </w:r>
      <w:r>
        <w:rPr>
          <w:rFonts w:hint="eastAsia"/>
        </w:rPr>
        <w:t>2.4.3建构筑物基本情况</w:t>
      </w:r>
      <w:r>
        <w:tab/>
      </w:r>
      <w:r>
        <w:fldChar w:fldCharType="begin"/>
      </w:r>
      <w:r>
        <w:instrText xml:space="preserve"> PAGEREF _Toc19913 </w:instrText>
      </w:r>
      <w:r>
        <w:fldChar w:fldCharType="separate"/>
      </w:r>
      <w:r>
        <w:t>9</w:t>
      </w:r>
      <w:r>
        <w:fldChar w:fldCharType="end"/>
      </w:r>
      <w:r>
        <w:fldChar w:fldCharType="end"/>
      </w:r>
    </w:p>
    <w:p>
      <w:pPr>
        <w:pStyle w:val="45"/>
        <w:tabs>
          <w:tab w:val="right" w:leader="dot" w:pos="9638"/>
        </w:tabs>
      </w:pPr>
      <w:r>
        <w:fldChar w:fldCharType="begin"/>
      </w:r>
      <w:r>
        <w:instrText xml:space="preserve"> HYPERLINK \l _Toc17933 </w:instrText>
      </w:r>
      <w:r>
        <w:fldChar w:fldCharType="separate"/>
      </w:r>
      <w:r>
        <w:rPr>
          <w:rFonts w:hint="eastAsia" w:ascii="宋体" w:hAnsi="宋体" w:cs="宋体"/>
          <w:szCs w:val="28"/>
        </w:rPr>
        <w:t>2.5公用辅助工程</w:t>
      </w:r>
      <w:r>
        <w:tab/>
      </w:r>
      <w:r>
        <w:fldChar w:fldCharType="begin"/>
      </w:r>
      <w:r>
        <w:instrText xml:space="preserve"> PAGEREF _Toc17933 </w:instrText>
      </w:r>
      <w:r>
        <w:fldChar w:fldCharType="separate"/>
      </w:r>
      <w:r>
        <w:t>9</w:t>
      </w:r>
      <w:r>
        <w:fldChar w:fldCharType="end"/>
      </w:r>
      <w:r>
        <w:fldChar w:fldCharType="end"/>
      </w:r>
    </w:p>
    <w:p>
      <w:pPr>
        <w:pStyle w:val="29"/>
        <w:tabs>
          <w:tab w:val="right" w:leader="dot" w:pos="9638"/>
        </w:tabs>
      </w:pPr>
      <w:r>
        <w:fldChar w:fldCharType="begin"/>
      </w:r>
      <w:r>
        <w:instrText xml:space="preserve"> HYPERLINK \l _Toc28153 </w:instrText>
      </w:r>
      <w:r>
        <w:fldChar w:fldCharType="separate"/>
      </w:r>
      <w:r>
        <w:rPr>
          <w:rFonts w:hint="eastAsia" w:ascii="宋体" w:hAnsi="宋体" w:cs="宋体"/>
          <w:szCs w:val="28"/>
        </w:rPr>
        <w:t>2.5.1 供电</w:t>
      </w:r>
      <w:r>
        <w:tab/>
      </w:r>
      <w:r>
        <w:fldChar w:fldCharType="begin"/>
      </w:r>
      <w:r>
        <w:instrText xml:space="preserve"> PAGEREF _Toc28153 </w:instrText>
      </w:r>
      <w:r>
        <w:fldChar w:fldCharType="separate"/>
      </w:r>
      <w:r>
        <w:t>9</w:t>
      </w:r>
      <w:r>
        <w:fldChar w:fldCharType="end"/>
      </w:r>
      <w:r>
        <w:fldChar w:fldCharType="end"/>
      </w:r>
    </w:p>
    <w:p>
      <w:pPr>
        <w:pStyle w:val="29"/>
        <w:tabs>
          <w:tab w:val="right" w:leader="dot" w:pos="9638"/>
        </w:tabs>
      </w:pPr>
      <w:r>
        <w:fldChar w:fldCharType="begin"/>
      </w:r>
      <w:r>
        <w:instrText xml:space="preserve"> HYPERLINK \l _Toc12544 </w:instrText>
      </w:r>
      <w:r>
        <w:fldChar w:fldCharType="separate"/>
      </w:r>
      <w:r>
        <w:rPr>
          <w:rFonts w:hint="eastAsia" w:ascii="宋体" w:hAnsi="宋体" w:cs="宋体"/>
          <w:szCs w:val="28"/>
        </w:rPr>
        <w:t>2.5.2 给排水</w:t>
      </w:r>
      <w:r>
        <w:tab/>
      </w:r>
      <w:r>
        <w:fldChar w:fldCharType="begin"/>
      </w:r>
      <w:r>
        <w:instrText xml:space="preserve"> PAGEREF _Toc12544 </w:instrText>
      </w:r>
      <w:r>
        <w:fldChar w:fldCharType="separate"/>
      </w:r>
      <w:r>
        <w:t>10</w:t>
      </w:r>
      <w:r>
        <w:fldChar w:fldCharType="end"/>
      </w:r>
      <w:r>
        <w:fldChar w:fldCharType="end"/>
      </w:r>
    </w:p>
    <w:p>
      <w:pPr>
        <w:pStyle w:val="29"/>
        <w:tabs>
          <w:tab w:val="right" w:leader="dot" w:pos="9638"/>
        </w:tabs>
      </w:pPr>
      <w:r>
        <w:fldChar w:fldCharType="begin"/>
      </w:r>
      <w:r>
        <w:instrText xml:space="preserve"> HYPERLINK \l _Toc12468 </w:instrText>
      </w:r>
      <w:r>
        <w:fldChar w:fldCharType="separate"/>
      </w:r>
      <w:r>
        <w:rPr>
          <w:rFonts w:hint="eastAsia" w:ascii="宋体" w:hAnsi="宋体" w:cs="宋体"/>
          <w:szCs w:val="28"/>
        </w:rPr>
        <w:t>2.5.3 消防</w:t>
      </w:r>
      <w:r>
        <w:tab/>
      </w:r>
      <w:r>
        <w:fldChar w:fldCharType="begin"/>
      </w:r>
      <w:r>
        <w:instrText xml:space="preserve"> PAGEREF _Toc12468 </w:instrText>
      </w:r>
      <w:r>
        <w:fldChar w:fldCharType="separate"/>
      </w:r>
      <w:r>
        <w:t>10</w:t>
      </w:r>
      <w:r>
        <w:fldChar w:fldCharType="end"/>
      </w:r>
      <w:r>
        <w:fldChar w:fldCharType="end"/>
      </w:r>
    </w:p>
    <w:p>
      <w:pPr>
        <w:pStyle w:val="29"/>
        <w:tabs>
          <w:tab w:val="right" w:leader="dot" w:pos="9638"/>
        </w:tabs>
      </w:pPr>
      <w:r>
        <w:fldChar w:fldCharType="begin"/>
      </w:r>
      <w:r>
        <w:instrText xml:space="preserve"> HYPERLINK \l _Toc11178 </w:instrText>
      </w:r>
      <w:r>
        <w:fldChar w:fldCharType="separate"/>
      </w:r>
      <w:r>
        <w:rPr>
          <w:rFonts w:hint="eastAsia"/>
        </w:rPr>
        <w:t>2.5.4</w:t>
      </w:r>
      <w:r>
        <w:t>防雷、防静电及接地</w:t>
      </w:r>
      <w:r>
        <w:tab/>
      </w:r>
      <w:r>
        <w:fldChar w:fldCharType="begin"/>
      </w:r>
      <w:r>
        <w:instrText xml:space="preserve"> PAGEREF _Toc11178 </w:instrText>
      </w:r>
      <w:r>
        <w:fldChar w:fldCharType="separate"/>
      </w:r>
      <w:r>
        <w:t>11</w:t>
      </w:r>
      <w:r>
        <w:fldChar w:fldCharType="end"/>
      </w:r>
      <w:r>
        <w:fldChar w:fldCharType="end"/>
      </w:r>
    </w:p>
    <w:p>
      <w:pPr>
        <w:pStyle w:val="45"/>
        <w:tabs>
          <w:tab w:val="right" w:leader="dot" w:pos="9638"/>
        </w:tabs>
      </w:pPr>
      <w:r>
        <w:fldChar w:fldCharType="begin"/>
      </w:r>
      <w:r>
        <w:instrText xml:space="preserve"> HYPERLINK \l _Toc3909 </w:instrText>
      </w:r>
      <w:r>
        <w:fldChar w:fldCharType="separate"/>
      </w:r>
      <w:r>
        <w:rPr>
          <w:rFonts w:hint="eastAsia"/>
        </w:rPr>
        <w:t>2.6安全管理现状</w:t>
      </w:r>
      <w:r>
        <w:tab/>
      </w:r>
      <w:r>
        <w:fldChar w:fldCharType="begin"/>
      </w:r>
      <w:r>
        <w:instrText xml:space="preserve"> PAGEREF _Toc3909 </w:instrText>
      </w:r>
      <w:r>
        <w:fldChar w:fldCharType="separate"/>
      </w:r>
      <w:r>
        <w:t>12</w:t>
      </w:r>
      <w:r>
        <w:fldChar w:fldCharType="end"/>
      </w:r>
      <w:r>
        <w:fldChar w:fldCharType="end"/>
      </w:r>
    </w:p>
    <w:p>
      <w:pPr>
        <w:pStyle w:val="29"/>
        <w:tabs>
          <w:tab w:val="right" w:leader="dot" w:pos="9638"/>
        </w:tabs>
      </w:pPr>
      <w:r>
        <w:fldChar w:fldCharType="begin"/>
      </w:r>
      <w:r>
        <w:instrText xml:space="preserve"> HYPERLINK \l _Toc24301 </w:instrText>
      </w:r>
      <w:r>
        <w:fldChar w:fldCharType="separate"/>
      </w:r>
      <w:r>
        <w:rPr>
          <w:rFonts w:hint="eastAsia"/>
          <w:szCs w:val="28"/>
        </w:rPr>
        <w:t>2.6.1安全机构</w:t>
      </w:r>
      <w:r>
        <w:tab/>
      </w:r>
      <w:r>
        <w:fldChar w:fldCharType="begin"/>
      </w:r>
      <w:r>
        <w:instrText xml:space="preserve"> PAGEREF _Toc24301 </w:instrText>
      </w:r>
      <w:r>
        <w:fldChar w:fldCharType="separate"/>
      </w:r>
      <w:r>
        <w:t>12</w:t>
      </w:r>
      <w:r>
        <w:fldChar w:fldCharType="end"/>
      </w:r>
      <w:r>
        <w:fldChar w:fldCharType="end"/>
      </w:r>
    </w:p>
    <w:p>
      <w:pPr>
        <w:pStyle w:val="29"/>
        <w:tabs>
          <w:tab w:val="right" w:leader="dot" w:pos="9638"/>
        </w:tabs>
      </w:pPr>
      <w:r>
        <w:fldChar w:fldCharType="begin"/>
      </w:r>
      <w:r>
        <w:instrText xml:space="preserve"> HYPERLINK \l _Toc22716 </w:instrText>
      </w:r>
      <w:r>
        <w:fldChar w:fldCharType="separate"/>
      </w:r>
      <w:r>
        <w:rPr>
          <w:rFonts w:hint="eastAsia"/>
          <w:szCs w:val="28"/>
        </w:rPr>
        <w:t>2.6.2安全生产规章制度</w:t>
      </w:r>
      <w:r>
        <w:tab/>
      </w:r>
      <w:r>
        <w:fldChar w:fldCharType="begin"/>
      </w:r>
      <w:r>
        <w:instrText xml:space="preserve"> PAGEREF _Toc22716 </w:instrText>
      </w:r>
      <w:r>
        <w:fldChar w:fldCharType="separate"/>
      </w:r>
      <w:r>
        <w:t>12</w:t>
      </w:r>
      <w:r>
        <w:fldChar w:fldCharType="end"/>
      </w:r>
      <w:r>
        <w:fldChar w:fldCharType="end"/>
      </w:r>
    </w:p>
    <w:p>
      <w:pPr>
        <w:pStyle w:val="29"/>
        <w:tabs>
          <w:tab w:val="right" w:leader="dot" w:pos="9638"/>
        </w:tabs>
      </w:pPr>
      <w:r>
        <w:fldChar w:fldCharType="begin"/>
      </w:r>
      <w:r>
        <w:instrText xml:space="preserve"> HYPERLINK \l _Toc26729 </w:instrText>
      </w:r>
      <w:r>
        <w:fldChar w:fldCharType="separate"/>
      </w:r>
      <w:r>
        <w:rPr>
          <w:rFonts w:hint="eastAsia"/>
          <w:szCs w:val="28"/>
        </w:rPr>
        <w:t>2.6.3职工的安全培训</w:t>
      </w:r>
      <w:r>
        <w:tab/>
      </w:r>
      <w:r>
        <w:fldChar w:fldCharType="begin"/>
      </w:r>
      <w:r>
        <w:instrText xml:space="preserve"> PAGEREF _Toc26729 </w:instrText>
      </w:r>
      <w:r>
        <w:fldChar w:fldCharType="separate"/>
      </w:r>
      <w:r>
        <w:t>13</w:t>
      </w:r>
      <w:r>
        <w:fldChar w:fldCharType="end"/>
      </w:r>
      <w:r>
        <w:fldChar w:fldCharType="end"/>
      </w:r>
    </w:p>
    <w:p>
      <w:pPr>
        <w:pStyle w:val="29"/>
        <w:tabs>
          <w:tab w:val="right" w:leader="dot" w:pos="9638"/>
        </w:tabs>
      </w:pPr>
      <w:r>
        <w:fldChar w:fldCharType="begin"/>
      </w:r>
      <w:r>
        <w:instrText xml:space="preserve"> HYPERLINK \l _Toc23491 </w:instrText>
      </w:r>
      <w:r>
        <w:fldChar w:fldCharType="separate"/>
      </w:r>
      <w:r>
        <w:rPr>
          <w:rFonts w:hint="eastAsia"/>
          <w:szCs w:val="28"/>
        </w:rPr>
        <w:t>2.6.4劳动保护</w:t>
      </w:r>
      <w:r>
        <w:tab/>
      </w:r>
      <w:r>
        <w:fldChar w:fldCharType="begin"/>
      </w:r>
      <w:r>
        <w:instrText xml:space="preserve"> PAGEREF _Toc23491 </w:instrText>
      </w:r>
      <w:r>
        <w:fldChar w:fldCharType="separate"/>
      </w:r>
      <w:r>
        <w:t>13</w:t>
      </w:r>
      <w:r>
        <w:fldChar w:fldCharType="end"/>
      </w:r>
      <w:r>
        <w:fldChar w:fldCharType="end"/>
      </w:r>
    </w:p>
    <w:p>
      <w:pPr>
        <w:pStyle w:val="29"/>
        <w:tabs>
          <w:tab w:val="right" w:leader="dot" w:pos="9638"/>
        </w:tabs>
      </w:pPr>
      <w:r>
        <w:fldChar w:fldCharType="begin"/>
      </w:r>
      <w:r>
        <w:instrText xml:space="preserve"> HYPERLINK \l _Toc3462 </w:instrText>
      </w:r>
      <w:r>
        <w:fldChar w:fldCharType="separate"/>
      </w:r>
      <w:r>
        <w:rPr>
          <w:rFonts w:hint="eastAsia"/>
          <w:szCs w:val="28"/>
        </w:rPr>
        <w:t>2.6.5应急预案</w:t>
      </w:r>
      <w:r>
        <w:tab/>
      </w:r>
      <w:r>
        <w:fldChar w:fldCharType="begin"/>
      </w:r>
      <w:r>
        <w:instrText xml:space="preserve"> PAGEREF _Toc3462 </w:instrText>
      </w:r>
      <w:r>
        <w:fldChar w:fldCharType="separate"/>
      </w:r>
      <w:r>
        <w:t>13</w:t>
      </w:r>
      <w:r>
        <w:fldChar w:fldCharType="end"/>
      </w:r>
      <w:r>
        <w:fldChar w:fldCharType="end"/>
      </w:r>
    </w:p>
    <w:p>
      <w:pPr>
        <w:pStyle w:val="45"/>
        <w:tabs>
          <w:tab w:val="right" w:leader="dot" w:pos="9638"/>
        </w:tabs>
      </w:pPr>
      <w:r>
        <w:fldChar w:fldCharType="begin"/>
      </w:r>
      <w:r>
        <w:instrText xml:space="preserve"> HYPERLINK \l _Toc15357 </w:instrText>
      </w:r>
      <w:r>
        <w:fldChar w:fldCharType="separate"/>
      </w:r>
      <w:r>
        <w:rPr>
          <w:rFonts w:hint="eastAsia"/>
          <w:szCs w:val="28"/>
        </w:rPr>
        <w:t>2.7安全投入</w:t>
      </w:r>
      <w:r>
        <w:tab/>
      </w:r>
      <w:r>
        <w:fldChar w:fldCharType="begin"/>
      </w:r>
      <w:r>
        <w:instrText xml:space="preserve"> PAGEREF _Toc15357 </w:instrText>
      </w:r>
      <w:r>
        <w:fldChar w:fldCharType="separate"/>
      </w:r>
      <w:r>
        <w:t>14</w:t>
      </w:r>
      <w:r>
        <w:fldChar w:fldCharType="end"/>
      </w:r>
      <w:r>
        <w:fldChar w:fldCharType="end"/>
      </w:r>
    </w:p>
    <w:p>
      <w:pPr>
        <w:pStyle w:val="38"/>
        <w:tabs>
          <w:tab w:val="right" w:leader="dot" w:pos="9638"/>
        </w:tabs>
      </w:pPr>
      <w:r>
        <w:fldChar w:fldCharType="begin"/>
      </w:r>
      <w:r>
        <w:instrText xml:space="preserve"> HYPERLINK \l _Toc28615 </w:instrText>
      </w:r>
      <w:r>
        <w:fldChar w:fldCharType="separate"/>
      </w:r>
      <w:r>
        <w:rPr>
          <w:rFonts w:hint="eastAsia"/>
        </w:rPr>
        <w:t>3  主要危险有害因素分析</w:t>
      </w:r>
      <w:r>
        <w:tab/>
      </w:r>
      <w:r>
        <w:fldChar w:fldCharType="begin"/>
      </w:r>
      <w:r>
        <w:instrText xml:space="preserve"> PAGEREF _Toc28615 </w:instrText>
      </w:r>
      <w:r>
        <w:fldChar w:fldCharType="separate"/>
      </w:r>
      <w:r>
        <w:t>14</w:t>
      </w:r>
      <w:r>
        <w:fldChar w:fldCharType="end"/>
      </w:r>
      <w:r>
        <w:fldChar w:fldCharType="end"/>
      </w:r>
    </w:p>
    <w:p>
      <w:pPr>
        <w:pStyle w:val="45"/>
        <w:tabs>
          <w:tab w:val="right" w:leader="dot" w:pos="9638"/>
        </w:tabs>
      </w:pPr>
      <w:r>
        <w:fldChar w:fldCharType="begin"/>
      </w:r>
      <w:r>
        <w:instrText xml:space="preserve"> HYPERLINK \l _Toc14215 </w:instrText>
      </w:r>
      <w:r>
        <w:fldChar w:fldCharType="separate"/>
      </w:r>
      <w:r>
        <w:rPr>
          <w:rFonts w:hint="eastAsia"/>
          <w:szCs w:val="28"/>
        </w:rPr>
        <w:t>3.1 经营物料危险有害因素分析</w:t>
      </w:r>
      <w:r>
        <w:tab/>
      </w:r>
      <w:r>
        <w:fldChar w:fldCharType="begin"/>
      </w:r>
      <w:r>
        <w:instrText xml:space="preserve"> PAGEREF _Toc14215 </w:instrText>
      </w:r>
      <w:r>
        <w:fldChar w:fldCharType="separate"/>
      </w:r>
      <w:r>
        <w:t>14</w:t>
      </w:r>
      <w:r>
        <w:fldChar w:fldCharType="end"/>
      </w:r>
      <w:r>
        <w:fldChar w:fldCharType="end"/>
      </w:r>
    </w:p>
    <w:p>
      <w:pPr>
        <w:pStyle w:val="45"/>
        <w:tabs>
          <w:tab w:val="right" w:leader="dot" w:pos="9638"/>
        </w:tabs>
      </w:pPr>
      <w:r>
        <w:fldChar w:fldCharType="begin"/>
      </w:r>
      <w:r>
        <w:instrText xml:space="preserve"> HYPERLINK \l _Toc5340 </w:instrText>
      </w:r>
      <w:r>
        <w:fldChar w:fldCharType="separate"/>
      </w:r>
      <w:r>
        <w:t>3.2站址及总平面布置</w:t>
      </w:r>
      <w:r>
        <w:rPr>
          <w:rFonts w:hint="eastAsia"/>
        </w:rPr>
        <w:t>危险有害因素分析</w:t>
      </w:r>
      <w:r>
        <w:tab/>
      </w:r>
      <w:r>
        <w:fldChar w:fldCharType="begin"/>
      </w:r>
      <w:r>
        <w:instrText xml:space="preserve"> PAGEREF _Toc5340 </w:instrText>
      </w:r>
      <w:r>
        <w:fldChar w:fldCharType="separate"/>
      </w:r>
      <w:r>
        <w:t>20</w:t>
      </w:r>
      <w:r>
        <w:fldChar w:fldCharType="end"/>
      </w:r>
      <w:r>
        <w:fldChar w:fldCharType="end"/>
      </w:r>
    </w:p>
    <w:p>
      <w:pPr>
        <w:pStyle w:val="45"/>
        <w:tabs>
          <w:tab w:val="right" w:leader="dot" w:pos="9638"/>
        </w:tabs>
      </w:pPr>
      <w:r>
        <w:fldChar w:fldCharType="begin"/>
      </w:r>
      <w:r>
        <w:instrText xml:space="preserve"> HYPERLINK \l _Toc1362 </w:instrText>
      </w:r>
      <w:r>
        <w:fldChar w:fldCharType="separate"/>
      </w:r>
      <w:r>
        <w:rPr>
          <w:rFonts w:hint="eastAsia"/>
        </w:rPr>
        <w:t>3.3 建(构)筑物危险有害因素分析</w:t>
      </w:r>
      <w:r>
        <w:tab/>
      </w:r>
      <w:r>
        <w:fldChar w:fldCharType="begin"/>
      </w:r>
      <w:r>
        <w:instrText xml:space="preserve"> PAGEREF _Toc1362 </w:instrText>
      </w:r>
      <w:r>
        <w:fldChar w:fldCharType="separate"/>
      </w:r>
      <w:r>
        <w:t>21</w:t>
      </w:r>
      <w:r>
        <w:fldChar w:fldCharType="end"/>
      </w:r>
      <w:r>
        <w:fldChar w:fldCharType="end"/>
      </w:r>
    </w:p>
    <w:p>
      <w:pPr>
        <w:pStyle w:val="45"/>
        <w:tabs>
          <w:tab w:val="right" w:leader="dot" w:pos="9638"/>
        </w:tabs>
      </w:pPr>
      <w:r>
        <w:fldChar w:fldCharType="begin"/>
      </w:r>
      <w:r>
        <w:instrText xml:space="preserve"> HYPERLINK \l _Toc26627 </w:instrText>
      </w:r>
      <w:r>
        <w:fldChar w:fldCharType="separate"/>
      </w:r>
      <w:r>
        <w:rPr>
          <w:rFonts w:hint="eastAsia"/>
          <w:szCs w:val="28"/>
        </w:rPr>
        <w:t>3.4 经营过程危险有害因素分析</w:t>
      </w:r>
      <w:r>
        <w:tab/>
      </w:r>
      <w:r>
        <w:fldChar w:fldCharType="begin"/>
      </w:r>
      <w:r>
        <w:instrText xml:space="preserve"> PAGEREF _Toc26627 </w:instrText>
      </w:r>
      <w:r>
        <w:fldChar w:fldCharType="separate"/>
      </w:r>
      <w:r>
        <w:t>22</w:t>
      </w:r>
      <w:r>
        <w:fldChar w:fldCharType="end"/>
      </w:r>
      <w:r>
        <w:fldChar w:fldCharType="end"/>
      </w:r>
    </w:p>
    <w:p>
      <w:pPr>
        <w:pStyle w:val="29"/>
        <w:tabs>
          <w:tab w:val="right" w:leader="dot" w:pos="9638"/>
        </w:tabs>
      </w:pPr>
      <w:r>
        <w:fldChar w:fldCharType="begin"/>
      </w:r>
      <w:r>
        <w:instrText xml:space="preserve"> HYPERLINK \l _Toc31593 </w:instrText>
      </w:r>
      <w:r>
        <w:fldChar w:fldCharType="separate"/>
      </w:r>
      <w:r>
        <w:rPr>
          <w:rFonts w:hint="eastAsia"/>
          <w:szCs w:val="28"/>
        </w:rPr>
        <w:t>3.4.1 卸油过程</w:t>
      </w:r>
      <w:r>
        <w:tab/>
      </w:r>
      <w:r>
        <w:fldChar w:fldCharType="begin"/>
      </w:r>
      <w:r>
        <w:instrText xml:space="preserve"> PAGEREF _Toc31593 </w:instrText>
      </w:r>
      <w:r>
        <w:fldChar w:fldCharType="separate"/>
      </w:r>
      <w:r>
        <w:t>22</w:t>
      </w:r>
      <w:r>
        <w:fldChar w:fldCharType="end"/>
      </w:r>
      <w:r>
        <w:fldChar w:fldCharType="end"/>
      </w:r>
    </w:p>
    <w:p>
      <w:pPr>
        <w:pStyle w:val="29"/>
        <w:tabs>
          <w:tab w:val="right" w:leader="dot" w:pos="9638"/>
        </w:tabs>
      </w:pPr>
      <w:r>
        <w:fldChar w:fldCharType="begin"/>
      </w:r>
      <w:r>
        <w:instrText xml:space="preserve"> HYPERLINK \l _Toc18363 </w:instrText>
      </w:r>
      <w:r>
        <w:fldChar w:fldCharType="separate"/>
      </w:r>
      <w:r>
        <w:rPr>
          <w:szCs w:val="28"/>
        </w:rPr>
        <w:t>3.</w:t>
      </w:r>
      <w:r>
        <w:rPr>
          <w:rFonts w:hint="eastAsia"/>
          <w:szCs w:val="28"/>
        </w:rPr>
        <w:t>4</w:t>
      </w:r>
      <w:r>
        <w:rPr>
          <w:szCs w:val="28"/>
        </w:rPr>
        <w:t>.2</w:t>
      </w:r>
      <w:r>
        <w:rPr>
          <w:rFonts w:hint="eastAsia"/>
          <w:szCs w:val="28"/>
        </w:rPr>
        <w:t xml:space="preserve"> 加油过程</w:t>
      </w:r>
      <w:r>
        <w:tab/>
      </w:r>
      <w:r>
        <w:fldChar w:fldCharType="begin"/>
      </w:r>
      <w:r>
        <w:instrText xml:space="preserve"> PAGEREF _Toc18363 </w:instrText>
      </w:r>
      <w:r>
        <w:fldChar w:fldCharType="separate"/>
      </w:r>
      <w:r>
        <w:t>23</w:t>
      </w:r>
      <w:r>
        <w:fldChar w:fldCharType="end"/>
      </w:r>
      <w:r>
        <w:fldChar w:fldCharType="end"/>
      </w:r>
    </w:p>
    <w:p>
      <w:pPr>
        <w:pStyle w:val="29"/>
        <w:tabs>
          <w:tab w:val="right" w:leader="dot" w:pos="9638"/>
        </w:tabs>
      </w:pPr>
      <w:r>
        <w:fldChar w:fldCharType="begin"/>
      </w:r>
      <w:r>
        <w:instrText xml:space="preserve"> HYPERLINK \l _Toc25706 </w:instrText>
      </w:r>
      <w:r>
        <w:fldChar w:fldCharType="separate"/>
      </w:r>
      <w:r>
        <w:rPr>
          <w:rFonts w:hint="eastAsia"/>
          <w:szCs w:val="28"/>
        </w:rPr>
        <w:t>3.4.3 储油过程</w:t>
      </w:r>
      <w:r>
        <w:tab/>
      </w:r>
      <w:r>
        <w:fldChar w:fldCharType="begin"/>
      </w:r>
      <w:r>
        <w:instrText xml:space="preserve"> PAGEREF _Toc25706 </w:instrText>
      </w:r>
      <w:r>
        <w:fldChar w:fldCharType="separate"/>
      </w:r>
      <w:r>
        <w:t>24</w:t>
      </w:r>
      <w:r>
        <w:fldChar w:fldCharType="end"/>
      </w:r>
      <w:r>
        <w:fldChar w:fldCharType="end"/>
      </w:r>
    </w:p>
    <w:p>
      <w:pPr>
        <w:pStyle w:val="45"/>
        <w:tabs>
          <w:tab w:val="right" w:leader="dot" w:pos="9638"/>
        </w:tabs>
      </w:pPr>
      <w:r>
        <w:fldChar w:fldCharType="begin"/>
      </w:r>
      <w:r>
        <w:instrText xml:space="preserve"> HYPERLINK \l _Toc2524 </w:instrText>
      </w:r>
      <w:r>
        <w:fldChar w:fldCharType="separate"/>
      </w:r>
      <w:r>
        <w:rPr>
          <w:szCs w:val="28"/>
        </w:rPr>
        <w:t>3</w:t>
      </w:r>
      <w:r>
        <w:rPr>
          <w:rFonts w:hint="eastAsia"/>
          <w:szCs w:val="28"/>
        </w:rPr>
        <w:t>.5 设备设施危险有害因素分析</w:t>
      </w:r>
      <w:r>
        <w:tab/>
      </w:r>
      <w:r>
        <w:fldChar w:fldCharType="begin"/>
      </w:r>
      <w:r>
        <w:instrText xml:space="preserve"> PAGEREF _Toc2524 </w:instrText>
      </w:r>
      <w:r>
        <w:fldChar w:fldCharType="separate"/>
      </w:r>
      <w:r>
        <w:t>25</w:t>
      </w:r>
      <w:r>
        <w:fldChar w:fldCharType="end"/>
      </w:r>
      <w:r>
        <w:fldChar w:fldCharType="end"/>
      </w:r>
    </w:p>
    <w:p>
      <w:pPr>
        <w:pStyle w:val="29"/>
        <w:tabs>
          <w:tab w:val="right" w:leader="dot" w:pos="9638"/>
        </w:tabs>
      </w:pPr>
      <w:r>
        <w:fldChar w:fldCharType="begin"/>
      </w:r>
      <w:r>
        <w:instrText xml:space="preserve"> HYPERLINK \l _Toc26037 </w:instrText>
      </w:r>
      <w:r>
        <w:fldChar w:fldCharType="separate"/>
      </w:r>
      <w:r>
        <w:rPr>
          <w:rFonts w:hint="eastAsia"/>
          <w:szCs w:val="28"/>
        </w:rPr>
        <w:t>3.5.1 油罐</w:t>
      </w:r>
      <w:r>
        <w:tab/>
      </w:r>
      <w:r>
        <w:fldChar w:fldCharType="begin"/>
      </w:r>
      <w:r>
        <w:instrText xml:space="preserve"> PAGEREF _Toc26037 </w:instrText>
      </w:r>
      <w:r>
        <w:fldChar w:fldCharType="separate"/>
      </w:r>
      <w:r>
        <w:t>25</w:t>
      </w:r>
      <w:r>
        <w:fldChar w:fldCharType="end"/>
      </w:r>
      <w:r>
        <w:fldChar w:fldCharType="end"/>
      </w:r>
    </w:p>
    <w:p>
      <w:pPr>
        <w:pStyle w:val="29"/>
        <w:tabs>
          <w:tab w:val="right" w:leader="dot" w:pos="9638"/>
        </w:tabs>
      </w:pPr>
      <w:r>
        <w:fldChar w:fldCharType="begin"/>
      </w:r>
      <w:r>
        <w:instrText xml:space="preserve"> HYPERLINK \l _Toc29066 </w:instrText>
      </w:r>
      <w:r>
        <w:fldChar w:fldCharType="separate"/>
      </w:r>
      <w:r>
        <w:rPr>
          <w:rFonts w:hint="eastAsia"/>
          <w:szCs w:val="28"/>
        </w:rPr>
        <w:t>3.5.2 加油机</w:t>
      </w:r>
      <w:r>
        <w:tab/>
      </w:r>
      <w:r>
        <w:fldChar w:fldCharType="begin"/>
      </w:r>
      <w:r>
        <w:instrText xml:space="preserve"> PAGEREF _Toc29066 </w:instrText>
      </w:r>
      <w:r>
        <w:fldChar w:fldCharType="separate"/>
      </w:r>
      <w:r>
        <w:t>26</w:t>
      </w:r>
      <w:r>
        <w:fldChar w:fldCharType="end"/>
      </w:r>
      <w:r>
        <w:fldChar w:fldCharType="end"/>
      </w:r>
    </w:p>
    <w:p>
      <w:pPr>
        <w:pStyle w:val="29"/>
        <w:tabs>
          <w:tab w:val="right" w:leader="dot" w:pos="9638"/>
        </w:tabs>
      </w:pPr>
      <w:r>
        <w:fldChar w:fldCharType="begin"/>
      </w:r>
      <w:r>
        <w:instrText xml:space="preserve"> HYPERLINK \l _Toc9246 </w:instrText>
      </w:r>
      <w:r>
        <w:fldChar w:fldCharType="separate"/>
      </w:r>
      <w:r>
        <w:rPr>
          <w:rFonts w:hint="eastAsia"/>
          <w:szCs w:val="28"/>
        </w:rPr>
        <w:t>3.5.3 输油管道</w:t>
      </w:r>
      <w:r>
        <w:tab/>
      </w:r>
      <w:r>
        <w:fldChar w:fldCharType="begin"/>
      </w:r>
      <w:r>
        <w:instrText xml:space="preserve"> PAGEREF _Toc9246 </w:instrText>
      </w:r>
      <w:r>
        <w:fldChar w:fldCharType="separate"/>
      </w:r>
      <w:r>
        <w:t>27</w:t>
      </w:r>
      <w:r>
        <w:fldChar w:fldCharType="end"/>
      </w:r>
      <w:r>
        <w:fldChar w:fldCharType="end"/>
      </w:r>
    </w:p>
    <w:p>
      <w:pPr>
        <w:pStyle w:val="45"/>
        <w:tabs>
          <w:tab w:val="right" w:leader="dot" w:pos="9638"/>
        </w:tabs>
      </w:pPr>
      <w:r>
        <w:fldChar w:fldCharType="begin"/>
      </w:r>
      <w:r>
        <w:instrText xml:space="preserve"> HYPERLINK \l _Toc11676 </w:instrText>
      </w:r>
      <w:r>
        <w:fldChar w:fldCharType="separate"/>
      </w:r>
      <w:r>
        <w:rPr>
          <w:rFonts w:hint="eastAsia"/>
          <w:szCs w:val="28"/>
        </w:rPr>
        <w:t>3.6 公用工程危险有害因素分析</w:t>
      </w:r>
      <w:r>
        <w:tab/>
      </w:r>
      <w:r>
        <w:fldChar w:fldCharType="begin"/>
      </w:r>
      <w:r>
        <w:instrText xml:space="preserve"> PAGEREF _Toc11676 </w:instrText>
      </w:r>
      <w:r>
        <w:fldChar w:fldCharType="separate"/>
      </w:r>
      <w:r>
        <w:t>27</w:t>
      </w:r>
      <w:r>
        <w:fldChar w:fldCharType="end"/>
      </w:r>
      <w:r>
        <w:fldChar w:fldCharType="end"/>
      </w:r>
    </w:p>
    <w:p>
      <w:pPr>
        <w:pStyle w:val="29"/>
        <w:tabs>
          <w:tab w:val="right" w:leader="dot" w:pos="9638"/>
        </w:tabs>
      </w:pPr>
      <w:r>
        <w:fldChar w:fldCharType="begin"/>
      </w:r>
      <w:r>
        <w:instrText xml:space="preserve"> HYPERLINK \l _Toc804 </w:instrText>
      </w:r>
      <w:r>
        <w:fldChar w:fldCharType="separate"/>
      </w:r>
      <w:r>
        <w:rPr>
          <w:rFonts w:hint="eastAsia"/>
          <w:szCs w:val="28"/>
        </w:rPr>
        <w:t>3.6.1 电气设备</w:t>
      </w:r>
      <w:r>
        <w:tab/>
      </w:r>
      <w:r>
        <w:fldChar w:fldCharType="begin"/>
      </w:r>
      <w:r>
        <w:instrText xml:space="preserve"> PAGEREF _Toc804 </w:instrText>
      </w:r>
      <w:r>
        <w:fldChar w:fldCharType="separate"/>
      </w:r>
      <w:r>
        <w:t>27</w:t>
      </w:r>
      <w:r>
        <w:fldChar w:fldCharType="end"/>
      </w:r>
      <w:r>
        <w:fldChar w:fldCharType="end"/>
      </w:r>
    </w:p>
    <w:p>
      <w:pPr>
        <w:pStyle w:val="29"/>
        <w:tabs>
          <w:tab w:val="right" w:leader="dot" w:pos="9638"/>
        </w:tabs>
      </w:pPr>
      <w:r>
        <w:fldChar w:fldCharType="begin"/>
      </w:r>
      <w:r>
        <w:instrText xml:space="preserve"> HYPERLINK \l _Toc27507 </w:instrText>
      </w:r>
      <w:r>
        <w:fldChar w:fldCharType="separate"/>
      </w:r>
      <w:r>
        <w:rPr>
          <w:rFonts w:hint="eastAsia"/>
          <w:szCs w:val="28"/>
        </w:rPr>
        <w:t>3.6.2 消防设施</w:t>
      </w:r>
      <w:r>
        <w:tab/>
      </w:r>
      <w:r>
        <w:fldChar w:fldCharType="begin"/>
      </w:r>
      <w:r>
        <w:instrText xml:space="preserve"> PAGEREF _Toc27507 </w:instrText>
      </w:r>
      <w:r>
        <w:fldChar w:fldCharType="separate"/>
      </w:r>
      <w:r>
        <w:t>28</w:t>
      </w:r>
      <w:r>
        <w:fldChar w:fldCharType="end"/>
      </w:r>
      <w:r>
        <w:fldChar w:fldCharType="end"/>
      </w:r>
    </w:p>
    <w:p>
      <w:pPr>
        <w:pStyle w:val="45"/>
        <w:tabs>
          <w:tab w:val="right" w:leader="dot" w:pos="9638"/>
        </w:tabs>
      </w:pPr>
      <w:r>
        <w:fldChar w:fldCharType="begin"/>
      </w:r>
      <w:r>
        <w:instrText xml:space="preserve"> HYPERLINK \l _Toc31489 </w:instrText>
      </w:r>
      <w:r>
        <w:fldChar w:fldCharType="separate"/>
      </w:r>
      <w:r>
        <w:rPr>
          <w:rFonts w:hint="eastAsia"/>
          <w:szCs w:val="28"/>
        </w:rPr>
        <w:t>3.7 维护清理、检修过程中的危险有害因素分析</w:t>
      </w:r>
      <w:r>
        <w:tab/>
      </w:r>
      <w:r>
        <w:fldChar w:fldCharType="begin"/>
      </w:r>
      <w:r>
        <w:instrText xml:space="preserve"> PAGEREF _Toc31489 </w:instrText>
      </w:r>
      <w:r>
        <w:fldChar w:fldCharType="separate"/>
      </w:r>
      <w:r>
        <w:t>28</w:t>
      </w:r>
      <w:r>
        <w:fldChar w:fldCharType="end"/>
      </w:r>
      <w:r>
        <w:fldChar w:fldCharType="end"/>
      </w:r>
    </w:p>
    <w:p>
      <w:pPr>
        <w:pStyle w:val="29"/>
        <w:tabs>
          <w:tab w:val="right" w:leader="dot" w:pos="9638"/>
        </w:tabs>
      </w:pPr>
      <w:r>
        <w:fldChar w:fldCharType="begin"/>
      </w:r>
      <w:r>
        <w:instrText xml:space="preserve"> HYPERLINK \l _Toc10581 </w:instrText>
      </w:r>
      <w:r>
        <w:fldChar w:fldCharType="separate"/>
      </w:r>
      <w:r>
        <w:rPr>
          <w:rFonts w:hint="eastAsia"/>
          <w:szCs w:val="28"/>
        </w:rPr>
        <w:t>3.7.1 设备维护清理作业</w:t>
      </w:r>
      <w:r>
        <w:tab/>
      </w:r>
      <w:r>
        <w:fldChar w:fldCharType="begin"/>
      </w:r>
      <w:r>
        <w:instrText xml:space="preserve"> PAGEREF _Toc10581 </w:instrText>
      </w:r>
      <w:r>
        <w:fldChar w:fldCharType="separate"/>
      </w:r>
      <w:r>
        <w:t>28</w:t>
      </w:r>
      <w:r>
        <w:fldChar w:fldCharType="end"/>
      </w:r>
      <w:r>
        <w:fldChar w:fldCharType="end"/>
      </w:r>
    </w:p>
    <w:p>
      <w:pPr>
        <w:pStyle w:val="29"/>
        <w:tabs>
          <w:tab w:val="right" w:leader="dot" w:pos="9638"/>
        </w:tabs>
      </w:pPr>
      <w:r>
        <w:fldChar w:fldCharType="begin"/>
      </w:r>
      <w:r>
        <w:instrText xml:space="preserve"> HYPERLINK \l _Toc9227 </w:instrText>
      </w:r>
      <w:r>
        <w:fldChar w:fldCharType="separate"/>
      </w:r>
      <w:r>
        <w:rPr>
          <w:rFonts w:hint="eastAsia"/>
          <w:szCs w:val="28"/>
        </w:rPr>
        <w:t>3.7.2 检修作业</w:t>
      </w:r>
      <w:r>
        <w:tab/>
      </w:r>
      <w:r>
        <w:fldChar w:fldCharType="begin"/>
      </w:r>
      <w:r>
        <w:instrText xml:space="preserve"> PAGEREF _Toc9227 </w:instrText>
      </w:r>
      <w:r>
        <w:fldChar w:fldCharType="separate"/>
      </w:r>
      <w:r>
        <w:t>29</w:t>
      </w:r>
      <w:r>
        <w:fldChar w:fldCharType="end"/>
      </w:r>
      <w:r>
        <w:fldChar w:fldCharType="end"/>
      </w:r>
    </w:p>
    <w:p>
      <w:pPr>
        <w:pStyle w:val="45"/>
        <w:tabs>
          <w:tab w:val="right" w:leader="dot" w:pos="9638"/>
        </w:tabs>
      </w:pPr>
      <w:r>
        <w:fldChar w:fldCharType="begin"/>
      </w:r>
      <w:r>
        <w:instrText xml:space="preserve"> HYPERLINK \l _Toc3268 </w:instrText>
      </w:r>
      <w:r>
        <w:fldChar w:fldCharType="separate"/>
      </w:r>
      <w:r>
        <w:rPr>
          <w:rFonts w:hint="eastAsia"/>
          <w:szCs w:val="28"/>
        </w:rPr>
        <w:t>3.8 安全管理中存在的危险有害因素分析</w:t>
      </w:r>
      <w:r>
        <w:tab/>
      </w:r>
      <w:r>
        <w:fldChar w:fldCharType="begin"/>
      </w:r>
      <w:r>
        <w:instrText xml:space="preserve"> PAGEREF _Toc3268 </w:instrText>
      </w:r>
      <w:r>
        <w:fldChar w:fldCharType="separate"/>
      </w:r>
      <w:r>
        <w:t>30</w:t>
      </w:r>
      <w:r>
        <w:fldChar w:fldCharType="end"/>
      </w:r>
      <w:r>
        <w:fldChar w:fldCharType="end"/>
      </w:r>
    </w:p>
    <w:p>
      <w:pPr>
        <w:pStyle w:val="45"/>
        <w:tabs>
          <w:tab w:val="right" w:leader="dot" w:pos="9638"/>
        </w:tabs>
      </w:pPr>
      <w:r>
        <w:fldChar w:fldCharType="begin"/>
      </w:r>
      <w:r>
        <w:instrText xml:space="preserve"> HYPERLINK \l _Toc19001 </w:instrText>
      </w:r>
      <w:r>
        <w:fldChar w:fldCharType="separate"/>
      </w:r>
      <w:r>
        <w:rPr>
          <w:rFonts w:hint="eastAsia"/>
          <w:szCs w:val="28"/>
        </w:rPr>
        <w:t>3.9 其它危险有害因素分析</w:t>
      </w:r>
      <w:r>
        <w:tab/>
      </w:r>
      <w:r>
        <w:fldChar w:fldCharType="begin"/>
      </w:r>
      <w:r>
        <w:instrText xml:space="preserve"> PAGEREF _Toc19001 </w:instrText>
      </w:r>
      <w:r>
        <w:fldChar w:fldCharType="separate"/>
      </w:r>
      <w:r>
        <w:t>31</w:t>
      </w:r>
      <w:r>
        <w:fldChar w:fldCharType="end"/>
      </w:r>
      <w:r>
        <w:fldChar w:fldCharType="end"/>
      </w:r>
    </w:p>
    <w:p>
      <w:pPr>
        <w:pStyle w:val="45"/>
        <w:tabs>
          <w:tab w:val="right" w:leader="dot" w:pos="9638"/>
        </w:tabs>
      </w:pPr>
      <w:r>
        <w:fldChar w:fldCharType="begin"/>
      </w:r>
      <w:r>
        <w:instrText xml:space="preserve"> HYPERLINK \l _Toc25707 </w:instrText>
      </w:r>
      <w:r>
        <w:fldChar w:fldCharType="separate"/>
      </w:r>
      <w:r>
        <w:rPr>
          <w:szCs w:val="28"/>
        </w:rPr>
        <w:t>3.</w:t>
      </w:r>
      <w:r>
        <w:rPr>
          <w:rFonts w:hint="eastAsia"/>
          <w:szCs w:val="28"/>
        </w:rPr>
        <w:t>10 危险有害因素汇总</w:t>
      </w:r>
      <w:r>
        <w:tab/>
      </w:r>
      <w:r>
        <w:fldChar w:fldCharType="begin"/>
      </w:r>
      <w:r>
        <w:instrText xml:space="preserve"> PAGEREF _Toc25707 </w:instrText>
      </w:r>
      <w:r>
        <w:fldChar w:fldCharType="separate"/>
      </w:r>
      <w:r>
        <w:t>32</w:t>
      </w:r>
      <w:r>
        <w:fldChar w:fldCharType="end"/>
      </w:r>
      <w:r>
        <w:fldChar w:fldCharType="end"/>
      </w:r>
    </w:p>
    <w:p>
      <w:pPr>
        <w:pStyle w:val="45"/>
        <w:tabs>
          <w:tab w:val="right" w:leader="dot" w:pos="9638"/>
        </w:tabs>
      </w:pPr>
      <w:r>
        <w:fldChar w:fldCharType="begin"/>
      </w:r>
      <w:r>
        <w:instrText xml:space="preserve"> HYPERLINK \l _Toc12755 </w:instrText>
      </w:r>
      <w:r>
        <w:fldChar w:fldCharType="separate"/>
      </w:r>
      <w:r>
        <w:rPr>
          <w:rFonts w:hint="eastAsia"/>
        </w:rPr>
        <w:t>3.11 重大危险源辨识</w:t>
      </w:r>
      <w:r>
        <w:tab/>
      </w:r>
      <w:r>
        <w:fldChar w:fldCharType="begin"/>
      </w:r>
      <w:r>
        <w:instrText xml:space="preserve"> PAGEREF _Toc12755 </w:instrText>
      </w:r>
      <w:r>
        <w:fldChar w:fldCharType="separate"/>
      </w:r>
      <w:r>
        <w:t>33</w:t>
      </w:r>
      <w:r>
        <w:fldChar w:fldCharType="end"/>
      </w:r>
      <w:r>
        <w:fldChar w:fldCharType="end"/>
      </w:r>
    </w:p>
    <w:p>
      <w:pPr>
        <w:pStyle w:val="29"/>
        <w:tabs>
          <w:tab w:val="right" w:leader="dot" w:pos="9638"/>
        </w:tabs>
      </w:pPr>
      <w:r>
        <w:fldChar w:fldCharType="begin"/>
      </w:r>
      <w:r>
        <w:instrText xml:space="preserve"> HYPERLINK \l _Toc31381 </w:instrText>
      </w:r>
      <w:r>
        <w:fldChar w:fldCharType="separate"/>
      </w:r>
      <w:r>
        <w:rPr>
          <w:rFonts w:hint="eastAsia"/>
        </w:rPr>
        <w:t>3.11.4 危险化学品重大危险源的辨识方法</w:t>
      </w:r>
      <w:r>
        <w:tab/>
      </w:r>
      <w:r>
        <w:fldChar w:fldCharType="begin"/>
      </w:r>
      <w:r>
        <w:instrText xml:space="preserve"> PAGEREF _Toc31381 </w:instrText>
      </w:r>
      <w:r>
        <w:fldChar w:fldCharType="separate"/>
      </w:r>
      <w:r>
        <w:t>34</w:t>
      </w:r>
      <w:r>
        <w:fldChar w:fldCharType="end"/>
      </w:r>
      <w:r>
        <w:fldChar w:fldCharType="end"/>
      </w:r>
    </w:p>
    <w:p>
      <w:pPr>
        <w:pStyle w:val="29"/>
        <w:tabs>
          <w:tab w:val="right" w:leader="dot" w:pos="9638"/>
        </w:tabs>
      </w:pPr>
      <w:r>
        <w:fldChar w:fldCharType="begin"/>
      </w:r>
      <w:r>
        <w:instrText xml:space="preserve"> HYPERLINK \l _Toc16014 </w:instrText>
      </w:r>
      <w:r>
        <w:fldChar w:fldCharType="separate"/>
      </w:r>
      <w:r>
        <w:rPr>
          <w:rFonts w:hint="eastAsia"/>
        </w:rPr>
        <w:t>3.11.5 危险化学品重大危险源辨识结果</w:t>
      </w:r>
      <w:r>
        <w:tab/>
      </w:r>
      <w:r>
        <w:fldChar w:fldCharType="begin"/>
      </w:r>
      <w:r>
        <w:instrText xml:space="preserve"> PAGEREF _Toc16014 </w:instrText>
      </w:r>
      <w:r>
        <w:fldChar w:fldCharType="separate"/>
      </w:r>
      <w:r>
        <w:t>35</w:t>
      </w:r>
      <w:r>
        <w:fldChar w:fldCharType="end"/>
      </w:r>
      <w:r>
        <w:fldChar w:fldCharType="end"/>
      </w:r>
    </w:p>
    <w:p>
      <w:pPr>
        <w:pStyle w:val="45"/>
        <w:tabs>
          <w:tab w:val="right" w:leader="dot" w:pos="9638"/>
        </w:tabs>
      </w:pPr>
      <w:r>
        <w:fldChar w:fldCharType="begin"/>
      </w:r>
      <w:r>
        <w:instrText xml:space="preserve"> HYPERLINK \l _Toc17490 </w:instrText>
      </w:r>
      <w:r>
        <w:fldChar w:fldCharType="separate"/>
      </w:r>
      <w:r>
        <w:rPr>
          <w:rFonts w:hint="eastAsia"/>
        </w:rPr>
        <w:t>4</w:t>
      </w:r>
      <w:r>
        <w:t>.</w:t>
      </w:r>
      <w:r>
        <w:rPr>
          <w:rFonts w:hint="eastAsia"/>
        </w:rPr>
        <w:t xml:space="preserve">1 </w:t>
      </w:r>
      <w:r>
        <w:t>安全技术对策措施</w:t>
      </w:r>
      <w:r>
        <w:tab/>
      </w:r>
      <w:r>
        <w:fldChar w:fldCharType="begin"/>
      </w:r>
      <w:r>
        <w:instrText xml:space="preserve"> PAGEREF _Toc17490 </w:instrText>
      </w:r>
      <w:r>
        <w:fldChar w:fldCharType="separate"/>
      </w:r>
      <w:r>
        <w:t>36</w:t>
      </w:r>
      <w:r>
        <w:fldChar w:fldCharType="end"/>
      </w:r>
      <w:r>
        <w:fldChar w:fldCharType="end"/>
      </w:r>
    </w:p>
    <w:p>
      <w:pPr>
        <w:pStyle w:val="29"/>
        <w:tabs>
          <w:tab w:val="right" w:leader="dot" w:pos="9638"/>
        </w:tabs>
      </w:pPr>
      <w:r>
        <w:fldChar w:fldCharType="begin"/>
      </w:r>
      <w:r>
        <w:instrText xml:space="preserve"> HYPERLINK \l _Toc30889 </w:instrText>
      </w:r>
      <w:r>
        <w:fldChar w:fldCharType="separate"/>
      </w:r>
      <w:r>
        <w:rPr>
          <w:rFonts w:hint="eastAsia" w:ascii="宋体" w:hAnsi="宋体" w:cs="宋体"/>
          <w:szCs w:val="28"/>
        </w:rPr>
        <w:t>4.1.1 严格进货安全措施</w:t>
      </w:r>
      <w:r>
        <w:tab/>
      </w:r>
      <w:r>
        <w:fldChar w:fldCharType="begin"/>
      </w:r>
      <w:r>
        <w:instrText xml:space="preserve"> PAGEREF _Toc30889 </w:instrText>
      </w:r>
      <w:r>
        <w:fldChar w:fldCharType="separate"/>
      </w:r>
      <w:r>
        <w:t>36</w:t>
      </w:r>
      <w:r>
        <w:fldChar w:fldCharType="end"/>
      </w:r>
      <w:r>
        <w:fldChar w:fldCharType="end"/>
      </w:r>
    </w:p>
    <w:p>
      <w:pPr>
        <w:pStyle w:val="29"/>
        <w:tabs>
          <w:tab w:val="right" w:leader="dot" w:pos="9638"/>
        </w:tabs>
      </w:pPr>
      <w:r>
        <w:fldChar w:fldCharType="begin"/>
      </w:r>
      <w:r>
        <w:instrText xml:space="preserve"> HYPERLINK \l _Toc6828 </w:instrText>
      </w:r>
      <w:r>
        <w:fldChar w:fldCharType="separate"/>
      </w:r>
      <w:r>
        <w:rPr>
          <w:rFonts w:hint="eastAsia" w:ascii="宋体" w:hAnsi="宋体" w:cs="宋体"/>
          <w:szCs w:val="28"/>
        </w:rPr>
        <w:t>4.1.2 防混油安全措施</w:t>
      </w:r>
      <w:r>
        <w:tab/>
      </w:r>
      <w:r>
        <w:fldChar w:fldCharType="begin"/>
      </w:r>
      <w:r>
        <w:instrText xml:space="preserve"> PAGEREF _Toc6828 </w:instrText>
      </w:r>
      <w:r>
        <w:fldChar w:fldCharType="separate"/>
      </w:r>
      <w:r>
        <w:t>36</w:t>
      </w:r>
      <w:r>
        <w:fldChar w:fldCharType="end"/>
      </w:r>
      <w:r>
        <w:fldChar w:fldCharType="end"/>
      </w:r>
    </w:p>
    <w:p>
      <w:pPr>
        <w:pStyle w:val="29"/>
        <w:tabs>
          <w:tab w:val="right" w:leader="dot" w:pos="9638"/>
        </w:tabs>
      </w:pPr>
      <w:r>
        <w:fldChar w:fldCharType="begin"/>
      </w:r>
      <w:r>
        <w:instrText xml:space="preserve"> HYPERLINK \l _Toc1985 </w:instrText>
      </w:r>
      <w:r>
        <w:fldChar w:fldCharType="separate"/>
      </w:r>
      <w:r>
        <w:rPr>
          <w:rFonts w:hint="eastAsia" w:ascii="宋体" w:hAnsi="宋体" w:cs="宋体"/>
          <w:szCs w:val="28"/>
        </w:rPr>
        <w:t>4.1.3 防冒油安全措施</w:t>
      </w:r>
      <w:r>
        <w:tab/>
      </w:r>
      <w:r>
        <w:fldChar w:fldCharType="begin"/>
      </w:r>
      <w:r>
        <w:instrText xml:space="preserve"> PAGEREF _Toc1985 </w:instrText>
      </w:r>
      <w:r>
        <w:fldChar w:fldCharType="separate"/>
      </w:r>
      <w:r>
        <w:t>36</w:t>
      </w:r>
      <w:r>
        <w:fldChar w:fldCharType="end"/>
      </w:r>
      <w:r>
        <w:fldChar w:fldCharType="end"/>
      </w:r>
    </w:p>
    <w:p>
      <w:pPr>
        <w:pStyle w:val="29"/>
        <w:tabs>
          <w:tab w:val="right" w:leader="dot" w:pos="9638"/>
        </w:tabs>
      </w:pPr>
      <w:r>
        <w:fldChar w:fldCharType="begin"/>
      </w:r>
      <w:r>
        <w:instrText xml:space="preserve"> HYPERLINK \l _Toc22169 </w:instrText>
      </w:r>
      <w:r>
        <w:fldChar w:fldCharType="separate"/>
      </w:r>
      <w:r>
        <w:rPr>
          <w:rFonts w:hint="eastAsia" w:ascii="宋体" w:hAnsi="宋体" w:cs="宋体"/>
          <w:szCs w:val="28"/>
        </w:rPr>
        <w:t>4.1.4 防漏油对策措施</w:t>
      </w:r>
      <w:r>
        <w:tab/>
      </w:r>
      <w:r>
        <w:fldChar w:fldCharType="begin"/>
      </w:r>
      <w:r>
        <w:instrText xml:space="preserve"> PAGEREF _Toc22169 </w:instrText>
      </w:r>
      <w:r>
        <w:fldChar w:fldCharType="separate"/>
      </w:r>
      <w:r>
        <w:t>37</w:t>
      </w:r>
      <w:r>
        <w:fldChar w:fldCharType="end"/>
      </w:r>
      <w:r>
        <w:fldChar w:fldCharType="end"/>
      </w:r>
    </w:p>
    <w:p>
      <w:pPr>
        <w:pStyle w:val="29"/>
        <w:tabs>
          <w:tab w:val="right" w:leader="dot" w:pos="9638"/>
        </w:tabs>
      </w:pPr>
      <w:r>
        <w:fldChar w:fldCharType="begin"/>
      </w:r>
      <w:r>
        <w:instrText xml:space="preserve"> HYPERLINK \l _Toc14710 </w:instrText>
      </w:r>
      <w:r>
        <w:fldChar w:fldCharType="separate"/>
      </w:r>
      <w:r>
        <w:rPr>
          <w:rFonts w:hint="eastAsia" w:ascii="宋体" w:hAnsi="宋体" w:cs="宋体"/>
          <w:szCs w:val="28"/>
        </w:rPr>
        <w:t>4.1.5 油罐区防火防爆安全措施</w:t>
      </w:r>
      <w:r>
        <w:tab/>
      </w:r>
      <w:r>
        <w:fldChar w:fldCharType="begin"/>
      </w:r>
      <w:r>
        <w:instrText xml:space="preserve"> PAGEREF _Toc14710 </w:instrText>
      </w:r>
      <w:r>
        <w:fldChar w:fldCharType="separate"/>
      </w:r>
      <w:r>
        <w:t>37</w:t>
      </w:r>
      <w:r>
        <w:fldChar w:fldCharType="end"/>
      </w:r>
      <w:r>
        <w:fldChar w:fldCharType="end"/>
      </w:r>
    </w:p>
    <w:p>
      <w:pPr>
        <w:pStyle w:val="29"/>
        <w:tabs>
          <w:tab w:val="right" w:leader="dot" w:pos="9638"/>
        </w:tabs>
      </w:pPr>
      <w:r>
        <w:fldChar w:fldCharType="begin"/>
      </w:r>
      <w:r>
        <w:instrText xml:space="preserve"> HYPERLINK \l _Toc11677 </w:instrText>
      </w:r>
      <w:r>
        <w:fldChar w:fldCharType="separate"/>
      </w:r>
      <w:r>
        <w:rPr>
          <w:rFonts w:hint="eastAsia" w:ascii="宋体" w:hAnsi="宋体" w:cs="宋体"/>
          <w:szCs w:val="28"/>
        </w:rPr>
        <w:t>4.1.6 加油作业对策措施</w:t>
      </w:r>
      <w:r>
        <w:tab/>
      </w:r>
      <w:r>
        <w:fldChar w:fldCharType="begin"/>
      </w:r>
      <w:r>
        <w:instrText xml:space="preserve"> PAGEREF _Toc11677 </w:instrText>
      </w:r>
      <w:r>
        <w:fldChar w:fldCharType="separate"/>
      </w:r>
      <w:r>
        <w:t>38</w:t>
      </w:r>
      <w:r>
        <w:fldChar w:fldCharType="end"/>
      </w:r>
      <w:r>
        <w:fldChar w:fldCharType="end"/>
      </w:r>
    </w:p>
    <w:p>
      <w:pPr>
        <w:pStyle w:val="29"/>
        <w:tabs>
          <w:tab w:val="right" w:leader="dot" w:pos="9638"/>
        </w:tabs>
      </w:pPr>
      <w:r>
        <w:fldChar w:fldCharType="begin"/>
      </w:r>
      <w:r>
        <w:instrText xml:space="preserve"> HYPERLINK \l _Toc6687 </w:instrText>
      </w:r>
      <w:r>
        <w:fldChar w:fldCharType="separate"/>
      </w:r>
      <w:r>
        <w:rPr>
          <w:rFonts w:hint="eastAsia" w:ascii="宋体" w:hAnsi="宋体" w:cs="宋体"/>
          <w:szCs w:val="28"/>
        </w:rPr>
        <w:t>4.1.7 防火灾、爆炸对策措施</w:t>
      </w:r>
      <w:r>
        <w:tab/>
      </w:r>
      <w:r>
        <w:fldChar w:fldCharType="begin"/>
      </w:r>
      <w:r>
        <w:instrText xml:space="preserve"> PAGEREF _Toc6687 </w:instrText>
      </w:r>
      <w:r>
        <w:fldChar w:fldCharType="separate"/>
      </w:r>
      <w:r>
        <w:t>39</w:t>
      </w:r>
      <w:r>
        <w:fldChar w:fldCharType="end"/>
      </w:r>
      <w:r>
        <w:fldChar w:fldCharType="end"/>
      </w:r>
    </w:p>
    <w:p>
      <w:pPr>
        <w:pStyle w:val="29"/>
        <w:tabs>
          <w:tab w:val="right" w:leader="dot" w:pos="9638"/>
        </w:tabs>
      </w:pPr>
      <w:r>
        <w:fldChar w:fldCharType="begin"/>
      </w:r>
      <w:r>
        <w:instrText xml:space="preserve"> HYPERLINK \l _Toc23592 </w:instrText>
      </w:r>
      <w:r>
        <w:fldChar w:fldCharType="separate"/>
      </w:r>
      <w:r>
        <w:rPr>
          <w:rFonts w:hint="eastAsia" w:ascii="宋体" w:hAnsi="宋体" w:cs="宋体"/>
          <w:szCs w:val="28"/>
        </w:rPr>
        <w:t>4.1.8 防雷、防静电对策措施</w:t>
      </w:r>
      <w:r>
        <w:tab/>
      </w:r>
      <w:r>
        <w:fldChar w:fldCharType="begin"/>
      </w:r>
      <w:r>
        <w:instrText xml:space="preserve"> PAGEREF _Toc23592 </w:instrText>
      </w:r>
      <w:r>
        <w:fldChar w:fldCharType="separate"/>
      </w:r>
      <w:r>
        <w:t>40</w:t>
      </w:r>
      <w:r>
        <w:fldChar w:fldCharType="end"/>
      </w:r>
      <w:r>
        <w:fldChar w:fldCharType="end"/>
      </w:r>
    </w:p>
    <w:p>
      <w:pPr>
        <w:pStyle w:val="29"/>
        <w:tabs>
          <w:tab w:val="right" w:leader="dot" w:pos="9638"/>
        </w:tabs>
      </w:pPr>
      <w:r>
        <w:fldChar w:fldCharType="begin"/>
      </w:r>
      <w:r>
        <w:instrText xml:space="preserve"> HYPERLINK \l _Toc6162 </w:instrText>
      </w:r>
      <w:r>
        <w:fldChar w:fldCharType="separate"/>
      </w:r>
      <w:r>
        <w:rPr>
          <w:rFonts w:hint="eastAsia" w:ascii="宋体" w:hAnsi="宋体" w:cs="宋体"/>
          <w:szCs w:val="28"/>
        </w:rPr>
        <w:t>4.1.9 防电气火灾对策措施</w:t>
      </w:r>
      <w:r>
        <w:tab/>
      </w:r>
      <w:r>
        <w:fldChar w:fldCharType="begin"/>
      </w:r>
      <w:r>
        <w:instrText xml:space="preserve"> PAGEREF _Toc6162 </w:instrText>
      </w:r>
      <w:r>
        <w:fldChar w:fldCharType="separate"/>
      </w:r>
      <w:r>
        <w:t>41</w:t>
      </w:r>
      <w:r>
        <w:fldChar w:fldCharType="end"/>
      </w:r>
      <w:r>
        <w:fldChar w:fldCharType="end"/>
      </w:r>
    </w:p>
    <w:p>
      <w:pPr>
        <w:pStyle w:val="29"/>
        <w:tabs>
          <w:tab w:val="right" w:leader="dot" w:pos="9638"/>
        </w:tabs>
      </w:pPr>
      <w:r>
        <w:fldChar w:fldCharType="begin"/>
      </w:r>
      <w:r>
        <w:instrText xml:space="preserve"> HYPERLINK \l _Toc21557 </w:instrText>
      </w:r>
      <w:r>
        <w:fldChar w:fldCharType="separate"/>
      </w:r>
      <w:r>
        <w:rPr>
          <w:rFonts w:hint="eastAsia" w:ascii="宋体" w:hAnsi="宋体" w:cs="宋体"/>
          <w:szCs w:val="28"/>
        </w:rPr>
        <w:t>4.1.10 有限空间作业对策措施</w:t>
      </w:r>
      <w:r>
        <w:tab/>
      </w:r>
      <w:r>
        <w:fldChar w:fldCharType="begin"/>
      </w:r>
      <w:r>
        <w:instrText xml:space="preserve"> PAGEREF _Toc21557 </w:instrText>
      </w:r>
      <w:r>
        <w:fldChar w:fldCharType="separate"/>
      </w:r>
      <w:r>
        <w:t>41</w:t>
      </w:r>
      <w:r>
        <w:fldChar w:fldCharType="end"/>
      </w:r>
      <w:r>
        <w:fldChar w:fldCharType="end"/>
      </w:r>
    </w:p>
    <w:p>
      <w:pPr>
        <w:pStyle w:val="45"/>
        <w:tabs>
          <w:tab w:val="right" w:leader="dot" w:pos="9638"/>
        </w:tabs>
      </w:pPr>
      <w:r>
        <w:fldChar w:fldCharType="begin"/>
      </w:r>
      <w:r>
        <w:instrText xml:space="preserve"> HYPERLINK \l _Toc11861 </w:instrText>
      </w:r>
      <w:r>
        <w:fldChar w:fldCharType="separate"/>
      </w:r>
      <w:r>
        <w:rPr>
          <w:rFonts w:hint="eastAsia"/>
          <w:szCs w:val="28"/>
        </w:rPr>
        <w:t>4</w:t>
      </w:r>
      <w:r>
        <w:rPr>
          <w:szCs w:val="28"/>
        </w:rPr>
        <w:t>.</w:t>
      </w:r>
      <w:r>
        <w:rPr>
          <w:rFonts w:hint="eastAsia"/>
          <w:szCs w:val="28"/>
        </w:rPr>
        <w:t xml:space="preserve">2 </w:t>
      </w:r>
      <w:r>
        <w:rPr>
          <w:szCs w:val="28"/>
        </w:rPr>
        <w:t>安全管理对策措施</w:t>
      </w:r>
      <w:r>
        <w:tab/>
      </w:r>
      <w:r>
        <w:fldChar w:fldCharType="begin"/>
      </w:r>
      <w:r>
        <w:instrText xml:space="preserve"> PAGEREF _Toc11861 </w:instrText>
      </w:r>
      <w:r>
        <w:fldChar w:fldCharType="separate"/>
      </w:r>
      <w:r>
        <w:t>42</w:t>
      </w:r>
      <w:r>
        <w:fldChar w:fldCharType="end"/>
      </w:r>
      <w:r>
        <w:fldChar w:fldCharType="end"/>
      </w:r>
    </w:p>
    <w:p>
      <w:pPr>
        <w:pStyle w:val="29"/>
        <w:tabs>
          <w:tab w:val="right" w:leader="dot" w:pos="9638"/>
        </w:tabs>
      </w:pPr>
      <w:r>
        <w:fldChar w:fldCharType="begin"/>
      </w:r>
      <w:r>
        <w:instrText xml:space="preserve"> HYPERLINK \l _Toc6598 </w:instrText>
      </w:r>
      <w:r>
        <w:fldChar w:fldCharType="separate"/>
      </w:r>
      <w:r>
        <w:rPr>
          <w:rFonts w:hint="eastAsia"/>
          <w:szCs w:val="28"/>
        </w:rPr>
        <w:t>4.2.1 安全管理对策措施</w:t>
      </w:r>
      <w:r>
        <w:tab/>
      </w:r>
      <w:r>
        <w:fldChar w:fldCharType="begin"/>
      </w:r>
      <w:r>
        <w:instrText xml:space="preserve"> PAGEREF _Toc6598 </w:instrText>
      </w:r>
      <w:r>
        <w:fldChar w:fldCharType="separate"/>
      </w:r>
      <w:r>
        <w:t>42</w:t>
      </w:r>
      <w:r>
        <w:fldChar w:fldCharType="end"/>
      </w:r>
      <w:r>
        <w:fldChar w:fldCharType="end"/>
      </w:r>
    </w:p>
    <w:p>
      <w:pPr>
        <w:pStyle w:val="29"/>
        <w:tabs>
          <w:tab w:val="right" w:leader="dot" w:pos="9638"/>
        </w:tabs>
      </w:pPr>
      <w:r>
        <w:fldChar w:fldCharType="begin"/>
      </w:r>
      <w:r>
        <w:instrText xml:space="preserve"> HYPERLINK \l _Toc14773 </w:instrText>
      </w:r>
      <w:r>
        <w:fldChar w:fldCharType="separate"/>
      </w:r>
      <w:r>
        <w:rPr>
          <w:rFonts w:hint="eastAsia"/>
          <w:szCs w:val="28"/>
        </w:rPr>
        <w:t>4.2.2 事故应急救援对策措施</w:t>
      </w:r>
      <w:r>
        <w:tab/>
      </w:r>
      <w:r>
        <w:fldChar w:fldCharType="begin"/>
      </w:r>
      <w:r>
        <w:instrText xml:space="preserve"> PAGEREF _Toc14773 </w:instrText>
      </w:r>
      <w:r>
        <w:fldChar w:fldCharType="separate"/>
      </w:r>
      <w:r>
        <w:t>43</w:t>
      </w:r>
      <w:r>
        <w:fldChar w:fldCharType="end"/>
      </w:r>
      <w:r>
        <w:fldChar w:fldCharType="end"/>
      </w:r>
    </w:p>
    <w:p>
      <w:pPr>
        <w:pStyle w:val="45"/>
        <w:tabs>
          <w:tab w:val="right" w:leader="dot" w:pos="9638"/>
        </w:tabs>
      </w:pPr>
      <w:r>
        <w:fldChar w:fldCharType="begin"/>
      </w:r>
      <w:r>
        <w:instrText xml:space="preserve"> HYPERLINK \l _Toc1049 </w:instrText>
      </w:r>
      <w:r>
        <w:fldChar w:fldCharType="separate"/>
      </w:r>
      <w:r>
        <w:rPr>
          <w:rFonts w:hint="eastAsia"/>
          <w:szCs w:val="28"/>
        </w:rPr>
        <w:t>4</w:t>
      </w:r>
      <w:r>
        <w:rPr>
          <w:szCs w:val="28"/>
        </w:rPr>
        <w:t>.</w:t>
      </w:r>
      <w:r>
        <w:rPr>
          <w:rFonts w:hint="eastAsia"/>
          <w:szCs w:val="28"/>
        </w:rPr>
        <w:t xml:space="preserve">3 </w:t>
      </w:r>
      <w:r>
        <w:rPr>
          <w:szCs w:val="28"/>
        </w:rPr>
        <w:t>其他安全对策措施</w:t>
      </w:r>
      <w:r>
        <w:tab/>
      </w:r>
      <w:r>
        <w:fldChar w:fldCharType="begin"/>
      </w:r>
      <w:r>
        <w:instrText xml:space="preserve"> PAGEREF _Toc1049 </w:instrText>
      </w:r>
      <w:r>
        <w:fldChar w:fldCharType="separate"/>
      </w:r>
      <w:r>
        <w:t>47</w:t>
      </w:r>
      <w:r>
        <w:fldChar w:fldCharType="end"/>
      </w:r>
      <w:r>
        <w:fldChar w:fldCharType="end"/>
      </w:r>
    </w:p>
    <w:p>
      <w:pPr>
        <w:pStyle w:val="38"/>
        <w:tabs>
          <w:tab w:val="right" w:leader="dot" w:pos="9638"/>
        </w:tabs>
      </w:pPr>
      <w:r>
        <w:fldChar w:fldCharType="begin"/>
      </w:r>
      <w:r>
        <w:instrText xml:space="preserve"> HYPERLINK \l _Toc29574 </w:instrText>
      </w:r>
      <w:r>
        <w:fldChar w:fldCharType="separate"/>
      </w:r>
      <w:r>
        <w:t>5 评估结论与建议</w:t>
      </w:r>
      <w:r>
        <w:tab/>
      </w:r>
      <w:r>
        <w:fldChar w:fldCharType="begin"/>
      </w:r>
      <w:r>
        <w:instrText xml:space="preserve"> PAGEREF _Toc29574 </w:instrText>
      </w:r>
      <w:r>
        <w:fldChar w:fldCharType="separate"/>
      </w:r>
      <w:r>
        <w:t>51</w:t>
      </w:r>
      <w:r>
        <w:fldChar w:fldCharType="end"/>
      </w:r>
      <w:r>
        <w:fldChar w:fldCharType="end"/>
      </w:r>
    </w:p>
    <w:p>
      <w:pPr>
        <w:pStyle w:val="45"/>
        <w:tabs>
          <w:tab w:val="right" w:leader="dot" w:pos="9638"/>
        </w:tabs>
      </w:pPr>
      <w:r>
        <w:fldChar w:fldCharType="begin"/>
      </w:r>
      <w:r>
        <w:instrText xml:space="preserve"> HYPERLINK \l _Toc4574 </w:instrText>
      </w:r>
      <w:r>
        <w:fldChar w:fldCharType="separate"/>
      </w:r>
      <w:r>
        <w:t>5.1 结论</w:t>
      </w:r>
      <w:r>
        <w:tab/>
      </w:r>
      <w:r>
        <w:fldChar w:fldCharType="begin"/>
      </w:r>
      <w:r>
        <w:instrText xml:space="preserve"> PAGEREF _Toc4574 </w:instrText>
      </w:r>
      <w:r>
        <w:fldChar w:fldCharType="separate"/>
      </w:r>
      <w:r>
        <w:t>51</w:t>
      </w:r>
      <w:r>
        <w:fldChar w:fldCharType="end"/>
      </w:r>
      <w:r>
        <w:fldChar w:fldCharType="end"/>
      </w:r>
    </w:p>
    <w:p>
      <w:pPr>
        <w:pStyle w:val="45"/>
        <w:tabs>
          <w:tab w:val="right" w:leader="dot" w:pos="9638"/>
        </w:tabs>
      </w:pPr>
      <w:r>
        <w:fldChar w:fldCharType="begin"/>
      </w:r>
      <w:r>
        <w:instrText xml:space="preserve"> HYPERLINK \l _Toc10158 </w:instrText>
      </w:r>
      <w:r>
        <w:fldChar w:fldCharType="separate"/>
      </w:r>
      <w:r>
        <w:rPr>
          <w:szCs w:val="28"/>
        </w:rPr>
        <w:t>5.2 建议</w:t>
      </w:r>
      <w:r>
        <w:tab/>
      </w:r>
      <w:r>
        <w:fldChar w:fldCharType="begin"/>
      </w:r>
      <w:r>
        <w:instrText xml:space="preserve"> PAGEREF _Toc10158 </w:instrText>
      </w:r>
      <w:r>
        <w:fldChar w:fldCharType="separate"/>
      </w:r>
      <w:r>
        <w:t>51</w:t>
      </w:r>
      <w:r>
        <w:fldChar w:fldCharType="end"/>
      </w:r>
      <w:r>
        <w:fldChar w:fldCharType="end"/>
      </w:r>
    </w:p>
    <w:p>
      <w:r>
        <w:fldChar w:fldCharType="end"/>
      </w:r>
    </w:p>
    <w:p/>
    <w:p>
      <w:pPr>
        <w:sectPr>
          <w:pgSz w:w="11906" w:h="16838"/>
          <w:pgMar w:top="1418" w:right="1134" w:bottom="1134" w:left="1134" w:header="851" w:footer="992" w:gutter="0"/>
          <w:cols w:space="720" w:num="1"/>
          <w:docGrid w:type="lines" w:linePitch="312" w:charSpace="0"/>
        </w:sectPr>
      </w:pPr>
    </w:p>
    <w:bookmarkEnd w:id="0"/>
    <w:p>
      <w:pPr>
        <w:pStyle w:val="3"/>
      </w:pPr>
      <w:bookmarkStart w:id="37" w:name="_Toc481135188"/>
      <w:bookmarkStart w:id="38" w:name="_Toc18247"/>
      <w:bookmarkStart w:id="39" w:name="_Toc2847119"/>
      <w:bookmarkStart w:id="40" w:name="_Toc2846927"/>
      <w:r>
        <w:t xml:space="preserve">1 </w:t>
      </w:r>
      <w:bookmarkEnd w:id="37"/>
      <w:r>
        <w:t>概述</w:t>
      </w:r>
      <w:bookmarkEnd w:id="38"/>
      <w:bookmarkEnd w:id="39"/>
      <w:bookmarkEnd w:id="40"/>
    </w:p>
    <w:p>
      <w:pPr>
        <w:pStyle w:val="4"/>
      </w:pPr>
      <w:bookmarkStart w:id="41" w:name="_Toc2846928"/>
      <w:bookmarkStart w:id="42" w:name="_Toc27463"/>
      <w:bookmarkStart w:id="43" w:name="_Toc2847120"/>
      <w:r>
        <w:t>1.1 评估的主要依据</w:t>
      </w:r>
      <w:bookmarkEnd w:id="41"/>
      <w:bookmarkEnd w:id="42"/>
      <w:bookmarkEnd w:id="43"/>
    </w:p>
    <w:p>
      <w:pPr>
        <w:pStyle w:val="5"/>
        <w:rPr>
          <w:sz w:val="28"/>
          <w:szCs w:val="28"/>
        </w:rPr>
      </w:pPr>
      <w:bookmarkStart w:id="44" w:name="_Toc23838"/>
      <w:bookmarkStart w:id="45" w:name="_Toc438205753"/>
      <w:bookmarkStart w:id="46" w:name="_Toc2847121"/>
      <w:bookmarkStart w:id="47" w:name="_Toc2846929"/>
      <w:bookmarkStart w:id="48" w:name="_Toc184009547"/>
      <w:bookmarkStart w:id="49" w:name="_Toc184788803"/>
      <w:r>
        <w:rPr>
          <w:sz w:val="28"/>
          <w:szCs w:val="28"/>
        </w:rPr>
        <w:t>1.1.1 相关法律、法规</w:t>
      </w:r>
      <w:bookmarkEnd w:id="44"/>
      <w:bookmarkEnd w:id="45"/>
      <w:bookmarkEnd w:id="46"/>
      <w:bookmarkEnd w:id="47"/>
      <w:bookmarkEnd w:id="48"/>
    </w:p>
    <w:p>
      <w:pPr>
        <w:snapToGrid w:val="0"/>
        <w:spacing w:line="360" w:lineRule="auto"/>
        <w:ind w:firstLine="560" w:firstLineChars="200"/>
        <w:rPr>
          <w:rFonts w:ascii="Times New Roman" w:hAnsi="Times New Roman"/>
          <w:sz w:val="28"/>
          <w:szCs w:val="28"/>
        </w:rPr>
      </w:pPr>
      <w:r>
        <w:rPr>
          <w:rFonts w:ascii="Times New Roman" w:hAnsi="Times New Roman"/>
          <w:sz w:val="28"/>
          <w:szCs w:val="28"/>
        </w:rPr>
        <w:t>1）《中华人民共和国安全生产法》(主席令第13号，2014年)；</w:t>
      </w:r>
    </w:p>
    <w:p>
      <w:pPr>
        <w:snapToGrid w:val="0"/>
        <w:spacing w:line="360" w:lineRule="auto"/>
        <w:ind w:firstLine="560" w:firstLineChars="200"/>
        <w:rPr>
          <w:rFonts w:ascii="Times New Roman" w:hAnsi="Times New Roman"/>
          <w:sz w:val="28"/>
          <w:szCs w:val="28"/>
        </w:rPr>
      </w:pPr>
      <w:r>
        <w:rPr>
          <w:rFonts w:hint="eastAsia" w:ascii="Times New Roman" w:hAnsi="Times New Roman"/>
          <w:sz w:val="28"/>
          <w:szCs w:val="28"/>
        </w:rPr>
        <w:t>2</w:t>
      </w:r>
      <w:r>
        <w:rPr>
          <w:rFonts w:ascii="Times New Roman" w:hAnsi="Times New Roman"/>
          <w:sz w:val="28"/>
          <w:szCs w:val="28"/>
        </w:rPr>
        <w:t>《危险化学品安全管理条例》（国务院令第591号，2013年645号修订）；</w:t>
      </w:r>
    </w:p>
    <w:p>
      <w:pPr>
        <w:snapToGrid w:val="0"/>
        <w:spacing w:line="360" w:lineRule="auto"/>
        <w:ind w:firstLine="560" w:firstLineChars="200"/>
        <w:rPr>
          <w:rFonts w:ascii="Times New Roman" w:hAnsi="Times New Roman"/>
          <w:sz w:val="28"/>
          <w:szCs w:val="28"/>
        </w:rPr>
      </w:pPr>
      <w:r>
        <w:rPr>
          <w:rFonts w:hint="eastAsia" w:ascii="Times New Roman" w:hAnsi="Times New Roman"/>
          <w:sz w:val="28"/>
          <w:szCs w:val="28"/>
        </w:rPr>
        <w:t>3</w:t>
      </w:r>
      <w:r>
        <w:rPr>
          <w:rFonts w:ascii="Times New Roman" w:hAnsi="Times New Roman"/>
          <w:sz w:val="28"/>
          <w:szCs w:val="28"/>
        </w:rPr>
        <w:t>）《危险化学品经营许可证管理办法》（国家安全生产监督管理总局令第55号，79号令修改）；</w:t>
      </w:r>
    </w:p>
    <w:p>
      <w:pPr>
        <w:snapToGrid w:val="0"/>
        <w:spacing w:line="360" w:lineRule="auto"/>
        <w:ind w:firstLine="560" w:firstLineChars="200"/>
        <w:rPr>
          <w:rFonts w:ascii="Times New Roman" w:hAnsi="Times New Roman"/>
          <w:sz w:val="28"/>
          <w:szCs w:val="28"/>
        </w:rPr>
      </w:pPr>
      <w:r>
        <w:rPr>
          <w:rFonts w:hint="eastAsia" w:ascii="Times New Roman" w:hAnsi="Times New Roman"/>
          <w:sz w:val="28"/>
          <w:szCs w:val="28"/>
        </w:rPr>
        <w:t>4</w:t>
      </w:r>
      <w:r>
        <w:rPr>
          <w:rFonts w:ascii="Times New Roman" w:hAnsi="Times New Roman"/>
          <w:sz w:val="28"/>
          <w:szCs w:val="28"/>
        </w:rPr>
        <w:t>）《危险化学品目录（2015年版）》（国家安监总局十部门令2015年5号）；</w:t>
      </w:r>
    </w:p>
    <w:p>
      <w:pPr>
        <w:snapToGrid w:val="0"/>
        <w:spacing w:line="360" w:lineRule="auto"/>
        <w:ind w:firstLine="560" w:firstLineChars="200"/>
        <w:rPr>
          <w:rFonts w:ascii="Times New Roman" w:hAnsi="Times New Roman"/>
          <w:sz w:val="28"/>
          <w:szCs w:val="28"/>
        </w:rPr>
      </w:pPr>
      <w:r>
        <w:rPr>
          <w:rFonts w:hint="eastAsia" w:ascii="Times New Roman" w:hAnsi="Times New Roman"/>
          <w:sz w:val="28"/>
          <w:szCs w:val="28"/>
        </w:rPr>
        <w:t>5</w:t>
      </w:r>
      <w:r>
        <w:rPr>
          <w:rFonts w:ascii="Times New Roman" w:hAnsi="Times New Roman"/>
          <w:sz w:val="28"/>
          <w:szCs w:val="28"/>
        </w:rPr>
        <w:t>）《危险化学品建设项目安全监督管理办法》（国家安全生产监督管理总局令第45号，2015年79号令修订）；</w:t>
      </w:r>
    </w:p>
    <w:p>
      <w:pPr>
        <w:snapToGrid w:val="0"/>
        <w:spacing w:line="360" w:lineRule="auto"/>
        <w:ind w:firstLine="560" w:firstLineChars="200"/>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）《生产安全事故应急预案管理办法》（</w:t>
      </w:r>
      <w:r>
        <w:rPr>
          <w:rFonts w:hint="eastAsia" w:ascii="Times New Roman" w:hAnsi="Times New Roman"/>
          <w:sz w:val="28"/>
          <w:szCs w:val="28"/>
        </w:rPr>
        <w:t>2016年6月3日国家安全生产监督管理总局令第88号公布，根据2019年7月11日应急管理部令第2号修正</w:t>
      </w:r>
      <w:r>
        <w:rPr>
          <w:rFonts w:ascii="Times New Roman" w:hAnsi="Times New Roman"/>
          <w:sz w:val="28"/>
          <w:szCs w:val="28"/>
        </w:rPr>
        <w:t>）；</w:t>
      </w:r>
    </w:p>
    <w:p>
      <w:pPr>
        <w:snapToGrid w:val="0"/>
        <w:spacing w:line="360" w:lineRule="auto"/>
        <w:ind w:firstLine="560" w:firstLineChars="200"/>
      </w:pPr>
      <w:r>
        <w:rPr>
          <w:rFonts w:hint="eastAsia" w:ascii="Times New Roman" w:hAnsi="Times New Roman"/>
          <w:sz w:val="28"/>
          <w:szCs w:val="28"/>
        </w:rPr>
        <w:t>7</w:t>
      </w:r>
      <w:r>
        <w:rPr>
          <w:rFonts w:ascii="Times New Roman" w:hAnsi="Times New Roman"/>
          <w:sz w:val="28"/>
          <w:szCs w:val="28"/>
        </w:rPr>
        <w:t>）《国家安全监管总局关于公布首批重点监管的危险化学品名录的通知》（安监总管三[2011]95号）；</w:t>
      </w:r>
    </w:p>
    <w:p>
      <w:pPr>
        <w:pStyle w:val="5"/>
        <w:rPr>
          <w:sz w:val="28"/>
          <w:szCs w:val="28"/>
        </w:rPr>
      </w:pPr>
      <w:bookmarkStart w:id="50" w:name="_Toc19272"/>
      <w:bookmarkStart w:id="51" w:name="_Toc184009548"/>
      <w:bookmarkStart w:id="52" w:name="_Toc2846930"/>
      <w:bookmarkStart w:id="53" w:name="_Toc438205755"/>
      <w:bookmarkStart w:id="54" w:name="_Toc2847122"/>
      <w:r>
        <w:rPr>
          <w:sz w:val="28"/>
          <w:szCs w:val="28"/>
        </w:rPr>
        <w:t>1.1.2 相关标准、规范</w:t>
      </w:r>
      <w:bookmarkEnd w:id="50"/>
      <w:bookmarkEnd w:id="51"/>
      <w:bookmarkEnd w:id="52"/>
      <w:bookmarkEnd w:id="53"/>
      <w:bookmarkEnd w:id="54"/>
    </w:p>
    <w:p>
      <w:pPr>
        <w:spacing w:line="360" w:lineRule="auto"/>
        <w:ind w:left="567"/>
        <w:rPr>
          <w:rFonts w:ascii="Times New Roman" w:hAnsi="Times New Roman"/>
          <w:sz w:val="28"/>
          <w:szCs w:val="28"/>
        </w:rPr>
      </w:pPr>
      <w:r>
        <w:rPr>
          <w:rFonts w:ascii="Times New Roman" w:hAnsi="Times New Roman"/>
          <w:sz w:val="28"/>
          <w:szCs w:val="28"/>
        </w:rPr>
        <w:t>1）《汽车加油加气站设计与施工规范（2014年版）》（GB50156-2012）；</w:t>
      </w:r>
    </w:p>
    <w:p>
      <w:pPr>
        <w:spacing w:line="360" w:lineRule="auto"/>
        <w:ind w:left="567"/>
        <w:rPr>
          <w:rFonts w:ascii="Times New Roman" w:hAnsi="Times New Roman"/>
          <w:sz w:val="28"/>
          <w:szCs w:val="28"/>
        </w:rPr>
      </w:pPr>
      <w:r>
        <w:rPr>
          <w:rFonts w:hint="eastAsia" w:ascii="Times New Roman" w:hAnsi="Times New Roman"/>
          <w:sz w:val="28"/>
          <w:szCs w:val="28"/>
        </w:rPr>
        <w:t>2</w:t>
      </w:r>
      <w:r>
        <w:rPr>
          <w:rFonts w:ascii="Times New Roman" w:hAnsi="Times New Roman"/>
          <w:sz w:val="28"/>
          <w:szCs w:val="28"/>
        </w:rPr>
        <w:t>）《危险化学品重大危险源辨识》（GB18218-20</w:t>
      </w:r>
      <w:r>
        <w:rPr>
          <w:rFonts w:hint="eastAsia" w:ascii="Times New Roman" w:hAnsi="Times New Roman"/>
          <w:sz w:val="28"/>
          <w:szCs w:val="28"/>
        </w:rPr>
        <w:t>18</w:t>
      </w:r>
      <w:r>
        <w:rPr>
          <w:rFonts w:ascii="Times New Roman" w:hAnsi="Times New Roman"/>
          <w:sz w:val="28"/>
          <w:szCs w:val="28"/>
        </w:rPr>
        <w:t>）；</w:t>
      </w:r>
    </w:p>
    <w:p>
      <w:pPr>
        <w:spacing w:line="360" w:lineRule="auto"/>
        <w:ind w:left="567"/>
        <w:rPr>
          <w:rFonts w:ascii="Times New Roman" w:hAnsi="Times New Roman"/>
          <w:sz w:val="28"/>
          <w:szCs w:val="28"/>
        </w:rPr>
      </w:pPr>
      <w:r>
        <w:rPr>
          <w:rFonts w:hint="eastAsia" w:ascii="Times New Roman" w:hAnsi="Times New Roman"/>
          <w:sz w:val="28"/>
          <w:szCs w:val="28"/>
        </w:rPr>
        <w:t>3</w:t>
      </w:r>
      <w:r>
        <w:rPr>
          <w:rFonts w:ascii="Times New Roman" w:hAnsi="Times New Roman"/>
          <w:sz w:val="28"/>
          <w:szCs w:val="28"/>
        </w:rPr>
        <w:t>）《企业职工伤亡事故分类标准》（GB/T6441-1986）；</w:t>
      </w:r>
    </w:p>
    <w:p>
      <w:pPr>
        <w:spacing w:line="360" w:lineRule="auto"/>
        <w:ind w:left="567"/>
        <w:rPr>
          <w:rFonts w:ascii="Times New Roman" w:hAnsi="Times New Roman"/>
          <w:sz w:val="28"/>
          <w:szCs w:val="28"/>
        </w:rPr>
      </w:pPr>
      <w:r>
        <w:rPr>
          <w:rFonts w:hint="eastAsia" w:ascii="Times New Roman" w:hAnsi="Times New Roman"/>
          <w:sz w:val="28"/>
          <w:szCs w:val="28"/>
        </w:rPr>
        <w:t>4</w:t>
      </w:r>
      <w:r>
        <w:rPr>
          <w:rFonts w:ascii="Times New Roman" w:hAnsi="Times New Roman"/>
          <w:sz w:val="28"/>
          <w:szCs w:val="28"/>
        </w:rPr>
        <w:t>）《生产经营单位生产安全事故应急救援预案编制导则》（GB/T29639-2013）；</w:t>
      </w:r>
    </w:p>
    <w:p>
      <w:pPr>
        <w:pStyle w:val="4"/>
        <w:rPr>
          <w:szCs w:val="28"/>
        </w:rPr>
      </w:pPr>
      <w:bookmarkStart w:id="55" w:name="_Toc2847123"/>
      <w:bookmarkStart w:id="56" w:name="_Toc2846931"/>
      <w:bookmarkStart w:id="57" w:name="_Toc24107"/>
      <w:r>
        <w:rPr>
          <w:szCs w:val="28"/>
        </w:rPr>
        <w:t>1.2 评估目的</w:t>
      </w:r>
      <w:bookmarkEnd w:id="55"/>
      <w:bookmarkEnd w:id="56"/>
      <w:bookmarkEnd w:id="57"/>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为规范加油站风险管理工作，识别和分析生产安全作业中的危险有害因素，消除或减少事故危害，确保安全作业，由加油站风险评价小组进行风险评估。</w:t>
      </w:r>
    </w:p>
    <w:p>
      <w:pPr>
        <w:pStyle w:val="4"/>
        <w:rPr>
          <w:szCs w:val="28"/>
        </w:rPr>
      </w:pPr>
      <w:bookmarkStart w:id="58" w:name="_Toc2846932"/>
      <w:bookmarkStart w:id="59" w:name="_Toc2847124"/>
      <w:bookmarkStart w:id="60" w:name="_Toc21516"/>
      <w:r>
        <w:rPr>
          <w:szCs w:val="28"/>
        </w:rPr>
        <w:t>1.3 风险评估范围</w:t>
      </w:r>
      <w:bookmarkEnd w:id="58"/>
      <w:bookmarkEnd w:id="59"/>
      <w:bookmarkEnd w:id="60"/>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评估范围主要围绕生产经营活动开展，主要包括加油站在生产经营过程的生产工艺装置和储存设施以及配套的公用工程系统的风险性识别和分析。</w:t>
      </w:r>
    </w:p>
    <w:p>
      <w:pPr>
        <w:pStyle w:val="4"/>
        <w:rPr>
          <w:szCs w:val="28"/>
        </w:rPr>
      </w:pPr>
      <w:bookmarkStart w:id="61" w:name="_Toc21180"/>
      <w:bookmarkStart w:id="62" w:name="_Toc2847125"/>
      <w:bookmarkStart w:id="63" w:name="_Toc2846933"/>
      <w:r>
        <w:rPr>
          <w:szCs w:val="28"/>
        </w:rPr>
        <w:t>1.4 评估程序</w:t>
      </w:r>
      <w:bookmarkEnd w:id="61"/>
      <w:bookmarkEnd w:id="62"/>
      <w:bookmarkEnd w:id="63"/>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 xml:space="preserve">1、成立风险评估小组 </w:t>
      </w:r>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 xml:space="preserve">2、收集分析资料、现场勘察 </w:t>
      </w:r>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 xml:space="preserve">3、组织进行风险识别和评估 </w:t>
      </w:r>
    </w:p>
    <w:p>
      <w:pPr>
        <w:autoSpaceDE w:val="0"/>
        <w:autoSpaceDN w:val="0"/>
        <w:adjustRightInd w:val="0"/>
        <w:spacing w:line="360" w:lineRule="auto"/>
        <w:ind w:firstLine="560" w:firstLineChars="200"/>
        <w:rPr>
          <w:rFonts w:ascii="Times New Roman" w:hAnsi="Times New Roman"/>
          <w:sz w:val="28"/>
          <w:szCs w:val="28"/>
        </w:rPr>
      </w:pPr>
      <w:r>
        <w:rPr>
          <w:rFonts w:ascii="Times New Roman" w:hAnsi="Times New Roman"/>
          <w:sz w:val="28"/>
          <w:szCs w:val="28"/>
        </w:rPr>
        <w:t xml:space="preserve">4、评估汇总交加油站主要负责人批准 </w:t>
      </w:r>
    </w:p>
    <w:p>
      <w:pPr>
        <w:pStyle w:val="3"/>
      </w:pPr>
      <w:r>
        <w:rPr>
          <w:sz w:val="28"/>
        </w:rPr>
        <w:br w:type="page"/>
      </w:r>
      <w:bookmarkEnd w:id="49"/>
      <w:bookmarkStart w:id="64" w:name="_Toc2847126"/>
      <w:bookmarkStart w:id="65" w:name="_Toc19999"/>
      <w:bookmarkStart w:id="66" w:name="_Toc2846934"/>
      <w:bookmarkStart w:id="67" w:name="_Toc477275482"/>
      <w:bookmarkStart w:id="68" w:name="_Toc481135249"/>
      <w:r>
        <w:t>2 企业基本情况</w:t>
      </w:r>
      <w:bookmarkEnd w:id="64"/>
      <w:bookmarkEnd w:id="65"/>
      <w:bookmarkEnd w:id="66"/>
    </w:p>
    <w:p>
      <w:pPr>
        <w:pStyle w:val="4"/>
        <w:rPr>
          <w:rFonts w:ascii="Times New Roman" w:hAnsi="Times New Roman"/>
          <w:b w:val="0"/>
          <w:bCs w:val="0"/>
          <w:szCs w:val="28"/>
        </w:rPr>
      </w:pPr>
      <w:bookmarkStart w:id="69" w:name="_Toc2846935"/>
      <w:bookmarkStart w:id="70" w:name="_Toc516661589"/>
      <w:bookmarkStart w:id="71" w:name="_Toc10741"/>
      <w:bookmarkStart w:id="72" w:name="_Toc2847127"/>
      <w:r>
        <w:t>2.1 企业概况</w:t>
      </w:r>
      <w:bookmarkEnd w:id="69"/>
      <w:bookmarkEnd w:id="70"/>
      <w:bookmarkEnd w:id="71"/>
      <w:bookmarkEnd w:id="72"/>
    </w:p>
    <w:p>
      <w:pPr>
        <w:ind w:firstLine="560" w:firstLineChars="200"/>
        <w:rPr>
          <w:sz w:val="28"/>
          <w:szCs w:val="28"/>
        </w:rPr>
      </w:pPr>
      <w:bookmarkStart w:id="73" w:name="_Toc303172554"/>
      <w:bookmarkStart w:id="74" w:name="_Toc182126127"/>
      <w:bookmarkStart w:id="75" w:name="_Toc203469060"/>
      <w:bookmarkStart w:id="76" w:name="_Toc303174117"/>
      <w:bookmarkStart w:id="77" w:name="_Toc303064176"/>
      <w:bookmarkStart w:id="78" w:name="_Toc174500363"/>
      <w:bookmarkStart w:id="79" w:name="_Toc516661590"/>
      <w:r>
        <w:rPr>
          <w:rFonts w:hint="eastAsia" w:ascii="Times New Roman" w:hAnsi="Times New Roman"/>
          <w:sz w:val="28"/>
          <w:szCs w:val="28"/>
        </w:rPr>
        <w:t>南充市顺庆区芦溪农机加油站</w:t>
      </w:r>
      <w:r>
        <w:rPr>
          <w:rFonts w:hint="eastAsia" w:ascii="Times New Roman" w:hAnsi="Times New Roman"/>
          <w:sz w:val="28"/>
          <w:szCs w:val="28"/>
          <w:lang w:eastAsia="zh-CN"/>
        </w:rPr>
        <w:t>（以下简称</w:t>
      </w:r>
      <w:r>
        <w:rPr>
          <w:rFonts w:hint="eastAsia" w:ascii="Times New Roman" w:hAnsi="Times New Roman"/>
          <w:sz w:val="28"/>
          <w:szCs w:val="28"/>
        </w:rPr>
        <w:t>芦溪农机加油站</w:t>
      </w:r>
      <w:r>
        <w:rPr>
          <w:rFonts w:hint="eastAsia" w:ascii="Times New Roman" w:hAnsi="Times New Roman"/>
          <w:sz w:val="28"/>
          <w:szCs w:val="28"/>
          <w:lang w:eastAsia="zh-CN"/>
        </w:rPr>
        <w:t>）</w:t>
      </w:r>
      <w:r>
        <w:rPr>
          <w:rFonts w:hint="eastAsia" w:ascii="Times New Roman" w:hAnsi="Times New Roman"/>
          <w:sz w:val="28"/>
          <w:szCs w:val="28"/>
        </w:rPr>
        <w:t>，地处顺庆区芦溪镇。加油站于2019年</w:t>
      </w:r>
      <w:r>
        <w:rPr>
          <w:rFonts w:hint="eastAsia"/>
          <w:sz w:val="28"/>
          <w:szCs w:val="28"/>
        </w:rPr>
        <w:t>改</w:t>
      </w:r>
      <w:r>
        <w:rPr>
          <w:rFonts w:hint="eastAsia"/>
          <w:sz w:val="28"/>
          <w:szCs w:val="28"/>
          <w:lang w:eastAsia="zh-CN"/>
        </w:rPr>
        <w:t>造</w:t>
      </w:r>
      <w:r>
        <w:rPr>
          <w:rFonts w:hint="eastAsia" w:ascii="Times New Roman" w:hAnsi="Times New Roman"/>
          <w:sz w:val="28"/>
          <w:szCs w:val="28"/>
        </w:rPr>
        <w:t>投入使用，占地面积406.8平方米，有双层</w:t>
      </w:r>
      <w:r>
        <w:rPr>
          <w:rFonts w:hint="eastAsia"/>
          <w:sz w:val="28"/>
          <w:szCs w:val="28"/>
        </w:rPr>
        <w:t>地埋</w:t>
      </w:r>
      <w:r>
        <w:rPr>
          <w:rFonts w:hint="eastAsia" w:ascii="Times New Roman" w:hAnsi="Times New Roman"/>
          <w:sz w:val="28"/>
          <w:szCs w:val="28"/>
        </w:rPr>
        <w:t>储油罐3个，其中92号汽油罐1个，容积为30立方米；95号汽油罐1个，容积为20立方米；柴油储罐1个，</w:t>
      </w:r>
      <w:r>
        <w:rPr>
          <w:rFonts w:hint="eastAsia"/>
          <w:sz w:val="28"/>
          <w:szCs w:val="28"/>
        </w:rPr>
        <w:t>容积为30立方米。</w:t>
      </w:r>
      <w:r>
        <w:rPr>
          <w:rFonts w:hint="eastAsia" w:ascii="宋体" w:hAnsi="宋体"/>
          <w:color w:val="000000"/>
          <w:sz w:val="28"/>
          <w:szCs w:val="28"/>
        </w:rPr>
        <w:t>油罐总容积为65m</w:t>
      </w:r>
      <w:r>
        <w:rPr>
          <w:rFonts w:hint="eastAsia" w:ascii="宋体" w:hAnsi="宋体"/>
          <w:color w:val="000000"/>
          <w:sz w:val="28"/>
          <w:szCs w:val="28"/>
          <w:vertAlign w:val="superscript"/>
        </w:rPr>
        <w:t>3</w:t>
      </w:r>
      <w:r>
        <w:rPr>
          <w:rFonts w:hint="eastAsia" w:ascii="宋体" w:hAnsi="宋体"/>
          <w:color w:val="000000"/>
          <w:sz w:val="28"/>
          <w:szCs w:val="28"/>
        </w:rPr>
        <w:t>（柴油折半计算），</w:t>
      </w:r>
      <w:r>
        <w:rPr>
          <w:rFonts w:hint="eastAsia"/>
          <w:sz w:val="28"/>
          <w:szCs w:val="28"/>
        </w:rPr>
        <w:t>属于三级加油站。主要经营92号汽油、95号汽油和0号柴油。</w:t>
      </w:r>
    </w:p>
    <w:bookmarkEnd w:id="73"/>
    <w:bookmarkEnd w:id="74"/>
    <w:bookmarkEnd w:id="75"/>
    <w:bookmarkEnd w:id="76"/>
    <w:bookmarkEnd w:id="77"/>
    <w:bookmarkEnd w:id="78"/>
    <w:p>
      <w:pPr>
        <w:pStyle w:val="4"/>
      </w:pPr>
      <w:bookmarkStart w:id="80" w:name="_Toc11244"/>
      <w:bookmarkStart w:id="81" w:name="_Toc2846936"/>
      <w:bookmarkStart w:id="82" w:name="_Toc2847128"/>
      <w:r>
        <w:t>2.2 企业位置及周边关系</w:t>
      </w:r>
      <w:bookmarkEnd w:id="79"/>
      <w:bookmarkEnd w:id="80"/>
      <w:bookmarkEnd w:id="81"/>
      <w:bookmarkEnd w:id="82"/>
    </w:p>
    <w:p>
      <w:pPr>
        <w:spacing w:line="600" w:lineRule="exact"/>
        <w:ind w:firstLine="562" w:firstLineChars="200"/>
        <w:rPr>
          <w:rFonts w:ascii="Times New Roman" w:hAnsi="Times New Roman"/>
          <w:b/>
          <w:sz w:val="28"/>
          <w:szCs w:val="28"/>
        </w:rPr>
      </w:pPr>
      <w:r>
        <w:rPr>
          <w:rFonts w:ascii="Times New Roman" w:hAnsi="Times New Roman"/>
          <w:b/>
          <w:sz w:val="28"/>
          <w:szCs w:val="28"/>
        </w:rPr>
        <w:t>(1) 企业位置</w:t>
      </w:r>
    </w:p>
    <w:p>
      <w:pPr>
        <w:ind w:firstLine="480"/>
      </w:pPr>
      <w:r>
        <w:rPr>
          <w:rFonts w:hint="eastAsia"/>
          <w:sz w:val="28"/>
          <w:szCs w:val="28"/>
        </w:rPr>
        <w:t>加油站具体经营地址位于顺庆区芦溪镇。如图2-1。</w:t>
      </w:r>
    </w:p>
    <w:p>
      <w:pPr>
        <w:jc w:val="center"/>
        <w:rPr>
          <w:b/>
          <w:bCs/>
          <w:color w:val="000000"/>
        </w:rPr>
      </w:pPr>
      <w:r>
        <w:rPr>
          <w:rFonts w:ascii="宋体" w:hAnsi="宋体" w:cs="宋体"/>
          <w:color w:val="000000"/>
          <w:kern w:val="0"/>
          <w:sz w:val="24"/>
        </w:rPr>
        <w:pict>
          <v:shape id="_x0000_i1025" o:spt="75" type="#_x0000_t75" style="height:303.45pt;width:396.55pt;" filled="f" o:preferrelative="t" stroked="f" coordsize="21600,21600">
            <v:path/>
            <v:fill on="f" focussize="0,0"/>
            <v:stroke on="f"/>
            <v:imagedata r:id="rId8" o:title=""/>
            <o:lock v:ext="edit" aspectratio="t"/>
            <w10:wrap type="none"/>
            <w10:anchorlock/>
          </v:shape>
        </w:pict>
      </w:r>
    </w:p>
    <w:p>
      <w:pPr>
        <w:pStyle w:val="36"/>
        <w:spacing w:before="156"/>
        <w:ind w:firstLine="361"/>
        <w:jc w:val="center"/>
        <w:rPr>
          <w:rFonts w:hint="eastAsia"/>
          <w:b/>
          <w:bCs/>
          <w:color w:val="000000"/>
          <w:sz w:val="18"/>
          <w:szCs w:val="18"/>
        </w:rPr>
      </w:pPr>
      <w:r>
        <w:rPr>
          <w:rFonts w:hint="eastAsia"/>
          <w:b/>
          <w:bCs/>
          <w:color w:val="000000"/>
          <w:sz w:val="18"/>
          <w:szCs w:val="18"/>
        </w:rPr>
        <w:t>图2-1 地理位置示意图</w:t>
      </w:r>
    </w:p>
    <w:p>
      <w:pPr>
        <w:pStyle w:val="36"/>
        <w:spacing w:before="156"/>
        <w:ind w:firstLine="361"/>
        <w:jc w:val="center"/>
        <w:rPr>
          <w:rFonts w:hint="eastAsia"/>
          <w:b/>
          <w:bCs/>
          <w:color w:val="000000"/>
          <w:sz w:val="18"/>
          <w:szCs w:val="18"/>
        </w:rPr>
      </w:pPr>
    </w:p>
    <w:p>
      <w:pPr>
        <w:pStyle w:val="36"/>
        <w:spacing w:before="156"/>
        <w:ind w:firstLine="361"/>
        <w:jc w:val="center"/>
        <w:rPr>
          <w:rFonts w:hint="eastAsia"/>
          <w:b/>
          <w:bCs/>
          <w:color w:val="000000"/>
          <w:sz w:val="18"/>
          <w:szCs w:val="18"/>
        </w:rPr>
      </w:pPr>
    </w:p>
    <w:p>
      <w:pPr>
        <w:pStyle w:val="36"/>
        <w:spacing w:before="156"/>
        <w:ind w:left="0" w:leftChars="0" w:firstLine="0" w:firstLineChars="0"/>
        <w:jc w:val="both"/>
        <w:rPr>
          <w:rFonts w:hint="eastAsia" w:eastAsia="宋体"/>
          <w:b/>
          <w:bCs/>
          <w:color w:val="000000"/>
          <w:sz w:val="18"/>
          <w:szCs w:val="18"/>
          <w:lang w:eastAsia="zh-CN"/>
        </w:rPr>
      </w:pPr>
      <w:bookmarkStart w:id="274" w:name="_GoBack"/>
      <w:bookmarkEnd w:id="274"/>
      <w:r>
        <w:rPr>
          <w:rFonts w:hint="eastAsia" w:eastAsia="宋体"/>
          <w:b/>
          <w:bCs/>
          <w:color w:val="000000"/>
          <w:sz w:val="18"/>
          <w:szCs w:val="18"/>
          <w:lang w:eastAsia="zh-CN"/>
        </w:rPr>
        <w:pict>
          <v:shape id="_x0000_i1028" o:spt="75" alt="bf8b42e99011a1860751b8789662f63" type="#_x0000_t75" style="height:311.45pt;width:415.25pt;" filled="f" o:preferrelative="t" stroked="f" coordsize="21600,21600">
            <v:path/>
            <v:fill on="f" focussize="0,0"/>
            <v:stroke on="f"/>
            <v:imagedata r:id="rId9" o:title="bf8b42e99011a1860751b8789662f63"/>
            <o:lock v:ext="edit" aspectratio="t"/>
            <w10:wrap type="none"/>
            <w10:anchorlock/>
          </v:shape>
        </w:pict>
      </w:r>
    </w:p>
    <w:p>
      <w:pPr>
        <w:spacing w:line="600" w:lineRule="exact"/>
        <w:ind w:firstLine="689" w:firstLineChars="245"/>
        <w:rPr>
          <w:rFonts w:ascii="Times New Roman" w:hAnsi="Times New Roman"/>
          <w:b/>
          <w:sz w:val="28"/>
          <w:szCs w:val="28"/>
        </w:rPr>
      </w:pPr>
      <w:r>
        <w:rPr>
          <w:rFonts w:ascii="Times New Roman" w:hAnsi="Times New Roman"/>
          <w:b/>
          <w:sz w:val="28"/>
          <w:szCs w:val="28"/>
        </w:rPr>
        <w:t xml:space="preserve"> (2) 周边关系</w:t>
      </w:r>
    </w:p>
    <w:p>
      <w:pPr>
        <w:ind w:firstLine="560" w:firstLineChars="200"/>
      </w:pPr>
      <w:r>
        <w:rPr>
          <w:rFonts w:hint="eastAsia"/>
          <w:sz w:val="28"/>
          <w:szCs w:val="28"/>
        </w:rPr>
        <w:t>加油站</w:t>
      </w:r>
      <w:r>
        <w:rPr>
          <w:rFonts w:hint="eastAsia" w:ascii="Times New Roman" w:hAnsi="Times New Roman"/>
          <w:sz w:val="28"/>
          <w:szCs w:val="28"/>
        </w:rPr>
        <w:t>周边200m内无商业中心，影剧院、体育场、公园、无供水源、水源保护区，风景名胜区、自然保护区、农田保护区、畜牧区、水产苗种生产基地和军事禁区、军事管理区。项目周围无重要公共建筑物、无甲、乙类物品生产厂房、库房和甲、乙、丙类液体储罐，无室外变配电站。</w:t>
      </w:r>
    </w:p>
    <w:p>
      <w:pPr>
        <w:spacing w:line="560" w:lineRule="exact"/>
        <w:ind w:firstLine="560" w:firstLineChars="200"/>
        <w:rPr>
          <w:sz w:val="28"/>
          <w:szCs w:val="28"/>
        </w:rPr>
      </w:pPr>
      <w:r>
        <w:rPr>
          <w:rFonts w:hint="eastAsia"/>
          <w:sz w:val="28"/>
          <w:szCs w:val="28"/>
        </w:rPr>
        <w:t>周边环境描述如下：</w:t>
      </w:r>
    </w:p>
    <w:p>
      <w:pPr>
        <w:spacing w:line="560" w:lineRule="exact"/>
        <w:ind w:firstLine="560" w:firstLineChars="200"/>
        <w:rPr>
          <w:rFonts w:ascii="宋体" w:hAnsi="宋体"/>
          <w:color w:val="000000"/>
          <w:sz w:val="28"/>
          <w:szCs w:val="28"/>
        </w:rPr>
      </w:pPr>
      <w:r>
        <w:rPr>
          <w:rFonts w:hint="eastAsia"/>
          <w:sz w:val="28"/>
          <w:szCs w:val="28"/>
        </w:rPr>
        <w:t>东</w:t>
      </w:r>
      <w:r>
        <w:rPr>
          <w:sz w:val="28"/>
          <w:szCs w:val="28"/>
        </w:rPr>
        <w:t>面：</w:t>
      </w:r>
      <w:r>
        <w:rPr>
          <w:rFonts w:hint="eastAsia"/>
          <w:sz w:val="28"/>
          <w:szCs w:val="28"/>
        </w:rPr>
        <w:t>该侧</w:t>
      </w:r>
      <w:r>
        <w:rPr>
          <w:rFonts w:hint="eastAsia" w:ascii="宋体" w:hAnsi="宋体"/>
          <w:color w:val="000000"/>
          <w:sz w:val="28"/>
          <w:szCs w:val="28"/>
        </w:rPr>
        <w:t>是一栋民房（三类保护物），与站房相邻，距离加油机17米，与汽油罐距离为9米，与柴油罐距离为15.3米。</w:t>
      </w:r>
    </w:p>
    <w:p>
      <w:pPr>
        <w:spacing w:line="560" w:lineRule="exact"/>
        <w:ind w:firstLine="560" w:firstLineChars="200"/>
      </w:pPr>
      <w:r>
        <w:rPr>
          <w:rFonts w:hint="eastAsia"/>
          <w:sz w:val="28"/>
          <w:szCs w:val="28"/>
        </w:rPr>
        <w:t>南</w:t>
      </w:r>
      <w:r>
        <w:rPr>
          <w:sz w:val="28"/>
          <w:szCs w:val="28"/>
        </w:rPr>
        <w:t>面：</w:t>
      </w:r>
      <w:r>
        <w:rPr>
          <w:rFonts w:hint="eastAsia"/>
          <w:sz w:val="28"/>
          <w:szCs w:val="28"/>
        </w:rPr>
        <w:t>该侧</w:t>
      </w:r>
      <w:r>
        <w:rPr>
          <w:rFonts w:hint="eastAsia" w:ascii="宋体" w:hAnsi="宋体"/>
          <w:color w:val="000000"/>
          <w:sz w:val="28"/>
          <w:szCs w:val="28"/>
        </w:rPr>
        <w:t>是民房（三类保护物），民房与柴油罐距离为10米，与汽油罐距离为13.1米；民房与加油机距离大于20米</w:t>
      </w:r>
      <w:r>
        <w:rPr>
          <w:rFonts w:hint="eastAsia"/>
          <w:sz w:val="28"/>
          <w:szCs w:val="28"/>
        </w:rPr>
        <w:t>。</w:t>
      </w:r>
    </w:p>
    <w:p>
      <w:pPr>
        <w:spacing w:line="560" w:lineRule="exact"/>
        <w:ind w:firstLine="560" w:firstLineChars="200"/>
        <w:rPr>
          <w:sz w:val="28"/>
          <w:szCs w:val="28"/>
        </w:rPr>
      </w:pPr>
      <w:r>
        <w:rPr>
          <w:rFonts w:hint="eastAsia"/>
          <w:sz w:val="28"/>
          <w:szCs w:val="28"/>
        </w:rPr>
        <w:t>西面：该侧</w:t>
      </w:r>
      <w:r>
        <w:rPr>
          <w:rFonts w:hint="eastAsia" w:ascii="宋体" w:hAnsi="宋体"/>
          <w:color w:val="000000"/>
          <w:sz w:val="28"/>
          <w:szCs w:val="28"/>
        </w:rPr>
        <w:t>是公路（支路），加油机与公路的距离为6.3米，油罐与公路的距离为10.9米</w:t>
      </w:r>
      <w:r>
        <w:rPr>
          <w:rFonts w:hint="eastAsia"/>
          <w:sz w:val="28"/>
          <w:szCs w:val="28"/>
        </w:rPr>
        <w:t>。</w:t>
      </w:r>
    </w:p>
    <w:p>
      <w:pPr>
        <w:spacing w:line="560" w:lineRule="exact"/>
        <w:ind w:firstLine="560" w:firstLineChars="200"/>
      </w:pPr>
      <w:r>
        <w:rPr>
          <w:rFonts w:hint="eastAsia"/>
          <w:sz w:val="28"/>
          <w:szCs w:val="28"/>
        </w:rPr>
        <w:t>北</w:t>
      </w:r>
      <w:r>
        <w:rPr>
          <w:sz w:val="28"/>
          <w:szCs w:val="28"/>
        </w:rPr>
        <w:t>面：</w:t>
      </w:r>
      <w:r>
        <w:rPr>
          <w:rFonts w:hint="eastAsia"/>
          <w:sz w:val="28"/>
          <w:szCs w:val="28"/>
        </w:rPr>
        <w:t>该侧</w:t>
      </w:r>
      <w:r>
        <w:rPr>
          <w:rFonts w:hint="eastAsia" w:ascii="宋体" w:hAnsi="宋体"/>
          <w:color w:val="000000"/>
          <w:sz w:val="28"/>
          <w:szCs w:val="28"/>
        </w:rPr>
        <w:t>是民房（三类保护物），民房与加油机距离为11.2米，与汽油罐距离18米，与柴油罐距离为23.8米</w:t>
      </w:r>
      <w:r>
        <w:rPr>
          <w:rFonts w:hint="eastAsia"/>
          <w:sz w:val="28"/>
          <w:szCs w:val="28"/>
        </w:rPr>
        <w:t>。</w:t>
      </w:r>
    </w:p>
    <w:p>
      <w:pPr>
        <w:spacing w:line="560" w:lineRule="exact"/>
        <w:ind w:firstLine="560" w:firstLineChars="200"/>
        <w:rPr>
          <w:sz w:val="28"/>
          <w:szCs w:val="28"/>
        </w:rPr>
      </w:pPr>
      <w:r>
        <w:rPr>
          <w:sz w:val="28"/>
          <w:szCs w:val="28"/>
        </w:rPr>
        <w:t>对</w:t>
      </w:r>
      <w:r>
        <w:rPr>
          <w:rFonts w:hint="eastAsia"/>
          <w:sz w:val="28"/>
          <w:szCs w:val="28"/>
        </w:rPr>
        <w:t>照</w:t>
      </w:r>
      <w:r>
        <w:rPr>
          <w:sz w:val="28"/>
          <w:szCs w:val="28"/>
        </w:rPr>
        <w:t>《汽车加油加气站设计与施工规范》（GB 50156-2012</w:t>
      </w:r>
      <w:r>
        <w:rPr>
          <w:rFonts w:hint="eastAsia"/>
          <w:sz w:val="28"/>
          <w:szCs w:val="28"/>
        </w:rPr>
        <w:t>，2014年版</w:t>
      </w:r>
      <w:r>
        <w:rPr>
          <w:sz w:val="28"/>
          <w:szCs w:val="28"/>
        </w:rPr>
        <w:t>）</w:t>
      </w:r>
      <w:r>
        <w:rPr>
          <w:rFonts w:hint="eastAsia"/>
          <w:sz w:val="28"/>
          <w:szCs w:val="28"/>
        </w:rPr>
        <w:t>表4.0.4及表4.0.5</w:t>
      </w:r>
      <w:r>
        <w:rPr>
          <w:sz w:val="28"/>
          <w:szCs w:val="28"/>
        </w:rPr>
        <w:t>，详见下表。</w:t>
      </w:r>
    </w:p>
    <w:p>
      <w:pPr>
        <w:spacing w:line="560" w:lineRule="exact"/>
        <w:jc w:val="center"/>
        <w:rPr>
          <w:rFonts w:ascii="宋体" w:hAnsi="宋体" w:cs="宋体"/>
          <w:b/>
          <w:bCs/>
          <w:szCs w:val="21"/>
        </w:rPr>
      </w:pPr>
      <w:r>
        <w:rPr>
          <w:rFonts w:hint="eastAsia" w:ascii="宋体" w:hAnsi="宋体" w:cs="宋体"/>
          <w:b/>
          <w:bCs/>
          <w:szCs w:val="21"/>
        </w:rPr>
        <w:t>表2.2加油站与周边环境关系表</w:t>
      </w:r>
    </w:p>
    <w:tbl>
      <w:tblPr>
        <w:tblStyle w:val="59"/>
        <w:tblW w:w="830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0"/>
        <w:gridCol w:w="780"/>
        <w:gridCol w:w="795"/>
        <w:gridCol w:w="836"/>
        <w:gridCol w:w="803"/>
        <w:gridCol w:w="851"/>
        <w:gridCol w:w="806"/>
        <w:gridCol w:w="885"/>
        <w:gridCol w:w="1135"/>
        <w:gridCol w:w="6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21" w:hRule="atLeast"/>
          <w:jc w:val="center"/>
        </w:trPr>
        <w:tc>
          <w:tcPr>
            <w:tcW w:w="750" w:type="dxa"/>
            <w:vMerge w:val="restart"/>
            <w:tcBorders>
              <w:bottom w:val="single" w:color="000000" w:sz="6" w:space="0"/>
              <w:right w:val="single" w:color="000000" w:sz="6" w:space="0"/>
            </w:tcBorders>
            <w:vAlign w:val="center"/>
          </w:tcPr>
          <w:p>
            <w:pPr>
              <w:jc w:val="center"/>
              <w:rPr>
                <w:sz w:val="18"/>
                <w:szCs w:val="18"/>
              </w:rPr>
            </w:pPr>
            <w:r>
              <w:rPr>
                <w:sz w:val="18"/>
                <w:szCs w:val="18"/>
              </w:rPr>
              <w:t>方向</w:t>
            </w:r>
          </w:p>
        </w:tc>
        <w:tc>
          <w:tcPr>
            <w:tcW w:w="780" w:type="dxa"/>
            <w:vMerge w:val="restart"/>
            <w:tcBorders>
              <w:left w:val="single" w:color="000000" w:sz="6" w:space="0"/>
              <w:bottom w:val="single" w:color="000000" w:sz="6" w:space="0"/>
              <w:right w:val="single" w:color="000000" w:sz="6" w:space="0"/>
            </w:tcBorders>
            <w:vAlign w:val="center"/>
          </w:tcPr>
          <w:p>
            <w:pPr>
              <w:jc w:val="center"/>
              <w:rPr>
                <w:sz w:val="18"/>
                <w:szCs w:val="18"/>
              </w:rPr>
            </w:pPr>
            <w:r>
              <w:rPr>
                <w:sz w:val="18"/>
                <w:szCs w:val="18"/>
              </w:rPr>
              <w:t>建（构）筑物设施</w:t>
            </w:r>
          </w:p>
        </w:tc>
        <w:tc>
          <w:tcPr>
            <w:tcW w:w="1631" w:type="dxa"/>
            <w:gridSpan w:val="2"/>
            <w:tcBorders>
              <w:left w:val="single" w:color="000000" w:sz="6" w:space="0"/>
              <w:bottom w:val="single" w:color="000000" w:sz="6" w:space="0"/>
              <w:right w:val="single" w:color="000000" w:sz="6" w:space="0"/>
            </w:tcBorders>
            <w:vAlign w:val="center"/>
          </w:tcPr>
          <w:p>
            <w:pPr>
              <w:jc w:val="center"/>
              <w:rPr>
                <w:sz w:val="18"/>
                <w:szCs w:val="18"/>
              </w:rPr>
            </w:pPr>
            <w:r>
              <w:rPr>
                <w:sz w:val="18"/>
                <w:szCs w:val="18"/>
              </w:rPr>
              <w:t>埋地油罐（标准距离/实际距离）（m）</w:t>
            </w:r>
          </w:p>
        </w:tc>
        <w:tc>
          <w:tcPr>
            <w:tcW w:w="1654" w:type="dxa"/>
            <w:gridSpan w:val="2"/>
            <w:tcBorders>
              <w:left w:val="single" w:color="000000" w:sz="6" w:space="0"/>
              <w:bottom w:val="single" w:color="000000" w:sz="6" w:space="0"/>
              <w:right w:val="single" w:color="000000" w:sz="6" w:space="0"/>
            </w:tcBorders>
            <w:vAlign w:val="center"/>
          </w:tcPr>
          <w:p>
            <w:pPr>
              <w:jc w:val="center"/>
              <w:rPr>
                <w:sz w:val="18"/>
                <w:szCs w:val="18"/>
              </w:rPr>
            </w:pPr>
            <w:r>
              <w:rPr>
                <w:sz w:val="18"/>
                <w:szCs w:val="18"/>
              </w:rPr>
              <w:t>通气管管口（标准距离/实际距离）（m）</w:t>
            </w:r>
          </w:p>
        </w:tc>
        <w:tc>
          <w:tcPr>
            <w:tcW w:w="1691" w:type="dxa"/>
            <w:gridSpan w:val="2"/>
            <w:tcBorders>
              <w:left w:val="single" w:color="000000" w:sz="6" w:space="0"/>
              <w:bottom w:val="single" w:color="000000" w:sz="6" w:space="0"/>
              <w:right w:val="single" w:color="000000" w:sz="6" w:space="0"/>
            </w:tcBorders>
            <w:vAlign w:val="center"/>
          </w:tcPr>
          <w:p>
            <w:pPr>
              <w:jc w:val="center"/>
              <w:rPr>
                <w:sz w:val="18"/>
                <w:szCs w:val="18"/>
              </w:rPr>
            </w:pPr>
            <w:r>
              <w:rPr>
                <w:sz w:val="18"/>
                <w:szCs w:val="18"/>
              </w:rPr>
              <w:t>加油机（标准距离/实际距离）（m）</w:t>
            </w:r>
          </w:p>
        </w:tc>
        <w:tc>
          <w:tcPr>
            <w:tcW w:w="1135" w:type="dxa"/>
            <w:vMerge w:val="restart"/>
            <w:tcBorders>
              <w:left w:val="single" w:color="000000" w:sz="6" w:space="0"/>
              <w:bottom w:val="single" w:color="000000" w:sz="6" w:space="0"/>
            </w:tcBorders>
            <w:vAlign w:val="center"/>
          </w:tcPr>
          <w:p>
            <w:pPr>
              <w:jc w:val="center"/>
              <w:rPr>
                <w:sz w:val="18"/>
                <w:szCs w:val="18"/>
              </w:rPr>
            </w:pPr>
            <w:r>
              <w:rPr>
                <w:rFonts w:hint="eastAsia"/>
                <w:sz w:val="18"/>
                <w:szCs w:val="18"/>
              </w:rPr>
              <w:t>类别</w:t>
            </w:r>
          </w:p>
        </w:tc>
        <w:tc>
          <w:tcPr>
            <w:tcW w:w="660" w:type="dxa"/>
            <w:vMerge w:val="restart"/>
            <w:tcBorders>
              <w:left w:val="single" w:color="000000" w:sz="6" w:space="0"/>
            </w:tcBorders>
            <w:vAlign w:val="center"/>
          </w:tcPr>
          <w:p>
            <w:pPr>
              <w:rPr>
                <w:sz w:val="18"/>
                <w:szCs w:val="18"/>
              </w:rPr>
            </w:pPr>
            <w:r>
              <w:rPr>
                <w:rFonts w:hint="eastAsia"/>
                <w:sz w:val="18"/>
                <w:szCs w:val="18"/>
              </w:rPr>
              <w:t>结论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6" w:hRule="atLeast"/>
          <w:jc w:val="center"/>
        </w:trPr>
        <w:tc>
          <w:tcPr>
            <w:tcW w:w="750" w:type="dxa"/>
            <w:vMerge w:val="continue"/>
            <w:tcBorders>
              <w:top w:val="single" w:color="000000" w:sz="6" w:space="0"/>
              <w:right w:val="single" w:color="000000" w:sz="6" w:space="0"/>
              <w:tl2br w:val="single" w:color="000000" w:sz="6" w:space="0"/>
            </w:tcBorders>
          </w:tcPr>
          <w:p>
            <w:pPr>
              <w:jc w:val="center"/>
              <w:rPr>
                <w:sz w:val="18"/>
                <w:szCs w:val="18"/>
              </w:rPr>
            </w:pPr>
          </w:p>
        </w:tc>
        <w:tc>
          <w:tcPr>
            <w:tcW w:w="780" w:type="dxa"/>
            <w:vMerge w:val="continue"/>
            <w:tcBorders>
              <w:top w:val="single" w:color="000000" w:sz="6" w:space="0"/>
              <w:left w:val="single" w:color="000000" w:sz="6" w:space="0"/>
              <w:right w:val="single" w:color="000000" w:sz="6" w:space="0"/>
              <w:tl2br w:val="single" w:color="000000" w:sz="6" w:space="0"/>
            </w:tcBorders>
          </w:tcPr>
          <w:p>
            <w:pPr>
              <w:jc w:val="center"/>
              <w:rPr>
                <w:sz w:val="18"/>
                <w:szCs w:val="18"/>
              </w:rPr>
            </w:pPr>
          </w:p>
        </w:tc>
        <w:tc>
          <w:tcPr>
            <w:tcW w:w="795" w:type="dxa"/>
            <w:tcBorders>
              <w:top w:val="single" w:color="000000" w:sz="6" w:space="0"/>
              <w:left w:val="single" w:color="000000" w:sz="6" w:space="0"/>
              <w:right w:val="single" w:color="000000" w:sz="6" w:space="0"/>
            </w:tcBorders>
            <w:vAlign w:val="center"/>
          </w:tcPr>
          <w:p>
            <w:pPr>
              <w:pStyle w:val="101"/>
              <w:spacing w:before="0" w:after="0"/>
              <w:rPr>
                <w:rFonts w:ascii="Times New Roman"/>
                <w:sz w:val="18"/>
                <w:szCs w:val="18"/>
              </w:rPr>
            </w:pPr>
            <w:r>
              <w:rPr>
                <w:rFonts w:ascii="Times New Roman"/>
                <w:sz w:val="18"/>
                <w:szCs w:val="18"/>
              </w:rPr>
              <w:t>柴油</w:t>
            </w:r>
          </w:p>
        </w:tc>
        <w:tc>
          <w:tcPr>
            <w:tcW w:w="836" w:type="dxa"/>
            <w:tcBorders>
              <w:top w:val="single" w:color="000000" w:sz="6" w:space="0"/>
              <w:left w:val="single" w:color="000000" w:sz="6" w:space="0"/>
              <w:right w:val="single" w:color="000000" w:sz="6" w:space="0"/>
            </w:tcBorders>
            <w:vAlign w:val="center"/>
          </w:tcPr>
          <w:p>
            <w:pPr>
              <w:jc w:val="center"/>
              <w:rPr>
                <w:sz w:val="18"/>
                <w:szCs w:val="18"/>
              </w:rPr>
            </w:pPr>
            <w:r>
              <w:rPr>
                <w:sz w:val="18"/>
                <w:szCs w:val="18"/>
              </w:rPr>
              <w:t>汽油</w:t>
            </w:r>
          </w:p>
        </w:tc>
        <w:tc>
          <w:tcPr>
            <w:tcW w:w="803" w:type="dxa"/>
            <w:tcBorders>
              <w:top w:val="single" w:color="000000" w:sz="6" w:space="0"/>
              <w:left w:val="single" w:color="000000" w:sz="6" w:space="0"/>
              <w:right w:val="single" w:color="000000" w:sz="6" w:space="0"/>
            </w:tcBorders>
            <w:vAlign w:val="center"/>
          </w:tcPr>
          <w:p>
            <w:pPr>
              <w:jc w:val="center"/>
              <w:rPr>
                <w:sz w:val="18"/>
                <w:szCs w:val="18"/>
              </w:rPr>
            </w:pPr>
            <w:r>
              <w:rPr>
                <w:sz w:val="18"/>
                <w:szCs w:val="18"/>
              </w:rPr>
              <w:t>柴油</w:t>
            </w:r>
          </w:p>
        </w:tc>
        <w:tc>
          <w:tcPr>
            <w:tcW w:w="851" w:type="dxa"/>
            <w:tcBorders>
              <w:top w:val="single" w:color="000000" w:sz="6" w:space="0"/>
              <w:left w:val="single" w:color="000000" w:sz="6" w:space="0"/>
              <w:right w:val="single" w:color="000000" w:sz="6" w:space="0"/>
            </w:tcBorders>
            <w:vAlign w:val="center"/>
          </w:tcPr>
          <w:p>
            <w:pPr>
              <w:jc w:val="center"/>
              <w:rPr>
                <w:sz w:val="18"/>
                <w:szCs w:val="18"/>
              </w:rPr>
            </w:pPr>
            <w:r>
              <w:rPr>
                <w:sz w:val="18"/>
                <w:szCs w:val="18"/>
              </w:rPr>
              <w:t>汽油</w:t>
            </w:r>
          </w:p>
        </w:tc>
        <w:tc>
          <w:tcPr>
            <w:tcW w:w="806" w:type="dxa"/>
            <w:tcBorders>
              <w:top w:val="single" w:color="000000" w:sz="6" w:space="0"/>
              <w:left w:val="single" w:color="000000" w:sz="6" w:space="0"/>
              <w:right w:val="single" w:color="000000" w:sz="6" w:space="0"/>
            </w:tcBorders>
            <w:vAlign w:val="center"/>
          </w:tcPr>
          <w:p>
            <w:pPr>
              <w:jc w:val="center"/>
              <w:rPr>
                <w:sz w:val="18"/>
                <w:szCs w:val="18"/>
              </w:rPr>
            </w:pPr>
            <w:r>
              <w:rPr>
                <w:sz w:val="18"/>
                <w:szCs w:val="18"/>
              </w:rPr>
              <w:t>柴油</w:t>
            </w:r>
          </w:p>
        </w:tc>
        <w:tc>
          <w:tcPr>
            <w:tcW w:w="885" w:type="dxa"/>
            <w:tcBorders>
              <w:top w:val="single" w:color="000000" w:sz="6" w:space="0"/>
              <w:left w:val="single" w:color="000000" w:sz="6" w:space="0"/>
              <w:right w:val="single" w:color="000000" w:sz="6" w:space="0"/>
            </w:tcBorders>
            <w:vAlign w:val="center"/>
          </w:tcPr>
          <w:p>
            <w:pPr>
              <w:jc w:val="center"/>
              <w:rPr>
                <w:sz w:val="18"/>
                <w:szCs w:val="18"/>
              </w:rPr>
            </w:pPr>
            <w:r>
              <w:rPr>
                <w:sz w:val="18"/>
                <w:szCs w:val="18"/>
              </w:rPr>
              <w:t>汽油</w:t>
            </w:r>
          </w:p>
        </w:tc>
        <w:tc>
          <w:tcPr>
            <w:tcW w:w="1135" w:type="dxa"/>
            <w:vMerge w:val="continue"/>
            <w:tcBorders>
              <w:top w:val="single" w:color="000000" w:sz="6" w:space="0"/>
              <w:left w:val="single" w:color="000000" w:sz="6" w:space="0"/>
            </w:tcBorders>
            <w:vAlign w:val="center"/>
          </w:tcPr>
          <w:p>
            <w:pPr>
              <w:jc w:val="center"/>
              <w:rPr>
                <w:sz w:val="18"/>
                <w:szCs w:val="18"/>
              </w:rPr>
            </w:pPr>
          </w:p>
        </w:tc>
        <w:tc>
          <w:tcPr>
            <w:tcW w:w="660" w:type="dxa"/>
            <w:vMerge w:val="continue"/>
            <w:tcBorders>
              <w:left w:val="single" w:color="000000" w:sz="6" w:space="0"/>
            </w:tcBorders>
            <w:vAlign w:val="center"/>
          </w:tcPr>
          <w:p>
            <w:pPr>
              <w:jc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28" w:hRule="atLeast"/>
          <w:jc w:val="center"/>
        </w:trPr>
        <w:tc>
          <w:tcPr>
            <w:tcW w:w="750" w:type="dxa"/>
            <w:tcBorders>
              <w:right w:val="single" w:color="000000" w:sz="6" w:space="0"/>
            </w:tcBorders>
            <w:vAlign w:val="center"/>
          </w:tcPr>
          <w:p>
            <w:pPr>
              <w:jc w:val="center"/>
              <w:rPr>
                <w:sz w:val="18"/>
                <w:szCs w:val="18"/>
              </w:rPr>
            </w:pPr>
            <w:r>
              <w:rPr>
                <w:sz w:val="18"/>
                <w:szCs w:val="18"/>
              </w:rPr>
              <w:t>东面</w:t>
            </w:r>
          </w:p>
        </w:tc>
        <w:tc>
          <w:tcPr>
            <w:tcW w:w="780" w:type="dxa"/>
            <w:tcBorders>
              <w:top w:val="single" w:color="000000" w:sz="6" w:space="0"/>
              <w:left w:val="single" w:color="000000" w:sz="6" w:space="0"/>
              <w:right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795" w:type="dxa"/>
            <w:tcBorders>
              <w:top w:val="single" w:color="000000" w:sz="6" w:space="0"/>
              <w:left w:val="single" w:color="000000" w:sz="6" w:space="0"/>
              <w:right w:val="single" w:color="000000" w:sz="6" w:space="0"/>
            </w:tcBorders>
            <w:vAlign w:val="center"/>
          </w:tcPr>
          <w:p>
            <w:pPr>
              <w:jc w:val="center"/>
              <w:rPr>
                <w:sz w:val="18"/>
                <w:szCs w:val="18"/>
              </w:rPr>
            </w:pPr>
            <w:r>
              <w:rPr>
                <w:rFonts w:hint="eastAsia"/>
                <w:sz w:val="18"/>
                <w:szCs w:val="18"/>
              </w:rPr>
              <w:t>6/15.3</w:t>
            </w:r>
          </w:p>
        </w:tc>
        <w:tc>
          <w:tcPr>
            <w:tcW w:w="83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7/9</w:t>
            </w:r>
          </w:p>
        </w:tc>
        <w:tc>
          <w:tcPr>
            <w:tcW w:w="803"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6/10</w:t>
            </w:r>
          </w:p>
        </w:tc>
        <w:tc>
          <w:tcPr>
            <w:tcW w:w="851"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7/10</w:t>
            </w:r>
          </w:p>
        </w:tc>
        <w:tc>
          <w:tcPr>
            <w:tcW w:w="80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6/17</w:t>
            </w:r>
          </w:p>
        </w:tc>
        <w:tc>
          <w:tcPr>
            <w:tcW w:w="885"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6/17</w:t>
            </w:r>
          </w:p>
        </w:tc>
        <w:tc>
          <w:tcPr>
            <w:tcW w:w="1135" w:type="dxa"/>
            <w:tcBorders>
              <w:top w:val="single" w:color="000000" w:sz="6" w:space="0"/>
              <w:left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660" w:type="dxa"/>
            <w:tcBorders>
              <w:top w:val="single" w:color="000000" w:sz="6" w:space="0"/>
              <w:left w:val="single" w:color="000000" w:sz="6" w:space="0"/>
            </w:tcBorders>
            <w:vAlign w:val="center"/>
          </w:tcPr>
          <w:p>
            <w:pPr>
              <w:rPr>
                <w:sz w:val="18"/>
                <w:szCs w:val="18"/>
              </w:rPr>
            </w:pPr>
            <w:r>
              <w:rPr>
                <w:rFonts w:hint="eastAsia"/>
                <w:sz w:val="18"/>
                <w:szCs w:val="18"/>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28" w:hRule="atLeast"/>
          <w:jc w:val="center"/>
        </w:trPr>
        <w:tc>
          <w:tcPr>
            <w:tcW w:w="750" w:type="dxa"/>
            <w:tcBorders>
              <w:right w:val="single" w:color="000000" w:sz="6" w:space="0"/>
            </w:tcBorders>
            <w:vAlign w:val="center"/>
          </w:tcPr>
          <w:p>
            <w:pPr>
              <w:jc w:val="center"/>
              <w:rPr>
                <w:sz w:val="18"/>
                <w:szCs w:val="18"/>
              </w:rPr>
            </w:pPr>
            <w:r>
              <w:rPr>
                <w:rFonts w:hint="eastAsia"/>
                <w:sz w:val="18"/>
                <w:szCs w:val="18"/>
              </w:rPr>
              <w:t>南面</w:t>
            </w:r>
          </w:p>
        </w:tc>
        <w:tc>
          <w:tcPr>
            <w:tcW w:w="780" w:type="dxa"/>
            <w:tcBorders>
              <w:top w:val="single" w:color="000000" w:sz="6" w:space="0"/>
              <w:left w:val="single" w:color="000000" w:sz="6" w:space="0"/>
              <w:right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795" w:type="dxa"/>
            <w:tcBorders>
              <w:top w:val="single" w:color="000000" w:sz="6" w:space="0"/>
              <w:left w:val="single" w:color="000000" w:sz="6" w:space="0"/>
              <w:right w:val="single" w:color="000000" w:sz="6" w:space="0"/>
            </w:tcBorders>
            <w:vAlign w:val="center"/>
          </w:tcPr>
          <w:p>
            <w:pPr>
              <w:jc w:val="center"/>
              <w:rPr>
                <w:sz w:val="18"/>
                <w:szCs w:val="18"/>
              </w:rPr>
            </w:pPr>
            <w:r>
              <w:rPr>
                <w:rFonts w:hint="eastAsia"/>
                <w:sz w:val="18"/>
                <w:szCs w:val="18"/>
              </w:rPr>
              <w:t>6/10</w:t>
            </w:r>
          </w:p>
        </w:tc>
        <w:tc>
          <w:tcPr>
            <w:tcW w:w="83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7/13.1</w:t>
            </w:r>
          </w:p>
        </w:tc>
        <w:tc>
          <w:tcPr>
            <w:tcW w:w="803"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6/10</w:t>
            </w:r>
          </w:p>
        </w:tc>
        <w:tc>
          <w:tcPr>
            <w:tcW w:w="851"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7/10</w:t>
            </w:r>
          </w:p>
        </w:tc>
        <w:tc>
          <w:tcPr>
            <w:tcW w:w="80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6/20</w:t>
            </w:r>
          </w:p>
        </w:tc>
        <w:tc>
          <w:tcPr>
            <w:tcW w:w="885"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6/20</w:t>
            </w:r>
          </w:p>
        </w:tc>
        <w:tc>
          <w:tcPr>
            <w:tcW w:w="1135" w:type="dxa"/>
            <w:tcBorders>
              <w:top w:val="single" w:color="000000" w:sz="6" w:space="0"/>
              <w:left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660" w:type="dxa"/>
            <w:tcBorders>
              <w:top w:val="single" w:color="000000" w:sz="6" w:space="0"/>
              <w:left w:val="single" w:color="000000" w:sz="6" w:space="0"/>
            </w:tcBorders>
            <w:vAlign w:val="center"/>
          </w:tcPr>
          <w:p>
            <w:pPr>
              <w:rPr>
                <w:sz w:val="18"/>
                <w:szCs w:val="18"/>
              </w:rPr>
            </w:pPr>
            <w:r>
              <w:rPr>
                <w:rFonts w:hint="eastAsia"/>
                <w:sz w:val="18"/>
                <w:szCs w:val="18"/>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28" w:hRule="atLeast"/>
          <w:jc w:val="center"/>
        </w:trPr>
        <w:tc>
          <w:tcPr>
            <w:tcW w:w="750" w:type="dxa"/>
            <w:tcBorders>
              <w:right w:val="single" w:color="000000" w:sz="6" w:space="0"/>
            </w:tcBorders>
            <w:vAlign w:val="center"/>
          </w:tcPr>
          <w:p>
            <w:pPr>
              <w:jc w:val="center"/>
              <w:rPr>
                <w:sz w:val="18"/>
                <w:szCs w:val="18"/>
              </w:rPr>
            </w:pPr>
            <w:r>
              <w:rPr>
                <w:rFonts w:hint="eastAsia"/>
                <w:sz w:val="18"/>
                <w:szCs w:val="18"/>
              </w:rPr>
              <w:t>西面</w:t>
            </w:r>
          </w:p>
        </w:tc>
        <w:tc>
          <w:tcPr>
            <w:tcW w:w="780" w:type="dxa"/>
            <w:tcBorders>
              <w:top w:val="single" w:color="000000" w:sz="6" w:space="0"/>
              <w:left w:val="single" w:color="000000" w:sz="6" w:space="0"/>
              <w:right w:val="single" w:color="000000" w:sz="6" w:space="0"/>
            </w:tcBorders>
            <w:vAlign w:val="center"/>
          </w:tcPr>
          <w:p>
            <w:pPr>
              <w:widowControl/>
              <w:spacing w:line="240" w:lineRule="exact"/>
              <w:jc w:val="center"/>
              <w:rPr>
                <w:sz w:val="18"/>
                <w:szCs w:val="18"/>
              </w:rPr>
            </w:pPr>
            <w:r>
              <w:rPr>
                <w:rFonts w:hint="eastAsia" w:ascii="宋体" w:hAnsi="宋体"/>
                <w:color w:val="000000"/>
                <w:szCs w:val="21"/>
              </w:rPr>
              <w:t>公路</w:t>
            </w:r>
          </w:p>
        </w:tc>
        <w:tc>
          <w:tcPr>
            <w:tcW w:w="795" w:type="dxa"/>
            <w:tcBorders>
              <w:top w:val="single" w:color="000000" w:sz="6" w:space="0"/>
              <w:left w:val="single" w:color="000000" w:sz="6" w:space="0"/>
              <w:right w:val="single" w:color="000000" w:sz="6" w:space="0"/>
            </w:tcBorders>
            <w:vAlign w:val="center"/>
          </w:tcPr>
          <w:p>
            <w:pPr>
              <w:jc w:val="center"/>
              <w:rPr>
                <w:sz w:val="18"/>
                <w:szCs w:val="18"/>
              </w:rPr>
            </w:pPr>
            <w:r>
              <w:rPr>
                <w:rFonts w:hint="eastAsia"/>
                <w:sz w:val="18"/>
                <w:szCs w:val="18"/>
              </w:rPr>
              <w:t>3/10.9</w:t>
            </w:r>
          </w:p>
        </w:tc>
        <w:tc>
          <w:tcPr>
            <w:tcW w:w="83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5/10.9</w:t>
            </w:r>
          </w:p>
        </w:tc>
        <w:tc>
          <w:tcPr>
            <w:tcW w:w="803"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3/10</w:t>
            </w:r>
          </w:p>
        </w:tc>
        <w:tc>
          <w:tcPr>
            <w:tcW w:w="851"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5/10</w:t>
            </w:r>
          </w:p>
        </w:tc>
        <w:tc>
          <w:tcPr>
            <w:tcW w:w="806"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3/6.3</w:t>
            </w:r>
          </w:p>
        </w:tc>
        <w:tc>
          <w:tcPr>
            <w:tcW w:w="885" w:type="dxa"/>
            <w:tcBorders>
              <w:top w:val="single" w:color="000000" w:sz="6" w:space="0"/>
              <w:left w:val="single" w:color="000000" w:sz="6" w:space="0"/>
              <w:right w:val="single" w:color="000000" w:sz="6" w:space="0"/>
            </w:tcBorders>
            <w:vAlign w:val="center"/>
          </w:tcPr>
          <w:p>
            <w:pPr>
              <w:rPr>
                <w:sz w:val="18"/>
                <w:szCs w:val="18"/>
              </w:rPr>
            </w:pPr>
            <w:r>
              <w:rPr>
                <w:rFonts w:hint="eastAsia"/>
                <w:sz w:val="18"/>
                <w:szCs w:val="18"/>
              </w:rPr>
              <w:t>5/6.3</w:t>
            </w:r>
          </w:p>
        </w:tc>
        <w:tc>
          <w:tcPr>
            <w:tcW w:w="1135" w:type="dxa"/>
            <w:tcBorders>
              <w:top w:val="single" w:color="000000" w:sz="6" w:space="0"/>
              <w:left w:val="single" w:color="000000" w:sz="6" w:space="0"/>
            </w:tcBorders>
            <w:vAlign w:val="center"/>
          </w:tcPr>
          <w:p>
            <w:pPr>
              <w:widowControl/>
              <w:spacing w:line="240" w:lineRule="exact"/>
              <w:jc w:val="center"/>
              <w:rPr>
                <w:sz w:val="18"/>
                <w:szCs w:val="18"/>
              </w:rPr>
            </w:pPr>
            <w:r>
              <w:rPr>
                <w:rFonts w:hint="eastAsia" w:ascii="宋体" w:hAnsi="宋体"/>
                <w:color w:val="000000"/>
                <w:szCs w:val="21"/>
              </w:rPr>
              <w:t>公路</w:t>
            </w:r>
          </w:p>
        </w:tc>
        <w:tc>
          <w:tcPr>
            <w:tcW w:w="660" w:type="dxa"/>
            <w:tcBorders>
              <w:top w:val="single" w:color="000000" w:sz="6" w:space="0"/>
              <w:left w:val="single" w:color="000000" w:sz="6" w:space="0"/>
            </w:tcBorders>
            <w:vAlign w:val="center"/>
          </w:tcPr>
          <w:p>
            <w:pPr>
              <w:jc w:val="left"/>
              <w:rPr>
                <w:sz w:val="18"/>
                <w:szCs w:val="18"/>
              </w:rPr>
            </w:pPr>
            <w:r>
              <w:rPr>
                <w:rFonts w:hint="eastAsia"/>
                <w:sz w:val="18"/>
                <w:szCs w:val="18"/>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4" w:hRule="atLeast"/>
          <w:jc w:val="center"/>
        </w:trPr>
        <w:tc>
          <w:tcPr>
            <w:tcW w:w="750" w:type="dxa"/>
            <w:tcBorders>
              <w:right w:val="single" w:color="000000" w:sz="6" w:space="0"/>
            </w:tcBorders>
            <w:vAlign w:val="center"/>
          </w:tcPr>
          <w:p>
            <w:pPr>
              <w:jc w:val="center"/>
              <w:rPr>
                <w:sz w:val="18"/>
                <w:szCs w:val="18"/>
              </w:rPr>
            </w:pPr>
            <w:bookmarkStart w:id="83" w:name="_Toc404885997"/>
            <w:r>
              <w:rPr>
                <w:rFonts w:hint="eastAsia"/>
                <w:sz w:val="18"/>
                <w:szCs w:val="18"/>
              </w:rPr>
              <w:t>北面</w:t>
            </w:r>
          </w:p>
        </w:tc>
        <w:tc>
          <w:tcPr>
            <w:tcW w:w="780" w:type="dxa"/>
            <w:tcBorders>
              <w:top w:val="single" w:color="000000" w:sz="6" w:space="0"/>
              <w:left w:val="single" w:color="000000" w:sz="6" w:space="0"/>
              <w:bottom w:val="single" w:color="000000" w:sz="6" w:space="0"/>
              <w:right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795" w:type="dxa"/>
            <w:tcBorders>
              <w:top w:val="single" w:color="000000" w:sz="6" w:space="0"/>
              <w:left w:val="single" w:color="000000" w:sz="6" w:space="0"/>
              <w:bottom w:val="single" w:color="000000" w:sz="6" w:space="0"/>
              <w:right w:val="single" w:color="000000" w:sz="6" w:space="0"/>
            </w:tcBorders>
            <w:vAlign w:val="center"/>
          </w:tcPr>
          <w:p>
            <w:pPr>
              <w:jc w:val="center"/>
              <w:rPr>
                <w:sz w:val="18"/>
                <w:szCs w:val="18"/>
              </w:rPr>
            </w:pPr>
            <w:r>
              <w:rPr>
                <w:rFonts w:hint="eastAsia"/>
                <w:sz w:val="18"/>
                <w:szCs w:val="18"/>
              </w:rPr>
              <w:t>6/23.8</w:t>
            </w:r>
          </w:p>
        </w:tc>
        <w:tc>
          <w:tcPr>
            <w:tcW w:w="836" w:type="dxa"/>
            <w:tcBorders>
              <w:top w:val="single" w:color="000000" w:sz="6" w:space="0"/>
              <w:left w:val="single" w:color="000000" w:sz="6" w:space="0"/>
              <w:bottom w:val="single" w:color="000000" w:sz="6" w:space="0"/>
              <w:right w:val="single" w:color="000000" w:sz="6" w:space="0"/>
            </w:tcBorders>
            <w:vAlign w:val="center"/>
          </w:tcPr>
          <w:p>
            <w:pPr>
              <w:rPr>
                <w:sz w:val="18"/>
                <w:szCs w:val="18"/>
              </w:rPr>
            </w:pPr>
            <w:r>
              <w:rPr>
                <w:rFonts w:hint="eastAsia"/>
                <w:sz w:val="18"/>
                <w:szCs w:val="18"/>
              </w:rPr>
              <w:t>7/18</w:t>
            </w:r>
          </w:p>
        </w:tc>
        <w:tc>
          <w:tcPr>
            <w:tcW w:w="803" w:type="dxa"/>
            <w:tcBorders>
              <w:top w:val="single" w:color="000000" w:sz="6" w:space="0"/>
              <w:left w:val="single" w:color="000000" w:sz="6" w:space="0"/>
              <w:bottom w:val="single" w:color="000000" w:sz="6" w:space="0"/>
              <w:right w:val="single" w:color="000000" w:sz="6" w:space="0"/>
            </w:tcBorders>
            <w:vAlign w:val="center"/>
          </w:tcPr>
          <w:p>
            <w:pPr>
              <w:rPr>
                <w:sz w:val="18"/>
                <w:szCs w:val="18"/>
              </w:rPr>
            </w:pPr>
            <w:r>
              <w:rPr>
                <w:rFonts w:hint="eastAsia"/>
                <w:sz w:val="18"/>
                <w:szCs w:val="18"/>
              </w:rPr>
              <w:t>6/20</w:t>
            </w:r>
          </w:p>
        </w:tc>
        <w:tc>
          <w:tcPr>
            <w:tcW w:w="851" w:type="dxa"/>
            <w:tcBorders>
              <w:top w:val="single" w:color="000000" w:sz="6" w:space="0"/>
              <w:left w:val="single" w:color="000000" w:sz="6" w:space="0"/>
              <w:bottom w:val="single" w:color="000000" w:sz="6" w:space="0"/>
              <w:right w:val="single" w:color="000000" w:sz="6" w:space="0"/>
            </w:tcBorders>
            <w:vAlign w:val="center"/>
          </w:tcPr>
          <w:p>
            <w:pPr>
              <w:rPr>
                <w:sz w:val="18"/>
                <w:szCs w:val="18"/>
              </w:rPr>
            </w:pPr>
            <w:r>
              <w:rPr>
                <w:rFonts w:hint="eastAsia"/>
                <w:sz w:val="18"/>
                <w:szCs w:val="18"/>
              </w:rPr>
              <w:t>7/20</w:t>
            </w:r>
          </w:p>
        </w:tc>
        <w:tc>
          <w:tcPr>
            <w:tcW w:w="806" w:type="dxa"/>
            <w:tcBorders>
              <w:top w:val="single" w:color="000000" w:sz="6" w:space="0"/>
              <w:left w:val="single" w:color="000000" w:sz="6" w:space="0"/>
              <w:bottom w:val="single" w:color="000000" w:sz="6" w:space="0"/>
              <w:right w:val="single" w:color="000000" w:sz="6" w:space="0"/>
            </w:tcBorders>
            <w:vAlign w:val="center"/>
          </w:tcPr>
          <w:p>
            <w:pPr>
              <w:rPr>
                <w:sz w:val="18"/>
                <w:szCs w:val="18"/>
              </w:rPr>
            </w:pPr>
            <w:r>
              <w:rPr>
                <w:rFonts w:hint="eastAsia"/>
                <w:sz w:val="18"/>
                <w:szCs w:val="18"/>
              </w:rPr>
              <w:t>6/11.2</w:t>
            </w:r>
          </w:p>
        </w:tc>
        <w:tc>
          <w:tcPr>
            <w:tcW w:w="885" w:type="dxa"/>
            <w:tcBorders>
              <w:top w:val="single" w:color="000000" w:sz="6" w:space="0"/>
              <w:left w:val="single" w:color="000000" w:sz="6" w:space="0"/>
              <w:bottom w:val="single" w:color="000000" w:sz="6" w:space="0"/>
              <w:right w:val="single" w:color="000000" w:sz="6" w:space="0"/>
            </w:tcBorders>
            <w:vAlign w:val="center"/>
          </w:tcPr>
          <w:p>
            <w:pPr>
              <w:rPr>
                <w:sz w:val="18"/>
                <w:szCs w:val="18"/>
              </w:rPr>
            </w:pPr>
            <w:r>
              <w:rPr>
                <w:rFonts w:hint="eastAsia"/>
                <w:sz w:val="18"/>
                <w:szCs w:val="18"/>
              </w:rPr>
              <w:t>6/11.2</w:t>
            </w:r>
          </w:p>
        </w:tc>
        <w:tc>
          <w:tcPr>
            <w:tcW w:w="1135" w:type="dxa"/>
            <w:tcBorders>
              <w:top w:val="single" w:color="000000" w:sz="6" w:space="0"/>
              <w:left w:val="single" w:color="000000" w:sz="6" w:space="0"/>
              <w:bottom w:val="single" w:color="000000" w:sz="6" w:space="0"/>
            </w:tcBorders>
            <w:vAlign w:val="center"/>
          </w:tcPr>
          <w:p>
            <w:pPr>
              <w:widowControl/>
              <w:spacing w:line="240" w:lineRule="exact"/>
              <w:jc w:val="center"/>
              <w:rPr>
                <w:sz w:val="18"/>
                <w:szCs w:val="18"/>
              </w:rPr>
            </w:pPr>
            <w:r>
              <w:rPr>
                <w:rFonts w:hint="eastAsia" w:ascii="宋体" w:hAnsi="宋体"/>
                <w:color w:val="000000"/>
                <w:szCs w:val="21"/>
              </w:rPr>
              <w:t>民房</w:t>
            </w:r>
          </w:p>
        </w:tc>
        <w:tc>
          <w:tcPr>
            <w:tcW w:w="660" w:type="dxa"/>
            <w:tcBorders>
              <w:top w:val="single" w:color="000000" w:sz="6" w:space="0"/>
              <w:left w:val="single" w:color="000000" w:sz="6" w:space="0"/>
              <w:bottom w:val="single" w:color="000000" w:sz="6" w:space="0"/>
            </w:tcBorders>
            <w:vAlign w:val="center"/>
          </w:tcPr>
          <w:p>
            <w:pPr>
              <w:rPr>
                <w:sz w:val="18"/>
                <w:szCs w:val="18"/>
              </w:rPr>
            </w:pPr>
            <w:r>
              <w:rPr>
                <w:rFonts w:hint="eastAsia"/>
                <w:sz w:val="18"/>
                <w:szCs w:val="18"/>
              </w:rPr>
              <w:t>符合</w:t>
            </w:r>
          </w:p>
        </w:tc>
      </w:tr>
      <w:bookmarkEnd w:id="83"/>
    </w:tbl>
    <w:p>
      <w:pPr>
        <w:jc w:val="center"/>
      </w:pPr>
      <w:r>
        <w:rPr>
          <w:rFonts w:hint="eastAsia"/>
        </w:rPr>
        <w:t>加油站自1995年取证以来周边环境未发生变更。</w:t>
      </w:r>
    </w:p>
    <w:p>
      <w:pPr>
        <w:pStyle w:val="4"/>
      </w:pPr>
      <w:bookmarkStart w:id="84" w:name="_Toc12493"/>
      <w:r>
        <w:rPr>
          <w:rFonts w:hint="eastAsia"/>
        </w:rPr>
        <w:t>2.3总平面布置</w:t>
      </w:r>
      <w:bookmarkEnd w:id="84"/>
    </w:p>
    <w:p>
      <w:pPr>
        <w:spacing w:line="560" w:lineRule="exact"/>
        <w:ind w:firstLine="560" w:firstLineChars="200"/>
        <w:rPr>
          <w:sz w:val="28"/>
          <w:szCs w:val="28"/>
        </w:rPr>
      </w:pPr>
      <w:r>
        <w:rPr>
          <w:rFonts w:hint="eastAsia" w:ascii="宋体" w:hAnsi="宋体"/>
          <w:color w:val="000000"/>
          <w:sz w:val="28"/>
          <w:szCs w:val="28"/>
        </w:rPr>
        <w:t>加油站布置在一个规则矩形地块上，</w:t>
      </w:r>
      <w:r>
        <w:rPr>
          <w:rFonts w:hint="eastAsia"/>
          <w:sz w:val="28"/>
          <w:szCs w:val="28"/>
        </w:rPr>
        <w:t>加油站总平面布置自2019年改建后，总平面布置未发生变化，从南至北依次为油罐及卸油区、加油区、站房。</w:t>
      </w:r>
    </w:p>
    <w:p>
      <w:pPr>
        <w:pStyle w:val="27"/>
        <w:widowControl w:val="0"/>
        <w:numPr>
          <w:ilvl w:val="0"/>
          <w:numId w:val="3"/>
        </w:numPr>
        <w:adjustRightInd/>
        <w:snapToGrid/>
        <w:spacing w:line="360" w:lineRule="auto"/>
        <w:ind w:left="0" w:right="0" w:firstLine="560" w:firstLineChars="200"/>
        <w:jc w:val="both"/>
        <w:rPr>
          <w:sz w:val="28"/>
          <w:szCs w:val="28"/>
        </w:rPr>
      </w:pPr>
      <w:r>
        <w:rPr>
          <w:rFonts w:hint="eastAsia"/>
          <w:sz w:val="28"/>
          <w:szCs w:val="28"/>
        </w:rPr>
        <w:t>加油区：加油区位于加油站内中央位置，</w:t>
      </w:r>
      <w:r>
        <w:rPr>
          <w:rFonts w:hint="eastAsia" w:ascii="宋体" w:hAnsi="宋体"/>
          <w:color w:val="000000"/>
          <w:sz w:val="28"/>
          <w:szCs w:val="28"/>
        </w:rPr>
        <w:t>与站外公路相连。加油区上方设钢网架结构罩棚，罩棚下方设置一排加油岛，</w:t>
      </w:r>
      <w:r>
        <w:rPr>
          <w:rFonts w:hint="eastAsia"/>
          <w:kern w:val="2"/>
          <w:sz w:val="28"/>
          <w:szCs w:val="28"/>
        </w:rPr>
        <w:t>加油岛宽1.5m，高0.2m。</w:t>
      </w:r>
      <w:r>
        <w:rPr>
          <w:rFonts w:hint="eastAsia" w:ascii="宋体" w:hAnsi="宋体"/>
          <w:color w:val="000000"/>
          <w:sz w:val="28"/>
          <w:szCs w:val="28"/>
        </w:rPr>
        <w:t>加油岛上方安装2台4</w:t>
      </w:r>
      <w:r>
        <w:rPr>
          <w:rFonts w:hint="eastAsia" w:ascii="宋体" w:hAnsi="宋体" w:cs="宋体"/>
          <w:color w:val="000000"/>
          <w:sz w:val="28"/>
          <w:szCs w:val="28"/>
        </w:rPr>
        <w:t>枪</w:t>
      </w:r>
      <w:r>
        <w:rPr>
          <w:rFonts w:hint="eastAsia" w:ascii="宋体" w:hAnsi="宋体"/>
          <w:color w:val="000000"/>
          <w:sz w:val="28"/>
          <w:szCs w:val="28"/>
        </w:rPr>
        <w:t>加油机，罩棚下方设有双车道2条</w:t>
      </w:r>
      <w:r>
        <w:rPr>
          <w:rFonts w:hint="eastAsia"/>
          <w:kern w:val="2"/>
          <w:sz w:val="28"/>
          <w:szCs w:val="28"/>
        </w:rPr>
        <w:t>。加油机具有撞倒和拉断自动闭锁功能，加油软管上设置安全拉断阀；加油枪采用自封式加油枪，其中汽油加油枪流量不大于50L/min，二次油气回收真空泵处设置止回阀</w:t>
      </w:r>
      <w:r>
        <w:rPr>
          <w:kern w:val="2"/>
          <w:sz w:val="28"/>
          <w:szCs w:val="28"/>
        </w:rPr>
        <w:t>。罩棚采用网架结构，罩棚</w:t>
      </w:r>
      <w:r>
        <w:rPr>
          <w:rFonts w:hint="eastAsia"/>
          <w:kern w:val="2"/>
          <w:sz w:val="28"/>
          <w:szCs w:val="28"/>
        </w:rPr>
        <w:t>平面为14</w:t>
      </w:r>
      <w:r>
        <w:rPr>
          <w:kern w:val="2"/>
          <w:sz w:val="28"/>
          <w:szCs w:val="28"/>
        </w:rPr>
        <w:t>m</w:t>
      </w:r>
      <w:r>
        <w:rPr>
          <w:sz w:val="28"/>
          <w:szCs w:val="28"/>
        </w:rPr>
        <w:t>×</w:t>
      </w:r>
      <w:r>
        <w:rPr>
          <w:rFonts w:hint="eastAsia"/>
          <w:sz w:val="28"/>
          <w:szCs w:val="28"/>
        </w:rPr>
        <w:t>8</w:t>
      </w:r>
      <w:r>
        <w:rPr>
          <w:sz w:val="28"/>
          <w:szCs w:val="28"/>
        </w:rPr>
        <w:t>m，投影面积为</w:t>
      </w:r>
      <w:r>
        <w:rPr>
          <w:rFonts w:hint="eastAsia"/>
          <w:sz w:val="28"/>
          <w:szCs w:val="28"/>
        </w:rPr>
        <w:t>112</w:t>
      </w:r>
      <w:r>
        <w:rPr>
          <w:sz w:val="28"/>
          <w:szCs w:val="28"/>
        </w:rPr>
        <w:t>m</w:t>
      </w:r>
      <w:r>
        <w:rPr>
          <w:sz w:val="28"/>
          <w:szCs w:val="28"/>
          <w:vertAlign w:val="superscript"/>
        </w:rPr>
        <w:t>2</w:t>
      </w:r>
      <w:r>
        <w:rPr>
          <w:sz w:val="28"/>
          <w:szCs w:val="28"/>
        </w:rPr>
        <w:t>，建筑高度为</w:t>
      </w:r>
      <w:r>
        <w:rPr>
          <w:rFonts w:hint="eastAsia"/>
          <w:sz w:val="28"/>
          <w:szCs w:val="28"/>
        </w:rPr>
        <w:t>7.45</w:t>
      </w:r>
      <w:r>
        <w:rPr>
          <w:sz w:val="28"/>
          <w:szCs w:val="28"/>
        </w:rPr>
        <w:t>m</w:t>
      </w:r>
      <w:r>
        <w:rPr>
          <w:rFonts w:hint="eastAsia"/>
          <w:sz w:val="28"/>
          <w:szCs w:val="28"/>
        </w:rPr>
        <w:t>，加油岛两侧设置黄黑条纹的防撞柱，防撞柱高度为0.6m。</w:t>
      </w:r>
    </w:p>
    <w:p>
      <w:pPr>
        <w:pStyle w:val="27"/>
        <w:widowControl w:val="0"/>
        <w:numPr>
          <w:ilvl w:val="0"/>
          <w:numId w:val="3"/>
        </w:numPr>
        <w:adjustRightInd/>
        <w:snapToGrid/>
        <w:spacing w:line="360" w:lineRule="auto"/>
        <w:ind w:left="0" w:right="0" w:firstLine="560" w:firstLineChars="200"/>
        <w:jc w:val="both"/>
        <w:rPr>
          <w:sz w:val="28"/>
          <w:szCs w:val="28"/>
        </w:rPr>
      </w:pPr>
      <w:r>
        <w:rPr>
          <w:sz w:val="28"/>
          <w:szCs w:val="28"/>
        </w:rPr>
        <w:t>油罐及卸油区</w:t>
      </w:r>
      <w:r>
        <w:rPr>
          <w:rFonts w:hint="eastAsia"/>
          <w:sz w:val="28"/>
          <w:szCs w:val="28"/>
        </w:rPr>
        <w:t>：</w:t>
      </w:r>
      <w:r>
        <w:rPr>
          <w:sz w:val="28"/>
          <w:szCs w:val="28"/>
        </w:rPr>
        <w:t>油罐为SF承重式双层油罐，</w:t>
      </w:r>
      <w:r>
        <w:rPr>
          <w:rFonts w:ascii="宋体" w:hAnsi="宋体"/>
          <w:color w:val="000000"/>
          <w:sz w:val="28"/>
          <w:szCs w:val="28"/>
        </w:rPr>
        <w:t>设在</w:t>
      </w:r>
      <w:r>
        <w:rPr>
          <w:rFonts w:hint="eastAsia" w:ascii="宋体" w:hAnsi="宋体"/>
          <w:color w:val="000000"/>
          <w:sz w:val="28"/>
          <w:szCs w:val="28"/>
        </w:rPr>
        <w:t>加油区南面</w:t>
      </w:r>
      <w:r>
        <w:rPr>
          <w:rFonts w:hint="eastAsia"/>
          <w:sz w:val="28"/>
          <w:szCs w:val="28"/>
        </w:rPr>
        <w:t>，</w:t>
      </w:r>
      <w:r>
        <w:rPr>
          <w:rFonts w:hint="eastAsia" w:ascii="宋体" w:hAnsi="宋体"/>
          <w:color w:val="000000"/>
          <w:sz w:val="28"/>
          <w:szCs w:val="28"/>
        </w:rPr>
        <w:t>油罐区西面设密闭卸油口和卸车场地。</w:t>
      </w:r>
      <w:r>
        <w:rPr>
          <w:sz w:val="28"/>
          <w:szCs w:val="28"/>
        </w:rPr>
        <w:t>消防器材箱和消防沙池布置在卸油口旁边；</w:t>
      </w:r>
      <w:r>
        <w:rPr>
          <w:rFonts w:hint="eastAsia"/>
          <w:sz w:val="28"/>
          <w:szCs w:val="28"/>
        </w:rPr>
        <w:t>卸油口处设置1台静电接地夹（带报警功能）；</w:t>
      </w:r>
      <w:r>
        <w:rPr>
          <w:sz w:val="28"/>
          <w:szCs w:val="28"/>
        </w:rPr>
        <w:t>通气管布置在距离密闭卸油口</w:t>
      </w:r>
      <w:r>
        <w:rPr>
          <w:rFonts w:hint="eastAsia"/>
          <w:sz w:val="28"/>
          <w:szCs w:val="28"/>
        </w:rPr>
        <w:t>9</w:t>
      </w:r>
      <w:r>
        <w:rPr>
          <w:sz w:val="28"/>
          <w:szCs w:val="28"/>
        </w:rPr>
        <w:t>m处，距东面围墙</w:t>
      </w:r>
      <w:r>
        <w:rPr>
          <w:rFonts w:hint="eastAsia"/>
          <w:sz w:val="28"/>
          <w:szCs w:val="28"/>
        </w:rPr>
        <w:t>8</w:t>
      </w:r>
      <w:r>
        <w:rPr>
          <w:sz w:val="28"/>
          <w:szCs w:val="28"/>
        </w:rPr>
        <w:t>m，且管口高于</w:t>
      </w:r>
      <w:r>
        <w:rPr>
          <w:rFonts w:hint="eastAsia"/>
          <w:sz w:val="28"/>
          <w:szCs w:val="28"/>
        </w:rPr>
        <w:t>地面</w:t>
      </w:r>
      <w:r>
        <w:rPr>
          <w:sz w:val="28"/>
          <w:szCs w:val="28"/>
        </w:rPr>
        <w:t>4m。</w:t>
      </w:r>
      <w:r>
        <w:rPr>
          <w:rFonts w:hint="eastAsia"/>
          <w:sz w:val="28"/>
          <w:szCs w:val="28"/>
        </w:rPr>
        <w:t>汽柴油的卸油管安装卸油防溢阀，当储罐容量达到90%时，触动高液位报警装置；当容量达到95%时，卸油防溢阀阀片自动关闭，停止油料进罐。站内汽油油罐设置呼吸阀。汽油罐通气管管口安装机械阻火呼吸阀，呼吸阀工作正压为2kPa~3kPa，工作负压为1.5kPa~2kPa，通气管上预留检测口，并备用一根通气管，备用通气管管口安装防雨型阻火通气帽。柴油罐通气管管口安装防雨型阻火器。</w:t>
      </w:r>
    </w:p>
    <w:p>
      <w:pPr>
        <w:pStyle w:val="27"/>
        <w:widowControl w:val="0"/>
        <w:numPr>
          <w:ilvl w:val="0"/>
          <w:numId w:val="3"/>
        </w:numPr>
        <w:adjustRightInd/>
        <w:snapToGrid/>
        <w:spacing w:line="360" w:lineRule="auto"/>
        <w:ind w:left="0" w:right="0" w:firstLine="560" w:firstLineChars="200"/>
        <w:jc w:val="both"/>
        <w:rPr>
          <w:sz w:val="28"/>
          <w:szCs w:val="28"/>
        </w:rPr>
      </w:pPr>
      <w:r>
        <w:rPr>
          <w:sz w:val="28"/>
          <w:szCs w:val="28"/>
        </w:rPr>
        <w:t>站房</w:t>
      </w:r>
      <w:r>
        <w:rPr>
          <w:rFonts w:hint="eastAsia"/>
          <w:sz w:val="28"/>
          <w:szCs w:val="28"/>
        </w:rPr>
        <w:t>：</w:t>
      </w:r>
      <w:r>
        <w:rPr>
          <w:rFonts w:hint="eastAsia" w:ascii="宋体" w:hAnsi="宋体"/>
          <w:color w:val="000000"/>
          <w:sz w:val="28"/>
          <w:szCs w:val="28"/>
        </w:rPr>
        <w:t>站房设在加油区的东面，为二层砖混结构。</w:t>
      </w:r>
      <w:r>
        <w:rPr>
          <w:sz w:val="28"/>
          <w:szCs w:val="28"/>
        </w:rPr>
        <w:t>站房建筑面积为</w:t>
      </w:r>
      <w:r>
        <w:rPr>
          <w:rFonts w:hint="eastAsia"/>
          <w:sz w:val="28"/>
          <w:szCs w:val="28"/>
        </w:rPr>
        <w:t>108.55㎡</w:t>
      </w:r>
      <w:r>
        <w:rPr>
          <w:sz w:val="28"/>
          <w:szCs w:val="28"/>
        </w:rPr>
        <w:t>，高</w:t>
      </w:r>
      <w:r>
        <w:rPr>
          <w:rFonts w:hint="eastAsia"/>
          <w:sz w:val="28"/>
          <w:szCs w:val="28"/>
        </w:rPr>
        <w:t>8</w:t>
      </w:r>
      <w:r>
        <w:rPr>
          <w:sz w:val="28"/>
          <w:szCs w:val="28"/>
        </w:rPr>
        <w:t>m，</w:t>
      </w:r>
      <w:r>
        <w:rPr>
          <w:rFonts w:hint="eastAsia" w:ascii="宋体" w:hAnsi="宋体"/>
          <w:color w:val="000000"/>
          <w:sz w:val="28"/>
          <w:szCs w:val="28"/>
        </w:rPr>
        <w:t>站房内设办公室、值班室、配电房、发电房、厕所等</w:t>
      </w:r>
      <w:r>
        <w:rPr>
          <w:sz w:val="28"/>
          <w:szCs w:val="28"/>
        </w:rPr>
        <w:t>功能。</w:t>
      </w:r>
    </w:p>
    <w:p>
      <w:pPr>
        <w:spacing w:line="560" w:lineRule="exact"/>
        <w:jc w:val="center"/>
        <w:rPr>
          <w:rFonts w:ascii="宋体" w:hAnsi="宋体" w:cs="宋体"/>
          <w:b/>
          <w:bCs/>
          <w:szCs w:val="21"/>
        </w:rPr>
      </w:pPr>
      <w:r>
        <w:rPr>
          <w:rFonts w:hint="eastAsia" w:ascii="宋体" w:hAnsi="宋体" w:cs="宋体"/>
          <w:b/>
          <w:bCs/>
          <w:szCs w:val="21"/>
        </w:rPr>
        <w:t>表2.3站内设施防火间距表</w:t>
      </w:r>
    </w:p>
    <w:tbl>
      <w:tblPr>
        <w:tblStyle w:val="60"/>
        <w:tblW w:w="8235"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900"/>
        <w:gridCol w:w="960"/>
        <w:gridCol w:w="1050"/>
        <w:gridCol w:w="1005"/>
        <w:gridCol w:w="855"/>
        <w:gridCol w:w="780"/>
        <w:gridCol w:w="76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设施名称</w:t>
            </w:r>
          </w:p>
        </w:tc>
        <w:tc>
          <w:tcPr>
            <w:tcW w:w="90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汽油罐</w:t>
            </w:r>
          </w:p>
        </w:tc>
        <w:tc>
          <w:tcPr>
            <w:tcW w:w="96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柴油罐</w:t>
            </w:r>
          </w:p>
        </w:tc>
        <w:tc>
          <w:tcPr>
            <w:tcW w:w="105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汽油通气管管口</w:t>
            </w:r>
          </w:p>
        </w:tc>
        <w:tc>
          <w:tcPr>
            <w:tcW w:w="1005"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柴油通气管管口</w:t>
            </w:r>
          </w:p>
        </w:tc>
        <w:tc>
          <w:tcPr>
            <w:tcW w:w="855"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油品卸车点</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加油机</w:t>
            </w:r>
          </w:p>
        </w:tc>
        <w:tc>
          <w:tcPr>
            <w:tcW w:w="765"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站房</w:t>
            </w:r>
          </w:p>
        </w:tc>
        <w:tc>
          <w:tcPr>
            <w:tcW w:w="8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汽油罐</w:t>
            </w:r>
          </w:p>
        </w:tc>
        <w:tc>
          <w:tcPr>
            <w:tcW w:w="900" w:type="dxa"/>
            <w:vAlign w:val="center"/>
          </w:tcPr>
          <w:p>
            <w:pPr>
              <w:spacing w:line="240" w:lineRule="exact"/>
              <w:jc w:val="center"/>
              <w:rPr>
                <w:rFonts w:ascii="Times New Roman" w:hAnsi="Times New Roman"/>
                <w:szCs w:val="21"/>
              </w:rPr>
            </w:pPr>
            <w:r>
              <w:rPr>
                <w:rFonts w:hint="eastAsia" w:ascii="宋体" w:hAnsi="宋体"/>
                <w:color w:val="000000"/>
                <w:szCs w:val="21"/>
              </w:rPr>
              <w:t>0.5/0.5</w:t>
            </w:r>
          </w:p>
        </w:tc>
        <w:tc>
          <w:tcPr>
            <w:tcW w:w="960" w:type="dxa"/>
            <w:vAlign w:val="center"/>
          </w:tcPr>
          <w:p>
            <w:pPr>
              <w:spacing w:line="240" w:lineRule="exact"/>
              <w:jc w:val="center"/>
              <w:rPr>
                <w:rFonts w:ascii="Times New Roman" w:hAnsi="Times New Roman"/>
                <w:szCs w:val="21"/>
              </w:rPr>
            </w:pPr>
            <w:r>
              <w:rPr>
                <w:rFonts w:hint="eastAsia" w:ascii="宋体" w:hAnsi="宋体"/>
                <w:color w:val="000000"/>
                <w:szCs w:val="21"/>
              </w:rPr>
              <w:t>0.5/0.5</w:t>
            </w:r>
          </w:p>
        </w:tc>
        <w:tc>
          <w:tcPr>
            <w:tcW w:w="105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0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85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4/4</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柴油罐</w:t>
            </w:r>
          </w:p>
        </w:tc>
        <w:tc>
          <w:tcPr>
            <w:tcW w:w="90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96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5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0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85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9.8/3</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汽油通气管管口</w:t>
            </w:r>
          </w:p>
        </w:tc>
        <w:tc>
          <w:tcPr>
            <w:tcW w:w="90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96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5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0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855" w:type="dxa"/>
            <w:vAlign w:val="center"/>
          </w:tcPr>
          <w:p>
            <w:pPr>
              <w:spacing w:line="240" w:lineRule="exact"/>
              <w:jc w:val="center"/>
              <w:rPr>
                <w:rFonts w:ascii="Times New Roman" w:hAnsi="Times New Roman"/>
                <w:szCs w:val="21"/>
              </w:rPr>
            </w:pPr>
            <w:r>
              <w:rPr>
                <w:rFonts w:hint="eastAsia" w:ascii="宋体" w:hAnsi="宋体"/>
                <w:color w:val="000000"/>
                <w:szCs w:val="21"/>
              </w:rPr>
              <w:t>10/3</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7.8/4</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柴油通气管管口</w:t>
            </w:r>
          </w:p>
        </w:tc>
        <w:tc>
          <w:tcPr>
            <w:tcW w:w="90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96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5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0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855" w:type="dxa"/>
            <w:vAlign w:val="center"/>
          </w:tcPr>
          <w:p>
            <w:pPr>
              <w:spacing w:line="240" w:lineRule="exact"/>
              <w:jc w:val="center"/>
              <w:rPr>
                <w:rFonts w:ascii="Times New Roman" w:hAnsi="Times New Roman"/>
                <w:szCs w:val="21"/>
              </w:rPr>
            </w:pPr>
            <w:r>
              <w:rPr>
                <w:rFonts w:hint="eastAsia" w:ascii="宋体" w:hAnsi="宋体"/>
                <w:color w:val="000000"/>
                <w:szCs w:val="21"/>
              </w:rPr>
              <w:t>10/2</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7.8/3.5</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油品卸车点</w:t>
            </w:r>
          </w:p>
        </w:tc>
        <w:tc>
          <w:tcPr>
            <w:tcW w:w="900" w:type="dxa"/>
            <w:vAlign w:val="center"/>
          </w:tcPr>
          <w:p>
            <w:pPr>
              <w:spacing w:line="240" w:lineRule="exact"/>
              <w:jc w:val="center"/>
              <w:rPr>
                <w:rFonts w:ascii="Times New Roman" w:hAnsi="Times New Roman"/>
                <w:szCs w:val="21"/>
              </w:rPr>
            </w:pPr>
            <w:r>
              <w:rPr>
                <w:rFonts w:hint="eastAsia" w:ascii="宋体" w:hAnsi="宋体"/>
                <w:color w:val="000000"/>
                <w:szCs w:val="21"/>
              </w:rPr>
              <w:t>0.5/0.5</w:t>
            </w:r>
          </w:p>
        </w:tc>
        <w:tc>
          <w:tcPr>
            <w:tcW w:w="960" w:type="dxa"/>
            <w:vAlign w:val="center"/>
          </w:tcPr>
          <w:p>
            <w:pPr>
              <w:spacing w:line="240" w:lineRule="exact"/>
              <w:jc w:val="center"/>
              <w:rPr>
                <w:rFonts w:ascii="Times New Roman" w:hAnsi="Times New Roman"/>
                <w:szCs w:val="21"/>
              </w:rPr>
            </w:pPr>
            <w:r>
              <w:rPr>
                <w:rFonts w:hint="eastAsia" w:ascii="宋体" w:hAnsi="宋体"/>
                <w:color w:val="000000"/>
                <w:szCs w:val="21"/>
              </w:rPr>
              <w:t>0.5/0.5</w:t>
            </w:r>
          </w:p>
        </w:tc>
        <w:tc>
          <w:tcPr>
            <w:tcW w:w="1050"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100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855" w:type="dxa"/>
            <w:vAlign w:val="center"/>
          </w:tcPr>
          <w:p>
            <w:pPr>
              <w:spacing w:line="240" w:lineRule="exact"/>
              <w:jc w:val="center"/>
              <w:rPr>
                <w:rFonts w:ascii="Times New Roman" w:hAnsi="Times New Roman"/>
                <w:szCs w:val="21"/>
              </w:rPr>
            </w:pPr>
            <w:r>
              <w:rPr>
                <w:rFonts w:hint="eastAsia" w:ascii="宋体" w:hAnsi="宋体"/>
                <w:color w:val="000000"/>
                <w:szCs w:val="21"/>
              </w:rPr>
              <w:t>—</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4/4</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加油机</w:t>
            </w:r>
          </w:p>
        </w:tc>
        <w:tc>
          <w:tcPr>
            <w:tcW w:w="90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96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105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1005"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855"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c>
          <w:tcPr>
            <w:tcW w:w="765" w:type="dxa"/>
            <w:vAlign w:val="center"/>
          </w:tcPr>
          <w:p>
            <w:pPr>
              <w:spacing w:line="240" w:lineRule="exact"/>
              <w:jc w:val="center"/>
              <w:rPr>
                <w:rFonts w:ascii="Times New Roman" w:hAnsi="Times New Roman"/>
                <w:szCs w:val="21"/>
              </w:rPr>
            </w:pPr>
            <w:r>
              <w:rPr>
                <w:rFonts w:hint="eastAsia" w:ascii="宋体" w:hAnsi="宋体"/>
                <w:color w:val="000000"/>
                <w:szCs w:val="21"/>
              </w:rPr>
              <w:t>9.8/3</w:t>
            </w:r>
          </w:p>
        </w:tc>
        <w:tc>
          <w:tcPr>
            <w:tcW w:w="810" w:type="dxa"/>
            <w:vAlign w:val="center"/>
          </w:tcPr>
          <w:p>
            <w:pPr>
              <w:spacing w:line="240" w:lineRule="exact"/>
              <w:jc w:val="center"/>
              <w:rPr>
                <w:rFonts w:ascii="Times New Roman" w:hAnsi="Times New Roman"/>
                <w:szCs w:val="21"/>
              </w:rPr>
            </w:pPr>
            <w:r>
              <w:rPr>
                <w:rFonts w:hint="eastAsia" w:ascii="宋体" w:hAnsi="宋体"/>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站房</w:t>
            </w:r>
          </w:p>
        </w:tc>
        <w:tc>
          <w:tcPr>
            <w:tcW w:w="900" w:type="dxa"/>
            <w:vAlign w:val="center"/>
          </w:tcPr>
          <w:p>
            <w:pPr>
              <w:pStyle w:val="27"/>
              <w:widowControl w:val="0"/>
              <w:adjustRightInd/>
              <w:snapToGrid/>
              <w:spacing w:line="360" w:lineRule="auto"/>
              <w:ind w:left="0" w:right="0"/>
              <w:rPr>
                <w:rFonts w:ascii="Times New Roman" w:hAnsi="Times New Roman"/>
                <w:sz w:val="21"/>
                <w:szCs w:val="21"/>
              </w:rPr>
            </w:pPr>
            <w:r>
              <w:rPr>
                <w:rFonts w:ascii="Times New Roman" w:hAnsi="Times New Roman"/>
                <w:sz w:val="21"/>
                <w:szCs w:val="21"/>
              </w:rPr>
              <w:t>4/4</w:t>
            </w:r>
          </w:p>
        </w:tc>
        <w:tc>
          <w:tcPr>
            <w:tcW w:w="96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Times New Roman" w:hAnsi="Times New Roman"/>
                <w:sz w:val="21"/>
                <w:szCs w:val="21"/>
              </w:rPr>
              <w:t>9.8</w:t>
            </w:r>
            <w:r>
              <w:rPr>
                <w:rFonts w:ascii="Times New Roman" w:hAnsi="Times New Roman"/>
                <w:sz w:val="21"/>
                <w:szCs w:val="21"/>
              </w:rPr>
              <w:t>/3</w:t>
            </w:r>
          </w:p>
        </w:tc>
        <w:tc>
          <w:tcPr>
            <w:tcW w:w="105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Times New Roman" w:hAnsi="Times New Roman"/>
                <w:sz w:val="21"/>
                <w:szCs w:val="21"/>
              </w:rPr>
              <w:t>—</w:t>
            </w:r>
          </w:p>
        </w:tc>
        <w:tc>
          <w:tcPr>
            <w:tcW w:w="1005"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Times New Roman" w:hAnsi="Times New Roman"/>
                <w:sz w:val="21"/>
                <w:szCs w:val="21"/>
              </w:rPr>
              <w:t>—</w:t>
            </w:r>
          </w:p>
        </w:tc>
        <w:tc>
          <w:tcPr>
            <w:tcW w:w="855"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Times New Roman" w:hAnsi="Times New Roman"/>
                <w:sz w:val="21"/>
                <w:szCs w:val="21"/>
              </w:rPr>
              <w:t>10</w:t>
            </w:r>
            <w:r>
              <w:rPr>
                <w:rFonts w:ascii="Times New Roman" w:hAnsi="Times New Roman"/>
                <w:sz w:val="21"/>
                <w:szCs w:val="21"/>
              </w:rPr>
              <w:t>/5</w:t>
            </w:r>
          </w:p>
        </w:tc>
        <w:tc>
          <w:tcPr>
            <w:tcW w:w="78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Times New Roman" w:hAnsi="Times New Roman"/>
                <w:sz w:val="21"/>
                <w:szCs w:val="21"/>
              </w:rPr>
              <w:t>9.7</w:t>
            </w:r>
            <w:r>
              <w:rPr>
                <w:rFonts w:ascii="Times New Roman" w:hAnsi="Times New Roman"/>
                <w:sz w:val="21"/>
                <w:szCs w:val="21"/>
              </w:rPr>
              <w:t>/5</w:t>
            </w:r>
          </w:p>
        </w:tc>
        <w:tc>
          <w:tcPr>
            <w:tcW w:w="765" w:type="dxa"/>
            <w:vAlign w:val="center"/>
          </w:tcPr>
          <w:p>
            <w:pPr>
              <w:pStyle w:val="27"/>
              <w:widowControl w:val="0"/>
              <w:adjustRightInd/>
              <w:snapToGrid/>
              <w:spacing w:line="360" w:lineRule="auto"/>
              <w:ind w:left="0" w:right="0"/>
              <w:rPr>
                <w:rFonts w:ascii="Times New Roman" w:hAnsi="Times New Roman"/>
                <w:kern w:val="2"/>
                <w:sz w:val="21"/>
                <w:szCs w:val="21"/>
              </w:rPr>
            </w:pPr>
            <w:r>
              <w:rPr>
                <w:rFonts w:hint="eastAsia" w:ascii="宋体" w:hAnsi="宋体"/>
                <w:color w:val="000000"/>
                <w:szCs w:val="21"/>
              </w:rPr>
              <w:t>—</w:t>
            </w:r>
          </w:p>
        </w:tc>
        <w:tc>
          <w:tcPr>
            <w:tcW w:w="810" w:type="dxa"/>
            <w:vAlign w:val="center"/>
          </w:tcPr>
          <w:p>
            <w:pPr>
              <w:pStyle w:val="27"/>
              <w:widowControl w:val="0"/>
              <w:adjustRightInd/>
              <w:snapToGrid/>
              <w:spacing w:line="360" w:lineRule="auto"/>
              <w:ind w:left="0" w:right="0"/>
              <w:rPr>
                <w:rFonts w:ascii="Times New Roman" w:hAnsi="Times New Roman"/>
                <w:sz w:val="21"/>
                <w:szCs w:val="21"/>
              </w:rPr>
            </w:pP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35" w:type="dxa"/>
            <w:gridSpan w:val="9"/>
            <w:vAlign w:val="center"/>
          </w:tcPr>
          <w:p>
            <w:pPr>
              <w:pStyle w:val="27"/>
              <w:widowControl w:val="0"/>
              <w:adjustRightInd/>
              <w:snapToGrid/>
              <w:spacing w:line="360" w:lineRule="auto"/>
              <w:ind w:left="0" w:right="0"/>
              <w:jc w:val="left"/>
              <w:rPr>
                <w:rFonts w:ascii="Times New Roman" w:hAnsi="Times New Roman"/>
                <w:sz w:val="21"/>
                <w:szCs w:val="21"/>
              </w:rPr>
            </w:pPr>
            <w:r>
              <w:rPr>
                <w:rFonts w:ascii="Times New Roman" w:hAnsi="Times New Roman"/>
                <w:sz w:val="21"/>
                <w:szCs w:val="21"/>
              </w:rPr>
              <w:t>注：本站安装一、二次油气回收系统；-/-分子表示实测距离，分母表示规范要求的最小距离。</w:t>
            </w:r>
          </w:p>
        </w:tc>
      </w:tr>
    </w:tbl>
    <w:p>
      <w:pPr>
        <w:pStyle w:val="4"/>
      </w:pPr>
      <w:bookmarkStart w:id="85" w:name="_Toc24653"/>
      <w:bookmarkStart w:id="86" w:name="_Toc516661593"/>
      <w:bookmarkStart w:id="87" w:name="_Toc2846939"/>
      <w:bookmarkStart w:id="88" w:name="_Toc2847131"/>
      <w:r>
        <w:t>2.</w:t>
      </w:r>
      <w:r>
        <w:rPr>
          <w:rFonts w:hint="eastAsia"/>
        </w:rPr>
        <w:t>4</w:t>
      </w:r>
      <w:r>
        <w:t xml:space="preserve"> 工艺流程简述</w:t>
      </w:r>
      <w:bookmarkEnd w:id="85"/>
      <w:bookmarkEnd w:id="86"/>
      <w:bookmarkEnd w:id="87"/>
      <w:bookmarkEnd w:id="88"/>
    </w:p>
    <w:p>
      <w:pPr>
        <w:spacing w:line="560" w:lineRule="exact"/>
        <w:ind w:firstLine="560" w:firstLineChars="200"/>
        <w:rPr>
          <w:kern w:val="0"/>
          <w:sz w:val="28"/>
          <w:szCs w:val="28"/>
        </w:rPr>
      </w:pPr>
      <w:r>
        <w:rPr>
          <w:rFonts w:hint="eastAsia"/>
          <w:kern w:val="0"/>
          <w:sz w:val="28"/>
          <w:szCs w:val="28"/>
        </w:rPr>
        <w:t>1.卸油流程</w:t>
      </w:r>
    </w:p>
    <w:p>
      <w:pPr>
        <w:spacing w:line="560" w:lineRule="exact"/>
        <w:ind w:firstLine="560" w:firstLineChars="200"/>
        <w:rPr>
          <w:kern w:val="0"/>
          <w:sz w:val="28"/>
          <w:szCs w:val="28"/>
        </w:rPr>
      </w:pPr>
      <w:r>
        <w:rPr>
          <w:rFonts w:hint="eastAsia"/>
          <w:kern w:val="0"/>
          <w:sz w:val="28"/>
          <w:szCs w:val="28"/>
        </w:rPr>
        <w:t>油罐车→密闭接头 →(自流) → 储油罐</w:t>
      </w:r>
    </w:p>
    <w:p>
      <w:pPr>
        <w:spacing w:line="560" w:lineRule="exact"/>
        <w:ind w:firstLine="560" w:firstLineChars="200"/>
        <w:rPr>
          <w:rFonts w:ascii="宋体" w:hAnsi="宋体" w:cs="宋体"/>
          <w:sz w:val="28"/>
          <w:szCs w:val="28"/>
        </w:rPr>
      </w:pPr>
      <w:r>
        <w:rPr>
          <w:rFonts w:hint="eastAsia" w:ascii="宋体" w:hAnsi="宋体" w:cs="宋体"/>
          <w:sz w:val="28"/>
          <w:szCs w:val="28"/>
        </w:rPr>
        <w:t>卸油流程：油罐车卸油采用密闭的卸油方式。油槽车运油至加油站，用密闭接头连接油槽车和卸油口，以自流方式从油槽车卸油至储油罐。</w:t>
      </w:r>
    </w:p>
    <w:p>
      <w:pPr>
        <w:pStyle w:val="110"/>
        <w:spacing w:line="560" w:lineRule="exact"/>
        <w:rPr>
          <w:rFonts w:ascii="宋体" w:hAnsi="宋体" w:cs="宋体"/>
          <w:kern w:val="2"/>
          <w:sz w:val="28"/>
          <w:szCs w:val="28"/>
        </w:rPr>
      </w:pPr>
      <w:r>
        <w:rPr>
          <w:rFonts w:hint="eastAsia" w:ascii="宋体" w:hAnsi="宋体" w:cs="宋体"/>
          <w:kern w:val="2"/>
          <w:sz w:val="28"/>
          <w:szCs w:val="28"/>
        </w:rPr>
        <w:t>2.加油流程</w:t>
      </w:r>
    </w:p>
    <w:p>
      <w:pPr>
        <w:spacing w:line="560" w:lineRule="exact"/>
        <w:ind w:firstLine="560" w:firstLineChars="200"/>
        <w:rPr>
          <w:rFonts w:ascii="宋体" w:hAnsi="宋体" w:cs="宋体"/>
          <w:sz w:val="28"/>
          <w:szCs w:val="28"/>
        </w:rPr>
      </w:pPr>
      <w:r>
        <w:rPr>
          <w:rFonts w:hint="eastAsia" w:ascii="宋体" w:hAnsi="宋体" w:cs="宋体"/>
          <w:sz w:val="28"/>
          <w:szCs w:val="28"/>
        </w:rPr>
        <w:t>埋地油罐→潜油泵→输油管道→加油机(加油枪)→用户汽车油箱</w:t>
      </w:r>
    </w:p>
    <w:p>
      <w:pPr>
        <w:spacing w:line="560" w:lineRule="exact"/>
        <w:ind w:firstLine="560" w:firstLineChars="200"/>
        <w:rPr>
          <w:rFonts w:ascii="宋体" w:hAnsi="宋体" w:cs="宋体"/>
          <w:sz w:val="28"/>
          <w:szCs w:val="28"/>
        </w:rPr>
      </w:pPr>
      <w:r>
        <w:rPr>
          <w:rFonts w:hint="eastAsia" w:ascii="宋体" w:hAnsi="宋体" w:cs="宋体"/>
          <w:sz w:val="28"/>
          <w:szCs w:val="28"/>
        </w:rPr>
        <w:t>加油流程：由潜油泵从埋地油罐把油打至加油机，经加油机计量后加入用户汽车油箱。</w:t>
      </w:r>
    </w:p>
    <w:p>
      <w:pPr>
        <w:pStyle w:val="110"/>
        <w:spacing w:line="560" w:lineRule="exact"/>
        <w:rPr>
          <w:rFonts w:ascii="宋体" w:hAnsi="宋体" w:cs="宋体"/>
          <w:kern w:val="2"/>
          <w:sz w:val="28"/>
          <w:szCs w:val="28"/>
        </w:rPr>
      </w:pPr>
      <w:r>
        <w:rPr>
          <w:rFonts w:hint="eastAsia" w:ascii="宋体" w:hAnsi="宋体" w:cs="宋体"/>
          <w:kern w:val="2"/>
          <w:sz w:val="28"/>
          <w:szCs w:val="28"/>
        </w:rPr>
        <w:t>3.卸油油气回收流程</w:t>
      </w:r>
    </w:p>
    <w:p>
      <w:pPr>
        <w:spacing w:line="560" w:lineRule="exact"/>
        <w:ind w:firstLine="560" w:firstLineChars="200"/>
        <w:rPr>
          <w:rFonts w:ascii="宋体" w:hAnsi="宋体" w:cs="宋体"/>
          <w:sz w:val="28"/>
          <w:szCs w:val="28"/>
        </w:rPr>
      </w:pPr>
      <w:r>
        <w:rPr>
          <w:rFonts w:hint="eastAsia" w:ascii="宋体" w:hAnsi="宋体" w:cs="宋体"/>
          <w:sz w:val="28"/>
          <w:szCs w:val="28"/>
        </w:rPr>
        <w:t>卸油回收流程：汽油油罐车→(自流)卸油管道→埋地油罐 →（油蒸气)油罐车</w:t>
      </w:r>
    </w:p>
    <w:p>
      <w:pPr>
        <w:spacing w:line="560" w:lineRule="exact"/>
        <w:ind w:firstLine="560" w:firstLineChars="200"/>
        <w:rPr>
          <w:rFonts w:ascii="宋体" w:hAnsi="宋体" w:cs="宋体"/>
          <w:sz w:val="28"/>
          <w:szCs w:val="28"/>
        </w:rPr>
      </w:pPr>
      <w:r>
        <w:rPr>
          <w:rFonts w:hint="eastAsia" w:ascii="宋体" w:hAnsi="宋体" w:cs="宋体"/>
          <w:sz w:val="28"/>
          <w:szCs w:val="28"/>
        </w:rPr>
        <w:t>汽油罐车到达油站后，连接好汽油卸油管道和油气回收管道，关闭汽油通气管上阀门，打开卸油管道、油气回收管道、油槽车阀门，随着槽车内的压力逐渐减低，油罐内的压力逐渐升高。油罐内的油蒸气通过油气回收管道回到油罐车内。</w:t>
      </w:r>
    </w:p>
    <w:p>
      <w:pPr>
        <w:widowControl/>
        <w:spacing w:line="560" w:lineRule="exact"/>
        <w:rPr>
          <w:rFonts w:ascii="宋体" w:hAnsi="宋体" w:cs="宋体"/>
          <w:kern w:val="0"/>
          <w:sz w:val="28"/>
          <w:szCs w:val="28"/>
        </w:rPr>
      </w:pPr>
      <w:r>
        <w:rPr>
          <w:rFonts w:hint="eastAsia" w:ascii="宋体" w:hAnsi="宋体" w:cs="宋体"/>
          <w:sz w:val="28"/>
          <w:szCs w:val="28"/>
        </w:rPr>
        <w:t>4.加油油气回收流程</w:t>
      </w:r>
    </w:p>
    <w:p>
      <w:pPr>
        <w:rPr>
          <w:rFonts w:ascii="宋体" w:hAnsi="宋体" w:cs="宋体"/>
          <w:sz w:val="28"/>
          <w:szCs w:val="28"/>
        </w:rPr>
      </w:pPr>
      <w:r>
        <w:rPr>
          <w:rFonts w:hint="eastAsia" w:ascii="宋体" w:hAnsi="宋体" w:cs="宋体"/>
          <w:sz w:val="28"/>
          <w:szCs w:val="28"/>
        </w:rPr>
        <w:t>用户油箱油气→回收油枪→真空泵→回收管道→油罐</w:t>
      </w:r>
    </w:p>
    <w:p>
      <w:pPr>
        <w:pStyle w:val="2"/>
        <w:spacing w:line="360" w:lineRule="auto"/>
        <w:rPr>
          <w:sz w:val="28"/>
          <w:szCs w:val="28"/>
        </w:rPr>
      </w:pPr>
      <w:r>
        <w:rPr>
          <w:rFonts w:hint="eastAsia"/>
          <w:sz w:val="28"/>
          <w:szCs w:val="28"/>
        </w:rPr>
        <w:t>5.近三年来工艺变化情况</w:t>
      </w:r>
    </w:p>
    <w:p>
      <w:pPr>
        <w:pStyle w:val="2"/>
        <w:spacing w:line="360" w:lineRule="auto"/>
        <w:ind w:firstLine="560" w:firstLineChars="200"/>
        <w:rPr>
          <w:sz w:val="28"/>
          <w:szCs w:val="28"/>
        </w:rPr>
      </w:pPr>
      <w:r>
        <w:rPr>
          <w:rFonts w:hint="eastAsia"/>
          <w:sz w:val="28"/>
          <w:szCs w:val="28"/>
        </w:rPr>
        <w:t>加油站近三年来工艺未发生变化，双层罐改造后油罐新增高低液位报警仪。</w:t>
      </w:r>
    </w:p>
    <w:p>
      <w:pPr>
        <w:pStyle w:val="5"/>
        <w:rPr>
          <w:sz w:val="28"/>
          <w:szCs w:val="28"/>
        </w:rPr>
      </w:pPr>
      <w:bookmarkStart w:id="89" w:name="_Toc15384"/>
      <w:r>
        <w:rPr>
          <w:rFonts w:hint="eastAsia"/>
          <w:sz w:val="28"/>
          <w:szCs w:val="28"/>
        </w:rPr>
        <w:t>2.4.1加油站主要设备、设施现状</w:t>
      </w:r>
      <w:bookmarkEnd w:id="89"/>
    </w:p>
    <w:p>
      <w:pPr>
        <w:jc w:val="center"/>
        <w:rPr>
          <w:rFonts w:ascii="宋体" w:hAnsi="宋体" w:cs="宋体"/>
          <w:b/>
          <w:bCs/>
          <w:szCs w:val="21"/>
        </w:rPr>
      </w:pPr>
      <w:r>
        <w:rPr>
          <w:rFonts w:hint="eastAsia" w:ascii="宋体" w:hAnsi="宋体" w:cs="宋体"/>
          <w:b/>
          <w:bCs/>
          <w:szCs w:val="21"/>
        </w:rPr>
        <w:t>表2.4-1加油站主要设备一览表</w:t>
      </w:r>
    </w:p>
    <w:tbl>
      <w:tblPr>
        <w:tblStyle w:val="60"/>
        <w:tblW w:w="8175" w:type="dxa"/>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012"/>
        <w:gridCol w:w="1508"/>
        <w:gridCol w:w="1897"/>
        <w:gridCol w:w="660"/>
        <w:gridCol w:w="653"/>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序号</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设备位号</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设备名称</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型号、规格</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材质</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数量</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V01</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0#柴油储罐</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Φ2800×8700（30m3）</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SF</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1座</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承重双层油罐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2</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V02</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92#汽油储罐</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Φ2800×8700（30m3）</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SF</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1座</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承重双层油罐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3</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V03</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95#汽油储罐</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Φ2800×8700（20m3）</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SF</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1座</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承重双层油罐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4</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J01-J04</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加油机</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四枪双油品加油机</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2台</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带油气回收功能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5</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潜油泵</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1.5P</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2台</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用于0#、95#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6</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潜油泵</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2.0P</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1台</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用于92#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7</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液位计</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OPW    SS1神探1号（带</w:t>
            </w:r>
            <w:r>
              <w:rPr>
                <w:rFonts w:hint="eastAsia" w:ascii="宋体" w:hAnsi="宋体" w:cs="宋体"/>
                <w:sz w:val="21"/>
                <w:szCs w:val="21"/>
                <w:lang w:val="en-US" w:eastAsia="zh-CN"/>
              </w:rPr>
              <w:t>3</w:t>
            </w:r>
            <w:r>
              <w:rPr>
                <w:rFonts w:hint="eastAsia" w:ascii="宋体" w:hAnsi="宋体" w:cs="宋体"/>
                <w:sz w:val="21"/>
                <w:szCs w:val="21"/>
              </w:rPr>
              <w:t>根碳棒）</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1台</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8</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量油孔防盗盖</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DN100、DF310铝合金</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台</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9</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阻火型机械呼吸阀</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DN50</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1个</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10</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防雨型阻火透气帽</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DN50</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个</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11</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防雨型阻火器（设备自带）</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DN50</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1个</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柴油发电机尾气口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12</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卸油防溢阀</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DN100</w:t>
            </w:r>
          </w:p>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61S0-4000</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3个</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5"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13</w:t>
            </w:r>
          </w:p>
        </w:tc>
        <w:tc>
          <w:tcPr>
            <w:tcW w:w="1012"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1508"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工艺管道</w:t>
            </w:r>
          </w:p>
        </w:tc>
        <w:tc>
          <w:tcPr>
            <w:tcW w:w="1897"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DN80/DN50</w:t>
            </w:r>
          </w:p>
        </w:tc>
        <w:tc>
          <w:tcPr>
            <w:tcW w:w="660" w:type="dxa"/>
            <w:vAlign w:val="center"/>
          </w:tcPr>
          <w:p>
            <w:pPr>
              <w:pStyle w:val="27"/>
              <w:widowControl w:val="0"/>
              <w:adjustRightInd/>
              <w:snapToGrid/>
              <w:spacing w:line="360" w:lineRule="auto"/>
              <w:ind w:left="0" w:right="0"/>
              <w:rPr>
                <w:rFonts w:ascii="宋体" w:hAnsi="宋体" w:cs="宋体"/>
                <w:sz w:val="21"/>
                <w:szCs w:val="21"/>
              </w:rPr>
            </w:pPr>
            <w:r>
              <w:rPr>
                <w:rFonts w:hint="eastAsia"/>
                <w:sz w:val="21"/>
                <w:szCs w:val="21"/>
              </w:rPr>
              <w:t>/</w:t>
            </w:r>
          </w:p>
        </w:tc>
        <w:tc>
          <w:tcPr>
            <w:tcW w:w="653"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1套</w:t>
            </w:r>
          </w:p>
        </w:tc>
        <w:tc>
          <w:tcPr>
            <w:tcW w:w="1890" w:type="dxa"/>
            <w:vAlign w:val="center"/>
          </w:tcPr>
          <w:p>
            <w:pPr>
              <w:pStyle w:val="27"/>
              <w:widowControl w:val="0"/>
              <w:adjustRightInd/>
              <w:snapToGrid/>
              <w:spacing w:line="360" w:lineRule="auto"/>
              <w:ind w:left="0" w:right="0"/>
              <w:rPr>
                <w:rFonts w:ascii="宋体" w:hAnsi="宋体" w:cs="宋体"/>
                <w:sz w:val="21"/>
                <w:szCs w:val="21"/>
              </w:rPr>
            </w:pPr>
            <w:r>
              <w:rPr>
                <w:rFonts w:hint="eastAsia" w:ascii="宋体" w:hAnsi="宋体" w:cs="宋体"/>
                <w:sz w:val="21"/>
                <w:szCs w:val="21"/>
              </w:rPr>
              <w:t>KP75/63SCEC双层静电复合管</w:t>
            </w:r>
          </w:p>
        </w:tc>
      </w:tr>
    </w:tbl>
    <w:p>
      <w:pPr>
        <w:pStyle w:val="5"/>
      </w:pPr>
      <w:bookmarkStart w:id="90" w:name="_Toc15300"/>
      <w:bookmarkStart w:id="91" w:name="_Toc26148"/>
      <w:r>
        <w:rPr>
          <w:rFonts w:hint="eastAsia"/>
          <w:sz w:val="28"/>
          <w:szCs w:val="28"/>
        </w:rPr>
        <w:t>2.4.2设备设施检测情况</w:t>
      </w:r>
      <w:bookmarkEnd w:id="90"/>
    </w:p>
    <w:p>
      <w:pPr>
        <w:pStyle w:val="12"/>
        <w:jc w:val="center"/>
      </w:pPr>
      <w:r>
        <w:rPr>
          <w:rFonts w:hint="eastAsia"/>
        </w:rPr>
        <w:t>表2.4-2设备设施检测情况</w:t>
      </w:r>
    </w:p>
    <w:tbl>
      <w:tblPr>
        <w:tblStyle w:val="60"/>
        <w:tblW w:w="8295"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629"/>
        <w:gridCol w:w="1398"/>
        <w:gridCol w:w="1275"/>
        <w:gridCol w:w="1935"/>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700" w:type="dxa"/>
            <w:vAlign w:val="center"/>
          </w:tcPr>
          <w:p>
            <w:pPr>
              <w:pStyle w:val="16"/>
              <w:jc w:val="center"/>
              <w:rPr>
                <w:rFonts w:ascii="Calibri" w:eastAsia="宋体"/>
                <w:sz w:val="21"/>
                <w:szCs w:val="21"/>
              </w:rPr>
            </w:pPr>
            <w:r>
              <w:rPr>
                <w:rFonts w:hint="eastAsia" w:ascii="Calibri" w:eastAsia="宋体"/>
                <w:sz w:val="21"/>
                <w:szCs w:val="21"/>
              </w:rPr>
              <w:t>序号</w:t>
            </w:r>
          </w:p>
        </w:tc>
        <w:tc>
          <w:tcPr>
            <w:tcW w:w="1629" w:type="dxa"/>
            <w:vAlign w:val="center"/>
          </w:tcPr>
          <w:p>
            <w:pPr>
              <w:pStyle w:val="16"/>
              <w:jc w:val="center"/>
              <w:rPr>
                <w:rFonts w:ascii="Calibri" w:eastAsia="宋体"/>
                <w:sz w:val="21"/>
                <w:szCs w:val="21"/>
              </w:rPr>
            </w:pPr>
            <w:r>
              <w:rPr>
                <w:rFonts w:hint="eastAsia" w:ascii="Calibri" w:eastAsia="宋体"/>
                <w:sz w:val="21"/>
                <w:szCs w:val="21"/>
              </w:rPr>
              <w:t>名称</w:t>
            </w:r>
          </w:p>
        </w:tc>
        <w:tc>
          <w:tcPr>
            <w:tcW w:w="1398" w:type="dxa"/>
            <w:vAlign w:val="center"/>
          </w:tcPr>
          <w:p>
            <w:pPr>
              <w:pStyle w:val="16"/>
              <w:jc w:val="center"/>
              <w:rPr>
                <w:rFonts w:ascii="Calibri" w:eastAsia="宋体"/>
                <w:sz w:val="21"/>
                <w:szCs w:val="21"/>
              </w:rPr>
            </w:pPr>
            <w:r>
              <w:rPr>
                <w:rFonts w:hint="eastAsia" w:ascii="Calibri" w:eastAsia="宋体"/>
                <w:sz w:val="21"/>
                <w:szCs w:val="21"/>
              </w:rPr>
              <w:t>检测时间</w:t>
            </w:r>
          </w:p>
        </w:tc>
        <w:tc>
          <w:tcPr>
            <w:tcW w:w="1275" w:type="dxa"/>
            <w:vAlign w:val="center"/>
          </w:tcPr>
          <w:p>
            <w:pPr>
              <w:pStyle w:val="16"/>
              <w:jc w:val="center"/>
              <w:rPr>
                <w:rFonts w:ascii="Calibri" w:eastAsia="宋体"/>
                <w:sz w:val="21"/>
                <w:szCs w:val="21"/>
              </w:rPr>
            </w:pPr>
            <w:r>
              <w:rPr>
                <w:rFonts w:hint="eastAsia" w:ascii="Calibri" w:eastAsia="宋体"/>
                <w:sz w:val="21"/>
                <w:szCs w:val="21"/>
              </w:rPr>
              <w:t>有效期</w:t>
            </w:r>
          </w:p>
        </w:tc>
        <w:tc>
          <w:tcPr>
            <w:tcW w:w="1935" w:type="dxa"/>
            <w:vAlign w:val="center"/>
          </w:tcPr>
          <w:p>
            <w:pPr>
              <w:pStyle w:val="16"/>
              <w:jc w:val="center"/>
              <w:rPr>
                <w:rFonts w:ascii="Calibri" w:eastAsia="宋体"/>
                <w:sz w:val="21"/>
                <w:szCs w:val="21"/>
              </w:rPr>
            </w:pPr>
            <w:r>
              <w:rPr>
                <w:rFonts w:hint="eastAsia" w:ascii="Calibri" w:eastAsia="宋体"/>
                <w:sz w:val="21"/>
                <w:szCs w:val="21"/>
              </w:rPr>
              <w:t>检测单位</w:t>
            </w:r>
          </w:p>
        </w:tc>
        <w:tc>
          <w:tcPr>
            <w:tcW w:w="1358" w:type="dxa"/>
            <w:vAlign w:val="center"/>
          </w:tcPr>
          <w:p>
            <w:pPr>
              <w:pStyle w:val="16"/>
              <w:jc w:val="center"/>
              <w:rPr>
                <w:rFonts w:ascii="Calibri" w:eastAsia="宋体"/>
                <w:sz w:val="21"/>
                <w:szCs w:val="21"/>
              </w:rPr>
            </w:pPr>
            <w:r>
              <w:rPr>
                <w:rFonts w:hint="eastAsia" w:ascii="Calibri" w:eastAsia="宋体"/>
                <w:sz w:val="21"/>
                <w:szCs w:val="21"/>
              </w:rPr>
              <w:t>检测结论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700" w:type="dxa"/>
            <w:vAlign w:val="center"/>
          </w:tcPr>
          <w:p>
            <w:pPr>
              <w:pStyle w:val="16"/>
              <w:jc w:val="center"/>
              <w:rPr>
                <w:rFonts w:ascii="Calibri" w:eastAsia="宋体"/>
                <w:sz w:val="21"/>
                <w:szCs w:val="21"/>
              </w:rPr>
            </w:pPr>
            <w:r>
              <w:rPr>
                <w:rFonts w:hint="eastAsia" w:ascii="Calibri" w:eastAsia="宋体"/>
                <w:sz w:val="21"/>
                <w:szCs w:val="21"/>
              </w:rPr>
              <w:t>1</w:t>
            </w:r>
          </w:p>
        </w:tc>
        <w:tc>
          <w:tcPr>
            <w:tcW w:w="1629" w:type="dxa"/>
            <w:vAlign w:val="center"/>
          </w:tcPr>
          <w:p>
            <w:pPr>
              <w:pStyle w:val="16"/>
              <w:jc w:val="center"/>
              <w:rPr>
                <w:rFonts w:ascii="Calibri" w:eastAsia="宋体"/>
                <w:sz w:val="21"/>
                <w:szCs w:val="21"/>
              </w:rPr>
            </w:pPr>
            <w:r>
              <w:rPr>
                <w:rFonts w:hint="eastAsia" w:ascii="Calibri" w:eastAsia="宋体"/>
                <w:sz w:val="21"/>
                <w:szCs w:val="21"/>
              </w:rPr>
              <w:t>防雷防静电装置</w:t>
            </w:r>
          </w:p>
        </w:tc>
        <w:tc>
          <w:tcPr>
            <w:tcW w:w="1398" w:type="dxa"/>
            <w:vAlign w:val="center"/>
          </w:tcPr>
          <w:p>
            <w:pPr>
              <w:pStyle w:val="16"/>
              <w:jc w:val="center"/>
              <w:rPr>
                <w:rFonts w:ascii="Calibri" w:eastAsia="宋体"/>
                <w:sz w:val="21"/>
                <w:szCs w:val="21"/>
              </w:rPr>
            </w:pPr>
            <w:r>
              <w:rPr>
                <w:rFonts w:hint="eastAsia" w:ascii="Calibri" w:eastAsia="宋体"/>
                <w:sz w:val="21"/>
                <w:szCs w:val="21"/>
              </w:rPr>
              <w:t>2020.01.20</w:t>
            </w:r>
          </w:p>
        </w:tc>
        <w:tc>
          <w:tcPr>
            <w:tcW w:w="1275" w:type="dxa"/>
            <w:vAlign w:val="center"/>
          </w:tcPr>
          <w:p>
            <w:pPr>
              <w:pStyle w:val="16"/>
              <w:jc w:val="center"/>
              <w:rPr>
                <w:rFonts w:ascii="Calibri" w:eastAsia="宋体"/>
                <w:sz w:val="21"/>
                <w:szCs w:val="21"/>
              </w:rPr>
            </w:pPr>
            <w:r>
              <w:rPr>
                <w:rFonts w:hint="eastAsia" w:ascii="Calibri" w:eastAsia="宋体"/>
                <w:sz w:val="21"/>
                <w:szCs w:val="21"/>
              </w:rPr>
              <w:t>2020.07.19</w:t>
            </w:r>
          </w:p>
        </w:tc>
        <w:tc>
          <w:tcPr>
            <w:tcW w:w="1935" w:type="dxa"/>
            <w:vAlign w:val="center"/>
          </w:tcPr>
          <w:p>
            <w:pPr>
              <w:pStyle w:val="16"/>
              <w:jc w:val="center"/>
              <w:rPr>
                <w:rFonts w:ascii="Calibri" w:eastAsia="宋体"/>
                <w:sz w:val="21"/>
                <w:szCs w:val="21"/>
              </w:rPr>
            </w:pPr>
            <w:r>
              <w:rPr>
                <w:rFonts w:ascii="Calibri" w:eastAsia="宋体"/>
                <w:sz w:val="21"/>
                <w:szCs w:val="21"/>
              </w:rPr>
              <w:t>南充市气象防灾减灾中心</w:t>
            </w:r>
          </w:p>
        </w:tc>
        <w:tc>
          <w:tcPr>
            <w:tcW w:w="1358" w:type="dxa"/>
            <w:vAlign w:val="center"/>
          </w:tcPr>
          <w:p>
            <w:pPr>
              <w:pStyle w:val="16"/>
              <w:jc w:val="center"/>
              <w:rPr>
                <w:rFonts w:ascii="Calibri" w:eastAsia="宋体"/>
                <w:sz w:val="21"/>
                <w:szCs w:val="21"/>
              </w:rPr>
            </w:pPr>
            <w:r>
              <w:rPr>
                <w:rFonts w:hint="eastAsia" w:ascii="Calibri" w:eastAsia="宋体"/>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700" w:type="dxa"/>
            <w:vAlign w:val="center"/>
          </w:tcPr>
          <w:p>
            <w:pPr>
              <w:pStyle w:val="16"/>
              <w:jc w:val="center"/>
              <w:rPr>
                <w:rFonts w:ascii="Calibri" w:eastAsia="宋体"/>
                <w:sz w:val="21"/>
                <w:szCs w:val="21"/>
              </w:rPr>
            </w:pPr>
            <w:r>
              <w:rPr>
                <w:rFonts w:hint="eastAsia" w:ascii="Calibri" w:eastAsia="宋体"/>
                <w:sz w:val="21"/>
                <w:szCs w:val="21"/>
              </w:rPr>
              <w:t>2</w:t>
            </w:r>
          </w:p>
        </w:tc>
        <w:tc>
          <w:tcPr>
            <w:tcW w:w="1629" w:type="dxa"/>
            <w:vAlign w:val="center"/>
          </w:tcPr>
          <w:p>
            <w:pPr>
              <w:pStyle w:val="16"/>
              <w:jc w:val="center"/>
              <w:rPr>
                <w:rFonts w:ascii="Calibri" w:eastAsia="宋体"/>
                <w:sz w:val="21"/>
                <w:szCs w:val="21"/>
              </w:rPr>
            </w:pPr>
            <w:r>
              <w:rPr>
                <w:rFonts w:hint="eastAsia" w:ascii="Calibri" w:eastAsia="宋体"/>
                <w:sz w:val="21"/>
                <w:szCs w:val="21"/>
              </w:rPr>
              <w:t>加油机</w:t>
            </w:r>
          </w:p>
        </w:tc>
        <w:tc>
          <w:tcPr>
            <w:tcW w:w="1398" w:type="dxa"/>
            <w:vAlign w:val="center"/>
          </w:tcPr>
          <w:p>
            <w:pPr>
              <w:pStyle w:val="16"/>
              <w:jc w:val="center"/>
              <w:rPr>
                <w:rFonts w:ascii="Calibri" w:eastAsia="宋体"/>
                <w:sz w:val="21"/>
                <w:szCs w:val="21"/>
                <w:highlight w:val="yellow"/>
              </w:rPr>
            </w:pPr>
          </w:p>
        </w:tc>
        <w:tc>
          <w:tcPr>
            <w:tcW w:w="1275" w:type="dxa"/>
            <w:vAlign w:val="center"/>
          </w:tcPr>
          <w:p>
            <w:pPr>
              <w:pStyle w:val="16"/>
              <w:rPr>
                <w:rFonts w:ascii="Calibri" w:eastAsia="宋体"/>
                <w:sz w:val="21"/>
                <w:szCs w:val="21"/>
                <w:highlight w:val="yellow"/>
              </w:rPr>
            </w:pPr>
          </w:p>
        </w:tc>
        <w:tc>
          <w:tcPr>
            <w:tcW w:w="1935" w:type="dxa"/>
            <w:vAlign w:val="center"/>
          </w:tcPr>
          <w:p>
            <w:pPr>
              <w:pStyle w:val="16"/>
              <w:jc w:val="center"/>
              <w:rPr>
                <w:rFonts w:ascii="Calibri" w:eastAsia="宋体"/>
                <w:sz w:val="21"/>
                <w:szCs w:val="21"/>
                <w:highlight w:val="yellow"/>
              </w:rPr>
            </w:pPr>
          </w:p>
        </w:tc>
        <w:tc>
          <w:tcPr>
            <w:tcW w:w="1358" w:type="dxa"/>
            <w:vAlign w:val="center"/>
          </w:tcPr>
          <w:p>
            <w:pPr>
              <w:pStyle w:val="16"/>
              <w:jc w:val="center"/>
              <w:rPr>
                <w:rFonts w:ascii="Calibri" w:eastAsia="宋体"/>
                <w:sz w:val="21"/>
                <w:szCs w:val="21"/>
              </w:rPr>
            </w:pPr>
            <w:r>
              <w:rPr>
                <w:rFonts w:hint="eastAsia" w:ascii="Calibri" w:eastAsia="宋体"/>
                <w:sz w:val="21"/>
                <w:szCs w:val="21"/>
              </w:rPr>
              <w:t>合格</w:t>
            </w:r>
          </w:p>
        </w:tc>
      </w:tr>
    </w:tbl>
    <w:p>
      <w:pPr>
        <w:pStyle w:val="5"/>
      </w:pPr>
      <w:bookmarkStart w:id="92" w:name="_Toc6965"/>
      <w:bookmarkStart w:id="93" w:name="_Toc25429"/>
      <w:bookmarkStart w:id="94" w:name="_Toc19913"/>
      <w:r>
        <w:rPr>
          <w:rFonts w:hint="eastAsia"/>
        </w:rPr>
        <w:t>2.</w:t>
      </w:r>
      <w:bookmarkEnd w:id="91"/>
      <w:bookmarkEnd w:id="92"/>
      <w:r>
        <w:rPr>
          <w:rFonts w:hint="eastAsia"/>
        </w:rPr>
        <w:t>4.3建构筑物基本情况</w:t>
      </w:r>
      <w:bookmarkEnd w:id="93"/>
      <w:bookmarkEnd w:id="94"/>
    </w:p>
    <w:p>
      <w:pPr>
        <w:spacing w:line="560" w:lineRule="exact"/>
        <w:ind w:firstLine="560" w:firstLineChars="200"/>
        <w:rPr>
          <w:kern w:val="0"/>
          <w:sz w:val="28"/>
          <w:szCs w:val="28"/>
        </w:rPr>
      </w:pPr>
      <w:r>
        <w:rPr>
          <w:rFonts w:hint="eastAsia"/>
          <w:kern w:val="0"/>
          <w:sz w:val="28"/>
          <w:szCs w:val="28"/>
        </w:rPr>
        <w:t>加油站</w:t>
      </w:r>
      <w:r>
        <w:rPr>
          <w:kern w:val="0"/>
          <w:sz w:val="28"/>
          <w:szCs w:val="28"/>
        </w:rPr>
        <w:t>建（构）筑物主要</w:t>
      </w:r>
      <w:r>
        <w:rPr>
          <w:rFonts w:hint="eastAsia"/>
          <w:kern w:val="0"/>
          <w:sz w:val="28"/>
          <w:szCs w:val="28"/>
        </w:rPr>
        <w:t>为</w:t>
      </w:r>
      <w:r>
        <w:rPr>
          <w:kern w:val="0"/>
          <w:sz w:val="28"/>
          <w:szCs w:val="28"/>
        </w:rPr>
        <w:t>2F框架结构</w:t>
      </w:r>
      <w:r>
        <w:rPr>
          <w:rFonts w:hint="eastAsia"/>
          <w:kern w:val="0"/>
          <w:sz w:val="28"/>
          <w:szCs w:val="28"/>
        </w:rPr>
        <w:t>站房及钢网架结构加油区罩棚。</w:t>
      </w:r>
    </w:p>
    <w:p>
      <w:pPr>
        <w:pStyle w:val="12"/>
        <w:jc w:val="center"/>
      </w:pPr>
      <w:r>
        <w:rPr>
          <w:rFonts w:hint="eastAsia"/>
        </w:rPr>
        <w:t>表2.4-3加油站主要建、构筑物一览表</w:t>
      </w:r>
    </w:p>
    <w:tbl>
      <w:tblPr>
        <w:tblStyle w:val="59"/>
        <w:tblW w:w="8265"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080"/>
        <w:gridCol w:w="915"/>
        <w:gridCol w:w="792"/>
        <w:gridCol w:w="498"/>
        <w:gridCol w:w="1005"/>
        <w:gridCol w:w="960"/>
        <w:gridCol w:w="750"/>
        <w:gridCol w:w="85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420" w:type="dxa"/>
            <w:vAlign w:val="center"/>
          </w:tcPr>
          <w:p>
            <w:pPr>
              <w:jc w:val="center"/>
              <w:rPr>
                <w:b/>
                <w:bCs/>
                <w:szCs w:val="21"/>
              </w:rPr>
            </w:pPr>
            <w:r>
              <w:rPr>
                <w:b/>
                <w:bCs/>
                <w:szCs w:val="21"/>
              </w:rPr>
              <w:t>序号</w:t>
            </w:r>
          </w:p>
        </w:tc>
        <w:tc>
          <w:tcPr>
            <w:tcW w:w="1080" w:type="dxa"/>
            <w:vAlign w:val="center"/>
          </w:tcPr>
          <w:p>
            <w:pPr>
              <w:jc w:val="center"/>
              <w:rPr>
                <w:b/>
                <w:bCs/>
                <w:szCs w:val="21"/>
              </w:rPr>
            </w:pPr>
            <w:r>
              <w:rPr>
                <w:b/>
                <w:bCs/>
                <w:szCs w:val="21"/>
              </w:rPr>
              <w:t>名称</w:t>
            </w:r>
          </w:p>
        </w:tc>
        <w:tc>
          <w:tcPr>
            <w:tcW w:w="915" w:type="dxa"/>
            <w:vAlign w:val="center"/>
          </w:tcPr>
          <w:p>
            <w:pPr>
              <w:jc w:val="center"/>
              <w:rPr>
                <w:b/>
                <w:bCs/>
                <w:szCs w:val="21"/>
              </w:rPr>
            </w:pPr>
            <w:r>
              <w:rPr>
                <w:b/>
                <w:bCs/>
                <w:szCs w:val="21"/>
              </w:rPr>
              <w:t>总高度</w:t>
            </w:r>
          </w:p>
          <w:p>
            <w:pPr>
              <w:jc w:val="center"/>
              <w:rPr>
                <w:b/>
                <w:bCs/>
                <w:szCs w:val="21"/>
              </w:rPr>
            </w:pPr>
            <w:r>
              <w:rPr>
                <w:b/>
                <w:bCs/>
                <w:szCs w:val="21"/>
              </w:rPr>
              <w:t>（m）</w:t>
            </w:r>
          </w:p>
        </w:tc>
        <w:tc>
          <w:tcPr>
            <w:tcW w:w="792" w:type="dxa"/>
            <w:vAlign w:val="center"/>
          </w:tcPr>
          <w:p>
            <w:pPr>
              <w:jc w:val="center"/>
              <w:rPr>
                <w:b/>
                <w:bCs/>
                <w:szCs w:val="21"/>
              </w:rPr>
            </w:pPr>
            <w:r>
              <w:rPr>
                <w:b/>
                <w:bCs/>
                <w:szCs w:val="21"/>
              </w:rPr>
              <w:t>结构型式</w:t>
            </w:r>
          </w:p>
        </w:tc>
        <w:tc>
          <w:tcPr>
            <w:tcW w:w="498" w:type="dxa"/>
            <w:vAlign w:val="center"/>
          </w:tcPr>
          <w:p>
            <w:pPr>
              <w:jc w:val="center"/>
              <w:rPr>
                <w:b/>
                <w:bCs/>
                <w:szCs w:val="21"/>
              </w:rPr>
            </w:pPr>
            <w:r>
              <w:rPr>
                <w:rFonts w:hint="eastAsia"/>
                <w:b/>
                <w:bCs/>
                <w:szCs w:val="21"/>
              </w:rPr>
              <w:t>单位</w:t>
            </w:r>
          </w:p>
        </w:tc>
        <w:tc>
          <w:tcPr>
            <w:tcW w:w="1005" w:type="dxa"/>
            <w:vAlign w:val="center"/>
          </w:tcPr>
          <w:p>
            <w:pPr>
              <w:jc w:val="center"/>
              <w:rPr>
                <w:b/>
                <w:bCs/>
                <w:szCs w:val="21"/>
              </w:rPr>
            </w:pPr>
            <w:r>
              <w:rPr>
                <w:b/>
                <w:bCs/>
                <w:szCs w:val="21"/>
              </w:rPr>
              <w:t>建筑面积</w:t>
            </w:r>
          </w:p>
          <w:p>
            <w:pPr>
              <w:jc w:val="center"/>
              <w:rPr>
                <w:b/>
                <w:bCs/>
                <w:szCs w:val="21"/>
              </w:rPr>
            </w:pPr>
            <w:r>
              <w:rPr>
                <w:b/>
                <w:bCs/>
                <w:szCs w:val="21"/>
              </w:rPr>
              <w:t>(m</w:t>
            </w:r>
            <w:r>
              <w:rPr>
                <w:b/>
                <w:bCs/>
                <w:szCs w:val="21"/>
                <w:vertAlign w:val="superscript"/>
              </w:rPr>
              <w:t>2</w:t>
            </w:r>
            <w:r>
              <w:rPr>
                <w:b/>
                <w:bCs/>
                <w:szCs w:val="21"/>
              </w:rPr>
              <w:t>)</w:t>
            </w:r>
          </w:p>
        </w:tc>
        <w:tc>
          <w:tcPr>
            <w:tcW w:w="960" w:type="dxa"/>
            <w:vAlign w:val="center"/>
          </w:tcPr>
          <w:p>
            <w:pPr>
              <w:jc w:val="center"/>
              <w:rPr>
                <w:b/>
                <w:bCs/>
                <w:szCs w:val="21"/>
              </w:rPr>
            </w:pPr>
            <w:r>
              <w:rPr>
                <w:b/>
                <w:bCs/>
                <w:szCs w:val="21"/>
              </w:rPr>
              <w:t>占地面积</w:t>
            </w:r>
          </w:p>
          <w:p>
            <w:pPr>
              <w:jc w:val="center"/>
              <w:rPr>
                <w:b/>
                <w:bCs/>
                <w:szCs w:val="21"/>
              </w:rPr>
            </w:pPr>
            <w:r>
              <w:rPr>
                <w:b/>
                <w:bCs/>
                <w:szCs w:val="21"/>
              </w:rPr>
              <w:t>(m</w:t>
            </w:r>
            <w:r>
              <w:rPr>
                <w:b/>
                <w:bCs/>
                <w:szCs w:val="21"/>
                <w:vertAlign w:val="superscript"/>
              </w:rPr>
              <w:t>2</w:t>
            </w:r>
            <w:r>
              <w:rPr>
                <w:b/>
                <w:bCs/>
                <w:szCs w:val="21"/>
              </w:rPr>
              <w:t>)</w:t>
            </w:r>
          </w:p>
        </w:tc>
        <w:tc>
          <w:tcPr>
            <w:tcW w:w="750" w:type="dxa"/>
            <w:vAlign w:val="center"/>
          </w:tcPr>
          <w:p>
            <w:pPr>
              <w:jc w:val="center"/>
              <w:rPr>
                <w:b/>
                <w:bCs/>
                <w:szCs w:val="21"/>
              </w:rPr>
            </w:pPr>
            <w:r>
              <w:rPr>
                <w:b/>
                <w:bCs/>
                <w:szCs w:val="21"/>
              </w:rPr>
              <w:t>火灾类别</w:t>
            </w:r>
          </w:p>
        </w:tc>
        <w:tc>
          <w:tcPr>
            <w:tcW w:w="855" w:type="dxa"/>
            <w:vAlign w:val="center"/>
          </w:tcPr>
          <w:p>
            <w:pPr>
              <w:jc w:val="center"/>
              <w:rPr>
                <w:b/>
                <w:bCs/>
                <w:szCs w:val="21"/>
              </w:rPr>
            </w:pPr>
            <w:r>
              <w:rPr>
                <w:b/>
                <w:bCs/>
                <w:szCs w:val="21"/>
              </w:rPr>
              <w:t>耐火等级</w:t>
            </w:r>
          </w:p>
          <w:p>
            <w:pPr>
              <w:jc w:val="center"/>
              <w:rPr>
                <w:b/>
                <w:bCs/>
                <w:szCs w:val="21"/>
              </w:rPr>
            </w:pPr>
            <w:r>
              <w:rPr>
                <w:b/>
                <w:bCs/>
                <w:szCs w:val="21"/>
              </w:rPr>
              <w:t>(h)</w:t>
            </w:r>
          </w:p>
        </w:tc>
        <w:tc>
          <w:tcPr>
            <w:tcW w:w="990" w:type="dxa"/>
            <w:vAlign w:val="center"/>
          </w:tcPr>
          <w:p>
            <w:pPr>
              <w:jc w:val="center"/>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420" w:type="dxa"/>
            <w:vAlign w:val="center"/>
          </w:tcPr>
          <w:p>
            <w:pPr>
              <w:jc w:val="center"/>
              <w:rPr>
                <w:szCs w:val="21"/>
              </w:rPr>
            </w:pPr>
            <w:r>
              <w:rPr>
                <w:szCs w:val="21"/>
              </w:rPr>
              <w:t>1</w:t>
            </w:r>
          </w:p>
        </w:tc>
        <w:tc>
          <w:tcPr>
            <w:tcW w:w="1080" w:type="dxa"/>
            <w:vAlign w:val="center"/>
          </w:tcPr>
          <w:p>
            <w:pPr>
              <w:rPr>
                <w:szCs w:val="21"/>
              </w:rPr>
            </w:pPr>
            <w:r>
              <w:rPr>
                <w:szCs w:val="21"/>
              </w:rPr>
              <w:t>站房</w:t>
            </w:r>
          </w:p>
        </w:tc>
        <w:tc>
          <w:tcPr>
            <w:tcW w:w="915" w:type="dxa"/>
            <w:vAlign w:val="center"/>
          </w:tcPr>
          <w:p>
            <w:pPr>
              <w:jc w:val="center"/>
              <w:textAlignment w:val="baseline"/>
              <w:rPr>
                <w:szCs w:val="21"/>
              </w:rPr>
            </w:pPr>
            <w:r>
              <w:rPr>
                <w:rFonts w:hint="eastAsia" w:ascii="宋体" w:hAnsi="宋体"/>
                <w:color w:val="000000"/>
                <w:szCs w:val="21"/>
              </w:rPr>
              <w:t>利旧</w:t>
            </w:r>
          </w:p>
        </w:tc>
        <w:tc>
          <w:tcPr>
            <w:tcW w:w="792" w:type="dxa"/>
            <w:vAlign w:val="center"/>
          </w:tcPr>
          <w:p>
            <w:pPr>
              <w:jc w:val="center"/>
              <w:textAlignment w:val="baseline"/>
              <w:rPr>
                <w:szCs w:val="21"/>
              </w:rPr>
            </w:pPr>
            <w:r>
              <w:rPr>
                <w:rFonts w:hint="eastAsia" w:ascii="宋体" w:hAnsi="宋体"/>
                <w:color w:val="000000"/>
                <w:szCs w:val="21"/>
              </w:rPr>
              <w:t>砖混</w:t>
            </w:r>
          </w:p>
        </w:tc>
        <w:tc>
          <w:tcPr>
            <w:tcW w:w="498" w:type="dxa"/>
          </w:tcPr>
          <w:p>
            <w:pPr>
              <w:jc w:val="center"/>
              <w:rPr>
                <w:szCs w:val="21"/>
              </w:rPr>
            </w:pPr>
            <w:r>
              <w:rPr>
                <w:rFonts w:hint="eastAsia"/>
                <w:szCs w:val="21"/>
              </w:rPr>
              <w:t>2F</w:t>
            </w:r>
          </w:p>
        </w:tc>
        <w:tc>
          <w:tcPr>
            <w:tcW w:w="1005" w:type="dxa"/>
            <w:vAlign w:val="center"/>
          </w:tcPr>
          <w:p>
            <w:pPr>
              <w:jc w:val="center"/>
              <w:rPr>
                <w:szCs w:val="21"/>
              </w:rPr>
            </w:pPr>
            <w:r>
              <w:rPr>
                <w:rFonts w:hint="eastAsia"/>
                <w:szCs w:val="21"/>
              </w:rPr>
              <w:t>217.1</w:t>
            </w:r>
          </w:p>
        </w:tc>
        <w:tc>
          <w:tcPr>
            <w:tcW w:w="960" w:type="dxa"/>
            <w:vAlign w:val="center"/>
          </w:tcPr>
          <w:p>
            <w:pPr>
              <w:jc w:val="center"/>
              <w:rPr>
                <w:szCs w:val="21"/>
              </w:rPr>
            </w:pPr>
            <w:r>
              <w:rPr>
                <w:rFonts w:hint="eastAsia"/>
                <w:szCs w:val="21"/>
              </w:rPr>
              <w:t>108.55</w:t>
            </w:r>
          </w:p>
        </w:tc>
        <w:tc>
          <w:tcPr>
            <w:tcW w:w="750" w:type="dxa"/>
            <w:vAlign w:val="center"/>
          </w:tcPr>
          <w:p>
            <w:pPr>
              <w:rPr>
                <w:szCs w:val="21"/>
              </w:rPr>
            </w:pPr>
            <w:r>
              <w:rPr>
                <w:rFonts w:hint="eastAsia"/>
                <w:szCs w:val="21"/>
              </w:rPr>
              <w:t>民用建筑</w:t>
            </w:r>
          </w:p>
        </w:tc>
        <w:tc>
          <w:tcPr>
            <w:tcW w:w="855" w:type="dxa"/>
            <w:vAlign w:val="center"/>
          </w:tcPr>
          <w:p>
            <w:pPr>
              <w:jc w:val="center"/>
              <w:rPr>
                <w:szCs w:val="21"/>
              </w:rPr>
            </w:pPr>
            <w:r>
              <w:rPr>
                <w:szCs w:val="21"/>
              </w:rPr>
              <w:t>二级</w:t>
            </w:r>
          </w:p>
        </w:tc>
        <w:tc>
          <w:tcPr>
            <w:tcW w:w="990"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420" w:type="dxa"/>
            <w:vAlign w:val="center"/>
          </w:tcPr>
          <w:p>
            <w:pPr>
              <w:jc w:val="center"/>
              <w:rPr>
                <w:szCs w:val="21"/>
              </w:rPr>
            </w:pPr>
            <w:r>
              <w:rPr>
                <w:szCs w:val="21"/>
              </w:rPr>
              <w:t>2</w:t>
            </w:r>
          </w:p>
        </w:tc>
        <w:tc>
          <w:tcPr>
            <w:tcW w:w="1080" w:type="dxa"/>
            <w:vAlign w:val="center"/>
          </w:tcPr>
          <w:p>
            <w:pPr>
              <w:rPr>
                <w:szCs w:val="21"/>
              </w:rPr>
            </w:pPr>
            <w:r>
              <w:rPr>
                <w:szCs w:val="21"/>
              </w:rPr>
              <w:t>加油罩棚</w:t>
            </w:r>
          </w:p>
        </w:tc>
        <w:tc>
          <w:tcPr>
            <w:tcW w:w="915" w:type="dxa"/>
            <w:vAlign w:val="center"/>
          </w:tcPr>
          <w:p>
            <w:pPr>
              <w:jc w:val="center"/>
              <w:textAlignment w:val="baseline"/>
              <w:rPr>
                <w:szCs w:val="21"/>
              </w:rPr>
            </w:pPr>
            <w:r>
              <w:rPr>
                <w:rFonts w:hint="eastAsia" w:ascii="宋体" w:hAnsi="宋体"/>
                <w:color w:val="000000"/>
                <w:szCs w:val="21"/>
              </w:rPr>
              <w:t>112.0</w:t>
            </w:r>
          </w:p>
        </w:tc>
        <w:tc>
          <w:tcPr>
            <w:tcW w:w="792" w:type="dxa"/>
            <w:vAlign w:val="center"/>
          </w:tcPr>
          <w:p>
            <w:pPr>
              <w:jc w:val="center"/>
              <w:textAlignment w:val="baseline"/>
              <w:rPr>
                <w:szCs w:val="21"/>
              </w:rPr>
            </w:pPr>
            <w:r>
              <w:rPr>
                <w:rFonts w:hint="eastAsia" w:ascii="宋体" w:hAnsi="宋体"/>
                <w:color w:val="000000"/>
                <w:szCs w:val="21"/>
              </w:rPr>
              <w:t>钢网架</w:t>
            </w:r>
          </w:p>
        </w:tc>
        <w:tc>
          <w:tcPr>
            <w:tcW w:w="498" w:type="dxa"/>
          </w:tcPr>
          <w:p>
            <w:pPr>
              <w:jc w:val="center"/>
              <w:rPr>
                <w:szCs w:val="21"/>
              </w:rPr>
            </w:pPr>
            <w:r>
              <w:rPr>
                <w:szCs w:val="21"/>
              </w:rPr>
              <w:t>1</w:t>
            </w:r>
            <w:r>
              <w:rPr>
                <w:rFonts w:hint="eastAsia"/>
                <w:szCs w:val="21"/>
              </w:rPr>
              <w:t>F</w:t>
            </w:r>
          </w:p>
        </w:tc>
        <w:tc>
          <w:tcPr>
            <w:tcW w:w="1005" w:type="dxa"/>
            <w:vAlign w:val="center"/>
          </w:tcPr>
          <w:p>
            <w:pPr>
              <w:jc w:val="center"/>
              <w:rPr>
                <w:szCs w:val="21"/>
              </w:rPr>
            </w:pPr>
            <w:r>
              <w:rPr>
                <w:rFonts w:hint="eastAsia"/>
                <w:szCs w:val="21"/>
              </w:rPr>
              <w:t>112</w:t>
            </w:r>
          </w:p>
        </w:tc>
        <w:tc>
          <w:tcPr>
            <w:tcW w:w="960" w:type="dxa"/>
            <w:vAlign w:val="center"/>
          </w:tcPr>
          <w:p>
            <w:pPr>
              <w:jc w:val="center"/>
              <w:rPr>
                <w:szCs w:val="21"/>
              </w:rPr>
            </w:pPr>
            <w:r>
              <w:rPr>
                <w:rFonts w:hint="eastAsia"/>
                <w:szCs w:val="21"/>
              </w:rPr>
              <w:t>112</w:t>
            </w:r>
          </w:p>
        </w:tc>
        <w:tc>
          <w:tcPr>
            <w:tcW w:w="750" w:type="dxa"/>
            <w:vAlign w:val="center"/>
          </w:tcPr>
          <w:p>
            <w:pPr>
              <w:jc w:val="center"/>
              <w:textAlignment w:val="baseline"/>
              <w:rPr>
                <w:szCs w:val="21"/>
              </w:rPr>
            </w:pPr>
            <w:r>
              <w:rPr>
                <w:rFonts w:hint="eastAsia" w:ascii="宋体" w:hAnsi="宋体"/>
                <w:color w:val="000000"/>
                <w:szCs w:val="21"/>
              </w:rPr>
              <w:t>甲类</w:t>
            </w:r>
          </w:p>
        </w:tc>
        <w:tc>
          <w:tcPr>
            <w:tcW w:w="855" w:type="dxa"/>
            <w:vAlign w:val="center"/>
          </w:tcPr>
          <w:p>
            <w:pPr>
              <w:jc w:val="center"/>
              <w:textAlignment w:val="baseline"/>
              <w:rPr>
                <w:szCs w:val="21"/>
              </w:rPr>
            </w:pPr>
            <w:r>
              <w:rPr>
                <w:rFonts w:hint="eastAsia" w:ascii="宋体" w:hAnsi="宋体"/>
                <w:color w:val="000000"/>
                <w:szCs w:val="21"/>
              </w:rPr>
              <w:t>三级</w:t>
            </w:r>
          </w:p>
        </w:tc>
        <w:tc>
          <w:tcPr>
            <w:tcW w:w="990"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420" w:type="dxa"/>
            <w:vAlign w:val="center"/>
          </w:tcPr>
          <w:p>
            <w:pPr>
              <w:jc w:val="center"/>
              <w:rPr>
                <w:szCs w:val="21"/>
              </w:rPr>
            </w:pPr>
            <w:r>
              <w:rPr>
                <w:rFonts w:hint="eastAsia"/>
                <w:szCs w:val="21"/>
              </w:rPr>
              <w:t>3</w:t>
            </w:r>
          </w:p>
        </w:tc>
        <w:tc>
          <w:tcPr>
            <w:tcW w:w="1080" w:type="dxa"/>
            <w:vAlign w:val="center"/>
          </w:tcPr>
          <w:p>
            <w:pPr>
              <w:rPr>
                <w:rFonts w:ascii="宋体" w:hAnsi="宋体"/>
                <w:spacing w:val="-4"/>
                <w:szCs w:val="21"/>
              </w:rPr>
            </w:pPr>
            <w:r>
              <w:rPr>
                <w:szCs w:val="21"/>
              </w:rPr>
              <w:t>加油岛</w:t>
            </w:r>
          </w:p>
        </w:tc>
        <w:tc>
          <w:tcPr>
            <w:tcW w:w="915" w:type="dxa"/>
            <w:vAlign w:val="center"/>
          </w:tcPr>
          <w:p>
            <w:pPr>
              <w:jc w:val="center"/>
              <w:rPr>
                <w:rFonts w:ascii="宋体" w:hAnsi="宋体"/>
                <w:spacing w:val="-4"/>
                <w:szCs w:val="21"/>
              </w:rPr>
            </w:pPr>
            <w:r>
              <w:rPr>
                <w:szCs w:val="21"/>
              </w:rPr>
              <w:t>0.20</w:t>
            </w:r>
          </w:p>
        </w:tc>
        <w:tc>
          <w:tcPr>
            <w:tcW w:w="792" w:type="dxa"/>
            <w:vAlign w:val="center"/>
          </w:tcPr>
          <w:p>
            <w:pPr>
              <w:jc w:val="center"/>
              <w:rPr>
                <w:rFonts w:ascii="宋体" w:hAnsi="宋体"/>
                <w:spacing w:val="-4"/>
                <w:szCs w:val="21"/>
              </w:rPr>
            </w:pPr>
            <w:r>
              <w:rPr>
                <w:szCs w:val="21"/>
              </w:rPr>
              <w:t>砖混</w:t>
            </w:r>
          </w:p>
        </w:tc>
        <w:tc>
          <w:tcPr>
            <w:tcW w:w="498" w:type="dxa"/>
          </w:tcPr>
          <w:p>
            <w:pPr>
              <w:jc w:val="center"/>
              <w:rPr>
                <w:rFonts w:ascii="宋体" w:hAnsi="宋体"/>
                <w:spacing w:val="-4"/>
                <w:szCs w:val="21"/>
              </w:rPr>
            </w:pPr>
            <w:r>
              <w:rPr>
                <w:rFonts w:hint="eastAsia"/>
                <w:szCs w:val="21"/>
              </w:rPr>
              <w:t>/</w:t>
            </w:r>
          </w:p>
        </w:tc>
        <w:tc>
          <w:tcPr>
            <w:tcW w:w="1005" w:type="dxa"/>
            <w:vAlign w:val="center"/>
          </w:tcPr>
          <w:p>
            <w:pPr>
              <w:jc w:val="center"/>
              <w:rPr>
                <w:rFonts w:ascii="宋体" w:hAnsi="宋体"/>
                <w:spacing w:val="-4"/>
                <w:szCs w:val="21"/>
              </w:rPr>
            </w:pPr>
            <w:r>
              <w:rPr>
                <w:rFonts w:hint="eastAsia"/>
                <w:szCs w:val="21"/>
              </w:rPr>
              <w:t>/</w:t>
            </w:r>
          </w:p>
        </w:tc>
        <w:tc>
          <w:tcPr>
            <w:tcW w:w="960" w:type="dxa"/>
            <w:vAlign w:val="center"/>
          </w:tcPr>
          <w:p>
            <w:pPr>
              <w:jc w:val="center"/>
              <w:rPr>
                <w:rFonts w:ascii="宋体" w:hAnsi="宋体"/>
                <w:spacing w:val="-4"/>
                <w:szCs w:val="21"/>
              </w:rPr>
            </w:pPr>
            <w:r>
              <w:rPr>
                <w:rFonts w:hint="eastAsia"/>
                <w:szCs w:val="21"/>
              </w:rPr>
              <w:t>/</w:t>
            </w:r>
          </w:p>
        </w:tc>
        <w:tc>
          <w:tcPr>
            <w:tcW w:w="750" w:type="dxa"/>
            <w:vAlign w:val="center"/>
          </w:tcPr>
          <w:p>
            <w:pPr>
              <w:jc w:val="center"/>
              <w:rPr>
                <w:rFonts w:ascii="宋体" w:hAnsi="宋体"/>
                <w:spacing w:val="-4"/>
                <w:szCs w:val="21"/>
              </w:rPr>
            </w:pPr>
            <w:r>
              <w:rPr>
                <w:rFonts w:hint="eastAsia"/>
                <w:szCs w:val="21"/>
              </w:rPr>
              <w:t>甲</w:t>
            </w:r>
          </w:p>
        </w:tc>
        <w:tc>
          <w:tcPr>
            <w:tcW w:w="855" w:type="dxa"/>
            <w:vAlign w:val="center"/>
          </w:tcPr>
          <w:p>
            <w:pPr>
              <w:jc w:val="center"/>
              <w:rPr>
                <w:rFonts w:ascii="宋体" w:hAnsi="宋体"/>
                <w:spacing w:val="-4"/>
                <w:szCs w:val="21"/>
              </w:rPr>
            </w:pPr>
            <w:r>
              <w:rPr>
                <w:rFonts w:hint="eastAsia"/>
                <w:szCs w:val="21"/>
              </w:rPr>
              <w:t>二级</w:t>
            </w:r>
          </w:p>
        </w:tc>
        <w:tc>
          <w:tcPr>
            <w:tcW w:w="990" w:type="dxa"/>
            <w:vAlign w:val="center"/>
          </w:tcPr>
          <w:p>
            <w:pPr>
              <w:rPr>
                <w:rFonts w:ascii="宋体" w:hAnsi="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420" w:type="dxa"/>
            <w:vAlign w:val="center"/>
          </w:tcPr>
          <w:p>
            <w:pPr>
              <w:jc w:val="center"/>
              <w:rPr>
                <w:szCs w:val="21"/>
              </w:rPr>
            </w:pPr>
            <w:r>
              <w:rPr>
                <w:szCs w:val="21"/>
              </w:rPr>
              <w:t>3</w:t>
            </w:r>
          </w:p>
        </w:tc>
        <w:tc>
          <w:tcPr>
            <w:tcW w:w="1080" w:type="dxa"/>
            <w:vAlign w:val="center"/>
          </w:tcPr>
          <w:p>
            <w:pPr>
              <w:rPr>
                <w:rFonts w:ascii="宋体" w:hAnsi="宋体"/>
                <w:spacing w:val="-4"/>
                <w:szCs w:val="21"/>
              </w:rPr>
            </w:pPr>
            <w:r>
              <w:rPr>
                <w:rFonts w:hint="eastAsia"/>
                <w:szCs w:val="21"/>
              </w:rPr>
              <w:t>油罐区</w:t>
            </w:r>
          </w:p>
        </w:tc>
        <w:tc>
          <w:tcPr>
            <w:tcW w:w="915" w:type="dxa"/>
            <w:vAlign w:val="center"/>
          </w:tcPr>
          <w:p>
            <w:pPr>
              <w:jc w:val="center"/>
              <w:rPr>
                <w:rFonts w:ascii="宋体" w:hAnsi="宋体"/>
                <w:spacing w:val="-4"/>
                <w:szCs w:val="21"/>
              </w:rPr>
            </w:pPr>
            <w:r>
              <w:rPr>
                <w:rFonts w:hint="eastAsia"/>
                <w:szCs w:val="21"/>
              </w:rPr>
              <w:t>埋地</w:t>
            </w:r>
          </w:p>
        </w:tc>
        <w:tc>
          <w:tcPr>
            <w:tcW w:w="792" w:type="dxa"/>
            <w:vAlign w:val="center"/>
          </w:tcPr>
          <w:p>
            <w:pPr>
              <w:jc w:val="center"/>
              <w:rPr>
                <w:rFonts w:ascii="宋体" w:hAnsi="宋体"/>
                <w:spacing w:val="-4"/>
                <w:szCs w:val="21"/>
              </w:rPr>
            </w:pPr>
            <w:r>
              <w:rPr>
                <w:rFonts w:hint="eastAsia"/>
                <w:szCs w:val="21"/>
              </w:rPr>
              <w:t>埋地</w:t>
            </w:r>
          </w:p>
        </w:tc>
        <w:tc>
          <w:tcPr>
            <w:tcW w:w="498" w:type="dxa"/>
          </w:tcPr>
          <w:p>
            <w:pPr>
              <w:jc w:val="center"/>
              <w:rPr>
                <w:rFonts w:ascii="宋体" w:hAnsi="宋体"/>
                <w:spacing w:val="-4"/>
                <w:szCs w:val="21"/>
              </w:rPr>
            </w:pPr>
            <w:r>
              <w:rPr>
                <w:rFonts w:hint="eastAsia"/>
                <w:szCs w:val="21"/>
              </w:rPr>
              <w:t>/</w:t>
            </w:r>
          </w:p>
        </w:tc>
        <w:tc>
          <w:tcPr>
            <w:tcW w:w="1005" w:type="dxa"/>
            <w:vAlign w:val="center"/>
          </w:tcPr>
          <w:p>
            <w:pPr>
              <w:jc w:val="center"/>
              <w:rPr>
                <w:rFonts w:ascii="宋体" w:hAnsi="宋体"/>
                <w:spacing w:val="-4"/>
                <w:szCs w:val="21"/>
              </w:rPr>
            </w:pPr>
            <w:r>
              <w:rPr>
                <w:rFonts w:hint="eastAsia"/>
                <w:szCs w:val="21"/>
              </w:rPr>
              <w:t>/</w:t>
            </w:r>
          </w:p>
        </w:tc>
        <w:tc>
          <w:tcPr>
            <w:tcW w:w="960" w:type="dxa"/>
            <w:vAlign w:val="center"/>
          </w:tcPr>
          <w:p>
            <w:pPr>
              <w:jc w:val="center"/>
              <w:rPr>
                <w:rFonts w:ascii="宋体" w:hAnsi="宋体"/>
                <w:spacing w:val="-4"/>
                <w:szCs w:val="21"/>
              </w:rPr>
            </w:pPr>
            <w:r>
              <w:rPr>
                <w:rFonts w:hint="eastAsia"/>
                <w:szCs w:val="21"/>
              </w:rPr>
              <w:t>100</w:t>
            </w:r>
          </w:p>
        </w:tc>
        <w:tc>
          <w:tcPr>
            <w:tcW w:w="750" w:type="dxa"/>
            <w:vAlign w:val="center"/>
          </w:tcPr>
          <w:p>
            <w:pPr>
              <w:jc w:val="center"/>
              <w:rPr>
                <w:rFonts w:ascii="宋体" w:hAnsi="宋体"/>
                <w:spacing w:val="-4"/>
                <w:szCs w:val="21"/>
              </w:rPr>
            </w:pPr>
            <w:r>
              <w:rPr>
                <w:rFonts w:hint="eastAsia"/>
                <w:szCs w:val="21"/>
              </w:rPr>
              <w:t>甲</w:t>
            </w:r>
          </w:p>
        </w:tc>
        <w:tc>
          <w:tcPr>
            <w:tcW w:w="855" w:type="dxa"/>
            <w:vAlign w:val="center"/>
          </w:tcPr>
          <w:p>
            <w:pPr>
              <w:jc w:val="center"/>
              <w:rPr>
                <w:rFonts w:ascii="宋体" w:hAnsi="宋体"/>
                <w:spacing w:val="-4"/>
                <w:szCs w:val="21"/>
              </w:rPr>
            </w:pPr>
            <w:r>
              <w:rPr>
                <w:rFonts w:hint="eastAsia"/>
                <w:szCs w:val="21"/>
              </w:rPr>
              <w:t>/</w:t>
            </w:r>
          </w:p>
        </w:tc>
        <w:tc>
          <w:tcPr>
            <w:tcW w:w="990" w:type="dxa"/>
            <w:vAlign w:val="center"/>
          </w:tcPr>
          <w:p>
            <w:pPr>
              <w:rPr>
                <w:rFonts w:ascii="宋体" w:hAnsi="宋体"/>
                <w:spacing w:val="-4"/>
                <w:szCs w:val="21"/>
              </w:rPr>
            </w:pPr>
          </w:p>
        </w:tc>
      </w:tr>
    </w:tbl>
    <w:p>
      <w:pPr>
        <w:pStyle w:val="4"/>
        <w:rPr>
          <w:rFonts w:ascii="宋体" w:hAnsi="宋体" w:cs="宋体"/>
          <w:szCs w:val="28"/>
        </w:rPr>
      </w:pPr>
      <w:bookmarkStart w:id="95" w:name="_Toc17933"/>
      <w:bookmarkStart w:id="96" w:name="_Toc516661596"/>
      <w:bookmarkStart w:id="97" w:name="_Toc2847133"/>
      <w:bookmarkStart w:id="98" w:name="_Toc2846941"/>
      <w:r>
        <w:rPr>
          <w:rFonts w:hint="eastAsia" w:ascii="宋体" w:hAnsi="宋体" w:cs="宋体"/>
          <w:szCs w:val="28"/>
        </w:rPr>
        <w:t>2.5公用辅助工程</w:t>
      </w:r>
      <w:bookmarkEnd w:id="95"/>
      <w:bookmarkEnd w:id="96"/>
      <w:bookmarkEnd w:id="97"/>
      <w:bookmarkEnd w:id="98"/>
    </w:p>
    <w:p>
      <w:pPr>
        <w:pStyle w:val="5"/>
        <w:rPr>
          <w:rFonts w:ascii="宋体" w:hAnsi="宋体" w:cs="宋体"/>
          <w:sz w:val="28"/>
          <w:szCs w:val="28"/>
        </w:rPr>
      </w:pPr>
      <w:bookmarkStart w:id="99" w:name="_Toc359923703"/>
      <w:bookmarkStart w:id="100" w:name="_Toc28153"/>
      <w:bookmarkStart w:id="101" w:name="_Toc449348734"/>
      <w:bookmarkStart w:id="102" w:name="_Toc2846947"/>
      <w:bookmarkStart w:id="103" w:name="_Toc2847139"/>
      <w:r>
        <w:rPr>
          <w:rFonts w:hint="eastAsia" w:ascii="宋体" w:hAnsi="宋体" w:cs="宋体"/>
          <w:sz w:val="28"/>
          <w:szCs w:val="28"/>
        </w:rPr>
        <w:t>2.5.1</w:t>
      </w:r>
      <w:bookmarkEnd w:id="99"/>
      <w:r>
        <w:rPr>
          <w:rFonts w:hint="eastAsia" w:ascii="宋体" w:hAnsi="宋体" w:cs="宋体"/>
          <w:sz w:val="28"/>
          <w:szCs w:val="28"/>
        </w:rPr>
        <w:t xml:space="preserve"> 供电</w:t>
      </w:r>
      <w:bookmarkEnd w:id="100"/>
      <w:bookmarkEnd w:id="101"/>
    </w:p>
    <w:p>
      <w:pPr>
        <w:spacing w:line="560" w:lineRule="exact"/>
        <w:ind w:firstLine="560" w:firstLineChars="200"/>
        <w:rPr>
          <w:rFonts w:ascii="宋体" w:hAnsi="宋体" w:cs="宋体"/>
          <w:sz w:val="28"/>
          <w:szCs w:val="28"/>
        </w:rPr>
      </w:pPr>
      <w:r>
        <w:rPr>
          <w:rFonts w:hint="eastAsia" w:ascii="宋体" w:hAnsi="宋体" w:cs="宋体"/>
          <w:sz w:val="28"/>
          <w:szCs w:val="28"/>
        </w:rPr>
        <w:t>加油站的供电负荷等级为三级。站内电源由站外城市电网接入站内，配置一台10kw柴油发电机组作为备用电源，低压配电电压等级为380/220V，配电方式为放射式。二级负荷（自控仪表）采用UPS供电；应急照明采用自带蓄电池组的灯具；三级负荷采用单回线路供电。UPS为管控系统、收银系统、视频监控系统、加油站管控操作台、液位报警器配电。</w:t>
      </w:r>
    </w:p>
    <w:p>
      <w:pPr>
        <w:pStyle w:val="5"/>
        <w:rPr>
          <w:rFonts w:ascii="宋体" w:hAnsi="宋体" w:cs="宋体"/>
          <w:sz w:val="28"/>
          <w:szCs w:val="28"/>
        </w:rPr>
      </w:pPr>
      <w:bookmarkStart w:id="104" w:name="_Toc12544"/>
      <w:bookmarkStart w:id="105" w:name="_Toc449348735"/>
      <w:bookmarkStart w:id="106" w:name="_Toc359923704"/>
      <w:r>
        <w:rPr>
          <w:rFonts w:hint="eastAsia" w:ascii="宋体" w:hAnsi="宋体" w:cs="宋体"/>
          <w:sz w:val="28"/>
          <w:szCs w:val="28"/>
        </w:rPr>
        <w:t>2.5.2 给排水</w:t>
      </w:r>
      <w:bookmarkEnd w:id="104"/>
      <w:bookmarkEnd w:id="105"/>
      <w:bookmarkEnd w:id="106"/>
    </w:p>
    <w:p>
      <w:pPr>
        <w:pStyle w:val="110"/>
        <w:spacing w:line="560" w:lineRule="exact"/>
        <w:ind w:firstLine="560" w:firstLineChars="200"/>
        <w:rPr>
          <w:rFonts w:ascii="宋体" w:hAnsi="宋体" w:cs="宋体"/>
          <w:sz w:val="28"/>
          <w:szCs w:val="28"/>
        </w:rPr>
      </w:pPr>
      <w:bookmarkStart w:id="107" w:name="_Toc449348736"/>
      <w:r>
        <w:rPr>
          <w:rFonts w:hint="eastAsia" w:ascii="宋体" w:hAnsi="宋体" w:cs="宋体"/>
          <w:sz w:val="28"/>
          <w:szCs w:val="28"/>
        </w:rPr>
        <w:t>1、给水</w:t>
      </w:r>
    </w:p>
    <w:p>
      <w:pPr>
        <w:spacing w:line="360" w:lineRule="auto"/>
        <w:ind w:firstLine="560" w:firstLineChars="200"/>
        <w:rPr>
          <w:rFonts w:ascii="宋体" w:hAnsi="宋体" w:cs="宋体"/>
          <w:sz w:val="28"/>
          <w:szCs w:val="28"/>
        </w:rPr>
      </w:pPr>
      <w:r>
        <w:rPr>
          <w:rFonts w:hint="eastAsia" w:ascii="宋体" w:hAnsi="宋体" w:cs="宋体"/>
          <w:sz w:val="28"/>
          <w:szCs w:val="28"/>
        </w:rPr>
        <w:t>站内水源</w:t>
      </w:r>
      <w:r>
        <w:rPr>
          <w:rFonts w:hint="eastAsia" w:ascii="宋体" w:hAnsi="宋体"/>
          <w:color w:val="000000"/>
          <w:sz w:val="28"/>
        </w:rPr>
        <w:t>采用场镇给水管网系统和地下水供给，能够满足全站用水量的需要。</w:t>
      </w:r>
      <w:r>
        <w:rPr>
          <w:rFonts w:hint="eastAsia" w:ascii="宋体" w:hAnsi="宋体" w:cs="宋体"/>
          <w:sz w:val="28"/>
          <w:szCs w:val="28"/>
        </w:rPr>
        <w:t>站内用水主要包括生产用水、生活用水。其中生活用水主要为职工的生活饮用水和卫生器具用水；生产用水主要为</w:t>
      </w:r>
      <w:r>
        <w:rPr>
          <w:rFonts w:hint="eastAsia" w:ascii="宋体" w:hAnsi="宋体"/>
          <w:color w:val="000000"/>
          <w:sz w:val="28"/>
        </w:rPr>
        <w:t>冲洗地面用水。</w:t>
      </w:r>
    </w:p>
    <w:p>
      <w:pPr>
        <w:pStyle w:val="110"/>
        <w:spacing w:line="560" w:lineRule="exact"/>
        <w:ind w:firstLine="560" w:firstLineChars="200"/>
        <w:rPr>
          <w:rFonts w:ascii="宋体" w:hAnsi="宋体" w:cs="宋体"/>
          <w:sz w:val="28"/>
          <w:szCs w:val="28"/>
        </w:rPr>
      </w:pPr>
      <w:r>
        <w:rPr>
          <w:rFonts w:hint="eastAsia" w:ascii="宋体" w:hAnsi="宋体" w:cs="宋体"/>
          <w:sz w:val="28"/>
          <w:szCs w:val="28"/>
        </w:rPr>
        <w:t>2、排水</w:t>
      </w:r>
    </w:p>
    <w:p>
      <w:pPr>
        <w:ind w:firstLine="560" w:firstLineChars="200"/>
        <w:rPr>
          <w:rFonts w:ascii="宋体" w:hAnsi="宋体" w:cs="宋体"/>
          <w:sz w:val="28"/>
          <w:szCs w:val="28"/>
        </w:rPr>
      </w:pPr>
      <w:r>
        <w:rPr>
          <w:rFonts w:hint="eastAsia" w:ascii="宋体" w:hAnsi="宋体" w:cs="宋体"/>
          <w:sz w:val="28"/>
          <w:szCs w:val="28"/>
        </w:rPr>
        <w:t>加油站所产生的污水主要为加油车道、站场冲洗，含油水、生活污水和雨水等。采用雨污分流制排水系统。</w:t>
      </w:r>
    </w:p>
    <w:p>
      <w:pPr>
        <w:spacing w:line="360" w:lineRule="auto"/>
        <w:ind w:firstLine="560" w:firstLineChars="200"/>
        <w:rPr>
          <w:rFonts w:ascii="宋体" w:hAnsi="宋体" w:cs="宋体"/>
          <w:sz w:val="28"/>
          <w:szCs w:val="28"/>
        </w:rPr>
      </w:pPr>
      <w:r>
        <w:rPr>
          <w:rFonts w:hint="eastAsia" w:ascii="宋体" w:hAnsi="宋体"/>
          <w:color w:val="000000"/>
          <w:sz w:val="28"/>
        </w:rPr>
        <w:t>站场内采用雨、污水分流系统。屋面雨水经雨水管道排入站内雨水系统；站内雨水通过站内雨水口汇集至雨水管后统一经水封井排出站外。站区地面雨水汇集后经重力自流再经水封井（容积2.5m</w:t>
      </w:r>
      <w:r>
        <w:rPr>
          <w:rFonts w:hint="eastAsia" w:ascii="宋体" w:hAnsi="宋体"/>
          <w:color w:val="000000"/>
          <w:sz w:val="28"/>
          <w:vertAlign w:val="superscript"/>
        </w:rPr>
        <w:t>3</w:t>
      </w:r>
      <w:r>
        <w:rPr>
          <w:rFonts w:ascii="宋体" w:hAnsi="宋体"/>
          <w:color w:val="000000"/>
          <w:sz w:val="28"/>
        </w:rPr>
        <w:t>）</w:t>
      </w:r>
      <w:r>
        <w:rPr>
          <w:rFonts w:hint="eastAsia" w:ascii="宋体" w:hAnsi="宋体"/>
          <w:color w:val="000000"/>
          <w:sz w:val="28"/>
        </w:rPr>
        <w:t>排入市政雨水系统；站场内的生活污水先排入化粪池处理后，再排入站外市政排水管，化粪池容积为4</w:t>
      </w:r>
      <w:r>
        <w:rPr>
          <w:rFonts w:ascii="宋体" w:hAnsi="宋体"/>
          <w:color w:val="000000"/>
          <w:sz w:val="28"/>
        </w:rPr>
        <w:t>m</w:t>
      </w:r>
      <w:r>
        <w:rPr>
          <w:rFonts w:ascii="宋体" w:hAnsi="宋体"/>
          <w:color w:val="000000"/>
          <w:sz w:val="28"/>
          <w:vertAlign w:val="superscript"/>
        </w:rPr>
        <w:t>3</w:t>
      </w:r>
      <w:r>
        <w:rPr>
          <w:rFonts w:hint="eastAsia" w:ascii="宋体" w:hAnsi="宋体"/>
          <w:color w:val="000000"/>
          <w:sz w:val="28"/>
        </w:rPr>
        <w:t>。卸油口附近污水经环保沟收集后进入汽车污水隔油池，经隔油处理后排入站外污水管网。</w:t>
      </w:r>
    </w:p>
    <w:p>
      <w:pPr>
        <w:pStyle w:val="2"/>
        <w:spacing w:line="360" w:lineRule="auto"/>
        <w:ind w:left="420" w:leftChars="200"/>
        <w:rPr>
          <w:rFonts w:ascii="宋体" w:hAnsi="宋体" w:cs="宋体"/>
          <w:color w:val="auto"/>
          <w:sz w:val="28"/>
          <w:szCs w:val="28"/>
        </w:rPr>
      </w:pPr>
      <w:r>
        <w:rPr>
          <w:rFonts w:hint="eastAsia" w:ascii="宋体" w:hAnsi="宋体" w:cs="宋体"/>
          <w:color w:val="auto"/>
          <w:sz w:val="28"/>
          <w:szCs w:val="28"/>
        </w:rPr>
        <w:t>3、变更情况</w:t>
      </w:r>
    </w:p>
    <w:p>
      <w:pPr>
        <w:pStyle w:val="2"/>
        <w:spacing w:line="360" w:lineRule="auto"/>
        <w:ind w:left="420" w:leftChars="200"/>
        <w:rPr>
          <w:rFonts w:ascii="宋体" w:hAnsi="宋体" w:cs="宋体"/>
          <w:color w:val="auto"/>
          <w:sz w:val="28"/>
          <w:szCs w:val="28"/>
        </w:rPr>
      </w:pPr>
      <w:r>
        <w:rPr>
          <w:rFonts w:hint="eastAsia" w:ascii="宋体" w:hAnsi="宋体" w:cs="宋体"/>
          <w:color w:val="auto"/>
          <w:sz w:val="28"/>
          <w:szCs w:val="28"/>
        </w:rPr>
        <w:t>本项目无设计变更。</w:t>
      </w:r>
    </w:p>
    <w:p>
      <w:pPr>
        <w:pStyle w:val="5"/>
        <w:rPr>
          <w:rFonts w:ascii="宋体" w:hAnsi="宋体" w:cs="宋体"/>
          <w:b w:val="0"/>
          <w:bCs w:val="0"/>
          <w:kern w:val="0"/>
          <w:sz w:val="28"/>
          <w:szCs w:val="28"/>
        </w:rPr>
      </w:pPr>
      <w:bookmarkStart w:id="108" w:name="_Toc12468"/>
      <w:r>
        <w:rPr>
          <w:rFonts w:hint="eastAsia" w:ascii="宋体" w:hAnsi="宋体" w:cs="宋体"/>
          <w:sz w:val="28"/>
          <w:szCs w:val="28"/>
        </w:rPr>
        <w:t>2.5.3 消防</w:t>
      </w:r>
      <w:bookmarkEnd w:id="107"/>
      <w:bookmarkEnd w:id="108"/>
    </w:p>
    <w:p>
      <w:pPr>
        <w:ind w:firstLine="560" w:firstLineChars="200"/>
        <w:rPr>
          <w:rFonts w:ascii="宋体" w:hAnsi="宋体" w:cs="宋体"/>
          <w:kern w:val="0"/>
          <w:sz w:val="28"/>
          <w:szCs w:val="28"/>
        </w:rPr>
      </w:pPr>
      <w:r>
        <w:rPr>
          <w:rFonts w:hint="eastAsia" w:ascii="宋体" w:hAnsi="宋体" w:cs="宋体"/>
          <w:kern w:val="0"/>
          <w:sz w:val="28"/>
          <w:szCs w:val="28"/>
        </w:rPr>
        <w:t>加油站有2010年南充市顺庆区公安消防大队出具的《建设工程消防验收意见书》（顺公消验【2010】第03号），综合评定该工程消防验收合格。</w:t>
      </w:r>
    </w:p>
    <w:p>
      <w:pPr>
        <w:pStyle w:val="110"/>
        <w:spacing w:line="560" w:lineRule="exact"/>
        <w:ind w:firstLine="560" w:firstLineChars="200"/>
        <w:rPr>
          <w:rFonts w:ascii="宋体" w:hAnsi="宋体" w:cs="宋体"/>
          <w:sz w:val="28"/>
          <w:szCs w:val="28"/>
        </w:rPr>
      </w:pPr>
      <w:r>
        <w:rPr>
          <w:rFonts w:hint="eastAsia" w:ascii="宋体" w:hAnsi="宋体" w:cs="宋体"/>
          <w:sz w:val="28"/>
          <w:szCs w:val="28"/>
        </w:rPr>
        <w:t>站区内各建筑物，按其面积及火灾危险性类别确定配置灭火器的数量。根据《汽车加油加气站设计与施工规范》（GB50156-2012，2014版）第10.1.1第1、2、4、6条规定，站内消防器材配备见表2.5。</w:t>
      </w:r>
    </w:p>
    <w:p>
      <w:pPr>
        <w:pStyle w:val="110"/>
        <w:spacing w:line="560" w:lineRule="exact"/>
        <w:ind w:firstLine="422" w:firstLineChars="200"/>
        <w:jc w:val="center"/>
        <w:rPr>
          <w:rFonts w:ascii="宋体" w:hAnsi="宋体" w:cs="宋体"/>
          <w:b/>
          <w:bCs/>
        </w:rPr>
      </w:pPr>
      <w:r>
        <w:rPr>
          <w:rFonts w:hint="eastAsia" w:ascii="宋体" w:hAnsi="宋体" w:cs="宋体"/>
          <w:b/>
          <w:bCs/>
        </w:rPr>
        <w:t>表2.5消防器材配置一览表</w:t>
      </w:r>
    </w:p>
    <w:tbl>
      <w:tblPr>
        <w:tblStyle w:val="59"/>
        <w:tblW w:w="8275" w:type="dxa"/>
        <w:jc w:val="center"/>
        <w:tblInd w:w="53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6"/>
        <w:gridCol w:w="2510"/>
        <w:gridCol w:w="1239"/>
        <w:gridCol w:w="630"/>
        <w:gridCol w:w="645"/>
        <w:gridCol w:w="25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b/>
                <w:bCs/>
                <w:szCs w:val="21"/>
              </w:rPr>
            </w:pPr>
            <w:r>
              <w:rPr>
                <w:b/>
                <w:bCs/>
                <w:szCs w:val="21"/>
              </w:rPr>
              <w:t>序号</w:t>
            </w:r>
          </w:p>
        </w:tc>
        <w:tc>
          <w:tcPr>
            <w:tcW w:w="2510" w:type="dxa"/>
            <w:vAlign w:val="center"/>
          </w:tcPr>
          <w:p>
            <w:pPr>
              <w:spacing w:line="320" w:lineRule="exact"/>
              <w:jc w:val="center"/>
              <w:rPr>
                <w:b/>
                <w:bCs/>
                <w:szCs w:val="21"/>
              </w:rPr>
            </w:pPr>
            <w:r>
              <w:rPr>
                <w:b/>
                <w:bCs/>
                <w:szCs w:val="21"/>
              </w:rPr>
              <w:t>名 称</w:t>
            </w:r>
          </w:p>
        </w:tc>
        <w:tc>
          <w:tcPr>
            <w:tcW w:w="1239" w:type="dxa"/>
            <w:vAlign w:val="center"/>
          </w:tcPr>
          <w:p>
            <w:pPr>
              <w:spacing w:line="320" w:lineRule="exact"/>
              <w:jc w:val="center"/>
              <w:rPr>
                <w:b/>
                <w:bCs/>
                <w:szCs w:val="21"/>
              </w:rPr>
            </w:pPr>
            <w:r>
              <w:rPr>
                <w:b/>
                <w:bCs/>
                <w:szCs w:val="21"/>
              </w:rPr>
              <w:t>规格</w:t>
            </w:r>
          </w:p>
        </w:tc>
        <w:tc>
          <w:tcPr>
            <w:tcW w:w="630" w:type="dxa"/>
            <w:vAlign w:val="center"/>
          </w:tcPr>
          <w:p>
            <w:pPr>
              <w:spacing w:line="320" w:lineRule="exact"/>
              <w:jc w:val="center"/>
              <w:rPr>
                <w:b/>
                <w:bCs/>
                <w:szCs w:val="21"/>
              </w:rPr>
            </w:pPr>
            <w:r>
              <w:rPr>
                <w:b/>
                <w:bCs/>
                <w:szCs w:val="21"/>
              </w:rPr>
              <w:t>单位</w:t>
            </w:r>
          </w:p>
        </w:tc>
        <w:tc>
          <w:tcPr>
            <w:tcW w:w="645" w:type="dxa"/>
            <w:vAlign w:val="center"/>
          </w:tcPr>
          <w:p>
            <w:pPr>
              <w:spacing w:line="320" w:lineRule="exact"/>
              <w:jc w:val="center"/>
              <w:rPr>
                <w:b/>
                <w:bCs/>
                <w:szCs w:val="21"/>
              </w:rPr>
            </w:pPr>
            <w:r>
              <w:rPr>
                <w:b/>
                <w:bCs/>
                <w:szCs w:val="21"/>
              </w:rPr>
              <w:t>数量</w:t>
            </w:r>
          </w:p>
        </w:tc>
        <w:tc>
          <w:tcPr>
            <w:tcW w:w="2505" w:type="dxa"/>
            <w:vAlign w:val="center"/>
          </w:tcPr>
          <w:p>
            <w:pPr>
              <w:spacing w:line="320" w:lineRule="exact"/>
              <w:jc w:val="center"/>
              <w:rPr>
                <w:b/>
                <w:bCs/>
                <w:szCs w:val="21"/>
              </w:rPr>
            </w:pPr>
            <w:r>
              <w:rPr>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6" w:hRule="exact"/>
          <w:jc w:val="center"/>
        </w:trPr>
        <w:tc>
          <w:tcPr>
            <w:tcW w:w="746" w:type="dxa"/>
            <w:vAlign w:val="center"/>
          </w:tcPr>
          <w:p>
            <w:pPr>
              <w:spacing w:line="320" w:lineRule="exact"/>
              <w:jc w:val="center"/>
              <w:rPr>
                <w:szCs w:val="21"/>
              </w:rPr>
            </w:pPr>
            <w:r>
              <w:rPr>
                <w:rFonts w:hint="eastAsia"/>
                <w:szCs w:val="21"/>
              </w:rPr>
              <w:t>1</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手提式磷酸铵盐干粉灭火器</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MF/ABC4</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具</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12</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加油岛、站房、配发电房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2</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手提式磷酸铵盐干粉灭火器</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MFT/ABC35</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台</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2</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油罐区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3</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灭火毯</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块</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4</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加油机、卸油口区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4</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消防沙</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m</w:t>
            </w:r>
            <w:r>
              <w:rPr>
                <w:rFonts w:hint="eastAsia"/>
                <w:sz w:val="21"/>
                <w:szCs w:val="21"/>
                <w:vertAlign w:val="superscript"/>
              </w:rPr>
              <w:t>3</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2</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消防沙池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5</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消防铲</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把</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2</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消防器材箱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6</w:t>
            </w:r>
          </w:p>
        </w:tc>
        <w:tc>
          <w:tcPr>
            <w:tcW w:w="2510" w:type="dxa"/>
            <w:vAlign w:val="center"/>
          </w:tcPr>
          <w:p>
            <w:pPr>
              <w:pStyle w:val="27"/>
              <w:widowControl w:val="0"/>
              <w:adjustRightInd/>
              <w:snapToGrid/>
              <w:spacing w:line="360" w:lineRule="auto"/>
              <w:ind w:left="0" w:right="0"/>
              <w:rPr>
                <w:sz w:val="21"/>
                <w:szCs w:val="21"/>
              </w:rPr>
            </w:pPr>
            <w:r>
              <w:rPr>
                <w:rFonts w:hint="eastAsia"/>
                <w:sz w:val="21"/>
                <w:szCs w:val="21"/>
              </w:rPr>
              <w:t>消防桶</w:t>
            </w:r>
          </w:p>
        </w:tc>
        <w:tc>
          <w:tcPr>
            <w:tcW w:w="1239" w:type="dxa"/>
            <w:vAlign w:val="center"/>
          </w:tcPr>
          <w:p>
            <w:pPr>
              <w:pStyle w:val="27"/>
              <w:widowControl w:val="0"/>
              <w:adjustRightInd/>
              <w:snapToGrid/>
              <w:spacing w:line="360" w:lineRule="auto"/>
              <w:ind w:left="0" w:right="0"/>
              <w:rPr>
                <w:sz w:val="21"/>
                <w:szCs w:val="21"/>
              </w:rPr>
            </w:pPr>
            <w:r>
              <w:rPr>
                <w:rFonts w:hint="eastAsia"/>
                <w:sz w:val="21"/>
                <w:szCs w:val="21"/>
              </w:rPr>
              <w:t>/</w:t>
            </w:r>
          </w:p>
        </w:tc>
        <w:tc>
          <w:tcPr>
            <w:tcW w:w="630" w:type="dxa"/>
            <w:vAlign w:val="center"/>
          </w:tcPr>
          <w:p>
            <w:pPr>
              <w:pStyle w:val="27"/>
              <w:widowControl w:val="0"/>
              <w:adjustRightInd/>
              <w:snapToGrid/>
              <w:spacing w:line="360" w:lineRule="auto"/>
              <w:ind w:left="0" w:right="0"/>
              <w:rPr>
                <w:sz w:val="21"/>
                <w:szCs w:val="21"/>
              </w:rPr>
            </w:pPr>
            <w:r>
              <w:rPr>
                <w:rFonts w:hint="eastAsia"/>
                <w:sz w:val="21"/>
                <w:szCs w:val="21"/>
              </w:rPr>
              <w:t>只</w:t>
            </w:r>
          </w:p>
        </w:tc>
        <w:tc>
          <w:tcPr>
            <w:tcW w:w="645" w:type="dxa"/>
            <w:vAlign w:val="center"/>
          </w:tcPr>
          <w:p>
            <w:pPr>
              <w:pStyle w:val="27"/>
              <w:widowControl w:val="0"/>
              <w:adjustRightInd/>
              <w:snapToGrid/>
              <w:spacing w:line="360" w:lineRule="auto"/>
              <w:ind w:left="0" w:right="0"/>
              <w:rPr>
                <w:sz w:val="21"/>
                <w:szCs w:val="21"/>
              </w:rPr>
            </w:pPr>
            <w:r>
              <w:rPr>
                <w:rFonts w:hint="eastAsia"/>
                <w:sz w:val="21"/>
                <w:szCs w:val="21"/>
              </w:rPr>
              <w:t>2</w:t>
            </w:r>
          </w:p>
        </w:tc>
        <w:tc>
          <w:tcPr>
            <w:tcW w:w="2505" w:type="dxa"/>
            <w:vAlign w:val="center"/>
          </w:tcPr>
          <w:p>
            <w:pPr>
              <w:pStyle w:val="27"/>
              <w:widowControl w:val="0"/>
              <w:adjustRightInd/>
              <w:snapToGrid/>
              <w:spacing w:line="360" w:lineRule="auto"/>
              <w:ind w:left="0" w:right="0"/>
              <w:rPr>
                <w:sz w:val="21"/>
                <w:szCs w:val="21"/>
              </w:rPr>
            </w:pPr>
            <w:r>
              <w:rPr>
                <w:rFonts w:hint="eastAsia"/>
                <w:sz w:val="21"/>
                <w:szCs w:val="21"/>
              </w:rPr>
              <w:t>消防器材箱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7</w:t>
            </w:r>
          </w:p>
        </w:tc>
        <w:tc>
          <w:tcPr>
            <w:tcW w:w="2510" w:type="dxa"/>
            <w:vAlign w:val="center"/>
          </w:tcPr>
          <w:p>
            <w:pPr>
              <w:spacing w:line="320" w:lineRule="exact"/>
              <w:ind w:firstLine="580"/>
              <w:rPr>
                <w:szCs w:val="21"/>
              </w:rPr>
            </w:pPr>
            <w:r>
              <w:rPr>
                <w:rFonts w:hint="eastAsia"/>
                <w:szCs w:val="21"/>
              </w:rPr>
              <w:t>防毒面具</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2</w:t>
            </w:r>
          </w:p>
        </w:tc>
        <w:tc>
          <w:tcPr>
            <w:tcW w:w="2505" w:type="dxa"/>
          </w:tcPr>
          <w:p>
            <w:pPr>
              <w:spacing w:line="320" w:lineRule="exact"/>
              <w:jc w:val="center"/>
              <w:rPr>
                <w:rFonts w:hint="eastAsia" w:eastAsia="宋体"/>
                <w:szCs w:val="21"/>
                <w:lang w:eastAsia="zh-CN"/>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8</w:t>
            </w:r>
          </w:p>
        </w:tc>
        <w:tc>
          <w:tcPr>
            <w:tcW w:w="2510" w:type="dxa"/>
            <w:vAlign w:val="center"/>
          </w:tcPr>
          <w:p>
            <w:pPr>
              <w:spacing w:line="320" w:lineRule="exact"/>
              <w:ind w:firstLine="580"/>
            </w:pPr>
            <w:r>
              <w:rPr>
                <w:rFonts w:hint="eastAsia"/>
              </w:rPr>
              <w:t>防爆手电筒</w:t>
            </w:r>
          </w:p>
          <w:p>
            <w:pPr>
              <w:pStyle w:val="2"/>
            </w:pP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1</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9</w:t>
            </w:r>
          </w:p>
        </w:tc>
        <w:tc>
          <w:tcPr>
            <w:tcW w:w="2510" w:type="dxa"/>
            <w:vAlign w:val="center"/>
          </w:tcPr>
          <w:p>
            <w:pPr>
              <w:spacing w:line="320" w:lineRule="exact"/>
              <w:ind w:firstLine="580"/>
              <w:rPr>
                <w:szCs w:val="21"/>
              </w:rPr>
            </w:pPr>
            <w:r>
              <w:rPr>
                <w:rFonts w:hint="eastAsia"/>
                <w:szCs w:val="21"/>
              </w:rPr>
              <w:t>手提喇叭</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1</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10</w:t>
            </w:r>
          </w:p>
        </w:tc>
        <w:tc>
          <w:tcPr>
            <w:tcW w:w="2510" w:type="dxa"/>
            <w:vAlign w:val="center"/>
          </w:tcPr>
          <w:p>
            <w:pPr>
              <w:spacing w:line="320" w:lineRule="exact"/>
              <w:ind w:firstLine="580"/>
              <w:rPr>
                <w:szCs w:val="21"/>
              </w:rPr>
            </w:pPr>
            <w:r>
              <w:rPr>
                <w:rFonts w:hint="eastAsia"/>
                <w:szCs w:val="21"/>
              </w:rPr>
              <w:t>防护手套</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双</w:t>
            </w:r>
          </w:p>
        </w:tc>
        <w:tc>
          <w:tcPr>
            <w:tcW w:w="645" w:type="dxa"/>
            <w:vAlign w:val="center"/>
          </w:tcPr>
          <w:p>
            <w:pPr>
              <w:spacing w:line="320" w:lineRule="exact"/>
              <w:jc w:val="center"/>
              <w:rPr>
                <w:szCs w:val="21"/>
              </w:rPr>
            </w:pPr>
            <w:r>
              <w:rPr>
                <w:rFonts w:hint="eastAsia"/>
                <w:szCs w:val="21"/>
              </w:rPr>
              <w:t>3</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11</w:t>
            </w:r>
          </w:p>
        </w:tc>
        <w:tc>
          <w:tcPr>
            <w:tcW w:w="2510" w:type="dxa"/>
            <w:vAlign w:val="center"/>
          </w:tcPr>
          <w:p>
            <w:pPr>
              <w:spacing w:line="320" w:lineRule="exact"/>
              <w:ind w:firstLine="580"/>
              <w:rPr>
                <w:szCs w:val="21"/>
              </w:rPr>
            </w:pPr>
            <w:r>
              <w:rPr>
                <w:rFonts w:hint="eastAsia"/>
                <w:szCs w:val="21"/>
              </w:rPr>
              <w:t>防爆叉</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1</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12</w:t>
            </w:r>
          </w:p>
        </w:tc>
        <w:tc>
          <w:tcPr>
            <w:tcW w:w="2510" w:type="dxa"/>
            <w:vAlign w:val="center"/>
          </w:tcPr>
          <w:p>
            <w:pPr>
              <w:spacing w:line="320" w:lineRule="exact"/>
              <w:ind w:firstLine="580"/>
              <w:rPr>
                <w:szCs w:val="21"/>
              </w:rPr>
            </w:pPr>
            <w:r>
              <w:rPr>
                <w:rFonts w:hint="eastAsia"/>
                <w:szCs w:val="21"/>
              </w:rPr>
              <w:t>防爆头盔</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2</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13</w:t>
            </w:r>
          </w:p>
        </w:tc>
        <w:tc>
          <w:tcPr>
            <w:tcW w:w="2510" w:type="dxa"/>
            <w:vAlign w:val="center"/>
          </w:tcPr>
          <w:p>
            <w:pPr>
              <w:spacing w:line="320" w:lineRule="exact"/>
              <w:ind w:firstLine="580"/>
              <w:rPr>
                <w:szCs w:val="21"/>
              </w:rPr>
            </w:pPr>
            <w:r>
              <w:rPr>
                <w:rFonts w:hint="eastAsia"/>
                <w:szCs w:val="21"/>
              </w:rPr>
              <w:t>消防服</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套</w:t>
            </w:r>
          </w:p>
        </w:tc>
        <w:tc>
          <w:tcPr>
            <w:tcW w:w="645" w:type="dxa"/>
            <w:vAlign w:val="center"/>
          </w:tcPr>
          <w:p>
            <w:pPr>
              <w:spacing w:line="320" w:lineRule="exact"/>
              <w:jc w:val="center"/>
              <w:rPr>
                <w:szCs w:val="21"/>
              </w:rPr>
            </w:pPr>
            <w:r>
              <w:rPr>
                <w:rFonts w:hint="eastAsia"/>
                <w:szCs w:val="21"/>
              </w:rPr>
              <w:t>2</w:t>
            </w:r>
          </w:p>
        </w:tc>
        <w:tc>
          <w:tcPr>
            <w:tcW w:w="2505" w:type="dxa"/>
          </w:tcPr>
          <w:p>
            <w:pPr>
              <w:spacing w:line="320" w:lineRule="exact"/>
              <w:jc w:val="center"/>
              <w:rPr>
                <w:szCs w:val="21"/>
              </w:rPr>
            </w:pPr>
            <w:r>
              <w:rPr>
                <w:rFonts w:hint="eastAsia"/>
                <w:szCs w:val="21"/>
                <w:lang w:eastAsia="zh-CN"/>
              </w:rPr>
              <w:t>微型消防站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exact"/>
          <w:jc w:val="center"/>
        </w:trPr>
        <w:tc>
          <w:tcPr>
            <w:tcW w:w="746" w:type="dxa"/>
            <w:vAlign w:val="center"/>
          </w:tcPr>
          <w:p>
            <w:pPr>
              <w:spacing w:line="320" w:lineRule="exact"/>
              <w:jc w:val="center"/>
              <w:rPr>
                <w:szCs w:val="21"/>
              </w:rPr>
            </w:pPr>
            <w:r>
              <w:rPr>
                <w:rFonts w:hint="eastAsia"/>
                <w:szCs w:val="21"/>
              </w:rPr>
              <w:t>14</w:t>
            </w:r>
          </w:p>
        </w:tc>
        <w:tc>
          <w:tcPr>
            <w:tcW w:w="2510" w:type="dxa"/>
            <w:vAlign w:val="center"/>
          </w:tcPr>
          <w:p>
            <w:pPr>
              <w:spacing w:line="320" w:lineRule="exact"/>
              <w:ind w:firstLine="580"/>
              <w:rPr>
                <w:szCs w:val="21"/>
              </w:rPr>
            </w:pPr>
            <w:r>
              <w:rPr>
                <w:rFonts w:hint="eastAsia"/>
                <w:szCs w:val="21"/>
              </w:rPr>
              <w:t>医药箱</w:t>
            </w:r>
          </w:p>
        </w:tc>
        <w:tc>
          <w:tcPr>
            <w:tcW w:w="1239" w:type="dxa"/>
            <w:vAlign w:val="center"/>
          </w:tcPr>
          <w:p>
            <w:pPr>
              <w:spacing w:line="320" w:lineRule="exact"/>
              <w:jc w:val="center"/>
              <w:rPr>
                <w:szCs w:val="21"/>
              </w:rPr>
            </w:pPr>
            <w:r>
              <w:rPr>
                <w:rFonts w:hint="eastAsia"/>
                <w:szCs w:val="21"/>
              </w:rPr>
              <w:t>/</w:t>
            </w:r>
          </w:p>
        </w:tc>
        <w:tc>
          <w:tcPr>
            <w:tcW w:w="630" w:type="dxa"/>
            <w:vAlign w:val="center"/>
          </w:tcPr>
          <w:p>
            <w:pPr>
              <w:spacing w:line="320" w:lineRule="exact"/>
              <w:jc w:val="center"/>
              <w:rPr>
                <w:szCs w:val="21"/>
              </w:rPr>
            </w:pPr>
            <w:r>
              <w:rPr>
                <w:rFonts w:hint="eastAsia"/>
                <w:szCs w:val="21"/>
              </w:rPr>
              <w:t>个</w:t>
            </w:r>
          </w:p>
        </w:tc>
        <w:tc>
          <w:tcPr>
            <w:tcW w:w="645" w:type="dxa"/>
            <w:vAlign w:val="center"/>
          </w:tcPr>
          <w:p>
            <w:pPr>
              <w:spacing w:line="320" w:lineRule="exact"/>
              <w:jc w:val="center"/>
              <w:rPr>
                <w:szCs w:val="21"/>
              </w:rPr>
            </w:pPr>
            <w:r>
              <w:rPr>
                <w:rFonts w:hint="eastAsia"/>
                <w:szCs w:val="21"/>
              </w:rPr>
              <w:t>1</w:t>
            </w:r>
          </w:p>
        </w:tc>
        <w:tc>
          <w:tcPr>
            <w:tcW w:w="2505" w:type="dxa"/>
          </w:tcPr>
          <w:p>
            <w:pPr>
              <w:spacing w:line="320" w:lineRule="exact"/>
              <w:jc w:val="center"/>
              <w:rPr>
                <w:szCs w:val="21"/>
              </w:rPr>
            </w:pPr>
            <w:r>
              <w:rPr>
                <w:rFonts w:hint="eastAsia"/>
                <w:szCs w:val="21"/>
                <w:lang w:eastAsia="zh-CN"/>
              </w:rPr>
              <w:t>微型消防站</w:t>
            </w:r>
          </w:p>
        </w:tc>
      </w:tr>
    </w:tbl>
    <w:p>
      <w:pPr>
        <w:pStyle w:val="5"/>
      </w:pPr>
      <w:bookmarkStart w:id="109" w:name="_Toc11178"/>
      <w:r>
        <w:rPr>
          <w:rFonts w:hint="eastAsia"/>
        </w:rPr>
        <w:t>2.5.4</w:t>
      </w:r>
      <w:r>
        <w:t>防雷、防静电及接地</w:t>
      </w:r>
      <w:bookmarkEnd w:id="109"/>
    </w:p>
    <w:p>
      <w:pPr>
        <w:spacing w:line="560" w:lineRule="exact"/>
        <w:ind w:firstLine="560" w:firstLineChars="200"/>
        <w:rPr>
          <w:sz w:val="28"/>
          <w:szCs w:val="28"/>
        </w:rPr>
      </w:pPr>
      <w:r>
        <w:rPr>
          <w:rFonts w:hAnsi="宋体"/>
          <w:sz w:val="28"/>
          <w:szCs w:val="28"/>
        </w:rPr>
        <w:t>加</w:t>
      </w:r>
      <w:r>
        <w:rPr>
          <w:rFonts w:hint="eastAsia" w:hAnsi="宋体"/>
          <w:sz w:val="28"/>
          <w:szCs w:val="28"/>
        </w:rPr>
        <w:t>油</w:t>
      </w:r>
      <w:r>
        <w:rPr>
          <w:rFonts w:hAnsi="宋体"/>
          <w:sz w:val="28"/>
          <w:szCs w:val="28"/>
        </w:rPr>
        <w:t>站的防雷接地，防静电接地，电气设备的工作接地，保护接地及自控信息系统的接地共用同一接地装置，接地电阻</w:t>
      </w:r>
      <w:r>
        <w:rPr>
          <w:sz w:val="28"/>
          <w:szCs w:val="28"/>
        </w:rPr>
        <w:t>≤1</w:t>
      </w:r>
      <w:r>
        <w:rPr>
          <w:rFonts w:hint="eastAsia"/>
          <w:sz w:val="28"/>
          <w:szCs w:val="28"/>
        </w:rPr>
        <w:t>0</w:t>
      </w:r>
      <w:r>
        <w:rPr>
          <w:sz w:val="28"/>
          <w:szCs w:val="28"/>
        </w:rPr>
        <w:t>Ω</w:t>
      </w:r>
      <w:r>
        <w:rPr>
          <w:rFonts w:hAnsi="宋体"/>
          <w:sz w:val="28"/>
          <w:szCs w:val="28"/>
        </w:rPr>
        <w:t>。</w:t>
      </w:r>
    </w:p>
    <w:p>
      <w:pPr>
        <w:spacing w:line="560" w:lineRule="exact"/>
        <w:ind w:firstLine="560" w:firstLineChars="200"/>
        <w:rPr>
          <w:sz w:val="28"/>
          <w:szCs w:val="28"/>
        </w:rPr>
      </w:pPr>
      <w:r>
        <w:rPr>
          <w:rFonts w:hAnsi="宋体"/>
          <w:sz w:val="28"/>
          <w:szCs w:val="28"/>
        </w:rPr>
        <w:t>为防止或减小因雷电波侵入时对站内设施的破坏，在配电屏（箱）进线端安装过电压浪涌保护器进行二级保护；信息、监控系统设备电源前端加装防浪涌保护器为三级保护。</w:t>
      </w:r>
    </w:p>
    <w:p>
      <w:pPr>
        <w:ind w:firstLine="560" w:firstLineChars="200"/>
      </w:pPr>
      <w:r>
        <w:rPr>
          <w:rFonts w:hAnsi="宋体"/>
          <w:sz w:val="28"/>
          <w:szCs w:val="28"/>
        </w:rPr>
        <w:t>对爆炸、火灾危险场所内可能产生静电危险的设备和管道，均采取防静电措施，在设施的相关部位可靠接地，站内的联合接地体可兼作静电接地。</w:t>
      </w:r>
      <w:r>
        <w:rPr>
          <w:rFonts w:hint="eastAsia" w:hAnsi="宋体"/>
          <w:sz w:val="28"/>
          <w:szCs w:val="28"/>
        </w:rPr>
        <w:t>卸油口设置静电接地报警仪和人体静电消除桩。</w:t>
      </w:r>
    </w:p>
    <w:p>
      <w:pPr>
        <w:pStyle w:val="4"/>
      </w:pPr>
      <w:bookmarkStart w:id="110" w:name="_Toc3909"/>
      <w:bookmarkStart w:id="111" w:name="_Toc30046"/>
      <w:r>
        <w:rPr>
          <w:rFonts w:hint="eastAsia"/>
        </w:rPr>
        <w:t>2.6安全管理现状</w:t>
      </w:r>
      <w:bookmarkEnd w:id="110"/>
      <w:bookmarkEnd w:id="111"/>
    </w:p>
    <w:p>
      <w:pPr>
        <w:ind w:firstLine="560" w:firstLineChars="200"/>
        <w:rPr>
          <w:rFonts w:ascii="宋体" w:hAnsi="宋体"/>
          <w:sz w:val="28"/>
          <w:szCs w:val="28"/>
        </w:rPr>
      </w:pPr>
      <w:r>
        <w:rPr>
          <w:rFonts w:hint="eastAsia" w:ascii="宋体" w:hAnsi="宋体"/>
          <w:sz w:val="28"/>
          <w:szCs w:val="28"/>
        </w:rPr>
        <w:t>加油站生产设备运行基本稳定可靠，各工艺参数指标基本合格，产品各项指标达到国家、同行业要求。生产期间未出现过重大事故险情，安全生产总体状况良好。</w:t>
      </w:r>
    </w:p>
    <w:p>
      <w:pPr>
        <w:pStyle w:val="5"/>
        <w:tabs>
          <w:tab w:val="left" w:pos="566"/>
          <w:tab w:val="left" w:pos="720"/>
        </w:tabs>
        <w:rPr>
          <w:sz w:val="28"/>
          <w:szCs w:val="28"/>
        </w:rPr>
      </w:pPr>
      <w:bookmarkStart w:id="112" w:name="_Toc24301"/>
      <w:r>
        <w:rPr>
          <w:rFonts w:hint="eastAsia"/>
          <w:sz w:val="28"/>
          <w:szCs w:val="28"/>
        </w:rPr>
        <w:t>2.6.1安全机构</w:t>
      </w:r>
      <w:bookmarkEnd w:id="112"/>
    </w:p>
    <w:p>
      <w:pPr>
        <w:spacing w:line="560" w:lineRule="exact"/>
        <w:ind w:firstLine="560" w:firstLineChars="200"/>
        <w:rPr>
          <w:rFonts w:ascii="宋体" w:hAnsi="宋体"/>
          <w:sz w:val="28"/>
          <w:szCs w:val="28"/>
        </w:rPr>
      </w:pPr>
      <w:r>
        <w:rPr>
          <w:rFonts w:hint="eastAsia" w:ascii="宋体" w:hAnsi="宋体"/>
          <w:sz w:val="28"/>
          <w:szCs w:val="28"/>
        </w:rPr>
        <w:t>站内不设置专门安全管理机构，由站长任主要负责人，并设置专职安全管理人员1名，负责日常的安全管理工作，建立、健全各项安全管理制度、管理台账，并组织实施。</w:t>
      </w:r>
    </w:p>
    <w:p>
      <w:pPr>
        <w:pStyle w:val="5"/>
        <w:tabs>
          <w:tab w:val="left" w:pos="566"/>
          <w:tab w:val="left" w:pos="720"/>
        </w:tabs>
        <w:rPr>
          <w:sz w:val="28"/>
          <w:szCs w:val="28"/>
        </w:rPr>
      </w:pPr>
      <w:bookmarkStart w:id="113" w:name="_Toc22716"/>
      <w:r>
        <w:rPr>
          <w:rFonts w:hint="eastAsia"/>
          <w:sz w:val="28"/>
          <w:szCs w:val="28"/>
        </w:rPr>
        <w:t>2.6.2安全生产规章制度</w:t>
      </w:r>
      <w:bookmarkEnd w:id="113"/>
    </w:p>
    <w:p>
      <w:pPr>
        <w:spacing w:line="560" w:lineRule="exact"/>
        <w:ind w:firstLine="560" w:firstLineChars="200"/>
        <w:rPr>
          <w:rFonts w:ascii="宋体" w:hAnsi="宋体"/>
          <w:sz w:val="28"/>
          <w:szCs w:val="28"/>
        </w:rPr>
      </w:pPr>
      <w:r>
        <w:rPr>
          <w:rFonts w:hint="eastAsia" w:ascii="宋体" w:hAnsi="宋体"/>
          <w:sz w:val="28"/>
          <w:szCs w:val="28"/>
        </w:rPr>
        <w:t>加油站建立有安全管理制度及安全操作规程，详见下表：</w:t>
      </w:r>
    </w:p>
    <w:p>
      <w:pPr>
        <w:pStyle w:val="2"/>
        <w:jc w:val="center"/>
        <w:rPr>
          <w:rFonts w:ascii="宋体" w:hAnsi="宋体" w:cs="宋体"/>
          <w:b/>
          <w:bCs/>
          <w:color w:val="auto"/>
          <w:sz w:val="21"/>
          <w:szCs w:val="21"/>
        </w:rPr>
      </w:pPr>
      <w:r>
        <w:rPr>
          <w:rFonts w:hint="eastAsia" w:ascii="宋体" w:hAnsi="宋体" w:cs="宋体"/>
          <w:b/>
          <w:bCs/>
          <w:color w:val="auto"/>
          <w:sz w:val="21"/>
          <w:szCs w:val="21"/>
        </w:rPr>
        <w:t>表2.6-1安全管理制度及安全操作规程</w:t>
      </w:r>
    </w:p>
    <w:tbl>
      <w:tblPr>
        <w:tblStyle w:val="60"/>
        <w:tblW w:w="8265"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7"/>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5" w:type="dxa"/>
            <w:gridSpan w:val="2"/>
            <w:vAlign w:val="center"/>
          </w:tcPr>
          <w:p>
            <w:pPr>
              <w:spacing w:line="360" w:lineRule="auto"/>
              <w:jc w:val="center"/>
              <w:rPr>
                <w:szCs w:val="21"/>
              </w:rPr>
            </w:pPr>
            <w:r>
              <w:rPr>
                <w:rFonts w:hint="eastAsia"/>
                <w:szCs w:val="21"/>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1、识别和获取安全法律法规标准及其他要求管理制度</w:t>
            </w:r>
          </w:p>
        </w:tc>
        <w:tc>
          <w:tcPr>
            <w:tcW w:w="3038" w:type="dxa"/>
            <w:vAlign w:val="center"/>
          </w:tcPr>
          <w:p>
            <w:pPr>
              <w:spacing w:line="360" w:lineRule="auto"/>
              <w:rPr>
                <w:szCs w:val="21"/>
              </w:rPr>
            </w:pPr>
            <w:r>
              <w:rPr>
                <w:rFonts w:hint="eastAsia"/>
                <w:szCs w:val="21"/>
              </w:rPr>
              <w:t>2、安全生产责任考核制度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3、安全奖惩制度</w:t>
            </w:r>
          </w:p>
        </w:tc>
        <w:tc>
          <w:tcPr>
            <w:tcW w:w="3038" w:type="dxa"/>
            <w:vAlign w:val="center"/>
          </w:tcPr>
          <w:p>
            <w:pPr>
              <w:spacing w:line="360" w:lineRule="auto"/>
              <w:rPr>
                <w:szCs w:val="21"/>
              </w:rPr>
            </w:pPr>
            <w:r>
              <w:rPr>
                <w:rFonts w:hint="eastAsia"/>
                <w:szCs w:val="21"/>
              </w:rPr>
              <w:t>4、安全生产会议制度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5、安全生产责任制</w:t>
            </w:r>
          </w:p>
        </w:tc>
        <w:tc>
          <w:tcPr>
            <w:tcW w:w="3038" w:type="dxa"/>
            <w:vAlign w:val="center"/>
          </w:tcPr>
          <w:p>
            <w:pPr>
              <w:spacing w:line="360" w:lineRule="auto"/>
              <w:rPr>
                <w:szCs w:val="21"/>
              </w:rPr>
            </w:pPr>
            <w:r>
              <w:rPr>
                <w:rFonts w:hint="eastAsia"/>
                <w:szCs w:val="21"/>
              </w:rPr>
              <w:t>6、领导干部带班制度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7、安全投入保障制度</w:t>
            </w:r>
          </w:p>
        </w:tc>
        <w:tc>
          <w:tcPr>
            <w:tcW w:w="3038" w:type="dxa"/>
            <w:vAlign w:val="center"/>
          </w:tcPr>
          <w:p>
            <w:pPr>
              <w:spacing w:line="360" w:lineRule="auto"/>
              <w:rPr>
                <w:szCs w:val="21"/>
              </w:rPr>
            </w:pPr>
            <w:r>
              <w:rPr>
                <w:rFonts w:hint="eastAsia"/>
                <w:szCs w:val="21"/>
              </w:rPr>
              <w:t>8、风险评价管理制度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9、隐患治理管理制度</w:t>
            </w:r>
          </w:p>
        </w:tc>
        <w:tc>
          <w:tcPr>
            <w:tcW w:w="3038" w:type="dxa"/>
            <w:vAlign w:val="center"/>
          </w:tcPr>
          <w:p>
            <w:pPr>
              <w:spacing w:line="360" w:lineRule="auto"/>
              <w:rPr>
                <w:szCs w:val="21"/>
              </w:rPr>
            </w:pPr>
            <w:r>
              <w:rPr>
                <w:rFonts w:hint="eastAsia"/>
                <w:szCs w:val="21"/>
              </w:rPr>
              <w:t>10、重大危险源管理制度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11、变更管理制度</w:t>
            </w:r>
          </w:p>
        </w:tc>
        <w:tc>
          <w:tcPr>
            <w:tcW w:w="3038" w:type="dxa"/>
            <w:vAlign w:val="center"/>
          </w:tcPr>
          <w:p>
            <w:pPr>
              <w:spacing w:line="360" w:lineRule="auto"/>
              <w:rPr>
                <w:szCs w:val="21"/>
              </w:rPr>
            </w:pPr>
            <w:r>
              <w:rPr>
                <w:rFonts w:hint="eastAsia"/>
                <w:szCs w:val="21"/>
              </w:rPr>
              <w:t>12、供应商管理制度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13、安全管理规章制度评审和修订管理制度</w:t>
            </w:r>
          </w:p>
        </w:tc>
        <w:tc>
          <w:tcPr>
            <w:tcW w:w="3038" w:type="dxa"/>
            <w:vAlign w:val="center"/>
          </w:tcPr>
          <w:p>
            <w:pPr>
              <w:spacing w:line="360" w:lineRule="auto"/>
              <w:rPr>
                <w:szCs w:val="21"/>
              </w:rPr>
            </w:pPr>
            <w:r>
              <w:rPr>
                <w:rFonts w:hint="eastAsia"/>
                <w:szCs w:val="21"/>
              </w:rPr>
              <w:t>14、安全培训教育制度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15、特种作业人员管理制度</w:t>
            </w:r>
          </w:p>
        </w:tc>
        <w:tc>
          <w:tcPr>
            <w:tcW w:w="3038" w:type="dxa"/>
            <w:vAlign w:val="center"/>
          </w:tcPr>
          <w:p>
            <w:pPr>
              <w:spacing w:line="360" w:lineRule="auto"/>
              <w:rPr>
                <w:szCs w:val="21"/>
              </w:rPr>
            </w:pPr>
            <w:r>
              <w:rPr>
                <w:rFonts w:hint="eastAsia"/>
                <w:szCs w:val="21"/>
              </w:rPr>
              <w:t>16、交接班安全管理制度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17、站内交通安全管理制度</w:t>
            </w:r>
          </w:p>
        </w:tc>
        <w:tc>
          <w:tcPr>
            <w:tcW w:w="3038" w:type="dxa"/>
            <w:vAlign w:val="center"/>
          </w:tcPr>
          <w:p>
            <w:pPr>
              <w:spacing w:line="360" w:lineRule="auto"/>
              <w:rPr>
                <w:szCs w:val="21"/>
              </w:rPr>
            </w:pPr>
            <w:r>
              <w:rPr>
                <w:rFonts w:hint="eastAsia"/>
                <w:szCs w:val="21"/>
              </w:rPr>
              <w:t>18、生产设施安全管理制度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19、安全设施管理制度</w:t>
            </w:r>
          </w:p>
        </w:tc>
        <w:tc>
          <w:tcPr>
            <w:tcW w:w="3038" w:type="dxa"/>
            <w:vAlign w:val="center"/>
          </w:tcPr>
          <w:p>
            <w:pPr>
              <w:spacing w:line="360" w:lineRule="auto"/>
              <w:rPr>
                <w:szCs w:val="21"/>
              </w:rPr>
            </w:pPr>
            <w:r>
              <w:rPr>
                <w:rFonts w:hint="eastAsia"/>
                <w:szCs w:val="21"/>
              </w:rPr>
              <w:t>20、监视和测量设备管理制度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21、检维修管理制度</w:t>
            </w:r>
          </w:p>
        </w:tc>
        <w:tc>
          <w:tcPr>
            <w:tcW w:w="3038" w:type="dxa"/>
            <w:vAlign w:val="center"/>
          </w:tcPr>
          <w:p>
            <w:pPr>
              <w:spacing w:line="360" w:lineRule="auto"/>
              <w:rPr>
                <w:szCs w:val="21"/>
              </w:rPr>
            </w:pPr>
            <w:r>
              <w:rPr>
                <w:rFonts w:hint="eastAsia"/>
                <w:szCs w:val="21"/>
              </w:rPr>
              <w:t>22、安全检查管理制度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23、拆除和报废管理制度</w:t>
            </w:r>
          </w:p>
        </w:tc>
        <w:tc>
          <w:tcPr>
            <w:tcW w:w="3038" w:type="dxa"/>
            <w:vAlign w:val="center"/>
          </w:tcPr>
          <w:p>
            <w:pPr>
              <w:spacing w:line="360" w:lineRule="auto"/>
              <w:rPr>
                <w:szCs w:val="21"/>
              </w:rPr>
            </w:pPr>
            <w:r>
              <w:rPr>
                <w:rFonts w:hint="eastAsia"/>
                <w:szCs w:val="21"/>
              </w:rPr>
              <w:t>24、危险作业安全管理制度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25、承包商管理制度</w:t>
            </w:r>
          </w:p>
        </w:tc>
        <w:tc>
          <w:tcPr>
            <w:tcW w:w="3038" w:type="dxa"/>
            <w:vAlign w:val="center"/>
          </w:tcPr>
          <w:p>
            <w:pPr>
              <w:spacing w:line="360" w:lineRule="auto"/>
              <w:rPr>
                <w:szCs w:val="21"/>
              </w:rPr>
            </w:pPr>
            <w:r>
              <w:rPr>
                <w:rFonts w:hint="eastAsia"/>
                <w:szCs w:val="21"/>
              </w:rPr>
              <w:t>26、罐区安全管理制度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27、消防、防火、防爆、禁烟管理制度</w:t>
            </w:r>
          </w:p>
        </w:tc>
        <w:tc>
          <w:tcPr>
            <w:tcW w:w="3038" w:type="dxa"/>
            <w:vAlign w:val="center"/>
          </w:tcPr>
          <w:p>
            <w:pPr>
              <w:spacing w:line="360" w:lineRule="auto"/>
              <w:rPr>
                <w:szCs w:val="21"/>
              </w:rPr>
            </w:pPr>
            <w:r>
              <w:rPr>
                <w:rFonts w:hint="eastAsia"/>
                <w:szCs w:val="21"/>
              </w:rPr>
              <w:t>28、清罐作业安全管理规定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29、油品接卸管理制度</w:t>
            </w:r>
          </w:p>
        </w:tc>
        <w:tc>
          <w:tcPr>
            <w:tcW w:w="3038" w:type="dxa"/>
            <w:vAlign w:val="center"/>
          </w:tcPr>
          <w:p>
            <w:pPr>
              <w:spacing w:line="360" w:lineRule="auto"/>
              <w:rPr>
                <w:szCs w:val="21"/>
              </w:rPr>
            </w:pPr>
            <w:r>
              <w:rPr>
                <w:rFonts w:hint="eastAsia"/>
                <w:szCs w:val="21"/>
              </w:rPr>
              <w:t>30、职业健康管理制度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31、职业危害因素检测管理制度</w:t>
            </w:r>
          </w:p>
        </w:tc>
        <w:tc>
          <w:tcPr>
            <w:tcW w:w="3038" w:type="dxa"/>
            <w:vAlign w:val="center"/>
          </w:tcPr>
          <w:p>
            <w:pPr>
              <w:spacing w:line="360" w:lineRule="auto"/>
              <w:rPr>
                <w:szCs w:val="21"/>
              </w:rPr>
            </w:pPr>
            <w:r>
              <w:rPr>
                <w:rFonts w:hint="eastAsia"/>
                <w:szCs w:val="21"/>
              </w:rPr>
              <w:t>32、劳动防护用品管理制度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33、危险化学品安全管理制度</w:t>
            </w:r>
          </w:p>
        </w:tc>
        <w:tc>
          <w:tcPr>
            <w:tcW w:w="3038" w:type="dxa"/>
            <w:vAlign w:val="center"/>
          </w:tcPr>
          <w:p>
            <w:pPr>
              <w:spacing w:line="360" w:lineRule="auto"/>
              <w:rPr>
                <w:szCs w:val="21"/>
              </w:rPr>
            </w:pPr>
            <w:r>
              <w:rPr>
                <w:rFonts w:hint="eastAsia"/>
                <w:szCs w:val="21"/>
              </w:rPr>
              <w:t>34、事故管理制度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35、应急救援预案评审修订规定</w:t>
            </w:r>
          </w:p>
        </w:tc>
        <w:tc>
          <w:tcPr>
            <w:tcW w:w="3038" w:type="dxa"/>
            <w:vAlign w:val="center"/>
          </w:tcPr>
          <w:p>
            <w:pPr>
              <w:spacing w:line="360" w:lineRule="auto"/>
              <w:rPr>
                <w:szCs w:val="21"/>
              </w:rPr>
            </w:pPr>
            <w:r>
              <w:rPr>
                <w:rFonts w:hint="eastAsia"/>
                <w:szCs w:val="21"/>
              </w:rPr>
              <w:t>36、基层班组安全活动管理制度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37、关键装置及重点部位安全管理制度</w:t>
            </w:r>
          </w:p>
        </w:tc>
        <w:tc>
          <w:tcPr>
            <w:tcW w:w="3038" w:type="dxa"/>
            <w:vAlign w:val="center"/>
          </w:tcPr>
          <w:p>
            <w:pPr>
              <w:spacing w:line="360" w:lineRule="auto"/>
              <w:rPr>
                <w:szCs w:val="21"/>
              </w:rPr>
            </w:pPr>
            <w:r>
              <w:rPr>
                <w:rFonts w:hint="eastAsia"/>
                <w:szCs w:val="21"/>
              </w:rPr>
              <w:t>38、自评制度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5" w:type="dxa"/>
            <w:gridSpan w:val="2"/>
            <w:vAlign w:val="center"/>
          </w:tcPr>
          <w:p>
            <w:pPr>
              <w:spacing w:line="360" w:lineRule="auto"/>
              <w:jc w:val="center"/>
              <w:rPr>
                <w:szCs w:val="21"/>
              </w:rPr>
            </w:pPr>
            <w:r>
              <w:rPr>
                <w:rFonts w:hint="eastAsia"/>
                <w:szCs w:val="21"/>
              </w:rPr>
              <w:t>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1、加油作业安全操作规程</w:t>
            </w:r>
          </w:p>
        </w:tc>
        <w:tc>
          <w:tcPr>
            <w:tcW w:w="3038" w:type="dxa"/>
            <w:vAlign w:val="center"/>
          </w:tcPr>
          <w:p>
            <w:pPr>
              <w:spacing w:line="360" w:lineRule="auto"/>
              <w:rPr>
                <w:szCs w:val="21"/>
              </w:rPr>
            </w:pPr>
            <w:r>
              <w:rPr>
                <w:rFonts w:hint="eastAsia"/>
                <w:szCs w:val="21"/>
              </w:rPr>
              <w:t>2、接卸油安全操作规程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3、计量操作规程</w:t>
            </w:r>
          </w:p>
        </w:tc>
        <w:tc>
          <w:tcPr>
            <w:tcW w:w="3038" w:type="dxa"/>
            <w:vAlign w:val="center"/>
          </w:tcPr>
          <w:p>
            <w:pPr>
              <w:spacing w:line="360" w:lineRule="auto"/>
              <w:rPr>
                <w:szCs w:val="21"/>
              </w:rPr>
            </w:pPr>
            <w:r>
              <w:rPr>
                <w:rFonts w:hint="eastAsia"/>
                <w:szCs w:val="21"/>
              </w:rPr>
              <w:t>4、电工操作规程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5、配电屏、发电机操作规程</w:t>
            </w:r>
          </w:p>
        </w:tc>
        <w:tc>
          <w:tcPr>
            <w:tcW w:w="3038" w:type="dxa"/>
            <w:vAlign w:val="center"/>
          </w:tcPr>
          <w:p>
            <w:pPr>
              <w:spacing w:line="360" w:lineRule="auto"/>
              <w:rPr>
                <w:szCs w:val="21"/>
              </w:rPr>
            </w:pPr>
            <w:r>
              <w:rPr>
                <w:rFonts w:hint="eastAsia"/>
                <w:szCs w:val="21"/>
              </w:rPr>
              <w:t>6、维修工操作规程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27" w:type="dxa"/>
            <w:vAlign w:val="center"/>
          </w:tcPr>
          <w:p>
            <w:pPr>
              <w:spacing w:line="360" w:lineRule="auto"/>
              <w:rPr>
                <w:szCs w:val="21"/>
              </w:rPr>
            </w:pPr>
            <w:r>
              <w:rPr>
                <w:rFonts w:hint="eastAsia"/>
                <w:szCs w:val="21"/>
              </w:rPr>
              <w:t>7、主要设备操作规程</w:t>
            </w:r>
          </w:p>
        </w:tc>
        <w:tc>
          <w:tcPr>
            <w:tcW w:w="3038" w:type="dxa"/>
            <w:vAlign w:val="center"/>
          </w:tcPr>
          <w:p>
            <w:pPr>
              <w:spacing w:line="360" w:lineRule="auto"/>
              <w:rPr>
                <w:szCs w:val="21"/>
              </w:rPr>
            </w:pPr>
            <w:r>
              <w:rPr>
                <w:rFonts w:hint="eastAsia"/>
                <w:szCs w:val="21"/>
              </w:rPr>
              <w:t>8、加油站主要岗位操作步骤</w:t>
            </w:r>
          </w:p>
        </w:tc>
      </w:tr>
    </w:tbl>
    <w:p>
      <w:pPr>
        <w:pStyle w:val="5"/>
        <w:tabs>
          <w:tab w:val="left" w:pos="566"/>
          <w:tab w:val="left" w:pos="720"/>
        </w:tabs>
        <w:rPr>
          <w:sz w:val="28"/>
          <w:szCs w:val="28"/>
        </w:rPr>
      </w:pPr>
      <w:bookmarkStart w:id="114" w:name="_Toc26729"/>
      <w:r>
        <w:rPr>
          <w:rFonts w:hint="eastAsia"/>
          <w:sz w:val="28"/>
          <w:szCs w:val="28"/>
        </w:rPr>
        <w:t>2.6.3职工的安全培训</w:t>
      </w:r>
      <w:bookmarkEnd w:id="114"/>
    </w:p>
    <w:p>
      <w:pPr>
        <w:spacing w:line="560" w:lineRule="exact"/>
        <w:ind w:firstLine="560" w:firstLineChars="200"/>
        <w:rPr>
          <w:rFonts w:ascii="宋体" w:hAnsi="宋体"/>
          <w:sz w:val="28"/>
          <w:szCs w:val="28"/>
        </w:rPr>
      </w:pPr>
      <w:bookmarkStart w:id="115" w:name="_Toc22287"/>
      <w:r>
        <w:rPr>
          <w:rFonts w:hint="eastAsia" w:ascii="宋体" w:hAnsi="宋体"/>
          <w:sz w:val="28"/>
          <w:szCs w:val="28"/>
        </w:rPr>
        <w:t>加油站主要负责人及安全管理人员已取证，详见下表：</w:t>
      </w:r>
    </w:p>
    <w:p>
      <w:pPr>
        <w:spacing w:line="560" w:lineRule="exact"/>
        <w:ind w:firstLine="422" w:firstLineChars="200"/>
        <w:jc w:val="center"/>
        <w:rPr>
          <w:rFonts w:ascii="宋体" w:hAnsi="宋体"/>
          <w:b/>
          <w:bCs/>
          <w:szCs w:val="21"/>
        </w:rPr>
      </w:pPr>
      <w:r>
        <w:rPr>
          <w:rFonts w:hint="eastAsia" w:ascii="宋体" w:hAnsi="宋体"/>
          <w:b/>
          <w:bCs/>
          <w:szCs w:val="21"/>
        </w:rPr>
        <w:t>表2.6-2人员取证情况一览表</w:t>
      </w:r>
    </w:p>
    <w:tbl>
      <w:tblPr>
        <w:tblStyle w:val="60"/>
        <w:tblW w:w="8160"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395"/>
        <w:gridCol w:w="1635"/>
        <w:gridCol w:w="2310"/>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序号</w:t>
            </w:r>
          </w:p>
        </w:tc>
        <w:tc>
          <w:tcPr>
            <w:tcW w:w="139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姓名</w:t>
            </w:r>
          </w:p>
        </w:tc>
        <w:tc>
          <w:tcPr>
            <w:tcW w:w="163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证书类型</w:t>
            </w:r>
          </w:p>
        </w:tc>
        <w:tc>
          <w:tcPr>
            <w:tcW w:w="2310"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证书编号</w:t>
            </w:r>
          </w:p>
        </w:tc>
        <w:tc>
          <w:tcPr>
            <w:tcW w:w="181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1</w:t>
            </w:r>
          </w:p>
        </w:tc>
        <w:tc>
          <w:tcPr>
            <w:tcW w:w="139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陈荣学</w:t>
            </w:r>
          </w:p>
        </w:tc>
        <w:tc>
          <w:tcPr>
            <w:tcW w:w="163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主要负责人</w:t>
            </w:r>
          </w:p>
        </w:tc>
        <w:tc>
          <w:tcPr>
            <w:tcW w:w="2310"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512921195306227431</w:t>
            </w:r>
          </w:p>
        </w:tc>
        <w:tc>
          <w:tcPr>
            <w:tcW w:w="181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2022-05-24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3</w:t>
            </w:r>
          </w:p>
        </w:tc>
        <w:tc>
          <w:tcPr>
            <w:tcW w:w="139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史良鹏</w:t>
            </w:r>
          </w:p>
        </w:tc>
        <w:tc>
          <w:tcPr>
            <w:tcW w:w="163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安全员</w:t>
            </w:r>
          </w:p>
        </w:tc>
        <w:tc>
          <w:tcPr>
            <w:tcW w:w="2310"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350322199211275174</w:t>
            </w:r>
          </w:p>
        </w:tc>
        <w:tc>
          <w:tcPr>
            <w:tcW w:w="1815" w:type="dxa"/>
          </w:tcPr>
          <w:p>
            <w:pPr>
              <w:pStyle w:val="36"/>
              <w:tabs>
                <w:tab w:val="left" w:pos="1545"/>
              </w:tabs>
              <w:adjustRightInd/>
              <w:snapToGrid/>
              <w:spacing w:before="156" w:after="0" w:line="360" w:lineRule="auto"/>
              <w:ind w:left="0" w:leftChars="0" w:firstLine="0" w:firstLineChars="0"/>
              <w:jc w:val="center"/>
              <w:rPr>
                <w:szCs w:val="21"/>
              </w:rPr>
            </w:pPr>
            <w:r>
              <w:rPr>
                <w:rFonts w:hint="eastAsia"/>
                <w:szCs w:val="21"/>
              </w:rPr>
              <w:t>2021-05-28</w:t>
            </w:r>
          </w:p>
        </w:tc>
      </w:tr>
    </w:tbl>
    <w:p>
      <w:pPr>
        <w:pStyle w:val="5"/>
        <w:tabs>
          <w:tab w:val="left" w:pos="566"/>
          <w:tab w:val="left" w:pos="720"/>
        </w:tabs>
        <w:rPr>
          <w:sz w:val="28"/>
          <w:szCs w:val="28"/>
        </w:rPr>
      </w:pPr>
      <w:bookmarkStart w:id="116" w:name="_Toc23491"/>
      <w:r>
        <w:rPr>
          <w:rFonts w:hint="eastAsia"/>
          <w:sz w:val="28"/>
          <w:szCs w:val="28"/>
        </w:rPr>
        <w:t>2.6.4劳动保护</w:t>
      </w:r>
      <w:bookmarkEnd w:id="115"/>
      <w:bookmarkEnd w:id="116"/>
    </w:p>
    <w:p>
      <w:pPr>
        <w:ind w:firstLine="560" w:firstLineChars="200"/>
        <w:rPr>
          <w:sz w:val="28"/>
          <w:szCs w:val="28"/>
        </w:rPr>
      </w:pPr>
      <w:r>
        <w:rPr>
          <w:rFonts w:hint="eastAsia"/>
          <w:sz w:val="28"/>
          <w:szCs w:val="28"/>
        </w:rPr>
        <w:t>加油站按相关要求为员工配备劳动防护用品，包括春夏冬各2套防静电工作服、防护手套各4双、工作鞋各4双等，日常劳动防护用品按统一标准季度发放</w:t>
      </w:r>
      <w:r>
        <w:rPr>
          <w:sz w:val="28"/>
          <w:szCs w:val="28"/>
        </w:rPr>
        <w:t>。</w:t>
      </w:r>
    </w:p>
    <w:p>
      <w:pPr>
        <w:pStyle w:val="5"/>
        <w:rPr>
          <w:sz w:val="28"/>
          <w:szCs w:val="28"/>
        </w:rPr>
      </w:pPr>
      <w:bookmarkStart w:id="117" w:name="_Toc3462"/>
      <w:r>
        <w:rPr>
          <w:rFonts w:hint="eastAsia"/>
          <w:sz w:val="28"/>
          <w:szCs w:val="28"/>
        </w:rPr>
        <w:t>2.6.5应急预案</w:t>
      </w:r>
      <w:bookmarkEnd w:id="117"/>
    </w:p>
    <w:p>
      <w:pPr>
        <w:ind w:firstLine="560" w:firstLineChars="200"/>
        <w:rPr>
          <w:sz w:val="28"/>
          <w:szCs w:val="28"/>
        </w:rPr>
      </w:pPr>
      <w:r>
        <w:rPr>
          <w:rFonts w:hint="eastAsia"/>
          <w:sz w:val="28"/>
          <w:szCs w:val="28"/>
        </w:rPr>
        <w:t>加油站编制有《生产经营单位生产安全事故应急预案》，建立有应急救援机构和应急救援体系，加油站按照应急预案要求制定演练计划和定期演练。</w:t>
      </w:r>
      <w:bookmarkStart w:id="118" w:name="_Toc6812"/>
    </w:p>
    <w:p>
      <w:pPr>
        <w:pStyle w:val="4"/>
        <w:rPr>
          <w:szCs w:val="28"/>
        </w:rPr>
      </w:pPr>
      <w:bookmarkStart w:id="119" w:name="_Toc15357"/>
      <w:r>
        <w:rPr>
          <w:rFonts w:hint="eastAsia"/>
          <w:szCs w:val="28"/>
        </w:rPr>
        <w:t>2.7安全投入</w:t>
      </w:r>
      <w:bookmarkEnd w:id="118"/>
      <w:bookmarkEnd w:id="119"/>
    </w:p>
    <w:p>
      <w:pPr>
        <w:ind w:firstLine="560" w:firstLineChars="200"/>
        <w:rPr>
          <w:rFonts w:ascii="宋体" w:hAnsi="宋体"/>
          <w:sz w:val="28"/>
          <w:szCs w:val="28"/>
        </w:rPr>
      </w:pPr>
      <w:r>
        <w:rPr>
          <w:rFonts w:hint="eastAsia" w:ascii="宋体" w:hAnsi="宋体"/>
          <w:sz w:val="28"/>
          <w:szCs w:val="28"/>
        </w:rPr>
        <w:t>加油站主要的安全投入用于设备设施检定检测、员工安全培训、预案演练、职业健康体检、职业病防治等</w:t>
      </w:r>
      <w:bookmarkStart w:id="120" w:name="OLE_LINK27"/>
      <w:bookmarkStart w:id="121" w:name="OLE_LINK2"/>
      <w:r>
        <w:rPr>
          <w:rFonts w:hint="eastAsia" w:ascii="宋体" w:hAnsi="宋体"/>
          <w:sz w:val="28"/>
          <w:szCs w:val="28"/>
        </w:rPr>
        <w:t>。安全投入</w:t>
      </w:r>
      <w:bookmarkEnd w:id="120"/>
      <w:r>
        <w:rPr>
          <w:rFonts w:hint="eastAsia" w:ascii="宋体" w:hAnsi="宋体"/>
          <w:sz w:val="28"/>
          <w:szCs w:val="28"/>
        </w:rPr>
        <w:t>按照《企业安全生产费用提取和使用管理办法》（财企[2012]16号）规定危险品生产与储存企业以</w:t>
      </w:r>
      <w:bookmarkStart w:id="122" w:name="OLE_LINK1"/>
      <w:r>
        <w:rPr>
          <w:rFonts w:hint="eastAsia" w:ascii="宋体" w:hAnsi="宋体"/>
          <w:sz w:val="28"/>
          <w:szCs w:val="28"/>
        </w:rPr>
        <w:t>上年度实际营业收入</w:t>
      </w:r>
      <w:bookmarkEnd w:id="122"/>
      <w:r>
        <w:rPr>
          <w:rFonts w:hint="eastAsia" w:ascii="宋体" w:hAnsi="宋体"/>
          <w:sz w:val="28"/>
          <w:szCs w:val="28"/>
        </w:rPr>
        <w:t>为计提依据</w:t>
      </w:r>
      <w:bookmarkEnd w:id="121"/>
      <w:r>
        <w:rPr>
          <w:rFonts w:hint="eastAsia" w:ascii="宋体" w:hAnsi="宋体"/>
          <w:sz w:val="28"/>
          <w:szCs w:val="28"/>
        </w:rPr>
        <w:t>。</w:t>
      </w:r>
    </w:p>
    <w:p>
      <w:pPr>
        <w:spacing w:line="360" w:lineRule="auto"/>
        <w:ind w:firstLine="560" w:firstLineChars="200"/>
        <w:rPr>
          <w:rFonts w:ascii="Times New Roman" w:hAnsi="Times New Roman"/>
          <w:sz w:val="28"/>
          <w:szCs w:val="28"/>
        </w:rPr>
      </w:pPr>
      <w:r>
        <w:rPr>
          <w:rFonts w:ascii="Times New Roman" w:hAnsi="Times New Roman"/>
          <w:sz w:val="28"/>
          <w:szCs w:val="28"/>
        </w:rPr>
        <w:t>项目总投资</w:t>
      </w:r>
      <w:r>
        <w:rPr>
          <w:rFonts w:hint="eastAsia" w:ascii="Times New Roman" w:hAnsi="Times New Roman"/>
          <w:sz w:val="28"/>
          <w:szCs w:val="28"/>
        </w:rPr>
        <w:t>5</w:t>
      </w:r>
      <w:r>
        <w:rPr>
          <w:rFonts w:ascii="Times New Roman" w:hAnsi="Times New Roman"/>
          <w:sz w:val="28"/>
          <w:szCs w:val="28"/>
        </w:rPr>
        <w:t>0万元，其中安全投入</w:t>
      </w:r>
      <w:r>
        <w:rPr>
          <w:rFonts w:hint="eastAsia" w:ascii="Times New Roman" w:hAnsi="Times New Roman"/>
          <w:sz w:val="28"/>
          <w:szCs w:val="28"/>
        </w:rPr>
        <w:t>2</w:t>
      </w:r>
      <w:r>
        <w:rPr>
          <w:rFonts w:ascii="Times New Roman" w:hAnsi="Times New Roman"/>
          <w:sz w:val="28"/>
          <w:szCs w:val="28"/>
        </w:rPr>
        <w:t>万元，安全投入占总投资的</w:t>
      </w:r>
      <w:r>
        <w:rPr>
          <w:rFonts w:hint="eastAsia" w:ascii="Times New Roman" w:hAnsi="Times New Roman"/>
          <w:sz w:val="28"/>
          <w:szCs w:val="28"/>
        </w:rPr>
        <w:t>4</w:t>
      </w:r>
      <w:r>
        <w:rPr>
          <w:rFonts w:ascii="Times New Roman" w:hAnsi="Times New Roman"/>
          <w:sz w:val="28"/>
          <w:szCs w:val="28"/>
        </w:rPr>
        <w:t>%，安全设施及投入明细</w:t>
      </w:r>
      <w:r>
        <w:rPr>
          <w:rFonts w:hint="eastAsia" w:ascii="Times New Roman" w:hAnsi="Times New Roman"/>
          <w:sz w:val="28"/>
          <w:szCs w:val="28"/>
        </w:rPr>
        <w:t>见下</w:t>
      </w:r>
      <w:r>
        <w:rPr>
          <w:rFonts w:ascii="Times New Roman" w:hAnsi="Times New Roman"/>
          <w:sz w:val="28"/>
          <w:szCs w:val="28"/>
        </w:rPr>
        <w:t>表。</w:t>
      </w:r>
    </w:p>
    <w:p>
      <w:pPr>
        <w:pStyle w:val="2"/>
        <w:rPr>
          <w:rFonts w:ascii="Times New Roman" w:hAnsi="Times New Roman"/>
          <w:sz w:val="28"/>
          <w:szCs w:val="28"/>
        </w:rPr>
      </w:pPr>
    </w:p>
    <w:p>
      <w:pPr>
        <w:spacing w:line="360" w:lineRule="auto"/>
        <w:ind w:firstLine="422" w:firstLineChars="200"/>
        <w:jc w:val="center"/>
        <w:rPr>
          <w:rFonts w:ascii="宋体" w:hAnsi="宋体" w:cs="宋体"/>
          <w:b/>
          <w:bCs/>
          <w:szCs w:val="21"/>
        </w:rPr>
      </w:pPr>
      <w:r>
        <w:rPr>
          <w:rFonts w:hint="eastAsia" w:ascii="宋体" w:hAnsi="宋体" w:cs="宋体"/>
          <w:b/>
          <w:bCs/>
          <w:szCs w:val="21"/>
        </w:rPr>
        <w:t>表2.7安全投入一览表</w:t>
      </w:r>
    </w:p>
    <w:bookmarkEnd w:id="67"/>
    <w:bookmarkEnd w:id="68"/>
    <w:bookmarkEnd w:id="102"/>
    <w:bookmarkEnd w:id="103"/>
    <w:tbl>
      <w:tblPr>
        <w:tblStyle w:val="59"/>
        <w:tblW w:w="82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295"/>
        <w:gridCol w:w="1440"/>
        <w:gridCol w:w="3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blHeader/>
          <w:jc w:val="center"/>
        </w:trPr>
        <w:tc>
          <w:tcPr>
            <w:tcW w:w="738" w:type="dxa"/>
            <w:vAlign w:val="center"/>
          </w:tcPr>
          <w:p>
            <w:pPr>
              <w:spacing w:line="240" w:lineRule="exact"/>
              <w:jc w:val="center"/>
              <w:rPr>
                <w:rFonts w:ascii="宋体" w:hAnsi="宋体"/>
                <w:color w:val="000000"/>
                <w:szCs w:val="21"/>
              </w:rPr>
            </w:pPr>
            <w:bookmarkStart w:id="123" w:name="_Toc354416283"/>
            <w:bookmarkStart w:id="124" w:name="_Toc9342"/>
            <w:r>
              <w:rPr>
                <w:rFonts w:hint="eastAsia" w:ascii="宋体" w:hAnsi="宋体"/>
                <w:color w:val="000000"/>
                <w:szCs w:val="21"/>
              </w:rPr>
              <w:t>序号</w:t>
            </w:r>
          </w:p>
        </w:tc>
        <w:tc>
          <w:tcPr>
            <w:tcW w:w="2295" w:type="dxa"/>
            <w:vAlign w:val="center"/>
          </w:tcPr>
          <w:p>
            <w:pPr>
              <w:spacing w:line="240" w:lineRule="exact"/>
              <w:jc w:val="center"/>
              <w:rPr>
                <w:rFonts w:ascii="宋体" w:hAnsi="宋体"/>
                <w:color w:val="000000"/>
                <w:szCs w:val="21"/>
              </w:rPr>
            </w:pPr>
            <w:r>
              <w:rPr>
                <w:rFonts w:hint="eastAsia" w:ascii="宋体" w:hAnsi="宋体"/>
                <w:color w:val="000000"/>
                <w:szCs w:val="21"/>
              </w:rPr>
              <w:t>项    目</w:t>
            </w:r>
          </w:p>
        </w:tc>
        <w:tc>
          <w:tcPr>
            <w:tcW w:w="1440" w:type="dxa"/>
            <w:vAlign w:val="center"/>
          </w:tcPr>
          <w:p>
            <w:pPr>
              <w:spacing w:line="240" w:lineRule="exact"/>
              <w:jc w:val="center"/>
              <w:rPr>
                <w:rFonts w:ascii="宋体" w:hAnsi="宋体"/>
                <w:color w:val="000000"/>
                <w:szCs w:val="21"/>
              </w:rPr>
            </w:pPr>
            <w:r>
              <w:rPr>
                <w:rFonts w:hint="eastAsia" w:ascii="宋体" w:hAnsi="宋体"/>
                <w:color w:val="000000"/>
                <w:szCs w:val="21"/>
              </w:rPr>
              <w:t>投资(万元)</w:t>
            </w:r>
          </w:p>
        </w:tc>
        <w:tc>
          <w:tcPr>
            <w:tcW w:w="3738" w:type="dxa"/>
            <w:vAlign w:val="center"/>
          </w:tcPr>
          <w:p>
            <w:pPr>
              <w:spacing w:line="240" w:lineRule="exact"/>
              <w:jc w:val="center"/>
              <w:rPr>
                <w:rFonts w:ascii="宋体" w:hAnsi="宋体"/>
                <w:color w:val="000000"/>
                <w:szCs w:val="21"/>
              </w:rPr>
            </w:pPr>
            <w:r>
              <w:rPr>
                <w:rFonts w:hint="eastAsia" w:ascii="宋体" w:hAnsi="宋体"/>
                <w:color w:val="000000"/>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38" w:type="dxa"/>
            <w:vAlign w:val="center"/>
          </w:tcPr>
          <w:p>
            <w:pPr>
              <w:jc w:val="center"/>
              <w:rPr>
                <w:rFonts w:ascii="宋体" w:hAnsi="宋体"/>
                <w:color w:val="000000"/>
                <w:szCs w:val="21"/>
              </w:rPr>
            </w:pPr>
            <w:r>
              <w:rPr>
                <w:rFonts w:hint="eastAsia" w:ascii="宋体" w:hAnsi="宋体"/>
                <w:color w:val="000000"/>
                <w:szCs w:val="21"/>
              </w:rPr>
              <w:t>一</w:t>
            </w:r>
          </w:p>
        </w:tc>
        <w:tc>
          <w:tcPr>
            <w:tcW w:w="2295" w:type="dxa"/>
            <w:vAlign w:val="center"/>
          </w:tcPr>
          <w:p>
            <w:pPr>
              <w:jc w:val="center"/>
              <w:rPr>
                <w:rFonts w:ascii="宋体" w:hAnsi="宋体"/>
                <w:color w:val="000000"/>
                <w:szCs w:val="21"/>
              </w:rPr>
            </w:pPr>
            <w:r>
              <w:rPr>
                <w:rFonts w:hint="eastAsia" w:ascii="宋体" w:hAnsi="宋体"/>
                <w:color w:val="000000"/>
                <w:szCs w:val="21"/>
              </w:rPr>
              <w:t>预防事故设施</w:t>
            </w:r>
          </w:p>
        </w:tc>
        <w:tc>
          <w:tcPr>
            <w:tcW w:w="1440" w:type="dxa"/>
            <w:vAlign w:val="center"/>
          </w:tcPr>
          <w:p>
            <w:pPr>
              <w:jc w:val="center"/>
              <w:rPr>
                <w:rFonts w:ascii="宋体" w:hAnsi="宋体"/>
                <w:color w:val="000000"/>
                <w:szCs w:val="21"/>
              </w:rPr>
            </w:pPr>
          </w:p>
        </w:tc>
        <w:tc>
          <w:tcPr>
            <w:tcW w:w="3738"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738" w:type="dxa"/>
            <w:vAlign w:val="center"/>
          </w:tcPr>
          <w:p>
            <w:pPr>
              <w:jc w:val="center"/>
              <w:rPr>
                <w:rFonts w:ascii="宋体" w:hAnsi="宋体"/>
                <w:color w:val="000000"/>
                <w:szCs w:val="21"/>
              </w:rPr>
            </w:pPr>
            <w:r>
              <w:rPr>
                <w:rFonts w:hint="eastAsia" w:ascii="宋体" w:hAnsi="宋体"/>
                <w:color w:val="000000"/>
                <w:szCs w:val="21"/>
              </w:rPr>
              <w:t>1</w:t>
            </w:r>
          </w:p>
        </w:tc>
        <w:tc>
          <w:tcPr>
            <w:tcW w:w="2295" w:type="dxa"/>
            <w:vAlign w:val="center"/>
          </w:tcPr>
          <w:p>
            <w:pPr>
              <w:jc w:val="center"/>
              <w:rPr>
                <w:rFonts w:ascii="宋体" w:hAnsi="宋体"/>
                <w:color w:val="000000"/>
                <w:szCs w:val="21"/>
              </w:rPr>
            </w:pPr>
            <w:r>
              <w:rPr>
                <w:rFonts w:hint="eastAsia" w:ascii="宋体" w:hAnsi="宋体"/>
                <w:color w:val="000000"/>
                <w:szCs w:val="21"/>
              </w:rPr>
              <w:t>设备安全防护设施</w:t>
            </w:r>
          </w:p>
        </w:tc>
        <w:tc>
          <w:tcPr>
            <w:tcW w:w="1440" w:type="dxa"/>
            <w:vAlign w:val="center"/>
          </w:tcPr>
          <w:p>
            <w:pPr>
              <w:jc w:val="center"/>
              <w:rPr>
                <w:rFonts w:ascii="宋体" w:hAnsi="宋体"/>
                <w:color w:val="000000"/>
                <w:szCs w:val="21"/>
              </w:rPr>
            </w:pPr>
            <w:r>
              <w:rPr>
                <w:rFonts w:hint="eastAsia" w:ascii="宋体" w:hAnsi="宋体"/>
                <w:color w:val="000000"/>
                <w:szCs w:val="21"/>
              </w:rPr>
              <w:t>1.6</w:t>
            </w:r>
          </w:p>
        </w:tc>
        <w:tc>
          <w:tcPr>
            <w:tcW w:w="3738" w:type="dxa"/>
            <w:vAlign w:val="center"/>
          </w:tcPr>
          <w:p>
            <w:pPr>
              <w:rPr>
                <w:rFonts w:ascii="宋体" w:hAnsi="宋体"/>
                <w:color w:val="000000"/>
                <w:szCs w:val="21"/>
              </w:rPr>
            </w:pPr>
            <w:r>
              <w:rPr>
                <w:rFonts w:hint="eastAsia" w:ascii="宋体" w:hAnsi="宋体"/>
                <w:color w:val="000000"/>
                <w:szCs w:val="21"/>
              </w:rPr>
              <w:t>进出站限速带，罩棚防雷接地设施，电器过载保护设施，静电接地设施。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38" w:type="dxa"/>
            <w:vAlign w:val="center"/>
          </w:tcPr>
          <w:p>
            <w:pPr>
              <w:jc w:val="center"/>
              <w:rPr>
                <w:rFonts w:ascii="宋体" w:hAnsi="宋体"/>
                <w:color w:val="000000"/>
                <w:szCs w:val="21"/>
              </w:rPr>
            </w:pPr>
            <w:r>
              <w:rPr>
                <w:rFonts w:hint="eastAsia" w:ascii="宋体" w:hAnsi="宋体"/>
                <w:color w:val="000000"/>
                <w:szCs w:val="21"/>
              </w:rPr>
              <w:t>2</w:t>
            </w:r>
          </w:p>
        </w:tc>
        <w:tc>
          <w:tcPr>
            <w:tcW w:w="2295" w:type="dxa"/>
            <w:vAlign w:val="center"/>
          </w:tcPr>
          <w:p>
            <w:pPr>
              <w:jc w:val="center"/>
              <w:rPr>
                <w:rFonts w:ascii="宋体" w:hAnsi="宋体"/>
                <w:color w:val="000000"/>
                <w:szCs w:val="21"/>
              </w:rPr>
            </w:pPr>
            <w:r>
              <w:rPr>
                <w:rFonts w:hint="eastAsia" w:ascii="宋体" w:hAnsi="宋体"/>
                <w:color w:val="000000"/>
                <w:szCs w:val="21"/>
              </w:rPr>
              <w:t>作业场所防护设施</w:t>
            </w:r>
          </w:p>
        </w:tc>
        <w:tc>
          <w:tcPr>
            <w:tcW w:w="1440" w:type="dxa"/>
            <w:vAlign w:val="center"/>
          </w:tcPr>
          <w:p>
            <w:pPr>
              <w:jc w:val="center"/>
              <w:rPr>
                <w:rFonts w:ascii="宋体" w:hAnsi="宋体"/>
                <w:color w:val="000000"/>
                <w:szCs w:val="21"/>
              </w:rPr>
            </w:pPr>
            <w:r>
              <w:rPr>
                <w:rFonts w:hint="eastAsia" w:ascii="宋体" w:hAnsi="宋体"/>
                <w:color w:val="000000"/>
                <w:szCs w:val="21"/>
              </w:rPr>
              <w:t>0.3</w:t>
            </w:r>
          </w:p>
        </w:tc>
        <w:tc>
          <w:tcPr>
            <w:tcW w:w="3738" w:type="dxa"/>
            <w:vAlign w:val="center"/>
          </w:tcPr>
          <w:p>
            <w:pPr>
              <w:rPr>
                <w:rFonts w:ascii="宋体" w:hAnsi="宋体"/>
                <w:color w:val="000000"/>
                <w:szCs w:val="21"/>
              </w:rPr>
            </w:pPr>
            <w:r>
              <w:rPr>
                <w:rFonts w:hint="eastAsia" w:ascii="宋体" w:hAnsi="宋体"/>
                <w:color w:val="000000"/>
                <w:szCs w:val="21"/>
              </w:rPr>
              <w:t>加油机侧方防撞柱，进出口减速带。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38" w:type="dxa"/>
            <w:vAlign w:val="center"/>
          </w:tcPr>
          <w:p>
            <w:pPr>
              <w:jc w:val="center"/>
              <w:rPr>
                <w:rFonts w:ascii="宋体" w:hAnsi="宋体"/>
                <w:color w:val="000000"/>
                <w:szCs w:val="21"/>
              </w:rPr>
            </w:pPr>
            <w:r>
              <w:rPr>
                <w:rFonts w:hint="eastAsia" w:ascii="宋体" w:hAnsi="宋体"/>
                <w:color w:val="000000"/>
                <w:szCs w:val="21"/>
              </w:rPr>
              <w:t>3</w:t>
            </w:r>
          </w:p>
        </w:tc>
        <w:tc>
          <w:tcPr>
            <w:tcW w:w="2295" w:type="dxa"/>
            <w:vAlign w:val="center"/>
          </w:tcPr>
          <w:p>
            <w:pPr>
              <w:jc w:val="center"/>
              <w:rPr>
                <w:rFonts w:ascii="宋体" w:hAnsi="宋体"/>
                <w:color w:val="000000"/>
                <w:szCs w:val="21"/>
              </w:rPr>
            </w:pPr>
            <w:r>
              <w:rPr>
                <w:rFonts w:hint="eastAsia" w:ascii="宋体" w:hAnsi="宋体"/>
                <w:color w:val="000000"/>
                <w:szCs w:val="21"/>
              </w:rPr>
              <w:t>安全警示标志</w:t>
            </w:r>
          </w:p>
        </w:tc>
        <w:tc>
          <w:tcPr>
            <w:tcW w:w="1440" w:type="dxa"/>
            <w:vAlign w:val="center"/>
          </w:tcPr>
          <w:p>
            <w:pPr>
              <w:jc w:val="center"/>
              <w:rPr>
                <w:rFonts w:ascii="宋体" w:hAnsi="宋体"/>
                <w:color w:val="000000"/>
                <w:szCs w:val="21"/>
              </w:rPr>
            </w:pPr>
            <w:r>
              <w:rPr>
                <w:rFonts w:hint="eastAsia" w:ascii="宋体" w:hAnsi="宋体"/>
                <w:color w:val="000000"/>
                <w:szCs w:val="21"/>
              </w:rPr>
              <w:t>0.1</w:t>
            </w:r>
          </w:p>
        </w:tc>
        <w:tc>
          <w:tcPr>
            <w:tcW w:w="3738" w:type="dxa"/>
            <w:vAlign w:val="center"/>
          </w:tcPr>
          <w:p>
            <w:pPr>
              <w:rPr>
                <w:rFonts w:ascii="宋体" w:hAnsi="宋体"/>
                <w:color w:val="000000"/>
                <w:szCs w:val="21"/>
              </w:rPr>
            </w:pPr>
            <w:r>
              <w:rPr>
                <w:rFonts w:hint="eastAsia" w:ascii="宋体" w:hAnsi="宋体"/>
                <w:color w:val="000000"/>
                <w:szCs w:val="21"/>
              </w:rPr>
              <w:t>严禁烟火、禁止拨打手机、严禁吸烟、当心触电、进出站指示标志、限速标志（5km）等安全警示标志。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38" w:type="dxa"/>
            <w:vAlign w:val="center"/>
          </w:tcPr>
          <w:p>
            <w:pPr>
              <w:jc w:val="center"/>
              <w:rPr>
                <w:rFonts w:ascii="宋体" w:hAnsi="宋体"/>
                <w:color w:val="000000"/>
                <w:szCs w:val="21"/>
              </w:rPr>
            </w:pPr>
          </w:p>
        </w:tc>
        <w:tc>
          <w:tcPr>
            <w:tcW w:w="2295" w:type="dxa"/>
            <w:vAlign w:val="center"/>
          </w:tcPr>
          <w:p>
            <w:pPr>
              <w:jc w:val="center"/>
              <w:rPr>
                <w:rFonts w:ascii="宋体" w:hAnsi="宋体"/>
                <w:color w:val="000000"/>
                <w:szCs w:val="21"/>
              </w:rPr>
            </w:pPr>
            <w:r>
              <w:rPr>
                <w:rFonts w:hint="eastAsia" w:ascii="宋体" w:hAnsi="宋体"/>
                <w:color w:val="000000"/>
                <w:szCs w:val="21"/>
              </w:rPr>
              <w:t>合计</w:t>
            </w:r>
          </w:p>
        </w:tc>
        <w:tc>
          <w:tcPr>
            <w:tcW w:w="1440" w:type="dxa"/>
            <w:vAlign w:val="center"/>
          </w:tcPr>
          <w:p>
            <w:pPr>
              <w:jc w:val="center"/>
              <w:rPr>
                <w:rFonts w:ascii="宋体" w:hAnsi="宋体"/>
                <w:color w:val="000000"/>
                <w:szCs w:val="21"/>
              </w:rPr>
            </w:pPr>
            <w:r>
              <w:rPr>
                <w:rFonts w:hint="eastAsia" w:ascii="宋体" w:hAnsi="宋体"/>
                <w:color w:val="000000"/>
                <w:szCs w:val="21"/>
              </w:rPr>
              <w:t>2.0</w:t>
            </w:r>
          </w:p>
        </w:tc>
        <w:tc>
          <w:tcPr>
            <w:tcW w:w="3738" w:type="dxa"/>
            <w:vAlign w:val="center"/>
          </w:tcPr>
          <w:p>
            <w:pPr>
              <w:rPr>
                <w:rFonts w:ascii="宋体" w:hAnsi="宋体"/>
                <w:color w:val="000000"/>
                <w:szCs w:val="21"/>
              </w:rPr>
            </w:pPr>
            <w:r>
              <w:rPr>
                <w:rFonts w:hint="eastAsia" w:ascii="宋体" w:hAnsi="宋体"/>
                <w:color w:val="000000"/>
                <w:szCs w:val="21"/>
              </w:rPr>
              <w:t>占总投资的4%。</w:t>
            </w:r>
          </w:p>
        </w:tc>
      </w:tr>
    </w:tbl>
    <w:p>
      <w:pPr>
        <w:pStyle w:val="3"/>
      </w:pPr>
    </w:p>
    <w:p>
      <w:pPr>
        <w:pStyle w:val="3"/>
      </w:pPr>
      <w:bookmarkStart w:id="125" w:name="_Toc28615"/>
      <w:r>
        <w:rPr>
          <w:rFonts w:hint="eastAsia"/>
        </w:rPr>
        <w:t>3  主要危险有害因素分析</w:t>
      </w:r>
      <w:bookmarkEnd w:id="123"/>
      <w:bookmarkEnd w:id="124"/>
      <w:bookmarkEnd w:id="125"/>
    </w:p>
    <w:p>
      <w:pPr>
        <w:ind w:firstLine="560" w:firstLineChars="200"/>
      </w:pPr>
      <w:r>
        <w:rPr>
          <w:rFonts w:hint="eastAsia"/>
          <w:sz w:val="28"/>
          <w:szCs w:val="28"/>
        </w:rPr>
        <w:t>本报告中的危险有害因素按照《企业职工伤亡事故分类》（GB6441-86）的规定进行分类。</w:t>
      </w:r>
    </w:p>
    <w:p>
      <w:pPr>
        <w:pStyle w:val="4"/>
        <w:rPr>
          <w:szCs w:val="28"/>
        </w:rPr>
      </w:pPr>
      <w:bookmarkStart w:id="126" w:name="_Toc14215"/>
      <w:bookmarkStart w:id="127" w:name="_Toc11897"/>
      <w:bookmarkStart w:id="128" w:name="_Toc354416284"/>
      <w:r>
        <w:rPr>
          <w:rFonts w:hint="eastAsia"/>
          <w:szCs w:val="28"/>
        </w:rPr>
        <w:t>3.1 经营物料危险有害因素分析</w:t>
      </w:r>
      <w:bookmarkEnd w:id="126"/>
      <w:bookmarkEnd w:id="127"/>
      <w:bookmarkEnd w:id="128"/>
    </w:p>
    <w:p>
      <w:pPr>
        <w:ind w:firstLine="560" w:firstLineChars="200"/>
        <w:rPr>
          <w:sz w:val="28"/>
          <w:szCs w:val="28"/>
        </w:rPr>
      </w:pPr>
      <w:r>
        <w:rPr>
          <w:rFonts w:hint="eastAsia"/>
          <w:sz w:val="28"/>
          <w:szCs w:val="28"/>
        </w:rPr>
        <w:t>加油站主要从事汽油（92#、95#）和柴油（0#）零售业务。依据《危险化学品目录》（2015版）该站经营的油品中汽油和柴油都属于危险化学品，故本报告对汽油和柴油进行物质危险有害因素辨识。</w:t>
      </w:r>
    </w:p>
    <w:p>
      <w:pPr>
        <w:jc w:val="center"/>
        <w:rPr>
          <w:rFonts w:ascii="宋体" w:hAnsi="宋体" w:cs="宋体"/>
          <w:b/>
          <w:bCs/>
          <w:color w:val="000000"/>
          <w:szCs w:val="21"/>
        </w:rPr>
      </w:pPr>
      <w:r>
        <w:rPr>
          <w:rFonts w:hint="eastAsia" w:ascii="宋体" w:hAnsi="宋体" w:cs="宋体"/>
          <w:b/>
          <w:bCs/>
          <w:szCs w:val="21"/>
        </w:rPr>
        <w:t>表</w:t>
      </w:r>
      <w:bookmarkStart w:id="129" w:name="_Toc7251"/>
      <w:bookmarkStart w:id="130" w:name="_Toc449348746"/>
      <w:bookmarkStart w:id="131" w:name="_Toc17119"/>
      <w:bookmarkStart w:id="132" w:name="_Toc354416285"/>
      <w:r>
        <w:rPr>
          <w:rFonts w:hint="eastAsia" w:ascii="宋体" w:hAnsi="宋体" w:cs="宋体"/>
          <w:b/>
          <w:bCs/>
          <w:color w:val="000000"/>
          <w:szCs w:val="21"/>
        </w:rPr>
        <w:t>3.1-1 汽油安全数据表</w:t>
      </w:r>
    </w:p>
    <w:tbl>
      <w:tblPr>
        <w:tblStyle w:val="60"/>
        <w:tblW w:w="8115" w:type="dxa"/>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15" w:type="dxa"/>
          </w:tcPr>
          <w:p>
            <w:pPr>
              <w:jc w:val="center"/>
              <w:rPr>
                <w:rFonts w:ascii="宋体" w:hAnsi="宋体" w:cs="宋体"/>
                <w:b/>
                <w:color w:val="000000"/>
                <w:szCs w:val="21"/>
              </w:rPr>
            </w:pPr>
            <w:r>
              <w:rPr>
                <w:rFonts w:hint="eastAsia" w:ascii="宋体" w:hAnsi="宋体" w:cs="宋体"/>
                <w:b/>
                <w:color w:val="000000"/>
                <w:szCs w:val="21"/>
              </w:rPr>
              <w:t>化学品安全技术说明书</w:t>
            </w:r>
          </w:p>
          <w:p>
            <w:pPr>
              <w:jc w:val="center"/>
              <w:rPr>
                <w:rFonts w:ascii="黑体" w:hAnsi="宋体" w:eastAsia="黑体" w:cs="黑体"/>
                <w:b/>
                <w:color w:val="000000"/>
                <w:szCs w:val="21"/>
              </w:rPr>
            </w:pPr>
            <w:r>
              <w:rPr>
                <w:rFonts w:hint="eastAsia" w:ascii="黑体" w:hAnsi="宋体" w:eastAsia="黑体" w:cs="黑体"/>
                <w:b/>
                <w:color w:val="000000"/>
                <w:szCs w:val="21"/>
              </w:rPr>
              <w:t>第一部分  化学品及企业标识</w:t>
            </w:r>
          </w:p>
          <w:p>
            <w:pPr>
              <w:jc w:val="left"/>
              <w:rPr>
                <w:rFonts w:ascii="宋体" w:hAnsi="宋体" w:cs="宋体"/>
                <w:b/>
                <w:color w:val="000000"/>
                <w:szCs w:val="21"/>
              </w:rPr>
            </w:pPr>
            <w:r>
              <w:rPr>
                <w:rFonts w:hint="eastAsia" w:ascii="宋体" w:hAnsi="宋体" w:cs="宋体"/>
                <w:b/>
                <w:color w:val="000000"/>
                <w:szCs w:val="21"/>
              </w:rPr>
              <w:t>化学品中文名：</w:t>
            </w:r>
            <w:r>
              <w:rPr>
                <w:rFonts w:hint="eastAsia" w:ascii="宋体" w:hAnsi="宋体" w:cs="宋体"/>
                <w:bCs/>
                <w:color w:val="000000"/>
                <w:szCs w:val="21"/>
              </w:rPr>
              <w:t>汽油</w:t>
            </w:r>
          </w:p>
          <w:p>
            <w:pPr>
              <w:jc w:val="left"/>
              <w:rPr>
                <w:rFonts w:ascii="宋体" w:hAnsi="宋体" w:cs="宋体"/>
                <w:color w:val="000000"/>
                <w:szCs w:val="21"/>
              </w:rPr>
            </w:pPr>
            <w:r>
              <w:rPr>
                <w:rFonts w:hint="eastAsia" w:ascii="宋体" w:hAnsi="宋体" w:cs="宋体"/>
                <w:b/>
                <w:color w:val="000000"/>
                <w:szCs w:val="21"/>
              </w:rPr>
              <w:t>化学品英文名：</w:t>
            </w:r>
            <w:r>
              <w:rPr>
                <w:color w:val="000000"/>
                <w:szCs w:val="21"/>
              </w:rPr>
              <w:t>Gasoline</w:t>
            </w:r>
          </w:p>
          <w:p>
            <w:pPr>
              <w:jc w:val="center"/>
              <w:rPr>
                <w:rFonts w:ascii="黑体" w:hAnsi="宋体" w:eastAsia="黑体" w:cs="黑体"/>
                <w:b/>
                <w:color w:val="000000"/>
                <w:szCs w:val="21"/>
              </w:rPr>
            </w:pPr>
            <w:r>
              <w:rPr>
                <w:rFonts w:hint="eastAsia" w:ascii="黑体" w:hAnsi="宋体" w:eastAsia="黑体" w:cs="黑体"/>
                <w:b/>
                <w:color w:val="000000"/>
                <w:szCs w:val="21"/>
              </w:rPr>
              <w:t>第二部分  成分/组成信息</w:t>
            </w:r>
          </w:p>
          <w:p>
            <w:pPr>
              <w:rPr>
                <w:rFonts w:ascii="宋体" w:hAnsi="宋体" w:cs="宋体"/>
                <w:color w:val="000000"/>
                <w:szCs w:val="21"/>
              </w:rPr>
            </w:pPr>
            <w:r>
              <w:rPr>
                <w:rFonts w:hint="eastAsia" w:ascii="宋体" w:hAnsi="宋体" w:cs="宋体"/>
                <w:color w:val="000000"/>
                <w:szCs w:val="21"/>
              </w:rPr>
              <w:t>纯品×               混合物√</w:t>
            </w:r>
          </w:p>
          <w:tbl>
            <w:tblPr>
              <w:tblStyle w:val="59"/>
              <w:tblW w:w="7614" w:type="dxa"/>
              <w:tblInd w:w="0" w:type="dxa"/>
              <w:tblLayout w:type="fixed"/>
              <w:tblCellMar>
                <w:top w:w="0" w:type="dxa"/>
                <w:left w:w="108" w:type="dxa"/>
                <w:bottom w:w="0" w:type="dxa"/>
                <w:right w:w="108" w:type="dxa"/>
              </w:tblCellMar>
            </w:tblPr>
            <w:tblGrid>
              <w:gridCol w:w="3708"/>
              <w:gridCol w:w="2340"/>
              <w:gridCol w:w="1566"/>
            </w:tblGrid>
            <w:tr>
              <w:tblPrEx>
                <w:tblLayout w:type="fixed"/>
                <w:tblCellMar>
                  <w:top w:w="0" w:type="dxa"/>
                  <w:left w:w="108" w:type="dxa"/>
                  <w:bottom w:w="0" w:type="dxa"/>
                  <w:right w:w="108" w:type="dxa"/>
                </w:tblCellMar>
              </w:tblPrEx>
              <w:tc>
                <w:tcPr>
                  <w:tcW w:w="3708" w:type="dxa"/>
                  <w:vAlign w:val="center"/>
                </w:tcPr>
                <w:p>
                  <w:pPr>
                    <w:jc w:val="center"/>
                    <w:rPr>
                      <w:rFonts w:ascii="宋体" w:hAnsi="宋体" w:cs="宋体"/>
                      <w:b/>
                      <w:color w:val="000000"/>
                      <w:szCs w:val="21"/>
                    </w:rPr>
                  </w:pPr>
                  <w:r>
                    <w:rPr>
                      <w:rFonts w:hint="eastAsia" w:ascii="宋体" w:hAnsi="宋体" w:cs="宋体"/>
                      <w:b/>
                      <w:color w:val="000000"/>
                      <w:szCs w:val="21"/>
                    </w:rPr>
                    <w:t>有害物成分</w:t>
                  </w:r>
                </w:p>
              </w:tc>
              <w:tc>
                <w:tcPr>
                  <w:tcW w:w="2340" w:type="dxa"/>
                  <w:vAlign w:val="center"/>
                </w:tcPr>
                <w:p>
                  <w:pPr>
                    <w:jc w:val="center"/>
                    <w:rPr>
                      <w:rFonts w:ascii="宋体" w:hAnsi="宋体" w:cs="宋体"/>
                      <w:b/>
                      <w:color w:val="000000"/>
                      <w:szCs w:val="21"/>
                    </w:rPr>
                  </w:pPr>
                  <w:r>
                    <w:rPr>
                      <w:rFonts w:hint="eastAsia" w:ascii="宋体" w:hAnsi="宋体" w:cs="宋体"/>
                      <w:b/>
                      <w:color w:val="000000"/>
                      <w:szCs w:val="21"/>
                    </w:rPr>
                    <w:t>浓度</w:t>
                  </w:r>
                </w:p>
              </w:tc>
              <w:tc>
                <w:tcPr>
                  <w:tcW w:w="1566" w:type="dxa"/>
                  <w:vAlign w:val="center"/>
                </w:tcPr>
                <w:p>
                  <w:pPr>
                    <w:rPr>
                      <w:rFonts w:ascii="宋体" w:hAnsi="宋体" w:cs="宋体"/>
                      <w:b/>
                      <w:color w:val="000000"/>
                      <w:szCs w:val="21"/>
                    </w:rPr>
                  </w:pPr>
                  <w:r>
                    <w:rPr>
                      <w:b/>
                      <w:color w:val="000000"/>
                      <w:szCs w:val="21"/>
                    </w:rPr>
                    <w:t>CAS No.</w:t>
                  </w:r>
                </w:p>
              </w:tc>
            </w:tr>
            <w:tr>
              <w:tblPrEx>
                <w:tblLayout w:type="fixed"/>
                <w:tblCellMar>
                  <w:top w:w="0" w:type="dxa"/>
                  <w:left w:w="108" w:type="dxa"/>
                  <w:bottom w:w="0" w:type="dxa"/>
                  <w:right w:w="108" w:type="dxa"/>
                </w:tblCellMar>
              </w:tblPrEx>
              <w:tc>
                <w:tcPr>
                  <w:tcW w:w="3708" w:type="dxa"/>
                  <w:vAlign w:val="center"/>
                </w:tcPr>
                <w:p>
                  <w:pPr>
                    <w:jc w:val="center"/>
                    <w:rPr>
                      <w:rFonts w:ascii="宋体" w:hAnsi="宋体" w:cs="宋体"/>
                      <w:color w:val="000000"/>
                      <w:szCs w:val="21"/>
                    </w:rPr>
                  </w:pPr>
                </w:p>
              </w:tc>
              <w:tc>
                <w:tcPr>
                  <w:tcW w:w="2340" w:type="dxa"/>
                  <w:vAlign w:val="center"/>
                </w:tcPr>
                <w:p>
                  <w:pPr>
                    <w:jc w:val="center"/>
                    <w:rPr>
                      <w:color w:val="000000"/>
                      <w:szCs w:val="21"/>
                    </w:rPr>
                  </w:pPr>
                </w:p>
              </w:tc>
              <w:tc>
                <w:tcPr>
                  <w:tcW w:w="1566" w:type="dxa"/>
                  <w:vAlign w:val="center"/>
                </w:tcPr>
                <w:p>
                  <w:pPr>
                    <w:jc w:val="center"/>
                    <w:rPr>
                      <w:color w:val="000000"/>
                      <w:szCs w:val="21"/>
                    </w:rPr>
                  </w:pPr>
                </w:p>
              </w:tc>
            </w:tr>
          </w:tbl>
          <w:p>
            <w:pPr>
              <w:jc w:val="center"/>
              <w:rPr>
                <w:rFonts w:ascii="宋体" w:hAnsi="宋体" w:cs="宋体"/>
                <w:b/>
                <w:color w:val="000000"/>
                <w:szCs w:val="21"/>
              </w:rPr>
            </w:pPr>
            <w:r>
              <w:rPr>
                <w:rFonts w:hint="eastAsia" w:ascii="黑体" w:hAnsi="宋体" w:eastAsia="黑体" w:cs="黑体"/>
                <w:b/>
                <w:color w:val="000000"/>
                <w:szCs w:val="21"/>
              </w:rPr>
              <w:t>第三部分  危险性概述</w:t>
            </w:r>
          </w:p>
          <w:p>
            <w:pPr>
              <w:rPr>
                <w:rFonts w:ascii="宋体" w:hAnsi="宋体" w:cs="宋体"/>
                <w:color w:val="000000"/>
                <w:szCs w:val="21"/>
              </w:rPr>
            </w:pPr>
            <w:r>
              <w:rPr>
                <w:rFonts w:hint="eastAsia" w:ascii="宋体" w:hAnsi="宋体" w:cs="宋体"/>
                <w:b/>
                <w:color w:val="000000"/>
                <w:szCs w:val="21"/>
              </w:rPr>
              <w:t>危险性类别：</w:t>
            </w:r>
            <w:r>
              <w:rPr>
                <w:rFonts w:hint="eastAsia" w:ascii="宋体" w:hAnsi="宋体" w:cs="宋体"/>
                <w:color w:val="000000"/>
                <w:szCs w:val="21"/>
              </w:rPr>
              <w:t>第3.1类  低闪点易燃液体</w:t>
            </w:r>
          </w:p>
          <w:p>
            <w:pPr>
              <w:rPr>
                <w:rFonts w:ascii="宋体" w:hAnsi="宋体" w:cs="宋体"/>
                <w:b/>
                <w:color w:val="000000"/>
                <w:szCs w:val="21"/>
              </w:rPr>
            </w:pPr>
            <w:r>
              <w:rPr>
                <w:rFonts w:hint="eastAsia" w:ascii="宋体" w:hAnsi="宋体" w:cs="宋体"/>
                <w:b/>
                <w:color w:val="000000"/>
                <w:szCs w:val="21"/>
              </w:rPr>
              <w:t>侵入途径：</w:t>
            </w:r>
            <w:r>
              <w:rPr>
                <w:rFonts w:hint="eastAsia" w:ascii="宋体" w:hAnsi="宋体" w:cs="宋体"/>
                <w:color w:val="000000"/>
                <w:szCs w:val="21"/>
              </w:rPr>
              <w:t>吸入、食入、经皮吸收</w:t>
            </w:r>
          </w:p>
          <w:p>
            <w:pPr>
              <w:rPr>
                <w:rFonts w:ascii="宋体" w:hAnsi="宋体" w:cs="宋体"/>
                <w:color w:val="000000"/>
                <w:szCs w:val="21"/>
              </w:rPr>
            </w:pPr>
            <w:r>
              <w:rPr>
                <w:rFonts w:hint="eastAsia" w:ascii="宋体" w:hAnsi="宋体" w:cs="宋体"/>
                <w:b/>
                <w:color w:val="000000"/>
                <w:szCs w:val="21"/>
              </w:rPr>
              <w:t>健康危害：</w:t>
            </w:r>
            <w:r>
              <w:rPr>
                <w:rFonts w:hint="eastAsia" w:ascii="宋体" w:hAnsi="宋体" w:cs="宋体"/>
                <w:color w:val="000000"/>
                <w:szCs w:val="21"/>
              </w:rPr>
              <w:t>急性中毒：对中枢神经系统有麻醉作用。轻度中毒症状有头晕、头痛、恶心、</w:t>
            </w:r>
          </w:p>
          <w:p>
            <w:pPr>
              <w:rPr>
                <w:rFonts w:ascii="宋体" w:hAnsi="宋体" w:cs="宋体"/>
                <w:color w:val="000000"/>
                <w:szCs w:val="21"/>
              </w:rPr>
            </w:pPr>
            <w:r>
              <w:rPr>
                <w:rFonts w:hint="eastAsia" w:ascii="宋体" w:hAnsi="宋体" w:cs="宋体"/>
                <w:color w:val="000000"/>
                <w:szCs w:val="21"/>
              </w:rPr>
              <w:t>呕吐、步态不稳、共济失调。高浓度吸入出现中毒性脑病。极高浓度吸入引起意识突然</w:t>
            </w:r>
          </w:p>
          <w:p>
            <w:pPr>
              <w:rPr>
                <w:rFonts w:ascii="宋体" w:hAnsi="宋体" w:cs="宋体"/>
                <w:color w:val="000000"/>
                <w:szCs w:val="21"/>
              </w:rPr>
            </w:pPr>
            <w:r>
              <w:rPr>
                <w:rFonts w:hint="eastAsia" w:ascii="宋体" w:hAnsi="宋体" w:cs="宋体"/>
                <w:color w:val="000000"/>
                <w:szCs w:val="21"/>
              </w:rPr>
              <w:t>丧失、反射性呼吸停止。可伴有中毒性周围神经病及化学性肺炎。部分患者出现中毒</w:t>
            </w:r>
          </w:p>
          <w:p>
            <w:pPr>
              <w:rPr>
                <w:rFonts w:ascii="宋体" w:hAnsi="宋体" w:cs="宋体"/>
                <w:color w:val="000000"/>
                <w:szCs w:val="21"/>
              </w:rPr>
            </w:pPr>
            <w:r>
              <w:rPr>
                <w:rFonts w:hint="eastAsia" w:ascii="宋体" w:hAnsi="宋体" w:cs="宋体"/>
                <w:color w:val="000000"/>
                <w:szCs w:val="21"/>
              </w:rPr>
              <w:t>性精神病。液体吸入呼吸道可引起吸入性肺炎。溅入眼内可致角膜溃疡、穿孔，甚至</w:t>
            </w:r>
          </w:p>
          <w:p>
            <w:pPr>
              <w:rPr>
                <w:rFonts w:ascii="宋体" w:hAnsi="宋体" w:cs="宋体"/>
                <w:color w:val="000000"/>
                <w:szCs w:val="21"/>
              </w:rPr>
            </w:pPr>
            <w:r>
              <w:rPr>
                <w:rFonts w:hint="eastAsia" w:ascii="宋体" w:hAnsi="宋体" w:cs="宋体"/>
                <w:color w:val="000000"/>
                <w:szCs w:val="21"/>
              </w:rPr>
              <w:t>失明。皮肤接触致急性接触性皮炎，甚至灼伤。吞咽引起急性胃肠炎，重者出现类似</w:t>
            </w:r>
          </w:p>
          <w:p>
            <w:pPr>
              <w:rPr>
                <w:rFonts w:ascii="宋体" w:hAnsi="宋体" w:cs="宋体"/>
                <w:color w:val="000000"/>
                <w:szCs w:val="21"/>
              </w:rPr>
            </w:pPr>
            <w:r>
              <w:rPr>
                <w:rFonts w:hint="eastAsia" w:ascii="宋体" w:hAnsi="宋体" w:cs="宋体"/>
                <w:color w:val="000000"/>
                <w:szCs w:val="21"/>
              </w:rPr>
              <w:t>急性吸入中毒症状，并可引起肝、肾损害。</w:t>
            </w:r>
          </w:p>
          <w:p>
            <w:pPr>
              <w:rPr>
                <w:rFonts w:ascii="宋体" w:hAnsi="宋体" w:cs="宋体"/>
                <w:color w:val="000000"/>
                <w:szCs w:val="21"/>
              </w:rPr>
            </w:pPr>
            <w:r>
              <w:rPr>
                <w:rFonts w:hint="eastAsia" w:ascii="宋体" w:hAnsi="宋体" w:cs="宋体"/>
                <w:color w:val="000000"/>
                <w:szCs w:val="21"/>
              </w:rPr>
              <w:t>慢性中毒：神经衰弱综合征、植物神经功能紊乱、周围神经病。严重中毒出现中毒性</w:t>
            </w:r>
          </w:p>
          <w:p>
            <w:pPr>
              <w:rPr>
                <w:rFonts w:ascii="宋体" w:hAnsi="宋体" w:cs="宋体"/>
                <w:b/>
                <w:color w:val="000000"/>
                <w:szCs w:val="21"/>
              </w:rPr>
            </w:pPr>
            <w:r>
              <w:rPr>
                <w:rFonts w:hint="eastAsia" w:ascii="宋体" w:hAnsi="宋体" w:cs="宋体"/>
                <w:color w:val="000000"/>
                <w:szCs w:val="21"/>
              </w:rPr>
              <w:t>脑病，症状类似精神分裂症。皮肤损害。</w:t>
            </w:r>
          </w:p>
          <w:p>
            <w:pPr>
              <w:rPr>
                <w:rFonts w:ascii="宋体" w:hAnsi="宋体" w:cs="宋体"/>
                <w:b/>
                <w:color w:val="000000"/>
                <w:szCs w:val="21"/>
              </w:rPr>
            </w:pPr>
            <w:r>
              <w:rPr>
                <w:rFonts w:hint="eastAsia" w:ascii="宋体" w:hAnsi="宋体" w:cs="宋体"/>
                <w:b/>
                <w:color w:val="000000"/>
                <w:szCs w:val="21"/>
              </w:rPr>
              <w:t>环境危害：</w:t>
            </w:r>
          </w:p>
          <w:p>
            <w:pPr>
              <w:rPr>
                <w:rFonts w:ascii="宋体" w:hAnsi="宋体" w:cs="宋体"/>
                <w:color w:val="000000"/>
                <w:szCs w:val="21"/>
              </w:rPr>
            </w:pPr>
            <w:r>
              <w:rPr>
                <w:rFonts w:hint="eastAsia" w:ascii="宋体" w:hAnsi="宋体" w:cs="宋体"/>
                <w:b/>
                <w:color w:val="000000"/>
                <w:szCs w:val="21"/>
              </w:rPr>
              <w:t>燃爆危险：</w:t>
            </w:r>
            <w:r>
              <w:rPr>
                <w:rFonts w:hint="eastAsia" w:ascii="宋体" w:hAnsi="宋体" w:cs="宋体"/>
                <w:color w:val="000000"/>
                <w:szCs w:val="21"/>
              </w:rPr>
              <w:t>本品极度易燃。</w:t>
            </w:r>
          </w:p>
          <w:p>
            <w:pPr>
              <w:jc w:val="center"/>
              <w:rPr>
                <w:rFonts w:ascii="黑体" w:hAnsi="宋体" w:eastAsia="黑体" w:cs="黑体"/>
                <w:b/>
                <w:color w:val="000000"/>
                <w:szCs w:val="21"/>
              </w:rPr>
            </w:pPr>
            <w:r>
              <w:rPr>
                <w:rFonts w:hint="eastAsia" w:ascii="黑体" w:hAnsi="宋体" w:eastAsia="黑体" w:cs="黑体"/>
                <w:b/>
                <w:color w:val="000000"/>
                <w:szCs w:val="21"/>
              </w:rPr>
              <w:t>第四部分  急 救 措 施</w:t>
            </w:r>
          </w:p>
          <w:p>
            <w:pPr>
              <w:rPr>
                <w:rFonts w:ascii="宋体" w:hAnsi="宋体" w:cs="宋体"/>
                <w:b/>
                <w:color w:val="000000"/>
                <w:szCs w:val="21"/>
              </w:rPr>
            </w:pPr>
            <w:r>
              <w:rPr>
                <w:rFonts w:hint="eastAsia" w:ascii="宋体" w:hAnsi="宋体" w:cs="宋体"/>
                <w:b/>
                <w:color w:val="000000"/>
                <w:szCs w:val="21"/>
              </w:rPr>
              <w:t>皮肤接触：</w:t>
            </w:r>
            <w:r>
              <w:rPr>
                <w:rFonts w:hint="eastAsia" w:ascii="宋体" w:hAnsi="宋体" w:cs="宋体"/>
                <w:color w:val="000000"/>
                <w:szCs w:val="21"/>
              </w:rPr>
              <w:t>立即脱去污染的衣着，用肥皂水和清水彻底冲洗皮肤。就医。</w:t>
            </w:r>
          </w:p>
          <w:p>
            <w:pPr>
              <w:rPr>
                <w:rFonts w:ascii="宋体" w:hAnsi="宋体" w:cs="宋体"/>
                <w:b/>
                <w:color w:val="000000"/>
                <w:szCs w:val="21"/>
              </w:rPr>
            </w:pPr>
            <w:r>
              <w:rPr>
                <w:rFonts w:hint="eastAsia" w:ascii="宋体" w:hAnsi="宋体" w:cs="宋体"/>
                <w:b/>
                <w:color w:val="000000"/>
                <w:szCs w:val="21"/>
              </w:rPr>
              <w:t>眼睛接触：</w:t>
            </w:r>
            <w:r>
              <w:rPr>
                <w:rFonts w:hint="eastAsia" w:ascii="宋体" w:hAnsi="宋体" w:cs="宋体"/>
                <w:color w:val="000000"/>
                <w:szCs w:val="21"/>
              </w:rPr>
              <w:t>立即提起眼睑，用大量流动清水或生理盐水彻底冲洗至少15分钟。就医。</w:t>
            </w:r>
          </w:p>
          <w:p>
            <w:pPr>
              <w:rPr>
                <w:rFonts w:ascii="宋体" w:hAnsi="宋体" w:cs="宋体"/>
                <w:color w:val="000000"/>
                <w:szCs w:val="21"/>
              </w:rPr>
            </w:pPr>
            <w:r>
              <w:rPr>
                <w:rFonts w:hint="eastAsia" w:ascii="宋体" w:hAnsi="宋体" w:cs="宋体"/>
                <w:b/>
                <w:color w:val="000000"/>
                <w:szCs w:val="21"/>
              </w:rPr>
              <w:t>吸入：</w:t>
            </w:r>
            <w:r>
              <w:rPr>
                <w:rFonts w:hint="eastAsia" w:ascii="宋体" w:hAnsi="宋体" w:cs="宋体"/>
                <w:color w:val="000000"/>
                <w:szCs w:val="21"/>
              </w:rPr>
              <w:t>迅速脱离现场至空气新鲜处。保持呼吸道通畅。如呼吸困难，给输氧。如呼吸</w:t>
            </w:r>
          </w:p>
          <w:p>
            <w:pPr>
              <w:rPr>
                <w:rFonts w:ascii="宋体" w:hAnsi="宋体" w:cs="宋体"/>
                <w:b/>
                <w:color w:val="000000"/>
                <w:szCs w:val="21"/>
              </w:rPr>
            </w:pPr>
            <w:r>
              <w:rPr>
                <w:rFonts w:hint="eastAsia" w:ascii="宋体" w:hAnsi="宋体" w:cs="宋体"/>
                <w:color w:val="000000"/>
                <w:szCs w:val="21"/>
              </w:rPr>
              <w:t>停止，立即进行人工呼吸。就医。</w:t>
            </w:r>
          </w:p>
          <w:p>
            <w:pPr>
              <w:rPr>
                <w:rFonts w:ascii="宋体" w:hAnsi="宋体" w:cs="宋体"/>
                <w:color w:val="000000"/>
                <w:szCs w:val="21"/>
              </w:rPr>
            </w:pPr>
            <w:r>
              <w:rPr>
                <w:rFonts w:hint="eastAsia" w:ascii="宋体" w:hAnsi="宋体" w:cs="宋体"/>
                <w:b/>
                <w:color w:val="000000"/>
                <w:szCs w:val="21"/>
              </w:rPr>
              <w:t>食入：</w:t>
            </w:r>
            <w:r>
              <w:rPr>
                <w:rFonts w:hint="eastAsia" w:ascii="宋体" w:hAnsi="宋体" w:cs="宋体"/>
                <w:color w:val="000000"/>
                <w:szCs w:val="21"/>
              </w:rPr>
              <w:t>给饮牛奶或用植物油洗胃和灌肠。就医。</w:t>
            </w:r>
          </w:p>
          <w:p>
            <w:pPr>
              <w:jc w:val="center"/>
              <w:rPr>
                <w:rFonts w:ascii="黑体" w:hAnsi="宋体" w:eastAsia="黑体" w:cs="黑体"/>
                <w:b/>
                <w:color w:val="000000"/>
                <w:szCs w:val="21"/>
              </w:rPr>
            </w:pPr>
            <w:r>
              <w:rPr>
                <w:rFonts w:hint="eastAsia" w:ascii="黑体" w:hAnsi="宋体" w:eastAsia="黑体" w:cs="黑体"/>
                <w:b/>
                <w:color w:val="000000"/>
                <w:szCs w:val="21"/>
              </w:rPr>
              <w:t>第五部分  消 防 措 施</w:t>
            </w:r>
          </w:p>
          <w:p>
            <w:pPr>
              <w:rPr>
                <w:rFonts w:ascii="宋体" w:hAnsi="宋体" w:cs="宋体"/>
                <w:color w:val="000000"/>
                <w:szCs w:val="21"/>
              </w:rPr>
            </w:pPr>
            <w:r>
              <w:rPr>
                <w:rFonts w:hint="eastAsia" w:ascii="宋体" w:hAnsi="宋体" w:cs="宋体"/>
                <w:b/>
                <w:color w:val="000000"/>
                <w:szCs w:val="21"/>
              </w:rPr>
              <w:t>危险特性：</w:t>
            </w:r>
            <w:r>
              <w:rPr>
                <w:rFonts w:hint="eastAsia" w:ascii="宋体" w:hAnsi="宋体" w:cs="宋体"/>
                <w:color w:val="000000"/>
                <w:szCs w:val="21"/>
              </w:rPr>
              <w:t>其蒸气与空气可形成爆炸性混合物，遇明火、高热极易燃烧爆炸。与氧化</w:t>
            </w:r>
          </w:p>
          <w:p>
            <w:pPr>
              <w:rPr>
                <w:rFonts w:ascii="宋体" w:hAnsi="宋体" w:cs="宋体"/>
                <w:color w:val="000000"/>
                <w:szCs w:val="21"/>
              </w:rPr>
            </w:pPr>
            <w:r>
              <w:rPr>
                <w:rFonts w:hint="eastAsia" w:ascii="宋体" w:hAnsi="宋体" w:cs="宋体"/>
                <w:color w:val="000000"/>
                <w:szCs w:val="21"/>
              </w:rPr>
              <w:t>剂能发生强烈反应。其蒸气比空气重，能在较低处扩散到相当远的地方，遇火源会着</w:t>
            </w:r>
          </w:p>
          <w:p>
            <w:pPr>
              <w:rPr>
                <w:rFonts w:ascii="宋体" w:hAnsi="宋体" w:cs="宋体"/>
                <w:b/>
                <w:color w:val="000000"/>
                <w:szCs w:val="21"/>
              </w:rPr>
            </w:pPr>
            <w:r>
              <w:rPr>
                <w:rFonts w:hint="eastAsia" w:ascii="宋体" w:hAnsi="宋体" w:cs="宋体"/>
                <w:color w:val="000000"/>
                <w:szCs w:val="21"/>
              </w:rPr>
              <w:t>火回燃。</w:t>
            </w:r>
          </w:p>
          <w:p>
            <w:pPr>
              <w:rPr>
                <w:rFonts w:ascii="宋体" w:hAnsi="宋体" w:cs="宋体"/>
                <w:b/>
                <w:color w:val="000000"/>
                <w:szCs w:val="21"/>
              </w:rPr>
            </w:pPr>
            <w:r>
              <w:rPr>
                <w:rFonts w:hint="eastAsia" w:ascii="宋体" w:hAnsi="宋体" w:cs="宋体"/>
                <w:b/>
                <w:color w:val="000000"/>
                <w:szCs w:val="21"/>
              </w:rPr>
              <w:t>有害燃烧产物：</w:t>
            </w:r>
            <w:r>
              <w:rPr>
                <w:rFonts w:hint="eastAsia" w:ascii="宋体" w:hAnsi="宋体" w:cs="宋体"/>
                <w:color w:val="000000"/>
                <w:szCs w:val="21"/>
              </w:rPr>
              <w:t>一氧化碳、二氧化碳。</w:t>
            </w:r>
          </w:p>
          <w:p>
            <w:pPr>
              <w:rPr>
                <w:rFonts w:ascii="宋体" w:hAnsi="宋体" w:cs="宋体"/>
                <w:color w:val="000000"/>
                <w:szCs w:val="21"/>
              </w:rPr>
            </w:pPr>
            <w:r>
              <w:rPr>
                <w:rFonts w:hint="eastAsia" w:ascii="宋体" w:hAnsi="宋体" w:cs="宋体"/>
                <w:b/>
                <w:color w:val="000000"/>
                <w:szCs w:val="21"/>
              </w:rPr>
              <w:t>灭火方法：</w:t>
            </w:r>
            <w:r>
              <w:rPr>
                <w:rFonts w:hint="eastAsia" w:ascii="宋体" w:hAnsi="宋体" w:cs="宋体"/>
                <w:color w:val="000000"/>
                <w:szCs w:val="21"/>
              </w:rPr>
              <w:t>喷水冷却容器，可能的话将容器从火场移至空旷处。灭火剂：泡沫、干粉</w:t>
            </w:r>
          </w:p>
          <w:p>
            <w:pPr>
              <w:rPr>
                <w:rFonts w:ascii="宋体" w:hAnsi="宋体" w:cs="宋体"/>
                <w:color w:val="000000"/>
                <w:szCs w:val="21"/>
              </w:rPr>
            </w:pPr>
            <w:r>
              <w:rPr>
                <w:rFonts w:hint="eastAsia" w:ascii="宋体" w:hAnsi="宋体" w:cs="宋体"/>
                <w:color w:val="000000"/>
                <w:szCs w:val="21"/>
              </w:rPr>
              <w:t>、二氧化碳。用水灭火无效。</w:t>
            </w:r>
          </w:p>
          <w:p>
            <w:pPr>
              <w:jc w:val="center"/>
              <w:rPr>
                <w:rFonts w:ascii="黑体" w:hAnsi="宋体" w:eastAsia="黑体" w:cs="黑体"/>
                <w:b/>
                <w:color w:val="000000"/>
                <w:szCs w:val="21"/>
              </w:rPr>
            </w:pPr>
            <w:r>
              <w:rPr>
                <w:rFonts w:hint="eastAsia" w:ascii="黑体" w:hAnsi="宋体" w:eastAsia="黑体" w:cs="黑体"/>
                <w:b/>
                <w:color w:val="000000"/>
                <w:szCs w:val="21"/>
              </w:rPr>
              <w:t>第六部分  泄漏应急处理</w:t>
            </w:r>
          </w:p>
          <w:p>
            <w:pPr>
              <w:rPr>
                <w:rFonts w:ascii="宋体" w:hAnsi="宋体" w:cs="宋体"/>
                <w:color w:val="000000"/>
                <w:szCs w:val="21"/>
              </w:rPr>
            </w:pPr>
            <w:r>
              <w:rPr>
                <w:rFonts w:hint="eastAsia" w:ascii="宋体" w:hAnsi="宋体" w:cs="宋体"/>
                <w:b/>
                <w:color w:val="000000"/>
                <w:szCs w:val="21"/>
              </w:rPr>
              <w:t>应急处理：</w:t>
            </w:r>
            <w:r>
              <w:rPr>
                <w:rFonts w:hint="eastAsia" w:ascii="宋体" w:hAnsi="宋体" w:cs="宋体"/>
                <w:color w:val="000000"/>
                <w:szCs w:val="21"/>
              </w:rPr>
              <w:t>迅速撤离泄漏污染区人员至安全区，并进行隔离，严格限制出入。切断火</w:t>
            </w:r>
          </w:p>
          <w:p>
            <w:pPr>
              <w:rPr>
                <w:rFonts w:ascii="宋体" w:hAnsi="宋体" w:cs="宋体"/>
                <w:color w:val="000000"/>
                <w:szCs w:val="21"/>
              </w:rPr>
            </w:pPr>
            <w:r>
              <w:rPr>
                <w:rFonts w:hint="eastAsia" w:ascii="宋体" w:hAnsi="宋体" w:cs="宋体"/>
                <w:color w:val="000000"/>
                <w:szCs w:val="21"/>
              </w:rPr>
              <w:t>源。建议应急处理人员戴自给正压式呼吸器，穿防静电工作服。尽可能切断泄漏源。</w:t>
            </w:r>
          </w:p>
          <w:p>
            <w:pPr>
              <w:rPr>
                <w:rFonts w:ascii="宋体" w:hAnsi="宋体" w:cs="宋体"/>
                <w:color w:val="000000"/>
                <w:szCs w:val="21"/>
              </w:rPr>
            </w:pPr>
            <w:r>
              <w:rPr>
                <w:rFonts w:hint="eastAsia" w:ascii="宋体" w:hAnsi="宋体" w:cs="宋体"/>
                <w:color w:val="000000"/>
                <w:szCs w:val="21"/>
              </w:rPr>
              <w:t>防止流入下水道、排洪沟等限制性空间。小量泄漏：用砂土、蛭石或其它惰性材料</w:t>
            </w:r>
          </w:p>
          <w:p>
            <w:pPr>
              <w:rPr>
                <w:rFonts w:ascii="宋体" w:hAnsi="宋体" w:cs="宋体"/>
                <w:color w:val="000000"/>
                <w:szCs w:val="21"/>
              </w:rPr>
            </w:pPr>
            <w:r>
              <w:rPr>
                <w:rFonts w:hint="eastAsia" w:ascii="宋体" w:hAnsi="宋体" w:cs="宋体"/>
                <w:color w:val="000000"/>
                <w:szCs w:val="21"/>
              </w:rPr>
              <w:t>吸收。或在保证安全情况下，就地焚烧。大量泄漏：构筑围堤或挖坑收容。用泡沫</w:t>
            </w:r>
          </w:p>
          <w:p>
            <w:pPr>
              <w:rPr>
                <w:rFonts w:ascii="宋体" w:hAnsi="宋体" w:cs="宋体"/>
                <w:color w:val="000000"/>
                <w:szCs w:val="21"/>
              </w:rPr>
            </w:pPr>
            <w:r>
              <w:rPr>
                <w:rFonts w:hint="eastAsia" w:ascii="宋体" w:hAnsi="宋体" w:cs="宋体"/>
                <w:color w:val="000000"/>
                <w:szCs w:val="21"/>
              </w:rPr>
              <w:t>覆盖，降低蒸气灾害。用防爆泵转移至槽车或专用收集器内，回收或运至废物处理</w:t>
            </w:r>
          </w:p>
          <w:p>
            <w:pPr>
              <w:rPr>
                <w:rFonts w:ascii="宋体" w:hAnsi="宋体" w:cs="宋体"/>
                <w:b/>
                <w:color w:val="000000"/>
                <w:szCs w:val="21"/>
              </w:rPr>
            </w:pPr>
            <w:r>
              <w:rPr>
                <w:rFonts w:hint="eastAsia" w:ascii="宋体" w:hAnsi="宋体" w:cs="宋体"/>
                <w:color w:val="000000"/>
                <w:szCs w:val="21"/>
              </w:rPr>
              <w:t>场所处置。</w:t>
            </w:r>
          </w:p>
          <w:p>
            <w:pPr>
              <w:jc w:val="center"/>
              <w:rPr>
                <w:rFonts w:ascii="黑体" w:hAnsi="宋体" w:eastAsia="黑体" w:cs="黑体"/>
                <w:b/>
                <w:color w:val="000000"/>
                <w:szCs w:val="21"/>
              </w:rPr>
            </w:pPr>
            <w:r>
              <w:rPr>
                <w:rFonts w:hint="eastAsia" w:ascii="黑体" w:hAnsi="宋体" w:eastAsia="黑体" w:cs="黑体"/>
                <w:b/>
                <w:color w:val="000000"/>
                <w:szCs w:val="21"/>
              </w:rPr>
              <w:t>第七部分  操作处置与储存</w:t>
            </w:r>
          </w:p>
          <w:p>
            <w:pPr>
              <w:rPr>
                <w:rFonts w:ascii="宋体" w:hAnsi="宋体" w:cs="宋体"/>
                <w:color w:val="000000"/>
                <w:szCs w:val="21"/>
              </w:rPr>
            </w:pPr>
            <w:r>
              <w:rPr>
                <w:rFonts w:hint="eastAsia" w:ascii="宋体" w:hAnsi="宋体" w:cs="宋体"/>
                <w:b/>
                <w:color w:val="000000"/>
                <w:szCs w:val="21"/>
              </w:rPr>
              <w:t>操作注意事项：</w:t>
            </w:r>
            <w:r>
              <w:rPr>
                <w:rFonts w:hint="eastAsia" w:ascii="宋体" w:hAnsi="宋体" w:cs="宋体"/>
                <w:color w:val="000000"/>
                <w:szCs w:val="21"/>
              </w:rPr>
              <w:t>密闭操作，全面通风。操作人员必须经过专门培训，严格遵守操作</w:t>
            </w:r>
          </w:p>
          <w:p>
            <w:pPr>
              <w:rPr>
                <w:rFonts w:ascii="宋体" w:hAnsi="宋体" w:cs="宋体"/>
                <w:color w:val="000000"/>
                <w:szCs w:val="21"/>
              </w:rPr>
            </w:pPr>
            <w:r>
              <w:rPr>
                <w:rFonts w:hint="eastAsia" w:ascii="宋体" w:hAnsi="宋体" w:cs="宋体"/>
                <w:color w:val="000000"/>
                <w:szCs w:val="21"/>
              </w:rPr>
              <w:t>规程。建议操作人员穿防静电工作服，戴橡胶耐油手套。远离火种、热源，工作场所严</w:t>
            </w:r>
          </w:p>
          <w:p>
            <w:pPr>
              <w:rPr>
                <w:rFonts w:ascii="宋体" w:hAnsi="宋体" w:cs="宋体"/>
                <w:color w:val="000000"/>
                <w:szCs w:val="21"/>
              </w:rPr>
            </w:pPr>
            <w:r>
              <w:rPr>
                <w:rFonts w:hint="eastAsia" w:ascii="宋体" w:hAnsi="宋体" w:cs="宋体"/>
                <w:color w:val="000000"/>
                <w:szCs w:val="21"/>
              </w:rPr>
              <w:t>禁吸烟。使用防爆型的通风系统和设备。防止蒸气泄漏到工作场所空气中。避免与氧化</w:t>
            </w:r>
          </w:p>
          <w:p>
            <w:pPr>
              <w:rPr>
                <w:rFonts w:ascii="宋体" w:hAnsi="宋体" w:cs="宋体"/>
                <w:color w:val="000000"/>
                <w:szCs w:val="21"/>
              </w:rPr>
            </w:pPr>
            <w:r>
              <w:rPr>
                <w:rFonts w:hint="eastAsia" w:ascii="宋体" w:hAnsi="宋体" w:cs="宋体"/>
                <w:color w:val="000000"/>
                <w:szCs w:val="21"/>
              </w:rPr>
              <w:t>剂接触。灌装时应控制流速，且有接地装置，防止静电积聚。搬运时要轻装轻卸，防止</w:t>
            </w:r>
          </w:p>
          <w:p>
            <w:pPr>
              <w:rPr>
                <w:rFonts w:ascii="宋体" w:hAnsi="宋体" w:cs="宋体"/>
                <w:color w:val="000000"/>
                <w:szCs w:val="21"/>
              </w:rPr>
            </w:pPr>
            <w:r>
              <w:rPr>
                <w:rFonts w:hint="eastAsia" w:ascii="宋体" w:hAnsi="宋体" w:cs="宋体"/>
                <w:color w:val="000000"/>
                <w:szCs w:val="21"/>
              </w:rPr>
              <w:t>包装及容器损坏。配备相应品种和数量的消防器材及泄漏应急处理设备。倒空的容器可</w:t>
            </w:r>
          </w:p>
          <w:p>
            <w:pPr>
              <w:rPr>
                <w:rFonts w:ascii="宋体" w:hAnsi="宋体" w:cs="宋体"/>
                <w:b/>
                <w:color w:val="000000"/>
                <w:szCs w:val="21"/>
              </w:rPr>
            </w:pPr>
            <w:r>
              <w:rPr>
                <w:rFonts w:hint="eastAsia" w:ascii="宋体" w:hAnsi="宋体" w:cs="宋体"/>
                <w:color w:val="000000"/>
                <w:szCs w:val="21"/>
              </w:rPr>
              <w:t>能残留有害物。</w:t>
            </w:r>
          </w:p>
          <w:p>
            <w:pPr>
              <w:rPr>
                <w:rFonts w:ascii="宋体" w:hAnsi="宋体" w:cs="宋体"/>
                <w:color w:val="000000"/>
                <w:szCs w:val="21"/>
              </w:rPr>
            </w:pPr>
            <w:r>
              <w:rPr>
                <w:rFonts w:hint="eastAsia" w:ascii="宋体" w:hAnsi="宋体" w:cs="宋体"/>
                <w:b/>
                <w:color w:val="000000"/>
                <w:szCs w:val="21"/>
              </w:rPr>
              <w:t>储存注意事项：</w:t>
            </w:r>
            <w:r>
              <w:rPr>
                <w:rFonts w:hint="eastAsia" w:ascii="宋体" w:hAnsi="宋体" w:cs="宋体"/>
                <w:color w:val="000000"/>
                <w:szCs w:val="21"/>
              </w:rPr>
              <w:t>储存于阴凉、通风的库房。远离火种、热源。库温不宜超过30℃。保持</w:t>
            </w:r>
          </w:p>
          <w:p>
            <w:pPr>
              <w:rPr>
                <w:rFonts w:ascii="宋体" w:hAnsi="宋体" w:cs="宋体"/>
                <w:color w:val="000000"/>
                <w:szCs w:val="21"/>
              </w:rPr>
            </w:pPr>
            <w:r>
              <w:rPr>
                <w:rFonts w:hint="eastAsia" w:ascii="宋体" w:hAnsi="宋体" w:cs="宋体"/>
                <w:color w:val="000000"/>
                <w:szCs w:val="21"/>
              </w:rPr>
              <w:t>容器密封。应与氧化剂分开存放，切忌混储。采用防爆型照明、通风设施。禁止使用易</w:t>
            </w:r>
          </w:p>
          <w:p>
            <w:pPr>
              <w:rPr>
                <w:rFonts w:ascii="宋体" w:hAnsi="宋体" w:cs="宋体"/>
                <w:color w:val="000000"/>
                <w:szCs w:val="21"/>
              </w:rPr>
            </w:pPr>
            <w:r>
              <w:rPr>
                <w:rFonts w:hint="eastAsia" w:ascii="宋体" w:hAnsi="宋体" w:cs="宋体"/>
                <w:color w:val="000000"/>
                <w:szCs w:val="21"/>
              </w:rPr>
              <w:t>产生火花的机械设备和工具。储区应备有泄漏应急处理设备和合适的收容材料。</w:t>
            </w:r>
          </w:p>
          <w:p>
            <w:pPr>
              <w:jc w:val="center"/>
              <w:rPr>
                <w:rFonts w:ascii="黑体" w:hAnsi="宋体" w:eastAsia="黑体" w:cs="黑体"/>
                <w:b/>
                <w:color w:val="000000"/>
                <w:szCs w:val="21"/>
              </w:rPr>
            </w:pPr>
            <w:r>
              <w:rPr>
                <w:rFonts w:hint="eastAsia" w:ascii="黑体" w:hAnsi="宋体" w:eastAsia="黑体" w:cs="黑体"/>
                <w:b/>
                <w:color w:val="000000"/>
                <w:szCs w:val="21"/>
              </w:rPr>
              <w:t>第八部分  接触控制/个体防护</w:t>
            </w:r>
          </w:p>
          <w:tbl>
            <w:tblPr>
              <w:tblStyle w:val="59"/>
              <w:tblW w:w="7599" w:type="dxa"/>
              <w:tblInd w:w="0" w:type="dxa"/>
              <w:tblLayout w:type="fixed"/>
              <w:tblCellMar>
                <w:top w:w="0" w:type="dxa"/>
                <w:left w:w="108" w:type="dxa"/>
                <w:bottom w:w="0" w:type="dxa"/>
                <w:right w:w="108" w:type="dxa"/>
              </w:tblCellMar>
            </w:tblPr>
            <w:tblGrid>
              <w:gridCol w:w="468"/>
              <w:gridCol w:w="3780"/>
              <w:gridCol w:w="3351"/>
            </w:tblGrid>
            <w:tr>
              <w:tblPrEx>
                <w:tblLayout w:type="fixed"/>
                <w:tblCellMar>
                  <w:top w:w="0" w:type="dxa"/>
                  <w:left w:w="108" w:type="dxa"/>
                  <w:bottom w:w="0" w:type="dxa"/>
                  <w:right w:w="108" w:type="dxa"/>
                </w:tblCellMar>
              </w:tblPrEx>
              <w:trPr>
                <w:cantSplit/>
              </w:trPr>
              <w:tc>
                <w:tcPr>
                  <w:tcW w:w="7599" w:type="dxa"/>
                  <w:gridSpan w:val="3"/>
                </w:tcPr>
                <w:p>
                  <w:pPr>
                    <w:rPr>
                      <w:b/>
                      <w:color w:val="000000"/>
                      <w:szCs w:val="21"/>
                    </w:rPr>
                  </w:pPr>
                  <w:r>
                    <w:rPr>
                      <w:rFonts w:hint="eastAsia" w:ascii="宋体" w:hAnsi="宋体" w:cs="宋体"/>
                      <w:b/>
                      <w:color w:val="000000"/>
                      <w:szCs w:val="21"/>
                    </w:rPr>
                    <w:t>职业接触限值：</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3780" w:type="dxa"/>
                </w:tcPr>
                <w:p>
                  <w:pPr>
                    <w:rPr>
                      <w:rFonts w:ascii="宋体" w:hAnsi="宋体" w:cs="宋体"/>
                      <w:color w:val="000000"/>
                      <w:szCs w:val="21"/>
                    </w:rPr>
                  </w:pPr>
                  <w:r>
                    <w:rPr>
                      <w:rFonts w:hint="eastAsia" w:ascii="宋体" w:hAnsi="宋体" w:cs="宋体"/>
                      <w:b/>
                      <w:color w:val="000000"/>
                      <w:szCs w:val="21"/>
                    </w:rPr>
                    <w:t>中国</w:t>
                  </w:r>
                  <w:r>
                    <w:rPr>
                      <w:b/>
                      <w:color w:val="000000"/>
                      <w:szCs w:val="21"/>
                    </w:rPr>
                    <w:t>MAC(mg/m</w:t>
                  </w:r>
                  <w:r>
                    <w:rPr>
                      <w:b/>
                      <w:color w:val="000000"/>
                      <w:szCs w:val="21"/>
                      <w:vertAlign w:val="superscript"/>
                    </w:rPr>
                    <w:t>3</w:t>
                  </w:r>
                  <w:r>
                    <w:rPr>
                      <w:b/>
                      <w:color w:val="000000"/>
                      <w:szCs w:val="21"/>
                    </w:rPr>
                    <w:t>)</w:t>
                  </w:r>
                  <w:r>
                    <w:rPr>
                      <w:rFonts w:hint="eastAsia" w:ascii="宋体" w:hAnsi="宋体" w:cs="宋体"/>
                      <w:b/>
                      <w:color w:val="000000"/>
                      <w:szCs w:val="21"/>
                    </w:rPr>
                    <w:t>：</w:t>
                  </w:r>
                  <w:r>
                    <w:rPr>
                      <w:color w:val="000000"/>
                      <w:szCs w:val="21"/>
                    </w:rPr>
                    <w:t>300[</w:t>
                  </w:r>
                  <w:r>
                    <w:rPr>
                      <w:rFonts w:hint="eastAsia" w:cs="宋体"/>
                      <w:color w:val="000000"/>
                      <w:szCs w:val="21"/>
                    </w:rPr>
                    <w:t>溶剂汽油</w:t>
                  </w:r>
                  <w:r>
                    <w:rPr>
                      <w:color w:val="000000"/>
                      <w:szCs w:val="21"/>
                    </w:rPr>
                    <w:t>]</w:t>
                  </w:r>
                </w:p>
              </w:tc>
              <w:tc>
                <w:tcPr>
                  <w:tcW w:w="3351" w:type="dxa"/>
                </w:tcPr>
                <w:p>
                  <w:pPr>
                    <w:rPr>
                      <w:b/>
                      <w:color w:val="000000"/>
                      <w:szCs w:val="21"/>
                    </w:rPr>
                  </w:pPr>
                  <w:r>
                    <w:rPr>
                      <w:rFonts w:hint="eastAsia" w:ascii="宋体" w:hAnsi="宋体" w:cs="宋体"/>
                      <w:b/>
                      <w:color w:val="000000"/>
                      <w:szCs w:val="21"/>
                    </w:rPr>
                    <w:t>前苏联</w:t>
                  </w:r>
                  <w:r>
                    <w:rPr>
                      <w:b/>
                      <w:color w:val="000000"/>
                      <w:szCs w:val="21"/>
                    </w:rPr>
                    <w:t>MAC(mg/m</w:t>
                  </w:r>
                  <w:r>
                    <w:rPr>
                      <w:b/>
                      <w:color w:val="000000"/>
                      <w:szCs w:val="21"/>
                      <w:vertAlign w:val="superscript"/>
                    </w:rPr>
                    <w:t>3</w:t>
                  </w:r>
                  <w:r>
                    <w:rPr>
                      <w:b/>
                      <w:color w:val="000000"/>
                      <w:szCs w:val="21"/>
                    </w:rPr>
                    <w:t>)</w:t>
                  </w:r>
                  <w:r>
                    <w:rPr>
                      <w:rFonts w:hint="eastAsia" w:cs="宋体"/>
                      <w:color w:val="000000"/>
                      <w:szCs w:val="21"/>
                    </w:rPr>
                    <w:t>：</w:t>
                  </w:r>
                  <w:r>
                    <w:rPr>
                      <w:color w:val="000000"/>
                      <w:szCs w:val="21"/>
                    </w:rPr>
                    <w:t>300</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7131" w:type="dxa"/>
                  <w:gridSpan w:val="2"/>
                </w:tcPr>
                <w:p>
                  <w:pPr>
                    <w:rPr>
                      <w:b/>
                      <w:color w:val="000000"/>
                      <w:szCs w:val="21"/>
                    </w:rPr>
                  </w:pPr>
                  <w:r>
                    <w:rPr>
                      <w:b/>
                      <w:color w:val="000000"/>
                      <w:szCs w:val="21"/>
                    </w:rPr>
                    <w:t>TLVTN</w:t>
                  </w:r>
                  <w:r>
                    <w:rPr>
                      <w:rFonts w:hint="eastAsia" w:cs="宋体"/>
                      <w:b/>
                      <w:color w:val="000000"/>
                      <w:szCs w:val="21"/>
                    </w:rPr>
                    <w:t>：</w:t>
                  </w:r>
                  <w:r>
                    <w:rPr>
                      <w:color w:val="000000"/>
                      <w:szCs w:val="21"/>
                    </w:rPr>
                    <w:t>ACGIH 300ppm,890mg/m3</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7131" w:type="dxa"/>
                  <w:gridSpan w:val="2"/>
                </w:tcPr>
                <w:p>
                  <w:pPr>
                    <w:rPr>
                      <w:b/>
                      <w:color w:val="000000"/>
                      <w:szCs w:val="21"/>
                    </w:rPr>
                  </w:pPr>
                  <w:r>
                    <w:rPr>
                      <w:b/>
                      <w:color w:val="000000"/>
                      <w:szCs w:val="21"/>
                    </w:rPr>
                    <w:t>TLVWN</w:t>
                  </w:r>
                  <w:r>
                    <w:rPr>
                      <w:rFonts w:hint="eastAsia" w:cs="宋体"/>
                      <w:b/>
                      <w:color w:val="000000"/>
                      <w:szCs w:val="21"/>
                    </w:rPr>
                    <w:t>：</w:t>
                  </w:r>
                  <w:r>
                    <w:rPr>
                      <w:color w:val="000000"/>
                      <w:szCs w:val="21"/>
                    </w:rPr>
                    <w:t>ACGIH 500ppm,1480mg/m3</w:t>
                  </w:r>
                </w:p>
              </w:tc>
            </w:tr>
          </w:tbl>
          <w:p>
            <w:pPr>
              <w:rPr>
                <w:rFonts w:ascii="宋体" w:hAnsi="宋体" w:cs="宋体"/>
                <w:b/>
                <w:color w:val="000000"/>
                <w:szCs w:val="21"/>
              </w:rPr>
            </w:pPr>
            <w:r>
              <w:rPr>
                <w:rFonts w:hint="eastAsia" w:ascii="宋体" w:hAnsi="宋体" w:cs="宋体"/>
                <w:b/>
                <w:color w:val="000000"/>
                <w:szCs w:val="21"/>
              </w:rPr>
              <w:t>监测方法：</w:t>
            </w:r>
            <w:r>
              <w:rPr>
                <w:rFonts w:hint="eastAsia" w:ascii="宋体" w:hAnsi="宋体" w:cs="宋体"/>
                <w:color w:val="000000"/>
                <w:szCs w:val="21"/>
              </w:rPr>
              <w:t>气相色谱法</w:t>
            </w:r>
          </w:p>
          <w:p>
            <w:pPr>
              <w:rPr>
                <w:rFonts w:ascii="宋体" w:hAnsi="宋体" w:cs="宋体"/>
                <w:b/>
                <w:color w:val="000000"/>
                <w:szCs w:val="21"/>
              </w:rPr>
            </w:pPr>
            <w:r>
              <w:rPr>
                <w:rFonts w:hint="eastAsia" w:ascii="宋体" w:hAnsi="宋体" w:cs="宋体"/>
                <w:b/>
                <w:color w:val="000000"/>
                <w:szCs w:val="21"/>
              </w:rPr>
              <w:t>工程控制：</w:t>
            </w:r>
            <w:r>
              <w:rPr>
                <w:rFonts w:hint="eastAsia" w:ascii="宋体" w:hAnsi="宋体" w:cs="宋体"/>
                <w:color w:val="000000"/>
                <w:szCs w:val="21"/>
              </w:rPr>
              <w:t>生产过程密闭，全面通风。</w:t>
            </w:r>
          </w:p>
          <w:p>
            <w:pPr>
              <w:rPr>
                <w:rFonts w:ascii="宋体" w:hAnsi="宋体" w:cs="宋体"/>
                <w:color w:val="000000"/>
                <w:szCs w:val="21"/>
              </w:rPr>
            </w:pPr>
            <w:r>
              <w:rPr>
                <w:rFonts w:hint="eastAsia" w:ascii="宋体" w:hAnsi="宋体" w:cs="宋体"/>
                <w:b/>
                <w:color w:val="000000"/>
                <w:szCs w:val="21"/>
              </w:rPr>
              <w:t>呼吸系统防护：</w:t>
            </w:r>
            <w:r>
              <w:rPr>
                <w:rFonts w:hint="eastAsia" w:ascii="宋体" w:hAnsi="宋体" w:cs="宋体"/>
                <w:color w:val="000000"/>
                <w:szCs w:val="21"/>
              </w:rPr>
              <w:t>一般不需要特殊防护，高浓度接触时可佩戴自吸过滤式防毒面具</w:t>
            </w:r>
          </w:p>
          <w:p>
            <w:pPr>
              <w:rPr>
                <w:rFonts w:ascii="宋体" w:hAnsi="宋体" w:cs="宋体"/>
                <w:b/>
                <w:color w:val="000000"/>
                <w:szCs w:val="21"/>
              </w:rPr>
            </w:pPr>
            <w:r>
              <w:rPr>
                <w:rFonts w:hint="eastAsia" w:ascii="宋体" w:hAnsi="宋体" w:cs="宋体"/>
                <w:color w:val="000000"/>
                <w:szCs w:val="21"/>
              </w:rPr>
              <w:t>（半面罩）。</w:t>
            </w:r>
          </w:p>
          <w:p>
            <w:pPr>
              <w:rPr>
                <w:rFonts w:ascii="宋体" w:hAnsi="宋体" w:cs="宋体"/>
                <w:b/>
                <w:color w:val="000000"/>
                <w:szCs w:val="21"/>
              </w:rPr>
            </w:pPr>
            <w:r>
              <w:rPr>
                <w:rFonts w:hint="eastAsia" w:ascii="宋体" w:hAnsi="宋体" w:cs="宋体"/>
                <w:b/>
                <w:color w:val="000000"/>
                <w:szCs w:val="21"/>
              </w:rPr>
              <w:t>眼睛防护：</w:t>
            </w:r>
            <w:r>
              <w:rPr>
                <w:rFonts w:hint="eastAsia" w:ascii="宋体" w:hAnsi="宋体" w:cs="宋体"/>
                <w:color w:val="000000"/>
                <w:szCs w:val="21"/>
              </w:rPr>
              <w:t>一般不需要特殊防护，高浓度接触时可戴化学安全防护眼镜。</w:t>
            </w:r>
          </w:p>
          <w:p>
            <w:pPr>
              <w:rPr>
                <w:rFonts w:ascii="宋体" w:hAnsi="宋体" w:cs="宋体"/>
                <w:b/>
                <w:color w:val="000000"/>
                <w:szCs w:val="21"/>
              </w:rPr>
            </w:pPr>
            <w:r>
              <w:rPr>
                <w:rFonts w:hint="eastAsia" w:ascii="宋体" w:hAnsi="宋体" w:cs="宋体"/>
                <w:b/>
                <w:color w:val="000000"/>
                <w:szCs w:val="21"/>
              </w:rPr>
              <w:t>身体防护：</w:t>
            </w:r>
            <w:r>
              <w:rPr>
                <w:rFonts w:hint="eastAsia" w:ascii="宋体" w:hAnsi="宋体" w:cs="宋体"/>
                <w:color w:val="000000"/>
                <w:szCs w:val="21"/>
              </w:rPr>
              <w:t>穿防静电工作服。</w:t>
            </w:r>
          </w:p>
          <w:p>
            <w:pPr>
              <w:rPr>
                <w:rFonts w:ascii="宋体" w:hAnsi="宋体" w:cs="宋体"/>
                <w:b/>
                <w:color w:val="000000"/>
                <w:szCs w:val="21"/>
              </w:rPr>
            </w:pPr>
            <w:r>
              <w:rPr>
                <w:rFonts w:hint="eastAsia" w:ascii="宋体" w:hAnsi="宋体" w:cs="宋体"/>
                <w:b/>
                <w:color w:val="000000"/>
                <w:szCs w:val="21"/>
              </w:rPr>
              <w:t>手防护：</w:t>
            </w:r>
            <w:r>
              <w:rPr>
                <w:rFonts w:hint="eastAsia" w:ascii="宋体" w:hAnsi="宋体" w:cs="宋体"/>
                <w:color w:val="000000"/>
                <w:szCs w:val="21"/>
              </w:rPr>
              <w:t>戴橡胶耐油手套。</w:t>
            </w:r>
          </w:p>
          <w:p>
            <w:pPr>
              <w:rPr>
                <w:rFonts w:ascii="宋体" w:hAnsi="宋体" w:cs="宋体"/>
                <w:color w:val="000000"/>
                <w:szCs w:val="21"/>
              </w:rPr>
            </w:pPr>
            <w:r>
              <w:rPr>
                <w:rFonts w:hint="eastAsia" w:ascii="宋体" w:hAnsi="宋体" w:cs="宋体"/>
                <w:b/>
                <w:color w:val="000000"/>
                <w:szCs w:val="21"/>
              </w:rPr>
              <w:t>其它防护：</w:t>
            </w:r>
            <w:r>
              <w:rPr>
                <w:rFonts w:hint="eastAsia" w:ascii="宋体" w:hAnsi="宋体" w:cs="宋体"/>
                <w:color w:val="000000"/>
                <w:szCs w:val="21"/>
              </w:rPr>
              <w:t>工作现场严禁吸烟。避免长期反复接触。</w:t>
            </w:r>
          </w:p>
          <w:p>
            <w:pPr>
              <w:jc w:val="center"/>
              <w:rPr>
                <w:rFonts w:ascii="黑体" w:hAnsi="宋体" w:eastAsia="黑体" w:cs="黑体"/>
                <w:b/>
                <w:color w:val="000000"/>
                <w:szCs w:val="21"/>
              </w:rPr>
            </w:pPr>
            <w:r>
              <w:rPr>
                <w:rFonts w:hint="eastAsia" w:ascii="黑体" w:hAnsi="宋体" w:eastAsia="黑体" w:cs="黑体"/>
                <w:b/>
                <w:color w:val="000000"/>
                <w:szCs w:val="21"/>
              </w:rPr>
              <w:t>第九部分  理 化 特 性</w:t>
            </w:r>
          </w:p>
          <w:tbl>
            <w:tblPr>
              <w:tblStyle w:val="59"/>
              <w:tblW w:w="7734" w:type="dxa"/>
              <w:tblInd w:w="0" w:type="dxa"/>
              <w:tblLayout w:type="fixed"/>
              <w:tblCellMar>
                <w:top w:w="0" w:type="dxa"/>
                <w:left w:w="108" w:type="dxa"/>
                <w:bottom w:w="0" w:type="dxa"/>
                <w:right w:w="108" w:type="dxa"/>
              </w:tblCellMar>
            </w:tblPr>
            <w:tblGrid>
              <w:gridCol w:w="4260"/>
              <w:gridCol w:w="3474"/>
            </w:tblGrid>
            <w:tr>
              <w:tblPrEx>
                <w:tblLayout w:type="fixed"/>
                <w:tblCellMar>
                  <w:top w:w="0" w:type="dxa"/>
                  <w:left w:w="108" w:type="dxa"/>
                  <w:bottom w:w="0" w:type="dxa"/>
                  <w:right w:w="108" w:type="dxa"/>
                </w:tblCellMar>
              </w:tblPrEx>
              <w:trPr>
                <w:cantSplit/>
              </w:trPr>
              <w:tc>
                <w:tcPr>
                  <w:tcW w:w="7734" w:type="dxa"/>
                  <w:gridSpan w:val="2"/>
                  <w:vAlign w:val="center"/>
                </w:tcPr>
                <w:p>
                  <w:pPr>
                    <w:rPr>
                      <w:rFonts w:ascii="宋体" w:hAnsi="宋体" w:cs="宋体"/>
                      <w:b/>
                      <w:color w:val="000000"/>
                      <w:szCs w:val="21"/>
                    </w:rPr>
                  </w:pPr>
                  <w:r>
                    <w:rPr>
                      <w:rFonts w:hint="eastAsia" w:ascii="宋体" w:hAnsi="宋体" w:cs="宋体"/>
                      <w:b/>
                      <w:color w:val="000000"/>
                      <w:szCs w:val="21"/>
                    </w:rPr>
                    <w:t>外观与性状：</w:t>
                  </w:r>
                  <w:r>
                    <w:rPr>
                      <w:rFonts w:hint="eastAsia" w:ascii="宋体" w:hAnsi="宋体" w:cs="宋体"/>
                      <w:color w:val="000000"/>
                      <w:szCs w:val="21"/>
                    </w:rPr>
                    <w:t>无色或淡黄色易挥发液体, 具有特殊臭味。</w:t>
                  </w:r>
                </w:p>
              </w:tc>
            </w:tr>
            <w:tr>
              <w:tblPrEx>
                <w:tblLayout w:type="fixed"/>
                <w:tblCellMar>
                  <w:top w:w="0" w:type="dxa"/>
                  <w:left w:w="108" w:type="dxa"/>
                  <w:bottom w:w="0" w:type="dxa"/>
                  <w:right w:w="108" w:type="dxa"/>
                </w:tblCellMar>
              </w:tblPrEx>
              <w:trPr>
                <w:cantSplit/>
              </w:trPr>
              <w:tc>
                <w:tcPr>
                  <w:tcW w:w="4260" w:type="dxa"/>
                </w:tcPr>
                <w:p>
                  <w:pPr>
                    <w:rPr>
                      <w:rFonts w:ascii="宋体" w:hAnsi="宋体" w:cs="宋体"/>
                      <w:b/>
                      <w:color w:val="000000"/>
                      <w:szCs w:val="21"/>
                    </w:rPr>
                  </w:pPr>
                  <w:r>
                    <w:rPr>
                      <w:b/>
                      <w:color w:val="000000"/>
                      <w:szCs w:val="21"/>
                    </w:rPr>
                    <w:t>pH</w:t>
                  </w:r>
                  <w:r>
                    <w:rPr>
                      <w:rFonts w:hint="eastAsia" w:ascii="宋体" w:hAnsi="宋体" w:cs="宋体"/>
                      <w:b/>
                      <w:color w:val="000000"/>
                      <w:szCs w:val="21"/>
                    </w:rPr>
                    <w:t>值：</w:t>
                  </w:r>
                </w:p>
              </w:tc>
              <w:tc>
                <w:tcPr>
                  <w:tcW w:w="3474" w:type="dxa"/>
                </w:tcPr>
                <w:p>
                  <w:pPr>
                    <w:rPr>
                      <w:rFonts w:ascii="宋体" w:hAnsi="宋体" w:cs="宋体"/>
                      <w:b/>
                      <w:color w:val="000000"/>
                      <w:szCs w:val="21"/>
                    </w:rPr>
                  </w:pPr>
                  <w:r>
                    <w:rPr>
                      <w:rFonts w:hint="eastAsia" w:ascii="宋体" w:hAnsi="宋体" w:cs="宋体"/>
                      <w:b/>
                      <w:color w:val="000000"/>
                      <w:szCs w:val="21"/>
                    </w:rPr>
                    <w:t>熔点（℃）：</w:t>
                  </w:r>
                  <w:r>
                    <w:rPr>
                      <w:color w:val="000000"/>
                      <w:szCs w:val="21"/>
                    </w:rPr>
                    <w:t>&lt;-60</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相对密度（水＝</w:t>
                  </w:r>
                  <w:r>
                    <w:rPr>
                      <w:b/>
                      <w:color w:val="000000"/>
                      <w:szCs w:val="21"/>
                    </w:rPr>
                    <w:t>1</w:t>
                  </w:r>
                  <w:r>
                    <w:rPr>
                      <w:rFonts w:hint="eastAsia" w:cs="宋体"/>
                      <w:b/>
                      <w:color w:val="000000"/>
                      <w:szCs w:val="21"/>
                    </w:rPr>
                    <w:t>）：</w:t>
                  </w:r>
                  <w:r>
                    <w:rPr>
                      <w:color w:val="000000"/>
                      <w:szCs w:val="21"/>
                    </w:rPr>
                    <w:t>0.70</w:t>
                  </w:r>
                  <w:r>
                    <w:rPr>
                      <w:rFonts w:hint="eastAsia" w:cs="宋体"/>
                      <w:color w:val="000000"/>
                      <w:szCs w:val="21"/>
                    </w:rPr>
                    <w:t>～</w:t>
                  </w:r>
                  <w:r>
                    <w:rPr>
                      <w:color w:val="000000"/>
                      <w:szCs w:val="21"/>
                    </w:rPr>
                    <w:t>0.79</w:t>
                  </w:r>
                </w:p>
              </w:tc>
              <w:tc>
                <w:tcPr>
                  <w:tcW w:w="3474" w:type="dxa"/>
                </w:tcPr>
                <w:p>
                  <w:pPr>
                    <w:rPr>
                      <w:rFonts w:ascii="宋体" w:hAnsi="宋体" w:cs="宋体"/>
                      <w:b/>
                      <w:color w:val="000000"/>
                      <w:szCs w:val="21"/>
                    </w:rPr>
                  </w:pPr>
                  <w:r>
                    <w:rPr>
                      <w:rFonts w:hint="eastAsia" w:ascii="宋体" w:hAnsi="宋体" w:cs="宋体"/>
                      <w:b/>
                      <w:color w:val="000000"/>
                      <w:szCs w:val="21"/>
                    </w:rPr>
                    <w:t>沸点（℃）：</w:t>
                  </w:r>
                  <w:r>
                    <w:rPr>
                      <w:color w:val="000000"/>
                      <w:szCs w:val="21"/>
                    </w:rPr>
                    <w:t>40</w:t>
                  </w:r>
                  <w:r>
                    <w:rPr>
                      <w:rFonts w:hint="eastAsia" w:cs="宋体"/>
                      <w:color w:val="000000"/>
                      <w:szCs w:val="21"/>
                    </w:rPr>
                    <w:t>～</w:t>
                  </w:r>
                  <w:r>
                    <w:rPr>
                      <w:color w:val="000000"/>
                      <w:szCs w:val="21"/>
                    </w:rPr>
                    <w:t>200</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相对蒸气密度（空气＝</w:t>
                  </w:r>
                  <w:r>
                    <w:rPr>
                      <w:b/>
                      <w:color w:val="000000"/>
                      <w:szCs w:val="21"/>
                    </w:rPr>
                    <w:t>1</w:t>
                  </w:r>
                  <w:r>
                    <w:rPr>
                      <w:rFonts w:hint="eastAsia" w:cs="宋体"/>
                      <w:b/>
                      <w:color w:val="000000"/>
                      <w:szCs w:val="21"/>
                    </w:rPr>
                    <w:t>）：</w:t>
                  </w:r>
                  <w:r>
                    <w:rPr>
                      <w:color w:val="000000"/>
                      <w:szCs w:val="21"/>
                    </w:rPr>
                    <w:t>3.5</w:t>
                  </w:r>
                </w:p>
              </w:tc>
              <w:tc>
                <w:tcPr>
                  <w:tcW w:w="3474" w:type="dxa"/>
                </w:tcPr>
                <w:p>
                  <w:pPr>
                    <w:rPr>
                      <w:rFonts w:ascii="宋体" w:hAnsi="宋体" w:cs="宋体"/>
                      <w:b/>
                      <w:color w:val="000000"/>
                      <w:szCs w:val="21"/>
                    </w:rPr>
                  </w:pPr>
                  <w:r>
                    <w:rPr>
                      <w:rFonts w:hint="eastAsia" w:ascii="宋体" w:hAnsi="宋体" w:cs="宋体"/>
                      <w:b/>
                      <w:color w:val="000000"/>
                      <w:szCs w:val="21"/>
                    </w:rPr>
                    <w:t>辛醇/水分配系数：</w:t>
                  </w:r>
                  <w:r>
                    <w:rPr>
                      <w:rFonts w:hint="eastAsia" w:cs="宋体"/>
                      <w:color w:val="000000"/>
                      <w:szCs w:val="21"/>
                    </w:rPr>
                    <w:t>无资料</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闪点（</w:t>
                  </w:r>
                  <w:r>
                    <w:rPr>
                      <w:rFonts w:hint="eastAsia" w:ascii="宋体" w:hAnsi="宋体" w:cs="宋体"/>
                      <w:b/>
                      <w:color w:val="000000"/>
                      <w:szCs w:val="21"/>
                    </w:rPr>
                    <w:t>℃</w:t>
                  </w:r>
                  <w:r>
                    <w:rPr>
                      <w:rFonts w:hint="eastAsia" w:cs="宋体"/>
                      <w:b/>
                      <w:color w:val="000000"/>
                      <w:szCs w:val="21"/>
                    </w:rPr>
                    <w:t>）：</w:t>
                  </w:r>
                  <w:r>
                    <w:rPr>
                      <w:color w:val="000000"/>
                      <w:szCs w:val="21"/>
                    </w:rPr>
                    <w:t>-50</w:t>
                  </w:r>
                </w:p>
              </w:tc>
              <w:tc>
                <w:tcPr>
                  <w:tcW w:w="3474" w:type="dxa"/>
                </w:tcPr>
                <w:p>
                  <w:pPr>
                    <w:rPr>
                      <w:rFonts w:ascii="宋体" w:hAnsi="宋体" w:cs="宋体"/>
                      <w:b/>
                      <w:color w:val="000000"/>
                      <w:szCs w:val="21"/>
                    </w:rPr>
                  </w:pPr>
                  <w:r>
                    <w:rPr>
                      <w:rFonts w:hint="eastAsia" w:ascii="宋体" w:hAnsi="宋体" w:cs="宋体"/>
                      <w:b/>
                      <w:color w:val="000000"/>
                      <w:szCs w:val="21"/>
                    </w:rPr>
                    <w:t>引燃温度（℃）：</w:t>
                  </w:r>
                  <w:r>
                    <w:rPr>
                      <w:color w:val="000000"/>
                      <w:szCs w:val="21"/>
                    </w:rPr>
                    <w:t>415</w:t>
                  </w:r>
                  <w:r>
                    <w:rPr>
                      <w:rFonts w:hint="eastAsia" w:cs="宋体"/>
                      <w:color w:val="000000"/>
                      <w:szCs w:val="21"/>
                    </w:rPr>
                    <w:t>～</w:t>
                  </w:r>
                  <w:r>
                    <w:rPr>
                      <w:color w:val="000000"/>
                      <w:szCs w:val="21"/>
                    </w:rPr>
                    <w:t>530</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爆炸上限</w:t>
                  </w:r>
                  <w:r>
                    <w:rPr>
                      <w:b/>
                      <w:color w:val="000000"/>
                      <w:szCs w:val="21"/>
                    </w:rPr>
                    <w:t>[</w:t>
                  </w:r>
                  <w:r>
                    <w:rPr>
                      <w:rFonts w:hint="eastAsia" w:cs="宋体"/>
                      <w:b/>
                      <w:color w:val="000000"/>
                      <w:szCs w:val="21"/>
                    </w:rPr>
                    <w:t>％（</w:t>
                  </w:r>
                  <w:r>
                    <w:rPr>
                      <w:b/>
                      <w:color w:val="000000"/>
                      <w:szCs w:val="21"/>
                    </w:rPr>
                    <w:t>V/V</w:t>
                  </w:r>
                  <w:r>
                    <w:rPr>
                      <w:rFonts w:hint="eastAsia" w:cs="宋体"/>
                      <w:b/>
                      <w:color w:val="000000"/>
                      <w:szCs w:val="21"/>
                    </w:rPr>
                    <w:t>）</w:t>
                  </w:r>
                  <w:r>
                    <w:rPr>
                      <w:b/>
                      <w:color w:val="000000"/>
                      <w:szCs w:val="21"/>
                    </w:rPr>
                    <w:t>]</w:t>
                  </w:r>
                  <w:r>
                    <w:rPr>
                      <w:rFonts w:hint="eastAsia" w:cs="宋体"/>
                      <w:b/>
                      <w:color w:val="000000"/>
                      <w:szCs w:val="21"/>
                    </w:rPr>
                    <w:t>：</w:t>
                  </w:r>
                  <w:r>
                    <w:rPr>
                      <w:color w:val="000000"/>
                      <w:szCs w:val="21"/>
                    </w:rPr>
                    <w:t>6.0</w:t>
                  </w:r>
                </w:p>
              </w:tc>
              <w:tc>
                <w:tcPr>
                  <w:tcW w:w="3474" w:type="dxa"/>
                </w:tcPr>
                <w:p>
                  <w:pPr>
                    <w:rPr>
                      <w:rFonts w:ascii="宋体" w:hAnsi="宋体" w:cs="宋体"/>
                      <w:b/>
                      <w:color w:val="000000"/>
                      <w:szCs w:val="21"/>
                    </w:rPr>
                  </w:pPr>
                  <w:r>
                    <w:rPr>
                      <w:rFonts w:hint="eastAsia" w:cs="宋体"/>
                      <w:b/>
                      <w:color w:val="000000"/>
                      <w:szCs w:val="21"/>
                    </w:rPr>
                    <w:t>爆炸下限</w:t>
                  </w:r>
                  <w:r>
                    <w:rPr>
                      <w:b/>
                      <w:color w:val="000000"/>
                      <w:szCs w:val="21"/>
                    </w:rPr>
                    <w:t>[</w:t>
                  </w:r>
                  <w:r>
                    <w:rPr>
                      <w:rFonts w:hint="eastAsia" w:cs="宋体"/>
                      <w:b/>
                      <w:color w:val="000000"/>
                      <w:szCs w:val="21"/>
                    </w:rPr>
                    <w:t>％（</w:t>
                  </w:r>
                  <w:r>
                    <w:rPr>
                      <w:b/>
                      <w:color w:val="000000"/>
                      <w:szCs w:val="21"/>
                    </w:rPr>
                    <w:t>V/V</w:t>
                  </w:r>
                  <w:r>
                    <w:rPr>
                      <w:rFonts w:hint="eastAsia" w:cs="宋体"/>
                      <w:b/>
                      <w:color w:val="000000"/>
                      <w:szCs w:val="21"/>
                    </w:rPr>
                    <w:t>）</w:t>
                  </w:r>
                  <w:r>
                    <w:rPr>
                      <w:b/>
                      <w:color w:val="000000"/>
                      <w:szCs w:val="21"/>
                    </w:rPr>
                    <w:t>]</w:t>
                  </w:r>
                  <w:r>
                    <w:rPr>
                      <w:rFonts w:hint="eastAsia" w:cs="宋体"/>
                      <w:b/>
                      <w:color w:val="000000"/>
                      <w:szCs w:val="21"/>
                    </w:rPr>
                    <w:t>：</w:t>
                  </w:r>
                  <w:r>
                    <w:rPr>
                      <w:color w:val="000000"/>
                      <w:szCs w:val="21"/>
                    </w:rPr>
                    <w:t>1.3</w:t>
                  </w:r>
                </w:p>
              </w:tc>
            </w:tr>
            <w:tr>
              <w:tblPrEx>
                <w:tblLayout w:type="fixed"/>
                <w:tblCellMar>
                  <w:top w:w="0" w:type="dxa"/>
                  <w:left w:w="108" w:type="dxa"/>
                  <w:bottom w:w="0" w:type="dxa"/>
                  <w:right w:w="108" w:type="dxa"/>
                </w:tblCellMar>
              </w:tblPrEx>
              <w:trPr>
                <w:cantSplit/>
              </w:trPr>
              <w:tc>
                <w:tcPr>
                  <w:tcW w:w="7734" w:type="dxa"/>
                  <w:gridSpan w:val="2"/>
                </w:tcPr>
                <w:p>
                  <w:pPr>
                    <w:rPr>
                      <w:b/>
                      <w:color w:val="000000"/>
                      <w:szCs w:val="21"/>
                    </w:rPr>
                  </w:pPr>
                  <w:r>
                    <w:rPr>
                      <w:rFonts w:hint="eastAsia" w:cs="宋体"/>
                      <w:b/>
                      <w:color w:val="000000"/>
                      <w:szCs w:val="21"/>
                    </w:rPr>
                    <w:t>溶解性：</w:t>
                  </w:r>
                  <w:r>
                    <w:rPr>
                      <w:rFonts w:hint="eastAsia" w:ascii="宋体" w:hAnsi="宋体" w:cs="宋体"/>
                      <w:color w:val="000000"/>
                      <w:szCs w:val="21"/>
                    </w:rPr>
                    <w:t>不溶于水，易溶于苯、二硫化碳、醇、脂肪。</w:t>
                  </w:r>
                </w:p>
              </w:tc>
            </w:tr>
            <w:tr>
              <w:tblPrEx>
                <w:tblLayout w:type="fixed"/>
                <w:tblCellMar>
                  <w:top w:w="0" w:type="dxa"/>
                  <w:left w:w="108" w:type="dxa"/>
                  <w:bottom w:w="0" w:type="dxa"/>
                  <w:right w:w="108" w:type="dxa"/>
                </w:tblCellMar>
              </w:tblPrEx>
              <w:trPr>
                <w:cantSplit/>
              </w:trPr>
              <w:tc>
                <w:tcPr>
                  <w:tcW w:w="7734" w:type="dxa"/>
                  <w:gridSpan w:val="2"/>
                </w:tcPr>
                <w:p>
                  <w:pPr>
                    <w:rPr>
                      <w:b/>
                      <w:color w:val="000000"/>
                      <w:szCs w:val="21"/>
                    </w:rPr>
                  </w:pPr>
                  <w:r>
                    <w:rPr>
                      <w:rFonts w:hint="eastAsia" w:cs="宋体"/>
                      <w:b/>
                      <w:color w:val="000000"/>
                      <w:szCs w:val="21"/>
                    </w:rPr>
                    <w:t>主要用途：</w:t>
                  </w:r>
                  <w:r>
                    <w:rPr>
                      <w:rFonts w:hint="eastAsia" w:ascii="宋体" w:hAnsi="宋体" w:cs="宋体"/>
                      <w:color w:val="000000"/>
                      <w:szCs w:val="21"/>
                    </w:rPr>
                    <w:t>主要用作汽油机的燃料, 用于橡胶、制鞋、印刷、制革、颜料等行业, 也可用作机械零件的去污剂。</w:t>
                  </w:r>
                </w:p>
              </w:tc>
            </w:tr>
          </w:tbl>
          <w:p>
            <w:pPr>
              <w:jc w:val="center"/>
              <w:rPr>
                <w:rFonts w:ascii="宋体" w:hAnsi="宋体" w:cs="宋体"/>
                <w:b/>
                <w:color w:val="000000"/>
                <w:szCs w:val="21"/>
              </w:rPr>
            </w:pPr>
            <w:r>
              <w:rPr>
                <w:rFonts w:hint="eastAsia" w:ascii="黑体" w:hAnsi="宋体" w:eastAsia="黑体" w:cs="黑体"/>
                <w:b/>
                <w:color w:val="000000"/>
                <w:szCs w:val="21"/>
              </w:rPr>
              <w:t>第十部分  稳定性和反应活性</w:t>
            </w:r>
          </w:p>
          <w:p>
            <w:pPr>
              <w:rPr>
                <w:rFonts w:ascii="宋体" w:hAnsi="宋体" w:cs="宋体"/>
                <w:b/>
                <w:color w:val="000000"/>
                <w:szCs w:val="21"/>
              </w:rPr>
            </w:pPr>
            <w:r>
              <w:rPr>
                <w:rFonts w:hint="eastAsia" w:ascii="宋体" w:hAnsi="宋体" w:cs="宋体"/>
                <w:b/>
                <w:color w:val="000000"/>
                <w:szCs w:val="21"/>
              </w:rPr>
              <w:t>稳定性：</w:t>
            </w:r>
            <w:r>
              <w:rPr>
                <w:rFonts w:hint="eastAsia" w:ascii="宋体" w:hAnsi="宋体" w:cs="宋体"/>
                <w:color w:val="000000"/>
                <w:szCs w:val="21"/>
              </w:rPr>
              <w:t>稳定</w:t>
            </w:r>
          </w:p>
          <w:p>
            <w:pPr>
              <w:rPr>
                <w:rFonts w:ascii="宋体" w:hAnsi="宋体" w:cs="宋体"/>
                <w:b/>
                <w:color w:val="000000"/>
                <w:szCs w:val="21"/>
              </w:rPr>
            </w:pPr>
            <w:r>
              <w:rPr>
                <w:rFonts w:hint="eastAsia" w:ascii="宋体" w:hAnsi="宋体" w:cs="宋体"/>
                <w:b/>
                <w:color w:val="000000"/>
                <w:szCs w:val="21"/>
              </w:rPr>
              <w:t>禁配物：</w:t>
            </w:r>
            <w:r>
              <w:rPr>
                <w:rFonts w:hint="eastAsia" w:ascii="宋体" w:hAnsi="宋体" w:cs="宋体"/>
                <w:color w:val="000000"/>
                <w:szCs w:val="21"/>
              </w:rPr>
              <w:t>强氧化剂。</w:t>
            </w:r>
          </w:p>
          <w:p>
            <w:pPr>
              <w:rPr>
                <w:rFonts w:ascii="宋体" w:hAnsi="宋体" w:cs="宋体"/>
                <w:b/>
                <w:color w:val="000000"/>
                <w:szCs w:val="21"/>
              </w:rPr>
            </w:pPr>
            <w:r>
              <w:rPr>
                <w:rFonts w:hint="eastAsia" w:ascii="宋体" w:hAnsi="宋体" w:cs="宋体"/>
                <w:b/>
                <w:color w:val="000000"/>
                <w:szCs w:val="21"/>
              </w:rPr>
              <w:t>避免接触的条件:</w:t>
            </w:r>
          </w:p>
          <w:p>
            <w:pPr>
              <w:rPr>
                <w:rFonts w:ascii="宋体" w:hAnsi="宋体" w:cs="宋体"/>
                <w:b/>
                <w:color w:val="000000"/>
                <w:szCs w:val="21"/>
              </w:rPr>
            </w:pPr>
            <w:r>
              <w:rPr>
                <w:rFonts w:hint="eastAsia" w:ascii="宋体" w:hAnsi="宋体" w:cs="宋体"/>
                <w:b/>
                <w:color w:val="000000"/>
                <w:szCs w:val="21"/>
              </w:rPr>
              <w:t>聚合危害：</w:t>
            </w:r>
            <w:r>
              <w:rPr>
                <w:rFonts w:hint="eastAsia" w:ascii="宋体" w:hAnsi="宋体" w:cs="宋体"/>
                <w:color w:val="000000"/>
                <w:szCs w:val="21"/>
              </w:rPr>
              <w:t>不聚合</w:t>
            </w:r>
          </w:p>
          <w:p>
            <w:pPr>
              <w:rPr>
                <w:rFonts w:ascii="宋体" w:hAnsi="宋体" w:cs="宋体"/>
                <w:color w:val="000000"/>
                <w:szCs w:val="21"/>
              </w:rPr>
            </w:pPr>
            <w:r>
              <w:rPr>
                <w:rFonts w:hint="eastAsia" w:ascii="宋体" w:hAnsi="宋体" w:cs="宋体"/>
                <w:b/>
                <w:color w:val="000000"/>
                <w:szCs w:val="21"/>
              </w:rPr>
              <w:t>分解产物：</w:t>
            </w:r>
          </w:p>
          <w:p>
            <w:pPr>
              <w:jc w:val="center"/>
              <w:rPr>
                <w:rFonts w:ascii="黑体" w:hAnsi="宋体" w:eastAsia="黑体" w:cs="黑体"/>
                <w:b/>
                <w:color w:val="000000"/>
                <w:szCs w:val="21"/>
              </w:rPr>
            </w:pPr>
            <w:r>
              <w:rPr>
                <w:rFonts w:hint="eastAsia" w:ascii="黑体" w:hAnsi="宋体" w:eastAsia="黑体" w:cs="黑体"/>
                <w:b/>
                <w:color w:val="000000"/>
                <w:szCs w:val="21"/>
              </w:rPr>
              <w:t>第十一部分  毒理学资料</w:t>
            </w:r>
          </w:p>
          <w:p>
            <w:pPr>
              <w:rPr>
                <w:rFonts w:ascii="宋体" w:hAnsi="宋体" w:cs="宋体"/>
                <w:color w:val="000000"/>
                <w:szCs w:val="21"/>
              </w:rPr>
            </w:pPr>
            <w:r>
              <w:rPr>
                <w:rFonts w:hint="eastAsia" w:ascii="宋体" w:hAnsi="宋体" w:cs="宋体"/>
                <w:b/>
                <w:color w:val="000000"/>
                <w:szCs w:val="21"/>
              </w:rPr>
              <w:t xml:space="preserve">急性毒性： </w:t>
            </w:r>
            <w:r>
              <w:rPr>
                <w:b/>
                <w:color w:val="000000"/>
                <w:szCs w:val="21"/>
              </w:rPr>
              <w:t>LD</w:t>
            </w:r>
            <w:r>
              <w:rPr>
                <w:b/>
                <w:color w:val="000000"/>
                <w:szCs w:val="21"/>
                <w:vertAlign w:val="subscript"/>
              </w:rPr>
              <w:t>50</w:t>
            </w:r>
            <w:r>
              <w:rPr>
                <w:rFonts w:hint="eastAsia" w:ascii="宋体" w:hAnsi="宋体" w:cs="宋体"/>
                <w:color w:val="000000"/>
                <w:szCs w:val="21"/>
              </w:rPr>
              <w:t>：67000 mg/kg(小鼠经口)(120号溶剂汽油)</w:t>
            </w:r>
          </w:p>
          <w:p>
            <w:pPr>
              <w:rPr>
                <w:rFonts w:ascii="Times New Roman" w:hAnsi="Times New Roman"/>
                <w:b/>
                <w:color w:val="000000"/>
              </w:rPr>
            </w:pPr>
            <w:r>
              <w:rPr>
                <w:rFonts w:ascii="Times New Roman" w:hAnsi="Times New Roman"/>
                <w:b/>
                <w:color w:val="000000"/>
                <w:szCs w:val="22"/>
              </w:rPr>
              <w:t>LC</w:t>
            </w:r>
            <w:r>
              <w:rPr>
                <w:rFonts w:ascii="Times New Roman" w:hAnsi="Times New Roman"/>
                <w:b/>
                <w:color w:val="000000"/>
                <w:szCs w:val="22"/>
                <w:vertAlign w:val="subscript"/>
              </w:rPr>
              <w:t>50</w:t>
            </w:r>
            <w:r>
              <w:rPr>
                <w:rFonts w:hint="eastAsia" w:ascii="Times New Roman" w:hAnsi="Times New Roman" w:cs="宋体"/>
                <w:b/>
                <w:color w:val="000000"/>
                <w:szCs w:val="22"/>
              </w:rPr>
              <w:t>：</w:t>
            </w:r>
            <w:r>
              <w:rPr>
                <w:color w:val="000000"/>
                <w:szCs w:val="22"/>
              </w:rPr>
              <w:t>103000mg/m3</w:t>
            </w:r>
            <w:r>
              <w:rPr>
                <w:rFonts w:hint="eastAsia" w:cs="宋体"/>
                <w:color w:val="000000"/>
                <w:szCs w:val="22"/>
              </w:rPr>
              <w:t>，</w:t>
            </w:r>
            <w:r>
              <w:rPr>
                <w:color w:val="000000"/>
                <w:szCs w:val="22"/>
              </w:rPr>
              <w:t>2</w:t>
            </w:r>
            <w:r>
              <w:rPr>
                <w:rFonts w:hint="eastAsia" w:cs="宋体"/>
                <w:color w:val="000000"/>
                <w:szCs w:val="22"/>
              </w:rPr>
              <w:t>小时</w:t>
            </w:r>
            <w:r>
              <w:rPr>
                <w:color w:val="000000"/>
                <w:szCs w:val="22"/>
              </w:rPr>
              <w:t>(</w:t>
            </w:r>
            <w:r>
              <w:rPr>
                <w:rFonts w:hint="eastAsia" w:cs="宋体"/>
                <w:color w:val="000000"/>
                <w:szCs w:val="22"/>
              </w:rPr>
              <w:t>小鼠吸入</w:t>
            </w:r>
            <w:r>
              <w:rPr>
                <w:color w:val="000000"/>
                <w:szCs w:val="22"/>
              </w:rPr>
              <w:t>)(120</w:t>
            </w:r>
            <w:r>
              <w:rPr>
                <w:rFonts w:hint="eastAsia" w:cs="宋体"/>
                <w:color w:val="000000"/>
                <w:szCs w:val="22"/>
              </w:rPr>
              <w:t>号溶剂汽油</w:t>
            </w:r>
            <w:r>
              <w:rPr>
                <w:color w:val="000000"/>
                <w:szCs w:val="22"/>
              </w:rPr>
              <w:t>)</w:t>
            </w:r>
          </w:p>
          <w:p>
            <w:pPr>
              <w:rPr>
                <w:rFonts w:ascii="宋体" w:hAnsi="宋体" w:cs="宋体"/>
                <w:color w:val="000000"/>
                <w:szCs w:val="21"/>
              </w:rPr>
            </w:pPr>
            <w:r>
              <w:rPr>
                <w:rFonts w:hint="eastAsia" w:ascii="宋体" w:hAnsi="宋体" w:cs="宋体"/>
                <w:b/>
                <w:color w:val="000000"/>
                <w:szCs w:val="21"/>
              </w:rPr>
              <w:t>刺激性：</w:t>
            </w:r>
            <w:r>
              <w:rPr>
                <w:rFonts w:hint="eastAsia" w:ascii="宋体" w:hAnsi="宋体" w:cs="宋体"/>
                <w:color w:val="000000"/>
                <w:szCs w:val="21"/>
              </w:rPr>
              <w:t>人经眼：140ppm/8小时，轻度刺激。</w:t>
            </w:r>
          </w:p>
          <w:p>
            <w:pPr>
              <w:jc w:val="center"/>
              <w:rPr>
                <w:rFonts w:ascii="黑体" w:hAnsi="宋体" w:eastAsia="黑体" w:cs="黑体"/>
                <w:b/>
                <w:color w:val="000000"/>
                <w:szCs w:val="21"/>
              </w:rPr>
            </w:pPr>
            <w:r>
              <w:rPr>
                <w:rFonts w:hint="eastAsia" w:ascii="黑体" w:hAnsi="宋体" w:eastAsia="黑体" w:cs="黑体"/>
                <w:b/>
                <w:color w:val="000000"/>
                <w:szCs w:val="21"/>
              </w:rPr>
              <w:t>第十二部分  生态学资料</w:t>
            </w:r>
          </w:p>
          <w:p>
            <w:pPr>
              <w:rPr>
                <w:rFonts w:ascii="宋体" w:hAnsi="宋体" w:cs="宋体"/>
                <w:b/>
                <w:color w:val="000000"/>
                <w:szCs w:val="21"/>
              </w:rPr>
            </w:pPr>
            <w:r>
              <w:rPr>
                <w:rFonts w:hint="eastAsia" w:ascii="宋体" w:hAnsi="宋体" w:cs="宋体"/>
                <w:b/>
                <w:color w:val="000000"/>
                <w:szCs w:val="21"/>
              </w:rPr>
              <w:t>生态毒性：</w:t>
            </w:r>
          </w:p>
          <w:p>
            <w:pPr>
              <w:rPr>
                <w:rFonts w:ascii="宋体" w:hAnsi="宋体" w:cs="宋体"/>
                <w:b/>
                <w:color w:val="000000"/>
                <w:szCs w:val="21"/>
              </w:rPr>
            </w:pPr>
            <w:r>
              <w:rPr>
                <w:rFonts w:hint="eastAsia" w:ascii="宋体" w:hAnsi="宋体" w:cs="宋体"/>
                <w:b/>
                <w:color w:val="000000"/>
                <w:szCs w:val="21"/>
              </w:rPr>
              <w:t>生物降解性：</w:t>
            </w:r>
          </w:p>
          <w:p>
            <w:pPr>
              <w:rPr>
                <w:rFonts w:ascii="宋体" w:hAnsi="宋体" w:cs="宋体"/>
                <w:color w:val="000000"/>
                <w:szCs w:val="21"/>
              </w:rPr>
            </w:pPr>
            <w:r>
              <w:rPr>
                <w:rFonts w:hint="eastAsia" w:ascii="宋体" w:hAnsi="宋体" w:cs="宋体"/>
                <w:b/>
                <w:color w:val="000000"/>
                <w:szCs w:val="21"/>
              </w:rPr>
              <w:t>非生物降解性：</w:t>
            </w:r>
          </w:p>
          <w:p>
            <w:pPr>
              <w:rPr>
                <w:rFonts w:ascii="宋体" w:hAnsi="宋体" w:cs="宋体"/>
                <w:color w:val="000000"/>
                <w:szCs w:val="21"/>
              </w:rPr>
            </w:pPr>
            <w:r>
              <w:rPr>
                <w:rFonts w:hint="eastAsia" w:ascii="宋体" w:hAnsi="宋体" w:cs="宋体"/>
                <w:b/>
                <w:color w:val="000000"/>
                <w:szCs w:val="21"/>
              </w:rPr>
              <w:t>其它有害作用：</w:t>
            </w:r>
            <w:r>
              <w:rPr>
                <w:rFonts w:hint="eastAsia" w:ascii="宋体" w:hAnsi="宋体" w:cs="宋体"/>
                <w:color w:val="000000"/>
                <w:szCs w:val="21"/>
              </w:rPr>
              <w:t>该物质对环境可能有危害，对水体应给予特别注意。</w:t>
            </w:r>
          </w:p>
          <w:p>
            <w:pPr>
              <w:jc w:val="center"/>
              <w:rPr>
                <w:rFonts w:ascii="黑体" w:hAnsi="宋体" w:eastAsia="黑体" w:cs="黑体"/>
                <w:b/>
                <w:color w:val="000000"/>
                <w:szCs w:val="21"/>
              </w:rPr>
            </w:pPr>
            <w:r>
              <w:rPr>
                <w:rFonts w:hint="eastAsia" w:ascii="黑体" w:hAnsi="宋体" w:eastAsia="黑体" w:cs="黑体"/>
                <w:b/>
                <w:color w:val="000000"/>
                <w:szCs w:val="21"/>
              </w:rPr>
              <w:t>第十三部分  废 弃 处 置</w:t>
            </w:r>
          </w:p>
          <w:p>
            <w:pPr>
              <w:rPr>
                <w:rFonts w:ascii="宋体" w:hAnsi="宋体" w:cs="宋体"/>
                <w:b/>
                <w:color w:val="000000"/>
                <w:szCs w:val="21"/>
              </w:rPr>
            </w:pPr>
            <w:r>
              <w:rPr>
                <w:rFonts w:hint="eastAsia" w:ascii="宋体" w:hAnsi="宋体" w:cs="宋体"/>
                <w:b/>
                <w:color w:val="000000"/>
                <w:szCs w:val="21"/>
              </w:rPr>
              <w:t>废弃物性质：</w:t>
            </w:r>
          </w:p>
          <w:p>
            <w:pPr>
              <w:rPr>
                <w:rFonts w:ascii="宋体" w:hAnsi="宋体" w:cs="宋体"/>
                <w:b/>
                <w:color w:val="000000"/>
                <w:szCs w:val="21"/>
              </w:rPr>
            </w:pPr>
            <w:r>
              <w:rPr>
                <w:rFonts w:hint="eastAsia" w:ascii="宋体" w:hAnsi="宋体" w:cs="宋体"/>
                <w:b/>
                <w:color w:val="000000"/>
                <w:szCs w:val="21"/>
              </w:rPr>
              <w:t>废弃处置方法：</w:t>
            </w:r>
            <w:r>
              <w:rPr>
                <w:rFonts w:hint="eastAsia" w:ascii="宋体" w:hAnsi="宋体" w:cs="宋体"/>
                <w:color w:val="000000"/>
                <w:szCs w:val="21"/>
              </w:rPr>
              <w:t>用焚烧法处置。</w:t>
            </w:r>
          </w:p>
          <w:p>
            <w:pPr>
              <w:rPr>
                <w:rFonts w:ascii="宋体" w:hAnsi="宋体" w:cs="宋体"/>
                <w:color w:val="000000"/>
                <w:szCs w:val="21"/>
              </w:rPr>
            </w:pPr>
            <w:r>
              <w:rPr>
                <w:rFonts w:hint="eastAsia" w:ascii="宋体" w:hAnsi="宋体" w:cs="宋体"/>
                <w:b/>
                <w:color w:val="000000"/>
                <w:szCs w:val="21"/>
              </w:rPr>
              <w:t>废弃注意事项：</w:t>
            </w:r>
          </w:p>
          <w:p>
            <w:pPr>
              <w:jc w:val="center"/>
              <w:rPr>
                <w:rFonts w:ascii="黑体" w:hAnsi="宋体" w:eastAsia="黑体" w:cs="黑体"/>
                <w:b/>
                <w:color w:val="000000"/>
                <w:szCs w:val="21"/>
              </w:rPr>
            </w:pPr>
            <w:r>
              <w:rPr>
                <w:rFonts w:hint="eastAsia" w:ascii="黑体" w:hAnsi="宋体" w:eastAsia="黑体" w:cs="黑体"/>
                <w:b/>
                <w:color w:val="000000"/>
                <w:szCs w:val="21"/>
              </w:rPr>
              <w:t>第十四部分  运 输 信 息</w:t>
            </w:r>
          </w:p>
          <w:p>
            <w:pPr>
              <w:rPr>
                <w:rFonts w:ascii="宋体" w:hAnsi="宋体" w:cs="宋体"/>
                <w:b/>
                <w:color w:val="000000"/>
                <w:szCs w:val="21"/>
              </w:rPr>
            </w:pPr>
            <w:r>
              <w:rPr>
                <w:rFonts w:hint="eastAsia" w:ascii="宋体" w:hAnsi="宋体" w:cs="宋体"/>
                <w:b/>
                <w:color w:val="000000"/>
                <w:szCs w:val="21"/>
              </w:rPr>
              <w:t>危险化学品目录序号：</w:t>
            </w:r>
            <w:r>
              <w:rPr>
                <w:rFonts w:hint="eastAsia" w:ascii="宋体" w:hAnsi="宋体" w:cs="宋体"/>
                <w:color w:val="000000"/>
                <w:szCs w:val="21"/>
              </w:rPr>
              <w:t>1630</w:t>
            </w:r>
          </w:p>
          <w:p>
            <w:pPr>
              <w:rPr>
                <w:rFonts w:ascii="宋体" w:hAnsi="宋体" w:cs="宋体"/>
                <w:b/>
                <w:color w:val="000000"/>
                <w:szCs w:val="21"/>
              </w:rPr>
            </w:pPr>
            <w:r>
              <w:rPr>
                <w:b/>
                <w:color w:val="000000"/>
                <w:szCs w:val="21"/>
              </w:rPr>
              <w:t>UN</w:t>
            </w:r>
            <w:r>
              <w:rPr>
                <w:rFonts w:hint="eastAsia" w:ascii="宋体" w:hAnsi="宋体" w:cs="宋体"/>
                <w:b/>
                <w:color w:val="000000"/>
                <w:szCs w:val="21"/>
              </w:rPr>
              <w:t>编号：</w:t>
            </w:r>
            <w:r>
              <w:rPr>
                <w:rFonts w:hint="eastAsia" w:ascii="宋体" w:hAnsi="宋体" w:cs="宋体"/>
                <w:color w:val="000000"/>
                <w:szCs w:val="21"/>
              </w:rPr>
              <w:t>1203</w:t>
            </w:r>
          </w:p>
          <w:p>
            <w:pPr>
              <w:rPr>
                <w:rFonts w:ascii="宋体" w:hAnsi="宋体" w:cs="宋体"/>
                <w:color w:val="000000"/>
                <w:szCs w:val="21"/>
              </w:rPr>
            </w:pPr>
            <w:r>
              <w:rPr>
                <w:rFonts w:hint="eastAsia" w:ascii="宋体" w:hAnsi="宋体" w:cs="宋体"/>
                <w:b/>
                <w:color w:val="000000"/>
                <w:szCs w:val="21"/>
              </w:rPr>
              <w:t>包装标志：</w:t>
            </w:r>
            <w:r>
              <w:rPr>
                <w:rFonts w:hint="eastAsia" w:ascii="宋体" w:hAnsi="宋体" w:cs="宋体"/>
                <w:color w:val="000000"/>
                <w:szCs w:val="21"/>
              </w:rPr>
              <w:t>易燃液体</w:t>
            </w:r>
          </w:p>
          <w:p>
            <w:pPr>
              <w:rPr>
                <w:rFonts w:ascii="宋体" w:hAnsi="宋体" w:cs="宋体"/>
                <w:color w:val="000000"/>
                <w:szCs w:val="21"/>
              </w:rPr>
            </w:pPr>
            <w:r>
              <w:rPr>
                <w:rFonts w:hint="eastAsia" w:ascii="宋体" w:hAnsi="宋体" w:cs="宋体"/>
                <w:b/>
                <w:color w:val="000000"/>
                <w:szCs w:val="21"/>
              </w:rPr>
              <w:t>包装类别：</w:t>
            </w:r>
            <w:r>
              <w:rPr>
                <w:rFonts w:hint="eastAsia" w:ascii="宋体" w:hAnsi="宋体" w:cs="宋体"/>
                <w:color w:val="000000"/>
                <w:szCs w:val="21"/>
              </w:rPr>
              <w:t>O52</w:t>
            </w:r>
          </w:p>
          <w:p>
            <w:pPr>
              <w:rPr>
                <w:rFonts w:ascii="宋体" w:hAnsi="宋体" w:cs="宋体"/>
                <w:color w:val="000000"/>
                <w:szCs w:val="21"/>
              </w:rPr>
            </w:pPr>
            <w:r>
              <w:rPr>
                <w:rFonts w:hint="eastAsia" w:ascii="宋体" w:hAnsi="宋体" w:cs="宋体"/>
                <w:b/>
                <w:color w:val="000000"/>
                <w:szCs w:val="21"/>
              </w:rPr>
              <w:t>包装方法：</w:t>
            </w:r>
            <w:r>
              <w:rPr>
                <w:rFonts w:hint="eastAsia" w:ascii="宋体" w:hAnsi="宋体" w:cs="宋体"/>
                <w:color w:val="000000"/>
                <w:szCs w:val="21"/>
              </w:rPr>
              <w:t>小开口钢桶；安瓿瓶外普通木箱；螺纹口玻璃瓶、铁盖压口玻璃瓶、塑料瓶</w:t>
            </w:r>
          </w:p>
          <w:p>
            <w:pPr>
              <w:rPr>
                <w:rFonts w:ascii="宋体" w:hAnsi="宋体" w:cs="宋体"/>
                <w:color w:val="000000"/>
                <w:szCs w:val="21"/>
              </w:rPr>
            </w:pPr>
            <w:r>
              <w:rPr>
                <w:rFonts w:hint="eastAsia" w:ascii="宋体" w:hAnsi="宋体" w:cs="宋体"/>
                <w:color w:val="000000"/>
                <w:szCs w:val="21"/>
              </w:rPr>
              <w:t>或</w:t>
            </w:r>
          </w:p>
          <w:p>
            <w:pPr>
              <w:rPr>
                <w:rFonts w:ascii="宋体" w:hAnsi="宋体" w:cs="宋体"/>
                <w:color w:val="000000"/>
                <w:szCs w:val="21"/>
              </w:rPr>
            </w:pPr>
            <w:r>
              <w:rPr>
                <w:rFonts w:hint="eastAsia" w:ascii="宋体" w:hAnsi="宋体" w:cs="宋体"/>
                <w:color w:val="000000"/>
                <w:szCs w:val="21"/>
              </w:rPr>
              <w:t>金属桶（罐）外普通木箱。</w:t>
            </w:r>
          </w:p>
          <w:p>
            <w:pPr>
              <w:rPr>
                <w:rFonts w:ascii="宋体" w:hAnsi="宋体" w:cs="宋体"/>
                <w:color w:val="000000"/>
                <w:szCs w:val="21"/>
              </w:rPr>
            </w:pPr>
            <w:r>
              <w:rPr>
                <w:rFonts w:hint="eastAsia" w:ascii="宋体" w:hAnsi="宋体" w:cs="宋体"/>
                <w:b/>
                <w:color w:val="000000"/>
                <w:szCs w:val="21"/>
              </w:rPr>
              <w:t>运输注意事项：</w:t>
            </w:r>
            <w:r>
              <w:rPr>
                <w:rFonts w:hint="eastAsia" w:ascii="宋体" w:hAnsi="宋体" w:cs="宋体"/>
                <w:color w:val="000000"/>
                <w:szCs w:val="21"/>
              </w:rPr>
              <w:t>本品铁路运输时限使用钢制企业自备罐车装运，装运前需报有关部门批</w:t>
            </w:r>
          </w:p>
          <w:p>
            <w:pPr>
              <w:rPr>
                <w:rFonts w:ascii="宋体" w:hAnsi="宋体" w:cs="宋体"/>
                <w:color w:val="000000"/>
                <w:szCs w:val="21"/>
              </w:rPr>
            </w:pPr>
            <w:r>
              <w:rPr>
                <w:rFonts w:hint="eastAsia" w:ascii="宋体" w:hAnsi="宋体" w:cs="宋体"/>
                <w:color w:val="000000"/>
                <w:szCs w:val="21"/>
              </w:rPr>
              <w:t>准。运输时运输车辆应配备相应品种和数量的消防器材及泄漏应急处理设备。夏季最好</w:t>
            </w:r>
          </w:p>
          <w:p>
            <w:pPr>
              <w:rPr>
                <w:rFonts w:ascii="宋体" w:hAnsi="宋体" w:cs="宋体"/>
                <w:color w:val="000000"/>
                <w:szCs w:val="21"/>
              </w:rPr>
            </w:pPr>
            <w:r>
              <w:rPr>
                <w:rFonts w:hint="eastAsia" w:ascii="宋体" w:hAnsi="宋体" w:cs="宋体"/>
                <w:color w:val="000000"/>
                <w:szCs w:val="21"/>
              </w:rPr>
              <w:t>早晚运输。运输时所用的槽（罐）车应有接地链，槽内可设孔隔板以减少震荡产生静电。</w:t>
            </w:r>
          </w:p>
          <w:p>
            <w:pPr>
              <w:rPr>
                <w:rFonts w:ascii="宋体" w:hAnsi="宋体" w:cs="宋体"/>
                <w:color w:val="000000"/>
                <w:szCs w:val="21"/>
              </w:rPr>
            </w:pPr>
            <w:r>
              <w:rPr>
                <w:rFonts w:hint="eastAsia" w:ascii="宋体" w:hAnsi="宋体" w:cs="宋体"/>
                <w:color w:val="000000"/>
                <w:szCs w:val="21"/>
              </w:rPr>
              <w:t>严禁与氧化剂等混装混运。运输途中应防曝晒、雨淋，防高温。中途停留时应远离火</w:t>
            </w:r>
          </w:p>
          <w:p>
            <w:pPr>
              <w:rPr>
                <w:rFonts w:ascii="宋体" w:hAnsi="宋体" w:cs="宋体"/>
                <w:color w:val="000000"/>
                <w:szCs w:val="21"/>
              </w:rPr>
            </w:pPr>
            <w:r>
              <w:rPr>
                <w:rFonts w:hint="eastAsia" w:ascii="宋体" w:hAnsi="宋体" w:cs="宋体"/>
                <w:color w:val="000000"/>
                <w:szCs w:val="21"/>
              </w:rPr>
              <w:t>种、热源、高温区。装运该物品的车辆排气管必须配备阻火装置，禁止使用易产生火花</w:t>
            </w:r>
          </w:p>
          <w:p>
            <w:pPr>
              <w:rPr>
                <w:rFonts w:ascii="宋体" w:hAnsi="宋体" w:cs="宋体"/>
                <w:color w:val="000000"/>
                <w:szCs w:val="21"/>
              </w:rPr>
            </w:pPr>
            <w:r>
              <w:rPr>
                <w:rFonts w:hint="eastAsia" w:ascii="宋体" w:hAnsi="宋体" w:cs="宋体"/>
                <w:color w:val="000000"/>
                <w:szCs w:val="21"/>
              </w:rPr>
              <w:t>的机械设备和工具装卸。公路运输时要按规定路线行驶，勿在居民区和人口稠密区停留</w:t>
            </w:r>
          </w:p>
          <w:p>
            <w:pPr>
              <w:rPr>
                <w:rFonts w:ascii="宋体" w:hAnsi="宋体" w:cs="宋体"/>
                <w:color w:val="000000"/>
                <w:szCs w:val="21"/>
              </w:rPr>
            </w:pPr>
            <w:r>
              <w:rPr>
                <w:rFonts w:hint="eastAsia" w:ascii="宋体" w:hAnsi="宋体" w:cs="宋体"/>
                <w:color w:val="000000"/>
                <w:szCs w:val="21"/>
              </w:rPr>
              <w:t>。铁路运输时要禁止溜放。严禁用木船、水泥船散装运输。</w:t>
            </w:r>
          </w:p>
          <w:p>
            <w:pPr>
              <w:jc w:val="center"/>
              <w:rPr>
                <w:b/>
                <w:bCs/>
                <w:color w:val="000000"/>
                <w:szCs w:val="21"/>
              </w:rPr>
            </w:pPr>
            <w:r>
              <w:rPr>
                <w:rFonts w:hint="eastAsia"/>
                <w:b/>
                <w:bCs/>
                <w:color w:val="000000"/>
                <w:szCs w:val="21"/>
              </w:rPr>
              <w:t>第十五部分  法 规 信 息</w:t>
            </w:r>
          </w:p>
          <w:p>
            <w:pPr>
              <w:rPr>
                <w:color w:val="000000"/>
                <w:szCs w:val="21"/>
              </w:rPr>
            </w:pPr>
            <w:r>
              <w:rPr>
                <w:rFonts w:hint="eastAsia"/>
                <w:color w:val="000000"/>
                <w:szCs w:val="21"/>
              </w:rPr>
              <w:t>法规信息：《危险化学品安全管理条例》（国务院令第591号，国务院令第645号），</w:t>
            </w:r>
          </w:p>
          <w:p>
            <w:pPr>
              <w:rPr>
                <w:color w:val="000000"/>
                <w:szCs w:val="21"/>
              </w:rPr>
            </w:pPr>
            <w:r>
              <w:rPr>
                <w:rFonts w:hint="eastAsia"/>
                <w:color w:val="000000"/>
                <w:szCs w:val="21"/>
              </w:rPr>
              <w:t>《危险化学品经营许可证管理办法》（安监总局令第55号，总局令第79号修订）对生</w:t>
            </w:r>
          </w:p>
          <w:p>
            <w:pPr>
              <w:rPr>
                <w:color w:val="000000"/>
                <w:szCs w:val="21"/>
              </w:rPr>
            </w:pPr>
            <w:r>
              <w:rPr>
                <w:rFonts w:hint="eastAsia"/>
                <w:color w:val="000000"/>
                <w:szCs w:val="21"/>
              </w:rPr>
              <w:t>产、使用、储存、经营条件做了相关规定；《危险货物分类和品名编号》（GB6944-2012</w:t>
            </w:r>
          </w:p>
          <w:p>
            <w:pPr>
              <w:rPr>
                <w:color w:val="000000"/>
                <w:szCs w:val="21"/>
              </w:rPr>
            </w:pPr>
            <w:r>
              <w:rPr>
                <w:rFonts w:hint="eastAsia"/>
                <w:color w:val="000000"/>
                <w:szCs w:val="21"/>
              </w:rPr>
              <w:t>）对运输、储存、包装做了相关要求，《化学品分类和危险性公示 通则》（GB13690-</w:t>
            </w:r>
          </w:p>
          <w:p>
            <w:pPr>
              <w:rPr>
                <w:color w:val="000000"/>
                <w:szCs w:val="21"/>
              </w:rPr>
            </w:pPr>
            <w:r>
              <w:rPr>
                <w:rFonts w:hint="eastAsia"/>
                <w:color w:val="000000"/>
                <w:szCs w:val="21"/>
              </w:rPr>
              <w:t>2009）进行了分类。</w:t>
            </w:r>
          </w:p>
          <w:p>
            <w:pPr>
              <w:jc w:val="center"/>
              <w:rPr>
                <w:b/>
                <w:bCs/>
                <w:color w:val="000000"/>
                <w:szCs w:val="21"/>
              </w:rPr>
            </w:pPr>
            <w:r>
              <w:rPr>
                <w:rFonts w:hint="eastAsia"/>
                <w:b/>
                <w:bCs/>
                <w:color w:val="000000"/>
                <w:szCs w:val="21"/>
              </w:rPr>
              <w:t>第十六部分  其 它 信 息</w:t>
            </w:r>
          </w:p>
          <w:p>
            <w:pPr>
              <w:rPr>
                <w:color w:val="000000"/>
                <w:szCs w:val="21"/>
              </w:rPr>
            </w:pPr>
            <w:r>
              <w:rPr>
                <w:rFonts w:hint="eastAsia"/>
                <w:color w:val="000000"/>
                <w:szCs w:val="21"/>
              </w:rPr>
              <w:t>无。</w:t>
            </w:r>
          </w:p>
        </w:tc>
      </w:tr>
    </w:tbl>
    <w:p>
      <w:pPr>
        <w:jc w:val="center"/>
        <w:rPr>
          <w:rFonts w:ascii="黑体" w:hAnsi="黑体" w:eastAsia="黑体" w:cs="黑体"/>
          <w:color w:val="000000"/>
          <w:sz w:val="24"/>
        </w:rPr>
      </w:pPr>
    </w:p>
    <w:p>
      <w:pPr>
        <w:jc w:val="center"/>
        <w:rPr>
          <w:rFonts w:ascii="宋体" w:hAnsi="宋体" w:cs="宋体"/>
          <w:b/>
          <w:bCs/>
          <w:color w:val="000000"/>
          <w:szCs w:val="21"/>
        </w:rPr>
      </w:pPr>
      <w:r>
        <w:rPr>
          <w:rFonts w:hint="eastAsia" w:ascii="宋体" w:hAnsi="宋体" w:cs="宋体"/>
          <w:b/>
          <w:bCs/>
          <w:color w:val="000000"/>
          <w:szCs w:val="21"/>
        </w:rPr>
        <w:t>表3.1-2 柴油安全数据表</w:t>
      </w:r>
    </w:p>
    <w:tbl>
      <w:tblPr>
        <w:tblStyle w:val="60"/>
        <w:tblW w:w="813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0" w:type="dxa"/>
          </w:tcPr>
          <w:p>
            <w:pPr>
              <w:jc w:val="center"/>
              <w:rPr>
                <w:rFonts w:ascii="宋体" w:hAnsi="宋体" w:cs="宋体"/>
                <w:b/>
                <w:color w:val="000000"/>
                <w:szCs w:val="21"/>
              </w:rPr>
            </w:pPr>
            <w:r>
              <w:rPr>
                <w:rFonts w:hint="eastAsia" w:ascii="宋体" w:hAnsi="宋体" w:cs="宋体"/>
                <w:b/>
                <w:color w:val="000000"/>
                <w:szCs w:val="21"/>
              </w:rPr>
              <w:t>化学品安全技术说明书</w:t>
            </w:r>
          </w:p>
          <w:p>
            <w:pPr>
              <w:jc w:val="center"/>
              <w:rPr>
                <w:rFonts w:ascii="黑体" w:hAnsi="宋体" w:eastAsia="黑体" w:cs="黑体"/>
                <w:b/>
                <w:color w:val="000000"/>
                <w:szCs w:val="21"/>
              </w:rPr>
            </w:pPr>
            <w:r>
              <w:rPr>
                <w:rFonts w:hint="eastAsia" w:ascii="黑体" w:hAnsi="宋体" w:eastAsia="黑体" w:cs="黑体"/>
                <w:b/>
                <w:color w:val="000000"/>
                <w:szCs w:val="21"/>
              </w:rPr>
              <w:t>第一部分  化学品及企业标识</w:t>
            </w:r>
          </w:p>
          <w:p>
            <w:pPr>
              <w:jc w:val="left"/>
              <w:rPr>
                <w:rFonts w:ascii="宋体" w:hAnsi="宋体" w:cs="宋体"/>
                <w:b/>
                <w:color w:val="000000"/>
                <w:szCs w:val="21"/>
              </w:rPr>
            </w:pPr>
            <w:r>
              <w:rPr>
                <w:rFonts w:hint="eastAsia" w:ascii="宋体" w:hAnsi="宋体" w:cs="宋体"/>
                <w:b/>
                <w:color w:val="000000"/>
                <w:szCs w:val="21"/>
              </w:rPr>
              <w:t>化学品中文名：</w:t>
            </w:r>
            <w:r>
              <w:rPr>
                <w:rFonts w:hint="eastAsia" w:ascii="宋体" w:hAnsi="宋体" w:cs="宋体"/>
                <w:bCs/>
                <w:color w:val="000000"/>
                <w:szCs w:val="21"/>
              </w:rPr>
              <w:t>柴油</w:t>
            </w:r>
          </w:p>
          <w:p>
            <w:pPr>
              <w:jc w:val="left"/>
              <w:rPr>
                <w:rFonts w:ascii="宋体" w:hAnsi="宋体" w:cs="宋体"/>
                <w:color w:val="000000"/>
                <w:szCs w:val="21"/>
              </w:rPr>
            </w:pPr>
            <w:r>
              <w:rPr>
                <w:rFonts w:hint="eastAsia" w:ascii="宋体" w:hAnsi="宋体" w:cs="宋体"/>
                <w:b/>
                <w:color w:val="000000"/>
                <w:szCs w:val="21"/>
              </w:rPr>
              <w:t>化学品英文名：</w:t>
            </w:r>
            <w:r>
              <w:rPr>
                <w:color w:val="000000"/>
                <w:szCs w:val="21"/>
              </w:rPr>
              <w:t>Diesel oil</w:t>
            </w:r>
          </w:p>
          <w:p>
            <w:pPr>
              <w:jc w:val="center"/>
              <w:rPr>
                <w:rFonts w:ascii="黑体" w:hAnsi="宋体" w:eastAsia="黑体" w:cs="黑体"/>
                <w:b/>
                <w:color w:val="000000"/>
                <w:szCs w:val="21"/>
              </w:rPr>
            </w:pPr>
            <w:r>
              <w:rPr>
                <w:rFonts w:hint="eastAsia" w:ascii="黑体" w:hAnsi="宋体" w:eastAsia="黑体" w:cs="黑体"/>
                <w:b/>
                <w:color w:val="000000"/>
                <w:szCs w:val="21"/>
              </w:rPr>
              <w:t>第二部分  成分/组成信息</w:t>
            </w:r>
          </w:p>
          <w:p>
            <w:pPr>
              <w:rPr>
                <w:rFonts w:ascii="宋体" w:hAnsi="宋体" w:cs="宋体"/>
                <w:color w:val="000000"/>
                <w:szCs w:val="21"/>
              </w:rPr>
            </w:pPr>
            <w:r>
              <w:rPr>
                <w:rFonts w:hint="eastAsia" w:ascii="宋体" w:hAnsi="宋体" w:cs="宋体"/>
                <w:color w:val="000000"/>
                <w:szCs w:val="21"/>
              </w:rPr>
              <w:t>纯品×               混合物√</w:t>
            </w:r>
          </w:p>
          <w:tbl>
            <w:tblPr>
              <w:tblStyle w:val="59"/>
              <w:tblW w:w="7899" w:type="dxa"/>
              <w:tblInd w:w="0" w:type="dxa"/>
              <w:tblLayout w:type="fixed"/>
              <w:tblCellMar>
                <w:top w:w="0" w:type="dxa"/>
                <w:left w:w="108" w:type="dxa"/>
                <w:bottom w:w="0" w:type="dxa"/>
                <w:right w:w="108" w:type="dxa"/>
              </w:tblCellMar>
            </w:tblPr>
            <w:tblGrid>
              <w:gridCol w:w="3708"/>
              <w:gridCol w:w="2340"/>
              <w:gridCol w:w="1851"/>
            </w:tblGrid>
            <w:tr>
              <w:tblPrEx>
                <w:tblLayout w:type="fixed"/>
                <w:tblCellMar>
                  <w:top w:w="0" w:type="dxa"/>
                  <w:left w:w="108" w:type="dxa"/>
                  <w:bottom w:w="0" w:type="dxa"/>
                  <w:right w:w="108" w:type="dxa"/>
                </w:tblCellMar>
              </w:tblPrEx>
              <w:tc>
                <w:tcPr>
                  <w:tcW w:w="3708" w:type="dxa"/>
                  <w:vAlign w:val="center"/>
                </w:tcPr>
                <w:p>
                  <w:pPr>
                    <w:jc w:val="center"/>
                    <w:rPr>
                      <w:rFonts w:ascii="宋体" w:hAnsi="宋体" w:cs="宋体"/>
                      <w:b/>
                      <w:color w:val="000000"/>
                      <w:szCs w:val="21"/>
                    </w:rPr>
                  </w:pPr>
                  <w:r>
                    <w:rPr>
                      <w:rFonts w:hint="eastAsia" w:ascii="宋体" w:hAnsi="宋体" w:cs="宋体"/>
                      <w:b/>
                      <w:color w:val="000000"/>
                      <w:szCs w:val="21"/>
                    </w:rPr>
                    <w:t>有害物成分</w:t>
                  </w:r>
                </w:p>
              </w:tc>
              <w:tc>
                <w:tcPr>
                  <w:tcW w:w="2340" w:type="dxa"/>
                  <w:vAlign w:val="center"/>
                </w:tcPr>
                <w:p>
                  <w:pPr>
                    <w:jc w:val="center"/>
                    <w:rPr>
                      <w:rFonts w:ascii="宋体" w:hAnsi="宋体" w:cs="宋体"/>
                      <w:b/>
                      <w:color w:val="000000"/>
                      <w:szCs w:val="21"/>
                    </w:rPr>
                  </w:pPr>
                  <w:r>
                    <w:rPr>
                      <w:rFonts w:hint="eastAsia" w:ascii="宋体" w:hAnsi="宋体" w:cs="宋体"/>
                      <w:b/>
                      <w:color w:val="000000"/>
                      <w:szCs w:val="21"/>
                    </w:rPr>
                    <w:t>浓度</w:t>
                  </w:r>
                </w:p>
              </w:tc>
              <w:tc>
                <w:tcPr>
                  <w:tcW w:w="1851" w:type="dxa"/>
                  <w:vAlign w:val="center"/>
                </w:tcPr>
                <w:p>
                  <w:pPr>
                    <w:jc w:val="center"/>
                    <w:rPr>
                      <w:rFonts w:ascii="宋体" w:hAnsi="宋体" w:cs="宋体"/>
                      <w:b/>
                      <w:i/>
                      <w:iCs/>
                      <w:color w:val="000000"/>
                      <w:szCs w:val="21"/>
                    </w:rPr>
                  </w:pPr>
                  <w:r>
                    <w:rPr>
                      <w:b/>
                      <w:i/>
                      <w:iCs/>
                      <w:color w:val="000000"/>
                      <w:szCs w:val="21"/>
                    </w:rPr>
                    <w:t>CAS No.</w:t>
                  </w:r>
                </w:p>
              </w:tc>
            </w:tr>
            <w:tr>
              <w:tblPrEx>
                <w:tblLayout w:type="fixed"/>
                <w:tblCellMar>
                  <w:top w:w="0" w:type="dxa"/>
                  <w:left w:w="108" w:type="dxa"/>
                  <w:bottom w:w="0" w:type="dxa"/>
                  <w:right w:w="108" w:type="dxa"/>
                </w:tblCellMar>
              </w:tblPrEx>
              <w:tc>
                <w:tcPr>
                  <w:tcW w:w="3708" w:type="dxa"/>
                  <w:vAlign w:val="center"/>
                </w:tcPr>
                <w:p>
                  <w:pPr>
                    <w:jc w:val="center"/>
                    <w:rPr>
                      <w:rFonts w:ascii="宋体" w:hAnsi="宋体" w:cs="宋体"/>
                      <w:color w:val="000000"/>
                      <w:szCs w:val="21"/>
                    </w:rPr>
                  </w:pPr>
                </w:p>
              </w:tc>
              <w:tc>
                <w:tcPr>
                  <w:tcW w:w="2340" w:type="dxa"/>
                  <w:vAlign w:val="center"/>
                </w:tcPr>
                <w:p>
                  <w:pPr>
                    <w:jc w:val="center"/>
                    <w:rPr>
                      <w:color w:val="000000"/>
                      <w:szCs w:val="21"/>
                    </w:rPr>
                  </w:pPr>
                </w:p>
              </w:tc>
              <w:tc>
                <w:tcPr>
                  <w:tcW w:w="1851" w:type="dxa"/>
                  <w:vAlign w:val="center"/>
                </w:tcPr>
                <w:p>
                  <w:pPr>
                    <w:jc w:val="center"/>
                    <w:rPr>
                      <w:color w:val="000000"/>
                      <w:szCs w:val="21"/>
                    </w:rPr>
                  </w:pPr>
                </w:p>
              </w:tc>
            </w:tr>
          </w:tbl>
          <w:p>
            <w:pPr>
              <w:jc w:val="center"/>
              <w:rPr>
                <w:rFonts w:ascii="宋体" w:hAnsi="宋体" w:cs="宋体"/>
                <w:b/>
                <w:color w:val="000000"/>
                <w:szCs w:val="21"/>
              </w:rPr>
            </w:pPr>
            <w:r>
              <w:rPr>
                <w:rFonts w:hint="eastAsia" w:ascii="黑体" w:hAnsi="宋体" w:eastAsia="黑体" w:cs="黑体"/>
                <w:b/>
                <w:color w:val="000000"/>
                <w:szCs w:val="21"/>
              </w:rPr>
              <w:t>第三部分  危险性概述</w:t>
            </w:r>
          </w:p>
          <w:p>
            <w:pPr>
              <w:rPr>
                <w:rFonts w:ascii="宋体" w:hAnsi="宋体" w:cs="宋体"/>
                <w:color w:val="000000"/>
                <w:szCs w:val="21"/>
              </w:rPr>
            </w:pPr>
            <w:r>
              <w:rPr>
                <w:rFonts w:hint="eastAsia" w:ascii="宋体" w:hAnsi="宋体" w:cs="宋体"/>
                <w:b/>
                <w:color w:val="000000"/>
                <w:szCs w:val="21"/>
              </w:rPr>
              <w:t>危险性类别：</w:t>
            </w:r>
            <w:r>
              <w:rPr>
                <w:rFonts w:hint="eastAsia" w:ascii="宋体" w:hAnsi="宋体" w:cs="宋体"/>
                <w:color w:val="000000"/>
                <w:szCs w:val="21"/>
              </w:rPr>
              <w:t>第3.3类  高闪点易燃液体</w:t>
            </w:r>
          </w:p>
          <w:p>
            <w:pPr>
              <w:rPr>
                <w:rFonts w:ascii="宋体" w:hAnsi="宋体" w:cs="宋体"/>
                <w:b/>
                <w:color w:val="000000"/>
                <w:szCs w:val="21"/>
              </w:rPr>
            </w:pPr>
            <w:r>
              <w:rPr>
                <w:rFonts w:hint="eastAsia" w:ascii="宋体" w:hAnsi="宋体" w:cs="宋体"/>
                <w:b/>
                <w:color w:val="000000"/>
                <w:szCs w:val="21"/>
              </w:rPr>
              <w:t>侵入途径：</w:t>
            </w:r>
            <w:r>
              <w:rPr>
                <w:rFonts w:hint="eastAsia" w:ascii="宋体" w:hAnsi="宋体" w:cs="宋体"/>
                <w:color w:val="000000"/>
                <w:szCs w:val="21"/>
              </w:rPr>
              <w:t>吸入、食入、经皮吸收</w:t>
            </w:r>
          </w:p>
          <w:p>
            <w:pPr>
              <w:rPr>
                <w:rFonts w:ascii="宋体" w:hAnsi="宋体" w:cs="宋体"/>
                <w:color w:val="000000"/>
                <w:szCs w:val="21"/>
              </w:rPr>
            </w:pPr>
            <w:r>
              <w:rPr>
                <w:rFonts w:hint="eastAsia" w:ascii="宋体" w:hAnsi="宋体" w:cs="宋体"/>
                <w:b/>
                <w:color w:val="000000"/>
                <w:szCs w:val="21"/>
              </w:rPr>
              <w:t>健康危害：</w:t>
            </w:r>
            <w:r>
              <w:rPr>
                <w:rFonts w:hint="eastAsia" w:ascii="宋体" w:hAnsi="宋体" w:cs="宋体"/>
                <w:color w:val="000000"/>
                <w:szCs w:val="21"/>
              </w:rPr>
              <w:t>皮肤接触可为主要吸收途径，可致急性肾脏损害。柴油可引起接触性皮炎、油</w:t>
            </w:r>
          </w:p>
          <w:p>
            <w:pPr>
              <w:rPr>
                <w:rFonts w:ascii="宋体" w:hAnsi="宋体" w:cs="宋体"/>
                <w:color w:val="000000"/>
                <w:szCs w:val="21"/>
              </w:rPr>
            </w:pPr>
            <w:r>
              <w:rPr>
                <w:rFonts w:hint="eastAsia" w:ascii="宋体" w:hAnsi="宋体" w:cs="宋体"/>
                <w:color w:val="000000"/>
                <w:szCs w:val="21"/>
              </w:rPr>
              <w:t>性痤疮。吸入其雾滴或液体呛入可引起吸入性肺炎。能经胎盘进入胎儿血中。柴油废气可</w:t>
            </w:r>
          </w:p>
          <w:p>
            <w:pPr>
              <w:rPr>
                <w:rFonts w:ascii="宋体" w:hAnsi="宋体" w:cs="宋体"/>
                <w:b/>
                <w:color w:val="000000"/>
                <w:szCs w:val="21"/>
              </w:rPr>
            </w:pPr>
            <w:r>
              <w:rPr>
                <w:rFonts w:hint="eastAsia" w:ascii="宋体" w:hAnsi="宋体" w:cs="宋体"/>
                <w:color w:val="000000"/>
                <w:szCs w:val="21"/>
              </w:rPr>
              <w:t>引起眼、鼻刺激症状，头晕及头痛。</w:t>
            </w:r>
          </w:p>
          <w:p>
            <w:pPr>
              <w:rPr>
                <w:rFonts w:ascii="宋体" w:hAnsi="宋体" w:cs="宋体"/>
                <w:b/>
                <w:color w:val="000000"/>
                <w:szCs w:val="21"/>
              </w:rPr>
            </w:pPr>
            <w:r>
              <w:rPr>
                <w:rFonts w:hint="eastAsia" w:ascii="宋体" w:hAnsi="宋体" w:cs="宋体"/>
                <w:b/>
                <w:color w:val="000000"/>
                <w:szCs w:val="21"/>
              </w:rPr>
              <w:t>环境危害：</w:t>
            </w:r>
            <w:r>
              <w:rPr>
                <w:rFonts w:hint="eastAsia" w:ascii="宋体" w:hAnsi="宋体" w:cs="宋体"/>
                <w:color w:val="000000"/>
                <w:szCs w:val="21"/>
              </w:rPr>
              <w:t>对环境有危害，对水体和大气可造成污染。</w:t>
            </w:r>
          </w:p>
          <w:p>
            <w:pPr>
              <w:rPr>
                <w:rFonts w:ascii="宋体" w:hAnsi="宋体" w:cs="宋体"/>
                <w:color w:val="000000"/>
                <w:szCs w:val="21"/>
              </w:rPr>
            </w:pPr>
            <w:r>
              <w:rPr>
                <w:rFonts w:hint="eastAsia" w:ascii="宋体" w:hAnsi="宋体" w:cs="宋体"/>
                <w:b/>
                <w:color w:val="000000"/>
                <w:szCs w:val="21"/>
              </w:rPr>
              <w:t>燃爆危险：</w:t>
            </w:r>
            <w:r>
              <w:rPr>
                <w:rFonts w:hint="eastAsia" w:ascii="宋体" w:hAnsi="宋体" w:cs="宋体"/>
                <w:color w:val="000000"/>
                <w:szCs w:val="21"/>
              </w:rPr>
              <w:t>本品易燃，具刺激性。</w:t>
            </w:r>
          </w:p>
          <w:p>
            <w:pPr>
              <w:jc w:val="center"/>
              <w:rPr>
                <w:rFonts w:ascii="黑体" w:hAnsi="宋体" w:eastAsia="黑体" w:cs="黑体"/>
                <w:b/>
                <w:color w:val="000000"/>
                <w:szCs w:val="21"/>
              </w:rPr>
            </w:pPr>
            <w:r>
              <w:rPr>
                <w:rFonts w:hint="eastAsia" w:ascii="黑体" w:hAnsi="宋体" w:eastAsia="黑体" w:cs="黑体"/>
                <w:b/>
                <w:color w:val="000000"/>
                <w:szCs w:val="21"/>
              </w:rPr>
              <w:t>第四部分  急 救 措 施</w:t>
            </w:r>
          </w:p>
          <w:p>
            <w:pPr>
              <w:rPr>
                <w:rFonts w:ascii="宋体" w:hAnsi="宋体" w:cs="宋体"/>
                <w:b/>
                <w:color w:val="000000"/>
                <w:szCs w:val="21"/>
              </w:rPr>
            </w:pPr>
            <w:r>
              <w:rPr>
                <w:rFonts w:hint="eastAsia" w:ascii="宋体" w:hAnsi="宋体" w:cs="宋体"/>
                <w:b/>
                <w:color w:val="000000"/>
                <w:szCs w:val="21"/>
              </w:rPr>
              <w:t>皮肤接触：</w:t>
            </w:r>
            <w:r>
              <w:rPr>
                <w:rFonts w:hint="eastAsia" w:ascii="宋体" w:hAnsi="宋体" w:cs="宋体"/>
                <w:color w:val="000000"/>
                <w:szCs w:val="21"/>
              </w:rPr>
              <w:t>立即脱去污染的衣着，用肥皂水和清水彻底冲洗皮肤。就医。</w:t>
            </w:r>
          </w:p>
          <w:p>
            <w:pPr>
              <w:rPr>
                <w:rFonts w:ascii="宋体" w:hAnsi="宋体" w:cs="宋体"/>
                <w:b/>
                <w:color w:val="000000"/>
                <w:szCs w:val="21"/>
              </w:rPr>
            </w:pPr>
            <w:r>
              <w:rPr>
                <w:rFonts w:hint="eastAsia" w:ascii="宋体" w:hAnsi="宋体" w:cs="宋体"/>
                <w:b/>
                <w:color w:val="000000"/>
                <w:szCs w:val="21"/>
              </w:rPr>
              <w:t>眼睛接触：</w:t>
            </w:r>
            <w:r>
              <w:rPr>
                <w:rFonts w:hint="eastAsia" w:ascii="宋体" w:hAnsi="宋体" w:cs="宋体"/>
                <w:color w:val="000000"/>
                <w:szCs w:val="21"/>
              </w:rPr>
              <w:t>提起眼睑，用流动清水或生理盐水冲洗。就医。</w:t>
            </w:r>
          </w:p>
          <w:p>
            <w:pPr>
              <w:rPr>
                <w:rFonts w:ascii="宋体" w:hAnsi="宋体" w:cs="宋体"/>
                <w:color w:val="000000"/>
                <w:szCs w:val="21"/>
              </w:rPr>
            </w:pPr>
            <w:r>
              <w:rPr>
                <w:rFonts w:hint="eastAsia" w:ascii="宋体" w:hAnsi="宋体" w:cs="宋体"/>
                <w:b/>
                <w:color w:val="000000"/>
                <w:szCs w:val="21"/>
              </w:rPr>
              <w:t>吸入：</w:t>
            </w:r>
            <w:r>
              <w:rPr>
                <w:rFonts w:hint="eastAsia" w:ascii="宋体" w:hAnsi="宋体" w:cs="宋体"/>
                <w:color w:val="000000"/>
                <w:szCs w:val="21"/>
              </w:rPr>
              <w:t>迅速脱离现场至空气新鲜处。保持呼吸道通畅。如呼吸困难，给输氧。如呼吸停</w:t>
            </w:r>
          </w:p>
          <w:p>
            <w:pPr>
              <w:rPr>
                <w:rFonts w:ascii="宋体" w:hAnsi="宋体" w:cs="宋体"/>
                <w:b/>
                <w:color w:val="000000"/>
                <w:szCs w:val="21"/>
              </w:rPr>
            </w:pPr>
            <w:r>
              <w:rPr>
                <w:rFonts w:hint="eastAsia" w:ascii="宋体" w:hAnsi="宋体" w:cs="宋体"/>
                <w:color w:val="000000"/>
                <w:szCs w:val="21"/>
              </w:rPr>
              <w:t>止，立即进行人工呼吸。就医。</w:t>
            </w:r>
          </w:p>
          <w:p>
            <w:pPr>
              <w:rPr>
                <w:rFonts w:ascii="宋体" w:hAnsi="宋体" w:cs="宋体"/>
                <w:color w:val="000000"/>
                <w:szCs w:val="21"/>
              </w:rPr>
            </w:pPr>
            <w:r>
              <w:rPr>
                <w:rFonts w:hint="eastAsia" w:ascii="宋体" w:hAnsi="宋体" w:cs="宋体"/>
                <w:b/>
                <w:color w:val="000000"/>
                <w:szCs w:val="21"/>
              </w:rPr>
              <w:t>食入：</w:t>
            </w:r>
            <w:r>
              <w:rPr>
                <w:rFonts w:hint="eastAsia" w:ascii="宋体" w:hAnsi="宋体" w:cs="宋体"/>
                <w:color w:val="000000"/>
                <w:szCs w:val="21"/>
              </w:rPr>
              <w:t>尽快彻底洗胃。就医。</w:t>
            </w:r>
          </w:p>
          <w:p>
            <w:pPr>
              <w:jc w:val="center"/>
              <w:rPr>
                <w:rFonts w:ascii="黑体" w:hAnsi="宋体" w:eastAsia="黑体" w:cs="黑体"/>
                <w:b/>
                <w:color w:val="000000"/>
                <w:szCs w:val="21"/>
              </w:rPr>
            </w:pPr>
            <w:r>
              <w:rPr>
                <w:rFonts w:hint="eastAsia" w:ascii="黑体" w:hAnsi="宋体" w:eastAsia="黑体" w:cs="黑体"/>
                <w:b/>
                <w:color w:val="000000"/>
                <w:szCs w:val="21"/>
              </w:rPr>
              <w:t>第五部分  消 防 措 施</w:t>
            </w:r>
          </w:p>
          <w:p>
            <w:pPr>
              <w:rPr>
                <w:rFonts w:ascii="宋体" w:hAnsi="宋体" w:cs="宋体"/>
                <w:color w:val="000000"/>
                <w:szCs w:val="21"/>
              </w:rPr>
            </w:pPr>
            <w:r>
              <w:rPr>
                <w:rFonts w:hint="eastAsia" w:ascii="宋体" w:hAnsi="宋体" w:cs="宋体"/>
                <w:b/>
                <w:color w:val="000000"/>
                <w:szCs w:val="21"/>
              </w:rPr>
              <w:t>危险特性：</w:t>
            </w:r>
            <w:r>
              <w:rPr>
                <w:rFonts w:hint="eastAsia" w:ascii="宋体" w:hAnsi="宋体" w:cs="宋体"/>
                <w:color w:val="000000"/>
                <w:szCs w:val="21"/>
              </w:rPr>
              <w:t>遇明火、高热或与氧化剂接触，有引起燃烧爆炸的危险。若遇高热，容器</w:t>
            </w:r>
          </w:p>
          <w:p>
            <w:pPr>
              <w:rPr>
                <w:rFonts w:ascii="宋体" w:hAnsi="宋体" w:cs="宋体"/>
                <w:b/>
                <w:color w:val="000000"/>
                <w:szCs w:val="21"/>
              </w:rPr>
            </w:pPr>
            <w:r>
              <w:rPr>
                <w:rFonts w:hint="eastAsia" w:ascii="宋体" w:hAnsi="宋体" w:cs="宋体"/>
                <w:color w:val="000000"/>
                <w:szCs w:val="21"/>
              </w:rPr>
              <w:t>内压增大，有开裂和爆炸的危险。</w:t>
            </w:r>
          </w:p>
          <w:p>
            <w:pPr>
              <w:rPr>
                <w:rFonts w:ascii="宋体" w:hAnsi="宋体" w:cs="宋体"/>
                <w:b/>
                <w:color w:val="000000"/>
                <w:szCs w:val="21"/>
              </w:rPr>
            </w:pPr>
            <w:r>
              <w:rPr>
                <w:rFonts w:hint="eastAsia" w:ascii="宋体" w:hAnsi="宋体" w:cs="宋体"/>
                <w:b/>
                <w:color w:val="000000"/>
                <w:szCs w:val="21"/>
              </w:rPr>
              <w:t>有害燃烧产物：</w:t>
            </w:r>
            <w:r>
              <w:rPr>
                <w:rFonts w:hint="eastAsia" w:ascii="宋体" w:hAnsi="宋体" w:cs="宋体"/>
                <w:color w:val="000000"/>
                <w:szCs w:val="21"/>
              </w:rPr>
              <w:t>一氧化碳、二氧化碳。</w:t>
            </w:r>
          </w:p>
          <w:p>
            <w:pPr>
              <w:rPr>
                <w:rFonts w:ascii="宋体" w:hAnsi="宋体" w:cs="宋体"/>
                <w:color w:val="000000"/>
                <w:szCs w:val="21"/>
              </w:rPr>
            </w:pPr>
            <w:r>
              <w:rPr>
                <w:rFonts w:hint="eastAsia" w:ascii="宋体" w:hAnsi="宋体" w:cs="宋体"/>
                <w:b/>
                <w:color w:val="000000"/>
                <w:szCs w:val="21"/>
              </w:rPr>
              <w:t>灭火方法：</w:t>
            </w:r>
            <w:r>
              <w:rPr>
                <w:rFonts w:hint="eastAsia" w:ascii="宋体" w:hAnsi="宋体" w:cs="宋体"/>
                <w:color w:val="000000"/>
                <w:szCs w:val="21"/>
              </w:rPr>
              <w:t>消防人员须佩戴防毒面具、穿全身消防服，在上风向灭火。尽可能将容器</w:t>
            </w:r>
          </w:p>
          <w:p>
            <w:pPr>
              <w:rPr>
                <w:rFonts w:ascii="宋体" w:hAnsi="宋体" w:cs="宋体"/>
                <w:color w:val="000000"/>
                <w:szCs w:val="21"/>
              </w:rPr>
            </w:pPr>
            <w:r>
              <w:rPr>
                <w:rFonts w:hint="eastAsia" w:ascii="宋体" w:hAnsi="宋体" w:cs="宋体"/>
                <w:color w:val="000000"/>
                <w:szCs w:val="21"/>
              </w:rPr>
              <w:t>从火场移至空旷处。喷水保持火场容器冷却，直至灭火结束。处在火场中的容器若已</w:t>
            </w:r>
          </w:p>
          <w:p>
            <w:pPr>
              <w:rPr>
                <w:rFonts w:ascii="宋体" w:hAnsi="宋体" w:cs="宋体"/>
                <w:color w:val="000000"/>
                <w:szCs w:val="21"/>
              </w:rPr>
            </w:pPr>
            <w:r>
              <w:rPr>
                <w:rFonts w:hint="eastAsia" w:ascii="宋体" w:hAnsi="宋体" w:cs="宋体"/>
                <w:color w:val="000000"/>
                <w:szCs w:val="21"/>
              </w:rPr>
              <w:t>变色或从安全泄压装置中产生声音，必须马上撤离。灭火剂：雾状水、泡沫、干粉、</w:t>
            </w:r>
          </w:p>
          <w:p>
            <w:pPr>
              <w:rPr>
                <w:rFonts w:ascii="宋体" w:hAnsi="宋体" w:cs="宋体"/>
                <w:color w:val="000000"/>
                <w:szCs w:val="21"/>
              </w:rPr>
            </w:pPr>
            <w:r>
              <w:rPr>
                <w:rFonts w:hint="eastAsia" w:ascii="宋体" w:hAnsi="宋体" w:cs="宋体"/>
                <w:color w:val="000000"/>
                <w:szCs w:val="21"/>
              </w:rPr>
              <w:t>二氧化碳、砂土。</w:t>
            </w:r>
          </w:p>
          <w:p>
            <w:pPr>
              <w:jc w:val="center"/>
              <w:rPr>
                <w:rFonts w:ascii="黑体" w:hAnsi="宋体" w:eastAsia="黑体" w:cs="黑体"/>
                <w:b/>
                <w:color w:val="000000"/>
                <w:szCs w:val="21"/>
              </w:rPr>
            </w:pPr>
            <w:r>
              <w:rPr>
                <w:rFonts w:hint="eastAsia" w:ascii="黑体" w:hAnsi="宋体" w:eastAsia="黑体" w:cs="黑体"/>
                <w:b/>
                <w:color w:val="000000"/>
                <w:szCs w:val="21"/>
              </w:rPr>
              <w:t>第六部分  泄漏应急处理</w:t>
            </w:r>
          </w:p>
          <w:p>
            <w:pPr>
              <w:rPr>
                <w:rFonts w:ascii="宋体" w:hAnsi="宋体" w:cs="宋体"/>
                <w:color w:val="000000"/>
                <w:szCs w:val="21"/>
              </w:rPr>
            </w:pPr>
            <w:r>
              <w:rPr>
                <w:rFonts w:hint="eastAsia" w:ascii="宋体" w:hAnsi="宋体" w:cs="宋体"/>
                <w:b/>
                <w:color w:val="000000"/>
                <w:szCs w:val="21"/>
              </w:rPr>
              <w:t>应急处理：</w:t>
            </w:r>
            <w:r>
              <w:rPr>
                <w:rFonts w:hint="eastAsia" w:ascii="宋体" w:hAnsi="宋体" w:cs="宋体"/>
                <w:color w:val="000000"/>
                <w:szCs w:val="21"/>
              </w:rPr>
              <w:t>迅速撤离泄漏污染区人员至安全区，并进行隔离，严格限制出入。切断火</w:t>
            </w:r>
          </w:p>
          <w:p>
            <w:pPr>
              <w:rPr>
                <w:rFonts w:ascii="宋体" w:hAnsi="宋体" w:cs="宋体"/>
                <w:color w:val="000000"/>
                <w:szCs w:val="21"/>
              </w:rPr>
            </w:pPr>
            <w:r>
              <w:rPr>
                <w:rFonts w:hint="eastAsia" w:ascii="宋体" w:hAnsi="宋体" w:cs="宋体"/>
                <w:color w:val="000000"/>
                <w:szCs w:val="21"/>
              </w:rPr>
              <w:t>源。建议应急处理人员戴自给正压式呼吸器，穿一般作业工作服。尽可能切断泄漏</w:t>
            </w:r>
          </w:p>
          <w:p>
            <w:pPr>
              <w:rPr>
                <w:rFonts w:ascii="宋体" w:hAnsi="宋体" w:cs="宋体"/>
                <w:color w:val="000000"/>
                <w:szCs w:val="21"/>
              </w:rPr>
            </w:pPr>
            <w:r>
              <w:rPr>
                <w:rFonts w:hint="eastAsia" w:ascii="宋体" w:hAnsi="宋体" w:cs="宋体"/>
                <w:color w:val="000000"/>
                <w:szCs w:val="21"/>
              </w:rPr>
              <w:t>源。防止流入下水道、排洪沟等限制性空间。小量泄漏：用活性炭或其它惰性材料吸</w:t>
            </w:r>
          </w:p>
          <w:p>
            <w:pPr>
              <w:rPr>
                <w:rFonts w:ascii="宋体" w:hAnsi="宋体" w:cs="宋体"/>
                <w:color w:val="000000"/>
                <w:szCs w:val="21"/>
              </w:rPr>
            </w:pPr>
            <w:r>
              <w:rPr>
                <w:rFonts w:hint="eastAsia" w:ascii="宋体" w:hAnsi="宋体" w:cs="宋体"/>
                <w:color w:val="000000"/>
                <w:szCs w:val="21"/>
              </w:rPr>
              <w:t>收。大量泄漏：构筑围堤或挖坑收容。用泵转移至槽车或专用收集器内，回收或运</w:t>
            </w:r>
          </w:p>
          <w:p>
            <w:pPr>
              <w:rPr>
                <w:rFonts w:ascii="宋体" w:hAnsi="宋体" w:cs="宋体"/>
                <w:b/>
                <w:color w:val="000000"/>
                <w:szCs w:val="21"/>
              </w:rPr>
            </w:pPr>
            <w:r>
              <w:rPr>
                <w:rFonts w:hint="eastAsia" w:ascii="宋体" w:hAnsi="宋体" w:cs="宋体"/>
                <w:color w:val="000000"/>
                <w:szCs w:val="21"/>
              </w:rPr>
              <w:t>至废物处理场所处置。</w:t>
            </w:r>
          </w:p>
          <w:p>
            <w:pPr>
              <w:jc w:val="center"/>
              <w:rPr>
                <w:rFonts w:ascii="黑体" w:hAnsi="宋体" w:eastAsia="黑体" w:cs="黑体"/>
                <w:b/>
                <w:color w:val="000000"/>
                <w:szCs w:val="21"/>
              </w:rPr>
            </w:pPr>
            <w:r>
              <w:rPr>
                <w:rFonts w:hint="eastAsia" w:ascii="黑体" w:hAnsi="宋体" w:eastAsia="黑体" w:cs="黑体"/>
                <w:b/>
                <w:color w:val="000000"/>
                <w:szCs w:val="21"/>
              </w:rPr>
              <w:t>第七部分  操作处置与储存</w:t>
            </w:r>
          </w:p>
          <w:p>
            <w:pPr>
              <w:rPr>
                <w:rFonts w:ascii="宋体" w:hAnsi="宋体" w:cs="宋体"/>
                <w:color w:val="000000"/>
                <w:szCs w:val="21"/>
              </w:rPr>
            </w:pPr>
            <w:r>
              <w:rPr>
                <w:rFonts w:hint="eastAsia" w:ascii="宋体" w:hAnsi="宋体" w:cs="宋体"/>
                <w:b/>
                <w:color w:val="000000"/>
                <w:szCs w:val="21"/>
              </w:rPr>
              <w:t>操作注意事项：</w:t>
            </w:r>
            <w:r>
              <w:rPr>
                <w:rFonts w:hint="eastAsia" w:ascii="宋体" w:hAnsi="宋体" w:cs="宋体"/>
                <w:color w:val="000000"/>
                <w:szCs w:val="21"/>
              </w:rPr>
              <w:t>密闭操作，注意通风。操作人员必须经过专门培训，严格遵守操作</w:t>
            </w:r>
          </w:p>
          <w:p>
            <w:pPr>
              <w:rPr>
                <w:rFonts w:ascii="宋体" w:hAnsi="宋体" w:cs="宋体"/>
                <w:color w:val="000000"/>
                <w:szCs w:val="21"/>
              </w:rPr>
            </w:pPr>
            <w:r>
              <w:rPr>
                <w:rFonts w:hint="eastAsia" w:ascii="宋体" w:hAnsi="宋体" w:cs="宋体"/>
                <w:color w:val="000000"/>
                <w:szCs w:val="21"/>
              </w:rPr>
              <w:t>规程。建议操作人员佩戴自吸过滤式防毒面具（半面罩），戴化学安全防护眼镜，戴</w:t>
            </w:r>
          </w:p>
          <w:p>
            <w:pPr>
              <w:rPr>
                <w:rFonts w:ascii="宋体" w:hAnsi="宋体" w:cs="宋体"/>
                <w:color w:val="000000"/>
                <w:szCs w:val="21"/>
              </w:rPr>
            </w:pPr>
            <w:r>
              <w:rPr>
                <w:rFonts w:hint="eastAsia" w:ascii="宋体" w:hAnsi="宋体" w:cs="宋体"/>
                <w:color w:val="000000"/>
                <w:szCs w:val="21"/>
              </w:rPr>
              <w:t>橡胶耐油手套。远离火种、热源，工作场所严禁吸烟。使用防爆型的通风系统和设</w:t>
            </w:r>
          </w:p>
          <w:p>
            <w:pPr>
              <w:rPr>
                <w:rFonts w:ascii="宋体" w:hAnsi="宋体" w:cs="宋体"/>
                <w:color w:val="000000"/>
                <w:szCs w:val="21"/>
              </w:rPr>
            </w:pPr>
            <w:r>
              <w:rPr>
                <w:rFonts w:hint="eastAsia" w:ascii="宋体" w:hAnsi="宋体" w:cs="宋体"/>
                <w:color w:val="000000"/>
                <w:szCs w:val="21"/>
              </w:rPr>
              <w:t>备。防止蒸气泄漏到工作场所空气中。避免与氧化剂、卤素接触。充装要控制流速，</w:t>
            </w:r>
          </w:p>
          <w:p>
            <w:pPr>
              <w:rPr>
                <w:rFonts w:ascii="宋体" w:hAnsi="宋体" w:cs="宋体"/>
                <w:color w:val="000000"/>
                <w:szCs w:val="21"/>
              </w:rPr>
            </w:pPr>
            <w:r>
              <w:rPr>
                <w:rFonts w:hint="eastAsia" w:ascii="宋体" w:hAnsi="宋体" w:cs="宋体"/>
                <w:color w:val="000000"/>
                <w:szCs w:val="21"/>
              </w:rPr>
              <w:t>防止静电积聚。搬运时要轻装轻卸，防止包装及容器损坏。配备相应品种和数量的</w:t>
            </w:r>
          </w:p>
          <w:p>
            <w:pPr>
              <w:rPr>
                <w:rFonts w:ascii="宋体" w:hAnsi="宋体" w:cs="宋体"/>
                <w:b/>
                <w:color w:val="000000"/>
                <w:szCs w:val="21"/>
              </w:rPr>
            </w:pPr>
            <w:r>
              <w:rPr>
                <w:rFonts w:hint="eastAsia" w:ascii="宋体" w:hAnsi="宋体" w:cs="宋体"/>
                <w:color w:val="000000"/>
                <w:szCs w:val="21"/>
              </w:rPr>
              <w:t>消防器材及泄漏应急处理设备。倒空的容器可能残留有害物。</w:t>
            </w:r>
          </w:p>
          <w:p>
            <w:pPr>
              <w:rPr>
                <w:rFonts w:ascii="宋体" w:hAnsi="宋体" w:cs="宋体"/>
                <w:color w:val="000000"/>
                <w:szCs w:val="21"/>
              </w:rPr>
            </w:pPr>
            <w:r>
              <w:rPr>
                <w:rFonts w:hint="eastAsia" w:ascii="宋体" w:hAnsi="宋体" w:cs="宋体"/>
                <w:b/>
                <w:color w:val="000000"/>
                <w:szCs w:val="21"/>
              </w:rPr>
              <w:t>储存注意事项：</w:t>
            </w:r>
            <w:r>
              <w:rPr>
                <w:rFonts w:hint="eastAsia" w:ascii="宋体" w:hAnsi="宋体" w:cs="宋体"/>
                <w:color w:val="000000"/>
                <w:szCs w:val="21"/>
              </w:rPr>
              <w:t>储存于阴凉、通风的库房。远离火种、热源。应与氧化剂、卤素分</w:t>
            </w:r>
          </w:p>
          <w:p>
            <w:pPr>
              <w:rPr>
                <w:rFonts w:ascii="宋体" w:hAnsi="宋体" w:cs="宋体"/>
                <w:color w:val="000000"/>
                <w:szCs w:val="21"/>
              </w:rPr>
            </w:pPr>
            <w:r>
              <w:rPr>
                <w:rFonts w:hint="eastAsia" w:ascii="宋体" w:hAnsi="宋体" w:cs="宋体"/>
                <w:color w:val="000000"/>
                <w:szCs w:val="21"/>
              </w:rPr>
              <w:t>开存放，切忌混储。采用防爆型照明、通风设施。禁止使用易产生火花的机械设备</w:t>
            </w:r>
          </w:p>
          <w:p>
            <w:pPr>
              <w:rPr>
                <w:rFonts w:ascii="宋体" w:hAnsi="宋体" w:cs="宋体"/>
                <w:color w:val="000000"/>
                <w:szCs w:val="21"/>
              </w:rPr>
            </w:pPr>
            <w:r>
              <w:rPr>
                <w:rFonts w:hint="eastAsia" w:ascii="宋体" w:hAnsi="宋体" w:cs="宋体"/>
                <w:color w:val="000000"/>
                <w:szCs w:val="21"/>
              </w:rPr>
              <w:t>和工具。储区应备有泄漏应急处理设备和合适的收容材料。</w:t>
            </w:r>
          </w:p>
          <w:p>
            <w:pPr>
              <w:jc w:val="center"/>
              <w:rPr>
                <w:rFonts w:ascii="黑体" w:hAnsi="宋体" w:eastAsia="黑体" w:cs="黑体"/>
                <w:b/>
                <w:color w:val="000000"/>
                <w:szCs w:val="21"/>
              </w:rPr>
            </w:pPr>
            <w:r>
              <w:rPr>
                <w:rFonts w:hint="eastAsia" w:ascii="黑体" w:hAnsi="宋体" w:eastAsia="黑体" w:cs="黑体"/>
                <w:b/>
                <w:color w:val="000000"/>
                <w:szCs w:val="21"/>
              </w:rPr>
              <w:t>第八部分  接触控制/个体防护</w:t>
            </w:r>
          </w:p>
          <w:tbl>
            <w:tblPr>
              <w:tblStyle w:val="59"/>
              <w:tblW w:w="7419" w:type="dxa"/>
              <w:tblInd w:w="0" w:type="dxa"/>
              <w:tblLayout w:type="fixed"/>
              <w:tblCellMar>
                <w:top w:w="0" w:type="dxa"/>
                <w:left w:w="108" w:type="dxa"/>
                <w:bottom w:w="0" w:type="dxa"/>
                <w:right w:w="108" w:type="dxa"/>
              </w:tblCellMar>
            </w:tblPr>
            <w:tblGrid>
              <w:gridCol w:w="468"/>
              <w:gridCol w:w="3336"/>
              <w:gridCol w:w="3615"/>
            </w:tblGrid>
            <w:tr>
              <w:tblPrEx>
                <w:tblLayout w:type="fixed"/>
                <w:tblCellMar>
                  <w:top w:w="0" w:type="dxa"/>
                  <w:left w:w="108" w:type="dxa"/>
                  <w:bottom w:w="0" w:type="dxa"/>
                  <w:right w:w="108" w:type="dxa"/>
                </w:tblCellMar>
              </w:tblPrEx>
              <w:trPr>
                <w:cantSplit/>
              </w:trPr>
              <w:tc>
                <w:tcPr>
                  <w:tcW w:w="7419" w:type="dxa"/>
                  <w:gridSpan w:val="3"/>
                </w:tcPr>
                <w:p>
                  <w:pPr>
                    <w:rPr>
                      <w:b/>
                      <w:color w:val="000000"/>
                      <w:szCs w:val="21"/>
                    </w:rPr>
                  </w:pPr>
                  <w:r>
                    <w:rPr>
                      <w:rFonts w:hint="eastAsia" w:ascii="宋体" w:hAnsi="宋体" w:cs="宋体"/>
                      <w:b/>
                      <w:color w:val="000000"/>
                      <w:szCs w:val="21"/>
                    </w:rPr>
                    <w:t>职业接触限值：</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3336" w:type="dxa"/>
                </w:tcPr>
                <w:p>
                  <w:pPr>
                    <w:rPr>
                      <w:rFonts w:ascii="宋体" w:hAnsi="宋体" w:cs="宋体"/>
                      <w:color w:val="000000"/>
                      <w:szCs w:val="21"/>
                    </w:rPr>
                  </w:pPr>
                  <w:r>
                    <w:rPr>
                      <w:rFonts w:hint="eastAsia" w:ascii="宋体" w:hAnsi="宋体" w:cs="宋体"/>
                      <w:b/>
                      <w:color w:val="000000"/>
                      <w:szCs w:val="21"/>
                    </w:rPr>
                    <w:t>中国</w:t>
                  </w:r>
                  <w:r>
                    <w:rPr>
                      <w:b/>
                      <w:color w:val="000000"/>
                      <w:szCs w:val="21"/>
                    </w:rPr>
                    <w:t>MAC(mg/m</w:t>
                  </w:r>
                  <w:r>
                    <w:rPr>
                      <w:b/>
                      <w:color w:val="000000"/>
                      <w:szCs w:val="21"/>
                      <w:vertAlign w:val="superscript"/>
                    </w:rPr>
                    <w:t>3</w:t>
                  </w:r>
                  <w:r>
                    <w:rPr>
                      <w:b/>
                      <w:color w:val="000000"/>
                      <w:szCs w:val="21"/>
                    </w:rPr>
                    <w:t>)</w:t>
                  </w:r>
                  <w:r>
                    <w:rPr>
                      <w:rFonts w:hint="eastAsia" w:ascii="宋体" w:hAnsi="宋体" w:cs="宋体"/>
                      <w:b/>
                      <w:color w:val="000000"/>
                      <w:szCs w:val="21"/>
                    </w:rPr>
                    <w:t>：</w:t>
                  </w:r>
                  <w:r>
                    <w:rPr>
                      <w:rFonts w:hint="eastAsia" w:cs="宋体"/>
                      <w:color w:val="000000"/>
                      <w:szCs w:val="21"/>
                    </w:rPr>
                    <w:t>未制定标准</w:t>
                  </w:r>
                </w:p>
              </w:tc>
              <w:tc>
                <w:tcPr>
                  <w:tcW w:w="3615" w:type="dxa"/>
                </w:tcPr>
                <w:p>
                  <w:pPr>
                    <w:rPr>
                      <w:b/>
                      <w:color w:val="000000"/>
                      <w:szCs w:val="21"/>
                    </w:rPr>
                  </w:pPr>
                  <w:r>
                    <w:rPr>
                      <w:rFonts w:hint="eastAsia" w:ascii="宋体" w:hAnsi="宋体" w:cs="宋体"/>
                      <w:b/>
                      <w:color w:val="000000"/>
                      <w:szCs w:val="21"/>
                    </w:rPr>
                    <w:t>前苏联</w:t>
                  </w:r>
                  <w:r>
                    <w:rPr>
                      <w:b/>
                      <w:color w:val="000000"/>
                      <w:szCs w:val="21"/>
                    </w:rPr>
                    <w:t>MAC(mg/m</w:t>
                  </w:r>
                  <w:r>
                    <w:rPr>
                      <w:b/>
                      <w:color w:val="000000"/>
                      <w:szCs w:val="21"/>
                      <w:vertAlign w:val="superscript"/>
                    </w:rPr>
                    <w:t>3</w:t>
                  </w:r>
                  <w:r>
                    <w:rPr>
                      <w:b/>
                      <w:color w:val="000000"/>
                      <w:szCs w:val="21"/>
                    </w:rPr>
                    <w:t>)</w:t>
                  </w:r>
                  <w:r>
                    <w:rPr>
                      <w:rFonts w:hint="eastAsia" w:cs="宋体"/>
                      <w:color w:val="000000"/>
                      <w:szCs w:val="21"/>
                    </w:rPr>
                    <w:t>：未制定标准</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6951" w:type="dxa"/>
                  <w:gridSpan w:val="2"/>
                </w:tcPr>
                <w:p>
                  <w:pPr>
                    <w:rPr>
                      <w:b/>
                      <w:color w:val="000000"/>
                      <w:szCs w:val="21"/>
                    </w:rPr>
                  </w:pPr>
                  <w:r>
                    <w:rPr>
                      <w:b/>
                      <w:color w:val="000000"/>
                      <w:szCs w:val="21"/>
                    </w:rPr>
                    <w:t>TLVTN</w:t>
                  </w:r>
                  <w:r>
                    <w:rPr>
                      <w:rFonts w:hint="eastAsia" w:cs="宋体"/>
                      <w:b/>
                      <w:color w:val="000000"/>
                      <w:szCs w:val="21"/>
                    </w:rPr>
                    <w:t>：</w:t>
                  </w:r>
                  <w:r>
                    <w:rPr>
                      <w:rFonts w:hint="eastAsia" w:cs="宋体"/>
                      <w:color w:val="000000"/>
                      <w:szCs w:val="21"/>
                    </w:rPr>
                    <w:t>未制订标准</w:t>
                  </w:r>
                </w:p>
              </w:tc>
            </w:tr>
            <w:tr>
              <w:tblPrEx>
                <w:tblLayout w:type="fixed"/>
                <w:tblCellMar>
                  <w:top w:w="0" w:type="dxa"/>
                  <w:left w:w="108" w:type="dxa"/>
                  <w:bottom w:w="0" w:type="dxa"/>
                  <w:right w:w="108" w:type="dxa"/>
                </w:tblCellMar>
              </w:tblPrEx>
              <w:trPr>
                <w:cantSplit/>
              </w:trPr>
              <w:tc>
                <w:tcPr>
                  <w:tcW w:w="468" w:type="dxa"/>
                </w:tcPr>
                <w:p>
                  <w:pPr>
                    <w:rPr>
                      <w:rFonts w:ascii="宋体" w:hAnsi="宋体" w:cs="宋体"/>
                      <w:color w:val="000000"/>
                      <w:szCs w:val="21"/>
                    </w:rPr>
                  </w:pPr>
                </w:p>
              </w:tc>
              <w:tc>
                <w:tcPr>
                  <w:tcW w:w="6951" w:type="dxa"/>
                  <w:gridSpan w:val="2"/>
                </w:tcPr>
                <w:p>
                  <w:pPr>
                    <w:rPr>
                      <w:b/>
                      <w:color w:val="000000"/>
                      <w:szCs w:val="21"/>
                    </w:rPr>
                  </w:pPr>
                  <w:r>
                    <w:rPr>
                      <w:b/>
                      <w:color w:val="000000"/>
                      <w:szCs w:val="21"/>
                    </w:rPr>
                    <w:t>TLVWN</w:t>
                  </w:r>
                  <w:r>
                    <w:rPr>
                      <w:rFonts w:hint="eastAsia" w:cs="宋体"/>
                      <w:b/>
                      <w:color w:val="000000"/>
                      <w:szCs w:val="21"/>
                    </w:rPr>
                    <w:t>：</w:t>
                  </w:r>
                  <w:r>
                    <w:rPr>
                      <w:rFonts w:hint="eastAsia" w:cs="宋体"/>
                      <w:color w:val="000000"/>
                      <w:szCs w:val="21"/>
                    </w:rPr>
                    <w:t>未制订标准</w:t>
                  </w:r>
                </w:p>
              </w:tc>
            </w:tr>
          </w:tbl>
          <w:p>
            <w:pPr>
              <w:rPr>
                <w:rFonts w:ascii="宋体" w:hAnsi="宋体" w:cs="宋体"/>
                <w:b/>
                <w:color w:val="000000"/>
                <w:szCs w:val="21"/>
              </w:rPr>
            </w:pPr>
            <w:r>
              <w:rPr>
                <w:rFonts w:hint="eastAsia" w:ascii="宋体" w:hAnsi="宋体" w:cs="宋体"/>
                <w:b/>
                <w:color w:val="000000"/>
                <w:szCs w:val="21"/>
              </w:rPr>
              <w:t>监测方法：</w:t>
            </w:r>
          </w:p>
          <w:p>
            <w:pPr>
              <w:rPr>
                <w:rFonts w:ascii="宋体" w:hAnsi="宋体" w:cs="宋体"/>
                <w:b/>
                <w:color w:val="000000"/>
                <w:szCs w:val="21"/>
              </w:rPr>
            </w:pPr>
            <w:r>
              <w:rPr>
                <w:rFonts w:hint="eastAsia" w:ascii="宋体" w:hAnsi="宋体" w:cs="宋体"/>
                <w:b/>
                <w:color w:val="000000"/>
                <w:szCs w:val="21"/>
              </w:rPr>
              <w:t>工程控制：</w:t>
            </w:r>
            <w:r>
              <w:rPr>
                <w:rFonts w:hint="eastAsia" w:ascii="宋体" w:hAnsi="宋体" w:cs="宋体"/>
                <w:color w:val="000000"/>
                <w:szCs w:val="21"/>
              </w:rPr>
              <w:t>密闭操作，注意通风。</w:t>
            </w:r>
          </w:p>
          <w:p>
            <w:pPr>
              <w:rPr>
                <w:rFonts w:ascii="宋体" w:hAnsi="宋体" w:cs="宋体"/>
                <w:color w:val="000000"/>
                <w:szCs w:val="21"/>
              </w:rPr>
            </w:pPr>
            <w:r>
              <w:rPr>
                <w:rFonts w:hint="eastAsia" w:ascii="宋体" w:hAnsi="宋体" w:cs="宋体"/>
                <w:b/>
                <w:color w:val="000000"/>
                <w:szCs w:val="21"/>
              </w:rPr>
              <w:t>呼吸系统防护：</w:t>
            </w:r>
            <w:r>
              <w:rPr>
                <w:rFonts w:hint="eastAsia" w:ascii="宋体" w:hAnsi="宋体" w:cs="宋体"/>
                <w:color w:val="000000"/>
                <w:szCs w:val="21"/>
              </w:rPr>
              <w:t>空气中浓度超标时，建议佩戴自吸过滤式防毒面具（半面罩）。紧</w:t>
            </w:r>
          </w:p>
          <w:p>
            <w:pPr>
              <w:rPr>
                <w:rFonts w:ascii="宋体" w:hAnsi="宋体" w:cs="宋体"/>
                <w:b/>
                <w:color w:val="000000"/>
                <w:szCs w:val="21"/>
              </w:rPr>
            </w:pPr>
            <w:r>
              <w:rPr>
                <w:rFonts w:hint="eastAsia" w:ascii="宋体" w:hAnsi="宋体" w:cs="宋体"/>
                <w:color w:val="000000"/>
                <w:szCs w:val="21"/>
              </w:rPr>
              <w:t>急事态抢救或撤离时，应该佩戴空气呼吸器。</w:t>
            </w:r>
          </w:p>
          <w:p>
            <w:pPr>
              <w:rPr>
                <w:rFonts w:ascii="宋体" w:hAnsi="宋体" w:cs="宋体"/>
                <w:b/>
                <w:color w:val="000000"/>
                <w:szCs w:val="21"/>
              </w:rPr>
            </w:pPr>
            <w:r>
              <w:rPr>
                <w:rFonts w:hint="eastAsia" w:ascii="宋体" w:hAnsi="宋体" w:cs="宋体"/>
                <w:b/>
                <w:color w:val="000000"/>
                <w:szCs w:val="21"/>
              </w:rPr>
              <w:t>眼睛防护：</w:t>
            </w:r>
            <w:r>
              <w:rPr>
                <w:rFonts w:hint="eastAsia" w:ascii="宋体" w:hAnsi="宋体" w:cs="宋体"/>
                <w:color w:val="000000"/>
                <w:szCs w:val="21"/>
              </w:rPr>
              <w:t>戴化学安全防护眼镜。</w:t>
            </w:r>
          </w:p>
          <w:p>
            <w:pPr>
              <w:rPr>
                <w:rFonts w:ascii="宋体" w:hAnsi="宋体" w:cs="宋体"/>
                <w:b/>
                <w:color w:val="000000"/>
                <w:szCs w:val="21"/>
              </w:rPr>
            </w:pPr>
            <w:r>
              <w:rPr>
                <w:rFonts w:hint="eastAsia" w:ascii="宋体" w:hAnsi="宋体" w:cs="宋体"/>
                <w:b/>
                <w:color w:val="000000"/>
                <w:szCs w:val="21"/>
              </w:rPr>
              <w:t>身体防护：</w:t>
            </w:r>
            <w:r>
              <w:rPr>
                <w:rFonts w:hint="eastAsia" w:ascii="宋体" w:hAnsi="宋体" w:cs="宋体"/>
                <w:color w:val="000000"/>
                <w:szCs w:val="21"/>
              </w:rPr>
              <w:t>穿一般作业防护服。</w:t>
            </w:r>
          </w:p>
          <w:p>
            <w:pPr>
              <w:rPr>
                <w:rFonts w:ascii="宋体" w:hAnsi="宋体" w:cs="宋体"/>
                <w:b/>
                <w:color w:val="000000"/>
                <w:szCs w:val="21"/>
              </w:rPr>
            </w:pPr>
            <w:r>
              <w:rPr>
                <w:rFonts w:hint="eastAsia" w:ascii="宋体" w:hAnsi="宋体" w:cs="宋体"/>
                <w:b/>
                <w:color w:val="000000"/>
                <w:szCs w:val="21"/>
              </w:rPr>
              <w:t>手防护：</w:t>
            </w:r>
            <w:r>
              <w:rPr>
                <w:rFonts w:hint="eastAsia" w:ascii="宋体" w:hAnsi="宋体" w:cs="宋体"/>
                <w:color w:val="000000"/>
                <w:szCs w:val="21"/>
              </w:rPr>
              <w:t>戴橡胶耐油手套。</w:t>
            </w:r>
          </w:p>
          <w:p>
            <w:pPr>
              <w:rPr>
                <w:rFonts w:ascii="宋体" w:hAnsi="宋体" w:cs="宋体"/>
                <w:color w:val="000000"/>
                <w:szCs w:val="21"/>
              </w:rPr>
            </w:pPr>
            <w:r>
              <w:rPr>
                <w:rFonts w:hint="eastAsia" w:ascii="宋体" w:hAnsi="宋体" w:cs="宋体"/>
                <w:b/>
                <w:color w:val="000000"/>
                <w:szCs w:val="21"/>
              </w:rPr>
              <w:t>其它防护：</w:t>
            </w:r>
            <w:r>
              <w:rPr>
                <w:rFonts w:hint="eastAsia" w:ascii="宋体" w:hAnsi="宋体" w:cs="宋体"/>
                <w:color w:val="000000"/>
                <w:szCs w:val="21"/>
              </w:rPr>
              <w:t>工作现场严禁吸烟。避免长期反复接触。</w:t>
            </w:r>
          </w:p>
          <w:p>
            <w:pPr>
              <w:jc w:val="center"/>
              <w:rPr>
                <w:rFonts w:ascii="黑体" w:hAnsi="宋体" w:eastAsia="黑体" w:cs="黑体"/>
                <w:b/>
                <w:color w:val="000000"/>
                <w:szCs w:val="21"/>
              </w:rPr>
            </w:pPr>
            <w:r>
              <w:rPr>
                <w:rFonts w:hint="eastAsia" w:ascii="黑体" w:hAnsi="宋体" w:eastAsia="黑体" w:cs="黑体"/>
                <w:b/>
                <w:color w:val="000000"/>
                <w:szCs w:val="21"/>
              </w:rPr>
              <w:t>第九部分  理 化 特 性</w:t>
            </w:r>
          </w:p>
          <w:tbl>
            <w:tblPr>
              <w:tblStyle w:val="59"/>
              <w:tblW w:w="7344" w:type="dxa"/>
              <w:tblInd w:w="0" w:type="dxa"/>
              <w:tblLayout w:type="fixed"/>
              <w:tblCellMar>
                <w:top w:w="0" w:type="dxa"/>
                <w:left w:w="108" w:type="dxa"/>
                <w:bottom w:w="0" w:type="dxa"/>
                <w:right w:w="108" w:type="dxa"/>
              </w:tblCellMar>
            </w:tblPr>
            <w:tblGrid>
              <w:gridCol w:w="4260"/>
              <w:gridCol w:w="3084"/>
            </w:tblGrid>
            <w:tr>
              <w:tblPrEx>
                <w:tblLayout w:type="fixed"/>
                <w:tblCellMar>
                  <w:top w:w="0" w:type="dxa"/>
                  <w:left w:w="108" w:type="dxa"/>
                  <w:bottom w:w="0" w:type="dxa"/>
                  <w:right w:w="108" w:type="dxa"/>
                </w:tblCellMar>
              </w:tblPrEx>
              <w:trPr>
                <w:cantSplit/>
              </w:trPr>
              <w:tc>
                <w:tcPr>
                  <w:tcW w:w="7344" w:type="dxa"/>
                  <w:gridSpan w:val="2"/>
                  <w:vAlign w:val="center"/>
                </w:tcPr>
                <w:p>
                  <w:pPr>
                    <w:rPr>
                      <w:rFonts w:ascii="宋体" w:hAnsi="宋体" w:cs="宋体"/>
                      <w:b/>
                      <w:color w:val="000000"/>
                      <w:szCs w:val="21"/>
                    </w:rPr>
                  </w:pPr>
                  <w:r>
                    <w:rPr>
                      <w:rFonts w:hint="eastAsia" w:ascii="宋体" w:hAnsi="宋体" w:cs="宋体"/>
                      <w:b/>
                      <w:color w:val="000000"/>
                      <w:szCs w:val="21"/>
                    </w:rPr>
                    <w:t>外观与性状：</w:t>
                  </w:r>
                  <w:r>
                    <w:rPr>
                      <w:rFonts w:hint="eastAsia" w:ascii="宋体" w:hAnsi="宋体" w:cs="宋体"/>
                      <w:color w:val="000000"/>
                      <w:szCs w:val="21"/>
                    </w:rPr>
                    <w:t>稍有粘性的棕色液体。</w:t>
                  </w:r>
                </w:p>
              </w:tc>
            </w:tr>
            <w:tr>
              <w:tblPrEx>
                <w:tblLayout w:type="fixed"/>
                <w:tblCellMar>
                  <w:top w:w="0" w:type="dxa"/>
                  <w:left w:w="108" w:type="dxa"/>
                  <w:bottom w:w="0" w:type="dxa"/>
                  <w:right w:w="108" w:type="dxa"/>
                </w:tblCellMar>
              </w:tblPrEx>
              <w:trPr>
                <w:cantSplit/>
              </w:trPr>
              <w:tc>
                <w:tcPr>
                  <w:tcW w:w="4260" w:type="dxa"/>
                </w:tcPr>
                <w:p>
                  <w:pPr>
                    <w:rPr>
                      <w:rFonts w:ascii="宋体" w:hAnsi="宋体" w:cs="宋体"/>
                      <w:b/>
                      <w:color w:val="000000"/>
                      <w:szCs w:val="21"/>
                    </w:rPr>
                  </w:pPr>
                  <w:r>
                    <w:rPr>
                      <w:b/>
                      <w:color w:val="000000"/>
                      <w:szCs w:val="21"/>
                    </w:rPr>
                    <w:t>pH</w:t>
                  </w:r>
                  <w:r>
                    <w:rPr>
                      <w:rFonts w:hint="eastAsia" w:ascii="宋体" w:hAnsi="宋体" w:cs="宋体"/>
                      <w:b/>
                      <w:color w:val="000000"/>
                      <w:szCs w:val="21"/>
                    </w:rPr>
                    <w:t>值：</w:t>
                  </w:r>
                </w:p>
              </w:tc>
              <w:tc>
                <w:tcPr>
                  <w:tcW w:w="3084" w:type="dxa"/>
                </w:tcPr>
                <w:p>
                  <w:pPr>
                    <w:rPr>
                      <w:rFonts w:ascii="宋体" w:hAnsi="宋体" w:cs="宋体"/>
                      <w:b/>
                      <w:color w:val="000000"/>
                      <w:szCs w:val="21"/>
                    </w:rPr>
                  </w:pPr>
                  <w:r>
                    <w:rPr>
                      <w:rFonts w:hint="eastAsia" w:ascii="宋体" w:hAnsi="宋体" w:cs="宋体"/>
                      <w:b/>
                      <w:color w:val="000000"/>
                      <w:szCs w:val="21"/>
                    </w:rPr>
                    <w:t>熔点（℃）：</w:t>
                  </w:r>
                  <w:r>
                    <w:rPr>
                      <w:color w:val="000000"/>
                      <w:szCs w:val="21"/>
                    </w:rPr>
                    <w:t>-18</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相对密度（水＝</w:t>
                  </w:r>
                  <w:r>
                    <w:rPr>
                      <w:b/>
                      <w:color w:val="000000"/>
                      <w:szCs w:val="21"/>
                    </w:rPr>
                    <w:t>1</w:t>
                  </w:r>
                  <w:r>
                    <w:rPr>
                      <w:rFonts w:hint="eastAsia" w:cs="宋体"/>
                      <w:b/>
                      <w:color w:val="000000"/>
                      <w:szCs w:val="21"/>
                    </w:rPr>
                    <w:t>）：</w:t>
                  </w:r>
                  <w:r>
                    <w:rPr>
                      <w:color w:val="000000"/>
                      <w:szCs w:val="21"/>
                    </w:rPr>
                    <w:t>0.87-0.9</w:t>
                  </w:r>
                </w:p>
              </w:tc>
              <w:tc>
                <w:tcPr>
                  <w:tcW w:w="3084" w:type="dxa"/>
                </w:tcPr>
                <w:p>
                  <w:pPr>
                    <w:rPr>
                      <w:rFonts w:ascii="宋体" w:hAnsi="宋体" w:cs="宋体"/>
                      <w:b/>
                      <w:color w:val="000000"/>
                      <w:szCs w:val="21"/>
                    </w:rPr>
                  </w:pPr>
                  <w:r>
                    <w:rPr>
                      <w:rFonts w:hint="eastAsia" w:ascii="宋体" w:hAnsi="宋体" w:cs="宋体"/>
                      <w:b/>
                      <w:color w:val="000000"/>
                      <w:szCs w:val="21"/>
                    </w:rPr>
                    <w:t>沸点（℃）：</w:t>
                  </w:r>
                  <w:r>
                    <w:rPr>
                      <w:color w:val="000000"/>
                      <w:szCs w:val="21"/>
                    </w:rPr>
                    <w:t>282-338</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相对蒸气密度（空气＝</w:t>
                  </w:r>
                  <w:r>
                    <w:rPr>
                      <w:b/>
                      <w:color w:val="000000"/>
                      <w:szCs w:val="21"/>
                    </w:rPr>
                    <w:t>1</w:t>
                  </w:r>
                  <w:r>
                    <w:rPr>
                      <w:rFonts w:hint="eastAsia" w:cs="宋体"/>
                      <w:b/>
                      <w:color w:val="000000"/>
                      <w:szCs w:val="21"/>
                    </w:rPr>
                    <w:t>）：</w:t>
                  </w:r>
                  <w:r>
                    <w:rPr>
                      <w:rFonts w:hint="eastAsia" w:cs="宋体"/>
                      <w:color w:val="000000"/>
                      <w:szCs w:val="21"/>
                    </w:rPr>
                    <w:t>无资料</w:t>
                  </w:r>
                </w:p>
              </w:tc>
              <w:tc>
                <w:tcPr>
                  <w:tcW w:w="3084" w:type="dxa"/>
                </w:tcPr>
                <w:p>
                  <w:pPr>
                    <w:rPr>
                      <w:rFonts w:ascii="宋体" w:hAnsi="宋体" w:cs="宋体"/>
                      <w:b/>
                      <w:color w:val="000000"/>
                      <w:szCs w:val="21"/>
                    </w:rPr>
                  </w:pPr>
                  <w:r>
                    <w:rPr>
                      <w:rFonts w:hint="eastAsia" w:ascii="宋体" w:hAnsi="宋体" w:cs="宋体"/>
                      <w:b/>
                      <w:color w:val="000000"/>
                      <w:szCs w:val="21"/>
                    </w:rPr>
                    <w:t>辛醇/水分配系数：</w:t>
                  </w:r>
                  <w:r>
                    <w:rPr>
                      <w:rFonts w:hint="eastAsia" w:cs="宋体"/>
                      <w:color w:val="000000"/>
                      <w:szCs w:val="21"/>
                    </w:rPr>
                    <w:t>无资料</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闪点（</w:t>
                  </w:r>
                  <w:r>
                    <w:rPr>
                      <w:rFonts w:hint="eastAsia" w:ascii="宋体" w:hAnsi="宋体" w:cs="宋体"/>
                      <w:b/>
                      <w:color w:val="000000"/>
                      <w:szCs w:val="21"/>
                    </w:rPr>
                    <w:t>℃</w:t>
                  </w:r>
                  <w:r>
                    <w:rPr>
                      <w:rFonts w:hint="eastAsia" w:cs="宋体"/>
                      <w:b/>
                      <w:color w:val="000000"/>
                      <w:szCs w:val="21"/>
                    </w:rPr>
                    <w:t>）：</w:t>
                  </w:r>
                  <w:r>
                    <w:rPr>
                      <w:rFonts w:hint="eastAsia"/>
                      <w:color w:val="000000"/>
                      <w:szCs w:val="21"/>
                    </w:rPr>
                    <w:t>55</w:t>
                  </w:r>
                </w:p>
              </w:tc>
              <w:tc>
                <w:tcPr>
                  <w:tcW w:w="3084" w:type="dxa"/>
                </w:tcPr>
                <w:p>
                  <w:pPr>
                    <w:rPr>
                      <w:rFonts w:ascii="宋体" w:hAnsi="宋体" w:cs="宋体"/>
                      <w:b/>
                      <w:color w:val="000000"/>
                      <w:szCs w:val="21"/>
                    </w:rPr>
                  </w:pPr>
                  <w:r>
                    <w:rPr>
                      <w:rFonts w:hint="eastAsia" w:ascii="宋体" w:hAnsi="宋体" w:cs="宋体"/>
                      <w:b/>
                      <w:color w:val="000000"/>
                      <w:szCs w:val="21"/>
                    </w:rPr>
                    <w:t>引燃温度（℃）：</w:t>
                  </w:r>
                  <w:r>
                    <w:rPr>
                      <w:color w:val="000000"/>
                      <w:szCs w:val="21"/>
                    </w:rPr>
                    <w:t>257</w:t>
                  </w:r>
                </w:p>
              </w:tc>
            </w:tr>
            <w:tr>
              <w:tblPrEx>
                <w:tblLayout w:type="fixed"/>
                <w:tblCellMar>
                  <w:top w:w="0" w:type="dxa"/>
                  <w:left w:w="108" w:type="dxa"/>
                  <w:bottom w:w="0" w:type="dxa"/>
                  <w:right w:w="108" w:type="dxa"/>
                </w:tblCellMar>
              </w:tblPrEx>
              <w:trPr>
                <w:cantSplit/>
              </w:trPr>
              <w:tc>
                <w:tcPr>
                  <w:tcW w:w="4260" w:type="dxa"/>
                </w:tcPr>
                <w:p>
                  <w:pPr>
                    <w:rPr>
                      <w:b/>
                      <w:color w:val="000000"/>
                      <w:szCs w:val="21"/>
                    </w:rPr>
                  </w:pPr>
                  <w:r>
                    <w:rPr>
                      <w:rFonts w:hint="eastAsia" w:cs="宋体"/>
                      <w:b/>
                      <w:color w:val="000000"/>
                      <w:szCs w:val="21"/>
                    </w:rPr>
                    <w:t>爆炸上限</w:t>
                  </w:r>
                  <w:r>
                    <w:rPr>
                      <w:b/>
                      <w:color w:val="000000"/>
                      <w:szCs w:val="21"/>
                    </w:rPr>
                    <w:t>[</w:t>
                  </w:r>
                  <w:r>
                    <w:rPr>
                      <w:rFonts w:hint="eastAsia" w:cs="宋体"/>
                      <w:b/>
                      <w:color w:val="000000"/>
                      <w:szCs w:val="21"/>
                    </w:rPr>
                    <w:t>％（</w:t>
                  </w:r>
                  <w:r>
                    <w:rPr>
                      <w:b/>
                      <w:color w:val="000000"/>
                      <w:szCs w:val="21"/>
                    </w:rPr>
                    <w:t>V/V</w:t>
                  </w:r>
                  <w:r>
                    <w:rPr>
                      <w:rFonts w:hint="eastAsia" w:cs="宋体"/>
                      <w:b/>
                      <w:color w:val="000000"/>
                      <w:szCs w:val="21"/>
                    </w:rPr>
                    <w:t>）</w:t>
                  </w:r>
                  <w:r>
                    <w:rPr>
                      <w:b/>
                      <w:color w:val="000000"/>
                      <w:szCs w:val="21"/>
                    </w:rPr>
                    <w:t>]</w:t>
                  </w:r>
                  <w:r>
                    <w:rPr>
                      <w:rFonts w:hint="eastAsia" w:cs="宋体"/>
                      <w:b/>
                      <w:color w:val="000000"/>
                      <w:szCs w:val="21"/>
                    </w:rPr>
                    <w:t>：</w:t>
                  </w:r>
                  <w:r>
                    <w:rPr>
                      <w:rFonts w:hint="eastAsia" w:cs="宋体"/>
                      <w:color w:val="000000"/>
                      <w:szCs w:val="21"/>
                    </w:rPr>
                    <w:t>无资料</w:t>
                  </w:r>
                </w:p>
              </w:tc>
              <w:tc>
                <w:tcPr>
                  <w:tcW w:w="3084" w:type="dxa"/>
                </w:tcPr>
                <w:p>
                  <w:pPr>
                    <w:rPr>
                      <w:rFonts w:ascii="宋体" w:hAnsi="宋体" w:cs="宋体"/>
                      <w:b/>
                      <w:color w:val="000000"/>
                      <w:szCs w:val="21"/>
                    </w:rPr>
                  </w:pPr>
                  <w:r>
                    <w:rPr>
                      <w:rFonts w:hint="eastAsia" w:cs="宋体"/>
                      <w:b/>
                      <w:color w:val="000000"/>
                      <w:szCs w:val="21"/>
                    </w:rPr>
                    <w:t>爆炸下限</w:t>
                  </w:r>
                  <w:r>
                    <w:rPr>
                      <w:b/>
                      <w:color w:val="000000"/>
                      <w:szCs w:val="21"/>
                    </w:rPr>
                    <w:t>[</w:t>
                  </w:r>
                  <w:r>
                    <w:rPr>
                      <w:rFonts w:hint="eastAsia" w:cs="宋体"/>
                      <w:b/>
                      <w:color w:val="000000"/>
                      <w:szCs w:val="21"/>
                    </w:rPr>
                    <w:t>％（</w:t>
                  </w:r>
                  <w:r>
                    <w:rPr>
                      <w:b/>
                      <w:color w:val="000000"/>
                      <w:szCs w:val="21"/>
                    </w:rPr>
                    <w:t>V/V</w:t>
                  </w:r>
                  <w:r>
                    <w:rPr>
                      <w:rFonts w:hint="eastAsia" w:cs="宋体"/>
                      <w:b/>
                      <w:color w:val="000000"/>
                      <w:szCs w:val="21"/>
                    </w:rPr>
                    <w:t>）</w:t>
                  </w:r>
                  <w:r>
                    <w:rPr>
                      <w:b/>
                      <w:color w:val="000000"/>
                      <w:szCs w:val="21"/>
                    </w:rPr>
                    <w:t>]</w:t>
                  </w:r>
                  <w:r>
                    <w:rPr>
                      <w:rFonts w:hint="eastAsia" w:cs="宋体"/>
                      <w:b/>
                      <w:color w:val="000000"/>
                      <w:szCs w:val="21"/>
                    </w:rPr>
                    <w:t>：</w:t>
                  </w:r>
                  <w:r>
                    <w:rPr>
                      <w:rFonts w:hint="eastAsia" w:cs="宋体"/>
                      <w:color w:val="000000"/>
                      <w:szCs w:val="21"/>
                    </w:rPr>
                    <w:t>无资料</w:t>
                  </w:r>
                </w:p>
              </w:tc>
            </w:tr>
            <w:tr>
              <w:tblPrEx>
                <w:tblLayout w:type="fixed"/>
                <w:tblCellMar>
                  <w:top w:w="0" w:type="dxa"/>
                  <w:left w:w="108" w:type="dxa"/>
                  <w:bottom w:w="0" w:type="dxa"/>
                  <w:right w:w="108" w:type="dxa"/>
                </w:tblCellMar>
              </w:tblPrEx>
              <w:trPr>
                <w:cantSplit/>
              </w:trPr>
              <w:tc>
                <w:tcPr>
                  <w:tcW w:w="7344" w:type="dxa"/>
                  <w:gridSpan w:val="2"/>
                </w:tcPr>
                <w:p>
                  <w:pPr>
                    <w:rPr>
                      <w:b/>
                      <w:color w:val="000000"/>
                      <w:szCs w:val="21"/>
                    </w:rPr>
                  </w:pPr>
                  <w:r>
                    <w:rPr>
                      <w:rFonts w:hint="eastAsia" w:cs="宋体"/>
                      <w:b/>
                      <w:color w:val="000000"/>
                      <w:szCs w:val="21"/>
                    </w:rPr>
                    <w:t>溶解性：</w:t>
                  </w:r>
                </w:p>
              </w:tc>
            </w:tr>
            <w:tr>
              <w:tblPrEx>
                <w:tblLayout w:type="fixed"/>
                <w:tblCellMar>
                  <w:top w:w="0" w:type="dxa"/>
                  <w:left w:w="108" w:type="dxa"/>
                  <w:bottom w:w="0" w:type="dxa"/>
                  <w:right w:w="108" w:type="dxa"/>
                </w:tblCellMar>
              </w:tblPrEx>
              <w:trPr>
                <w:cantSplit/>
              </w:trPr>
              <w:tc>
                <w:tcPr>
                  <w:tcW w:w="7344" w:type="dxa"/>
                  <w:gridSpan w:val="2"/>
                </w:tcPr>
                <w:p>
                  <w:pPr>
                    <w:rPr>
                      <w:b/>
                      <w:color w:val="000000"/>
                      <w:szCs w:val="21"/>
                    </w:rPr>
                  </w:pPr>
                  <w:r>
                    <w:rPr>
                      <w:rFonts w:hint="eastAsia" w:cs="宋体"/>
                      <w:b/>
                      <w:color w:val="000000"/>
                      <w:szCs w:val="21"/>
                    </w:rPr>
                    <w:t>主要用途：</w:t>
                  </w:r>
                  <w:r>
                    <w:rPr>
                      <w:rFonts w:hint="eastAsia" w:ascii="宋体" w:hAnsi="宋体" w:cs="宋体"/>
                      <w:color w:val="000000"/>
                      <w:szCs w:val="21"/>
                    </w:rPr>
                    <w:t>用作柴油机的燃料。</w:t>
                  </w:r>
                </w:p>
              </w:tc>
            </w:tr>
          </w:tbl>
          <w:p>
            <w:pPr>
              <w:jc w:val="center"/>
              <w:rPr>
                <w:rFonts w:ascii="宋体" w:hAnsi="宋体" w:cs="宋体"/>
                <w:b/>
                <w:color w:val="000000"/>
                <w:szCs w:val="21"/>
              </w:rPr>
            </w:pPr>
            <w:r>
              <w:rPr>
                <w:rFonts w:hint="eastAsia" w:ascii="黑体" w:hAnsi="宋体" w:eastAsia="黑体" w:cs="黑体"/>
                <w:b/>
                <w:color w:val="000000"/>
                <w:szCs w:val="21"/>
              </w:rPr>
              <w:t>第十部分  稳定性和反应活性</w:t>
            </w:r>
          </w:p>
          <w:p>
            <w:pPr>
              <w:rPr>
                <w:rFonts w:ascii="宋体" w:hAnsi="宋体" w:cs="宋体"/>
                <w:b/>
                <w:color w:val="000000"/>
                <w:szCs w:val="21"/>
              </w:rPr>
            </w:pPr>
            <w:r>
              <w:rPr>
                <w:rFonts w:hint="eastAsia" w:ascii="宋体" w:hAnsi="宋体" w:cs="宋体"/>
                <w:b/>
                <w:color w:val="000000"/>
                <w:szCs w:val="21"/>
              </w:rPr>
              <w:t>稳定性：</w:t>
            </w:r>
            <w:r>
              <w:rPr>
                <w:rFonts w:hint="eastAsia" w:ascii="宋体" w:hAnsi="宋体" w:cs="宋体"/>
                <w:color w:val="000000"/>
                <w:szCs w:val="21"/>
              </w:rPr>
              <w:t>稳定</w:t>
            </w:r>
          </w:p>
          <w:p>
            <w:pPr>
              <w:rPr>
                <w:rFonts w:ascii="宋体" w:hAnsi="宋体" w:cs="宋体"/>
                <w:b/>
                <w:color w:val="000000"/>
                <w:szCs w:val="21"/>
              </w:rPr>
            </w:pPr>
            <w:r>
              <w:rPr>
                <w:rFonts w:hint="eastAsia" w:ascii="宋体" w:hAnsi="宋体" w:cs="宋体"/>
                <w:b/>
                <w:color w:val="000000"/>
                <w:szCs w:val="21"/>
              </w:rPr>
              <w:t>禁配物：</w:t>
            </w:r>
            <w:r>
              <w:rPr>
                <w:rFonts w:hint="eastAsia" w:ascii="宋体" w:hAnsi="宋体" w:cs="宋体"/>
                <w:color w:val="000000"/>
                <w:szCs w:val="21"/>
              </w:rPr>
              <w:t>强氧化剂、卤素。</w:t>
            </w:r>
          </w:p>
          <w:p>
            <w:pPr>
              <w:rPr>
                <w:rFonts w:ascii="宋体" w:hAnsi="宋体" w:cs="宋体"/>
                <w:b/>
                <w:color w:val="000000"/>
                <w:szCs w:val="21"/>
              </w:rPr>
            </w:pPr>
            <w:r>
              <w:rPr>
                <w:rFonts w:hint="eastAsia" w:ascii="宋体" w:hAnsi="宋体" w:cs="宋体"/>
                <w:b/>
                <w:color w:val="000000"/>
                <w:szCs w:val="21"/>
              </w:rPr>
              <w:t>避免接触的条件:</w:t>
            </w:r>
          </w:p>
          <w:p>
            <w:pPr>
              <w:rPr>
                <w:rFonts w:ascii="宋体" w:hAnsi="宋体" w:cs="宋体"/>
                <w:b/>
                <w:color w:val="000000"/>
                <w:szCs w:val="21"/>
              </w:rPr>
            </w:pPr>
            <w:r>
              <w:rPr>
                <w:rFonts w:hint="eastAsia" w:ascii="宋体" w:hAnsi="宋体" w:cs="宋体"/>
                <w:b/>
                <w:color w:val="000000"/>
                <w:szCs w:val="21"/>
              </w:rPr>
              <w:t>聚合危害：</w:t>
            </w:r>
            <w:r>
              <w:rPr>
                <w:rFonts w:hint="eastAsia" w:ascii="宋体" w:hAnsi="宋体" w:cs="宋体"/>
                <w:color w:val="000000"/>
                <w:szCs w:val="21"/>
              </w:rPr>
              <w:t>不聚合</w:t>
            </w:r>
          </w:p>
          <w:p>
            <w:pPr>
              <w:rPr>
                <w:rFonts w:ascii="宋体" w:hAnsi="宋体" w:cs="宋体"/>
                <w:color w:val="000000"/>
                <w:szCs w:val="21"/>
              </w:rPr>
            </w:pPr>
            <w:r>
              <w:rPr>
                <w:rFonts w:hint="eastAsia" w:ascii="宋体" w:hAnsi="宋体" w:cs="宋体"/>
                <w:b/>
                <w:color w:val="000000"/>
                <w:szCs w:val="21"/>
              </w:rPr>
              <w:t>分解产物：</w:t>
            </w:r>
          </w:p>
          <w:p>
            <w:pPr>
              <w:jc w:val="center"/>
              <w:rPr>
                <w:rFonts w:ascii="黑体" w:hAnsi="宋体" w:eastAsia="黑体" w:cs="黑体"/>
                <w:b/>
                <w:color w:val="000000"/>
                <w:szCs w:val="21"/>
              </w:rPr>
            </w:pPr>
            <w:r>
              <w:rPr>
                <w:rFonts w:hint="eastAsia" w:ascii="黑体" w:hAnsi="宋体" w:eastAsia="黑体" w:cs="黑体"/>
                <w:b/>
                <w:color w:val="000000"/>
                <w:szCs w:val="21"/>
              </w:rPr>
              <w:t>第十一部分  毒理学资料</w:t>
            </w:r>
          </w:p>
          <w:p>
            <w:pPr>
              <w:rPr>
                <w:rFonts w:ascii="宋体" w:hAnsi="宋体" w:cs="宋体"/>
                <w:color w:val="000000"/>
                <w:szCs w:val="21"/>
              </w:rPr>
            </w:pPr>
            <w:r>
              <w:rPr>
                <w:rFonts w:hint="eastAsia" w:ascii="宋体" w:hAnsi="宋体" w:cs="宋体"/>
                <w:b/>
                <w:color w:val="000000"/>
                <w:szCs w:val="21"/>
              </w:rPr>
              <w:t xml:space="preserve">急性毒性： </w:t>
            </w:r>
            <w:r>
              <w:rPr>
                <w:b/>
                <w:color w:val="000000"/>
                <w:szCs w:val="21"/>
              </w:rPr>
              <w:t>LD</w:t>
            </w:r>
            <w:r>
              <w:rPr>
                <w:b/>
                <w:color w:val="000000"/>
                <w:szCs w:val="21"/>
                <w:vertAlign w:val="subscript"/>
              </w:rPr>
              <w:t>50</w:t>
            </w:r>
            <w:r>
              <w:rPr>
                <w:rFonts w:hint="eastAsia" w:ascii="宋体" w:hAnsi="宋体" w:cs="宋体"/>
                <w:color w:val="000000"/>
                <w:szCs w:val="21"/>
              </w:rPr>
              <w:t>：无资料</w:t>
            </w:r>
          </w:p>
          <w:p>
            <w:pPr>
              <w:rPr>
                <w:color w:val="000000"/>
              </w:rPr>
            </w:pPr>
            <w:r>
              <w:rPr>
                <w:color w:val="000000"/>
                <w:szCs w:val="22"/>
              </w:rPr>
              <w:t>LC</w:t>
            </w:r>
            <w:r>
              <w:rPr>
                <w:color w:val="000000"/>
                <w:szCs w:val="22"/>
                <w:vertAlign w:val="subscript"/>
              </w:rPr>
              <w:t>50</w:t>
            </w:r>
            <w:r>
              <w:rPr>
                <w:rFonts w:hint="eastAsia" w:cs="宋体"/>
                <w:color w:val="000000"/>
                <w:szCs w:val="22"/>
              </w:rPr>
              <w:t>：无资料</w:t>
            </w:r>
          </w:p>
          <w:p>
            <w:pPr>
              <w:rPr>
                <w:rFonts w:ascii="宋体" w:hAnsi="宋体" w:cs="宋体"/>
                <w:color w:val="000000"/>
                <w:szCs w:val="21"/>
              </w:rPr>
            </w:pPr>
            <w:r>
              <w:rPr>
                <w:rFonts w:hint="eastAsia" w:ascii="宋体" w:hAnsi="宋体" w:cs="宋体"/>
                <w:b/>
                <w:color w:val="000000"/>
                <w:szCs w:val="21"/>
              </w:rPr>
              <w:t>刺激性：</w:t>
            </w:r>
          </w:p>
          <w:p>
            <w:pPr>
              <w:jc w:val="center"/>
              <w:rPr>
                <w:rFonts w:ascii="黑体" w:hAnsi="宋体" w:eastAsia="黑体" w:cs="黑体"/>
                <w:b/>
                <w:color w:val="000000"/>
                <w:szCs w:val="21"/>
              </w:rPr>
            </w:pPr>
            <w:r>
              <w:rPr>
                <w:rFonts w:hint="eastAsia" w:ascii="黑体" w:hAnsi="宋体" w:eastAsia="黑体" w:cs="黑体"/>
                <w:b/>
                <w:color w:val="000000"/>
                <w:szCs w:val="21"/>
              </w:rPr>
              <w:t>第十二部分  生态学资料</w:t>
            </w:r>
          </w:p>
          <w:p>
            <w:pPr>
              <w:rPr>
                <w:rFonts w:ascii="宋体" w:hAnsi="宋体" w:cs="宋体"/>
                <w:b/>
                <w:color w:val="000000"/>
                <w:szCs w:val="21"/>
              </w:rPr>
            </w:pPr>
            <w:r>
              <w:rPr>
                <w:rFonts w:hint="eastAsia" w:ascii="宋体" w:hAnsi="宋体" w:cs="宋体"/>
                <w:b/>
                <w:color w:val="000000"/>
                <w:szCs w:val="21"/>
              </w:rPr>
              <w:t>生态毒性：</w:t>
            </w:r>
          </w:p>
          <w:p>
            <w:pPr>
              <w:rPr>
                <w:rFonts w:ascii="宋体" w:hAnsi="宋体" w:cs="宋体"/>
                <w:b/>
                <w:color w:val="000000"/>
                <w:szCs w:val="21"/>
              </w:rPr>
            </w:pPr>
            <w:r>
              <w:rPr>
                <w:rFonts w:hint="eastAsia" w:ascii="宋体" w:hAnsi="宋体" w:cs="宋体"/>
                <w:b/>
                <w:color w:val="000000"/>
                <w:szCs w:val="21"/>
              </w:rPr>
              <w:t>生物降解性：</w:t>
            </w:r>
          </w:p>
          <w:p>
            <w:pPr>
              <w:rPr>
                <w:rFonts w:ascii="宋体" w:hAnsi="宋体" w:cs="宋体"/>
                <w:color w:val="000000"/>
                <w:szCs w:val="21"/>
              </w:rPr>
            </w:pPr>
            <w:r>
              <w:rPr>
                <w:rFonts w:hint="eastAsia" w:ascii="宋体" w:hAnsi="宋体" w:cs="宋体"/>
                <w:b/>
                <w:color w:val="000000"/>
                <w:szCs w:val="21"/>
              </w:rPr>
              <w:t>非生物降解性：</w:t>
            </w:r>
          </w:p>
          <w:p>
            <w:pPr>
              <w:rPr>
                <w:rFonts w:ascii="宋体" w:hAnsi="宋体" w:cs="宋体"/>
                <w:color w:val="000000"/>
                <w:szCs w:val="21"/>
              </w:rPr>
            </w:pPr>
            <w:r>
              <w:rPr>
                <w:rFonts w:hint="eastAsia" w:ascii="宋体" w:hAnsi="宋体" w:cs="宋体"/>
                <w:b/>
                <w:color w:val="000000"/>
                <w:szCs w:val="21"/>
              </w:rPr>
              <w:t>其它有害作用：</w:t>
            </w:r>
            <w:r>
              <w:rPr>
                <w:rFonts w:hint="eastAsia" w:ascii="宋体" w:hAnsi="宋体" w:cs="宋体"/>
                <w:color w:val="000000"/>
                <w:szCs w:val="21"/>
              </w:rPr>
              <w:t>该物质对环境有危害，建议不要让其进入环境。对水体和大气可造</w:t>
            </w:r>
          </w:p>
          <w:p>
            <w:pPr>
              <w:rPr>
                <w:rFonts w:ascii="宋体" w:hAnsi="宋体" w:cs="宋体"/>
                <w:color w:val="000000"/>
                <w:szCs w:val="21"/>
              </w:rPr>
            </w:pPr>
            <w:r>
              <w:rPr>
                <w:rFonts w:hint="eastAsia" w:ascii="宋体" w:hAnsi="宋体" w:cs="宋体"/>
                <w:color w:val="000000"/>
                <w:szCs w:val="21"/>
              </w:rPr>
              <w:t>成污染，破坏水生生物呼吸系统。对海藻应给予特别注意。</w:t>
            </w:r>
          </w:p>
          <w:p>
            <w:pPr>
              <w:jc w:val="center"/>
              <w:rPr>
                <w:rFonts w:ascii="黑体" w:hAnsi="宋体" w:eastAsia="黑体" w:cs="黑体"/>
                <w:b/>
                <w:color w:val="000000"/>
                <w:szCs w:val="21"/>
              </w:rPr>
            </w:pPr>
            <w:r>
              <w:rPr>
                <w:rFonts w:hint="eastAsia" w:ascii="黑体" w:hAnsi="宋体" w:eastAsia="黑体" w:cs="黑体"/>
                <w:b/>
                <w:color w:val="000000"/>
                <w:szCs w:val="21"/>
              </w:rPr>
              <w:t>第十三部分  废 弃 处 置</w:t>
            </w:r>
          </w:p>
          <w:p>
            <w:pPr>
              <w:rPr>
                <w:rFonts w:ascii="宋体" w:hAnsi="宋体" w:cs="宋体"/>
                <w:b/>
                <w:color w:val="000000"/>
                <w:szCs w:val="21"/>
              </w:rPr>
            </w:pPr>
            <w:r>
              <w:rPr>
                <w:rFonts w:hint="eastAsia" w:ascii="宋体" w:hAnsi="宋体" w:cs="宋体"/>
                <w:b/>
                <w:color w:val="000000"/>
                <w:szCs w:val="21"/>
              </w:rPr>
              <w:t>废弃物性质：</w:t>
            </w:r>
          </w:p>
          <w:p>
            <w:pPr>
              <w:rPr>
                <w:rFonts w:ascii="宋体" w:hAnsi="宋体" w:cs="宋体"/>
                <w:b/>
                <w:color w:val="000000"/>
                <w:szCs w:val="21"/>
              </w:rPr>
            </w:pPr>
            <w:r>
              <w:rPr>
                <w:rFonts w:hint="eastAsia" w:ascii="宋体" w:hAnsi="宋体" w:cs="宋体"/>
                <w:b/>
                <w:color w:val="000000"/>
                <w:szCs w:val="21"/>
              </w:rPr>
              <w:t>废弃处置方法：</w:t>
            </w:r>
            <w:r>
              <w:rPr>
                <w:rFonts w:hint="eastAsia" w:ascii="宋体" w:hAnsi="宋体" w:cs="宋体"/>
                <w:color w:val="000000"/>
                <w:szCs w:val="21"/>
              </w:rPr>
              <w:t>处置前应参阅国家和地方有关法规。建议用焚烧法处置。</w:t>
            </w:r>
          </w:p>
          <w:p>
            <w:pPr>
              <w:rPr>
                <w:rFonts w:ascii="宋体" w:hAnsi="宋体" w:cs="宋体"/>
                <w:color w:val="000000"/>
                <w:szCs w:val="21"/>
              </w:rPr>
            </w:pPr>
            <w:r>
              <w:rPr>
                <w:rFonts w:hint="eastAsia" w:ascii="宋体" w:hAnsi="宋体" w:cs="宋体"/>
                <w:b/>
                <w:color w:val="000000"/>
                <w:szCs w:val="21"/>
              </w:rPr>
              <w:t>废弃注意事项：</w:t>
            </w:r>
          </w:p>
          <w:p>
            <w:pPr>
              <w:jc w:val="center"/>
              <w:rPr>
                <w:rFonts w:ascii="黑体" w:hAnsi="宋体" w:eastAsia="黑体" w:cs="黑体"/>
                <w:b/>
                <w:color w:val="000000"/>
                <w:szCs w:val="21"/>
              </w:rPr>
            </w:pPr>
            <w:r>
              <w:rPr>
                <w:rFonts w:hint="eastAsia" w:ascii="黑体" w:hAnsi="宋体" w:eastAsia="黑体" w:cs="黑体"/>
                <w:b/>
                <w:color w:val="000000"/>
                <w:szCs w:val="21"/>
              </w:rPr>
              <w:t>第十四部分  运 输 信 息</w:t>
            </w:r>
          </w:p>
          <w:p>
            <w:pPr>
              <w:rPr>
                <w:rFonts w:ascii="宋体" w:hAnsi="宋体" w:cs="宋体"/>
                <w:b/>
                <w:bCs/>
                <w:color w:val="000000"/>
                <w:szCs w:val="21"/>
              </w:rPr>
            </w:pPr>
            <w:r>
              <w:rPr>
                <w:rFonts w:hint="eastAsia" w:ascii="宋体" w:hAnsi="宋体" w:cs="宋体"/>
                <w:b/>
                <w:color w:val="000000"/>
                <w:szCs w:val="21"/>
              </w:rPr>
              <w:t>危险化学品目录序号：</w:t>
            </w:r>
            <w:r>
              <w:rPr>
                <w:rFonts w:hint="eastAsia" w:ascii="宋体" w:hAnsi="宋体" w:cs="宋体"/>
                <w:bCs/>
                <w:color w:val="000000"/>
                <w:szCs w:val="21"/>
              </w:rPr>
              <w:t>1674</w:t>
            </w:r>
          </w:p>
          <w:p>
            <w:pPr>
              <w:rPr>
                <w:rFonts w:ascii="宋体" w:hAnsi="宋体" w:cs="宋体"/>
                <w:b/>
                <w:color w:val="000000"/>
                <w:szCs w:val="21"/>
              </w:rPr>
            </w:pPr>
            <w:r>
              <w:rPr>
                <w:b/>
                <w:color w:val="000000"/>
                <w:szCs w:val="21"/>
              </w:rPr>
              <w:t>UN</w:t>
            </w:r>
            <w:r>
              <w:rPr>
                <w:rFonts w:hint="eastAsia" w:ascii="宋体" w:hAnsi="宋体" w:cs="宋体"/>
                <w:b/>
                <w:color w:val="000000"/>
                <w:szCs w:val="21"/>
              </w:rPr>
              <w:t>编号：</w:t>
            </w:r>
            <w:r>
              <w:rPr>
                <w:rFonts w:hint="eastAsia" w:ascii="宋体" w:hAnsi="宋体" w:cs="宋体"/>
                <w:color w:val="000000"/>
                <w:szCs w:val="21"/>
              </w:rPr>
              <w:t>无资料</w:t>
            </w:r>
          </w:p>
          <w:p>
            <w:pPr>
              <w:rPr>
                <w:rFonts w:ascii="宋体" w:hAnsi="宋体" w:cs="宋体"/>
                <w:color w:val="000000"/>
                <w:szCs w:val="21"/>
              </w:rPr>
            </w:pPr>
            <w:r>
              <w:rPr>
                <w:rFonts w:hint="eastAsia" w:ascii="宋体" w:hAnsi="宋体" w:cs="宋体"/>
                <w:b/>
                <w:color w:val="000000"/>
                <w:szCs w:val="21"/>
              </w:rPr>
              <w:t>包装标志：</w:t>
            </w:r>
            <w:r>
              <w:rPr>
                <w:rFonts w:hint="eastAsia" w:ascii="宋体" w:hAnsi="宋体" w:cs="宋体"/>
                <w:color w:val="000000"/>
                <w:szCs w:val="21"/>
              </w:rPr>
              <w:t>易燃液体</w:t>
            </w:r>
          </w:p>
          <w:p>
            <w:pPr>
              <w:rPr>
                <w:rFonts w:ascii="宋体" w:hAnsi="宋体" w:cs="宋体"/>
                <w:color w:val="000000"/>
                <w:szCs w:val="21"/>
              </w:rPr>
            </w:pPr>
            <w:r>
              <w:rPr>
                <w:rFonts w:hint="eastAsia" w:ascii="宋体" w:hAnsi="宋体" w:cs="宋体"/>
                <w:b/>
                <w:color w:val="000000"/>
                <w:szCs w:val="21"/>
              </w:rPr>
              <w:t>包装类别：</w:t>
            </w:r>
            <w:r>
              <w:rPr>
                <w:rFonts w:hint="eastAsia" w:ascii="宋体" w:hAnsi="宋体" w:cs="宋体"/>
                <w:color w:val="000000"/>
                <w:szCs w:val="21"/>
              </w:rPr>
              <w:t>Z01</w:t>
            </w:r>
          </w:p>
          <w:p>
            <w:pPr>
              <w:rPr>
                <w:rFonts w:ascii="宋体" w:hAnsi="宋体" w:cs="宋体"/>
                <w:color w:val="000000"/>
                <w:szCs w:val="21"/>
              </w:rPr>
            </w:pPr>
            <w:r>
              <w:rPr>
                <w:rFonts w:hint="eastAsia" w:ascii="宋体" w:hAnsi="宋体" w:cs="宋体"/>
                <w:b/>
                <w:color w:val="000000"/>
                <w:szCs w:val="21"/>
              </w:rPr>
              <w:t>包装方法：</w:t>
            </w:r>
            <w:r>
              <w:rPr>
                <w:rFonts w:hint="eastAsia" w:ascii="宋体" w:hAnsi="宋体" w:cs="宋体"/>
                <w:color w:val="000000"/>
                <w:szCs w:val="21"/>
              </w:rPr>
              <w:t>小开口钢桶；安瓿瓶外普通木箱；螺纹口玻璃瓶、铁盖压口玻璃瓶、塑</w:t>
            </w:r>
          </w:p>
          <w:p>
            <w:pPr>
              <w:rPr>
                <w:rFonts w:ascii="宋体" w:hAnsi="宋体" w:cs="宋体"/>
                <w:color w:val="000000"/>
                <w:szCs w:val="21"/>
              </w:rPr>
            </w:pPr>
            <w:r>
              <w:rPr>
                <w:rFonts w:hint="eastAsia" w:ascii="宋体" w:hAnsi="宋体" w:cs="宋体"/>
                <w:color w:val="000000"/>
                <w:szCs w:val="21"/>
              </w:rPr>
              <w:t>料瓶或金属桶（罐）外普通木箱。</w:t>
            </w:r>
          </w:p>
          <w:p>
            <w:pPr>
              <w:rPr>
                <w:rFonts w:ascii="宋体" w:hAnsi="宋体" w:cs="宋体"/>
                <w:color w:val="000000"/>
                <w:szCs w:val="21"/>
              </w:rPr>
            </w:pPr>
            <w:r>
              <w:rPr>
                <w:rFonts w:hint="eastAsia" w:ascii="宋体" w:hAnsi="宋体" w:cs="宋体"/>
                <w:b/>
                <w:color w:val="000000"/>
                <w:szCs w:val="21"/>
              </w:rPr>
              <w:t>运输注意事项：</w:t>
            </w:r>
            <w:r>
              <w:rPr>
                <w:rFonts w:hint="eastAsia" w:ascii="宋体" w:hAnsi="宋体" w:cs="宋体"/>
                <w:color w:val="000000"/>
                <w:szCs w:val="21"/>
              </w:rPr>
              <w:t>运输前应先检查包装容器是否完整、密封，运输过程中要确保容</w:t>
            </w:r>
          </w:p>
          <w:p>
            <w:pPr>
              <w:rPr>
                <w:rFonts w:ascii="宋体" w:hAnsi="宋体" w:cs="宋体"/>
                <w:color w:val="000000"/>
                <w:szCs w:val="21"/>
              </w:rPr>
            </w:pPr>
            <w:r>
              <w:rPr>
                <w:rFonts w:hint="eastAsia" w:ascii="宋体" w:hAnsi="宋体" w:cs="宋体"/>
                <w:color w:val="000000"/>
                <w:szCs w:val="21"/>
              </w:rPr>
              <w:t>器不泄漏、不倒塌、不坠落、不损坏。运输时运输车辆应配备相应品种和数量的</w:t>
            </w:r>
          </w:p>
          <w:p>
            <w:pPr>
              <w:rPr>
                <w:rFonts w:ascii="宋体" w:hAnsi="宋体" w:cs="宋体"/>
                <w:color w:val="000000"/>
                <w:szCs w:val="21"/>
              </w:rPr>
            </w:pPr>
            <w:r>
              <w:rPr>
                <w:rFonts w:hint="eastAsia" w:ascii="宋体" w:hAnsi="宋体" w:cs="宋体"/>
                <w:color w:val="000000"/>
                <w:szCs w:val="21"/>
              </w:rPr>
              <w:t>消防器材及泄漏应急处理设备。夏季最好早晚运输。运输时所用的槽（罐）车应</w:t>
            </w:r>
          </w:p>
          <w:p>
            <w:pPr>
              <w:rPr>
                <w:rFonts w:ascii="宋体" w:hAnsi="宋体" w:cs="宋体"/>
                <w:color w:val="000000"/>
                <w:szCs w:val="21"/>
              </w:rPr>
            </w:pPr>
            <w:r>
              <w:rPr>
                <w:rFonts w:hint="eastAsia" w:ascii="宋体" w:hAnsi="宋体" w:cs="宋体"/>
                <w:color w:val="000000"/>
                <w:szCs w:val="21"/>
              </w:rPr>
              <w:t>有接地链，槽内可设孔隔板以减少震荡产生静电。严禁与氧化剂、卤素、食用化</w:t>
            </w:r>
          </w:p>
          <w:p>
            <w:pPr>
              <w:rPr>
                <w:rFonts w:ascii="宋体" w:hAnsi="宋体" w:cs="宋体"/>
                <w:color w:val="000000"/>
                <w:szCs w:val="21"/>
              </w:rPr>
            </w:pPr>
            <w:r>
              <w:rPr>
                <w:rFonts w:hint="eastAsia" w:ascii="宋体" w:hAnsi="宋体" w:cs="宋体"/>
                <w:color w:val="000000"/>
                <w:szCs w:val="21"/>
              </w:rPr>
              <w:t>学品等混装混运。运输途中应防曝晒、雨淋，防高温。中途停留时应远离火种、</w:t>
            </w:r>
          </w:p>
          <w:p>
            <w:pPr>
              <w:rPr>
                <w:rFonts w:ascii="宋体" w:hAnsi="宋体" w:cs="宋体"/>
                <w:color w:val="000000"/>
                <w:szCs w:val="21"/>
              </w:rPr>
            </w:pPr>
            <w:r>
              <w:rPr>
                <w:rFonts w:hint="eastAsia" w:ascii="宋体" w:hAnsi="宋体" w:cs="宋体"/>
                <w:color w:val="000000"/>
                <w:szCs w:val="21"/>
              </w:rPr>
              <w:t>热源、高温区。装运该物品的车辆排气管必须配备阻火装置，禁止使用易产生火</w:t>
            </w:r>
          </w:p>
          <w:p>
            <w:pPr>
              <w:rPr>
                <w:rFonts w:ascii="宋体" w:hAnsi="宋体" w:cs="宋体"/>
                <w:color w:val="000000"/>
                <w:szCs w:val="21"/>
              </w:rPr>
            </w:pPr>
            <w:r>
              <w:rPr>
                <w:rFonts w:hint="eastAsia" w:ascii="宋体" w:hAnsi="宋体" w:cs="宋体"/>
                <w:color w:val="000000"/>
                <w:szCs w:val="21"/>
              </w:rPr>
              <w:t>花的机械设备和工具装卸。运输车船必须彻底清洗、消毒，否则不得装运其它物品。</w:t>
            </w:r>
          </w:p>
          <w:p>
            <w:pPr>
              <w:rPr>
                <w:rFonts w:ascii="宋体" w:hAnsi="宋体" w:cs="宋体"/>
                <w:color w:val="000000"/>
                <w:szCs w:val="21"/>
              </w:rPr>
            </w:pPr>
            <w:r>
              <w:rPr>
                <w:rFonts w:hint="eastAsia" w:ascii="宋体" w:hAnsi="宋体" w:cs="宋体"/>
                <w:color w:val="000000"/>
                <w:szCs w:val="21"/>
              </w:rPr>
              <w:t>船运时，配装位置应远离卧室、厨房，并与机舱、电源、火源等部位隔离。公路运</w:t>
            </w:r>
          </w:p>
          <w:p>
            <w:pPr>
              <w:rPr>
                <w:rFonts w:ascii="宋体" w:hAnsi="宋体" w:cs="宋体"/>
                <w:color w:val="000000"/>
                <w:szCs w:val="21"/>
              </w:rPr>
            </w:pPr>
            <w:r>
              <w:rPr>
                <w:rFonts w:hint="eastAsia" w:ascii="宋体" w:hAnsi="宋体" w:cs="宋体"/>
                <w:color w:val="000000"/>
                <w:szCs w:val="21"/>
              </w:rPr>
              <w:t>输时要按规定路线行驶。</w:t>
            </w:r>
          </w:p>
          <w:p>
            <w:pPr>
              <w:jc w:val="center"/>
              <w:rPr>
                <w:b/>
                <w:bCs/>
                <w:color w:val="000000"/>
                <w:szCs w:val="21"/>
              </w:rPr>
            </w:pPr>
            <w:r>
              <w:rPr>
                <w:rFonts w:hint="eastAsia"/>
                <w:b/>
                <w:bCs/>
                <w:color w:val="000000"/>
                <w:szCs w:val="21"/>
              </w:rPr>
              <w:t>第十五部分  法 规 信 息</w:t>
            </w:r>
          </w:p>
          <w:p>
            <w:pPr>
              <w:rPr>
                <w:color w:val="000000"/>
                <w:szCs w:val="21"/>
              </w:rPr>
            </w:pPr>
            <w:r>
              <w:rPr>
                <w:rFonts w:hint="eastAsia"/>
                <w:color w:val="000000"/>
                <w:szCs w:val="21"/>
              </w:rPr>
              <w:t>法规信息：《危险化学品安全管理条例》（国务院令第591号，国务院令第645号），</w:t>
            </w:r>
          </w:p>
          <w:p>
            <w:pPr>
              <w:rPr>
                <w:color w:val="000000"/>
                <w:szCs w:val="21"/>
              </w:rPr>
            </w:pPr>
            <w:r>
              <w:rPr>
                <w:rFonts w:hint="eastAsia"/>
                <w:color w:val="000000"/>
                <w:szCs w:val="21"/>
              </w:rPr>
              <w:t>《危险化学品经营许可证管理办法》（安监总局令第55号，总局令第79号修订）对生</w:t>
            </w:r>
          </w:p>
          <w:p>
            <w:pPr>
              <w:rPr>
                <w:color w:val="000000"/>
                <w:szCs w:val="21"/>
              </w:rPr>
            </w:pPr>
            <w:r>
              <w:rPr>
                <w:rFonts w:hint="eastAsia"/>
                <w:color w:val="000000"/>
                <w:szCs w:val="21"/>
              </w:rPr>
              <w:t>产、使用、储存、经营条件做了相关规定；《危险货物分类和品名编号》（GB6944-2012）</w:t>
            </w:r>
          </w:p>
          <w:p>
            <w:pPr>
              <w:rPr>
                <w:color w:val="000000"/>
                <w:szCs w:val="21"/>
              </w:rPr>
            </w:pPr>
            <w:r>
              <w:rPr>
                <w:rFonts w:hint="eastAsia"/>
                <w:color w:val="000000"/>
                <w:szCs w:val="21"/>
              </w:rPr>
              <w:t>对运输、储存、包装做了相关要求，《化学品分类和危险性公示 通则》（GB13690-2009）</w:t>
            </w:r>
          </w:p>
          <w:p>
            <w:pPr>
              <w:rPr>
                <w:color w:val="000000"/>
                <w:szCs w:val="21"/>
              </w:rPr>
            </w:pPr>
            <w:r>
              <w:rPr>
                <w:rFonts w:hint="eastAsia"/>
                <w:color w:val="000000"/>
                <w:szCs w:val="21"/>
              </w:rPr>
              <w:t>进行了分类。</w:t>
            </w:r>
          </w:p>
          <w:p>
            <w:pPr>
              <w:jc w:val="center"/>
              <w:rPr>
                <w:b/>
                <w:bCs/>
                <w:color w:val="000000"/>
                <w:szCs w:val="21"/>
              </w:rPr>
            </w:pPr>
            <w:r>
              <w:rPr>
                <w:rFonts w:hint="eastAsia"/>
                <w:b/>
                <w:bCs/>
                <w:color w:val="000000"/>
                <w:szCs w:val="21"/>
              </w:rPr>
              <w:t>第十六部分  其 它 信 息</w:t>
            </w:r>
          </w:p>
          <w:p>
            <w:pPr>
              <w:jc w:val="left"/>
              <w:rPr>
                <w:color w:val="000000"/>
                <w:sz w:val="24"/>
              </w:rPr>
            </w:pPr>
            <w:r>
              <w:rPr>
                <w:rFonts w:hint="eastAsia"/>
                <w:color w:val="000000"/>
                <w:szCs w:val="21"/>
              </w:rPr>
              <w:t>无</w:t>
            </w:r>
          </w:p>
        </w:tc>
      </w:tr>
    </w:tbl>
    <w:p>
      <w:pPr>
        <w:pStyle w:val="4"/>
      </w:pPr>
      <w:bookmarkStart w:id="133" w:name="_Toc5340"/>
      <w:r>
        <w:t>3.2站址及总平面布置</w:t>
      </w:r>
      <w:r>
        <w:rPr>
          <w:rFonts w:hint="eastAsia"/>
        </w:rPr>
        <w:t>危险有害因素分析</w:t>
      </w:r>
      <w:bookmarkEnd w:id="129"/>
      <w:bookmarkEnd w:id="130"/>
      <w:bookmarkEnd w:id="131"/>
      <w:bookmarkEnd w:id="133"/>
    </w:p>
    <w:p>
      <w:pPr>
        <w:pStyle w:val="12"/>
        <w:jc w:val="center"/>
      </w:pPr>
      <w:bookmarkStart w:id="134" w:name="_Toc206408165"/>
      <w:bookmarkStart w:id="135" w:name="_Toc205916029"/>
      <w:bookmarkStart w:id="136" w:name="_Toc207680248"/>
      <w:bookmarkStart w:id="137" w:name="OLE_LINK45"/>
      <w:bookmarkStart w:id="138" w:name="_Toc205957396"/>
      <w:r>
        <w:rPr>
          <w:rFonts w:hint="eastAsia"/>
        </w:rPr>
        <w:t>表3.2站址及总平面布置危险、有害因素分析</w:t>
      </w:r>
    </w:p>
    <w:bookmarkEnd w:id="134"/>
    <w:bookmarkEnd w:id="135"/>
    <w:bookmarkEnd w:id="136"/>
    <w:bookmarkEnd w:id="137"/>
    <w:bookmarkEnd w:id="138"/>
    <w:tbl>
      <w:tblPr>
        <w:tblStyle w:val="59"/>
        <w:tblW w:w="825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075"/>
        <w:gridCol w:w="4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序号</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可能存在的危险、有害因素</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危害后果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一</w:t>
            </w:r>
          </w:p>
        </w:tc>
        <w:tc>
          <w:tcPr>
            <w:tcW w:w="7680" w:type="dxa"/>
            <w:gridSpan w:val="2"/>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站址选择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570" w:type="dxa"/>
            <w:vMerge w:val="restart"/>
            <w:tcBorders>
              <w:top w:val="single" w:color="auto" w:sz="4" w:space="0"/>
              <w:left w:val="single" w:color="auto" w:sz="4" w:space="0"/>
              <w:right w:val="single" w:color="auto" w:sz="4" w:space="0"/>
            </w:tcBorders>
            <w:vAlign w:val="center"/>
          </w:tcPr>
          <w:p>
            <w:pPr>
              <w:pStyle w:val="16"/>
              <w:rPr>
                <w:sz w:val="21"/>
                <w:szCs w:val="21"/>
              </w:rPr>
            </w:pPr>
            <w:r>
              <w:rPr>
                <w:sz w:val="21"/>
                <w:szCs w:val="21"/>
              </w:rPr>
              <w:t>1</w:t>
            </w:r>
          </w:p>
        </w:tc>
        <w:tc>
          <w:tcPr>
            <w:tcW w:w="3075" w:type="dxa"/>
            <w:vMerge w:val="restart"/>
            <w:tcBorders>
              <w:top w:val="single" w:color="auto" w:sz="4" w:space="0"/>
              <w:left w:val="single" w:color="auto" w:sz="4" w:space="0"/>
              <w:right w:val="single" w:color="auto" w:sz="4" w:space="0"/>
            </w:tcBorders>
            <w:vAlign w:val="center"/>
          </w:tcPr>
          <w:p>
            <w:pPr>
              <w:pStyle w:val="16"/>
              <w:jc w:val="left"/>
              <w:rPr>
                <w:sz w:val="21"/>
                <w:szCs w:val="21"/>
              </w:rPr>
            </w:pPr>
            <w:r>
              <w:rPr>
                <w:sz w:val="21"/>
                <w:szCs w:val="21"/>
              </w:rPr>
              <w:t>站址选择</w:t>
            </w:r>
            <w:r>
              <w:rPr>
                <w:rFonts w:hint="eastAsia"/>
                <w:sz w:val="21"/>
                <w:szCs w:val="21"/>
              </w:rPr>
              <w:t>若</w:t>
            </w:r>
            <w:r>
              <w:rPr>
                <w:sz w:val="21"/>
                <w:szCs w:val="21"/>
              </w:rPr>
              <w:t>不符合城镇规划、环境保护和防火安全的要求，交通不便利。</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影响站周边群众安全。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70" w:type="dxa"/>
            <w:vMerge w:val="continue"/>
            <w:tcBorders>
              <w:left w:val="single" w:color="auto" w:sz="4" w:space="0"/>
              <w:right w:val="single" w:color="auto" w:sz="4" w:space="0"/>
            </w:tcBorders>
            <w:vAlign w:val="center"/>
          </w:tcPr>
          <w:p>
            <w:pPr>
              <w:pStyle w:val="16"/>
              <w:rPr>
                <w:sz w:val="21"/>
                <w:szCs w:val="21"/>
              </w:rPr>
            </w:pPr>
          </w:p>
        </w:tc>
        <w:tc>
          <w:tcPr>
            <w:tcW w:w="3075" w:type="dxa"/>
            <w:vMerge w:val="continue"/>
            <w:tcBorders>
              <w:left w:val="single" w:color="auto" w:sz="4" w:space="0"/>
              <w:right w:val="single" w:color="auto" w:sz="4" w:space="0"/>
            </w:tcBorders>
            <w:vAlign w:val="center"/>
          </w:tcPr>
          <w:p>
            <w:pPr>
              <w:pStyle w:val="16"/>
              <w:jc w:val="left"/>
              <w:rPr>
                <w:sz w:val="21"/>
                <w:szCs w:val="21"/>
              </w:rPr>
            </w:pP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油品大量泄漏时，引发火灾爆炸事故发生会危及附近居民生命财产的安全。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570" w:type="dxa"/>
            <w:vMerge w:val="continue"/>
            <w:tcBorders>
              <w:left w:val="single" w:color="auto" w:sz="4" w:space="0"/>
              <w:right w:val="single" w:color="auto" w:sz="4" w:space="0"/>
            </w:tcBorders>
            <w:vAlign w:val="center"/>
          </w:tcPr>
          <w:p>
            <w:pPr>
              <w:pStyle w:val="16"/>
              <w:rPr>
                <w:sz w:val="21"/>
                <w:szCs w:val="21"/>
              </w:rPr>
            </w:pPr>
          </w:p>
        </w:tc>
        <w:tc>
          <w:tcPr>
            <w:tcW w:w="3075" w:type="dxa"/>
            <w:vMerge w:val="continue"/>
            <w:tcBorders>
              <w:left w:val="single" w:color="auto" w:sz="4" w:space="0"/>
              <w:right w:val="single" w:color="auto" w:sz="4" w:space="0"/>
            </w:tcBorders>
            <w:vAlign w:val="center"/>
          </w:tcPr>
          <w:p>
            <w:pPr>
              <w:pStyle w:val="16"/>
              <w:jc w:val="left"/>
              <w:rPr>
                <w:sz w:val="21"/>
                <w:szCs w:val="21"/>
              </w:rPr>
            </w:pP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自然灾害（如地震）发生时，站内设施将受到破坏，发生油罐位移、油品泄漏、火灾爆炸等事故。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570" w:type="dxa"/>
            <w:vMerge w:val="continue"/>
            <w:tcBorders>
              <w:left w:val="single" w:color="auto" w:sz="4" w:space="0"/>
              <w:right w:val="single" w:color="auto" w:sz="4" w:space="0"/>
            </w:tcBorders>
            <w:vAlign w:val="center"/>
          </w:tcPr>
          <w:p>
            <w:pPr>
              <w:pStyle w:val="16"/>
              <w:rPr>
                <w:sz w:val="21"/>
                <w:szCs w:val="21"/>
              </w:rPr>
            </w:pPr>
          </w:p>
        </w:tc>
        <w:tc>
          <w:tcPr>
            <w:tcW w:w="3075" w:type="dxa"/>
            <w:vMerge w:val="continue"/>
            <w:tcBorders>
              <w:left w:val="single" w:color="auto" w:sz="4" w:space="0"/>
              <w:right w:val="single" w:color="auto" w:sz="4" w:space="0"/>
            </w:tcBorders>
            <w:vAlign w:val="center"/>
          </w:tcPr>
          <w:p>
            <w:pPr>
              <w:pStyle w:val="16"/>
              <w:jc w:val="left"/>
              <w:rPr>
                <w:sz w:val="21"/>
                <w:szCs w:val="21"/>
              </w:rPr>
            </w:pP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加油站发生事故时救援力量不能及时到达，会延误救援时机，导致事故扩大。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570" w:type="dxa"/>
            <w:vMerge w:val="continue"/>
            <w:tcBorders>
              <w:left w:val="single" w:color="auto" w:sz="4" w:space="0"/>
              <w:bottom w:val="single" w:color="auto" w:sz="4" w:space="0"/>
              <w:right w:val="single" w:color="auto" w:sz="4" w:space="0"/>
            </w:tcBorders>
            <w:vAlign w:val="center"/>
          </w:tcPr>
          <w:p>
            <w:pPr>
              <w:pStyle w:val="16"/>
              <w:rPr>
                <w:sz w:val="21"/>
                <w:szCs w:val="21"/>
              </w:rPr>
            </w:pPr>
          </w:p>
        </w:tc>
        <w:tc>
          <w:tcPr>
            <w:tcW w:w="3075" w:type="dxa"/>
            <w:vMerge w:val="continue"/>
            <w:tcBorders>
              <w:left w:val="single" w:color="auto" w:sz="4" w:space="0"/>
              <w:bottom w:val="single" w:color="auto" w:sz="4" w:space="0"/>
              <w:right w:val="single" w:color="auto" w:sz="4" w:space="0"/>
            </w:tcBorders>
            <w:vAlign w:val="center"/>
          </w:tcPr>
          <w:p>
            <w:pPr>
              <w:pStyle w:val="16"/>
              <w:jc w:val="left"/>
              <w:rPr>
                <w:sz w:val="21"/>
                <w:szCs w:val="21"/>
              </w:rPr>
            </w:pP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危害因素相互交叉影响，一方发生事故，将影响另一方人员、设施的安全。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trPr>
        <w:tc>
          <w:tcPr>
            <w:tcW w:w="570" w:type="dxa"/>
            <w:tcBorders>
              <w:top w:val="single" w:color="auto" w:sz="4" w:space="0"/>
              <w:left w:val="single" w:color="auto" w:sz="4" w:space="0"/>
              <w:right w:val="single" w:color="auto" w:sz="4" w:space="0"/>
            </w:tcBorders>
            <w:vAlign w:val="center"/>
          </w:tcPr>
          <w:p>
            <w:pPr>
              <w:pStyle w:val="16"/>
              <w:rPr>
                <w:sz w:val="21"/>
                <w:szCs w:val="21"/>
              </w:rPr>
            </w:pPr>
            <w:r>
              <w:rPr>
                <w:sz w:val="21"/>
                <w:szCs w:val="21"/>
              </w:rPr>
              <w:t>2</w:t>
            </w:r>
          </w:p>
        </w:tc>
        <w:tc>
          <w:tcPr>
            <w:tcW w:w="3075" w:type="dxa"/>
            <w:tcBorders>
              <w:top w:val="single" w:color="auto" w:sz="4" w:space="0"/>
              <w:left w:val="single" w:color="auto" w:sz="4" w:space="0"/>
              <w:right w:val="single" w:color="auto" w:sz="4" w:space="0"/>
            </w:tcBorders>
            <w:vAlign w:val="center"/>
          </w:tcPr>
          <w:p>
            <w:pPr>
              <w:pStyle w:val="16"/>
              <w:jc w:val="left"/>
              <w:rPr>
                <w:sz w:val="21"/>
                <w:szCs w:val="21"/>
              </w:rPr>
            </w:pPr>
            <w:r>
              <w:rPr>
                <w:sz w:val="21"/>
                <w:szCs w:val="21"/>
              </w:rPr>
              <w:t>加油站的油罐、加油机和通气管管口与站外建、构筑物的防火距离</w:t>
            </w:r>
            <w:r>
              <w:rPr>
                <w:rFonts w:hint="eastAsia"/>
                <w:sz w:val="21"/>
                <w:szCs w:val="21"/>
              </w:rPr>
              <w:t>若</w:t>
            </w:r>
            <w:r>
              <w:rPr>
                <w:sz w:val="21"/>
                <w:szCs w:val="21"/>
              </w:rPr>
              <w:t>不符合安全要求。</w:t>
            </w:r>
          </w:p>
        </w:tc>
        <w:tc>
          <w:tcPr>
            <w:tcW w:w="4605" w:type="dxa"/>
            <w:tcBorders>
              <w:top w:val="single" w:color="auto" w:sz="4" w:space="0"/>
              <w:left w:val="single" w:color="auto" w:sz="4" w:space="0"/>
              <w:right w:val="single" w:color="auto" w:sz="4" w:space="0"/>
            </w:tcBorders>
            <w:vAlign w:val="center"/>
          </w:tcPr>
          <w:p>
            <w:pPr>
              <w:pStyle w:val="16"/>
              <w:jc w:val="left"/>
              <w:rPr>
                <w:sz w:val="21"/>
                <w:szCs w:val="21"/>
              </w:rPr>
            </w:pPr>
            <w:r>
              <w:rPr>
                <w:sz w:val="21"/>
                <w:szCs w:val="21"/>
              </w:rPr>
              <w:t>站内设施发生油品泄漏或火灾爆炸事故时，将影响到站外车辆及人员的安全；同样站外不安全因素对站内危险设施也会构成威胁。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二</w:t>
            </w:r>
          </w:p>
        </w:tc>
        <w:tc>
          <w:tcPr>
            <w:tcW w:w="7680" w:type="dxa"/>
            <w:gridSpan w:val="2"/>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总平面布置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1</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加油站的围墙设置</w:t>
            </w:r>
            <w:r>
              <w:rPr>
                <w:rFonts w:hint="eastAsia"/>
                <w:sz w:val="21"/>
                <w:szCs w:val="21"/>
              </w:rPr>
              <w:t>若</w:t>
            </w:r>
            <w:r>
              <w:rPr>
                <w:sz w:val="21"/>
                <w:szCs w:val="21"/>
              </w:rPr>
              <w:t>不符合《汽车加油加气站设计与施工规范》</w:t>
            </w:r>
            <w:r>
              <w:rPr>
                <w:rFonts w:hint="eastAsia"/>
                <w:sz w:val="21"/>
                <w:szCs w:val="21"/>
              </w:rPr>
              <w:t>GB50156</w:t>
            </w:r>
            <w:r>
              <w:rPr>
                <w:sz w:val="21"/>
                <w:szCs w:val="21"/>
              </w:rPr>
              <w:t>之规定。</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不能起到隔绝一般火种及禁止无关人员进入的作用。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2</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车辆入口和出口</w:t>
            </w:r>
            <w:r>
              <w:rPr>
                <w:rFonts w:hint="eastAsia"/>
                <w:sz w:val="21"/>
                <w:szCs w:val="21"/>
              </w:rPr>
              <w:t>若</w:t>
            </w:r>
            <w:r>
              <w:rPr>
                <w:sz w:val="21"/>
                <w:szCs w:val="21"/>
              </w:rPr>
              <w:t>未分开设置。</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事故发生时</w:t>
            </w:r>
            <w:r>
              <w:rPr>
                <w:rFonts w:hint="eastAsia"/>
                <w:sz w:val="21"/>
                <w:szCs w:val="21"/>
              </w:rPr>
              <w:t>加油车辆</w:t>
            </w:r>
            <w:r>
              <w:rPr>
                <w:sz w:val="21"/>
                <w:szCs w:val="21"/>
              </w:rPr>
              <w:t>、槽车不能迅速撤离。</w:t>
            </w:r>
            <w:r>
              <w:rPr>
                <w:rFonts w:hint="eastAsia"/>
                <w:sz w:val="21"/>
                <w:szCs w:val="21"/>
              </w:rPr>
              <w:t>且容易发生擦、挂、互撞等事故，严重时会导致二次事故（油箱爆炸、油品爆炸等）发生。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3</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站区内的停车场和道路</w:t>
            </w:r>
            <w:r>
              <w:rPr>
                <w:rFonts w:hint="eastAsia"/>
                <w:sz w:val="21"/>
                <w:szCs w:val="21"/>
              </w:rPr>
              <w:t>若</w:t>
            </w:r>
            <w:r>
              <w:rPr>
                <w:sz w:val="21"/>
                <w:szCs w:val="21"/>
              </w:rPr>
              <w:t>不符合《汽车加油加气站设计与施工规范》</w:t>
            </w:r>
            <w:r>
              <w:rPr>
                <w:rFonts w:hint="eastAsia"/>
                <w:sz w:val="21"/>
                <w:szCs w:val="21"/>
              </w:rPr>
              <w:t>GB50156</w:t>
            </w:r>
            <w:r>
              <w:rPr>
                <w:sz w:val="21"/>
                <w:szCs w:val="21"/>
              </w:rPr>
              <w:t>规定。</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因安全通道设置不符合要求，火灾发生时，影响及时有效的扑救与疏散。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70" w:type="dxa"/>
            <w:tcBorders>
              <w:top w:val="single" w:color="auto" w:sz="4" w:space="0"/>
              <w:left w:val="single" w:color="auto" w:sz="4" w:space="0"/>
              <w:right w:val="single" w:color="auto" w:sz="4" w:space="0"/>
            </w:tcBorders>
            <w:vAlign w:val="center"/>
          </w:tcPr>
          <w:p>
            <w:pPr>
              <w:pStyle w:val="16"/>
              <w:rPr>
                <w:sz w:val="21"/>
                <w:szCs w:val="21"/>
              </w:rPr>
            </w:pPr>
            <w:r>
              <w:rPr>
                <w:sz w:val="21"/>
                <w:szCs w:val="21"/>
              </w:rPr>
              <w:t>4</w:t>
            </w:r>
          </w:p>
        </w:tc>
        <w:tc>
          <w:tcPr>
            <w:tcW w:w="3075" w:type="dxa"/>
            <w:tcBorders>
              <w:top w:val="single" w:color="auto" w:sz="4" w:space="0"/>
              <w:left w:val="single" w:color="auto" w:sz="4" w:space="0"/>
              <w:right w:val="single" w:color="auto" w:sz="4" w:space="0"/>
            </w:tcBorders>
            <w:vAlign w:val="center"/>
          </w:tcPr>
          <w:p>
            <w:pPr>
              <w:pStyle w:val="16"/>
              <w:jc w:val="left"/>
              <w:rPr>
                <w:sz w:val="21"/>
                <w:szCs w:val="21"/>
              </w:rPr>
            </w:pPr>
            <w:r>
              <w:rPr>
                <w:rFonts w:hint="eastAsia"/>
                <w:sz w:val="21"/>
                <w:szCs w:val="21"/>
              </w:rPr>
              <w:t>罩</w:t>
            </w:r>
            <w:r>
              <w:rPr>
                <w:sz w:val="21"/>
                <w:szCs w:val="21"/>
              </w:rPr>
              <w:t>棚的设计</w:t>
            </w:r>
            <w:r>
              <w:rPr>
                <w:rFonts w:hint="eastAsia"/>
                <w:sz w:val="21"/>
                <w:szCs w:val="21"/>
              </w:rPr>
              <w:t>若</w:t>
            </w:r>
            <w:r>
              <w:rPr>
                <w:sz w:val="21"/>
                <w:szCs w:val="21"/>
              </w:rPr>
              <w:t>不符合《汽车加油加气站设计与施工规范》</w:t>
            </w:r>
            <w:r>
              <w:rPr>
                <w:rFonts w:hint="eastAsia"/>
                <w:sz w:val="21"/>
                <w:szCs w:val="21"/>
              </w:rPr>
              <w:t>GB50156</w:t>
            </w:r>
            <w:r>
              <w:rPr>
                <w:sz w:val="21"/>
                <w:szCs w:val="21"/>
              </w:rPr>
              <w:t>规定</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人员和设备长期处于雨淋和日晒状态，易造成人员的职业伤害和设备损伤。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5</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加油岛的设计</w:t>
            </w:r>
            <w:r>
              <w:rPr>
                <w:rFonts w:hint="eastAsia"/>
                <w:sz w:val="21"/>
                <w:szCs w:val="21"/>
              </w:rPr>
              <w:t>若</w:t>
            </w:r>
            <w:r>
              <w:rPr>
                <w:sz w:val="21"/>
                <w:szCs w:val="21"/>
              </w:rPr>
              <w:t>不符合《汽车加油加气站设计与施工规范》</w:t>
            </w:r>
            <w:r>
              <w:rPr>
                <w:rFonts w:hint="eastAsia"/>
                <w:sz w:val="21"/>
                <w:szCs w:val="21"/>
              </w:rPr>
              <w:t>GB50156</w:t>
            </w:r>
            <w:r>
              <w:rPr>
                <w:sz w:val="21"/>
                <w:szCs w:val="21"/>
              </w:rPr>
              <w:t>规定。</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汽车加油时，加油机和罩棚、操作人员易受汽车碰撞造成事故。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trPr>
        <w:tc>
          <w:tcPr>
            <w:tcW w:w="570" w:type="dxa"/>
            <w:tcBorders>
              <w:top w:val="single" w:color="auto" w:sz="4" w:space="0"/>
              <w:left w:val="single" w:color="auto" w:sz="4" w:space="0"/>
              <w:bottom w:val="single" w:color="auto" w:sz="4" w:space="0"/>
              <w:right w:val="single" w:color="auto" w:sz="4" w:space="0"/>
            </w:tcBorders>
            <w:vAlign w:val="center"/>
          </w:tcPr>
          <w:p>
            <w:pPr>
              <w:pStyle w:val="16"/>
              <w:rPr>
                <w:sz w:val="21"/>
                <w:szCs w:val="21"/>
              </w:rPr>
            </w:pPr>
            <w:r>
              <w:rPr>
                <w:sz w:val="21"/>
                <w:szCs w:val="21"/>
              </w:rPr>
              <w:t>6</w:t>
            </w:r>
          </w:p>
        </w:tc>
        <w:tc>
          <w:tcPr>
            <w:tcW w:w="307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站内设施间的防火间距</w:t>
            </w:r>
            <w:r>
              <w:rPr>
                <w:rFonts w:hint="eastAsia"/>
                <w:sz w:val="21"/>
                <w:szCs w:val="21"/>
              </w:rPr>
              <w:t>若</w:t>
            </w:r>
            <w:r>
              <w:rPr>
                <w:sz w:val="21"/>
                <w:szCs w:val="21"/>
              </w:rPr>
              <w:t>不符合《汽车加油加气站设计与施工规范》</w:t>
            </w:r>
            <w:r>
              <w:rPr>
                <w:rFonts w:hint="eastAsia"/>
                <w:sz w:val="21"/>
                <w:szCs w:val="21"/>
              </w:rPr>
              <w:t>GB50156</w:t>
            </w:r>
            <w:r>
              <w:rPr>
                <w:sz w:val="21"/>
                <w:szCs w:val="21"/>
              </w:rPr>
              <w:t>规定。</w:t>
            </w:r>
          </w:p>
        </w:tc>
        <w:tc>
          <w:tcPr>
            <w:tcW w:w="4605" w:type="dxa"/>
            <w:tcBorders>
              <w:top w:val="single" w:color="auto" w:sz="4" w:space="0"/>
              <w:left w:val="single" w:color="auto" w:sz="4" w:space="0"/>
              <w:bottom w:val="single" w:color="auto" w:sz="4" w:space="0"/>
              <w:right w:val="single" w:color="auto" w:sz="4" w:space="0"/>
            </w:tcBorders>
            <w:vAlign w:val="center"/>
          </w:tcPr>
          <w:p>
            <w:pPr>
              <w:pStyle w:val="16"/>
              <w:jc w:val="left"/>
              <w:rPr>
                <w:sz w:val="21"/>
                <w:szCs w:val="21"/>
              </w:rPr>
            </w:pPr>
            <w:r>
              <w:rPr>
                <w:sz w:val="21"/>
                <w:szCs w:val="21"/>
              </w:rPr>
              <w:t>建、构筑物间防火间距不够，一旦发生火灾，将会蔓延扩大，加重伤亡与损失。</w:t>
            </w:r>
          </w:p>
        </w:tc>
      </w:tr>
    </w:tbl>
    <w:p>
      <w:pPr>
        <w:pStyle w:val="4"/>
      </w:pPr>
      <w:bookmarkStart w:id="139" w:name="_Toc1362"/>
      <w:bookmarkStart w:id="140" w:name="_Toc449348747"/>
      <w:bookmarkStart w:id="141" w:name="_Toc26446"/>
      <w:bookmarkStart w:id="142" w:name="_Toc32576"/>
      <w:r>
        <w:rPr>
          <w:rFonts w:hint="eastAsia"/>
        </w:rPr>
        <w:t>3.3 建(构)筑物危险有害因素分析</w:t>
      </w:r>
      <w:bookmarkEnd w:id="139"/>
      <w:bookmarkEnd w:id="140"/>
      <w:bookmarkEnd w:id="141"/>
      <w:bookmarkEnd w:id="142"/>
    </w:p>
    <w:p>
      <w:pPr>
        <w:pStyle w:val="12"/>
        <w:jc w:val="center"/>
      </w:pPr>
      <w:r>
        <w:rPr>
          <w:rFonts w:hint="eastAsia"/>
        </w:rPr>
        <w:t>表3.3 建(构)筑物危险有害因素分析表</w:t>
      </w:r>
    </w:p>
    <w:tbl>
      <w:tblPr>
        <w:tblStyle w:val="59"/>
        <w:tblW w:w="8310"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975"/>
        <w:gridCol w:w="1050"/>
        <w:gridCol w:w="4635"/>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68" w:hRule="atLeast"/>
        </w:trPr>
        <w:tc>
          <w:tcPr>
            <w:tcW w:w="585" w:type="dxa"/>
            <w:vAlign w:val="center"/>
          </w:tcPr>
          <w:p>
            <w:pPr>
              <w:pStyle w:val="16"/>
              <w:rPr>
                <w:sz w:val="21"/>
                <w:szCs w:val="21"/>
              </w:rPr>
            </w:pPr>
            <w:r>
              <w:rPr>
                <w:rFonts w:hint="eastAsia"/>
                <w:sz w:val="21"/>
                <w:szCs w:val="21"/>
              </w:rPr>
              <w:t>序号</w:t>
            </w:r>
          </w:p>
        </w:tc>
        <w:tc>
          <w:tcPr>
            <w:tcW w:w="975" w:type="dxa"/>
            <w:vAlign w:val="center"/>
          </w:tcPr>
          <w:p>
            <w:pPr>
              <w:pStyle w:val="16"/>
              <w:jc w:val="left"/>
              <w:rPr>
                <w:sz w:val="21"/>
                <w:szCs w:val="21"/>
              </w:rPr>
            </w:pPr>
            <w:r>
              <w:rPr>
                <w:rFonts w:hint="eastAsia"/>
                <w:sz w:val="21"/>
                <w:szCs w:val="21"/>
              </w:rPr>
              <w:t>危险危害</w:t>
            </w:r>
          </w:p>
        </w:tc>
        <w:tc>
          <w:tcPr>
            <w:tcW w:w="1050" w:type="dxa"/>
            <w:vAlign w:val="center"/>
          </w:tcPr>
          <w:p>
            <w:pPr>
              <w:pStyle w:val="16"/>
              <w:jc w:val="left"/>
              <w:rPr>
                <w:sz w:val="21"/>
                <w:szCs w:val="21"/>
              </w:rPr>
            </w:pPr>
            <w:r>
              <w:rPr>
                <w:rFonts w:hint="eastAsia"/>
                <w:sz w:val="21"/>
                <w:szCs w:val="21"/>
              </w:rPr>
              <w:t>存在部位/方式</w:t>
            </w:r>
          </w:p>
        </w:tc>
        <w:tc>
          <w:tcPr>
            <w:tcW w:w="4635" w:type="dxa"/>
            <w:vAlign w:val="center"/>
          </w:tcPr>
          <w:p>
            <w:pPr>
              <w:pStyle w:val="16"/>
              <w:jc w:val="left"/>
              <w:rPr>
                <w:sz w:val="21"/>
                <w:szCs w:val="21"/>
              </w:rPr>
            </w:pPr>
            <w:r>
              <w:rPr>
                <w:rFonts w:hint="eastAsia"/>
                <w:sz w:val="21"/>
                <w:szCs w:val="21"/>
              </w:rPr>
              <w:t>形成原因</w:t>
            </w:r>
          </w:p>
        </w:tc>
        <w:tc>
          <w:tcPr>
            <w:tcW w:w="1065" w:type="dxa"/>
            <w:vAlign w:val="center"/>
          </w:tcPr>
          <w:p>
            <w:pPr>
              <w:pStyle w:val="16"/>
              <w:jc w:val="left"/>
              <w:rPr>
                <w:sz w:val="21"/>
                <w:szCs w:val="21"/>
              </w:rPr>
            </w:pPr>
            <w:r>
              <w:rPr>
                <w:rFonts w:hint="eastAsia"/>
                <w:sz w:val="21"/>
                <w:szCs w:val="21"/>
              </w:rPr>
              <w:t>事故后果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center"/>
          </w:tcPr>
          <w:p>
            <w:pPr>
              <w:pStyle w:val="16"/>
              <w:rPr>
                <w:sz w:val="21"/>
                <w:szCs w:val="21"/>
              </w:rPr>
            </w:pPr>
            <w:r>
              <w:rPr>
                <w:rFonts w:hint="eastAsia"/>
                <w:sz w:val="21"/>
                <w:szCs w:val="21"/>
              </w:rPr>
              <w:t>1</w:t>
            </w:r>
          </w:p>
        </w:tc>
        <w:tc>
          <w:tcPr>
            <w:tcW w:w="975" w:type="dxa"/>
            <w:vAlign w:val="center"/>
          </w:tcPr>
          <w:p>
            <w:pPr>
              <w:pStyle w:val="16"/>
              <w:jc w:val="left"/>
              <w:rPr>
                <w:sz w:val="21"/>
                <w:szCs w:val="21"/>
              </w:rPr>
            </w:pPr>
            <w:r>
              <w:rPr>
                <w:rFonts w:hint="eastAsia"/>
                <w:sz w:val="21"/>
                <w:szCs w:val="21"/>
              </w:rPr>
              <w:t>建、构筑物坍塌</w:t>
            </w:r>
          </w:p>
        </w:tc>
        <w:tc>
          <w:tcPr>
            <w:tcW w:w="1050" w:type="dxa"/>
            <w:vAlign w:val="center"/>
          </w:tcPr>
          <w:p>
            <w:pPr>
              <w:pStyle w:val="16"/>
              <w:jc w:val="left"/>
              <w:rPr>
                <w:sz w:val="21"/>
                <w:szCs w:val="21"/>
              </w:rPr>
            </w:pPr>
            <w:r>
              <w:rPr>
                <w:rFonts w:hint="eastAsia"/>
                <w:sz w:val="21"/>
                <w:szCs w:val="21"/>
              </w:rPr>
              <w:t>站内建、构筑物</w:t>
            </w:r>
          </w:p>
        </w:tc>
        <w:tc>
          <w:tcPr>
            <w:tcW w:w="4635" w:type="dxa"/>
            <w:vAlign w:val="center"/>
          </w:tcPr>
          <w:p>
            <w:pPr>
              <w:pStyle w:val="16"/>
              <w:jc w:val="left"/>
              <w:rPr>
                <w:sz w:val="21"/>
                <w:szCs w:val="21"/>
              </w:rPr>
            </w:pPr>
            <w:r>
              <w:rPr>
                <w:rFonts w:hint="eastAsia"/>
                <w:sz w:val="21"/>
                <w:szCs w:val="21"/>
              </w:rPr>
              <w:t>1.站内设施设备、建构筑物等的设计、建设未按照本地区抗震烈度进行设防，遭遇强震时，可能造成建构筑物损坏或坍塌、设施设备破坏，引发人员伤亡事故。</w:t>
            </w:r>
          </w:p>
          <w:p>
            <w:pPr>
              <w:pStyle w:val="16"/>
              <w:jc w:val="left"/>
              <w:rPr>
                <w:sz w:val="21"/>
                <w:szCs w:val="21"/>
              </w:rPr>
            </w:pPr>
            <w:r>
              <w:rPr>
                <w:rFonts w:hint="eastAsia"/>
                <w:sz w:val="21"/>
                <w:szCs w:val="21"/>
              </w:rPr>
              <w:t>2.站内排水设施不完善或日常维护工作不到位，若遇极端暴雨天气，可能造成站内积水过深，引起坍塌，对站内的设施设备造成破坏。</w:t>
            </w:r>
          </w:p>
          <w:p>
            <w:pPr>
              <w:pStyle w:val="16"/>
              <w:jc w:val="left"/>
              <w:rPr>
                <w:sz w:val="21"/>
                <w:szCs w:val="21"/>
              </w:rPr>
            </w:pPr>
            <w:r>
              <w:rPr>
                <w:sz w:val="21"/>
                <w:szCs w:val="21"/>
              </w:rPr>
              <w:t>3.未按GB50156的要求配置防雷设施</w:t>
            </w:r>
            <w:r>
              <w:rPr>
                <w:rFonts w:hint="eastAsia"/>
                <w:sz w:val="21"/>
                <w:szCs w:val="21"/>
              </w:rPr>
              <w:t>。</w:t>
            </w:r>
          </w:p>
        </w:tc>
        <w:tc>
          <w:tcPr>
            <w:tcW w:w="1065" w:type="dxa"/>
            <w:vAlign w:val="center"/>
          </w:tcPr>
          <w:p>
            <w:pPr>
              <w:pStyle w:val="16"/>
              <w:jc w:val="left"/>
              <w:rPr>
                <w:sz w:val="21"/>
                <w:szCs w:val="21"/>
              </w:rPr>
            </w:pPr>
            <w:r>
              <w:rPr>
                <w:rFonts w:hint="eastAsia"/>
                <w:sz w:val="21"/>
                <w:szCs w:val="21"/>
              </w:rPr>
              <w:t>设备损毁人员伤亡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center"/>
          </w:tcPr>
          <w:p>
            <w:pPr>
              <w:pStyle w:val="16"/>
              <w:rPr>
                <w:sz w:val="21"/>
                <w:szCs w:val="21"/>
              </w:rPr>
            </w:pPr>
            <w:r>
              <w:rPr>
                <w:rFonts w:hint="eastAsia"/>
                <w:sz w:val="21"/>
                <w:szCs w:val="21"/>
              </w:rPr>
              <w:t>2</w:t>
            </w:r>
          </w:p>
        </w:tc>
        <w:tc>
          <w:tcPr>
            <w:tcW w:w="975" w:type="dxa"/>
            <w:vAlign w:val="center"/>
          </w:tcPr>
          <w:p>
            <w:pPr>
              <w:pStyle w:val="16"/>
              <w:jc w:val="left"/>
              <w:rPr>
                <w:sz w:val="21"/>
                <w:szCs w:val="21"/>
              </w:rPr>
            </w:pPr>
            <w:r>
              <w:rPr>
                <w:rFonts w:hint="eastAsia"/>
                <w:sz w:val="21"/>
                <w:szCs w:val="21"/>
              </w:rPr>
              <w:t>火灾爆炸事故</w:t>
            </w:r>
          </w:p>
        </w:tc>
        <w:tc>
          <w:tcPr>
            <w:tcW w:w="1050" w:type="dxa"/>
            <w:vAlign w:val="center"/>
          </w:tcPr>
          <w:p>
            <w:pPr>
              <w:pStyle w:val="16"/>
              <w:jc w:val="left"/>
              <w:rPr>
                <w:sz w:val="21"/>
                <w:szCs w:val="21"/>
              </w:rPr>
            </w:pPr>
            <w:r>
              <w:rPr>
                <w:rFonts w:hint="eastAsia"/>
                <w:sz w:val="21"/>
                <w:szCs w:val="21"/>
              </w:rPr>
              <w:t>站内建、构筑物</w:t>
            </w:r>
          </w:p>
        </w:tc>
        <w:tc>
          <w:tcPr>
            <w:tcW w:w="4635" w:type="dxa"/>
            <w:vAlign w:val="center"/>
          </w:tcPr>
          <w:p>
            <w:pPr>
              <w:pStyle w:val="16"/>
              <w:jc w:val="left"/>
              <w:rPr>
                <w:sz w:val="21"/>
                <w:szCs w:val="21"/>
              </w:rPr>
            </w:pPr>
            <w:r>
              <w:rPr>
                <w:rFonts w:hint="eastAsia"/>
                <w:sz w:val="21"/>
                <w:szCs w:val="21"/>
              </w:rPr>
              <w:t>1</w:t>
            </w:r>
            <w:r>
              <w:rPr>
                <w:sz w:val="21"/>
                <w:szCs w:val="21"/>
              </w:rPr>
              <w:t>.</w:t>
            </w:r>
            <w:r>
              <w:rPr>
                <w:rFonts w:hint="eastAsia"/>
                <w:sz w:val="21"/>
                <w:szCs w:val="21"/>
              </w:rPr>
              <w:t>建构筑物的</w:t>
            </w:r>
            <w:r>
              <w:rPr>
                <w:sz w:val="21"/>
                <w:szCs w:val="21"/>
              </w:rPr>
              <w:t>防雷防静电设施未按GB50156</w:t>
            </w:r>
            <w:r>
              <w:rPr>
                <w:rFonts w:hint="eastAsia"/>
                <w:sz w:val="21"/>
                <w:szCs w:val="21"/>
              </w:rPr>
              <w:t>中</w:t>
            </w:r>
            <w:r>
              <w:rPr>
                <w:sz w:val="21"/>
                <w:szCs w:val="21"/>
              </w:rPr>
              <w:t>的标准配置</w:t>
            </w:r>
            <w:r>
              <w:rPr>
                <w:rFonts w:hint="eastAsia"/>
                <w:sz w:val="21"/>
                <w:szCs w:val="21"/>
              </w:rPr>
              <w:t>，雷击或静电产生火花引起火灾爆炸事故</w:t>
            </w:r>
            <w:r>
              <w:rPr>
                <w:sz w:val="21"/>
                <w:szCs w:val="21"/>
              </w:rPr>
              <w:t>；</w:t>
            </w:r>
          </w:p>
          <w:p>
            <w:pPr>
              <w:pStyle w:val="16"/>
              <w:jc w:val="left"/>
              <w:rPr>
                <w:sz w:val="21"/>
                <w:szCs w:val="21"/>
              </w:rPr>
            </w:pPr>
            <w:r>
              <w:rPr>
                <w:rFonts w:hint="eastAsia"/>
                <w:sz w:val="21"/>
                <w:szCs w:val="21"/>
              </w:rPr>
              <w:t>2</w:t>
            </w:r>
            <w:r>
              <w:rPr>
                <w:sz w:val="21"/>
                <w:szCs w:val="21"/>
              </w:rPr>
              <w:t>.</w:t>
            </w:r>
            <w:r>
              <w:rPr>
                <w:rFonts w:hint="eastAsia"/>
                <w:sz w:val="21"/>
                <w:szCs w:val="21"/>
              </w:rPr>
              <w:t>建构筑物的防火防爆措施不满足要求，</w:t>
            </w:r>
            <w:r>
              <w:rPr>
                <w:sz w:val="21"/>
                <w:szCs w:val="21"/>
              </w:rPr>
              <w:t>油品泄漏在建构筑物内部造成油蒸气积聚遇点火能源发生爆炸；</w:t>
            </w:r>
          </w:p>
          <w:p>
            <w:pPr>
              <w:pStyle w:val="16"/>
              <w:jc w:val="left"/>
              <w:rPr>
                <w:sz w:val="21"/>
                <w:szCs w:val="21"/>
              </w:rPr>
            </w:pPr>
            <w:r>
              <w:rPr>
                <w:rFonts w:hint="eastAsia"/>
                <w:sz w:val="21"/>
                <w:szCs w:val="21"/>
              </w:rPr>
              <w:t>3</w:t>
            </w:r>
            <w:r>
              <w:rPr>
                <w:sz w:val="21"/>
                <w:szCs w:val="21"/>
              </w:rPr>
              <w:t>.</w:t>
            </w:r>
            <w:r>
              <w:rPr>
                <w:rFonts w:hint="eastAsia"/>
                <w:sz w:val="21"/>
                <w:szCs w:val="21"/>
              </w:rPr>
              <w:t>建构筑物</w:t>
            </w:r>
            <w:r>
              <w:rPr>
                <w:sz w:val="21"/>
                <w:szCs w:val="21"/>
              </w:rPr>
              <w:t>电</w:t>
            </w:r>
            <w:r>
              <w:rPr>
                <w:rFonts w:hint="eastAsia"/>
                <w:sz w:val="21"/>
                <w:szCs w:val="21"/>
              </w:rPr>
              <w:t>气</w:t>
            </w:r>
            <w:r>
              <w:rPr>
                <w:sz w:val="21"/>
                <w:szCs w:val="21"/>
              </w:rPr>
              <w:t>线路</w:t>
            </w:r>
            <w:r>
              <w:rPr>
                <w:rFonts w:hint="eastAsia"/>
                <w:sz w:val="21"/>
                <w:szCs w:val="21"/>
              </w:rPr>
              <w:t>敷设不合格或</w:t>
            </w:r>
            <w:r>
              <w:rPr>
                <w:sz w:val="21"/>
                <w:szCs w:val="21"/>
              </w:rPr>
              <w:t>故障引起火灾</w:t>
            </w:r>
            <w:r>
              <w:rPr>
                <w:rFonts w:hint="eastAsia"/>
                <w:sz w:val="21"/>
                <w:szCs w:val="21"/>
              </w:rPr>
              <w:t>。</w:t>
            </w:r>
          </w:p>
          <w:p>
            <w:pPr>
              <w:pStyle w:val="16"/>
              <w:jc w:val="left"/>
              <w:rPr>
                <w:sz w:val="21"/>
                <w:szCs w:val="21"/>
              </w:rPr>
            </w:pPr>
            <w:r>
              <w:rPr>
                <w:rFonts w:hint="eastAsia"/>
                <w:sz w:val="21"/>
                <w:szCs w:val="21"/>
              </w:rPr>
              <w:t>4.</w:t>
            </w:r>
            <w:r>
              <w:rPr>
                <w:sz w:val="21"/>
                <w:szCs w:val="21"/>
              </w:rPr>
              <w:t>若站内未设置围墙或隔离墙，将不能有效隔绝一般火种及禁止无关人员进入，给站内安全带来</w:t>
            </w:r>
            <w:r>
              <w:rPr>
                <w:rFonts w:hint="eastAsia"/>
                <w:sz w:val="21"/>
                <w:szCs w:val="21"/>
              </w:rPr>
              <w:t>火灾</w:t>
            </w:r>
            <w:r>
              <w:rPr>
                <w:sz w:val="21"/>
                <w:szCs w:val="21"/>
              </w:rPr>
              <w:t>事故隐患。</w:t>
            </w:r>
          </w:p>
        </w:tc>
        <w:tc>
          <w:tcPr>
            <w:tcW w:w="1065" w:type="dxa"/>
            <w:vAlign w:val="center"/>
          </w:tcPr>
          <w:p>
            <w:pPr>
              <w:pStyle w:val="16"/>
              <w:jc w:val="left"/>
              <w:rPr>
                <w:sz w:val="21"/>
                <w:szCs w:val="21"/>
              </w:rPr>
            </w:pPr>
            <w:r>
              <w:rPr>
                <w:rFonts w:hint="eastAsia"/>
                <w:sz w:val="21"/>
                <w:szCs w:val="21"/>
              </w:rPr>
              <w:t>设备损毁人员伤亡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center"/>
          </w:tcPr>
          <w:p>
            <w:pPr>
              <w:pStyle w:val="16"/>
              <w:rPr>
                <w:sz w:val="21"/>
                <w:szCs w:val="21"/>
              </w:rPr>
            </w:pPr>
            <w:r>
              <w:rPr>
                <w:rFonts w:hint="eastAsia"/>
                <w:sz w:val="21"/>
                <w:szCs w:val="21"/>
              </w:rPr>
              <w:t>3</w:t>
            </w:r>
          </w:p>
        </w:tc>
        <w:tc>
          <w:tcPr>
            <w:tcW w:w="975" w:type="dxa"/>
            <w:vAlign w:val="center"/>
          </w:tcPr>
          <w:p>
            <w:pPr>
              <w:pStyle w:val="16"/>
              <w:jc w:val="left"/>
              <w:rPr>
                <w:sz w:val="21"/>
                <w:szCs w:val="21"/>
              </w:rPr>
            </w:pPr>
            <w:r>
              <w:rPr>
                <w:rFonts w:hint="eastAsia"/>
                <w:sz w:val="21"/>
                <w:szCs w:val="21"/>
              </w:rPr>
              <w:t>高处坠落事故</w:t>
            </w:r>
          </w:p>
        </w:tc>
        <w:tc>
          <w:tcPr>
            <w:tcW w:w="1050" w:type="dxa"/>
            <w:vAlign w:val="center"/>
          </w:tcPr>
          <w:p>
            <w:pPr>
              <w:pStyle w:val="16"/>
              <w:rPr>
                <w:sz w:val="21"/>
                <w:szCs w:val="21"/>
              </w:rPr>
            </w:pPr>
            <w:r>
              <w:rPr>
                <w:rFonts w:hint="eastAsia"/>
                <w:sz w:val="21"/>
                <w:szCs w:val="21"/>
              </w:rPr>
              <w:t>站房顶部及罩棚顶部</w:t>
            </w:r>
          </w:p>
        </w:tc>
        <w:tc>
          <w:tcPr>
            <w:tcW w:w="4635" w:type="dxa"/>
            <w:vAlign w:val="center"/>
          </w:tcPr>
          <w:p>
            <w:pPr>
              <w:pStyle w:val="16"/>
              <w:jc w:val="left"/>
              <w:rPr>
                <w:sz w:val="21"/>
                <w:szCs w:val="21"/>
              </w:rPr>
            </w:pPr>
            <w:r>
              <w:rPr>
                <w:rFonts w:hint="eastAsia"/>
                <w:sz w:val="21"/>
                <w:szCs w:val="21"/>
              </w:rPr>
              <w:t>在站房顶部及罩棚顶部进行检修作业中，若未按要求设置安全防护设施或安全防护设施不可靠，人员未按高空作业要求穿戴防护用品，操作处置失误等，易发生高处坠落。</w:t>
            </w:r>
          </w:p>
        </w:tc>
        <w:tc>
          <w:tcPr>
            <w:tcW w:w="1065" w:type="dxa"/>
            <w:vAlign w:val="center"/>
          </w:tcPr>
          <w:p>
            <w:pPr>
              <w:pStyle w:val="16"/>
              <w:jc w:val="left"/>
              <w:rPr>
                <w:sz w:val="21"/>
                <w:szCs w:val="21"/>
              </w:rPr>
            </w:pPr>
            <w:r>
              <w:rPr>
                <w:rFonts w:hint="eastAsia"/>
                <w:sz w:val="21"/>
                <w:szCs w:val="21"/>
              </w:rPr>
              <w:t>人员伤亡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center"/>
          </w:tcPr>
          <w:p>
            <w:pPr>
              <w:pStyle w:val="16"/>
              <w:rPr>
                <w:rFonts w:eastAsia="宋体"/>
                <w:sz w:val="21"/>
                <w:szCs w:val="21"/>
              </w:rPr>
            </w:pPr>
            <w:r>
              <w:rPr>
                <w:rFonts w:hint="eastAsia"/>
                <w:sz w:val="21"/>
                <w:szCs w:val="21"/>
              </w:rPr>
              <w:t>4</w:t>
            </w:r>
          </w:p>
        </w:tc>
        <w:tc>
          <w:tcPr>
            <w:tcW w:w="975" w:type="dxa"/>
            <w:vAlign w:val="center"/>
          </w:tcPr>
          <w:p>
            <w:pPr>
              <w:pStyle w:val="16"/>
              <w:jc w:val="left"/>
              <w:rPr>
                <w:rFonts w:eastAsia="宋体"/>
                <w:sz w:val="21"/>
                <w:szCs w:val="21"/>
              </w:rPr>
            </w:pPr>
            <w:r>
              <w:rPr>
                <w:rFonts w:hint="eastAsia"/>
                <w:sz w:val="21"/>
                <w:szCs w:val="21"/>
              </w:rPr>
              <w:t>物体打击</w:t>
            </w:r>
          </w:p>
        </w:tc>
        <w:tc>
          <w:tcPr>
            <w:tcW w:w="1050" w:type="dxa"/>
            <w:vAlign w:val="center"/>
          </w:tcPr>
          <w:p>
            <w:pPr>
              <w:pStyle w:val="16"/>
              <w:rPr>
                <w:sz w:val="21"/>
                <w:szCs w:val="21"/>
              </w:rPr>
            </w:pPr>
            <w:r>
              <w:rPr>
                <w:rFonts w:hint="eastAsia"/>
                <w:sz w:val="21"/>
                <w:szCs w:val="21"/>
              </w:rPr>
              <w:t>站房、罩棚</w:t>
            </w:r>
          </w:p>
        </w:tc>
        <w:tc>
          <w:tcPr>
            <w:tcW w:w="4635" w:type="dxa"/>
            <w:vAlign w:val="center"/>
          </w:tcPr>
          <w:p>
            <w:pPr>
              <w:pStyle w:val="16"/>
              <w:jc w:val="left"/>
              <w:rPr>
                <w:sz w:val="21"/>
                <w:szCs w:val="21"/>
              </w:rPr>
            </w:pPr>
            <w:bookmarkStart w:id="143" w:name="OLE_LINK28"/>
            <w:r>
              <w:rPr>
                <w:rFonts w:hint="eastAsia"/>
                <w:sz w:val="21"/>
                <w:szCs w:val="21"/>
              </w:rPr>
              <w:t>站房、罩棚</w:t>
            </w:r>
            <w:bookmarkEnd w:id="143"/>
            <w:r>
              <w:rPr>
                <w:rFonts w:hint="eastAsia"/>
                <w:sz w:val="21"/>
                <w:szCs w:val="21"/>
              </w:rPr>
              <w:t>设计施工未按相关规范进行，或维护措施不当，附属设施掉落造成人员伤亡事故。</w:t>
            </w:r>
          </w:p>
        </w:tc>
        <w:tc>
          <w:tcPr>
            <w:tcW w:w="1065" w:type="dxa"/>
            <w:vAlign w:val="center"/>
          </w:tcPr>
          <w:p>
            <w:pPr>
              <w:pStyle w:val="16"/>
              <w:jc w:val="left"/>
              <w:rPr>
                <w:sz w:val="21"/>
                <w:szCs w:val="21"/>
              </w:rPr>
            </w:pPr>
            <w:r>
              <w:rPr>
                <w:rFonts w:hint="eastAsia"/>
                <w:sz w:val="21"/>
                <w:szCs w:val="21"/>
              </w:rPr>
              <w:t>人员伤亡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center"/>
          </w:tcPr>
          <w:p>
            <w:pPr>
              <w:pStyle w:val="16"/>
              <w:rPr>
                <w:rFonts w:eastAsia="宋体"/>
                <w:sz w:val="21"/>
                <w:szCs w:val="21"/>
              </w:rPr>
            </w:pPr>
            <w:r>
              <w:rPr>
                <w:rFonts w:hint="eastAsia"/>
                <w:sz w:val="21"/>
                <w:szCs w:val="21"/>
              </w:rPr>
              <w:t>5</w:t>
            </w:r>
          </w:p>
        </w:tc>
        <w:tc>
          <w:tcPr>
            <w:tcW w:w="975" w:type="dxa"/>
            <w:vAlign w:val="center"/>
          </w:tcPr>
          <w:p>
            <w:pPr>
              <w:pStyle w:val="16"/>
              <w:jc w:val="left"/>
              <w:rPr>
                <w:sz w:val="21"/>
                <w:szCs w:val="21"/>
              </w:rPr>
            </w:pPr>
            <w:r>
              <w:rPr>
                <w:rFonts w:hint="eastAsia"/>
                <w:sz w:val="21"/>
                <w:szCs w:val="21"/>
              </w:rPr>
              <w:t>车辆伤害</w:t>
            </w:r>
            <w:r>
              <w:rPr>
                <w:sz w:val="21"/>
                <w:szCs w:val="21"/>
              </w:rPr>
              <w:t>事故</w:t>
            </w:r>
          </w:p>
        </w:tc>
        <w:tc>
          <w:tcPr>
            <w:tcW w:w="1050" w:type="dxa"/>
            <w:vAlign w:val="center"/>
          </w:tcPr>
          <w:p>
            <w:pPr>
              <w:pStyle w:val="16"/>
              <w:jc w:val="left"/>
              <w:rPr>
                <w:rFonts w:eastAsia="宋体"/>
                <w:sz w:val="21"/>
                <w:szCs w:val="21"/>
              </w:rPr>
            </w:pPr>
            <w:r>
              <w:rPr>
                <w:rFonts w:hint="eastAsia"/>
                <w:sz w:val="21"/>
                <w:szCs w:val="21"/>
              </w:rPr>
              <w:t>加油区</w:t>
            </w:r>
          </w:p>
        </w:tc>
        <w:tc>
          <w:tcPr>
            <w:tcW w:w="4635" w:type="dxa"/>
            <w:vAlign w:val="center"/>
          </w:tcPr>
          <w:p>
            <w:pPr>
              <w:pStyle w:val="16"/>
              <w:rPr>
                <w:sz w:val="21"/>
                <w:szCs w:val="21"/>
              </w:rPr>
            </w:pPr>
            <w:r>
              <w:rPr>
                <w:sz w:val="21"/>
                <w:szCs w:val="21"/>
              </w:rPr>
              <w:t>加油岛的设置或修建不符合《汽车加油加气站设计与施工规范》（</w:t>
            </w:r>
            <w:r>
              <w:rPr>
                <w:rFonts w:hint="eastAsia"/>
                <w:sz w:val="21"/>
                <w:szCs w:val="21"/>
              </w:rPr>
              <w:t>GB50156-2012，2014年版</w:t>
            </w:r>
            <w:r>
              <w:rPr>
                <w:sz w:val="21"/>
                <w:szCs w:val="21"/>
              </w:rPr>
              <w:t>）第12.2.3条的规定，可能导致汽车碰撞加油机和操作人员，引发</w:t>
            </w:r>
            <w:r>
              <w:rPr>
                <w:rFonts w:hint="eastAsia"/>
                <w:sz w:val="21"/>
                <w:szCs w:val="21"/>
              </w:rPr>
              <w:t>车辆伤害</w:t>
            </w:r>
            <w:r>
              <w:rPr>
                <w:sz w:val="21"/>
                <w:szCs w:val="21"/>
              </w:rPr>
              <w:t>事故。</w:t>
            </w:r>
          </w:p>
        </w:tc>
        <w:tc>
          <w:tcPr>
            <w:tcW w:w="1065" w:type="dxa"/>
            <w:vAlign w:val="center"/>
          </w:tcPr>
          <w:p>
            <w:pPr>
              <w:pStyle w:val="16"/>
              <w:rPr>
                <w:rFonts w:eastAsia="宋体"/>
                <w:sz w:val="21"/>
                <w:szCs w:val="21"/>
              </w:rPr>
            </w:pPr>
            <w:r>
              <w:rPr>
                <w:rFonts w:hint="eastAsia"/>
                <w:sz w:val="21"/>
                <w:szCs w:val="21"/>
              </w:rPr>
              <w:t>设备损毁人员伤亡</w:t>
            </w:r>
          </w:p>
        </w:tc>
      </w:tr>
    </w:tbl>
    <w:p>
      <w:bookmarkStart w:id="144" w:name="_Toc24822"/>
    </w:p>
    <w:p>
      <w:pPr>
        <w:pStyle w:val="36"/>
        <w:spacing w:before="156"/>
      </w:pPr>
    </w:p>
    <w:p>
      <w:pPr>
        <w:pStyle w:val="4"/>
        <w:rPr>
          <w:szCs w:val="28"/>
        </w:rPr>
      </w:pPr>
      <w:bookmarkStart w:id="145" w:name="_Toc26627"/>
      <w:r>
        <w:rPr>
          <w:rFonts w:hint="eastAsia"/>
          <w:szCs w:val="28"/>
        </w:rPr>
        <w:t>3.4 经营过程危险有害因素</w:t>
      </w:r>
      <w:bookmarkEnd w:id="132"/>
      <w:r>
        <w:rPr>
          <w:rFonts w:hint="eastAsia"/>
          <w:szCs w:val="28"/>
        </w:rPr>
        <w:t>分析</w:t>
      </w:r>
      <w:bookmarkEnd w:id="144"/>
      <w:bookmarkEnd w:id="145"/>
    </w:p>
    <w:p>
      <w:pPr>
        <w:pStyle w:val="13"/>
        <w:ind w:firstLine="560" w:firstLineChars="200"/>
        <w:rPr>
          <w:sz w:val="28"/>
          <w:szCs w:val="28"/>
        </w:rPr>
      </w:pPr>
      <w:r>
        <w:rPr>
          <w:rFonts w:hint="eastAsia"/>
          <w:sz w:val="28"/>
          <w:szCs w:val="28"/>
        </w:rPr>
        <w:t>加油站运行过程主要包括油品的加油、装卸、储存以及检修等过程，存在火灾、爆炸、中毒、触电、车辆伤害等危险、有害因素，其中火灾事故的破坏性、危害性最为突出，也最为常见。</w:t>
      </w:r>
      <w:bookmarkStart w:id="146" w:name="OLE_LINK14"/>
      <w:r>
        <w:rPr>
          <w:rFonts w:hint="eastAsia"/>
          <w:sz w:val="28"/>
          <w:szCs w:val="28"/>
        </w:rPr>
        <w:t>分析如下：</w:t>
      </w:r>
      <w:bookmarkEnd w:id="146"/>
    </w:p>
    <w:p>
      <w:pPr>
        <w:pStyle w:val="5"/>
        <w:rPr>
          <w:sz w:val="28"/>
          <w:szCs w:val="28"/>
        </w:rPr>
      </w:pPr>
      <w:bookmarkStart w:id="147" w:name="_Toc31593"/>
      <w:r>
        <w:rPr>
          <w:rFonts w:hint="eastAsia"/>
          <w:sz w:val="28"/>
          <w:szCs w:val="28"/>
        </w:rPr>
        <w:t>3.4.1 卸油过程</w:t>
      </w:r>
      <w:bookmarkEnd w:id="147"/>
    </w:p>
    <w:p>
      <w:pPr>
        <w:ind w:firstLine="560" w:firstLineChars="200"/>
        <w:rPr>
          <w:sz w:val="28"/>
          <w:szCs w:val="28"/>
        </w:rPr>
      </w:pPr>
      <w:r>
        <w:rPr>
          <w:rFonts w:hint="eastAsia"/>
          <w:sz w:val="28"/>
          <w:szCs w:val="28"/>
        </w:rPr>
        <w:t>1.</w:t>
      </w:r>
      <w:r>
        <w:rPr>
          <w:sz w:val="28"/>
          <w:szCs w:val="28"/>
        </w:rPr>
        <w:t>成品油的槽车进入加油站，若未在汽车排气管上装阻火器，未</w:t>
      </w:r>
      <w:r>
        <w:rPr>
          <w:rFonts w:hint="eastAsia"/>
          <w:sz w:val="28"/>
          <w:szCs w:val="28"/>
        </w:rPr>
        <w:t>使</w:t>
      </w:r>
      <w:r>
        <w:rPr>
          <w:sz w:val="28"/>
          <w:szCs w:val="28"/>
        </w:rPr>
        <w:t>用静电导电夹与油罐车牢固联接</w:t>
      </w:r>
      <w:r>
        <w:rPr>
          <w:rFonts w:hint="eastAsia"/>
          <w:sz w:val="28"/>
          <w:szCs w:val="28"/>
        </w:rPr>
        <w:t>导除静电，</w:t>
      </w:r>
      <w:r>
        <w:rPr>
          <w:sz w:val="28"/>
          <w:szCs w:val="28"/>
        </w:rPr>
        <w:t>就</w:t>
      </w:r>
      <w:r>
        <w:rPr>
          <w:rFonts w:hint="eastAsia"/>
          <w:sz w:val="28"/>
          <w:szCs w:val="28"/>
        </w:rPr>
        <w:t>开始</w:t>
      </w:r>
      <w:r>
        <w:rPr>
          <w:sz w:val="28"/>
          <w:szCs w:val="28"/>
        </w:rPr>
        <w:t>卸装油品，一旦产生火星或静电放电，有引起火灾，爆炸的危险。</w:t>
      </w:r>
    </w:p>
    <w:p>
      <w:pPr>
        <w:ind w:firstLine="560" w:firstLineChars="200"/>
        <w:rPr>
          <w:sz w:val="28"/>
          <w:szCs w:val="28"/>
        </w:rPr>
      </w:pPr>
      <w:r>
        <w:rPr>
          <w:rFonts w:hint="eastAsia"/>
          <w:sz w:val="28"/>
          <w:szCs w:val="28"/>
        </w:rPr>
        <w:t>2.</w:t>
      </w:r>
      <w:r>
        <w:rPr>
          <w:sz w:val="28"/>
          <w:szCs w:val="28"/>
        </w:rPr>
        <w:t>在卸油过程中，由于油品流动、摩擦</w:t>
      </w:r>
      <w:r>
        <w:rPr>
          <w:rFonts w:hint="eastAsia"/>
          <w:sz w:val="28"/>
          <w:szCs w:val="28"/>
        </w:rPr>
        <w:t>，油品流速过大</w:t>
      </w:r>
      <w:r>
        <w:rPr>
          <w:sz w:val="28"/>
          <w:szCs w:val="28"/>
        </w:rPr>
        <w:t>，易产生静电，若未采用导静电耐油软管，油品在卸车过程中静电大量积聚，可能引发火灾爆炸。此外卸油员上岗时未穿防静电工作服装、带铁钉鞋</w:t>
      </w:r>
      <w:r>
        <w:rPr>
          <w:rFonts w:hint="eastAsia"/>
          <w:sz w:val="28"/>
          <w:szCs w:val="28"/>
        </w:rPr>
        <w:t>产生电火花</w:t>
      </w:r>
      <w:r>
        <w:rPr>
          <w:sz w:val="28"/>
          <w:szCs w:val="28"/>
        </w:rPr>
        <w:t>，遇油品泄漏形成爆炸性油气混合气体可能引发火灾爆炸。</w:t>
      </w:r>
    </w:p>
    <w:p>
      <w:pPr>
        <w:ind w:firstLine="560" w:firstLineChars="200"/>
        <w:rPr>
          <w:sz w:val="28"/>
          <w:szCs w:val="28"/>
        </w:rPr>
      </w:pPr>
      <w:r>
        <w:rPr>
          <w:rFonts w:hint="eastAsia"/>
          <w:sz w:val="28"/>
          <w:szCs w:val="28"/>
        </w:rPr>
        <w:t>3.</w:t>
      </w:r>
      <w:r>
        <w:rPr>
          <w:sz w:val="28"/>
          <w:szCs w:val="28"/>
        </w:rPr>
        <w:t>在卸油过程中若管道、设备连接不可靠，密封不严或拉脱，产生泄漏、喷射，泄漏后遇明火或静电火花点燃，有发生火灾、爆炸的危险。</w:t>
      </w:r>
    </w:p>
    <w:p>
      <w:pPr>
        <w:ind w:firstLine="560" w:firstLineChars="200"/>
        <w:rPr>
          <w:sz w:val="28"/>
          <w:szCs w:val="28"/>
        </w:rPr>
      </w:pPr>
      <w:r>
        <w:rPr>
          <w:rFonts w:hint="eastAsia"/>
          <w:sz w:val="28"/>
          <w:szCs w:val="28"/>
        </w:rPr>
        <w:t>4.</w:t>
      </w:r>
      <w:r>
        <w:rPr>
          <w:sz w:val="28"/>
          <w:szCs w:val="28"/>
        </w:rPr>
        <w:t>在卸油作业过程中，若违章操作或员工未坚守岗位，卸油处于无人监视状态，致使油品满溢，一旦遇</w:t>
      </w:r>
      <w:r>
        <w:rPr>
          <w:rFonts w:hint="eastAsia"/>
          <w:sz w:val="28"/>
          <w:szCs w:val="28"/>
        </w:rPr>
        <w:t>点火源</w:t>
      </w:r>
      <w:r>
        <w:rPr>
          <w:sz w:val="28"/>
          <w:szCs w:val="28"/>
        </w:rPr>
        <w:t>，有发生火灾、爆炸的危险。</w:t>
      </w:r>
    </w:p>
    <w:p>
      <w:pPr>
        <w:ind w:firstLine="560" w:firstLineChars="200"/>
        <w:rPr>
          <w:sz w:val="28"/>
          <w:szCs w:val="28"/>
        </w:rPr>
      </w:pPr>
      <w:r>
        <w:rPr>
          <w:rFonts w:hint="eastAsia"/>
          <w:sz w:val="28"/>
          <w:szCs w:val="28"/>
        </w:rPr>
        <w:t>5.卸油时超过充装系数，将造成</w:t>
      </w:r>
      <w:r>
        <w:rPr>
          <w:sz w:val="28"/>
          <w:szCs w:val="28"/>
        </w:rPr>
        <w:t>进油冒罐或油品体积受热膨胀形成冒罐</w:t>
      </w:r>
      <w:r>
        <w:rPr>
          <w:rFonts w:hint="eastAsia"/>
          <w:sz w:val="28"/>
          <w:szCs w:val="28"/>
        </w:rPr>
        <w:t>导致油品泄漏。</w:t>
      </w:r>
    </w:p>
    <w:p>
      <w:pPr>
        <w:ind w:firstLine="560" w:firstLineChars="200"/>
        <w:rPr>
          <w:sz w:val="28"/>
          <w:szCs w:val="28"/>
        </w:rPr>
      </w:pPr>
      <w:r>
        <w:rPr>
          <w:rFonts w:hint="eastAsia"/>
          <w:sz w:val="28"/>
          <w:szCs w:val="28"/>
        </w:rPr>
        <w:t>6.</w:t>
      </w:r>
      <w:r>
        <w:rPr>
          <w:sz w:val="28"/>
          <w:szCs w:val="28"/>
        </w:rPr>
        <w:t>在卸油作业现场若作业人员未严格执行禁火制度，带入火种，不防爆的通讯器材（如：手机等）进入现场；防爆电器存在质量问题等一系列隐患有可能导致火灾的危险。</w:t>
      </w:r>
    </w:p>
    <w:p>
      <w:pPr>
        <w:ind w:firstLine="560" w:firstLineChars="200"/>
        <w:rPr>
          <w:sz w:val="28"/>
          <w:szCs w:val="28"/>
        </w:rPr>
      </w:pPr>
      <w:r>
        <w:rPr>
          <w:rFonts w:hint="eastAsia"/>
          <w:sz w:val="28"/>
          <w:szCs w:val="28"/>
        </w:rPr>
        <w:t>7.</w:t>
      </w:r>
      <w:r>
        <w:rPr>
          <w:sz w:val="28"/>
          <w:szCs w:val="28"/>
        </w:rPr>
        <w:t>存在着各种点火源的危险。加油站建立在车辆来往频繁的交通干道旁边，周围环境比较复杂，受外部点火源的威胁较大，频繁出入的车辆，人为带入的火种等，均可成为加油站火灾的点火源。</w:t>
      </w:r>
    </w:p>
    <w:p>
      <w:pPr>
        <w:pStyle w:val="13"/>
        <w:ind w:firstLine="560" w:firstLineChars="200"/>
        <w:rPr>
          <w:sz w:val="28"/>
          <w:szCs w:val="28"/>
        </w:rPr>
      </w:pPr>
      <w:r>
        <w:rPr>
          <w:rFonts w:hint="eastAsia"/>
          <w:sz w:val="28"/>
          <w:szCs w:val="28"/>
        </w:rPr>
        <w:t>8.未按卸油操作规程作业，在卸油前未对储油罐内空容量进行计量或液位报警设施失灵致使发生满溢现象。</w:t>
      </w:r>
    </w:p>
    <w:p>
      <w:pPr>
        <w:ind w:firstLine="560" w:firstLineChars="200"/>
        <w:rPr>
          <w:sz w:val="28"/>
          <w:szCs w:val="28"/>
        </w:rPr>
      </w:pPr>
      <w:r>
        <w:rPr>
          <w:rFonts w:hint="eastAsia"/>
          <w:sz w:val="28"/>
          <w:szCs w:val="28"/>
        </w:rPr>
        <w:t>9.卸油时作业人员擅离职守，以至造成油罐溢油，遇点火源可能造成火灾、爆炸事故。</w:t>
      </w:r>
    </w:p>
    <w:p>
      <w:pPr>
        <w:ind w:firstLine="560" w:firstLineChars="200"/>
        <w:rPr>
          <w:sz w:val="28"/>
          <w:szCs w:val="28"/>
        </w:rPr>
      </w:pPr>
      <w:r>
        <w:rPr>
          <w:rFonts w:hint="eastAsia"/>
          <w:sz w:val="28"/>
          <w:szCs w:val="28"/>
        </w:rPr>
        <w:t>10.雷雨天进行卸油作业，遇雷击，可能造成火灾、爆炸事故。</w:t>
      </w:r>
    </w:p>
    <w:p>
      <w:pPr>
        <w:pStyle w:val="5"/>
        <w:rPr>
          <w:sz w:val="28"/>
          <w:szCs w:val="28"/>
        </w:rPr>
      </w:pPr>
      <w:bookmarkStart w:id="148" w:name="_Toc18363"/>
      <w:r>
        <w:rPr>
          <w:sz w:val="28"/>
          <w:szCs w:val="28"/>
        </w:rPr>
        <w:t>3.</w:t>
      </w:r>
      <w:r>
        <w:rPr>
          <w:rFonts w:hint="eastAsia"/>
          <w:sz w:val="28"/>
          <w:szCs w:val="28"/>
        </w:rPr>
        <w:t>4</w:t>
      </w:r>
      <w:r>
        <w:rPr>
          <w:sz w:val="28"/>
          <w:szCs w:val="28"/>
        </w:rPr>
        <w:t>.2</w:t>
      </w:r>
      <w:r>
        <w:rPr>
          <w:rFonts w:hint="eastAsia"/>
          <w:sz w:val="28"/>
          <w:szCs w:val="28"/>
        </w:rPr>
        <w:t xml:space="preserve"> 加油过程</w:t>
      </w:r>
      <w:bookmarkEnd w:id="148"/>
    </w:p>
    <w:p>
      <w:pPr>
        <w:spacing w:line="360" w:lineRule="auto"/>
        <w:ind w:firstLine="560" w:firstLineChars="200"/>
        <w:rPr>
          <w:sz w:val="28"/>
          <w:szCs w:val="28"/>
        </w:rPr>
      </w:pPr>
      <w:r>
        <w:rPr>
          <w:rFonts w:hint="eastAsia"/>
          <w:sz w:val="28"/>
          <w:szCs w:val="28"/>
        </w:rPr>
        <w:t>1.作业人员在加油过程中若不遵守安全规章，不严格按正确的规程作业或操作失误，可能造成漏油、油品溢出等情况，遇加油机接地松动而接触不重复良引起静电大量积聚放电或遇明火极易发生火灾，甚至爆炸。</w:t>
      </w:r>
    </w:p>
    <w:p>
      <w:pPr>
        <w:spacing w:line="360" w:lineRule="auto"/>
        <w:ind w:firstLine="560" w:firstLineChars="200"/>
        <w:rPr>
          <w:sz w:val="28"/>
          <w:szCs w:val="28"/>
        </w:rPr>
      </w:pPr>
      <w:r>
        <w:rPr>
          <w:rFonts w:hint="eastAsia"/>
          <w:sz w:val="28"/>
          <w:szCs w:val="28"/>
        </w:rPr>
        <w:t>2.作业人员若违反规程向塑料容器加注油品，易造成静电积聚放电，若遇油品或油蒸气，可能发生火灾爆炸。加油枪、加油管损坏、加油机内接管密封垫损坏均会造成油品泄漏，遇点火源可能发生燃烧、爆炸事故。</w:t>
      </w:r>
    </w:p>
    <w:p>
      <w:pPr>
        <w:spacing w:line="360" w:lineRule="auto"/>
        <w:ind w:firstLine="544"/>
        <w:jc w:val="left"/>
        <w:rPr>
          <w:sz w:val="28"/>
          <w:szCs w:val="28"/>
        </w:rPr>
      </w:pPr>
      <w:r>
        <w:rPr>
          <w:rFonts w:hint="eastAsia"/>
          <w:sz w:val="28"/>
          <w:szCs w:val="28"/>
        </w:rPr>
        <w:t>3.</w:t>
      </w:r>
      <w:r>
        <w:rPr>
          <w:sz w:val="28"/>
          <w:szCs w:val="28"/>
        </w:rPr>
        <w:t>加油时</w:t>
      </w:r>
      <w:r>
        <w:rPr>
          <w:rFonts w:hint="eastAsia"/>
          <w:sz w:val="28"/>
          <w:szCs w:val="28"/>
        </w:rPr>
        <w:t>油品流动会产生静电，</w:t>
      </w:r>
      <w:r>
        <w:rPr>
          <w:sz w:val="28"/>
          <w:szCs w:val="28"/>
        </w:rPr>
        <w:t>可能使静电积聚，</w:t>
      </w:r>
      <w:r>
        <w:rPr>
          <w:rFonts w:hint="eastAsia"/>
          <w:sz w:val="28"/>
          <w:szCs w:val="28"/>
        </w:rPr>
        <w:t>甚至放电，</w:t>
      </w:r>
      <w:r>
        <w:rPr>
          <w:sz w:val="28"/>
          <w:szCs w:val="28"/>
        </w:rPr>
        <w:t>若</w:t>
      </w:r>
      <w:r>
        <w:rPr>
          <w:rFonts w:hint="eastAsia"/>
          <w:sz w:val="28"/>
          <w:szCs w:val="28"/>
        </w:rPr>
        <w:t>油品流速大于60L/min或</w:t>
      </w:r>
      <w:r>
        <w:rPr>
          <w:sz w:val="28"/>
          <w:szCs w:val="28"/>
        </w:rPr>
        <w:t>加油站静电接地装置失效，</w:t>
      </w:r>
      <w:r>
        <w:rPr>
          <w:rFonts w:hint="eastAsia"/>
          <w:sz w:val="28"/>
          <w:szCs w:val="28"/>
        </w:rPr>
        <w:t>遇</w:t>
      </w:r>
      <w:r>
        <w:rPr>
          <w:sz w:val="28"/>
          <w:szCs w:val="28"/>
        </w:rPr>
        <w:t>油品</w:t>
      </w:r>
      <w:r>
        <w:rPr>
          <w:rFonts w:hint="eastAsia"/>
          <w:sz w:val="28"/>
          <w:szCs w:val="28"/>
        </w:rPr>
        <w:t>蒸汽有</w:t>
      </w:r>
      <w:r>
        <w:rPr>
          <w:sz w:val="28"/>
          <w:szCs w:val="28"/>
        </w:rPr>
        <w:t>发生火灾爆炸危险</w:t>
      </w:r>
      <w:r>
        <w:rPr>
          <w:rFonts w:hint="eastAsia"/>
          <w:sz w:val="28"/>
          <w:szCs w:val="28"/>
        </w:rPr>
        <w:t>。</w:t>
      </w:r>
    </w:p>
    <w:p>
      <w:pPr>
        <w:spacing w:line="360" w:lineRule="auto"/>
        <w:ind w:firstLine="560" w:firstLineChars="200"/>
        <w:rPr>
          <w:sz w:val="28"/>
          <w:szCs w:val="28"/>
        </w:rPr>
      </w:pPr>
      <w:r>
        <w:rPr>
          <w:rFonts w:hint="eastAsia"/>
          <w:sz w:val="28"/>
          <w:szCs w:val="28"/>
        </w:rPr>
        <w:t>4.有点火能源存在（明火、雷电、静电、高温热源、撞击火花、电气火花等），可能造成火灾、爆炸事故；</w:t>
      </w:r>
    </w:p>
    <w:p>
      <w:pPr>
        <w:spacing w:line="360" w:lineRule="auto"/>
        <w:ind w:firstLine="560" w:firstLineChars="200"/>
        <w:rPr>
          <w:sz w:val="28"/>
          <w:szCs w:val="28"/>
        </w:rPr>
      </w:pPr>
      <w:r>
        <w:rPr>
          <w:rFonts w:hint="eastAsia"/>
          <w:sz w:val="28"/>
          <w:szCs w:val="28"/>
        </w:rPr>
        <w:t>5.车辆进入作业区未限速，未熄火加油，可能造成火灾、爆炸事故；</w:t>
      </w:r>
    </w:p>
    <w:p>
      <w:pPr>
        <w:spacing w:line="360" w:lineRule="auto"/>
        <w:ind w:firstLine="560" w:firstLineChars="200"/>
        <w:rPr>
          <w:sz w:val="28"/>
          <w:szCs w:val="28"/>
        </w:rPr>
      </w:pPr>
      <w:r>
        <w:rPr>
          <w:rFonts w:hint="eastAsia"/>
          <w:sz w:val="28"/>
          <w:szCs w:val="28"/>
        </w:rPr>
        <w:t>6.作业人员未穿戴防静电工作服，可能造成火灾、爆炸事故。</w:t>
      </w:r>
    </w:p>
    <w:p>
      <w:pPr>
        <w:spacing w:line="360" w:lineRule="auto"/>
        <w:ind w:firstLine="560" w:firstLineChars="200"/>
        <w:rPr>
          <w:sz w:val="28"/>
          <w:szCs w:val="28"/>
        </w:rPr>
      </w:pPr>
      <w:r>
        <w:rPr>
          <w:rFonts w:hint="eastAsia"/>
          <w:sz w:val="28"/>
          <w:szCs w:val="28"/>
        </w:rPr>
        <w:t>7.进出加油站车辆较多，机动车辆驾驶人员操作不当，有可能伤害加油站作业人员；如果撞坏加油设施可导致油品泄漏，引发火灾。</w:t>
      </w:r>
    </w:p>
    <w:p>
      <w:pPr>
        <w:pStyle w:val="21"/>
        <w:spacing w:line="360" w:lineRule="auto"/>
        <w:ind w:firstLine="560" w:firstLineChars="200"/>
        <w:rPr>
          <w:rFonts w:ascii="宋体" w:hAnsi="宋体" w:cs="宋体"/>
          <w:sz w:val="28"/>
          <w:szCs w:val="28"/>
        </w:rPr>
      </w:pPr>
      <w:r>
        <w:rPr>
          <w:rFonts w:hint="eastAsia" w:ascii="宋体" w:hAnsi="宋体" w:cs="宋体"/>
          <w:sz w:val="28"/>
          <w:szCs w:val="28"/>
        </w:rPr>
        <w:t>8.给摩托车加油，摩托车驾驶员未提前下车或未下车直接加油，摩托车余热等造成车辆自燃，发生火灾爆炸及伤人事故。</w:t>
      </w:r>
    </w:p>
    <w:p>
      <w:pPr>
        <w:spacing w:line="360" w:lineRule="auto"/>
        <w:ind w:firstLine="560" w:firstLineChars="200"/>
        <w:rPr>
          <w:rFonts w:ascii="宋体" w:hAnsi="宋体" w:cs="宋体"/>
          <w:sz w:val="28"/>
          <w:szCs w:val="28"/>
        </w:rPr>
      </w:pPr>
      <w:r>
        <w:rPr>
          <w:rFonts w:hint="eastAsia" w:ascii="宋体" w:hAnsi="宋体" w:cs="宋体"/>
          <w:sz w:val="28"/>
          <w:szCs w:val="28"/>
        </w:rPr>
        <w:t>9.加散装汽油、柴油未对油品用途、加油人员身份进行核查和身份证留底，恐暴份子利用散装油品自燃或放火等造成人员伤害和火灾事故。</w:t>
      </w:r>
    </w:p>
    <w:p>
      <w:pPr>
        <w:pStyle w:val="21"/>
        <w:spacing w:line="360" w:lineRule="auto"/>
        <w:ind w:firstLine="560" w:firstLineChars="200"/>
        <w:rPr>
          <w:sz w:val="28"/>
          <w:szCs w:val="28"/>
        </w:rPr>
      </w:pPr>
      <w:r>
        <w:rPr>
          <w:rFonts w:hint="eastAsia" w:ascii="宋体" w:hAnsi="宋体" w:cs="宋体"/>
          <w:sz w:val="28"/>
          <w:szCs w:val="28"/>
        </w:rPr>
        <w:t>10.加散装汽油、柴油的工具不符合（如塑料桶、盆子等），发生泄漏或与身体静电接触发生火灾事故。</w:t>
      </w:r>
    </w:p>
    <w:p>
      <w:pPr>
        <w:pStyle w:val="5"/>
        <w:rPr>
          <w:sz w:val="28"/>
          <w:szCs w:val="28"/>
        </w:rPr>
      </w:pPr>
      <w:bookmarkStart w:id="149" w:name="_Toc25706"/>
      <w:r>
        <w:rPr>
          <w:rFonts w:hint="eastAsia"/>
          <w:sz w:val="28"/>
          <w:szCs w:val="28"/>
        </w:rPr>
        <w:t>3.4.3 储油过程</w:t>
      </w:r>
      <w:bookmarkEnd w:id="149"/>
    </w:p>
    <w:p>
      <w:pPr>
        <w:numPr>
          <w:ilvl w:val="0"/>
          <w:numId w:val="4"/>
        </w:numPr>
        <w:ind w:firstLine="560" w:firstLineChars="200"/>
        <w:rPr>
          <w:sz w:val="28"/>
          <w:szCs w:val="28"/>
        </w:rPr>
      </w:pPr>
      <w:r>
        <w:rPr>
          <w:rFonts w:hint="eastAsia"/>
          <w:sz w:val="28"/>
          <w:szCs w:val="28"/>
        </w:rPr>
        <w:t>储罐区</w:t>
      </w:r>
      <w:r>
        <w:rPr>
          <w:sz w:val="28"/>
          <w:szCs w:val="28"/>
        </w:rPr>
        <w:t>若避雷（防静电）设施</w:t>
      </w:r>
      <w:r>
        <w:rPr>
          <w:rFonts w:hint="eastAsia"/>
          <w:sz w:val="28"/>
          <w:szCs w:val="28"/>
        </w:rPr>
        <w:t>失效</w:t>
      </w:r>
      <w:r>
        <w:rPr>
          <w:sz w:val="28"/>
          <w:szCs w:val="28"/>
        </w:rPr>
        <w:t>，一旦遭遇雷击（或静电积累），会引起火灾、爆炸。</w:t>
      </w:r>
    </w:p>
    <w:p>
      <w:pPr>
        <w:numPr>
          <w:ilvl w:val="0"/>
          <w:numId w:val="4"/>
        </w:numPr>
        <w:ind w:firstLine="560" w:firstLineChars="200"/>
        <w:rPr>
          <w:sz w:val="28"/>
          <w:szCs w:val="28"/>
        </w:rPr>
      </w:pPr>
      <w:r>
        <w:rPr>
          <w:rFonts w:hint="eastAsia"/>
          <w:sz w:val="28"/>
          <w:szCs w:val="28"/>
        </w:rPr>
        <w:t>储罐区</w:t>
      </w:r>
      <w:r>
        <w:rPr>
          <w:sz w:val="28"/>
          <w:szCs w:val="28"/>
        </w:rPr>
        <w:t>消防器材</w:t>
      </w:r>
      <w:r>
        <w:rPr>
          <w:rFonts w:hint="eastAsia"/>
          <w:sz w:val="28"/>
          <w:szCs w:val="28"/>
        </w:rPr>
        <w:t>失效</w:t>
      </w:r>
      <w:r>
        <w:rPr>
          <w:sz w:val="28"/>
          <w:szCs w:val="28"/>
        </w:rPr>
        <w:t>，遇事故时不能及时扑救，导致事故扩大。</w:t>
      </w:r>
    </w:p>
    <w:p>
      <w:pPr>
        <w:numPr>
          <w:ilvl w:val="0"/>
          <w:numId w:val="4"/>
        </w:numPr>
        <w:ind w:firstLine="560" w:firstLineChars="200"/>
        <w:rPr>
          <w:sz w:val="28"/>
          <w:szCs w:val="28"/>
        </w:rPr>
      </w:pPr>
      <w:r>
        <w:rPr>
          <w:sz w:val="28"/>
          <w:szCs w:val="28"/>
        </w:rPr>
        <w:t>若</w:t>
      </w:r>
      <w:r>
        <w:rPr>
          <w:rFonts w:hint="eastAsia"/>
          <w:sz w:val="28"/>
          <w:szCs w:val="28"/>
        </w:rPr>
        <w:t>储罐区</w:t>
      </w:r>
      <w:r>
        <w:rPr>
          <w:sz w:val="28"/>
          <w:szCs w:val="28"/>
        </w:rPr>
        <w:t>的工作人员未经过一定专业知识、专业技能的培训或未按有关规定配备具有专业知识的技术人员，则会因不了解成品油的性能、危险性而导致意外事件的发生。</w:t>
      </w:r>
    </w:p>
    <w:p>
      <w:pPr>
        <w:numPr>
          <w:ilvl w:val="0"/>
          <w:numId w:val="4"/>
        </w:numPr>
        <w:ind w:firstLine="560" w:firstLineChars="200"/>
        <w:rPr>
          <w:sz w:val="28"/>
          <w:szCs w:val="28"/>
        </w:rPr>
      </w:pPr>
      <w:r>
        <w:rPr>
          <w:sz w:val="28"/>
          <w:szCs w:val="28"/>
        </w:rPr>
        <w:t>在设备检修过程中，对储罐或输</w:t>
      </w:r>
      <w:r>
        <w:rPr>
          <w:rFonts w:hint="eastAsia"/>
          <w:sz w:val="28"/>
          <w:szCs w:val="28"/>
        </w:rPr>
        <w:t>油</w:t>
      </w:r>
      <w:r>
        <w:rPr>
          <w:sz w:val="28"/>
          <w:szCs w:val="28"/>
        </w:rPr>
        <w:t>管道没有按规定</w:t>
      </w:r>
      <w:r>
        <w:rPr>
          <w:rFonts w:hint="eastAsia"/>
          <w:sz w:val="28"/>
          <w:szCs w:val="28"/>
        </w:rPr>
        <w:t>清洗</w:t>
      </w:r>
      <w:r>
        <w:rPr>
          <w:sz w:val="28"/>
          <w:szCs w:val="28"/>
        </w:rPr>
        <w:t>彻底且违章动火等也会形成火灾、爆炸事故。</w:t>
      </w:r>
    </w:p>
    <w:p>
      <w:pPr>
        <w:pStyle w:val="4"/>
        <w:rPr>
          <w:szCs w:val="28"/>
        </w:rPr>
      </w:pPr>
      <w:bookmarkStart w:id="150" w:name="_Toc354416286"/>
      <w:bookmarkStart w:id="151" w:name="_Toc2524"/>
      <w:bookmarkStart w:id="152" w:name="_Toc23463"/>
      <w:r>
        <w:rPr>
          <w:szCs w:val="28"/>
        </w:rPr>
        <w:t>3</w:t>
      </w:r>
      <w:r>
        <w:rPr>
          <w:rFonts w:hint="eastAsia"/>
          <w:szCs w:val="28"/>
        </w:rPr>
        <w:t>.5 设备设施危险有害因素分析</w:t>
      </w:r>
      <w:bookmarkEnd w:id="150"/>
      <w:bookmarkEnd w:id="151"/>
      <w:bookmarkEnd w:id="152"/>
    </w:p>
    <w:p>
      <w:pPr>
        <w:pStyle w:val="5"/>
        <w:rPr>
          <w:sz w:val="28"/>
          <w:szCs w:val="28"/>
        </w:rPr>
      </w:pPr>
      <w:bookmarkStart w:id="153" w:name="_Toc26037"/>
      <w:r>
        <w:rPr>
          <w:rFonts w:hint="eastAsia"/>
          <w:sz w:val="28"/>
          <w:szCs w:val="28"/>
        </w:rPr>
        <w:t>3.5.1 油罐</w:t>
      </w:r>
      <w:bookmarkEnd w:id="153"/>
    </w:p>
    <w:p>
      <w:pPr>
        <w:numPr>
          <w:ilvl w:val="0"/>
          <w:numId w:val="5"/>
        </w:numPr>
        <w:rPr>
          <w:sz w:val="28"/>
          <w:szCs w:val="28"/>
        </w:rPr>
      </w:pPr>
      <w:r>
        <w:rPr>
          <w:sz w:val="28"/>
          <w:szCs w:val="28"/>
        </w:rPr>
        <w:t>卸油管道破损未及时发现，在进行卸油作业</w:t>
      </w:r>
      <w:r>
        <w:rPr>
          <w:rFonts w:hint="eastAsia"/>
          <w:sz w:val="28"/>
          <w:szCs w:val="28"/>
        </w:rPr>
        <w:t>油料泄漏</w:t>
      </w:r>
      <w:r>
        <w:rPr>
          <w:sz w:val="28"/>
          <w:szCs w:val="28"/>
        </w:rPr>
        <w:t>，</w:t>
      </w:r>
      <w:r>
        <w:rPr>
          <w:rFonts w:hint="eastAsia"/>
          <w:sz w:val="28"/>
          <w:szCs w:val="28"/>
        </w:rPr>
        <w:t>遇点火源，</w:t>
      </w:r>
      <w:r>
        <w:rPr>
          <w:sz w:val="28"/>
          <w:szCs w:val="28"/>
        </w:rPr>
        <w:t>造成火灾、爆炸事故；</w:t>
      </w:r>
    </w:p>
    <w:p>
      <w:pPr>
        <w:numPr>
          <w:ilvl w:val="0"/>
          <w:numId w:val="5"/>
        </w:numPr>
        <w:rPr>
          <w:sz w:val="28"/>
          <w:szCs w:val="28"/>
        </w:rPr>
      </w:pPr>
      <w:r>
        <w:rPr>
          <w:sz w:val="28"/>
          <w:szCs w:val="28"/>
        </w:rPr>
        <w:t>卸油场所存在明火、</w:t>
      </w:r>
      <w:r>
        <w:rPr>
          <w:rFonts w:hint="eastAsia"/>
          <w:sz w:val="28"/>
          <w:szCs w:val="28"/>
        </w:rPr>
        <w:t>电火花</w:t>
      </w:r>
      <w:r>
        <w:rPr>
          <w:sz w:val="28"/>
          <w:szCs w:val="28"/>
        </w:rPr>
        <w:t>、高温高热物</w:t>
      </w:r>
      <w:r>
        <w:rPr>
          <w:rFonts w:hint="eastAsia"/>
          <w:sz w:val="28"/>
          <w:szCs w:val="28"/>
        </w:rPr>
        <w:t>质</w:t>
      </w:r>
      <w:r>
        <w:rPr>
          <w:sz w:val="28"/>
          <w:szCs w:val="28"/>
        </w:rPr>
        <w:t>等引</w:t>
      </w:r>
      <w:r>
        <w:rPr>
          <w:rFonts w:hint="eastAsia"/>
          <w:sz w:val="28"/>
          <w:szCs w:val="28"/>
        </w:rPr>
        <w:t>火</w:t>
      </w:r>
      <w:r>
        <w:rPr>
          <w:sz w:val="28"/>
          <w:szCs w:val="28"/>
        </w:rPr>
        <w:t>源点燃</w:t>
      </w:r>
      <w:r>
        <w:rPr>
          <w:rFonts w:hint="eastAsia"/>
          <w:sz w:val="28"/>
          <w:szCs w:val="28"/>
        </w:rPr>
        <w:t>油气混合体</w:t>
      </w:r>
      <w:r>
        <w:rPr>
          <w:sz w:val="28"/>
          <w:szCs w:val="28"/>
        </w:rPr>
        <w:t>，可能造成火灾、爆炸事故；</w:t>
      </w:r>
    </w:p>
    <w:p>
      <w:pPr>
        <w:numPr>
          <w:ilvl w:val="0"/>
          <w:numId w:val="5"/>
        </w:numPr>
        <w:rPr>
          <w:sz w:val="28"/>
          <w:szCs w:val="28"/>
        </w:rPr>
      </w:pPr>
      <w:r>
        <w:rPr>
          <w:sz w:val="28"/>
          <w:szCs w:val="28"/>
        </w:rPr>
        <w:t>油罐的卸油管未按《汽车加油加气站设计与施工规范》</w:t>
      </w:r>
      <w:r>
        <w:rPr>
          <w:rFonts w:hint="eastAsia"/>
          <w:sz w:val="28"/>
          <w:szCs w:val="28"/>
        </w:rPr>
        <w:t>GB50156</w:t>
      </w:r>
      <w:r>
        <w:rPr>
          <w:sz w:val="28"/>
          <w:szCs w:val="28"/>
        </w:rPr>
        <w:t>中的要求插入罐内有效深度，油品流动造成静电积聚</w:t>
      </w:r>
      <w:r>
        <w:rPr>
          <w:rFonts w:hint="eastAsia"/>
          <w:sz w:val="28"/>
          <w:szCs w:val="28"/>
        </w:rPr>
        <w:t>、放电，</w:t>
      </w:r>
      <w:r>
        <w:rPr>
          <w:sz w:val="28"/>
          <w:szCs w:val="28"/>
        </w:rPr>
        <w:t>发生火灾、爆炸事故</w:t>
      </w:r>
      <w:r>
        <w:rPr>
          <w:rFonts w:hint="eastAsia"/>
          <w:sz w:val="28"/>
          <w:szCs w:val="28"/>
        </w:rPr>
        <w:t>。</w:t>
      </w:r>
    </w:p>
    <w:p>
      <w:pPr>
        <w:numPr>
          <w:ilvl w:val="0"/>
          <w:numId w:val="5"/>
        </w:numPr>
        <w:rPr>
          <w:sz w:val="28"/>
          <w:szCs w:val="28"/>
        </w:rPr>
      </w:pPr>
      <w:r>
        <w:rPr>
          <w:sz w:val="28"/>
          <w:szCs w:val="28"/>
        </w:rPr>
        <w:t>若与储罐的相连的泵、阀门、管道等密封不严，容易发生泄漏，泄漏后遇明火或静电火花等点火源有发生火灾的危险。</w:t>
      </w:r>
    </w:p>
    <w:p>
      <w:pPr>
        <w:numPr>
          <w:ilvl w:val="0"/>
          <w:numId w:val="5"/>
        </w:numPr>
        <w:rPr>
          <w:sz w:val="28"/>
          <w:szCs w:val="28"/>
        </w:rPr>
      </w:pPr>
      <w:r>
        <w:rPr>
          <w:sz w:val="28"/>
          <w:szCs w:val="28"/>
        </w:rPr>
        <w:t>埋地油罐若没有良好的静电接地装置或接地装置失效，静电不能及时释放，产生静电火花，可导致火灾。</w:t>
      </w:r>
    </w:p>
    <w:p>
      <w:pPr>
        <w:numPr>
          <w:ilvl w:val="0"/>
          <w:numId w:val="5"/>
        </w:numPr>
        <w:rPr>
          <w:sz w:val="28"/>
          <w:szCs w:val="28"/>
        </w:rPr>
      </w:pPr>
      <w:r>
        <w:rPr>
          <w:sz w:val="28"/>
          <w:szCs w:val="28"/>
        </w:rPr>
        <w:t>埋地油罐一旦制造或安装存在缺陷或长期使用未进行检测，容易引起泄漏，若遇明火或静电火花，会导致火灾事故。</w:t>
      </w:r>
    </w:p>
    <w:p>
      <w:pPr>
        <w:numPr>
          <w:ilvl w:val="0"/>
          <w:numId w:val="5"/>
        </w:numPr>
        <w:rPr>
          <w:sz w:val="28"/>
          <w:szCs w:val="28"/>
        </w:rPr>
      </w:pPr>
      <w:r>
        <w:rPr>
          <w:sz w:val="28"/>
          <w:szCs w:val="28"/>
        </w:rPr>
        <w:t>埋地油罐的防腐层若老化或损坏脱落，造成油罐罐壁腐蚀穿孔，可引起油品泄漏，油品泄漏后经砂土</w:t>
      </w:r>
      <w:r>
        <w:rPr>
          <w:rFonts w:hint="eastAsia"/>
          <w:sz w:val="28"/>
          <w:szCs w:val="28"/>
        </w:rPr>
        <w:t>渗透</w:t>
      </w:r>
      <w:r>
        <w:rPr>
          <w:sz w:val="28"/>
          <w:szCs w:val="28"/>
        </w:rPr>
        <w:t>上升至地表面挥发为蒸气，油气与空气形成爆炸性混合气体向低洼处积聚，当达到爆炸极限时，遇点火源可能引起</w:t>
      </w:r>
      <w:r>
        <w:rPr>
          <w:rFonts w:hint="eastAsia"/>
          <w:sz w:val="28"/>
          <w:szCs w:val="28"/>
        </w:rPr>
        <w:t>火灾爆炸</w:t>
      </w:r>
      <w:r>
        <w:rPr>
          <w:sz w:val="28"/>
          <w:szCs w:val="28"/>
        </w:rPr>
        <w:t>。</w:t>
      </w:r>
    </w:p>
    <w:p>
      <w:pPr>
        <w:numPr>
          <w:ilvl w:val="0"/>
          <w:numId w:val="5"/>
        </w:numPr>
        <w:rPr>
          <w:sz w:val="28"/>
          <w:szCs w:val="28"/>
        </w:rPr>
      </w:pPr>
      <w:r>
        <w:rPr>
          <w:sz w:val="28"/>
          <w:szCs w:val="28"/>
        </w:rPr>
        <w:t>油罐人孔处的操作井内的各管道接口处的密封料若老化，导致油品泄漏，可能在井内形成爆炸性混合气体，遇点火源，将引起着火爆炸。</w:t>
      </w:r>
    </w:p>
    <w:p>
      <w:pPr>
        <w:numPr>
          <w:ilvl w:val="0"/>
          <w:numId w:val="5"/>
        </w:numPr>
        <w:rPr>
          <w:sz w:val="28"/>
          <w:szCs w:val="28"/>
        </w:rPr>
      </w:pPr>
      <w:r>
        <w:rPr>
          <w:sz w:val="28"/>
          <w:szCs w:val="28"/>
        </w:rPr>
        <w:t>埋地储罐</w:t>
      </w:r>
      <w:r>
        <w:rPr>
          <w:rFonts w:hint="eastAsia"/>
          <w:sz w:val="28"/>
          <w:szCs w:val="28"/>
        </w:rPr>
        <w:t>防上浮措施失效</w:t>
      </w:r>
      <w:r>
        <w:rPr>
          <w:sz w:val="28"/>
          <w:szCs w:val="28"/>
        </w:rPr>
        <w:t>，遇大暴雨，地下水位上涨，可能导致储罐上浮，导致管道破裂油品泄漏。</w:t>
      </w:r>
    </w:p>
    <w:p>
      <w:pPr>
        <w:pStyle w:val="21"/>
        <w:numPr>
          <w:ilvl w:val="0"/>
          <w:numId w:val="5"/>
        </w:numPr>
        <w:rPr>
          <w:sz w:val="28"/>
          <w:szCs w:val="28"/>
        </w:rPr>
      </w:pPr>
      <w:r>
        <w:rPr>
          <w:rFonts w:hint="eastAsia"/>
          <w:sz w:val="28"/>
          <w:szCs w:val="28"/>
        </w:rPr>
        <w:t>埋地油罐为承重式过载油罐，油罐人孔井因油气挥发存在可燃气体，人员进入人孔井检查发生中毒与窒息事故；人孔井因油气聚集发生火灾爆炸事故。</w:t>
      </w:r>
    </w:p>
    <w:p>
      <w:pPr>
        <w:pStyle w:val="5"/>
        <w:rPr>
          <w:sz w:val="28"/>
          <w:szCs w:val="28"/>
        </w:rPr>
      </w:pPr>
      <w:bookmarkStart w:id="154" w:name="_Toc29066"/>
      <w:r>
        <w:rPr>
          <w:rFonts w:hint="eastAsia"/>
          <w:sz w:val="28"/>
          <w:szCs w:val="28"/>
        </w:rPr>
        <w:t>3.5.2 加油机</w:t>
      </w:r>
      <w:bookmarkEnd w:id="154"/>
    </w:p>
    <w:p>
      <w:pPr>
        <w:numPr>
          <w:ilvl w:val="0"/>
          <w:numId w:val="6"/>
        </w:numPr>
        <w:rPr>
          <w:sz w:val="28"/>
          <w:szCs w:val="28"/>
        </w:rPr>
      </w:pPr>
      <w:r>
        <w:rPr>
          <w:sz w:val="28"/>
          <w:szCs w:val="28"/>
        </w:rPr>
        <w:t>加油机如存在制造、安装等质量问题，引起加油机及油枪渗漏、胶管破损等造成漏油，一旦遇明火有引起火灾、爆炸的危险。</w:t>
      </w:r>
    </w:p>
    <w:p>
      <w:pPr>
        <w:numPr>
          <w:ilvl w:val="0"/>
          <w:numId w:val="6"/>
        </w:numPr>
        <w:rPr>
          <w:sz w:val="28"/>
          <w:szCs w:val="28"/>
        </w:rPr>
      </w:pPr>
      <w:r>
        <w:rPr>
          <w:sz w:val="28"/>
          <w:szCs w:val="28"/>
        </w:rPr>
        <w:t>若由于设备、管线腐蚀、穿孔，引起油品泄漏，一旦遇明火有发生火灾、爆炸的危险。</w:t>
      </w:r>
    </w:p>
    <w:p>
      <w:pPr>
        <w:numPr>
          <w:ilvl w:val="0"/>
          <w:numId w:val="6"/>
        </w:numPr>
        <w:rPr>
          <w:sz w:val="28"/>
          <w:szCs w:val="28"/>
        </w:rPr>
      </w:pPr>
      <w:r>
        <w:rPr>
          <w:sz w:val="28"/>
          <w:szCs w:val="28"/>
        </w:rPr>
        <w:t>加油设备密封不严导致柴油蒸气逸出，</w:t>
      </w:r>
      <w:r>
        <w:rPr>
          <w:rFonts w:hint="eastAsia"/>
          <w:sz w:val="28"/>
          <w:szCs w:val="28"/>
        </w:rPr>
        <w:t>遇点火源</w:t>
      </w:r>
      <w:r>
        <w:rPr>
          <w:sz w:val="28"/>
          <w:szCs w:val="28"/>
        </w:rPr>
        <w:t>造成火灾、爆炸事故；</w:t>
      </w:r>
    </w:p>
    <w:p>
      <w:pPr>
        <w:numPr>
          <w:ilvl w:val="0"/>
          <w:numId w:val="6"/>
        </w:numPr>
        <w:rPr>
          <w:sz w:val="28"/>
          <w:szCs w:val="28"/>
        </w:rPr>
      </w:pPr>
      <w:r>
        <w:rPr>
          <w:sz w:val="28"/>
          <w:szCs w:val="28"/>
        </w:rPr>
        <w:t>未对加油枪的自封设备做定期检查，致使自封不严未及时发现而导致油蒸气逸出，可能造成火灾、爆炸事故；</w:t>
      </w:r>
    </w:p>
    <w:p>
      <w:pPr>
        <w:numPr>
          <w:ilvl w:val="0"/>
          <w:numId w:val="6"/>
        </w:numPr>
        <w:rPr>
          <w:sz w:val="28"/>
          <w:szCs w:val="28"/>
        </w:rPr>
      </w:pPr>
      <w:r>
        <w:rPr>
          <w:sz w:val="28"/>
          <w:szCs w:val="28"/>
        </w:rPr>
        <w:t>撞击事故致使加油机倾斜导致输油管线拉扯断裂油品泄漏，遇</w:t>
      </w:r>
      <w:r>
        <w:rPr>
          <w:rFonts w:hint="eastAsia"/>
          <w:sz w:val="28"/>
          <w:szCs w:val="28"/>
        </w:rPr>
        <w:t>点火源</w:t>
      </w:r>
      <w:r>
        <w:rPr>
          <w:sz w:val="28"/>
          <w:szCs w:val="28"/>
        </w:rPr>
        <w:t>可能导致火灾、爆炸事故</w:t>
      </w:r>
      <w:r>
        <w:rPr>
          <w:rFonts w:hint="eastAsia"/>
          <w:sz w:val="28"/>
          <w:szCs w:val="28"/>
        </w:rPr>
        <w:t>。</w:t>
      </w:r>
    </w:p>
    <w:p>
      <w:pPr>
        <w:numPr>
          <w:ilvl w:val="0"/>
          <w:numId w:val="6"/>
        </w:numPr>
        <w:rPr>
          <w:sz w:val="28"/>
          <w:szCs w:val="28"/>
        </w:rPr>
      </w:pPr>
      <w:r>
        <w:rPr>
          <w:rFonts w:hint="eastAsia"/>
          <w:sz w:val="28"/>
          <w:szCs w:val="28"/>
        </w:rPr>
        <w:t>若不严格遵守停车熄火再加油的规定，发动机尾气（火星）可能点燃油箱内散发的油蒸气，引起火灾、爆炸事故。</w:t>
      </w:r>
    </w:p>
    <w:p>
      <w:pPr>
        <w:pStyle w:val="5"/>
        <w:rPr>
          <w:sz w:val="28"/>
          <w:szCs w:val="28"/>
        </w:rPr>
      </w:pPr>
      <w:bookmarkStart w:id="155" w:name="_Toc9246"/>
      <w:r>
        <w:rPr>
          <w:rFonts w:hint="eastAsia"/>
          <w:sz w:val="28"/>
          <w:szCs w:val="28"/>
        </w:rPr>
        <w:t>3.5.3 输油管道</w:t>
      </w:r>
      <w:bookmarkEnd w:id="155"/>
    </w:p>
    <w:p>
      <w:pPr>
        <w:numPr>
          <w:ilvl w:val="0"/>
          <w:numId w:val="7"/>
        </w:numPr>
        <w:rPr>
          <w:sz w:val="28"/>
          <w:szCs w:val="28"/>
        </w:rPr>
      </w:pPr>
      <w:r>
        <w:rPr>
          <w:sz w:val="28"/>
          <w:szCs w:val="28"/>
        </w:rPr>
        <w:t>设备管道接头密封不严，可能造成油气泄漏，</w:t>
      </w:r>
      <w:r>
        <w:rPr>
          <w:rFonts w:hint="eastAsia"/>
          <w:sz w:val="28"/>
          <w:szCs w:val="28"/>
        </w:rPr>
        <w:t>遇点火源</w:t>
      </w:r>
      <w:r>
        <w:rPr>
          <w:sz w:val="28"/>
          <w:szCs w:val="28"/>
        </w:rPr>
        <w:t>引发火灾、爆炸事故；</w:t>
      </w:r>
    </w:p>
    <w:p>
      <w:pPr>
        <w:numPr>
          <w:ilvl w:val="0"/>
          <w:numId w:val="7"/>
        </w:numPr>
        <w:rPr>
          <w:sz w:val="28"/>
          <w:szCs w:val="28"/>
        </w:rPr>
      </w:pPr>
      <w:r>
        <w:rPr>
          <w:sz w:val="28"/>
          <w:szCs w:val="28"/>
        </w:rPr>
        <w:t>因腐蚀等原因造成管道、管件损伤，引发油气泄漏，</w:t>
      </w:r>
      <w:r>
        <w:rPr>
          <w:rFonts w:hint="eastAsia"/>
          <w:sz w:val="28"/>
          <w:szCs w:val="28"/>
        </w:rPr>
        <w:t>遇点火源</w:t>
      </w:r>
      <w:r>
        <w:rPr>
          <w:sz w:val="28"/>
          <w:szCs w:val="28"/>
        </w:rPr>
        <w:t>可能造成火灾、爆炸事故；</w:t>
      </w:r>
    </w:p>
    <w:p>
      <w:pPr>
        <w:numPr>
          <w:ilvl w:val="0"/>
          <w:numId w:val="7"/>
        </w:numPr>
        <w:rPr>
          <w:sz w:val="28"/>
          <w:szCs w:val="28"/>
        </w:rPr>
      </w:pPr>
      <w:r>
        <w:rPr>
          <w:rFonts w:hint="eastAsia"/>
          <w:sz w:val="28"/>
          <w:szCs w:val="28"/>
        </w:rPr>
        <w:t>若输油管道始末端和分支处防静电接地失效，易引起静电积聚放电，在油品泄漏时，有引起火灾爆炸的危险。</w:t>
      </w:r>
    </w:p>
    <w:p>
      <w:pPr>
        <w:numPr>
          <w:ilvl w:val="0"/>
          <w:numId w:val="7"/>
        </w:numPr>
        <w:rPr>
          <w:sz w:val="28"/>
          <w:szCs w:val="28"/>
        </w:rPr>
      </w:pPr>
      <w:r>
        <w:rPr>
          <w:sz w:val="28"/>
          <w:szCs w:val="28"/>
        </w:rPr>
        <w:t>输油管</w:t>
      </w:r>
      <w:r>
        <w:rPr>
          <w:rFonts w:hint="eastAsia"/>
          <w:sz w:val="28"/>
          <w:szCs w:val="28"/>
        </w:rPr>
        <w:t>周围</w:t>
      </w:r>
      <w:r>
        <w:rPr>
          <w:sz w:val="28"/>
          <w:szCs w:val="28"/>
        </w:rPr>
        <w:t>未按要求充沙回填，致使管沟中积聚油蒸气达到爆炸极限，</w:t>
      </w:r>
      <w:r>
        <w:rPr>
          <w:rFonts w:hint="eastAsia"/>
          <w:sz w:val="28"/>
          <w:szCs w:val="28"/>
        </w:rPr>
        <w:t>遇点火源</w:t>
      </w:r>
      <w:r>
        <w:rPr>
          <w:sz w:val="28"/>
          <w:szCs w:val="28"/>
        </w:rPr>
        <w:t>可能造成爆炸事故</w:t>
      </w:r>
      <w:r>
        <w:rPr>
          <w:rFonts w:hint="eastAsia"/>
          <w:sz w:val="28"/>
          <w:szCs w:val="28"/>
        </w:rPr>
        <w:t>。</w:t>
      </w:r>
    </w:p>
    <w:p>
      <w:pPr>
        <w:pStyle w:val="4"/>
        <w:rPr>
          <w:szCs w:val="28"/>
        </w:rPr>
      </w:pPr>
      <w:bookmarkStart w:id="156" w:name="_Toc11676"/>
      <w:bookmarkStart w:id="157" w:name="_Toc3653"/>
      <w:bookmarkStart w:id="158" w:name="_Toc154931170"/>
      <w:bookmarkStart w:id="159" w:name="_Toc354416287"/>
      <w:r>
        <w:rPr>
          <w:rFonts w:hint="eastAsia"/>
          <w:szCs w:val="28"/>
        </w:rPr>
        <w:t>3.6 公用工程危险有害因素分析</w:t>
      </w:r>
      <w:bookmarkEnd w:id="156"/>
      <w:bookmarkEnd w:id="157"/>
    </w:p>
    <w:p>
      <w:pPr>
        <w:pStyle w:val="5"/>
        <w:rPr>
          <w:sz w:val="28"/>
          <w:szCs w:val="28"/>
        </w:rPr>
      </w:pPr>
      <w:bookmarkStart w:id="160" w:name="_Toc19739"/>
      <w:bookmarkStart w:id="161" w:name="_Toc804"/>
      <w:bookmarkStart w:id="162" w:name="_Toc449348757"/>
      <w:bookmarkStart w:id="163" w:name="OLE_LINK64"/>
      <w:r>
        <w:rPr>
          <w:rFonts w:hint="eastAsia"/>
          <w:sz w:val="28"/>
          <w:szCs w:val="28"/>
        </w:rPr>
        <w:t>3.6.1 电气设备</w:t>
      </w:r>
      <w:bookmarkEnd w:id="160"/>
      <w:bookmarkEnd w:id="161"/>
      <w:bookmarkEnd w:id="162"/>
    </w:p>
    <w:p>
      <w:pPr>
        <w:numPr>
          <w:ilvl w:val="0"/>
          <w:numId w:val="8"/>
        </w:numPr>
        <w:rPr>
          <w:sz w:val="28"/>
          <w:szCs w:val="28"/>
        </w:rPr>
      </w:pPr>
      <w:r>
        <w:rPr>
          <w:sz w:val="28"/>
          <w:szCs w:val="28"/>
        </w:rPr>
        <w:t>站内爆炸危险区域内的灯具和控制开关</w:t>
      </w:r>
      <w:r>
        <w:rPr>
          <w:rFonts w:hint="eastAsia"/>
          <w:sz w:val="28"/>
          <w:szCs w:val="28"/>
        </w:rPr>
        <w:t>及电气设备</w:t>
      </w:r>
      <w:r>
        <w:rPr>
          <w:sz w:val="28"/>
          <w:szCs w:val="28"/>
        </w:rPr>
        <w:t>防爆性能失效，遇油品泄漏时，可能引起触电和火灾爆炸事故。</w:t>
      </w:r>
    </w:p>
    <w:p>
      <w:pPr>
        <w:numPr>
          <w:ilvl w:val="0"/>
          <w:numId w:val="8"/>
        </w:numPr>
        <w:rPr>
          <w:sz w:val="28"/>
          <w:szCs w:val="28"/>
        </w:rPr>
      </w:pPr>
      <w:r>
        <w:rPr>
          <w:sz w:val="28"/>
          <w:szCs w:val="28"/>
        </w:rPr>
        <w:t>站内配电室、电气开关或电气连接点，由于电气设施故障或损坏使电气导体外露，以及人员误操作、电气短路、超负荷运行、雷击、静电等都易引发电气事故，造成人员触电伤害。</w:t>
      </w:r>
      <w:r>
        <w:rPr>
          <w:rFonts w:hint="eastAsia"/>
          <w:sz w:val="28"/>
          <w:szCs w:val="28"/>
        </w:rPr>
        <w:t>若</w:t>
      </w:r>
      <w:r>
        <w:rPr>
          <w:sz w:val="28"/>
          <w:szCs w:val="28"/>
        </w:rPr>
        <w:t>未采取电涌保护措施，发生电涌时，容易损坏电气设施，并引起电气事故。</w:t>
      </w:r>
    </w:p>
    <w:p>
      <w:pPr>
        <w:numPr>
          <w:ilvl w:val="0"/>
          <w:numId w:val="8"/>
        </w:numPr>
        <w:rPr>
          <w:sz w:val="28"/>
          <w:szCs w:val="28"/>
        </w:rPr>
      </w:pPr>
      <w:r>
        <w:rPr>
          <w:sz w:val="28"/>
          <w:szCs w:val="28"/>
        </w:rPr>
        <w:t>加油作业场所的避雷设施失效，一旦遭遇雷击，有引起火灾、爆炸的危险。</w:t>
      </w:r>
    </w:p>
    <w:p>
      <w:pPr>
        <w:pStyle w:val="13"/>
        <w:numPr>
          <w:ilvl w:val="0"/>
          <w:numId w:val="8"/>
        </w:numPr>
        <w:rPr>
          <w:sz w:val="28"/>
          <w:szCs w:val="28"/>
        </w:rPr>
      </w:pPr>
      <w:r>
        <w:rPr>
          <w:sz w:val="28"/>
          <w:szCs w:val="28"/>
        </w:rPr>
        <w:t>未设置备用电源、事故照明设施等，一旦站内发生停电或其他事故时，不能及时处理，造成事故扩大。</w:t>
      </w:r>
    </w:p>
    <w:p>
      <w:pPr>
        <w:numPr>
          <w:ilvl w:val="0"/>
          <w:numId w:val="8"/>
        </w:numPr>
        <w:rPr>
          <w:sz w:val="28"/>
          <w:szCs w:val="28"/>
        </w:rPr>
      </w:pPr>
      <w:r>
        <w:rPr>
          <w:rFonts w:hint="eastAsia"/>
          <w:sz w:val="28"/>
          <w:szCs w:val="28"/>
        </w:rPr>
        <w:t>若避雷装置失效，</w:t>
      </w:r>
      <w:r>
        <w:rPr>
          <w:sz w:val="28"/>
          <w:szCs w:val="28"/>
        </w:rPr>
        <w:t>雷电或雷电感应直接击中站内设备、管线，产生放电火花, 可能点燃油气与空气的混合气体，导致火灾、爆炸事故。</w:t>
      </w:r>
    </w:p>
    <w:p>
      <w:pPr>
        <w:pStyle w:val="5"/>
        <w:rPr>
          <w:sz w:val="28"/>
          <w:szCs w:val="28"/>
        </w:rPr>
      </w:pPr>
      <w:bookmarkStart w:id="164" w:name="_Toc15360"/>
      <w:bookmarkStart w:id="165" w:name="_Toc449348758"/>
      <w:bookmarkStart w:id="166" w:name="_Toc27507"/>
      <w:r>
        <w:rPr>
          <w:rFonts w:hint="eastAsia"/>
          <w:sz w:val="28"/>
          <w:szCs w:val="28"/>
        </w:rPr>
        <w:t>3.6.2 消防设施</w:t>
      </w:r>
      <w:bookmarkEnd w:id="164"/>
      <w:bookmarkEnd w:id="165"/>
      <w:bookmarkEnd w:id="166"/>
    </w:p>
    <w:p>
      <w:pPr>
        <w:numPr>
          <w:ilvl w:val="0"/>
          <w:numId w:val="9"/>
        </w:numPr>
        <w:rPr>
          <w:sz w:val="28"/>
          <w:szCs w:val="28"/>
        </w:rPr>
      </w:pPr>
      <w:r>
        <w:rPr>
          <w:sz w:val="28"/>
          <w:szCs w:val="28"/>
        </w:rPr>
        <w:t>灭火器材配备不足或失效、或未放置在明显且便于取用的地点，当站内发生危险事故时，因不能及时进行扑救，容易扩大事故。</w:t>
      </w:r>
    </w:p>
    <w:p>
      <w:pPr>
        <w:numPr>
          <w:ilvl w:val="0"/>
          <w:numId w:val="9"/>
        </w:numPr>
        <w:rPr>
          <w:sz w:val="28"/>
          <w:szCs w:val="28"/>
        </w:rPr>
      </w:pPr>
      <w:r>
        <w:rPr>
          <w:sz w:val="28"/>
          <w:szCs w:val="28"/>
        </w:rPr>
        <w:t>消防设施、器材如日常维护不当或缺乏维护，遇事故时可能失去应有功效，影响事故救援或扩大事故后果。</w:t>
      </w:r>
    </w:p>
    <w:p>
      <w:pPr>
        <w:pStyle w:val="13"/>
        <w:numPr>
          <w:ilvl w:val="0"/>
          <w:numId w:val="9"/>
        </w:numPr>
        <w:rPr>
          <w:sz w:val="28"/>
          <w:szCs w:val="28"/>
        </w:rPr>
      </w:pPr>
      <w:r>
        <w:rPr>
          <w:rFonts w:hint="eastAsia"/>
          <w:sz w:val="28"/>
          <w:szCs w:val="28"/>
        </w:rPr>
        <w:t>从业人员不能正确使用消防器材，可能导致事故后果扩大。</w:t>
      </w:r>
    </w:p>
    <w:bookmarkEnd w:id="163"/>
    <w:p>
      <w:pPr>
        <w:pStyle w:val="4"/>
        <w:rPr>
          <w:szCs w:val="28"/>
        </w:rPr>
      </w:pPr>
      <w:bookmarkStart w:id="167" w:name="_Toc13216"/>
      <w:bookmarkStart w:id="168" w:name="_Toc296007134"/>
      <w:bookmarkStart w:id="169" w:name="_Toc29943"/>
      <w:bookmarkStart w:id="170" w:name="_Toc449348759"/>
      <w:bookmarkStart w:id="171" w:name="_Toc16714"/>
      <w:bookmarkStart w:id="172" w:name="_Toc31489"/>
      <w:r>
        <w:rPr>
          <w:rFonts w:hint="eastAsia"/>
          <w:szCs w:val="28"/>
        </w:rPr>
        <w:t>3.7 维护清理、检修过程中的</w:t>
      </w:r>
      <w:bookmarkEnd w:id="167"/>
      <w:bookmarkEnd w:id="168"/>
      <w:r>
        <w:rPr>
          <w:rFonts w:hint="eastAsia"/>
          <w:szCs w:val="28"/>
        </w:rPr>
        <w:t>危险有害因素分析</w:t>
      </w:r>
      <w:bookmarkEnd w:id="169"/>
      <w:bookmarkEnd w:id="170"/>
      <w:bookmarkEnd w:id="171"/>
      <w:bookmarkEnd w:id="172"/>
    </w:p>
    <w:p>
      <w:pPr>
        <w:pStyle w:val="5"/>
        <w:rPr>
          <w:sz w:val="28"/>
          <w:szCs w:val="28"/>
        </w:rPr>
      </w:pPr>
      <w:bookmarkStart w:id="173" w:name="_Toc449348760"/>
      <w:bookmarkStart w:id="174" w:name="_Toc21455"/>
      <w:bookmarkStart w:id="175" w:name="_Toc10581"/>
      <w:r>
        <w:rPr>
          <w:rFonts w:hint="eastAsia"/>
          <w:sz w:val="28"/>
          <w:szCs w:val="28"/>
        </w:rPr>
        <w:t>3.7.1 设备维护清理作业</w:t>
      </w:r>
      <w:bookmarkEnd w:id="173"/>
      <w:bookmarkEnd w:id="174"/>
      <w:bookmarkEnd w:id="175"/>
    </w:p>
    <w:p>
      <w:pPr>
        <w:numPr>
          <w:ilvl w:val="0"/>
          <w:numId w:val="10"/>
        </w:numPr>
        <w:rPr>
          <w:sz w:val="28"/>
          <w:szCs w:val="28"/>
        </w:rPr>
      </w:pPr>
      <w:r>
        <w:rPr>
          <w:sz w:val="28"/>
          <w:szCs w:val="28"/>
        </w:rPr>
        <w:t>设备设施维护作业带有一定的危险性。在作业时，不坚持在无明火、无油品或无油气的条件下作业，或不按作业规程作业，产生的各种火花、明火极有可能引起油品燃烧或混合性爆炸气体的回燃、爆炸。</w:t>
      </w:r>
    </w:p>
    <w:p>
      <w:pPr>
        <w:numPr>
          <w:ilvl w:val="0"/>
          <w:numId w:val="10"/>
        </w:numPr>
        <w:rPr>
          <w:sz w:val="28"/>
          <w:szCs w:val="28"/>
        </w:rPr>
      </w:pPr>
      <w:r>
        <w:rPr>
          <w:sz w:val="28"/>
          <w:szCs w:val="28"/>
        </w:rPr>
        <w:t>油罐清洗作业时，由于罐内油气和沉淀物清除不彻底，残余油气遇静电、摩擦、电火花等点火源，可能导致火灾、爆炸事故；此外，清罐作业废水若不采取集中收集处理，随意倾倒也有可能引发火灾事故。</w:t>
      </w:r>
    </w:p>
    <w:p>
      <w:pPr>
        <w:numPr>
          <w:ilvl w:val="0"/>
          <w:numId w:val="10"/>
        </w:numPr>
        <w:rPr>
          <w:sz w:val="28"/>
          <w:szCs w:val="28"/>
        </w:rPr>
      </w:pPr>
      <w:r>
        <w:rPr>
          <w:sz w:val="28"/>
          <w:szCs w:val="28"/>
        </w:rPr>
        <w:t>油罐清洗作业时</w:t>
      </w:r>
      <w:r>
        <w:rPr>
          <w:rFonts w:hint="eastAsia"/>
          <w:sz w:val="28"/>
          <w:szCs w:val="28"/>
        </w:rPr>
        <w:t>，未按《工贸企业有限空间作业安全管理与监督暂行规定》（原国家安监</w:t>
      </w:r>
      <w:r>
        <w:rPr>
          <w:sz w:val="28"/>
          <w:szCs w:val="28"/>
        </w:rPr>
        <w:t>总局令</w:t>
      </w:r>
      <w:r>
        <w:rPr>
          <w:rFonts w:hint="eastAsia"/>
          <w:sz w:val="28"/>
          <w:szCs w:val="28"/>
        </w:rPr>
        <w:t>[2013]</w:t>
      </w:r>
      <w:r>
        <w:rPr>
          <w:sz w:val="28"/>
          <w:szCs w:val="28"/>
        </w:rPr>
        <w:t>第</w:t>
      </w:r>
      <w:r>
        <w:rPr>
          <w:rFonts w:hint="eastAsia"/>
          <w:sz w:val="28"/>
          <w:szCs w:val="28"/>
        </w:rPr>
        <w:t>59</w:t>
      </w:r>
      <w:r>
        <w:rPr>
          <w:sz w:val="28"/>
          <w:szCs w:val="28"/>
        </w:rPr>
        <w:t>号</w:t>
      </w:r>
      <w:r>
        <w:rPr>
          <w:rFonts w:hint="eastAsia"/>
          <w:sz w:val="28"/>
          <w:szCs w:val="28"/>
        </w:rPr>
        <w:t>，根据原国家安监</w:t>
      </w:r>
      <w:r>
        <w:rPr>
          <w:sz w:val="28"/>
          <w:szCs w:val="28"/>
        </w:rPr>
        <w:t>总局令</w:t>
      </w:r>
      <w:r>
        <w:rPr>
          <w:rFonts w:hint="eastAsia"/>
          <w:sz w:val="28"/>
          <w:szCs w:val="28"/>
        </w:rPr>
        <w:t>[2015]第80号修订）进行操作可能造成人员中毒窒息。</w:t>
      </w:r>
    </w:p>
    <w:p>
      <w:pPr>
        <w:pStyle w:val="5"/>
        <w:rPr>
          <w:sz w:val="28"/>
          <w:szCs w:val="28"/>
        </w:rPr>
      </w:pPr>
      <w:bookmarkStart w:id="176" w:name="_Toc449348761"/>
      <w:bookmarkStart w:id="177" w:name="_Toc2565"/>
      <w:bookmarkStart w:id="178" w:name="_Toc9227"/>
      <w:r>
        <w:rPr>
          <w:rFonts w:hint="eastAsia"/>
          <w:sz w:val="28"/>
          <w:szCs w:val="28"/>
        </w:rPr>
        <w:t>3.7.2 检修</w:t>
      </w:r>
      <w:bookmarkEnd w:id="176"/>
      <w:bookmarkEnd w:id="177"/>
      <w:r>
        <w:rPr>
          <w:rFonts w:hint="eastAsia"/>
          <w:sz w:val="28"/>
          <w:szCs w:val="28"/>
        </w:rPr>
        <w:t>作业</w:t>
      </w:r>
      <w:bookmarkEnd w:id="178"/>
    </w:p>
    <w:p>
      <w:pPr>
        <w:numPr>
          <w:ilvl w:val="0"/>
          <w:numId w:val="11"/>
        </w:numPr>
        <w:rPr>
          <w:sz w:val="28"/>
          <w:szCs w:val="28"/>
        </w:rPr>
      </w:pPr>
      <w:r>
        <w:rPr>
          <w:sz w:val="28"/>
          <w:szCs w:val="28"/>
        </w:rPr>
        <w:t>若在检修作业时未制定严格的储油、加油等装置的各项安全操作规程和安全措施，储油和加油装置周围存在点火源，导致发生火灾爆炸事故。</w:t>
      </w:r>
    </w:p>
    <w:p>
      <w:pPr>
        <w:numPr>
          <w:ilvl w:val="0"/>
          <w:numId w:val="11"/>
        </w:numPr>
        <w:rPr>
          <w:sz w:val="28"/>
          <w:szCs w:val="28"/>
        </w:rPr>
      </w:pPr>
      <w:bookmarkStart w:id="179" w:name="OLE_LINK67"/>
      <w:r>
        <w:rPr>
          <w:sz w:val="28"/>
          <w:szCs w:val="28"/>
        </w:rPr>
        <w:t>在停工检修现场和油罐清理等，未严格按规定进行停工后油罐置换、吹扫与清洗等作业或作业工作完成不完全彻底，或未切断待检设备的电源，安全交接工作未交接清楚明白，易导致发生</w:t>
      </w:r>
      <w:r>
        <w:rPr>
          <w:rFonts w:hint="eastAsia"/>
          <w:sz w:val="28"/>
          <w:szCs w:val="28"/>
        </w:rPr>
        <w:t>火灾爆炸、</w:t>
      </w:r>
      <w:r>
        <w:rPr>
          <w:sz w:val="28"/>
          <w:szCs w:val="28"/>
        </w:rPr>
        <w:t>人员中毒或触电事故。</w:t>
      </w:r>
    </w:p>
    <w:bookmarkEnd w:id="179"/>
    <w:p>
      <w:pPr>
        <w:numPr>
          <w:ilvl w:val="0"/>
          <w:numId w:val="11"/>
        </w:numPr>
        <w:rPr>
          <w:sz w:val="28"/>
          <w:szCs w:val="28"/>
        </w:rPr>
      </w:pPr>
      <w:r>
        <w:rPr>
          <w:sz w:val="28"/>
          <w:szCs w:val="28"/>
        </w:rPr>
        <w:t>检修设备内作业时未按规定办理“设备内安全作业证”，并严格履行审批手续，未使用安全电压，可能由于电气火花发生火灾爆炸事故或触电事故；或未严格落实专人监护，罐未清洗、置换、吹扫并检测合格，</w:t>
      </w:r>
      <w:r>
        <w:rPr>
          <w:rFonts w:hint="eastAsia"/>
          <w:sz w:val="28"/>
          <w:szCs w:val="28"/>
        </w:rPr>
        <w:t>违规</w:t>
      </w:r>
      <w:r>
        <w:rPr>
          <w:sz w:val="28"/>
          <w:szCs w:val="28"/>
        </w:rPr>
        <w:t>动火作业可能发生火灾爆炸事故；罐内作业未进行氧含量分析或通风不良、未严格落实专人监护、个体防护、应急救护措施可能发生人员中毒与窒息事故。</w:t>
      </w:r>
    </w:p>
    <w:p>
      <w:pPr>
        <w:numPr>
          <w:ilvl w:val="0"/>
          <w:numId w:val="11"/>
        </w:numPr>
        <w:rPr>
          <w:sz w:val="28"/>
          <w:szCs w:val="28"/>
        </w:rPr>
      </w:pPr>
      <w:r>
        <w:rPr>
          <w:sz w:val="28"/>
          <w:szCs w:val="28"/>
        </w:rPr>
        <w:t>在设备进行焊接或气割等检修工作时，未设置专人对作业现场监督检查，未重点检查罐内和周边环境的通风是否良好、检修地点周边是否有危险源、经营场地是否保持安全距离、设备是否接地良好、氧气和乙炔气瓶是否有专人控制、工作间歇时焊枪是否从罐内移出，焊枪和气瓶是否渗漏等现象，均导致发生火灾爆炸、人员中毒窒息事故。</w:t>
      </w:r>
    </w:p>
    <w:p>
      <w:pPr>
        <w:numPr>
          <w:ilvl w:val="0"/>
          <w:numId w:val="11"/>
        </w:numPr>
        <w:rPr>
          <w:sz w:val="28"/>
          <w:szCs w:val="28"/>
        </w:rPr>
      </w:pPr>
      <w:r>
        <w:rPr>
          <w:sz w:val="28"/>
          <w:szCs w:val="28"/>
        </w:rPr>
        <w:t>在检修作业现场若检修工具放于高处掉下、或其他高处物体放置不牢跌落等均可能造成物体打击。</w:t>
      </w:r>
    </w:p>
    <w:p>
      <w:pPr>
        <w:numPr>
          <w:ilvl w:val="0"/>
          <w:numId w:val="11"/>
        </w:numPr>
        <w:rPr>
          <w:sz w:val="28"/>
          <w:szCs w:val="28"/>
        </w:rPr>
      </w:pPr>
      <w:r>
        <w:rPr>
          <w:sz w:val="28"/>
          <w:szCs w:val="28"/>
        </w:rPr>
        <w:t>在加油站内建筑物、高处设备和操作平台进行检修作业中，若未按要求设置安全防护设施或安全防护设施因腐蚀等原因而不可靠，人员未按高</w:t>
      </w:r>
      <w:r>
        <w:rPr>
          <w:rFonts w:hint="eastAsia"/>
          <w:sz w:val="28"/>
          <w:szCs w:val="28"/>
        </w:rPr>
        <w:t>处</w:t>
      </w:r>
      <w:r>
        <w:rPr>
          <w:sz w:val="28"/>
          <w:szCs w:val="28"/>
        </w:rPr>
        <w:t>作业要求穿戴防护用品，操作处置失误等，易发生高处坠落；</w:t>
      </w:r>
    </w:p>
    <w:p>
      <w:pPr>
        <w:numPr>
          <w:ilvl w:val="0"/>
          <w:numId w:val="11"/>
        </w:numPr>
        <w:rPr>
          <w:sz w:val="28"/>
          <w:szCs w:val="28"/>
        </w:rPr>
      </w:pPr>
      <w:r>
        <w:rPr>
          <w:sz w:val="28"/>
          <w:szCs w:val="28"/>
        </w:rPr>
        <w:t>安装、检修设备、管道时，或操作检修机械设备等运转设备时，安全措施不完善，劳动保护不到位等，易发生机械伤害事故；</w:t>
      </w:r>
    </w:p>
    <w:p>
      <w:pPr>
        <w:numPr>
          <w:ilvl w:val="0"/>
          <w:numId w:val="11"/>
        </w:numPr>
        <w:rPr>
          <w:sz w:val="28"/>
          <w:szCs w:val="28"/>
        </w:rPr>
      </w:pPr>
      <w:r>
        <w:rPr>
          <w:sz w:val="28"/>
          <w:szCs w:val="28"/>
        </w:rPr>
        <w:t>在对电器设备维护检修时，由于电器设备或电气线路漏电，或检修时在开关上未悬挂“正在检修，禁止合闸”警示标志，或使用电器设备时未配电绝缘手套等防护用品，使用移动电器设备未设置漏电保护开关，或违规操作等现象，可造成人员触电；</w:t>
      </w:r>
    </w:p>
    <w:p>
      <w:pPr>
        <w:numPr>
          <w:ilvl w:val="0"/>
          <w:numId w:val="11"/>
        </w:numPr>
        <w:rPr>
          <w:sz w:val="28"/>
          <w:szCs w:val="28"/>
        </w:rPr>
      </w:pPr>
      <w:r>
        <w:rPr>
          <w:sz w:val="28"/>
          <w:szCs w:val="28"/>
        </w:rPr>
        <w:t>检修过程中使用电焊、气焊操作中，由于焊接产生的电弧及焊接后工件表面具有较高的温度，一旦因人员操作不当或未佩戴防护用品或佩戴不合格的防护用品，可能对工作人员带来非电离辐射伤害、灼烫伤害。</w:t>
      </w:r>
    </w:p>
    <w:p>
      <w:pPr>
        <w:pStyle w:val="4"/>
        <w:rPr>
          <w:szCs w:val="28"/>
        </w:rPr>
      </w:pPr>
      <w:bookmarkStart w:id="180" w:name="_Toc296007137"/>
      <w:bookmarkStart w:id="181" w:name="_Toc14189"/>
      <w:bookmarkStart w:id="182" w:name="_Toc449348762"/>
      <w:bookmarkStart w:id="183" w:name="_Toc24408"/>
      <w:bookmarkStart w:id="184" w:name="_Toc28362"/>
      <w:bookmarkStart w:id="185" w:name="_Toc3268"/>
      <w:r>
        <w:rPr>
          <w:rFonts w:hint="eastAsia"/>
          <w:szCs w:val="28"/>
        </w:rPr>
        <w:t>3.8 安全管理</w:t>
      </w:r>
      <w:bookmarkEnd w:id="180"/>
      <w:bookmarkEnd w:id="181"/>
      <w:r>
        <w:rPr>
          <w:rFonts w:hint="eastAsia"/>
          <w:szCs w:val="28"/>
        </w:rPr>
        <w:t>中存在的危险有害因素分析</w:t>
      </w:r>
      <w:bookmarkEnd w:id="182"/>
      <w:bookmarkEnd w:id="183"/>
      <w:bookmarkEnd w:id="184"/>
      <w:bookmarkEnd w:id="185"/>
    </w:p>
    <w:p>
      <w:pPr>
        <w:numPr>
          <w:ilvl w:val="0"/>
          <w:numId w:val="12"/>
        </w:numPr>
        <w:ind w:firstLine="560" w:firstLineChars="200"/>
        <w:rPr>
          <w:sz w:val="28"/>
          <w:szCs w:val="28"/>
        </w:rPr>
      </w:pPr>
      <w:r>
        <w:rPr>
          <w:rFonts w:hint="eastAsia"/>
          <w:sz w:val="28"/>
          <w:szCs w:val="28"/>
        </w:rPr>
        <w:t>加油站</w:t>
      </w:r>
      <w:r>
        <w:rPr>
          <w:sz w:val="28"/>
          <w:szCs w:val="28"/>
        </w:rPr>
        <w:t>安全管理机构不健全、安全规章制度和安全操作规程不完善或执行不力、人员违章和失误、缺乏事故应急处理机制、应急救护及装备不到位等往往是导致各类安全事故发生的最直接的原因。</w:t>
      </w:r>
    </w:p>
    <w:p>
      <w:pPr>
        <w:numPr>
          <w:ilvl w:val="0"/>
          <w:numId w:val="12"/>
        </w:numPr>
        <w:ind w:firstLine="560" w:firstLineChars="200"/>
        <w:rPr>
          <w:sz w:val="28"/>
          <w:szCs w:val="28"/>
        </w:rPr>
      </w:pPr>
      <w:r>
        <w:rPr>
          <w:sz w:val="28"/>
          <w:szCs w:val="28"/>
        </w:rPr>
        <w:t>安全管理组织机构不健全，不能有效地控制和监督经营储存过程的安全进行，避免和减少各类事故发生，且一旦发生事故，缺少有组织、有纪律的应急救援，导致事故扩大，增加财产损失和人员伤亡。</w:t>
      </w:r>
    </w:p>
    <w:p>
      <w:pPr>
        <w:numPr>
          <w:ilvl w:val="0"/>
          <w:numId w:val="12"/>
        </w:numPr>
        <w:ind w:firstLine="560" w:firstLineChars="200"/>
        <w:rPr>
          <w:sz w:val="28"/>
          <w:szCs w:val="28"/>
        </w:rPr>
      </w:pPr>
      <w:r>
        <w:rPr>
          <w:sz w:val="28"/>
          <w:szCs w:val="28"/>
        </w:rPr>
        <w:t>安全责任制不健全或不落实，人员职责不明确，不能做到预防为主，严格管理，一旦事故发生后，不能有效实施事故责任追究制，存在潜在的安全隐患。</w:t>
      </w:r>
    </w:p>
    <w:p>
      <w:pPr>
        <w:numPr>
          <w:ilvl w:val="0"/>
          <w:numId w:val="12"/>
        </w:numPr>
        <w:ind w:firstLine="560" w:firstLineChars="200"/>
        <w:rPr>
          <w:sz w:val="28"/>
          <w:szCs w:val="28"/>
        </w:rPr>
      </w:pPr>
      <w:r>
        <w:rPr>
          <w:rFonts w:hint="eastAsia"/>
          <w:sz w:val="28"/>
          <w:szCs w:val="28"/>
        </w:rPr>
        <w:t>安全</w:t>
      </w:r>
      <w:r>
        <w:rPr>
          <w:sz w:val="28"/>
          <w:szCs w:val="28"/>
        </w:rPr>
        <w:t>负责人和安全生产管理人员未</w:t>
      </w:r>
      <w:r>
        <w:rPr>
          <w:rFonts w:hint="eastAsia"/>
          <w:sz w:val="28"/>
          <w:szCs w:val="28"/>
        </w:rPr>
        <w:t>定期进行继续安全教育培训</w:t>
      </w:r>
      <w:r>
        <w:rPr>
          <w:sz w:val="28"/>
          <w:szCs w:val="28"/>
        </w:rPr>
        <w:t>，不具备进行安全管理的能力，造成</w:t>
      </w:r>
      <w:r>
        <w:rPr>
          <w:rFonts w:hint="eastAsia"/>
          <w:sz w:val="28"/>
          <w:szCs w:val="28"/>
        </w:rPr>
        <w:t>经营</w:t>
      </w:r>
      <w:r>
        <w:rPr>
          <w:sz w:val="28"/>
          <w:szCs w:val="28"/>
        </w:rPr>
        <w:t>过程中安全管理混乱，从而酿成各类事故发生。</w:t>
      </w:r>
    </w:p>
    <w:p>
      <w:pPr>
        <w:numPr>
          <w:ilvl w:val="0"/>
          <w:numId w:val="12"/>
        </w:numPr>
        <w:ind w:firstLine="560" w:firstLineChars="200"/>
        <w:rPr>
          <w:sz w:val="28"/>
          <w:szCs w:val="28"/>
        </w:rPr>
      </w:pPr>
      <w:r>
        <w:rPr>
          <w:sz w:val="28"/>
          <w:szCs w:val="28"/>
        </w:rPr>
        <w:t>未制定严格、完善的安全管理规章制度和岗位操作规程，致使员工在</w:t>
      </w:r>
      <w:r>
        <w:rPr>
          <w:rFonts w:hint="eastAsia"/>
          <w:sz w:val="28"/>
          <w:szCs w:val="28"/>
        </w:rPr>
        <w:t>经营</w:t>
      </w:r>
      <w:r>
        <w:rPr>
          <w:sz w:val="28"/>
          <w:szCs w:val="28"/>
        </w:rPr>
        <w:t>过程中无规可依、无章可循，导致违章操作、违章指挥、违反劳动纪律等现象发生。</w:t>
      </w:r>
    </w:p>
    <w:p>
      <w:pPr>
        <w:numPr>
          <w:ilvl w:val="0"/>
          <w:numId w:val="12"/>
        </w:numPr>
        <w:ind w:firstLine="560" w:firstLineChars="200"/>
        <w:rPr>
          <w:sz w:val="28"/>
          <w:szCs w:val="28"/>
        </w:rPr>
      </w:pPr>
      <w:r>
        <w:rPr>
          <w:sz w:val="28"/>
          <w:szCs w:val="28"/>
        </w:rPr>
        <w:t>作业人员</w:t>
      </w:r>
      <w:r>
        <w:rPr>
          <w:rFonts w:hint="eastAsia"/>
          <w:sz w:val="28"/>
          <w:szCs w:val="28"/>
        </w:rPr>
        <w:t>未</w:t>
      </w:r>
      <w:r>
        <w:rPr>
          <w:sz w:val="28"/>
          <w:szCs w:val="28"/>
        </w:rPr>
        <w:t>进行</w:t>
      </w:r>
      <w:r>
        <w:rPr>
          <w:rFonts w:hint="eastAsia"/>
          <w:sz w:val="28"/>
          <w:szCs w:val="28"/>
        </w:rPr>
        <w:t>专业</w:t>
      </w:r>
      <w:r>
        <w:rPr>
          <w:sz w:val="28"/>
          <w:szCs w:val="28"/>
        </w:rPr>
        <w:t>培训或培训</w:t>
      </w:r>
      <w:r>
        <w:rPr>
          <w:rFonts w:hint="eastAsia"/>
          <w:sz w:val="28"/>
          <w:szCs w:val="28"/>
        </w:rPr>
        <w:t>考核</w:t>
      </w:r>
      <w:r>
        <w:rPr>
          <w:sz w:val="28"/>
          <w:szCs w:val="28"/>
        </w:rPr>
        <w:t>不合格就上岗，不熟悉有关的安全经营规章制度和掌握本岗位的安全操作规程，专业技术、技能差，导致操作失误，引发安全事故。</w:t>
      </w:r>
    </w:p>
    <w:p>
      <w:pPr>
        <w:numPr>
          <w:ilvl w:val="0"/>
          <w:numId w:val="12"/>
        </w:numPr>
        <w:ind w:firstLine="560" w:firstLineChars="200"/>
        <w:rPr>
          <w:sz w:val="28"/>
          <w:szCs w:val="28"/>
        </w:rPr>
      </w:pPr>
      <w:r>
        <w:rPr>
          <w:sz w:val="28"/>
          <w:szCs w:val="28"/>
        </w:rPr>
        <w:t>作业人员未进行日常安全知识培训和应急教育，在紧急情况下不能采取正确的应急方法，事故发生</w:t>
      </w:r>
      <w:r>
        <w:rPr>
          <w:rFonts w:hint="eastAsia"/>
          <w:sz w:val="28"/>
          <w:szCs w:val="28"/>
        </w:rPr>
        <w:t>初期</w:t>
      </w:r>
      <w:r>
        <w:rPr>
          <w:sz w:val="28"/>
          <w:szCs w:val="28"/>
        </w:rPr>
        <w:t>自救、互救能力低。</w:t>
      </w:r>
    </w:p>
    <w:p>
      <w:pPr>
        <w:numPr>
          <w:ilvl w:val="0"/>
          <w:numId w:val="12"/>
        </w:numPr>
        <w:ind w:firstLine="560" w:firstLineChars="200"/>
        <w:rPr>
          <w:sz w:val="28"/>
          <w:szCs w:val="28"/>
        </w:rPr>
      </w:pPr>
      <w:r>
        <w:rPr>
          <w:sz w:val="28"/>
          <w:szCs w:val="28"/>
        </w:rPr>
        <w:t>作业人员素质低、安全意识差，工作过程中出现思想麻痹、粗心大意、疲劳作业、醉酒上岗等现象，</w:t>
      </w:r>
      <w:r>
        <w:rPr>
          <w:rFonts w:hint="eastAsia"/>
          <w:sz w:val="28"/>
          <w:szCs w:val="28"/>
        </w:rPr>
        <w:t>减少人的不安全行为</w:t>
      </w:r>
      <w:r>
        <w:rPr>
          <w:sz w:val="28"/>
          <w:szCs w:val="28"/>
        </w:rPr>
        <w:t>、改善安全环境带来了极大的困难，存在事故隐患。</w:t>
      </w:r>
    </w:p>
    <w:p>
      <w:pPr>
        <w:numPr>
          <w:ilvl w:val="0"/>
          <w:numId w:val="12"/>
        </w:numPr>
        <w:ind w:firstLine="560" w:firstLineChars="200"/>
        <w:rPr>
          <w:sz w:val="28"/>
          <w:szCs w:val="28"/>
        </w:rPr>
      </w:pPr>
      <w:r>
        <w:rPr>
          <w:sz w:val="28"/>
          <w:szCs w:val="28"/>
        </w:rPr>
        <w:t>未制定完善重大事故应急救援预案和进行事故演练，发生紧急情况时不能做出快速反应，不能按照预先布置及时投入救援，消除和降低事故影响，导致事故蔓延、扩大，从而造成更大的损失和后果。</w:t>
      </w:r>
    </w:p>
    <w:p>
      <w:pPr>
        <w:pStyle w:val="4"/>
        <w:rPr>
          <w:szCs w:val="28"/>
        </w:rPr>
      </w:pPr>
      <w:bookmarkStart w:id="186" w:name="_Toc296007139"/>
      <w:bookmarkStart w:id="187" w:name="_Toc12776"/>
      <w:bookmarkStart w:id="188" w:name="_Toc449348763"/>
      <w:bookmarkStart w:id="189" w:name="_Toc26350"/>
      <w:bookmarkStart w:id="190" w:name="_Toc23819"/>
      <w:bookmarkStart w:id="191" w:name="_Toc19001"/>
      <w:r>
        <w:rPr>
          <w:rFonts w:hint="eastAsia"/>
          <w:szCs w:val="28"/>
        </w:rPr>
        <w:t>3.9 其它</w:t>
      </w:r>
      <w:bookmarkEnd w:id="186"/>
      <w:bookmarkEnd w:id="187"/>
      <w:r>
        <w:rPr>
          <w:rFonts w:hint="eastAsia"/>
          <w:szCs w:val="28"/>
        </w:rPr>
        <w:t>危险有害因素分析</w:t>
      </w:r>
      <w:bookmarkEnd w:id="188"/>
      <w:bookmarkEnd w:id="189"/>
      <w:bookmarkEnd w:id="190"/>
      <w:bookmarkEnd w:id="191"/>
    </w:p>
    <w:p>
      <w:pPr>
        <w:ind w:firstLine="560" w:firstLineChars="200"/>
        <w:rPr>
          <w:sz w:val="28"/>
          <w:szCs w:val="28"/>
        </w:rPr>
      </w:pPr>
      <w:bookmarkStart w:id="192" w:name="OLE_LINK68"/>
      <w:r>
        <w:rPr>
          <w:rFonts w:hint="eastAsia"/>
          <w:sz w:val="28"/>
          <w:szCs w:val="28"/>
        </w:rPr>
        <w:t>1.</w:t>
      </w:r>
      <w:r>
        <w:rPr>
          <w:sz w:val="28"/>
          <w:szCs w:val="28"/>
        </w:rPr>
        <w:t>操作人员在工作中经常接触柴油，可能引起类神经症，头晕、头痛、失眠、记忆力减退、恶心、乏力、食欲不振等。</w:t>
      </w:r>
    </w:p>
    <w:p>
      <w:pPr>
        <w:ind w:firstLine="560" w:firstLineChars="200"/>
        <w:rPr>
          <w:sz w:val="28"/>
          <w:szCs w:val="28"/>
        </w:rPr>
      </w:pPr>
      <w:r>
        <w:rPr>
          <w:rFonts w:hint="eastAsia"/>
          <w:sz w:val="28"/>
          <w:szCs w:val="28"/>
        </w:rPr>
        <w:t>2.</w:t>
      </w:r>
      <w:r>
        <w:rPr>
          <w:sz w:val="28"/>
          <w:szCs w:val="28"/>
        </w:rPr>
        <w:t>站内的设备、部件或工具直接与人体接触可能引起夹击、碰撞等事故，在设备检修和清洗作业时，容易发生机械伤害事故。</w:t>
      </w:r>
    </w:p>
    <w:bookmarkEnd w:id="158"/>
    <w:bookmarkEnd w:id="159"/>
    <w:bookmarkEnd w:id="192"/>
    <w:p>
      <w:pPr>
        <w:pStyle w:val="4"/>
        <w:rPr>
          <w:szCs w:val="28"/>
        </w:rPr>
      </w:pPr>
      <w:bookmarkStart w:id="193" w:name="_Toc354416292"/>
      <w:bookmarkStart w:id="194" w:name="_Toc3768"/>
      <w:bookmarkStart w:id="195" w:name="_Toc25707"/>
      <w:r>
        <w:rPr>
          <w:szCs w:val="28"/>
        </w:rPr>
        <w:t>3.</w:t>
      </w:r>
      <w:r>
        <w:rPr>
          <w:rFonts w:hint="eastAsia"/>
          <w:szCs w:val="28"/>
        </w:rPr>
        <w:t>1</w:t>
      </w:r>
      <w:bookmarkEnd w:id="193"/>
      <w:r>
        <w:rPr>
          <w:rFonts w:hint="eastAsia"/>
          <w:szCs w:val="28"/>
        </w:rPr>
        <w:t>0 危险有害因素汇总</w:t>
      </w:r>
      <w:bookmarkEnd w:id="194"/>
      <w:bookmarkEnd w:id="195"/>
    </w:p>
    <w:p>
      <w:pPr>
        <w:ind w:firstLine="560" w:firstLineChars="200"/>
        <w:rPr>
          <w:sz w:val="28"/>
          <w:szCs w:val="28"/>
          <w:lang w:val="zh-CN"/>
        </w:rPr>
      </w:pPr>
      <w:r>
        <w:rPr>
          <w:sz w:val="28"/>
          <w:szCs w:val="28"/>
          <w:lang w:val="zh-CN"/>
        </w:rPr>
        <w:t>通过对该加油站的油品特性及作业过程和设备设施</w:t>
      </w:r>
      <w:r>
        <w:rPr>
          <w:rFonts w:hint="eastAsia"/>
          <w:sz w:val="28"/>
          <w:szCs w:val="28"/>
        </w:rPr>
        <w:t>检修</w:t>
      </w:r>
      <w:r>
        <w:rPr>
          <w:sz w:val="28"/>
          <w:szCs w:val="28"/>
          <w:lang w:val="zh-CN"/>
        </w:rPr>
        <w:t>等危险性的分析辨识，火灾、爆炸危险是加油站存在的最大事故隐患，其次还包括触电、物体打击、车辆伤害、高处坠落、坍塌、中毒、窒息和其他伤害等。</w:t>
      </w:r>
    </w:p>
    <w:p>
      <w:pPr>
        <w:ind w:firstLine="560" w:firstLineChars="200"/>
        <w:rPr>
          <w:lang w:val="zh-CN"/>
        </w:rPr>
      </w:pPr>
      <w:r>
        <w:rPr>
          <w:sz w:val="28"/>
          <w:szCs w:val="28"/>
          <w:lang w:val="zh-CN"/>
        </w:rPr>
        <w:t>本报告按照《企业职工伤亡事故类</w:t>
      </w:r>
      <w:r>
        <w:rPr>
          <w:rFonts w:hint="eastAsia"/>
          <w:sz w:val="28"/>
          <w:szCs w:val="28"/>
          <w:lang w:val="zh-CN"/>
        </w:rPr>
        <w:t>》（</w:t>
      </w:r>
      <w:r>
        <w:rPr>
          <w:sz w:val="28"/>
          <w:szCs w:val="28"/>
          <w:lang w:val="zh-CN"/>
        </w:rPr>
        <w:t>GB6441-86</w:t>
      </w:r>
      <w:r>
        <w:rPr>
          <w:rFonts w:hint="eastAsia"/>
          <w:sz w:val="28"/>
          <w:szCs w:val="28"/>
          <w:lang w:val="zh-CN"/>
        </w:rPr>
        <w:t>）</w:t>
      </w:r>
      <w:r>
        <w:rPr>
          <w:sz w:val="28"/>
          <w:szCs w:val="28"/>
          <w:lang w:val="zh-CN"/>
        </w:rPr>
        <w:t>对危险、有害因素的分类划分规定，将项目潜在的主要危险、有害因素及发生的主要原因和可能造成的事故后果汇总如下：</w:t>
      </w:r>
    </w:p>
    <w:p>
      <w:pPr>
        <w:pStyle w:val="12"/>
        <w:jc w:val="center"/>
        <w:rPr>
          <w:szCs w:val="21"/>
          <w:lang w:val="zh-CN"/>
        </w:rPr>
      </w:pPr>
      <w:r>
        <w:rPr>
          <w:rFonts w:hint="eastAsia"/>
          <w:szCs w:val="21"/>
          <w:lang w:val="zh-CN"/>
        </w:rPr>
        <w:t>表3.1</w:t>
      </w:r>
      <w:r>
        <w:rPr>
          <w:rFonts w:hint="eastAsia"/>
          <w:szCs w:val="21"/>
        </w:rPr>
        <w:t>0</w:t>
      </w:r>
      <w:r>
        <w:rPr>
          <w:rFonts w:hint="eastAsia"/>
          <w:szCs w:val="21"/>
          <w:lang w:val="zh-CN"/>
        </w:rPr>
        <w:t>主要危险、有害因素汇总表</w:t>
      </w:r>
    </w:p>
    <w:tbl>
      <w:tblPr>
        <w:tblStyle w:val="59"/>
        <w:tblW w:w="8115"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005"/>
        <w:gridCol w:w="442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 w:type="dxa"/>
            <w:vAlign w:val="center"/>
          </w:tcPr>
          <w:p>
            <w:pPr>
              <w:pStyle w:val="16"/>
              <w:rPr>
                <w:sz w:val="21"/>
                <w:szCs w:val="21"/>
              </w:rPr>
            </w:pPr>
            <w:r>
              <w:rPr>
                <w:rFonts w:hint="eastAsia"/>
                <w:sz w:val="21"/>
                <w:szCs w:val="21"/>
              </w:rPr>
              <w:t>序号</w:t>
            </w:r>
          </w:p>
        </w:tc>
        <w:tc>
          <w:tcPr>
            <w:tcW w:w="1005" w:type="dxa"/>
            <w:vAlign w:val="center"/>
          </w:tcPr>
          <w:p>
            <w:pPr>
              <w:pStyle w:val="16"/>
              <w:rPr>
                <w:sz w:val="21"/>
                <w:szCs w:val="21"/>
              </w:rPr>
            </w:pPr>
            <w:r>
              <w:rPr>
                <w:rFonts w:hint="eastAsia"/>
                <w:sz w:val="21"/>
                <w:szCs w:val="21"/>
              </w:rPr>
              <w:t>事故类别</w:t>
            </w:r>
          </w:p>
        </w:tc>
        <w:tc>
          <w:tcPr>
            <w:tcW w:w="4425" w:type="dxa"/>
            <w:vAlign w:val="center"/>
          </w:tcPr>
          <w:p>
            <w:pPr>
              <w:pStyle w:val="16"/>
              <w:rPr>
                <w:sz w:val="21"/>
                <w:szCs w:val="21"/>
              </w:rPr>
            </w:pPr>
            <w:r>
              <w:rPr>
                <w:rFonts w:hint="eastAsia"/>
                <w:sz w:val="21"/>
                <w:szCs w:val="21"/>
              </w:rPr>
              <w:t>主要原因</w:t>
            </w:r>
          </w:p>
        </w:tc>
        <w:tc>
          <w:tcPr>
            <w:tcW w:w="2310" w:type="dxa"/>
            <w:vAlign w:val="center"/>
          </w:tcPr>
          <w:p>
            <w:pPr>
              <w:pStyle w:val="16"/>
              <w:rPr>
                <w:sz w:val="21"/>
                <w:szCs w:val="21"/>
              </w:rPr>
            </w:pPr>
            <w:r>
              <w:rPr>
                <w:rFonts w:hint="eastAsia"/>
                <w:sz w:val="21"/>
                <w:szCs w:val="21"/>
              </w:rPr>
              <w:t>危险后果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5" w:type="dxa"/>
            <w:vAlign w:val="center"/>
          </w:tcPr>
          <w:p>
            <w:pPr>
              <w:pStyle w:val="16"/>
              <w:rPr>
                <w:sz w:val="21"/>
                <w:szCs w:val="21"/>
              </w:rPr>
            </w:pPr>
            <w:r>
              <w:rPr>
                <w:rFonts w:hint="eastAsia"/>
                <w:sz w:val="21"/>
                <w:szCs w:val="21"/>
              </w:rPr>
              <w:t>1</w:t>
            </w:r>
          </w:p>
        </w:tc>
        <w:tc>
          <w:tcPr>
            <w:tcW w:w="1005" w:type="dxa"/>
            <w:vAlign w:val="center"/>
          </w:tcPr>
          <w:p>
            <w:pPr>
              <w:pStyle w:val="16"/>
              <w:rPr>
                <w:sz w:val="21"/>
                <w:szCs w:val="21"/>
              </w:rPr>
            </w:pPr>
            <w:r>
              <w:rPr>
                <w:rFonts w:hint="eastAsia"/>
                <w:sz w:val="21"/>
                <w:szCs w:val="21"/>
              </w:rPr>
              <w:t>火灾</w:t>
            </w:r>
          </w:p>
        </w:tc>
        <w:tc>
          <w:tcPr>
            <w:tcW w:w="4425" w:type="dxa"/>
            <w:vAlign w:val="center"/>
          </w:tcPr>
          <w:p>
            <w:pPr>
              <w:pStyle w:val="16"/>
              <w:jc w:val="left"/>
              <w:rPr>
                <w:sz w:val="21"/>
                <w:szCs w:val="21"/>
              </w:rPr>
            </w:pPr>
            <w:r>
              <w:rPr>
                <w:rFonts w:hint="eastAsia"/>
                <w:sz w:val="21"/>
                <w:szCs w:val="21"/>
              </w:rPr>
              <w:t>①汽油、柴油接触点火源时，发生燃烧，造成火灾；</w:t>
            </w:r>
          </w:p>
          <w:p>
            <w:pPr>
              <w:pStyle w:val="16"/>
              <w:jc w:val="left"/>
              <w:rPr>
                <w:sz w:val="21"/>
                <w:szCs w:val="21"/>
              </w:rPr>
            </w:pPr>
            <w:r>
              <w:rPr>
                <w:rFonts w:hint="eastAsia"/>
                <w:sz w:val="21"/>
                <w:szCs w:val="21"/>
              </w:rPr>
              <w:t>②油罐遭雷击；</w:t>
            </w:r>
          </w:p>
          <w:p>
            <w:pPr>
              <w:pStyle w:val="16"/>
              <w:jc w:val="left"/>
              <w:rPr>
                <w:sz w:val="21"/>
                <w:szCs w:val="21"/>
              </w:rPr>
            </w:pPr>
            <w:r>
              <w:rPr>
                <w:rFonts w:hint="eastAsia"/>
                <w:sz w:val="21"/>
                <w:szCs w:val="21"/>
              </w:rPr>
              <w:t>③电气火灾。</w:t>
            </w:r>
          </w:p>
        </w:tc>
        <w:tc>
          <w:tcPr>
            <w:tcW w:w="2310" w:type="dxa"/>
            <w:vAlign w:val="center"/>
          </w:tcPr>
          <w:p>
            <w:pPr>
              <w:pStyle w:val="16"/>
              <w:rPr>
                <w:sz w:val="21"/>
                <w:szCs w:val="21"/>
              </w:rPr>
            </w:pPr>
            <w:r>
              <w:rPr>
                <w:rFonts w:hint="eastAsia"/>
                <w:sz w:val="21"/>
                <w:szCs w:val="21"/>
              </w:rPr>
              <w:t>烧伤工作人员，烧毁加油站，引起油罐爆炸。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375" w:type="dxa"/>
            <w:tcBorders>
              <w:bottom w:val="single" w:color="auto" w:sz="4" w:space="0"/>
            </w:tcBorders>
            <w:vAlign w:val="center"/>
          </w:tcPr>
          <w:p>
            <w:pPr>
              <w:pStyle w:val="16"/>
              <w:rPr>
                <w:sz w:val="21"/>
                <w:szCs w:val="21"/>
              </w:rPr>
            </w:pPr>
            <w:r>
              <w:rPr>
                <w:rFonts w:hint="eastAsia"/>
                <w:sz w:val="21"/>
                <w:szCs w:val="21"/>
              </w:rPr>
              <w:t>2</w:t>
            </w:r>
          </w:p>
        </w:tc>
        <w:tc>
          <w:tcPr>
            <w:tcW w:w="1005" w:type="dxa"/>
            <w:tcBorders>
              <w:bottom w:val="single" w:color="auto" w:sz="4" w:space="0"/>
            </w:tcBorders>
            <w:vAlign w:val="center"/>
          </w:tcPr>
          <w:p>
            <w:pPr>
              <w:pStyle w:val="16"/>
              <w:rPr>
                <w:sz w:val="21"/>
                <w:szCs w:val="21"/>
              </w:rPr>
            </w:pPr>
            <w:r>
              <w:rPr>
                <w:rFonts w:hint="eastAsia"/>
                <w:sz w:val="21"/>
                <w:szCs w:val="21"/>
              </w:rPr>
              <w:t>爆炸</w:t>
            </w:r>
          </w:p>
        </w:tc>
        <w:tc>
          <w:tcPr>
            <w:tcW w:w="4425" w:type="dxa"/>
            <w:tcBorders>
              <w:bottom w:val="single" w:color="auto" w:sz="4" w:space="0"/>
            </w:tcBorders>
            <w:vAlign w:val="center"/>
          </w:tcPr>
          <w:p>
            <w:pPr>
              <w:pStyle w:val="16"/>
              <w:jc w:val="left"/>
              <w:rPr>
                <w:sz w:val="21"/>
                <w:szCs w:val="21"/>
              </w:rPr>
            </w:pPr>
            <w:r>
              <w:rPr>
                <w:rFonts w:hint="eastAsia"/>
                <w:sz w:val="21"/>
                <w:szCs w:val="21"/>
              </w:rPr>
              <w:t>汽油、柴油油气与空气混合达爆炸极限，遇点火源燃烧爆炸。</w:t>
            </w:r>
          </w:p>
        </w:tc>
        <w:tc>
          <w:tcPr>
            <w:tcW w:w="2310" w:type="dxa"/>
            <w:tcBorders>
              <w:bottom w:val="single" w:color="auto" w:sz="4" w:space="0"/>
            </w:tcBorders>
            <w:vAlign w:val="center"/>
          </w:tcPr>
          <w:p>
            <w:pPr>
              <w:pStyle w:val="16"/>
              <w:rPr>
                <w:sz w:val="21"/>
                <w:szCs w:val="21"/>
              </w:rPr>
            </w:pPr>
            <w:r>
              <w:rPr>
                <w:rFonts w:hint="eastAsia"/>
                <w:sz w:val="21"/>
                <w:szCs w:val="21"/>
              </w:rPr>
              <w:t>炸伤工作人员，炸毁周围的车辆、建筑。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trPr>
        <w:tc>
          <w:tcPr>
            <w:tcW w:w="375" w:type="dxa"/>
            <w:vAlign w:val="center"/>
          </w:tcPr>
          <w:p>
            <w:pPr>
              <w:pStyle w:val="16"/>
              <w:rPr>
                <w:sz w:val="21"/>
                <w:szCs w:val="21"/>
              </w:rPr>
            </w:pPr>
            <w:r>
              <w:rPr>
                <w:rFonts w:hint="eastAsia"/>
                <w:sz w:val="21"/>
                <w:szCs w:val="21"/>
              </w:rPr>
              <w:t>3</w:t>
            </w:r>
          </w:p>
        </w:tc>
        <w:tc>
          <w:tcPr>
            <w:tcW w:w="1005" w:type="dxa"/>
            <w:vAlign w:val="center"/>
          </w:tcPr>
          <w:p>
            <w:pPr>
              <w:pStyle w:val="16"/>
              <w:rPr>
                <w:sz w:val="21"/>
                <w:szCs w:val="21"/>
              </w:rPr>
            </w:pPr>
            <w:r>
              <w:rPr>
                <w:rFonts w:hint="eastAsia"/>
                <w:sz w:val="21"/>
                <w:szCs w:val="21"/>
              </w:rPr>
              <w:t>中毒和窒息</w:t>
            </w:r>
          </w:p>
        </w:tc>
        <w:tc>
          <w:tcPr>
            <w:tcW w:w="4425" w:type="dxa"/>
            <w:vAlign w:val="center"/>
          </w:tcPr>
          <w:p>
            <w:pPr>
              <w:pStyle w:val="16"/>
              <w:jc w:val="left"/>
              <w:rPr>
                <w:sz w:val="21"/>
                <w:szCs w:val="21"/>
              </w:rPr>
            </w:pPr>
            <w:r>
              <w:rPr>
                <w:rFonts w:hint="eastAsia"/>
                <w:sz w:val="21"/>
                <w:szCs w:val="21"/>
              </w:rPr>
              <w:t>汽油、柴油属低毒易挥发物质，在空气中形成油蒸气，经口大量或长期吸入而引起中毒。</w:t>
            </w:r>
          </w:p>
        </w:tc>
        <w:tc>
          <w:tcPr>
            <w:tcW w:w="2310" w:type="dxa"/>
            <w:vAlign w:val="center"/>
          </w:tcPr>
          <w:p>
            <w:pPr>
              <w:pStyle w:val="16"/>
              <w:rPr>
                <w:sz w:val="21"/>
                <w:szCs w:val="21"/>
              </w:rPr>
            </w:pPr>
            <w:r>
              <w:rPr>
                <w:rFonts w:hint="eastAsia"/>
                <w:sz w:val="21"/>
                <w:szCs w:val="21"/>
              </w:rPr>
              <w:t>中毒者有头晕、头痛、恶心、呕吐、步态不稳、共济失调、意识突然丧失、反射性呼吸停止及化学性肺炎、中毒性周围神经病等。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375" w:type="dxa"/>
            <w:vAlign w:val="center"/>
          </w:tcPr>
          <w:p>
            <w:pPr>
              <w:pStyle w:val="16"/>
              <w:rPr>
                <w:sz w:val="21"/>
                <w:szCs w:val="21"/>
              </w:rPr>
            </w:pPr>
            <w:r>
              <w:rPr>
                <w:rFonts w:hint="eastAsia"/>
                <w:sz w:val="21"/>
                <w:szCs w:val="21"/>
              </w:rPr>
              <w:t>4</w:t>
            </w:r>
          </w:p>
        </w:tc>
        <w:tc>
          <w:tcPr>
            <w:tcW w:w="1005" w:type="dxa"/>
            <w:vAlign w:val="center"/>
          </w:tcPr>
          <w:p>
            <w:pPr>
              <w:pStyle w:val="16"/>
              <w:rPr>
                <w:sz w:val="21"/>
                <w:szCs w:val="21"/>
              </w:rPr>
            </w:pPr>
            <w:r>
              <w:rPr>
                <w:rFonts w:hint="eastAsia"/>
                <w:sz w:val="21"/>
                <w:szCs w:val="21"/>
              </w:rPr>
              <w:t>触电</w:t>
            </w:r>
          </w:p>
        </w:tc>
        <w:tc>
          <w:tcPr>
            <w:tcW w:w="4425" w:type="dxa"/>
            <w:vAlign w:val="center"/>
          </w:tcPr>
          <w:p>
            <w:pPr>
              <w:pStyle w:val="16"/>
              <w:jc w:val="left"/>
              <w:rPr>
                <w:sz w:val="21"/>
                <w:szCs w:val="21"/>
              </w:rPr>
            </w:pPr>
            <w:r>
              <w:rPr>
                <w:rFonts w:hint="eastAsia"/>
                <w:sz w:val="21"/>
                <w:szCs w:val="21"/>
              </w:rPr>
              <w:t>电气线路及设备不符合规范要求漏电、人体接触等发生触电事故。</w:t>
            </w:r>
          </w:p>
        </w:tc>
        <w:tc>
          <w:tcPr>
            <w:tcW w:w="2310" w:type="dxa"/>
            <w:vAlign w:val="center"/>
          </w:tcPr>
          <w:p>
            <w:pPr>
              <w:pStyle w:val="16"/>
              <w:rPr>
                <w:sz w:val="21"/>
                <w:szCs w:val="21"/>
              </w:rPr>
            </w:pPr>
            <w:r>
              <w:rPr>
                <w:rFonts w:hint="eastAsia"/>
                <w:sz w:val="21"/>
                <w:szCs w:val="21"/>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375" w:type="dxa"/>
            <w:vAlign w:val="center"/>
          </w:tcPr>
          <w:p>
            <w:pPr>
              <w:pStyle w:val="16"/>
              <w:rPr>
                <w:sz w:val="21"/>
                <w:szCs w:val="21"/>
              </w:rPr>
            </w:pPr>
            <w:r>
              <w:rPr>
                <w:rFonts w:hint="eastAsia"/>
                <w:sz w:val="21"/>
                <w:szCs w:val="21"/>
              </w:rPr>
              <w:t>5</w:t>
            </w:r>
          </w:p>
        </w:tc>
        <w:tc>
          <w:tcPr>
            <w:tcW w:w="1005" w:type="dxa"/>
            <w:vAlign w:val="center"/>
          </w:tcPr>
          <w:p>
            <w:pPr>
              <w:pStyle w:val="16"/>
              <w:rPr>
                <w:sz w:val="21"/>
                <w:szCs w:val="21"/>
              </w:rPr>
            </w:pPr>
            <w:r>
              <w:rPr>
                <w:rFonts w:hint="eastAsia"/>
                <w:sz w:val="21"/>
                <w:szCs w:val="21"/>
              </w:rPr>
              <w:t>车辆伤害</w:t>
            </w:r>
          </w:p>
        </w:tc>
        <w:tc>
          <w:tcPr>
            <w:tcW w:w="4425" w:type="dxa"/>
            <w:vAlign w:val="center"/>
          </w:tcPr>
          <w:p>
            <w:pPr>
              <w:pStyle w:val="16"/>
              <w:jc w:val="left"/>
              <w:rPr>
                <w:sz w:val="21"/>
                <w:szCs w:val="21"/>
              </w:rPr>
            </w:pPr>
            <w:r>
              <w:rPr>
                <w:rFonts w:hint="eastAsia"/>
                <w:sz w:val="21"/>
                <w:szCs w:val="21"/>
              </w:rPr>
              <w:t>加油车辆驾驶人员不遵守相关规定或者疏忽大意，可能引发汽车碰撞加油机、罩棚柱及操作人员等车辆伤害事故。</w:t>
            </w:r>
          </w:p>
        </w:tc>
        <w:tc>
          <w:tcPr>
            <w:tcW w:w="2310" w:type="dxa"/>
            <w:vAlign w:val="center"/>
          </w:tcPr>
          <w:p>
            <w:pPr>
              <w:pStyle w:val="16"/>
              <w:rPr>
                <w:sz w:val="21"/>
                <w:szCs w:val="21"/>
              </w:rPr>
            </w:pPr>
            <w:r>
              <w:rPr>
                <w:rFonts w:hint="eastAsia"/>
                <w:sz w:val="21"/>
                <w:szCs w:val="21"/>
              </w:rPr>
              <w:t>汽油、柴油泄漏；设备损坏；人员伤亡。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375" w:type="dxa"/>
            <w:vAlign w:val="center"/>
          </w:tcPr>
          <w:p>
            <w:pPr>
              <w:pStyle w:val="16"/>
              <w:rPr>
                <w:sz w:val="21"/>
                <w:szCs w:val="21"/>
              </w:rPr>
            </w:pPr>
            <w:r>
              <w:rPr>
                <w:rFonts w:hint="eastAsia"/>
                <w:sz w:val="21"/>
                <w:szCs w:val="21"/>
              </w:rPr>
              <w:t>6</w:t>
            </w:r>
          </w:p>
        </w:tc>
        <w:tc>
          <w:tcPr>
            <w:tcW w:w="1005" w:type="dxa"/>
            <w:vAlign w:val="center"/>
          </w:tcPr>
          <w:p>
            <w:pPr>
              <w:pStyle w:val="16"/>
              <w:rPr>
                <w:sz w:val="21"/>
                <w:szCs w:val="21"/>
              </w:rPr>
            </w:pPr>
            <w:r>
              <w:rPr>
                <w:rFonts w:hint="eastAsia"/>
                <w:sz w:val="21"/>
                <w:szCs w:val="21"/>
              </w:rPr>
              <w:t>物体打击</w:t>
            </w:r>
          </w:p>
        </w:tc>
        <w:tc>
          <w:tcPr>
            <w:tcW w:w="4425" w:type="dxa"/>
            <w:vAlign w:val="center"/>
          </w:tcPr>
          <w:p>
            <w:pPr>
              <w:pStyle w:val="16"/>
              <w:jc w:val="left"/>
              <w:rPr>
                <w:sz w:val="21"/>
                <w:szCs w:val="21"/>
              </w:rPr>
            </w:pPr>
            <w:r>
              <w:rPr>
                <w:rFonts w:hint="eastAsia"/>
                <w:sz w:val="21"/>
                <w:szCs w:val="21"/>
              </w:rPr>
              <w:t>若检修工具放于高处掉下、或其他高处物体放置不牢跌落。</w:t>
            </w:r>
          </w:p>
        </w:tc>
        <w:tc>
          <w:tcPr>
            <w:tcW w:w="2310" w:type="dxa"/>
            <w:vAlign w:val="center"/>
          </w:tcPr>
          <w:p>
            <w:pPr>
              <w:pStyle w:val="16"/>
              <w:rPr>
                <w:sz w:val="21"/>
                <w:szCs w:val="21"/>
              </w:rPr>
            </w:pPr>
            <w:r>
              <w:rPr>
                <w:rFonts w:hint="eastAsia"/>
                <w:sz w:val="21"/>
                <w:szCs w:val="21"/>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375" w:type="dxa"/>
            <w:vAlign w:val="center"/>
          </w:tcPr>
          <w:p>
            <w:pPr>
              <w:pStyle w:val="16"/>
              <w:rPr>
                <w:sz w:val="21"/>
                <w:szCs w:val="21"/>
              </w:rPr>
            </w:pPr>
            <w:r>
              <w:rPr>
                <w:rFonts w:hint="eastAsia"/>
                <w:sz w:val="21"/>
                <w:szCs w:val="21"/>
              </w:rPr>
              <w:t>7</w:t>
            </w:r>
          </w:p>
        </w:tc>
        <w:tc>
          <w:tcPr>
            <w:tcW w:w="1005" w:type="dxa"/>
            <w:vAlign w:val="center"/>
          </w:tcPr>
          <w:p>
            <w:pPr>
              <w:pStyle w:val="16"/>
              <w:rPr>
                <w:sz w:val="21"/>
                <w:szCs w:val="21"/>
              </w:rPr>
            </w:pPr>
            <w:r>
              <w:rPr>
                <w:rFonts w:hint="eastAsia"/>
                <w:sz w:val="21"/>
                <w:szCs w:val="21"/>
              </w:rPr>
              <w:t>高处坠落</w:t>
            </w:r>
          </w:p>
        </w:tc>
        <w:tc>
          <w:tcPr>
            <w:tcW w:w="4425" w:type="dxa"/>
            <w:vAlign w:val="center"/>
          </w:tcPr>
          <w:p>
            <w:pPr>
              <w:pStyle w:val="16"/>
              <w:jc w:val="left"/>
              <w:rPr>
                <w:sz w:val="21"/>
                <w:szCs w:val="21"/>
              </w:rPr>
            </w:pPr>
            <w:r>
              <w:rPr>
                <w:rFonts w:hint="eastAsia"/>
                <w:sz w:val="21"/>
                <w:szCs w:val="21"/>
              </w:rPr>
              <w:t>在加油站内建筑物、高处设备和操作平台进行检修作业中，若未按要求设置安全防护设施或安全防护设施因腐蚀等原因而不可靠，人员未按高空作业要求穿戴防护用品，操作处置失误等，易发生高处坠落。</w:t>
            </w:r>
          </w:p>
        </w:tc>
        <w:tc>
          <w:tcPr>
            <w:tcW w:w="2310" w:type="dxa"/>
            <w:vAlign w:val="center"/>
          </w:tcPr>
          <w:p>
            <w:pPr>
              <w:pStyle w:val="16"/>
              <w:rPr>
                <w:sz w:val="21"/>
                <w:szCs w:val="21"/>
              </w:rPr>
            </w:pPr>
            <w:r>
              <w:rPr>
                <w:rFonts w:hint="eastAsia"/>
                <w:sz w:val="21"/>
                <w:szCs w:val="21"/>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375" w:type="dxa"/>
            <w:vAlign w:val="center"/>
          </w:tcPr>
          <w:p>
            <w:pPr>
              <w:pStyle w:val="16"/>
              <w:rPr>
                <w:sz w:val="21"/>
                <w:szCs w:val="21"/>
              </w:rPr>
            </w:pPr>
            <w:r>
              <w:rPr>
                <w:rFonts w:hint="eastAsia"/>
                <w:sz w:val="21"/>
                <w:szCs w:val="21"/>
              </w:rPr>
              <w:t>8</w:t>
            </w:r>
          </w:p>
        </w:tc>
        <w:tc>
          <w:tcPr>
            <w:tcW w:w="1005" w:type="dxa"/>
            <w:vAlign w:val="center"/>
          </w:tcPr>
          <w:p>
            <w:pPr>
              <w:pStyle w:val="16"/>
              <w:rPr>
                <w:sz w:val="21"/>
                <w:szCs w:val="21"/>
              </w:rPr>
            </w:pPr>
            <w:r>
              <w:rPr>
                <w:rFonts w:hint="eastAsia"/>
                <w:sz w:val="21"/>
                <w:szCs w:val="21"/>
              </w:rPr>
              <w:t>坍塌</w:t>
            </w:r>
          </w:p>
        </w:tc>
        <w:tc>
          <w:tcPr>
            <w:tcW w:w="4425" w:type="dxa"/>
            <w:vAlign w:val="center"/>
          </w:tcPr>
          <w:p>
            <w:pPr>
              <w:pStyle w:val="16"/>
              <w:jc w:val="left"/>
              <w:rPr>
                <w:sz w:val="21"/>
                <w:szCs w:val="21"/>
              </w:rPr>
            </w:pPr>
            <w:r>
              <w:rPr>
                <w:rFonts w:hint="eastAsia"/>
                <w:sz w:val="21"/>
                <w:szCs w:val="21"/>
              </w:rPr>
              <w:t>地质变化，地基沉降；</w:t>
            </w:r>
          </w:p>
          <w:p>
            <w:pPr>
              <w:pStyle w:val="16"/>
              <w:jc w:val="left"/>
              <w:rPr>
                <w:sz w:val="21"/>
                <w:szCs w:val="21"/>
              </w:rPr>
            </w:pPr>
            <w:r>
              <w:rPr>
                <w:rFonts w:hint="eastAsia"/>
                <w:sz w:val="21"/>
                <w:szCs w:val="21"/>
              </w:rPr>
              <w:t>建筑物年久失修，钢结构架锈蚀倒塌，大风将罩棚掀翻；防雷设施不符合安全使用要求，建筑物因雷击而坍塌；</w:t>
            </w:r>
          </w:p>
          <w:p>
            <w:pPr>
              <w:pStyle w:val="16"/>
              <w:jc w:val="left"/>
              <w:rPr>
                <w:sz w:val="21"/>
                <w:szCs w:val="21"/>
              </w:rPr>
            </w:pPr>
            <w:r>
              <w:rPr>
                <w:rFonts w:hint="eastAsia"/>
                <w:sz w:val="21"/>
                <w:szCs w:val="21"/>
              </w:rPr>
              <w:t>超高车辆将罩棚撞到。</w:t>
            </w:r>
          </w:p>
        </w:tc>
        <w:tc>
          <w:tcPr>
            <w:tcW w:w="2310" w:type="dxa"/>
            <w:vAlign w:val="center"/>
          </w:tcPr>
          <w:p>
            <w:pPr>
              <w:pStyle w:val="16"/>
              <w:rPr>
                <w:sz w:val="21"/>
                <w:szCs w:val="21"/>
              </w:rPr>
            </w:pPr>
            <w:r>
              <w:rPr>
                <w:rFonts w:hint="eastAsia"/>
                <w:sz w:val="21"/>
                <w:szCs w:val="21"/>
              </w:rPr>
              <w:t>设备损毁，人员伤亡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375" w:type="dxa"/>
            <w:vAlign w:val="center"/>
          </w:tcPr>
          <w:p>
            <w:pPr>
              <w:pStyle w:val="16"/>
              <w:rPr>
                <w:sz w:val="21"/>
                <w:szCs w:val="21"/>
              </w:rPr>
            </w:pPr>
            <w:r>
              <w:rPr>
                <w:rFonts w:hint="eastAsia"/>
                <w:sz w:val="21"/>
                <w:szCs w:val="21"/>
              </w:rPr>
              <w:t>9</w:t>
            </w:r>
          </w:p>
        </w:tc>
        <w:tc>
          <w:tcPr>
            <w:tcW w:w="1005" w:type="dxa"/>
            <w:vAlign w:val="center"/>
          </w:tcPr>
          <w:p>
            <w:pPr>
              <w:pStyle w:val="16"/>
              <w:rPr>
                <w:sz w:val="21"/>
                <w:szCs w:val="21"/>
              </w:rPr>
            </w:pPr>
            <w:r>
              <w:rPr>
                <w:rFonts w:hint="eastAsia"/>
                <w:sz w:val="21"/>
                <w:szCs w:val="21"/>
              </w:rPr>
              <w:t>其他伤害</w:t>
            </w:r>
          </w:p>
        </w:tc>
        <w:tc>
          <w:tcPr>
            <w:tcW w:w="4425" w:type="dxa"/>
            <w:vAlign w:val="center"/>
          </w:tcPr>
          <w:p>
            <w:pPr>
              <w:pStyle w:val="16"/>
              <w:jc w:val="left"/>
              <w:rPr>
                <w:sz w:val="21"/>
                <w:szCs w:val="21"/>
              </w:rPr>
            </w:pPr>
            <w:r>
              <w:rPr>
                <w:rFonts w:hint="eastAsia"/>
                <w:sz w:val="21"/>
                <w:szCs w:val="21"/>
              </w:rPr>
              <w:t>地震、雷击、大风等自然灾害，引发次生灾害等。</w:t>
            </w:r>
          </w:p>
        </w:tc>
        <w:tc>
          <w:tcPr>
            <w:tcW w:w="2310" w:type="dxa"/>
            <w:vAlign w:val="center"/>
          </w:tcPr>
          <w:p>
            <w:pPr>
              <w:pStyle w:val="16"/>
              <w:rPr>
                <w:sz w:val="21"/>
                <w:szCs w:val="21"/>
              </w:rPr>
            </w:pPr>
            <w:r>
              <w:rPr>
                <w:rFonts w:hint="eastAsia"/>
                <w:sz w:val="21"/>
                <w:szCs w:val="21"/>
              </w:rPr>
              <w:t>设备损毁、人员伤亡</w:t>
            </w:r>
          </w:p>
        </w:tc>
      </w:tr>
    </w:tbl>
    <w:p>
      <w:pPr>
        <w:pStyle w:val="4"/>
      </w:pPr>
      <w:bookmarkStart w:id="196" w:name="_Toc12755"/>
      <w:bookmarkStart w:id="197" w:name="_Toc8788"/>
      <w:r>
        <w:rPr>
          <w:rFonts w:hint="eastAsia"/>
        </w:rPr>
        <w:t>3.11 重大危险源辨识</w:t>
      </w:r>
      <w:bookmarkEnd w:id="196"/>
      <w:bookmarkEnd w:id="197"/>
    </w:p>
    <w:p>
      <w:pPr>
        <w:spacing w:line="560" w:lineRule="exact"/>
        <w:ind w:firstLine="560" w:firstLineChars="200"/>
        <w:jc w:val="left"/>
        <w:outlineLvl w:val="2"/>
        <w:rPr>
          <w:rFonts w:ascii="黑体" w:eastAsia="黑体"/>
          <w:sz w:val="28"/>
          <w:szCs w:val="28"/>
        </w:rPr>
      </w:pPr>
      <w:bookmarkStart w:id="198" w:name="_Toc28975"/>
      <w:bookmarkStart w:id="199" w:name="_Toc29253"/>
      <w:bookmarkStart w:id="200" w:name="_Toc345682441"/>
      <w:r>
        <w:rPr>
          <w:rFonts w:hint="eastAsia" w:ascii="黑体" w:eastAsia="黑体"/>
          <w:sz w:val="28"/>
          <w:szCs w:val="28"/>
        </w:rPr>
        <w:t>3.11.1危险化学品重大危险源辨识依据</w:t>
      </w:r>
      <w:bookmarkEnd w:id="198"/>
    </w:p>
    <w:p>
      <w:pPr>
        <w:spacing w:line="560" w:lineRule="exact"/>
        <w:ind w:firstLine="560"/>
        <w:rPr>
          <w:sz w:val="28"/>
          <w:szCs w:val="28"/>
        </w:rPr>
      </w:pPr>
      <w:r>
        <w:rPr>
          <w:rFonts w:hint="eastAsia"/>
          <w:sz w:val="28"/>
          <w:szCs w:val="28"/>
        </w:rPr>
        <w:t>本项目主要为汽油、柴油的储存，不涉及生产。根据《危险化学品重大危险源辨识》（GB18218-2018）的辨识依据及查找，经查找汽油、柴油属于易燃液体，属于危险化学品重大危险源辨识物质，因此本项目辨识物质为汽油、柴油。</w:t>
      </w:r>
    </w:p>
    <w:p>
      <w:pPr>
        <w:spacing w:line="560" w:lineRule="exact"/>
        <w:ind w:firstLine="560" w:firstLineChars="200"/>
        <w:jc w:val="left"/>
        <w:outlineLvl w:val="2"/>
        <w:rPr>
          <w:rFonts w:ascii="黑体" w:eastAsia="黑体"/>
          <w:sz w:val="28"/>
          <w:szCs w:val="28"/>
        </w:rPr>
      </w:pPr>
      <w:bookmarkStart w:id="201" w:name="_Toc18795"/>
      <w:r>
        <w:rPr>
          <w:rFonts w:hint="eastAsia" w:ascii="黑体" w:eastAsia="黑体"/>
          <w:sz w:val="28"/>
          <w:szCs w:val="28"/>
        </w:rPr>
        <w:t>3.11.2重大危险源</w:t>
      </w:r>
      <w:bookmarkEnd w:id="199"/>
      <w:bookmarkEnd w:id="200"/>
      <w:r>
        <w:rPr>
          <w:rFonts w:hint="eastAsia" w:ascii="黑体" w:eastAsia="黑体"/>
          <w:sz w:val="28"/>
          <w:szCs w:val="28"/>
        </w:rPr>
        <w:t>流程</w:t>
      </w:r>
      <w:bookmarkEnd w:id="201"/>
    </w:p>
    <w:p>
      <w:pPr>
        <w:tabs>
          <w:tab w:val="left" w:pos="7500"/>
        </w:tabs>
        <w:spacing w:line="560" w:lineRule="exact"/>
        <w:ind w:firstLine="560" w:firstLineChars="200"/>
        <w:rPr>
          <w:rFonts w:ascii="宋体"/>
          <w:sz w:val="28"/>
          <w:szCs w:val="28"/>
        </w:rPr>
      </w:pPr>
      <w:r>
        <w:rPr>
          <w:rFonts w:hint="eastAsia" w:ascii="宋体"/>
          <w:sz w:val="28"/>
          <w:szCs w:val="28"/>
        </w:rPr>
        <w:t>根据《危险化学品重大危险源辨识》（GB18218-2018），危险化学品重大危险源按图3.11.2划分。</w:t>
      </w:r>
    </w:p>
    <w:p>
      <w:pPr>
        <w:spacing w:line="560" w:lineRule="exact"/>
        <w:ind w:firstLine="560" w:firstLineChars="200"/>
        <w:jc w:val="left"/>
        <w:outlineLvl w:val="2"/>
        <w:rPr>
          <w:rFonts w:ascii="黑体" w:eastAsia="黑体"/>
          <w:sz w:val="28"/>
          <w:szCs w:val="28"/>
        </w:rPr>
      </w:pPr>
      <w:bookmarkStart w:id="202" w:name="_Toc8093"/>
      <w:bookmarkStart w:id="203" w:name="_Toc11952"/>
      <w:r>
        <w:rPr>
          <w:rFonts w:hint="eastAsia" w:ascii="黑体" w:eastAsia="黑体"/>
          <w:sz w:val="28"/>
          <w:szCs w:val="28"/>
        </w:rPr>
        <w:t>3.11.3重大危险源辨识</w:t>
      </w:r>
      <w:bookmarkEnd w:id="202"/>
      <w:r>
        <w:rPr>
          <w:rFonts w:hint="eastAsia" w:ascii="黑体" w:eastAsia="黑体"/>
          <w:sz w:val="28"/>
          <w:szCs w:val="28"/>
        </w:rPr>
        <w:t>单元划分</w:t>
      </w:r>
      <w:bookmarkEnd w:id="203"/>
    </w:p>
    <w:p>
      <w:pPr>
        <w:spacing w:line="560" w:lineRule="exact"/>
        <w:ind w:firstLine="560"/>
        <w:rPr>
          <w:sz w:val="28"/>
          <w:szCs w:val="28"/>
        </w:rPr>
      </w:pPr>
      <w:r>
        <w:rPr>
          <w:rFonts w:hint="eastAsia"/>
          <w:sz w:val="28"/>
          <w:szCs w:val="28"/>
        </w:rPr>
        <w:t>根据危险化学品重大危险源辨识流程图，应按照生产单元和储存单元划分，本项目不涉及生产，只涉及储存，因此本项目单元划分只有储存单元，需辨识的储存危险化学品有汽油、柴油。</w:t>
      </w:r>
    </w:p>
    <w:p>
      <w:pPr>
        <w:pStyle w:val="12"/>
        <w:jc w:val="center"/>
      </w:pPr>
      <w:r>
        <w:rPr>
          <w:rFonts w:hint="eastAsia"/>
        </w:rPr>
        <w:t>表3.11.3 主要危险化学品的临界量</w:t>
      </w:r>
    </w:p>
    <w:tbl>
      <w:tblPr>
        <w:tblStyle w:val="59"/>
        <w:tblW w:w="7935"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68"/>
        <w:gridCol w:w="405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blHeader/>
        </w:trPr>
        <w:tc>
          <w:tcPr>
            <w:tcW w:w="722" w:type="dxa"/>
            <w:vAlign w:val="center"/>
          </w:tcPr>
          <w:p>
            <w:pPr>
              <w:pStyle w:val="16"/>
              <w:jc w:val="center"/>
              <w:rPr>
                <w:sz w:val="24"/>
                <w:szCs w:val="24"/>
              </w:rPr>
            </w:pPr>
            <w:r>
              <w:rPr>
                <w:rFonts w:hint="eastAsia"/>
                <w:sz w:val="24"/>
                <w:szCs w:val="24"/>
              </w:rPr>
              <w:t>序号</w:t>
            </w:r>
          </w:p>
        </w:tc>
        <w:tc>
          <w:tcPr>
            <w:tcW w:w="1468" w:type="dxa"/>
            <w:tcBorders>
              <w:bottom w:val="nil"/>
            </w:tcBorders>
            <w:vAlign w:val="center"/>
          </w:tcPr>
          <w:p>
            <w:pPr>
              <w:pStyle w:val="16"/>
              <w:rPr>
                <w:sz w:val="24"/>
                <w:szCs w:val="24"/>
              </w:rPr>
            </w:pPr>
            <w:r>
              <w:rPr>
                <w:rFonts w:hint="eastAsia"/>
                <w:sz w:val="24"/>
                <w:szCs w:val="24"/>
              </w:rPr>
              <w:t>油料名称</w:t>
            </w:r>
          </w:p>
        </w:tc>
        <w:tc>
          <w:tcPr>
            <w:tcW w:w="4050" w:type="dxa"/>
            <w:vAlign w:val="center"/>
          </w:tcPr>
          <w:p>
            <w:pPr>
              <w:pStyle w:val="16"/>
              <w:rPr>
                <w:sz w:val="24"/>
                <w:szCs w:val="24"/>
              </w:rPr>
            </w:pPr>
            <w:r>
              <w:rPr>
                <w:rFonts w:hint="eastAsia"/>
                <w:sz w:val="24"/>
                <w:szCs w:val="24"/>
              </w:rPr>
              <w:t>油料种类</w:t>
            </w:r>
          </w:p>
        </w:tc>
        <w:tc>
          <w:tcPr>
            <w:tcW w:w="1695" w:type="dxa"/>
            <w:vAlign w:val="center"/>
          </w:tcPr>
          <w:p>
            <w:pPr>
              <w:pStyle w:val="16"/>
              <w:rPr>
                <w:sz w:val="24"/>
                <w:szCs w:val="24"/>
              </w:rPr>
            </w:pPr>
            <w:r>
              <w:rPr>
                <w:rFonts w:hint="eastAsia"/>
                <w:sz w:val="24"/>
                <w:szCs w:val="24"/>
              </w:rPr>
              <w:t>临界量/t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22" w:type="dxa"/>
            <w:vAlign w:val="center"/>
          </w:tcPr>
          <w:p>
            <w:pPr>
              <w:pStyle w:val="16"/>
              <w:jc w:val="center"/>
              <w:rPr>
                <w:sz w:val="24"/>
                <w:szCs w:val="24"/>
              </w:rPr>
            </w:pPr>
            <w:r>
              <w:rPr>
                <w:rFonts w:hint="eastAsia"/>
                <w:sz w:val="24"/>
                <w:szCs w:val="24"/>
              </w:rPr>
              <w:t>1</w:t>
            </w:r>
          </w:p>
        </w:tc>
        <w:tc>
          <w:tcPr>
            <w:tcW w:w="1468" w:type="dxa"/>
            <w:vAlign w:val="center"/>
          </w:tcPr>
          <w:p>
            <w:pPr>
              <w:pStyle w:val="16"/>
              <w:rPr>
                <w:sz w:val="24"/>
                <w:szCs w:val="24"/>
              </w:rPr>
            </w:pPr>
            <w:r>
              <w:rPr>
                <w:rFonts w:hint="eastAsia"/>
                <w:sz w:val="24"/>
                <w:szCs w:val="24"/>
              </w:rPr>
              <w:t>柴油</w:t>
            </w:r>
          </w:p>
        </w:tc>
        <w:tc>
          <w:tcPr>
            <w:tcW w:w="4050" w:type="dxa"/>
            <w:vAlign w:val="center"/>
          </w:tcPr>
          <w:p>
            <w:pPr>
              <w:pStyle w:val="16"/>
              <w:rPr>
                <w:sz w:val="24"/>
                <w:szCs w:val="24"/>
              </w:rPr>
            </w:pPr>
            <w:r>
              <w:rPr>
                <w:rFonts w:hint="eastAsia"/>
                <w:sz w:val="24"/>
                <w:szCs w:val="24"/>
              </w:rPr>
              <w:t>23℃≤闪点＜61℃的易燃液体</w:t>
            </w:r>
          </w:p>
        </w:tc>
        <w:tc>
          <w:tcPr>
            <w:tcW w:w="1695" w:type="dxa"/>
            <w:vAlign w:val="center"/>
          </w:tcPr>
          <w:p>
            <w:pPr>
              <w:pStyle w:val="16"/>
              <w:rPr>
                <w:sz w:val="24"/>
                <w:szCs w:val="24"/>
              </w:rPr>
            </w:pPr>
            <w:r>
              <w:rPr>
                <w:rFonts w:hint="eastAsia"/>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22" w:type="dxa"/>
            <w:vAlign w:val="center"/>
          </w:tcPr>
          <w:p>
            <w:pPr>
              <w:pStyle w:val="16"/>
              <w:jc w:val="center"/>
              <w:rPr>
                <w:sz w:val="24"/>
                <w:szCs w:val="24"/>
              </w:rPr>
            </w:pPr>
            <w:r>
              <w:rPr>
                <w:rFonts w:hint="eastAsia"/>
                <w:sz w:val="24"/>
                <w:szCs w:val="24"/>
              </w:rPr>
              <w:t>2</w:t>
            </w:r>
          </w:p>
        </w:tc>
        <w:tc>
          <w:tcPr>
            <w:tcW w:w="1468" w:type="dxa"/>
            <w:vAlign w:val="center"/>
          </w:tcPr>
          <w:p>
            <w:pPr>
              <w:pStyle w:val="16"/>
              <w:rPr>
                <w:sz w:val="24"/>
                <w:szCs w:val="24"/>
              </w:rPr>
            </w:pPr>
            <w:r>
              <w:rPr>
                <w:rFonts w:hint="eastAsia"/>
                <w:sz w:val="24"/>
                <w:szCs w:val="24"/>
              </w:rPr>
              <w:t>汽油</w:t>
            </w:r>
          </w:p>
        </w:tc>
        <w:tc>
          <w:tcPr>
            <w:tcW w:w="4050" w:type="dxa"/>
            <w:vAlign w:val="center"/>
          </w:tcPr>
          <w:p>
            <w:pPr>
              <w:pStyle w:val="16"/>
              <w:rPr>
                <w:sz w:val="24"/>
                <w:szCs w:val="24"/>
              </w:rPr>
            </w:pPr>
            <w:r>
              <w:rPr>
                <w:rFonts w:hint="eastAsia"/>
                <w:sz w:val="24"/>
                <w:szCs w:val="24"/>
              </w:rPr>
              <w:t>闪点＜23℃的易燃液体</w:t>
            </w:r>
          </w:p>
        </w:tc>
        <w:tc>
          <w:tcPr>
            <w:tcW w:w="1695" w:type="dxa"/>
            <w:vAlign w:val="center"/>
          </w:tcPr>
          <w:p>
            <w:pPr>
              <w:pStyle w:val="16"/>
              <w:rPr>
                <w:sz w:val="24"/>
                <w:szCs w:val="24"/>
              </w:rPr>
            </w:pPr>
            <w:r>
              <w:rPr>
                <w:rFonts w:hint="eastAsia"/>
                <w:sz w:val="24"/>
                <w:szCs w:val="24"/>
              </w:rPr>
              <w:t>200</w:t>
            </w:r>
          </w:p>
        </w:tc>
      </w:tr>
    </w:tbl>
    <w:p>
      <w:pPr>
        <w:pStyle w:val="27"/>
        <w:jc w:val="both"/>
      </w:pPr>
    </w:p>
    <w:p>
      <w:pPr>
        <w:pStyle w:val="2"/>
        <w:jc w:val="center"/>
      </w:pPr>
      <w:r>
        <w:rPr>
          <w:rFonts w:hint="eastAsia" w:ascii="宋体"/>
          <w:sz w:val="28"/>
          <w:szCs w:val="28"/>
        </w:rPr>
        <w:drawing>
          <wp:anchor distT="0" distB="0" distL="114300" distR="114300" simplePos="0" relativeHeight="251658240" behindDoc="0" locked="0" layoutInCell="1" allowOverlap="1">
            <wp:simplePos x="0" y="0"/>
            <wp:positionH relativeFrom="column">
              <wp:posOffset>549275</wp:posOffset>
            </wp:positionH>
            <wp:positionV relativeFrom="paragraph">
              <wp:posOffset>136525</wp:posOffset>
            </wp:positionV>
            <wp:extent cx="4010025" cy="4648200"/>
            <wp:effectExtent l="0" t="0" r="9525" b="0"/>
            <wp:wrapTopAndBottom/>
            <wp:docPr id="1" name="图片 36" descr="QQ截图2019040915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6" descr="QQ截图20190409150159"/>
                    <pic:cNvPicPr>
                      <a:picLocks noChangeAspect="1"/>
                    </pic:cNvPicPr>
                  </pic:nvPicPr>
                  <pic:blipFill>
                    <a:blip r:embed="rId10"/>
                    <a:stretch>
                      <a:fillRect/>
                    </a:stretch>
                  </pic:blipFill>
                  <pic:spPr>
                    <a:xfrm>
                      <a:off x="0" y="0"/>
                      <a:ext cx="4010025" cy="4648200"/>
                    </a:xfrm>
                    <a:prstGeom prst="rect">
                      <a:avLst/>
                    </a:prstGeom>
                    <a:noFill/>
                    <a:ln w="9525">
                      <a:noFill/>
                    </a:ln>
                  </pic:spPr>
                </pic:pic>
              </a:graphicData>
            </a:graphic>
          </wp:anchor>
        </w:drawing>
      </w:r>
      <w:r>
        <w:rPr>
          <w:rFonts w:hint="eastAsia"/>
        </w:rPr>
        <w:t>3.11.2危险化学品重大危险源辨识流程图</w:t>
      </w:r>
    </w:p>
    <w:p>
      <w:pPr>
        <w:pStyle w:val="5"/>
        <w:tabs>
          <w:tab w:val="left" w:pos="566"/>
          <w:tab w:val="left" w:pos="720"/>
        </w:tabs>
        <w:ind w:firstLine="544"/>
      </w:pPr>
      <w:bookmarkStart w:id="204" w:name="_Toc21474"/>
      <w:bookmarkStart w:id="205" w:name="_Toc31381"/>
      <w:r>
        <w:rPr>
          <w:rFonts w:hint="eastAsia"/>
        </w:rPr>
        <w:t>3.11.4 危险化学品重大危险源的辨识方法</w:t>
      </w:r>
      <w:bookmarkEnd w:id="204"/>
      <w:bookmarkEnd w:id="205"/>
    </w:p>
    <w:p>
      <w:pPr>
        <w:spacing w:line="360" w:lineRule="auto"/>
        <w:ind w:firstLine="544"/>
        <w:rPr>
          <w:sz w:val="28"/>
          <w:szCs w:val="28"/>
        </w:rPr>
      </w:pPr>
      <w:r>
        <w:rPr>
          <w:rFonts w:hint="eastAsia"/>
          <w:sz w:val="28"/>
          <w:szCs w:val="28"/>
        </w:rPr>
        <w:t>1.油罐区</w:t>
      </w:r>
      <w:r>
        <w:rPr>
          <w:sz w:val="28"/>
          <w:szCs w:val="28"/>
        </w:rPr>
        <w:t>内存在</w:t>
      </w:r>
      <w:r>
        <w:rPr>
          <w:rFonts w:hint="eastAsia"/>
          <w:sz w:val="28"/>
          <w:szCs w:val="28"/>
        </w:rPr>
        <w:t>危险化学品</w:t>
      </w:r>
      <w:r>
        <w:rPr>
          <w:sz w:val="28"/>
          <w:szCs w:val="28"/>
        </w:rPr>
        <w:t>为单一品种，则该油料的数量即为单元内</w:t>
      </w:r>
      <w:r>
        <w:rPr>
          <w:rFonts w:hint="eastAsia"/>
          <w:sz w:val="28"/>
          <w:szCs w:val="28"/>
        </w:rPr>
        <w:t>危险化学品</w:t>
      </w:r>
      <w:r>
        <w:rPr>
          <w:sz w:val="28"/>
          <w:szCs w:val="28"/>
        </w:rPr>
        <w:t>总量，若等于或超过相应的临界量，则定为重大危险源</w:t>
      </w:r>
      <w:r>
        <w:rPr>
          <w:rFonts w:hint="eastAsia"/>
          <w:sz w:val="28"/>
          <w:szCs w:val="28"/>
        </w:rPr>
        <w:t>；</w:t>
      </w:r>
    </w:p>
    <w:p>
      <w:pPr>
        <w:spacing w:line="360" w:lineRule="auto"/>
        <w:ind w:firstLine="544"/>
      </w:pPr>
      <w:r>
        <w:rPr>
          <w:rFonts w:hint="eastAsia"/>
          <w:sz w:val="28"/>
          <w:szCs w:val="28"/>
        </w:rPr>
        <w:t>2.油罐区内存在多种油料时，</w:t>
      </w:r>
      <w:r>
        <w:rPr>
          <w:sz w:val="28"/>
          <w:szCs w:val="28"/>
        </w:rPr>
        <w:t>则按式（1）计算，若满足式（1），则定为重大危险源：</w:t>
      </w:r>
    </w:p>
    <w:p>
      <w:pPr>
        <w:spacing w:line="360" w:lineRule="auto"/>
        <w:ind w:firstLine="560"/>
      </w:pPr>
      <w:r>
        <w:rPr>
          <w:rFonts w:hint="eastAsia"/>
        </w:rPr>
        <w:t>S=</w:t>
      </w:r>
      <w:r>
        <w:drawing>
          <wp:inline distT="0" distB="0" distL="114300" distR="114300">
            <wp:extent cx="3810635" cy="551815"/>
            <wp:effectExtent l="0" t="0" r="18415" b="635"/>
            <wp:docPr id="3" name="图片 3" descr="gb18218-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b18218-2000-6"/>
                    <pic:cNvPicPr>
                      <a:picLocks noChangeAspect="1"/>
                    </pic:cNvPicPr>
                  </pic:nvPicPr>
                  <pic:blipFill>
                    <a:blip r:embed="rId11"/>
                    <a:stretch>
                      <a:fillRect/>
                    </a:stretch>
                  </pic:blipFill>
                  <pic:spPr>
                    <a:xfrm>
                      <a:off x="0" y="0"/>
                      <a:ext cx="3810635" cy="551815"/>
                    </a:xfrm>
                    <a:prstGeom prst="rect">
                      <a:avLst/>
                    </a:prstGeom>
                    <a:noFill/>
                    <a:ln w="9525">
                      <a:noFill/>
                    </a:ln>
                  </pic:spPr>
                </pic:pic>
              </a:graphicData>
            </a:graphic>
          </wp:inline>
        </w:drawing>
      </w:r>
    </w:p>
    <w:p>
      <w:pPr>
        <w:spacing w:line="360" w:lineRule="auto"/>
        <w:ind w:firstLine="490" w:firstLineChars="175"/>
        <w:rPr>
          <w:sz w:val="28"/>
          <w:szCs w:val="28"/>
        </w:rPr>
      </w:pPr>
      <w:r>
        <w:rPr>
          <w:sz w:val="28"/>
          <w:szCs w:val="28"/>
        </w:rPr>
        <w:t>式中：</w:t>
      </w:r>
      <w:r>
        <w:rPr>
          <w:rFonts w:hint="eastAsia"/>
          <w:sz w:val="28"/>
          <w:szCs w:val="28"/>
        </w:rPr>
        <w:t>S为计算的结果</w:t>
      </w:r>
    </w:p>
    <w:p>
      <w:pPr>
        <w:spacing w:line="360" w:lineRule="auto"/>
        <w:ind w:left="214" w:leftChars="102" w:firstLine="210" w:firstLineChars="75"/>
        <w:rPr>
          <w:sz w:val="28"/>
          <w:szCs w:val="28"/>
        </w:rPr>
      </w:pPr>
      <w:r>
        <w:rPr>
          <w:sz w:val="28"/>
          <w:szCs w:val="28"/>
        </w:rPr>
        <w:t>q</w:t>
      </w:r>
      <w:r>
        <w:rPr>
          <w:sz w:val="28"/>
          <w:szCs w:val="28"/>
          <w:vertAlign w:val="subscript"/>
        </w:rPr>
        <w:t>1</w:t>
      </w:r>
      <w:r>
        <w:rPr>
          <w:sz w:val="28"/>
          <w:szCs w:val="28"/>
        </w:rPr>
        <w:t>，q</w:t>
      </w:r>
      <w:r>
        <w:rPr>
          <w:sz w:val="28"/>
          <w:szCs w:val="28"/>
          <w:vertAlign w:val="subscript"/>
        </w:rPr>
        <w:t>2</w:t>
      </w:r>
      <w:r>
        <w:rPr>
          <w:sz w:val="28"/>
          <w:szCs w:val="28"/>
        </w:rPr>
        <w:t>……q</w:t>
      </w:r>
      <w:r>
        <w:rPr>
          <w:sz w:val="28"/>
          <w:szCs w:val="28"/>
          <w:vertAlign w:val="subscript"/>
        </w:rPr>
        <w:t>n</w:t>
      </w:r>
      <w:r>
        <w:rPr>
          <w:sz w:val="28"/>
          <w:szCs w:val="28"/>
        </w:rPr>
        <w:t>——每种</w:t>
      </w:r>
      <w:r>
        <w:rPr>
          <w:rFonts w:hint="eastAsia"/>
          <w:sz w:val="28"/>
          <w:szCs w:val="28"/>
        </w:rPr>
        <w:t>危险化学品</w:t>
      </w:r>
      <w:r>
        <w:rPr>
          <w:sz w:val="28"/>
          <w:szCs w:val="28"/>
        </w:rPr>
        <w:t>实际存在量，t。</w:t>
      </w:r>
      <w:r>
        <w:rPr>
          <w:sz w:val="28"/>
          <w:szCs w:val="28"/>
        </w:rPr>
        <w:br w:type="textWrapping"/>
      </w:r>
      <w:r>
        <w:rPr>
          <w:sz w:val="28"/>
          <w:szCs w:val="28"/>
        </w:rPr>
        <w:t>Q1，Q2……Qn——与各</w:t>
      </w:r>
      <w:r>
        <w:rPr>
          <w:rFonts w:hint="eastAsia"/>
          <w:sz w:val="28"/>
          <w:szCs w:val="28"/>
        </w:rPr>
        <w:t>危险化学品</w:t>
      </w:r>
      <w:r>
        <w:rPr>
          <w:sz w:val="28"/>
          <w:szCs w:val="28"/>
        </w:rPr>
        <w:t>相对应的生产场所或贮存区的临界量，t。</w:t>
      </w:r>
    </w:p>
    <w:p>
      <w:pPr>
        <w:pStyle w:val="5"/>
        <w:tabs>
          <w:tab w:val="left" w:pos="566"/>
          <w:tab w:val="left" w:pos="720"/>
        </w:tabs>
        <w:ind w:firstLine="544"/>
      </w:pPr>
      <w:bookmarkStart w:id="206" w:name="_Toc16014"/>
      <w:bookmarkStart w:id="207" w:name="_Toc18558"/>
      <w:r>
        <w:rPr>
          <w:rFonts w:hint="eastAsia"/>
        </w:rPr>
        <w:t>3.11.5 危险化学品重大危险源辨识结果</w:t>
      </w:r>
      <w:bookmarkEnd w:id="206"/>
      <w:bookmarkEnd w:id="207"/>
    </w:p>
    <w:p>
      <w:pPr>
        <w:spacing w:line="360" w:lineRule="auto"/>
        <w:ind w:firstLine="544"/>
        <w:rPr>
          <w:sz w:val="28"/>
          <w:szCs w:val="28"/>
        </w:rPr>
      </w:pPr>
      <w:r>
        <w:rPr>
          <w:rFonts w:hint="eastAsia"/>
          <w:sz w:val="28"/>
          <w:szCs w:val="28"/>
        </w:rPr>
        <w:t>该加油站柴油储罐总容量为30m³，汽油储罐总容量为50m³，查阅资料，柴油密度取0.84t/m³，汽油密度取0.72t/m³，计算得：</w:t>
      </w:r>
    </w:p>
    <w:p>
      <w:pPr>
        <w:spacing w:line="360" w:lineRule="auto"/>
        <w:ind w:firstLine="544"/>
        <w:rPr>
          <w:sz w:val="28"/>
          <w:szCs w:val="28"/>
        </w:rPr>
      </w:pPr>
      <w:r>
        <w:rPr>
          <w:rFonts w:hint="eastAsia"/>
          <w:sz w:val="28"/>
          <w:szCs w:val="28"/>
        </w:rPr>
        <w:t>罐区柴油储量m柴油＝0.84t/m³×30m³＝25.2t；</w:t>
      </w:r>
    </w:p>
    <w:p>
      <w:pPr>
        <w:spacing w:line="360" w:lineRule="auto"/>
        <w:ind w:firstLine="544"/>
        <w:rPr>
          <w:sz w:val="28"/>
          <w:szCs w:val="28"/>
        </w:rPr>
      </w:pPr>
      <w:r>
        <w:rPr>
          <w:rFonts w:hint="eastAsia"/>
          <w:sz w:val="28"/>
          <w:szCs w:val="28"/>
        </w:rPr>
        <w:t>罐区汽油储量m汽油＝0.72t/m³×50m³＝36t；</w:t>
      </w:r>
    </w:p>
    <w:p>
      <w:pPr>
        <w:spacing w:line="360" w:lineRule="auto"/>
        <w:ind w:firstLine="544"/>
        <w:rPr>
          <w:sz w:val="28"/>
          <w:szCs w:val="28"/>
        </w:rPr>
      </w:pPr>
      <w:r>
        <w:rPr>
          <w:rFonts w:hint="eastAsia"/>
          <w:sz w:val="28"/>
          <w:szCs w:val="28"/>
        </w:rPr>
        <w:t>则重大危险源辨识为：25.2/5000+36/200＝0.185＜1。</w:t>
      </w:r>
    </w:p>
    <w:p>
      <w:pPr>
        <w:spacing w:before="156" w:after="156"/>
        <w:ind w:firstLine="560" w:firstLineChars="200"/>
        <w:rPr>
          <w:b/>
          <w:bCs/>
          <w:sz w:val="28"/>
          <w:szCs w:val="28"/>
        </w:rPr>
      </w:pPr>
      <w:r>
        <w:rPr>
          <w:sz w:val="28"/>
          <w:szCs w:val="28"/>
        </w:rPr>
        <w:t>根据《</w:t>
      </w:r>
      <w:r>
        <w:rPr>
          <w:rFonts w:hint="eastAsia"/>
          <w:sz w:val="28"/>
          <w:szCs w:val="28"/>
        </w:rPr>
        <w:t>危险化学品</w:t>
      </w:r>
      <w:r>
        <w:rPr>
          <w:sz w:val="28"/>
          <w:szCs w:val="28"/>
        </w:rPr>
        <w:t>重大危险源辨识》（GB18218-20</w:t>
      </w:r>
      <w:r>
        <w:rPr>
          <w:rFonts w:hint="eastAsia"/>
          <w:sz w:val="28"/>
          <w:szCs w:val="28"/>
        </w:rPr>
        <w:t>18</w:t>
      </w:r>
      <w:r>
        <w:rPr>
          <w:sz w:val="28"/>
          <w:szCs w:val="28"/>
        </w:rPr>
        <w:t>）标准</w:t>
      </w:r>
      <w:r>
        <w:rPr>
          <w:rFonts w:hint="eastAsia"/>
          <w:sz w:val="28"/>
          <w:szCs w:val="28"/>
        </w:rPr>
        <w:t>的要求，运用重大危险源的辨识方法，可知加油站油品总量未过临界量，</w:t>
      </w:r>
      <w:r>
        <w:rPr>
          <w:rFonts w:hint="eastAsia"/>
          <w:b/>
          <w:bCs/>
          <w:sz w:val="28"/>
          <w:szCs w:val="28"/>
        </w:rPr>
        <w:t>加油站储存的危险化学品总量未构成危险化学品重大危险源。</w:t>
      </w:r>
    </w:p>
    <w:p>
      <w:pPr>
        <w:spacing w:before="156" w:after="156"/>
        <w:rPr>
          <w:b/>
          <w:bCs/>
          <w:sz w:val="28"/>
          <w:szCs w:val="28"/>
        </w:rPr>
      </w:pPr>
    </w:p>
    <w:p>
      <w:pPr>
        <w:spacing w:before="156" w:after="156"/>
        <w:rPr>
          <w:b/>
          <w:bCs/>
          <w:sz w:val="28"/>
          <w:szCs w:val="28"/>
        </w:rPr>
      </w:pPr>
    </w:p>
    <w:p>
      <w:pPr>
        <w:spacing w:before="156" w:after="156"/>
        <w:jc w:val="center"/>
        <w:outlineLvl w:val="0"/>
      </w:pPr>
      <w:r>
        <w:br w:type="page"/>
      </w:r>
      <w:bookmarkStart w:id="208" w:name="_Toc13627"/>
      <w:bookmarkStart w:id="209" w:name="_Toc5891"/>
      <w:r>
        <w:rPr>
          <w:rFonts w:hint="eastAsia"/>
          <w:b/>
          <w:bCs/>
          <w:sz w:val="28"/>
          <w:szCs w:val="28"/>
        </w:rPr>
        <w:t>4安全对策措施及建议</w:t>
      </w:r>
      <w:bookmarkEnd w:id="208"/>
      <w:bookmarkEnd w:id="209"/>
    </w:p>
    <w:p>
      <w:pPr>
        <w:ind w:firstLine="544"/>
        <w:rPr>
          <w:sz w:val="28"/>
          <w:szCs w:val="28"/>
        </w:rPr>
      </w:pPr>
      <w:r>
        <w:rPr>
          <w:rFonts w:hint="eastAsia"/>
          <w:sz w:val="28"/>
          <w:szCs w:val="28"/>
        </w:rPr>
        <w:t>依据国内有关的标准、规范和规定（主要为《中华人民共和国安全生产法》、《汽车加油加气站设计与施工规范》），对本项目提出有针对性的安全对策与措施。根据项目的实际情况，提出在生产经营和管理中采取的消除、预防和减弱危险、有害因素的技术措施和管理措施。</w:t>
      </w:r>
    </w:p>
    <w:p>
      <w:pPr>
        <w:pStyle w:val="4"/>
        <w:spacing w:before="156" w:after="156"/>
      </w:pPr>
      <w:bookmarkStart w:id="210" w:name="_Toc486429768"/>
      <w:bookmarkStart w:id="211" w:name="_Toc2388"/>
      <w:bookmarkStart w:id="212" w:name="_Toc24406"/>
      <w:bookmarkStart w:id="213" w:name="_Toc461436644"/>
      <w:bookmarkStart w:id="214" w:name="_Toc4570"/>
      <w:bookmarkStart w:id="215" w:name="_Toc17490"/>
      <w:r>
        <w:rPr>
          <w:rFonts w:hint="eastAsia"/>
        </w:rPr>
        <w:t>4</w:t>
      </w:r>
      <w:r>
        <w:t>.</w:t>
      </w:r>
      <w:r>
        <w:rPr>
          <w:rFonts w:hint="eastAsia"/>
        </w:rPr>
        <w:t xml:space="preserve">1 </w:t>
      </w:r>
      <w:r>
        <w:t>安全技术对策措施</w:t>
      </w:r>
      <w:bookmarkEnd w:id="210"/>
      <w:bookmarkEnd w:id="211"/>
      <w:bookmarkEnd w:id="212"/>
      <w:bookmarkEnd w:id="213"/>
      <w:bookmarkEnd w:id="214"/>
      <w:bookmarkEnd w:id="215"/>
    </w:p>
    <w:p>
      <w:pPr>
        <w:pStyle w:val="5"/>
        <w:ind w:firstLine="544"/>
        <w:rPr>
          <w:rFonts w:ascii="宋体" w:hAnsi="宋体" w:cs="宋体"/>
          <w:sz w:val="28"/>
          <w:szCs w:val="28"/>
        </w:rPr>
      </w:pPr>
      <w:bookmarkStart w:id="216" w:name="_Toc30889"/>
      <w:bookmarkStart w:id="217" w:name="_Toc449348781"/>
      <w:bookmarkStart w:id="218" w:name="_Toc15929"/>
      <w:bookmarkStart w:id="219" w:name="_Toc816"/>
      <w:r>
        <w:rPr>
          <w:rFonts w:hint="eastAsia" w:ascii="宋体" w:hAnsi="宋体" w:cs="宋体"/>
          <w:sz w:val="28"/>
          <w:szCs w:val="28"/>
        </w:rPr>
        <w:t>4.1.1 严格进货安全措施</w:t>
      </w:r>
      <w:bookmarkEnd w:id="216"/>
    </w:p>
    <w:p>
      <w:pPr>
        <w:ind w:firstLine="544"/>
        <w:rPr>
          <w:rFonts w:ascii="宋体" w:hAnsi="宋体" w:cs="宋体"/>
          <w:sz w:val="28"/>
          <w:szCs w:val="28"/>
        </w:rPr>
      </w:pPr>
      <w:r>
        <w:rPr>
          <w:rFonts w:hint="eastAsia" w:ascii="宋体" w:hAnsi="宋体" w:cs="宋体"/>
          <w:sz w:val="28"/>
          <w:szCs w:val="28"/>
        </w:rPr>
        <w:t>1.严格进货管理，加油站进货必须由主管公司统一配置，不得擅自外采和代替代储，不得擅自调合油品。</w:t>
      </w:r>
    </w:p>
    <w:p>
      <w:pPr>
        <w:ind w:firstLine="544"/>
        <w:rPr>
          <w:rFonts w:ascii="宋体" w:hAnsi="宋体" w:cs="宋体"/>
          <w:sz w:val="28"/>
          <w:szCs w:val="28"/>
        </w:rPr>
      </w:pPr>
      <w:r>
        <w:rPr>
          <w:rFonts w:hint="eastAsia" w:ascii="宋体" w:hAnsi="宋体" w:cs="宋体"/>
          <w:sz w:val="28"/>
          <w:szCs w:val="28"/>
        </w:rPr>
        <w:t>2.检查油罐车铅封是否完好，如铅封不完好，加油站可以拒绝。</w:t>
      </w:r>
    </w:p>
    <w:p>
      <w:pPr>
        <w:ind w:firstLine="544"/>
        <w:rPr>
          <w:rFonts w:ascii="宋体" w:hAnsi="宋体" w:cs="宋体"/>
          <w:sz w:val="28"/>
          <w:szCs w:val="28"/>
        </w:rPr>
      </w:pPr>
      <w:r>
        <w:rPr>
          <w:rFonts w:hint="eastAsia" w:ascii="宋体" w:hAnsi="宋体" w:cs="宋体"/>
          <w:sz w:val="28"/>
          <w:szCs w:val="28"/>
        </w:rPr>
        <w:t>3.卸油前必须验看油品品名、数量、核对油品质量合格证和转仓单。</w:t>
      </w:r>
    </w:p>
    <w:p>
      <w:pPr>
        <w:pStyle w:val="5"/>
        <w:ind w:firstLine="544"/>
        <w:rPr>
          <w:rFonts w:ascii="宋体" w:hAnsi="宋体" w:cs="宋体"/>
          <w:sz w:val="28"/>
          <w:szCs w:val="28"/>
        </w:rPr>
      </w:pPr>
      <w:bookmarkStart w:id="220" w:name="_Toc6828"/>
      <w:r>
        <w:rPr>
          <w:rFonts w:hint="eastAsia" w:ascii="宋体" w:hAnsi="宋体" w:cs="宋体"/>
          <w:sz w:val="28"/>
          <w:szCs w:val="28"/>
        </w:rPr>
        <w:t>4.1.2 防混油安全措施</w:t>
      </w:r>
      <w:bookmarkEnd w:id="220"/>
    </w:p>
    <w:p>
      <w:pPr>
        <w:ind w:firstLine="544"/>
        <w:rPr>
          <w:rFonts w:ascii="宋体" w:hAnsi="宋体" w:cs="宋体"/>
          <w:sz w:val="28"/>
          <w:szCs w:val="28"/>
        </w:rPr>
      </w:pPr>
      <w:r>
        <w:rPr>
          <w:rFonts w:hint="eastAsia" w:ascii="宋体" w:hAnsi="宋体" w:cs="宋体"/>
          <w:sz w:val="28"/>
          <w:szCs w:val="28"/>
        </w:rPr>
        <w:t>1.卸油员会同驾驶员对罐车油品及交运单品种进行核对；</w:t>
      </w:r>
    </w:p>
    <w:p>
      <w:pPr>
        <w:ind w:firstLine="544"/>
        <w:rPr>
          <w:rFonts w:ascii="宋体" w:hAnsi="宋体" w:cs="宋体"/>
          <w:sz w:val="28"/>
          <w:szCs w:val="28"/>
        </w:rPr>
      </w:pPr>
      <w:r>
        <w:rPr>
          <w:rFonts w:hint="eastAsia" w:ascii="宋体" w:hAnsi="宋体" w:cs="宋体"/>
          <w:sz w:val="28"/>
          <w:szCs w:val="28"/>
        </w:rPr>
        <w:t>2.坚持来油监卸制度，卸油过程中必须设专人负责监卸；</w:t>
      </w:r>
    </w:p>
    <w:p>
      <w:pPr>
        <w:ind w:firstLine="544"/>
        <w:rPr>
          <w:rFonts w:ascii="宋体" w:hAnsi="宋体" w:cs="宋体"/>
          <w:sz w:val="28"/>
          <w:szCs w:val="28"/>
        </w:rPr>
      </w:pPr>
      <w:r>
        <w:rPr>
          <w:rFonts w:hint="eastAsia" w:ascii="宋体" w:hAnsi="宋体" w:cs="宋体"/>
          <w:sz w:val="28"/>
          <w:szCs w:val="28"/>
        </w:rPr>
        <w:t>3.核对卸油罐与罐车所装品种是否相符。</w:t>
      </w:r>
    </w:p>
    <w:p>
      <w:pPr>
        <w:pStyle w:val="5"/>
        <w:ind w:firstLine="544"/>
        <w:rPr>
          <w:rFonts w:ascii="宋体" w:hAnsi="宋体" w:cs="宋体"/>
          <w:sz w:val="28"/>
          <w:szCs w:val="28"/>
        </w:rPr>
      </w:pPr>
      <w:bookmarkStart w:id="221" w:name="_Toc1985"/>
      <w:r>
        <w:rPr>
          <w:rFonts w:hint="eastAsia" w:ascii="宋体" w:hAnsi="宋体" w:cs="宋体"/>
          <w:sz w:val="28"/>
          <w:szCs w:val="28"/>
        </w:rPr>
        <w:t>4.1.3 防冒油安全措施</w:t>
      </w:r>
      <w:bookmarkEnd w:id="221"/>
    </w:p>
    <w:p>
      <w:pPr>
        <w:ind w:firstLine="544"/>
        <w:rPr>
          <w:rFonts w:ascii="宋体" w:hAnsi="宋体" w:cs="宋体"/>
          <w:sz w:val="28"/>
          <w:szCs w:val="28"/>
        </w:rPr>
      </w:pPr>
      <w:r>
        <w:rPr>
          <w:rFonts w:hint="eastAsia" w:ascii="宋体" w:hAnsi="宋体" w:cs="宋体"/>
          <w:sz w:val="28"/>
          <w:szCs w:val="28"/>
        </w:rPr>
        <w:t>1.加强计量工作，接卸前通过液位计或人工计量检测确认油罐的空容量；</w:t>
      </w:r>
    </w:p>
    <w:p>
      <w:pPr>
        <w:ind w:firstLine="544"/>
        <w:rPr>
          <w:rFonts w:ascii="宋体" w:hAnsi="宋体" w:cs="宋体"/>
          <w:sz w:val="28"/>
          <w:szCs w:val="28"/>
        </w:rPr>
      </w:pPr>
      <w:r>
        <w:rPr>
          <w:rFonts w:hint="eastAsia" w:ascii="宋体" w:hAnsi="宋体" w:cs="宋体"/>
          <w:sz w:val="28"/>
          <w:szCs w:val="28"/>
        </w:rPr>
        <w:t>2.按工艺流程要求连接卸油管，做到接头结合紧密卸油管自然弯曲；</w:t>
      </w:r>
    </w:p>
    <w:p>
      <w:pPr>
        <w:ind w:firstLine="544"/>
        <w:rPr>
          <w:rFonts w:ascii="宋体" w:hAnsi="宋体" w:cs="宋体"/>
          <w:sz w:val="28"/>
          <w:szCs w:val="28"/>
        </w:rPr>
      </w:pPr>
      <w:r>
        <w:rPr>
          <w:rFonts w:hint="eastAsia" w:ascii="宋体" w:hAnsi="宋体" w:cs="宋体"/>
          <w:sz w:val="28"/>
          <w:szCs w:val="28"/>
        </w:rPr>
        <w:t>3.坚持来油监卸制度，卸油过程必须设专人监卸，同时，罐车司机不得远离现场；</w:t>
      </w:r>
    </w:p>
    <w:p>
      <w:pPr>
        <w:ind w:firstLine="544"/>
        <w:rPr>
          <w:rFonts w:ascii="宋体" w:hAnsi="宋体" w:cs="宋体"/>
          <w:sz w:val="28"/>
          <w:szCs w:val="28"/>
        </w:rPr>
      </w:pPr>
      <w:r>
        <w:rPr>
          <w:rFonts w:hint="eastAsia" w:ascii="宋体" w:hAnsi="宋体" w:cs="宋体"/>
          <w:sz w:val="28"/>
          <w:szCs w:val="28"/>
        </w:rPr>
        <w:t>4.防止设备老化或带伤作业，加油站应定期对站内有关设备进行检查、维护。</w:t>
      </w:r>
    </w:p>
    <w:p>
      <w:pPr>
        <w:pStyle w:val="5"/>
        <w:ind w:firstLine="544"/>
        <w:rPr>
          <w:rFonts w:ascii="宋体" w:hAnsi="宋体" w:cs="宋体"/>
          <w:sz w:val="28"/>
          <w:szCs w:val="28"/>
        </w:rPr>
      </w:pPr>
      <w:bookmarkStart w:id="222" w:name="_Toc22169"/>
      <w:r>
        <w:rPr>
          <w:rFonts w:hint="eastAsia" w:ascii="宋体" w:hAnsi="宋体" w:cs="宋体"/>
          <w:sz w:val="28"/>
          <w:szCs w:val="28"/>
        </w:rPr>
        <w:t>4.1.4 防漏油对策措施</w:t>
      </w:r>
      <w:bookmarkEnd w:id="217"/>
      <w:bookmarkEnd w:id="218"/>
      <w:bookmarkEnd w:id="219"/>
      <w:bookmarkEnd w:id="222"/>
    </w:p>
    <w:p>
      <w:pPr>
        <w:ind w:firstLine="544"/>
        <w:rPr>
          <w:rFonts w:ascii="宋体" w:hAnsi="宋体" w:cs="宋体"/>
          <w:sz w:val="28"/>
          <w:szCs w:val="28"/>
        </w:rPr>
      </w:pPr>
      <w:r>
        <w:rPr>
          <w:rFonts w:hint="eastAsia" w:ascii="宋体" w:hAnsi="宋体" w:cs="宋体"/>
          <w:sz w:val="28"/>
          <w:szCs w:val="28"/>
        </w:rPr>
        <w:t>1.经常检测和维护加油枪的自封部件，防止油箱溢油；</w:t>
      </w:r>
    </w:p>
    <w:p>
      <w:pPr>
        <w:ind w:firstLine="544"/>
        <w:rPr>
          <w:rFonts w:ascii="宋体" w:hAnsi="宋体" w:cs="宋体"/>
          <w:sz w:val="28"/>
          <w:szCs w:val="28"/>
        </w:rPr>
      </w:pPr>
      <w:r>
        <w:rPr>
          <w:rFonts w:hint="eastAsia" w:ascii="宋体" w:hAnsi="宋体" w:cs="宋体"/>
          <w:sz w:val="28"/>
          <w:szCs w:val="28"/>
        </w:rPr>
        <w:t>2.防止油箱漏油，如发现汽车油箱漏油，应停止加油，并将车推走，远离加油机后，再检查油箱，不得在站内修理油箱，及时清除地面油污；</w:t>
      </w:r>
    </w:p>
    <w:p>
      <w:pPr>
        <w:ind w:firstLine="544"/>
        <w:rPr>
          <w:rFonts w:ascii="宋体" w:hAnsi="宋体" w:cs="宋体"/>
          <w:sz w:val="28"/>
          <w:szCs w:val="28"/>
        </w:rPr>
      </w:pPr>
      <w:r>
        <w:rPr>
          <w:rFonts w:hint="eastAsia" w:ascii="宋体" w:hAnsi="宋体" w:cs="宋体"/>
          <w:sz w:val="28"/>
          <w:szCs w:val="28"/>
        </w:rPr>
        <w:t>3.防加油枪漏油或胶管破损。使用加油枪时不得用力拉胶管，同时防止加油枪胶管被车辆碾压，加油完毕应迅速将胶管收起；</w:t>
      </w:r>
    </w:p>
    <w:p>
      <w:pPr>
        <w:ind w:firstLine="544"/>
        <w:rPr>
          <w:rFonts w:ascii="宋体" w:hAnsi="宋体" w:cs="宋体"/>
          <w:sz w:val="28"/>
          <w:szCs w:val="28"/>
        </w:rPr>
      </w:pPr>
      <w:r>
        <w:rPr>
          <w:rFonts w:hint="eastAsia" w:ascii="宋体" w:hAnsi="宋体" w:cs="宋体"/>
          <w:sz w:val="28"/>
          <w:szCs w:val="28"/>
        </w:rPr>
        <w:t>4.防加油渗漏，加油机产生漏油后，部位是进口下法兰口与吸入管口法兰连接处，油泵有分离口排出口等，加油机一旦发生渗漏，应立即停止加油，然后放空回油，切断电源进行检查。</w:t>
      </w:r>
    </w:p>
    <w:p>
      <w:pPr>
        <w:ind w:firstLine="544"/>
        <w:rPr>
          <w:rFonts w:ascii="宋体" w:hAnsi="宋体" w:cs="宋体"/>
          <w:sz w:val="28"/>
          <w:szCs w:val="28"/>
        </w:rPr>
      </w:pPr>
      <w:r>
        <w:rPr>
          <w:rFonts w:hint="eastAsia" w:ascii="宋体" w:hAnsi="宋体" w:cs="宋体"/>
          <w:sz w:val="28"/>
          <w:szCs w:val="28"/>
        </w:rPr>
        <w:t>5.防止设备老化或带伤作业，加油站应定期对站内有关设备进行检查、维护。</w:t>
      </w:r>
    </w:p>
    <w:p>
      <w:pPr>
        <w:pStyle w:val="5"/>
        <w:ind w:firstLine="544"/>
        <w:rPr>
          <w:rFonts w:ascii="宋体" w:hAnsi="宋体" w:cs="宋体"/>
          <w:sz w:val="28"/>
          <w:szCs w:val="28"/>
        </w:rPr>
      </w:pPr>
      <w:bookmarkStart w:id="223" w:name="_Toc14710"/>
      <w:r>
        <w:rPr>
          <w:rFonts w:hint="eastAsia" w:ascii="宋体" w:hAnsi="宋体" w:cs="宋体"/>
          <w:sz w:val="28"/>
          <w:szCs w:val="28"/>
        </w:rPr>
        <w:t>4.1.5 油罐区防火防爆安全措施</w:t>
      </w:r>
      <w:bookmarkEnd w:id="223"/>
    </w:p>
    <w:p>
      <w:pPr>
        <w:ind w:firstLine="544"/>
        <w:rPr>
          <w:rFonts w:ascii="宋体" w:hAnsi="宋体" w:cs="宋体"/>
          <w:sz w:val="28"/>
          <w:szCs w:val="28"/>
        </w:rPr>
      </w:pPr>
      <w:r>
        <w:rPr>
          <w:rFonts w:hint="eastAsia" w:ascii="宋体" w:hAnsi="宋体" w:cs="宋体"/>
          <w:sz w:val="28"/>
          <w:szCs w:val="28"/>
        </w:rPr>
        <w:t>1.严禁储罐超温、超压、超液位操作和随意变更储存介质。</w:t>
      </w:r>
    </w:p>
    <w:p>
      <w:pPr>
        <w:ind w:firstLine="544"/>
        <w:rPr>
          <w:rFonts w:ascii="宋体" w:hAnsi="宋体" w:cs="宋体"/>
          <w:sz w:val="28"/>
          <w:szCs w:val="28"/>
        </w:rPr>
      </w:pPr>
      <w:r>
        <w:rPr>
          <w:rFonts w:hint="eastAsia" w:ascii="宋体" w:hAnsi="宋体" w:cs="宋体"/>
          <w:sz w:val="28"/>
          <w:szCs w:val="28"/>
        </w:rPr>
        <w:t>2.严禁在罐区切罐、装卸车时作业人员离开现场。</w:t>
      </w:r>
    </w:p>
    <w:p>
      <w:pPr>
        <w:ind w:firstLine="544"/>
        <w:rPr>
          <w:rFonts w:ascii="宋体" w:hAnsi="宋体" w:cs="宋体"/>
          <w:sz w:val="28"/>
          <w:szCs w:val="28"/>
        </w:rPr>
      </w:pPr>
      <w:r>
        <w:rPr>
          <w:rFonts w:hint="eastAsia" w:ascii="宋体" w:hAnsi="宋体" w:cs="宋体"/>
          <w:sz w:val="28"/>
          <w:szCs w:val="28"/>
        </w:rPr>
        <w:t>3.严禁关闭在用油气储罐安全阀切断阀和在泄压排放系统加盲板。</w:t>
      </w:r>
    </w:p>
    <w:p>
      <w:pPr>
        <w:ind w:firstLine="544"/>
        <w:rPr>
          <w:rFonts w:ascii="宋体" w:hAnsi="宋体" w:cs="宋体"/>
          <w:sz w:val="28"/>
          <w:szCs w:val="28"/>
        </w:rPr>
      </w:pPr>
      <w:r>
        <w:rPr>
          <w:rFonts w:hint="eastAsia" w:ascii="宋体" w:hAnsi="宋体" w:cs="宋体"/>
          <w:sz w:val="28"/>
          <w:szCs w:val="28"/>
        </w:rPr>
        <w:t>4.严禁停用罐区液位报警系统。</w:t>
      </w:r>
    </w:p>
    <w:p>
      <w:pPr>
        <w:ind w:firstLine="544"/>
        <w:rPr>
          <w:rFonts w:ascii="宋体" w:hAnsi="宋体" w:cs="宋体"/>
          <w:sz w:val="28"/>
          <w:szCs w:val="28"/>
        </w:rPr>
      </w:pPr>
      <w:r>
        <w:rPr>
          <w:rFonts w:hint="eastAsia" w:ascii="宋体" w:hAnsi="宋体" w:cs="宋体"/>
          <w:sz w:val="28"/>
          <w:szCs w:val="28"/>
        </w:rPr>
        <w:t>5.严禁未进行气体检测和办理作业许可证，在罐区动火或进入受限空间作业。</w:t>
      </w:r>
    </w:p>
    <w:p>
      <w:pPr>
        <w:ind w:firstLine="544"/>
        <w:rPr>
          <w:rFonts w:ascii="宋体" w:hAnsi="宋体" w:cs="宋体"/>
          <w:sz w:val="28"/>
          <w:szCs w:val="28"/>
        </w:rPr>
      </w:pPr>
      <w:r>
        <w:rPr>
          <w:rFonts w:hint="eastAsia" w:ascii="宋体" w:hAnsi="宋体" w:cs="宋体"/>
          <w:sz w:val="28"/>
          <w:szCs w:val="28"/>
        </w:rPr>
        <w:t>6.严禁向储罐或与储罐连接管道中直接添加性质不明或能发生剧烈反应的物质。</w:t>
      </w:r>
    </w:p>
    <w:p>
      <w:pPr>
        <w:ind w:firstLine="544"/>
        <w:rPr>
          <w:rFonts w:ascii="宋体" w:hAnsi="宋体" w:cs="宋体"/>
          <w:sz w:val="28"/>
          <w:szCs w:val="28"/>
        </w:rPr>
      </w:pPr>
      <w:r>
        <w:rPr>
          <w:rFonts w:hint="eastAsia" w:ascii="宋体" w:hAnsi="宋体" w:cs="宋体"/>
          <w:sz w:val="28"/>
          <w:szCs w:val="28"/>
        </w:rPr>
        <w:t>7.严禁在罐区使用非防爆照明、电气设施、工器具和电子器材。</w:t>
      </w:r>
    </w:p>
    <w:p>
      <w:pPr>
        <w:ind w:firstLine="544"/>
        <w:rPr>
          <w:rFonts w:ascii="宋体" w:hAnsi="宋体" w:cs="宋体"/>
          <w:sz w:val="28"/>
          <w:szCs w:val="28"/>
        </w:rPr>
      </w:pPr>
      <w:r>
        <w:rPr>
          <w:rFonts w:hint="eastAsia" w:ascii="宋体" w:hAnsi="宋体" w:cs="宋体"/>
          <w:sz w:val="28"/>
          <w:szCs w:val="28"/>
        </w:rPr>
        <w:t>8.严禁培训不合格人员和无相关资质承包商进入罐区作业，未经许可机动车辆及外来人员不得进入罐区。</w:t>
      </w:r>
    </w:p>
    <w:p>
      <w:pPr>
        <w:ind w:firstLine="544"/>
        <w:rPr>
          <w:rFonts w:ascii="宋体" w:hAnsi="宋体" w:cs="宋体"/>
          <w:sz w:val="28"/>
          <w:szCs w:val="28"/>
        </w:rPr>
      </w:pPr>
      <w:r>
        <w:rPr>
          <w:rFonts w:hint="eastAsia" w:ascii="宋体" w:hAnsi="宋体" w:cs="宋体"/>
          <w:sz w:val="28"/>
          <w:szCs w:val="28"/>
        </w:rPr>
        <w:t>9.严禁罐区设备设施不完好或带病运行。</w:t>
      </w:r>
    </w:p>
    <w:p>
      <w:pPr>
        <w:pStyle w:val="5"/>
        <w:ind w:firstLine="544"/>
        <w:rPr>
          <w:rFonts w:ascii="宋体" w:hAnsi="宋体" w:cs="宋体"/>
          <w:sz w:val="28"/>
          <w:szCs w:val="28"/>
        </w:rPr>
      </w:pPr>
      <w:bookmarkStart w:id="224" w:name="_Toc31848"/>
      <w:bookmarkStart w:id="225" w:name="_Toc449348785"/>
      <w:bookmarkStart w:id="226" w:name="_Toc25078"/>
      <w:bookmarkStart w:id="227" w:name="_Toc11677"/>
      <w:r>
        <w:rPr>
          <w:rFonts w:hint="eastAsia" w:ascii="宋体" w:hAnsi="宋体" w:cs="宋体"/>
          <w:sz w:val="28"/>
          <w:szCs w:val="28"/>
        </w:rPr>
        <w:t>4.1.6 加油作业对策措施</w:t>
      </w:r>
      <w:bookmarkEnd w:id="224"/>
      <w:bookmarkEnd w:id="225"/>
      <w:bookmarkEnd w:id="226"/>
      <w:bookmarkEnd w:id="227"/>
    </w:p>
    <w:p>
      <w:pPr>
        <w:ind w:firstLine="544"/>
        <w:rPr>
          <w:rFonts w:ascii="宋体" w:hAnsi="宋体" w:cs="宋体"/>
          <w:sz w:val="28"/>
          <w:szCs w:val="28"/>
        </w:rPr>
      </w:pPr>
      <w:r>
        <w:rPr>
          <w:rFonts w:hint="eastAsia" w:ascii="宋体" w:hAnsi="宋体" w:cs="宋体"/>
          <w:sz w:val="28"/>
          <w:szCs w:val="28"/>
        </w:rPr>
        <w:t>1.加油机运转时，电机和泵温度应保持正常，计量器和泵的轴封应无明显泄露，加油流量不应大于50L/min；</w:t>
      </w:r>
    </w:p>
    <w:p>
      <w:pPr>
        <w:ind w:firstLine="544"/>
        <w:rPr>
          <w:rFonts w:ascii="宋体" w:hAnsi="宋体" w:cs="宋体"/>
          <w:sz w:val="28"/>
          <w:szCs w:val="28"/>
        </w:rPr>
      </w:pPr>
      <w:r>
        <w:rPr>
          <w:rFonts w:hint="eastAsia" w:ascii="宋体" w:hAnsi="宋体" w:cs="宋体"/>
          <w:sz w:val="28"/>
          <w:szCs w:val="28"/>
        </w:rPr>
        <w:t>2.加油机机件应保持性能良好，排气管应畅通、无损。加油员在使用加油机前，应检查加油机运转是否正常及有无渗漏油品现象，并要保持加油机的整洁；</w:t>
      </w:r>
    </w:p>
    <w:p>
      <w:pPr>
        <w:ind w:firstLine="544"/>
        <w:rPr>
          <w:rFonts w:ascii="宋体" w:hAnsi="宋体" w:cs="宋体"/>
          <w:sz w:val="28"/>
          <w:szCs w:val="28"/>
        </w:rPr>
      </w:pPr>
      <w:r>
        <w:rPr>
          <w:rFonts w:hint="eastAsia" w:ascii="宋体" w:hAnsi="宋体" w:cs="宋体"/>
          <w:sz w:val="28"/>
          <w:szCs w:val="28"/>
        </w:rPr>
        <w:t>3.加油岛上不得放置非防爆电器设备及其他杂物；</w:t>
      </w:r>
    </w:p>
    <w:p>
      <w:pPr>
        <w:ind w:firstLine="544"/>
        <w:rPr>
          <w:rFonts w:ascii="宋体" w:hAnsi="宋体" w:cs="宋体"/>
          <w:sz w:val="28"/>
          <w:szCs w:val="28"/>
        </w:rPr>
      </w:pPr>
      <w:r>
        <w:rPr>
          <w:rFonts w:hint="eastAsia" w:ascii="宋体" w:hAnsi="宋体" w:cs="宋体"/>
          <w:sz w:val="28"/>
          <w:szCs w:val="28"/>
        </w:rPr>
        <w:t>4.有加油车辆进站时，加油人员应站在加油岛上以防被撞，作业人员避免穿过两车中间；</w:t>
      </w:r>
    </w:p>
    <w:p>
      <w:pPr>
        <w:ind w:firstLine="544"/>
        <w:rPr>
          <w:rFonts w:ascii="宋体" w:hAnsi="宋体" w:cs="宋体"/>
          <w:sz w:val="28"/>
          <w:szCs w:val="28"/>
        </w:rPr>
      </w:pPr>
      <w:r>
        <w:rPr>
          <w:rFonts w:hint="eastAsia" w:ascii="宋体" w:hAnsi="宋体" w:cs="宋体"/>
          <w:sz w:val="28"/>
          <w:szCs w:val="28"/>
        </w:rPr>
        <w:t>5.禁止使用绝缘性容器加注柴油和汽油；</w:t>
      </w:r>
    </w:p>
    <w:p>
      <w:pPr>
        <w:ind w:firstLine="544"/>
        <w:rPr>
          <w:rFonts w:ascii="宋体" w:hAnsi="宋体" w:cs="宋体"/>
          <w:sz w:val="28"/>
          <w:szCs w:val="28"/>
        </w:rPr>
      </w:pPr>
      <w:r>
        <w:rPr>
          <w:rFonts w:hint="eastAsia" w:ascii="宋体" w:hAnsi="宋体" w:cs="宋体"/>
          <w:sz w:val="28"/>
          <w:szCs w:val="28"/>
        </w:rPr>
        <w:t>6.车辆驶入站时，加油员应主动引导车辆进入加油位置。当进站加油车停稳，发动机熄火后，方可打开油箱盖，加油前加油机计数器回零后，启动加油机开始加油；</w:t>
      </w:r>
    </w:p>
    <w:p>
      <w:pPr>
        <w:ind w:firstLine="544"/>
        <w:rPr>
          <w:rFonts w:ascii="宋体" w:hAnsi="宋体" w:cs="宋体"/>
          <w:sz w:val="28"/>
          <w:szCs w:val="28"/>
        </w:rPr>
      </w:pPr>
      <w:r>
        <w:rPr>
          <w:rFonts w:hint="eastAsia" w:ascii="宋体" w:hAnsi="宋体" w:cs="宋体"/>
          <w:sz w:val="28"/>
          <w:szCs w:val="28"/>
        </w:rPr>
        <w:t>7.加油作业应由加油员操作，不得由他人自行处置；</w:t>
      </w:r>
    </w:p>
    <w:p>
      <w:pPr>
        <w:ind w:firstLine="544"/>
        <w:rPr>
          <w:rFonts w:ascii="宋体" w:hAnsi="宋体" w:cs="宋体"/>
          <w:sz w:val="28"/>
          <w:szCs w:val="28"/>
        </w:rPr>
      </w:pPr>
      <w:r>
        <w:rPr>
          <w:rFonts w:hint="eastAsia" w:ascii="宋体" w:hAnsi="宋体" w:cs="宋体"/>
          <w:sz w:val="28"/>
          <w:szCs w:val="28"/>
        </w:rPr>
        <w:t>8.加油时应避免油料溅出，尤其机车加油时应特别注意不可让溅出油料溅及高温引擎及排气管；</w:t>
      </w:r>
    </w:p>
    <w:p>
      <w:pPr>
        <w:ind w:firstLine="544"/>
        <w:rPr>
          <w:rFonts w:ascii="宋体" w:hAnsi="宋体" w:cs="宋体"/>
          <w:sz w:val="28"/>
          <w:szCs w:val="28"/>
        </w:rPr>
      </w:pPr>
      <w:r>
        <w:rPr>
          <w:rFonts w:hint="eastAsia" w:ascii="宋体" w:hAnsi="宋体" w:cs="宋体"/>
          <w:sz w:val="28"/>
          <w:szCs w:val="28"/>
        </w:rPr>
        <w:t>9.加油时若有油料溢出，应立即擦拭，含有油污布料应妥善收存有盖容器中；</w:t>
      </w:r>
    </w:p>
    <w:p>
      <w:pPr>
        <w:ind w:firstLine="544"/>
        <w:rPr>
          <w:rFonts w:ascii="宋体" w:hAnsi="宋体" w:cs="宋体"/>
          <w:sz w:val="28"/>
          <w:szCs w:val="28"/>
        </w:rPr>
      </w:pPr>
      <w:r>
        <w:rPr>
          <w:rFonts w:hint="eastAsia" w:ascii="宋体" w:hAnsi="宋体" w:cs="宋体"/>
          <w:sz w:val="28"/>
          <w:szCs w:val="28"/>
        </w:rPr>
        <w:t>10.加完油后，应立即将加油枪拉出，以防被拖走；</w:t>
      </w:r>
    </w:p>
    <w:p>
      <w:pPr>
        <w:ind w:firstLine="544"/>
        <w:rPr>
          <w:rFonts w:ascii="宋体" w:hAnsi="宋体" w:cs="宋体"/>
          <w:sz w:val="28"/>
          <w:szCs w:val="28"/>
        </w:rPr>
      </w:pPr>
      <w:r>
        <w:rPr>
          <w:rFonts w:hint="eastAsia" w:ascii="宋体" w:hAnsi="宋体" w:cs="宋体"/>
          <w:sz w:val="28"/>
          <w:szCs w:val="28"/>
        </w:rPr>
        <w:t>11.加油站上空有高强闪电或雷击频繁时，应停止加油作业，采取防护措施；</w:t>
      </w:r>
    </w:p>
    <w:p>
      <w:pPr>
        <w:ind w:firstLine="544"/>
        <w:rPr>
          <w:rFonts w:ascii="宋体" w:hAnsi="宋体" w:cs="宋体"/>
          <w:sz w:val="28"/>
          <w:szCs w:val="28"/>
        </w:rPr>
      </w:pPr>
      <w:r>
        <w:rPr>
          <w:rFonts w:hint="eastAsia" w:ascii="宋体" w:hAnsi="宋体" w:cs="宋体"/>
          <w:sz w:val="28"/>
          <w:szCs w:val="28"/>
        </w:rPr>
        <w:t>12.加油作业时，所有人员不得使用非防爆移动通讯设备。</w:t>
      </w:r>
    </w:p>
    <w:p>
      <w:pPr>
        <w:pStyle w:val="5"/>
        <w:ind w:firstLine="544"/>
        <w:rPr>
          <w:rFonts w:ascii="宋体" w:hAnsi="宋体" w:cs="宋体"/>
          <w:sz w:val="28"/>
          <w:szCs w:val="28"/>
        </w:rPr>
      </w:pPr>
      <w:bookmarkStart w:id="228" w:name="_Toc29394"/>
      <w:bookmarkStart w:id="229" w:name="_Toc449348782"/>
      <w:bookmarkStart w:id="230" w:name="_Toc25358"/>
      <w:bookmarkStart w:id="231" w:name="_Toc6687"/>
      <w:r>
        <w:rPr>
          <w:rFonts w:hint="eastAsia" w:ascii="宋体" w:hAnsi="宋体" w:cs="宋体"/>
          <w:sz w:val="28"/>
          <w:szCs w:val="28"/>
        </w:rPr>
        <w:t>4.1.7 防火灾、爆炸对策措施</w:t>
      </w:r>
      <w:bookmarkEnd w:id="228"/>
      <w:bookmarkEnd w:id="229"/>
      <w:bookmarkEnd w:id="230"/>
      <w:bookmarkEnd w:id="231"/>
    </w:p>
    <w:p>
      <w:pPr>
        <w:ind w:firstLine="544"/>
        <w:rPr>
          <w:rFonts w:ascii="宋体" w:hAnsi="宋体" w:cs="宋体"/>
          <w:sz w:val="28"/>
          <w:szCs w:val="28"/>
        </w:rPr>
      </w:pPr>
      <w:r>
        <w:rPr>
          <w:rFonts w:hint="eastAsia" w:ascii="宋体" w:hAnsi="宋体" w:cs="宋体"/>
          <w:sz w:val="28"/>
          <w:szCs w:val="28"/>
        </w:rPr>
        <w:t>1.严禁烟火，管理人员和安全员在日常检查中，严禁携带烟火进入加油站，严禁在站内动用烟火；</w:t>
      </w:r>
    </w:p>
    <w:p>
      <w:pPr>
        <w:ind w:firstLine="544"/>
        <w:rPr>
          <w:rFonts w:ascii="宋体" w:hAnsi="宋体" w:cs="宋体"/>
          <w:sz w:val="28"/>
          <w:szCs w:val="28"/>
        </w:rPr>
      </w:pPr>
      <w:r>
        <w:rPr>
          <w:rFonts w:hint="eastAsia" w:ascii="宋体" w:hAnsi="宋体" w:cs="宋体"/>
          <w:sz w:val="28"/>
          <w:szCs w:val="28"/>
        </w:rPr>
        <w:t>2.严禁在加油站爆炸危险场所和火灾危险区使用非防爆电器，要注意在加油站停电或夜间作业时，不得采用非防爆灯具进行照明，检修和作业；</w:t>
      </w:r>
    </w:p>
    <w:p>
      <w:pPr>
        <w:ind w:firstLine="544"/>
        <w:rPr>
          <w:rFonts w:ascii="宋体" w:hAnsi="宋体" w:cs="宋体"/>
          <w:sz w:val="28"/>
          <w:szCs w:val="28"/>
        </w:rPr>
      </w:pPr>
      <w:r>
        <w:rPr>
          <w:rFonts w:hint="eastAsia" w:ascii="宋体" w:hAnsi="宋体" w:cs="宋体"/>
          <w:sz w:val="28"/>
          <w:szCs w:val="28"/>
        </w:rPr>
        <w:t>3.机动车熄火加油、摩托车在站外用铁桶加油；</w:t>
      </w:r>
    </w:p>
    <w:p>
      <w:pPr>
        <w:ind w:firstLine="544"/>
        <w:rPr>
          <w:rFonts w:ascii="宋体" w:hAnsi="宋体" w:cs="宋体"/>
          <w:sz w:val="28"/>
          <w:szCs w:val="28"/>
        </w:rPr>
      </w:pPr>
      <w:r>
        <w:rPr>
          <w:rFonts w:hint="eastAsia" w:ascii="宋体" w:hAnsi="宋体" w:cs="宋体"/>
          <w:sz w:val="28"/>
          <w:szCs w:val="28"/>
        </w:rPr>
        <w:t>4.严禁在站内检修车辆，敲打铁器等易产生火花的作业；</w:t>
      </w:r>
    </w:p>
    <w:p>
      <w:pPr>
        <w:ind w:firstLine="544"/>
        <w:rPr>
          <w:rFonts w:ascii="宋体" w:hAnsi="宋体" w:cs="宋体"/>
          <w:sz w:val="28"/>
          <w:szCs w:val="28"/>
        </w:rPr>
      </w:pPr>
      <w:r>
        <w:rPr>
          <w:rFonts w:hint="eastAsia" w:ascii="宋体" w:hAnsi="宋体" w:cs="宋体"/>
          <w:sz w:val="28"/>
          <w:szCs w:val="28"/>
        </w:rPr>
        <w:t>5.严格执行烟火管理制度，防止意外事故发生；</w:t>
      </w:r>
    </w:p>
    <w:p>
      <w:pPr>
        <w:ind w:firstLine="544"/>
        <w:rPr>
          <w:rFonts w:ascii="宋体" w:hAnsi="宋体" w:cs="宋体"/>
          <w:sz w:val="28"/>
          <w:szCs w:val="28"/>
        </w:rPr>
      </w:pPr>
      <w:r>
        <w:rPr>
          <w:rFonts w:hint="eastAsia" w:ascii="宋体" w:hAnsi="宋体" w:cs="宋体"/>
          <w:sz w:val="28"/>
          <w:szCs w:val="28"/>
        </w:rPr>
        <w:t>6.站内动火满足以下要求：</w:t>
      </w:r>
    </w:p>
    <w:p>
      <w:pPr>
        <w:ind w:firstLine="544"/>
        <w:rPr>
          <w:rFonts w:ascii="宋体" w:hAnsi="宋体" w:cs="宋体"/>
          <w:sz w:val="28"/>
          <w:szCs w:val="28"/>
        </w:rPr>
      </w:pPr>
      <w:r>
        <w:rPr>
          <w:rFonts w:hint="eastAsia" w:ascii="宋体" w:hAnsi="宋体" w:cs="宋体"/>
          <w:sz w:val="28"/>
          <w:szCs w:val="28"/>
        </w:rPr>
        <w:t>1）在区域内进行电（气）焊等明火作业应办理动火审批手续。动火作业前，应经本单位负责人和安全部门审批。</w:t>
      </w:r>
    </w:p>
    <w:p>
      <w:pPr>
        <w:ind w:firstLine="544"/>
        <w:rPr>
          <w:rFonts w:ascii="宋体" w:hAnsi="宋体" w:cs="宋体"/>
          <w:sz w:val="28"/>
          <w:szCs w:val="28"/>
        </w:rPr>
      </w:pPr>
      <w:r>
        <w:rPr>
          <w:rFonts w:hint="eastAsia" w:ascii="宋体" w:hAnsi="宋体" w:cs="宋体"/>
          <w:sz w:val="28"/>
          <w:szCs w:val="28"/>
        </w:rPr>
        <w:t>2）动火期间，安全监护人员应到现场监督，现场应挂警示牌。动火人员应按动火审批的具体要求作业，动火完毕，监护人员和动火人员应共同检查和清理现场。</w:t>
      </w:r>
    </w:p>
    <w:p>
      <w:pPr>
        <w:ind w:firstLine="544"/>
        <w:rPr>
          <w:rFonts w:ascii="宋体" w:hAnsi="宋体" w:cs="宋体"/>
          <w:sz w:val="28"/>
          <w:szCs w:val="28"/>
        </w:rPr>
      </w:pPr>
      <w:r>
        <w:rPr>
          <w:rFonts w:hint="eastAsia" w:ascii="宋体" w:hAnsi="宋体" w:cs="宋体"/>
          <w:sz w:val="28"/>
          <w:szCs w:val="28"/>
        </w:rPr>
        <w:t>3）动火时作业场所应增设消防器材，放置于施工处。</w:t>
      </w:r>
    </w:p>
    <w:p>
      <w:pPr>
        <w:ind w:firstLine="544"/>
        <w:rPr>
          <w:rFonts w:ascii="宋体" w:hAnsi="宋体" w:cs="宋体"/>
          <w:sz w:val="28"/>
          <w:szCs w:val="28"/>
        </w:rPr>
      </w:pPr>
      <w:r>
        <w:rPr>
          <w:rFonts w:hint="eastAsia" w:ascii="宋体" w:hAnsi="宋体" w:cs="宋体"/>
          <w:sz w:val="28"/>
          <w:szCs w:val="28"/>
        </w:rPr>
        <w:t>4）临近火灾、爆炸危险区域动火施工时，应隔离并注意风向，以防止余火飘入引起火灾。</w:t>
      </w:r>
    </w:p>
    <w:p>
      <w:pPr>
        <w:ind w:firstLine="544"/>
        <w:rPr>
          <w:rFonts w:ascii="宋体" w:hAnsi="宋体" w:cs="宋体"/>
          <w:sz w:val="28"/>
          <w:szCs w:val="28"/>
        </w:rPr>
      </w:pPr>
      <w:r>
        <w:rPr>
          <w:rFonts w:hint="eastAsia" w:ascii="宋体" w:hAnsi="宋体" w:cs="宋体"/>
          <w:sz w:val="28"/>
          <w:szCs w:val="28"/>
        </w:rPr>
        <w:t>5）凡施工时须启、闭管线阀门设备，均应由值班站长员会同处理，施工人员不得擅自操作。</w:t>
      </w:r>
    </w:p>
    <w:p>
      <w:pPr>
        <w:ind w:firstLine="544"/>
        <w:rPr>
          <w:rFonts w:ascii="宋体" w:hAnsi="宋体" w:cs="宋体"/>
          <w:sz w:val="28"/>
          <w:szCs w:val="28"/>
        </w:rPr>
      </w:pPr>
      <w:r>
        <w:rPr>
          <w:rFonts w:hint="eastAsia" w:ascii="宋体" w:hAnsi="宋体" w:cs="宋体"/>
          <w:sz w:val="28"/>
          <w:szCs w:val="28"/>
        </w:rPr>
        <w:t>6）动用火种时，值班站长及施工现场负责人不得离开现场。</w:t>
      </w:r>
    </w:p>
    <w:p>
      <w:pPr>
        <w:ind w:firstLine="544"/>
        <w:rPr>
          <w:rFonts w:ascii="宋体" w:hAnsi="宋体" w:cs="宋体"/>
          <w:sz w:val="28"/>
          <w:szCs w:val="28"/>
        </w:rPr>
      </w:pPr>
      <w:r>
        <w:rPr>
          <w:rFonts w:hint="eastAsia" w:ascii="宋体" w:hAnsi="宋体" w:cs="宋体"/>
          <w:sz w:val="28"/>
          <w:szCs w:val="28"/>
        </w:rPr>
        <w:t>7）将动火设备，诸如油罐、输送管线等的油品等可燃物彻底清理干净，并有足够时间进行蒸气吹扫和水洗，达到动火条件。</w:t>
      </w:r>
    </w:p>
    <w:p>
      <w:pPr>
        <w:ind w:firstLine="544"/>
        <w:rPr>
          <w:rFonts w:ascii="宋体" w:hAnsi="宋体" w:cs="宋体"/>
          <w:sz w:val="28"/>
          <w:szCs w:val="28"/>
        </w:rPr>
      </w:pPr>
      <w:r>
        <w:rPr>
          <w:rFonts w:hint="eastAsia" w:ascii="宋体" w:hAnsi="宋体" w:cs="宋体"/>
          <w:sz w:val="28"/>
          <w:szCs w:val="28"/>
        </w:rPr>
        <w:t>8）与动火设备相连的所有管线，均应加堵盲板与系统彻底隔离、切断。</w:t>
      </w:r>
    </w:p>
    <w:p>
      <w:pPr>
        <w:ind w:firstLine="544"/>
        <w:rPr>
          <w:rFonts w:ascii="宋体" w:hAnsi="宋体" w:cs="宋体"/>
          <w:sz w:val="28"/>
          <w:szCs w:val="28"/>
        </w:rPr>
      </w:pPr>
      <w:r>
        <w:rPr>
          <w:rFonts w:hint="eastAsia" w:ascii="宋体" w:hAnsi="宋体" w:cs="宋体"/>
          <w:sz w:val="28"/>
          <w:szCs w:val="28"/>
        </w:rPr>
        <w:t>9）油罐、容器动火，应做爆炸分析，合格后方可动火。动火前在外边进行明火试验，工作时容器外应有专人监护。</w:t>
      </w:r>
    </w:p>
    <w:p>
      <w:pPr>
        <w:ind w:firstLine="544"/>
        <w:rPr>
          <w:rFonts w:ascii="宋体" w:hAnsi="宋体" w:cs="宋体"/>
          <w:sz w:val="28"/>
          <w:szCs w:val="28"/>
        </w:rPr>
      </w:pPr>
      <w:r>
        <w:rPr>
          <w:rFonts w:hint="eastAsia" w:ascii="宋体" w:hAnsi="宋体" w:cs="宋体"/>
          <w:sz w:val="28"/>
          <w:szCs w:val="28"/>
        </w:rPr>
        <w:t>10）动火点周围（最小半径15m）的下水井、隔油池、地漏、地沟等应清除易燃物，并予以封闭。</w:t>
      </w:r>
    </w:p>
    <w:p>
      <w:pPr>
        <w:ind w:firstLine="544"/>
        <w:rPr>
          <w:rFonts w:ascii="宋体" w:hAnsi="宋体" w:cs="宋体"/>
          <w:sz w:val="28"/>
          <w:szCs w:val="28"/>
        </w:rPr>
      </w:pPr>
      <w:r>
        <w:rPr>
          <w:rFonts w:hint="eastAsia" w:ascii="宋体" w:hAnsi="宋体" w:cs="宋体"/>
          <w:sz w:val="28"/>
          <w:szCs w:val="28"/>
        </w:rPr>
        <w:t>11）高处动火（2m以上）必须采取防止火花飞溅措施，风力较大时，应加强监护，大于5级时禁止动火。</w:t>
      </w:r>
    </w:p>
    <w:p>
      <w:pPr>
        <w:ind w:firstLine="544"/>
        <w:rPr>
          <w:rFonts w:ascii="宋体" w:hAnsi="宋体" w:cs="宋体"/>
          <w:sz w:val="28"/>
          <w:szCs w:val="28"/>
        </w:rPr>
      </w:pPr>
      <w:r>
        <w:rPr>
          <w:rFonts w:hint="eastAsia" w:ascii="宋体" w:hAnsi="宋体" w:cs="宋体"/>
          <w:sz w:val="28"/>
          <w:szCs w:val="28"/>
        </w:rPr>
        <w:t>12）动火开始前和动火结束后，均应认真检查现场条件是否变化，不得留有余火。</w:t>
      </w:r>
    </w:p>
    <w:p>
      <w:pPr>
        <w:pStyle w:val="5"/>
        <w:ind w:firstLine="544"/>
        <w:rPr>
          <w:rFonts w:ascii="宋体" w:hAnsi="宋体" w:cs="宋体"/>
          <w:sz w:val="28"/>
          <w:szCs w:val="28"/>
        </w:rPr>
      </w:pPr>
      <w:bookmarkStart w:id="232" w:name="_Toc449348783"/>
      <w:bookmarkStart w:id="233" w:name="_Toc25841"/>
      <w:bookmarkStart w:id="234" w:name="_Toc12775"/>
      <w:bookmarkStart w:id="235" w:name="_Toc23592"/>
      <w:r>
        <w:rPr>
          <w:rFonts w:hint="eastAsia" w:ascii="宋体" w:hAnsi="宋体" w:cs="宋体"/>
          <w:sz w:val="28"/>
          <w:szCs w:val="28"/>
        </w:rPr>
        <w:t>4.1.8 防雷、防静电对策措施</w:t>
      </w:r>
      <w:bookmarkEnd w:id="232"/>
      <w:bookmarkEnd w:id="233"/>
      <w:bookmarkEnd w:id="234"/>
      <w:bookmarkEnd w:id="235"/>
    </w:p>
    <w:p>
      <w:pPr>
        <w:ind w:firstLine="544"/>
        <w:rPr>
          <w:rFonts w:ascii="宋体" w:hAnsi="宋体" w:cs="宋体"/>
          <w:sz w:val="28"/>
          <w:szCs w:val="28"/>
        </w:rPr>
      </w:pPr>
      <w:r>
        <w:rPr>
          <w:rFonts w:hint="eastAsia" w:ascii="宋体" w:hAnsi="宋体" w:cs="宋体"/>
          <w:sz w:val="28"/>
          <w:szCs w:val="28"/>
        </w:rPr>
        <w:t>1.卸油前，油罐车需熄火并静置15min后方可进行下一步操作；</w:t>
      </w:r>
    </w:p>
    <w:p>
      <w:pPr>
        <w:ind w:firstLine="544"/>
        <w:rPr>
          <w:rFonts w:ascii="宋体" w:hAnsi="宋体" w:cs="宋体"/>
          <w:sz w:val="28"/>
          <w:szCs w:val="28"/>
        </w:rPr>
      </w:pPr>
      <w:r>
        <w:rPr>
          <w:rFonts w:hint="eastAsia" w:ascii="宋体" w:hAnsi="宋体" w:cs="宋体"/>
          <w:sz w:val="28"/>
          <w:szCs w:val="28"/>
        </w:rPr>
        <w:t>2.卸油前卸油员必须连接好输油管线与储油罐的静电接地线；</w:t>
      </w:r>
    </w:p>
    <w:p>
      <w:pPr>
        <w:ind w:firstLine="544"/>
        <w:rPr>
          <w:rFonts w:ascii="宋体" w:hAnsi="宋体" w:cs="宋体"/>
          <w:sz w:val="28"/>
          <w:szCs w:val="28"/>
        </w:rPr>
      </w:pPr>
      <w:r>
        <w:rPr>
          <w:rFonts w:hint="eastAsia" w:ascii="宋体" w:hAnsi="宋体" w:cs="宋体"/>
          <w:sz w:val="28"/>
          <w:szCs w:val="28"/>
        </w:rPr>
        <w:t>3.加油站防雷、防静电接地装置每年至少在雷雨季节前检测一次其有效性；</w:t>
      </w:r>
    </w:p>
    <w:p>
      <w:pPr>
        <w:ind w:firstLine="544"/>
        <w:rPr>
          <w:rFonts w:ascii="宋体" w:hAnsi="宋体" w:cs="宋体"/>
          <w:sz w:val="28"/>
          <w:szCs w:val="28"/>
        </w:rPr>
      </w:pPr>
      <w:r>
        <w:rPr>
          <w:rFonts w:hint="eastAsia" w:ascii="宋体" w:hAnsi="宋体" w:cs="宋体"/>
          <w:sz w:val="28"/>
          <w:szCs w:val="28"/>
        </w:rPr>
        <w:t>4.经常检查加油枪胶管上的金属屏蔽线和机体之间的静电连接，防止静接地导线断裂造成爆燃事故；</w:t>
      </w:r>
    </w:p>
    <w:p>
      <w:pPr>
        <w:ind w:firstLine="544"/>
        <w:rPr>
          <w:rFonts w:ascii="宋体" w:hAnsi="宋体" w:cs="宋体"/>
          <w:sz w:val="28"/>
          <w:szCs w:val="28"/>
        </w:rPr>
      </w:pPr>
      <w:r>
        <w:rPr>
          <w:rFonts w:hint="eastAsia" w:ascii="宋体" w:hAnsi="宋体" w:cs="宋体"/>
          <w:sz w:val="28"/>
          <w:szCs w:val="28"/>
        </w:rPr>
        <w:t>5.严禁向塑料桶直接加注汽油、柴油；</w:t>
      </w:r>
    </w:p>
    <w:p>
      <w:pPr>
        <w:ind w:firstLine="544"/>
        <w:rPr>
          <w:rFonts w:ascii="宋体" w:hAnsi="宋体" w:cs="宋体"/>
          <w:sz w:val="28"/>
          <w:szCs w:val="28"/>
        </w:rPr>
      </w:pPr>
      <w:r>
        <w:rPr>
          <w:rFonts w:hint="eastAsia" w:ascii="宋体" w:hAnsi="宋体" w:cs="宋体"/>
          <w:sz w:val="28"/>
          <w:szCs w:val="28"/>
        </w:rPr>
        <w:t>6.经营人员要穿防静电工作服上岗，以消除人体静电；</w:t>
      </w:r>
    </w:p>
    <w:p>
      <w:pPr>
        <w:ind w:firstLine="544"/>
        <w:rPr>
          <w:rFonts w:ascii="宋体" w:hAnsi="宋体" w:cs="宋体"/>
          <w:sz w:val="28"/>
          <w:szCs w:val="28"/>
        </w:rPr>
      </w:pPr>
      <w:r>
        <w:rPr>
          <w:rFonts w:hint="eastAsia" w:ascii="宋体" w:hAnsi="宋体" w:cs="宋体"/>
          <w:sz w:val="28"/>
          <w:szCs w:val="28"/>
        </w:rPr>
        <w:t>7.弱电系统应按有关专业规定或产品技术的要求，采取防雷措施。</w:t>
      </w:r>
    </w:p>
    <w:p>
      <w:pPr>
        <w:pStyle w:val="5"/>
        <w:ind w:firstLine="544"/>
        <w:rPr>
          <w:rFonts w:ascii="宋体" w:hAnsi="宋体" w:cs="宋体"/>
          <w:sz w:val="28"/>
          <w:szCs w:val="28"/>
        </w:rPr>
      </w:pPr>
      <w:bookmarkStart w:id="236" w:name="_Toc22359"/>
      <w:bookmarkStart w:id="237" w:name="_Toc29720"/>
      <w:bookmarkStart w:id="238" w:name="_Toc449348784"/>
      <w:bookmarkStart w:id="239" w:name="_Toc6162"/>
      <w:r>
        <w:rPr>
          <w:rFonts w:hint="eastAsia" w:ascii="宋体" w:hAnsi="宋体" w:cs="宋体"/>
          <w:sz w:val="28"/>
          <w:szCs w:val="28"/>
        </w:rPr>
        <w:t>4.1.9 防电气火灾对策措施</w:t>
      </w:r>
      <w:bookmarkEnd w:id="236"/>
      <w:bookmarkEnd w:id="237"/>
      <w:bookmarkEnd w:id="238"/>
      <w:bookmarkEnd w:id="239"/>
    </w:p>
    <w:p>
      <w:pPr>
        <w:ind w:firstLine="544"/>
        <w:rPr>
          <w:rFonts w:ascii="宋体" w:hAnsi="宋体" w:cs="宋体"/>
          <w:sz w:val="28"/>
          <w:szCs w:val="28"/>
        </w:rPr>
      </w:pPr>
      <w:r>
        <w:rPr>
          <w:rFonts w:hint="eastAsia" w:ascii="宋体" w:hAnsi="宋体" w:cs="宋体"/>
          <w:sz w:val="28"/>
          <w:szCs w:val="28"/>
        </w:rPr>
        <w:t>1.加油站爆炸危险区域内的电气设备选型、安装、电力线路敷设，应符合《爆炸危险环境电力装置设计规范》GB50058的规定。</w:t>
      </w:r>
    </w:p>
    <w:p>
      <w:pPr>
        <w:ind w:firstLine="544"/>
        <w:rPr>
          <w:rFonts w:ascii="宋体" w:hAnsi="宋体" w:cs="宋体"/>
          <w:sz w:val="28"/>
          <w:szCs w:val="28"/>
        </w:rPr>
      </w:pPr>
      <w:r>
        <w:rPr>
          <w:rFonts w:hint="eastAsia" w:ascii="宋体" w:hAnsi="宋体" w:cs="宋体"/>
          <w:sz w:val="28"/>
          <w:szCs w:val="28"/>
        </w:rPr>
        <w:t>2.电气线路宜采用电缆并直埋敷设。当采用电缆沟敷设电缆时，电缆沟内必须充沙填实。电缆不得与油品、热力管道敷设在同一沟内。</w:t>
      </w:r>
    </w:p>
    <w:p>
      <w:pPr>
        <w:ind w:firstLine="544"/>
        <w:rPr>
          <w:rFonts w:ascii="宋体" w:hAnsi="宋体" w:cs="宋体"/>
          <w:sz w:val="28"/>
          <w:szCs w:val="28"/>
        </w:rPr>
      </w:pPr>
      <w:r>
        <w:rPr>
          <w:rFonts w:hint="eastAsia" w:ascii="宋体" w:hAnsi="宋体" w:cs="宋体"/>
          <w:sz w:val="28"/>
          <w:szCs w:val="28"/>
        </w:rPr>
        <w:t>3.裸露的带电导体安装应符合相关规定要求，防止人员触碰，带电裸露导体应有安全防护措施，电气系统配电箱应有明显的警告标志。凡有可能被人接触造成电气事故的电气裸露和有出现危险的区域，应设置符合安全要求的屏护设施和明显的警示标志。</w:t>
      </w:r>
    </w:p>
    <w:p>
      <w:pPr>
        <w:ind w:firstLine="544"/>
        <w:rPr>
          <w:rFonts w:ascii="宋体" w:hAnsi="宋体" w:cs="宋体"/>
          <w:sz w:val="28"/>
          <w:szCs w:val="28"/>
        </w:rPr>
      </w:pPr>
      <w:r>
        <w:rPr>
          <w:rFonts w:hint="eastAsia" w:ascii="宋体" w:hAnsi="宋体" w:cs="宋体"/>
          <w:sz w:val="28"/>
          <w:szCs w:val="28"/>
        </w:rPr>
        <w:t>4.在日常检查电气线路时应注意观察电气线路是否老化，配线、接线是否松动和脱落，电器设施是否破损。</w:t>
      </w:r>
    </w:p>
    <w:p>
      <w:pPr>
        <w:pStyle w:val="5"/>
        <w:ind w:firstLine="544"/>
        <w:rPr>
          <w:rFonts w:ascii="宋体" w:hAnsi="宋体" w:cs="宋体"/>
          <w:sz w:val="28"/>
          <w:szCs w:val="28"/>
        </w:rPr>
      </w:pPr>
      <w:bookmarkStart w:id="240" w:name="_Toc21557"/>
      <w:r>
        <w:rPr>
          <w:rFonts w:hint="eastAsia" w:ascii="宋体" w:hAnsi="宋体" w:cs="宋体"/>
          <w:sz w:val="28"/>
          <w:szCs w:val="28"/>
        </w:rPr>
        <w:t>4.1.10 有限空间作业对策措施</w:t>
      </w:r>
      <w:bookmarkEnd w:id="240"/>
    </w:p>
    <w:p>
      <w:pPr>
        <w:ind w:firstLine="544"/>
        <w:rPr>
          <w:rFonts w:ascii="宋体" w:hAnsi="宋体" w:cs="宋体"/>
          <w:sz w:val="28"/>
          <w:szCs w:val="28"/>
        </w:rPr>
      </w:pPr>
      <w:r>
        <w:rPr>
          <w:rFonts w:hint="eastAsia" w:ascii="宋体" w:hAnsi="宋体" w:cs="宋体"/>
          <w:sz w:val="28"/>
          <w:szCs w:val="28"/>
        </w:rPr>
        <w:t>加油站有限空间作业主要发生在储油罐的检修、清洗过程中：</w:t>
      </w:r>
    </w:p>
    <w:p>
      <w:pPr>
        <w:ind w:firstLine="544"/>
        <w:rPr>
          <w:rFonts w:ascii="宋体" w:hAnsi="宋体" w:cs="宋体"/>
          <w:sz w:val="28"/>
          <w:szCs w:val="28"/>
        </w:rPr>
      </w:pPr>
      <w:r>
        <w:rPr>
          <w:rFonts w:hint="eastAsia" w:ascii="宋体" w:hAnsi="宋体" w:cs="宋体"/>
          <w:sz w:val="28"/>
          <w:szCs w:val="28"/>
        </w:rPr>
        <w:t>1.必须严格实行作业审批制度，严禁擅自进入有限空间作业。</w:t>
      </w:r>
    </w:p>
    <w:p>
      <w:pPr>
        <w:ind w:firstLine="544"/>
        <w:rPr>
          <w:rFonts w:ascii="宋体" w:hAnsi="宋体" w:cs="宋体"/>
          <w:sz w:val="28"/>
          <w:szCs w:val="28"/>
        </w:rPr>
      </w:pPr>
      <w:r>
        <w:rPr>
          <w:rFonts w:hint="eastAsia" w:ascii="宋体" w:hAnsi="宋体" w:cs="宋体"/>
          <w:sz w:val="28"/>
          <w:szCs w:val="28"/>
        </w:rPr>
        <w:t>2.必须做到“先通风、再</w:t>
      </w:r>
      <w:r>
        <w:fldChar w:fldCharType="begin"/>
      </w:r>
      <w:r>
        <w:instrText xml:space="preserve"> HYPERLINK "http://baike.baidu.com/view/66302.htm" \t "http://baike.baidu.com/_blank" </w:instrText>
      </w:r>
      <w:r>
        <w:fldChar w:fldCharType="separate"/>
      </w:r>
      <w:r>
        <w:rPr>
          <w:rFonts w:hint="eastAsia" w:ascii="宋体" w:hAnsi="宋体" w:cs="宋体"/>
          <w:sz w:val="28"/>
          <w:szCs w:val="28"/>
        </w:rPr>
        <w:t>检测</w:t>
      </w:r>
      <w:r>
        <w:rPr>
          <w:rFonts w:hint="eastAsia" w:ascii="宋体" w:hAnsi="宋体" w:cs="宋体"/>
          <w:sz w:val="28"/>
          <w:szCs w:val="28"/>
        </w:rPr>
        <w:fldChar w:fldCharType="end"/>
      </w:r>
      <w:r>
        <w:rPr>
          <w:rFonts w:hint="eastAsia" w:ascii="宋体" w:hAnsi="宋体" w:cs="宋体"/>
          <w:sz w:val="28"/>
          <w:szCs w:val="28"/>
        </w:rPr>
        <w:t>、后作业”，严禁通风、检测不合格作业。</w:t>
      </w:r>
    </w:p>
    <w:p>
      <w:pPr>
        <w:ind w:firstLine="544"/>
        <w:rPr>
          <w:rFonts w:ascii="宋体" w:hAnsi="宋体" w:cs="宋体"/>
          <w:sz w:val="28"/>
          <w:szCs w:val="28"/>
        </w:rPr>
      </w:pPr>
      <w:r>
        <w:rPr>
          <w:rFonts w:hint="eastAsia" w:ascii="宋体" w:hAnsi="宋体" w:cs="宋体"/>
          <w:sz w:val="28"/>
          <w:szCs w:val="28"/>
        </w:rPr>
        <w:t>3.必须配备个人防中毒窒息等防护装备，设置安全警示标识，严禁无防护监护措施作业。</w:t>
      </w:r>
    </w:p>
    <w:p>
      <w:pPr>
        <w:ind w:firstLine="544"/>
        <w:rPr>
          <w:rFonts w:ascii="宋体" w:hAnsi="宋体" w:cs="宋体"/>
          <w:sz w:val="28"/>
          <w:szCs w:val="28"/>
        </w:rPr>
      </w:pPr>
      <w:r>
        <w:rPr>
          <w:rFonts w:hint="eastAsia" w:ascii="宋体" w:hAnsi="宋体" w:cs="宋体"/>
          <w:sz w:val="28"/>
          <w:szCs w:val="28"/>
        </w:rPr>
        <w:t>4.必须对作业人员进行安全培训，严禁教育培训不合格上岗作业。</w:t>
      </w:r>
    </w:p>
    <w:p>
      <w:pPr>
        <w:ind w:firstLine="544"/>
        <w:rPr>
          <w:rFonts w:ascii="宋体" w:hAnsi="宋体" w:cs="宋体"/>
          <w:sz w:val="28"/>
          <w:szCs w:val="28"/>
        </w:rPr>
      </w:pPr>
      <w:r>
        <w:rPr>
          <w:rFonts w:hint="eastAsia" w:ascii="宋体" w:hAnsi="宋体" w:cs="宋体"/>
          <w:sz w:val="28"/>
          <w:szCs w:val="28"/>
        </w:rPr>
        <w:t>5.必须制定应急措施，现场配备应急装备，严禁盲目施救。</w:t>
      </w:r>
    </w:p>
    <w:p>
      <w:pPr>
        <w:pStyle w:val="4"/>
        <w:spacing w:before="156" w:after="156"/>
        <w:rPr>
          <w:szCs w:val="28"/>
        </w:rPr>
      </w:pPr>
      <w:bookmarkStart w:id="241" w:name="_Toc486429769"/>
      <w:bookmarkStart w:id="242" w:name="_Toc449348786"/>
      <w:bookmarkStart w:id="243" w:name="_Toc1030"/>
      <w:bookmarkStart w:id="244" w:name="_Toc461436645"/>
      <w:bookmarkStart w:id="245" w:name="_Toc31819"/>
      <w:bookmarkStart w:id="246" w:name="_Toc29155"/>
      <w:bookmarkStart w:id="247" w:name="_Toc11861"/>
      <w:r>
        <w:rPr>
          <w:rFonts w:hint="eastAsia"/>
          <w:szCs w:val="28"/>
        </w:rPr>
        <w:t>4</w:t>
      </w:r>
      <w:r>
        <w:rPr>
          <w:szCs w:val="28"/>
        </w:rPr>
        <w:t>.</w:t>
      </w:r>
      <w:r>
        <w:rPr>
          <w:rFonts w:hint="eastAsia"/>
          <w:szCs w:val="28"/>
        </w:rPr>
        <w:t xml:space="preserve">2 </w:t>
      </w:r>
      <w:r>
        <w:rPr>
          <w:szCs w:val="28"/>
        </w:rPr>
        <w:t>安全管理对策措施</w:t>
      </w:r>
      <w:bookmarkEnd w:id="241"/>
      <w:bookmarkEnd w:id="242"/>
      <w:bookmarkEnd w:id="243"/>
      <w:bookmarkEnd w:id="244"/>
      <w:bookmarkEnd w:id="245"/>
      <w:bookmarkEnd w:id="246"/>
      <w:bookmarkEnd w:id="247"/>
    </w:p>
    <w:p>
      <w:pPr>
        <w:pStyle w:val="5"/>
        <w:ind w:firstLine="544"/>
        <w:rPr>
          <w:sz w:val="28"/>
          <w:szCs w:val="28"/>
        </w:rPr>
      </w:pPr>
      <w:bookmarkStart w:id="248" w:name="_Toc9050"/>
      <w:bookmarkStart w:id="249" w:name="_Toc6598"/>
      <w:r>
        <w:rPr>
          <w:rFonts w:hint="eastAsia"/>
          <w:sz w:val="28"/>
          <w:szCs w:val="28"/>
        </w:rPr>
        <w:t>4.2.1 安全管理对策措施</w:t>
      </w:r>
      <w:bookmarkEnd w:id="248"/>
      <w:bookmarkEnd w:id="249"/>
    </w:p>
    <w:p>
      <w:pPr>
        <w:ind w:firstLine="544"/>
        <w:rPr>
          <w:sz w:val="28"/>
          <w:szCs w:val="28"/>
        </w:rPr>
      </w:pPr>
      <w:r>
        <w:rPr>
          <w:rFonts w:hint="eastAsia"/>
          <w:sz w:val="28"/>
          <w:szCs w:val="28"/>
        </w:rPr>
        <w:t>1.进一步</w:t>
      </w:r>
      <w:r>
        <w:rPr>
          <w:sz w:val="28"/>
          <w:szCs w:val="28"/>
        </w:rPr>
        <w:t>完善各项岗位责任制、规章制度和操作规程，并根据实际情况实时修订补充。经营人员对各岗位安全经营负责，要将各项安全经营责任制落到实处，站长必须对加油站安全经营负总责；要将各项安全管理制度落到实处，强化安全群体意识，使安全生产的观念深入人心，成为每个职工的自觉行为，杜绝违章操作，防止事故发生。</w:t>
      </w:r>
    </w:p>
    <w:p>
      <w:pPr>
        <w:ind w:firstLine="544"/>
        <w:rPr>
          <w:sz w:val="28"/>
          <w:szCs w:val="28"/>
        </w:rPr>
      </w:pPr>
      <w:r>
        <w:rPr>
          <w:rFonts w:hint="eastAsia"/>
          <w:sz w:val="28"/>
          <w:szCs w:val="28"/>
        </w:rPr>
        <w:t>2.加油站应制定年度安全投入计划，按照《企业安全生产费用提取和使用管理办法》（财企[2012]16号）的要求，足额提取安全所需的费用，并合理开支。</w:t>
      </w:r>
    </w:p>
    <w:p>
      <w:pPr>
        <w:ind w:firstLine="544"/>
        <w:rPr>
          <w:sz w:val="28"/>
          <w:szCs w:val="28"/>
        </w:rPr>
      </w:pPr>
      <w:r>
        <w:rPr>
          <w:rFonts w:hint="eastAsia"/>
          <w:sz w:val="28"/>
          <w:szCs w:val="28"/>
        </w:rPr>
        <w:t>3.</w:t>
      </w:r>
      <w:r>
        <w:rPr>
          <w:sz w:val="28"/>
          <w:szCs w:val="28"/>
        </w:rPr>
        <w:t>定期对职工开展安全知识教育和安全技术培训，提高职工的安全意识。</w:t>
      </w:r>
    </w:p>
    <w:p>
      <w:pPr>
        <w:ind w:firstLine="544"/>
        <w:rPr>
          <w:sz w:val="28"/>
          <w:szCs w:val="28"/>
        </w:rPr>
      </w:pPr>
      <w:r>
        <w:rPr>
          <w:rFonts w:hint="eastAsia"/>
          <w:sz w:val="28"/>
          <w:szCs w:val="28"/>
        </w:rPr>
        <w:t>4.</w:t>
      </w:r>
      <w:r>
        <w:rPr>
          <w:sz w:val="28"/>
          <w:szCs w:val="28"/>
        </w:rPr>
        <w:t>新职工上岗前要进行培训，新进入员必须经过专业培训及安全教育并经考试合格后持证上岗。</w:t>
      </w:r>
    </w:p>
    <w:p>
      <w:pPr>
        <w:ind w:firstLine="544"/>
        <w:rPr>
          <w:sz w:val="28"/>
          <w:szCs w:val="28"/>
        </w:rPr>
      </w:pPr>
      <w:r>
        <w:rPr>
          <w:rFonts w:hint="eastAsia"/>
          <w:sz w:val="28"/>
          <w:szCs w:val="28"/>
        </w:rPr>
        <w:t>5.已取得安全管理人员资格证人员，持证在有效期内，须定期继续培训，考核合格。</w:t>
      </w:r>
    </w:p>
    <w:p>
      <w:pPr>
        <w:ind w:firstLine="544"/>
        <w:rPr>
          <w:sz w:val="28"/>
          <w:szCs w:val="28"/>
        </w:rPr>
      </w:pPr>
      <w:r>
        <w:rPr>
          <w:rFonts w:hint="eastAsia"/>
          <w:sz w:val="28"/>
          <w:szCs w:val="28"/>
        </w:rPr>
        <w:t>6.</w:t>
      </w:r>
      <w:r>
        <w:rPr>
          <w:sz w:val="28"/>
          <w:szCs w:val="28"/>
        </w:rPr>
        <w:t>进一步强化安全生产现场管理，开展经常性安全检查，有效规范员工安全生产行为，严格要求职工执行各项安全管理规章制度。</w:t>
      </w:r>
    </w:p>
    <w:p>
      <w:pPr>
        <w:ind w:firstLine="544"/>
        <w:rPr>
          <w:sz w:val="28"/>
          <w:szCs w:val="28"/>
        </w:rPr>
      </w:pPr>
      <w:r>
        <w:rPr>
          <w:rFonts w:hint="eastAsia"/>
          <w:sz w:val="28"/>
          <w:szCs w:val="28"/>
        </w:rPr>
        <w:t>7.</w:t>
      </w:r>
      <w:r>
        <w:rPr>
          <w:sz w:val="28"/>
          <w:szCs w:val="28"/>
        </w:rPr>
        <w:t>加强消防组织与消防设施管理</w:t>
      </w:r>
      <w:r>
        <w:rPr>
          <w:rFonts w:hint="eastAsia"/>
          <w:sz w:val="28"/>
          <w:szCs w:val="28"/>
        </w:rPr>
        <w:t>。</w:t>
      </w:r>
    </w:p>
    <w:p>
      <w:pPr>
        <w:ind w:firstLine="544"/>
        <w:rPr>
          <w:sz w:val="28"/>
          <w:szCs w:val="28"/>
        </w:rPr>
      </w:pPr>
      <w:r>
        <w:rPr>
          <w:rFonts w:hint="eastAsia"/>
          <w:sz w:val="28"/>
          <w:szCs w:val="28"/>
        </w:rPr>
        <w:t>8.</w:t>
      </w:r>
      <w:r>
        <w:rPr>
          <w:sz w:val="28"/>
          <w:szCs w:val="28"/>
        </w:rPr>
        <w:t>应积极贯彻</w:t>
      </w:r>
      <w:r>
        <w:rPr>
          <w:rFonts w:hint="eastAsia"/>
          <w:sz w:val="28"/>
          <w:szCs w:val="28"/>
        </w:rPr>
        <w:t>“</w:t>
      </w:r>
      <w:r>
        <w:rPr>
          <w:sz w:val="28"/>
          <w:szCs w:val="28"/>
        </w:rPr>
        <w:t>预防为主，防消结合</w:t>
      </w:r>
      <w:r>
        <w:rPr>
          <w:rFonts w:hint="eastAsia"/>
          <w:sz w:val="28"/>
          <w:szCs w:val="28"/>
        </w:rPr>
        <w:t>”</w:t>
      </w:r>
      <w:r>
        <w:rPr>
          <w:sz w:val="28"/>
          <w:szCs w:val="28"/>
        </w:rPr>
        <w:t>的消防方针，按照</w:t>
      </w:r>
      <w:r>
        <w:rPr>
          <w:rFonts w:hint="eastAsia"/>
          <w:sz w:val="28"/>
          <w:szCs w:val="28"/>
        </w:rPr>
        <w:t>相关规范</w:t>
      </w:r>
      <w:r>
        <w:rPr>
          <w:sz w:val="28"/>
          <w:szCs w:val="28"/>
        </w:rPr>
        <w:t>中规定的种类和数量配置灭火器材，定期对消防设施进行维护保养和维修检查，保证消防设施、设备完好有效。应根据检修情况和季节变化，制定消防工作计划，定期组织消防教育和训练，使作业人员能熟练掌握消防知识和消防器材的使用。</w:t>
      </w:r>
    </w:p>
    <w:p>
      <w:pPr>
        <w:ind w:firstLine="544"/>
        <w:rPr>
          <w:sz w:val="28"/>
          <w:szCs w:val="28"/>
        </w:rPr>
      </w:pPr>
      <w:r>
        <w:rPr>
          <w:rFonts w:hint="eastAsia"/>
          <w:sz w:val="28"/>
          <w:szCs w:val="28"/>
        </w:rPr>
        <w:t>9.若加油站进行</w:t>
      </w:r>
      <w:r>
        <w:rPr>
          <w:sz w:val="28"/>
          <w:szCs w:val="28"/>
        </w:rPr>
        <w:t>改建、扩建</w:t>
      </w:r>
      <w:r>
        <w:rPr>
          <w:rFonts w:hint="eastAsia"/>
          <w:sz w:val="28"/>
          <w:szCs w:val="28"/>
        </w:rPr>
        <w:t>，应依据《</w:t>
      </w:r>
      <w:r>
        <w:rPr>
          <w:sz w:val="28"/>
          <w:szCs w:val="28"/>
        </w:rPr>
        <w:t>危险化学品建设项目安全监督管理办法》（</w:t>
      </w:r>
      <w:r>
        <w:rPr>
          <w:rFonts w:hint="eastAsia"/>
          <w:sz w:val="28"/>
          <w:szCs w:val="28"/>
        </w:rPr>
        <w:t>国家安全监管总局令[2012]第45号，国家安全监管总局令[2015]第79号修正</w:t>
      </w:r>
      <w:r>
        <w:rPr>
          <w:sz w:val="28"/>
          <w:szCs w:val="28"/>
        </w:rPr>
        <w:t>）</w:t>
      </w:r>
      <w:r>
        <w:rPr>
          <w:rFonts w:hint="eastAsia"/>
          <w:sz w:val="28"/>
          <w:szCs w:val="28"/>
        </w:rPr>
        <w:t>规定进行</w:t>
      </w:r>
      <w:r>
        <w:rPr>
          <w:sz w:val="28"/>
          <w:szCs w:val="28"/>
        </w:rPr>
        <w:t>安全审查，</w:t>
      </w:r>
      <w:r>
        <w:rPr>
          <w:rFonts w:hint="eastAsia"/>
          <w:sz w:val="28"/>
          <w:szCs w:val="28"/>
        </w:rPr>
        <w:t>包括</w:t>
      </w:r>
      <w:r>
        <w:rPr>
          <w:sz w:val="28"/>
          <w:szCs w:val="28"/>
        </w:rPr>
        <w:t>安全条件审查、安全设施的设计审查和竣工验收。</w:t>
      </w:r>
    </w:p>
    <w:p>
      <w:pPr>
        <w:pStyle w:val="5"/>
        <w:ind w:firstLine="544"/>
        <w:rPr>
          <w:sz w:val="28"/>
          <w:szCs w:val="28"/>
        </w:rPr>
      </w:pPr>
      <w:bookmarkStart w:id="250" w:name="_Toc26270"/>
      <w:bookmarkStart w:id="251" w:name="_Toc449348788"/>
      <w:bookmarkStart w:id="252" w:name="_Toc7322"/>
      <w:bookmarkStart w:id="253" w:name="_Toc19801"/>
      <w:bookmarkStart w:id="254" w:name="_Toc461436646"/>
      <w:bookmarkStart w:id="255" w:name="_Toc14773"/>
      <w:bookmarkStart w:id="256" w:name="_Toc449348787"/>
      <w:bookmarkStart w:id="257" w:name="_Toc11030"/>
      <w:r>
        <w:rPr>
          <w:rFonts w:hint="eastAsia"/>
          <w:sz w:val="28"/>
          <w:szCs w:val="28"/>
        </w:rPr>
        <w:t>4.</w:t>
      </w:r>
      <w:bookmarkStart w:id="258" w:name="_Toc275848638"/>
      <w:r>
        <w:rPr>
          <w:rFonts w:hint="eastAsia"/>
          <w:sz w:val="28"/>
          <w:szCs w:val="28"/>
        </w:rPr>
        <w:t>2.2 事故应急救援对策措施</w:t>
      </w:r>
      <w:bookmarkEnd w:id="250"/>
      <w:bookmarkEnd w:id="251"/>
      <w:bookmarkEnd w:id="252"/>
      <w:bookmarkEnd w:id="253"/>
      <w:bookmarkEnd w:id="254"/>
      <w:bookmarkEnd w:id="255"/>
      <w:bookmarkEnd w:id="258"/>
    </w:p>
    <w:p>
      <w:pPr>
        <w:ind w:firstLine="544"/>
        <w:rPr>
          <w:sz w:val="28"/>
          <w:szCs w:val="28"/>
        </w:rPr>
      </w:pPr>
      <w:r>
        <w:rPr>
          <w:rFonts w:hint="eastAsia"/>
          <w:sz w:val="28"/>
          <w:szCs w:val="28"/>
        </w:rPr>
        <w:t>1.事故应急救援预案安全对策措施：</w:t>
      </w:r>
    </w:p>
    <w:p>
      <w:pPr>
        <w:ind w:firstLine="544"/>
        <w:rPr>
          <w:sz w:val="28"/>
          <w:szCs w:val="28"/>
        </w:rPr>
      </w:pPr>
      <w:r>
        <w:rPr>
          <w:rFonts w:hint="eastAsia"/>
          <w:sz w:val="28"/>
          <w:szCs w:val="28"/>
        </w:rPr>
        <w:t>1）</w:t>
      </w:r>
      <w:r>
        <w:rPr>
          <w:sz w:val="28"/>
          <w:szCs w:val="28"/>
        </w:rPr>
        <w:t>单位主要负责人负责组织编制和实施本单位的应急预案，并对应急预案的真实性和实用性负责；各分管负责人应当按照职责分工落实应急预案规定的职责。</w:t>
      </w:r>
    </w:p>
    <w:p>
      <w:pPr>
        <w:ind w:firstLine="544"/>
        <w:rPr>
          <w:sz w:val="28"/>
          <w:szCs w:val="28"/>
        </w:rPr>
      </w:pPr>
      <w:r>
        <w:rPr>
          <w:rFonts w:hint="eastAsia"/>
          <w:sz w:val="28"/>
          <w:szCs w:val="28"/>
        </w:rPr>
        <w:t>2）</w:t>
      </w:r>
      <w:r>
        <w:rPr>
          <w:sz w:val="28"/>
          <w:szCs w:val="28"/>
        </w:rPr>
        <w:t>单位应当根据有关法律、法规、规章和相关标准，结合本单位组织管理体系、生产规模和可能发生的事故特点，确立本单位的应急预案体系，编制相应的应急预案，并体现自救互救和先期处置等特点。</w:t>
      </w:r>
    </w:p>
    <w:p>
      <w:pPr>
        <w:ind w:firstLine="544"/>
        <w:rPr>
          <w:sz w:val="28"/>
          <w:szCs w:val="28"/>
        </w:rPr>
      </w:pPr>
      <w:r>
        <w:rPr>
          <w:rFonts w:hint="eastAsia"/>
          <w:sz w:val="28"/>
          <w:szCs w:val="28"/>
        </w:rPr>
        <w:t>3）</w:t>
      </w:r>
      <w:r>
        <w:rPr>
          <w:sz w:val="28"/>
          <w:szCs w:val="28"/>
        </w:rPr>
        <w:t>对于危险性较大的场所、装置或者设施，生产经营单位应当编制现场处置方案。现场处置方案应当规定应急工作职责、应急处置措施和注意事项等内容。</w:t>
      </w:r>
    </w:p>
    <w:p>
      <w:pPr>
        <w:ind w:firstLine="544"/>
        <w:rPr>
          <w:sz w:val="28"/>
          <w:szCs w:val="28"/>
        </w:rPr>
      </w:pPr>
      <w:r>
        <w:rPr>
          <w:rFonts w:hint="eastAsia"/>
          <w:sz w:val="28"/>
          <w:szCs w:val="28"/>
        </w:rPr>
        <w:t>4）</w:t>
      </w:r>
      <w:r>
        <w:rPr>
          <w:sz w:val="28"/>
          <w:szCs w:val="28"/>
        </w:rPr>
        <w:t>单位应急预案应当包括向上级应急管理机构报告的内容、应急组织机构和人员的联系方式、应急物资储备清单等附件信息。附件信息发生变化时，应当及时更新，确保准确有效。</w:t>
      </w:r>
    </w:p>
    <w:p>
      <w:pPr>
        <w:ind w:firstLine="544"/>
        <w:rPr>
          <w:sz w:val="28"/>
          <w:szCs w:val="28"/>
        </w:rPr>
      </w:pPr>
      <w:r>
        <w:rPr>
          <w:rFonts w:hint="eastAsia"/>
          <w:sz w:val="28"/>
          <w:szCs w:val="28"/>
        </w:rPr>
        <w:t>5）</w:t>
      </w:r>
      <w:r>
        <w:rPr>
          <w:sz w:val="28"/>
          <w:szCs w:val="28"/>
        </w:rPr>
        <w:t>单位应当在编制应急预案的基础上，针对工作场所、岗位的特点，编制简明、实用、有效的应急处置卡。应急处置卡应当规定重点岗位、人员的应急处置程序和措施，以及相关联络人员和联系方式，便于从业人员携带。</w:t>
      </w:r>
    </w:p>
    <w:p>
      <w:pPr>
        <w:ind w:firstLine="544"/>
        <w:rPr>
          <w:sz w:val="28"/>
          <w:szCs w:val="28"/>
        </w:rPr>
      </w:pPr>
      <w:r>
        <w:rPr>
          <w:rFonts w:hint="eastAsia"/>
          <w:sz w:val="28"/>
          <w:szCs w:val="28"/>
        </w:rPr>
        <w:t>6）</w:t>
      </w:r>
      <w:r>
        <w:rPr>
          <w:sz w:val="28"/>
          <w:szCs w:val="28"/>
        </w:rPr>
        <w:t>单位应当对本单位编制的应急预案进行评审</w:t>
      </w:r>
      <w:r>
        <w:rPr>
          <w:rFonts w:hint="eastAsia"/>
          <w:sz w:val="28"/>
          <w:szCs w:val="28"/>
        </w:rPr>
        <w:t>，</w:t>
      </w:r>
      <w:r>
        <w:rPr>
          <w:sz w:val="28"/>
          <w:szCs w:val="28"/>
        </w:rPr>
        <w:t>由本单位主要负责人签署公布，并及时发放到本单位有关部门、岗位和相关应急救援队伍。事故风险可能影响周边其他单位、人员的，生产经营单位应当将有关事故风险的性质、影响范围和应急防范措施告知周边的其他单位和人员。</w:t>
      </w:r>
    </w:p>
    <w:p>
      <w:pPr>
        <w:ind w:firstLine="544"/>
        <w:rPr>
          <w:sz w:val="28"/>
          <w:szCs w:val="28"/>
        </w:rPr>
      </w:pPr>
      <w:r>
        <w:rPr>
          <w:rFonts w:hint="eastAsia"/>
          <w:sz w:val="28"/>
          <w:szCs w:val="28"/>
        </w:rPr>
        <w:t>7）</w:t>
      </w:r>
      <w:r>
        <w:rPr>
          <w:sz w:val="28"/>
          <w:szCs w:val="28"/>
        </w:rPr>
        <w:t>生产经营单位应当在应急预案公布之日起20个工作日内，按照分级属地原则，向安全生产监督管理部门和有关部门进行告知性备案。</w:t>
      </w:r>
    </w:p>
    <w:p>
      <w:pPr>
        <w:ind w:firstLine="544"/>
        <w:rPr>
          <w:sz w:val="28"/>
          <w:szCs w:val="28"/>
        </w:rPr>
      </w:pPr>
      <w:r>
        <w:rPr>
          <w:rFonts w:hint="eastAsia"/>
          <w:sz w:val="28"/>
          <w:szCs w:val="28"/>
        </w:rPr>
        <w:t>8）单位应当制定本单位的应急预案演练计划，根据本单位的事故风险特点，每年至少组织一次综合应急预案演练或者专项应急预案演练，每半年至少组织一次现场处置方案演练。应急预案演练结束后，应急预案演练组织单位应当对应急预案演练效果进行评估，撰写应急预案演练评估报告，分析存在的问题，并对应急预案提出修订意见。</w:t>
      </w:r>
    </w:p>
    <w:p>
      <w:pPr>
        <w:ind w:firstLine="544"/>
        <w:rPr>
          <w:sz w:val="28"/>
          <w:szCs w:val="28"/>
        </w:rPr>
      </w:pPr>
      <w:r>
        <w:rPr>
          <w:rFonts w:hint="eastAsia"/>
          <w:sz w:val="28"/>
          <w:szCs w:val="28"/>
        </w:rPr>
        <w:t>9）单位应当采取多种形式开展应急预案的宣传教育，普及生产安全事故避险、自救和互救知识，提高从业人员和社会公众的安全意识与应急处置技能。</w:t>
      </w:r>
    </w:p>
    <w:p>
      <w:pPr>
        <w:ind w:firstLine="544"/>
        <w:rPr>
          <w:sz w:val="28"/>
          <w:szCs w:val="28"/>
        </w:rPr>
      </w:pPr>
      <w:r>
        <w:rPr>
          <w:rFonts w:hint="eastAsia"/>
          <w:sz w:val="28"/>
          <w:szCs w:val="28"/>
        </w:rPr>
        <w:t>10）单位应当建立应急预案定期评估制度，对预案内容的针对性和实用性进行分析，并对应急预案是否需要修订作出结论。应急预案评估可以邀请相关专业机构或者有关专家、有实际应急救援工作经验的人员参加，必要时可以委托安全生产技术服务机构实施。</w:t>
      </w:r>
    </w:p>
    <w:p>
      <w:pPr>
        <w:ind w:firstLine="544"/>
        <w:rPr>
          <w:sz w:val="28"/>
          <w:szCs w:val="28"/>
        </w:rPr>
      </w:pPr>
      <w:r>
        <w:rPr>
          <w:rFonts w:hint="eastAsia"/>
          <w:sz w:val="28"/>
          <w:szCs w:val="28"/>
        </w:rPr>
        <w:t>11）应急预案修订涉及组织指挥体系与职责、应急处置程序、主要处置措施、应急响应分级等内容变更的，修订工作应当参照应急预案编制程序进行，并按照有关应急预案报备程序重新备案。</w:t>
      </w:r>
    </w:p>
    <w:p>
      <w:pPr>
        <w:ind w:firstLine="544"/>
        <w:rPr>
          <w:sz w:val="28"/>
          <w:szCs w:val="28"/>
        </w:rPr>
      </w:pPr>
      <w:r>
        <w:rPr>
          <w:rFonts w:hint="eastAsia"/>
          <w:sz w:val="28"/>
          <w:szCs w:val="28"/>
        </w:rPr>
        <w:t>12）单位应当按照应急预案的规定，落实应急指挥体系、应急救援队伍、应急物资及装备，建立应急物资、装备配备及其使用档案，并对应急物资、装备进行定期检测和维护，使其处于适用状态。</w:t>
      </w:r>
    </w:p>
    <w:p>
      <w:pPr>
        <w:ind w:firstLine="544"/>
        <w:rPr>
          <w:sz w:val="28"/>
          <w:szCs w:val="28"/>
        </w:rPr>
      </w:pPr>
      <w:r>
        <w:rPr>
          <w:rFonts w:hint="eastAsia"/>
          <w:sz w:val="28"/>
          <w:szCs w:val="28"/>
        </w:rPr>
        <w:t>13）单位发生事故时，应当第一时间启动应急响应，组织有关力量进行救援，并按照规定将事故信息及应急响应启动情况报告安全生产监督管理部门和其他负有安全生产监督管理职责的部门。生产安全事故应急处置和应急救援结束后，事故发生单位应当对应急预案实施情况进行总结评估。</w:t>
      </w:r>
    </w:p>
    <w:p>
      <w:pPr>
        <w:ind w:firstLine="544"/>
        <w:rPr>
          <w:sz w:val="28"/>
          <w:szCs w:val="28"/>
        </w:rPr>
      </w:pPr>
      <w:r>
        <w:rPr>
          <w:rFonts w:hint="eastAsia"/>
          <w:sz w:val="28"/>
          <w:szCs w:val="28"/>
        </w:rPr>
        <w:t>2.现场处置措施：</w:t>
      </w:r>
    </w:p>
    <w:p>
      <w:pPr>
        <w:ind w:firstLine="544"/>
        <w:rPr>
          <w:sz w:val="28"/>
          <w:szCs w:val="28"/>
        </w:rPr>
      </w:pPr>
      <w:r>
        <w:rPr>
          <w:rFonts w:hint="eastAsia"/>
          <w:sz w:val="28"/>
          <w:szCs w:val="28"/>
        </w:rPr>
        <w:t>1）</w:t>
      </w:r>
      <w:r>
        <w:rPr>
          <w:sz w:val="28"/>
          <w:szCs w:val="28"/>
        </w:rPr>
        <w:t>发现火情应根据站内人员的职责分工立即组织自救，同时拨打119报警，疏散站内闲杂人员，并通知有关人员，在火情初期利用现有的消防器材或设施组织自救。对不同的失火部位，采用相应的灭火器材和扑救方法：</w:t>
      </w:r>
    </w:p>
    <w:p>
      <w:pPr>
        <w:ind w:firstLine="544"/>
        <w:rPr>
          <w:sz w:val="28"/>
          <w:szCs w:val="28"/>
        </w:rPr>
      </w:pPr>
      <w:r>
        <w:rPr>
          <w:rFonts w:hint="eastAsia"/>
          <w:sz w:val="28"/>
          <w:szCs w:val="28"/>
        </w:rPr>
        <w:t>(1)</w:t>
      </w:r>
      <w:r>
        <w:rPr>
          <w:sz w:val="28"/>
          <w:szCs w:val="28"/>
        </w:rPr>
        <w:t>油罐口失火</w:t>
      </w:r>
      <w:r>
        <w:rPr>
          <w:rFonts w:hint="eastAsia"/>
          <w:sz w:val="28"/>
          <w:szCs w:val="28"/>
        </w:rPr>
        <w:t>：</w:t>
      </w:r>
      <w:r>
        <w:rPr>
          <w:sz w:val="28"/>
          <w:szCs w:val="28"/>
        </w:rPr>
        <w:t>应用灭火毯捂盖，用干粉灭火器扑救，尽快控制火势并将火消灭在初起状态（切记勿用水喷洒，造成助燃）。</w:t>
      </w:r>
    </w:p>
    <w:p>
      <w:pPr>
        <w:ind w:firstLine="544"/>
        <w:rPr>
          <w:sz w:val="28"/>
          <w:szCs w:val="28"/>
        </w:rPr>
      </w:pPr>
      <w:r>
        <w:rPr>
          <w:rFonts w:hint="eastAsia"/>
          <w:sz w:val="28"/>
          <w:szCs w:val="28"/>
        </w:rPr>
        <w:t>(</w:t>
      </w:r>
      <w:r>
        <w:rPr>
          <w:sz w:val="28"/>
          <w:szCs w:val="28"/>
        </w:rPr>
        <w:t>2）加油机失火</w:t>
      </w:r>
      <w:r>
        <w:rPr>
          <w:rFonts w:hint="eastAsia"/>
          <w:sz w:val="28"/>
          <w:szCs w:val="28"/>
        </w:rPr>
        <w:t>：</w:t>
      </w:r>
      <w:r>
        <w:rPr>
          <w:sz w:val="28"/>
          <w:szCs w:val="28"/>
        </w:rPr>
        <w:t>首先应关枪停止加油，屋内人员听到报警及时拉断电源，视火情可用灭火毯及灭火器扑救。</w:t>
      </w:r>
    </w:p>
    <w:p>
      <w:pPr>
        <w:ind w:firstLine="544"/>
        <w:rPr>
          <w:sz w:val="28"/>
          <w:szCs w:val="28"/>
        </w:rPr>
      </w:pPr>
      <w:r>
        <w:rPr>
          <w:rFonts w:hint="eastAsia"/>
          <w:sz w:val="28"/>
          <w:szCs w:val="28"/>
        </w:rPr>
        <w:t>(</w:t>
      </w:r>
      <w:r>
        <w:rPr>
          <w:sz w:val="28"/>
          <w:szCs w:val="28"/>
        </w:rPr>
        <w:t>3）加油车辆失火</w:t>
      </w:r>
      <w:r>
        <w:rPr>
          <w:rFonts w:hint="eastAsia"/>
          <w:sz w:val="28"/>
          <w:szCs w:val="28"/>
        </w:rPr>
        <w:t>：</w:t>
      </w:r>
      <w:r>
        <w:rPr>
          <w:sz w:val="28"/>
          <w:szCs w:val="28"/>
        </w:rPr>
        <w:t>应用干粉灭火器进行扑救，同时组织力量尽快将失火车辆推出站外安全地点。火焰在油箱口呈火炬状燃烧时，可用灭火毯等将油箱口完全捂住，使火焰窒息。</w:t>
      </w:r>
    </w:p>
    <w:p>
      <w:pPr>
        <w:ind w:firstLine="544"/>
        <w:rPr>
          <w:sz w:val="28"/>
          <w:szCs w:val="28"/>
        </w:rPr>
      </w:pPr>
      <w:r>
        <w:rPr>
          <w:rFonts w:hint="eastAsia"/>
          <w:sz w:val="28"/>
          <w:szCs w:val="28"/>
        </w:rPr>
        <w:t>(</w:t>
      </w:r>
      <w:r>
        <w:rPr>
          <w:sz w:val="28"/>
          <w:szCs w:val="28"/>
        </w:rPr>
        <w:t>4）油罐车失火</w:t>
      </w:r>
      <w:r>
        <w:rPr>
          <w:rFonts w:hint="eastAsia"/>
          <w:sz w:val="28"/>
          <w:szCs w:val="28"/>
        </w:rPr>
        <w:t>：</w:t>
      </w:r>
      <w:r>
        <w:rPr>
          <w:sz w:val="28"/>
          <w:szCs w:val="28"/>
        </w:rPr>
        <w:t>现场监卸人员发现后应迅速合上油罐车罐盖，关闭卸油阀门，用干粉灭火器全力组织扑救。</w:t>
      </w:r>
    </w:p>
    <w:p>
      <w:pPr>
        <w:ind w:firstLine="544"/>
        <w:rPr>
          <w:sz w:val="28"/>
          <w:szCs w:val="28"/>
        </w:rPr>
      </w:pPr>
      <w:r>
        <w:rPr>
          <w:rFonts w:hint="eastAsia"/>
          <w:sz w:val="28"/>
          <w:szCs w:val="28"/>
        </w:rPr>
        <w:t>(</w:t>
      </w:r>
      <w:r>
        <w:rPr>
          <w:sz w:val="28"/>
          <w:szCs w:val="28"/>
        </w:rPr>
        <w:t>5）冒油</w:t>
      </w:r>
      <w:r>
        <w:rPr>
          <w:rFonts w:hint="eastAsia"/>
          <w:sz w:val="28"/>
          <w:szCs w:val="28"/>
        </w:rPr>
        <w:t>：</w:t>
      </w:r>
      <w:r>
        <w:rPr>
          <w:sz w:val="28"/>
          <w:szCs w:val="28"/>
        </w:rPr>
        <w:t>发生油罐冒油，站内人员立即组织扑救，首先切断所有电源，熄灭站内明火，站内车辆熄火推出站外。同时组织人员在站内外加强巡视，严禁外部人员在站内逗留，严禁携带明火靠近罐区。在回收油品时严禁使用铁制工具，以免发生撞击摩擦起火。待油迹清除后，确无隐患，方可开始营业。</w:t>
      </w:r>
    </w:p>
    <w:p>
      <w:pPr>
        <w:ind w:firstLine="544"/>
        <w:rPr>
          <w:sz w:val="28"/>
          <w:szCs w:val="28"/>
        </w:rPr>
      </w:pPr>
      <w:r>
        <w:rPr>
          <w:rFonts w:hint="eastAsia"/>
          <w:sz w:val="28"/>
          <w:szCs w:val="28"/>
        </w:rPr>
        <w:t>(</w:t>
      </w:r>
      <w:r>
        <w:rPr>
          <w:sz w:val="28"/>
          <w:szCs w:val="28"/>
        </w:rPr>
        <w:t>6）电</w:t>
      </w:r>
      <w:r>
        <w:rPr>
          <w:rFonts w:hint="eastAsia"/>
          <w:sz w:val="28"/>
          <w:szCs w:val="28"/>
        </w:rPr>
        <w:t>气</w:t>
      </w:r>
      <w:r>
        <w:rPr>
          <w:sz w:val="28"/>
          <w:szCs w:val="28"/>
        </w:rPr>
        <w:t>失火</w:t>
      </w:r>
      <w:r>
        <w:rPr>
          <w:rFonts w:hint="eastAsia"/>
          <w:sz w:val="28"/>
          <w:szCs w:val="28"/>
        </w:rPr>
        <w:t>：</w:t>
      </w:r>
      <w:r>
        <w:rPr>
          <w:sz w:val="28"/>
          <w:szCs w:val="28"/>
        </w:rPr>
        <w:t>发现电</w:t>
      </w:r>
      <w:r>
        <w:rPr>
          <w:rFonts w:hint="eastAsia"/>
          <w:sz w:val="28"/>
          <w:szCs w:val="28"/>
        </w:rPr>
        <w:t>气</w:t>
      </w:r>
      <w:r>
        <w:rPr>
          <w:sz w:val="28"/>
          <w:szCs w:val="28"/>
        </w:rPr>
        <w:t>失火，应拉闸断电，并视其部位用干粉灭火器进行扑救。禁忌用水，以免触电。及时通知电工进行维修。</w:t>
      </w:r>
    </w:p>
    <w:p>
      <w:pPr>
        <w:ind w:firstLine="544"/>
        <w:rPr>
          <w:sz w:val="28"/>
          <w:szCs w:val="28"/>
        </w:rPr>
      </w:pPr>
      <w:r>
        <w:rPr>
          <w:rFonts w:hint="eastAsia"/>
          <w:sz w:val="28"/>
          <w:szCs w:val="28"/>
        </w:rPr>
        <w:t>(</w:t>
      </w:r>
      <w:r>
        <w:rPr>
          <w:sz w:val="28"/>
          <w:szCs w:val="28"/>
        </w:rPr>
        <w:t>7）汽车油箱着火：当加油站汽车油箱着火时，工作人员立即将室内的总电源及总闸关闭，然后干粉灭火器对准着火口进行扑救，一旦火势失控，立即通知驾驶员将着火车辆开出或推出加油站，使加油站处于不受火势威胁的安全状态。</w:t>
      </w:r>
    </w:p>
    <w:p>
      <w:pPr>
        <w:ind w:firstLine="544"/>
        <w:rPr>
          <w:sz w:val="28"/>
          <w:szCs w:val="28"/>
        </w:rPr>
      </w:pPr>
      <w:r>
        <w:rPr>
          <w:rFonts w:hint="eastAsia"/>
          <w:sz w:val="28"/>
          <w:szCs w:val="28"/>
        </w:rPr>
        <w:t>2）</w:t>
      </w:r>
      <w:r>
        <w:rPr>
          <w:sz w:val="28"/>
          <w:szCs w:val="28"/>
        </w:rPr>
        <w:t>同时切断电源总开关并关闭油罐阀门，停止一切加油、卸油作业，疏散站内无关人员及车辆，将现金、帐薄和凭证带离火灾现场。</w:t>
      </w:r>
    </w:p>
    <w:p>
      <w:pPr>
        <w:ind w:firstLine="544"/>
        <w:rPr>
          <w:sz w:val="28"/>
          <w:szCs w:val="28"/>
        </w:rPr>
      </w:pPr>
      <w:r>
        <w:rPr>
          <w:rFonts w:hint="eastAsia"/>
          <w:sz w:val="28"/>
          <w:szCs w:val="28"/>
        </w:rPr>
        <w:t>3）</w:t>
      </w:r>
      <w:r>
        <w:rPr>
          <w:sz w:val="28"/>
          <w:szCs w:val="28"/>
        </w:rPr>
        <w:t>火情蔓延得不到控制时，自救人员应主动撤离现场至安全距离等候消防队伍，但应保持对火情发展的观察。</w:t>
      </w:r>
    </w:p>
    <w:p>
      <w:pPr>
        <w:ind w:firstLine="544"/>
        <w:rPr>
          <w:sz w:val="28"/>
          <w:szCs w:val="28"/>
        </w:rPr>
      </w:pPr>
      <w:r>
        <w:rPr>
          <w:rFonts w:hint="eastAsia"/>
          <w:sz w:val="28"/>
          <w:szCs w:val="28"/>
        </w:rPr>
        <w:t>4）</w:t>
      </w:r>
      <w:r>
        <w:rPr>
          <w:sz w:val="28"/>
          <w:szCs w:val="28"/>
        </w:rPr>
        <w:t>有伤者应立即送往附近医院予以救治。</w:t>
      </w:r>
    </w:p>
    <w:p>
      <w:pPr>
        <w:ind w:firstLine="544"/>
        <w:rPr>
          <w:sz w:val="28"/>
          <w:szCs w:val="28"/>
        </w:rPr>
      </w:pPr>
      <w:r>
        <w:rPr>
          <w:rFonts w:hint="eastAsia"/>
          <w:sz w:val="28"/>
          <w:szCs w:val="28"/>
        </w:rPr>
        <w:t>5）</w:t>
      </w:r>
      <w:r>
        <w:rPr>
          <w:sz w:val="28"/>
          <w:szCs w:val="28"/>
        </w:rPr>
        <w:t>将事故有关情况报上级主管部门。</w:t>
      </w:r>
    </w:p>
    <w:p>
      <w:pPr>
        <w:pStyle w:val="4"/>
        <w:spacing w:before="156" w:after="156"/>
        <w:rPr>
          <w:szCs w:val="28"/>
        </w:rPr>
      </w:pPr>
      <w:bookmarkStart w:id="259" w:name="_Toc14408"/>
      <w:bookmarkStart w:id="260" w:name="_Toc486429770"/>
      <w:bookmarkStart w:id="261" w:name="_Toc461436647"/>
      <w:bookmarkStart w:id="262" w:name="_Toc19787"/>
      <w:bookmarkStart w:id="263" w:name="_Toc22239"/>
      <w:bookmarkStart w:id="264" w:name="_Toc1049"/>
      <w:r>
        <w:rPr>
          <w:rFonts w:hint="eastAsia"/>
          <w:szCs w:val="28"/>
        </w:rPr>
        <w:t>4</w:t>
      </w:r>
      <w:r>
        <w:rPr>
          <w:szCs w:val="28"/>
        </w:rPr>
        <w:t>.</w:t>
      </w:r>
      <w:r>
        <w:rPr>
          <w:rFonts w:hint="eastAsia"/>
          <w:szCs w:val="28"/>
        </w:rPr>
        <w:t xml:space="preserve">3 </w:t>
      </w:r>
      <w:r>
        <w:rPr>
          <w:szCs w:val="28"/>
        </w:rPr>
        <w:t>其他安全对策措施</w:t>
      </w:r>
      <w:bookmarkEnd w:id="256"/>
      <w:bookmarkEnd w:id="257"/>
      <w:bookmarkEnd w:id="259"/>
      <w:bookmarkEnd w:id="260"/>
      <w:bookmarkEnd w:id="261"/>
      <w:bookmarkEnd w:id="262"/>
      <w:bookmarkEnd w:id="263"/>
      <w:bookmarkEnd w:id="264"/>
    </w:p>
    <w:p>
      <w:pPr>
        <w:ind w:firstLine="544"/>
        <w:rPr>
          <w:sz w:val="28"/>
          <w:szCs w:val="28"/>
        </w:rPr>
      </w:pPr>
      <w:r>
        <w:rPr>
          <w:rFonts w:hint="eastAsia"/>
          <w:sz w:val="28"/>
          <w:szCs w:val="28"/>
        </w:rPr>
        <w:t>1.</w:t>
      </w:r>
      <w:r>
        <w:rPr>
          <w:sz w:val="28"/>
          <w:szCs w:val="28"/>
        </w:rPr>
        <w:t>加油机维修应满足：</w:t>
      </w:r>
    </w:p>
    <w:p>
      <w:pPr>
        <w:ind w:firstLine="544"/>
        <w:rPr>
          <w:sz w:val="28"/>
          <w:szCs w:val="28"/>
        </w:rPr>
      </w:pPr>
      <w:r>
        <w:rPr>
          <w:sz w:val="28"/>
          <w:szCs w:val="28"/>
        </w:rPr>
        <w:t>1）加油机维修之前要切断电源，摘下皮带轮上的皮带。若所修的部位需要放油时，必须用容器收集燃油，防止燃油泄漏。</w:t>
      </w:r>
    </w:p>
    <w:p>
      <w:pPr>
        <w:ind w:firstLine="544"/>
        <w:rPr>
          <w:sz w:val="28"/>
          <w:szCs w:val="28"/>
        </w:rPr>
      </w:pPr>
      <w:r>
        <w:rPr>
          <w:sz w:val="28"/>
          <w:szCs w:val="28"/>
        </w:rPr>
        <w:t>2）所需工具须摆放整齐，严禁乱放乱摔。</w:t>
      </w:r>
    </w:p>
    <w:p>
      <w:pPr>
        <w:ind w:firstLine="544"/>
        <w:rPr>
          <w:sz w:val="28"/>
          <w:szCs w:val="28"/>
        </w:rPr>
      </w:pPr>
      <w:r>
        <w:rPr>
          <w:sz w:val="28"/>
          <w:szCs w:val="28"/>
        </w:rPr>
        <w:t>3）在维修加油机时，要注意不要划伤各金属零件、密封件及密封结合面，以免造成泄漏。在复装前，须将各零部件清洗干净，以免损伤部件。</w:t>
      </w:r>
    </w:p>
    <w:p>
      <w:pPr>
        <w:ind w:firstLine="544"/>
        <w:rPr>
          <w:sz w:val="28"/>
          <w:szCs w:val="28"/>
        </w:rPr>
      </w:pPr>
      <w:r>
        <w:rPr>
          <w:sz w:val="28"/>
          <w:szCs w:val="28"/>
        </w:rPr>
        <w:t>4）在维修电器设备之后，要仔细检查线路，防止接错。</w:t>
      </w:r>
    </w:p>
    <w:p>
      <w:pPr>
        <w:ind w:firstLine="544"/>
        <w:rPr>
          <w:sz w:val="28"/>
          <w:szCs w:val="28"/>
        </w:rPr>
      </w:pPr>
      <w:r>
        <w:rPr>
          <w:sz w:val="28"/>
          <w:szCs w:val="28"/>
        </w:rPr>
        <w:t>5）加油机、加油岛被进站车辆撞击后，应立即关闭电源进行检查，并立即通知维护人员检修。</w:t>
      </w:r>
    </w:p>
    <w:p>
      <w:pPr>
        <w:ind w:firstLine="544"/>
        <w:rPr>
          <w:sz w:val="28"/>
          <w:szCs w:val="28"/>
        </w:rPr>
      </w:pPr>
      <w:r>
        <w:rPr>
          <w:rFonts w:hint="eastAsia"/>
          <w:sz w:val="28"/>
          <w:szCs w:val="28"/>
        </w:rPr>
        <w:t>2.</w:t>
      </w:r>
      <w:r>
        <w:rPr>
          <w:sz w:val="28"/>
          <w:szCs w:val="28"/>
        </w:rPr>
        <w:t>清洗油罐作业对策措施：</w:t>
      </w:r>
    </w:p>
    <w:p>
      <w:pPr>
        <w:ind w:firstLine="544"/>
        <w:rPr>
          <w:sz w:val="28"/>
          <w:szCs w:val="28"/>
        </w:rPr>
      </w:pPr>
      <w:r>
        <w:rPr>
          <w:sz w:val="28"/>
          <w:szCs w:val="28"/>
        </w:rPr>
        <w:t>1）适时清洗油罐沉积物，装运不同油品应按规定进行清洗。清罐时必须按清罐安全要求进行，以防发生中毒和爆炸</w:t>
      </w:r>
      <w:r>
        <w:fldChar w:fldCharType="begin"/>
      </w:r>
      <w:r>
        <w:instrText xml:space="preserve"> HYPERLINK "http://www.powersafety.com.cn/default/article/dlsgal/" \t "_blank" </w:instrText>
      </w:r>
      <w:r>
        <w:fldChar w:fldCharType="separate"/>
      </w:r>
      <w:r>
        <w:rPr>
          <w:sz w:val="28"/>
          <w:szCs w:val="28"/>
        </w:rPr>
        <w:t>事故</w:t>
      </w:r>
      <w:r>
        <w:rPr>
          <w:sz w:val="28"/>
          <w:szCs w:val="28"/>
        </w:rPr>
        <w:fldChar w:fldCharType="end"/>
      </w:r>
      <w:r>
        <w:rPr>
          <w:sz w:val="28"/>
          <w:szCs w:val="28"/>
        </w:rPr>
        <w:t>。</w:t>
      </w:r>
    </w:p>
    <w:p>
      <w:pPr>
        <w:ind w:firstLine="544"/>
        <w:rPr>
          <w:sz w:val="28"/>
          <w:szCs w:val="28"/>
        </w:rPr>
      </w:pPr>
      <w:r>
        <w:rPr>
          <w:sz w:val="28"/>
          <w:szCs w:val="28"/>
        </w:rPr>
        <w:t>2）油罐清洗，应委托具备相应资格的专业公司依相关规定作业，</w:t>
      </w:r>
      <w:r>
        <w:rPr>
          <w:rFonts w:hint="eastAsia"/>
          <w:sz w:val="28"/>
          <w:szCs w:val="28"/>
        </w:rPr>
        <w:t>并与受托方签订专门的安全生产管理协议或者在合同中明确各自的安全生产职责。存在多个受托方时，委托方应当对受托方的安全生产工作进行统一协调、管理。</w:t>
      </w:r>
      <w:r>
        <w:rPr>
          <w:sz w:val="28"/>
          <w:szCs w:val="28"/>
        </w:rPr>
        <w:t>清洗公司专门须指定并设置现场安全主管于现场指挥监督作业。</w:t>
      </w:r>
    </w:p>
    <w:p>
      <w:pPr>
        <w:ind w:firstLine="544"/>
        <w:rPr>
          <w:sz w:val="28"/>
          <w:szCs w:val="28"/>
        </w:rPr>
      </w:pPr>
      <w:r>
        <w:rPr>
          <w:sz w:val="28"/>
          <w:szCs w:val="28"/>
        </w:rPr>
        <w:t>3）加油站地下油罐以密闭机械清洗为原则，动力机械以采取气动式为原则，若采用电气机具则应为防爆型式并实施接地。</w:t>
      </w:r>
    </w:p>
    <w:p>
      <w:pPr>
        <w:ind w:firstLine="544"/>
        <w:rPr>
          <w:sz w:val="28"/>
          <w:szCs w:val="28"/>
        </w:rPr>
      </w:pPr>
      <w:r>
        <w:rPr>
          <w:sz w:val="28"/>
          <w:szCs w:val="28"/>
        </w:rPr>
        <w:t>4）清洗油罐所用的手持工具应为无火花安全工具，和全棉清洁用具。</w:t>
      </w:r>
    </w:p>
    <w:p>
      <w:pPr>
        <w:ind w:firstLine="544"/>
        <w:rPr>
          <w:sz w:val="28"/>
          <w:szCs w:val="28"/>
        </w:rPr>
      </w:pPr>
      <w:r>
        <w:rPr>
          <w:sz w:val="28"/>
          <w:szCs w:val="28"/>
        </w:rPr>
        <w:t>5）清罐油罐处，应</w:t>
      </w:r>
      <w:r>
        <w:rPr>
          <w:rFonts w:hint="eastAsia"/>
          <w:sz w:val="28"/>
          <w:szCs w:val="28"/>
        </w:rPr>
        <w:t>采取可靠的隔断（隔离）措施，将可能危及作业安全的设施设备、存在有毒有害物质的空间与作业地点隔开。</w:t>
      </w:r>
    </w:p>
    <w:p>
      <w:pPr>
        <w:ind w:firstLine="544"/>
        <w:rPr>
          <w:sz w:val="28"/>
          <w:szCs w:val="28"/>
        </w:rPr>
      </w:pPr>
      <w:r>
        <w:rPr>
          <w:rFonts w:hint="eastAsia"/>
          <w:sz w:val="28"/>
          <w:szCs w:val="28"/>
        </w:rPr>
        <w:t>6）清洗作业应当严格遵守“先通风、再检测、后作业”的原则。检测指标包括氧浓度、易燃易爆物质（可燃性气体、爆炸性粉尘）浓度、有毒有害气体浓度。检测应当符合相关国家标准或者行业标准的规定。在作业过程中，应当对油罐中的危险有害因素进行定时检测或者连续监测。</w:t>
      </w:r>
    </w:p>
    <w:p>
      <w:pPr>
        <w:ind w:firstLine="544"/>
        <w:rPr>
          <w:sz w:val="28"/>
          <w:szCs w:val="28"/>
        </w:rPr>
      </w:pPr>
      <w:r>
        <w:rPr>
          <w:rFonts w:hint="eastAsia"/>
          <w:sz w:val="28"/>
          <w:szCs w:val="28"/>
        </w:rPr>
        <w:t>7</w:t>
      </w:r>
      <w:r>
        <w:rPr>
          <w:sz w:val="28"/>
          <w:szCs w:val="28"/>
        </w:rPr>
        <w:t>）油罐清洗时应随时注意并测试油罐内、外油气浓度及采取必要安全防护措施。</w:t>
      </w:r>
    </w:p>
    <w:p>
      <w:pPr>
        <w:ind w:firstLine="544"/>
        <w:rPr>
          <w:sz w:val="28"/>
          <w:szCs w:val="28"/>
        </w:rPr>
      </w:pPr>
      <w:r>
        <w:rPr>
          <w:rFonts w:hint="eastAsia"/>
          <w:sz w:val="28"/>
          <w:szCs w:val="28"/>
        </w:rPr>
        <w:t>8</w:t>
      </w:r>
      <w:r>
        <w:rPr>
          <w:sz w:val="28"/>
          <w:szCs w:val="28"/>
        </w:rPr>
        <w:t>）油罐清洗后之残渣，应依废弃物清理法规处理。</w:t>
      </w:r>
    </w:p>
    <w:p>
      <w:pPr>
        <w:ind w:firstLine="544"/>
        <w:rPr>
          <w:sz w:val="28"/>
          <w:szCs w:val="28"/>
        </w:rPr>
      </w:pPr>
      <w:r>
        <w:rPr>
          <w:rFonts w:hint="eastAsia"/>
          <w:sz w:val="28"/>
          <w:szCs w:val="28"/>
        </w:rPr>
        <w:t>9</w:t>
      </w:r>
      <w:r>
        <w:rPr>
          <w:sz w:val="28"/>
          <w:szCs w:val="28"/>
        </w:rPr>
        <w:t>）油罐清洗作业期间，值班站长须在现场监督清洗作业过程。</w:t>
      </w:r>
    </w:p>
    <w:p>
      <w:pPr>
        <w:ind w:firstLine="544"/>
        <w:rPr>
          <w:sz w:val="28"/>
          <w:szCs w:val="28"/>
        </w:rPr>
      </w:pPr>
      <w:r>
        <w:rPr>
          <w:rFonts w:hint="eastAsia"/>
          <w:sz w:val="28"/>
          <w:szCs w:val="28"/>
        </w:rPr>
        <w:t>10</w:t>
      </w:r>
      <w:r>
        <w:rPr>
          <w:sz w:val="28"/>
          <w:szCs w:val="28"/>
        </w:rPr>
        <w:t>）油罐清洗后</w:t>
      </w:r>
      <w:r>
        <w:rPr>
          <w:rFonts w:hint="eastAsia"/>
          <w:sz w:val="28"/>
          <w:szCs w:val="28"/>
        </w:rPr>
        <w:t>，作业现场负责人、监护人员应当对作业现场进行清理，撤离作业人员。</w:t>
      </w:r>
    </w:p>
    <w:p>
      <w:pPr>
        <w:ind w:firstLine="544"/>
        <w:rPr>
          <w:sz w:val="28"/>
          <w:szCs w:val="28"/>
        </w:rPr>
      </w:pPr>
      <w:r>
        <w:rPr>
          <w:rFonts w:hint="eastAsia"/>
          <w:sz w:val="28"/>
          <w:szCs w:val="28"/>
        </w:rPr>
        <w:t>11）清洗作业中发生事故后，现场有关人员应当立即报警，禁止盲目施救。应急救援人员实施救援时，应当做好自身防护，佩戴必要的呼吸器具、救援器材。</w:t>
      </w:r>
    </w:p>
    <w:p>
      <w:pPr>
        <w:ind w:firstLine="544"/>
        <w:rPr>
          <w:sz w:val="28"/>
          <w:szCs w:val="28"/>
        </w:rPr>
      </w:pPr>
      <w:r>
        <w:rPr>
          <w:sz w:val="28"/>
          <w:szCs w:val="28"/>
        </w:rPr>
        <w:t>1</w:t>
      </w:r>
      <w:r>
        <w:rPr>
          <w:rFonts w:hint="eastAsia"/>
          <w:sz w:val="28"/>
          <w:szCs w:val="28"/>
        </w:rPr>
        <w:t>2</w:t>
      </w:r>
      <w:r>
        <w:rPr>
          <w:sz w:val="28"/>
          <w:szCs w:val="28"/>
        </w:rPr>
        <w:t>）清洗油罐应严格按照受限空间作业要求进行操作。</w:t>
      </w:r>
    </w:p>
    <w:p>
      <w:pPr>
        <w:ind w:firstLine="544"/>
        <w:rPr>
          <w:sz w:val="28"/>
          <w:szCs w:val="28"/>
        </w:rPr>
      </w:pPr>
      <w:r>
        <w:rPr>
          <w:rFonts w:hint="eastAsia"/>
          <w:sz w:val="28"/>
          <w:szCs w:val="28"/>
        </w:rPr>
        <w:t>3.</w:t>
      </w:r>
      <w:r>
        <w:rPr>
          <w:sz w:val="28"/>
          <w:szCs w:val="28"/>
        </w:rPr>
        <w:t>消防器材及通道维护：</w:t>
      </w:r>
    </w:p>
    <w:p>
      <w:pPr>
        <w:ind w:firstLine="544"/>
        <w:rPr>
          <w:sz w:val="28"/>
          <w:szCs w:val="28"/>
        </w:rPr>
      </w:pPr>
      <w:r>
        <w:rPr>
          <w:sz w:val="28"/>
          <w:szCs w:val="28"/>
        </w:rPr>
        <w:t>1）消防器材应定期效验，确保有效，报废或损坏应及时更换（包括灭火器、灭火毯更换和消防砂的增添）。</w:t>
      </w:r>
    </w:p>
    <w:p>
      <w:pPr>
        <w:ind w:firstLine="544"/>
        <w:rPr>
          <w:sz w:val="28"/>
          <w:szCs w:val="28"/>
        </w:rPr>
      </w:pPr>
      <w:r>
        <w:rPr>
          <w:sz w:val="28"/>
          <w:szCs w:val="28"/>
        </w:rPr>
        <w:t>2）消防器材应放置于便于取用的地方，并有标识。</w:t>
      </w:r>
    </w:p>
    <w:p>
      <w:pPr>
        <w:ind w:firstLine="544"/>
        <w:rPr>
          <w:sz w:val="28"/>
          <w:szCs w:val="28"/>
        </w:rPr>
      </w:pPr>
      <w:r>
        <w:rPr>
          <w:sz w:val="28"/>
          <w:szCs w:val="28"/>
        </w:rPr>
        <w:t>3）消防、疏散等救援通道必须保持通畅，不得堵塞。</w:t>
      </w:r>
    </w:p>
    <w:p>
      <w:pPr>
        <w:ind w:firstLine="544"/>
        <w:rPr>
          <w:sz w:val="28"/>
          <w:szCs w:val="28"/>
        </w:rPr>
      </w:pPr>
      <w:r>
        <w:rPr>
          <w:rFonts w:hint="eastAsia"/>
          <w:sz w:val="28"/>
          <w:szCs w:val="28"/>
        </w:rPr>
        <w:t>4.</w:t>
      </w:r>
      <w:r>
        <w:rPr>
          <w:sz w:val="28"/>
          <w:szCs w:val="28"/>
        </w:rPr>
        <w:t>防高空坠落、物体打击、车辆伤害措施：</w:t>
      </w:r>
    </w:p>
    <w:p>
      <w:pPr>
        <w:ind w:firstLine="544"/>
        <w:rPr>
          <w:sz w:val="28"/>
          <w:szCs w:val="28"/>
        </w:rPr>
      </w:pPr>
      <w:r>
        <w:rPr>
          <w:sz w:val="28"/>
          <w:szCs w:val="28"/>
        </w:rPr>
        <w:t>1）具有坠落危险的场所、高度超过坠落基准面2m的操作平台要设供站立的平台和防坠落栏杆、安全盖板、防护板、防护网、防护绳等。</w:t>
      </w:r>
    </w:p>
    <w:p>
      <w:pPr>
        <w:ind w:firstLine="544"/>
        <w:rPr>
          <w:sz w:val="28"/>
          <w:szCs w:val="28"/>
        </w:rPr>
      </w:pPr>
      <w:r>
        <w:rPr>
          <w:sz w:val="28"/>
          <w:szCs w:val="28"/>
        </w:rPr>
        <w:t>2）为了防止高处作业事故的发生，应严格执行下列规定：高处作业人员必须符合身体要求，同时必须正确穿戴个体防护用品（如安全带、安全鞋、安全帽、安全手套等）；设置安全网、安全距离、安全信号和标志；遇6级以上（含6级）强风、雷暴等恶劣气候，露天场所不能进行高处作业；夜间进行高处作业，必须有足够照明；作业前，应严格检查登高用具的安全可靠性。</w:t>
      </w:r>
    </w:p>
    <w:p>
      <w:pPr>
        <w:ind w:firstLine="544"/>
        <w:rPr>
          <w:sz w:val="28"/>
          <w:szCs w:val="28"/>
        </w:rPr>
      </w:pPr>
      <w:r>
        <w:rPr>
          <w:sz w:val="28"/>
          <w:szCs w:val="28"/>
        </w:rPr>
        <w:t>3）在进行动火作业、罐内作业、高处作业、起重作业等危险性作业时应规范作业手续和操作规程。</w:t>
      </w:r>
    </w:p>
    <w:p>
      <w:pPr>
        <w:ind w:firstLine="544"/>
        <w:rPr>
          <w:sz w:val="28"/>
          <w:szCs w:val="28"/>
        </w:rPr>
      </w:pPr>
      <w:r>
        <w:rPr>
          <w:sz w:val="28"/>
          <w:szCs w:val="28"/>
        </w:rPr>
        <w:t>4）加油站内车辆进出频繁，应合理调度指挥，避免引起车辆伤害事故。对策措施如下：</w:t>
      </w:r>
    </w:p>
    <w:p>
      <w:pPr>
        <w:ind w:firstLine="544"/>
        <w:rPr>
          <w:sz w:val="28"/>
          <w:szCs w:val="28"/>
        </w:rPr>
      </w:pPr>
      <w:r>
        <w:rPr>
          <w:sz w:val="28"/>
          <w:szCs w:val="28"/>
        </w:rPr>
        <w:t>①各种防护装置要到位，特别是在加油机、罩棚立柱等重点部位旁，要通过设置金属围栏、防撞沙桶、橡胶减速带等物品，以减少直接碰撞产生的危害。</w:t>
      </w:r>
    </w:p>
    <w:p>
      <w:pPr>
        <w:ind w:firstLine="544"/>
        <w:rPr>
          <w:sz w:val="28"/>
          <w:szCs w:val="28"/>
        </w:rPr>
      </w:pPr>
      <w:r>
        <w:rPr>
          <w:sz w:val="28"/>
          <w:szCs w:val="28"/>
        </w:rPr>
        <w:t>②科学设置交通标志。在入站口设立限速牌，根据加注油品不同划分车道导行线，在罩棚上、车道中标注限高、限宽标志等，以提醒加油司机注意。</w:t>
      </w:r>
    </w:p>
    <w:p>
      <w:pPr>
        <w:ind w:firstLine="544"/>
        <w:rPr>
          <w:sz w:val="28"/>
          <w:szCs w:val="28"/>
        </w:rPr>
      </w:pPr>
      <w:r>
        <w:rPr>
          <w:sz w:val="28"/>
          <w:szCs w:val="28"/>
        </w:rPr>
        <w:t>③做好现场车辆的引导，这也是防范站内交通事故的重要环节。作为加油员，不仅要熟知站内建筑物、设备的距离设置，而且要掌握各种车辆的油箱位置、大概长度等，以便于正确使用手势引导车辆到位。此外，加油员还要做好防护，疏导车辆时做到“眼观六路、耳听八方”，避免自身受到伤害。</w:t>
      </w:r>
    </w:p>
    <w:p>
      <w:pPr>
        <w:ind w:firstLine="544"/>
        <w:rPr>
          <w:sz w:val="28"/>
          <w:szCs w:val="28"/>
        </w:rPr>
      </w:pPr>
      <w:r>
        <w:rPr>
          <w:rFonts w:hint="eastAsia"/>
          <w:sz w:val="28"/>
          <w:szCs w:val="28"/>
        </w:rPr>
        <w:t>5.安全标志对策措施</w:t>
      </w:r>
    </w:p>
    <w:p>
      <w:pPr>
        <w:ind w:firstLine="544"/>
        <w:rPr>
          <w:sz w:val="28"/>
          <w:szCs w:val="28"/>
        </w:rPr>
      </w:pPr>
      <w:r>
        <w:rPr>
          <w:rFonts w:hint="eastAsia"/>
          <w:sz w:val="28"/>
          <w:szCs w:val="28"/>
        </w:rPr>
        <w:t>1)加油站出入口处应设置指示标识（入口和出口）。</w:t>
      </w:r>
    </w:p>
    <w:p>
      <w:pPr>
        <w:ind w:firstLine="544"/>
        <w:rPr>
          <w:sz w:val="28"/>
          <w:szCs w:val="28"/>
        </w:rPr>
      </w:pPr>
      <w:r>
        <w:rPr>
          <w:rFonts w:hint="eastAsia"/>
          <w:sz w:val="28"/>
          <w:szCs w:val="28"/>
        </w:rPr>
        <w:t>2)现有的安全警示标识应定期进行检查，保持清晰和完好状态。除临时安全标志外，不得将安全标志设在可移动的物体上。</w:t>
      </w:r>
    </w:p>
    <w:p>
      <w:pPr>
        <w:ind w:firstLine="544"/>
        <w:rPr>
          <w:sz w:val="28"/>
          <w:szCs w:val="28"/>
        </w:rPr>
      </w:pPr>
      <w:r>
        <w:rPr>
          <w:rFonts w:hint="eastAsia"/>
          <w:sz w:val="28"/>
          <w:szCs w:val="28"/>
        </w:rPr>
        <w:t>3)罐区内外设置标有危险等级和注意事项的警示牌，标示储存油料的特性，发生火灾、爆炸泄漏等事故时的应急措施等。</w:t>
      </w:r>
    </w:p>
    <w:p>
      <w:pPr>
        <w:spacing w:line="360" w:lineRule="auto"/>
        <w:ind w:firstLine="561"/>
        <w:rPr>
          <w:rFonts w:ascii="Times New Roman" w:hAnsi="Times New Roman"/>
          <w:sz w:val="28"/>
          <w:szCs w:val="28"/>
        </w:rPr>
      </w:pPr>
      <w:r>
        <w:rPr>
          <w:rFonts w:hint="eastAsia"/>
          <w:sz w:val="28"/>
          <w:szCs w:val="28"/>
        </w:rPr>
        <w:t>4)加油区、卸油区和配电间等各岗位内必须张贴相应的《安全操作规程》《安全管理制度》和《注意事项》等规程。</w:t>
      </w:r>
    </w:p>
    <w:p>
      <w:pPr>
        <w:ind w:firstLine="560"/>
        <w:rPr>
          <w:rFonts w:ascii="Times New Roman" w:hAnsi="Times New Roman"/>
          <w:sz w:val="28"/>
          <w:szCs w:val="28"/>
        </w:rPr>
        <w:sectPr>
          <w:headerReference r:id="rId5" w:type="default"/>
          <w:footerReference r:id="rId6" w:type="default"/>
          <w:pgSz w:w="11906" w:h="16838"/>
          <w:pgMar w:top="1440" w:right="1797" w:bottom="1440" w:left="1797" w:header="851" w:footer="992" w:gutter="0"/>
          <w:pgNumType w:start="1"/>
          <w:cols w:space="720" w:num="1"/>
          <w:docGrid w:type="lines" w:linePitch="312" w:charSpace="0"/>
        </w:sectPr>
      </w:pPr>
    </w:p>
    <w:p>
      <w:pPr>
        <w:pStyle w:val="3"/>
      </w:pPr>
      <w:bookmarkStart w:id="265" w:name="_Toc2847161"/>
      <w:bookmarkStart w:id="266" w:name="_Toc2846969"/>
      <w:bookmarkStart w:id="267" w:name="_Toc29574"/>
      <w:r>
        <w:t>5 评估结论与建议</w:t>
      </w:r>
      <w:bookmarkEnd w:id="265"/>
      <w:bookmarkEnd w:id="266"/>
      <w:bookmarkEnd w:id="267"/>
    </w:p>
    <w:p>
      <w:pPr>
        <w:pStyle w:val="4"/>
      </w:pPr>
      <w:bookmarkStart w:id="268" w:name="_Toc2847162"/>
      <w:bookmarkStart w:id="269" w:name="_Toc4574"/>
      <w:bookmarkStart w:id="270" w:name="_Toc2846970"/>
      <w:r>
        <w:t>5.1 结论</w:t>
      </w:r>
      <w:bookmarkEnd w:id="268"/>
      <w:bookmarkEnd w:id="269"/>
      <w:bookmarkEnd w:id="270"/>
    </w:p>
    <w:p>
      <w:pPr>
        <w:spacing w:line="360" w:lineRule="auto"/>
        <w:ind w:firstLine="561"/>
        <w:rPr>
          <w:rFonts w:ascii="Times New Roman" w:hAnsi="Times New Roman"/>
          <w:sz w:val="28"/>
          <w:szCs w:val="28"/>
        </w:rPr>
      </w:pPr>
      <w:r>
        <w:rPr>
          <w:rFonts w:ascii="Times New Roman" w:hAnsi="Times New Roman"/>
          <w:sz w:val="28"/>
          <w:szCs w:val="28"/>
        </w:rPr>
        <w:t>本加油站各类危险源均处在动态监控中，在日常生产过程中发现隐患问题，能够及时得到整改，加强员工教育，杜绝“三违”现象，就能够做到事故可防可控。本加油站《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4"/>
        <w:rPr>
          <w:szCs w:val="28"/>
        </w:rPr>
      </w:pPr>
      <w:bookmarkStart w:id="271" w:name="_Toc10158"/>
      <w:bookmarkStart w:id="272" w:name="_Toc2846971"/>
      <w:bookmarkStart w:id="273" w:name="_Toc2847163"/>
      <w:r>
        <w:rPr>
          <w:szCs w:val="28"/>
        </w:rPr>
        <w:t>5.2 建议</w:t>
      </w:r>
      <w:bookmarkEnd w:id="271"/>
      <w:bookmarkEnd w:id="272"/>
      <w:bookmarkEnd w:id="273"/>
    </w:p>
    <w:p>
      <w:pPr>
        <w:spacing w:line="360" w:lineRule="auto"/>
        <w:ind w:firstLine="561"/>
        <w:rPr>
          <w:rFonts w:ascii="Times New Roman" w:hAnsi="Times New Roman"/>
          <w:sz w:val="28"/>
          <w:szCs w:val="28"/>
        </w:rPr>
      </w:pPr>
      <w:r>
        <w:rPr>
          <w:rFonts w:ascii="Times New Roman" w:hAnsi="Times New Roman"/>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1"/>
        <w:rPr>
          <w:rFonts w:ascii="Times New Roman" w:hAnsi="Times New Roman"/>
          <w:sz w:val="28"/>
          <w:szCs w:val="28"/>
        </w:rPr>
      </w:pPr>
      <w:r>
        <w:rPr>
          <w:rFonts w:ascii="Times New Roman" w:hAnsi="Times New Roman"/>
          <w:sz w:val="28"/>
          <w:szCs w:val="28"/>
        </w:rPr>
        <w:t>（2）应增加应急救援器材，确保事故发生或作业人员发生人身伤害时，能够及时采取有效救援措施，减轻伤害程度，控制事故的发展。</w:t>
      </w:r>
    </w:p>
    <w:p>
      <w:pPr>
        <w:spacing w:line="360" w:lineRule="auto"/>
        <w:ind w:firstLine="560" w:firstLineChars="200"/>
        <w:rPr>
          <w:rFonts w:ascii="Times New Roman" w:hAnsi="Times New Roman"/>
          <w:sz w:val="28"/>
          <w:szCs w:val="28"/>
        </w:rPr>
      </w:pPr>
      <w:r>
        <w:rPr>
          <w:rFonts w:hint="eastAsia" w:ascii="Times New Roman" w:hAnsi="Times New Roman"/>
          <w:sz w:val="28"/>
          <w:szCs w:val="28"/>
        </w:rPr>
        <w:t>（3）应不定期组织开展突发事件应急演练，锻炼突发事件应对能力。</w:t>
      </w:r>
    </w:p>
    <w:p>
      <w:pPr>
        <w:pStyle w:val="2"/>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華康中楷體">
    <w:altName w:val="MingLiU"/>
    <w:panose1 w:val="00000000000000000000"/>
    <w:charset w:val="88"/>
    <w:family w:val="modern"/>
    <w:pitch w:val="default"/>
    <w:sig w:usb0="00000000" w:usb1="00000000" w:usb2="00000010" w:usb3="00000000" w:csb0="00100000" w:csb1="00000000"/>
  </w:font>
  <w:font w:name="AdobeHeitiStd-Regular">
    <w:altName w:val="黑体"/>
    <w:panose1 w:val="00000000000000000000"/>
    <w:charset w:val="86"/>
    <w:family w:val="auto"/>
    <w:pitch w:val="default"/>
    <w:sig w:usb0="00000000" w:usb1="00000000" w:usb2="00000016" w:usb3="00000000" w:csb0="00060007"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Univers Condensed">
    <w:altName w:val="MingLiU"/>
    <w:panose1 w:val="00000000000000000000"/>
    <w:charset w:val="00"/>
    <w:family w:val="swiss"/>
    <w:pitch w:val="default"/>
    <w:sig w:usb0="00000000" w:usb1="00000000" w:usb2="00000000" w:usb3="00000000" w:csb0="0000000F" w:csb1="00000000"/>
  </w:font>
  <w:font w:name="方正书宋简体">
    <w:altName w:val="宋体"/>
    <w:panose1 w:val="00000000000000000000"/>
    <w:charset w:val="86"/>
    <w:family w:val="auto"/>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Dialog">
    <w:altName w:val="Times New Roman"/>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fldChar w:fldCharType="begin"/>
    </w:r>
    <w:r>
      <w:rPr>
        <w:rStyle w:val="53"/>
      </w:rPr>
      <w:instrText xml:space="preserve"> PAGE </w:instrText>
    </w:r>
    <w:r>
      <w:fldChar w:fldCharType="separate"/>
    </w:r>
    <w:r>
      <w:rPr>
        <w:rStyle w:val="53"/>
      </w:rPr>
      <w:t>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b/>
        <w:sz w:val="21"/>
        <w:szCs w:val="21"/>
      </w:rPr>
    </w:pPr>
    <w:r>
      <w:rPr>
        <w:rFonts w:hint="eastAsia" w:ascii="宋体" w:hAnsi="宋体"/>
        <w:b/>
        <w:sz w:val="21"/>
        <w:szCs w:val="21"/>
      </w:rPr>
      <w:t>南充市顺庆区芦溪农机加油站事故风险辨识评估报告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3B6DB"/>
    <w:multiLevelType w:val="singleLevel"/>
    <w:tmpl w:val="8743B6DB"/>
    <w:lvl w:ilvl="0" w:tentative="0">
      <w:start w:val="1"/>
      <w:numFmt w:val="decimal"/>
      <w:suff w:val="nothing"/>
      <w:lvlText w:val="%1．"/>
      <w:lvlJc w:val="left"/>
      <w:pPr>
        <w:ind w:left="0" w:firstLine="400"/>
      </w:pPr>
      <w:rPr>
        <w:rFonts w:hint="default"/>
      </w:rPr>
    </w:lvl>
  </w:abstractNum>
  <w:abstractNum w:abstractNumId="1">
    <w:nsid w:val="9231943D"/>
    <w:multiLevelType w:val="singleLevel"/>
    <w:tmpl w:val="9231943D"/>
    <w:lvl w:ilvl="0" w:tentative="0">
      <w:start w:val="1"/>
      <w:numFmt w:val="decimal"/>
      <w:suff w:val="nothing"/>
      <w:lvlText w:val="%1、"/>
      <w:lvlJc w:val="left"/>
    </w:lvl>
  </w:abstractNum>
  <w:abstractNum w:abstractNumId="2">
    <w:nsid w:val="9E4BA9AA"/>
    <w:multiLevelType w:val="singleLevel"/>
    <w:tmpl w:val="9E4BA9AA"/>
    <w:lvl w:ilvl="0" w:tentative="0">
      <w:start w:val="1"/>
      <w:numFmt w:val="decimal"/>
      <w:suff w:val="nothing"/>
      <w:lvlText w:val="%1．"/>
      <w:lvlJc w:val="left"/>
      <w:pPr>
        <w:ind w:left="0" w:firstLine="400"/>
      </w:pPr>
      <w:rPr>
        <w:rFonts w:hint="default"/>
      </w:rPr>
    </w:lvl>
  </w:abstractNum>
  <w:abstractNum w:abstractNumId="3">
    <w:nsid w:val="B1B68DD7"/>
    <w:multiLevelType w:val="singleLevel"/>
    <w:tmpl w:val="B1B68DD7"/>
    <w:lvl w:ilvl="0" w:tentative="0">
      <w:start w:val="1"/>
      <w:numFmt w:val="decimal"/>
      <w:suff w:val="nothing"/>
      <w:lvlText w:val="%1．"/>
      <w:lvlJc w:val="left"/>
      <w:pPr>
        <w:ind w:left="0" w:firstLine="400"/>
      </w:pPr>
      <w:rPr>
        <w:rFonts w:hint="default"/>
      </w:rPr>
    </w:lvl>
  </w:abstractNum>
  <w:abstractNum w:abstractNumId="4">
    <w:nsid w:val="B7FDF71A"/>
    <w:multiLevelType w:val="singleLevel"/>
    <w:tmpl w:val="B7FDF71A"/>
    <w:lvl w:ilvl="0" w:tentative="0">
      <w:start w:val="1"/>
      <w:numFmt w:val="decimal"/>
      <w:suff w:val="nothing"/>
      <w:lvlText w:val="%1．"/>
      <w:lvlJc w:val="left"/>
      <w:pPr>
        <w:ind w:left="0" w:firstLine="400"/>
      </w:pPr>
      <w:rPr>
        <w:rFonts w:hint="default"/>
      </w:rPr>
    </w:lvl>
  </w:abstractNum>
  <w:abstractNum w:abstractNumId="5">
    <w:nsid w:val="D2F218E7"/>
    <w:multiLevelType w:val="singleLevel"/>
    <w:tmpl w:val="D2F218E7"/>
    <w:lvl w:ilvl="0" w:tentative="0">
      <w:start w:val="1"/>
      <w:numFmt w:val="decimal"/>
      <w:suff w:val="nothing"/>
      <w:lvlText w:val="%1．"/>
      <w:lvlJc w:val="left"/>
      <w:pPr>
        <w:ind w:left="0" w:firstLine="400"/>
      </w:pPr>
      <w:rPr>
        <w:rFonts w:hint="default"/>
      </w:rPr>
    </w:lvl>
  </w:abstractNum>
  <w:abstractNum w:abstractNumId="6">
    <w:nsid w:val="E82AA661"/>
    <w:multiLevelType w:val="singleLevel"/>
    <w:tmpl w:val="E82AA661"/>
    <w:lvl w:ilvl="0" w:tentative="0">
      <w:start w:val="1"/>
      <w:numFmt w:val="decimal"/>
      <w:suff w:val="nothing"/>
      <w:lvlText w:val="%1．"/>
      <w:lvlJc w:val="left"/>
      <w:pPr>
        <w:ind w:left="0" w:firstLine="400"/>
      </w:pPr>
      <w:rPr>
        <w:rFonts w:hint="default"/>
      </w:rPr>
    </w:lvl>
  </w:abstractNum>
  <w:abstractNum w:abstractNumId="7">
    <w:nsid w:val="0000001A"/>
    <w:multiLevelType w:val="singleLevel"/>
    <w:tmpl w:val="0000001A"/>
    <w:lvl w:ilvl="0" w:tentative="0">
      <w:start w:val="4"/>
      <w:numFmt w:val="decimal"/>
      <w:pStyle w:val="88"/>
      <w:lvlText w:val="(%1)"/>
      <w:lvlJc w:val="left"/>
      <w:pPr>
        <w:tabs>
          <w:tab w:val="left" w:pos="1300"/>
        </w:tabs>
        <w:ind w:left="1300" w:hanging="495"/>
      </w:pPr>
      <w:rPr>
        <w:rFonts w:hint="default"/>
      </w:rPr>
    </w:lvl>
  </w:abstractNum>
  <w:abstractNum w:abstractNumId="8">
    <w:nsid w:val="2D9CD7A9"/>
    <w:multiLevelType w:val="singleLevel"/>
    <w:tmpl w:val="2D9CD7A9"/>
    <w:lvl w:ilvl="0" w:tentative="0">
      <w:start w:val="1"/>
      <w:numFmt w:val="decimal"/>
      <w:suff w:val="nothing"/>
      <w:lvlText w:val="%1．"/>
      <w:lvlJc w:val="left"/>
      <w:pPr>
        <w:ind w:left="0" w:firstLine="400"/>
      </w:pPr>
      <w:rPr>
        <w:rFonts w:hint="default"/>
      </w:rPr>
    </w:lvl>
  </w:abstractNum>
  <w:abstractNum w:abstractNumId="9">
    <w:nsid w:val="68ABD7F2"/>
    <w:multiLevelType w:val="singleLevel"/>
    <w:tmpl w:val="68ABD7F2"/>
    <w:lvl w:ilvl="0" w:tentative="0">
      <w:start w:val="1"/>
      <w:numFmt w:val="decimal"/>
      <w:suff w:val="nothing"/>
      <w:lvlText w:val="%1．"/>
      <w:lvlJc w:val="left"/>
      <w:pPr>
        <w:ind w:left="0" w:firstLine="400"/>
      </w:pPr>
      <w:rPr>
        <w:rFonts w:hint="default"/>
      </w:rPr>
    </w:lvl>
  </w:abstractNum>
  <w:abstractNum w:abstractNumId="10">
    <w:nsid w:val="6C3501A3"/>
    <w:multiLevelType w:val="multilevel"/>
    <w:tmpl w:val="6C3501A3"/>
    <w:lvl w:ilvl="0" w:tentative="0">
      <w:start w:val="1"/>
      <w:numFmt w:val="decimal"/>
      <w:pStyle w:val="76"/>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D6177EF"/>
    <w:multiLevelType w:val="singleLevel"/>
    <w:tmpl w:val="7D6177EF"/>
    <w:lvl w:ilvl="0" w:tentative="0">
      <w:start w:val="1"/>
      <w:numFmt w:val="decimal"/>
      <w:suff w:val="nothing"/>
      <w:lvlText w:val="%1．"/>
      <w:lvlJc w:val="left"/>
      <w:pPr>
        <w:ind w:left="0" w:firstLine="400"/>
      </w:pPr>
      <w:rPr>
        <w:rFonts w:hint="default"/>
      </w:rPr>
    </w:lvl>
  </w:abstractNum>
  <w:num w:numId="1">
    <w:abstractNumId w:val="10"/>
  </w:num>
  <w:num w:numId="2">
    <w:abstractNumId w:val="7"/>
  </w:num>
  <w:num w:numId="3">
    <w:abstractNumId w:val="1"/>
  </w:num>
  <w:num w:numId="4">
    <w:abstractNumId w:val="4"/>
  </w:num>
  <w:num w:numId="5">
    <w:abstractNumId w:val="3"/>
  </w:num>
  <w:num w:numId="6">
    <w:abstractNumId w:val="11"/>
  </w:num>
  <w:num w:numId="7">
    <w:abstractNumId w:val="9"/>
  </w:num>
  <w:num w:numId="8">
    <w:abstractNumId w:val="5"/>
  </w:num>
  <w:num w:numId="9">
    <w:abstractNumId w:val="6"/>
  </w:num>
  <w:num w:numId="10">
    <w:abstractNumId w:val="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1"/>
  </w:compat>
  <w:rsids>
    <w:rsidRoot w:val="009A0B21"/>
    <w:rsid w:val="000005B9"/>
    <w:rsid w:val="00004CEF"/>
    <w:rsid w:val="000116DF"/>
    <w:rsid w:val="000136C3"/>
    <w:rsid w:val="00017319"/>
    <w:rsid w:val="000225CE"/>
    <w:rsid w:val="00030E1A"/>
    <w:rsid w:val="00035FF6"/>
    <w:rsid w:val="000420E3"/>
    <w:rsid w:val="00044B10"/>
    <w:rsid w:val="000618BB"/>
    <w:rsid w:val="00063EF1"/>
    <w:rsid w:val="00077E4E"/>
    <w:rsid w:val="0009711E"/>
    <w:rsid w:val="000A77AE"/>
    <w:rsid w:val="000B062D"/>
    <w:rsid w:val="000E4AFD"/>
    <w:rsid w:val="000E4B55"/>
    <w:rsid w:val="000F6667"/>
    <w:rsid w:val="001121D6"/>
    <w:rsid w:val="00112703"/>
    <w:rsid w:val="00117428"/>
    <w:rsid w:val="00126410"/>
    <w:rsid w:val="00132F3C"/>
    <w:rsid w:val="00143F97"/>
    <w:rsid w:val="001467B2"/>
    <w:rsid w:val="001519D9"/>
    <w:rsid w:val="0016386E"/>
    <w:rsid w:val="0018303C"/>
    <w:rsid w:val="0018355F"/>
    <w:rsid w:val="00185B4B"/>
    <w:rsid w:val="00192844"/>
    <w:rsid w:val="001A4254"/>
    <w:rsid w:val="001A4EBE"/>
    <w:rsid w:val="001B39F4"/>
    <w:rsid w:val="001C1C4F"/>
    <w:rsid w:val="00224954"/>
    <w:rsid w:val="0023030B"/>
    <w:rsid w:val="00230A45"/>
    <w:rsid w:val="00255887"/>
    <w:rsid w:val="002615AE"/>
    <w:rsid w:val="0026543C"/>
    <w:rsid w:val="00270699"/>
    <w:rsid w:val="002740DA"/>
    <w:rsid w:val="00284E5C"/>
    <w:rsid w:val="00286258"/>
    <w:rsid w:val="00287E03"/>
    <w:rsid w:val="002925C5"/>
    <w:rsid w:val="002A0572"/>
    <w:rsid w:val="002A6647"/>
    <w:rsid w:val="002E29CC"/>
    <w:rsid w:val="002E5B74"/>
    <w:rsid w:val="003049F6"/>
    <w:rsid w:val="003077C1"/>
    <w:rsid w:val="00314288"/>
    <w:rsid w:val="00320C04"/>
    <w:rsid w:val="00334F46"/>
    <w:rsid w:val="00337FD9"/>
    <w:rsid w:val="0034118F"/>
    <w:rsid w:val="003513FF"/>
    <w:rsid w:val="0035682E"/>
    <w:rsid w:val="00365231"/>
    <w:rsid w:val="0036569F"/>
    <w:rsid w:val="0036774E"/>
    <w:rsid w:val="00381853"/>
    <w:rsid w:val="00392C69"/>
    <w:rsid w:val="00394CE5"/>
    <w:rsid w:val="003B48B8"/>
    <w:rsid w:val="003B5AEB"/>
    <w:rsid w:val="003B7ABA"/>
    <w:rsid w:val="003C1731"/>
    <w:rsid w:val="003E2770"/>
    <w:rsid w:val="00407B69"/>
    <w:rsid w:val="0041045E"/>
    <w:rsid w:val="00420BE7"/>
    <w:rsid w:val="00420E71"/>
    <w:rsid w:val="00424D97"/>
    <w:rsid w:val="004403DF"/>
    <w:rsid w:val="004468BF"/>
    <w:rsid w:val="00467D9C"/>
    <w:rsid w:val="00475F98"/>
    <w:rsid w:val="00476761"/>
    <w:rsid w:val="00490A51"/>
    <w:rsid w:val="00494E63"/>
    <w:rsid w:val="00495565"/>
    <w:rsid w:val="004968B9"/>
    <w:rsid w:val="004A75A2"/>
    <w:rsid w:val="004B0CDA"/>
    <w:rsid w:val="004D1D2B"/>
    <w:rsid w:val="004F0D79"/>
    <w:rsid w:val="004F520D"/>
    <w:rsid w:val="004F53E4"/>
    <w:rsid w:val="005015D1"/>
    <w:rsid w:val="00503CC5"/>
    <w:rsid w:val="00506600"/>
    <w:rsid w:val="005117C2"/>
    <w:rsid w:val="0052059C"/>
    <w:rsid w:val="00520D13"/>
    <w:rsid w:val="005221C8"/>
    <w:rsid w:val="00530E87"/>
    <w:rsid w:val="00541183"/>
    <w:rsid w:val="00557169"/>
    <w:rsid w:val="0056062D"/>
    <w:rsid w:val="0056482E"/>
    <w:rsid w:val="00573C31"/>
    <w:rsid w:val="005840F8"/>
    <w:rsid w:val="00587DD6"/>
    <w:rsid w:val="005910A3"/>
    <w:rsid w:val="005965A9"/>
    <w:rsid w:val="005B17ED"/>
    <w:rsid w:val="005D12D3"/>
    <w:rsid w:val="005E06FC"/>
    <w:rsid w:val="005E7BCB"/>
    <w:rsid w:val="005F5BFE"/>
    <w:rsid w:val="005F6A97"/>
    <w:rsid w:val="00605B01"/>
    <w:rsid w:val="00607248"/>
    <w:rsid w:val="0061388D"/>
    <w:rsid w:val="0061515F"/>
    <w:rsid w:val="00616468"/>
    <w:rsid w:val="00616871"/>
    <w:rsid w:val="00623B47"/>
    <w:rsid w:val="00625F86"/>
    <w:rsid w:val="00630041"/>
    <w:rsid w:val="00633E0C"/>
    <w:rsid w:val="00641A45"/>
    <w:rsid w:val="00643075"/>
    <w:rsid w:val="00647D65"/>
    <w:rsid w:val="00652B56"/>
    <w:rsid w:val="00686AC6"/>
    <w:rsid w:val="00686BB0"/>
    <w:rsid w:val="006872FF"/>
    <w:rsid w:val="006B070C"/>
    <w:rsid w:val="006D7B74"/>
    <w:rsid w:val="006E52BC"/>
    <w:rsid w:val="00703898"/>
    <w:rsid w:val="00707D80"/>
    <w:rsid w:val="0071252F"/>
    <w:rsid w:val="0071333A"/>
    <w:rsid w:val="00713F20"/>
    <w:rsid w:val="007261AC"/>
    <w:rsid w:val="0073032B"/>
    <w:rsid w:val="00730940"/>
    <w:rsid w:val="00745B6B"/>
    <w:rsid w:val="00754097"/>
    <w:rsid w:val="0079240F"/>
    <w:rsid w:val="007A03AE"/>
    <w:rsid w:val="007A41BA"/>
    <w:rsid w:val="007B6975"/>
    <w:rsid w:val="007C002A"/>
    <w:rsid w:val="007C58AF"/>
    <w:rsid w:val="007D2AE2"/>
    <w:rsid w:val="007E34D2"/>
    <w:rsid w:val="0080635C"/>
    <w:rsid w:val="00811C10"/>
    <w:rsid w:val="00816B1E"/>
    <w:rsid w:val="00830A42"/>
    <w:rsid w:val="00835ED9"/>
    <w:rsid w:val="008529B6"/>
    <w:rsid w:val="00854D13"/>
    <w:rsid w:val="00862C88"/>
    <w:rsid w:val="0087570D"/>
    <w:rsid w:val="00880B83"/>
    <w:rsid w:val="00892B62"/>
    <w:rsid w:val="008A32BF"/>
    <w:rsid w:val="008B61A8"/>
    <w:rsid w:val="008C390F"/>
    <w:rsid w:val="008C58D5"/>
    <w:rsid w:val="008C5FE7"/>
    <w:rsid w:val="008D4B70"/>
    <w:rsid w:val="008E2B74"/>
    <w:rsid w:val="008F0F86"/>
    <w:rsid w:val="008F7999"/>
    <w:rsid w:val="00902955"/>
    <w:rsid w:val="009114DC"/>
    <w:rsid w:val="009176C8"/>
    <w:rsid w:val="00920FFF"/>
    <w:rsid w:val="00926139"/>
    <w:rsid w:val="00927466"/>
    <w:rsid w:val="00933826"/>
    <w:rsid w:val="00970435"/>
    <w:rsid w:val="00972BA9"/>
    <w:rsid w:val="0097625D"/>
    <w:rsid w:val="00996B4C"/>
    <w:rsid w:val="009A0B21"/>
    <w:rsid w:val="009A1D4A"/>
    <w:rsid w:val="009A606E"/>
    <w:rsid w:val="009B0547"/>
    <w:rsid w:val="009D7164"/>
    <w:rsid w:val="009D742F"/>
    <w:rsid w:val="00A00749"/>
    <w:rsid w:val="00A0555B"/>
    <w:rsid w:val="00A20ECD"/>
    <w:rsid w:val="00A31BAF"/>
    <w:rsid w:val="00A37A0F"/>
    <w:rsid w:val="00A6616B"/>
    <w:rsid w:val="00AB3235"/>
    <w:rsid w:val="00AB655E"/>
    <w:rsid w:val="00AC169E"/>
    <w:rsid w:val="00AC7E14"/>
    <w:rsid w:val="00AF50CB"/>
    <w:rsid w:val="00AF5776"/>
    <w:rsid w:val="00B040FB"/>
    <w:rsid w:val="00B15B5B"/>
    <w:rsid w:val="00B249AC"/>
    <w:rsid w:val="00B27F58"/>
    <w:rsid w:val="00B31796"/>
    <w:rsid w:val="00B513DF"/>
    <w:rsid w:val="00B527B3"/>
    <w:rsid w:val="00B556FD"/>
    <w:rsid w:val="00B6511F"/>
    <w:rsid w:val="00B70D22"/>
    <w:rsid w:val="00B80817"/>
    <w:rsid w:val="00B87258"/>
    <w:rsid w:val="00B9650F"/>
    <w:rsid w:val="00B97EF0"/>
    <w:rsid w:val="00BB0CD4"/>
    <w:rsid w:val="00BB0EDC"/>
    <w:rsid w:val="00BB6049"/>
    <w:rsid w:val="00BC27EB"/>
    <w:rsid w:val="00BD0EE5"/>
    <w:rsid w:val="00BD714A"/>
    <w:rsid w:val="00C21A13"/>
    <w:rsid w:val="00C356B3"/>
    <w:rsid w:val="00C36179"/>
    <w:rsid w:val="00C37AC2"/>
    <w:rsid w:val="00C61495"/>
    <w:rsid w:val="00C623F2"/>
    <w:rsid w:val="00C745BF"/>
    <w:rsid w:val="00C83984"/>
    <w:rsid w:val="00C877F6"/>
    <w:rsid w:val="00C900E3"/>
    <w:rsid w:val="00C94291"/>
    <w:rsid w:val="00C979B5"/>
    <w:rsid w:val="00CB00C9"/>
    <w:rsid w:val="00CB36AF"/>
    <w:rsid w:val="00CB4993"/>
    <w:rsid w:val="00CE79A0"/>
    <w:rsid w:val="00CF5BCC"/>
    <w:rsid w:val="00D03791"/>
    <w:rsid w:val="00D068CA"/>
    <w:rsid w:val="00D26923"/>
    <w:rsid w:val="00D37DE6"/>
    <w:rsid w:val="00D449C9"/>
    <w:rsid w:val="00D504E0"/>
    <w:rsid w:val="00D57FEE"/>
    <w:rsid w:val="00D72703"/>
    <w:rsid w:val="00D73D06"/>
    <w:rsid w:val="00D7497E"/>
    <w:rsid w:val="00D90E58"/>
    <w:rsid w:val="00DA4470"/>
    <w:rsid w:val="00DA5BF8"/>
    <w:rsid w:val="00DB7003"/>
    <w:rsid w:val="00DD2E50"/>
    <w:rsid w:val="00DD4773"/>
    <w:rsid w:val="00DD47FA"/>
    <w:rsid w:val="00DD7AD6"/>
    <w:rsid w:val="00DE1D79"/>
    <w:rsid w:val="00DE394C"/>
    <w:rsid w:val="00DE4423"/>
    <w:rsid w:val="00DF3127"/>
    <w:rsid w:val="00DF7CCE"/>
    <w:rsid w:val="00E03734"/>
    <w:rsid w:val="00E04644"/>
    <w:rsid w:val="00E115B1"/>
    <w:rsid w:val="00E11E55"/>
    <w:rsid w:val="00E21A73"/>
    <w:rsid w:val="00E2722E"/>
    <w:rsid w:val="00E333FB"/>
    <w:rsid w:val="00E408AD"/>
    <w:rsid w:val="00E61373"/>
    <w:rsid w:val="00E6398D"/>
    <w:rsid w:val="00E6601B"/>
    <w:rsid w:val="00E73611"/>
    <w:rsid w:val="00E8103B"/>
    <w:rsid w:val="00E82994"/>
    <w:rsid w:val="00E84FAB"/>
    <w:rsid w:val="00E876C7"/>
    <w:rsid w:val="00E92FF6"/>
    <w:rsid w:val="00E94520"/>
    <w:rsid w:val="00E95ABA"/>
    <w:rsid w:val="00E967F8"/>
    <w:rsid w:val="00EC42B9"/>
    <w:rsid w:val="00EC7D46"/>
    <w:rsid w:val="00EC7EFE"/>
    <w:rsid w:val="00EE1712"/>
    <w:rsid w:val="00EE688B"/>
    <w:rsid w:val="00EF3F60"/>
    <w:rsid w:val="00F06690"/>
    <w:rsid w:val="00F368D9"/>
    <w:rsid w:val="00F44265"/>
    <w:rsid w:val="00F545A5"/>
    <w:rsid w:val="00F56A99"/>
    <w:rsid w:val="00F759A5"/>
    <w:rsid w:val="00FA165C"/>
    <w:rsid w:val="00FA1A8F"/>
    <w:rsid w:val="00FB20FA"/>
    <w:rsid w:val="00FC376F"/>
    <w:rsid w:val="00FC4E20"/>
    <w:rsid w:val="00FD5879"/>
    <w:rsid w:val="00FE69AD"/>
    <w:rsid w:val="00FF241D"/>
    <w:rsid w:val="00FF4661"/>
    <w:rsid w:val="00FF4F48"/>
    <w:rsid w:val="00FF6149"/>
    <w:rsid w:val="00FF788D"/>
    <w:rsid w:val="01560CED"/>
    <w:rsid w:val="017C708E"/>
    <w:rsid w:val="036B50CA"/>
    <w:rsid w:val="03FC706E"/>
    <w:rsid w:val="05AF6064"/>
    <w:rsid w:val="06007F93"/>
    <w:rsid w:val="09886214"/>
    <w:rsid w:val="09AD67BE"/>
    <w:rsid w:val="0A614BC8"/>
    <w:rsid w:val="0B2F7972"/>
    <w:rsid w:val="0C81512D"/>
    <w:rsid w:val="0DB5369A"/>
    <w:rsid w:val="0E935EF1"/>
    <w:rsid w:val="0EBE54E0"/>
    <w:rsid w:val="0ECB08CC"/>
    <w:rsid w:val="0F9D2460"/>
    <w:rsid w:val="103574BA"/>
    <w:rsid w:val="11A42958"/>
    <w:rsid w:val="11EC0945"/>
    <w:rsid w:val="13086DC7"/>
    <w:rsid w:val="13525BA9"/>
    <w:rsid w:val="151F1CB4"/>
    <w:rsid w:val="1542379F"/>
    <w:rsid w:val="163C0AFC"/>
    <w:rsid w:val="177B40E4"/>
    <w:rsid w:val="17CF5680"/>
    <w:rsid w:val="189469D7"/>
    <w:rsid w:val="1D4E1D81"/>
    <w:rsid w:val="1D623960"/>
    <w:rsid w:val="209214F5"/>
    <w:rsid w:val="20A33E46"/>
    <w:rsid w:val="22FB73EB"/>
    <w:rsid w:val="255911E8"/>
    <w:rsid w:val="256B330A"/>
    <w:rsid w:val="25E46F12"/>
    <w:rsid w:val="28D52108"/>
    <w:rsid w:val="2A9E3A95"/>
    <w:rsid w:val="2B8D77CB"/>
    <w:rsid w:val="2C2E432A"/>
    <w:rsid w:val="2C7069AB"/>
    <w:rsid w:val="2CEF0D9B"/>
    <w:rsid w:val="2D41565C"/>
    <w:rsid w:val="2D9A645C"/>
    <w:rsid w:val="2E5654EE"/>
    <w:rsid w:val="2E5B6B83"/>
    <w:rsid w:val="30923528"/>
    <w:rsid w:val="325C73B7"/>
    <w:rsid w:val="33E44D2F"/>
    <w:rsid w:val="34117A13"/>
    <w:rsid w:val="359F7FC5"/>
    <w:rsid w:val="35F97A12"/>
    <w:rsid w:val="398B6EE3"/>
    <w:rsid w:val="3AB62C50"/>
    <w:rsid w:val="3AE649A7"/>
    <w:rsid w:val="3CBF007E"/>
    <w:rsid w:val="3CD97182"/>
    <w:rsid w:val="403F27D3"/>
    <w:rsid w:val="40E04C40"/>
    <w:rsid w:val="451D3152"/>
    <w:rsid w:val="49441B87"/>
    <w:rsid w:val="497C5DA6"/>
    <w:rsid w:val="4B8957A5"/>
    <w:rsid w:val="4E864F61"/>
    <w:rsid w:val="519314D6"/>
    <w:rsid w:val="54A21344"/>
    <w:rsid w:val="57646E88"/>
    <w:rsid w:val="59CF26F9"/>
    <w:rsid w:val="5B5B49EB"/>
    <w:rsid w:val="5C6B0671"/>
    <w:rsid w:val="5CB659DD"/>
    <w:rsid w:val="5D705553"/>
    <w:rsid w:val="5FB00E30"/>
    <w:rsid w:val="5FB452F4"/>
    <w:rsid w:val="5FCF4CC4"/>
    <w:rsid w:val="60D06179"/>
    <w:rsid w:val="623A1010"/>
    <w:rsid w:val="62B336A9"/>
    <w:rsid w:val="62E25503"/>
    <w:rsid w:val="64864E2F"/>
    <w:rsid w:val="64EF6A30"/>
    <w:rsid w:val="65777B3D"/>
    <w:rsid w:val="660A0605"/>
    <w:rsid w:val="66673DE1"/>
    <w:rsid w:val="66BB7069"/>
    <w:rsid w:val="67826579"/>
    <w:rsid w:val="681507F1"/>
    <w:rsid w:val="69574899"/>
    <w:rsid w:val="6AB50343"/>
    <w:rsid w:val="6B3C1DF7"/>
    <w:rsid w:val="6B82248A"/>
    <w:rsid w:val="6C91449F"/>
    <w:rsid w:val="6CE254B4"/>
    <w:rsid w:val="6D58744D"/>
    <w:rsid w:val="712174FC"/>
    <w:rsid w:val="73476E09"/>
    <w:rsid w:val="73A73A0A"/>
    <w:rsid w:val="77BD24C4"/>
    <w:rsid w:val="792A5B24"/>
    <w:rsid w:val="79A6439A"/>
    <w:rsid w:val="7A9574F7"/>
    <w:rsid w:val="7A9B7EA7"/>
    <w:rsid w:val="7AD37107"/>
    <w:rsid w:val="7AF64CB7"/>
    <w:rsid w:val="7CDB5FF4"/>
    <w:rsid w:val="7D991979"/>
    <w:rsid w:val="7EE51A9D"/>
    <w:rsid w:val="7F2519BD"/>
    <w:rsid w:val="7FCC25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name="HTML Acronym"/>
    <w:lsdException w:unhideWhenUsed="0" w:uiPriority="0" w:name="HTML Address"/>
    <w:lsdException w:unhideWhenUsed="0" w:uiPriority="0" w:name="HTML Cite"/>
    <w:lsdException w:unhideWhenUsed="0" w:uiPriority="0" w:name="HTML Code"/>
    <w:lsdException w:unhideWhenUsed="0" w:uiPriority="0" w:name="HTML Definition"/>
    <w:lsdException w:unhideWhenUsed="0" w:uiPriority="0" w:name="HTML Keyboard"/>
    <w:lsdException w:qFormat="1" w:unhideWhenUsed="0" w:uiPriority="0" w:name="HTML Preformatted"/>
    <w:lsdException w:unhideWhenUsed="0" w:uiPriority="0" w:name="HTML Sample"/>
    <w:lsdException w:qFormat="1" w:unhideWhenUsed="0" w:uiPriority="0" w:name="HTML Typewriter"/>
    <w:lsdException w:unhideWhenUsed="0"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40"/>
    <w:qFormat/>
    <w:uiPriority w:val="0"/>
    <w:pPr>
      <w:widowControl/>
      <w:adjustRightInd w:val="0"/>
      <w:snapToGrid w:val="0"/>
      <w:spacing w:line="360" w:lineRule="auto"/>
      <w:jc w:val="center"/>
      <w:outlineLvl w:val="0"/>
    </w:pPr>
    <w:rPr>
      <w:rFonts w:ascii="黑体"/>
      <w:b/>
      <w:kern w:val="0"/>
      <w:sz w:val="30"/>
      <w:szCs w:val="28"/>
    </w:rPr>
  </w:style>
  <w:style w:type="paragraph" w:styleId="4">
    <w:name w:val="heading 2"/>
    <w:basedOn w:val="1"/>
    <w:next w:val="1"/>
    <w:link w:val="162"/>
    <w:qFormat/>
    <w:uiPriority w:val="0"/>
    <w:pPr>
      <w:keepNext/>
      <w:keepLines/>
      <w:spacing w:line="360" w:lineRule="auto"/>
      <w:outlineLvl w:val="1"/>
    </w:pPr>
    <w:rPr>
      <w:rFonts w:ascii="Arial" w:hAnsi="Arial"/>
      <w:b/>
      <w:bCs/>
      <w:sz w:val="28"/>
      <w:szCs w:val="32"/>
    </w:rPr>
  </w:style>
  <w:style w:type="paragraph" w:styleId="5">
    <w:name w:val="heading 3"/>
    <w:basedOn w:val="1"/>
    <w:next w:val="1"/>
    <w:link w:val="183"/>
    <w:qFormat/>
    <w:uiPriority w:val="0"/>
    <w:pPr>
      <w:keepNext/>
      <w:keepLines/>
      <w:widowControl/>
      <w:spacing w:line="360" w:lineRule="auto"/>
      <w:jc w:val="left"/>
      <w:outlineLvl w:val="2"/>
    </w:pPr>
    <w:rPr>
      <w:b/>
      <w:bCs/>
      <w:sz w:val="24"/>
      <w:szCs w:val="32"/>
    </w:rPr>
  </w:style>
  <w:style w:type="paragraph" w:styleId="6">
    <w:name w:val="heading 4"/>
    <w:basedOn w:val="1"/>
    <w:next w:val="1"/>
    <w:link w:val="153"/>
    <w:qFormat/>
    <w:uiPriority w:val="0"/>
    <w:pPr>
      <w:keepNext/>
      <w:keepLines/>
      <w:widowControl/>
      <w:spacing w:before="280" w:after="290" w:line="376" w:lineRule="auto"/>
      <w:jc w:val="left"/>
      <w:outlineLvl w:val="3"/>
    </w:pPr>
    <w:rPr>
      <w:rFonts w:ascii="Arial" w:hAnsi="Arial" w:eastAsia="黑体"/>
      <w:b/>
      <w:bCs/>
      <w:sz w:val="28"/>
      <w:szCs w:val="28"/>
    </w:rPr>
  </w:style>
  <w:style w:type="paragraph" w:styleId="7">
    <w:name w:val="heading 5"/>
    <w:basedOn w:val="1"/>
    <w:next w:val="1"/>
    <w:link w:val="120"/>
    <w:qFormat/>
    <w:uiPriority w:val="0"/>
    <w:pPr>
      <w:keepNext/>
      <w:keepLines/>
      <w:widowControl/>
      <w:spacing w:before="280" w:after="290" w:line="376" w:lineRule="auto"/>
      <w:jc w:val="left"/>
      <w:outlineLvl w:val="4"/>
    </w:pPr>
    <w:rPr>
      <w:b/>
      <w:bCs/>
      <w:sz w:val="28"/>
      <w:szCs w:val="28"/>
    </w:rPr>
  </w:style>
  <w:style w:type="paragraph" w:styleId="8">
    <w:name w:val="heading 6"/>
    <w:basedOn w:val="1"/>
    <w:next w:val="1"/>
    <w:qFormat/>
    <w:uiPriority w:val="0"/>
    <w:pPr>
      <w:widowControl/>
      <w:spacing w:before="240" w:after="60"/>
      <w:jc w:val="left"/>
      <w:outlineLvl w:val="5"/>
    </w:pPr>
    <w:rPr>
      <w:rFonts w:cs="宋体"/>
      <w:b/>
      <w:bCs/>
      <w:kern w:val="0"/>
      <w:sz w:val="20"/>
      <w:szCs w:val="20"/>
    </w:rPr>
  </w:style>
  <w:style w:type="paragraph" w:styleId="9">
    <w:name w:val="heading 7"/>
    <w:basedOn w:val="1"/>
    <w:next w:val="1"/>
    <w:link w:val="155"/>
    <w:qFormat/>
    <w:uiPriority w:val="0"/>
    <w:pPr>
      <w:widowControl/>
      <w:spacing w:before="240" w:after="60"/>
      <w:jc w:val="left"/>
      <w:outlineLvl w:val="6"/>
    </w:pPr>
    <w:rPr>
      <w:rFonts w:cs="宋体"/>
      <w:kern w:val="0"/>
      <w:sz w:val="24"/>
    </w:rPr>
  </w:style>
  <w:style w:type="paragraph" w:styleId="10">
    <w:name w:val="heading 8"/>
    <w:basedOn w:val="1"/>
    <w:next w:val="1"/>
    <w:link w:val="146"/>
    <w:qFormat/>
    <w:uiPriority w:val="0"/>
    <w:pPr>
      <w:widowControl/>
      <w:spacing w:before="240" w:after="60"/>
      <w:jc w:val="left"/>
      <w:outlineLvl w:val="7"/>
    </w:pPr>
    <w:rPr>
      <w:rFonts w:cs="宋体"/>
      <w:i/>
      <w:iCs/>
      <w:kern w:val="0"/>
      <w:sz w:val="24"/>
    </w:rPr>
  </w:style>
  <w:style w:type="paragraph" w:styleId="11">
    <w:name w:val="heading 9"/>
    <w:basedOn w:val="1"/>
    <w:next w:val="1"/>
    <w:link w:val="152"/>
    <w:qFormat/>
    <w:uiPriority w:val="0"/>
    <w:pPr>
      <w:widowControl/>
      <w:spacing w:before="240" w:after="60"/>
      <w:jc w:val="left"/>
      <w:outlineLvl w:val="8"/>
    </w:pPr>
    <w:rPr>
      <w:rFonts w:ascii="Cambria" w:hAnsi="Cambria" w:cs="宋体"/>
      <w:kern w:val="0"/>
      <w:sz w:val="20"/>
      <w:szCs w:val="20"/>
    </w:rPr>
  </w:style>
  <w:style w:type="character" w:default="1" w:styleId="51">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semiHidden/>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12">
    <w:name w:val="annotation subject"/>
    <w:basedOn w:val="13"/>
    <w:next w:val="13"/>
    <w:qFormat/>
    <w:uiPriority w:val="0"/>
    <w:rPr>
      <w:b/>
      <w:bCs/>
    </w:rPr>
  </w:style>
  <w:style w:type="paragraph" w:styleId="13">
    <w:name w:val="annotation text"/>
    <w:basedOn w:val="1"/>
    <w:link w:val="166"/>
    <w:qFormat/>
    <w:uiPriority w:val="0"/>
    <w:pPr>
      <w:jc w:val="left"/>
    </w:pPr>
  </w:style>
  <w:style w:type="paragraph" w:styleId="14">
    <w:name w:val="toc 7"/>
    <w:basedOn w:val="1"/>
    <w:next w:val="1"/>
    <w:unhideWhenUsed/>
    <w:qFormat/>
    <w:uiPriority w:val="39"/>
    <w:pPr>
      <w:ind w:left="2520" w:leftChars="1200"/>
    </w:pPr>
    <w:rPr>
      <w:szCs w:val="22"/>
    </w:rPr>
  </w:style>
  <w:style w:type="paragraph" w:styleId="15">
    <w:name w:val="Body Text First Indent"/>
    <w:basedOn w:val="16"/>
    <w:link w:val="122"/>
    <w:qFormat/>
    <w:uiPriority w:val="0"/>
    <w:pPr>
      <w:spacing w:after="120"/>
      <w:ind w:firstLine="420" w:firstLineChars="100"/>
    </w:pPr>
    <w:rPr>
      <w:sz w:val="21"/>
    </w:rPr>
  </w:style>
  <w:style w:type="paragraph" w:styleId="16">
    <w:name w:val="Body Text"/>
    <w:basedOn w:val="1"/>
    <w:link w:val="143"/>
    <w:qFormat/>
    <w:uiPriority w:val="0"/>
    <w:rPr>
      <w:rFonts w:ascii="仿宋_GB2312" w:eastAsia="仿宋_GB2312"/>
      <w:sz w:val="30"/>
    </w:rPr>
  </w:style>
  <w:style w:type="paragraph" w:styleId="17">
    <w:name w:val="macro"/>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8">
    <w:name w:val="Normal Indent"/>
    <w:basedOn w:val="1"/>
    <w:link w:val="160"/>
    <w:qFormat/>
    <w:uiPriority w:val="0"/>
    <w:pPr>
      <w:ind w:firstLine="420" w:firstLineChars="200"/>
    </w:pPr>
    <w:rPr>
      <w:rFonts w:ascii="宋体"/>
      <w:kern w:val="28"/>
      <w:sz w:val="28"/>
    </w:rPr>
  </w:style>
  <w:style w:type="paragraph" w:styleId="19">
    <w:name w:val="caption"/>
    <w:basedOn w:val="1"/>
    <w:next w:val="1"/>
    <w:qFormat/>
    <w:uiPriority w:val="0"/>
    <w:pPr>
      <w:widowControl/>
      <w:spacing w:before="152" w:after="160"/>
      <w:jc w:val="left"/>
    </w:pPr>
    <w:rPr>
      <w:rFonts w:ascii="Arial" w:hAnsi="Arial" w:eastAsia="黑体" w:cs="Arial"/>
      <w:kern w:val="0"/>
      <w:sz w:val="20"/>
      <w:szCs w:val="20"/>
    </w:rPr>
  </w:style>
  <w:style w:type="paragraph" w:styleId="20">
    <w:name w:val="Document Map"/>
    <w:basedOn w:val="1"/>
    <w:qFormat/>
    <w:uiPriority w:val="0"/>
    <w:pPr>
      <w:shd w:val="clear" w:color="auto" w:fill="000080"/>
    </w:pPr>
  </w:style>
  <w:style w:type="paragraph" w:styleId="21">
    <w:name w:val="toa heading"/>
    <w:basedOn w:val="1"/>
    <w:next w:val="1"/>
    <w:qFormat/>
    <w:uiPriority w:val="0"/>
    <w:rPr>
      <w:rFonts w:ascii="Arial" w:hAnsi="Arial"/>
      <w:sz w:val="24"/>
    </w:rPr>
  </w:style>
  <w:style w:type="paragraph" w:styleId="22">
    <w:name w:val="Salutation"/>
    <w:basedOn w:val="1"/>
    <w:next w:val="1"/>
    <w:qFormat/>
    <w:uiPriority w:val="0"/>
    <w:rPr>
      <w:sz w:val="24"/>
    </w:rPr>
  </w:style>
  <w:style w:type="paragraph" w:styleId="23">
    <w:name w:val="Body Text 3"/>
    <w:basedOn w:val="1"/>
    <w:link w:val="121"/>
    <w:qFormat/>
    <w:uiPriority w:val="0"/>
    <w:pPr>
      <w:spacing w:after="120"/>
    </w:pPr>
    <w:rPr>
      <w:sz w:val="16"/>
      <w:szCs w:val="16"/>
    </w:rPr>
  </w:style>
  <w:style w:type="paragraph" w:styleId="24">
    <w:name w:val="Body Text Indent"/>
    <w:basedOn w:val="1"/>
    <w:next w:val="25"/>
    <w:link w:val="161"/>
    <w:qFormat/>
    <w:uiPriority w:val="0"/>
    <w:pPr>
      <w:widowControl/>
      <w:adjustRightInd w:val="0"/>
      <w:snapToGrid w:val="0"/>
      <w:spacing w:beforeLines="50" w:line="360" w:lineRule="auto"/>
      <w:ind w:firstLine="560" w:firstLineChars="200"/>
      <w:jc w:val="left"/>
    </w:pPr>
    <w:rPr>
      <w:rFonts w:ascii="宋体" w:hAnsi="宋体"/>
      <w:sz w:val="28"/>
      <w:szCs w:val="28"/>
    </w:rPr>
  </w:style>
  <w:style w:type="paragraph" w:styleId="25">
    <w:name w:val="index heading"/>
    <w:basedOn w:val="1"/>
    <w:next w:val="26"/>
    <w:qFormat/>
    <w:uiPriority w:val="0"/>
    <w:pPr>
      <w:spacing w:before="120" w:after="120"/>
      <w:jc w:val="left"/>
    </w:pPr>
    <w:rPr>
      <w:rFonts w:ascii="Times New Roman" w:hAnsi="Times New Roman"/>
      <w:b/>
      <w:bCs/>
      <w:i/>
      <w:iCs/>
      <w:sz w:val="20"/>
    </w:rPr>
  </w:style>
  <w:style w:type="paragraph" w:styleId="26">
    <w:name w:val="index 1"/>
    <w:basedOn w:val="1"/>
    <w:next w:val="1"/>
    <w:qFormat/>
    <w:uiPriority w:val="0"/>
    <w:pPr>
      <w:ind w:left="240" w:hanging="240"/>
      <w:jc w:val="left"/>
    </w:pPr>
    <w:rPr>
      <w:rFonts w:ascii="Times New Roman" w:hAnsi="Times New Roman"/>
      <w:sz w:val="20"/>
    </w:rPr>
  </w:style>
  <w:style w:type="paragraph" w:styleId="27">
    <w:name w:val="Block Text"/>
    <w:basedOn w:val="1"/>
    <w:unhideWhenUsed/>
    <w:qFormat/>
    <w:uiPriority w:val="99"/>
    <w:pPr>
      <w:widowControl/>
      <w:adjustRightInd w:val="0"/>
      <w:snapToGrid w:val="0"/>
      <w:ind w:left="-57" w:right="-57"/>
      <w:jc w:val="center"/>
    </w:pPr>
    <w:rPr>
      <w:kern w:val="0"/>
      <w:sz w:val="24"/>
      <w:szCs w:val="20"/>
    </w:rPr>
  </w:style>
  <w:style w:type="paragraph" w:styleId="28">
    <w:name w:val="toc 5"/>
    <w:basedOn w:val="1"/>
    <w:next w:val="1"/>
    <w:unhideWhenUsed/>
    <w:qFormat/>
    <w:uiPriority w:val="39"/>
    <w:pPr>
      <w:ind w:left="1680" w:leftChars="800"/>
    </w:pPr>
    <w:rPr>
      <w:szCs w:val="22"/>
    </w:rPr>
  </w:style>
  <w:style w:type="paragraph" w:styleId="29">
    <w:name w:val="toc 3"/>
    <w:basedOn w:val="1"/>
    <w:next w:val="1"/>
    <w:qFormat/>
    <w:uiPriority w:val="39"/>
    <w:pPr>
      <w:widowControl/>
      <w:spacing w:line="360" w:lineRule="auto"/>
      <w:ind w:left="400" w:leftChars="400"/>
      <w:jc w:val="left"/>
    </w:pPr>
  </w:style>
  <w:style w:type="paragraph" w:styleId="30">
    <w:name w:val="Plain Text"/>
    <w:basedOn w:val="1"/>
    <w:link w:val="176"/>
    <w:qFormat/>
    <w:uiPriority w:val="0"/>
    <w:rPr>
      <w:rFonts w:ascii="宋体" w:hAnsi="Courier New"/>
      <w:sz w:val="28"/>
      <w:szCs w:val="20"/>
    </w:rPr>
  </w:style>
  <w:style w:type="paragraph" w:styleId="31">
    <w:name w:val="toc 8"/>
    <w:basedOn w:val="1"/>
    <w:next w:val="1"/>
    <w:unhideWhenUsed/>
    <w:qFormat/>
    <w:uiPriority w:val="39"/>
    <w:pPr>
      <w:ind w:left="2940" w:leftChars="1400"/>
    </w:pPr>
    <w:rPr>
      <w:szCs w:val="22"/>
    </w:rPr>
  </w:style>
  <w:style w:type="paragraph" w:styleId="32">
    <w:name w:val="Date"/>
    <w:basedOn w:val="1"/>
    <w:next w:val="1"/>
    <w:qFormat/>
    <w:uiPriority w:val="0"/>
    <w:pPr>
      <w:widowControl/>
      <w:ind w:left="100" w:leftChars="2500"/>
      <w:jc w:val="left"/>
    </w:pPr>
  </w:style>
  <w:style w:type="paragraph" w:styleId="33">
    <w:name w:val="Body Text Indent 2"/>
    <w:basedOn w:val="1"/>
    <w:link w:val="144"/>
    <w:qFormat/>
    <w:uiPriority w:val="0"/>
    <w:pPr>
      <w:widowControl/>
      <w:spacing w:after="120" w:line="480" w:lineRule="auto"/>
      <w:ind w:left="420" w:leftChars="200"/>
      <w:jc w:val="left"/>
    </w:pPr>
  </w:style>
  <w:style w:type="paragraph" w:styleId="34">
    <w:name w:val="Balloon Text"/>
    <w:basedOn w:val="1"/>
    <w:link w:val="141"/>
    <w:qFormat/>
    <w:uiPriority w:val="99"/>
    <w:pPr>
      <w:widowControl/>
      <w:jc w:val="left"/>
    </w:pPr>
    <w:rPr>
      <w:sz w:val="18"/>
      <w:szCs w:val="18"/>
    </w:rPr>
  </w:style>
  <w:style w:type="paragraph" w:styleId="35">
    <w:name w:val="footer"/>
    <w:basedOn w:val="1"/>
    <w:link w:val="129"/>
    <w:qFormat/>
    <w:uiPriority w:val="0"/>
    <w:pPr>
      <w:tabs>
        <w:tab w:val="center" w:pos="4153"/>
        <w:tab w:val="right" w:pos="8306"/>
      </w:tabs>
      <w:snapToGrid w:val="0"/>
      <w:jc w:val="left"/>
    </w:pPr>
    <w:rPr>
      <w:sz w:val="18"/>
      <w:szCs w:val="18"/>
    </w:rPr>
  </w:style>
  <w:style w:type="paragraph" w:styleId="36">
    <w:name w:val="Body Text First Indent 2"/>
    <w:basedOn w:val="24"/>
    <w:qFormat/>
    <w:uiPriority w:val="0"/>
    <w:pPr>
      <w:widowControl w:val="0"/>
      <w:spacing w:after="120" w:line="240" w:lineRule="auto"/>
      <w:ind w:left="420" w:leftChars="200" w:firstLine="420"/>
      <w:jc w:val="both"/>
    </w:pPr>
    <w:rPr>
      <w:sz w:val="21"/>
      <w:szCs w:val="24"/>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8">
    <w:name w:val="toc 1"/>
    <w:basedOn w:val="1"/>
    <w:next w:val="1"/>
    <w:qFormat/>
    <w:uiPriority w:val="39"/>
    <w:pPr>
      <w:spacing w:line="360" w:lineRule="exact"/>
    </w:pPr>
    <w:rPr>
      <w:b/>
    </w:rPr>
  </w:style>
  <w:style w:type="paragraph" w:styleId="39">
    <w:name w:val="toc 4"/>
    <w:basedOn w:val="1"/>
    <w:next w:val="1"/>
    <w:qFormat/>
    <w:uiPriority w:val="39"/>
    <w:pPr>
      <w:ind w:left="1260" w:leftChars="600"/>
    </w:pPr>
  </w:style>
  <w:style w:type="paragraph" w:styleId="40">
    <w:name w:val="Subtitle"/>
    <w:basedOn w:val="1"/>
    <w:next w:val="1"/>
    <w:link w:val="137"/>
    <w:qFormat/>
    <w:uiPriority w:val="0"/>
    <w:pPr>
      <w:widowControl/>
      <w:adjustRightInd w:val="0"/>
      <w:snapToGrid w:val="0"/>
      <w:spacing w:line="360" w:lineRule="auto"/>
      <w:ind w:firstLine="482" w:firstLineChars="200"/>
      <w:outlineLvl w:val="1"/>
    </w:pPr>
    <w:rPr>
      <w:rFonts w:ascii="宋体" w:hAnsi="宋体"/>
      <w:b/>
      <w:kern w:val="0"/>
      <w:sz w:val="24"/>
    </w:rPr>
  </w:style>
  <w:style w:type="paragraph" w:styleId="41">
    <w:name w:val="List"/>
    <w:basedOn w:val="1"/>
    <w:next w:val="1"/>
    <w:unhideWhenUsed/>
    <w:qFormat/>
    <w:uiPriority w:val="99"/>
    <w:pPr>
      <w:ind w:left="420" w:hanging="420"/>
    </w:pPr>
  </w:style>
  <w:style w:type="paragraph" w:styleId="42">
    <w:name w:val="toc 6"/>
    <w:basedOn w:val="1"/>
    <w:next w:val="1"/>
    <w:unhideWhenUsed/>
    <w:qFormat/>
    <w:uiPriority w:val="39"/>
    <w:pPr>
      <w:ind w:left="2100" w:leftChars="1000"/>
    </w:pPr>
    <w:rPr>
      <w:szCs w:val="22"/>
    </w:rPr>
  </w:style>
  <w:style w:type="paragraph" w:styleId="43">
    <w:name w:val="Body Text Indent 3"/>
    <w:basedOn w:val="1"/>
    <w:qFormat/>
    <w:uiPriority w:val="0"/>
    <w:pPr>
      <w:spacing w:line="560" w:lineRule="exact"/>
      <w:ind w:firstLine="630" w:firstLineChars="225"/>
    </w:pPr>
    <w:rPr>
      <w:rFonts w:ascii="宋体" w:hAnsi="宋体"/>
      <w:sz w:val="28"/>
    </w:rPr>
  </w:style>
  <w:style w:type="paragraph" w:styleId="44">
    <w:name w:val="table of figures"/>
    <w:basedOn w:val="1"/>
    <w:next w:val="1"/>
    <w:qFormat/>
    <w:uiPriority w:val="0"/>
    <w:pPr>
      <w:ind w:left="200" w:leftChars="200" w:hanging="200" w:hangingChars="200"/>
    </w:pPr>
  </w:style>
  <w:style w:type="paragraph" w:styleId="45">
    <w:name w:val="toc 2"/>
    <w:basedOn w:val="1"/>
    <w:next w:val="1"/>
    <w:qFormat/>
    <w:uiPriority w:val="39"/>
    <w:pPr>
      <w:spacing w:line="360" w:lineRule="auto"/>
      <w:ind w:left="200" w:leftChars="200"/>
    </w:pPr>
  </w:style>
  <w:style w:type="paragraph" w:styleId="46">
    <w:name w:val="toc 9"/>
    <w:basedOn w:val="1"/>
    <w:next w:val="1"/>
    <w:unhideWhenUsed/>
    <w:qFormat/>
    <w:uiPriority w:val="39"/>
    <w:pPr>
      <w:ind w:left="3360" w:leftChars="1600"/>
    </w:pPr>
    <w:rPr>
      <w:szCs w:val="22"/>
    </w:rPr>
  </w:style>
  <w:style w:type="paragraph" w:styleId="47">
    <w:name w:val="Body Text 2"/>
    <w:basedOn w:val="1"/>
    <w:qFormat/>
    <w:uiPriority w:val="0"/>
    <w:pPr>
      <w:spacing w:after="120" w:line="480" w:lineRule="auto"/>
    </w:pPr>
  </w:style>
  <w:style w:type="paragraph" w:styleId="48">
    <w:name w:val="HTML Preformatted"/>
    <w:basedOn w:val="1"/>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9">
    <w:name w:val="Normal (Web)"/>
    <w:basedOn w:val="1"/>
    <w:link w:val="164"/>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50">
    <w:name w:val="Title"/>
    <w:basedOn w:val="1"/>
    <w:next w:val="1"/>
    <w:link w:val="158"/>
    <w:qFormat/>
    <w:uiPriority w:val="0"/>
    <w:pPr>
      <w:widowControl/>
      <w:spacing w:before="240" w:after="60"/>
      <w:jc w:val="center"/>
      <w:outlineLvl w:val="0"/>
    </w:pPr>
    <w:rPr>
      <w:rFonts w:ascii="Cambria" w:hAnsi="Cambria"/>
      <w:b/>
      <w:bCs/>
      <w:sz w:val="32"/>
      <w:szCs w:val="32"/>
    </w:rPr>
  </w:style>
  <w:style w:type="character" w:styleId="52">
    <w:name w:val="Strong"/>
    <w:qFormat/>
    <w:uiPriority w:val="0"/>
    <w:rPr>
      <w:b/>
      <w:bCs/>
    </w:rPr>
  </w:style>
  <w:style w:type="character" w:styleId="53">
    <w:name w:val="page number"/>
    <w:basedOn w:val="51"/>
    <w:qFormat/>
    <w:uiPriority w:val="0"/>
  </w:style>
  <w:style w:type="character" w:styleId="54">
    <w:name w:val="FollowedHyperlink"/>
    <w:qFormat/>
    <w:uiPriority w:val="0"/>
    <w:rPr>
      <w:color w:val="606420"/>
      <w:u w:val="single"/>
    </w:rPr>
  </w:style>
  <w:style w:type="character" w:styleId="55">
    <w:name w:val="Emphasis"/>
    <w:qFormat/>
    <w:uiPriority w:val="0"/>
    <w:rPr>
      <w:rFonts w:ascii="Calibri" w:hAnsi="Calibri"/>
      <w:b/>
      <w:i/>
      <w:iCs/>
    </w:rPr>
  </w:style>
  <w:style w:type="character" w:styleId="56">
    <w:name w:val="HTML Typewriter"/>
    <w:semiHidden/>
    <w:qFormat/>
    <w:uiPriority w:val="0"/>
    <w:rPr>
      <w:rFonts w:ascii="宋体" w:hAnsi="宋体" w:eastAsia="宋体" w:cs="宋体"/>
      <w:sz w:val="24"/>
      <w:szCs w:val="24"/>
    </w:rPr>
  </w:style>
  <w:style w:type="character" w:styleId="57">
    <w:name w:val="Hyperlink"/>
    <w:basedOn w:val="51"/>
    <w:qFormat/>
    <w:uiPriority w:val="99"/>
    <w:rPr>
      <w:color w:val="000000"/>
      <w:u w:val="none"/>
    </w:rPr>
  </w:style>
  <w:style w:type="character" w:styleId="58">
    <w:name w:val="annotation reference"/>
    <w:qFormat/>
    <w:uiPriority w:val="99"/>
    <w:rPr>
      <w:sz w:val="21"/>
      <w:szCs w:val="21"/>
    </w:rPr>
  </w:style>
  <w:style w:type="table" w:styleId="60">
    <w:name w:val="Table Grid"/>
    <w:basedOn w:val="5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1">
    <w:name w:val="Char Char Char Char Char Char Char Char Char Char Char"/>
    <w:basedOn w:val="1"/>
    <w:semiHidden/>
    <w:qFormat/>
    <w:uiPriority w:val="0"/>
    <w:rPr>
      <w:szCs w:val="20"/>
    </w:rPr>
  </w:style>
  <w:style w:type="paragraph" w:customStyle="1" w:styleId="62">
    <w:name w:val="reader-word-layer"/>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63">
    <w:name w:val="Char Char Char Char"/>
    <w:basedOn w:val="1"/>
    <w:next w:val="17"/>
    <w:semiHidden/>
    <w:qFormat/>
    <w:uiPriority w:val="0"/>
    <w:rPr>
      <w:sz w:val="28"/>
      <w:szCs w:val="28"/>
    </w:rPr>
  </w:style>
  <w:style w:type="paragraph" w:customStyle="1" w:styleId="64">
    <w:name w:val="郭表格标题"/>
    <w:basedOn w:val="1"/>
    <w:link w:val="134"/>
    <w:qFormat/>
    <w:uiPriority w:val="0"/>
    <w:pPr>
      <w:spacing w:line="360" w:lineRule="auto"/>
      <w:jc w:val="center"/>
    </w:pPr>
    <w:rPr>
      <w:b/>
      <w:szCs w:val="21"/>
    </w:rPr>
  </w:style>
  <w:style w:type="paragraph" w:customStyle="1" w:styleId="65">
    <w:name w:val="首行缩进2个字符"/>
    <w:basedOn w:val="1"/>
    <w:qFormat/>
    <w:uiPriority w:val="0"/>
    <w:pPr>
      <w:widowControl/>
      <w:spacing w:line="360" w:lineRule="auto"/>
      <w:ind w:firstLine="200" w:firstLineChars="200"/>
      <w:jc w:val="left"/>
    </w:pPr>
    <w:rPr>
      <w:rFonts w:ascii="宋体"/>
      <w:kern w:val="28"/>
      <w:sz w:val="28"/>
      <w:szCs w:val="28"/>
    </w:rPr>
  </w:style>
  <w:style w:type="paragraph" w:customStyle="1" w:styleId="66">
    <w:name w:val="BIG BOLD"/>
    <w:basedOn w:val="1"/>
    <w:semiHidden/>
    <w:qFormat/>
    <w:uiPriority w:val="0"/>
    <w:pPr>
      <w:tabs>
        <w:tab w:val="left" w:leader="underscore" w:pos="1134"/>
      </w:tabs>
    </w:pPr>
    <w:rPr>
      <w:szCs w:val="20"/>
    </w:rPr>
  </w:style>
  <w:style w:type="paragraph" w:customStyle="1" w:styleId="67">
    <w:name w:val="內文1"/>
    <w:basedOn w:val="1"/>
    <w:qFormat/>
    <w:uiPriority w:val="0"/>
    <w:pPr>
      <w:adjustRightInd w:val="0"/>
      <w:spacing w:before="40" w:after="40" w:line="320" w:lineRule="atLeast"/>
      <w:jc w:val="center"/>
      <w:textAlignment w:val="baseline"/>
    </w:pPr>
    <w:rPr>
      <w:rFonts w:eastAsia="華康中楷體"/>
      <w:kern w:val="0"/>
      <w:sz w:val="28"/>
      <w:szCs w:val="20"/>
      <w:lang w:eastAsia="zh-TW"/>
    </w:rPr>
  </w:style>
  <w:style w:type="paragraph" w:customStyle="1" w:styleId="68">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69">
    <w:name w:val="样式 正文+首行缩进 Para Char Char Char Char"/>
    <w:basedOn w:val="1"/>
    <w:next w:val="1"/>
    <w:qFormat/>
    <w:uiPriority w:val="0"/>
    <w:pPr>
      <w:spacing w:before="150" w:after="50" w:line="360" w:lineRule="auto"/>
    </w:pPr>
    <w:rPr>
      <w:rFonts w:cs="AdobeHeitiStd-Regular"/>
      <w:kern w:val="0"/>
      <w:sz w:val="28"/>
      <w:szCs w:val="32"/>
    </w:rPr>
  </w:style>
  <w:style w:type="paragraph" w:customStyle="1" w:styleId="70">
    <w:name w:val="默认段落字体 Para Char Char Char Char"/>
    <w:basedOn w:val="1"/>
    <w:qFormat/>
    <w:uiPriority w:val="0"/>
    <w:pPr>
      <w:widowControl/>
      <w:jc w:val="left"/>
    </w:pPr>
  </w:style>
  <w:style w:type="paragraph" w:customStyle="1" w:styleId="71">
    <w:name w:val="默认段落字体 Para Char Char Char Char Char Char Char Char Char1 Char Char Char Char Char Char Char"/>
    <w:basedOn w:val="20"/>
    <w:qFormat/>
    <w:uiPriority w:val="0"/>
    <w:rPr>
      <w:rFonts w:ascii="Tahoma" w:hAnsi="Tahoma" w:cs="Tahoma"/>
      <w:sz w:val="28"/>
    </w:rPr>
  </w:style>
  <w:style w:type="paragraph" w:customStyle="1" w:styleId="72">
    <w:name w:val="Char1"/>
    <w:basedOn w:val="1"/>
    <w:semiHidden/>
    <w:qFormat/>
    <w:uiPriority w:val="0"/>
    <w:rPr>
      <w:sz w:val="24"/>
    </w:rPr>
  </w:style>
  <w:style w:type="paragraph" w:customStyle="1" w:styleId="73">
    <w:name w:val="正文缩2"/>
    <w:basedOn w:val="1"/>
    <w:link w:val="185"/>
    <w:qFormat/>
    <w:uiPriority w:val="0"/>
    <w:pPr>
      <w:widowControl/>
      <w:spacing w:line="360" w:lineRule="auto"/>
      <w:ind w:firstLine="560" w:firstLineChars="200"/>
      <w:jc w:val="left"/>
    </w:pPr>
    <w:rPr>
      <w:sz w:val="28"/>
      <w:szCs w:val="20"/>
    </w:rPr>
  </w:style>
  <w:style w:type="paragraph" w:customStyle="1" w:styleId="74">
    <w:name w:val="_Style 107"/>
    <w:basedOn w:val="1"/>
    <w:semiHidden/>
    <w:qFormat/>
    <w:uiPriority w:val="0"/>
    <w:pPr>
      <w:snapToGrid w:val="0"/>
      <w:spacing w:line="360" w:lineRule="auto"/>
    </w:pPr>
  </w:style>
  <w:style w:type="paragraph" w:customStyle="1" w:styleId="75">
    <w:name w:val="Char Char Char1 Char Char Char Char"/>
    <w:basedOn w:val="1"/>
    <w:semiHidden/>
    <w:qFormat/>
    <w:uiPriority w:val="0"/>
    <w:pPr>
      <w:widowControl/>
      <w:spacing w:after="160" w:line="240" w:lineRule="exact"/>
      <w:jc w:val="left"/>
    </w:pPr>
    <w:rPr>
      <w:rFonts w:ascii="Verdana" w:hAnsi="Verdana" w:cs="Verdana"/>
      <w:kern w:val="0"/>
      <w:sz w:val="20"/>
      <w:szCs w:val="20"/>
      <w:lang w:eastAsia="en-US"/>
    </w:rPr>
  </w:style>
  <w:style w:type="paragraph" w:customStyle="1" w:styleId="76">
    <w:name w:val="Char2"/>
    <w:basedOn w:val="1"/>
    <w:semiHidden/>
    <w:qFormat/>
    <w:uiPriority w:val="0"/>
    <w:pPr>
      <w:numPr>
        <w:ilvl w:val="0"/>
        <w:numId w:val="1"/>
      </w:numPr>
      <w:tabs>
        <w:tab w:val="left" w:pos="920"/>
      </w:tabs>
      <w:ind w:firstLine="0"/>
    </w:pPr>
    <w:rPr>
      <w:szCs w:val="20"/>
    </w:rPr>
  </w:style>
  <w:style w:type="paragraph" w:customStyle="1" w:styleId="77">
    <w:name w:val="前言、引言标题"/>
    <w:next w:val="1"/>
    <w:qFormat/>
    <w:uiPriority w:val="0"/>
    <w:pPr>
      <w:shd w:val="clear" w:color="FFFFFF" w:fill="FFFFFF"/>
      <w:tabs>
        <w:tab w:val="left" w:pos="360"/>
      </w:tabs>
      <w:spacing w:before="640" w:after="560"/>
      <w:jc w:val="center"/>
      <w:outlineLvl w:val="0"/>
    </w:pPr>
    <w:rPr>
      <w:rFonts w:ascii="黑体" w:hAnsi="Calibri" w:eastAsia="黑体" w:cs="Times New Roman"/>
      <w:sz w:val="32"/>
      <w:lang w:val="en-US" w:eastAsia="zh-CN" w:bidi="ar-SA"/>
    </w:rPr>
  </w:style>
  <w:style w:type="paragraph" w:customStyle="1" w:styleId="78">
    <w:name w:val="Char"/>
    <w:basedOn w:val="1"/>
    <w:semiHidden/>
    <w:qFormat/>
    <w:uiPriority w:val="0"/>
    <w:pPr>
      <w:ind w:firstLine="200" w:firstLineChars="200"/>
    </w:pPr>
    <w:rPr>
      <w:sz w:val="28"/>
      <w:szCs w:val="28"/>
    </w:rPr>
  </w:style>
  <w:style w:type="paragraph" w:customStyle="1" w:styleId="79">
    <w:name w:val="Char Char Char Char1"/>
    <w:basedOn w:val="1"/>
    <w:semiHidden/>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80">
    <w:name w:val="scoring"/>
    <w:basedOn w:val="1"/>
    <w:semiHidden/>
    <w:qFormat/>
    <w:uiPriority w:val="0"/>
    <w:pPr>
      <w:widowControl/>
      <w:ind w:left="1267" w:right="2520" w:hanging="979"/>
      <w:jc w:val="left"/>
    </w:pPr>
    <w:rPr>
      <w:rFonts w:ascii="Univers Condensed" w:hAnsi="Univers Condensed" w:eastAsia="Times New Roman"/>
      <w:b/>
      <w:kern w:val="0"/>
      <w:sz w:val="20"/>
      <w:szCs w:val="20"/>
      <w:lang w:val="en-GB" w:eastAsia="en-US"/>
    </w:rPr>
  </w:style>
  <w:style w:type="paragraph" w:customStyle="1" w:styleId="81">
    <w:name w:val="样式2"/>
    <w:basedOn w:val="1"/>
    <w:link w:val="136"/>
    <w:qFormat/>
    <w:uiPriority w:val="0"/>
    <w:pPr>
      <w:spacing w:line="288" w:lineRule="auto"/>
      <w:ind w:firstLine="420" w:firstLineChars="200"/>
    </w:pPr>
    <w:rPr>
      <w:rFonts w:ascii="方正书宋简体" w:eastAsia="方正书宋简体"/>
      <w:szCs w:val="21"/>
      <w:lang w:val="zh-CN"/>
    </w:rPr>
  </w:style>
  <w:style w:type="paragraph" w:customStyle="1" w:styleId="82">
    <w:name w:val="xl30"/>
    <w:basedOn w:val="1"/>
    <w:semiHidden/>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83">
    <w:name w:val="安评小4表格正文左对齐"/>
    <w:qFormat/>
    <w:uiPriority w:val="0"/>
    <w:pPr>
      <w:widowControl w:val="0"/>
      <w:adjustRightInd w:val="0"/>
      <w:snapToGrid w:val="0"/>
      <w:spacing w:line="440" w:lineRule="exact"/>
    </w:pPr>
    <w:rPr>
      <w:rFonts w:ascii="Calibri" w:hAnsi="Calibri" w:eastAsia="宋体" w:cs="宋体"/>
      <w:snapToGrid w:val="0"/>
      <w:sz w:val="24"/>
      <w:szCs w:val="24"/>
      <w:lang w:val="en-US" w:eastAsia="zh-CN" w:bidi="ar-SA"/>
    </w:rPr>
  </w:style>
  <w:style w:type="paragraph" w:customStyle="1" w:styleId="84">
    <w:name w:val="三级条标题"/>
    <w:basedOn w:val="85"/>
    <w:next w:val="1"/>
    <w:qFormat/>
    <w:uiPriority w:val="0"/>
    <w:pPr>
      <w:tabs>
        <w:tab w:val="left" w:pos="360"/>
      </w:tabs>
      <w:ind w:left="840"/>
      <w:outlineLvl w:val="4"/>
    </w:pPr>
  </w:style>
  <w:style w:type="paragraph" w:customStyle="1" w:styleId="85">
    <w:name w:val="二级条标题"/>
    <w:basedOn w:val="86"/>
    <w:next w:val="1"/>
    <w:qFormat/>
    <w:uiPriority w:val="0"/>
    <w:pPr>
      <w:tabs>
        <w:tab w:val="left" w:pos="360"/>
      </w:tabs>
      <w:ind w:left="735"/>
      <w:outlineLvl w:val="3"/>
    </w:pPr>
  </w:style>
  <w:style w:type="paragraph" w:customStyle="1" w:styleId="86">
    <w:name w:val="一级条标题"/>
    <w:basedOn w:val="87"/>
    <w:next w:val="1"/>
    <w:qFormat/>
    <w:uiPriority w:val="0"/>
    <w:pPr>
      <w:tabs>
        <w:tab w:val="left" w:pos="360"/>
      </w:tabs>
      <w:spacing w:beforeLines="0" w:afterLines="0"/>
      <w:ind w:left="525"/>
      <w:outlineLvl w:val="2"/>
    </w:pPr>
  </w:style>
  <w:style w:type="paragraph" w:customStyle="1" w:styleId="87">
    <w:name w:val="章标题"/>
    <w:next w:val="1"/>
    <w:qFormat/>
    <w:uiPriority w:val="0"/>
    <w:pPr>
      <w:tabs>
        <w:tab w:val="left" w:pos="360"/>
      </w:tabs>
      <w:spacing w:beforeLines="50" w:afterLines="50"/>
      <w:ind w:left="840"/>
      <w:jc w:val="both"/>
      <w:outlineLvl w:val="1"/>
    </w:pPr>
    <w:rPr>
      <w:rFonts w:ascii="黑体" w:hAnsi="Calibri" w:eastAsia="黑体" w:cs="Times New Roman"/>
      <w:sz w:val="21"/>
      <w:lang w:val="en-US" w:eastAsia="zh-CN" w:bidi="ar-SA"/>
    </w:rPr>
  </w:style>
  <w:style w:type="paragraph" w:customStyle="1" w:styleId="88">
    <w:name w:val="段落编号"/>
    <w:basedOn w:val="33"/>
    <w:qFormat/>
    <w:uiPriority w:val="0"/>
    <w:pPr>
      <w:widowControl w:val="0"/>
      <w:numPr>
        <w:ilvl w:val="0"/>
        <w:numId w:val="2"/>
      </w:numPr>
      <w:adjustRightInd w:val="0"/>
      <w:spacing w:before="60" w:after="60" w:line="500" w:lineRule="exact"/>
      <w:ind w:left="0" w:leftChars="0"/>
      <w:jc w:val="both"/>
      <w:textAlignment w:val="baseline"/>
    </w:pPr>
    <w:rPr>
      <w:spacing w:val="6"/>
      <w:kern w:val="0"/>
      <w:sz w:val="28"/>
      <w:szCs w:val="20"/>
    </w:rPr>
  </w:style>
  <w:style w:type="paragraph" w:customStyle="1" w:styleId="89">
    <w:name w:val="2"/>
    <w:basedOn w:val="1"/>
    <w:semiHidden/>
    <w:qFormat/>
    <w:uiPriority w:val="0"/>
    <w:pPr>
      <w:tabs>
        <w:tab w:val="left" w:pos="540"/>
      </w:tabs>
      <w:spacing w:line="440" w:lineRule="exact"/>
    </w:pPr>
    <w:rPr>
      <w:kern w:val="0"/>
      <w:szCs w:val="32"/>
    </w:rPr>
  </w:style>
  <w:style w:type="paragraph" w:customStyle="1" w:styleId="90">
    <w:name w:val="样式4"/>
    <w:basedOn w:val="44"/>
    <w:qFormat/>
    <w:uiPriority w:val="0"/>
    <w:pPr>
      <w:spacing w:line="360" w:lineRule="auto"/>
      <w:ind w:left="0" w:leftChars="0" w:firstLine="0" w:firstLineChars="0"/>
      <w:jc w:val="center"/>
    </w:pPr>
  </w:style>
  <w:style w:type="paragraph" w:customStyle="1" w:styleId="91">
    <w:name w:val="四级条标题"/>
    <w:basedOn w:val="84"/>
    <w:next w:val="1"/>
    <w:qFormat/>
    <w:uiPriority w:val="0"/>
    <w:pPr>
      <w:ind w:left="0"/>
      <w:outlineLvl w:val="5"/>
    </w:pPr>
  </w:style>
  <w:style w:type="paragraph" w:customStyle="1" w:styleId="92">
    <w:name w:val="Char Char Char Char Char Char"/>
    <w:basedOn w:val="1"/>
    <w:next w:val="17"/>
    <w:semiHidden/>
    <w:qFormat/>
    <w:uiPriority w:val="0"/>
    <w:rPr>
      <w:sz w:val="28"/>
      <w:szCs w:val="28"/>
    </w:rPr>
  </w:style>
  <w:style w:type="paragraph" w:customStyle="1" w:styleId="93">
    <w:name w:val="纯文本2"/>
    <w:basedOn w:val="1"/>
    <w:qFormat/>
    <w:uiPriority w:val="0"/>
    <w:pPr>
      <w:adjustRightInd w:val="0"/>
      <w:textAlignment w:val="baseline"/>
    </w:pPr>
    <w:rPr>
      <w:rFonts w:ascii="宋体" w:hAnsi="Courier New"/>
      <w:szCs w:val="20"/>
    </w:rPr>
  </w:style>
  <w:style w:type="paragraph" w:customStyle="1" w:styleId="94">
    <w:name w:val="缩进正文"/>
    <w:basedOn w:val="24"/>
    <w:qFormat/>
    <w:uiPriority w:val="0"/>
    <w:pPr>
      <w:spacing w:beforeLines="0" w:line="300" w:lineRule="auto"/>
      <w:ind w:firstLine="200" w:firstLineChars="0"/>
    </w:pPr>
    <w:rPr>
      <w:rFonts w:hAnsi="Times New Roman" w:cs="宋体"/>
      <w:kern w:val="0"/>
      <w:szCs w:val="20"/>
    </w:rPr>
  </w:style>
  <w:style w:type="paragraph" w:customStyle="1" w:styleId="95">
    <w:name w:val="_Style 94"/>
    <w:basedOn w:val="3"/>
    <w:next w:val="1"/>
    <w:semiHidden/>
    <w:qFormat/>
    <w:uiPriority w:val="39"/>
    <w:pPr>
      <w:keepNext/>
      <w:keepLines/>
      <w:adjustRightInd/>
      <w:snapToGrid/>
      <w:spacing w:before="240" w:line="259" w:lineRule="auto"/>
      <w:jc w:val="left"/>
      <w:outlineLvl w:val="9"/>
    </w:pPr>
    <w:rPr>
      <w:rFonts w:ascii="Calibri Light" w:hAnsi="Calibri Light"/>
      <w:b w:val="0"/>
      <w:color w:val="2E74B5"/>
      <w:sz w:val="32"/>
      <w:szCs w:val="32"/>
    </w:rPr>
  </w:style>
  <w:style w:type="paragraph" w:customStyle="1" w:styleId="96">
    <w:name w:val="标题3"/>
    <w:basedOn w:val="5"/>
    <w:qFormat/>
    <w:uiPriority w:val="0"/>
    <w:pPr>
      <w:keepNext w:val="0"/>
      <w:keepLines w:val="0"/>
      <w:widowControl w:val="0"/>
      <w:spacing w:beforeLines="50" w:line="300" w:lineRule="auto"/>
      <w:ind w:firstLine="656" w:firstLineChars="200"/>
      <w:jc w:val="both"/>
      <w:outlineLvl w:val="9"/>
    </w:pPr>
    <w:rPr>
      <w:rFonts w:ascii="宋体"/>
      <w:b w:val="0"/>
      <w:bCs w:val="0"/>
      <w:spacing w:val="24"/>
      <w:sz w:val="28"/>
      <w:szCs w:val="20"/>
    </w:rPr>
  </w:style>
  <w:style w:type="paragraph" w:customStyle="1" w:styleId="97">
    <w:name w:val="列出段落1"/>
    <w:basedOn w:val="1"/>
    <w:qFormat/>
    <w:uiPriority w:val="0"/>
    <w:pPr>
      <w:ind w:firstLine="420" w:firstLineChars="200"/>
    </w:pPr>
    <w:rPr>
      <w:szCs w:val="21"/>
    </w:rPr>
  </w:style>
  <w:style w:type="paragraph" w:customStyle="1" w:styleId="98">
    <w:name w:val="Char Char Char Char Char Char Char Char Char"/>
    <w:basedOn w:val="1"/>
    <w:next w:val="17"/>
    <w:semiHidden/>
    <w:qFormat/>
    <w:uiPriority w:val="0"/>
    <w:rPr>
      <w:sz w:val="28"/>
      <w:szCs w:val="28"/>
    </w:rPr>
  </w:style>
  <w:style w:type="paragraph" w:customStyle="1" w:styleId="99">
    <w:name w:val="郭表格"/>
    <w:basedOn w:val="1"/>
    <w:link w:val="132"/>
    <w:qFormat/>
    <w:uiPriority w:val="0"/>
    <w:pPr>
      <w:jc w:val="center"/>
    </w:pPr>
    <w:rPr>
      <w:kern w:val="0"/>
      <w:szCs w:val="21"/>
    </w:rPr>
  </w:style>
  <w:style w:type="paragraph" w:customStyle="1" w:styleId="100">
    <w:name w:val="4"/>
    <w:basedOn w:val="1"/>
    <w:semiHidden/>
    <w:qFormat/>
    <w:uiPriority w:val="0"/>
    <w:pPr>
      <w:spacing w:line="360" w:lineRule="auto"/>
      <w:ind w:firstLine="200" w:firstLineChars="200"/>
    </w:pPr>
  </w:style>
  <w:style w:type="paragraph" w:customStyle="1" w:styleId="101">
    <w:name w:val="表格"/>
    <w:basedOn w:val="1"/>
    <w:link w:val="169"/>
    <w:qFormat/>
    <w:uiPriority w:val="0"/>
    <w:pPr>
      <w:spacing w:before="50" w:after="50"/>
      <w:jc w:val="center"/>
    </w:pPr>
    <w:rPr>
      <w:rFonts w:ascii="宋体"/>
      <w:szCs w:val="20"/>
    </w:rPr>
  </w:style>
  <w:style w:type="paragraph" w:customStyle="1" w:styleId="102">
    <w:name w:val="正文自己"/>
    <w:basedOn w:val="1"/>
    <w:qFormat/>
    <w:uiPriority w:val="0"/>
    <w:pPr>
      <w:spacing w:line="560" w:lineRule="exact"/>
      <w:ind w:firstLine="629"/>
    </w:pPr>
    <w:rPr>
      <w:bCs/>
      <w:sz w:val="28"/>
    </w:rPr>
  </w:style>
  <w:style w:type="paragraph" w:customStyle="1" w:styleId="103">
    <w:name w:val="样式 标题 2"/>
    <w:basedOn w:val="4"/>
    <w:link w:val="124"/>
    <w:qFormat/>
    <w:uiPriority w:val="0"/>
    <w:pPr>
      <w:spacing w:line="480" w:lineRule="auto"/>
      <w:jc w:val="center"/>
    </w:pPr>
    <w:rPr>
      <w:rFonts w:eastAsia="楷体_GB2312"/>
      <w:kern w:val="32"/>
      <w:sz w:val="32"/>
      <w:szCs w:val="20"/>
    </w:rPr>
  </w:style>
  <w:style w:type="paragraph" w:customStyle="1" w:styleId="104">
    <w:name w:val="xl34"/>
    <w:basedOn w:val="1"/>
    <w:semiHidden/>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05">
    <w:name w:val="char"/>
    <w:basedOn w:val="1"/>
    <w:semiHidden/>
    <w:qFormat/>
    <w:uiPriority w:val="0"/>
    <w:pPr>
      <w:widowControl/>
      <w:spacing w:after="160"/>
      <w:jc w:val="left"/>
    </w:pPr>
  </w:style>
  <w:style w:type="paragraph" w:customStyle="1" w:styleId="106">
    <w:name w:val="Char7"/>
    <w:basedOn w:val="1"/>
    <w:semiHidden/>
    <w:qFormat/>
    <w:uiPriority w:val="0"/>
  </w:style>
  <w:style w:type="paragraph" w:customStyle="1" w:styleId="107">
    <w:name w:val="Char Char Char Char Char Char Char Char Char1"/>
    <w:basedOn w:val="1"/>
    <w:next w:val="17"/>
    <w:semiHidden/>
    <w:qFormat/>
    <w:uiPriority w:val="0"/>
    <w:rPr>
      <w:sz w:val="28"/>
      <w:szCs w:val="28"/>
    </w:rPr>
  </w:style>
  <w:style w:type="paragraph" w:styleId="108">
    <w:name w:val="List Paragraph"/>
    <w:basedOn w:val="1"/>
    <w:qFormat/>
    <w:uiPriority w:val="34"/>
    <w:pPr>
      <w:widowControl/>
      <w:ind w:left="720"/>
      <w:contextualSpacing/>
      <w:jc w:val="left"/>
    </w:pPr>
    <w:rPr>
      <w:rFonts w:cs="宋体"/>
      <w:kern w:val="0"/>
      <w:sz w:val="24"/>
      <w:lang w:eastAsia="en-US" w:bidi="en-US"/>
    </w:rPr>
  </w:style>
  <w:style w:type="paragraph" w:styleId="109">
    <w:name w:val="Intense Quote"/>
    <w:basedOn w:val="1"/>
    <w:next w:val="1"/>
    <w:link w:val="178"/>
    <w:qFormat/>
    <w:uiPriority w:val="0"/>
    <w:pPr>
      <w:widowControl/>
      <w:ind w:left="720" w:right="720"/>
      <w:jc w:val="left"/>
    </w:pPr>
    <w:rPr>
      <w:rFonts w:cs="宋体"/>
      <w:b/>
      <w:i/>
      <w:kern w:val="0"/>
      <w:sz w:val="24"/>
      <w:szCs w:val="20"/>
    </w:rPr>
  </w:style>
  <w:style w:type="paragraph" w:customStyle="1" w:styleId="110">
    <w:name w:val="p0"/>
    <w:basedOn w:val="1"/>
    <w:qFormat/>
    <w:uiPriority w:val="0"/>
    <w:pPr>
      <w:widowControl/>
    </w:pPr>
    <w:rPr>
      <w:kern w:val="0"/>
      <w:szCs w:val="21"/>
    </w:rPr>
  </w:style>
  <w:style w:type="paragraph" w:customStyle="1" w:styleId="111">
    <w:name w:val="正文（修改）"/>
    <w:basedOn w:val="1"/>
    <w:qFormat/>
    <w:uiPriority w:val="0"/>
    <w:pPr>
      <w:snapToGrid w:val="0"/>
      <w:spacing w:line="360" w:lineRule="auto"/>
      <w:ind w:firstLine="200" w:firstLineChars="200"/>
    </w:pPr>
    <w:rPr>
      <w:rFonts w:cs="宋体"/>
      <w:kern w:val="0"/>
      <w:sz w:val="24"/>
      <w:szCs w:val="28"/>
    </w:rPr>
  </w:style>
  <w:style w:type="paragraph" w:customStyle="1" w:styleId="112">
    <w:name w:val="标题4"/>
    <w:basedOn w:val="1"/>
    <w:next w:val="1"/>
    <w:qFormat/>
    <w:uiPriority w:val="0"/>
    <w:pPr>
      <w:tabs>
        <w:tab w:val="left" w:pos="360"/>
        <w:tab w:val="left" w:pos="840"/>
      </w:tabs>
      <w:snapToGrid w:val="0"/>
      <w:spacing w:line="360" w:lineRule="auto"/>
    </w:pPr>
    <w:rPr>
      <w:sz w:val="28"/>
      <w:szCs w:val="20"/>
    </w:rPr>
  </w:style>
  <w:style w:type="paragraph" w:customStyle="1" w:styleId="113">
    <w:name w:val="Char Char Char Char Char Char Char Char Char Char Char1"/>
    <w:basedOn w:val="1"/>
    <w:semiHidden/>
    <w:qFormat/>
    <w:uiPriority w:val="0"/>
  </w:style>
  <w:style w:type="paragraph" w:customStyle="1" w:styleId="114">
    <w:name w:val="表内容中"/>
    <w:basedOn w:val="32"/>
    <w:qFormat/>
    <w:uiPriority w:val="0"/>
    <w:pPr>
      <w:widowControl w:val="0"/>
      <w:adjustRightInd w:val="0"/>
      <w:snapToGrid w:val="0"/>
      <w:spacing w:line="360" w:lineRule="exact"/>
      <w:ind w:left="0" w:leftChars="0"/>
      <w:jc w:val="center"/>
    </w:pPr>
    <w:rPr>
      <w:rFonts w:ascii="Arial" w:hAnsi="Arial"/>
      <w:color w:val="000000"/>
      <w:kern w:val="16"/>
      <w:szCs w:val="20"/>
    </w:rPr>
  </w:style>
  <w:style w:type="paragraph" w:customStyle="1" w:styleId="115">
    <w:name w:val="安评小4表格正文居中"/>
    <w:qFormat/>
    <w:uiPriority w:val="0"/>
    <w:pPr>
      <w:widowControl w:val="0"/>
      <w:adjustRightInd w:val="0"/>
      <w:snapToGrid w:val="0"/>
      <w:spacing w:line="440" w:lineRule="exact"/>
      <w:jc w:val="center"/>
    </w:pPr>
    <w:rPr>
      <w:rFonts w:ascii="宋体" w:hAnsi="Calibri" w:eastAsia="宋体" w:cs="Times New Roman"/>
      <w:bCs/>
      <w:snapToGrid w:val="0"/>
      <w:sz w:val="24"/>
      <w:szCs w:val="21"/>
      <w:lang w:val="en-US" w:eastAsia="zh-CN" w:bidi="ar-SA"/>
    </w:rPr>
  </w:style>
  <w:style w:type="paragraph" w:customStyle="1" w:styleId="116">
    <w:name w:val="default paragraph font Char"/>
    <w:basedOn w:val="1"/>
    <w:semiHidden/>
    <w:qFormat/>
    <w:uiPriority w:val="0"/>
    <w:pPr>
      <w:spacing w:line="240" w:lineRule="atLeast"/>
      <w:ind w:left="420" w:firstLine="420"/>
    </w:pPr>
    <w:rPr>
      <w:kern w:val="0"/>
      <w:szCs w:val="21"/>
    </w:rPr>
  </w:style>
  <w:style w:type="paragraph" w:customStyle="1" w:styleId="117">
    <w:name w:val="Char Char Char Char Char1"/>
    <w:basedOn w:val="1"/>
    <w:semiHidden/>
    <w:qFormat/>
    <w:uiPriority w:val="0"/>
    <w:rPr>
      <w:szCs w:val="21"/>
    </w:rPr>
  </w:style>
  <w:style w:type="paragraph" w:styleId="118">
    <w:name w:val="No Spacing"/>
    <w:basedOn w:val="1"/>
    <w:qFormat/>
    <w:uiPriority w:val="0"/>
    <w:pPr>
      <w:widowControl/>
      <w:jc w:val="left"/>
    </w:pPr>
    <w:rPr>
      <w:rFonts w:cs="宋体"/>
      <w:kern w:val="0"/>
      <w:sz w:val="24"/>
      <w:szCs w:val="32"/>
      <w:lang w:eastAsia="en-US" w:bidi="en-US"/>
    </w:rPr>
  </w:style>
  <w:style w:type="paragraph" w:styleId="119">
    <w:name w:val="Quote"/>
    <w:basedOn w:val="1"/>
    <w:next w:val="1"/>
    <w:link w:val="148"/>
    <w:qFormat/>
    <w:uiPriority w:val="0"/>
    <w:pPr>
      <w:widowControl/>
      <w:jc w:val="left"/>
    </w:pPr>
    <w:rPr>
      <w:rFonts w:cs="宋体"/>
      <w:i/>
      <w:kern w:val="0"/>
      <w:sz w:val="24"/>
    </w:rPr>
  </w:style>
  <w:style w:type="character" w:customStyle="1" w:styleId="120">
    <w:name w:val="标题 5 字符"/>
    <w:link w:val="7"/>
    <w:qFormat/>
    <w:uiPriority w:val="0"/>
    <w:rPr>
      <w:rFonts w:eastAsia="宋体"/>
      <w:b/>
      <w:bCs/>
      <w:kern w:val="2"/>
      <w:sz w:val="28"/>
      <w:szCs w:val="28"/>
      <w:lang w:val="en-US" w:eastAsia="zh-CN" w:bidi="ar-SA"/>
    </w:rPr>
  </w:style>
  <w:style w:type="character" w:customStyle="1" w:styleId="121">
    <w:name w:val="正文文本 3 字符"/>
    <w:link w:val="23"/>
    <w:qFormat/>
    <w:uiPriority w:val="0"/>
    <w:rPr>
      <w:kern w:val="2"/>
      <w:sz w:val="16"/>
      <w:szCs w:val="16"/>
    </w:rPr>
  </w:style>
  <w:style w:type="character" w:customStyle="1" w:styleId="122">
    <w:name w:val="正文文本首行缩进 字符"/>
    <w:link w:val="15"/>
    <w:qFormat/>
    <w:uiPriority w:val="0"/>
    <w:rPr>
      <w:rFonts w:ascii="仿宋_GB2312" w:eastAsia="仿宋_GB2312"/>
      <w:kern w:val="2"/>
      <w:sz w:val="21"/>
      <w:szCs w:val="24"/>
    </w:rPr>
  </w:style>
  <w:style w:type="character" w:customStyle="1" w:styleId="123">
    <w:name w:val="fontstyle51"/>
    <w:semiHidden/>
    <w:qFormat/>
    <w:uiPriority w:val="0"/>
    <w:rPr>
      <w:rFonts w:hint="default" w:ascii="楷体" w:hAnsi="楷体"/>
      <w:color w:val="000000"/>
      <w:sz w:val="32"/>
      <w:szCs w:val="32"/>
    </w:rPr>
  </w:style>
  <w:style w:type="character" w:customStyle="1" w:styleId="124">
    <w:name w:val="样式 标题 2 Char Char"/>
    <w:link w:val="103"/>
    <w:qFormat/>
    <w:uiPriority w:val="0"/>
    <w:rPr>
      <w:rFonts w:ascii="Arial" w:hAnsi="Arial" w:eastAsia="楷体_GB2312" w:cs="宋体"/>
      <w:b/>
      <w:bCs/>
      <w:kern w:val="32"/>
      <w:sz w:val="32"/>
    </w:rPr>
  </w:style>
  <w:style w:type="character" w:customStyle="1" w:styleId="125">
    <w:name w:val="_Style 124"/>
    <w:qFormat/>
    <w:uiPriority w:val="0"/>
    <w:rPr>
      <w:i/>
      <w:color w:val="5A5A5A"/>
    </w:rPr>
  </w:style>
  <w:style w:type="character" w:customStyle="1" w:styleId="126">
    <w:name w:val="cur4"/>
    <w:basedOn w:val="51"/>
    <w:qFormat/>
    <w:uiPriority w:val="0"/>
    <w:rPr>
      <w:color w:val="146EAA"/>
    </w:rPr>
  </w:style>
  <w:style w:type="character" w:customStyle="1" w:styleId="127">
    <w:name w:val="fontstyle41"/>
    <w:semiHidden/>
    <w:qFormat/>
    <w:uiPriority w:val="0"/>
    <w:rPr>
      <w:rFonts w:hint="eastAsia" w:ascii="宋体" w:hAnsi="宋体" w:eastAsia="宋体"/>
      <w:color w:val="000000"/>
      <w:sz w:val="28"/>
      <w:szCs w:val="28"/>
    </w:rPr>
  </w:style>
  <w:style w:type="character" w:customStyle="1" w:styleId="128">
    <w:name w:val="cur1"/>
    <w:basedOn w:val="51"/>
    <w:qFormat/>
    <w:uiPriority w:val="0"/>
    <w:rPr>
      <w:color w:val="06355B"/>
    </w:rPr>
  </w:style>
  <w:style w:type="character" w:customStyle="1" w:styleId="129">
    <w:name w:val="页脚 字符"/>
    <w:link w:val="35"/>
    <w:qFormat/>
    <w:uiPriority w:val="0"/>
    <w:rPr>
      <w:rFonts w:eastAsia="宋体"/>
      <w:kern w:val="2"/>
      <w:sz w:val="18"/>
      <w:szCs w:val="18"/>
      <w:lang w:val="en-US" w:eastAsia="zh-CN" w:bidi="ar-SA"/>
    </w:rPr>
  </w:style>
  <w:style w:type="character" w:customStyle="1" w:styleId="130">
    <w:name w:val="_Style 129"/>
    <w:qFormat/>
    <w:uiPriority w:val="0"/>
    <w:rPr>
      <w:b/>
      <w:sz w:val="24"/>
      <w:u w:val="single"/>
    </w:rPr>
  </w:style>
  <w:style w:type="character" w:customStyle="1" w:styleId="131">
    <w:name w:val="标题1"/>
    <w:basedOn w:val="51"/>
    <w:semiHidden/>
    <w:qFormat/>
    <w:uiPriority w:val="0"/>
  </w:style>
  <w:style w:type="character" w:customStyle="1" w:styleId="132">
    <w:name w:val="郭表格 Char Char"/>
    <w:link w:val="99"/>
    <w:qFormat/>
    <w:uiPriority w:val="0"/>
    <w:rPr>
      <w:sz w:val="21"/>
      <w:szCs w:val="21"/>
    </w:rPr>
  </w:style>
  <w:style w:type="character" w:customStyle="1" w:styleId="133">
    <w:name w:val="headline-content2"/>
    <w:basedOn w:val="51"/>
    <w:semiHidden/>
    <w:qFormat/>
    <w:uiPriority w:val="0"/>
  </w:style>
  <w:style w:type="character" w:customStyle="1" w:styleId="134">
    <w:name w:val="郭表格标题 Char Char"/>
    <w:link w:val="64"/>
    <w:qFormat/>
    <w:uiPriority w:val="0"/>
    <w:rPr>
      <w:b/>
      <w:kern w:val="2"/>
      <w:sz w:val="21"/>
      <w:szCs w:val="21"/>
    </w:rPr>
  </w:style>
  <w:style w:type="character" w:customStyle="1" w:styleId="135">
    <w:name w:val="Char Char Char"/>
    <w:semiHidden/>
    <w:qFormat/>
    <w:uiPriority w:val="0"/>
    <w:rPr>
      <w:rFonts w:ascii="Tahoma" w:hAnsi="Tahoma" w:eastAsia="宋体"/>
      <w:kern w:val="2"/>
      <w:sz w:val="24"/>
      <w:szCs w:val="24"/>
      <w:lang w:val="en-US" w:eastAsia="zh-CN" w:bidi="ar-SA"/>
    </w:rPr>
  </w:style>
  <w:style w:type="character" w:customStyle="1" w:styleId="136">
    <w:name w:val="样式2 Char"/>
    <w:link w:val="81"/>
    <w:qFormat/>
    <w:uiPriority w:val="0"/>
    <w:rPr>
      <w:rFonts w:ascii="方正书宋简体" w:eastAsia="方正书宋简体"/>
      <w:kern w:val="2"/>
      <w:sz w:val="21"/>
      <w:szCs w:val="21"/>
      <w:lang w:val="zh-CN" w:eastAsia="zh-CN" w:bidi="ar-SA"/>
    </w:rPr>
  </w:style>
  <w:style w:type="character" w:customStyle="1" w:styleId="137">
    <w:name w:val="副标题 字符"/>
    <w:link w:val="40"/>
    <w:qFormat/>
    <w:uiPriority w:val="0"/>
    <w:rPr>
      <w:rFonts w:ascii="宋体" w:hAnsi="宋体" w:eastAsia="宋体"/>
      <w:b/>
      <w:sz w:val="24"/>
      <w:szCs w:val="24"/>
      <w:lang w:val="en-US" w:eastAsia="zh-CN" w:bidi="ar-SA"/>
    </w:rPr>
  </w:style>
  <w:style w:type="character" w:customStyle="1" w:styleId="138">
    <w:name w:val="tpc_content1"/>
    <w:semiHidden/>
    <w:qFormat/>
    <w:uiPriority w:val="0"/>
    <w:rPr>
      <w:rFonts w:ascii="Tahoma" w:hAnsi="Tahoma" w:cs="Tahoma"/>
      <w:sz w:val="20"/>
      <w:szCs w:val="20"/>
    </w:rPr>
  </w:style>
  <w:style w:type="character" w:customStyle="1" w:styleId="139">
    <w:name w:val="font51"/>
    <w:semiHidden/>
    <w:qFormat/>
    <w:uiPriority w:val="0"/>
    <w:rPr>
      <w:rFonts w:hint="eastAsia" w:ascii="宋体" w:hAnsi="宋体" w:eastAsia="宋体" w:cs="宋体"/>
      <w:color w:val="000000"/>
      <w:sz w:val="20"/>
      <w:szCs w:val="20"/>
      <w:u w:val="none"/>
    </w:rPr>
  </w:style>
  <w:style w:type="character" w:customStyle="1" w:styleId="140">
    <w:name w:val="标题 1 字符"/>
    <w:link w:val="3"/>
    <w:qFormat/>
    <w:uiPriority w:val="0"/>
    <w:rPr>
      <w:rFonts w:ascii="黑体" w:eastAsia="宋体"/>
      <w:b/>
      <w:sz w:val="30"/>
      <w:szCs w:val="28"/>
    </w:rPr>
  </w:style>
  <w:style w:type="character" w:customStyle="1" w:styleId="141">
    <w:name w:val="批注框文本 字符"/>
    <w:link w:val="34"/>
    <w:qFormat/>
    <w:uiPriority w:val="99"/>
    <w:rPr>
      <w:rFonts w:eastAsia="宋体"/>
      <w:kern w:val="2"/>
      <w:sz w:val="18"/>
      <w:szCs w:val="18"/>
      <w:lang w:val="en-US" w:eastAsia="zh-CN" w:bidi="ar-SA"/>
    </w:rPr>
  </w:style>
  <w:style w:type="character" w:customStyle="1" w:styleId="142">
    <w:name w:val="fontstyle31"/>
    <w:semiHidden/>
    <w:qFormat/>
    <w:uiPriority w:val="0"/>
    <w:rPr>
      <w:rFonts w:hint="eastAsia" w:ascii="黑体" w:hAnsi="黑体" w:eastAsia="黑体"/>
      <w:color w:val="000000"/>
      <w:sz w:val="28"/>
      <w:szCs w:val="28"/>
    </w:rPr>
  </w:style>
  <w:style w:type="character" w:customStyle="1" w:styleId="143">
    <w:name w:val="正文文本 字符"/>
    <w:link w:val="16"/>
    <w:qFormat/>
    <w:uiPriority w:val="0"/>
    <w:rPr>
      <w:rFonts w:ascii="仿宋_GB2312" w:eastAsia="仿宋_GB2312"/>
      <w:kern w:val="2"/>
      <w:sz w:val="30"/>
      <w:szCs w:val="24"/>
    </w:rPr>
  </w:style>
  <w:style w:type="character" w:customStyle="1" w:styleId="144">
    <w:name w:val="正文文本缩进 2 字符"/>
    <w:link w:val="33"/>
    <w:qFormat/>
    <w:uiPriority w:val="0"/>
    <w:rPr>
      <w:rFonts w:eastAsia="宋体"/>
      <w:kern w:val="2"/>
      <w:sz w:val="21"/>
      <w:szCs w:val="24"/>
      <w:lang w:val="en-US" w:eastAsia="zh-CN" w:bidi="ar-SA"/>
    </w:rPr>
  </w:style>
  <w:style w:type="character" w:customStyle="1" w:styleId="145">
    <w:name w:val="标题 1 Char"/>
    <w:semiHidden/>
    <w:qFormat/>
    <w:uiPriority w:val="0"/>
    <w:rPr>
      <w:b/>
      <w:bCs/>
      <w:kern w:val="44"/>
      <w:sz w:val="44"/>
      <w:szCs w:val="44"/>
    </w:rPr>
  </w:style>
  <w:style w:type="character" w:customStyle="1" w:styleId="146">
    <w:name w:val="标题 8 字符"/>
    <w:link w:val="10"/>
    <w:qFormat/>
    <w:uiPriority w:val="0"/>
    <w:rPr>
      <w:rFonts w:ascii="Calibri" w:hAnsi="Calibri" w:eastAsia="宋体" w:cs="宋体"/>
      <w:i/>
      <w:iCs/>
      <w:sz w:val="24"/>
      <w:szCs w:val="24"/>
      <w:lang w:bidi="ar-SA"/>
    </w:rPr>
  </w:style>
  <w:style w:type="character" w:customStyle="1" w:styleId="147">
    <w:name w:val="标题 3 Char2"/>
    <w:qFormat/>
    <w:uiPriority w:val="0"/>
    <w:rPr>
      <w:rFonts w:eastAsia="宋体"/>
      <w:b/>
      <w:bCs/>
      <w:kern w:val="2"/>
      <w:sz w:val="32"/>
      <w:szCs w:val="32"/>
      <w:lang w:val="en-US" w:eastAsia="zh-CN" w:bidi="ar-SA"/>
    </w:rPr>
  </w:style>
  <w:style w:type="character" w:customStyle="1" w:styleId="148">
    <w:name w:val="引用 字符"/>
    <w:link w:val="119"/>
    <w:qFormat/>
    <w:uiPriority w:val="0"/>
    <w:rPr>
      <w:rFonts w:ascii="Calibri" w:hAnsi="Calibri" w:eastAsia="宋体" w:cs="宋体"/>
      <w:i/>
      <w:sz w:val="24"/>
      <w:szCs w:val="24"/>
      <w:lang w:bidi="ar-SA"/>
    </w:rPr>
  </w:style>
  <w:style w:type="character" w:customStyle="1" w:styleId="149">
    <w:name w:val="Char Char5"/>
    <w:semiHidden/>
    <w:qFormat/>
    <w:uiPriority w:val="0"/>
    <w:rPr>
      <w:kern w:val="2"/>
      <w:sz w:val="18"/>
      <w:szCs w:val="18"/>
    </w:rPr>
  </w:style>
  <w:style w:type="character" w:customStyle="1" w:styleId="150">
    <w:name w:val="hover25"/>
    <w:basedOn w:val="51"/>
    <w:qFormat/>
    <w:uiPriority w:val="0"/>
    <w:rPr>
      <w:color w:val="FFFFFF"/>
      <w:shd w:val="clear" w:color="auto" w:fill="4B97D0"/>
    </w:rPr>
  </w:style>
  <w:style w:type="character" w:customStyle="1" w:styleId="151">
    <w:name w:val="Part Char"/>
    <w:semiHidden/>
    <w:qFormat/>
    <w:uiPriority w:val="0"/>
    <w:rPr>
      <w:rFonts w:ascii="Cambria" w:hAnsi="Cambria"/>
      <w:b/>
      <w:bCs/>
      <w:kern w:val="32"/>
      <w:sz w:val="32"/>
      <w:szCs w:val="32"/>
    </w:rPr>
  </w:style>
  <w:style w:type="character" w:customStyle="1" w:styleId="152">
    <w:name w:val="标题 9 字符"/>
    <w:link w:val="11"/>
    <w:qFormat/>
    <w:uiPriority w:val="0"/>
    <w:rPr>
      <w:rFonts w:ascii="Cambria" w:hAnsi="Cambria" w:eastAsia="宋体" w:cs="宋体"/>
      <w:lang w:bidi="ar-SA"/>
    </w:rPr>
  </w:style>
  <w:style w:type="character" w:customStyle="1" w:styleId="153">
    <w:name w:val="标题 4 字符"/>
    <w:link w:val="6"/>
    <w:qFormat/>
    <w:uiPriority w:val="0"/>
    <w:rPr>
      <w:rFonts w:ascii="Arial" w:hAnsi="Arial" w:eastAsia="黑体"/>
      <w:b/>
      <w:bCs/>
      <w:kern w:val="2"/>
      <w:sz w:val="28"/>
      <w:szCs w:val="28"/>
      <w:lang w:val="en-US" w:eastAsia="zh-CN" w:bidi="ar-SA"/>
    </w:rPr>
  </w:style>
  <w:style w:type="character" w:customStyle="1" w:styleId="154">
    <w:name w:val="标题 2 Char1"/>
    <w:semiHidden/>
    <w:qFormat/>
    <w:uiPriority w:val="0"/>
    <w:rPr>
      <w:rFonts w:ascii="Arial" w:hAnsi="Arial" w:eastAsia="黑体" w:cs="Tahoma"/>
      <w:b/>
      <w:bCs/>
      <w:kern w:val="2"/>
      <w:sz w:val="32"/>
      <w:szCs w:val="32"/>
      <w:lang w:val="en-US" w:eastAsia="zh-CN" w:bidi="ar-SA"/>
    </w:rPr>
  </w:style>
  <w:style w:type="character" w:customStyle="1" w:styleId="155">
    <w:name w:val="标题 7 字符"/>
    <w:link w:val="9"/>
    <w:qFormat/>
    <w:uiPriority w:val="0"/>
    <w:rPr>
      <w:rFonts w:ascii="Calibri" w:hAnsi="Calibri" w:eastAsia="宋体" w:cs="宋体"/>
      <w:sz w:val="24"/>
      <w:szCs w:val="24"/>
      <w:lang w:bidi="ar-SA"/>
    </w:rPr>
  </w:style>
  <w:style w:type="character" w:customStyle="1" w:styleId="156">
    <w:name w:val="标题 3 Char1"/>
    <w:qFormat/>
    <w:uiPriority w:val="0"/>
    <w:rPr>
      <w:rFonts w:ascii="Tahoma" w:hAnsi="Tahoma" w:eastAsia="宋体" w:cs="Tahoma"/>
      <w:b/>
      <w:bCs/>
      <w:kern w:val="2"/>
      <w:sz w:val="32"/>
      <w:szCs w:val="32"/>
      <w:lang w:val="en-US" w:eastAsia="zh-CN" w:bidi="ar-SA"/>
    </w:rPr>
  </w:style>
  <w:style w:type="character" w:customStyle="1" w:styleId="157">
    <w:name w:val="fontstyle11"/>
    <w:semiHidden/>
    <w:qFormat/>
    <w:uiPriority w:val="0"/>
    <w:rPr>
      <w:rFonts w:hint="eastAsia" w:ascii="黑体" w:hAnsi="黑体" w:eastAsia="黑体"/>
      <w:color w:val="000000"/>
      <w:sz w:val="28"/>
      <w:szCs w:val="28"/>
    </w:rPr>
  </w:style>
  <w:style w:type="character" w:customStyle="1" w:styleId="158">
    <w:name w:val="标题 字符"/>
    <w:link w:val="50"/>
    <w:qFormat/>
    <w:uiPriority w:val="0"/>
    <w:rPr>
      <w:rFonts w:ascii="Cambria" w:hAnsi="Cambria" w:eastAsia="宋体"/>
      <w:b/>
      <w:bCs/>
      <w:kern w:val="2"/>
      <w:sz w:val="32"/>
      <w:szCs w:val="32"/>
      <w:lang w:val="en-US" w:eastAsia="zh-CN" w:bidi="ar-SA"/>
    </w:rPr>
  </w:style>
  <w:style w:type="character" w:customStyle="1" w:styleId="159">
    <w:name w:val="apple-converted-space"/>
    <w:basedOn w:val="51"/>
    <w:semiHidden/>
    <w:qFormat/>
    <w:uiPriority w:val="0"/>
  </w:style>
  <w:style w:type="character" w:customStyle="1" w:styleId="160">
    <w:name w:val="正文缩进 字符"/>
    <w:link w:val="18"/>
    <w:qFormat/>
    <w:uiPriority w:val="0"/>
    <w:rPr>
      <w:rFonts w:ascii="宋体" w:eastAsia="宋体"/>
      <w:kern w:val="28"/>
      <w:sz w:val="28"/>
      <w:szCs w:val="24"/>
      <w:lang w:val="en-US" w:eastAsia="zh-CN" w:bidi="ar-SA"/>
    </w:rPr>
  </w:style>
  <w:style w:type="character" w:customStyle="1" w:styleId="161">
    <w:name w:val="正文文本缩进 字符"/>
    <w:link w:val="24"/>
    <w:qFormat/>
    <w:uiPriority w:val="0"/>
    <w:rPr>
      <w:rFonts w:ascii="宋体" w:hAnsi="宋体" w:eastAsia="宋体"/>
      <w:kern w:val="2"/>
      <w:sz w:val="28"/>
      <w:szCs w:val="28"/>
      <w:lang w:val="en-US" w:eastAsia="zh-CN" w:bidi="ar-SA"/>
    </w:rPr>
  </w:style>
  <w:style w:type="character" w:customStyle="1" w:styleId="162">
    <w:name w:val="标题 2 字符"/>
    <w:link w:val="4"/>
    <w:qFormat/>
    <w:uiPriority w:val="0"/>
    <w:rPr>
      <w:rFonts w:ascii="Arial" w:hAnsi="Arial" w:eastAsia="宋体"/>
      <w:b/>
      <w:bCs/>
      <w:kern w:val="2"/>
      <w:sz w:val="28"/>
      <w:szCs w:val="32"/>
    </w:rPr>
  </w:style>
  <w:style w:type="character" w:customStyle="1" w:styleId="163">
    <w:name w:val="wsxf"/>
    <w:basedOn w:val="51"/>
    <w:qFormat/>
    <w:uiPriority w:val="0"/>
  </w:style>
  <w:style w:type="character" w:customStyle="1" w:styleId="164">
    <w:name w:val="普通(网站) 字符"/>
    <w:link w:val="49"/>
    <w:qFormat/>
    <w:uiPriority w:val="0"/>
    <w:rPr>
      <w:rFonts w:ascii="Arial Unicode MS" w:hAnsi="Arial Unicode MS" w:eastAsia="Arial Unicode MS" w:cs="Arial Unicode MS"/>
      <w:sz w:val="24"/>
      <w:szCs w:val="24"/>
      <w:lang w:val="en-US" w:eastAsia="zh-CN" w:bidi="ar-SA"/>
    </w:rPr>
  </w:style>
  <w:style w:type="character" w:customStyle="1" w:styleId="165">
    <w:name w:val="xmt"/>
    <w:basedOn w:val="51"/>
    <w:qFormat/>
    <w:uiPriority w:val="0"/>
  </w:style>
  <w:style w:type="character" w:customStyle="1" w:styleId="166">
    <w:name w:val="批注文字 字符"/>
    <w:link w:val="13"/>
    <w:qFormat/>
    <w:uiPriority w:val="0"/>
    <w:rPr>
      <w:rFonts w:eastAsia="宋体"/>
      <w:kern w:val="2"/>
      <w:sz w:val="21"/>
      <w:szCs w:val="24"/>
      <w:lang w:val="en-US" w:eastAsia="zh-CN" w:bidi="ar-SA"/>
    </w:rPr>
  </w:style>
  <w:style w:type="character" w:customStyle="1" w:styleId="167">
    <w:name w:val="bt21"/>
    <w:semiHidden/>
    <w:qFormat/>
    <w:uiPriority w:val="0"/>
    <w:rPr>
      <w:rFonts w:hint="eastAsia" w:ascii="黑体" w:eastAsia="黑体"/>
      <w:sz w:val="22"/>
      <w:szCs w:val="22"/>
    </w:rPr>
  </w:style>
  <w:style w:type="character" w:customStyle="1" w:styleId="168">
    <w:name w:val="标题 2 Char Char"/>
    <w:semiHidden/>
    <w:qFormat/>
    <w:uiPriority w:val="0"/>
    <w:rPr>
      <w:rFonts w:ascii="Arial" w:hAnsi="Arial" w:eastAsia="黑体"/>
      <w:b/>
      <w:bCs/>
      <w:kern w:val="2"/>
      <w:sz w:val="32"/>
      <w:szCs w:val="32"/>
      <w:lang w:val="en-US" w:eastAsia="zh-CN" w:bidi="ar-SA"/>
    </w:rPr>
  </w:style>
  <w:style w:type="character" w:customStyle="1" w:styleId="169">
    <w:name w:val="表格 Char"/>
    <w:link w:val="101"/>
    <w:qFormat/>
    <w:uiPriority w:val="0"/>
    <w:rPr>
      <w:rFonts w:ascii="宋体" w:eastAsia="宋体"/>
      <w:kern w:val="2"/>
      <w:sz w:val="21"/>
      <w:lang w:val="en-US" w:eastAsia="zh-CN" w:bidi="ar-SA"/>
    </w:rPr>
  </w:style>
  <w:style w:type="character" w:customStyle="1" w:styleId="170">
    <w:name w:val="_Style 169"/>
    <w:qFormat/>
    <w:uiPriority w:val="0"/>
    <w:rPr>
      <w:b/>
      <w:i/>
      <w:sz w:val="24"/>
      <w:szCs w:val="24"/>
      <w:u w:val="single"/>
    </w:rPr>
  </w:style>
  <w:style w:type="character" w:customStyle="1" w:styleId="171">
    <w:name w:val="search_content1"/>
    <w:semiHidden/>
    <w:qFormat/>
    <w:uiPriority w:val="0"/>
    <w:rPr>
      <w:sz w:val="16"/>
      <w:szCs w:val="16"/>
    </w:rPr>
  </w:style>
  <w:style w:type="character" w:customStyle="1" w:styleId="172">
    <w:name w:val="正文1"/>
    <w:qFormat/>
    <w:uiPriority w:val="0"/>
    <w:rPr>
      <w:rFonts w:hint="eastAsia" w:ascii="宋体" w:hAnsi="宋体" w:eastAsia="宋体"/>
      <w:sz w:val="22"/>
      <w:szCs w:val="22"/>
    </w:rPr>
  </w:style>
  <w:style w:type="character" w:customStyle="1" w:styleId="173">
    <w:name w:val="bt11"/>
    <w:semiHidden/>
    <w:qFormat/>
    <w:uiPriority w:val="0"/>
    <w:rPr>
      <w:rFonts w:hint="eastAsia" w:ascii="黑体" w:eastAsia="黑体"/>
      <w:color w:val="000000"/>
      <w:sz w:val="28"/>
      <w:szCs w:val="28"/>
    </w:rPr>
  </w:style>
  <w:style w:type="character" w:customStyle="1" w:styleId="174">
    <w:name w:val="fontstyle21"/>
    <w:semiHidden/>
    <w:qFormat/>
    <w:uiPriority w:val="0"/>
    <w:rPr>
      <w:rFonts w:hint="default" w:ascii="楷体" w:hAnsi="楷体"/>
      <w:color w:val="000000"/>
      <w:sz w:val="32"/>
      <w:szCs w:val="32"/>
    </w:rPr>
  </w:style>
  <w:style w:type="character" w:customStyle="1" w:styleId="175">
    <w:name w:val="font21"/>
    <w:semiHidden/>
    <w:qFormat/>
    <w:uiPriority w:val="0"/>
    <w:rPr>
      <w:rFonts w:hint="default" w:ascii="Dialog" w:hAnsi="Dialog" w:eastAsia="Dialog" w:cs="Dialog"/>
      <w:color w:val="000000"/>
      <w:sz w:val="20"/>
      <w:szCs w:val="20"/>
      <w:u w:val="none"/>
    </w:rPr>
  </w:style>
  <w:style w:type="character" w:customStyle="1" w:styleId="176">
    <w:name w:val="纯文本 字符"/>
    <w:link w:val="30"/>
    <w:qFormat/>
    <w:uiPriority w:val="0"/>
    <w:rPr>
      <w:rFonts w:ascii="宋体" w:hAnsi="Courier New" w:eastAsia="宋体"/>
      <w:kern w:val="2"/>
      <w:sz w:val="28"/>
      <w:lang w:val="en-US" w:eastAsia="zh-CN" w:bidi="ar-SA"/>
    </w:rPr>
  </w:style>
  <w:style w:type="character" w:customStyle="1" w:styleId="177">
    <w:name w:val="last-child"/>
    <w:basedOn w:val="51"/>
    <w:qFormat/>
    <w:uiPriority w:val="0"/>
  </w:style>
  <w:style w:type="character" w:customStyle="1" w:styleId="178">
    <w:name w:val="明显引用 字符"/>
    <w:link w:val="109"/>
    <w:uiPriority w:val="0"/>
    <w:rPr>
      <w:rFonts w:ascii="Calibri" w:hAnsi="Calibri" w:eastAsia="宋体" w:cs="宋体"/>
      <w:b/>
      <w:i/>
      <w:sz w:val="24"/>
      <w:lang w:bidi="ar-SA"/>
    </w:rPr>
  </w:style>
  <w:style w:type="character" w:customStyle="1" w:styleId="179">
    <w:name w:val="_Style 178"/>
    <w:qFormat/>
    <w:uiPriority w:val="0"/>
    <w:rPr>
      <w:sz w:val="24"/>
      <w:szCs w:val="24"/>
      <w:u w:val="single"/>
    </w:rPr>
  </w:style>
  <w:style w:type="character" w:customStyle="1" w:styleId="180">
    <w:name w:val="Char Char1"/>
    <w:semiHidden/>
    <w:qFormat/>
    <w:uiPriority w:val="0"/>
    <w:rPr>
      <w:rFonts w:ascii="宋体" w:hAnsi="Courier New" w:eastAsia="宋体"/>
      <w:kern w:val="2"/>
      <w:sz w:val="28"/>
      <w:lang w:val="en-US" w:eastAsia="zh-CN" w:bidi="ar-SA"/>
    </w:rPr>
  </w:style>
  <w:style w:type="character" w:customStyle="1" w:styleId="181">
    <w:name w:val="nava12"/>
    <w:semiHidden/>
    <w:qFormat/>
    <w:uiPriority w:val="0"/>
    <w:rPr>
      <w:color w:val="333333"/>
      <w:sz w:val="24"/>
      <w:szCs w:val="24"/>
      <w:u w:val="none"/>
    </w:rPr>
  </w:style>
  <w:style w:type="character" w:customStyle="1" w:styleId="182">
    <w:name w:val="cur2"/>
    <w:basedOn w:val="51"/>
    <w:qFormat/>
    <w:uiPriority w:val="0"/>
    <w:rPr>
      <w:color w:val="00558E"/>
    </w:rPr>
  </w:style>
  <w:style w:type="character" w:customStyle="1" w:styleId="183">
    <w:name w:val="标题 3 字符"/>
    <w:link w:val="5"/>
    <w:qFormat/>
    <w:uiPriority w:val="0"/>
    <w:rPr>
      <w:b/>
      <w:bCs/>
      <w:kern w:val="2"/>
      <w:sz w:val="24"/>
      <w:szCs w:val="32"/>
    </w:rPr>
  </w:style>
  <w:style w:type="character" w:customStyle="1" w:styleId="184">
    <w:name w:val="style131"/>
    <w:semiHidden/>
    <w:uiPriority w:val="0"/>
    <w:rPr>
      <w:color w:val="333333"/>
      <w:sz w:val="21"/>
      <w:szCs w:val="21"/>
    </w:rPr>
  </w:style>
  <w:style w:type="character" w:customStyle="1" w:styleId="185">
    <w:name w:val="正文缩2 Char Char"/>
    <w:link w:val="73"/>
    <w:qFormat/>
    <w:uiPriority w:val="0"/>
    <w:rPr>
      <w:rFonts w:ascii="Calibri" w:hAnsi="Calibri" w:eastAsia="宋体"/>
      <w:kern w:val="2"/>
      <w:sz w:val="28"/>
      <w:lang w:bidi="ar-SA"/>
    </w:rPr>
  </w:style>
  <w:style w:type="character" w:customStyle="1" w:styleId="186">
    <w:name w:val="cur"/>
    <w:basedOn w:val="51"/>
    <w:qFormat/>
    <w:uiPriority w:val="0"/>
    <w:rPr>
      <w:color w:val="06355B"/>
    </w:rPr>
  </w:style>
  <w:style w:type="character" w:customStyle="1" w:styleId="187">
    <w:name w:val="cur3"/>
    <w:basedOn w:val="51"/>
    <w:qFormat/>
    <w:uiPriority w:val="0"/>
    <w:rPr>
      <w:color w:val="FFFFFF"/>
      <w:shd w:val="clear" w:color="auto" w:fill="4B97D0"/>
    </w:rPr>
  </w:style>
  <w:style w:type="character" w:customStyle="1" w:styleId="188">
    <w:name w:val="hover26"/>
    <w:basedOn w:val="51"/>
    <w:qFormat/>
    <w:uiPriority w:val="0"/>
    <w:rPr>
      <w:color w:val="FFFFFF"/>
      <w:shd w:val="clear" w:color="auto" w:fill="4B97D0"/>
    </w:rPr>
  </w:style>
  <w:style w:type="character" w:customStyle="1" w:styleId="189">
    <w:name w:val="_Style 188"/>
    <w:qFormat/>
    <w:uiPriority w:val="0"/>
    <w:rPr>
      <w:rFonts w:ascii="Cambria" w:hAnsi="Cambria" w:eastAsia="宋体"/>
      <w:b/>
      <w:i/>
      <w:sz w:val="24"/>
      <w:szCs w:val="24"/>
    </w:rPr>
  </w:style>
  <w:style w:type="character" w:customStyle="1" w:styleId="190">
    <w:name w:val="time01"/>
    <w:basedOn w:val="51"/>
    <w:qFormat/>
    <w:uiPriority w:val="0"/>
    <w:rPr>
      <w:color w:val="999999"/>
    </w:rPr>
  </w:style>
  <w:style w:type="character" w:customStyle="1" w:styleId="191">
    <w:name w:val="wenzhang1"/>
    <w:semiHidden/>
    <w:qFormat/>
    <w:uiPriority w:val="0"/>
    <w:rPr>
      <w:sz w:val="18"/>
      <w:szCs w:val="18"/>
      <w:u w:val="none"/>
    </w:rPr>
  </w:style>
  <w:style w:type="character" w:customStyle="1" w:styleId="192">
    <w:name w:val="blacka121"/>
    <w:semiHidden/>
    <w:qFormat/>
    <w:uiPriority w:val="0"/>
    <w:rPr>
      <w:color w:val="000000"/>
      <w:sz w:val="18"/>
      <w:szCs w:val="18"/>
      <w:u w:val="none"/>
    </w:rPr>
  </w:style>
  <w:style w:type="character" w:customStyle="1" w:styleId="193">
    <w:name w:val="fontstyle01"/>
    <w:semiHidden/>
    <w:qFormat/>
    <w:uiPriority w:val="0"/>
    <w:rPr>
      <w:rFonts w:hint="default" w:ascii="TimesNewRomanPSMT" w:hAnsi="TimesNewRomanPSMT"/>
      <w:color w:val="000000"/>
      <w:sz w:val="32"/>
      <w:szCs w:val="32"/>
    </w:rPr>
  </w:style>
  <w:style w:type="character" w:customStyle="1" w:styleId="194">
    <w:name w:val="apple-style-span"/>
    <w:basedOn w:val="51"/>
    <w:semiHidden/>
    <w:qFormat/>
    <w:uiPriority w:val="0"/>
  </w:style>
  <w:style w:type="character" w:customStyle="1" w:styleId="195">
    <w:name w:val="zw1"/>
    <w:semiHidden/>
    <w:qFormat/>
    <w:uiPriority w:val="0"/>
    <w:rPr>
      <w:rFonts w:hint="eastAsia" w:ascii="宋体" w:hAnsi="宋体" w:eastAsia="宋体"/>
      <w:sz w:val="22"/>
      <w:szCs w:val="22"/>
    </w:rPr>
  </w:style>
  <w:style w:type="character" w:customStyle="1" w:styleId="196">
    <w:name w:val="tsjb"/>
    <w:basedOn w:val="51"/>
    <w:qFormat/>
    <w:uiPriority w:val="0"/>
  </w:style>
  <w:style w:type="paragraph" w:customStyle="1" w:styleId="197">
    <w:name w:val="Char Char Char Char2"/>
    <w:basedOn w:val="1"/>
    <w:next w:val="17"/>
    <w:qFormat/>
    <w:uiPriority w:val="0"/>
    <w:rPr>
      <w:rFonts w:ascii="Times New Roman" w:hAnsi="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58</Pages>
  <Words>26860</Words>
  <Characters>7526</Characters>
  <Lines>62</Lines>
  <Paragraphs>68</Paragraphs>
  <TotalTime>2</TotalTime>
  <ScaleCrop>false</ScaleCrop>
  <LinksUpToDate>false</LinksUpToDate>
  <CharactersWithSpaces>34318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2017-05-07T01:49:00Z</dcterms:created>
  <dc:creator>Administrator</dc:creator>
  <cp:lastModifiedBy>Administrator</cp:lastModifiedBy>
  <dcterms:modified xsi:type="dcterms:W3CDTF">2020-07-05T03:00:07Z</dcterms:modified>
  <dc:title>达州市泰恒通新能源有限公司</dc:title>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