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lang w:val="zh-CN"/>
        </w:rPr>
        <w:id w:val="1392464402"/>
        <w:docPartObj>
          <w:docPartGallery w:val="Table of Contents"/>
          <w:docPartUnique/>
        </w:docPartObj>
      </w:sdtPr>
      <w:sdtEndPr>
        <w:rPr>
          <w:color w:val="auto"/>
          <w:lang w:val="zh-CN"/>
        </w:rPr>
      </w:sdtEndPr>
      <w:sdtContent>
        <w:p>
          <w:pPr>
            <w:spacing w:line="240" w:lineRule="auto"/>
            <w:ind w:firstLine="0" w:firstLineChars="0"/>
            <w:jc w:val="center"/>
            <w:rPr>
              <w:color w:val="auto"/>
            </w:rPr>
          </w:pPr>
          <w:r>
            <w:rPr>
              <w:rFonts w:ascii="宋体" w:hAnsi="宋体"/>
              <w:color w:val="auto"/>
              <w:sz w:val="21"/>
            </w:rPr>
            <w:t>目录</w:t>
          </w:r>
        </w:p>
        <w:p>
          <w:pPr>
            <w:pStyle w:val="11"/>
            <w:tabs>
              <w:tab w:val="right" w:leader="dot" w:pos="8306"/>
            </w:tabs>
            <w:rPr>
              <w:color w:val="auto"/>
            </w:rPr>
          </w:pPr>
          <w:r>
            <w:rPr>
              <w:color w:val="auto"/>
            </w:rPr>
            <w:fldChar w:fldCharType="begin"/>
          </w:r>
          <w:r>
            <w:rPr>
              <w:color w:val="auto"/>
            </w:rPr>
            <w:instrText xml:space="preserve"> TOC \o "1-3" \h \z \u </w:instrText>
          </w:r>
          <w:r>
            <w:rPr>
              <w:color w:val="auto"/>
            </w:rPr>
            <w:fldChar w:fldCharType="separate"/>
          </w:r>
          <w:r>
            <w:rPr>
              <w:color w:val="auto"/>
            </w:rPr>
            <w:fldChar w:fldCharType="begin"/>
          </w:r>
          <w:r>
            <w:rPr>
              <w:color w:val="auto"/>
            </w:rPr>
            <w:instrText xml:space="preserve"> HYPERLINK \l _Toc4279 </w:instrText>
          </w:r>
          <w:r>
            <w:rPr>
              <w:color w:val="auto"/>
            </w:rPr>
            <w:fldChar w:fldCharType="separate"/>
          </w:r>
          <w:r>
            <w:rPr>
              <w:rFonts w:hint="eastAsia"/>
              <w:color w:val="auto"/>
            </w:rPr>
            <w:t>1总则</w:t>
          </w:r>
          <w:r>
            <w:rPr>
              <w:color w:val="auto"/>
            </w:rPr>
            <w:tab/>
          </w:r>
          <w:r>
            <w:rPr>
              <w:color w:val="auto"/>
            </w:rPr>
            <w:fldChar w:fldCharType="begin"/>
          </w:r>
          <w:r>
            <w:rPr>
              <w:color w:val="auto"/>
            </w:rPr>
            <w:instrText xml:space="preserve"> PAGEREF _Toc4279 </w:instrText>
          </w:r>
          <w:r>
            <w:rPr>
              <w:color w:val="auto"/>
            </w:rPr>
            <w:fldChar w:fldCharType="separate"/>
          </w:r>
          <w:r>
            <w:rPr>
              <w:color w:val="auto"/>
            </w:rPr>
            <w:t>1</w:t>
          </w:r>
          <w:r>
            <w:rPr>
              <w:color w:val="auto"/>
            </w:rPr>
            <w:fldChar w:fldCharType="end"/>
          </w:r>
          <w:r>
            <w:rPr>
              <w:color w:val="auto"/>
            </w:rPr>
            <w:fldChar w:fldCharType="end"/>
          </w:r>
        </w:p>
        <w:p>
          <w:pPr>
            <w:pStyle w:val="12"/>
            <w:tabs>
              <w:tab w:val="right" w:leader="dot" w:pos="8306"/>
            </w:tabs>
            <w:rPr>
              <w:color w:val="auto"/>
            </w:rPr>
          </w:pPr>
          <w:r>
            <w:rPr>
              <w:bCs/>
              <w:color w:val="auto"/>
              <w:lang w:val="zh-CN"/>
            </w:rPr>
            <w:fldChar w:fldCharType="begin"/>
          </w:r>
          <w:r>
            <w:rPr>
              <w:bCs/>
              <w:color w:val="auto"/>
              <w:lang w:val="zh-CN"/>
            </w:rPr>
            <w:instrText xml:space="preserve"> HYPERLINK \l _Toc18283 </w:instrText>
          </w:r>
          <w:r>
            <w:rPr>
              <w:bCs/>
              <w:color w:val="auto"/>
              <w:lang w:val="zh-CN"/>
            </w:rPr>
            <w:fldChar w:fldCharType="separate"/>
          </w:r>
          <w:r>
            <w:rPr>
              <w:rFonts w:hint="eastAsia"/>
              <w:color w:val="auto"/>
            </w:rPr>
            <w:t>1</w:t>
          </w:r>
          <w:r>
            <w:rPr>
              <w:color w:val="auto"/>
            </w:rPr>
            <w:t>.1</w:t>
          </w:r>
          <w:r>
            <w:rPr>
              <w:rFonts w:hint="eastAsia"/>
              <w:color w:val="auto"/>
            </w:rPr>
            <w:t>编制原则</w:t>
          </w:r>
          <w:r>
            <w:rPr>
              <w:color w:val="auto"/>
            </w:rPr>
            <w:tab/>
          </w:r>
          <w:r>
            <w:rPr>
              <w:color w:val="auto"/>
            </w:rPr>
            <w:fldChar w:fldCharType="begin"/>
          </w:r>
          <w:r>
            <w:rPr>
              <w:color w:val="auto"/>
            </w:rPr>
            <w:instrText xml:space="preserve"> PAGEREF _Toc18283 </w:instrText>
          </w:r>
          <w:r>
            <w:rPr>
              <w:color w:val="auto"/>
            </w:rPr>
            <w:fldChar w:fldCharType="separate"/>
          </w:r>
          <w:r>
            <w:rPr>
              <w:color w:val="auto"/>
            </w:rPr>
            <w:t>1</w:t>
          </w:r>
          <w:r>
            <w:rPr>
              <w:color w:val="auto"/>
            </w:rPr>
            <w:fldChar w:fldCharType="end"/>
          </w:r>
          <w:r>
            <w:rPr>
              <w:bCs/>
              <w:color w:val="auto"/>
              <w:lang w:val="zh-CN"/>
            </w:rPr>
            <w:fldChar w:fldCharType="end"/>
          </w:r>
        </w:p>
        <w:p>
          <w:pPr>
            <w:pStyle w:val="12"/>
            <w:tabs>
              <w:tab w:val="right" w:leader="dot" w:pos="8306"/>
            </w:tabs>
            <w:rPr>
              <w:color w:val="auto"/>
            </w:rPr>
          </w:pPr>
          <w:r>
            <w:rPr>
              <w:bCs/>
              <w:color w:val="auto"/>
              <w:lang w:val="zh-CN"/>
            </w:rPr>
            <w:fldChar w:fldCharType="begin"/>
          </w:r>
          <w:r>
            <w:rPr>
              <w:bCs/>
              <w:color w:val="auto"/>
              <w:lang w:val="zh-CN"/>
            </w:rPr>
            <w:instrText xml:space="preserve"> HYPERLINK \l _Toc13112 </w:instrText>
          </w:r>
          <w:r>
            <w:rPr>
              <w:bCs/>
              <w:color w:val="auto"/>
              <w:lang w:val="zh-CN"/>
            </w:rPr>
            <w:fldChar w:fldCharType="separate"/>
          </w:r>
          <w:r>
            <w:rPr>
              <w:rFonts w:hint="eastAsia"/>
              <w:color w:val="auto"/>
            </w:rPr>
            <w:t>1.</w:t>
          </w:r>
          <w:r>
            <w:rPr>
              <w:color w:val="auto"/>
            </w:rPr>
            <w:t>2</w:t>
          </w:r>
          <w:r>
            <w:rPr>
              <w:rFonts w:hint="eastAsia"/>
              <w:color w:val="auto"/>
            </w:rPr>
            <w:t>编制目的</w:t>
          </w:r>
          <w:r>
            <w:rPr>
              <w:color w:val="auto"/>
            </w:rPr>
            <w:tab/>
          </w:r>
          <w:r>
            <w:rPr>
              <w:color w:val="auto"/>
            </w:rPr>
            <w:fldChar w:fldCharType="begin"/>
          </w:r>
          <w:r>
            <w:rPr>
              <w:color w:val="auto"/>
            </w:rPr>
            <w:instrText xml:space="preserve"> PAGEREF _Toc13112 </w:instrText>
          </w:r>
          <w:r>
            <w:rPr>
              <w:color w:val="auto"/>
            </w:rPr>
            <w:fldChar w:fldCharType="separate"/>
          </w:r>
          <w:r>
            <w:rPr>
              <w:color w:val="auto"/>
            </w:rPr>
            <w:t>1</w:t>
          </w:r>
          <w:r>
            <w:rPr>
              <w:color w:val="auto"/>
            </w:rPr>
            <w:fldChar w:fldCharType="end"/>
          </w:r>
          <w:r>
            <w:rPr>
              <w:bCs/>
              <w:color w:val="auto"/>
              <w:lang w:val="zh-CN"/>
            </w:rPr>
            <w:fldChar w:fldCharType="end"/>
          </w:r>
        </w:p>
        <w:p>
          <w:pPr>
            <w:pStyle w:val="12"/>
            <w:tabs>
              <w:tab w:val="right" w:leader="dot" w:pos="8306"/>
            </w:tabs>
            <w:rPr>
              <w:color w:val="auto"/>
            </w:rPr>
          </w:pPr>
          <w:r>
            <w:rPr>
              <w:bCs/>
              <w:color w:val="auto"/>
              <w:lang w:val="zh-CN"/>
            </w:rPr>
            <w:fldChar w:fldCharType="begin"/>
          </w:r>
          <w:r>
            <w:rPr>
              <w:bCs/>
              <w:color w:val="auto"/>
              <w:lang w:val="zh-CN"/>
            </w:rPr>
            <w:instrText xml:space="preserve"> HYPERLINK \l _Toc19914 </w:instrText>
          </w:r>
          <w:r>
            <w:rPr>
              <w:bCs/>
              <w:color w:val="auto"/>
              <w:lang w:val="zh-CN"/>
            </w:rPr>
            <w:fldChar w:fldCharType="separate"/>
          </w:r>
          <w:r>
            <w:rPr>
              <w:rFonts w:hint="eastAsia"/>
              <w:color w:val="auto"/>
            </w:rPr>
            <w:t>1.</w:t>
          </w:r>
          <w:r>
            <w:rPr>
              <w:color w:val="auto"/>
            </w:rPr>
            <w:t>3</w:t>
          </w:r>
          <w:r>
            <w:rPr>
              <w:rFonts w:hint="eastAsia"/>
              <w:color w:val="auto"/>
            </w:rPr>
            <w:t>编制依据</w:t>
          </w:r>
          <w:r>
            <w:rPr>
              <w:color w:val="auto"/>
            </w:rPr>
            <w:tab/>
          </w:r>
          <w:r>
            <w:rPr>
              <w:color w:val="auto"/>
            </w:rPr>
            <w:fldChar w:fldCharType="begin"/>
          </w:r>
          <w:r>
            <w:rPr>
              <w:color w:val="auto"/>
            </w:rPr>
            <w:instrText xml:space="preserve"> PAGEREF _Toc19914 </w:instrText>
          </w:r>
          <w:r>
            <w:rPr>
              <w:color w:val="auto"/>
            </w:rPr>
            <w:fldChar w:fldCharType="separate"/>
          </w:r>
          <w:r>
            <w:rPr>
              <w:color w:val="auto"/>
            </w:rPr>
            <w:t>1</w:t>
          </w:r>
          <w:r>
            <w:rPr>
              <w:color w:val="auto"/>
            </w:rPr>
            <w:fldChar w:fldCharType="end"/>
          </w:r>
          <w:r>
            <w:rPr>
              <w:bCs/>
              <w:color w:val="auto"/>
              <w:lang w:val="zh-CN"/>
            </w:rPr>
            <w:fldChar w:fldCharType="end"/>
          </w:r>
        </w:p>
        <w:p>
          <w:pPr>
            <w:pStyle w:val="11"/>
            <w:tabs>
              <w:tab w:val="right" w:leader="dot" w:pos="8306"/>
            </w:tabs>
            <w:rPr>
              <w:color w:val="auto"/>
            </w:rPr>
          </w:pPr>
          <w:r>
            <w:rPr>
              <w:bCs/>
              <w:color w:val="auto"/>
              <w:lang w:val="zh-CN"/>
            </w:rPr>
            <w:fldChar w:fldCharType="begin"/>
          </w:r>
          <w:r>
            <w:rPr>
              <w:bCs/>
              <w:color w:val="auto"/>
              <w:lang w:val="zh-CN"/>
            </w:rPr>
            <w:instrText xml:space="preserve"> HYPERLINK \l _Toc31512 </w:instrText>
          </w:r>
          <w:r>
            <w:rPr>
              <w:bCs/>
              <w:color w:val="auto"/>
              <w:lang w:val="zh-CN"/>
            </w:rPr>
            <w:fldChar w:fldCharType="separate"/>
          </w:r>
          <w:r>
            <w:rPr>
              <w:rFonts w:hint="eastAsia"/>
              <w:color w:val="auto"/>
            </w:rPr>
            <w:t>2</w:t>
          </w:r>
          <w:r>
            <w:rPr>
              <w:rFonts w:hint="eastAsia"/>
              <w:color w:val="auto"/>
              <w:lang w:val="en-US" w:eastAsia="zh-CN"/>
            </w:rPr>
            <w:t>加油站基本情况</w:t>
          </w:r>
          <w:r>
            <w:rPr>
              <w:color w:val="auto"/>
            </w:rPr>
            <w:tab/>
          </w:r>
          <w:r>
            <w:rPr>
              <w:color w:val="auto"/>
            </w:rPr>
            <w:fldChar w:fldCharType="begin"/>
          </w:r>
          <w:r>
            <w:rPr>
              <w:color w:val="auto"/>
            </w:rPr>
            <w:instrText xml:space="preserve"> PAGEREF _Toc31512 </w:instrText>
          </w:r>
          <w:r>
            <w:rPr>
              <w:color w:val="auto"/>
            </w:rPr>
            <w:fldChar w:fldCharType="separate"/>
          </w:r>
          <w:r>
            <w:rPr>
              <w:color w:val="auto"/>
            </w:rPr>
            <w:t>4</w:t>
          </w:r>
          <w:r>
            <w:rPr>
              <w:color w:val="auto"/>
            </w:rPr>
            <w:fldChar w:fldCharType="end"/>
          </w:r>
          <w:r>
            <w:rPr>
              <w:bCs/>
              <w:color w:val="auto"/>
              <w:lang w:val="zh-CN"/>
            </w:rPr>
            <w:fldChar w:fldCharType="end"/>
          </w:r>
        </w:p>
        <w:p>
          <w:pPr>
            <w:pStyle w:val="11"/>
            <w:tabs>
              <w:tab w:val="right" w:leader="dot" w:pos="8306"/>
            </w:tabs>
            <w:rPr>
              <w:color w:val="auto"/>
            </w:rPr>
          </w:pPr>
          <w:r>
            <w:rPr>
              <w:bCs/>
              <w:color w:val="auto"/>
              <w:lang w:val="zh-CN"/>
            </w:rPr>
            <w:fldChar w:fldCharType="begin"/>
          </w:r>
          <w:r>
            <w:rPr>
              <w:bCs/>
              <w:color w:val="auto"/>
              <w:lang w:val="zh-CN"/>
            </w:rPr>
            <w:instrText xml:space="preserve"> HYPERLINK \l _Toc30544 </w:instrText>
          </w:r>
          <w:r>
            <w:rPr>
              <w:bCs/>
              <w:color w:val="auto"/>
              <w:lang w:val="zh-CN"/>
            </w:rPr>
            <w:fldChar w:fldCharType="separate"/>
          </w:r>
          <w:r>
            <w:rPr>
              <w:rFonts w:hint="eastAsia"/>
              <w:color w:val="auto"/>
              <w:lang w:val="en-US" w:eastAsia="zh-CN"/>
            </w:rPr>
            <w:t>3危险有害因素分析</w:t>
          </w:r>
          <w:r>
            <w:rPr>
              <w:color w:val="auto"/>
            </w:rPr>
            <w:tab/>
          </w:r>
          <w:r>
            <w:rPr>
              <w:color w:val="auto"/>
            </w:rPr>
            <w:fldChar w:fldCharType="begin"/>
          </w:r>
          <w:r>
            <w:rPr>
              <w:color w:val="auto"/>
            </w:rPr>
            <w:instrText xml:space="preserve"> PAGEREF _Toc30544 </w:instrText>
          </w:r>
          <w:r>
            <w:rPr>
              <w:color w:val="auto"/>
            </w:rPr>
            <w:fldChar w:fldCharType="separate"/>
          </w:r>
          <w:r>
            <w:rPr>
              <w:color w:val="auto"/>
            </w:rPr>
            <w:t>5</w:t>
          </w:r>
          <w:r>
            <w:rPr>
              <w:color w:val="auto"/>
            </w:rPr>
            <w:fldChar w:fldCharType="end"/>
          </w:r>
          <w:r>
            <w:rPr>
              <w:bCs/>
              <w:color w:val="auto"/>
              <w:lang w:val="zh-CN"/>
            </w:rPr>
            <w:fldChar w:fldCharType="end"/>
          </w:r>
        </w:p>
        <w:p>
          <w:pPr>
            <w:pStyle w:val="12"/>
            <w:tabs>
              <w:tab w:val="right" w:leader="dot" w:pos="8306"/>
            </w:tabs>
            <w:rPr>
              <w:color w:val="auto"/>
            </w:rPr>
          </w:pPr>
          <w:r>
            <w:rPr>
              <w:bCs/>
              <w:color w:val="auto"/>
              <w:lang w:val="zh-CN"/>
            </w:rPr>
            <w:fldChar w:fldCharType="begin"/>
          </w:r>
          <w:r>
            <w:rPr>
              <w:bCs/>
              <w:color w:val="auto"/>
              <w:lang w:val="zh-CN"/>
            </w:rPr>
            <w:instrText xml:space="preserve"> HYPERLINK \l _Toc17588 </w:instrText>
          </w:r>
          <w:r>
            <w:rPr>
              <w:bCs/>
              <w:color w:val="auto"/>
              <w:lang w:val="zh-CN"/>
            </w:rPr>
            <w:fldChar w:fldCharType="separate"/>
          </w:r>
          <w:r>
            <w:rPr>
              <w:rFonts w:hint="eastAsia"/>
              <w:color w:val="auto"/>
              <w:lang w:val="en-US" w:eastAsia="zh-CN"/>
            </w:rPr>
            <w:t>3</w:t>
          </w:r>
          <w:r>
            <w:rPr>
              <w:rFonts w:hint="eastAsia"/>
              <w:color w:val="auto"/>
            </w:rPr>
            <w:t>.1物料的危险有害因素分析</w:t>
          </w:r>
          <w:r>
            <w:rPr>
              <w:color w:val="auto"/>
            </w:rPr>
            <w:tab/>
          </w:r>
          <w:r>
            <w:rPr>
              <w:color w:val="auto"/>
            </w:rPr>
            <w:fldChar w:fldCharType="begin"/>
          </w:r>
          <w:r>
            <w:rPr>
              <w:color w:val="auto"/>
            </w:rPr>
            <w:instrText xml:space="preserve"> PAGEREF _Toc17588 </w:instrText>
          </w:r>
          <w:r>
            <w:rPr>
              <w:color w:val="auto"/>
            </w:rPr>
            <w:fldChar w:fldCharType="separate"/>
          </w:r>
          <w:r>
            <w:rPr>
              <w:color w:val="auto"/>
            </w:rPr>
            <w:t>5</w:t>
          </w:r>
          <w:r>
            <w:rPr>
              <w:color w:val="auto"/>
            </w:rPr>
            <w:fldChar w:fldCharType="end"/>
          </w:r>
          <w:r>
            <w:rPr>
              <w:bCs/>
              <w:color w:val="auto"/>
              <w:lang w:val="zh-CN"/>
            </w:rPr>
            <w:fldChar w:fldCharType="end"/>
          </w:r>
        </w:p>
        <w:p>
          <w:pPr>
            <w:pStyle w:val="12"/>
            <w:tabs>
              <w:tab w:val="right" w:leader="dot" w:pos="8306"/>
            </w:tabs>
            <w:rPr>
              <w:color w:val="auto"/>
            </w:rPr>
          </w:pPr>
          <w:r>
            <w:rPr>
              <w:bCs/>
              <w:color w:val="auto"/>
              <w:lang w:val="zh-CN"/>
            </w:rPr>
            <w:fldChar w:fldCharType="begin"/>
          </w:r>
          <w:r>
            <w:rPr>
              <w:bCs/>
              <w:color w:val="auto"/>
              <w:lang w:val="zh-CN"/>
            </w:rPr>
            <w:instrText xml:space="preserve"> HYPERLINK \l _Toc27407 </w:instrText>
          </w:r>
          <w:r>
            <w:rPr>
              <w:bCs/>
              <w:color w:val="auto"/>
              <w:lang w:val="zh-CN"/>
            </w:rPr>
            <w:fldChar w:fldCharType="separate"/>
          </w:r>
          <w:r>
            <w:rPr>
              <w:rFonts w:hint="eastAsia"/>
              <w:color w:val="auto"/>
              <w:lang w:val="en-US" w:eastAsia="zh-CN"/>
            </w:rPr>
            <w:t>3</w:t>
          </w:r>
          <w:r>
            <w:rPr>
              <w:rFonts w:hint="eastAsia"/>
              <w:color w:val="auto"/>
            </w:rPr>
            <w:t>.2</w:t>
          </w:r>
          <w:r>
            <w:rPr>
              <w:rFonts w:hint="eastAsia"/>
              <w:color w:val="auto"/>
              <w:lang w:val="en-US" w:eastAsia="zh-CN"/>
            </w:rPr>
            <w:t>作业过程</w:t>
          </w:r>
          <w:r>
            <w:rPr>
              <w:rFonts w:hint="eastAsia"/>
              <w:color w:val="auto"/>
            </w:rPr>
            <w:t>危险因素分析</w:t>
          </w:r>
          <w:r>
            <w:rPr>
              <w:color w:val="auto"/>
            </w:rPr>
            <w:tab/>
          </w:r>
          <w:r>
            <w:rPr>
              <w:color w:val="auto"/>
            </w:rPr>
            <w:fldChar w:fldCharType="begin"/>
          </w:r>
          <w:r>
            <w:rPr>
              <w:color w:val="auto"/>
            </w:rPr>
            <w:instrText xml:space="preserve"> PAGEREF _Toc27407 </w:instrText>
          </w:r>
          <w:r>
            <w:rPr>
              <w:color w:val="auto"/>
            </w:rPr>
            <w:fldChar w:fldCharType="separate"/>
          </w:r>
          <w:r>
            <w:rPr>
              <w:color w:val="auto"/>
            </w:rPr>
            <w:t>5</w:t>
          </w:r>
          <w:r>
            <w:rPr>
              <w:color w:val="auto"/>
            </w:rPr>
            <w:fldChar w:fldCharType="end"/>
          </w:r>
          <w:r>
            <w:rPr>
              <w:bCs/>
              <w:color w:val="auto"/>
              <w:lang w:val="zh-CN"/>
            </w:rPr>
            <w:fldChar w:fldCharType="end"/>
          </w:r>
        </w:p>
        <w:p>
          <w:pPr>
            <w:pStyle w:val="12"/>
            <w:tabs>
              <w:tab w:val="right" w:leader="dot" w:pos="8306"/>
            </w:tabs>
            <w:rPr>
              <w:color w:val="auto"/>
            </w:rPr>
          </w:pPr>
          <w:r>
            <w:rPr>
              <w:bCs/>
              <w:color w:val="auto"/>
              <w:lang w:val="zh-CN"/>
            </w:rPr>
            <w:fldChar w:fldCharType="begin"/>
          </w:r>
          <w:r>
            <w:rPr>
              <w:bCs/>
              <w:color w:val="auto"/>
              <w:lang w:val="zh-CN"/>
            </w:rPr>
            <w:instrText xml:space="preserve"> HYPERLINK \l _Toc3670 </w:instrText>
          </w:r>
          <w:r>
            <w:rPr>
              <w:bCs/>
              <w:color w:val="auto"/>
              <w:lang w:val="zh-CN"/>
            </w:rPr>
            <w:fldChar w:fldCharType="separate"/>
          </w:r>
          <w:r>
            <w:rPr>
              <w:rFonts w:hint="eastAsia"/>
              <w:color w:val="auto"/>
              <w:lang w:val="en-US" w:eastAsia="zh-CN"/>
            </w:rPr>
            <w:t>3.3主要设备危险有害因素分析</w:t>
          </w:r>
          <w:r>
            <w:rPr>
              <w:color w:val="auto"/>
            </w:rPr>
            <w:tab/>
          </w:r>
          <w:r>
            <w:rPr>
              <w:color w:val="auto"/>
            </w:rPr>
            <w:fldChar w:fldCharType="begin"/>
          </w:r>
          <w:r>
            <w:rPr>
              <w:color w:val="auto"/>
            </w:rPr>
            <w:instrText xml:space="preserve"> PAGEREF _Toc3670 </w:instrText>
          </w:r>
          <w:r>
            <w:rPr>
              <w:color w:val="auto"/>
            </w:rPr>
            <w:fldChar w:fldCharType="separate"/>
          </w:r>
          <w:r>
            <w:rPr>
              <w:color w:val="auto"/>
            </w:rPr>
            <w:t>7</w:t>
          </w:r>
          <w:r>
            <w:rPr>
              <w:color w:val="auto"/>
            </w:rPr>
            <w:fldChar w:fldCharType="end"/>
          </w:r>
          <w:r>
            <w:rPr>
              <w:bCs/>
              <w:color w:val="auto"/>
              <w:lang w:val="zh-CN"/>
            </w:rPr>
            <w:fldChar w:fldCharType="end"/>
          </w:r>
        </w:p>
        <w:p>
          <w:pPr>
            <w:pStyle w:val="12"/>
            <w:tabs>
              <w:tab w:val="right" w:leader="dot" w:pos="8306"/>
            </w:tabs>
            <w:rPr>
              <w:color w:val="auto"/>
            </w:rPr>
          </w:pPr>
          <w:r>
            <w:rPr>
              <w:bCs/>
              <w:color w:val="auto"/>
              <w:lang w:val="zh-CN"/>
            </w:rPr>
            <w:fldChar w:fldCharType="begin"/>
          </w:r>
          <w:r>
            <w:rPr>
              <w:bCs/>
              <w:color w:val="auto"/>
              <w:lang w:val="zh-CN"/>
            </w:rPr>
            <w:instrText xml:space="preserve"> HYPERLINK \l _Toc23463 </w:instrText>
          </w:r>
          <w:r>
            <w:rPr>
              <w:bCs/>
              <w:color w:val="auto"/>
              <w:lang w:val="zh-CN"/>
            </w:rPr>
            <w:fldChar w:fldCharType="separate"/>
          </w:r>
          <w:r>
            <w:rPr>
              <w:rFonts w:hint="eastAsia"/>
              <w:color w:val="auto"/>
              <w:lang w:val="en-US" w:eastAsia="zh-CN"/>
            </w:rPr>
            <w:t>3</w:t>
          </w:r>
          <w:r>
            <w:rPr>
              <w:rFonts w:hint="eastAsia"/>
              <w:color w:val="auto"/>
            </w:rPr>
            <w:t>.</w:t>
          </w:r>
          <w:r>
            <w:rPr>
              <w:rFonts w:hint="eastAsia"/>
              <w:color w:val="auto"/>
              <w:lang w:val="en-US" w:eastAsia="zh-CN"/>
            </w:rPr>
            <w:t>4主要</w:t>
          </w:r>
          <w:r>
            <w:rPr>
              <w:rFonts w:hint="eastAsia"/>
              <w:color w:val="auto"/>
            </w:rPr>
            <w:t>危险有害因素</w:t>
          </w:r>
          <w:r>
            <w:rPr>
              <w:rFonts w:hint="eastAsia"/>
              <w:color w:val="auto"/>
              <w:lang w:val="en-US" w:eastAsia="zh-CN"/>
            </w:rPr>
            <w:t>汇总</w:t>
          </w:r>
          <w:r>
            <w:rPr>
              <w:color w:val="auto"/>
            </w:rPr>
            <w:tab/>
          </w:r>
          <w:r>
            <w:rPr>
              <w:color w:val="auto"/>
            </w:rPr>
            <w:fldChar w:fldCharType="begin"/>
          </w:r>
          <w:r>
            <w:rPr>
              <w:color w:val="auto"/>
            </w:rPr>
            <w:instrText xml:space="preserve"> PAGEREF _Toc23463 </w:instrText>
          </w:r>
          <w:r>
            <w:rPr>
              <w:color w:val="auto"/>
            </w:rPr>
            <w:fldChar w:fldCharType="separate"/>
          </w:r>
          <w:r>
            <w:rPr>
              <w:color w:val="auto"/>
            </w:rPr>
            <w:t>9</w:t>
          </w:r>
          <w:r>
            <w:rPr>
              <w:color w:val="auto"/>
            </w:rPr>
            <w:fldChar w:fldCharType="end"/>
          </w:r>
          <w:r>
            <w:rPr>
              <w:bCs/>
              <w:color w:val="auto"/>
              <w:lang w:val="zh-CN"/>
            </w:rPr>
            <w:fldChar w:fldCharType="end"/>
          </w:r>
        </w:p>
        <w:p>
          <w:pPr>
            <w:pStyle w:val="12"/>
            <w:tabs>
              <w:tab w:val="right" w:leader="dot" w:pos="8306"/>
            </w:tabs>
            <w:rPr>
              <w:color w:val="auto"/>
            </w:rPr>
          </w:pPr>
          <w:r>
            <w:rPr>
              <w:bCs/>
              <w:color w:val="auto"/>
              <w:lang w:val="zh-CN"/>
            </w:rPr>
            <w:fldChar w:fldCharType="begin"/>
          </w:r>
          <w:r>
            <w:rPr>
              <w:bCs/>
              <w:color w:val="auto"/>
              <w:lang w:val="zh-CN"/>
            </w:rPr>
            <w:instrText xml:space="preserve"> HYPERLINK \l _Toc8116 </w:instrText>
          </w:r>
          <w:r>
            <w:rPr>
              <w:bCs/>
              <w:color w:val="auto"/>
              <w:lang w:val="zh-CN"/>
            </w:rPr>
            <w:fldChar w:fldCharType="separate"/>
          </w:r>
          <w:r>
            <w:rPr>
              <w:rFonts w:hint="eastAsia"/>
              <w:color w:val="auto"/>
              <w:lang w:val="en-US" w:eastAsia="zh-CN"/>
            </w:rPr>
            <w:t>3.5</w:t>
          </w:r>
          <w:r>
            <w:rPr>
              <w:rFonts w:hint="eastAsia"/>
              <w:color w:val="auto"/>
            </w:rPr>
            <w:t>危险化学品重大危险源辨识</w:t>
          </w:r>
          <w:r>
            <w:rPr>
              <w:color w:val="auto"/>
            </w:rPr>
            <w:tab/>
          </w:r>
          <w:r>
            <w:rPr>
              <w:color w:val="auto"/>
            </w:rPr>
            <w:fldChar w:fldCharType="begin"/>
          </w:r>
          <w:r>
            <w:rPr>
              <w:color w:val="auto"/>
            </w:rPr>
            <w:instrText xml:space="preserve"> PAGEREF _Toc8116 </w:instrText>
          </w:r>
          <w:r>
            <w:rPr>
              <w:color w:val="auto"/>
            </w:rPr>
            <w:fldChar w:fldCharType="separate"/>
          </w:r>
          <w:r>
            <w:rPr>
              <w:color w:val="auto"/>
            </w:rPr>
            <w:t>12</w:t>
          </w:r>
          <w:r>
            <w:rPr>
              <w:color w:val="auto"/>
            </w:rPr>
            <w:fldChar w:fldCharType="end"/>
          </w:r>
          <w:r>
            <w:rPr>
              <w:bCs/>
              <w:color w:val="auto"/>
              <w:lang w:val="zh-CN"/>
            </w:rPr>
            <w:fldChar w:fldCharType="end"/>
          </w:r>
        </w:p>
        <w:p>
          <w:pPr>
            <w:pStyle w:val="11"/>
            <w:tabs>
              <w:tab w:val="right" w:leader="dot" w:pos="8306"/>
            </w:tabs>
            <w:rPr>
              <w:color w:val="auto"/>
            </w:rPr>
          </w:pPr>
          <w:r>
            <w:rPr>
              <w:bCs/>
              <w:color w:val="auto"/>
              <w:lang w:val="zh-CN"/>
            </w:rPr>
            <w:fldChar w:fldCharType="begin"/>
          </w:r>
          <w:r>
            <w:rPr>
              <w:bCs/>
              <w:color w:val="auto"/>
              <w:lang w:val="zh-CN"/>
            </w:rPr>
            <w:instrText xml:space="preserve"> HYPERLINK \l _Toc6976 </w:instrText>
          </w:r>
          <w:r>
            <w:rPr>
              <w:bCs/>
              <w:color w:val="auto"/>
              <w:lang w:val="zh-CN"/>
            </w:rPr>
            <w:fldChar w:fldCharType="separate"/>
          </w:r>
          <w:r>
            <w:rPr>
              <w:rFonts w:hint="eastAsia"/>
              <w:color w:val="auto"/>
              <w:lang w:val="en-US" w:eastAsia="zh-CN"/>
            </w:rPr>
            <w:t>4</w:t>
          </w:r>
          <w:r>
            <w:rPr>
              <w:color w:val="auto"/>
            </w:rPr>
            <w:t>事故发生的可能性</w:t>
          </w:r>
          <w:r>
            <w:rPr>
              <w:rFonts w:hint="eastAsia"/>
              <w:color w:val="auto"/>
              <w:lang w:eastAsia="zh-CN"/>
            </w:rPr>
            <w:t>、</w:t>
          </w:r>
          <w:r>
            <w:rPr>
              <w:color w:val="auto"/>
            </w:rPr>
            <w:t>严重程度及影响范围</w:t>
          </w:r>
          <w:r>
            <w:rPr>
              <w:color w:val="auto"/>
            </w:rPr>
            <w:tab/>
          </w:r>
          <w:r>
            <w:rPr>
              <w:color w:val="auto"/>
            </w:rPr>
            <w:fldChar w:fldCharType="begin"/>
          </w:r>
          <w:r>
            <w:rPr>
              <w:color w:val="auto"/>
            </w:rPr>
            <w:instrText xml:space="preserve"> PAGEREF _Toc6976 </w:instrText>
          </w:r>
          <w:r>
            <w:rPr>
              <w:color w:val="auto"/>
            </w:rPr>
            <w:fldChar w:fldCharType="separate"/>
          </w:r>
          <w:r>
            <w:rPr>
              <w:color w:val="auto"/>
            </w:rPr>
            <w:t>14</w:t>
          </w:r>
          <w:r>
            <w:rPr>
              <w:color w:val="auto"/>
            </w:rPr>
            <w:fldChar w:fldCharType="end"/>
          </w:r>
          <w:r>
            <w:rPr>
              <w:bCs/>
              <w:color w:val="auto"/>
              <w:lang w:val="zh-CN"/>
            </w:rPr>
            <w:fldChar w:fldCharType="end"/>
          </w:r>
        </w:p>
        <w:p>
          <w:pPr>
            <w:pStyle w:val="11"/>
            <w:tabs>
              <w:tab w:val="right" w:leader="dot" w:pos="8306"/>
            </w:tabs>
            <w:rPr>
              <w:color w:val="auto"/>
            </w:rPr>
          </w:pPr>
          <w:r>
            <w:rPr>
              <w:bCs/>
              <w:color w:val="auto"/>
              <w:lang w:val="zh-CN"/>
            </w:rPr>
            <w:fldChar w:fldCharType="begin"/>
          </w:r>
          <w:r>
            <w:rPr>
              <w:bCs/>
              <w:color w:val="auto"/>
              <w:lang w:val="zh-CN"/>
            </w:rPr>
            <w:instrText xml:space="preserve"> HYPERLINK \l _Toc11893 </w:instrText>
          </w:r>
          <w:r>
            <w:rPr>
              <w:bCs/>
              <w:color w:val="auto"/>
              <w:lang w:val="zh-CN"/>
            </w:rPr>
            <w:fldChar w:fldCharType="separate"/>
          </w:r>
          <w:r>
            <w:rPr>
              <w:rFonts w:hint="eastAsia"/>
              <w:color w:val="auto"/>
              <w:lang w:val="en-US" w:eastAsia="zh-CN"/>
            </w:rPr>
            <w:t>5</w:t>
          </w:r>
          <w:r>
            <w:rPr>
              <w:rFonts w:hint="eastAsia"/>
              <w:color w:val="auto"/>
            </w:rPr>
            <w:t>安全对策</w:t>
          </w:r>
          <w:r>
            <w:rPr>
              <w:color w:val="auto"/>
            </w:rPr>
            <w:t>措施</w:t>
          </w:r>
          <w:r>
            <w:rPr>
              <w:color w:val="auto"/>
            </w:rPr>
            <w:tab/>
          </w:r>
          <w:r>
            <w:rPr>
              <w:color w:val="auto"/>
            </w:rPr>
            <w:fldChar w:fldCharType="begin"/>
          </w:r>
          <w:r>
            <w:rPr>
              <w:color w:val="auto"/>
            </w:rPr>
            <w:instrText xml:space="preserve"> PAGEREF _Toc11893 </w:instrText>
          </w:r>
          <w:r>
            <w:rPr>
              <w:color w:val="auto"/>
            </w:rPr>
            <w:fldChar w:fldCharType="separate"/>
          </w:r>
          <w:r>
            <w:rPr>
              <w:color w:val="auto"/>
            </w:rPr>
            <w:t>19</w:t>
          </w:r>
          <w:r>
            <w:rPr>
              <w:color w:val="auto"/>
            </w:rPr>
            <w:fldChar w:fldCharType="end"/>
          </w:r>
          <w:r>
            <w:rPr>
              <w:bCs/>
              <w:color w:val="auto"/>
              <w:lang w:val="zh-CN"/>
            </w:rPr>
            <w:fldChar w:fldCharType="end"/>
          </w:r>
        </w:p>
        <w:p>
          <w:pPr>
            <w:pStyle w:val="12"/>
            <w:tabs>
              <w:tab w:val="right" w:leader="dot" w:pos="8306"/>
            </w:tabs>
            <w:rPr>
              <w:color w:val="auto"/>
            </w:rPr>
          </w:pPr>
          <w:r>
            <w:rPr>
              <w:bCs/>
              <w:color w:val="auto"/>
              <w:lang w:val="zh-CN"/>
            </w:rPr>
            <w:fldChar w:fldCharType="begin"/>
          </w:r>
          <w:r>
            <w:rPr>
              <w:bCs/>
              <w:color w:val="auto"/>
              <w:lang w:val="zh-CN"/>
            </w:rPr>
            <w:instrText xml:space="preserve"> HYPERLINK \l _Toc3195 </w:instrText>
          </w:r>
          <w:r>
            <w:rPr>
              <w:bCs/>
              <w:color w:val="auto"/>
              <w:lang w:val="zh-CN"/>
            </w:rPr>
            <w:fldChar w:fldCharType="separate"/>
          </w:r>
          <w:r>
            <w:rPr>
              <w:rFonts w:hint="eastAsia"/>
              <w:color w:val="auto"/>
              <w:lang w:val="en-US" w:eastAsia="zh-CN"/>
            </w:rPr>
            <w:t>5</w:t>
          </w:r>
          <w:r>
            <w:rPr>
              <w:rFonts w:hint="eastAsia"/>
              <w:color w:val="auto"/>
            </w:rPr>
            <w:t>.1安全管理的对策措施</w:t>
          </w:r>
          <w:r>
            <w:rPr>
              <w:color w:val="auto"/>
            </w:rPr>
            <w:tab/>
          </w:r>
          <w:r>
            <w:rPr>
              <w:color w:val="auto"/>
            </w:rPr>
            <w:fldChar w:fldCharType="begin"/>
          </w:r>
          <w:r>
            <w:rPr>
              <w:color w:val="auto"/>
            </w:rPr>
            <w:instrText xml:space="preserve"> PAGEREF _Toc3195 </w:instrText>
          </w:r>
          <w:r>
            <w:rPr>
              <w:color w:val="auto"/>
            </w:rPr>
            <w:fldChar w:fldCharType="separate"/>
          </w:r>
          <w:r>
            <w:rPr>
              <w:color w:val="auto"/>
            </w:rPr>
            <w:t>19</w:t>
          </w:r>
          <w:r>
            <w:rPr>
              <w:color w:val="auto"/>
            </w:rPr>
            <w:fldChar w:fldCharType="end"/>
          </w:r>
          <w:r>
            <w:rPr>
              <w:bCs/>
              <w:color w:val="auto"/>
              <w:lang w:val="zh-CN"/>
            </w:rPr>
            <w:fldChar w:fldCharType="end"/>
          </w:r>
        </w:p>
        <w:p>
          <w:pPr>
            <w:pStyle w:val="12"/>
            <w:tabs>
              <w:tab w:val="right" w:leader="dot" w:pos="8306"/>
            </w:tabs>
            <w:rPr>
              <w:color w:val="auto"/>
            </w:rPr>
          </w:pPr>
          <w:r>
            <w:rPr>
              <w:bCs/>
              <w:color w:val="auto"/>
              <w:lang w:val="zh-CN"/>
            </w:rPr>
            <w:fldChar w:fldCharType="begin"/>
          </w:r>
          <w:r>
            <w:rPr>
              <w:bCs/>
              <w:color w:val="auto"/>
              <w:lang w:val="zh-CN"/>
            </w:rPr>
            <w:instrText xml:space="preserve"> HYPERLINK \l _Toc28647 </w:instrText>
          </w:r>
          <w:r>
            <w:rPr>
              <w:bCs/>
              <w:color w:val="auto"/>
              <w:lang w:val="zh-CN"/>
            </w:rPr>
            <w:fldChar w:fldCharType="separate"/>
          </w:r>
          <w:r>
            <w:rPr>
              <w:rFonts w:hint="eastAsia"/>
              <w:color w:val="auto"/>
              <w:lang w:val="en-US" w:eastAsia="zh-CN"/>
            </w:rPr>
            <w:t>5</w:t>
          </w:r>
          <w:r>
            <w:rPr>
              <w:rFonts w:hint="eastAsia"/>
              <w:color w:val="auto"/>
            </w:rPr>
            <w:t>.2安全技术对策措施</w:t>
          </w:r>
          <w:r>
            <w:rPr>
              <w:color w:val="auto"/>
            </w:rPr>
            <w:tab/>
          </w:r>
          <w:r>
            <w:rPr>
              <w:color w:val="auto"/>
            </w:rPr>
            <w:fldChar w:fldCharType="begin"/>
          </w:r>
          <w:r>
            <w:rPr>
              <w:color w:val="auto"/>
            </w:rPr>
            <w:instrText xml:space="preserve"> PAGEREF _Toc28647 </w:instrText>
          </w:r>
          <w:r>
            <w:rPr>
              <w:color w:val="auto"/>
            </w:rPr>
            <w:fldChar w:fldCharType="separate"/>
          </w:r>
          <w:r>
            <w:rPr>
              <w:color w:val="auto"/>
            </w:rPr>
            <w:t>22</w:t>
          </w:r>
          <w:r>
            <w:rPr>
              <w:color w:val="auto"/>
            </w:rPr>
            <w:fldChar w:fldCharType="end"/>
          </w:r>
          <w:r>
            <w:rPr>
              <w:bCs/>
              <w:color w:val="auto"/>
              <w:lang w:val="zh-CN"/>
            </w:rPr>
            <w:fldChar w:fldCharType="end"/>
          </w:r>
        </w:p>
        <w:p>
          <w:pPr>
            <w:pStyle w:val="11"/>
            <w:tabs>
              <w:tab w:val="right" w:leader="dot" w:pos="8306"/>
            </w:tabs>
            <w:rPr>
              <w:color w:val="auto"/>
            </w:rPr>
          </w:pPr>
          <w:r>
            <w:rPr>
              <w:bCs/>
              <w:color w:val="auto"/>
              <w:lang w:val="zh-CN"/>
            </w:rPr>
            <w:fldChar w:fldCharType="begin"/>
          </w:r>
          <w:r>
            <w:rPr>
              <w:bCs/>
              <w:color w:val="auto"/>
              <w:lang w:val="zh-CN"/>
            </w:rPr>
            <w:instrText xml:space="preserve"> HYPERLINK \l _Toc16347 </w:instrText>
          </w:r>
          <w:r>
            <w:rPr>
              <w:bCs/>
              <w:color w:val="auto"/>
              <w:lang w:val="zh-CN"/>
            </w:rPr>
            <w:fldChar w:fldCharType="separate"/>
          </w:r>
          <w:r>
            <w:rPr>
              <w:rFonts w:hint="eastAsia"/>
              <w:color w:val="auto"/>
              <w:lang w:val="en-US" w:eastAsia="zh-CN"/>
            </w:rPr>
            <w:t>6</w:t>
          </w:r>
          <w:r>
            <w:rPr>
              <w:color w:val="auto"/>
            </w:rPr>
            <w:t>事故风险辨识、评估结果</w:t>
          </w:r>
          <w:r>
            <w:rPr>
              <w:color w:val="auto"/>
            </w:rPr>
            <w:tab/>
          </w:r>
          <w:r>
            <w:rPr>
              <w:color w:val="auto"/>
            </w:rPr>
            <w:fldChar w:fldCharType="begin"/>
          </w:r>
          <w:r>
            <w:rPr>
              <w:color w:val="auto"/>
            </w:rPr>
            <w:instrText xml:space="preserve"> PAGEREF _Toc16347 </w:instrText>
          </w:r>
          <w:r>
            <w:rPr>
              <w:color w:val="auto"/>
            </w:rPr>
            <w:fldChar w:fldCharType="separate"/>
          </w:r>
          <w:r>
            <w:rPr>
              <w:color w:val="auto"/>
            </w:rPr>
            <w:t>29</w:t>
          </w:r>
          <w:r>
            <w:rPr>
              <w:color w:val="auto"/>
            </w:rPr>
            <w:fldChar w:fldCharType="end"/>
          </w:r>
          <w:r>
            <w:rPr>
              <w:bCs/>
              <w:color w:val="auto"/>
              <w:lang w:val="zh-CN"/>
            </w:rPr>
            <w:fldChar w:fldCharType="end"/>
          </w:r>
        </w:p>
        <w:p>
          <w:pPr>
            <w:ind w:firstLine="480"/>
            <w:rPr>
              <w:color w:val="auto"/>
              <w:lang w:val="zh-CN"/>
            </w:rPr>
          </w:pPr>
          <w:r>
            <w:rPr>
              <w:bCs/>
              <w:color w:val="auto"/>
              <w:lang w:val="zh-CN"/>
            </w:rPr>
            <w:fldChar w:fldCharType="end"/>
          </w:r>
        </w:p>
      </w:sdtContent>
    </w:sdt>
    <w:p>
      <w:pPr>
        <w:bidi w:val="0"/>
        <w:rPr>
          <w:rFonts w:eastAsia="宋体" w:asciiTheme="minorHAnsi" w:hAnsiTheme="minorHAnsi" w:cstheme="minorBidi"/>
          <w:color w:val="auto"/>
          <w:kern w:val="2"/>
          <w:sz w:val="24"/>
          <w:szCs w:val="22"/>
          <w:lang w:val="en-US" w:eastAsia="zh-CN" w:bidi="ar-SA"/>
        </w:rPr>
      </w:pPr>
    </w:p>
    <w:p>
      <w:pPr>
        <w:bidi w:val="0"/>
        <w:rPr>
          <w:color w:val="auto"/>
          <w:lang w:val="en-US" w:eastAsia="zh-CN"/>
        </w:rPr>
      </w:pPr>
    </w:p>
    <w:p>
      <w:pPr>
        <w:bidi w:val="0"/>
        <w:rPr>
          <w:color w:val="auto"/>
          <w:lang w:val="en-US" w:eastAsia="zh-CN"/>
        </w:rPr>
      </w:pPr>
    </w:p>
    <w:p>
      <w:pPr>
        <w:tabs>
          <w:tab w:val="left" w:pos="1701"/>
        </w:tabs>
        <w:bidi w:val="0"/>
        <w:jc w:val="left"/>
        <w:rPr>
          <w:rFonts w:hint="eastAsia"/>
          <w:color w:val="auto"/>
          <w:lang w:val="en-US" w:eastAsia="zh-CN"/>
        </w:rPr>
      </w:pPr>
      <w:r>
        <w:rPr>
          <w:rFonts w:hint="eastAsia"/>
          <w:color w:val="auto"/>
          <w:lang w:val="en-US" w:eastAsia="zh-CN"/>
        </w:rPr>
        <w:tab/>
      </w:r>
    </w:p>
    <w:p>
      <w:pPr>
        <w:rPr>
          <w:rFonts w:hint="eastAsia"/>
          <w:color w:val="auto"/>
          <w:lang w:val="en-US" w:eastAsia="zh-CN"/>
        </w:rPr>
      </w:pPr>
      <w:r>
        <w:rPr>
          <w:rFonts w:hint="eastAsia"/>
          <w:color w:val="auto"/>
          <w:lang w:val="en-US" w:eastAsia="zh-CN"/>
        </w:rPr>
        <w:br w:type="page"/>
      </w:r>
    </w:p>
    <w:p>
      <w:pPr>
        <w:pStyle w:val="2"/>
        <w:rPr>
          <w:color w:val="auto"/>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850" w:gutter="0"/>
          <w:pgNumType w:fmt="upperRoman" w:start="1"/>
          <w:cols w:space="425" w:num="1"/>
          <w:docGrid w:type="lines" w:linePitch="326" w:charSpace="0"/>
        </w:sectPr>
      </w:pPr>
    </w:p>
    <w:p>
      <w:pPr>
        <w:pStyle w:val="3"/>
        <w:spacing w:after="97"/>
        <w:ind w:firstLine="643"/>
        <w:rPr>
          <w:color w:val="auto"/>
        </w:rPr>
      </w:pPr>
      <w:bookmarkStart w:id="0" w:name="_Toc4279"/>
      <w:r>
        <w:rPr>
          <w:rFonts w:hint="eastAsia"/>
          <w:color w:val="auto"/>
        </w:rPr>
        <w:t>1总则</w:t>
      </w:r>
      <w:bookmarkEnd w:id="0"/>
    </w:p>
    <w:p>
      <w:pPr>
        <w:pStyle w:val="4"/>
        <w:spacing w:after="65"/>
        <w:rPr>
          <w:color w:val="auto"/>
        </w:rPr>
      </w:pPr>
      <w:bookmarkStart w:id="1" w:name="_Toc26257685"/>
      <w:bookmarkStart w:id="2" w:name="_Toc18283"/>
      <w:r>
        <w:rPr>
          <w:rFonts w:hint="eastAsia"/>
          <w:color w:val="auto"/>
        </w:rPr>
        <w:t>1</w:t>
      </w:r>
      <w:r>
        <w:rPr>
          <w:color w:val="auto"/>
        </w:rPr>
        <w:t>.1</w:t>
      </w:r>
      <w:r>
        <w:rPr>
          <w:rFonts w:hint="eastAsia"/>
          <w:color w:val="auto"/>
        </w:rPr>
        <w:t>编制原则</w:t>
      </w:r>
      <w:bookmarkEnd w:id="1"/>
      <w:bookmarkEnd w:id="2"/>
    </w:p>
    <w:p>
      <w:pPr>
        <w:ind w:firstLine="480"/>
        <w:rPr>
          <w:color w:val="auto"/>
          <w:sz w:val="28"/>
          <w:szCs w:val="28"/>
        </w:rPr>
      </w:pPr>
      <w:r>
        <w:rPr>
          <w:rFonts w:hint="eastAsia"/>
          <w:color w:val="auto"/>
          <w:sz w:val="28"/>
          <w:szCs w:val="28"/>
        </w:rPr>
        <w:t>针对我站经营过程中存在的主要危险、有害因素和我站安全生产管理情况，结合可能发生的事故情景，对我站现有事故风险防控与应急措施在事故救援过程中控制事故危害后果和影响范围的效果进行分析评估，确定现有控制及应急措施的差距，完善生产安全事故风险防控和应急措施，从而降低我单位发生生产安全事故的可能性，提高我</w:t>
      </w:r>
      <w:r>
        <w:rPr>
          <w:rFonts w:hint="eastAsia"/>
          <w:color w:val="auto"/>
          <w:sz w:val="28"/>
          <w:szCs w:val="28"/>
          <w:lang w:val="en-US" w:eastAsia="zh-CN"/>
        </w:rPr>
        <w:t>站</w:t>
      </w:r>
      <w:r>
        <w:rPr>
          <w:rFonts w:hint="eastAsia"/>
          <w:color w:val="auto"/>
          <w:sz w:val="28"/>
          <w:szCs w:val="28"/>
        </w:rPr>
        <w:t>在事故救援过程中的应急处置能力，将损失降到最低。</w:t>
      </w:r>
    </w:p>
    <w:p>
      <w:pPr>
        <w:pStyle w:val="4"/>
        <w:spacing w:after="65"/>
        <w:rPr>
          <w:color w:val="auto"/>
        </w:rPr>
      </w:pPr>
      <w:bookmarkStart w:id="3" w:name="_Toc13112"/>
      <w:r>
        <w:rPr>
          <w:rFonts w:hint="eastAsia"/>
          <w:color w:val="auto"/>
        </w:rPr>
        <w:t>1.</w:t>
      </w:r>
      <w:r>
        <w:rPr>
          <w:color w:val="auto"/>
        </w:rPr>
        <w:t>2</w:t>
      </w:r>
      <w:r>
        <w:rPr>
          <w:rFonts w:hint="eastAsia"/>
          <w:color w:val="auto"/>
        </w:rPr>
        <w:t>编制目的</w:t>
      </w:r>
      <w:bookmarkEnd w:id="3"/>
    </w:p>
    <w:p>
      <w:pPr>
        <w:ind w:firstLine="480"/>
        <w:rPr>
          <w:rFonts w:hint="eastAsia"/>
          <w:color w:val="auto"/>
          <w:sz w:val="28"/>
          <w:szCs w:val="28"/>
        </w:rPr>
      </w:pPr>
      <w:r>
        <w:rPr>
          <w:rFonts w:hint="eastAsia"/>
          <w:color w:val="auto"/>
          <w:sz w:val="28"/>
          <w:szCs w:val="28"/>
        </w:rPr>
        <w:t>根据中华人民共和国应急管理部令（第2号）应急管理部关于修改《生产安全事故应急预案管理办法》的决定，编制应急预案前，编制单位应当进行事故风险辨识、评估。</w:t>
      </w:r>
    </w:p>
    <w:p>
      <w:pPr>
        <w:ind w:firstLine="480"/>
        <w:rPr>
          <w:rFonts w:hint="eastAsia"/>
          <w:color w:val="auto"/>
          <w:sz w:val="28"/>
          <w:szCs w:val="28"/>
        </w:rPr>
      </w:pPr>
      <w:r>
        <w:rPr>
          <w:rFonts w:hint="eastAsia"/>
          <w:color w:val="auto"/>
          <w:sz w:val="28"/>
          <w:szCs w:val="28"/>
        </w:rPr>
        <w:t>事故风险辨识、评估，是指针对不同事故种类及特点，识别存在的危险有害因素，分析事故可能产生的直接后果以及次生、衍生后果，评估各种后果的危害程度和影响范围，提出防范和控制事故风险措施的过程。</w:t>
      </w:r>
    </w:p>
    <w:p>
      <w:pPr>
        <w:pStyle w:val="4"/>
        <w:spacing w:after="65"/>
        <w:rPr>
          <w:color w:val="auto"/>
        </w:rPr>
      </w:pPr>
      <w:bookmarkStart w:id="4" w:name="_Toc19914"/>
      <w:r>
        <w:rPr>
          <w:rFonts w:hint="eastAsia"/>
          <w:color w:val="auto"/>
        </w:rPr>
        <w:t>1.</w:t>
      </w:r>
      <w:r>
        <w:rPr>
          <w:color w:val="auto"/>
        </w:rPr>
        <w:t>3</w:t>
      </w:r>
      <w:r>
        <w:rPr>
          <w:rFonts w:hint="eastAsia"/>
          <w:color w:val="auto"/>
        </w:rPr>
        <w:t>编制依据</w:t>
      </w:r>
      <w:bookmarkEnd w:id="4"/>
    </w:p>
    <w:p>
      <w:pPr>
        <w:ind w:firstLine="480"/>
        <w:rPr>
          <w:rFonts w:hint="eastAsia"/>
          <w:color w:val="auto"/>
          <w:sz w:val="28"/>
          <w:szCs w:val="28"/>
        </w:rPr>
      </w:pPr>
      <w:r>
        <w:rPr>
          <w:rFonts w:hint="eastAsia"/>
          <w:color w:val="auto"/>
          <w:sz w:val="28"/>
          <w:szCs w:val="28"/>
        </w:rPr>
        <w:t>1、法律法规</w:t>
      </w:r>
    </w:p>
    <w:p>
      <w:pPr>
        <w:ind w:firstLine="480"/>
        <w:rPr>
          <w:rFonts w:hint="eastAsia"/>
          <w:color w:val="auto"/>
          <w:sz w:val="28"/>
          <w:szCs w:val="28"/>
        </w:rPr>
      </w:pPr>
      <w:r>
        <w:rPr>
          <w:rFonts w:hint="eastAsia"/>
          <w:color w:val="auto"/>
          <w:sz w:val="28"/>
          <w:szCs w:val="28"/>
        </w:rPr>
        <w:t>（1）《中华人民共和国安全生产法》（国家主席令[2014]第13号发布）</w:t>
      </w:r>
    </w:p>
    <w:p>
      <w:pPr>
        <w:ind w:firstLine="480"/>
        <w:rPr>
          <w:rFonts w:hint="eastAsia"/>
          <w:color w:val="auto"/>
          <w:sz w:val="28"/>
          <w:szCs w:val="28"/>
        </w:rPr>
      </w:pPr>
      <w:r>
        <w:rPr>
          <w:rFonts w:hint="eastAsia"/>
          <w:color w:val="auto"/>
          <w:sz w:val="28"/>
          <w:szCs w:val="28"/>
        </w:rPr>
        <w:t>（2）《中华人民共和国消防法（2019年修订）》（国家主席令[2008]第29号发布）</w:t>
      </w:r>
    </w:p>
    <w:p>
      <w:pPr>
        <w:ind w:firstLine="480"/>
        <w:rPr>
          <w:rFonts w:hint="eastAsia"/>
          <w:color w:val="auto"/>
          <w:sz w:val="28"/>
          <w:szCs w:val="28"/>
        </w:rPr>
      </w:pPr>
      <w:r>
        <w:rPr>
          <w:rFonts w:hint="eastAsia"/>
          <w:color w:val="auto"/>
          <w:sz w:val="28"/>
          <w:szCs w:val="28"/>
        </w:rPr>
        <w:t>（3）《中华人民共和国环境保护法》（国家主席令第9号）</w:t>
      </w:r>
    </w:p>
    <w:p>
      <w:pPr>
        <w:ind w:firstLine="480"/>
        <w:rPr>
          <w:rFonts w:hint="eastAsia"/>
          <w:color w:val="auto"/>
          <w:sz w:val="28"/>
          <w:szCs w:val="28"/>
        </w:rPr>
      </w:pPr>
      <w:r>
        <w:rPr>
          <w:rFonts w:hint="eastAsia"/>
          <w:color w:val="auto"/>
          <w:sz w:val="28"/>
          <w:szCs w:val="28"/>
        </w:rPr>
        <w:t>（4）《危险化学品安全管理条例》（国务院令[2013]第645号修订发布）</w:t>
      </w:r>
    </w:p>
    <w:p>
      <w:pPr>
        <w:ind w:firstLine="480"/>
        <w:rPr>
          <w:rFonts w:hint="eastAsia"/>
          <w:color w:val="auto"/>
          <w:sz w:val="28"/>
          <w:szCs w:val="28"/>
        </w:rPr>
      </w:pPr>
      <w:r>
        <w:rPr>
          <w:rFonts w:hint="eastAsia"/>
          <w:color w:val="auto"/>
          <w:sz w:val="28"/>
          <w:szCs w:val="28"/>
          <w:lang w:val="zh-CN"/>
        </w:rPr>
        <w:t>（</w:t>
      </w:r>
      <w:r>
        <w:rPr>
          <w:rFonts w:hint="eastAsia"/>
          <w:color w:val="auto"/>
          <w:sz w:val="28"/>
          <w:szCs w:val="28"/>
        </w:rPr>
        <w:t>5</w:t>
      </w:r>
      <w:r>
        <w:rPr>
          <w:rFonts w:hint="eastAsia"/>
          <w:color w:val="auto"/>
          <w:sz w:val="28"/>
          <w:szCs w:val="28"/>
          <w:lang w:val="zh-CN"/>
        </w:rPr>
        <w:t>）</w:t>
      </w:r>
      <w:r>
        <w:rPr>
          <w:rFonts w:hint="eastAsia"/>
          <w:color w:val="auto"/>
          <w:sz w:val="28"/>
          <w:szCs w:val="28"/>
        </w:rPr>
        <w:t>《生产安全事故报告和调查处理条例》（国务院令[2007]第493号发布）</w:t>
      </w:r>
    </w:p>
    <w:p>
      <w:pPr>
        <w:ind w:firstLine="480"/>
        <w:rPr>
          <w:rFonts w:hint="eastAsia"/>
          <w:color w:val="auto"/>
          <w:sz w:val="28"/>
          <w:szCs w:val="28"/>
        </w:rPr>
      </w:pPr>
      <w:r>
        <w:rPr>
          <w:rFonts w:hint="eastAsia"/>
          <w:color w:val="auto"/>
          <w:sz w:val="28"/>
          <w:szCs w:val="28"/>
          <w:lang w:val="zh-CN"/>
        </w:rPr>
        <w:t>（</w:t>
      </w:r>
      <w:r>
        <w:rPr>
          <w:rFonts w:hint="eastAsia"/>
          <w:color w:val="auto"/>
          <w:sz w:val="28"/>
          <w:szCs w:val="28"/>
        </w:rPr>
        <w:t>6</w:t>
      </w:r>
      <w:r>
        <w:rPr>
          <w:rFonts w:hint="eastAsia"/>
          <w:color w:val="auto"/>
          <w:sz w:val="28"/>
          <w:szCs w:val="28"/>
          <w:lang w:val="zh-CN"/>
        </w:rPr>
        <w:t>）</w:t>
      </w:r>
      <w:r>
        <w:rPr>
          <w:rFonts w:hint="eastAsia"/>
          <w:color w:val="auto"/>
          <w:sz w:val="28"/>
          <w:szCs w:val="28"/>
        </w:rPr>
        <w:t>《危险化学品目录（2015版）》（原国家安全监管总局、工业和信息化部、公安部、环境保护部等10部委局联合公告[2015]第5号）</w:t>
      </w:r>
    </w:p>
    <w:p>
      <w:pPr>
        <w:ind w:firstLine="480"/>
        <w:rPr>
          <w:rFonts w:hint="eastAsia"/>
          <w:color w:val="auto"/>
          <w:sz w:val="28"/>
          <w:szCs w:val="28"/>
        </w:rPr>
      </w:pPr>
      <w:r>
        <w:rPr>
          <w:rFonts w:hint="eastAsia"/>
          <w:color w:val="auto"/>
          <w:sz w:val="28"/>
          <w:szCs w:val="28"/>
        </w:rPr>
        <w:t>2、部门规章及地方性法规</w:t>
      </w:r>
    </w:p>
    <w:p>
      <w:pPr>
        <w:ind w:firstLine="480"/>
        <w:rPr>
          <w:rFonts w:hint="eastAsia"/>
          <w:color w:val="auto"/>
          <w:sz w:val="28"/>
          <w:szCs w:val="28"/>
        </w:rPr>
      </w:pPr>
      <w:r>
        <w:rPr>
          <w:rFonts w:hint="eastAsia"/>
          <w:color w:val="auto"/>
          <w:sz w:val="28"/>
          <w:szCs w:val="28"/>
        </w:rPr>
        <w:t>（1）《企业安全生产费用提取和使用管理办法》（财企[2012]16号）</w:t>
      </w:r>
    </w:p>
    <w:p>
      <w:pPr>
        <w:ind w:firstLine="480"/>
        <w:rPr>
          <w:rFonts w:hint="eastAsia"/>
          <w:color w:val="auto"/>
          <w:sz w:val="28"/>
          <w:szCs w:val="28"/>
        </w:rPr>
      </w:pPr>
      <w:r>
        <w:rPr>
          <w:rFonts w:hint="eastAsia"/>
          <w:color w:val="auto"/>
          <w:sz w:val="28"/>
          <w:szCs w:val="28"/>
        </w:rPr>
        <w:t>（2）《生产安全事故应急预案管理办法》（原国家安全生产监督管理总局令第88号，应急管理部令第2号修订）</w:t>
      </w:r>
    </w:p>
    <w:p>
      <w:pPr>
        <w:ind w:firstLine="480"/>
        <w:rPr>
          <w:rFonts w:hint="eastAsia"/>
          <w:color w:val="auto"/>
          <w:sz w:val="28"/>
          <w:szCs w:val="28"/>
        </w:rPr>
      </w:pPr>
      <w:r>
        <w:rPr>
          <w:rFonts w:hint="eastAsia"/>
          <w:color w:val="auto"/>
          <w:sz w:val="28"/>
          <w:szCs w:val="28"/>
        </w:rPr>
        <w:t>（3）《安全生产事故隐患排查治理暂行规定》（原国家安全生产监督管理总局令第16号）</w:t>
      </w:r>
    </w:p>
    <w:p>
      <w:pPr>
        <w:ind w:firstLine="480"/>
        <w:rPr>
          <w:rFonts w:hint="eastAsia"/>
          <w:color w:val="auto"/>
          <w:sz w:val="28"/>
          <w:szCs w:val="28"/>
        </w:rPr>
      </w:pPr>
      <w:r>
        <w:rPr>
          <w:rFonts w:hint="eastAsia"/>
          <w:color w:val="auto"/>
          <w:sz w:val="28"/>
          <w:szCs w:val="28"/>
        </w:rPr>
        <w:t>（4）《生产经营单位生产安全事故应急预案评审指南（试行）》（原安监总厅应急［2009］73号）</w:t>
      </w:r>
    </w:p>
    <w:p>
      <w:pPr>
        <w:ind w:firstLine="480"/>
        <w:rPr>
          <w:rFonts w:hint="eastAsia"/>
          <w:color w:val="auto"/>
          <w:sz w:val="28"/>
          <w:szCs w:val="28"/>
        </w:rPr>
      </w:pPr>
      <w:r>
        <w:rPr>
          <w:rFonts w:hint="eastAsia"/>
          <w:color w:val="auto"/>
          <w:sz w:val="28"/>
          <w:szCs w:val="28"/>
        </w:rPr>
        <w:t>（5）《四川省安全生产条例》（四川省第十届人民代表大会常务委员会公告第90号）</w:t>
      </w:r>
    </w:p>
    <w:p>
      <w:pPr>
        <w:ind w:firstLine="480"/>
        <w:rPr>
          <w:rFonts w:hint="eastAsia"/>
          <w:color w:val="auto"/>
          <w:sz w:val="28"/>
          <w:szCs w:val="28"/>
        </w:rPr>
      </w:pPr>
      <w:r>
        <w:rPr>
          <w:rFonts w:hint="eastAsia"/>
          <w:color w:val="auto"/>
          <w:sz w:val="28"/>
          <w:szCs w:val="28"/>
        </w:rPr>
        <w:t>（6）《四川省生产安全事故报告和调查处理规定》（省人民政府令第225号）</w:t>
      </w:r>
    </w:p>
    <w:p>
      <w:pPr>
        <w:ind w:firstLine="480"/>
        <w:rPr>
          <w:rFonts w:hint="eastAsia"/>
          <w:color w:val="auto"/>
          <w:sz w:val="28"/>
          <w:szCs w:val="28"/>
        </w:rPr>
      </w:pPr>
      <w:r>
        <w:rPr>
          <w:rFonts w:hint="eastAsia"/>
          <w:color w:val="auto"/>
          <w:sz w:val="28"/>
          <w:szCs w:val="28"/>
        </w:rPr>
        <w:t>（7）《四川省生产经营单位安全生产责任规定》（省人民政府令第216号）</w:t>
      </w:r>
    </w:p>
    <w:p>
      <w:pPr>
        <w:ind w:firstLine="480"/>
        <w:rPr>
          <w:rFonts w:hint="eastAsia"/>
          <w:color w:val="auto"/>
          <w:sz w:val="28"/>
          <w:szCs w:val="28"/>
        </w:rPr>
      </w:pPr>
      <w:r>
        <w:rPr>
          <w:rFonts w:hint="eastAsia"/>
          <w:color w:val="auto"/>
          <w:sz w:val="28"/>
          <w:szCs w:val="28"/>
        </w:rPr>
        <w:t>（8）《四川省生产安全事故应急预案管理实施细则》（川安监[2018]43号）</w:t>
      </w:r>
    </w:p>
    <w:p>
      <w:pPr>
        <w:ind w:firstLine="480"/>
        <w:rPr>
          <w:rFonts w:hint="eastAsia"/>
          <w:color w:val="auto"/>
          <w:sz w:val="28"/>
          <w:szCs w:val="28"/>
        </w:rPr>
      </w:pPr>
      <w:r>
        <w:rPr>
          <w:rFonts w:hint="eastAsia"/>
          <w:color w:val="auto"/>
          <w:sz w:val="28"/>
          <w:szCs w:val="28"/>
        </w:rPr>
        <w:t>3、标准及规范</w:t>
      </w:r>
    </w:p>
    <w:p>
      <w:pPr>
        <w:ind w:firstLine="480"/>
        <w:rPr>
          <w:rFonts w:hint="eastAsia"/>
          <w:color w:val="auto"/>
          <w:sz w:val="28"/>
          <w:szCs w:val="28"/>
        </w:rPr>
      </w:pPr>
      <w:r>
        <w:rPr>
          <w:rFonts w:hint="eastAsia"/>
          <w:color w:val="auto"/>
          <w:sz w:val="28"/>
          <w:szCs w:val="28"/>
        </w:rPr>
        <w:t>（1）《汽车加油加气站设计与施工规范（2014年版）》GB 50156-2012</w:t>
      </w:r>
    </w:p>
    <w:p>
      <w:pPr>
        <w:ind w:firstLine="480"/>
        <w:rPr>
          <w:rFonts w:hint="eastAsia"/>
          <w:color w:val="auto"/>
          <w:sz w:val="28"/>
          <w:szCs w:val="28"/>
        </w:rPr>
      </w:pPr>
      <w:r>
        <w:rPr>
          <w:rFonts w:hint="eastAsia"/>
          <w:color w:val="auto"/>
          <w:sz w:val="28"/>
          <w:szCs w:val="28"/>
        </w:rPr>
        <w:t>（2）《危险化学品重大危险源辨识》GB18218-2018</w:t>
      </w:r>
    </w:p>
    <w:p>
      <w:pPr>
        <w:ind w:firstLine="480"/>
        <w:rPr>
          <w:rFonts w:hint="eastAsia"/>
          <w:color w:val="auto"/>
          <w:sz w:val="28"/>
          <w:szCs w:val="28"/>
        </w:rPr>
      </w:pPr>
      <w:r>
        <w:rPr>
          <w:rFonts w:hint="eastAsia"/>
          <w:color w:val="auto"/>
          <w:sz w:val="28"/>
          <w:szCs w:val="28"/>
        </w:rPr>
        <w:t>（3）《建筑灭火器配置设计规范》GB50140-2005</w:t>
      </w:r>
    </w:p>
    <w:p>
      <w:pPr>
        <w:ind w:firstLine="480"/>
        <w:rPr>
          <w:rFonts w:hint="eastAsia"/>
          <w:color w:val="auto"/>
          <w:sz w:val="28"/>
          <w:szCs w:val="28"/>
        </w:rPr>
      </w:pPr>
      <w:r>
        <w:rPr>
          <w:rFonts w:hint="eastAsia"/>
          <w:color w:val="auto"/>
          <w:sz w:val="28"/>
          <w:szCs w:val="28"/>
        </w:rPr>
        <w:t>（4）《生产安全事故应急演练指南》AQ/T9007-2011</w:t>
      </w:r>
    </w:p>
    <w:p>
      <w:pPr>
        <w:ind w:firstLine="480"/>
        <w:rPr>
          <w:rFonts w:hint="eastAsia"/>
          <w:color w:val="auto"/>
          <w:sz w:val="28"/>
          <w:szCs w:val="28"/>
        </w:rPr>
      </w:pPr>
      <w:r>
        <w:rPr>
          <w:rFonts w:hint="eastAsia"/>
          <w:color w:val="auto"/>
          <w:sz w:val="28"/>
          <w:szCs w:val="28"/>
        </w:rPr>
        <w:t>（5）《生产经营单位生产安全事故应急预案编制导则》GB/T29639-2013</w:t>
      </w:r>
    </w:p>
    <w:p>
      <w:pPr>
        <w:ind w:firstLine="480"/>
        <w:rPr>
          <w:rFonts w:hint="eastAsia"/>
          <w:color w:val="auto"/>
          <w:sz w:val="28"/>
          <w:szCs w:val="28"/>
        </w:rPr>
      </w:pPr>
      <w:r>
        <w:rPr>
          <w:rFonts w:hint="eastAsia"/>
          <w:color w:val="auto"/>
          <w:sz w:val="28"/>
          <w:szCs w:val="28"/>
        </w:rPr>
        <w:t>（6）《企业职工伤亡事故分类》GB6441-86</w:t>
      </w:r>
    </w:p>
    <w:p>
      <w:pPr>
        <w:ind w:firstLine="480"/>
        <w:rPr>
          <w:rFonts w:hint="eastAsia"/>
          <w:color w:val="auto"/>
          <w:sz w:val="28"/>
          <w:szCs w:val="28"/>
        </w:rPr>
      </w:pPr>
      <w:r>
        <w:rPr>
          <w:rFonts w:hint="eastAsia"/>
          <w:color w:val="auto"/>
          <w:sz w:val="28"/>
          <w:szCs w:val="28"/>
        </w:rPr>
        <w:t>（7）《易燃易爆性商品储藏养护技术条件》GB17914-2013</w:t>
      </w:r>
    </w:p>
    <w:p>
      <w:pPr>
        <w:ind w:firstLine="480"/>
        <w:rPr>
          <w:rFonts w:hint="eastAsia"/>
          <w:color w:val="auto"/>
          <w:sz w:val="28"/>
          <w:szCs w:val="28"/>
        </w:rPr>
      </w:pPr>
      <w:r>
        <w:rPr>
          <w:rFonts w:hint="eastAsia"/>
          <w:color w:val="auto"/>
          <w:sz w:val="28"/>
          <w:szCs w:val="28"/>
        </w:rPr>
        <w:t>（8）《建筑设计防火规范（2018年版）》GB 50016-2014</w:t>
      </w:r>
    </w:p>
    <w:p>
      <w:pPr>
        <w:ind w:firstLine="480"/>
        <w:rPr>
          <w:rFonts w:hint="eastAsia"/>
          <w:color w:val="auto"/>
          <w:sz w:val="28"/>
          <w:szCs w:val="28"/>
        </w:rPr>
      </w:pPr>
      <w:r>
        <w:rPr>
          <w:rFonts w:hint="eastAsia"/>
          <w:color w:val="auto"/>
          <w:sz w:val="28"/>
          <w:szCs w:val="28"/>
        </w:rPr>
        <w:t>（9）《危险化学品事故应急救援指挥导则》AQ/T 3052-2015</w:t>
      </w:r>
    </w:p>
    <w:p>
      <w:pPr>
        <w:widowControl/>
        <w:spacing w:line="240" w:lineRule="auto"/>
        <w:ind w:firstLine="0" w:firstLineChars="0"/>
        <w:rPr>
          <w:rFonts w:ascii="Times New Roman" w:hAnsi="Times New Roman" w:eastAsia="黑体" w:cs="Times New Roman"/>
          <w:b/>
          <w:i/>
          <w:color w:val="auto"/>
          <w:kern w:val="44"/>
          <w:sz w:val="32"/>
          <w:szCs w:val="24"/>
        </w:rPr>
      </w:pPr>
      <w:r>
        <w:rPr>
          <w:b/>
          <w:i/>
          <w:color w:val="auto"/>
        </w:rPr>
        <w:br w:type="page"/>
      </w:r>
    </w:p>
    <w:p>
      <w:pPr>
        <w:pStyle w:val="3"/>
        <w:spacing w:after="97"/>
        <w:ind w:left="1480" w:firstLine="0" w:firstLineChars="0"/>
        <w:rPr>
          <w:rFonts w:hint="default" w:eastAsia="黑体"/>
          <w:color w:val="auto"/>
          <w:lang w:val="en-US" w:eastAsia="zh-CN"/>
        </w:rPr>
      </w:pPr>
      <w:bookmarkStart w:id="5" w:name="_Toc31512"/>
      <w:r>
        <w:rPr>
          <w:rFonts w:hint="eastAsia"/>
          <w:color w:val="auto"/>
        </w:rPr>
        <w:t>2</w:t>
      </w:r>
      <w:r>
        <w:rPr>
          <w:rFonts w:hint="eastAsia"/>
          <w:color w:val="auto"/>
          <w:lang w:val="en-US" w:eastAsia="zh-CN"/>
        </w:rPr>
        <w:t>加油站基本情况</w:t>
      </w:r>
      <w:bookmarkEnd w:id="5"/>
    </w:p>
    <w:p>
      <w:pPr>
        <w:ind w:firstLine="480"/>
        <w:rPr>
          <w:rFonts w:hint="eastAsia"/>
          <w:color w:val="auto"/>
          <w:sz w:val="28"/>
          <w:szCs w:val="28"/>
        </w:rPr>
      </w:pPr>
      <w:r>
        <w:rPr>
          <w:rFonts w:hint="eastAsia"/>
          <w:color w:val="auto"/>
          <w:sz w:val="28"/>
          <w:szCs w:val="28"/>
        </w:rPr>
        <w:t>本加油站拥有0#柴油30m³储罐</w:t>
      </w:r>
      <w:r>
        <w:rPr>
          <w:rFonts w:hint="eastAsia"/>
          <w:color w:val="auto"/>
          <w:sz w:val="28"/>
          <w:szCs w:val="28"/>
          <w:lang w:val="en-US" w:eastAsia="zh-CN"/>
        </w:rPr>
        <w:t>2</w:t>
      </w:r>
      <w:r>
        <w:rPr>
          <w:rFonts w:hint="eastAsia"/>
          <w:color w:val="auto"/>
          <w:sz w:val="28"/>
          <w:szCs w:val="28"/>
        </w:rPr>
        <w:t>座</w:t>
      </w:r>
      <w:r>
        <w:rPr>
          <w:rFonts w:hint="eastAsia"/>
          <w:color w:val="auto"/>
          <w:sz w:val="28"/>
          <w:szCs w:val="28"/>
          <w:lang w:eastAsia="zh-CN"/>
        </w:rPr>
        <w:t>，</w:t>
      </w:r>
      <w:r>
        <w:rPr>
          <w:rFonts w:hint="eastAsia"/>
          <w:color w:val="auto"/>
          <w:sz w:val="28"/>
          <w:szCs w:val="28"/>
        </w:rPr>
        <w:t>92#汽油30m³储罐</w:t>
      </w:r>
      <w:r>
        <w:rPr>
          <w:rFonts w:hint="eastAsia"/>
          <w:color w:val="auto"/>
          <w:sz w:val="28"/>
          <w:szCs w:val="28"/>
          <w:lang w:val="en-US" w:eastAsia="zh-CN"/>
        </w:rPr>
        <w:t>1</w:t>
      </w:r>
      <w:r>
        <w:rPr>
          <w:rFonts w:hint="eastAsia"/>
          <w:color w:val="auto"/>
          <w:sz w:val="28"/>
          <w:szCs w:val="28"/>
        </w:rPr>
        <w:t>座</w:t>
      </w:r>
      <w:r>
        <w:rPr>
          <w:rFonts w:hint="eastAsia"/>
          <w:color w:val="auto"/>
          <w:sz w:val="28"/>
          <w:szCs w:val="28"/>
          <w:lang w:eastAsia="zh-CN"/>
        </w:rPr>
        <w:t>，</w:t>
      </w:r>
      <w:r>
        <w:rPr>
          <w:rFonts w:hint="eastAsia"/>
          <w:color w:val="auto"/>
          <w:sz w:val="28"/>
          <w:szCs w:val="28"/>
        </w:rPr>
        <w:t>95#汽油30m³储罐1座以及加油机</w:t>
      </w:r>
      <w:r>
        <w:rPr>
          <w:rFonts w:hint="eastAsia"/>
          <w:color w:val="auto"/>
          <w:sz w:val="28"/>
          <w:szCs w:val="28"/>
          <w:lang w:val="en-US" w:eastAsia="zh-CN"/>
        </w:rPr>
        <w:t>4</w:t>
      </w:r>
      <w:r>
        <w:rPr>
          <w:rFonts w:hint="eastAsia"/>
          <w:color w:val="auto"/>
          <w:sz w:val="28"/>
          <w:szCs w:val="28"/>
        </w:rPr>
        <w:t>台</w:t>
      </w:r>
      <w:r>
        <w:rPr>
          <w:rFonts w:hint="eastAsia"/>
          <w:color w:val="auto"/>
          <w:sz w:val="28"/>
          <w:szCs w:val="28"/>
          <w:lang w:eastAsia="zh-CN"/>
        </w:rPr>
        <w:t>（</w:t>
      </w:r>
      <w:r>
        <w:rPr>
          <w:rFonts w:hint="eastAsia"/>
          <w:color w:val="auto"/>
          <w:sz w:val="28"/>
          <w:szCs w:val="28"/>
          <w:lang w:val="en-US" w:eastAsia="zh-CN"/>
        </w:rPr>
        <w:t>3台双枪加油机，1台四枪加油机</w:t>
      </w:r>
      <w:r>
        <w:rPr>
          <w:rFonts w:hint="eastAsia"/>
          <w:color w:val="auto"/>
          <w:sz w:val="28"/>
          <w:szCs w:val="28"/>
          <w:lang w:eastAsia="zh-CN"/>
        </w:rPr>
        <w:t>），</w:t>
      </w:r>
      <w:r>
        <w:rPr>
          <w:rFonts w:hint="eastAsia"/>
          <w:color w:val="auto"/>
          <w:sz w:val="28"/>
          <w:szCs w:val="28"/>
        </w:rPr>
        <w:t>埋地油罐区成品油总储量</w:t>
      </w:r>
      <w:r>
        <w:rPr>
          <w:rFonts w:hint="eastAsia"/>
          <w:color w:val="auto"/>
          <w:sz w:val="28"/>
          <w:szCs w:val="28"/>
          <w:lang w:val="en-US" w:eastAsia="zh-CN"/>
        </w:rPr>
        <w:t>为</w:t>
      </w:r>
      <w:r>
        <w:rPr>
          <w:rFonts w:hint="eastAsia"/>
          <w:color w:val="auto"/>
          <w:sz w:val="28"/>
          <w:szCs w:val="28"/>
        </w:rPr>
        <w:t>120m³，公称总容量</w:t>
      </w:r>
      <w:r>
        <w:rPr>
          <w:rFonts w:hint="eastAsia"/>
          <w:color w:val="auto"/>
          <w:sz w:val="28"/>
          <w:szCs w:val="28"/>
          <w:lang w:val="en-US" w:eastAsia="zh-CN"/>
        </w:rPr>
        <w:t>90</w:t>
      </w:r>
      <w:r>
        <w:rPr>
          <w:rFonts w:hint="eastAsia"/>
          <w:color w:val="auto"/>
          <w:sz w:val="28"/>
          <w:szCs w:val="28"/>
        </w:rPr>
        <w:t>m³（柴油折半计）。根据《汽车加油加气站设计与施工规范（2014年版）》GB50156-2012第3.0.9条规定，本加油站划分为</w:t>
      </w:r>
      <w:r>
        <w:rPr>
          <w:rFonts w:hint="eastAsia"/>
          <w:color w:val="auto"/>
          <w:sz w:val="28"/>
          <w:szCs w:val="28"/>
          <w:lang w:val="en-US" w:eastAsia="zh-CN"/>
        </w:rPr>
        <w:t>三</w:t>
      </w:r>
      <w:r>
        <w:rPr>
          <w:rFonts w:hint="eastAsia"/>
          <w:color w:val="auto"/>
          <w:sz w:val="28"/>
          <w:szCs w:val="28"/>
        </w:rPr>
        <w:t>级加油站。</w:t>
      </w:r>
    </w:p>
    <w:p>
      <w:pPr>
        <w:ind w:firstLine="480"/>
        <w:rPr>
          <w:rFonts w:hint="eastAsia" w:ascii="Times New Roman" w:hAnsi="Times New Roman" w:cs="Times New Roman"/>
          <w:color w:val="auto"/>
          <w:szCs w:val="24"/>
        </w:rPr>
      </w:pPr>
      <w:r>
        <w:rPr>
          <w:rFonts w:hint="eastAsia"/>
          <w:color w:val="auto"/>
          <w:sz w:val="28"/>
          <w:szCs w:val="28"/>
        </w:rPr>
        <w:t>本</w:t>
      </w:r>
      <w:r>
        <w:rPr>
          <w:rFonts w:hint="eastAsia"/>
          <w:color w:val="auto"/>
          <w:sz w:val="28"/>
          <w:szCs w:val="28"/>
          <w:lang w:val="en-US" w:eastAsia="zh-CN"/>
        </w:rPr>
        <w:t>站</w:t>
      </w:r>
      <w:r>
        <w:rPr>
          <w:rFonts w:hint="eastAsia"/>
          <w:color w:val="auto"/>
          <w:sz w:val="28"/>
          <w:szCs w:val="28"/>
        </w:rPr>
        <w:t>位于</w:t>
      </w:r>
      <w:r>
        <w:rPr>
          <w:rFonts w:hint="eastAsia"/>
          <w:color w:val="auto"/>
          <w:sz w:val="28"/>
          <w:szCs w:val="28"/>
          <w:lang w:val="en-US" w:eastAsia="zh-CN"/>
        </w:rPr>
        <w:t>南充市成南高速公路大观服务区K181+400处</w:t>
      </w:r>
      <w:r>
        <w:rPr>
          <w:rFonts w:hint="eastAsia"/>
          <w:color w:val="auto"/>
          <w:sz w:val="28"/>
          <w:szCs w:val="28"/>
          <w:lang w:eastAsia="zh-CN"/>
        </w:rPr>
        <w:t>，</w:t>
      </w:r>
      <w:r>
        <w:rPr>
          <w:rFonts w:hint="eastAsia"/>
          <w:color w:val="auto"/>
          <w:sz w:val="28"/>
          <w:szCs w:val="28"/>
          <w:lang w:val="en-US" w:eastAsia="zh-CN"/>
        </w:rPr>
        <w:t>北面为大观服务区公共厕所，东面为大观服务区停车区，西面为大观服务区便道，南面为成南高速公路</w:t>
      </w:r>
      <w:r>
        <w:rPr>
          <w:rFonts w:hint="eastAsia"/>
          <w:color w:val="auto"/>
          <w:sz w:val="28"/>
          <w:szCs w:val="28"/>
          <w:lang w:eastAsia="zh-CN"/>
        </w:rPr>
        <w:t>，</w:t>
      </w:r>
      <w:r>
        <w:rPr>
          <w:rFonts w:hint="eastAsia"/>
          <w:color w:val="auto"/>
          <w:sz w:val="28"/>
          <w:szCs w:val="28"/>
        </w:rPr>
        <w:t>周边安全距离满足《汽车加油加气站设计与施工规范</w:t>
      </w:r>
      <w:r>
        <w:rPr>
          <w:rFonts w:hint="eastAsia"/>
          <w:color w:val="auto"/>
          <w:sz w:val="28"/>
          <w:szCs w:val="28"/>
          <w:lang w:eastAsia="zh-CN"/>
        </w:rPr>
        <w:t>（</w:t>
      </w:r>
      <w:r>
        <w:rPr>
          <w:rFonts w:hint="eastAsia"/>
          <w:color w:val="auto"/>
          <w:sz w:val="28"/>
          <w:szCs w:val="28"/>
        </w:rPr>
        <w:t>2014年版</w:t>
      </w:r>
      <w:r>
        <w:rPr>
          <w:rFonts w:hint="eastAsia"/>
          <w:color w:val="auto"/>
          <w:sz w:val="28"/>
          <w:szCs w:val="28"/>
          <w:lang w:eastAsia="zh-CN"/>
        </w:rPr>
        <w:t>）</w:t>
      </w:r>
      <w:r>
        <w:rPr>
          <w:rFonts w:hint="eastAsia"/>
          <w:color w:val="auto"/>
          <w:sz w:val="28"/>
          <w:szCs w:val="28"/>
        </w:rPr>
        <w:t>》（GB50156-2012）的要求。具体如</w:t>
      </w:r>
      <w:r>
        <w:rPr>
          <w:rFonts w:hint="eastAsia"/>
          <w:color w:val="auto"/>
          <w:sz w:val="28"/>
          <w:szCs w:val="28"/>
          <w:lang w:val="en-US" w:eastAsia="zh-CN"/>
        </w:rPr>
        <w:t>下图</w:t>
      </w:r>
      <w:r>
        <w:rPr>
          <w:rFonts w:hint="eastAsia"/>
          <w:color w:val="auto"/>
          <w:sz w:val="28"/>
          <w:szCs w:val="28"/>
        </w:rPr>
        <w:t>所示：</w:t>
      </w:r>
    </w:p>
    <w:p>
      <w:pPr>
        <w:pStyle w:val="2"/>
        <w:rPr>
          <w:rFonts w:hint="eastAsia" w:eastAsia="宋体"/>
          <w:color w:val="auto"/>
          <w:lang w:eastAsia="zh-CN"/>
        </w:rPr>
      </w:pPr>
      <w:r>
        <w:rPr>
          <w:rFonts w:hint="eastAsia" w:eastAsia="宋体"/>
          <w:color w:val="auto"/>
          <w:lang w:eastAsia="zh-CN"/>
        </w:rPr>
        <w:drawing>
          <wp:inline distT="0" distB="0" distL="114300" distR="114300">
            <wp:extent cx="5732145" cy="3001010"/>
            <wp:effectExtent l="0" t="0" r="1905" b="8890"/>
            <wp:docPr id="2" name="图片 2" descr="15940055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594005529(1)"/>
                    <pic:cNvPicPr>
                      <a:picLocks noChangeAspect="1"/>
                    </pic:cNvPicPr>
                  </pic:nvPicPr>
                  <pic:blipFill>
                    <a:blip r:embed="rId12"/>
                    <a:stretch>
                      <a:fillRect/>
                    </a:stretch>
                  </pic:blipFill>
                  <pic:spPr>
                    <a:xfrm>
                      <a:off x="0" y="0"/>
                      <a:ext cx="5732145" cy="3001010"/>
                    </a:xfrm>
                    <a:prstGeom prst="rect">
                      <a:avLst/>
                    </a:prstGeom>
                  </pic:spPr>
                </pic:pic>
              </a:graphicData>
            </a:graphic>
          </wp:inline>
        </w:drawing>
      </w:r>
    </w:p>
    <w:p>
      <w:pPr>
        <w:pStyle w:val="5"/>
        <w:keepNext/>
        <w:ind w:left="0" w:leftChars="0" w:firstLine="0" w:firstLineChars="0"/>
        <w:jc w:val="center"/>
        <w:rPr>
          <w:rFonts w:hint="default" w:eastAsia="黑体"/>
          <w:color w:val="auto"/>
          <w:lang w:val="en-US" w:eastAsia="zh-CN"/>
        </w:rPr>
      </w:pPr>
      <w:r>
        <w:rPr>
          <w:rFonts w:hint="eastAsia"/>
          <w:color w:val="auto"/>
          <w:lang w:val="en-US" w:eastAsia="zh-CN"/>
        </w:rPr>
        <w:t>图</w:t>
      </w:r>
      <w:r>
        <w:rPr>
          <w:rFonts w:hint="eastAsia"/>
          <w:color w:val="auto"/>
        </w:rPr>
        <w:t xml:space="preserve"> </w:t>
      </w:r>
      <w:r>
        <w:rPr>
          <w:rFonts w:hint="eastAsia"/>
          <w:color w:val="auto"/>
          <w:lang w:val="en-US" w:eastAsia="zh-CN"/>
        </w:rPr>
        <w:t>2</w:t>
      </w:r>
      <w:r>
        <w:rPr>
          <w:color w:val="auto"/>
        </w:rPr>
        <w:noBreakHyphen/>
      </w:r>
      <w:r>
        <w:rPr>
          <w:color w:val="auto"/>
        </w:rPr>
        <w:fldChar w:fldCharType="begin"/>
      </w:r>
      <w:r>
        <w:rPr>
          <w:color w:val="auto"/>
        </w:rPr>
        <w:instrText xml:space="preserve"> </w:instrText>
      </w:r>
      <w:r>
        <w:rPr>
          <w:rFonts w:hint="eastAsia"/>
          <w:color w:val="auto"/>
        </w:rPr>
        <w:instrText xml:space="preserve">SEQ 表 \* ARABIC \s 1</w:instrText>
      </w:r>
      <w:r>
        <w:rPr>
          <w:color w:val="auto"/>
        </w:rPr>
        <w:instrText xml:space="preserve"> </w:instrText>
      </w:r>
      <w:r>
        <w:rPr>
          <w:color w:val="auto"/>
        </w:rPr>
        <w:fldChar w:fldCharType="separate"/>
      </w:r>
      <w:r>
        <w:rPr>
          <w:color w:val="auto"/>
        </w:rPr>
        <w:t>1</w:t>
      </w:r>
      <w:r>
        <w:rPr>
          <w:color w:val="auto"/>
        </w:rPr>
        <w:fldChar w:fldCharType="end"/>
      </w:r>
      <w:r>
        <w:rPr>
          <w:rFonts w:hint="eastAsia"/>
          <w:color w:val="auto"/>
          <w:lang w:val="en-US" w:eastAsia="zh-CN"/>
        </w:rPr>
        <w:t>总平面布置及周边关系示意图</w:t>
      </w:r>
    </w:p>
    <w:p>
      <w:pPr>
        <w:rPr>
          <w:rFonts w:hint="eastAsia"/>
          <w:color w:val="auto"/>
          <w:lang w:val="en-US" w:eastAsia="zh-CN"/>
        </w:rPr>
      </w:pPr>
      <w:r>
        <w:rPr>
          <w:rFonts w:hint="eastAsia"/>
          <w:color w:val="auto"/>
          <w:lang w:val="en-US" w:eastAsia="zh-CN"/>
        </w:rPr>
        <w:br w:type="page"/>
      </w:r>
    </w:p>
    <w:p>
      <w:pPr>
        <w:pStyle w:val="3"/>
        <w:spacing w:after="97"/>
        <w:ind w:left="1480" w:firstLine="0" w:firstLineChars="0"/>
        <w:rPr>
          <w:rFonts w:hint="default" w:eastAsia="黑体"/>
          <w:color w:val="auto"/>
          <w:lang w:val="en-US" w:eastAsia="zh-CN"/>
        </w:rPr>
      </w:pPr>
      <w:bookmarkStart w:id="6" w:name="_Toc30544"/>
      <w:r>
        <w:rPr>
          <w:rFonts w:hint="eastAsia"/>
          <w:color w:val="auto"/>
          <w:lang w:val="en-US" w:eastAsia="zh-CN"/>
        </w:rPr>
        <w:t>3危险有害因素分析</w:t>
      </w:r>
      <w:bookmarkEnd w:id="6"/>
    </w:p>
    <w:p>
      <w:pPr>
        <w:pStyle w:val="4"/>
        <w:spacing w:after="65"/>
        <w:rPr>
          <w:color w:val="auto"/>
        </w:rPr>
      </w:pPr>
      <w:bookmarkStart w:id="7" w:name="_Toc17588"/>
      <w:r>
        <w:rPr>
          <w:rFonts w:hint="eastAsia"/>
          <w:color w:val="auto"/>
          <w:lang w:val="en-US" w:eastAsia="zh-CN"/>
        </w:rPr>
        <w:t>3</w:t>
      </w:r>
      <w:r>
        <w:rPr>
          <w:rFonts w:hint="eastAsia"/>
          <w:color w:val="auto"/>
        </w:rPr>
        <w:t>.1物料的危险有害因素分析</w:t>
      </w:r>
      <w:bookmarkEnd w:id="7"/>
    </w:p>
    <w:p>
      <w:pPr>
        <w:ind w:firstLine="480"/>
        <w:rPr>
          <w:rFonts w:hint="eastAsia"/>
          <w:color w:val="auto"/>
          <w:sz w:val="28"/>
          <w:szCs w:val="28"/>
        </w:rPr>
      </w:pPr>
      <w:r>
        <w:rPr>
          <w:rFonts w:hint="eastAsia"/>
          <w:color w:val="auto"/>
          <w:sz w:val="28"/>
          <w:szCs w:val="28"/>
        </w:rPr>
        <w:t>1、储存的危险物质情况如下表：</w:t>
      </w:r>
    </w:p>
    <w:p>
      <w:pPr>
        <w:ind w:firstLine="480"/>
        <w:rPr>
          <w:rFonts w:hint="eastAsia"/>
          <w:color w:val="auto"/>
          <w:sz w:val="28"/>
          <w:szCs w:val="28"/>
        </w:rPr>
      </w:pPr>
      <w:r>
        <w:rPr>
          <w:rFonts w:hint="eastAsia"/>
          <w:color w:val="auto"/>
          <w:sz w:val="28"/>
          <w:szCs w:val="28"/>
        </w:rPr>
        <w:t>1） 危险化学品储存情况</w:t>
      </w:r>
    </w:p>
    <w:p>
      <w:pPr>
        <w:pStyle w:val="5"/>
        <w:keepNext/>
        <w:ind w:firstLine="400"/>
        <w:jc w:val="center"/>
        <w:rPr>
          <w:color w:val="auto"/>
        </w:rPr>
      </w:pPr>
      <w:r>
        <w:rPr>
          <w:rFonts w:hint="eastAsia"/>
          <w:color w:val="auto"/>
        </w:rPr>
        <w:t xml:space="preserve">表 </w:t>
      </w:r>
      <w:r>
        <w:rPr>
          <w:rFonts w:hint="eastAsia"/>
          <w:color w:val="auto"/>
          <w:lang w:val="en-US" w:eastAsia="zh-CN"/>
        </w:rPr>
        <w:t>3</w:t>
      </w:r>
      <w:r>
        <w:rPr>
          <w:color w:val="auto"/>
        </w:rPr>
        <w:noBreakHyphen/>
      </w:r>
      <w:r>
        <w:rPr>
          <w:color w:val="auto"/>
        </w:rPr>
        <w:fldChar w:fldCharType="begin"/>
      </w:r>
      <w:r>
        <w:rPr>
          <w:color w:val="auto"/>
        </w:rPr>
        <w:instrText xml:space="preserve"> </w:instrText>
      </w:r>
      <w:r>
        <w:rPr>
          <w:rFonts w:hint="eastAsia"/>
          <w:color w:val="auto"/>
        </w:rPr>
        <w:instrText xml:space="preserve">SEQ 表 \* ARABIC \s 1</w:instrText>
      </w:r>
      <w:r>
        <w:rPr>
          <w:color w:val="auto"/>
        </w:rPr>
        <w:instrText xml:space="preserve"> </w:instrText>
      </w:r>
      <w:r>
        <w:rPr>
          <w:color w:val="auto"/>
        </w:rPr>
        <w:fldChar w:fldCharType="separate"/>
      </w:r>
      <w:r>
        <w:rPr>
          <w:color w:val="auto"/>
        </w:rPr>
        <w:t>1</w:t>
      </w:r>
      <w:r>
        <w:rPr>
          <w:color w:val="auto"/>
        </w:rPr>
        <w:fldChar w:fldCharType="end"/>
      </w:r>
      <w:r>
        <w:rPr>
          <w:rFonts w:hint="eastAsia"/>
          <w:color w:val="auto"/>
        </w:rPr>
        <w:t>危险物质储存情况表</w:t>
      </w:r>
    </w:p>
    <w:tbl>
      <w:tblPr>
        <w:tblStyle w:val="17"/>
        <w:tblW w:w="88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51"/>
        <w:gridCol w:w="1701"/>
        <w:gridCol w:w="1433"/>
        <w:gridCol w:w="1985"/>
        <w:gridCol w:w="1073"/>
        <w:gridCol w:w="11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Pr>
          <w:p>
            <w:pPr>
              <w:pStyle w:val="24"/>
              <w:ind w:firstLine="0" w:firstLineChars="0"/>
              <w:jc w:val="center"/>
              <w:rPr>
                <w:rFonts w:ascii="宋体" w:hAnsi="宋体"/>
                <w:b/>
                <w:color w:val="auto"/>
                <w:sz w:val="21"/>
                <w:szCs w:val="21"/>
              </w:rPr>
            </w:pPr>
            <w:r>
              <w:rPr>
                <w:rFonts w:ascii="宋体" w:hAnsi="宋体"/>
                <w:b/>
                <w:color w:val="auto"/>
                <w:sz w:val="21"/>
                <w:szCs w:val="21"/>
              </w:rPr>
              <w:t>序号</w:t>
            </w:r>
          </w:p>
        </w:tc>
        <w:tc>
          <w:tcPr>
            <w:tcW w:w="851" w:type="dxa"/>
          </w:tcPr>
          <w:p>
            <w:pPr>
              <w:pStyle w:val="24"/>
              <w:ind w:firstLine="0" w:firstLineChars="0"/>
              <w:jc w:val="center"/>
              <w:rPr>
                <w:rFonts w:ascii="宋体" w:hAnsi="宋体"/>
                <w:b/>
                <w:color w:val="auto"/>
                <w:sz w:val="21"/>
                <w:szCs w:val="21"/>
              </w:rPr>
            </w:pPr>
            <w:r>
              <w:rPr>
                <w:rFonts w:ascii="宋体" w:hAnsi="宋体"/>
                <w:b/>
                <w:color w:val="auto"/>
                <w:sz w:val="21"/>
                <w:szCs w:val="21"/>
              </w:rPr>
              <w:t>名称</w:t>
            </w:r>
          </w:p>
        </w:tc>
        <w:tc>
          <w:tcPr>
            <w:tcW w:w="1701" w:type="dxa"/>
          </w:tcPr>
          <w:p>
            <w:pPr>
              <w:pStyle w:val="24"/>
              <w:ind w:firstLine="0" w:firstLineChars="0"/>
              <w:jc w:val="center"/>
              <w:rPr>
                <w:rFonts w:ascii="宋体" w:hAnsi="宋体"/>
                <w:b/>
                <w:color w:val="auto"/>
                <w:sz w:val="21"/>
                <w:szCs w:val="21"/>
              </w:rPr>
            </w:pPr>
            <w:r>
              <w:rPr>
                <w:rFonts w:ascii="宋体" w:hAnsi="宋体"/>
                <w:b/>
                <w:color w:val="auto"/>
                <w:sz w:val="21"/>
                <w:szCs w:val="21"/>
              </w:rPr>
              <w:t>危险化学品序号</w:t>
            </w:r>
          </w:p>
        </w:tc>
        <w:tc>
          <w:tcPr>
            <w:tcW w:w="1433" w:type="dxa"/>
          </w:tcPr>
          <w:p>
            <w:pPr>
              <w:pStyle w:val="24"/>
              <w:ind w:firstLine="0" w:firstLineChars="0"/>
              <w:jc w:val="center"/>
              <w:rPr>
                <w:rFonts w:ascii="宋体" w:hAnsi="宋体"/>
                <w:b/>
                <w:color w:val="auto"/>
                <w:sz w:val="21"/>
                <w:szCs w:val="21"/>
              </w:rPr>
            </w:pPr>
            <w:r>
              <w:rPr>
                <w:rFonts w:hint="eastAsia" w:ascii="宋体" w:hAnsi="宋体"/>
                <w:b/>
                <w:color w:val="auto"/>
                <w:sz w:val="21"/>
                <w:szCs w:val="21"/>
              </w:rPr>
              <w:t>最大储</w:t>
            </w:r>
            <w:r>
              <w:rPr>
                <w:rFonts w:ascii="宋体" w:hAnsi="宋体"/>
                <w:b/>
                <w:color w:val="auto"/>
                <w:sz w:val="21"/>
                <w:szCs w:val="21"/>
              </w:rPr>
              <w:t>量</w:t>
            </w:r>
            <w:r>
              <w:rPr>
                <w:rFonts w:hint="eastAsia" w:ascii="宋体" w:hAnsi="宋体"/>
                <w:b/>
                <w:color w:val="auto"/>
                <w:sz w:val="21"/>
                <w:szCs w:val="21"/>
              </w:rPr>
              <w:t>（t）</w:t>
            </w:r>
          </w:p>
        </w:tc>
        <w:tc>
          <w:tcPr>
            <w:tcW w:w="1985" w:type="dxa"/>
          </w:tcPr>
          <w:p>
            <w:pPr>
              <w:pStyle w:val="24"/>
              <w:ind w:firstLine="0" w:firstLineChars="0"/>
              <w:jc w:val="center"/>
              <w:rPr>
                <w:rFonts w:ascii="宋体" w:hAnsi="宋体"/>
                <w:b/>
                <w:color w:val="auto"/>
                <w:sz w:val="21"/>
                <w:szCs w:val="21"/>
              </w:rPr>
            </w:pPr>
            <w:r>
              <w:rPr>
                <w:rFonts w:ascii="宋体" w:hAnsi="宋体"/>
                <w:b/>
                <w:color w:val="auto"/>
                <w:sz w:val="21"/>
                <w:szCs w:val="21"/>
              </w:rPr>
              <w:t>储存</w:t>
            </w:r>
            <w:r>
              <w:rPr>
                <w:rFonts w:hint="eastAsia" w:ascii="宋体" w:hAnsi="宋体"/>
                <w:b/>
                <w:color w:val="auto"/>
                <w:sz w:val="21"/>
                <w:szCs w:val="21"/>
              </w:rPr>
              <w:t>/包装规格</w:t>
            </w:r>
          </w:p>
        </w:tc>
        <w:tc>
          <w:tcPr>
            <w:tcW w:w="1073" w:type="dxa"/>
          </w:tcPr>
          <w:p>
            <w:pPr>
              <w:pStyle w:val="24"/>
              <w:ind w:firstLine="0" w:firstLineChars="0"/>
              <w:jc w:val="center"/>
              <w:rPr>
                <w:rFonts w:ascii="宋体" w:hAnsi="宋体"/>
                <w:b/>
                <w:color w:val="auto"/>
                <w:sz w:val="21"/>
                <w:szCs w:val="21"/>
              </w:rPr>
            </w:pPr>
            <w:r>
              <w:rPr>
                <w:rFonts w:hint="eastAsia" w:ascii="宋体" w:hAnsi="宋体"/>
                <w:b/>
                <w:color w:val="auto"/>
                <w:sz w:val="21"/>
                <w:szCs w:val="21"/>
              </w:rPr>
              <w:t>密度取值</w:t>
            </w:r>
          </w:p>
        </w:tc>
        <w:tc>
          <w:tcPr>
            <w:tcW w:w="1134" w:type="dxa"/>
          </w:tcPr>
          <w:p>
            <w:pPr>
              <w:pStyle w:val="24"/>
              <w:ind w:firstLine="0" w:firstLineChars="0"/>
              <w:jc w:val="center"/>
              <w:rPr>
                <w:rFonts w:ascii="宋体" w:hAnsi="宋体"/>
                <w:b/>
                <w:color w:val="auto"/>
                <w:sz w:val="21"/>
                <w:szCs w:val="21"/>
              </w:rPr>
            </w:pPr>
            <w:r>
              <w:rPr>
                <w:rFonts w:hint="eastAsia" w:ascii="宋体" w:hAnsi="宋体"/>
                <w:b/>
                <w:color w:val="auto"/>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pStyle w:val="24"/>
              <w:ind w:firstLine="0" w:firstLineChars="0"/>
              <w:jc w:val="center"/>
              <w:rPr>
                <w:rFonts w:ascii="宋体" w:hAnsi="宋体"/>
                <w:color w:val="auto"/>
                <w:sz w:val="21"/>
                <w:szCs w:val="21"/>
              </w:rPr>
            </w:pPr>
            <w:r>
              <w:rPr>
                <w:rFonts w:hint="eastAsia" w:ascii="宋体" w:hAnsi="宋体"/>
                <w:color w:val="auto"/>
                <w:sz w:val="21"/>
                <w:szCs w:val="21"/>
              </w:rPr>
              <w:t>1</w:t>
            </w:r>
          </w:p>
        </w:tc>
        <w:tc>
          <w:tcPr>
            <w:tcW w:w="851" w:type="dxa"/>
            <w:vAlign w:val="center"/>
          </w:tcPr>
          <w:p>
            <w:pPr>
              <w:pStyle w:val="24"/>
              <w:ind w:firstLine="0" w:firstLineChars="0"/>
              <w:jc w:val="center"/>
              <w:rPr>
                <w:rFonts w:ascii="宋体" w:hAnsi="宋体"/>
                <w:color w:val="auto"/>
                <w:sz w:val="21"/>
                <w:szCs w:val="21"/>
              </w:rPr>
            </w:pPr>
            <w:r>
              <w:rPr>
                <w:rFonts w:ascii="宋体" w:hAnsi="宋体"/>
                <w:color w:val="auto"/>
                <w:sz w:val="21"/>
                <w:szCs w:val="21"/>
              </w:rPr>
              <w:t>汽油</w:t>
            </w:r>
          </w:p>
        </w:tc>
        <w:tc>
          <w:tcPr>
            <w:tcW w:w="1701" w:type="dxa"/>
            <w:vAlign w:val="center"/>
          </w:tcPr>
          <w:p>
            <w:pPr>
              <w:pStyle w:val="24"/>
              <w:ind w:firstLine="0" w:firstLineChars="0"/>
              <w:jc w:val="center"/>
              <w:rPr>
                <w:rFonts w:ascii="宋体" w:hAnsi="宋体"/>
                <w:color w:val="auto"/>
                <w:sz w:val="21"/>
                <w:szCs w:val="21"/>
              </w:rPr>
            </w:pPr>
            <w:r>
              <w:rPr>
                <w:rFonts w:hint="eastAsia" w:ascii="宋体" w:hAnsi="宋体"/>
                <w:color w:val="auto"/>
                <w:sz w:val="21"/>
                <w:szCs w:val="21"/>
              </w:rPr>
              <w:t>1630</w:t>
            </w:r>
          </w:p>
        </w:tc>
        <w:tc>
          <w:tcPr>
            <w:tcW w:w="1433" w:type="dxa"/>
            <w:vAlign w:val="center"/>
          </w:tcPr>
          <w:p>
            <w:pPr>
              <w:pStyle w:val="24"/>
              <w:ind w:firstLine="0" w:firstLineChars="0"/>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47.4</w:t>
            </w:r>
          </w:p>
        </w:tc>
        <w:tc>
          <w:tcPr>
            <w:tcW w:w="1985" w:type="dxa"/>
            <w:vAlign w:val="center"/>
          </w:tcPr>
          <w:p>
            <w:pPr>
              <w:pStyle w:val="24"/>
              <w:ind w:firstLine="0" w:firstLineChars="0"/>
              <w:jc w:val="center"/>
              <w:rPr>
                <w:rFonts w:hint="eastAsia" w:ascii="宋体" w:hAnsi="宋体" w:eastAsia="宋体"/>
                <w:color w:val="auto"/>
                <w:sz w:val="21"/>
                <w:szCs w:val="21"/>
                <w:lang w:eastAsia="zh-CN"/>
              </w:rPr>
            </w:pPr>
            <w:r>
              <w:rPr>
                <w:rFonts w:ascii="宋体" w:hAnsi="宋体"/>
                <w:color w:val="auto"/>
                <w:sz w:val="21"/>
                <w:szCs w:val="21"/>
              </w:rPr>
              <w:t>埋地储罐</w:t>
            </w:r>
            <w:r>
              <w:rPr>
                <w:rFonts w:hint="eastAsia" w:ascii="宋体" w:hAnsi="宋体"/>
                <w:color w:val="auto"/>
                <w:sz w:val="21"/>
                <w:szCs w:val="21"/>
              </w:rPr>
              <w:t>30m³x</w:t>
            </w:r>
            <w:r>
              <w:rPr>
                <w:rFonts w:hint="eastAsia" w:ascii="宋体" w:hAnsi="宋体"/>
                <w:color w:val="auto"/>
                <w:sz w:val="21"/>
                <w:szCs w:val="21"/>
                <w:lang w:val="en-US" w:eastAsia="zh-CN"/>
              </w:rPr>
              <w:t>2</w:t>
            </w:r>
          </w:p>
        </w:tc>
        <w:tc>
          <w:tcPr>
            <w:tcW w:w="1073" w:type="dxa"/>
            <w:vAlign w:val="center"/>
          </w:tcPr>
          <w:p>
            <w:pPr>
              <w:pStyle w:val="24"/>
              <w:ind w:firstLine="0" w:firstLineChars="0"/>
              <w:jc w:val="center"/>
              <w:rPr>
                <w:color w:val="auto"/>
              </w:rPr>
            </w:pPr>
            <w:r>
              <w:rPr>
                <w:rFonts w:hint="eastAsia"/>
                <w:color w:val="auto"/>
                <w:sz w:val="21"/>
                <w:szCs w:val="21"/>
              </w:rPr>
              <w:t>0.79</w:t>
            </w:r>
          </w:p>
        </w:tc>
        <w:tc>
          <w:tcPr>
            <w:tcW w:w="1134" w:type="dxa"/>
          </w:tcPr>
          <w:p>
            <w:pPr>
              <w:pStyle w:val="24"/>
              <w:ind w:firstLine="0" w:firstLineChars="0"/>
              <w:jc w:val="center"/>
              <w:rPr>
                <w:rFonts w:hint="eastAsia"/>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pStyle w:val="24"/>
              <w:ind w:firstLine="0" w:firstLineChars="0"/>
              <w:jc w:val="center"/>
              <w:rPr>
                <w:rFonts w:ascii="宋体" w:hAnsi="宋体"/>
                <w:color w:val="auto"/>
                <w:sz w:val="21"/>
                <w:szCs w:val="21"/>
              </w:rPr>
            </w:pPr>
            <w:r>
              <w:rPr>
                <w:rFonts w:hint="eastAsia" w:ascii="宋体" w:hAnsi="宋体"/>
                <w:color w:val="auto"/>
                <w:sz w:val="21"/>
                <w:szCs w:val="21"/>
              </w:rPr>
              <w:t>2</w:t>
            </w:r>
          </w:p>
        </w:tc>
        <w:tc>
          <w:tcPr>
            <w:tcW w:w="851" w:type="dxa"/>
            <w:vAlign w:val="center"/>
          </w:tcPr>
          <w:p>
            <w:pPr>
              <w:pStyle w:val="24"/>
              <w:ind w:firstLine="0" w:firstLineChars="0"/>
              <w:jc w:val="center"/>
              <w:rPr>
                <w:rFonts w:ascii="宋体" w:hAnsi="宋体"/>
                <w:color w:val="auto"/>
                <w:sz w:val="21"/>
                <w:szCs w:val="21"/>
              </w:rPr>
            </w:pPr>
            <w:r>
              <w:rPr>
                <w:rFonts w:ascii="宋体" w:hAnsi="宋体"/>
                <w:color w:val="auto"/>
                <w:sz w:val="21"/>
                <w:szCs w:val="21"/>
              </w:rPr>
              <w:t>柴油</w:t>
            </w:r>
          </w:p>
        </w:tc>
        <w:tc>
          <w:tcPr>
            <w:tcW w:w="1701" w:type="dxa"/>
            <w:vAlign w:val="center"/>
          </w:tcPr>
          <w:p>
            <w:pPr>
              <w:pStyle w:val="24"/>
              <w:ind w:firstLine="0" w:firstLineChars="0"/>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w:t>
            </w:r>
          </w:p>
        </w:tc>
        <w:tc>
          <w:tcPr>
            <w:tcW w:w="1433" w:type="dxa"/>
            <w:vAlign w:val="center"/>
          </w:tcPr>
          <w:p>
            <w:pPr>
              <w:pStyle w:val="24"/>
              <w:ind w:firstLine="0" w:firstLineChars="0"/>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52.2</w:t>
            </w:r>
          </w:p>
        </w:tc>
        <w:tc>
          <w:tcPr>
            <w:tcW w:w="1985" w:type="dxa"/>
            <w:vAlign w:val="center"/>
          </w:tcPr>
          <w:p>
            <w:pPr>
              <w:pStyle w:val="24"/>
              <w:ind w:firstLine="0" w:firstLineChars="0"/>
              <w:jc w:val="center"/>
              <w:rPr>
                <w:rFonts w:hint="eastAsia" w:ascii="宋体" w:hAnsi="宋体" w:eastAsia="宋体"/>
                <w:color w:val="auto"/>
                <w:sz w:val="21"/>
                <w:szCs w:val="21"/>
                <w:lang w:eastAsia="zh-CN"/>
              </w:rPr>
            </w:pPr>
            <w:r>
              <w:rPr>
                <w:rFonts w:ascii="宋体" w:hAnsi="宋体"/>
                <w:color w:val="auto"/>
                <w:sz w:val="21"/>
                <w:szCs w:val="21"/>
              </w:rPr>
              <w:t>埋地储罐3</w:t>
            </w:r>
            <w:r>
              <w:rPr>
                <w:rFonts w:hint="eastAsia" w:ascii="宋体" w:hAnsi="宋体"/>
                <w:color w:val="auto"/>
                <w:sz w:val="21"/>
                <w:szCs w:val="21"/>
              </w:rPr>
              <w:t>0m³x</w:t>
            </w:r>
            <w:r>
              <w:rPr>
                <w:rFonts w:hint="eastAsia" w:ascii="宋体" w:hAnsi="宋体"/>
                <w:color w:val="auto"/>
                <w:sz w:val="21"/>
                <w:szCs w:val="21"/>
                <w:lang w:val="en-US" w:eastAsia="zh-CN"/>
              </w:rPr>
              <w:t>2</w:t>
            </w:r>
          </w:p>
        </w:tc>
        <w:tc>
          <w:tcPr>
            <w:tcW w:w="1073" w:type="dxa"/>
            <w:vAlign w:val="center"/>
          </w:tcPr>
          <w:p>
            <w:pPr>
              <w:pStyle w:val="24"/>
              <w:ind w:firstLine="0" w:firstLineChars="0"/>
              <w:jc w:val="center"/>
              <w:rPr>
                <w:color w:val="auto"/>
                <w:sz w:val="21"/>
                <w:szCs w:val="21"/>
              </w:rPr>
            </w:pPr>
            <w:r>
              <w:rPr>
                <w:rFonts w:hint="eastAsia"/>
                <w:color w:val="auto"/>
                <w:sz w:val="21"/>
                <w:szCs w:val="21"/>
              </w:rPr>
              <w:t>0.87</w:t>
            </w:r>
          </w:p>
        </w:tc>
        <w:tc>
          <w:tcPr>
            <w:tcW w:w="1134" w:type="dxa"/>
          </w:tcPr>
          <w:p>
            <w:pPr>
              <w:pStyle w:val="24"/>
              <w:ind w:firstLine="0" w:firstLineChars="0"/>
              <w:jc w:val="center"/>
              <w:rPr>
                <w:rFonts w:hint="eastAsia"/>
                <w:color w:val="auto"/>
                <w:sz w:val="21"/>
                <w:szCs w:val="21"/>
              </w:rPr>
            </w:pPr>
          </w:p>
        </w:tc>
      </w:tr>
    </w:tbl>
    <w:p>
      <w:pPr>
        <w:ind w:firstLine="480"/>
        <w:rPr>
          <w:rFonts w:hint="eastAsia"/>
          <w:color w:val="auto"/>
          <w:sz w:val="28"/>
          <w:szCs w:val="28"/>
        </w:rPr>
      </w:pPr>
      <w:r>
        <w:rPr>
          <w:rFonts w:hint="eastAsia"/>
          <w:color w:val="auto"/>
          <w:sz w:val="28"/>
          <w:szCs w:val="28"/>
        </w:rPr>
        <w:t>2）物质的危险特性</w:t>
      </w:r>
    </w:p>
    <w:p>
      <w:pPr>
        <w:pStyle w:val="5"/>
        <w:keepNext/>
        <w:ind w:firstLine="400"/>
        <w:jc w:val="center"/>
        <w:rPr>
          <w:color w:val="auto"/>
        </w:rPr>
      </w:pPr>
      <w:r>
        <w:rPr>
          <w:rFonts w:hint="eastAsia"/>
          <w:color w:val="auto"/>
        </w:rPr>
        <w:t xml:space="preserve">表 </w:t>
      </w:r>
      <w:r>
        <w:rPr>
          <w:rFonts w:hint="eastAsia"/>
          <w:color w:val="auto"/>
          <w:lang w:val="en-US" w:eastAsia="zh-CN"/>
        </w:rPr>
        <w:t>3</w:t>
      </w:r>
      <w:r>
        <w:rPr>
          <w:color w:val="auto"/>
        </w:rPr>
        <w:noBreakHyphen/>
      </w:r>
      <w:r>
        <w:rPr>
          <w:color w:val="auto"/>
        </w:rPr>
        <w:fldChar w:fldCharType="begin"/>
      </w:r>
      <w:r>
        <w:rPr>
          <w:color w:val="auto"/>
        </w:rPr>
        <w:instrText xml:space="preserve"> </w:instrText>
      </w:r>
      <w:r>
        <w:rPr>
          <w:rFonts w:hint="eastAsia"/>
          <w:color w:val="auto"/>
        </w:rPr>
        <w:instrText xml:space="preserve">SEQ 表 \* ARABIC \s 1</w:instrText>
      </w:r>
      <w:r>
        <w:rPr>
          <w:color w:val="auto"/>
        </w:rPr>
        <w:instrText xml:space="preserve"> </w:instrText>
      </w:r>
      <w:r>
        <w:rPr>
          <w:color w:val="auto"/>
        </w:rPr>
        <w:fldChar w:fldCharType="separate"/>
      </w:r>
      <w:r>
        <w:rPr>
          <w:color w:val="auto"/>
        </w:rPr>
        <w:t>2</w:t>
      </w:r>
      <w:r>
        <w:rPr>
          <w:color w:val="auto"/>
        </w:rPr>
        <w:fldChar w:fldCharType="end"/>
      </w:r>
      <w:r>
        <w:rPr>
          <w:rFonts w:hint="eastAsia"/>
          <w:color w:val="auto"/>
        </w:rPr>
        <w:t>危险物质一览表</w:t>
      </w:r>
    </w:p>
    <w:tbl>
      <w:tblPr>
        <w:tblStyle w:val="17"/>
        <w:tblW w:w="909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08"/>
        <w:gridCol w:w="1110"/>
        <w:gridCol w:w="1740"/>
        <w:gridCol w:w="2190"/>
        <w:gridCol w:w="1185"/>
        <w:gridCol w:w="16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tcPr>
          <w:p>
            <w:pPr>
              <w:pStyle w:val="24"/>
              <w:ind w:firstLine="0" w:firstLineChars="0"/>
              <w:jc w:val="center"/>
              <w:rPr>
                <w:b/>
                <w:color w:val="auto"/>
                <w:sz w:val="21"/>
                <w:szCs w:val="21"/>
              </w:rPr>
            </w:pPr>
            <w:r>
              <w:rPr>
                <w:b/>
                <w:color w:val="auto"/>
                <w:sz w:val="21"/>
                <w:szCs w:val="21"/>
              </w:rPr>
              <w:t>物质名称</w:t>
            </w:r>
          </w:p>
        </w:tc>
        <w:tc>
          <w:tcPr>
            <w:tcW w:w="1110" w:type="dxa"/>
          </w:tcPr>
          <w:p>
            <w:pPr>
              <w:pStyle w:val="24"/>
              <w:ind w:firstLine="0" w:firstLineChars="0"/>
              <w:jc w:val="center"/>
              <w:rPr>
                <w:b/>
                <w:color w:val="auto"/>
                <w:sz w:val="21"/>
                <w:szCs w:val="21"/>
              </w:rPr>
            </w:pPr>
            <w:r>
              <w:rPr>
                <w:b/>
                <w:color w:val="auto"/>
                <w:sz w:val="21"/>
                <w:szCs w:val="21"/>
              </w:rPr>
              <w:t>危险类别</w:t>
            </w:r>
          </w:p>
        </w:tc>
        <w:tc>
          <w:tcPr>
            <w:tcW w:w="1740" w:type="dxa"/>
          </w:tcPr>
          <w:p>
            <w:pPr>
              <w:pStyle w:val="24"/>
              <w:ind w:firstLine="0" w:firstLineChars="0"/>
              <w:jc w:val="center"/>
              <w:rPr>
                <w:b/>
                <w:color w:val="auto"/>
                <w:sz w:val="21"/>
                <w:szCs w:val="21"/>
              </w:rPr>
            </w:pPr>
            <w:r>
              <w:rPr>
                <w:b/>
                <w:color w:val="auto"/>
                <w:sz w:val="21"/>
                <w:szCs w:val="21"/>
              </w:rPr>
              <w:t>危险化学品序号</w:t>
            </w:r>
          </w:p>
        </w:tc>
        <w:tc>
          <w:tcPr>
            <w:tcW w:w="2190" w:type="dxa"/>
          </w:tcPr>
          <w:p>
            <w:pPr>
              <w:pStyle w:val="24"/>
              <w:ind w:firstLine="0" w:firstLineChars="0"/>
              <w:jc w:val="center"/>
              <w:rPr>
                <w:b/>
                <w:color w:val="auto"/>
                <w:sz w:val="21"/>
                <w:szCs w:val="21"/>
              </w:rPr>
            </w:pPr>
            <w:r>
              <w:rPr>
                <w:b/>
                <w:color w:val="auto"/>
                <w:sz w:val="21"/>
                <w:szCs w:val="21"/>
              </w:rPr>
              <w:t>性状</w:t>
            </w:r>
          </w:p>
        </w:tc>
        <w:tc>
          <w:tcPr>
            <w:tcW w:w="1185" w:type="dxa"/>
          </w:tcPr>
          <w:p>
            <w:pPr>
              <w:pStyle w:val="24"/>
              <w:ind w:firstLine="0" w:firstLineChars="0"/>
              <w:jc w:val="center"/>
              <w:rPr>
                <w:b/>
                <w:color w:val="auto"/>
                <w:sz w:val="21"/>
                <w:szCs w:val="21"/>
              </w:rPr>
            </w:pPr>
            <w:r>
              <w:rPr>
                <w:b/>
                <w:color w:val="auto"/>
                <w:sz w:val="21"/>
                <w:szCs w:val="21"/>
              </w:rPr>
              <w:t>火险类别</w:t>
            </w:r>
          </w:p>
        </w:tc>
        <w:tc>
          <w:tcPr>
            <w:tcW w:w="1658" w:type="dxa"/>
          </w:tcPr>
          <w:p>
            <w:pPr>
              <w:pStyle w:val="24"/>
              <w:ind w:firstLine="0" w:firstLineChars="0"/>
              <w:jc w:val="center"/>
              <w:rPr>
                <w:b/>
                <w:color w:val="auto"/>
                <w:sz w:val="21"/>
                <w:szCs w:val="21"/>
              </w:rPr>
            </w:pPr>
            <w:r>
              <w:rPr>
                <w:b/>
                <w:color w:val="auto"/>
                <w:sz w:val="21"/>
                <w:szCs w:val="21"/>
              </w:rPr>
              <w:t>主要危害特性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pPr>
              <w:pStyle w:val="24"/>
              <w:ind w:firstLine="0" w:firstLineChars="0"/>
              <w:jc w:val="center"/>
              <w:rPr>
                <w:color w:val="auto"/>
                <w:sz w:val="21"/>
                <w:szCs w:val="21"/>
              </w:rPr>
            </w:pPr>
            <w:r>
              <w:rPr>
                <w:color w:val="auto"/>
                <w:sz w:val="21"/>
                <w:szCs w:val="21"/>
              </w:rPr>
              <w:t>汽油</w:t>
            </w:r>
          </w:p>
        </w:tc>
        <w:tc>
          <w:tcPr>
            <w:tcW w:w="1110" w:type="dxa"/>
            <w:vAlign w:val="center"/>
          </w:tcPr>
          <w:p>
            <w:pPr>
              <w:pStyle w:val="24"/>
              <w:ind w:firstLine="0" w:firstLineChars="0"/>
              <w:jc w:val="center"/>
              <w:rPr>
                <w:color w:val="auto"/>
                <w:sz w:val="21"/>
                <w:szCs w:val="21"/>
              </w:rPr>
            </w:pPr>
            <w:r>
              <w:rPr>
                <w:color w:val="auto"/>
                <w:sz w:val="21"/>
                <w:szCs w:val="21"/>
              </w:rPr>
              <w:t>易燃气体</w:t>
            </w:r>
          </w:p>
        </w:tc>
        <w:tc>
          <w:tcPr>
            <w:tcW w:w="1740" w:type="dxa"/>
            <w:vAlign w:val="center"/>
          </w:tcPr>
          <w:p>
            <w:pPr>
              <w:pStyle w:val="24"/>
              <w:ind w:firstLine="0" w:firstLineChars="0"/>
              <w:jc w:val="center"/>
              <w:rPr>
                <w:color w:val="auto"/>
                <w:sz w:val="21"/>
                <w:szCs w:val="21"/>
              </w:rPr>
            </w:pPr>
            <w:r>
              <w:rPr>
                <w:rFonts w:hint="eastAsia"/>
                <w:color w:val="auto"/>
                <w:sz w:val="21"/>
                <w:szCs w:val="21"/>
              </w:rPr>
              <w:t>1630</w:t>
            </w:r>
          </w:p>
        </w:tc>
        <w:tc>
          <w:tcPr>
            <w:tcW w:w="2190" w:type="dxa"/>
            <w:vAlign w:val="center"/>
          </w:tcPr>
          <w:p>
            <w:pPr>
              <w:pStyle w:val="24"/>
              <w:ind w:firstLine="0" w:firstLineChars="0"/>
              <w:jc w:val="center"/>
              <w:rPr>
                <w:color w:val="auto"/>
                <w:sz w:val="21"/>
                <w:szCs w:val="21"/>
              </w:rPr>
            </w:pPr>
            <w:r>
              <w:rPr>
                <w:color w:val="auto"/>
                <w:sz w:val="21"/>
                <w:szCs w:val="21"/>
              </w:rPr>
              <w:t>无色或淡黄色易挥发液体</w:t>
            </w:r>
            <w:r>
              <w:rPr>
                <w:rFonts w:hint="eastAsia"/>
                <w:color w:val="auto"/>
                <w:sz w:val="21"/>
                <w:szCs w:val="21"/>
              </w:rPr>
              <w:t>，</w:t>
            </w:r>
            <w:r>
              <w:rPr>
                <w:color w:val="auto"/>
                <w:sz w:val="21"/>
                <w:szCs w:val="21"/>
              </w:rPr>
              <w:t>具有特殊臭味</w:t>
            </w:r>
          </w:p>
        </w:tc>
        <w:tc>
          <w:tcPr>
            <w:tcW w:w="1185" w:type="dxa"/>
            <w:vAlign w:val="center"/>
          </w:tcPr>
          <w:p>
            <w:pPr>
              <w:pStyle w:val="24"/>
              <w:ind w:firstLine="0" w:firstLineChars="0"/>
              <w:jc w:val="center"/>
              <w:rPr>
                <w:color w:val="auto"/>
                <w:sz w:val="21"/>
                <w:szCs w:val="21"/>
              </w:rPr>
            </w:pPr>
            <w:r>
              <w:rPr>
                <w:color w:val="auto"/>
                <w:sz w:val="21"/>
                <w:szCs w:val="21"/>
              </w:rPr>
              <w:t>甲类</w:t>
            </w:r>
          </w:p>
        </w:tc>
        <w:tc>
          <w:tcPr>
            <w:tcW w:w="1658" w:type="dxa"/>
            <w:vAlign w:val="center"/>
          </w:tcPr>
          <w:p>
            <w:pPr>
              <w:pStyle w:val="24"/>
              <w:ind w:firstLine="0" w:firstLineChars="0"/>
              <w:jc w:val="center"/>
              <w:rPr>
                <w:color w:val="auto"/>
                <w:sz w:val="21"/>
                <w:szCs w:val="21"/>
              </w:rPr>
            </w:pPr>
            <w:r>
              <w:rPr>
                <w:color w:val="auto"/>
                <w:sz w:val="21"/>
                <w:szCs w:val="21"/>
              </w:rPr>
              <w:t>极度易燃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pPr>
              <w:pStyle w:val="24"/>
              <w:ind w:firstLine="0" w:firstLineChars="0"/>
              <w:jc w:val="center"/>
              <w:rPr>
                <w:color w:val="auto"/>
                <w:sz w:val="21"/>
                <w:szCs w:val="21"/>
              </w:rPr>
            </w:pPr>
            <w:r>
              <w:rPr>
                <w:color w:val="auto"/>
                <w:sz w:val="21"/>
                <w:szCs w:val="21"/>
              </w:rPr>
              <w:t>柴油</w:t>
            </w:r>
          </w:p>
        </w:tc>
        <w:tc>
          <w:tcPr>
            <w:tcW w:w="1110" w:type="dxa"/>
            <w:vAlign w:val="center"/>
          </w:tcPr>
          <w:p>
            <w:pPr>
              <w:pStyle w:val="24"/>
              <w:ind w:firstLine="0" w:firstLineChars="0"/>
              <w:jc w:val="center"/>
              <w:rPr>
                <w:color w:val="auto"/>
                <w:sz w:val="21"/>
                <w:szCs w:val="21"/>
              </w:rPr>
            </w:pPr>
            <w:r>
              <w:rPr>
                <w:color w:val="auto"/>
                <w:sz w:val="21"/>
                <w:szCs w:val="21"/>
              </w:rPr>
              <w:t>易燃液体</w:t>
            </w:r>
          </w:p>
        </w:tc>
        <w:tc>
          <w:tcPr>
            <w:tcW w:w="1740" w:type="dxa"/>
            <w:vAlign w:val="center"/>
          </w:tcPr>
          <w:p>
            <w:pPr>
              <w:pStyle w:val="24"/>
              <w:ind w:firstLine="0" w:firstLineChars="0"/>
              <w:jc w:val="center"/>
              <w:rPr>
                <w:rFonts w:hint="default" w:eastAsia="宋体"/>
                <w:color w:val="auto"/>
                <w:sz w:val="21"/>
                <w:szCs w:val="21"/>
                <w:lang w:val="en-US" w:eastAsia="zh-CN"/>
              </w:rPr>
            </w:pPr>
            <w:r>
              <w:rPr>
                <w:rFonts w:hint="eastAsia" w:ascii="宋体" w:hAnsi="宋体"/>
                <w:color w:val="auto"/>
                <w:sz w:val="21"/>
                <w:szCs w:val="21"/>
                <w:lang w:val="en-US" w:eastAsia="zh-CN"/>
              </w:rPr>
              <w:t>--</w:t>
            </w:r>
          </w:p>
        </w:tc>
        <w:tc>
          <w:tcPr>
            <w:tcW w:w="2190" w:type="dxa"/>
            <w:vAlign w:val="center"/>
          </w:tcPr>
          <w:p>
            <w:pPr>
              <w:pStyle w:val="24"/>
              <w:ind w:firstLine="0" w:firstLineChars="0"/>
              <w:jc w:val="center"/>
              <w:rPr>
                <w:color w:val="auto"/>
                <w:sz w:val="21"/>
                <w:szCs w:val="21"/>
              </w:rPr>
            </w:pPr>
            <w:r>
              <w:rPr>
                <w:color w:val="auto"/>
                <w:sz w:val="21"/>
                <w:szCs w:val="21"/>
              </w:rPr>
              <w:t>稍有粘性的棕色液体</w:t>
            </w:r>
          </w:p>
        </w:tc>
        <w:tc>
          <w:tcPr>
            <w:tcW w:w="1185" w:type="dxa"/>
            <w:vAlign w:val="center"/>
          </w:tcPr>
          <w:p>
            <w:pPr>
              <w:pStyle w:val="24"/>
              <w:ind w:firstLine="0" w:firstLineChars="0"/>
              <w:jc w:val="center"/>
              <w:rPr>
                <w:color w:val="auto"/>
                <w:sz w:val="21"/>
                <w:szCs w:val="21"/>
              </w:rPr>
            </w:pPr>
            <w:r>
              <w:rPr>
                <w:rFonts w:hint="eastAsia"/>
                <w:color w:val="auto"/>
                <w:sz w:val="21"/>
                <w:szCs w:val="21"/>
              </w:rPr>
              <w:t>丙</w:t>
            </w:r>
            <w:r>
              <w:rPr>
                <w:color w:val="auto"/>
                <w:sz w:val="21"/>
                <w:szCs w:val="21"/>
              </w:rPr>
              <w:t>类</w:t>
            </w:r>
          </w:p>
        </w:tc>
        <w:tc>
          <w:tcPr>
            <w:tcW w:w="1658" w:type="dxa"/>
            <w:vAlign w:val="center"/>
          </w:tcPr>
          <w:p>
            <w:pPr>
              <w:pStyle w:val="24"/>
              <w:ind w:firstLine="0" w:firstLineChars="0"/>
              <w:jc w:val="center"/>
              <w:rPr>
                <w:color w:val="auto"/>
                <w:sz w:val="21"/>
                <w:szCs w:val="21"/>
              </w:rPr>
            </w:pPr>
            <w:r>
              <w:rPr>
                <w:color w:val="auto"/>
                <w:sz w:val="21"/>
                <w:szCs w:val="21"/>
              </w:rPr>
              <w:t>可燃</w:t>
            </w:r>
            <w:r>
              <w:rPr>
                <w:rFonts w:hint="eastAsia"/>
                <w:color w:val="auto"/>
                <w:sz w:val="21"/>
                <w:szCs w:val="21"/>
              </w:rPr>
              <w:t>，</w:t>
            </w:r>
            <w:r>
              <w:rPr>
                <w:color w:val="auto"/>
                <w:sz w:val="21"/>
                <w:szCs w:val="21"/>
              </w:rPr>
              <w:t>有刺激性</w:t>
            </w:r>
          </w:p>
        </w:tc>
      </w:tr>
    </w:tbl>
    <w:p>
      <w:pPr>
        <w:pStyle w:val="4"/>
        <w:spacing w:after="65"/>
        <w:rPr>
          <w:color w:val="auto"/>
        </w:rPr>
      </w:pPr>
      <w:bookmarkStart w:id="8" w:name="_Toc27407"/>
      <w:bookmarkStart w:id="9" w:name="_Toc4402777"/>
      <w:bookmarkStart w:id="10" w:name="_Toc503774708"/>
      <w:r>
        <w:rPr>
          <w:rFonts w:hint="eastAsia"/>
          <w:color w:val="auto"/>
          <w:lang w:val="en-US" w:eastAsia="zh-CN"/>
        </w:rPr>
        <w:t>3</w:t>
      </w:r>
      <w:r>
        <w:rPr>
          <w:rFonts w:hint="eastAsia"/>
          <w:color w:val="auto"/>
        </w:rPr>
        <w:t>.2</w:t>
      </w:r>
      <w:r>
        <w:rPr>
          <w:rFonts w:hint="eastAsia"/>
          <w:color w:val="auto"/>
          <w:lang w:val="en-US" w:eastAsia="zh-CN"/>
        </w:rPr>
        <w:t>作业过程</w:t>
      </w:r>
      <w:r>
        <w:rPr>
          <w:rFonts w:hint="eastAsia"/>
          <w:color w:val="auto"/>
        </w:rPr>
        <w:t>危险因素分析</w:t>
      </w:r>
      <w:bookmarkEnd w:id="8"/>
      <w:bookmarkEnd w:id="9"/>
      <w:bookmarkEnd w:id="10"/>
    </w:p>
    <w:p>
      <w:pPr>
        <w:ind w:firstLine="480"/>
        <w:rPr>
          <w:rFonts w:hint="default"/>
          <w:color w:val="auto"/>
          <w:sz w:val="28"/>
          <w:szCs w:val="28"/>
          <w:lang w:val="en-US" w:eastAsia="zh-CN"/>
        </w:rPr>
      </w:pPr>
      <w:r>
        <w:rPr>
          <w:rFonts w:hint="eastAsia"/>
          <w:color w:val="auto"/>
          <w:sz w:val="28"/>
          <w:szCs w:val="28"/>
          <w:lang w:eastAsia="zh-CN"/>
        </w:rPr>
        <w:t>（</w:t>
      </w:r>
      <w:r>
        <w:rPr>
          <w:rFonts w:hint="eastAsia"/>
          <w:color w:val="auto"/>
          <w:sz w:val="28"/>
          <w:szCs w:val="28"/>
          <w:lang w:val="en-US" w:eastAsia="zh-CN"/>
        </w:rPr>
        <w:t>1</w:t>
      </w:r>
      <w:r>
        <w:rPr>
          <w:rFonts w:hint="eastAsia"/>
          <w:color w:val="auto"/>
          <w:sz w:val="28"/>
          <w:szCs w:val="28"/>
          <w:lang w:eastAsia="zh-CN"/>
        </w:rPr>
        <w:t>）</w:t>
      </w:r>
      <w:r>
        <w:rPr>
          <w:rFonts w:hint="eastAsia"/>
          <w:color w:val="auto"/>
          <w:sz w:val="28"/>
          <w:szCs w:val="28"/>
          <w:lang w:val="en-US" w:eastAsia="zh-CN"/>
        </w:rPr>
        <w:t>卸油操作</w:t>
      </w:r>
    </w:p>
    <w:p>
      <w:pPr>
        <w:ind w:firstLine="480"/>
        <w:rPr>
          <w:rFonts w:hint="eastAsia"/>
          <w:color w:val="auto"/>
          <w:sz w:val="28"/>
          <w:szCs w:val="28"/>
        </w:rPr>
      </w:pPr>
      <w:r>
        <w:rPr>
          <w:rFonts w:hint="eastAsia"/>
          <w:color w:val="auto"/>
          <w:sz w:val="28"/>
          <w:szCs w:val="28"/>
        </w:rPr>
        <w:t>当油罐车进站后应按规定停靠，尽快卸油，不得积压车辆。若运油槽车进站前未经静置就直接进站卸油，卸油时，若不按规定将导静电装置接在油罐车卸油口的金属部位上，易造成静电聚积会产生火花；操作人员穿铁钉鞋、化纤服上油车作业，会因摩擦生成静电而产生火花，遇油气引起燃烧，如灭火不及时会发生爆炸。雷雨不良天气卸油、操作人员违章作业引发的火灾爆炸事故。卸油完毕后，未及时清理卸油现场，以致地面余油遇到火源而引发火灾事故。</w:t>
      </w:r>
    </w:p>
    <w:p>
      <w:pPr>
        <w:pStyle w:val="5"/>
        <w:keepNext/>
        <w:ind w:firstLine="400"/>
        <w:jc w:val="center"/>
        <w:rPr>
          <w:rFonts w:hint="default" w:eastAsia="黑体"/>
          <w:color w:val="auto"/>
          <w:lang w:val="en-US" w:eastAsia="zh-CN"/>
        </w:rPr>
      </w:pPr>
      <w:r>
        <w:rPr>
          <w:rFonts w:hint="eastAsia"/>
          <w:color w:val="auto"/>
        </w:rPr>
        <w:t xml:space="preserve">表 </w:t>
      </w:r>
      <w:r>
        <w:rPr>
          <w:rFonts w:hint="eastAsia"/>
          <w:color w:val="auto"/>
          <w:lang w:val="en-US" w:eastAsia="zh-CN"/>
        </w:rPr>
        <w:t>3</w:t>
      </w:r>
      <w:r>
        <w:rPr>
          <w:color w:val="auto"/>
        </w:rPr>
        <w:noBreakHyphen/>
      </w:r>
      <w:r>
        <w:rPr>
          <w:rFonts w:hint="eastAsia"/>
          <w:color w:val="auto"/>
          <w:lang w:val="en-US" w:eastAsia="zh-CN"/>
        </w:rPr>
        <w:t>3</w:t>
      </w:r>
      <w:r>
        <w:rPr>
          <w:rFonts w:hint="eastAsia"/>
          <w:color w:val="auto"/>
        </w:rPr>
        <w:t>卸油主要危险、有害因素分析表</w:t>
      </w:r>
    </w:p>
    <w:tbl>
      <w:tblPr>
        <w:tblStyle w:val="16"/>
        <w:tblW w:w="898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7"/>
        <w:gridCol w:w="2056"/>
        <w:gridCol w:w="1980"/>
        <w:gridCol w:w="41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vAlign w:val="center"/>
          </w:tcPr>
          <w:p>
            <w:pPr>
              <w:ind w:firstLine="0" w:firstLineChars="0"/>
              <w:jc w:val="center"/>
              <w:rPr>
                <w:rFonts w:ascii="Times New Roman" w:hAnsi="Times New Roman" w:cs="Times New Roman"/>
                <w:b/>
                <w:color w:val="auto"/>
                <w:kern w:val="0"/>
                <w:sz w:val="21"/>
                <w:szCs w:val="21"/>
              </w:rPr>
            </w:pPr>
            <w:r>
              <w:rPr>
                <w:rFonts w:ascii="Times New Roman" w:hAnsi="Times New Roman" w:cs="Times New Roman"/>
                <w:b/>
                <w:color w:val="auto"/>
                <w:kern w:val="0"/>
                <w:sz w:val="21"/>
                <w:szCs w:val="21"/>
              </w:rPr>
              <w:t>序号</w:t>
            </w:r>
          </w:p>
        </w:tc>
        <w:tc>
          <w:tcPr>
            <w:tcW w:w="2056" w:type="dxa"/>
            <w:vAlign w:val="center"/>
          </w:tcPr>
          <w:p>
            <w:pPr>
              <w:ind w:firstLine="0" w:firstLineChars="0"/>
              <w:jc w:val="center"/>
              <w:rPr>
                <w:rFonts w:ascii="Times New Roman" w:hAnsi="Times New Roman" w:cs="Times New Roman"/>
                <w:b/>
                <w:color w:val="auto"/>
                <w:kern w:val="0"/>
                <w:sz w:val="21"/>
                <w:szCs w:val="21"/>
              </w:rPr>
            </w:pPr>
            <w:r>
              <w:rPr>
                <w:rFonts w:ascii="Times New Roman" w:hAnsi="Times New Roman" w:cs="Times New Roman"/>
                <w:b/>
                <w:color w:val="auto"/>
                <w:kern w:val="0"/>
                <w:sz w:val="21"/>
                <w:szCs w:val="21"/>
              </w:rPr>
              <w:t>故障现象</w:t>
            </w:r>
          </w:p>
        </w:tc>
        <w:tc>
          <w:tcPr>
            <w:tcW w:w="1980" w:type="dxa"/>
            <w:vAlign w:val="center"/>
          </w:tcPr>
          <w:p>
            <w:pPr>
              <w:ind w:firstLine="0" w:firstLineChars="0"/>
              <w:jc w:val="center"/>
              <w:rPr>
                <w:rFonts w:ascii="Times New Roman" w:hAnsi="Times New Roman" w:cs="Times New Roman"/>
                <w:b/>
                <w:color w:val="auto"/>
                <w:kern w:val="0"/>
                <w:sz w:val="21"/>
                <w:szCs w:val="21"/>
              </w:rPr>
            </w:pPr>
            <w:r>
              <w:rPr>
                <w:rFonts w:ascii="Times New Roman" w:hAnsi="Times New Roman" w:cs="Times New Roman"/>
                <w:b/>
                <w:color w:val="auto"/>
                <w:kern w:val="0"/>
                <w:sz w:val="21"/>
                <w:szCs w:val="21"/>
              </w:rPr>
              <w:t>故障原因</w:t>
            </w:r>
          </w:p>
        </w:tc>
        <w:tc>
          <w:tcPr>
            <w:tcW w:w="4185" w:type="dxa"/>
            <w:vAlign w:val="center"/>
          </w:tcPr>
          <w:p>
            <w:pPr>
              <w:ind w:firstLine="0" w:firstLineChars="0"/>
              <w:jc w:val="center"/>
              <w:rPr>
                <w:rFonts w:ascii="Times New Roman" w:hAnsi="Times New Roman" w:cs="Times New Roman"/>
                <w:b/>
                <w:color w:val="auto"/>
                <w:kern w:val="0"/>
                <w:sz w:val="21"/>
                <w:szCs w:val="21"/>
              </w:rPr>
            </w:pPr>
            <w:r>
              <w:rPr>
                <w:rFonts w:ascii="Times New Roman" w:hAnsi="Times New Roman" w:cs="Times New Roman"/>
                <w:b/>
                <w:color w:val="auto"/>
                <w:kern w:val="0"/>
                <w:sz w:val="21"/>
                <w:szCs w:val="21"/>
              </w:rPr>
              <w:t>处理意见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vAlign w:val="center"/>
          </w:tcPr>
          <w:p>
            <w:pPr>
              <w:ind w:firstLine="0" w:firstLineChars="0"/>
              <w:jc w:val="center"/>
              <w:rPr>
                <w:rFonts w:ascii="Times New Roman" w:hAnsi="Times New Roman" w:cs="Times New Roman"/>
                <w:color w:val="auto"/>
                <w:kern w:val="0"/>
                <w:sz w:val="21"/>
                <w:szCs w:val="24"/>
              </w:rPr>
            </w:pPr>
            <w:r>
              <w:rPr>
                <w:rFonts w:ascii="Times New Roman" w:hAnsi="Times New Roman" w:cs="Times New Roman"/>
                <w:color w:val="auto"/>
                <w:kern w:val="0"/>
                <w:sz w:val="21"/>
                <w:szCs w:val="24"/>
              </w:rPr>
              <w:t>1</w:t>
            </w:r>
          </w:p>
        </w:tc>
        <w:tc>
          <w:tcPr>
            <w:tcW w:w="2056" w:type="dxa"/>
            <w:vAlign w:val="center"/>
          </w:tcPr>
          <w:p>
            <w:pPr>
              <w:ind w:firstLine="0" w:firstLineChars="0"/>
              <w:rPr>
                <w:rFonts w:ascii="Times New Roman" w:hAnsi="Times New Roman" w:cs="Times New Roman"/>
                <w:color w:val="auto"/>
                <w:kern w:val="0"/>
                <w:sz w:val="21"/>
                <w:szCs w:val="24"/>
              </w:rPr>
            </w:pPr>
            <w:r>
              <w:rPr>
                <w:rFonts w:ascii="Times New Roman" w:hAnsi="Times New Roman" w:cs="Times New Roman"/>
                <w:color w:val="auto"/>
                <w:kern w:val="0"/>
                <w:sz w:val="21"/>
                <w:szCs w:val="24"/>
              </w:rPr>
              <w:t>油品倒流，管道进气</w:t>
            </w:r>
          </w:p>
        </w:tc>
        <w:tc>
          <w:tcPr>
            <w:tcW w:w="1980" w:type="dxa"/>
            <w:vAlign w:val="center"/>
          </w:tcPr>
          <w:p>
            <w:pPr>
              <w:ind w:firstLine="0" w:firstLineChars="0"/>
              <w:rPr>
                <w:rFonts w:ascii="Times New Roman" w:hAnsi="Times New Roman" w:cs="Times New Roman"/>
                <w:color w:val="auto"/>
                <w:kern w:val="0"/>
                <w:sz w:val="21"/>
                <w:szCs w:val="24"/>
              </w:rPr>
            </w:pPr>
            <w:r>
              <w:rPr>
                <w:rFonts w:ascii="Times New Roman" w:hAnsi="Times New Roman" w:cs="Times New Roman"/>
                <w:color w:val="auto"/>
                <w:kern w:val="0"/>
                <w:sz w:val="21"/>
                <w:szCs w:val="24"/>
              </w:rPr>
              <w:t>底阀安装不到位</w:t>
            </w:r>
          </w:p>
        </w:tc>
        <w:tc>
          <w:tcPr>
            <w:tcW w:w="4185" w:type="dxa"/>
            <w:vAlign w:val="center"/>
          </w:tcPr>
          <w:p>
            <w:pPr>
              <w:ind w:firstLine="0" w:firstLineChars="0"/>
              <w:rPr>
                <w:rFonts w:ascii="Times New Roman" w:hAnsi="Times New Roman" w:cs="Times New Roman"/>
                <w:color w:val="auto"/>
                <w:kern w:val="0"/>
                <w:sz w:val="21"/>
                <w:szCs w:val="24"/>
              </w:rPr>
            </w:pPr>
            <w:r>
              <w:rPr>
                <w:rFonts w:ascii="Times New Roman" w:hAnsi="Times New Roman" w:cs="Times New Roman"/>
                <w:color w:val="auto"/>
                <w:kern w:val="0"/>
                <w:sz w:val="21"/>
                <w:szCs w:val="24"/>
              </w:rPr>
              <w:t>严把质量关，安装到位并加强管理与维修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vAlign w:val="center"/>
          </w:tcPr>
          <w:p>
            <w:pPr>
              <w:ind w:firstLine="0" w:firstLineChars="0"/>
              <w:jc w:val="center"/>
              <w:rPr>
                <w:rFonts w:ascii="Times New Roman" w:hAnsi="Times New Roman" w:cs="Times New Roman"/>
                <w:color w:val="auto"/>
                <w:kern w:val="0"/>
                <w:sz w:val="21"/>
                <w:szCs w:val="24"/>
              </w:rPr>
            </w:pPr>
            <w:r>
              <w:rPr>
                <w:rFonts w:ascii="Times New Roman" w:hAnsi="Times New Roman" w:cs="Times New Roman"/>
                <w:color w:val="auto"/>
                <w:kern w:val="0"/>
                <w:sz w:val="21"/>
                <w:szCs w:val="24"/>
              </w:rPr>
              <w:t>2</w:t>
            </w:r>
          </w:p>
        </w:tc>
        <w:tc>
          <w:tcPr>
            <w:tcW w:w="2056" w:type="dxa"/>
            <w:vAlign w:val="center"/>
          </w:tcPr>
          <w:p>
            <w:pPr>
              <w:ind w:firstLine="0" w:firstLineChars="0"/>
              <w:rPr>
                <w:rFonts w:ascii="Times New Roman" w:hAnsi="Times New Roman" w:cs="Times New Roman"/>
                <w:color w:val="auto"/>
                <w:kern w:val="0"/>
                <w:sz w:val="21"/>
                <w:szCs w:val="24"/>
              </w:rPr>
            </w:pPr>
            <w:r>
              <w:rPr>
                <w:rFonts w:ascii="Times New Roman" w:hAnsi="Times New Roman" w:cs="Times New Roman"/>
                <w:color w:val="auto"/>
                <w:spacing w:val="-4"/>
                <w:kern w:val="0"/>
                <w:sz w:val="21"/>
                <w:szCs w:val="24"/>
              </w:rPr>
              <w:t>量油孔冒油</w:t>
            </w:r>
          </w:p>
        </w:tc>
        <w:tc>
          <w:tcPr>
            <w:tcW w:w="1980" w:type="dxa"/>
            <w:vAlign w:val="center"/>
          </w:tcPr>
          <w:p>
            <w:pPr>
              <w:ind w:firstLine="0" w:firstLineChars="0"/>
              <w:rPr>
                <w:rFonts w:ascii="Times New Roman" w:hAnsi="Times New Roman" w:cs="Times New Roman"/>
                <w:color w:val="auto"/>
                <w:kern w:val="0"/>
                <w:sz w:val="21"/>
                <w:szCs w:val="24"/>
              </w:rPr>
            </w:pPr>
            <w:r>
              <w:rPr>
                <w:rFonts w:ascii="Times New Roman" w:hAnsi="Times New Roman" w:cs="Times New Roman"/>
                <w:color w:val="auto"/>
                <w:spacing w:val="-4"/>
                <w:kern w:val="0"/>
                <w:sz w:val="21"/>
                <w:szCs w:val="24"/>
              </w:rPr>
              <w:t>量油孔</w:t>
            </w:r>
            <w:r>
              <w:rPr>
                <w:rFonts w:ascii="Times New Roman" w:hAnsi="Times New Roman" w:cs="Times New Roman"/>
                <w:color w:val="auto"/>
                <w:kern w:val="0"/>
                <w:sz w:val="21"/>
                <w:szCs w:val="24"/>
              </w:rPr>
              <w:t>关闭不严或</w:t>
            </w:r>
            <w:r>
              <w:rPr>
                <w:rFonts w:ascii="Times New Roman" w:hAnsi="Times New Roman" w:cs="Times New Roman"/>
                <w:color w:val="auto"/>
                <w:spacing w:val="-4"/>
                <w:kern w:val="0"/>
                <w:sz w:val="21"/>
                <w:szCs w:val="24"/>
              </w:rPr>
              <w:t>接合管未形成液封</w:t>
            </w:r>
          </w:p>
        </w:tc>
        <w:tc>
          <w:tcPr>
            <w:tcW w:w="4185" w:type="dxa"/>
            <w:vAlign w:val="center"/>
          </w:tcPr>
          <w:p>
            <w:pPr>
              <w:ind w:firstLine="0" w:firstLineChars="0"/>
              <w:rPr>
                <w:rFonts w:ascii="Times New Roman" w:hAnsi="Times New Roman" w:cs="Times New Roman"/>
                <w:color w:val="auto"/>
                <w:kern w:val="0"/>
                <w:sz w:val="21"/>
                <w:szCs w:val="24"/>
              </w:rPr>
            </w:pPr>
            <w:r>
              <w:rPr>
                <w:rFonts w:ascii="Times New Roman" w:hAnsi="Times New Roman" w:cs="Times New Roman"/>
                <w:color w:val="auto"/>
                <w:kern w:val="0"/>
                <w:sz w:val="21"/>
                <w:szCs w:val="24"/>
              </w:rPr>
              <w:t>严把质量关，安装到位并加强管理与维修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vAlign w:val="center"/>
          </w:tcPr>
          <w:p>
            <w:pPr>
              <w:ind w:firstLine="0" w:firstLineChars="0"/>
              <w:jc w:val="center"/>
              <w:rPr>
                <w:rFonts w:ascii="Times New Roman" w:hAnsi="Times New Roman" w:cs="Times New Roman"/>
                <w:color w:val="auto"/>
                <w:kern w:val="0"/>
                <w:sz w:val="21"/>
                <w:szCs w:val="24"/>
              </w:rPr>
            </w:pPr>
            <w:r>
              <w:rPr>
                <w:rFonts w:ascii="Times New Roman" w:hAnsi="Times New Roman" w:cs="Times New Roman"/>
                <w:color w:val="auto"/>
                <w:kern w:val="0"/>
                <w:sz w:val="21"/>
                <w:szCs w:val="24"/>
              </w:rPr>
              <w:t>3</w:t>
            </w:r>
          </w:p>
        </w:tc>
        <w:tc>
          <w:tcPr>
            <w:tcW w:w="2056" w:type="dxa"/>
            <w:vAlign w:val="center"/>
          </w:tcPr>
          <w:p>
            <w:pPr>
              <w:ind w:firstLine="0" w:firstLineChars="0"/>
              <w:rPr>
                <w:rFonts w:ascii="Times New Roman" w:hAnsi="Times New Roman" w:cs="Times New Roman"/>
                <w:color w:val="auto"/>
                <w:kern w:val="0"/>
                <w:sz w:val="21"/>
                <w:szCs w:val="24"/>
              </w:rPr>
            </w:pPr>
            <w:r>
              <w:rPr>
                <w:rFonts w:ascii="Times New Roman" w:hAnsi="Times New Roman" w:cs="Times New Roman"/>
                <w:color w:val="auto"/>
                <w:kern w:val="0"/>
                <w:sz w:val="21"/>
                <w:szCs w:val="24"/>
              </w:rPr>
              <w:t>卸油时发生着火</w:t>
            </w:r>
          </w:p>
        </w:tc>
        <w:tc>
          <w:tcPr>
            <w:tcW w:w="1980" w:type="dxa"/>
            <w:vAlign w:val="center"/>
          </w:tcPr>
          <w:p>
            <w:pPr>
              <w:ind w:firstLine="0" w:firstLineChars="0"/>
              <w:rPr>
                <w:rFonts w:ascii="Times New Roman" w:hAnsi="Times New Roman" w:cs="Times New Roman"/>
                <w:color w:val="auto"/>
                <w:kern w:val="0"/>
                <w:sz w:val="21"/>
                <w:szCs w:val="24"/>
              </w:rPr>
            </w:pPr>
            <w:r>
              <w:rPr>
                <w:rFonts w:ascii="Times New Roman" w:hAnsi="Times New Roman" w:cs="Times New Roman"/>
                <w:color w:val="auto"/>
                <w:kern w:val="0"/>
                <w:sz w:val="21"/>
                <w:szCs w:val="24"/>
              </w:rPr>
              <w:t>敞口卸油所致</w:t>
            </w:r>
          </w:p>
        </w:tc>
        <w:tc>
          <w:tcPr>
            <w:tcW w:w="4185" w:type="dxa"/>
            <w:vAlign w:val="center"/>
          </w:tcPr>
          <w:p>
            <w:pPr>
              <w:ind w:firstLine="0" w:firstLineChars="0"/>
              <w:rPr>
                <w:rFonts w:ascii="Times New Roman" w:hAnsi="Times New Roman" w:cs="Times New Roman"/>
                <w:color w:val="auto"/>
                <w:kern w:val="0"/>
                <w:sz w:val="21"/>
                <w:szCs w:val="24"/>
              </w:rPr>
            </w:pPr>
            <w:r>
              <w:rPr>
                <w:rFonts w:ascii="Times New Roman" w:hAnsi="Times New Roman" w:cs="Times New Roman"/>
                <w:color w:val="auto"/>
                <w:kern w:val="0"/>
                <w:sz w:val="21"/>
                <w:szCs w:val="24"/>
              </w:rPr>
              <w:t>改敞口卸油为密闭卸油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vAlign w:val="center"/>
          </w:tcPr>
          <w:p>
            <w:pPr>
              <w:ind w:firstLine="0" w:firstLineChars="0"/>
              <w:jc w:val="center"/>
              <w:rPr>
                <w:rFonts w:ascii="Times New Roman" w:hAnsi="Times New Roman" w:cs="Times New Roman"/>
                <w:color w:val="auto"/>
                <w:kern w:val="0"/>
                <w:sz w:val="21"/>
                <w:szCs w:val="24"/>
              </w:rPr>
            </w:pPr>
            <w:r>
              <w:rPr>
                <w:rFonts w:ascii="Times New Roman" w:hAnsi="Times New Roman" w:cs="Times New Roman"/>
                <w:color w:val="auto"/>
                <w:kern w:val="0"/>
                <w:sz w:val="21"/>
                <w:szCs w:val="24"/>
              </w:rPr>
              <w:t>4</w:t>
            </w:r>
          </w:p>
        </w:tc>
        <w:tc>
          <w:tcPr>
            <w:tcW w:w="2056" w:type="dxa"/>
            <w:vAlign w:val="center"/>
          </w:tcPr>
          <w:p>
            <w:pPr>
              <w:ind w:firstLine="0" w:firstLineChars="0"/>
              <w:rPr>
                <w:rFonts w:ascii="Times New Roman" w:hAnsi="Times New Roman" w:cs="Times New Roman"/>
                <w:color w:val="auto"/>
                <w:kern w:val="0"/>
                <w:sz w:val="21"/>
                <w:szCs w:val="24"/>
              </w:rPr>
            </w:pPr>
            <w:r>
              <w:rPr>
                <w:rFonts w:ascii="Times New Roman" w:hAnsi="Times New Roman" w:cs="Times New Roman"/>
                <w:color w:val="auto"/>
                <w:kern w:val="0"/>
                <w:sz w:val="21"/>
                <w:szCs w:val="24"/>
              </w:rPr>
              <w:t>未消除静电</w:t>
            </w:r>
          </w:p>
        </w:tc>
        <w:tc>
          <w:tcPr>
            <w:tcW w:w="1980" w:type="dxa"/>
            <w:vAlign w:val="center"/>
          </w:tcPr>
          <w:p>
            <w:pPr>
              <w:ind w:firstLine="0" w:firstLineChars="0"/>
              <w:rPr>
                <w:rFonts w:ascii="Times New Roman" w:hAnsi="Times New Roman" w:cs="Times New Roman"/>
                <w:color w:val="auto"/>
                <w:kern w:val="0"/>
                <w:sz w:val="21"/>
                <w:szCs w:val="24"/>
              </w:rPr>
            </w:pPr>
            <w:r>
              <w:rPr>
                <w:rFonts w:ascii="Times New Roman" w:hAnsi="Times New Roman" w:cs="Times New Roman"/>
                <w:color w:val="auto"/>
                <w:kern w:val="0"/>
                <w:sz w:val="21"/>
                <w:szCs w:val="24"/>
              </w:rPr>
              <w:t>跑、冒、滴、漏，接地不良</w:t>
            </w:r>
          </w:p>
        </w:tc>
        <w:tc>
          <w:tcPr>
            <w:tcW w:w="4185" w:type="dxa"/>
            <w:vAlign w:val="center"/>
          </w:tcPr>
          <w:p>
            <w:pPr>
              <w:ind w:firstLine="0" w:firstLineChars="0"/>
              <w:rPr>
                <w:rFonts w:ascii="Times New Roman" w:hAnsi="Times New Roman" w:cs="Times New Roman"/>
                <w:color w:val="auto"/>
                <w:kern w:val="0"/>
                <w:sz w:val="21"/>
                <w:szCs w:val="24"/>
              </w:rPr>
            </w:pPr>
            <w:r>
              <w:rPr>
                <w:rFonts w:ascii="Times New Roman" w:hAnsi="Times New Roman" w:cs="Times New Roman"/>
                <w:color w:val="auto"/>
                <w:kern w:val="0"/>
                <w:sz w:val="21"/>
                <w:szCs w:val="24"/>
              </w:rPr>
              <w:t>控制流速等</w:t>
            </w:r>
          </w:p>
        </w:tc>
      </w:tr>
    </w:tbl>
    <w:p>
      <w:pPr>
        <w:ind w:firstLine="480"/>
        <w:rPr>
          <w:rFonts w:hint="default"/>
          <w:color w:val="auto"/>
          <w:sz w:val="28"/>
          <w:szCs w:val="28"/>
          <w:lang w:val="en-US" w:eastAsia="zh-CN"/>
        </w:rPr>
      </w:pPr>
      <w:r>
        <w:rPr>
          <w:rFonts w:hint="eastAsia"/>
          <w:color w:val="auto"/>
          <w:sz w:val="28"/>
          <w:szCs w:val="28"/>
          <w:lang w:eastAsia="zh-CN"/>
        </w:rPr>
        <w:t>（</w:t>
      </w:r>
      <w:r>
        <w:rPr>
          <w:rFonts w:hint="eastAsia"/>
          <w:color w:val="auto"/>
          <w:sz w:val="28"/>
          <w:szCs w:val="28"/>
          <w:lang w:val="en-US" w:eastAsia="zh-CN"/>
        </w:rPr>
        <w:t>2</w:t>
      </w:r>
      <w:r>
        <w:rPr>
          <w:rFonts w:hint="eastAsia"/>
          <w:color w:val="auto"/>
          <w:sz w:val="28"/>
          <w:szCs w:val="28"/>
          <w:lang w:eastAsia="zh-CN"/>
        </w:rPr>
        <w:t>）</w:t>
      </w:r>
      <w:r>
        <w:rPr>
          <w:rFonts w:hint="eastAsia"/>
          <w:color w:val="auto"/>
          <w:sz w:val="28"/>
          <w:szCs w:val="28"/>
          <w:lang w:val="en-US" w:eastAsia="zh-CN"/>
        </w:rPr>
        <w:t>加油操作</w:t>
      </w:r>
    </w:p>
    <w:p>
      <w:pPr>
        <w:ind w:firstLine="480"/>
        <w:rPr>
          <w:rFonts w:hint="eastAsia"/>
          <w:color w:val="auto"/>
          <w:sz w:val="28"/>
          <w:szCs w:val="28"/>
          <w:lang w:eastAsia="zh-CN"/>
        </w:rPr>
      </w:pPr>
      <w:r>
        <w:rPr>
          <w:rFonts w:hint="eastAsia"/>
          <w:color w:val="auto"/>
          <w:sz w:val="28"/>
          <w:szCs w:val="28"/>
          <w:lang w:eastAsia="zh-CN"/>
        </w:rPr>
        <w:t>加油区周围分布的油气浓度相对比较高，加油机加油时，油气向外扩散，导致瞬间局部区域油气浓度升高，遇明火会产生燃烧，甚至引发爆炸。</w:t>
      </w:r>
    </w:p>
    <w:p>
      <w:pPr>
        <w:ind w:firstLine="480"/>
        <w:rPr>
          <w:rFonts w:hint="eastAsia"/>
          <w:color w:val="auto"/>
          <w:sz w:val="28"/>
          <w:szCs w:val="28"/>
          <w:lang w:eastAsia="zh-CN"/>
        </w:rPr>
      </w:pPr>
      <w:r>
        <w:rPr>
          <w:rFonts w:hint="eastAsia"/>
          <w:color w:val="auto"/>
          <w:sz w:val="28"/>
          <w:szCs w:val="28"/>
          <w:lang w:eastAsia="zh-CN"/>
        </w:rPr>
        <w:t>加油站车辆进入加油区，若车辆未经熄火就开始加油，车辆排气管产生的火花会成为火源，从而引发火灾爆炸事故。</w:t>
      </w:r>
    </w:p>
    <w:p>
      <w:pPr>
        <w:ind w:firstLine="480"/>
        <w:rPr>
          <w:rFonts w:hint="eastAsia"/>
          <w:color w:val="auto"/>
          <w:sz w:val="28"/>
          <w:szCs w:val="28"/>
          <w:lang w:eastAsia="zh-CN"/>
        </w:rPr>
      </w:pPr>
      <w:r>
        <w:rPr>
          <w:rFonts w:hint="eastAsia"/>
          <w:color w:val="auto"/>
          <w:sz w:val="28"/>
          <w:szCs w:val="28"/>
          <w:lang w:eastAsia="zh-CN"/>
        </w:rPr>
        <w:t>加油枪与车辆油箱撞击或放置时与加油机相撞，极易产生火花，造成火灾。加油站操作人员身着化纤服装，化纤易产生静电，加油时拍打衣服，会产生火花。拨打手机也易产生火花。</w:t>
      </w:r>
    </w:p>
    <w:p>
      <w:pPr>
        <w:ind w:firstLine="480"/>
        <w:rPr>
          <w:rFonts w:hint="eastAsia"/>
          <w:color w:val="auto"/>
          <w:sz w:val="28"/>
          <w:szCs w:val="28"/>
          <w:lang w:eastAsia="zh-CN"/>
        </w:rPr>
      </w:pPr>
      <w:r>
        <w:rPr>
          <w:rFonts w:hint="eastAsia"/>
          <w:color w:val="auto"/>
          <w:sz w:val="28"/>
          <w:szCs w:val="28"/>
          <w:lang w:eastAsia="zh-CN"/>
        </w:rPr>
        <w:t>若加油流量大会于50L/min，可能导致油沫益出或静电着火，同时可能导致静电积聚，引发事故。</w:t>
      </w:r>
    </w:p>
    <w:p>
      <w:pPr>
        <w:pStyle w:val="5"/>
        <w:keepNext/>
        <w:ind w:firstLine="400"/>
        <w:jc w:val="center"/>
        <w:rPr>
          <w:color w:val="auto"/>
        </w:rPr>
      </w:pPr>
      <w:r>
        <w:rPr>
          <w:rFonts w:hint="eastAsia"/>
          <w:color w:val="auto"/>
        </w:rPr>
        <w:t xml:space="preserve">表 </w:t>
      </w:r>
      <w:r>
        <w:rPr>
          <w:rFonts w:hint="eastAsia"/>
          <w:color w:val="auto"/>
          <w:lang w:val="en-US" w:eastAsia="zh-CN"/>
        </w:rPr>
        <w:t>3</w:t>
      </w:r>
      <w:r>
        <w:rPr>
          <w:color w:val="auto"/>
        </w:rPr>
        <w:noBreakHyphen/>
      </w:r>
      <w:r>
        <w:rPr>
          <w:rFonts w:hint="eastAsia"/>
          <w:color w:val="auto"/>
          <w:lang w:val="en-US" w:eastAsia="zh-CN"/>
        </w:rPr>
        <w:t>4</w:t>
      </w:r>
      <w:r>
        <w:rPr>
          <w:rFonts w:hint="eastAsia"/>
          <w:color w:val="auto"/>
        </w:rPr>
        <w:t>加油主要危险、有害因素分析表</w:t>
      </w:r>
    </w:p>
    <w:tbl>
      <w:tblPr>
        <w:tblStyle w:val="16"/>
        <w:tblW w:w="89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0"/>
        <w:gridCol w:w="4877"/>
        <w:gridCol w:w="31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960" w:type="dxa"/>
            <w:vAlign w:val="center"/>
          </w:tcPr>
          <w:p>
            <w:pPr>
              <w:ind w:firstLine="0" w:firstLineChars="0"/>
              <w:jc w:val="center"/>
              <w:rPr>
                <w:rFonts w:ascii="Times New Roman" w:hAnsi="Times New Roman" w:cs="Times New Roman"/>
                <w:b/>
                <w:color w:val="auto"/>
                <w:kern w:val="0"/>
                <w:sz w:val="21"/>
                <w:szCs w:val="24"/>
              </w:rPr>
            </w:pPr>
            <w:r>
              <w:rPr>
                <w:rFonts w:ascii="Times New Roman" w:hAnsi="Times New Roman" w:cs="Times New Roman"/>
                <w:b/>
                <w:color w:val="auto"/>
                <w:kern w:val="0"/>
                <w:sz w:val="21"/>
                <w:szCs w:val="24"/>
              </w:rPr>
              <w:t>序号</w:t>
            </w:r>
          </w:p>
        </w:tc>
        <w:tc>
          <w:tcPr>
            <w:tcW w:w="4877" w:type="dxa"/>
            <w:vAlign w:val="center"/>
          </w:tcPr>
          <w:p>
            <w:pPr>
              <w:ind w:firstLine="0" w:firstLineChars="0"/>
              <w:jc w:val="center"/>
              <w:rPr>
                <w:rFonts w:ascii="Times New Roman" w:hAnsi="Times New Roman" w:cs="Times New Roman"/>
                <w:b/>
                <w:color w:val="auto"/>
                <w:kern w:val="0"/>
                <w:sz w:val="21"/>
                <w:szCs w:val="24"/>
              </w:rPr>
            </w:pPr>
            <w:r>
              <w:rPr>
                <w:rFonts w:ascii="Times New Roman" w:hAnsi="Times New Roman" w:cs="Times New Roman"/>
                <w:b/>
                <w:color w:val="auto"/>
                <w:kern w:val="0"/>
                <w:sz w:val="21"/>
                <w:szCs w:val="24"/>
              </w:rPr>
              <w:t>主要危险、有害因素</w:t>
            </w:r>
          </w:p>
        </w:tc>
        <w:tc>
          <w:tcPr>
            <w:tcW w:w="3101" w:type="dxa"/>
            <w:vAlign w:val="center"/>
          </w:tcPr>
          <w:p>
            <w:pPr>
              <w:ind w:firstLine="0" w:firstLineChars="0"/>
              <w:jc w:val="center"/>
              <w:rPr>
                <w:rFonts w:ascii="Times New Roman" w:hAnsi="Times New Roman" w:cs="Times New Roman"/>
                <w:b/>
                <w:color w:val="auto"/>
                <w:kern w:val="0"/>
                <w:sz w:val="21"/>
                <w:szCs w:val="24"/>
              </w:rPr>
            </w:pPr>
            <w:r>
              <w:rPr>
                <w:rFonts w:ascii="Times New Roman" w:hAnsi="Times New Roman" w:cs="Times New Roman"/>
                <w:b/>
                <w:color w:val="auto"/>
                <w:kern w:val="0"/>
                <w:sz w:val="21"/>
                <w:szCs w:val="24"/>
              </w:rPr>
              <w:t>处理意见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960" w:type="dxa"/>
          </w:tcPr>
          <w:p>
            <w:pPr>
              <w:ind w:firstLine="0" w:firstLineChars="0"/>
              <w:jc w:val="center"/>
              <w:rPr>
                <w:rFonts w:ascii="Times New Roman" w:hAnsi="Times New Roman" w:cs="Times New Roman"/>
                <w:color w:val="auto"/>
                <w:kern w:val="0"/>
                <w:sz w:val="21"/>
                <w:szCs w:val="24"/>
              </w:rPr>
            </w:pPr>
            <w:r>
              <w:rPr>
                <w:rFonts w:ascii="Times New Roman" w:hAnsi="Times New Roman" w:cs="Times New Roman"/>
                <w:color w:val="auto"/>
                <w:kern w:val="0"/>
                <w:sz w:val="21"/>
                <w:szCs w:val="24"/>
              </w:rPr>
              <w:t>1</w:t>
            </w:r>
          </w:p>
        </w:tc>
        <w:tc>
          <w:tcPr>
            <w:tcW w:w="4877" w:type="dxa"/>
          </w:tcPr>
          <w:p>
            <w:pPr>
              <w:ind w:firstLine="0" w:firstLineChars="0"/>
              <w:rPr>
                <w:rFonts w:ascii="Times New Roman" w:hAnsi="Times New Roman" w:cs="Times New Roman"/>
                <w:color w:val="auto"/>
                <w:kern w:val="0"/>
                <w:sz w:val="21"/>
                <w:szCs w:val="24"/>
              </w:rPr>
            </w:pPr>
            <w:r>
              <w:rPr>
                <w:rFonts w:hint="eastAsia" w:ascii="Times New Roman" w:hAnsi="Times New Roman" w:cs="Times New Roman"/>
                <w:color w:val="auto"/>
                <w:kern w:val="0"/>
                <w:sz w:val="21"/>
                <w:szCs w:val="24"/>
              </w:rPr>
              <w:t>潜油泵</w:t>
            </w:r>
            <w:r>
              <w:rPr>
                <w:rFonts w:ascii="Times New Roman" w:hAnsi="Times New Roman" w:cs="Times New Roman"/>
                <w:color w:val="auto"/>
                <w:kern w:val="0"/>
                <w:sz w:val="21"/>
                <w:szCs w:val="24"/>
              </w:rPr>
              <w:t>加油机加油不正常</w:t>
            </w:r>
          </w:p>
        </w:tc>
        <w:tc>
          <w:tcPr>
            <w:tcW w:w="3101" w:type="dxa"/>
          </w:tcPr>
          <w:p>
            <w:pPr>
              <w:ind w:firstLine="0" w:firstLineChars="0"/>
              <w:jc w:val="left"/>
              <w:rPr>
                <w:rFonts w:ascii="Times New Roman" w:hAnsi="Times New Roman" w:cs="Times New Roman"/>
                <w:color w:val="auto"/>
                <w:kern w:val="0"/>
                <w:sz w:val="21"/>
                <w:szCs w:val="24"/>
              </w:rPr>
            </w:pPr>
            <w:r>
              <w:rPr>
                <w:rFonts w:ascii="Times New Roman" w:hAnsi="Times New Roman" w:cs="Times New Roman"/>
                <w:color w:val="auto"/>
                <w:kern w:val="0"/>
                <w:sz w:val="21"/>
                <w:szCs w:val="24"/>
              </w:rPr>
              <w:t>加强维护与管理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960" w:type="dxa"/>
          </w:tcPr>
          <w:p>
            <w:pPr>
              <w:ind w:firstLine="0" w:firstLineChars="0"/>
              <w:jc w:val="center"/>
              <w:rPr>
                <w:rFonts w:ascii="Times New Roman" w:hAnsi="Times New Roman" w:cs="Times New Roman"/>
                <w:color w:val="auto"/>
                <w:kern w:val="0"/>
                <w:sz w:val="21"/>
                <w:szCs w:val="24"/>
              </w:rPr>
            </w:pPr>
            <w:r>
              <w:rPr>
                <w:rFonts w:ascii="Times New Roman" w:hAnsi="Times New Roman" w:cs="Times New Roman"/>
                <w:color w:val="auto"/>
                <w:kern w:val="0"/>
                <w:sz w:val="21"/>
                <w:szCs w:val="24"/>
              </w:rPr>
              <w:t>2</w:t>
            </w:r>
          </w:p>
        </w:tc>
        <w:tc>
          <w:tcPr>
            <w:tcW w:w="4877" w:type="dxa"/>
          </w:tcPr>
          <w:p>
            <w:pPr>
              <w:ind w:firstLine="0" w:firstLineChars="0"/>
              <w:rPr>
                <w:rFonts w:ascii="Times New Roman" w:hAnsi="Times New Roman" w:cs="Times New Roman"/>
                <w:color w:val="auto"/>
                <w:kern w:val="0"/>
                <w:sz w:val="21"/>
                <w:szCs w:val="24"/>
              </w:rPr>
            </w:pPr>
            <w:r>
              <w:rPr>
                <w:rFonts w:ascii="Times New Roman" w:hAnsi="Times New Roman" w:cs="Times New Roman"/>
                <w:color w:val="auto"/>
                <w:spacing w:val="-4"/>
                <w:kern w:val="0"/>
                <w:sz w:val="21"/>
                <w:szCs w:val="24"/>
              </w:rPr>
              <w:t>电气设备失灵</w:t>
            </w:r>
          </w:p>
        </w:tc>
        <w:tc>
          <w:tcPr>
            <w:tcW w:w="3101" w:type="dxa"/>
          </w:tcPr>
          <w:p>
            <w:pPr>
              <w:ind w:firstLine="0" w:firstLineChars="0"/>
              <w:jc w:val="left"/>
              <w:rPr>
                <w:rFonts w:ascii="Times New Roman" w:hAnsi="Times New Roman" w:cs="Times New Roman"/>
                <w:color w:val="auto"/>
                <w:kern w:val="0"/>
                <w:sz w:val="21"/>
                <w:szCs w:val="24"/>
              </w:rPr>
            </w:pPr>
            <w:r>
              <w:rPr>
                <w:rFonts w:ascii="Times New Roman" w:hAnsi="Times New Roman" w:cs="Times New Roman"/>
                <w:color w:val="auto"/>
                <w:kern w:val="0"/>
                <w:sz w:val="21"/>
                <w:szCs w:val="24"/>
              </w:rPr>
              <w:t>加强维护与管理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960" w:type="dxa"/>
          </w:tcPr>
          <w:p>
            <w:pPr>
              <w:ind w:firstLine="0" w:firstLineChars="0"/>
              <w:jc w:val="center"/>
              <w:rPr>
                <w:rFonts w:ascii="Times New Roman" w:hAnsi="Times New Roman" w:cs="Times New Roman"/>
                <w:color w:val="auto"/>
                <w:kern w:val="0"/>
                <w:sz w:val="21"/>
                <w:szCs w:val="24"/>
              </w:rPr>
            </w:pPr>
            <w:r>
              <w:rPr>
                <w:rFonts w:ascii="Times New Roman" w:hAnsi="Times New Roman" w:cs="Times New Roman"/>
                <w:color w:val="auto"/>
                <w:kern w:val="0"/>
                <w:sz w:val="21"/>
                <w:szCs w:val="24"/>
              </w:rPr>
              <w:t>3</w:t>
            </w:r>
          </w:p>
        </w:tc>
        <w:tc>
          <w:tcPr>
            <w:tcW w:w="4877" w:type="dxa"/>
          </w:tcPr>
          <w:p>
            <w:pPr>
              <w:ind w:firstLine="0" w:firstLineChars="0"/>
              <w:rPr>
                <w:rFonts w:ascii="Times New Roman" w:hAnsi="Times New Roman" w:cs="Times New Roman"/>
                <w:color w:val="auto"/>
                <w:kern w:val="0"/>
                <w:sz w:val="21"/>
                <w:szCs w:val="24"/>
              </w:rPr>
            </w:pPr>
            <w:r>
              <w:rPr>
                <w:rFonts w:ascii="Times New Roman" w:hAnsi="Times New Roman" w:cs="Times New Roman"/>
                <w:color w:val="auto"/>
                <w:kern w:val="0"/>
                <w:sz w:val="21"/>
                <w:szCs w:val="24"/>
              </w:rPr>
              <w:t>油品质量差</w:t>
            </w:r>
          </w:p>
        </w:tc>
        <w:tc>
          <w:tcPr>
            <w:tcW w:w="3101" w:type="dxa"/>
          </w:tcPr>
          <w:p>
            <w:pPr>
              <w:ind w:firstLine="0" w:firstLineChars="0"/>
              <w:jc w:val="left"/>
              <w:rPr>
                <w:rFonts w:ascii="Times New Roman" w:hAnsi="Times New Roman" w:cs="Times New Roman"/>
                <w:color w:val="auto"/>
                <w:kern w:val="0"/>
                <w:sz w:val="21"/>
                <w:szCs w:val="24"/>
              </w:rPr>
            </w:pPr>
            <w:r>
              <w:rPr>
                <w:rFonts w:ascii="Times New Roman" w:hAnsi="Times New Roman" w:cs="Times New Roman"/>
                <w:color w:val="auto"/>
                <w:kern w:val="0"/>
                <w:sz w:val="21"/>
                <w:szCs w:val="24"/>
              </w:rPr>
              <w:t>进行系统清洗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960" w:type="dxa"/>
          </w:tcPr>
          <w:p>
            <w:pPr>
              <w:ind w:firstLine="0" w:firstLineChars="0"/>
              <w:jc w:val="center"/>
              <w:rPr>
                <w:rFonts w:ascii="Times New Roman" w:hAnsi="Times New Roman" w:cs="Times New Roman"/>
                <w:color w:val="auto"/>
                <w:kern w:val="0"/>
                <w:sz w:val="21"/>
                <w:szCs w:val="24"/>
              </w:rPr>
            </w:pPr>
            <w:r>
              <w:rPr>
                <w:rFonts w:ascii="Times New Roman" w:hAnsi="Times New Roman" w:cs="Times New Roman"/>
                <w:color w:val="auto"/>
                <w:kern w:val="0"/>
                <w:sz w:val="21"/>
                <w:szCs w:val="24"/>
              </w:rPr>
              <w:t>4</w:t>
            </w:r>
          </w:p>
        </w:tc>
        <w:tc>
          <w:tcPr>
            <w:tcW w:w="4877" w:type="dxa"/>
          </w:tcPr>
          <w:p>
            <w:pPr>
              <w:ind w:firstLine="0" w:firstLineChars="0"/>
              <w:rPr>
                <w:rFonts w:ascii="Times New Roman" w:hAnsi="Times New Roman" w:cs="Times New Roman"/>
                <w:color w:val="auto"/>
                <w:kern w:val="0"/>
                <w:sz w:val="21"/>
                <w:szCs w:val="24"/>
              </w:rPr>
            </w:pPr>
            <w:r>
              <w:rPr>
                <w:rFonts w:ascii="Times New Roman" w:hAnsi="Times New Roman" w:cs="Times New Roman"/>
                <w:color w:val="auto"/>
                <w:kern w:val="0"/>
                <w:sz w:val="21"/>
                <w:szCs w:val="24"/>
              </w:rPr>
              <w:t xml:space="preserve">加油机油枪未采用不发生火花的枪口 </w:t>
            </w:r>
          </w:p>
        </w:tc>
        <w:tc>
          <w:tcPr>
            <w:tcW w:w="3101" w:type="dxa"/>
          </w:tcPr>
          <w:p>
            <w:pPr>
              <w:ind w:firstLine="0" w:firstLineChars="0"/>
              <w:jc w:val="left"/>
              <w:rPr>
                <w:rFonts w:ascii="Times New Roman" w:hAnsi="Times New Roman" w:cs="Times New Roman"/>
                <w:color w:val="auto"/>
                <w:kern w:val="0"/>
                <w:sz w:val="21"/>
                <w:szCs w:val="24"/>
              </w:rPr>
            </w:pPr>
            <w:r>
              <w:rPr>
                <w:rFonts w:ascii="Times New Roman" w:hAnsi="Times New Roman" w:cs="Times New Roman"/>
                <w:color w:val="auto"/>
                <w:kern w:val="0"/>
                <w:sz w:val="21"/>
                <w:szCs w:val="24"/>
              </w:rPr>
              <w:t>更换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960" w:type="dxa"/>
            <w:vAlign w:val="top"/>
          </w:tcPr>
          <w:p>
            <w:pPr>
              <w:ind w:firstLine="0" w:firstLineChars="0"/>
              <w:jc w:val="center"/>
              <w:rPr>
                <w:rFonts w:ascii="Times New Roman" w:hAnsi="Times New Roman" w:cs="Times New Roman"/>
                <w:color w:val="auto"/>
                <w:kern w:val="0"/>
                <w:sz w:val="21"/>
                <w:szCs w:val="24"/>
              </w:rPr>
            </w:pPr>
            <w:r>
              <w:rPr>
                <w:rFonts w:ascii="Times New Roman" w:hAnsi="Times New Roman" w:cs="Times New Roman"/>
                <w:color w:val="auto"/>
                <w:kern w:val="0"/>
                <w:sz w:val="21"/>
                <w:szCs w:val="24"/>
              </w:rPr>
              <w:t>5</w:t>
            </w:r>
          </w:p>
        </w:tc>
        <w:tc>
          <w:tcPr>
            <w:tcW w:w="4877" w:type="dxa"/>
            <w:vAlign w:val="top"/>
          </w:tcPr>
          <w:p>
            <w:pPr>
              <w:ind w:firstLine="0" w:firstLineChars="0"/>
              <w:rPr>
                <w:rFonts w:ascii="Times New Roman" w:hAnsi="Times New Roman" w:cs="Times New Roman"/>
                <w:color w:val="auto"/>
                <w:kern w:val="0"/>
                <w:sz w:val="21"/>
                <w:szCs w:val="24"/>
              </w:rPr>
            </w:pPr>
            <w:r>
              <w:rPr>
                <w:rFonts w:ascii="Times New Roman" w:hAnsi="Times New Roman" w:cs="Times New Roman"/>
                <w:color w:val="auto"/>
                <w:kern w:val="0"/>
                <w:sz w:val="21"/>
                <w:szCs w:val="24"/>
              </w:rPr>
              <w:t>未设置导除静电装置</w:t>
            </w:r>
          </w:p>
        </w:tc>
        <w:tc>
          <w:tcPr>
            <w:tcW w:w="3101" w:type="dxa"/>
            <w:vAlign w:val="top"/>
          </w:tcPr>
          <w:p>
            <w:pPr>
              <w:ind w:firstLine="0" w:firstLineChars="0"/>
              <w:jc w:val="left"/>
              <w:rPr>
                <w:rFonts w:ascii="Times New Roman" w:hAnsi="Times New Roman" w:cs="Times New Roman"/>
                <w:color w:val="auto"/>
                <w:kern w:val="0"/>
                <w:sz w:val="21"/>
                <w:szCs w:val="24"/>
              </w:rPr>
            </w:pPr>
            <w:r>
              <w:rPr>
                <w:rFonts w:ascii="Times New Roman" w:hAnsi="Times New Roman" w:cs="Times New Roman"/>
                <w:color w:val="auto"/>
                <w:kern w:val="0"/>
                <w:sz w:val="21"/>
                <w:szCs w:val="24"/>
              </w:rPr>
              <w:t>增加</w:t>
            </w:r>
          </w:p>
        </w:tc>
      </w:tr>
    </w:tbl>
    <w:p>
      <w:pPr>
        <w:pStyle w:val="2"/>
        <w:rPr>
          <w:color w:val="auto"/>
        </w:rPr>
      </w:pPr>
    </w:p>
    <w:p>
      <w:pPr>
        <w:pStyle w:val="4"/>
        <w:bidi w:val="0"/>
        <w:rPr>
          <w:rFonts w:hint="default"/>
          <w:color w:val="auto"/>
          <w:lang w:val="en-US" w:eastAsia="zh-CN"/>
        </w:rPr>
      </w:pPr>
      <w:bookmarkStart w:id="11" w:name="_Toc3670"/>
      <w:r>
        <w:rPr>
          <w:rFonts w:hint="eastAsia"/>
          <w:color w:val="auto"/>
          <w:lang w:val="en-US" w:eastAsia="zh-CN"/>
        </w:rPr>
        <w:t>3.3主要设备危险有害因素分析</w:t>
      </w:r>
      <w:bookmarkEnd w:id="11"/>
    </w:p>
    <w:p>
      <w:pPr>
        <w:ind w:firstLine="480"/>
        <w:rPr>
          <w:rFonts w:hint="eastAsia"/>
          <w:color w:val="auto"/>
          <w:sz w:val="28"/>
          <w:szCs w:val="28"/>
          <w:lang w:val="en-US" w:eastAsia="zh-CN"/>
        </w:rPr>
      </w:pPr>
      <w:r>
        <w:rPr>
          <w:rFonts w:hint="eastAsia"/>
          <w:color w:val="auto"/>
          <w:sz w:val="28"/>
          <w:szCs w:val="28"/>
          <w:lang w:val="en-US" w:eastAsia="zh-CN"/>
        </w:rPr>
        <w:t>（1）加油机</w:t>
      </w:r>
    </w:p>
    <w:p>
      <w:pPr>
        <w:ind w:firstLine="480"/>
        <w:rPr>
          <w:rFonts w:hint="eastAsia"/>
          <w:color w:val="auto"/>
          <w:sz w:val="28"/>
          <w:szCs w:val="28"/>
          <w:lang w:eastAsia="zh-CN"/>
        </w:rPr>
      </w:pPr>
      <w:r>
        <w:rPr>
          <w:rFonts w:hint="eastAsia"/>
          <w:color w:val="auto"/>
          <w:sz w:val="28"/>
          <w:szCs w:val="28"/>
          <w:lang w:eastAsia="zh-CN"/>
        </w:rPr>
        <w:t>若加油机静电接地因松动或锈蚀接触不良，易造成静电积累，静电积累至一定程度放电，遇泄漏油品或油品蒸汽时，可能引起火灾爆炸。</w:t>
      </w:r>
    </w:p>
    <w:p>
      <w:pPr>
        <w:ind w:firstLine="480"/>
        <w:rPr>
          <w:rFonts w:hint="eastAsia"/>
          <w:color w:val="auto"/>
          <w:sz w:val="28"/>
          <w:szCs w:val="28"/>
          <w:lang w:eastAsia="zh-CN"/>
        </w:rPr>
      </w:pPr>
      <w:r>
        <w:rPr>
          <w:rFonts w:hint="eastAsia"/>
          <w:color w:val="auto"/>
          <w:sz w:val="28"/>
          <w:szCs w:val="28"/>
          <w:lang w:eastAsia="zh-CN"/>
        </w:rPr>
        <w:t>若加油机保护接地不良，由于意外原因引起机壳带电时，可能引起人员触电，若机壳带电后产生火花，遇泄漏油品或爆炸性混合气体，可能引起火灾爆炸。</w:t>
      </w:r>
    </w:p>
    <w:p>
      <w:pPr>
        <w:ind w:firstLine="480"/>
        <w:rPr>
          <w:rFonts w:hint="default"/>
          <w:color w:val="auto"/>
          <w:sz w:val="28"/>
          <w:szCs w:val="28"/>
          <w:lang w:val="en-US" w:eastAsia="zh-CN"/>
        </w:rPr>
      </w:pPr>
      <w:r>
        <w:rPr>
          <w:rFonts w:hint="eastAsia"/>
          <w:color w:val="auto"/>
          <w:sz w:val="28"/>
          <w:szCs w:val="28"/>
          <w:lang w:val="en-US" w:eastAsia="zh-CN"/>
        </w:rPr>
        <w:t>（2）油罐</w:t>
      </w:r>
    </w:p>
    <w:p>
      <w:pPr>
        <w:ind w:firstLine="480"/>
        <w:rPr>
          <w:rFonts w:hint="eastAsia"/>
          <w:color w:val="auto"/>
          <w:sz w:val="28"/>
          <w:szCs w:val="28"/>
          <w:lang w:eastAsia="zh-CN"/>
        </w:rPr>
      </w:pPr>
      <w:r>
        <w:rPr>
          <w:rFonts w:hint="eastAsia"/>
          <w:color w:val="auto"/>
          <w:sz w:val="28"/>
          <w:szCs w:val="28"/>
          <w:lang w:eastAsia="zh-CN"/>
        </w:rPr>
        <w:t>油罐直埋地下，如防腐措施不力，易造成罐体锈蚀，长期使用而不加以维护，罐体的整体或局部强度会受到影响而引起泄漏；油罐在满负荷运行情况下易爆裂，造成泄漏；油罐上的排污阀长期使用，不加以维护，容易失灵，造成泄漏。</w:t>
      </w:r>
    </w:p>
    <w:p>
      <w:pPr>
        <w:ind w:firstLine="480"/>
        <w:rPr>
          <w:rFonts w:hint="eastAsia"/>
          <w:color w:val="auto"/>
          <w:sz w:val="28"/>
          <w:szCs w:val="28"/>
          <w:lang w:eastAsia="zh-CN"/>
        </w:rPr>
      </w:pPr>
      <w:r>
        <w:rPr>
          <w:rFonts w:hint="eastAsia"/>
          <w:color w:val="auto"/>
          <w:sz w:val="28"/>
          <w:szCs w:val="28"/>
          <w:lang w:eastAsia="zh-CN"/>
        </w:rPr>
        <w:t>油罐上的呼吸阀失灵或缺少，容易造成油罐内压力不平衡，使输油管道及加油设备震动运行，一是缩短设备寿命，二是容易造成管道与设备连接部位脱离，导致泄漏。储油罐通气管设置不规范会导致油气散发故障，通气管设置过低会导致油气在站内形成集聚，引发火灾，通气管不畅将导致油罐内油气不能及时排出，导致罐内气压升高，可能造成油罐破裂，遇到明火时，将发生火灾、爆炸事故。阻火阀失灵或未设置阻火阀可能会导致油气回燃，将会造成油罐燃烧爆炸。</w:t>
      </w:r>
    </w:p>
    <w:p>
      <w:pPr>
        <w:ind w:firstLine="480"/>
        <w:rPr>
          <w:rFonts w:hint="eastAsia"/>
          <w:color w:val="auto"/>
          <w:sz w:val="28"/>
          <w:szCs w:val="28"/>
          <w:lang w:eastAsia="zh-CN"/>
        </w:rPr>
      </w:pPr>
      <w:r>
        <w:rPr>
          <w:rFonts w:hint="eastAsia"/>
          <w:color w:val="auto"/>
          <w:sz w:val="28"/>
          <w:szCs w:val="28"/>
          <w:lang w:eastAsia="zh-CN"/>
        </w:rPr>
        <w:t>在油罐重新进行防腐作业时，若不能做好防腐施工现场的防火措施和管理、个体防护装备不全等，可能发生火灾、中毒事故。</w:t>
      </w:r>
    </w:p>
    <w:p>
      <w:pPr>
        <w:ind w:firstLine="480"/>
        <w:rPr>
          <w:rFonts w:hint="eastAsia"/>
          <w:color w:val="auto"/>
          <w:sz w:val="28"/>
          <w:szCs w:val="28"/>
          <w:lang w:eastAsia="zh-CN"/>
        </w:rPr>
      </w:pPr>
      <w:r>
        <w:rPr>
          <w:rFonts w:hint="eastAsia"/>
          <w:color w:val="auto"/>
          <w:sz w:val="28"/>
          <w:szCs w:val="28"/>
          <w:lang w:eastAsia="zh-CN"/>
        </w:rPr>
        <w:t>油罐未经检测合格就投入使用，可能存在静电接地线不可靠、穿孔腐蚀、相连管线连接不牢等引起泄漏等而导致事故。</w:t>
      </w:r>
    </w:p>
    <w:p>
      <w:pPr>
        <w:ind w:firstLine="480"/>
        <w:rPr>
          <w:rFonts w:hint="default"/>
          <w:color w:val="auto"/>
          <w:sz w:val="28"/>
          <w:szCs w:val="28"/>
          <w:lang w:val="en-US" w:eastAsia="zh-CN"/>
        </w:rPr>
      </w:pPr>
      <w:r>
        <w:rPr>
          <w:rFonts w:hint="eastAsia"/>
          <w:color w:val="auto"/>
          <w:sz w:val="28"/>
          <w:szCs w:val="28"/>
          <w:lang w:val="en-US" w:eastAsia="zh-CN"/>
        </w:rPr>
        <w:t>（3）输送管道</w:t>
      </w:r>
    </w:p>
    <w:p>
      <w:pPr>
        <w:ind w:firstLine="480"/>
        <w:rPr>
          <w:rFonts w:hint="eastAsia"/>
          <w:color w:val="auto"/>
          <w:sz w:val="28"/>
          <w:szCs w:val="28"/>
          <w:lang w:eastAsia="zh-CN"/>
        </w:rPr>
      </w:pPr>
      <w:r>
        <w:rPr>
          <w:rFonts w:hint="eastAsia"/>
          <w:color w:val="auto"/>
          <w:sz w:val="28"/>
          <w:szCs w:val="28"/>
          <w:lang w:eastAsia="zh-CN"/>
        </w:rPr>
        <w:t>汽油、柴油输送过程中管道超压，若安全阀失灵，不能及时卸压，造成汽油、柴油输送管道发生爆裂，伤及操作人员，损坏贮油罐及管道等设备设施。</w:t>
      </w:r>
    </w:p>
    <w:p>
      <w:pPr>
        <w:ind w:firstLine="480"/>
        <w:rPr>
          <w:rFonts w:hint="eastAsia"/>
          <w:color w:val="auto"/>
          <w:sz w:val="28"/>
          <w:szCs w:val="28"/>
          <w:lang w:eastAsia="zh-CN"/>
        </w:rPr>
      </w:pPr>
      <w:r>
        <w:rPr>
          <w:rFonts w:hint="eastAsia"/>
          <w:color w:val="auto"/>
          <w:sz w:val="28"/>
          <w:szCs w:val="28"/>
          <w:lang w:eastAsia="zh-CN"/>
        </w:rPr>
        <w:t>输送管道阀门故障，或法兰、接头处密封不好，引起汽油、柴油泄漏，若泄漏出油，当其浓度达到一定高度时，易造成操作人员中毒；遇火源，将会发生火灾甚至爆炸。</w:t>
      </w:r>
    </w:p>
    <w:p>
      <w:pPr>
        <w:ind w:firstLine="480"/>
        <w:rPr>
          <w:rFonts w:hint="eastAsia"/>
          <w:color w:val="auto"/>
          <w:sz w:val="28"/>
          <w:szCs w:val="28"/>
          <w:lang w:eastAsia="zh-CN"/>
        </w:rPr>
      </w:pPr>
      <w:r>
        <w:rPr>
          <w:rFonts w:hint="eastAsia"/>
          <w:color w:val="auto"/>
          <w:sz w:val="28"/>
          <w:szCs w:val="28"/>
          <w:lang w:eastAsia="zh-CN"/>
        </w:rPr>
        <w:t>加油枪软管、连接器接合面及卡子受力部位等未定期检查和及时更换，在加油时极易发生软管破裂，引起汽油、柴油泄漏，遇火源，发生火灾、爆炸事故。</w:t>
      </w:r>
    </w:p>
    <w:p>
      <w:pPr>
        <w:ind w:firstLine="480"/>
        <w:rPr>
          <w:rFonts w:hint="eastAsia"/>
          <w:color w:val="auto"/>
          <w:sz w:val="28"/>
          <w:szCs w:val="28"/>
          <w:lang w:val="en-US" w:eastAsia="zh-CN"/>
        </w:rPr>
      </w:pPr>
      <w:r>
        <w:rPr>
          <w:rFonts w:hint="eastAsia"/>
          <w:color w:val="auto"/>
          <w:sz w:val="28"/>
          <w:szCs w:val="28"/>
          <w:lang w:val="en-US" w:eastAsia="zh-CN"/>
        </w:rPr>
        <w:t>（4）电气设备</w:t>
      </w:r>
    </w:p>
    <w:p>
      <w:pPr>
        <w:ind w:firstLine="480"/>
        <w:rPr>
          <w:rFonts w:hint="eastAsia"/>
          <w:color w:val="auto"/>
          <w:sz w:val="28"/>
          <w:szCs w:val="28"/>
          <w:lang w:eastAsia="zh-CN"/>
        </w:rPr>
      </w:pPr>
      <w:r>
        <w:rPr>
          <w:rFonts w:hint="eastAsia"/>
          <w:color w:val="auto"/>
          <w:sz w:val="28"/>
          <w:szCs w:val="28"/>
          <w:lang w:eastAsia="zh-CN"/>
        </w:rPr>
        <w:t>柴油、汽油出现大量泄漏时若遇电气装置火花，极易造成火灾、甚至爆炸。</w:t>
      </w:r>
    </w:p>
    <w:p>
      <w:pPr>
        <w:ind w:firstLine="480"/>
        <w:rPr>
          <w:rFonts w:hint="eastAsia"/>
          <w:color w:val="auto"/>
          <w:sz w:val="28"/>
          <w:szCs w:val="28"/>
          <w:lang w:eastAsia="zh-CN"/>
        </w:rPr>
      </w:pPr>
      <w:r>
        <w:rPr>
          <w:rFonts w:hint="eastAsia"/>
          <w:color w:val="auto"/>
          <w:sz w:val="28"/>
          <w:szCs w:val="28"/>
          <w:lang w:eastAsia="zh-CN"/>
        </w:rPr>
        <w:t>若使用未进行接地保护的电气设备，出现漏电或操作人员违反规程操作，会引起触电事故，造成人员伤亡。</w:t>
      </w:r>
    </w:p>
    <w:p>
      <w:pPr>
        <w:ind w:firstLine="480"/>
        <w:rPr>
          <w:rFonts w:hint="eastAsia"/>
          <w:color w:val="auto"/>
          <w:sz w:val="28"/>
          <w:szCs w:val="28"/>
          <w:lang w:eastAsia="zh-CN"/>
        </w:rPr>
      </w:pPr>
      <w:r>
        <w:rPr>
          <w:rFonts w:hint="eastAsia"/>
          <w:color w:val="auto"/>
          <w:sz w:val="28"/>
          <w:szCs w:val="28"/>
          <w:lang w:eastAsia="zh-CN"/>
        </w:rPr>
        <w:t>加油区、储罐区以及爆炸危险区，使用的电器设备达不到防火、防爆要求，容易引起火灾、爆炸事故。</w:t>
      </w:r>
    </w:p>
    <w:p>
      <w:pPr>
        <w:ind w:firstLine="480"/>
        <w:rPr>
          <w:rFonts w:hint="eastAsia"/>
          <w:color w:val="auto"/>
          <w:sz w:val="28"/>
          <w:szCs w:val="28"/>
          <w:lang w:eastAsia="zh-CN"/>
        </w:rPr>
      </w:pPr>
      <w:r>
        <w:rPr>
          <w:rFonts w:hint="eastAsia"/>
          <w:color w:val="auto"/>
          <w:sz w:val="28"/>
          <w:szCs w:val="28"/>
          <w:lang w:eastAsia="zh-CN"/>
        </w:rPr>
        <w:t>加油站所属电气设备不多，容量较小且均为低压电气设备，但鉴于加油站的火灾、爆炸危险特征，电气设备的正确选择十分重要，电气设备的主要危险、有害因素是触电和电气火灾。</w:t>
      </w:r>
    </w:p>
    <w:p>
      <w:pPr>
        <w:ind w:firstLine="480"/>
        <w:rPr>
          <w:rFonts w:hint="eastAsia"/>
          <w:color w:val="auto"/>
          <w:sz w:val="28"/>
          <w:szCs w:val="28"/>
          <w:lang w:eastAsia="zh-CN"/>
        </w:rPr>
      </w:pPr>
      <w:r>
        <w:rPr>
          <w:rFonts w:hint="eastAsia"/>
          <w:color w:val="auto"/>
          <w:sz w:val="28"/>
          <w:szCs w:val="28"/>
          <w:lang w:eastAsia="zh-CN"/>
        </w:rPr>
        <w:t>汽油为甲类易燃液体，加油站属电气火灾爆炸危险场所，其使用的电气设备选用必须满足国家规定的电气危险场所要求。</w:t>
      </w:r>
    </w:p>
    <w:p>
      <w:pPr>
        <w:pStyle w:val="5"/>
        <w:keepNext/>
        <w:ind w:firstLine="400"/>
        <w:jc w:val="center"/>
        <w:rPr>
          <w:color w:val="auto"/>
        </w:rPr>
      </w:pPr>
      <w:r>
        <w:rPr>
          <w:rFonts w:hint="eastAsia"/>
          <w:color w:val="auto"/>
        </w:rPr>
        <w:t xml:space="preserve">表 </w:t>
      </w:r>
      <w:r>
        <w:rPr>
          <w:rFonts w:hint="eastAsia"/>
          <w:color w:val="auto"/>
          <w:lang w:val="en-US" w:eastAsia="zh-CN"/>
        </w:rPr>
        <w:t>3</w:t>
      </w:r>
      <w:r>
        <w:rPr>
          <w:color w:val="auto"/>
        </w:rPr>
        <w:noBreakHyphen/>
      </w:r>
      <w:r>
        <w:rPr>
          <w:rFonts w:hint="eastAsia"/>
          <w:color w:val="auto"/>
          <w:lang w:val="en-US" w:eastAsia="zh-CN"/>
        </w:rPr>
        <w:t>5</w:t>
      </w:r>
      <w:r>
        <w:rPr>
          <w:rFonts w:hint="eastAsia"/>
          <w:color w:val="auto"/>
        </w:rPr>
        <w:t>主要设备的危险及危害因素分析表</w:t>
      </w:r>
    </w:p>
    <w:tbl>
      <w:tblPr>
        <w:tblStyle w:val="16"/>
        <w:tblW w:w="892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2369"/>
        <w:gridCol w:w="2355"/>
        <w:gridCol w:w="31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35" w:type="dxa"/>
            <w:vAlign w:val="center"/>
          </w:tcPr>
          <w:p>
            <w:pPr>
              <w:ind w:firstLine="0" w:firstLineChars="0"/>
              <w:jc w:val="center"/>
              <w:rPr>
                <w:rFonts w:ascii="Times New Roman" w:hAnsi="Times New Roman" w:cs="Times New Roman"/>
                <w:b/>
                <w:color w:val="auto"/>
                <w:kern w:val="0"/>
                <w:sz w:val="21"/>
                <w:szCs w:val="24"/>
              </w:rPr>
            </w:pPr>
            <w:r>
              <w:rPr>
                <w:rFonts w:ascii="Times New Roman" w:hAnsi="Times New Roman" w:cs="Times New Roman"/>
                <w:b/>
                <w:color w:val="auto"/>
                <w:kern w:val="0"/>
                <w:sz w:val="21"/>
                <w:szCs w:val="24"/>
              </w:rPr>
              <w:t>序号</w:t>
            </w:r>
          </w:p>
        </w:tc>
        <w:tc>
          <w:tcPr>
            <w:tcW w:w="2369" w:type="dxa"/>
            <w:vAlign w:val="center"/>
          </w:tcPr>
          <w:p>
            <w:pPr>
              <w:ind w:firstLine="0" w:firstLineChars="0"/>
              <w:jc w:val="center"/>
              <w:rPr>
                <w:rFonts w:ascii="Times New Roman" w:hAnsi="Times New Roman" w:cs="Times New Roman"/>
                <w:b/>
                <w:color w:val="auto"/>
                <w:kern w:val="0"/>
                <w:sz w:val="21"/>
                <w:szCs w:val="24"/>
              </w:rPr>
            </w:pPr>
            <w:r>
              <w:rPr>
                <w:rFonts w:ascii="Times New Roman" w:hAnsi="Times New Roman" w:cs="Times New Roman"/>
                <w:b/>
                <w:color w:val="auto"/>
                <w:kern w:val="0"/>
                <w:sz w:val="21"/>
                <w:szCs w:val="24"/>
              </w:rPr>
              <w:t>设备名称</w:t>
            </w:r>
          </w:p>
        </w:tc>
        <w:tc>
          <w:tcPr>
            <w:tcW w:w="2355" w:type="dxa"/>
            <w:vAlign w:val="center"/>
          </w:tcPr>
          <w:p>
            <w:pPr>
              <w:ind w:firstLine="0" w:firstLineChars="0"/>
              <w:jc w:val="center"/>
              <w:rPr>
                <w:rFonts w:ascii="Times New Roman" w:hAnsi="Times New Roman" w:cs="Times New Roman"/>
                <w:b/>
                <w:color w:val="auto"/>
                <w:kern w:val="0"/>
                <w:sz w:val="21"/>
                <w:szCs w:val="24"/>
              </w:rPr>
            </w:pPr>
            <w:r>
              <w:rPr>
                <w:rFonts w:ascii="Times New Roman" w:hAnsi="Times New Roman" w:cs="Times New Roman"/>
                <w:b/>
                <w:color w:val="auto"/>
                <w:kern w:val="0"/>
                <w:sz w:val="21"/>
                <w:szCs w:val="24"/>
              </w:rPr>
              <w:t>主要物料</w:t>
            </w:r>
          </w:p>
        </w:tc>
        <w:tc>
          <w:tcPr>
            <w:tcW w:w="3162" w:type="dxa"/>
            <w:vAlign w:val="center"/>
          </w:tcPr>
          <w:p>
            <w:pPr>
              <w:ind w:firstLine="0" w:firstLineChars="0"/>
              <w:jc w:val="center"/>
              <w:rPr>
                <w:rFonts w:ascii="Times New Roman" w:hAnsi="Times New Roman" w:cs="Times New Roman"/>
                <w:b/>
                <w:color w:val="auto"/>
                <w:kern w:val="0"/>
                <w:sz w:val="21"/>
                <w:szCs w:val="24"/>
              </w:rPr>
            </w:pPr>
            <w:r>
              <w:rPr>
                <w:rFonts w:ascii="Times New Roman" w:hAnsi="Times New Roman" w:cs="Times New Roman"/>
                <w:b/>
                <w:color w:val="auto"/>
                <w:kern w:val="0"/>
                <w:sz w:val="21"/>
                <w:szCs w:val="24"/>
              </w:rPr>
              <w:t>危险及危害因素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dxa"/>
            <w:vAlign w:val="center"/>
          </w:tcPr>
          <w:p>
            <w:pPr>
              <w:ind w:firstLine="0" w:firstLineChars="0"/>
              <w:jc w:val="center"/>
              <w:rPr>
                <w:rFonts w:ascii="Times New Roman" w:hAnsi="Times New Roman" w:cs="Times New Roman"/>
                <w:color w:val="auto"/>
                <w:kern w:val="0"/>
                <w:sz w:val="21"/>
                <w:szCs w:val="24"/>
              </w:rPr>
            </w:pPr>
            <w:r>
              <w:rPr>
                <w:rFonts w:ascii="Times New Roman" w:hAnsi="Times New Roman" w:cs="Times New Roman"/>
                <w:color w:val="auto"/>
                <w:kern w:val="0"/>
                <w:sz w:val="21"/>
                <w:szCs w:val="24"/>
              </w:rPr>
              <w:t>1</w:t>
            </w:r>
          </w:p>
        </w:tc>
        <w:tc>
          <w:tcPr>
            <w:tcW w:w="2369" w:type="dxa"/>
            <w:vAlign w:val="center"/>
          </w:tcPr>
          <w:p>
            <w:pPr>
              <w:ind w:firstLine="0" w:firstLineChars="0"/>
              <w:jc w:val="center"/>
              <w:rPr>
                <w:rFonts w:ascii="Times New Roman" w:hAnsi="Times New Roman" w:cs="Times New Roman"/>
                <w:color w:val="auto"/>
                <w:kern w:val="0"/>
                <w:sz w:val="21"/>
                <w:szCs w:val="24"/>
              </w:rPr>
            </w:pPr>
            <w:r>
              <w:rPr>
                <w:rFonts w:ascii="Times New Roman" w:hAnsi="Times New Roman" w:cs="Times New Roman"/>
                <w:color w:val="auto"/>
                <w:kern w:val="0"/>
                <w:sz w:val="21"/>
                <w:szCs w:val="24"/>
              </w:rPr>
              <w:t>储油罐</w:t>
            </w:r>
          </w:p>
        </w:tc>
        <w:tc>
          <w:tcPr>
            <w:tcW w:w="2355" w:type="dxa"/>
            <w:vAlign w:val="center"/>
          </w:tcPr>
          <w:p>
            <w:pPr>
              <w:ind w:firstLine="0" w:firstLineChars="0"/>
              <w:jc w:val="center"/>
              <w:rPr>
                <w:rFonts w:ascii="Times New Roman" w:hAnsi="Times New Roman" w:cs="Times New Roman"/>
                <w:color w:val="auto"/>
                <w:kern w:val="0"/>
                <w:sz w:val="21"/>
                <w:szCs w:val="24"/>
              </w:rPr>
            </w:pPr>
            <w:r>
              <w:rPr>
                <w:rFonts w:ascii="Times New Roman" w:hAnsi="Times New Roman" w:cs="Times New Roman"/>
                <w:color w:val="auto"/>
                <w:kern w:val="0"/>
                <w:sz w:val="21"/>
                <w:szCs w:val="24"/>
              </w:rPr>
              <w:t>汽油、柴油</w:t>
            </w:r>
          </w:p>
        </w:tc>
        <w:tc>
          <w:tcPr>
            <w:tcW w:w="3162" w:type="dxa"/>
            <w:vAlign w:val="center"/>
          </w:tcPr>
          <w:p>
            <w:pPr>
              <w:ind w:firstLine="0" w:firstLineChars="0"/>
              <w:jc w:val="center"/>
              <w:rPr>
                <w:rFonts w:ascii="Times New Roman" w:hAnsi="Times New Roman" w:cs="Times New Roman"/>
                <w:color w:val="auto"/>
                <w:kern w:val="0"/>
                <w:sz w:val="21"/>
                <w:szCs w:val="24"/>
              </w:rPr>
            </w:pPr>
            <w:r>
              <w:rPr>
                <w:rFonts w:ascii="Times New Roman" w:hAnsi="Times New Roman" w:cs="Times New Roman"/>
                <w:color w:val="auto"/>
                <w:kern w:val="0"/>
                <w:sz w:val="21"/>
                <w:szCs w:val="24"/>
              </w:rPr>
              <w:t>火灾、爆炸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035" w:type="dxa"/>
            <w:vAlign w:val="center"/>
          </w:tcPr>
          <w:p>
            <w:pPr>
              <w:ind w:firstLine="0" w:firstLineChars="0"/>
              <w:jc w:val="center"/>
              <w:rPr>
                <w:rFonts w:ascii="Times New Roman" w:hAnsi="Times New Roman" w:cs="Times New Roman"/>
                <w:color w:val="auto"/>
                <w:kern w:val="0"/>
                <w:sz w:val="21"/>
                <w:szCs w:val="24"/>
              </w:rPr>
            </w:pPr>
            <w:r>
              <w:rPr>
                <w:rFonts w:ascii="Times New Roman" w:hAnsi="Times New Roman" w:cs="Times New Roman"/>
                <w:color w:val="auto"/>
                <w:kern w:val="0"/>
                <w:sz w:val="21"/>
                <w:szCs w:val="24"/>
              </w:rPr>
              <w:t>2</w:t>
            </w:r>
          </w:p>
        </w:tc>
        <w:tc>
          <w:tcPr>
            <w:tcW w:w="2369" w:type="dxa"/>
            <w:vAlign w:val="center"/>
          </w:tcPr>
          <w:p>
            <w:pPr>
              <w:ind w:firstLine="0" w:firstLineChars="0"/>
              <w:jc w:val="center"/>
              <w:rPr>
                <w:rFonts w:ascii="Times New Roman" w:hAnsi="Times New Roman" w:cs="Times New Roman"/>
                <w:color w:val="auto"/>
                <w:kern w:val="0"/>
                <w:sz w:val="21"/>
                <w:szCs w:val="24"/>
              </w:rPr>
            </w:pPr>
            <w:r>
              <w:rPr>
                <w:rFonts w:ascii="Times New Roman" w:hAnsi="Times New Roman" w:cs="Times New Roman"/>
                <w:color w:val="auto"/>
                <w:kern w:val="0"/>
                <w:sz w:val="21"/>
                <w:szCs w:val="24"/>
              </w:rPr>
              <w:t>加油机</w:t>
            </w:r>
          </w:p>
        </w:tc>
        <w:tc>
          <w:tcPr>
            <w:tcW w:w="2355" w:type="dxa"/>
            <w:vAlign w:val="center"/>
          </w:tcPr>
          <w:p>
            <w:pPr>
              <w:ind w:firstLine="0" w:firstLineChars="0"/>
              <w:jc w:val="center"/>
              <w:rPr>
                <w:rFonts w:ascii="Times New Roman" w:hAnsi="Times New Roman" w:cs="Times New Roman"/>
                <w:color w:val="auto"/>
                <w:kern w:val="0"/>
                <w:sz w:val="21"/>
                <w:szCs w:val="24"/>
              </w:rPr>
            </w:pPr>
            <w:r>
              <w:rPr>
                <w:rFonts w:ascii="Times New Roman" w:hAnsi="Times New Roman" w:cs="Times New Roman"/>
                <w:color w:val="auto"/>
                <w:kern w:val="0"/>
                <w:sz w:val="21"/>
                <w:szCs w:val="24"/>
              </w:rPr>
              <w:t>汽油、柴油</w:t>
            </w:r>
          </w:p>
        </w:tc>
        <w:tc>
          <w:tcPr>
            <w:tcW w:w="3162" w:type="dxa"/>
            <w:vAlign w:val="center"/>
          </w:tcPr>
          <w:p>
            <w:pPr>
              <w:ind w:firstLine="0" w:firstLineChars="0"/>
              <w:jc w:val="center"/>
              <w:rPr>
                <w:rFonts w:ascii="Times New Roman" w:hAnsi="Times New Roman" w:cs="Times New Roman"/>
                <w:color w:val="auto"/>
                <w:kern w:val="0"/>
                <w:sz w:val="21"/>
                <w:szCs w:val="24"/>
              </w:rPr>
            </w:pPr>
            <w:r>
              <w:rPr>
                <w:rFonts w:ascii="Times New Roman" w:hAnsi="Times New Roman" w:cs="Times New Roman"/>
                <w:color w:val="auto"/>
                <w:kern w:val="0"/>
                <w:sz w:val="21"/>
                <w:szCs w:val="24"/>
              </w:rPr>
              <w:t>火灾、爆炸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035" w:type="dxa"/>
            <w:vAlign w:val="center"/>
          </w:tcPr>
          <w:p>
            <w:pPr>
              <w:ind w:firstLine="0" w:firstLineChars="0"/>
              <w:jc w:val="center"/>
              <w:rPr>
                <w:rFonts w:hint="eastAsia" w:ascii="Times New Roman" w:hAnsi="Times New Roman" w:eastAsia="宋体" w:cs="Times New Roman"/>
                <w:color w:val="auto"/>
                <w:kern w:val="0"/>
                <w:sz w:val="21"/>
                <w:szCs w:val="24"/>
                <w:lang w:val="en-US" w:eastAsia="zh-CN"/>
              </w:rPr>
            </w:pPr>
            <w:r>
              <w:rPr>
                <w:rFonts w:hint="eastAsia" w:ascii="Times New Roman" w:hAnsi="Times New Roman" w:cs="Times New Roman"/>
                <w:color w:val="auto"/>
                <w:kern w:val="0"/>
                <w:sz w:val="21"/>
                <w:szCs w:val="24"/>
                <w:lang w:val="en-US" w:eastAsia="zh-CN"/>
              </w:rPr>
              <w:t>3</w:t>
            </w:r>
          </w:p>
        </w:tc>
        <w:tc>
          <w:tcPr>
            <w:tcW w:w="2369" w:type="dxa"/>
            <w:vAlign w:val="center"/>
          </w:tcPr>
          <w:p>
            <w:pPr>
              <w:ind w:firstLine="0" w:firstLineChars="0"/>
              <w:jc w:val="center"/>
              <w:rPr>
                <w:rFonts w:hint="default" w:ascii="Times New Roman" w:hAnsi="Times New Roman" w:eastAsia="宋体" w:cs="Times New Roman"/>
                <w:color w:val="auto"/>
                <w:kern w:val="0"/>
                <w:sz w:val="21"/>
                <w:szCs w:val="24"/>
                <w:lang w:val="en-US" w:eastAsia="zh-CN"/>
              </w:rPr>
            </w:pPr>
            <w:r>
              <w:rPr>
                <w:rFonts w:hint="eastAsia" w:ascii="Times New Roman" w:hAnsi="Times New Roman" w:cs="Times New Roman"/>
                <w:color w:val="auto"/>
                <w:kern w:val="0"/>
                <w:sz w:val="21"/>
                <w:szCs w:val="24"/>
                <w:lang w:val="en-US" w:eastAsia="zh-CN"/>
              </w:rPr>
              <w:t>输送管道</w:t>
            </w:r>
          </w:p>
        </w:tc>
        <w:tc>
          <w:tcPr>
            <w:tcW w:w="2355" w:type="dxa"/>
            <w:vAlign w:val="center"/>
          </w:tcPr>
          <w:p>
            <w:pPr>
              <w:ind w:firstLine="0" w:firstLineChars="0"/>
              <w:jc w:val="center"/>
              <w:rPr>
                <w:rFonts w:ascii="Times New Roman" w:hAnsi="Times New Roman" w:cs="Times New Roman"/>
                <w:color w:val="auto"/>
                <w:kern w:val="0"/>
                <w:sz w:val="21"/>
                <w:szCs w:val="24"/>
              </w:rPr>
            </w:pPr>
            <w:r>
              <w:rPr>
                <w:rFonts w:ascii="Times New Roman" w:hAnsi="Times New Roman" w:cs="Times New Roman"/>
                <w:color w:val="auto"/>
                <w:kern w:val="0"/>
                <w:sz w:val="21"/>
                <w:szCs w:val="24"/>
              </w:rPr>
              <w:t>汽油、柴油</w:t>
            </w:r>
          </w:p>
        </w:tc>
        <w:tc>
          <w:tcPr>
            <w:tcW w:w="3162" w:type="dxa"/>
            <w:vAlign w:val="center"/>
          </w:tcPr>
          <w:p>
            <w:pPr>
              <w:ind w:firstLine="0" w:firstLineChars="0"/>
              <w:jc w:val="center"/>
              <w:rPr>
                <w:rFonts w:ascii="Times New Roman" w:hAnsi="Times New Roman" w:cs="Times New Roman"/>
                <w:color w:val="auto"/>
                <w:kern w:val="0"/>
                <w:sz w:val="21"/>
                <w:szCs w:val="24"/>
              </w:rPr>
            </w:pPr>
            <w:r>
              <w:rPr>
                <w:rFonts w:ascii="Times New Roman" w:hAnsi="Times New Roman" w:cs="Times New Roman"/>
                <w:color w:val="auto"/>
                <w:kern w:val="0"/>
                <w:sz w:val="21"/>
                <w:szCs w:val="24"/>
              </w:rPr>
              <w:t>火灾、爆炸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035" w:type="dxa"/>
            <w:vAlign w:val="center"/>
          </w:tcPr>
          <w:p>
            <w:pPr>
              <w:ind w:firstLine="0" w:firstLineChars="0"/>
              <w:jc w:val="center"/>
              <w:rPr>
                <w:rFonts w:hint="eastAsia" w:ascii="Times New Roman" w:hAnsi="Times New Roman" w:eastAsia="宋体" w:cs="Times New Roman"/>
                <w:color w:val="auto"/>
                <w:kern w:val="0"/>
                <w:sz w:val="21"/>
                <w:szCs w:val="24"/>
                <w:lang w:val="en-US" w:eastAsia="zh-CN"/>
              </w:rPr>
            </w:pPr>
            <w:r>
              <w:rPr>
                <w:rFonts w:hint="eastAsia" w:ascii="Times New Roman" w:hAnsi="Times New Roman" w:cs="Times New Roman"/>
                <w:color w:val="auto"/>
                <w:kern w:val="0"/>
                <w:sz w:val="21"/>
                <w:szCs w:val="24"/>
                <w:lang w:val="en-US" w:eastAsia="zh-CN"/>
              </w:rPr>
              <w:t>4</w:t>
            </w:r>
          </w:p>
        </w:tc>
        <w:tc>
          <w:tcPr>
            <w:tcW w:w="2369" w:type="dxa"/>
            <w:vAlign w:val="center"/>
          </w:tcPr>
          <w:p>
            <w:pPr>
              <w:ind w:firstLine="0" w:firstLineChars="0"/>
              <w:jc w:val="center"/>
              <w:rPr>
                <w:rFonts w:hint="eastAsia" w:ascii="Times New Roman" w:hAnsi="Times New Roman" w:eastAsia="宋体" w:cs="Times New Roman"/>
                <w:color w:val="auto"/>
                <w:kern w:val="0"/>
                <w:sz w:val="21"/>
                <w:szCs w:val="24"/>
                <w:lang w:val="en-US" w:eastAsia="zh-CN"/>
              </w:rPr>
            </w:pPr>
            <w:r>
              <w:rPr>
                <w:rFonts w:hint="eastAsia" w:ascii="Times New Roman" w:hAnsi="Times New Roman" w:cs="Times New Roman"/>
                <w:color w:val="auto"/>
                <w:kern w:val="0"/>
                <w:sz w:val="21"/>
                <w:szCs w:val="24"/>
                <w:lang w:val="en-US" w:eastAsia="zh-CN"/>
              </w:rPr>
              <w:t>电气设备</w:t>
            </w:r>
          </w:p>
        </w:tc>
        <w:tc>
          <w:tcPr>
            <w:tcW w:w="2355" w:type="dxa"/>
            <w:vAlign w:val="center"/>
          </w:tcPr>
          <w:p>
            <w:pPr>
              <w:ind w:firstLine="0" w:firstLineChars="0"/>
              <w:jc w:val="center"/>
              <w:rPr>
                <w:rFonts w:hint="eastAsia" w:ascii="Times New Roman" w:hAnsi="Times New Roman" w:eastAsia="宋体" w:cs="Times New Roman"/>
                <w:color w:val="auto"/>
                <w:kern w:val="0"/>
                <w:sz w:val="21"/>
                <w:szCs w:val="24"/>
                <w:lang w:val="en-US" w:eastAsia="zh-CN"/>
              </w:rPr>
            </w:pPr>
            <w:r>
              <w:rPr>
                <w:rFonts w:hint="eastAsia" w:ascii="Times New Roman" w:hAnsi="Times New Roman" w:cs="Times New Roman"/>
                <w:color w:val="auto"/>
                <w:kern w:val="0"/>
                <w:sz w:val="21"/>
                <w:szCs w:val="24"/>
                <w:lang w:val="en-US" w:eastAsia="zh-CN"/>
              </w:rPr>
              <w:t>-</w:t>
            </w:r>
          </w:p>
        </w:tc>
        <w:tc>
          <w:tcPr>
            <w:tcW w:w="3162" w:type="dxa"/>
            <w:vAlign w:val="center"/>
          </w:tcPr>
          <w:p>
            <w:pPr>
              <w:ind w:firstLine="0" w:firstLineChars="0"/>
              <w:jc w:val="center"/>
              <w:rPr>
                <w:rFonts w:hint="default" w:ascii="Times New Roman" w:hAnsi="Times New Roman" w:eastAsia="宋体" w:cs="Times New Roman"/>
                <w:color w:val="auto"/>
                <w:kern w:val="0"/>
                <w:sz w:val="21"/>
                <w:szCs w:val="24"/>
                <w:lang w:val="en-US" w:eastAsia="zh-CN"/>
              </w:rPr>
            </w:pPr>
            <w:r>
              <w:rPr>
                <w:rFonts w:ascii="Times New Roman" w:hAnsi="Times New Roman" w:cs="Times New Roman"/>
                <w:color w:val="auto"/>
                <w:kern w:val="0"/>
                <w:sz w:val="21"/>
                <w:szCs w:val="24"/>
              </w:rPr>
              <w:t>火灾、爆炸</w:t>
            </w:r>
            <w:r>
              <w:rPr>
                <w:rFonts w:hint="eastAsia" w:ascii="Times New Roman" w:hAnsi="Times New Roman" w:cs="Times New Roman"/>
                <w:color w:val="auto"/>
                <w:kern w:val="0"/>
                <w:sz w:val="21"/>
                <w:szCs w:val="24"/>
                <w:lang w:eastAsia="zh-CN"/>
              </w:rPr>
              <w:t>、</w:t>
            </w:r>
            <w:r>
              <w:rPr>
                <w:rFonts w:hint="eastAsia" w:ascii="Times New Roman" w:hAnsi="Times New Roman" w:cs="Times New Roman"/>
                <w:color w:val="auto"/>
                <w:kern w:val="0"/>
                <w:sz w:val="21"/>
                <w:szCs w:val="24"/>
                <w:lang w:val="en-US" w:eastAsia="zh-CN"/>
              </w:rPr>
              <w:t>触电</w:t>
            </w:r>
          </w:p>
        </w:tc>
      </w:tr>
    </w:tbl>
    <w:p>
      <w:pPr>
        <w:pStyle w:val="4"/>
        <w:spacing w:after="65"/>
        <w:rPr>
          <w:rFonts w:hint="eastAsia" w:eastAsia="黑体"/>
          <w:color w:val="auto"/>
          <w:lang w:val="en-US" w:eastAsia="zh-CN"/>
        </w:rPr>
      </w:pPr>
      <w:bookmarkStart w:id="12" w:name="_Toc23463"/>
      <w:bookmarkStart w:id="13" w:name="_Toc4402778"/>
      <w:bookmarkStart w:id="14" w:name="_Toc503774709"/>
      <w:r>
        <w:rPr>
          <w:rFonts w:hint="eastAsia"/>
          <w:color w:val="auto"/>
          <w:lang w:val="en-US" w:eastAsia="zh-CN"/>
        </w:rPr>
        <w:t>3</w:t>
      </w:r>
      <w:r>
        <w:rPr>
          <w:rFonts w:hint="eastAsia"/>
          <w:color w:val="auto"/>
        </w:rPr>
        <w:t>.</w:t>
      </w:r>
      <w:r>
        <w:rPr>
          <w:rFonts w:hint="eastAsia"/>
          <w:color w:val="auto"/>
          <w:lang w:val="en-US" w:eastAsia="zh-CN"/>
        </w:rPr>
        <w:t>4主要</w:t>
      </w:r>
      <w:r>
        <w:rPr>
          <w:rFonts w:hint="eastAsia"/>
          <w:color w:val="auto"/>
        </w:rPr>
        <w:t>危险有害因素</w:t>
      </w:r>
      <w:r>
        <w:rPr>
          <w:rFonts w:hint="eastAsia"/>
          <w:color w:val="auto"/>
          <w:lang w:val="en-US" w:eastAsia="zh-CN"/>
        </w:rPr>
        <w:t>汇总</w:t>
      </w:r>
      <w:bookmarkEnd w:id="12"/>
    </w:p>
    <w:p>
      <w:pPr>
        <w:ind w:firstLine="480"/>
        <w:rPr>
          <w:rFonts w:hint="eastAsia"/>
          <w:color w:val="auto"/>
          <w:sz w:val="28"/>
          <w:szCs w:val="28"/>
          <w:lang w:val="en-US" w:eastAsia="zh-CN"/>
        </w:rPr>
      </w:pPr>
      <w:r>
        <w:rPr>
          <w:rFonts w:hint="eastAsia"/>
          <w:color w:val="auto"/>
          <w:sz w:val="28"/>
          <w:szCs w:val="28"/>
          <w:lang w:val="en-US" w:eastAsia="zh-CN"/>
        </w:rPr>
        <w:t xml:space="preserve">1、火灾、爆炸 </w:t>
      </w:r>
    </w:p>
    <w:p>
      <w:pPr>
        <w:ind w:firstLine="480"/>
        <w:rPr>
          <w:rFonts w:hint="eastAsia"/>
          <w:color w:val="auto"/>
          <w:sz w:val="28"/>
          <w:szCs w:val="28"/>
          <w:lang w:val="en-US" w:eastAsia="zh-CN"/>
        </w:rPr>
      </w:pPr>
      <w:r>
        <w:rPr>
          <w:rFonts w:hint="eastAsia"/>
          <w:color w:val="auto"/>
          <w:sz w:val="28"/>
          <w:szCs w:val="28"/>
          <w:lang w:val="en-US" w:eastAsia="zh-CN"/>
        </w:rPr>
        <w:t>（1）加油站所经营油品具有易燃、易爆、易渗漏、易挥发、易产生静电等危险特性，易发生火灾爆炸事故。</w:t>
      </w:r>
    </w:p>
    <w:p>
      <w:pPr>
        <w:ind w:firstLine="480"/>
        <w:rPr>
          <w:rFonts w:hint="eastAsia"/>
          <w:color w:val="auto"/>
          <w:sz w:val="28"/>
          <w:szCs w:val="28"/>
          <w:lang w:val="en-US" w:eastAsia="zh-CN"/>
        </w:rPr>
      </w:pPr>
      <w:r>
        <w:rPr>
          <w:rFonts w:hint="eastAsia"/>
          <w:color w:val="auto"/>
          <w:sz w:val="28"/>
          <w:szCs w:val="28"/>
          <w:lang w:val="en-US" w:eastAsia="zh-CN"/>
        </w:rPr>
        <w:t>（2）设备故障、地下管线腐蚀造成油品渗漏，导致油品损失和土地及水源污染，还可引发火灾爆炸等次生灾害。</w:t>
      </w:r>
    </w:p>
    <w:p>
      <w:pPr>
        <w:ind w:firstLine="480"/>
        <w:rPr>
          <w:rFonts w:hint="eastAsia"/>
          <w:color w:val="auto"/>
          <w:sz w:val="28"/>
          <w:szCs w:val="28"/>
          <w:lang w:val="en-US" w:eastAsia="zh-CN"/>
        </w:rPr>
      </w:pPr>
      <w:r>
        <w:rPr>
          <w:rFonts w:hint="eastAsia"/>
          <w:color w:val="auto"/>
          <w:sz w:val="28"/>
          <w:szCs w:val="28"/>
          <w:lang w:val="en-US" w:eastAsia="zh-CN"/>
        </w:rPr>
        <w:t>（3）电气线路故障、电气线路短路、电气设备故障、雷击等可能引发电气火灾事故。</w:t>
      </w:r>
    </w:p>
    <w:p>
      <w:pPr>
        <w:ind w:firstLine="480"/>
        <w:rPr>
          <w:rFonts w:hint="eastAsia"/>
          <w:color w:val="auto"/>
          <w:sz w:val="28"/>
          <w:szCs w:val="28"/>
          <w:lang w:val="en-US" w:eastAsia="zh-CN"/>
        </w:rPr>
      </w:pPr>
      <w:r>
        <w:rPr>
          <w:rFonts w:hint="eastAsia"/>
          <w:color w:val="auto"/>
          <w:sz w:val="28"/>
          <w:szCs w:val="28"/>
          <w:lang w:val="en-US" w:eastAsia="zh-CN"/>
        </w:rPr>
        <w:t>（4）加油员操作不当易加冒、洒油品引发火灾。</w:t>
      </w:r>
    </w:p>
    <w:p>
      <w:pPr>
        <w:ind w:firstLine="480"/>
        <w:rPr>
          <w:rFonts w:hint="eastAsia"/>
          <w:color w:val="auto"/>
          <w:sz w:val="28"/>
          <w:szCs w:val="28"/>
          <w:lang w:val="en-US" w:eastAsia="zh-CN"/>
        </w:rPr>
      </w:pPr>
      <w:r>
        <w:rPr>
          <w:rFonts w:hint="eastAsia"/>
          <w:color w:val="auto"/>
          <w:sz w:val="28"/>
          <w:szCs w:val="28"/>
          <w:lang w:val="en-US" w:eastAsia="zh-CN"/>
        </w:rPr>
        <w:t>（5）卸油时操作不当可能会引起油罐爆炸。</w:t>
      </w:r>
    </w:p>
    <w:p>
      <w:pPr>
        <w:ind w:firstLine="480"/>
        <w:rPr>
          <w:rFonts w:hint="eastAsia"/>
          <w:color w:val="auto"/>
          <w:sz w:val="28"/>
          <w:szCs w:val="28"/>
          <w:lang w:val="en-US" w:eastAsia="zh-CN"/>
        </w:rPr>
      </w:pPr>
      <w:r>
        <w:rPr>
          <w:rFonts w:hint="eastAsia"/>
          <w:color w:val="auto"/>
          <w:sz w:val="28"/>
          <w:szCs w:val="28"/>
          <w:lang w:val="en-US" w:eastAsia="zh-CN"/>
        </w:rPr>
        <w:t>（6）高温天气，空气中油蒸汽浓度较高，极易引发火灾和爆炸事故。</w:t>
      </w:r>
    </w:p>
    <w:p>
      <w:pPr>
        <w:ind w:firstLine="480"/>
        <w:rPr>
          <w:rFonts w:hint="eastAsia"/>
          <w:color w:val="auto"/>
          <w:sz w:val="28"/>
          <w:szCs w:val="28"/>
          <w:lang w:val="en-US" w:eastAsia="zh-CN"/>
        </w:rPr>
      </w:pPr>
      <w:r>
        <w:rPr>
          <w:rFonts w:hint="eastAsia"/>
          <w:color w:val="auto"/>
          <w:sz w:val="28"/>
          <w:szCs w:val="28"/>
          <w:lang w:val="en-US" w:eastAsia="zh-CN"/>
        </w:rPr>
        <w:t>2、油品泄漏</w:t>
      </w:r>
    </w:p>
    <w:p>
      <w:pPr>
        <w:ind w:firstLine="480"/>
        <w:rPr>
          <w:rFonts w:hint="eastAsia"/>
          <w:color w:val="auto"/>
          <w:sz w:val="28"/>
          <w:szCs w:val="28"/>
          <w:lang w:val="en-US" w:eastAsia="zh-CN"/>
        </w:rPr>
      </w:pPr>
      <w:r>
        <w:rPr>
          <w:rFonts w:hint="eastAsia"/>
          <w:color w:val="auto"/>
          <w:sz w:val="28"/>
          <w:szCs w:val="28"/>
          <w:lang w:val="en-US" w:eastAsia="zh-CN"/>
        </w:rPr>
        <w:t>（1）由于设备故障或操作失误、地下管线腐蚀造成油品渗漏。同时发生洪汛灾害、气象 灾害、地质灾害、导致油气管线和罐损坏引发油品泄漏等事件，泄漏会造成油品损失和土地及水源污染，还可引发火灾爆炸等次生灾害。</w:t>
      </w:r>
    </w:p>
    <w:p>
      <w:pPr>
        <w:ind w:firstLine="480"/>
        <w:rPr>
          <w:rFonts w:hint="eastAsia"/>
          <w:color w:val="auto"/>
          <w:sz w:val="28"/>
          <w:szCs w:val="28"/>
          <w:lang w:val="en-US" w:eastAsia="zh-CN"/>
        </w:rPr>
      </w:pPr>
      <w:r>
        <w:rPr>
          <w:rFonts w:hint="eastAsia"/>
          <w:color w:val="auto"/>
          <w:sz w:val="28"/>
          <w:szCs w:val="28"/>
          <w:lang w:val="en-US" w:eastAsia="zh-CN"/>
        </w:rPr>
        <w:t>（2）油罐上浮或进水造成油品外溢污染环境。</w:t>
      </w:r>
    </w:p>
    <w:p>
      <w:pPr>
        <w:ind w:firstLine="480"/>
        <w:rPr>
          <w:rFonts w:hint="eastAsia"/>
          <w:color w:val="auto"/>
          <w:sz w:val="28"/>
          <w:szCs w:val="28"/>
          <w:lang w:val="en-US" w:eastAsia="zh-CN"/>
        </w:rPr>
      </w:pPr>
      <w:r>
        <w:rPr>
          <w:rFonts w:hint="eastAsia"/>
          <w:color w:val="auto"/>
          <w:sz w:val="28"/>
          <w:szCs w:val="28"/>
          <w:lang w:val="en-US" w:eastAsia="zh-CN"/>
        </w:rPr>
        <w:t>（3）当遇到特大暴雨等气象灾害事件时，可能造成站内设备进水、油品变质、油品泄漏等危害。</w:t>
      </w:r>
    </w:p>
    <w:p>
      <w:pPr>
        <w:ind w:firstLine="480"/>
        <w:rPr>
          <w:rFonts w:hint="eastAsia"/>
          <w:color w:val="auto"/>
          <w:sz w:val="28"/>
          <w:szCs w:val="28"/>
          <w:lang w:val="en-US" w:eastAsia="zh-CN"/>
        </w:rPr>
      </w:pPr>
      <w:r>
        <w:rPr>
          <w:rFonts w:hint="eastAsia"/>
          <w:color w:val="auto"/>
          <w:sz w:val="28"/>
          <w:szCs w:val="28"/>
          <w:lang w:val="en-US" w:eastAsia="zh-CN"/>
        </w:rPr>
        <w:t xml:space="preserve">3、触电伤害 </w:t>
      </w:r>
    </w:p>
    <w:p>
      <w:pPr>
        <w:ind w:firstLine="480"/>
        <w:rPr>
          <w:rFonts w:hint="eastAsia"/>
          <w:color w:val="auto"/>
          <w:sz w:val="28"/>
          <w:szCs w:val="28"/>
          <w:lang w:val="en-US" w:eastAsia="zh-CN"/>
        </w:rPr>
      </w:pPr>
      <w:r>
        <w:rPr>
          <w:rFonts w:hint="eastAsia"/>
          <w:color w:val="auto"/>
          <w:sz w:val="28"/>
          <w:szCs w:val="28"/>
          <w:lang w:val="en-US" w:eastAsia="zh-CN"/>
        </w:rPr>
        <w:t>（1）有电气设备的环境如操作失误或者电气设备不合格都会导致现场人员触电死亡。范围限于配电房、泵房等带电场所。</w:t>
      </w:r>
    </w:p>
    <w:p>
      <w:pPr>
        <w:ind w:firstLine="480"/>
        <w:rPr>
          <w:rFonts w:hint="eastAsia"/>
          <w:color w:val="auto"/>
          <w:sz w:val="28"/>
          <w:szCs w:val="28"/>
          <w:lang w:val="en-US" w:eastAsia="zh-CN"/>
        </w:rPr>
      </w:pPr>
      <w:r>
        <w:rPr>
          <w:rFonts w:hint="eastAsia"/>
          <w:color w:val="auto"/>
          <w:sz w:val="28"/>
          <w:szCs w:val="28"/>
          <w:lang w:val="en-US" w:eastAsia="zh-CN"/>
        </w:rPr>
        <w:t>（2）配（发）电间易发生电气火灾、触电伤人、发电机机械伤人事故。</w:t>
      </w:r>
    </w:p>
    <w:p>
      <w:pPr>
        <w:ind w:firstLine="480"/>
        <w:rPr>
          <w:rFonts w:hint="eastAsia"/>
          <w:color w:val="auto"/>
          <w:sz w:val="28"/>
          <w:szCs w:val="28"/>
          <w:lang w:val="en-US" w:eastAsia="zh-CN"/>
        </w:rPr>
      </w:pPr>
      <w:r>
        <w:rPr>
          <w:rFonts w:hint="eastAsia"/>
          <w:color w:val="auto"/>
          <w:sz w:val="28"/>
          <w:szCs w:val="28"/>
          <w:lang w:val="en-US" w:eastAsia="zh-CN"/>
        </w:rPr>
        <w:t>（3）电气设备检修过程中，由于违章用电、违章操作等情况，可能造成触电事故的发生。</w:t>
      </w:r>
    </w:p>
    <w:p>
      <w:pPr>
        <w:ind w:firstLine="480"/>
        <w:rPr>
          <w:rFonts w:hint="eastAsia"/>
          <w:color w:val="auto"/>
          <w:sz w:val="28"/>
          <w:szCs w:val="28"/>
          <w:lang w:val="en-US" w:eastAsia="zh-CN"/>
        </w:rPr>
      </w:pPr>
      <w:r>
        <w:rPr>
          <w:rFonts w:hint="eastAsia"/>
          <w:color w:val="auto"/>
          <w:sz w:val="28"/>
          <w:szCs w:val="28"/>
          <w:lang w:val="en-US" w:eastAsia="zh-CN"/>
        </w:rPr>
        <w:t>（4）电气线路老化且因长期失修，可能导致触电事故。</w:t>
      </w:r>
    </w:p>
    <w:p>
      <w:pPr>
        <w:ind w:firstLine="480"/>
        <w:rPr>
          <w:rFonts w:hint="eastAsia"/>
          <w:color w:val="auto"/>
          <w:sz w:val="28"/>
          <w:szCs w:val="28"/>
          <w:lang w:val="en-US" w:eastAsia="zh-CN"/>
        </w:rPr>
      </w:pPr>
      <w:r>
        <w:rPr>
          <w:rFonts w:hint="eastAsia"/>
          <w:color w:val="auto"/>
          <w:sz w:val="28"/>
          <w:szCs w:val="28"/>
          <w:lang w:val="en-US" w:eastAsia="zh-CN"/>
        </w:rPr>
        <w:t>4、车辆伤害</w:t>
      </w:r>
    </w:p>
    <w:p>
      <w:pPr>
        <w:ind w:firstLine="480"/>
        <w:rPr>
          <w:rFonts w:hint="eastAsia"/>
          <w:color w:val="auto"/>
          <w:sz w:val="28"/>
          <w:szCs w:val="28"/>
          <w:lang w:val="en-US" w:eastAsia="zh-CN"/>
        </w:rPr>
      </w:pPr>
      <w:r>
        <w:rPr>
          <w:rFonts w:hint="eastAsia"/>
          <w:color w:val="auto"/>
          <w:sz w:val="28"/>
          <w:szCs w:val="28"/>
          <w:lang w:val="en-US" w:eastAsia="zh-CN"/>
        </w:rPr>
        <w:t xml:space="preserve"> 加油站是车辆进出频繁的场所，如果进站指示牌不清、司机违章行驶、车辆维护保养不够、加油操作人员违章指挥等都将引起车辆伤害，撞伤人员、撞毁设备及罩棚。导致现场人员受伤或 1 人死亡的较大事故。范围限于前庭加油区。</w:t>
      </w:r>
    </w:p>
    <w:p>
      <w:pPr>
        <w:ind w:firstLine="480"/>
        <w:rPr>
          <w:rFonts w:hint="eastAsia"/>
          <w:color w:val="auto"/>
          <w:sz w:val="28"/>
          <w:szCs w:val="28"/>
          <w:lang w:val="en-US" w:eastAsia="zh-CN"/>
        </w:rPr>
      </w:pPr>
      <w:r>
        <w:rPr>
          <w:rFonts w:hint="eastAsia"/>
          <w:color w:val="auto"/>
          <w:sz w:val="28"/>
          <w:szCs w:val="28"/>
          <w:lang w:val="en-US" w:eastAsia="zh-CN"/>
        </w:rPr>
        <w:t>若油罐车发生碰撞，还可能导致油品泄漏，严重者导致火灾甚至爆炸发生。</w:t>
      </w:r>
    </w:p>
    <w:p>
      <w:pPr>
        <w:ind w:firstLine="480"/>
        <w:rPr>
          <w:rFonts w:hint="eastAsia"/>
          <w:color w:val="auto"/>
          <w:sz w:val="28"/>
          <w:szCs w:val="28"/>
          <w:lang w:val="en-US" w:eastAsia="zh-CN"/>
        </w:rPr>
      </w:pPr>
      <w:r>
        <w:rPr>
          <w:rFonts w:hint="eastAsia"/>
          <w:color w:val="auto"/>
          <w:sz w:val="28"/>
          <w:szCs w:val="28"/>
          <w:lang w:val="en-US" w:eastAsia="zh-CN"/>
        </w:rPr>
        <w:t>5、中毒和窒息</w:t>
      </w:r>
    </w:p>
    <w:p>
      <w:pPr>
        <w:ind w:firstLine="480"/>
        <w:rPr>
          <w:rFonts w:hint="eastAsia"/>
          <w:color w:val="auto"/>
          <w:sz w:val="28"/>
          <w:szCs w:val="28"/>
          <w:lang w:val="en-US" w:eastAsia="zh-CN"/>
        </w:rPr>
      </w:pPr>
      <w:r>
        <w:rPr>
          <w:rFonts w:hint="eastAsia"/>
          <w:color w:val="auto"/>
          <w:sz w:val="28"/>
          <w:szCs w:val="28"/>
          <w:lang w:val="en-US" w:eastAsia="zh-CN"/>
        </w:rPr>
        <w:t xml:space="preserve"> 加油站在经营过程中产生的职业危害因素主要是汽油中毒。密闭的油罐内作业会导致人员窒息。除中毒和窒息外，车辆在加油站附近车辆来往频繁，长期在此环境下的工作人员也会受到噪声危害。 </w:t>
      </w:r>
    </w:p>
    <w:p>
      <w:pPr>
        <w:ind w:firstLine="480"/>
        <w:rPr>
          <w:rFonts w:hint="eastAsia"/>
          <w:color w:val="auto"/>
          <w:sz w:val="28"/>
          <w:szCs w:val="28"/>
          <w:lang w:val="en-US" w:eastAsia="zh-CN"/>
        </w:rPr>
      </w:pPr>
      <w:r>
        <w:rPr>
          <w:rFonts w:hint="eastAsia"/>
          <w:color w:val="auto"/>
          <w:sz w:val="28"/>
          <w:szCs w:val="28"/>
          <w:lang w:val="en-US" w:eastAsia="zh-CN"/>
        </w:rPr>
        <w:t xml:space="preserve">6、气象影响因素 </w:t>
      </w:r>
    </w:p>
    <w:p>
      <w:pPr>
        <w:ind w:firstLine="480"/>
        <w:rPr>
          <w:rFonts w:hint="eastAsia"/>
          <w:color w:val="auto"/>
          <w:sz w:val="28"/>
          <w:szCs w:val="28"/>
          <w:lang w:val="en-US" w:eastAsia="zh-CN"/>
        </w:rPr>
      </w:pPr>
      <w:r>
        <w:rPr>
          <w:rFonts w:hint="eastAsia"/>
          <w:color w:val="auto"/>
          <w:sz w:val="28"/>
          <w:szCs w:val="28"/>
          <w:lang w:val="en-US" w:eastAsia="zh-CN"/>
        </w:rPr>
        <w:t xml:space="preserve">指陆地区域上的风暴、特大暴雨、沙尘暴等灾害事件；该事件可能造成站内设备进水、油品变质、油品泄漏、罩棚倒塌、建筑附属物撕裂脱落等威胁人员生命安全或造成财产损失。 </w:t>
      </w:r>
    </w:p>
    <w:p>
      <w:pPr>
        <w:ind w:firstLine="480"/>
        <w:rPr>
          <w:rFonts w:hint="eastAsia"/>
          <w:color w:val="auto"/>
          <w:sz w:val="28"/>
          <w:szCs w:val="28"/>
          <w:lang w:val="en-US" w:eastAsia="zh-CN"/>
        </w:rPr>
      </w:pPr>
      <w:r>
        <w:rPr>
          <w:rFonts w:hint="eastAsia"/>
          <w:color w:val="auto"/>
          <w:sz w:val="28"/>
          <w:szCs w:val="28"/>
          <w:lang w:val="en-US" w:eastAsia="zh-CN"/>
        </w:rPr>
        <w:t>7、物体打击</w:t>
      </w:r>
    </w:p>
    <w:p>
      <w:pPr>
        <w:ind w:firstLine="480"/>
        <w:rPr>
          <w:rFonts w:hint="eastAsia"/>
          <w:color w:val="auto"/>
          <w:sz w:val="28"/>
          <w:szCs w:val="28"/>
          <w:lang w:val="en-US" w:eastAsia="zh-CN"/>
        </w:rPr>
      </w:pPr>
      <w:r>
        <w:rPr>
          <w:rFonts w:hint="eastAsia"/>
          <w:color w:val="auto"/>
          <w:sz w:val="28"/>
          <w:szCs w:val="28"/>
          <w:lang w:val="en-US" w:eastAsia="zh-CN"/>
        </w:rPr>
        <w:t>在检修、维护等手动作业时，作业人员误操作或配合不当可能引起物体打击事故发生；另外旋转设备在转动过程中出现旋转的零件、部件飞出，也可能引起物体打击伤害。</w:t>
      </w:r>
    </w:p>
    <w:p>
      <w:pPr>
        <w:ind w:firstLine="480"/>
        <w:rPr>
          <w:rFonts w:hint="eastAsia"/>
          <w:color w:val="auto"/>
          <w:sz w:val="28"/>
          <w:szCs w:val="28"/>
          <w:lang w:val="en-US" w:eastAsia="zh-CN"/>
        </w:rPr>
      </w:pPr>
      <w:r>
        <w:rPr>
          <w:rFonts w:hint="eastAsia"/>
          <w:color w:val="auto"/>
          <w:sz w:val="28"/>
          <w:szCs w:val="28"/>
          <w:lang w:val="en-US" w:eastAsia="zh-CN"/>
        </w:rPr>
        <w:t>8、其他伤害</w:t>
      </w:r>
    </w:p>
    <w:p>
      <w:pPr>
        <w:ind w:firstLine="480"/>
        <w:rPr>
          <w:rFonts w:hint="eastAsia"/>
          <w:color w:val="auto"/>
          <w:sz w:val="28"/>
          <w:szCs w:val="28"/>
          <w:lang w:val="en-US" w:eastAsia="zh-CN"/>
        </w:rPr>
      </w:pPr>
      <w:r>
        <w:rPr>
          <w:rFonts w:hint="eastAsia"/>
          <w:color w:val="auto"/>
          <w:sz w:val="28"/>
          <w:szCs w:val="28"/>
          <w:lang w:val="en-US" w:eastAsia="zh-CN"/>
        </w:rPr>
        <w:t>（1）火灾造成人员灼伤，并可能引起油罐及建筑物燃烧。</w:t>
      </w:r>
    </w:p>
    <w:p>
      <w:pPr>
        <w:ind w:firstLine="480"/>
        <w:rPr>
          <w:rFonts w:hint="eastAsia"/>
          <w:color w:val="auto"/>
          <w:sz w:val="28"/>
          <w:szCs w:val="28"/>
          <w:lang w:val="en-US" w:eastAsia="zh-CN"/>
        </w:rPr>
      </w:pPr>
      <w:r>
        <w:rPr>
          <w:rFonts w:hint="eastAsia"/>
          <w:color w:val="auto"/>
          <w:sz w:val="28"/>
          <w:szCs w:val="28"/>
          <w:lang w:val="en-US" w:eastAsia="zh-CN"/>
        </w:rPr>
        <w:t>（2）构建筑物垮塌易造成财产损失和人员伤亡。</w:t>
      </w:r>
    </w:p>
    <w:p>
      <w:pPr>
        <w:ind w:firstLine="480"/>
        <w:rPr>
          <w:rFonts w:hint="eastAsia"/>
          <w:color w:val="auto"/>
          <w:sz w:val="28"/>
          <w:szCs w:val="28"/>
          <w:lang w:val="en-US" w:eastAsia="zh-CN"/>
        </w:rPr>
      </w:pPr>
      <w:r>
        <w:rPr>
          <w:rFonts w:hint="eastAsia"/>
          <w:color w:val="auto"/>
          <w:sz w:val="28"/>
          <w:szCs w:val="28"/>
          <w:lang w:val="en-US" w:eastAsia="zh-CN"/>
        </w:rPr>
        <w:t>（3）房屋、围墙易发生倒塌、垮塌伤人事故。</w:t>
      </w:r>
    </w:p>
    <w:p>
      <w:pPr>
        <w:ind w:firstLine="480"/>
        <w:rPr>
          <w:rFonts w:hint="eastAsia"/>
          <w:color w:val="auto"/>
          <w:sz w:val="28"/>
          <w:szCs w:val="28"/>
          <w:lang w:val="en-US" w:eastAsia="zh-CN"/>
        </w:rPr>
      </w:pPr>
      <w:r>
        <w:rPr>
          <w:rFonts w:hint="eastAsia"/>
          <w:color w:val="auto"/>
          <w:sz w:val="28"/>
          <w:szCs w:val="28"/>
          <w:lang w:val="en-US" w:eastAsia="zh-CN"/>
        </w:rPr>
        <w:t>（4）油品燃烧产生的有毒有害气体使处于下风方向人员中毒、窒息。</w:t>
      </w:r>
    </w:p>
    <w:p>
      <w:pPr>
        <w:ind w:firstLine="480"/>
        <w:rPr>
          <w:rFonts w:hint="eastAsia"/>
          <w:color w:val="auto"/>
          <w:sz w:val="28"/>
          <w:szCs w:val="28"/>
          <w:lang w:val="en-US" w:eastAsia="zh-CN"/>
        </w:rPr>
      </w:pPr>
      <w:r>
        <w:rPr>
          <w:rFonts w:hint="eastAsia"/>
          <w:color w:val="auto"/>
          <w:sz w:val="28"/>
          <w:szCs w:val="28"/>
          <w:lang w:val="en-US" w:eastAsia="zh-CN"/>
        </w:rPr>
        <w:t>（5）高温下员工长时间作业易导致人员中暑。</w:t>
      </w:r>
    </w:p>
    <w:p>
      <w:pPr>
        <w:pStyle w:val="5"/>
        <w:keepNext/>
        <w:ind w:firstLine="400"/>
        <w:jc w:val="center"/>
        <w:rPr>
          <w:color w:val="auto"/>
        </w:rPr>
      </w:pPr>
      <w:r>
        <w:rPr>
          <w:rFonts w:hint="eastAsia"/>
          <w:color w:val="auto"/>
        </w:rPr>
        <w:t xml:space="preserve">表 </w:t>
      </w:r>
      <w:r>
        <w:rPr>
          <w:rFonts w:hint="eastAsia"/>
          <w:color w:val="auto"/>
          <w:lang w:val="en-US" w:eastAsia="zh-CN"/>
        </w:rPr>
        <w:t>3</w:t>
      </w:r>
      <w:r>
        <w:rPr>
          <w:color w:val="auto"/>
        </w:rPr>
        <w:noBreakHyphen/>
      </w:r>
      <w:r>
        <w:rPr>
          <w:rFonts w:hint="eastAsia"/>
          <w:color w:val="auto"/>
          <w:lang w:val="en-US" w:eastAsia="zh-CN"/>
        </w:rPr>
        <w:t>6</w:t>
      </w:r>
      <w:r>
        <w:rPr>
          <w:rFonts w:hint="eastAsia"/>
          <w:color w:val="auto"/>
        </w:rPr>
        <w:t>主要危险有害因素</w:t>
      </w:r>
    </w:p>
    <w:tbl>
      <w:tblPr>
        <w:tblStyle w:val="17"/>
        <w:tblW w:w="898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19"/>
        <w:gridCol w:w="1874"/>
        <w:gridCol w:w="3261"/>
        <w:gridCol w:w="23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19" w:type="dxa"/>
            <w:vAlign w:val="center"/>
          </w:tcPr>
          <w:p>
            <w:pPr>
              <w:ind w:firstLine="0" w:firstLineChars="0"/>
              <w:jc w:val="center"/>
              <w:rPr>
                <w:rFonts w:asciiTheme="minorEastAsia" w:hAnsiTheme="minorEastAsia" w:eastAsiaTheme="minorEastAsia"/>
                <w:b/>
                <w:color w:val="auto"/>
                <w:sz w:val="21"/>
                <w:szCs w:val="21"/>
              </w:rPr>
            </w:pPr>
            <w:r>
              <w:rPr>
                <w:rFonts w:asciiTheme="minorEastAsia" w:hAnsiTheme="minorEastAsia" w:eastAsiaTheme="minorEastAsia"/>
                <w:b/>
                <w:color w:val="auto"/>
                <w:sz w:val="21"/>
                <w:szCs w:val="21"/>
              </w:rPr>
              <w:t>主要危险有害因素种类</w:t>
            </w:r>
          </w:p>
        </w:tc>
        <w:tc>
          <w:tcPr>
            <w:tcW w:w="1874" w:type="dxa"/>
            <w:vAlign w:val="center"/>
          </w:tcPr>
          <w:p>
            <w:pPr>
              <w:ind w:firstLine="0" w:firstLineChars="0"/>
              <w:jc w:val="center"/>
              <w:rPr>
                <w:rFonts w:asciiTheme="minorEastAsia" w:hAnsiTheme="minorEastAsia" w:eastAsiaTheme="minorEastAsia"/>
                <w:b/>
                <w:color w:val="auto"/>
                <w:sz w:val="21"/>
                <w:szCs w:val="21"/>
              </w:rPr>
            </w:pPr>
            <w:r>
              <w:rPr>
                <w:rFonts w:asciiTheme="minorEastAsia" w:hAnsiTheme="minorEastAsia" w:eastAsiaTheme="minorEastAsia"/>
                <w:b/>
                <w:color w:val="auto"/>
                <w:sz w:val="21"/>
                <w:szCs w:val="21"/>
              </w:rPr>
              <w:t>可能存在的生产场所</w:t>
            </w:r>
            <w:r>
              <w:rPr>
                <w:rFonts w:hint="eastAsia" w:asciiTheme="minorEastAsia" w:hAnsiTheme="minorEastAsia" w:eastAsiaTheme="minorEastAsia"/>
                <w:b/>
                <w:color w:val="auto"/>
                <w:sz w:val="21"/>
                <w:szCs w:val="21"/>
              </w:rPr>
              <w:t>（设备）</w:t>
            </w:r>
          </w:p>
        </w:tc>
        <w:tc>
          <w:tcPr>
            <w:tcW w:w="3261" w:type="dxa"/>
            <w:vAlign w:val="center"/>
          </w:tcPr>
          <w:p>
            <w:pPr>
              <w:ind w:firstLine="0" w:firstLineChars="0"/>
              <w:jc w:val="center"/>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产生原因</w:t>
            </w:r>
          </w:p>
        </w:tc>
        <w:tc>
          <w:tcPr>
            <w:tcW w:w="2335" w:type="dxa"/>
            <w:vAlign w:val="center"/>
          </w:tcPr>
          <w:p>
            <w:pPr>
              <w:ind w:firstLine="0" w:firstLineChars="0"/>
              <w:jc w:val="center"/>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后果及影响范围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19" w:type="dxa"/>
            <w:vAlign w:val="center"/>
          </w:tcPr>
          <w:p>
            <w:pPr>
              <w:ind w:firstLine="0" w:firstLineChars="0"/>
              <w:jc w:val="center"/>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火灾</w:t>
            </w:r>
          </w:p>
        </w:tc>
        <w:tc>
          <w:tcPr>
            <w:tcW w:w="1874" w:type="dxa"/>
            <w:vAlign w:val="center"/>
          </w:tcPr>
          <w:p>
            <w:pPr>
              <w:ind w:firstLine="0" w:firstLineChars="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储油区与卸油区</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加油机</w:t>
            </w:r>
          </w:p>
        </w:tc>
        <w:tc>
          <w:tcPr>
            <w:tcW w:w="3261" w:type="dxa"/>
            <w:vAlign w:val="center"/>
          </w:tcPr>
          <w:p>
            <w:pPr>
              <w:ind w:firstLine="0" w:firstLineChars="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设备故障、管线腐蚀造成油品渗漏；电气设备故障、线路短路、雷击引发电气火灾事故；加油员操作不当易加冒、洒油品引发火灾</w:t>
            </w:r>
          </w:p>
        </w:tc>
        <w:tc>
          <w:tcPr>
            <w:tcW w:w="2335" w:type="dxa"/>
            <w:vAlign w:val="center"/>
          </w:tcPr>
          <w:p>
            <w:pPr>
              <w:ind w:firstLine="0" w:firstLineChars="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现场作业人员伤亡，建筑物毁坏，经济损失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19" w:type="dxa"/>
            <w:vAlign w:val="center"/>
          </w:tcPr>
          <w:p>
            <w:pPr>
              <w:ind w:firstLine="0" w:firstLineChars="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油罐车</w:t>
            </w:r>
            <w:r>
              <w:rPr>
                <w:rFonts w:asciiTheme="minorEastAsia" w:hAnsiTheme="minorEastAsia" w:eastAsiaTheme="minorEastAsia"/>
                <w:color w:val="auto"/>
                <w:sz w:val="21"/>
                <w:szCs w:val="21"/>
              </w:rPr>
              <w:t>爆炸</w:t>
            </w:r>
          </w:p>
        </w:tc>
        <w:tc>
          <w:tcPr>
            <w:tcW w:w="1874" w:type="dxa"/>
            <w:vAlign w:val="center"/>
          </w:tcPr>
          <w:p>
            <w:pPr>
              <w:ind w:firstLine="0" w:firstLineChars="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卸油时</w:t>
            </w:r>
          </w:p>
        </w:tc>
        <w:tc>
          <w:tcPr>
            <w:tcW w:w="3261" w:type="dxa"/>
            <w:vAlign w:val="center"/>
          </w:tcPr>
          <w:p>
            <w:pPr>
              <w:ind w:firstLine="0" w:firstLineChars="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人员卸油时操作不当；高温天气</w:t>
            </w:r>
          </w:p>
        </w:tc>
        <w:tc>
          <w:tcPr>
            <w:tcW w:w="2335" w:type="dxa"/>
            <w:vAlign w:val="center"/>
          </w:tcPr>
          <w:p>
            <w:pPr>
              <w:ind w:firstLine="0" w:firstLineChars="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现场作业人员伤亡，建筑物毁坏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19" w:type="dxa"/>
            <w:vAlign w:val="center"/>
          </w:tcPr>
          <w:p>
            <w:pPr>
              <w:ind w:firstLine="0" w:firstLineChars="0"/>
              <w:jc w:val="center"/>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触电</w:t>
            </w:r>
          </w:p>
        </w:tc>
        <w:tc>
          <w:tcPr>
            <w:tcW w:w="1874" w:type="dxa"/>
            <w:vAlign w:val="center"/>
          </w:tcPr>
          <w:p>
            <w:pPr>
              <w:ind w:firstLine="0" w:firstLineChars="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所有电气设备</w:t>
            </w:r>
          </w:p>
        </w:tc>
        <w:tc>
          <w:tcPr>
            <w:tcW w:w="3261" w:type="dxa"/>
            <w:vAlign w:val="center"/>
          </w:tcPr>
          <w:p>
            <w:pPr>
              <w:ind w:firstLine="0" w:firstLineChars="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电气设备绝缘装置损坏；安全防护缺失；线路老化、接零、接地失效或缺失等</w:t>
            </w:r>
          </w:p>
        </w:tc>
        <w:tc>
          <w:tcPr>
            <w:tcW w:w="2335" w:type="dxa"/>
            <w:vAlign w:val="center"/>
          </w:tcPr>
          <w:p>
            <w:pPr>
              <w:ind w:firstLine="0" w:firstLineChars="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导致作业人员发生触电伤害。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19" w:type="dxa"/>
            <w:vAlign w:val="center"/>
          </w:tcPr>
          <w:p>
            <w:pPr>
              <w:ind w:firstLine="0" w:firstLineChars="0"/>
              <w:jc w:val="center"/>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中毒与窒息</w:t>
            </w:r>
          </w:p>
        </w:tc>
        <w:tc>
          <w:tcPr>
            <w:tcW w:w="1874" w:type="dxa"/>
            <w:vAlign w:val="center"/>
          </w:tcPr>
          <w:p>
            <w:pPr>
              <w:ind w:firstLine="0" w:firstLineChars="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油罐</w:t>
            </w:r>
          </w:p>
        </w:tc>
        <w:tc>
          <w:tcPr>
            <w:tcW w:w="3261" w:type="dxa"/>
            <w:vAlign w:val="center"/>
          </w:tcPr>
          <w:p>
            <w:pPr>
              <w:ind w:firstLine="0" w:firstLineChars="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未防护在密闭油罐内作业</w:t>
            </w:r>
          </w:p>
        </w:tc>
        <w:tc>
          <w:tcPr>
            <w:tcW w:w="2335" w:type="dxa"/>
            <w:vAlign w:val="center"/>
          </w:tcPr>
          <w:p>
            <w:pPr>
              <w:ind w:firstLine="0" w:firstLineChars="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现场作业人员中毒窒息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19" w:type="dxa"/>
            <w:vAlign w:val="center"/>
          </w:tcPr>
          <w:p>
            <w:pPr>
              <w:ind w:firstLine="0" w:firstLineChars="0"/>
              <w:jc w:val="center"/>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车辆伤害</w:t>
            </w:r>
          </w:p>
        </w:tc>
        <w:tc>
          <w:tcPr>
            <w:tcW w:w="1874" w:type="dxa"/>
            <w:vAlign w:val="center"/>
          </w:tcPr>
          <w:p>
            <w:pPr>
              <w:ind w:firstLine="0" w:firstLineChars="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运输车辆</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来往车辆</w:t>
            </w:r>
          </w:p>
        </w:tc>
        <w:tc>
          <w:tcPr>
            <w:tcW w:w="3261" w:type="dxa"/>
            <w:vAlign w:val="center"/>
          </w:tcPr>
          <w:p>
            <w:pPr>
              <w:ind w:firstLine="0" w:firstLineChars="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车辆故障；人员违章；酒后驾驶</w:t>
            </w:r>
          </w:p>
        </w:tc>
        <w:tc>
          <w:tcPr>
            <w:tcW w:w="2335" w:type="dxa"/>
            <w:vAlign w:val="center"/>
          </w:tcPr>
          <w:p>
            <w:pPr>
              <w:ind w:firstLine="0" w:firstLineChars="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造成道路内行走人员受伤，道路周边设备或建筑物受损。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19" w:type="dxa"/>
            <w:vAlign w:val="center"/>
          </w:tcPr>
          <w:p>
            <w:pPr>
              <w:ind w:firstLine="0" w:firstLineChars="0"/>
              <w:jc w:val="center"/>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坍塌</w:t>
            </w:r>
          </w:p>
        </w:tc>
        <w:tc>
          <w:tcPr>
            <w:tcW w:w="1874" w:type="dxa"/>
            <w:vAlign w:val="center"/>
          </w:tcPr>
          <w:p>
            <w:pPr>
              <w:ind w:firstLine="0" w:firstLineChars="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罩棚</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办公区房屋</w:t>
            </w:r>
          </w:p>
        </w:tc>
        <w:tc>
          <w:tcPr>
            <w:tcW w:w="3261" w:type="dxa"/>
            <w:vAlign w:val="center"/>
          </w:tcPr>
          <w:p>
            <w:pPr>
              <w:ind w:firstLine="0" w:firstLineChars="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地震、风暴等自然灾害</w:t>
            </w:r>
          </w:p>
        </w:tc>
        <w:tc>
          <w:tcPr>
            <w:tcW w:w="2335" w:type="dxa"/>
            <w:vAlign w:val="center"/>
          </w:tcPr>
          <w:p>
            <w:pPr>
              <w:ind w:firstLine="0" w:firstLineChars="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现场作业人员伤亡</w:t>
            </w:r>
          </w:p>
        </w:tc>
      </w:tr>
    </w:tbl>
    <w:p>
      <w:pPr>
        <w:pStyle w:val="4"/>
        <w:bidi w:val="0"/>
        <w:rPr>
          <w:color w:val="auto"/>
        </w:rPr>
      </w:pPr>
      <w:bookmarkStart w:id="15" w:name="_Toc8116"/>
      <w:r>
        <w:rPr>
          <w:rFonts w:hint="eastAsia"/>
          <w:color w:val="auto"/>
          <w:lang w:val="en-US" w:eastAsia="zh-CN"/>
        </w:rPr>
        <w:t>3.5</w:t>
      </w:r>
      <w:r>
        <w:rPr>
          <w:rFonts w:hint="eastAsia"/>
          <w:color w:val="auto"/>
        </w:rPr>
        <w:t>危险化学品重大危险源辨识</w:t>
      </w:r>
      <w:bookmarkEnd w:id="15"/>
    </w:p>
    <w:p>
      <w:pPr>
        <w:pStyle w:val="24"/>
        <w:numPr>
          <w:ilvl w:val="0"/>
          <w:numId w:val="1"/>
        </w:numPr>
        <w:ind w:firstLineChars="0"/>
        <w:rPr>
          <w:color w:val="auto"/>
          <w:sz w:val="28"/>
          <w:szCs w:val="28"/>
        </w:rPr>
      </w:pPr>
      <w:r>
        <w:rPr>
          <w:rFonts w:hint="eastAsia"/>
          <w:color w:val="auto"/>
          <w:sz w:val="28"/>
          <w:szCs w:val="28"/>
        </w:rPr>
        <w:t>重大危险源辨识依据</w:t>
      </w:r>
    </w:p>
    <w:p>
      <w:pPr>
        <w:ind w:left="284" w:firstLine="480"/>
        <w:rPr>
          <w:color w:val="auto"/>
          <w:sz w:val="28"/>
          <w:szCs w:val="28"/>
        </w:rPr>
      </w:pPr>
      <w:r>
        <w:rPr>
          <w:color w:val="auto"/>
          <w:sz w:val="28"/>
          <w:szCs w:val="28"/>
        </w:rPr>
        <w:t>危险化学品重大危险源的辨识依据是危险化学品的危险特性及其数量，具体见《危险化学品重大危险源辨识》（GB18218-2018）中表1和表2。同时，参照《危险货物品名表》（GB12268-20</w:t>
      </w:r>
      <w:r>
        <w:rPr>
          <w:rFonts w:hint="eastAsia"/>
          <w:color w:val="auto"/>
          <w:sz w:val="28"/>
          <w:szCs w:val="28"/>
        </w:rPr>
        <w:t>12</w:t>
      </w:r>
      <w:r>
        <w:rPr>
          <w:color w:val="auto"/>
          <w:sz w:val="28"/>
          <w:szCs w:val="28"/>
        </w:rPr>
        <w:t>）中对危险化学品危险性类别及包装类别的划分，以及《化学品分类和标签规范第18部分：急性毒性</w:t>
      </w:r>
      <w:r>
        <w:rPr>
          <w:rFonts w:hint="eastAsia"/>
          <w:color w:val="auto"/>
          <w:sz w:val="28"/>
          <w:szCs w:val="28"/>
        </w:rPr>
        <w:t>》</w:t>
      </w:r>
      <w:r>
        <w:rPr>
          <w:color w:val="auto"/>
          <w:sz w:val="28"/>
          <w:szCs w:val="28"/>
        </w:rPr>
        <w:t>（GB</w:t>
      </w:r>
      <w:r>
        <w:rPr>
          <w:rFonts w:hint="eastAsia"/>
          <w:color w:val="auto"/>
          <w:sz w:val="28"/>
          <w:szCs w:val="28"/>
        </w:rPr>
        <w:t>30000.18</w:t>
      </w:r>
      <w:r>
        <w:rPr>
          <w:color w:val="auto"/>
          <w:sz w:val="28"/>
          <w:szCs w:val="28"/>
        </w:rPr>
        <w:t>-20</w:t>
      </w:r>
      <w:r>
        <w:rPr>
          <w:rFonts w:hint="eastAsia"/>
          <w:color w:val="auto"/>
          <w:sz w:val="28"/>
          <w:szCs w:val="28"/>
        </w:rPr>
        <w:t>13</w:t>
      </w:r>
      <w:r>
        <w:rPr>
          <w:color w:val="auto"/>
          <w:sz w:val="28"/>
          <w:szCs w:val="28"/>
        </w:rPr>
        <w:t>）中对危险化学品急性毒性类别的划分。</w:t>
      </w:r>
    </w:p>
    <w:p>
      <w:pPr>
        <w:pStyle w:val="24"/>
        <w:numPr>
          <w:ilvl w:val="0"/>
          <w:numId w:val="1"/>
        </w:numPr>
        <w:ind w:firstLineChars="0"/>
        <w:rPr>
          <w:color w:val="auto"/>
          <w:sz w:val="28"/>
          <w:szCs w:val="28"/>
        </w:rPr>
      </w:pPr>
      <w:bookmarkStart w:id="16" w:name="_Toc337625580"/>
      <w:bookmarkStart w:id="17" w:name="_Toc326155102"/>
      <w:r>
        <w:rPr>
          <w:color w:val="auto"/>
          <w:sz w:val="28"/>
          <w:szCs w:val="28"/>
        </w:rPr>
        <w:t>重大危险源辨识指标</w:t>
      </w:r>
      <w:bookmarkEnd w:id="16"/>
      <w:bookmarkEnd w:id="17"/>
    </w:p>
    <w:p>
      <w:pPr>
        <w:ind w:left="284" w:firstLine="480"/>
        <w:rPr>
          <w:color w:val="auto"/>
          <w:sz w:val="28"/>
          <w:szCs w:val="28"/>
        </w:rPr>
      </w:pPr>
      <w:r>
        <w:rPr>
          <w:rFonts w:hint="eastAsia"/>
          <w:color w:val="auto"/>
          <w:sz w:val="28"/>
          <w:szCs w:val="28"/>
        </w:rPr>
        <w:t>生产</w:t>
      </w:r>
      <w:r>
        <w:rPr>
          <w:color w:val="auto"/>
          <w:sz w:val="28"/>
          <w:szCs w:val="28"/>
        </w:rPr>
        <w:t>单元</w:t>
      </w:r>
      <w:r>
        <w:rPr>
          <w:rFonts w:hint="eastAsia"/>
          <w:color w:val="auto"/>
          <w:sz w:val="28"/>
          <w:szCs w:val="28"/>
        </w:rPr>
        <w:t>、储存单元</w:t>
      </w:r>
      <w:r>
        <w:rPr>
          <w:color w:val="auto"/>
          <w:sz w:val="28"/>
          <w:szCs w:val="28"/>
        </w:rPr>
        <w:t>内危险化学品的数量等于或超过GB18218-2018中表1和表2规定的临界量，即被定为重大危险源。单元内存在的危险化学品的数量根据处理危险化学品种类的多少区分为以下两种情况：</w:t>
      </w:r>
    </w:p>
    <w:p>
      <w:pPr>
        <w:pStyle w:val="24"/>
        <w:numPr>
          <w:ilvl w:val="0"/>
          <w:numId w:val="1"/>
        </w:numPr>
        <w:ind w:firstLineChars="0"/>
        <w:rPr>
          <w:color w:val="auto"/>
          <w:sz w:val="28"/>
          <w:szCs w:val="28"/>
        </w:rPr>
      </w:pPr>
      <w:r>
        <w:rPr>
          <w:rFonts w:hint="eastAsia"/>
          <w:color w:val="auto"/>
          <w:sz w:val="28"/>
          <w:szCs w:val="28"/>
        </w:rPr>
        <w:t>生产</w:t>
      </w:r>
      <w:r>
        <w:rPr>
          <w:color w:val="auto"/>
          <w:sz w:val="28"/>
          <w:szCs w:val="28"/>
        </w:rPr>
        <w:t>单元</w:t>
      </w:r>
      <w:r>
        <w:rPr>
          <w:rFonts w:hint="eastAsia"/>
          <w:color w:val="auto"/>
          <w:sz w:val="28"/>
          <w:szCs w:val="28"/>
        </w:rPr>
        <w:t>、储存单元</w:t>
      </w:r>
      <w:r>
        <w:rPr>
          <w:color w:val="auto"/>
          <w:sz w:val="28"/>
          <w:szCs w:val="28"/>
        </w:rPr>
        <w:t>内存在危险化学品为单一品种</w:t>
      </w:r>
      <w:r>
        <w:rPr>
          <w:rFonts w:hint="eastAsia"/>
          <w:color w:val="auto"/>
          <w:sz w:val="28"/>
          <w:szCs w:val="28"/>
        </w:rPr>
        <w:t>时</w:t>
      </w:r>
      <w:r>
        <w:rPr>
          <w:color w:val="auto"/>
          <w:sz w:val="28"/>
          <w:szCs w:val="28"/>
        </w:rPr>
        <w:t>，该危险化学品的数量即为单元内危险化学品的总量，若等于或超过相应的临界量，则定为重大危险源。</w:t>
      </w:r>
    </w:p>
    <w:p>
      <w:pPr>
        <w:pStyle w:val="24"/>
        <w:numPr>
          <w:ilvl w:val="0"/>
          <w:numId w:val="1"/>
        </w:numPr>
        <w:ind w:firstLineChars="0"/>
        <w:rPr>
          <w:color w:val="auto"/>
          <w:sz w:val="28"/>
          <w:szCs w:val="28"/>
        </w:rPr>
      </w:pPr>
      <w:r>
        <w:rPr>
          <w:rFonts w:hint="eastAsia"/>
          <w:color w:val="auto"/>
          <w:sz w:val="28"/>
          <w:szCs w:val="28"/>
        </w:rPr>
        <w:t>生产单元、储存</w:t>
      </w:r>
      <w:r>
        <w:rPr>
          <w:color w:val="auto"/>
          <w:sz w:val="28"/>
          <w:szCs w:val="28"/>
        </w:rPr>
        <w:t>单元内存在的危险化学品为多品种时，则按式（1）计算，若满足式（1），则定为重大危险源；</w:t>
      </w:r>
    </w:p>
    <w:p>
      <w:pPr>
        <w:pStyle w:val="24"/>
        <w:ind w:left="720" w:firstLine="0" w:firstLineChars="0"/>
        <w:jc w:val="center"/>
        <w:rPr>
          <w:color w:val="auto"/>
          <w:sz w:val="28"/>
          <w:szCs w:val="28"/>
        </w:rPr>
      </w:pPr>
      <w:bookmarkStart w:id="18" w:name="_1177223207"/>
      <w:bookmarkEnd w:id="18"/>
      <w:bookmarkStart w:id="19" w:name="_1249115350"/>
      <w:bookmarkEnd w:id="19"/>
      <w:bookmarkStart w:id="20" w:name="_1249115782"/>
      <w:bookmarkEnd w:id="20"/>
      <w:r>
        <w:rPr>
          <w:color w:val="auto"/>
          <w:sz w:val="28"/>
          <w:szCs w:val="28"/>
        </w:rPr>
        <w:drawing>
          <wp:inline distT="0" distB="0" distL="0" distR="0">
            <wp:extent cx="5274310" cy="410210"/>
            <wp:effectExtent l="0" t="0" r="254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5274310" cy="410835"/>
                    </a:xfrm>
                    <a:prstGeom prst="rect">
                      <a:avLst/>
                    </a:prstGeom>
                  </pic:spPr>
                </pic:pic>
              </a:graphicData>
            </a:graphic>
          </wp:inline>
        </w:drawing>
      </w:r>
    </w:p>
    <w:p>
      <w:pPr>
        <w:adjustRightInd w:val="0"/>
        <w:snapToGrid w:val="0"/>
        <w:ind w:firstLine="0" w:firstLineChars="0"/>
        <w:rPr>
          <w:color w:val="auto"/>
          <w:sz w:val="28"/>
          <w:szCs w:val="28"/>
        </w:rPr>
      </w:pPr>
      <w:r>
        <w:rPr>
          <w:color w:val="auto"/>
          <w:sz w:val="28"/>
          <w:szCs w:val="28"/>
        </w:rPr>
        <w:t>式中：</w:t>
      </w:r>
      <w:r>
        <w:rPr>
          <w:rFonts w:hint="eastAsia"/>
          <w:i/>
          <w:color w:val="auto"/>
          <w:sz w:val="28"/>
          <w:szCs w:val="28"/>
        </w:rPr>
        <w:t>S</w:t>
      </w:r>
      <w:r>
        <w:rPr>
          <w:rFonts w:hint="eastAsia"/>
          <w:color w:val="auto"/>
          <w:sz w:val="28"/>
          <w:szCs w:val="28"/>
        </w:rPr>
        <w:t>——辨识指标。</w:t>
      </w:r>
    </w:p>
    <w:p>
      <w:pPr>
        <w:adjustRightInd w:val="0"/>
        <w:snapToGrid w:val="0"/>
        <w:ind w:firstLine="840" w:firstLineChars="300"/>
        <w:rPr>
          <w:color w:val="auto"/>
          <w:sz w:val="28"/>
          <w:szCs w:val="28"/>
        </w:rPr>
      </w:pPr>
      <w:r>
        <w:rPr>
          <w:i/>
          <w:color w:val="auto"/>
          <w:sz w:val="28"/>
          <w:szCs w:val="28"/>
        </w:rPr>
        <w:t>q</w:t>
      </w:r>
      <w:r>
        <w:rPr>
          <w:i/>
          <w:color w:val="auto"/>
          <w:sz w:val="28"/>
          <w:szCs w:val="28"/>
          <w:vertAlign w:val="subscript"/>
        </w:rPr>
        <w:t>1</w:t>
      </w:r>
      <w:r>
        <w:rPr>
          <w:i/>
          <w:color w:val="auto"/>
          <w:sz w:val="28"/>
          <w:szCs w:val="28"/>
        </w:rPr>
        <w:t>,q</w:t>
      </w:r>
      <w:r>
        <w:rPr>
          <w:i/>
          <w:color w:val="auto"/>
          <w:sz w:val="28"/>
          <w:szCs w:val="28"/>
          <w:vertAlign w:val="subscript"/>
        </w:rPr>
        <w:t>2.</w:t>
      </w:r>
      <w:r>
        <w:rPr>
          <w:i/>
          <w:color w:val="auto"/>
          <w:sz w:val="28"/>
          <w:szCs w:val="28"/>
        </w:rPr>
        <w:t>..q</w:t>
      </w:r>
      <w:r>
        <w:rPr>
          <w:i/>
          <w:color w:val="auto"/>
          <w:sz w:val="28"/>
          <w:szCs w:val="28"/>
          <w:vertAlign w:val="subscript"/>
        </w:rPr>
        <w:t xml:space="preserve">n </w:t>
      </w:r>
      <w:r>
        <w:rPr>
          <w:rFonts w:hint="eastAsia"/>
          <w:color w:val="auto"/>
          <w:sz w:val="28"/>
          <w:szCs w:val="28"/>
        </w:rPr>
        <w:t>——</w:t>
      </w:r>
      <w:r>
        <w:rPr>
          <w:color w:val="auto"/>
          <w:sz w:val="28"/>
          <w:szCs w:val="28"/>
        </w:rPr>
        <w:t>每种危险化学品实际存在量，单位为吨（t）。</w:t>
      </w:r>
    </w:p>
    <w:p>
      <w:pPr>
        <w:pStyle w:val="24"/>
        <w:ind w:left="720" w:firstLine="0" w:firstLineChars="0"/>
        <w:rPr>
          <w:color w:val="auto"/>
          <w:sz w:val="28"/>
          <w:szCs w:val="28"/>
        </w:rPr>
      </w:pPr>
      <w:r>
        <w:rPr>
          <w:i/>
          <w:color w:val="auto"/>
          <w:sz w:val="28"/>
          <w:szCs w:val="28"/>
        </w:rPr>
        <w:t>Q</w:t>
      </w:r>
      <w:r>
        <w:rPr>
          <w:i/>
          <w:color w:val="auto"/>
          <w:sz w:val="28"/>
          <w:szCs w:val="28"/>
          <w:vertAlign w:val="subscript"/>
        </w:rPr>
        <w:t>1</w:t>
      </w:r>
      <w:r>
        <w:rPr>
          <w:i/>
          <w:color w:val="auto"/>
          <w:sz w:val="28"/>
          <w:szCs w:val="28"/>
        </w:rPr>
        <w:t>,Q</w:t>
      </w:r>
      <w:r>
        <w:rPr>
          <w:i/>
          <w:color w:val="auto"/>
          <w:sz w:val="28"/>
          <w:szCs w:val="28"/>
          <w:vertAlign w:val="subscript"/>
        </w:rPr>
        <w:t>2</w:t>
      </w:r>
      <w:r>
        <w:rPr>
          <w:i/>
          <w:color w:val="auto"/>
          <w:sz w:val="28"/>
          <w:szCs w:val="28"/>
        </w:rPr>
        <w:t>...Q</w:t>
      </w:r>
      <w:r>
        <w:rPr>
          <w:i/>
          <w:color w:val="auto"/>
          <w:sz w:val="28"/>
          <w:szCs w:val="28"/>
          <w:vertAlign w:val="subscript"/>
        </w:rPr>
        <w:t xml:space="preserve">n </w:t>
      </w:r>
      <w:r>
        <w:rPr>
          <w:rFonts w:hint="eastAsia"/>
          <w:color w:val="auto"/>
          <w:sz w:val="28"/>
          <w:szCs w:val="28"/>
        </w:rPr>
        <w:t>——</w:t>
      </w:r>
      <w:r>
        <w:rPr>
          <w:color w:val="auto"/>
          <w:sz w:val="28"/>
          <w:szCs w:val="28"/>
        </w:rPr>
        <w:t>与各危险化学品相对应的临界量，单位为吨（t）。</w:t>
      </w:r>
    </w:p>
    <w:p>
      <w:pPr>
        <w:ind w:firstLine="480"/>
        <w:rPr>
          <w:color w:val="auto"/>
          <w:sz w:val="28"/>
          <w:szCs w:val="28"/>
        </w:rPr>
      </w:pPr>
      <w:bookmarkStart w:id="21" w:name="_Toc337625581"/>
      <w:bookmarkStart w:id="22" w:name="_Toc326155103"/>
      <w:r>
        <w:rPr>
          <w:rFonts w:hint="eastAsia"/>
          <w:color w:val="auto"/>
          <w:sz w:val="28"/>
          <w:szCs w:val="28"/>
        </w:rPr>
        <w:t>3）</w:t>
      </w:r>
      <w:r>
        <w:rPr>
          <w:color w:val="auto"/>
          <w:sz w:val="28"/>
          <w:szCs w:val="28"/>
        </w:rPr>
        <w:t>重大危险源辨识</w:t>
      </w:r>
      <w:bookmarkEnd w:id="21"/>
      <w:bookmarkEnd w:id="22"/>
    </w:p>
    <w:p>
      <w:pPr>
        <w:ind w:firstLine="480"/>
        <w:rPr>
          <w:color w:val="auto"/>
          <w:sz w:val="28"/>
          <w:szCs w:val="28"/>
        </w:rPr>
      </w:pPr>
      <w:r>
        <w:rPr>
          <w:rFonts w:hint="eastAsia"/>
          <w:color w:val="auto"/>
          <w:sz w:val="28"/>
          <w:szCs w:val="28"/>
        </w:rPr>
        <w:t>本加油站共划分1个储存单元：储罐区（含</w:t>
      </w:r>
      <w:r>
        <w:rPr>
          <w:rFonts w:hint="eastAsia"/>
          <w:color w:val="auto"/>
          <w:sz w:val="28"/>
          <w:szCs w:val="28"/>
          <w:lang w:val="en-US" w:eastAsia="zh-CN"/>
        </w:rPr>
        <w:t>2</w:t>
      </w:r>
      <w:r>
        <w:rPr>
          <w:rFonts w:hint="eastAsia"/>
          <w:color w:val="auto"/>
          <w:sz w:val="28"/>
          <w:szCs w:val="28"/>
        </w:rPr>
        <w:t>个3</w:t>
      </w:r>
      <w:r>
        <w:rPr>
          <w:color w:val="auto"/>
          <w:sz w:val="28"/>
          <w:szCs w:val="28"/>
        </w:rPr>
        <w:t>0m</w:t>
      </w:r>
      <w:r>
        <w:rPr>
          <w:color w:val="auto"/>
          <w:sz w:val="28"/>
          <w:szCs w:val="28"/>
          <w:vertAlign w:val="superscript"/>
        </w:rPr>
        <w:t>3</w:t>
      </w:r>
      <w:r>
        <w:rPr>
          <w:rFonts w:hint="eastAsia"/>
          <w:color w:val="auto"/>
          <w:sz w:val="28"/>
          <w:szCs w:val="28"/>
        </w:rPr>
        <w:t>汽油储罐）。</w:t>
      </w:r>
    </w:p>
    <w:p>
      <w:pPr>
        <w:ind w:firstLine="480"/>
        <w:rPr>
          <w:color w:val="auto"/>
          <w:sz w:val="28"/>
          <w:szCs w:val="28"/>
        </w:rPr>
      </w:pPr>
      <w:r>
        <w:rPr>
          <w:rFonts w:hint="eastAsia"/>
          <w:color w:val="auto"/>
          <w:sz w:val="28"/>
          <w:szCs w:val="28"/>
        </w:rPr>
        <w:t>该储存单元</w:t>
      </w:r>
      <w:r>
        <w:rPr>
          <w:color w:val="auto"/>
          <w:sz w:val="28"/>
          <w:szCs w:val="28"/>
        </w:rPr>
        <w:t>涉及重大危险源物料的临界量和实际存放量见</w:t>
      </w:r>
      <w:r>
        <w:rPr>
          <w:rFonts w:hint="eastAsia"/>
          <w:color w:val="auto"/>
          <w:sz w:val="28"/>
          <w:szCs w:val="28"/>
          <w:lang w:val="en-US" w:eastAsia="zh-CN"/>
        </w:rPr>
        <w:t>下表：</w:t>
      </w:r>
    </w:p>
    <w:p>
      <w:pPr>
        <w:pStyle w:val="5"/>
        <w:keepNext/>
        <w:ind w:firstLine="400"/>
        <w:jc w:val="center"/>
        <w:rPr>
          <w:color w:val="auto"/>
        </w:rPr>
      </w:pPr>
      <w:r>
        <w:rPr>
          <w:rFonts w:hint="eastAsia"/>
          <w:color w:val="auto"/>
        </w:rPr>
        <w:t xml:space="preserve">表 </w:t>
      </w:r>
      <w:r>
        <w:rPr>
          <w:rFonts w:hint="eastAsia"/>
          <w:color w:val="auto"/>
          <w:lang w:val="en-US" w:eastAsia="zh-CN"/>
        </w:rPr>
        <w:t>3</w:t>
      </w:r>
      <w:r>
        <w:rPr>
          <w:color w:val="auto"/>
        </w:rPr>
        <w:noBreakHyphen/>
      </w:r>
      <w:r>
        <w:rPr>
          <w:rFonts w:hint="eastAsia"/>
          <w:color w:val="auto"/>
          <w:lang w:val="en-US" w:eastAsia="zh-CN"/>
        </w:rPr>
        <w:t>7</w:t>
      </w:r>
      <w:r>
        <w:rPr>
          <w:rFonts w:hint="eastAsia"/>
          <w:color w:val="auto"/>
        </w:rPr>
        <w:t>危险物质的临界量与实际最大存在量对照计算表</w:t>
      </w:r>
    </w:p>
    <w:tbl>
      <w:tblPr>
        <w:tblStyle w:val="17"/>
        <w:tblW w:w="85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155"/>
        <w:gridCol w:w="1364"/>
        <w:gridCol w:w="2190"/>
        <w:gridCol w:w="2265"/>
        <w:gridCol w:w="9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56" w:hRule="atLeast"/>
          <w:jc w:val="center"/>
        </w:trPr>
        <w:tc>
          <w:tcPr>
            <w:tcW w:w="702" w:type="dxa"/>
          </w:tcPr>
          <w:p>
            <w:pPr>
              <w:pStyle w:val="24"/>
              <w:ind w:firstLine="0" w:firstLineChars="0"/>
              <w:jc w:val="center"/>
              <w:rPr>
                <w:rFonts w:ascii="宋体" w:hAnsi="宋体"/>
                <w:b/>
                <w:color w:val="auto"/>
                <w:sz w:val="21"/>
                <w:szCs w:val="21"/>
              </w:rPr>
            </w:pPr>
            <w:r>
              <w:rPr>
                <w:rFonts w:ascii="宋体" w:hAnsi="宋体"/>
                <w:b/>
                <w:color w:val="auto"/>
                <w:sz w:val="21"/>
                <w:szCs w:val="21"/>
              </w:rPr>
              <w:t>序号</w:t>
            </w:r>
          </w:p>
        </w:tc>
        <w:tc>
          <w:tcPr>
            <w:tcW w:w="1155" w:type="dxa"/>
          </w:tcPr>
          <w:p>
            <w:pPr>
              <w:pStyle w:val="24"/>
              <w:ind w:firstLine="0" w:firstLineChars="0"/>
              <w:jc w:val="center"/>
              <w:rPr>
                <w:rFonts w:ascii="宋体" w:hAnsi="宋体"/>
                <w:b/>
                <w:color w:val="auto"/>
                <w:sz w:val="21"/>
                <w:szCs w:val="21"/>
              </w:rPr>
            </w:pPr>
            <w:r>
              <w:rPr>
                <w:rFonts w:ascii="宋体" w:hAnsi="宋体"/>
                <w:b/>
                <w:color w:val="auto"/>
                <w:sz w:val="21"/>
                <w:szCs w:val="21"/>
              </w:rPr>
              <w:t>物质名称</w:t>
            </w:r>
          </w:p>
        </w:tc>
        <w:tc>
          <w:tcPr>
            <w:tcW w:w="1364" w:type="dxa"/>
          </w:tcPr>
          <w:p>
            <w:pPr>
              <w:pStyle w:val="24"/>
              <w:ind w:firstLine="0" w:firstLineChars="0"/>
              <w:jc w:val="center"/>
              <w:rPr>
                <w:rFonts w:ascii="宋体" w:hAnsi="宋体"/>
                <w:b/>
                <w:color w:val="auto"/>
                <w:sz w:val="21"/>
                <w:szCs w:val="21"/>
              </w:rPr>
            </w:pPr>
            <w:r>
              <w:rPr>
                <w:rFonts w:ascii="宋体" w:hAnsi="宋体"/>
                <w:b/>
                <w:color w:val="auto"/>
                <w:sz w:val="21"/>
                <w:szCs w:val="21"/>
              </w:rPr>
              <w:t>类别</w:t>
            </w:r>
          </w:p>
        </w:tc>
        <w:tc>
          <w:tcPr>
            <w:tcW w:w="2190" w:type="dxa"/>
          </w:tcPr>
          <w:p>
            <w:pPr>
              <w:pStyle w:val="24"/>
              <w:ind w:firstLine="0" w:firstLineChars="0"/>
              <w:jc w:val="center"/>
              <w:rPr>
                <w:rFonts w:ascii="宋体" w:hAnsi="宋体"/>
                <w:b/>
                <w:color w:val="auto"/>
                <w:sz w:val="21"/>
                <w:szCs w:val="21"/>
              </w:rPr>
            </w:pPr>
            <w:r>
              <w:rPr>
                <w:rFonts w:ascii="宋体" w:hAnsi="宋体"/>
                <w:b/>
                <w:color w:val="auto"/>
                <w:sz w:val="21"/>
                <w:szCs w:val="21"/>
              </w:rPr>
              <w:t>标准规定临界量</w:t>
            </w:r>
            <w:r>
              <w:rPr>
                <w:rFonts w:hint="eastAsia" w:ascii="宋体" w:hAnsi="宋体"/>
                <w:b/>
                <w:color w:val="auto"/>
                <w:sz w:val="21"/>
                <w:szCs w:val="21"/>
              </w:rPr>
              <w:t>（t）</w:t>
            </w:r>
          </w:p>
        </w:tc>
        <w:tc>
          <w:tcPr>
            <w:tcW w:w="2265" w:type="dxa"/>
          </w:tcPr>
          <w:p>
            <w:pPr>
              <w:pStyle w:val="24"/>
              <w:ind w:firstLine="0" w:firstLineChars="0"/>
              <w:jc w:val="center"/>
              <w:rPr>
                <w:rFonts w:ascii="宋体" w:hAnsi="宋体"/>
                <w:b/>
                <w:color w:val="auto"/>
                <w:sz w:val="21"/>
                <w:szCs w:val="21"/>
              </w:rPr>
            </w:pPr>
            <w:r>
              <w:rPr>
                <w:rFonts w:ascii="宋体" w:hAnsi="宋体"/>
                <w:b/>
                <w:color w:val="auto"/>
                <w:sz w:val="21"/>
                <w:szCs w:val="21"/>
              </w:rPr>
              <w:t>实际量最大</w:t>
            </w:r>
            <w:r>
              <w:rPr>
                <w:rFonts w:hint="eastAsia" w:ascii="宋体" w:hAnsi="宋体"/>
                <w:b/>
                <w:color w:val="auto"/>
                <w:sz w:val="21"/>
                <w:szCs w:val="21"/>
              </w:rPr>
              <w:t>存在量（t）</w:t>
            </w:r>
          </w:p>
        </w:tc>
        <w:tc>
          <w:tcPr>
            <w:tcW w:w="910" w:type="dxa"/>
          </w:tcPr>
          <w:p>
            <w:pPr>
              <w:pStyle w:val="24"/>
              <w:ind w:left="0" w:leftChars="0" w:firstLine="0" w:firstLineChars="0"/>
              <w:jc w:val="center"/>
              <w:rPr>
                <w:rFonts w:ascii="宋体" w:hAnsi="宋体"/>
                <w:b/>
                <w:color w:val="auto"/>
                <w:sz w:val="21"/>
                <w:szCs w:val="21"/>
              </w:rPr>
            </w:pPr>
            <w:r>
              <w:rPr>
                <w:rFonts w:ascii="宋体" w:hAnsi="宋体"/>
                <w:b/>
                <w:color w:val="auto"/>
                <w:sz w:val="21"/>
                <w:szCs w:val="21"/>
              </w:rPr>
              <w:t>q</w:t>
            </w:r>
            <w:r>
              <w:rPr>
                <w:rFonts w:hint="eastAsia" w:ascii="宋体" w:hAnsi="宋体"/>
                <w:b/>
                <w:color w:val="auto"/>
                <w:sz w:val="21"/>
                <w:szCs w:val="21"/>
              </w:rPr>
              <w:t>/</w:t>
            </w:r>
            <w:r>
              <w:rPr>
                <w:rFonts w:ascii="宋体" w:hAnsi="宋体"/>
                <w:b/>
                <w:color w:val="auto"/>
                <w:sz w:val="21"/>
                <w:szCs w:val="21"/>
              </w:rPr>
              <w:t>Q</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tcPr>
          <w:p>
            <w:pPr>
              <w:pStyle w:val="24"/>
              <w:ind w:firstLine="0" w:firstLineChars="0"/>
              <w:jc w:val="center"/>
              <w:rPr>
                <w:rFonts w:ascii="宋体" w:hAnsi="宋体"/>
                <w:color w:val="auto"/>
                <w:sz w:val="21"/>
              </w:rPr>
            </w:pPr>
            <w:r>
              <w:rPr>
                <w:rFonts w:hint="eastAsia" w:ascii="宋体" w:hAnsi="宋体"/>
                <w:color w:val="auto"/>
                <w:sz w:val="21"/>
              </w:rPr>
              <w:t>1</w:t>
            </w:r>
          </w:p>
        </w:tc>
        <w:tc>
          <w:tcPr>
            <w:tcW w:w="1155" w:type="dxa"/>
          </w:tcPr>
          <w:p>
            <w:pPr>
              <w:pStyle w:val="24"/>
              <w:ind w:firstLine="0" w:firstLineChars="0"/>
              <w:jc w:val="center"/>
              <w:rPr>
                <w:rFonts w:ascii="宋体" w:hAnsi="宋体"/>
                <w:color w:val="auto"/>
                <w:sz w:val="21"/>
              </w:rPr>
            </w:pPr>
            <w:r>
              <w:rPr>
                <w:rFonts w:hint="eastAsia" w:ascii="宋体" w:hAnsi="宋体"/>
                <w:color w:val="auto"/>
                <w:sz w:val="21"/>
              </w:rPr>
              <w:t>汽油</w:t>
            </w:r>
          </w:p>
        </w:tc>
        <w:tc>
          <w:tcPr>
            <w:tcW w:w="1364" w:type="dxa"/>
          </w:tcPr>
          <w:p>
            <w:pPr>
              <w:pStyle w:val="24"/>
              <w:ind w:firstLine="0" w:firstLineChars="0"/>
              <w:jc w:val="center"/>
              <w:rPr>
                <w:rFonts w:ascii="宋体" w:hAnsi="宋体"/>
                <w:color w:val="auto"/>
                <w:sz w:val="21"/>
              </w:rPr>
            </w:pPr>
            <w:r>
              <w:rPr>
                <w:rFonts w:ascii="宋体" w:hAnsi="宋体"/>
                <w:color w:val="auto"/>
                <w:sz w:val="21"/>
              </w:rPr>
              <w:t>易燃液体</w:t>
            </w:r>
          </w:p>
        </w:tc>
        <w:tc>
          <w:tcPr>
            <w:tcW w:w="2190" w:type="dxa"/>
          </w:tcPr>
          <w:p>
            <w:pPr>
              <w:pStyle w:val="24"/>
              <w:ind w:firstLine="0" w:firstLineChars="0"/>
              <w:jc w:val="center"/>
              <w:rPr>
                <w:rFonts w:ascii="宋体" w:hAnsi="宋体"/>
                <w:color w:val="auto"/>
                <w:sz w:val="21"/>
              </w:rPr>
            </w:pPr>
            <w:r>
              <w:rPr>
                <w:rFonts w:hint="eastAsia" w:ascii="宋体" w:hAnsi="宋体"/>
                <w:color w:val="auto"/>
                <w:sz w:val="21"/>
              </w:rPr>
              <w:t>200</w:t>
            </w:r>
          </w:p>
        </w:tc>
        <w:tc>
          <w:tcPr>
            <w:tcW w:w="2265" w:type="dxa"/>
          </w:tcPr>
          <w:p>
            <w:pPr>
              <w:pStyle w:val="24"/>
              <w:ind w:firstLine="0" w:firstLineChars="0"/>
              <w:jc w:val="center"/>
              <w:rPr>
                <w:rFonts w:hint="default" w:ascii="宋体" w:hAnsi="宋体" w:eastAsia="宋体"/>
                <w:color w:val="auto"/>
                <w:sz w:val="21"/>
                <w:lang w:val="en-US" w:eastAsia="zh-CN"/>
              </w:rPr>
            </w:pPr>
            <w:r>
              <w:rPr>
                <w:rFonts w:hint="eastAsia" w:ascii="宋体" w:hAnsi="宋体"/>
                <w:color w:val="auto"/>
                <w:sz w:val="21"/>
                <w:lang w:val="en-US" w:eastAsia="zh-CN"/>
              </w:rPr>
              <w:t>47.4</w:t>
            </w:r>
          </w:p>
        </w:tc>
        <w:tc>
          <w:tcPr>
            <w:tcW w:w="910" w:type="dxa"/>
          </w:tcPr>
          <w:p>
            <w:pPr>
              <w:pStyle w:val="24"/>
              <w:ind w:firstLine="0" w:firstLineChars="0"/>
              <w:jc w:val="center"/>
              <w:rPr>
                <w:rFonts w:hint="default" w:ascii="宋体" w:hAnsi="宋体" w:eastAsia="宋体"/>
                <w:color w:val="auto"/>
                <w:sz w:val="21"/>
                <w:lang w:val="en-US" w:eastAsia="zh-CN"/>
              </w:rPr>
            </w:pPr>
            <w:r>
              <w:rPr>
                <w:rFonts w:hint="eastAsia" w:ascii="宋体" w:hAnsi="宋体"/>
                <w:color w:val="auto"/>
                <w:sz w:val="21"/>
                <w:lang w:val="en-US" w:eastAsia="zh-CN"/>
              </w:rPr>
              <w:t>0.237</w:t>
            </w:r>
          </w:p>
        </w:tc>
      </w:tr>
    </w:tbl>
    <w:p>
      <w:pPr>
        <w:ind w:firstLineChars="0"/>
        <w:jc w:val="center"/>
        <w:rPr>
          <w:color w:val="auto"/>
        </w:rPr>
      </w:pPr>
      <w:r>
        <w:rPr>
          <w:color w:val="auto"/>
        </w:rPr>
        <w:t>S</w:t>
      </w:r>
      <w:r>
        <w:rPr>
          <w:rFonts w:hint="eastAsia"/>
          <w:color w:val="auto"/>
        </w:rPr>
        <w:t>=</w:t>
      </w:r>
      <w:r>
        <w:rPr>
          <w:rFonts w:hint="eastAsia"/>
          <w:color w:val="auto"/>
          <w:lang w:val="en-US" w:eastAsia="zh-CN"/>
        </w:rPr>
        <w:t>47.4</w:t>
      </w:r>
      <w:r>
        <w:rPr>
          <w:rFonts w:hint="eastAsia" w:eastAsia="宋体" w:asciiTheme="minorHAnsi"/>
          <w:color w:val="auto"/>
          <w:lang w:val="en-US" w:eastAsia="zh-CN"/>
        </w:rPr>
        <w:t>/200</w:t>
      </w:r>
      <w:r>
        <w:rPr>
          <w:color w:val="auto"/>
        </w:rPr>
        <w:t xml:space="preserve"> &lt;1</w:t>
      </w:r>
    </w:p>
    <w:p>
      <w:pPr>
        <w:ind w:firstLineChars="0"/>
        <w:rPr>
          <w:color w:val="auto"/>
        </w:rPr>
      </w:pPr>
      <w:r>
        <w:rPr>
          <w:rFonts w:hint="eastAsia"/>
          <w:color w:val="auto"/>
          <w:sz w:val="28"/>
          <w:szCs w:val="28"/>
        </w:rPr>
        <w:t>因此，我站储存单元存在的危险化学品的量</w:t>
      </w:r>
      <w:r>
        <w:rPr>
          <w:rFonts w:hint="eastAsia"/>
          <w:b/>
          <w:color w:val="auto"/>
          <w:sz w:val="28"/>
          <w:szCs w:val="28"/>
        </w:rPr>
        <w:t>未构成危险化学品重大危险源。</w:t>
      </w:r>
      <w:r>
        <w:rPr>
          <w:rFonts w:hint="eastAsia"/>
          <w:b/>
          <w:color w:val="auto"/>
          <w:sz w:val="28"/>
          <w:szCs w:val="28"/>
        </w:rPr>
        <w:tab/>
      </w:r>
    </w:p>
    <w:p>
      <w:pPr>
        <w:widowControl/>
        <w:spacing w:line="240" w:lineRule="auto"/>
        <w:ind w:firstLine="0" w:firstLineChars="0"/>
        <w:rPr>
          <w:rFonts w:ascii="Times New Roman" w:hAnsi="Times New Roman" w:eastAsia="黑体" w:cs="Times New Roman"/>
          <w:b/>
          <w:color w:val="auto"/>
          <w:kern w:val="44"/>
          <w:sz w:val="32"/>
          <w:szCs w:val="24"/>
        </w:rPr>
      </w:pPr>
      <w:r>
        <w:rPr>
          <w:color w:val="auto"/>
        </w:rPr>
        <w:br w:type="page"/>
      </w:r>
    </w:p>
    <w:p>
      <w:pPr>
        <w:pStyle w:val="3"/>
        <w:spacing w:after="97"/>
        <w:ind w:firstLine="643"/>
        <w:rPr>
          <w:color w:val="auto"/>
        </w:rPr>
      </w:pPr>
      <w:bookmarkStart w:id="23" w:name="_Toc6976"/>
      <w:r>
        <w:rPr>
          <w:rFonts w:hint="eastAsia"/>
          <w:color w:val="auto"/>
          <w:lang w:val="en-US" w:eastAsia="zh-CN"/>
        </w:rPr>
        <w:t>4</w:t>
      </w:r>
      <w:r>
        <w:rPr>
          <w:color w:val="auto"/>
        </w:rPr>
        <w:t>事故发生的可能性</w:t>
      </w:r>
      <w:r>
        <w:rPr>
          <w:rFonts w:hint="eastAsia"/>
          <w:color w:val="auto"/>
          <w:lang w:eastAsia="zh-CN"/>
        </w:rPr>
        <w:t>、</w:t>
      </w:r>
      <w:r>
        <w:rPr>
          <w:color w:val="auto"/>
        </w:rPr>
        <w:t>严重程度及影响范围</w:t>
      </w:r>
      <w:bookmarkEnd w:id="13"/>
      <w:bookmarkEnd w:id="14"/>
      <w:bookmarkEnd w:id="23"/>
    </w:p>
    <w:p>
      <w:pPr>
        <w:ind w:firstLine="480"/>
        <w:rPr>
          <w:rFonts w:eastAsia="黑体"/>
          <w:b/>
          <w:color w:val="auto"/>
          <w:sz w:val="28"/>
          <w:szCs w:val="28"/>
        </w:rPr>
      </w:pPr>
      <w:r>
        <w:rPr>
          <w:color w:val="auto"/>
          <w:sz w:val="28"/>
          <w:szCs w:val="28"/>
        </w:rPr>
        <w:t>本</w:t>
      </w:r>
      <w:r>
        <w:rPr>
          <w:rFonts w:hint="eastAsia"/>
          <w:color w:val="auto"/>
          <w:sz w:val="28"/>
          <w:szCs w:val="28"/>
        </w:rPr>
        <w:t>加油站</w:t>
      </w:r>
      <w:r>
        <w:rPr>
          <w:color w:val="auto"/>
          <w:sz w:val="28"/>
          <w:szCs w:val="28"/>
        </w:rPr>
        <w:t>主要采用地下油罐爆炸能量伤害结果模拟评价法进行风险评价。</w:t>
      </w:r>
    </w:p>
    <w:p>
      <w:pPr>
        <w:ind w:firstLine="480"/>
        <w:rPr>
          <w:color w:val="auto"/>
          <w:sz w:val="28"/>
          <w:szCs w:val="28"/>
        </w:rPr>
      </w:pPr>
      <w:r>
        <w:rPr>
          <w:color w:val="auto"/>
          <w:sz w:val="28"/>
          <w:szCs w:val="28"/>
        </w:rPr>
        <w:t>加油点可能发生的事故中以地下油罐爆炸后果最为严重。其原因是油罐内油品气化形成混合性爆炸气体并达到爆炸极限，遇明火或高温造成的。因此，本次地下油罐爆炸能量伤害结果模拟计算是建立在假想当油罐内部充满汽油蒸气，并混合入一定量的空气，达到汽油蒸气爆炸极限情况下，在明火、高温或静电等作用下引发油罐内混合气体全部参与爆炸的情况下产生的最严重后果。但在现实经营过程中油罐发生爆炸的后果远远小于在此的计算结果。</w:t>
      </w:r>
    </w:p>
    <w:p>
      <w:pPr>
        <w:ind w:firstLine="480"/>
        <w:rPr>
          <w:color w:val="auto"/>
          <w:sz w:val="28"/>
          <w:szCs w:val="28"/>
        </w:rPr>
      </w:pPr>
      <w:r>
        <w:rPr>
          <w:color w:val="auto"/>
          <w:sz w:val="28"/>
          <w:szCs w:val="28"/>
        </w:rPr>
        <w:t>由于加油点油罐埋设在砂质土壤中，发生爆炸应属于在砂质亚黏土中的爆炸，其对周围人员和建筑物的伤害主要决定于地下油罐爆炸冲击波和爆炸振动速度，所以如果运用现有的地上油罐重大事故后果的评价方法如火灾爆炸指数法等对地下油罐罐内油蒸气爆炸后果进行估算，误差将会很大。因此，应从能量释放的角度出发，以岩土中的爆炸理论为基础，利用爆破技术中已经得出的结论，来模拟地下油罐爆炸事故的爆炸能量及危害后果。</w:t>
      </w:r>
    </w:p>
    <w:p>
      <w:pPr>
        <w:ind w:firstLine="480"/>
        <w:rPr>
          <w:color w:val="auto"/>
          <w:sz w:val="28"/>
          <w:szCs w:val="28"/>
        </w:rPr>
      </w:pPr>
      <w:r>
        <w:rPr>
          <w:color w:val="auto"/>
          <w:sz w:val="28"/>
          <w:szCs w:val="28"/>
        </w:rPr>
        <w:t>(1) 地下油罐爆炸能量</w:t>
      </w:r>
    </w:p>
    <w:p>
      <w:pPr>
        <w:ind w:firstLine="480"/>
        <w:rPr>
          <w:color w:val="auto"/>
          <w:sz w:val="28"/>
          <w:szCs w:val="28"/>
        </w:rPr>
      </w:pPr>
      <w:r>
        <w:rPr>
          <w:color w:val="auto"/>
          <w:sz w:val="28"/>
          <w:szCs w:val="28"/>
        </w:rPr>
        <w:t>根据爆炸力学理论，采用范登伯格（Van den Berg）和兰诺伊（Lannoy）</w:t>
      </w:r>
      <w:r>
        <w:rPr>
          <w:i/>
          <w:color w:val="auto"/>
          <w:sz w:val="28"/>
          <w:szCs w:val="28"/>
        </w:rPr>
        <w:t>TNT</w:t>
      </w:r>
      <w:r>
        <w:rPr>
          <w:color w:val="auto"/>
          <w:sz w:val="28"/>
          <w:szCs w:val="28"/>
        </w:rPr>
        <w:t>当量法，将其它易燃、易爆物质转化成相对</w:t>
      </w:r>
      <w:r>
        <w:rPr>
          <w:rFonts w:hint="eastAsia"/>
          <w:color w:val="auto"/>
          <w:sz w:val="28"/>
          <w:szCs w:val="28"/>
        </w:rPr>
        <w:t>千克当量的</w:t>
      </w:r>
      <w:r>
        <w:rPr>
          <w:i/>
          <w:color w:val="auto"/>
          <w:sz w:val="28"/>
          <w:szCs w:val="28"/>
        </w:rPr>
        <w:t>TNT</w:t>
      </w:r>
      <w:r>
        <w:rPr>
          <w:color w:val="auto"/>
          <w:sz w:val="28"/>
          <w:szCs w:val="28"/>
        </w:rPr>
        <w:t>，来描述爆炸事故的威力，即能量释放程度。就可以利用长时间军事上积累的大量的</w:t>
      </w:r>
      <w:r>
        <w:rPr>
          <w:i/>
          <w:color w:val="auto"/>
          <w:sz w:val="28"/>
          <w:szCs w:val="28"/>
        </w:rPr>
        <w:t>TNT</w:t>
      </w:r>
      <w:r>
        <w:rPr>
          <w:color w:val="auto"/>
          <w:sz w:val="28"/>
          <w:szCs w:val="28"/>
        </w:rPr>
        <w:t>药量与目标破坏程度之间关系的试验数据，计算出危害程度。计算公式如下：</w:t>
      </w:r>
    </w:p>
    <w:tbl>
      <w:tblPr>
        <w:tblStyle w:val="16"/>
        <w:tblW w:w="8522" w:type="dxa"/>
        <w:tblInd w:w="0" w:type="dxa"/>
        <w:tblLayout w:type="fixed"/>
        <w:tblCellMar>
          <w:top w:w="0" w:type="dxa"/>
          <w:left w:w="108" w:type="dxa"/>
          <w:bottom w:w="0" w:type="dxa"/>
          <w:right w:w="108" w:type="dxa"/>
        </w:tblCellMar>
      </w:tblPr>
      <w:tblGrid>
        <w:gridCol w:w="774"/>
        <w:gridCol w:w="812"/>
        <w:gridCol w:w="5845"/>
        <w:gridCol w:w="1091"/>
      </w:tblGrid>
      <w:tr>
        <w:tblPrEx>
          <w:tblCellMar>
            <w:top w:w="0" w:type="dxa"/>
            <w:left w:w="108" w:type="dxa"/>
            <w:bottom w:w="0" w:type="dxa"/>
            <w:right w:w="108" w:type="dxa"/>
          </w:tblCellMar>
        </w:tblPrEx>
        <w:tc>
          <w:tcPr>
            <w:tcW w:w="774" w:type="dxa"/>
            <w:shd w:val="clear" w:color="auto" w:fill="auto"/>
          </w:tcPr>
          <w:p>
            <w:pPr>
              <w:ind w:firstLine="480"/>
              <w:rPr>
                <w:color w:val="auto"/>
                <w:sz w:val="28"/>
                <w:szCs w:val="28"/>
              </w:rPr>
            </w:pPr>
          </w:p>
        </w:tc>
        <w:tc>
          <w:tcPr>
            <w:tcW w:w="6657" w:type="dxa"/>
            <w:gridSpan w:val="2"/>
            <w:shd w:val="clear" w:color="auto" w:fill="auto"/>
          </w:tcPr>
          <w:p>
            <w:pPr>
              <w:ind w:firstLine="480"/>
              <w:jc w:val="center"/>
              <w:rPr>
                <w:color w:val="auto"/>
                <w:sz w:val="28"/>
                <w:szCs w:val="28"/>
                <w:vertAlign w:val="subscript"/>
              </w:rPr>
            </w:pPr>
            <w:r>
              <w:rPr>
                <w:i/>
                <w:color w:val="auto"/>
                <w:sz w:val="28"/>
                <w:szCs w:val="28"/>
              </w:rPr>
              <w:t>W</w:t>
            </w:r>
            <w:r>
              <w:rPr>
                <w:i/>
                <w:color w:val="auto"/>
                <w:sz w:val="28"/>
                <w:szCs w:val="28"/>
                <w:vertAlign w:val="subscript"/>
              </w:rPr>
              <w:t>TNT</w:t>
            </w:r>
            <w:r>
              <w:rPr>
                <w:color w:val="auto"/>
                <w:sz w:val="28"/>
                <w:szCs w:val="28"/>
              </w:rPr>
              <w:t>=</w:t>
            </w:r>
            <w:r>
              <w:rPr>
                <w:rFonts w:hint="eastAsia"/>
                <w:color w:val="auto"/>
                <w:sz w:val="28"/>
                <w:szCs w:val="28"/>
              </w:rPr>
              <w:t>(</w:t>
            </w:r>
            <w:r>
              <w:rPr>
                <w:i/>
                <w:color w:val="auto"/>
                <w:sz w:val="28"/>
                <w:szCs w:val="28"/>
              </w:rPr>
              <w:t>a</w:t>
            </w:r>
            <w:r>
              <w:rPr>
                <w:color w:val="auto"/>
                <w:sz w:val="28"/>
                <w:szCs w:val="28"/>
              </w:rPr>
              <w:t>•</w:t>
            </w:r>
            <w:r>
              <w:rPr>
                <w:i/>
                <w:color w:val="auto"/>
                <w:sz w:val="28"/>
                <w:szCs w:val="28"/>
              </w:rPr>
              <w:t>Q</w:t>
            </w:r>
            <w:r>
              <w:rPr>
                <w:i/>
                <w:color w:val="auto"/>
                <w:sz w:val="28"/>
                <w:szCs w:val="28"/>
                <w:vertAlign w:val="subscript"/>
              </w:rPr>
              <w:t>f</w:t>
            </w:r>
            <w:r>
              <w:rPr>
                <w:color w:val="auto"/>
                <w:sz w:val="28"/>
                <w:szCs w:val="28"/>
              </w:rPr>
              <w:t>/</w:t>
            </w:r>
            <w:r>
              <w:rPr>
                <w:i/>
                <w:color w:val="auto"/>
                <w:sz w:val="28"/>
                <w:szCs w:val="28"/>
              </w:rPr>
              <w:t>Q</w:t>
            </w:r>
            <w:r>
              <w:rPr>
                <w:i/>
                <w:color w:val="auto"/>
                <w:sz w:val="28"/>
                <w:szCs w:val="28"/>
                <w:vertAlign w:val="subscript"/>
              </w:rPr>
              <w:t>TNT</w:t>
            </w:r>
            <w:r>
              <w:rPr>
                <w:rFonts w:hint="eastAsia"/>
                <w:i/>
                <w:color w:val="auto"/>
                <w:sz w:val="28"/>
                <w:szCs w:val="28"/>
              </w:rPr>
              <w:t>)</w:t>
            </w:r>
            <w:r>
              <w:rPr>
                <w:color w:val="auto"/>
                <w:sz w:val="28"/>
                <w:szCs w:val="28"/>
              </w:rPr>
              <w:t>•</w:t>
            </w:r>
            <w:r>
              <w:rPr>
                <w:i/>
                <w:color w:val="auto"/>
                <w:sz w:val="28"/>
                <w:szCs w:val="28"/>
              </w:rPr>
              <w:t>W</w:t>
            </w:r>
            <w:r>
              <w:rPr>
                <w:i/>
                <w:color w:val="auto"/>
                <w:sz w:val="28"/>
                <w:szCs w:val="28"/>
                <w:vertAlign w:val="subscript"/>
              </w:rPr>
              <w:t>f</w:t>
            </w:r>
          </w:p>
        </w:tc>
        <w:tc>
          <w:tcPr>
            <w:tcW w:w="1091" w:type="dxa"/>
            <w:shd w:val="clear" w:color="auto" w:fill="auto"/>
          </w:tcPr>
          <w:p>
            <w:pPr>
              <w:ind w:firstLine="0" w:firstLineChars="0"/>
              <w:rPr>
                <w:color w:val="auto"/>
                <w:sz w:val="28"/>
                <w:szCs w:val="28"/>
              </w:rPr>
            </w:pPr>
            <w:r>
              <w:rPr>
                <w:rFonts w:hint="eastAsia"/>
                <w:color w:val="auto"/>
                <w:sz w:val="28"/>
                <w:szCs w:val="28"/>
              </w:rPr>
              <w:t>（3-</w:t>
            </w:r>
            <w:r>
              <w:rPr>
                <w:color w:val="auto"/>
                <w:sz w:val="28"/>
                <w:szCs w:val="28"/>
              </w:rPr>
              <w:t>1</w:t>
            </w:r>
            <w:r>
              <w:rPr>
                <w:rFonts w:hint="eastAsia"/>
                <w:color w:val="auto"/>
                <w:sz w:val="28"/>
                <w:szCs w:val="28"/>
              </w:rPr>
              <w:t>）</w:t>
            </w:r>
          </w:p>
        </w:tc>
      </w:tr>
      <w:tr>
        <w:tblPrEx>
          <w:tblCellMar>
            <w:top w:w="0" w:type="dxa"/>
            <w:left w:w="108" w:type="dxa"/>
            <w:bottom w:w="0" w:type="dxa"/>
            <w:right w:w="108" w:type="dxa"/>
          </w:tblCellMar>
        </w:tblPrEx>
        <w:tc>
          <w:tcPr>
            <w:tcW w:w="1586" w:type="dxa"/>
            <w:gridSpan w:val="2"/>
            <w:shd w:val="clear" w:color="auto" w:fill="auto"/>
          </w:tcPr>
          <w:p>
            <w:pPr>
              <w:ind w:firstLine="480"/>
              <w:jc w:val="right"/>
              <w:rPr>
                <w:color w:val="auto"/>
                <w:sz w:val="28"/>
                <w:szCs w:val="28"/>
              </w:rPr>
            </w:pPr>
            <w:r>
              <w:rPr>
                <w:color w:val="auto"/>
                <w:sz w:val="28"/>
                <w:szCs w:val="28"/>
              </w:rPr>
              <w:t>式中：</w:t>
            </w:r>
          </w:p>
        </w:tc>
        <w:tc>
          <w:tcPr>
            <w:tcW w:w="6936" w:type="dxa"/>
            <w:gridSpan w:val="2"/>
            <w:shd w:val="clear" w:color="auto" w:fill="auto"/>
          </w:tcPr>
          <w:p>
            <w:pPr>
              <w:ind w:firstLine="480"/>
              <w:rPr>
                <w:color w:val="auto"/>
                <w:sz w:val="28"/>
                <w:szCs w:val="28"/>
              </w:rPr>
            </w:pPr>
            <w:r>
              <w:rPr>
                <w:i/>
                <w:color w:val="auto"/>
                <w:sz w:val="28"/>
                <w:szCs w:val="28"/>
              </w:rPr>
              <w:t>W</w:t>
            </w:r>
            <w:r>
              <w:rPr>
                <w:i/>
                <w:color w:val="auto"/>
                <w:sz w:val="28"/>
                <w:szCs w:val="28"/>
                <w:vertAlign w:val="subscript"/>
              </w:rPr>
              <w:t>TNT</w:t>
            </w:r>
            <w:r>
              <w:rPr>
                <w:color w:val="auto"/>
                <w:sz w:val="28"/>
                <w:szCs w:val="28"/>
              </w:rPr>
              <w:t>—蒸气云的</w:t>
            </w:r>
            <w:r>
              <w:rPr>
                <w:i/>
                <w:color w:val="auto"/>
                <w:sz w:val="28"/>
                <w:szCs w:val="28"/>
              </w:rPr>
              <w:t>TNT</w:t>
            </w:r>
            <w:r>
              <w:rPr>
                <w:color w:val="auto"/>
                <w:sz w:val="28"/>
                <w:szCs w:val="28"/>
              </w:rPr>
              <w:t>当量，kg；</w:t>
            </w:r>
          </w:p>
          <w:p>
            <w:pPr>
              <w:ind w:firstLine="480"/>
              <w:rPr>
                <w:color w:val="auto"/>
                <w:sz w:val="28"/>
                <w:szCs w:val="28"/>
              </w:rPr>
            </w:pPr>
            <w:r>
              <w:rPr>
                <w:color w:val="auto"/>
                <w:sz w:val="28"/>
                <w:szCs w:val="28"/>
              </w:rPr>
              <w:t>a—蒸气云的当量系数，通常取4%</w:t>
            </w:r>
          </w:p>
          <w:p>
            <w:pPr>
              <w:ind w:firstLine="480"/>
              <w:rPr>
                <w:color w:val="auto"/>
                <w:sz w:val="28"/>
                <w:szCs w:val="28"/>
              </w:rPr>
            </w:pPr>
            <w:r>
              <w:rPr>
                <w:color w:val="auto"/>
                <w:sz w:val="28"/>
                <w:szCs w:val="28"/>
              </w:rPr>
              <w:t>Q</w:t>
            </w:r>
            <w:r>
              <w:rPr>
                <w:i/>
                <w:color w:val="auto"/>
                <w:sz w:val="28"/>
                <w:szCs w:val="28"/>
                <w:vertAlign w:val="subscript"/>
              </w:rPr>
              <w:t>f</w:t>
            </w:r>
            <w:r>
              <w:rPr>
                <w:color w:val="auto"/>
                <w:sz w:val="28"/>
                <w:szCs w:val="28"/>
              </w:rPr>
              <w:t>—燃料的燃烧热，MJ/kg；查美国DOW公司火灾爆炸指数法附录《物质系数和特性》表并换算，汽油为43.7MJ/kg，柴油为43.5MJ/kg；</w:t>
            </w:r>
          </w:p>
          <w:p>
            <w:pPr>
              <w:ind w:firstLine="480"/>
              <w:rPr>
                <w:color w:val="auto"/>
                <w:sz w:val="28"/>
                <w:szCs w:val="28"/>
              </w:rPr>
            </w:pPr>
            <w:r>
              <w:rPr>
                <w:color w:val="auto"/>
                <w:sz w:val="28"/>
                <w:szCs w:val="28"/>
              </w:rPr>
              <w:t>Q</w:t>
            </w:r>
            <w:r>
              <w:rPr>
                <w:i/>
                <w:color w:val="auto"/>
                <w:sz w:val="28"/>
                <w:szCs w:val="28"/>
                <w:vertAlign w:val="subscript"/>
              </w:rPr>
              <w:t>TNT</w:t>
            </w:r>
            <w:r>
              <w:rPr>
                <w:color w:val="auto"/>
                <w:sz w:val="28"/>
                <w:szCs w:val="28"/>
              </w:rPr>
              <w:t>—</w:t>
            </w:r>
            <w:r>
              <w:rPr>
                <w:i/>
                <w:color w:val="auto"/>
                <w:sz w:val="28"/>
                <w:szCs w:val="28"/>
              </w:rPr>
              <w:t>TNT</w:t>
            </w:r>
            <w:r>
              <w:rPr>
                <w:color w:val="auto"/>
                <w:sz w:val="28"/>
                <w:szCs w:val="28"/>
              </w:rPr>
              <w:t>的爆炸热，4.52MJ/kg；</w:t>
            </w:r>
          </w:p>
          <w:p>
            <w:pPr>
              <w:ind w:firstLine="480"/>
              <w:rPr>
                <w:color w:val="auto"/>
                <w:sz w:val="28"/>
                <w:szCs w:val="28"/>
              </w:rPr>
            </w:pPr>
            <w:r>
              <w:rPr>
                <w:i/>
                <w:color w:val="auto"/>
                <w:sz w:val="28"/>
                <w:szCs w:val="28"/>
              </w:rPr>
              <w:t>W</w:t>
            </w:r>
            <w:r>
              <w:rPr>
                <w:i/>
                <w:color w:val="auto"/>
                <w:sz w:val="28"/>
                <w:szCs w:val="28"/>
                <w:vertAlign w:val="subscript"/>
              </w:rPr>
              <w:t>f</w:t>
            </w:r>
            <w:r>
              <w:rPr>
                <w:color w:val="auto"/>
                <w:sz w:val="28"/>
                <w:szCs w:val="28"/>
              </w:rPr>
              <w:t>—蒸气云爆炸中燃烧掉的总质量，kg。</w:t>
            </w:r>
          </w:p>
        </w:tc>
      </w:tr>
    </w:tbl>
    <w:p>
      <w:pPr>
        <w:ind w:firstLine="480"/>
        <w:rPr>
          <w:color w:val="auto"/>
          <w:sz w:val="28"/>
          <w:szCs w:val="28"/>
        </w:rPr>
      </w:pPr>
      <w:r>
        <w:rPr>
          <w:color w:val="auto"/>
          <w:sz w:val="28"/>
          <w:szCs w:val="28"/>
        </w:rPr>
        <w:t>车用汽油是罐内油品蒸爆炸极限，根据有关资料爆炸下限为1</w:t>
      </w:r>
      <w:r>
        <w:rPr>
          <w:rFonts w:hint="eastAsia"/>
          <w:color w:val="auto"/>
          <w:sz w:val="28"/>
          <w:szCs w:val="28"/>
        </w:rPr>
        <w:t>.</w:t>
      </w:r>
      <w:r>
        <w:rPr>
          <w:color w:val="auto"/>
          <w:sz w:val="28"/>
          <w:szCs w:val="28"/>
        </w:rPr>
        <w:t>3%，上限为6.0%；柴油爆炸下限为0.6%，上限为6.5%。地下油罐一般气形成爆炸性混合气体，遇到明火或高温等情况发生爆炸。因此应以油罐容积为限，计算其达到爆炸极限时油品蒸气的爆炸能量</w:t>
      </w:r>
      <w:r>
        <w:rPr>
          <w:rFonts w:hint="eastAsia"/>
          <w:color w:val="auto"/>
          <w:sz w:val="28"/>
          <w:szCs w:val="28"/>
        </w:rPr>
        <w:t>。</w:t>
      </w:r>
    </w:p>
    <w:p>
      <w:pPr>
        <w:ind w:firstLine="480"/>
        <w:rPr>
          <w:color w:val="auto"/>
          <w:sz w:val="28"/>
          <w:szCs w:val="28"/>
        </w:rPr>
      </w:pPr>
      <w:r>
        <w:rPr>
          <w:color w:val="auto"/>
          <w:sz w:val="28"/>
          <w:szCs w:val="28"/>
        </w:rPr>
        <w:t>已知汽油相对标准状态下对于干空气的密度为3.5。标准状态下干空气密度为1.293kg/m</w:t>
      </w:r>
      <w:r>
        <w:rPr>
          <w:color w:val="auto"/>
          <w:sz w:val="28"/>
          <w:szCs w:val="28"/>
          <w:vertAlign w:val="superscript"/>
        </w:rPr>
        <w:t>3</w:t>
      </w:r>
      <w:r>
        <w:rPr>
          <w:color w:val="auto"/>
          <w:sz w:val="28"/>
          <w:szCs w:val="28"/>
        </w:rPr>
        <w:t>。</w:t>
      </w:r>
    </w:p>
    <w:p>
      <w:pPr>
        <w:ind w:firstLine="480"/>
        <w:rPr>
          <w:color w:val="auto"/>
          <w:sz w:val="28"/>
          <w:szCs w:val="28"/>
        </w:rPr>
      </w:pPr>
      <w:r>
        <w:rPr>
          <w:color w:val="auto"/>
          <w:sz w:val="28"/>
          <w:szCs w:val="28"/>
        </w:rPr>
        <w:t>设油罐容积为X，且假设整个储罐为一个点爆炸源。设1m</w:t>
      </w:r>
      <w:r>
        <w:rPr>
          <w:color w:val="auto"/>
          <w:sz w:val="28"/>
          <w:szCs w:val="28"/>
          <w:vertAlign w:val="superscript"/>
        </w:rPr>
        <w:t>3</w:t>
      </w:r>
      <w:r>
        <w:rPr>
          <w:color w:val="auto"/>
          <w:sz w:val="28"/>
          <w:szCs w:val="28"/>
        </w:rPr>
        <w:t>达到爆炸极限的汽油蒸气质量为B，则有：</w:t>
      </w:r>
    </w:p>
    <w:p>
      <w:pPr>
        <w:ind w:firstLine="480"/>
        <w:jc w:val="center"/>
        <w:rPr>
          <w:color w:val="auto"/>
          <w:sz w:val="28"/>
          <w:szCs w:val="28"/>
        </w:rPr>
      </w:pPr>
      <w:r>
        <w:rPr>
          <w:color w:val="auto"/>
          <w:sz w:val="28"/>
          <w:szCs w:val="28"/>
        </w:rPr>
        <w:t>B</w:t>
      </w:r>
      <w:r>
        <w:rPr>
          <w:color w:val="auto"/>
          <w:sz w:val="28"/>
          <w:szCs w:val="28"/>
          <w:vertAlign w:val="subscript"/>
        </w:rPr>
        <w:t>下</w:t>
      </w:r>
      <w:r>
        <w:rPr>
          <w:color w:val="auto"/>
          <w:sz w:val="28"/>
          <w:szCs w:val="28"/>
        </w:rPr>
        <w:t>=3.5×1.293×1.3%=0.058832（kg/m</w:t>
      </w:r>
      <w:r>
        <w:rPr>
          <w:color w:val="auto"/>
          <w:sz w:val="28"/>
          <w:szCs w:val="28"/>
          <w:vertAlign w:val="superscript"/>
        </w:rPr>
        <w:t>3</w:t>
      </w:r>
      <w:r>
        <w:rPr>
          <w:color w:val="auto"/>
          <w:sz w:val="28"/>
          <w:szCs w:val="28"/>
        </w:rPr>
        <w:t>）</w:t>
      </w:r>
    </w:p>
    <w:p>
      <w:pPr>
        <w:ind w:firstLine="480"/>
        <w:jc w:val="center"/>
        <w:rPr>
          <w:color w:val="auto"/>
          <w:sz w:val="28"/>
          <w:szCs w:val="28"/>
        </w:rPr>
      </w:pPr>
      <w:r>
        <w:rPr>
          <w:color w:val="auto"/>
          <w:sz w:val="28"/>
          <w:szCs w:val="28"/>
        </w:rPr>
        <w:t>B</w:t>
      </w:r>
      <w:r>
        <w:rPr>
          <w:color w:val="auto"/>
          <w:sz w:val="28"/>
          <w:szCs w:val="28"/>
          <w:vertAlign w:val="subscript"/>
        </w:rPr>
        <w:t>上</w:t>
      </w:r>
      <w:r>
        <w:rPr>
          <w:color w:val="auto"/>
          <w:sz w:val="28"/>
          <w:szCs w:val="28"/>
        </w:rPr>
        <w:t>=3.5×1.293×6%=0.27153（kg/m</w:t>
      </w:r>
      <w:r>
        <w:rPr>
          <w:color w:val="auto"/>
          <w:sz w:val="28"/>
          <w:szCs w:val="28"/>
          <w:vertAlign w:val="superscript"/>
        </w:rPr>
        <w:t>3</w:t>
      </w:r>
      <w:r>
        <w:rPr>
          <w:color w:val="auto"/>
          <w:sz w:val="28"/>
          <w:szCs w:val="28"/>
        </w:rPr>
        <w:t>）</w:t>
      </w:r>
    </w:p>
    <w:p>
      <w:pPr>
        <w:ind w:firstLine="480"/>
        <w:rPr>
          <w:color w:val="auto"/>
          <w:sz w:val="28"/>
          <w:szCs w:val="28"/>
        </w:rPr>
      </w:pPr>
      <w:r>
        <w:rPr>
          <w:color w:val="auto"/>
          <w:sz w:val="28"/>
          <w:szCs w:val="28"/>
        </w:rPr>
        <w:t>现已知加油站</w:t>
      </w:r>
      <w:r>
        <w:rPr>
          <w:rFonts w:hint="eastAsia"/>
          <w:color w:val="auto"/>
          <w:sz w:val="28"/>
          <w:szCs w:val="28"/>
        </w:rPr>
        <w:t>汽油</w:t>
      </w:r>
      <w:r>
        <w:rPr>
          <w:color w:val="auto"/>
          <w:sz w:val="28"/>
          <w:szCs w:val="28"/>
        </w:rPr>
        <w:t>单罐容积</w:t>
      </w:r>
      <w:r>
        <w:rPr>
          <w:rFonts w:hint="eastAsia"/>
          <w:color w:val="auto"/>
          <w:sz w:val="28"/>
          <w:szCs w:val="28"/>
        </w:rPr>
        <w:t>为30m</w:t>
      </w:r>
      <w:r>
        <w:rPr>
          <w:rFonts w:hint="eastAsia"/>
          <w:color w:val="auto"/>
          <w:sz w:val="28"/>
          <w:szCs w:val="28"/>
          <w:vertAlign w:val="superscript"/>
        </w:rPr>
        <w:t>3</w:t>
      </w:r>
      <w:r>
        <w:rPr>
          <w:rFonts w:hint="eastAsia"/>
          <w:color w:val="auto"/>
          <w:sz w:val="28"/>
          <w:szCs w:val="28"/>
        </w:rPr>
        <w:t>，则W</w:t>
      </w:r>
      <w:r>
        <w:rPr>
          <w:rFonts w:hint="eastAsia"/>
          <w:color w:val="auto"/>
          <w:sz w:val="28"/>
          <w:szCs w:val="28"/>
          <w:vertAlign w:val="subscript"/>
        </w:rPr>
        <w:t>f</w:t>
      </w:r>
      <w:r>
        <w:rPr>
          <w:rFonts w:hint="eastAsia"/>
          <w:color w:val="auto"/>
          <w:sz w:val="28"/>
          <w:szCs w:val="28"/>
        </w:rPr>
        <w:t>的范围为1.76~8.15，将之带入</w:t>
      </w:r>
      <w:r>
        <w:rPr>
          <w:i/>
          <w:color w:val="auto"/>
          <w:sz w:val="28"/>
          <w:szCs w:val="28"/>
        </w:rPr>
        <w:t>W</w:t>
      </w:r>
      <w:r>
        <w:rPr>
          <w:i/>
          <w:color w:val="auto"/>
          <w:sz w:val="28"/>
          <w:szCs w:val="28"/>
          <w:vertAlign w:val="subscript"/>
        </w:rPr>
        <w:t>TNT</w:t>
      </w:r>
      <w:r>
        <w:rPr>
          <w:color w:val="auto"/>
          <w:sz w:val="28"/>
          <w:szCs w:val="28"/>
        </w:rPr>
        <w:t>=</w:t>
      </w:r>
      <w:r>
        <w:rPr>
          <w:rFonts w:hint="eastAsia"/>
          <w:color w:val="auto"/>
          <w:sz w:val="28"/>
          <w:szCs w:val="28"/>
        </w:rPr>
        <w:t>(</w:t>
      </w:r>
      <w:r>
        <w:rPr>
          <w:i/>
          <w:color w:val="auto"/>
          <w:sz w:val="28"/>
          <w:szCs w:val="28"/>
        </w:rPr>
        <w:t>a</w:t>
      </w:r>
      <w:r>
        <w:rPr>
          <w:color w:val="auto"/>
          <w:sz w:val="28"/>
          <w:szCs w:val="28"/>
        </w:rPr>
        <w:t>•</w:t>
      </w:r>
      <w:r>
        <w:rPr>
          <w:i/>
          <w:color w:val="auto"/>
          <w:sz w:val="28"/>
          <w:szCs w:val="28"/>
        </w:rPr>
        <w:t>Q</w:t>
      </w:r>
      <w:r>
        <w:rPr>
          <w:i/>
          <w:color w:val="auto"/>
          <w:sz w:val="28"/>
          <w:szCs w:val="28"/>
          <w:vertAlign w:val="subscript"/>
        </w:rPr>
        <w:t>f</w:t>
      </w:r>
      <w:r>
        <w:rPr>
          <w:color w:val="auto"/>
          <w:sz w:val="28"/>
          <w:szCs w:val="28"/>
        </w:rPr>
        <w:t>/</w:t>
      </w:r>
      <w:r>
        <w:rPr>
          <w:i/>
          <w:color w:val="auto"/>
          <w:sz w:val="28"/>
          <w:szCs w:val="28"/>
        </w:rPr>
        <w:t>Q</w:t>
      </w:r>
      <w:r>
        <w:rPr>
          <w:i/>
          <w:color w:val="auto"/>
          <w:sz w:val="28"/>
          <w:szCs w:val="28"/>
          <w:vertAlign w:val="subscript"/>
        </w:rPr>
        <w:t>TNT</w:t>
      </w:r>
      <w:r>
        <w:rPr>
          <w:rFonts w:hint="eastAsia"/>
          <w:i/>
          <w:color w:val="auto"/>
          <w:sz w:val="28"/>
          <w:szCs w:val="28"/>
        </w:rPr>
        <w:t>)</w:t>
      </w:r>
      <w:r>
        <w:rPr>
          <w:color w:val="auto"/>
          <w:sz w:val="28"/>
          <w:szCs w:val="28"/>
        </w:rPr>
        <w:t>•</w:t>
      </w:r>
      <w:r>
        <w:rPr>
          <w:i/>
          <w:color w:val="auto"/>
          <w:sz w:val="28"/>
          <w:szCs w:val="28"/>
        </w:rPr>
        <w:t>W</w:t>
      </w:r>
      <w:r>
        <w:rPr>
          <w:i/>
          <w:color w:val="auto"/>
          <w:sz w:val="28"/>
          <w:szCs w:val="28"/>
          <w:vertAlign w:val="subscript"/>
        </w:rPr>
        <w:t>f</w:t>
      </w:r>
      <w:r>
        <w:rPr>
          <w:rFonts w:hint="eastAsia"/>
          <w:color w:val="auto"/>
          <w:sz w:val="28"/>
          <w:szCs w:val="28"/>
        </w:rPr>
        <w:t>可计算得出加油站油罐的爆炸能量W</w:t>
      </w:r>
      <w:r>
        <w:rPr>
          <w:rFonts w:hint="eastAsia"/>
          <w:color w:val="auto"/>
          <w:sz w:val="28"/>
          <w:szCs w:val="28"/>
          <w:vertAlign w:val="subscript"/>
        </w:rPr>
        <w:t>TNT</w:t>
      </w:r>
      <w:r>
        <w:rPr>
          <w:rFonts w:hint="eastAsia"/>
          <w:color w:val="auto"/>
          <w:sz w:val="28"/>
          <w:szCs w:val="28"/>
        </w:rPr>
        <w:t>范围为： 0.68~3.15，</w:t>
      </w:r>
    </w:p>
    <w:p>
      <w:pPr>
        <w:ind w:firstLine="480"/>
        <w:rPr>
          <w:color w:val="auto"/>
          <w:sz w:val="28"/>
          <w:szCs w:val="28"/>
        </w:rPr>
      </w:pPr>
      <w:r>
        <w:rPr>
          <w:color w:val="auto"/>
          <w:sz w:val="28"/>
          <w:szCs w:val="28"/>
        </w:rPr>
        <w:t>(2) 爆炸冲击波对人员伤害和建筑物破坏范围</w:t>
      </w:r>
    </w:p>
    <w:p>
      <w:pPr>
        <w:ind w:firstLine="480"/>
        <w:rPr>
          <w:color w:val="auto"/>
          <w:sz w:val="28"/>
          <w:szCs w:val="28"/>
        </w:rPr>
      </w:pPr>
      <w:r>
        <w:rPr>
          <w:color w:val="auto"/>
          <w:sz w:val="28"/>
          <w:szCs w:val="28"/>
        </w:rPr>
        <w:t>1) 计算公式</w:t>
      </w:r>
    </w:p>
    <w:p>
      <w:pPr>
        <w:ind w:firstLine="480"/>
        <w:rPr>
          <w:color w:val="auto"/>
          <w:sz w:val="28"/>
          <w:szCs w:val="28"/>
        </w:rPr>
      </w:pPr>
      <w:r>
        <w:rPr>
          <w:color w:val="auto"/>
          <w:sz w:val="28"/>
          <w:szCs w:val="28"/>
        </w:rPr>
        <w:t>地下储罐爆炸冲击波计算应采用岩土爆破研究有关的成果，结合地下储油罐属于沙土覆盖和填充，采用G.M莱克霍夫的研究成果。莱克霍夫对于砂质土壤中的冲击波超压，有：</w:t>
      </w:r>
    </w:p>
    <w:tbl>
      <w:tblPr>
        <w:tblStyle w:val="16"/>
        <w:tblW w:w="8787" w:type="dxa"/>
        <w:tblInd w:w="108" w:type="dxa"/>
        <w:tblLayout w:type="fixed"/>
        <w:tblCellMar>
          <w:top w:w="0" w:type="dxa"/>
          <w:left w:w="108" w:type="dxa"/>
          <w:bottom w:w="0" w:type="dxa"/>
          <w:right w:w="108" w:type="dxa"/>
        </w:tblCellMar>
      </w:tblPr>
      <w:tblGrid>
        <w:gridCol w:w="1055"/>
        <w:gridCol w:w="364"/>
        <w:gridCol w:w="6314"/>
        <w:gridCol w:w="1054"/>
      </w:tblGrid>
      <w:tr>
        <w:tblPrEx>
          <w:tblCellMar>
            <w:top w:w="0" w:type="dxa"/>
            <w:left w:w="108" w:type="dxa"/>
            <w:bottom w:w="0" w:type="dxa"/>
            <w:right w:w="108" w:type="dxa"/>
          </w:tblCellMar>
        </w:tblPrEx>
        <w:tc>
          <w:tcPr>
            <w:tcW w:w="1055" w:type="dxa"/>
            <w:shd w:val="clear" w:color="auto" w:fill="auto"/>
            <w:vAlign w:val="center"/>
          </w:tcPr>
          <w:p>
            <w:pPr>
              <w:pStyle w:val="29"/>
              <w:ind w:firstLine="480"/>
              <w:jc w:val="both"/>
              <w:rPr>
                <w:color w:val="auto"/>
                <w:sz w:val="28"/>
                <w:szCs w:val="28"/>
              </w:rPr>
            </w:pPr>
          </w:p>
        </w:tc>
        <w:tc>
          <w:tcPr>
            <w:tcW w:w="6678" w:type="dxa"/>
            <w:gridSpan w:val="2"/>
            <w:shd w:val="clear" w:color="auto" w:fill="auto"/>
            <w:vAlign w:val="center"/>
          </w:tcPr>
          <w:p>
            <w:pPr>
              <w:ind w:firstLine="480"/>
              <w:jc w:val="center"/>
              <w:rPr>
                <w:color w:val="auto"/>
                <w:sz w:val="28"/>
                <w:szCs w:val="28"/>
                <w:vertAlign w:val="superscript"/>
              </w:rPr>
            </w:pPr>
            <w:r>
              <w:rPr>
                <w:rFonts w:ascii="Cambria Math" w:hAnsi="Cambria Math" w:cs="Cambria Math"/>
                <w:color w:val="auto"/>
                <w:sz w:val="28"/>
                <w:szCs w:val="28"/>
              </w:rPr>
              <w:t>△</w:t>
            </w:r>
            <w:r>
              <w:rPr>
                <w:i/>
                <w:color w:val="auto"/>
                <w:sz w:val="28"/>
                <w:szCs w:val="28"/>
              </w:rPr>
              <w:t>P</w:t>
            </w:r>
            <w:r>
              <w:rPr>
                <w:i/>
                <w:color w:val="auto"/>
                <w:sz w:val="28"/>
                <w:szCs w:val="28"/>
                <w:vertAlign w:val="subscript"/>
              </w:rPr>
              <w:t xml:space="preserve">m </w:t>
            </w:r>
            <w:r>
              <w:rPr>
                <w:color w:val="auto"/>
                <w:sz w:val="28"/>
                <w:szCs w:val="28"/>
              </w:rPr>
              <w:t>= 8[</w:t>
            </w:r>
            <w:r>
              <w:rPr>
                <w:i/>
                <w:color w:val="auto"/>
                <w:sz w:val="28"/>
                <w:szCs w:val="28"/>
              </w:rPr>
              <w:t>R</w:t>
            </w:r>
            <w:r>
              <w:rPr>
                <w:color w:val="auto"/>
                <w:sz w:val="28"/>
                <w:szCs w:val="28"/>
              </w:rPr>
              <w:t>/（</w:t>
            </w:r>
            <w:r>
              <w:rPr>
                <w:i/>
                <w:color w:val="auto"/>
                <w:sz w:val="28"/>
                <w:szCs w:val="28"/>
              </w:rPr>
              <w:t>W</w:t>
            </w:r>
            <w:r>
              <w:rPr>
                <w:i/>
                <w:color w:val="auto"/>
                <w:sz w:val="28"/>
                <w:szCs w:val="28"/>
                <w:vertAlign w:val="subscript"/>
              </w:rPr>
              <w:t>TNT</w:t>
            </w:r>
            <w:r>
              <w:rPr>
                <w:color w:val="auto"/>
                <w:sz w:val="28"/>
                <w:szCs w:val="28"/>
              </w:rPr>
              <w:t>）</w:t>
            </w:r>
            <w:r>
              <w:rPr>
                <w:color w:val="auto"/>
                <w:sz w:val="28"/>
                <w:szCs w:val="28"/>
                <w:vertAlign w:val="superscript"/>
              </w:rPr>
              <w:t>1/3</w:t>
            </w:r>
            <w:r>
              <w:rPr>
                <w:color w:val="auto"/>
                <w:sz w:val="28"/>
                <w:szCs w:val="28"/>
              </w:rPr>
              <w:t>]</w:t>
            </w:r>
            <w:r>
              <w:rPr>
                <w:color w:val="auto"/>
                <w:sz w:val="28"/>
                <w:szCs w:val="28"/>
                <w:vertAlign w:val="superscript"/>
              </w:rPr>
              <w:t>-3</w:t>
            </w:r>
          </w:p>
        </w:tc>
        <w:tc>
          <w:tcPr>
            <w:tcW w:w="1054" w:type="dxa"/>
            <w:shd w:val="clear" w:color="auto" w:fill="auto"/>
          </w:tcPr>
          <w:p>
            <w:pPr>
              <w:pStyle w:val="29"/>
              <w:ind w:firstLine="0" w:firstLineChars="0"/>
              <w:jc w:val="both"/>
              <w:rPr>
                <w:color w:val="auto"/>
                <w:sz w:val="28"/>
                <w:szCs w:val="28"/>
              </w:rPr>
            </w:pPr>
            <w:r>
              <w:rPr>
                <w:rFonts w:hint="eastAsia"/>
                <w:color w:val="auto"/>
                <w:sz w:val="28"/>
                <w:szCs w:val="28"/>
              </w:rPr>
              <w:t>（3-2）</w:t>
            </w:r>
          </w:p>
        </w:tc>
      </w:tr>
      <w:tr>
        <w:tblPrEx>
          <w:tblCellMar>
            <w:top w:w="0" w:type="dxa"/>
            <w:left w:w="108" w:type="dxa"/>
            <w:bottom w:w="0" w:type="dxa"/>
            <w:right w:w="108" w:type="dxa"/>
          </w:tblCellMar>
        </w:tblPrEx>
        <w:tc>
          <w:tcPr>
            <w:tcW w:w="1419" w:type="dxa"/>
            <w:gridSpan w:val="2"/>
            <w:shd w:val="clear" w:color="auto" w:fill="auto"/>
          </w:tcPr>
          <w:p>
            <w:pPr>
              <w:pStyle w:val="29"/>
              <w:ind w:firstLine="480"/>
              <w:jc w:val="right"/>
              <w:rPr>
                <w:color w:val="auto"/>
                <w:sz w:val="28"/>
                <w:szCs w:val="28"/>
              </w:rPr>
            </w:pPr>
            <w:r>
              <w:rPr>
                <w:color w:val="auto"/>
                <w:sz w:val="28"/>
                <w:szCs w:val="28"/>
              </w:rPr>
              <w:t>式中：</w:t>
            </w:r>
          </w:p>
        </w:tc>
        <w:tc>
          <w:tcPr>
            <w:tcW w:w="6314" w:type="dxa"/>
            <w:shd w:val="clear" w:color="auto" w:fill="auto"/>
            <w:vAlign w:val="center"/>
          </w:tcPr>
          <w:p>
            <w:pPr>
              <w:ind w:firstLine="480"/>
              <w:rPr>
                <w:color w:val="auto"/>
                <w:sz w:val="28"/>
                <w:szCs w:val="28"/>
              </w:rPr>
            </w:pPr>
            <w:r>
              <w:rPr>
                <w:rFonts w:ascii="Cambria Math" w:hAnsi="Cambria Math" w:cs="Cambria Math"/>
                <w:color w:val="auto"/>
                <w:sz w:val="28"/>
                <w:szCs w:val="28"/>
              </w:rPr>
              <w:t>△</w:t>
            </w:r>
            <w:r>
              <w:rPr>
                <w:i/>
                <w:color w:val="auto"/>
                <w:sz w:val="28"/>
                <w:szCs w:val="28"/>
              </w:rPr>
              <w:t>P</w:t>
            </w:r>
            <w:r>
              <w:rPr>
                <w:i/>
                <w:color w:val="auto"/>
                <w:sz w:val="28"/>
                <w:szCs w:val="28"/>
                <w:vertAlign w:val="subscript"/>
              </w:rPr>
              <w:t>m</w:t>
            </w:r>
            <w:r>
              <w:rPr>
                <w:color w:val="auto"/>
                <w:sz w:val="28"/>
                <w:szCs w:val="28"/>
              </w:rPr>
              <w:t>—爆炸冲击波超压，kg f/cm</w:t>
            </w:r>
            <w:r>
              <w:rPr>
                <w:color w:val="auto"/>
                <w:sz w:val="28"/>
                <w:szCs w:val="28"/>
                <w:vertAlign w:val="superscript"/>
              </w:rPr>
              <w:t>2</w:t>
            </w:r>
            <w:r>
              <w:rPr>
                <w:color w:val="auto"/>
                <w:sz w:val="28"/>
                <w:szCs w:val="28"/>
              </w:rPr>
              <w:t>；</w:t>
            </w:r>
          </w:p>
          <w:p>
            <w:pPr>
              <w:ind w:firstLine="480"/>
              <w:rPr>
                <w:color w:val="auto"/>
                <w:sz w:val="28"/>
                <w:szCs w:val="28"/>
              </w:rPr>
            </w:pPr>
            <w:r>
              <w:rPr>
                <w:i/>
                <w:color w:val="auto"/>
                <w:sz w:val="28"/>
                <w:szCs w:val="28"/>
              </w:rPr>
              <w:t>R</w:t>
            </w:r>
            <w:r>
              <w:rPr>
                <w:color w:val="auto"/>
                <w:sz w:val="28"/>
                <w:szCs w:val="28"/>
              </w:rPr>
              <w:t>—爆心到所研究点的距离，m；</w:t>
            </w:r>
          </w:p>
          <w:p>
            <w:pPr>
              <w:ind w:firstLine="480"/>
              <w:rPr>
                <w:color w:val="auto"/>
                <w:sz w:val="28"/>
                <w:szCs w:val="28"/>
              </w:rPr>
            </w:pPr>
            <w:r>
              <w:rPr>
                <w:i/>
                <w:color w:val="auto"/>
                <w:sz w:val="28"/>
                <w:szCs w:val="28"/>
              </w:rPr>
              <w:t>W</w:t>
            </w:r>
            <w:r>
              <w:rPr>
                <w:i/>
                <w:color w:val="auto"/>
                <w:sz w:val="28"/>
                <w:szCs w:val="28"/>
                <w:vertAlign w:val="subscript"/>
              </w:rPr>
              <w:t>TNT</w:t>
            </w:r>
            <w:r>
              <w:rPr>
                <w:color w:val="auto"/>
                <w:sz w:val="28"/>
                <w:szCs w:val="28"/>
              </w:rPr>
              <w:t>—蒸气云的TNT当量，kg；</w:t>
            </w:r>
          </w:p>
        </w:tc>
        <w:tc>
          <w:tcPr>
            <w:tcW w:w="1054" w:type="dxa"/>
            <w:shd w:val="clear" w:color="auto" w:fill="auto"/>
            <w:vAlign w:val="center"/>
          </w:tcPr>
          <w:p>
            <w:pPr>
              <w:pStyle w:val="29"/>
              <w:ind w:left="480" w:firstLine="480"/>
              <w:jc w:val="both"/>
              <w:rPr>
                <w:color w:val="auto"/>
                <w:sz w:val="28"/>
                <w:szCs w:val="28"/>
              </w:rPr>
            </w:pPr>
          </w:p>
        </w:tc>
      </w:tr>
    </w:tbl>
    <w:p>
      <w:pPr>
        <w:ind w:firstLine="480"/>
        <w:rPr>
          <w:color w:val="auto"/>
          <w:sz w:val="28"/>
          <w:szCs w:val="28"/>
        </w:rPr>
      </w:pPr>
      <w:r>
        <w:rPr>
          <w:color w:val="auto"/>
          <w:sz w:val="28"/>
          <w:szCs w:val="28"/>
        </w:rPr>
        <w:t>根据上式，则有：</w:t>
      </w:r>
    </w:p>
    <w:p>
      <w:pPr>
        <w:ind w:firstLine="480"/>
        <w:jc w:val="center"/>
        <w:rPr>
          <w:i/>
          <w:color w:val="auto"/>
          <w:sz w:val="28"/>
          <w:szCs w:val="28"/>
        </w:rPr>
      </w:pPr>
      <w:r>
        <w:rPr>
          <w:i/>
          <w:color w:val="auto"/>
          <w:sz w:val="28"/>
          <w:szCs w:val="28"/>
        </w:rPr>
        <w:t>R=</w:t>
      </w:r>
      <w:r>
        <w:rPr>
          <w:color w:val="auto"/>
          <w:sz w:val="28"/>
          <w:szCs w:val="28"/>
        </w:rPr>
        <w:t>[8</w:t>
      </w:r>
      <w:r>
        <w:rPr>
          <w:i/>
          <w:color w:val="auto"/>
          <w:sz w:val="28"/>
          <w:szCs w:val="28"/>
        </w:rPr>
        <w:t xml:space="preserve"> W</w:t>
      </w:r>
      <w:r>
        <w:rPr>
          <w:i/>
          <w:color w:val="auto"/>
          <w:sz w:val="28"/>
          <w:szCs w:val="28"/>
          <w:vertAlign w:val="subscript"/>
        </w:rPr>
        <w:t>TNT</w:t>
      </w:r>
      <w:r>
        <w:rPr>
          <w:color w:val="auto"/>
          <w:sz w:val="28"/>
          <w:szCs w:val="28"/>
        </w:rPr>
        <w:t>/</w:t>
      </w:r>
      <w:r>
        <w:rPr>
          <w:rFonts w:ascii="Cambria Math" w:hAnsi="Cambria Math" w:cs="Cambria Math"/>
          <w:color w:val="auto"/>
          <w:sz w:val="28"/>
          <w:szCs w:val="28"/>
        </w:rPr>
        <w:t>△</w:t>
      </w:r>
      <w:r>
        <w:rPr>
          <w:i/>
          <w:color w:val="auto"/>
          <w:sz w:val="28"/>
          <w:szCs w:val="28"/>
        </w:rPr>
        <w:t>P</w:t>
      </w:r>
      <w:r>
        <w:rPr>
          <w:i/>
          <w:color w:val="auto"/>
          <w:sz w:val="28"/>
          <w:szCs w:val="28"/>
          <w:vertAlign w:val="subscript"/>
        </w:rPr>
        <w:t>m</w:t>
      </w:r>
      <w:r>
        <w:rPr>
          <w:color w:val="auto"/>
          <w:sz w:val="28"/>
          <w:szCs w:val="28"/>
        </w:rPr>
        <w:t>]</w:t>
      </w:r>
      <w:r>
        <w:rPr>
          <w:i/>
          <w:color w:val="auto"/>
          <w:sz w:val="28"/>
          <w:szCs w:val="28"/>
        </w:rPr>
        <w:t xml:space="preserve"> </w:t>
      </w:r>
      <w:r>
        <w:rPr>
          <w:color w:val="auto"/>
          <w:sz w:val="28"/>
          <w:szCs w:val="28"/>
          <w:vertAlign w:val="superscript"/>
        </w:rPr>
        <w:t>1/3</w:t>
      </w:r>
    </w:p>
    <w:p>
      <w:pPr>
        <w:ind w:firstLine="480"/>
        <w:rPr>
          <w:color w:val="auto"/>
          <w:sz w:val="28"/>
          <w:szCs w:val="28"/>
        </w:rPr>
      </w:pPr>
      <w:r>
        <w:rPr>
          <w:color w:val="auto"/>
          <w:sz w:val="28"/>
          <w:szCs w:val="28"/>
        </w:rPr>
        <w:t>2) 地下储油罐爆炸冲击波对人员伤害范围计算</w:t>
      </w:r>
    </w:p>
    <w:p>
      <w:pPr>
        <w:ind w:firstLine="480"/>
        <w:rPr>
          <w:color w:val="auto"/>
          <w:sz w:val="28"/>
          <w:szCs w:val="28"/>
        </w:rPr>
      </w:pPr>
      <w:r>
        <w:rPr>
          <w:color w:val="auto"/>
          <w:sz w:val="28"/>
          <w:szCs w:val="28"/>
        </w:rPr>
        <w:t>根据爆炸事故后果模拟评价方法中的超压准则，冲击波对人体的伤害和建筑物破坏作用如下表：</w:t>
      </w:r>
    </w:p>
    <w:p>
      <w:pPr>
        <w:ind w:firstLine="480"/>
        <w:rPr>
          <w:color w:val="auto"/>
        </w:rPr>
      </w:pPr>
    </w:p>
    <w:p>
      <w:pPr>
        <w:pStyle w:val="5"/>
        <w:keepNext/>
        <w:ind w:firstLine="400"/>
        <w:jc w:val="center"/>
        <w:rPr>
          <w:color w:val="auto"/>
        </w:rPr>
      </w:pPr>
      <w:r>
        <w:rPr>
          <w:rFonts w:hint="eastAsia"/>
          <w:color w:val="auto"/>
        </w:rPr>
        <w:t xml:space="preserve">表 </w:t>
      </w:r>
      <w:r>
        <w:rPr>
          <w:rFonts w:hint="eastAsia"/>
          <w:color w:val="auto"/>
          <w:lang w:val="en-US" w:eastAsia="zh-CN"/>
        </w:rPr>
        <w:t>4</w:t>
      </w:r>
      <w:r>
        <w:rPr>
          <w:color w:val="auto"/>
        </w:rPr>
        <w:noBreakHyphen/>
      </w:r>
      <w:r>
        <w:rPr>
          <w:color w:val="auto"/>
        </w:rPr>
        <w:fldChar w:fldCharType="begin"/>
      </w:r>
      <w:r>
        <w:rPr>
          <w:color w:val="auto"/>
        </w:rPr>
        <w:instrText xml:space="preserve"> SEQ 表 \* ARABIC \s 1 </w:instrText>
      </w:r>
      <w:r>
        <w:rPr>
          <w:color w:val="auto"/>
        </w:rPr>
        <w:fldChar w:fldCharType="separate"/>
      </w:r>
      <w:r>
        <w:rPr>
          <w:color w:val="auto"/>
        </w:rPr>
        <w:t>1</w:t>
      </w:r>
      <w:r>
        <w:rPr>
          <w:color w:val="auto"/>
        </w:rPr>
        <w:fldChar w:fldCharType="end"/>
      </w:r>
      <w:r>
        <w:rPr>
          <w:rFonts w:hint="eastAsia"/>
          <w:color w:val="auto"/>
        </w:rPr>
        <w:t>人员伤害超压准则</w:t>
      </w:r>
    </w:p>
    <w:tbl>
      <w:tblPr>
        <w:tblStyle w:val="16"/>
        <w:tblW w:w="79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36"/>
        <w:gridCol w:w="2182"/>
        <w:gridCol w:w="35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9" w:type="dxa"/>
            <w:vAlign w:val="center"/>
          </w:tcPr>
          <w:p>
            <w:pPr>
              <w:ind w:firstLine="0" w:firstLineChars="0"/>
              <w:rPr>
                <w:rFonts w:ascii="Times New Roman" w:hAnsi="Times New Roman" w:cs="Times New Roman"/>
                <w:b/>
                <w:color w:val="auto"/>
                <w:sz w:val="21"/>
                <w:szCs w:val="24"/>
              </w:rPr>
            </w:pPr>
            <w:r>
              <w:rPr>
                <w:rFonts w:ascii="Times New Roman" w:hAnsi="Times New Roman" w:cs="Times New Roman"/>
                <w:b/>
                <w:color w:val="auto"/>
                <w:sz w:val="21"/>
                <w:szCs w:val="24"/>
              </w:rPr>
              <w:t>序号</w:t>
            </w:r>
          </w:p>
        </w:tc>
        <w:tc>
          <w:tcPr>
            <w:tcW w:w="1536" w:type="dxa"/>
            <w:vAlign w:val="center"/>
          </w:tcPr>
          <w:p>
            <w:pPr>
              <w:ind w:firstLine="0" w:firstLineChars="0"/>
              <w:rPr>
                <w:rFonts w:ascii="Times New Roman" w:hAnsi="Times New Roman" w:cs="Times New Roman"/>
                <w:b/>
                <w:color w:val="auto"/>
                <w:sz w:val="21"/>
                <w:szCs w:val="24"/>
              </w:rPr>
            </w:pPr>
            <w:r>
              <w:rPr>
                <w:rFonts w:ascii="Times New Roman" w:hAnsi="Times New Roman" w:cs="Times New Roman"/>
                <w:b/>
                <w:color w:val="auto"/>
                <w:sz w:val="21"/>
                <w:szCs w:val="24"/>
              </w:rPr>
              <w:t>伤害程度</w:t>
            </w:r>
          </w:p>
        </w:tc>
        <w:tc>
          <w:tcPr>
            <w:tcW w:w="2182" w:type="dxa"/>
            <w:vAlign w:val="center"/>
          </w:tcPr>
          <w:p>
            <w:pPr>
              <w:ind w:firstLine="0" w:firstLineChars="0"/>
              <w:rPr>
                <w:rFonts w:ascii="Times New Roman" w:hAnsi="Times New Roman" w:cs="Times New Roman"/>
                <w:b/>
                <w:color w:val="auto"/>
                <w:sz w:val="21"/>
                <w:szCs w:val="24"/>
              </w:rPr>
            </w:pPr>
            <w:r>
              <w:rPr>
                <w:rFonts w:ascii="Times New Roman" w:hAnsi="Times New Roman" w:cs="Times New Roman"/>
                <w:b/>
                <w:color w:val="auto"/>
                <w:sz w:val="21"/>
                <w:szCs w:val="24"/>
              </w:rPr>
              <w:t>超压</w:t>
            </w:r>
            <w:r>
              <w:rPr>
                <w:rFonts w:ascii="Cambria Math" w:hAnsi="Cambria Math" w:cs="Cambria Math"/>
                <w:b/>
                <w:color w:val="auto"/>
                <w:sz w:val="21"/>
                <w:szCs w:val="24"/>
              </w:rPr>
              <w:t>△</w:t>
            </w:r>
            <w:r>
              <w:rPr>
                <w:rFonts w:ascii="Times New Roman" w:hAnsi="Times New Roman" w:cs="Times New Roman"/>
                <w:b/>
                <w:color w:val="auto"/>
                <w:sz w:val="21"/>
                <w:szCs w:val="24"/>
              </w:rPr>
              <w:t>P×10</w:t>
            </w:r>
            <w:r>
              <w:rPr>
                <w:rFonts w:ascii="Times New Roman" w:hAnsi="Times New Roman" w:cs="Times New Roman"/>
                <w:b/>
                <w:color w:val="auto"/>
                <w:sz w:val="21"/>
                <w:szCs w:val="24"/>
                <w:vertAlign w:val="superscript"/>
              </w:rPr>
              <w:t>5</w:t>
            </w:r>
            <w:r>
              <w:rPr>
                <w:rFonts w:ascii="Times New Roman" w:hAnsi="Times New Roman" w:cs="Times New Roman"/>
                <w:b/>
                <w:color w:val="auto"/>
                <w:sz w:val="21"/>
                <w:szCs w:val="24"/>
              </w:rPr>
              <w:t>（Pa）</w:t>
            </w:r>
          </w:p>
        </w:tc>
        <w:tc>
          <w:tcPr>
            <w:tcW w:w="3511" w:type="dxa"/>
            <w:vAlign w:val="center"/>
          </w:tcPr>
          <w:p>
            <w:pPr>
              <w:ind w:firstLine="198" w:firstLineChars="94"/>
              <w:rPr>
                <w:rFonts w:ascii="Times New Roman" w:hAnsi="Times New Roman" w:cs="Times New Roman"/>
                <w:b/>
                <w:color w:val="auto"/>
                <w:sz w:val="21"/>
                <w:szCs w:val="24"/>
              </w:rPr>
            </w:pPr>
            <w:r>
              <w:rPr>
                <w:rFonts w:ascii="Times New Roman" w:hAnsi="Times New Roman" w:cs="Times New Roman"/>
                <w:b/>
                <w:color w:val="auto"/>
                <w:sz w:val="21"/>
                <w:szCs w:val="24"/>
              </w:rPr>
              <w:t>伤害情况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9" w:type="dxa"/>
            <w:vAlign w:val="center"/>
          </w:tcPr>
          <w:p>
            <w:pPr>
              <w:ind w:firstLine="0" w:firstLineChars="0"/>
              <w:jc w:val="center"/>
              <w:rPr>
                <w:rFonts w:ascii="Times New Roman" w:hAnsi="Times New Roman" w:cs="Times New Roman"/>
                <w:color w:val="auto"/>
                <w:sz w:val="21"/>
                <w:szCs w:val="24"/>
              </w:rPr>
            </w:pPr>
            <w:r>
              <w:rPr>
                <w:rFonts w:ascii="Times New Roman" w:hAnsi="Times New Roman" w:cs="Times New Roman"/>
                <w:color w:val="auto"/>
                <w:sz w:val="21"/>
                <w:szCs w:val="24"/>
              </w:rPr>
              <w:t>1</w:t>
            </w:r>
          </w:p>
        </w:tc>
        <w:tc>
          <w:tcPr>
            <w:tcW w:w="1536" w:type="dxa"/>
            <w:vAlign w:val="center"/>
          </w:tcPr>
          <w:p>
            <w:pPr>
              <w:ind w:firstLine="0" w:firstLineChars="0"/>
              <w:jc w:val="center"/>
              <w:rPr>
                <w:rFonts w:ascii="Times New Roman" w:hAnsi="Times New Roman" w:cs="Times New Roman"/>
                <w:color w:val="auto"/>
                <w:sz w:val="21"/>
                <w:szCs w:val="24"/>
              </w:rPr>
            </w:pPr>
            <w:r>
              <w:rPr>
                <w:rFonts w:ascii="Times New Roman" w:hAnsi="Times New Roman" w:cs="Times New Roman"/>
                <w:color w:val="auto"/>
                <w:sz w:val="21"/>
                <w:szCs w:val="24"/>
              </w:rPr>
              <w:t>轻微</w:t>
            </w:r>
          </w:p>
        </w:tc>
        <w:tc>
          <w:tcPr>
            <w:tcW w:w="2182" w:type="dxa"/>
            <w:vAlign w:val="center"/>
          </w:tcPr>
          <w:p>
            <w:pPr>
              <w:ind w:firstLine="0" w:firstLineChars="0"/>
              <w:jc w:val="center"/>
              <w:rPr>
                <w:rFonts w:ascii="Times New Roman" w:hAnsi="Times New Roman" w:cs="Times New Roman"/>
                <w:color w:val="auto"/>
                <w:sz w:val="21"/>
                <w:szCs w:val="24"/>
              </w:rPr>
            </w:pPr>
            <w:r>
              <w:rPr>
                <w:rFonts w:ascii="Times New Roman" w:hAnsi="Times New Roman" w:cs="Times New Roman"/>
                <w:color w:val="auto"/>
                <w:sz w:val="21"/>
                <w:szCs w:val="24"/>
              </w:rPr>
              <w:t>0.2~0.3</w:t>
            </w:r>
          </w:p>
        </w:tc>
        <w:tc>
          <w:tcPr>
            <w:tcW w:w="3511" w:type="dxa"/>
            <w:vAlign w:val="center"/>
          </w:tcPr>
          <w:p>
            <w:pPr>
              <w:ind w:firstLine="0" w:firstLineChars="0"/>
              <w:jc w:val="center"/>
              <w:rPr>
                <w:rFonts w:ascii="Times New Roman" w:hAnsi="Times New Roman" w:cs="Times New Roman"/>
                <w:color w:val="auto"/>
                <w:sz w:val="21"/>
                <w:szCs w:val="24"/>
              </w:rPr>
            </w:pPr>
            <w:r>
              <w:rPr>
                <w:rFonts w:ascii="Times New Roman" w:hAnsi="Times New Roman" w:cs="Times New Roman"/>
                <w:color w:val="auto"/>
                <w:sz w:val="21"/>
                <w:szCs w:val="24"/>
              </w:rPr>
              <w:t>轻微挫伤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9" w:type="dxa"/>
            <w:vAlign w:val="center"/>
          </w:tcPr>
          <w:p>
            <w:pPr>
              <w:ind w:firstLine="0" w:firstLineChars="0"/>
              <w:jc w:val="center"/>
              <w:rPr>
                <w:rFonts w:ascii="Times New Roman" w:hAnsi="Times New Roman" w:cs="Times New Roman"/>
                <w:color w:val="auto"/>
                <w:sz w:val="21"/>
                <w:szCs w:val="24"/>
              </w:rPr>
            </w:pPr>
            <w:r>
              <w:rPr>
                <w:rFonts w:ascii="Times New Roman" w:hAnsi="Times New Roman" w:cs="Times New Roman"/>
                <w:color w:val="auto"/>
                <w:sz w:val="21"/>
                <w:szCs w:val="24"/>
              </w:rPr>
              <w:t>2</w:t>
            </w:r>
          </w:p>
        </w:tc>
        <w:tc>
          <w:tcPr>
            <w:tcW w:w="1536" w:type="dxa"/>
            <w:vAlign w:val="center"/>
          </w:tcPr>
          <w:p>
            <w:pPr>
              <w:ind w:firstLine="0" w:firstLineChars="0"/>
              <w:jc w:val="center"/>
              <w:rPr>
                <w:rFonts w:ascii="Times New Roman" w:hAnsi="Times New Roman" w:cs="Times New Roman"/>
                <w:color w:val="auto"/>
                <w:sz w:val="21"/>
                <w:szCs w:val="24"/>
              </w:rPr>
            </w:pPr>
            <w:r>
              <w:rPr>
                <w:rFonts w:ascii="Times New Roman" w:hAnsi="Times New Roman" w:cs="Times New Roman"/>
                <w:color w:val="auto"/>
                <w:sz w:val="21"/>
                <w:szCs w:val="24"/>
              </w:rPr>
              <w:t>中等</w:t>
            </w:r>
          </w:p>
        </w:tc>
        <w:tc>
          <w:tcPr>
            <w:tcW w:w="2182" w:type="dxa"/>
            <w:vAlign w:val="center"/>
          </w:tcPr>
          <w:p>
            <w:pPr>
              <w:ind w:firstLine="0" w:firstLineChars="0"/>
              <w:jc w:val="center"/>
              <w:rPr>
                <w:rFonts w:ascii="Times New Roman" w:hAnsi="Times New Roman" w:cs="Times New Roman"/>
                <w:color w:val="auto"/>
                <w:sz w:val="21"/>
                <w:szCs w:val="24"/>
              </w:rPr>
            </w:pPr>
            <w:r>
              <w:rPr>
                <w:rFonts w:ascii="Times New Roman" w:hAnsi="Times New Roman" w:cs="Times New Roman"/>
                <w:color w:val="auto"/>
                <w:sz w:val="21"/>
                <w:szCs w:val="24"/>
              </w:rPr>
              <w:t>0.3~0.5</w:t>
            </w:r>
          </w:p>
        </w:tc>
        <w:tc>
          <w:tcPr>
            <w:tcW w:w="3511" w:type="dxa"/>
            <w:vAlign w:val="center"/>
          </w:tcPr>
          <w:p>
            <w:pPr>
              <w:ind w:firstLine="0" w:firstLineChars="0"/>
              <w:jc w:val="center"/>
              <w:rPr>
                <w:rFonts w:ascii="Times New Roman" w:hAnsi="Times New Roman" w:cs="Times New Roman"/>
                <w:color w:val="auto"/>
                <w:sz w:val="21"/>
                <w:szCs w:val="24"/>
              </w:rPr>
            </w:pPr>
            <w:r>
              <w:rPr>
                <w:rFonts w:ascii="Times New Roman" w:hAnsi="Times New Roman" w:cs="Times New Roman"/>
                <w:color w:val="auto"/>
                <w:sz w:val="21"/>
                <w:szCs w:val="24"/>
              </w:rPr>
              <w:t>听觉、气管损伤、中等挫伤、骨折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9" w:type="dxa"/>
            <w:vAlign w:val="center"/>
          </w:tcPr>
          <w:p>
            <w:pPr>
              <w:ind w:firstLine="0" w:firstLineChars="0"/>
              <w:jc w:val="center"/>
              <w:rPr>
                <w:rFonts w:ascii="Times New Roman" w:hAnsi="Times New Roman" w:cs="Times New Roman"/>
                <w:color w:val="auto"/>
                <w:sz w:val="21"/>
                <w:szCs w:val="24"/>
              </w:rPr>
            </w:pPr>
            <w:r>
              <w:rPr>
                <w:rFonts w:ascii="Times New Roman" w:hAnsi="Times New Roman" w:cs="Times New Roman"/>
                <w:color w:val="auto"/>
                <w:sz w:val="21"/>
                <w:szCs w:val="24"/>
              </w:rPr>
              <w:t>3</w:t>
            </w:r>
          </w:p>
        </w:tc>
        <w:tc>
          <w:tcPr>
            <w:tcW w:w="1536" w:type="dxa"/>
            <w:vAlign w:val="center"/>
          </w:tcPr>
          <w:p>
            <w:pPr>
              <w:ind w:firstLine="0" w:firstLineChars="0"/>
              <w:jc w:val="center"/>
              <w:rPr>
                <w:rFonts w:ascii="Times New Roman" w:hAnsi="Times New Roman" w:cs="Times New Roman"/>
                <w:color w:val="auto"/>
                <w:sz w:val="21"/>
                <w:szCs w:val="24"/>
              </w:rPr>
            </w:pPr>
            <w:r>
              <w:rPr>
                <w:rFonts w:ascii="Times New Roman" w:hAnsi="Times New Roman" w:cs="Times New Roman"/>
                <w:color w:val="auto"/>
                <w:sz w:val="21"/>
                <w:szCs w:val="24"/>
              </w:rPr>
              <w:t>严重</w:t>
            </w:r>
          </w:p>
        </w:tc>
        <w:tc>
          <w:tcPr>
            <w:tcW w:w="2182" w:type="dxa"/>
            <w:vAlign w:val="center"/>
          </w:tcPr>
          <w:p>
            <w:pPr>
              <w:ind w:firstLine="0" w:firstLineChars="0"/>
              <w:jc w:val="center"/>
              <w:rPr>
                <w:rFonts w:ascii="Times New Roman" w:hAnsi="Times New Roman" w:cs="Times New Roman"/>
                <w:color w:val="auto"/>
                <w:sz w:val="21"/>
                <w:szCs w:val="24"/>
              </w:rPr>
            </w:pPr>
            <w:r>
              <w:rPr>
                <w:rFonts w:ascii="Times New Roman" w:hAnsi="Times New Roman" w:cs="Times New Roman"/>
                <w:color w:val="auto"/>
                <w:sz w:val="21"/>
                <w:szCs w:val="24"/>
              </w:rPr>
              <w:t>0.5~1</w:t>
            </w:r>
          </w:p>
        </w:tc>
        <w:tc>
          <w:tcPr>
            <w:tcW w:w="3511" w:type="dxa"/>
            <w:vAlign w:val="center"/>
          </w:tcPr>
          <w:p>
            <w:pPr>
              <w:ind w:firstLine="0" w:firstLineChars="0"/>
              <w:jc w:val="center"/>
              <w:rPr>
                <w:rFonts w:ascii="Times New Roman" w:hAnsi="Times New Roman" w:cs="Times New Roman"/>
                <w:color w:val="auto"/>
                <w:sz w:val="21"/>
                <w:szCs w:val="24"/>
              </w:rPr>
            </w:pPr>
            <w:r>
              <w:rPr>
                <w:rFonts w:ascii="Times New Roman" w:hAnsi="Times New Roman" w:cs="Times New Roman"/>
                <w:color w:val="auto"/>
                <w:sz w:val="21"/>
                <w:szCs w:val="24"/>
              </w:rPr>
              <w:t>内脏严重挫伤，可能造成死亡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9" w:type="dxa"/>
            <w:vAlign w:val="center"/>
          </w:tcPr>
          <w:p>
            <w:pPr>
              <w:ind w:firstLine="0" w:firstLineChars="0"/>
              <w:jc w:val="center"/>
              <w:rPr>
                <w:rFonts w:ascii="Times New Roman" w:hAnsi="Times New Roman" w:cs="Times New Roman"/>
                <w:color w:val="auto"/>
                <w:sz w:val="21"/>
                <w:szCs w:val="24"/>
              </w:rPr>
            </w:pPr>
            <w:r>
              <w:rPr>
                <w:rFonts w:ascii="Times New Roman" w:hAnsi="Times New Roman" w:cs="Times New Roman"/>
                <w:color w:val="auto"/>
                <w:sz w:val="21"/>
                <w:szCs w:val="24"/>
              </w:rPr>
              <w:t>4</w:t>
            </w:r>
          </w:p>
        </w:tc>
        <w:tc>
          <w:tcPr>
            <w:tcW w:w="1536" w:type="dxa"/>
            <w:vAlign w:val="center"/>
          </w:tcPr>
          <w:p>
            <w:pPr>
              <w:ind w:firstLine="0" w:firstLineChars="0"/>
              <w:jc w:val="center"/>
              <w:rPr>
                <w:rFonts w:ascii="Times New Roman" w:hAnsi="Times New Roman" w:cs="Times New Roman"/>
                <w:color w:val="auto"/>
                <w:sz w:val="21"/>
                <w:szCs w:val="24"/>
              </w:rPr>
            </w:pPr>
            <w:r>
              <w:rPr>
                <w:rFonts w:ascii="Times New Roman" w:hAnsi="Times New Roman" w:cs="Times New Roman"/>
                <w:color w:val="auto"/>
                <w:sz w:val="21"/>
                <w:szCs w:val="24"/>
              </w:rPr>
              <w:t>极严重</w:t>
            </w:r>
          </w:p>
        </w:tc>
        <w:tc>
          <w:tcPr>
            <w:tcW w:w="2182" w:type="dxa"/>
            <w:vAlign w:val="center"/>
          </w:tcPr>
          <w:p>
            <w:pPr>
              <w:ind w:firstLine="0" w:firstLineChars="0"/>
              <w:jc w:val="center"/>
              <w:rPr>
                <w:rFonts w:ascii="Times New Roman" w:hAnsi="Times New Roman" w:cs="Times New Roman"/>
                <w:color w:val="auto"/>
                <w:sz w:val="21"/>
                <w:szCs w:val="24"/>
              </w:rPr>
            </w:pPr>
            <w:r>
              <w:rPr>
                <w:rFonts w:ascii="Times New Roman" w:hAnsi="Times New Roman" w:cs="Times New Roman"/>
                <w:color w:val="auto"/>
                <w:sz w:val="21"/>
                <w:szCs w:val="24"/>
              </w:rPr>
              <w:t>＞1</w:t>
            </w:r>
          </w:p>
        </w:tc>
        <w:tc>
          <w:tcPr>
            <w:tcW w:w="3511" w:type="dxa"/>
            <w:vAlign w:val="center"/>
          </w:tcPr>
          <w:p>
            <w:pPr>
              <w:ind w:firstLine="0" w:firstLineChars="0"/>
              <w:jc w:val="center"/>
              <w:rPr>
                <w:rFonts w:ascii="Times New Roman" w:hAnsi="Times New Roman" w:cs="Times New Roman"/>
                <w:color w:val="auto"/>
                <w:sz w:val="21"/>
                <w:szCs w:val="24"/>
              </w:rPr>
            </w:pPr>
            <w:r>
              <w:rPr>
                <w:rFonts w:ascii="Times New Roman" w:hAnsi="Times New Roman" w:cs="Times New Roman"/>
                <w:color w:val="auto"/>
                <w:sz w:val="21"/>
                <w:szCs w:val="24"/>
              </w:rPr>
              <w:t>大部分人死亡</w:t>
            </w:r>
          </w:p>
        </w:tc>
      </w:tr>
    </w:tbl>
    <w:p>
      <w:pPr>
        <w:pStyle w:val="5"/>
        <w:keepNext/>
        <w:ind w:firstLine="400"/>
        <w:jc w:val="center"/>
        <w:rPr>
          <w:color w:val="auto"/>
        </w:rPr>
      </w:pPr>
      <w:r>
        <w:rPr>
          <w:rFonts w:hint="eastAsia"/>
          <w:color w:val="auto"/>
        </w:rPr>
        <w:t xml:space="preserve">表 </w:t>
      </w:r>
      <w:r>
        <w:rPr>
          <w:rFonts w:hint="eastAsia"/>
          <w:color w:val="auto"/>
          <w:lang w:val="en-US" w:eastAsia="zh-CN"/>
        </w:rPr>
        <w:t>4</w:t>
      </w:r>
      <w:r>
        <w:rPr>
          <w:color w:val="auto"/>
        </w:rPr>
        <w:noBreakHyphen/>
      </w:r>
      <w:r>
        <w:rPr>
          <w:color w:val="auto"/>
        </w:rPr>
        <w:fldChar w:fldCharType="begin"/>
      </w:r>
      <w:r>
        <w:rPr>
          <w:color w:val="auto"/>
        </w:rPr>
        <w:instrText xml:space="preserve"> SEQ 表 \* ARABIC \s 1 </w:instrText>
      </w:r>
      <w:r>
        <w:rPr>
          <w:color w:val="auto"/>
        </w:rPr>
        <w:fldChar w:fldCharType="separate"/>
      </w:r>
      <w:r>
        <w:rPr>
          <w:color w:val="auto"/>
        </w:rPr>
        <w:t>2</w:t>
      </w:r>
      <w:r>
        <w:rPr>
          <w:color w:val="auto"/>
        </w:rPr>
        <w:fldChar w:fldCharType="end"/>
      </w:r>
      <w:r>
        <w:rPr>
          <w:rFonts w:hint="eastAsia"/>
          <w:color w:val="auto"/>
        </w:rPr>
        <w:t>建筑物破坏的超压准则</w:t>
      </w:r>
    </w:p>
    <w:tbl>
      <w:tblPr>
        <w:tblStyle w:val="16"/>
        <w:tblW w:w="921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56"/>
        <w:gridCol w:w="2946"/>
        <w:gridCol w:w="2126"/>
        <w:gridCol w:w="19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56" w:type="dxa"/>
            <w:vAlign w:val="center"/>
          </w:tcPr>
          <w:p>
            <w:pPr>
              <w:ind w:firstLine="0" w:firstLineChars="0"/>
              <w:rPr>
                <w:rFonts w:ascii="Times New Roman" w:hAnsi="Times New Roman" w:cs="Times New Roman"/>
                <w:b/>
                <w:color w:val="auto"/>
                <w:sz w:val="21"/>
                <w:szCs w:val="24"/>
              </w:rPr>
            </w:pPr>
            <w:r>
              <w:rPr>
                <w:rFonts w:ascii="Times New Roman" w:hAnsi="Times New Roman" w:cs="Times New Roman"/>
                <w:b/>
                <w:color w:val="auto"/>
                <w:sz w:val="21"/>
                <w:szCs w:val="24"/>
              </w:rPr>
              <w:t>超压</w:t>
            </w:r>
            <w:r>
              <w:rPr>
                <w:rFonts w:ascii="Cambria Math" w:hAnsi="Cambria Math" w:cs="Cambria Math"/>
                <w:b/>
                <w:color w:val="auto"/>
                <w:sz w:val="21"/>
                <w:szCs w:val="24"/>
              </w:rPr>
              <w:t>△</w:t>
            </w:r>
            <w:r>
              <w:rPr>
                <w:rFonts w:ascii="Times New Roman" w:hAnsi="Times New Roman" w:cs="Times New Roman"/>
                <w:b/>
                <w:color w:val="auto"/>
                <w:sz w:val="21"/>
                <w:szCs w:val="24"/>
              </w:rPr>
              <w:t>P×10</w:t>
            </w:r>
            <w:r>
              <w:rPr>
                <w:rFonts w:ascii="Times New Roman" w:hAnsi="Times New Roman" w:cs="Times New Roman"/>
                <w:b/>
                <w:color w:val="auto"/>
                <w:sz w:val="21"/>
                <w:szCs w:val="24"/>
                <w:vertAlign w:val="superscript"/>
              </w:rPr>
              <w:t>5</w:t>
            </w:r>
            <w:r>
              <w:rPr>
                <w:rFonts w:ascii="Times New Roman" w:hAnsi="Times New Roman" w:cs="Times New Roman"/>
                <w:b/>
                <w:color w:val="auto"/>
                <w:sz w:val="21"/>
                <w:szCs w:val="24"/>
              </w:rPr>
              <w:t>（Pa）</w:t>
            </w:r>
          </w:p>
        </w:tc>
        <w:tc>
          <w:tcPr>
            <w:tcW w:w="2946" w:type="dxa"/>
            <w:vAlign w:val="center"/>
          </w:tcPr>
          <w:p>
            <w:pPr>
              <w:ind w:firstLine="0" w:firstLineChars="0"/>
              <w:rPr>
                <w:rFonts w:ascii="Times New Roman" w:hAnsi="Times New Roman" w:cs="Times New Roman"/>
                <w:b/>
                <w:color w:val="auto"/>
                <w:sz w:val="21"/>
                <w:szCs w:val="24"/>
              </w:rPr>
            </w:pPr>
            <w:r>
              <w:rPr>
                <w:rFonts w:ascii="Times New Roman" w:hAnsi="Times New Roman" w:cs="Times New Roman"/>
                <w:b/>
                <w:color w:val="auto"/>
                <w:sz w:val="21"/>
                <w:szCs w:val="24"/>
              </w:rPr>
              <w:t>破坏作用</w:t>
            </w:r>
          </w:p>
        </w:tc>
        <w:tc>
          <w:tcPr>
            <w:tcW w:w="2126" w:type="dxa"/>
            <w:vAlign w:val="center"/>
          </w:tcPr>
          <w:p>
            <w:pPr>
              <w:ind w:firstLine="0" w:firstLineChars="0"/>
              <w:rPr>
                <w:rFonts w:ascii="Times New Roman" w:hAnsi="Times New Roman" w:cs="Times New Roman"/>
                <w:b/>
                <w:color w:val="auto"/>
                <w:sz w:val="21"/>
                <w:szCs w:val="24"/>
              </w:rPr>
            </w:pPr>
            <w:r>
              <w:rPr>
                <w:rFonts w:ascii="Times New Roman" w:hAnsi="Times New Roman" w:cs="Times New Roman"/>
                <w:b/>
                <w:color w:val="auto"/>
                <w:sz w:val="21"/>
                <w:szCs w:val="24"/>
              </w:rPr>
              <w:t>超压</w:t>
            </w:r>
            <w:r>
              <w:rPr>
                <w:rFonts w:ascii="Cambria Math" w:hAnsi="Cambria Math" w:cs="Cambria Math"/>
                <w:b/>
                <w:color w:val="auto"/>
                <w:sz w:val="21"/>
                <w:szCs w:val="24"/>
              </w:rPr>
              <w:t>△</w:t>
            </w:r>
            <w:r>
              <w:rPr>
                <w:rFonts w:ascii="Times New Roman" w:hAnsi="Times New Roman" w:cs="Times New Roman"/>
                <w:b/>
                <w:color w:val="auto"/>
                <w:sz w:val="21"/>
                <w:szCs w:val="24"/>
              </w:rPr>
              <w:t>P×10</w:t>
            </w:r>
            <w:r>
              <w:rPr>
                <w:rFonts w:ascii="Times New Roman" w:hAnsi="Times New Roman" w:cs="Times New Roman"/>
                <w:b/>
                <w:color w:val="auto"/>
                <w:sz w:val="21"/>
                <w:szCs w:val="24"/>
                <w:vertAlign w:val="superscript"/>
              </w:rPr>
              <w:t>5</w:t>
            </w:r>
            <w:r>
              <w:rPr>
                <w:rFonts w:ascii="Times New Roman" w:hAnsi="Times New Roman" w:cs="Times New Roman"/>
                <w:b/>
                <w:color w:val="auto"/>
                <w:sz w:val="21"/>
                <w:szCs w:val="24"/>
              </w:rPr>
              <w:t>（Pa）</w:t>
            </w:r>
          </w:p>
        </w:tc>
        <w:tc>
          <w:tcPr>
            <w:tcW w:w="1985" w:type="dxa"/>
            <w:vAlign w:val="center"/>
          </w:tcPr>
          <w:p>
            <w:pPr>
              <w:ind w:firstLine="0" w:firstLineChars="0"/>
              <w:rPr>
                <w:rFonts w:ascii="Times New Roman" w:hAnsi="Times New Roman" w:cs="Times New Roman"/>
                <w:b/>
                <w:color w:val="auto"/>
                <w:sz w:val="21"/>
                <w:szCs w:val="24"/>
              </w:rPr>
            </w:pPr>
            <w:r>
              <w:rPr>
                <w:rFonts w:ascii="Times New Roman" w:hAnsi="Times New Roman" w:cs="Times New Roman"/>
                <w:b/>
                <w:color w:val="auto"/>
                <w:sz w:val="21"/>
                <w:szCs w:val="24"/>
              </w:rPr>
              <w:t>破坏作用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0" w:hRule="exact"/>
          <w:jc w:val="center"/>
        </w:trPr>
        <w:tc>
          <w:tcPr>
            <w:tcW w:w="2156" w:type="dxa"/>
            <w:vAlign w:val="center"/>
          </w:tcPr>
          <w:p>
            <w:pPr>
              <w:ind w:firstLine="0" w:firstLineChars="0"/>
              <w:jc w:val="center"/>
              <w:rPr>
                <w:rFonts w:ascii="Times New Roman" w:hAnsi="Times New Roman" w:cs="Times New Roman"/>
                <w:color w:val="auto"/>
                <w:sz w:val="21"/>
                <w:szCs w:val="24"/>
              </w:rPr>
            </w:pPr>
            <w:r>
              <w:rPr>
                <w:rFonts w:ascii="Times New Roman" w:hAnsi="Times New Roman" w:cs="Times New Roman"/>
                <w:color w:val="auto"/>
                <w:sz w:val="21"/>
                <w:szCs w:val="24"/>
              </w:rPr>
              <w:t>0.05~0.06</w:t>
            </w:r>
          </w:p>
        </w:tc>
        <w:tc>
          <w:tcPr>
            <w:tcW w:w="2946" w:type="dxa"/>
            <w:vAlign w:val="center"/>
          </w:tcPr>
          <w:p>
            <w:pPr>
              <w:ind w:firstLine="0" w:firstLineChars="0"/>
              <w:jc w:val="center"/>
              <w:rPr>
                <w:rFonts w:ascii="Times New Roman" w:hAnsi="Times New Roman" w:cs="Times New Roman"/>
                <w:color w:val="auto"/>
                <w:sz w:val="21"/>
                <w:szCs w:val="24"/>
              </w:rPr>
            </w:pPr>
            <w:r>
              <w:rPr>
                <w:rFonts w:ascii="Times New Roman" w:hAnsi="Times New Roman" w:cs="Times New Roman"/>
                <w:color w:val="auto"/>
                <w:sz w:val="21"/>
                <w:szCs w:val="24"/>
              </w:rPr>
              <w:t>门窗玻璃部分破碎</w:t>
            </w:r>
          </w:p>
        </w:tc>
        <w:tc>
          <w:tcPr>
            <w:tcW w:w="2126" w:type="dxa"/>
            <w:vAlign w:val="center"/>
          </w:tcPr>
          <w:p>
            <w:pPr>
              <w:ind w:firstLine="0" w:firstLineChars="0"/>
              <w:jc w:val="center"/>
              <w:rPr>
                <w:rFonts w:ascii="Times New Roman" w:hAnsi="Times New Roman" w:cs="Times New Roman"/>
                <w:color w:val="auto"/>
                <w:sz w:val="21"/>
                <w:szCs w:val="24"/>
              </w:rPr>
            </w:pPr>
            <w:r>
              <w:rPr>
                <w:rFonts w:ascii="Times New Roman" w:hAnsi="Times New Roman" w:cs="Times New Roman"/>
                <w:color w:val="auto"/>
                <w:sz w:val="21"/>
                <w:szCs w:val="24"/>
              </w:rPr>
              <w:t>0.6~0.7</w:t>
            </w:r>
          </w:p>
        </w:tc>
        <w:tc>
          <w:tcPr>
            <w:tcW w:w="1985" w:type="dxa"/>
            <w:vAlign w:val="center"/>
          </w:tcPr>
          <w:p>
            <w:pPr>
              <w:ind w:firstLine="0" w:firstLineChars="0"/>
              <w:jc w:val="center"/>
              <w:rPr>
                <w:rFonts w:ascii="Times New Roman" w:hAnsi="Times New Roman" w:cs="Times New Roman"/>
                <w:color w:val="auto"/>
                <w:sz w:val="21"/>
                <w:szCs w:val="24"/>
              </w:rPr>
            </w:pPr>
            <w:r>
              <w:rPr>
                <w:rFonts w:ascii="Times New Roman" w:hAnsi="Times New Roman" w:cs="Times New Roman"/>
                <w:color w:val="auto"/>
                <w:sz w:val="21"/>
                <w:szCs w:val="24"/>
              </w:rPr>
              <w:t>木建筑厂房房柱折断，房</w:t>
            </w:r>
            <w:r>
              <w:rPr>
                <w:rFonts w:hint="eastAsia" w:ascii="Times New Roman" w:hAnsi="Times New Roman" w:cs="Times New Roman"/>
                <w:color w:val="auto"/>
                <w:sz w:val="21"/>
                <w:szCs w:val="24"/>
              </w:rPr>
              <w:t>架</w:t>
            </w:r>
            <w:r>
              <w:rPr>
                <w:rFonts w:ascii="Times New Roman" w:hAnsi="Times New Roman" w:cs="Times New Roman"/>
                <w:color w:val="auto"/>
                <w:sz w:val="21"/>
                <w:szCs w:val="24"/>
              </w:rPr>
              <w:t>松动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56" w:type="dxa"/>
            <w:vAlign w:val="center"/>
          </w:tcPr>
          <w:p>
            <w:pPr>
              <w:ind w:firstLine="0" w:firstLineChars="0"/>
              <w:jc w:val="center"/>
              <w:rPr>
                <w:rFonts w:ascii="Times New Roman" w:hAnsi="Times New Roman" w:cs="Times New Roman"/>
                <w:color w:val="auto"/>
                <w:sz w:val="21"/>
                <w:szCs w:val="24"/>
              </w:rPr>
            </w:pPr>
            <w:r>
              <w:rPr>
                <w:rFonts w:ascii="Times New Roman" w:hAnsi="Times New Roman" w:cs="Times New Roman"/>
                <w:color w:val="auto"/>
                <w:sz w:val="21"/>
                <w:szCs w:val="24"/>
              </w:rPr>
              <w:t>0.06~0.1</w:t>
            </w:r>
          </w:p>
        </w:tc>
        <w:tc>
          <w:tcPr>
            <w:tcW w:w="2946" w:type="dxa"/>
            <w:vAlign w:val="center"/>
          </w:tcPr>
          <w:p>
            <w:pPr>
              <w:ind w:firstLine="0" w:firstLineChars="0"/>
              <w:jc w:val="center"/>
              <w:rPr>
                <w:rFonts w:ascii="Times New Roman" w:hAnsi="Times New Roman" w:cs="Times New Roman"/>
                <w:color w:val="auto"/>
                <w:sz w:val="21"/>
                <w:szCs w:val="24"/>
              </w:rPr>
            </w:pPr>
            <w:r>
              <w:rPr>
                <w:rFonts w:ascii="Times New Roman" w:hAnsi="Times New Roman" w:cs="Times New Roman"/>
                <w:color w:val="auto"/>
                <w:sz w:val="21"/>
                <w:szCs w:val="24"/>
              </w:rPr>
              <w:t>受压面的门窗玻璃大部分破碎</w:t>
            </w:r>
          </w:p>
        </w:tc>
        <w:tc>
          <w:tcPr>
            <w:tcW w:w="2126" w:type="dxa"/>
            <w:vAlign w:val="center"/>
          </w:tcPr>
          <w:p>
            <w:pPr>
              <w:ind w:firstLine="0" w:firstLineChars="0"/>
              <w:jc w:val="center"/>
              <w:rPr>
                <w:rFonts w:ascii="Times New Roman" w:hAnsi="Times New Roman" w:cs="Times New Roman"/>
                <w:color w:val="auto"/>
                <w:sz w:val="21"/>
                <w:szCs w:val="24"/>
              </w:rPr>
            </w:pPr>
            <w:r>
              <w:rPr>
                <w:rFonts w:ascii="Times New Roman" w:hAnsi="Times New Roman" w:cs="Times New Roman"/>
                <w:color w:val="auto"/>
                <w:sz w:val="21"/>
                <w:szCs w:val="24"/>
              </w:rPr>
              <w:t>0.7~1</w:t>
            </w:r>
          </w:p>
        </w:tc>
        <w:tc>
          <w:tcPr>
            <w:tcW w:w="1985" w:type="dxa"/>
            <w:vAlign w:val="center"/>
          </w:tcPr>
          <w:p>
            <w:pPr>
              <w:ind w:firstLine="0" w:firstLineChars="0"/>
              <w:jc w:val="center"/>
              <w:rPr>
                <w:rFonts w:ascii="Times New Roman" w:hAnsi="Times New Roman" w:cs="Times New Roman"/>
                <w:color w:val="auto"/>
                <w:sz w:val="21"/>
                <w:szCs w:val="24"/>
              </w:rPr>
            </w:pPr>
            <w:r>
              <w:rPr>
                <w:rFonts w:ascii="Times New Roman" w:hAnsi="Times New Roman" w:cs="Times New Roman"/>
                <w:color w:val="auto"/>
                <w:sz w:val="21"/>
                <w:szCs w:val="24"/>
              </w:rPr>
              <w:t>砖墙倒塌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2" w:hRule="exact"/>
          <w:jc w:val="center"/>
        </w:trPr>
        <w:tc>
          <w:tcPr>
            <w:tcW w:w="2156" w:type="dxa"/>
            <w:vAlign w:val="center"/>
          </w:tcPr>
          <w:p>
            <w:pPr>
              <w:ind w:firstLine="0" w:firstLineChars="0"/>
              <w:jc w:val="center"/>
              <w:rPr>
                <w:rFonts w:ascii="Times New Roman" w:hAnsi="Times New Roman" w:cs="Times New Roman"/>
                <w:color w:val="auto"/>
                <w:sz w:val="21"/>
                <w:szCs w:val="24"/>
              </w:rPr>
            </w:pPr>
            <w:r>
              <w:rPr>
                <w:rFonts w:ascii="Times New Roman" w:hAnsi="Times New Roman" w:cs="Times New Roman"/>
                <w:color w:val="auto"/>
                <w:sz w:val="21"/>
                <w:szCs w:val="24"/>
              </w:rPr>
              <w:t>0.15~0.2</w:t>
            </w:r>
          </w:p>
        </w:tc>
        <w:tc>
          <w:tcPr>
            <w:tcW w:w="2946" w:type="dxa"/>
            <w:vAlign w:val="center"/>
          </w:tcPr>
          <w:p>
            <w:pPr>
              <w:ind w:firstLine="0" w:firstLineChars="0"/>
              <w:jc w:val="center"/>
              <w:rPr>
                <w:rFonts w:ascii="Times New Roman" w:hAnsi="Times New Roman" w:cs="Times New Roman"/>
                <w:color w:val="auto"/>
                <w:sz w:val="21"/>
                <w:szCs w:val="24"/>
              </w:rPr>
            </w:pPr>
            <w:r>
              <w:rPr>
                <w:rFonts w:ascii="Times New Roman" w:hAnsi="Times New Roman" w:cs="Times New Roman"/>
                <w:color w:val="auto"/>
                <w:sz w:val="21"/>
                <w:szCs w:val="24"/>
              </w:rPr>
              <w:t>窗框损坏</w:t>
            </w:r>
          </w:p>
        </w:tc>
        <w:tc>
          <w:tcPr>
            <w:tcW w:w="2126" w:type="dxa"/>
            <w:vAlign w:val="center"/>
          </w:tcPr>
          <w:p>
            <w:pPr>
              <w:ind w:firstLine="0" w:firstLineChars="0"/>
              <w:jc w:val="center"/>
              <w:rPr>
                <w:rFonts w:ascii="Times New Roman" w:hAnsi="Times New Roman" w:cs="Times New Roman"/>
                <w:color w:val="auto"/>
                <w:sz w:val="21"/>
                <w:szCs w:val="24"/>
              </w:rPr>
            </w:pPr>
            <w:r>
              <w:rPr>
                <w:rFonts w:ascii="Times New Roman" w:hAnsi="Times New Roman" w:cs="Times New Roman"/>
                <w:color w:val="auto"/>
                <w:sz w:val="21"/>
                <w:szCs w:val="24"/>
              </w:rPr>
              <w:t>1~2</w:t>
            </w:r>
          </w:p>
        </w:tc>
        <w:tc>
          <w:tcPr>
            <w:tcW w:w="1985" w:type="dxa"/>
            <w:vAlign w:val="center"/>
          </w:tcPr>
          <w:p>
            <w:pPr>
              <w:ind w:firstLine="0" w:firstLineChars="0"/>
              <w:jc w:val="center"/>
              <w:rPr>
                <w:rFonts w:ascii="Times New Roman" w:hAnsi="Times New Roman" w:cs="Times New Roman"/>
                <w:color w:val="auto"/>
                <w:sz w:val="21"/>
                <w:szCs w:val="24"/>
              </w:rPr>
            </w:pPr>
            <w:r>
              <w:rPr>
                <w:rFonts w:ascii="Times New Roman" w:hAnsi="Times New Roman" w:cs="Times New Roman"/>
                <w:color w:val="auto"/>
                <w:sz w:val="21"/>
                <w:szCs w:val="24"/>
              </w:rPr>
              <w:t>防震钢筋混凝土破坏，小房屋倒塌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56" w:type="dxa"/>
            <w:vAlign w:val="center"/>
          </w:tcPr>
          <w:p>
            <w:pPr>
              <w:ind w:firstLine="0" w:firstLineChars="0"/>
              <w:jc w:val="center"/>
              <w:rPr>
                <w:rFonts w:ascii="Times New Roman" w:hAnsi="Times New Roman" w:cs="Times New Roman"/>
                <w:color w:val="auto"/>
                <w:sz w:val="21"/>
                <w:szCs w:val="24"/>
              </w:rPr>
            </w:pPr>
            <w:r>
              <w:rPr>
                <w:rFonts w:ascii="Times New Roman" w:hAnsi="Times New Roman" w:cs="Times New Roman"/>
                <w:color w:val="auto"/>
                <w:sz w:val="21"/>
                <w:szCs w:val="24"/>
              </w:rPr>
              <w:t>0.2~0.3</w:t>
            </w:r>
          </w:p>
        </w:tc>
        <w:tc>
          <w:tcPr>
            <w:tcW w:w="2946" w:type="dxa"/>
            <w:vAlign w:val="center"/>
          </w:tcPr>
          <w:p>
            <w:pPr>
              <w:ind w:firstLine="0" w:firstLineChars="0"/>
              <w:jc w:val="center"/>
              <w:rPr>
                <w:rFonts w:ascii="Times New Roman" w:hAnsi="Times New Roman" w:cs="Times New Roman"/>
                <w:color w:val="auto"/>
                <w:sz w:val="21"/>
                <w:szCs w:val="24"/>
              </w:rPr>
            </w:pPr>
            <w:r>
              <w:rPr>
                <w:rFonts w:ascii="Times New Roman" w:hAnsi="Times New Roman" w:cs="Times New Roman"/>
                <w:color w:val="auto"/>
                <w:sz w:val="21"/>
                <w:szCs w:val="24"/>
              </w:rPr>
              <w:t>墙裂缝</w:t>
            </w:r>
          </w:p>
        </w:tc>
        <w:tc>
          <w:tcPr>
            <w:tcW w:w="2126" w:type="dxa"/>
            <w:vAlign w:val="center"/>
          </w:tcPr>
          <w:p>
            <w:pPr>
              <w:ind w:firstLine="0" w:firstLineChars="0"/>
              <w:jc w:val="center"/>
              <w:rPr>
                <w:rFonts w:ascii="Times New Roman" w:hAnsi="Times New Roman" w:cs="Times New Roman"/>
                <w:color w:val="auto"/>
                <w:sz w:val="21"/>
                <w:szCs w:val="24"/>
              </w:rPr>
            </w:pPr>
            <w:r>
              <w:rPr>
                <w:rFonts w:ascii="Times New Roman" w:hAnsi="Times New Roman" w:cs="Times New Roman"/>
                <w:color w:val="auto"/>
                <w:sz w:val="21"/>
                <w:szCs w:val="24"/>
              </w:rPr>
              <w:t>2~3</w:t>
            </w:r>
          </w:p>
        </w:tc>
        <w:tc>
          <w:tcPr>
            <w:tcW w:w="1985" w:type="dxa"/>
            <w:vAlign w:val="center"/>
          </w:tcPr>
          <w:p>
            <w:pPr>
              <w:ind w:firstLine="0" w:firstLineChars="0"/>
              <w:jc w:val="center"/>
              <w:rPr>
                <w:rFonts w:ascii="Times New Roman" w:hAnsi="Times New Roman" w:cs="Times New Roman"/>
                <w:color w:val="auto"/>
                <w:sz w:val="21"/>
                <w:szCs w:val="24"/>
              </w:rPr>
            </w:pPr>
            <w:r>
              <w:rPr>
                <w:rFonts w:ascii="Times New Roman" w:hAnsi="Times New Roman" w:cs="Times New Roman"/>
                <w:color w:val="auto"/>
                <w:sz w:val="21"/>
                <w:szCs w:val="24"/>
              </w:rPr>
              <w:t>大型钢架结构破坏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56" w:type="dxa"/>
            <w:vAlign w:val="center"/>
          </w:tcPr>
          <w:p>
            <w:pPr>
              <w:ind w:firstLine="0" w:firstLineChars="0"/>
              <w:jc w:val="center"/>
              <w:rPr>
                <w:rFonts w:ascii="Times New Roman" w:hAnsi="Times New Roman" w:cs="Times New Roman"/>
                <w:color w:val="auto"/>
                <w:sz w:val="21"/>
                <w:szCs w:val="24"/>
              </w:rPr>
            </w:pPr>
            <w:r>
              <w:rPr>
                <w:rFonts w:ascii="Times New Roman" w:hAnsi="Times New Roman" w:cs="Times New Roman"/>
                <w:color w:val="auto"/>
                <w:sz w:val="21"/>
                <w:szCs w:val="24"/>
              </w:rPr>
              <w:t>0.4~0.5</w:t>
            </w:r>
          </w:p>
        </w:tc>
        <w:tc>
          <w:tcPr>
            <w:tcW w:w="2946" w:type="dxa"/>
            <w:vAlign w:val="center"/>
          </w:tcPr>
          <w:p>
            <w:pPr>
              <w:ind w:firstLine="0" w:firstLineChars="0"/>
              <w:jc w:val="center"/>
              <w:rPr>
                <w:rFonts w:ascii="Times New Roman" w:hAnsi="Times New Roman" w:cs="Times New Roman"/>
                <w:color w:val="auto"/>
                <w:sz w:val="21"/>
                <w:szCs w:val="24"/>
              </w:rPr>
            </w:pPr>
            <w:r>
              <w:rPr>
                <w:rFonts w:ascii="Times New Roman" w:hAnsi="Times New Roman" w:cs="Times New Roman"/>
                <w:color w:val="auto"/>
                <w:sz w:val="21"/>
                <w:szCs w:val="24"/>
              </w:rPr>
              <w:t>墙大裂缝，房瓦掉下</w:t>
            </w:r>
          </w:p>
        </w:tc>
        <w:tc>
          <w:tcPr>
            <w:tcW w:w="2126" w:type="dxa"/>
            <w:vAlign w:val="center"/>
          </w:tcPr>
          <w:p>
            <w:pPr>
              <w:ind w:firstLine="420"/>
              <w:jc w:val="center"/>
              <w:rPr>
                <w:rFonts w:ascii="Times New Roman" w:hAnsi="Times New Roman" w:cs="Times New Roman"/>
                <w:color w:val="auto"/>
                <w:sz w:val="21"/>
                <w:szCs w:val="24"/>
              </w:rPr>
            </w:pPr>
          </w:p>
        </w:tc>
        <w:tc>
          <w:tcPr>
            <w:tcW w:w="1985" w:type="dxa"/>
            <w:vAlign w:val="center"/>
          </w:tcPr>
          <w:p>
            <w:pPr>
              <w:ind w:firstLine="420"/>
              <w:jc w:val="center"/>
              <w:rPr>
                <w:rFonts w:ascii="Times New Roman" w:hAnsi="Times New Roman" w:cs="Times New Roman"/>
                <w:color w:val="auto"/>
                <w:sz w:val="21"/>
                <w:szCs w:val="24"/>
              </w:rPr>
            </w:pPr>
          </w:p>
        </w:tc>
      </w:tr>
    </w:tbl>
    <w:p>
      <w:pPr>
        <w:ind w:firstLine="480"/>
        <w:rPr>
          <w:rFonts w:ascii="Times New Roman" w:hAnsi="Times New Roman" w:cs="Times New Roman"/>
          <w:color w:val="auto"/>
          <w:sz w:val="28"/>
          <w:szCs w:val="28"/>
        </w:rPr>
      </w:pPr>
      <w:r>
        <w:rPr>
          <w:rFonts w:ascii="Times New Roman" w:hAnsi="Times New Roman" w:cs="Times New Roman"/>
          <w:color w:val="auto"/>
          <w:sz w:val="28"/>
          <w:szCs w:val="28"/>
        </w:rPr>
        <w:t>设</w:t>
      </w:r>
      <w:r>
        <w:rPr>
          <w:rFonts w:ascii="Cambria Math" w:hAnsi="Cambria Math" w:cs="Cambria Math"/>
          <w:color w:val="auto"/>
          <w:sz w:val="28"/>
          <w:szCs w:val="28"/>
        </w:rPr>
        <w:t>△</w:t>
      </w:r>
      <w:r>
        <w:rPr>
          <w:rFonts w:ascii="Times New Roman" w:hAnsi="Times New Roman" w:cs="Times New Roman"/>
          <w:color w:val="auto"/>
          <w:sz w:val="28"/>
          <w:szCs w:val="28"/>
        </w:rPr>
        <w:t>P=</w:t>
      </w:r>
      <w:r>
        <w:rPr>
          <w:rFonts w:ascii="Cambria Math" w:hAnsi="Cambria Math" w:cs="Cambria Math"/>
          <w:color w:val="auto"/>
          <w:sz w:val="28"/>
          <w:szCs w:val="28"/>
        </w:rPr>
        <w:t>△</w:t>
      </w:r>
      <w:r>
        <w:rPr>
          <w:rFonts w:ascii="Times New Roman" w:hAnsi="Times New Roman" w:cs="Times New Roman"/>
          <w:color w:val="auto"/>
          <w:sz w:val="28"/>
          <w:szCs w:val="28"/>
        </w:rPr>
        <w:t>Pm，将爆炸能量计算结果带入上式，则可模拟计算出加油站地下储油罐发生爆炸时产生的爆炸冲击波对人员和建筑物的伤害分布情况，详见表</w:t>
      </w:r>
      <w:r>
        <w:rPr>
          <w:rFonts w:hint="eastAsia" w:ascii="Times New Roman" w:hAnsi="Times New Roman" w:cs="Times New Roman"/>
          <w:color w:val="auto"/>
          <w:sz w:val="28"/>
          <w:szCs w:val="28"/>
          <w:lang w:val="en-US" w:eastAsia="zh-CN"/>
        </w:rPr>
        <w:t>4</w:t>
      </w:r>
      <w:r>
        <w:rPr>
          <w:rFonts w:hint="eastAsia" w:ascii="Times New Roman" w:hAnsi="Times New Roman" w:cs="Times New Roman"/>
          <w:color w:val="auto"/>
          <w:sz w:val="28"/>
          <w:szCs w:val="28"/>
        </w:rPr>
        <w:t>-3</w:t>
      </w:r>
      <w:r>
        <w:rPr>
          <w:rFonts w:ascii="Times New Roman" w:hAnsi="Times New Roman" w:cs="Times New Roman"/>
          <w:color w:val="auto"/>
          <w:sz w:val="28"/>
          <w:szCs w:val="28"/>
        </w:rPr>
        <w:t>，表</w:t>
      </w:r>
      <w:r>
        <w:rPr>
          <w:rFonts w:hint="eastAsia" w:ascii="Times New Roman" w:hAnsi="Times New Roman" w:cs="Times New Roman"/>
          <w:color w:val="auto"/>
          <w:sz w:val="28"/>
          <w:szCs w:val="28"/>
          <w:lang w:val="en-US" w:eastAsia="zh-CN"/>
        </w:rPr>
        <w:t>4</w:t>
      </w:r>
      <w:r>
        <w:rPr>
          <w:rFonts w:hint="eastAsia" w:ascii="Times New Roman" w:hAnsi="Times New Roman" w:cs="Times New Roman"/>
          <w:color w:val="auto"/>
          <w:sz w:val="28"/>
          <w:szCs w:val="28"/>
        </w:rPr>
        <w:t>-4</w:t>
      </w:r>
      <w:r>
        <w:rPr>
          <w:rFonts w:ascii="Times New Roman" w:hAnsi="Times New Roman" w:cs="Times New Roman"/>
          <w:color w:val="auto"/>
          <w:sz w:val="28"/>
          <w:szCs w:val="28"/>
        </w:rPr>
        <w:t>。</w:t>
      </w:r>
    </w:p>
    <w:p>
      <w:pPr>
        <w:pStyle w:val="5"/>
        <w:keepNext/>
        <w:ind w:firstLine="400"/>
        <w:jc w:val="center"/>
        <w:rPr>
          <w:color w:val="auto"/>
        </w:rPr>
      </w:pPr>
      <w:r>
        <w:rPr>
          <w:rFonts w:hint="eastAsia"/>
          <w:color w:val="auto"/>
        </w:rPr>
        <w:t xml:space="preserve">表 </w:t>
      </w:r>
      <w:r>
        <w:rPr>
          <w:rFonts w:hint="eastAsia"/>
          <w:color w:val="auto"/>
          <w:lang w:val="en-US" w:eastAsia="zh-CN"/>
        </w:rPr>
        <w:t>4</w:t>
      </w:r>
      <w:r>
        <w:rPr>
          <w:color w:val="auto"/>
        </w:rPr>
        <w:noBreakHyphen/>
      </w:r>
      <w:r>
        <w:rPr>
          <w:color w:val="auto"/>
        </w:rPr>
        <w:fldChar w:fldCharType="begin"/>
      </w:r>
      <w:r>
        <w:rPr>
          <w:color w:val="auto"/>
        </w:rPr>
        <w:instrText xml:space="preserve"> SEQ 表 \* ARABIC \s 1 </w:instrText>
      </w:r>
      <w:r>
        <w:rPr>
          <w:color w:val="auto"/>
        </w:rPr>
        <w:fldChar w:fldCharType="separate"/>
      </w:r>
      <w:r>
        <w:rPr>
          <w:color w:val="auto"/>
        </w:rPr>
        <w:t>3</w:t>
      </w:r>
      <w:r>
        <w:rPr>
          <w:color w:val="auto"/>
        </w:rPr>
        <w:fldChar w:fldCharType="end"/>
      </w:r>
      <w:r>
        <w:rPr>
          <w:rFonts w:hint="eastAsia"/>
          <w:color w:val="auto"/>
        </w:rPr>
        <w:t>加油点地下储油罐爆炸冲击波对人员最大伤害计算</w:t>
      </w:r>
    </w:p>
    <w:tbl>
      <w:tblPr>
        <w:tblStyle w:val="16"/>
        <w:tblW w:w="94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046"/>
        <w:gridCol w:w="1045"/>
        <w:gridCol w:w="1045"/>
        <w:gridCol w:w="1045"/>
        <w:gridCol w:w="1045"/>
        <w:gridCol w:w="1045"/>
        <w:gridCol w:w="1045"/>
        <w:gridCol w:w="10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44" w:type="dxa"/>
            <w:vAlign w:val="center"/>
          </w:tcPr>
          <w:p>
            <w:pPr>
              <w:ind w:firstLine="0" w:firstLineChars="0"/>
              <w:rPr>
                <w:rFonts w:ascii="Times New Roman" w:hAnsi="Times New Roman" w:cs="Times New Roman"/>
                <w:b/>
                <w:color w:val="auto"/>
                <w:sz w:val="21"/>
                <w:szCs w:val="24"/>
              </w:rPr>
            </w:pPr>
            <w:r>
              <w:rPr>
                <w:rFonts w:ascii="Times New Roman" w:hAnsi="Times New Roman" w:cs="Times New Roman"/>
                <w:b/>
                <w:color w:val="auto"/>
                <w:sz w:val="21"/>
                <w:szCs w:val="24"/>
              </w:rPr>
              <w:t>油罐容积m</w:t>
            </w:r>
            <w:r>
              <w:rPr>
                <w:rFonts w:ascii="Times New Roman" w:hAnsi="Times New Roman" w:cs="Times New Roman"/>
                <w:b/>
                <w:color w:val="auto"/>
                <w:sz w:val="21"/>
                <w:szCs w:val="24"/>
                <w:vertAlign w:val="superscript"/>
              </w:rPr>
              <w:t>3</w:t>
            </w:r>
          </w:p>
        </w:tc>
        <w:tc>
          <w:tcPr>
            <w:tcW w:w="1046" w:type="dxa"/>
            <w:vAlign w:val="center"/>
          </w:tcPr>
          <w:p>
            <w:pPr>
              <w:ind w:firstLine="0" w:firstLineChars="0"/>
              <w:rPr>
                <w:rFonts w:ascii="Times New Roman" w:hAnsi="Times New Roman" w:cs="Times New Roman"/>
                <w:b/>
                <w:color w:val="auto"/>
                <w:sz w:val="21"/>
                <w:szCs w:val="24"/>
              </w:rPr>
            </w:pPr>
            <w:r>
              <w:rPr>
                <w:rFonts w:ascii="Times New Roman" w:hAnsi="Times New Roman" w:cs="Times New Roman"/>
                <w:b/>
                <w:color w:val="auto"/>
                <w:sz w:val="21"/>
                <w:szCs w:val="24"/>
              </w:rPr>
              <w:t>爆炸能量</w:t>
            </w:r>
            <w:r>
              <w:rPr>
                <w:rFonts w:ascii="Times New Roman" w:hAnsi="Times New Roman" w:cs="Times New Roman"/>
                <w:b/>
                <w:i/>
                <w:color w:val="auto"/>
                <w:sz w:val="21"/>
                <w:szCs w:val="24"/>
              </w:rPr>
              <w:t>W</w:t>
            </w:r>
            <w:r>
              <w:rPr>
                <w:rFonts w:ascii="Times New Roman" w:hAnsi="Times New Roman" w:cs="Times New Roman"/>
                <w:b/>
                <w:i/>
                <w:color w:val="auto"/>
                <w:sz w:val="21"/>
                <w:szCs w:val="24"/>
                <w:vertAlign w:val="subscript"/>
              </w:rPr>
              <w:t>TNT</w:t>
            </w:r>
          </w:p>
        </w:tc>
        <w:tc>
          <w:tcPr>
            <w:tcW w:w="1045" w:type="dxa"/>
            <w:vAlign w:val="center"/>
          </w:tcPr>
          <w:p>
            <w:pPr>
              <w:ind w:firstLine="0" w:firstLineChars="0"/>
              <w:rPr>
                <w:rFonts w:ascii="Times New Roman" w:hAnsi="Times New Roman" w:cs="Times New Roman"/>
                <w:b/>
                <w:color w:val="auto"/>
                <w:sz w:val="21"/>
                <w:szCs w:val="24"/>
              </w:rPr>
            </w:pPr>
            <w:r>
              <w:rPr>
                <w:rFonts w:ascii="Times New Roman" w:hAnsi="Times New Roman" w:cs="Times New Roman"/>
                <w:b/>
                <w:color w:val="auto"/>
                <w:sz w:val="21"/>
                <w:szCs w:val="24"/>
              </w:rPr>
              <w:t>人员死亡半径（m）</w:t>
            </w:r>
          </w:p>
        </w:tc>
        <w:tc>
          <w:tcPr>
            <w:tcW w:w="1045" w:type="dxa"/>
            <w:vAlign w:val="center"/>
          </w:tcPr>
          <w:p>
            <w:pPr>
              <w:ind w:firstLine="0" w:firstLineChars="0"/>
              <w:rPr>
                <w:rFonts w:ascii="Times New Roman" w:hAnsi="Times New Roman" w:cs="Times New Roman"/>
                <w:b/>
                <w:color w:val="auto"/>
                <w:sz w:val="21"/>
                <w:szCs w:val="24"/>
              </w:rPr>
            </w:pPr>
            <w:r>
              <w:rPr>
                <w:rFonts w:ascii="Times New Roman" w:hAnsi="Times New Roman" w:cs="Times New Roman"/>
                <w:b/>
                <w:color w:val="auto"/>
                <w:sz w:val="21"/>
                <w:szCs w:val="24"/>
              </w:rPr>
              <w:t>人员死亡伤害区域（m</w:t>
            </w:r>
            <w:r>
              <w:rPr>
                <w:rFonts w:ascii="Times New Roman" w:hAnsi="Times New Roman" w:cs="Times New Roman"/>
                <w:b/>
                <w:color w:val="auto"/>
                <w:sz w:val="21"/>
                <w:szCs w:val="24"/>
                <w:vertAlign w:val="superscript"/>
              </w:rPr>
              <w:t>2</w:t>
            </w:r>
            <w:r>
              <w:rPr>
                <w:rFonts w:ascii="Times New Roman" w:hAnsi="Times New Roman" w:cs="Times New Roman"/>
                <w:b/>
                <w:color w:val="auto"/>
                <w:sz w:val="21"/>
                <w:szCs w:val="24"/>
              </w:rPr>
              <w:t>）</w:t>
            </w:r>
          </w:p>
        </w:tc>
        <w:tc>
          <w:tcPr>
            <w:tcW w:w="1045" w:type="dxa"/>
            <w:vAlign w:val="center"/>
          </w:tcPr>
          <w:p>
            <w:pPr>
              <w:ind w:firstLine="0" w:firstLineChars="0"/>
              <w:rPr>
                <w:rFonts w:ascii="Times New Roman" w:hAnsi="Times New Roman" w:cs="Times New Roman"/>
                <w:b/>
                <w:color w:val="auto"/>
                <w:sz w:val="21"/>
                <w:szCs w:val="24"/>
              </w:rPr>
            </w:pPr>
            <w:r>
              <w:rPr>
                <w:rFonts w:ascii="Times New Roman" w:hAnsi="Times New Roman" w:cs="Times New Roman"/>
                <w:b/>
                <w:color w:val="auto"/>
                <w:sz w:val="21"/>
                <w:szCs w:val="24"/>
              </w:rPr>
              <w:t>人员重伤半径（m）</w:t>
            </w:r>
          </w:p>
        </w:tc>
        <w:tc>
          <w:tcPr>
            <w:tcW w:w="1045" w:type="dxa"/>
            <w:vAlign w:val="center"/>
          </w:tcPr>
          <w:p>
            <w:pPr>
              <w:ind w:firstLine="0" w:firstLineChars="0"/>
              <w:rPr>
                <w:rFonts w:ascii="Times New Roman" w:hAnsi="Times New Roman" w:cs="Times New Roman"/>
                <w:b/>
                <w:color w:val="auto"/>
                <w:sz w:val="21"/>
                <w:szCs w:val="24"/>
              </w:rPr>
            </w:pPr>
            <w:r>
              <w:rPr>
                <w:rFonts w:ascii="Times New Roman" w:hAnsi="Times New Roman" w:cs="Times New Roman"/>
                <w:b/>
                <w:color w:val="auto"/>
                <w:sz w:val="21"/>
                <w:szCs w:val="24"/>
              </w:rPr>
              <w:t>人员重伤伤害区域（m</w:t>
            </w:r>
            <w:r>
              <w:rPr>
                <w:rFonts w:ascii="Times New Roman" w:hAnsi="Times New Roman" w:cs="Times New Roman"/>
                <w:b/>
                <w:color w:val="auto"/>
                <w:sz w:val="21"/>
                <w:szCs w:val="24"/>
                <w:vertAlign w:val="superscript"/>
              </w:rPr>
              <w:t>2</w:t>
            </w:r>
            <w:r>
              <w:rPr>
                <w:rFonts w:ascii="Times New Roman" w:hAnsi="Times New Roman" w:cs="Times New Roman"/>
                <w:b/>
                <w:color w:val="auto"/>
                <w:sz w:val="21"/>
                <w:szCs w:val="24"/>
              </w:rPr>
              <w:t>）</w:t>
            </w:r>
          </w:p>
        </w:tc>
        <w:tc>
          <w:tcPr>
            <w:tcW w:w="1045" w:type="dxa"/>
            <w:vAlign w:val="center"/>
          </w:tcPr>
          <w:p>
            <w:pPr>
              <w:ind w:firstLine="0" w:firstLineChars="0"/>
              <w:rPr>
                <w:rFonts w:ascii="Times New Roman" w:hAnsi="Times New Roman" w:cs="Times New Roman"/>
                <w:b/>
                <w:color w:val="auto"/>
                <w:sz w:val="21"/>
                <w:szCs w:val="24"/>
              </w:rPr>
            </w:pPr>
            <w:r>
              <w:rPr>
                <w:rFonts w:ascii="Times New Roman" w:hAnsi="Times New Roman" w:cs="Times New Roman"/>
                <w:b/>
                <w:color w:val="auto"/>
                <w:sz w:val="21"/>
                <w:szCs w:val="24"/>
              </w:rPr>
              <w:t>人员轻伤半径（m）</w:t>
            </w:r>
          </w:p>
        </w:tc>
        <w:tc>
          <w:tcPr>
            <w:tcW w:w="1045" w:type="dxa"/>
            <w:vAlign w:val="center"/>
          </w:tcPr>
          <w:p>
            <w:pPr>
              <w:ind w:firstLine="0" w:firstLineChars="0"/>
              <w:rPr>
                <w:rFonts w:ascii="Times New Roman" w:hAnsi="Times New Roman" w:cs="Times New Roman"/>
                <w:b/>
                <w:color w:val="auto"/>
                <w:sz w:val="21"/>
                <w:szCs w:val="24"/>
              </w:rPr>
            </w:pPr>
            <w:r>
              <w:rPr>
                <w:rFonts w:ascii="Times New Roman" w:hAnsi="Times New Roman" w:cs="Times New Roman"/>
                <w:b/>
                <w:color w:val="auto"/>
                <w:sz w:val="21"/>
                <w:szCs w:val="24"/>
              </w:rPr>
              <w:t>人员轻伤伤害区域（m</w:t>
            </w:r>
            <w:r>
              <w:rPr>
                <w:rFonts w:ascii="Times New Roman" w:hAnsi="Times New Roman" w:cs="Times New Roman"/>
                <w:b/>
                <w:color w:val="auto"/>
                <w:sz w:val="21"/>
                <w:szCs w:val="24"/>
                <w:vertAlign w:val="superscript"/>
              </w:rPr>
              <w:t>2</w:t>
            </w:r>
            <w:r>
              <w:rPr>
                <w:rFonts w:ascii="Times New Roman" w:hAnsi="Times New Roman" w:cs="Times New Roman"/>
                <w:b/>
                <w:color w:val="auto"/>
                <w:sz w:val="21"/>
                <w:szCs w:val="24"/>
              </w:rPr>
              <w:t>）</w:t>
            </w:r>
          </w:p>
        </w:tc>
        <w:tc>
          <w:tcPr>
            <w:tcW w:w="1040" w:type="dxa"/>
            <w:vAlign w:val="center"/>
          </w:tcPr>
          <w:p>
            <w:pPr>
              <w:ind w:firstLine="0" w:firstLineChars="0"/>
              <w:rPr>
                <w:rFonts w:ascii="Times New Roman" w:hAnsi="Times New Roman" w:cs="Times New Roman"/>
                <w:b/>
                <w:color w:val="auto"/>
                <w:sz w:val="21"/>
                <w:szCs w:val="24"/>
              </w:rPr>
            </w:pPr>
            <w:r>
              <w:rPr>
                <w:rFonts w:ascii="Times New Roman" w:hAnsi="Times New Roman" w:cs="Times New Roman"/>
                <w:b/>
                <w:color w:val="auto"/>
                <w:sz w:val="21"/>
                <w:szCs w:val="24"/>
              </w:rPr>
              <w:t>安全距离（m）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044" w:type="dxa"/>
            <w:vAlign w:val="center"/>
          </w:tcPr>
          <w:p>
            <w:pPr>
              <w:ind w:firstLine="0" w:firstLineChars="0"/>
              <w:jc w:val="center"/>
              <w:rPr>
                <w:rFonts w:ascii="Times New Roman" w:hAnsi="Times New Roman" w:cs="Times New Roman"/>
                <w:color w:val="auto"/>
                <w:sz w:val="21"/>
                <w:szCs w:val="24"/>
              </w:rPr>
            </w:pPr>
            <w:r>
              <w:rPr>
                <w:rFonts w:hint="eastAsia" w:ascii="Times New Roman" w:hAnsi="Times New Roman" w:cs="Times New Roman"/>
                <w:color w:val="auto"/>
                <w:sz w:val="21"/>
                <w:szCs w:val="24"/>
              </w:rPr>
              <w:t>30</w:t>
            </w:r>
          </w:p>
        </w:tc>
        <w:tc>
          <w:tcPr>
            <w:tcW w:w="1046" w:type="dxa"/>
            <w:vAlign w:val="center"/>
          </w:tcPr>
          <w:p>
            <w:pPr>
              <w:ind w:firstLine="0" w:firstLineChars="0"/>
              <w:jc w:val="center"/>
              <w:rPr>
                <w:rFonts w:ascii="Times New Roman" w:hAnsi="Times New Roman" w:cs="Times New Roman"/>
                <w:color w:val="auto"/>
                <w:sz w:val="21"/>
                <w:szCs w:val="24"/>
              </w:rPr>
            </w:pPr>
            <w:r>
              <w:rPr>
                <w:rFonts w:hint="eastAsia" w:ascii="Times New Roman" w:hAnsi="Times New Roman" w:cs="Times New Roman"/>
                <w:color w:val="auto"/>
                <w:sz w:val="21"/>
                <w:szCs w:val="24"/>
              </w:rPr>
              <w:t>3.15</w:t>
            </w:r>
          </w:p>
        </w:tc>
        <w:tc>
          <w:tcPr>
            <w:tcW w:w="1045" w:type="dxa"/>
            <w:vAlign w:val="center"/>
          </w:tcPr>
          <w:p>
            <w:pPr>
              <w:ind w:firstLine="0" w:firstLineChars="0"/>
              <w:jc w:val="center"/>
              <w:rPr>
                <w:rFonts w:ascii="Times New Roman" w:hAnsi="Times New Roman" w:cs="Times New Roman"/>
                <w:color w:val="auto"/>
                <w:sz w:val="21"/>
                <w:szCs w:val="24"/>
              </w:rPr>
            </w:pPr>
            <w:r>
              <w:rPr>
                <w:rFonts w:hint="eastAsia" w:ascii="Times New Roman" w:hAnsi="Times New Roman" w:cs="Times New Roman"/>
                <w:color w:val="auto"/>
                <w:sz w:val="21"/>
                <w:szCs w:val="24"/>
              </w:rPr>
              <w:t>2.93</w:t>
            </w:r>
          </w:p>
        </w:tc>
        <w:tc>
          <w:tcPr>
            <w:tcW w:w="1045" w:type="dxa"/>
            <w:vAlign w:val="center"/>
          </w:tcPr>
          <w:p>
            <w:pPr>
              <w:ind w:firstLine="0" w:firstLineChars="0"/>
              <w:jc w:val="center"/>
              <w:rPr>
                <w:rFonts w:ascii="Times New Roman" w:hAnsi="Times New Roman" w:cs="Times New Roman"/>
                <w:color w:val="auto"/>
                <w:sz w:val="21"/>
                <w:szCs w:val="24"/>
              </w:rPr>
            </w:pPr>
            <w:r>
              <w:rPr>
                <w:rFonts w:hint="eastAsia" w:ascii="Times New Roman" w:hAnsi="Times New Roman" w:cs="Times New Roman"/>
                <w:color w:val="auto"/>
                <w:sz w:val="21"/>
                <w:szCs w:val="24"/>
              </w:rPr>
              <w:t>27.0</w:t>
            </w:r>
          </w:p>
        </w:tc>
        <w:tc>
          <w:tcPr>
            <w:tcW w:w="1045" w:type="dxa"/>
            <w:vAlign w:val="center"/>
          </w:tcPr>
          <w:p>
            <w:pPr>
              <w:ind w:firstLine="0" w:firstLineChars="0"/>
              <w:jc w:val="center"/>
              <w:rPr>
                <w:rFonts w:ascii="Times New Roman" w:hAnsi="Times New Roman" w:cs="Times New Roman"/>
                <w:color w:val="auto"/>
                <w:sz w:val="21"/>
                <w:szCs w:val="24"/>
              </w:rPr>
            </w:pPr>
            <w:r>
              <w:rPr>
                <w:rFonts w:hint="eastAsia" w:ascii="Times New Roman" w:hAnsi="Times New Roman" w:cs="Times New Roman"/>
                <w:color w:val="auto"/>
                <w:sz w:val="21"/>
                <w:szCs w:val="24"/>
              </w:rPr>
              <w:t>3.69</w:t>
            </w:r>
          </w:p>
        </w:tc>
        <w:tc>
          <w:tcPr>
            <w:tcW w:w="1045" w:type="dxa"/>
            <w:vAlign w:val="center"/>
          </w:tcPr>
          <w:p>
            <w:pPr>
              <w:ind w:firstLine="0" w:firstLineChars="0"/>
              <w:jc w:val="center"/>
              <w:rPr>
                <w:rFonts w:ascii="Times New Roman" w:hAnsi="Times New Roman" w:cs="Times New Roman"/>
                <w:color w:val="auto"/>
                <w:sz w:val="21"/>
                <w:szCs w:val="24"/>
              </w:rPr>
            </w:pPr>
            <w:r>
              <w:rPr>
                <w:rFonts w:hint="eastAsia" w:ascii="Times New Roman" w:hAnsi="Times New Roman" w:cs="Times New Roman"/>
                <w:color w:val="auto"/>
                <w:sz w:val="21"/>
                <w:szCs w:val="24"/>
              </w:rPr>
              <w:t>42.86</w:t>
            </w:r>
          </w:p>
        </w:tc>
        <w:tc>
          <w:tcPr>
            <w:tcW w:w="1045" w:type="dxa"/>
            <w:vAlign w:val="center"/>
          </w:tcPr>
          <w:p>
            <w:pPr>
              <w:ind w:firstLine="0" w:firstLineChars="0"/>
              <w:jc w:val="center"/>
              <w:rPr>
                <w:rFonts w:ascii="Times New Roman" w:hAnsi="Times New Roman" w:cs="Times New Roman"/>
                <w:color w:val="auto"/>
                <w:sz w:val="21"/>
                <w:szCs w:val="24"/>
              </w:rPr>
            </w:pPr>
            <w:r>
              <w:rPr>
                <w:rFonts w:hint="eastAsia" w:ascii="Times New Roman" w:hAnsi="Times New Roman" w:cs="Times New Roman"/>
                <w:color w:val="auto"/>
                <w:sz w:val="21"/>
                <w:szCs w:val="24"/>
              </w:rPr>
              <w:t>4.38</w:t>
            </w:r>
          </w:p>
        </w:tc>
        <w:tc>
          <w:tcPr>
            <w:tcW w:w="1045" w:type="dxa"/>
            <w:vAlign w:val="center"/>
          </w:tcPr>
          <w:p>
            <w:pPr>
              <w:ind w:firstLine="0" w:firstLineChars="0"/>
              <w:jc w:val="center"/>
              <w:rPr>
                <w:rFonts w:ascii="Times New Roman" w:hAnsi="Times New Roman" w:cs="Times New Roman"/>
                <w:color w:val="auto"/>
                <w:sz w:val="21"/>
                <w:szCs w:val="24"/>
              </w:rPr>
            </w:pPr>
            <w:r>
              <w:rPr>
                <w:rFonts w:hint="eastAsia" w:ascii="Times New Roman" w:hAnsi="Times New Roman" w:cs="Times New Roman"/>
                <w:color w:val="auto"/>
                <w:sz w:val="21"/>
                <w:szCs w:val="24"/>
              </w:rPr>
              <w:t>60.26</w:t>
            </w:r>
          </w:p>
        </w:tc>
        <w:tc>
          <w:tcPr>
            <w:tcW w:w="1040" w:type="dxa"/>
            <w:vAlign w:val="center"/>
          </w:tcPr>
          <w:p>
            <w:pPr>
              <w:ind w:firstLine="0" w:firstLineChars="0"/>
              <w:jc w:val="center"/>
              <w:rPr>
                <w:rFonts w:ascii="Times New Roman" w:hAnsi="Times New Roman" w:cs="Times New Roman"/>
                <w:color w:val="auto"/>
                <w:sz w:val="21"/>
                <w:szCs w:val="24"/>
              </w:rPr>
            </w:pPr>
            <w:r>
              <w:rPr>
                <w:rFonts w:hint="eastAsia" w:ascii="Times New Roman" w:hAnsi="Times New Roman" w:cs="Times New Roman"/>
                <w:color w:val="auto"/>
                <w:sz w:val="21"/>
                <w:szCs w:val="24"/>
              </w:rPr>
              <w:t>5.01</w:t>
            </w:r>
          </w:p>
        </w:tc>
      </w:tr>
    </w:tbl>
    <w:p>
      <w:pPr>
        <w:pStyle w:val="5"/>
        <w:keepNext/>
        <w:ind w:firstLine="400"/>
        <w:jc w:val="center"/>
        <w:rPr>
          <w:color w:val="auto"/>
        </w:rPr>
      </w:pPr>
      <w:r>
        <w:rPr>
          <w:rFonts w:hint="eastAsia"/>
          <w:color w:val="auto"/>
        </w:rPr>
        <w:t xml:space="preserve">表 </w:t>
      </w:r>
      <w:r>
        <w:rPr>
          <w:rFonts w:hint="eastAsia"/>
          <w:color w:val="auto"/>
          <w:lang w:val="en-US" w:eastAsia="zh-CN"/>
        </w:rPr>
        <w:t>4</w:t>
      </w:r>
      <w:r>
        <w:rPr>
          <w:color w:val="auto"/>
        </w:rPr>
        <w:noBreakHyphen/>
      </w:r>
      <w:r>
        <w:rPr>
          <w:color w:val="auto"/>
        </w:rPr>
        <w:fldChar w:fldCharType="begin"/>
      </w:r>
      <w:r>
        <w:rPr>
          <w:color w:val="auto"/>
        </w:rPr>
        <w:instrText xml:space="preserve"> </w:instrText>
      </w:r>
      <w:r>
        <w:rPr>
          <w:rFonts w:hint="eastAsia"/>
          <w:color w:val="auto"/>
        </w:rPr>
        <w:instrText xml:space="preserve">SEQ 表 \* ARABIC \s 1</w:instrText>
      </w:r>
      <w:r>
        <w:rPr>
          <w:color w:val="auto"/>
        </w:rPr>
        <w:instrText xml:space="preserve"> </w:instrText>
      </w:r>
      <w:r>
        <w:rPr>
          <w:color w:val="auto"/>
        </w:rPr>
        <w:fldChar w:fldCharType="separate"/>
      </w:r>
      <w:r>
        <w:rPr>
          <w:color w:val="auto"/>
        </w:rPr>
        <w:t>4</w:t>
      </w:r>
      <w:r>
        <w:rPr>
          <w:color w:val="auto"/>
        </w:rPr>
        <w:fldChar w:fldCharType="end"/>
      </w:r>
      <w:r>
        <w:rPr>
          <w:rFonts w:hint="eastAsia"/>
          <w:color w:val="auto"/>
        </w:rPr>
        <w:t>加油点地下储油罐爆炸冲击波对建筑物损坏计算</w:t>
      </w:r>
    </w:p>
    <w:tbl>
      <w:tblPr>
        <w:tblStyle w:val="16"/>
        <w:tblW w:w="94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046"/>
        <w:gridCol w:w="1045"/>
        <w:gridCol w:w="1045"/>
        <w:gridCol w:w="1045"/>
        <w:gridCol w:w="1045"/>
        <w:gridCol w:w="1045"/>
        <w:gridCol w:w="1045"/>
        <w:gridCol w:w="10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44" w:type="dxa"/>
            <w:vAlign w:val="center"/>
          </w:tcPr>
          <w:p>
            <w:pPr>
              <w:ind w:firstLine="0" w:firstLineChars="0"/>
              <w:rPr>
                <w:rFonts w:ascii="Times New Roman" w:hAnsi="Times New Roman" w:cs="Times New Roman"/>
                <w:b/>
                <w:color w:val="auto"/>
                <w:sz w:val="21"/>
                <w:szCs w:val="24"/>
              </w:rPr>
            </w:pPr>
            <w:r>
              <w:rPr>
                <w:rFonts w:ascii="Times New Roman" w:hAnsi="Times New Roman" w:cs="Times New Roman"/>
                <w:b/>
                <w:color w:val="auto"/>
                <w:sz w:val="21"/>
                <w:szCs w:val="24"/>
              </w:rPr>
              <w:t>油罐容积m</w:t>
            </w:r>
            <w:r>
              <w:rPr>
                <w:rFonts w:ascii="Times New Roman" w:hAnsi="Times New Roman" w:cs="Times New Roman"/>
                <w:b/>
                <w:color w:val="auto"/>
                <w:sz w:val="21"/>
                <w:szCs w:val="24"/>
                <w:vertAlign w:val="superscript"/>
              </w:rPr>
              <w:t>3</w:t>
            </w:r>
          </w:p>
        </w:tc>
        <w:tc>
          <w:tcPr>
            <w:tcW w:w="1046" w:type="dxa"/>
            <w:vAlign w:val="center"/>
          </w:tcPr>
          <w:p>
            <w:pPr>
              <w:ind w:firstLine="0" w:firstLineChars="0"/>
              <w:rPr>
                <w:rFonts w:ascii="Times New Roman" w:hAnsi="Times New Roman" w:cs="Times New Roman"/>
                <w:b/>
                <w:color w:val="auto"/>
                <w:sz w:val="21"/>
                <w:szCs w:val="24"/>
              </w:rPr>
            </w:pPr>
            <w:r>
              <w:rPr>
                <w:rFonts w:ascii="Times New Roman" w:hAnsi="Times New Roman" w:cs="Times New Roman"/>
                <w:b/>
                <w:color w:val="auto"/>
                <w:sz w:val="21"/>
                <w:szCs w:val="24"/>
              </w:rPr>
              <w:t>爆炸能量</w:t>
            </w:r>
            <w:r>
              <w:rPr>
                <w:rFonts w:ascii="Times New Roman" w:hAnsi="Times New Roman" w:cs="Times New Roman"/>
                <w:b/>
                <w:i/>
                <w:color w:val="auto"/>
                <w:sz w:val="21"/>
                <w:szCs w:val="24"/>
              </w:rPr>
              <w:t>W</w:t>
            </w:r>
            <w:r>
              <w:rPr>
                <w:rFonts w:ascii="Times New Roman" w:hAnsi="Times New Roman" w:cs="Times New Roman"/>
                <w:b/>
                <w:i/>
                <w:color w:val="auto"/>
                <w:sz w:val="21"/>
                <w:szCs w:val="24"/>
                <w:vertAlign w:val="subscript"/>
              </w:rPr>
              <w:t>TNT</w:t>
            </w:r>
          </w:p>
        </w:tc>
        <w:tc>
          <w:tcPr>
            <w:tcW w:w="1045" w:type="dxa"/>
            <w:vAlign w:val="center"/>
          </w:tcPr>
          <w:p>
            <w:pPr>
              <w:ind w:firstLine="0" w:firstLineChars="0"/>
              <w:rPr>
                <w:rFonts w:ascii="Times New Roman" w:hAnsi="Times New Roman" w:cs="Times New Roman"/>
                <w:b/>
                <w:color w:val="auto"/>
                <w:sz w:val="21"/>
                <w:szCs w:val="24"/>
              </w:rPr>
            </w:pPr>
            <w:r>
              <w:rPr>
                <w:rFonts w:ascii="Times New Roman" w:hAnsi="Times New Roman" w:cs="Times New Roman"/>
                <w:b/>
                <w:color w:val="auto"/>
                <w:sz w:val="21"/>
                <w:szCs w:val="24"/>
              </w:rPr>
              <w:t>严重损坏半径（m）</w:t>
            </w:r>
          </w:p>
        </w:tc>
        <w:tc>
          <w:tcPr>
            <w:tcW w:w="1045" w:type="dxa"/>
            <w:vAlign w:val="center"/>
          </w:tcPr>
          <w:p>
            <w:pPr>
              <w:ind w:firstLine="0" w:firstLineChars="0"/>
              <w:rPr>
                <w:rFonts w:ascii="Times New Roman" w:hAnsi="Times New Roman" w:cs="Times New Roman"/>
                <w:b/>
                <w:color w:val="auto"/>
                <w:sz w:val="21"/>
                <w:szCs w:val="24"/>
              </w:rPr>
            </w:pPr>
            <w:r>
              <w:rPr>
                <w:rFonts w:ascii="Times New Roman" w:hAnsi="Times New Roman" w:cs="Times New Roman"/>
                <w:b/>
                <w:color w:val="auto"/>
                <w:sz w:val="21"/>
                <w:szCs w:val="24"/>
              </w:rPr>
              <w:t>严重损害区域（m</w:t>
            </w:r>
            <w:r>
              <w:rPr>
                <w:rFonts w:ascii="Times New Roman" w:hAnsi="Times New Roman" w:cs="Times New Roman"/>
                <w:b/>
                <w:color w:val="auto"/>
                <w:sz w:val="21"/>
                <w:szCs w:val="24"/>
                <w:vertAlign w:val="superscript"/>
              </w:rPr>
              <w:t>2</w:t>
            </w:r>
            <w:r>
              <w:rPr>
                <w:rFonts w:ascii="Times New Roman" w:hAnsi="Times New Roman" w:cs="Times New Roman"/>
                <w:b/>
                <w:color w:val="auto"/>
                <w:sz w:val="21"/>
                <w:szCs w:val="24"/>
              </w:rPr>
              <w:t>）</w:t>
            </w:r>
          </w:p>
        </w:tc>
        <w:tc>
          <w:tcPr>
            <w:tcW w:w="1045" w:type="dxa"/>
            <w:vAlign w:val="center"/>
          </w:tcPr>
          <w:p>
            <w:pPr>
              <w:ind w:firstLine="0" w:firstLineChars="0"/>
              <w:rPr>
                <w:rFonts w:ascii="Times New Roman" w:hAnsi="Times New Roman" w:cs="Times New Roman"/>
                <w:b/>
                <w:color w:val="auto"/>
                <w:sz w:val="21"/>
                <w:szCs w:val="24"/>
              </w:rPr>
            </w:pPr>
            <w:r>
              <w:rPr>
                <w:rFonts w:ascii="Times New Roman" w:hAnsi="Times New Roman" w:cs="Times New Roman"/>
                <w:b/>
                <w:color w:val="auto"/>
                <w:sz w:val="21"/>
                <w:szCs w:val="24"/>
              </w:rPr>
              <w:t>中等损坏半径（m）</w:t>
            </w:r>
          </w:p>
        </w:tc>
        <w:tc>
          <w:tcPr>
            <w:tcW w:w="1045" w:type="dxa"/>
            <w:vAlign w:val="center"/>
          </w:tcPr>
          <w:p>
            <w:pPr>
              <w:ind w:firstLine="0" w:firstLineChars="0"/>
              <w:rPr>
                <w:rFonts w:ascii="Times New Roman" w:hAnsi="Times New Roman" w:cs="Times New Roman"/>
                <w:b/>
                <w:color w:val="auto"/>
                <w:sz w:val="21"/>
                <w:szCs w:val="24"/>
              </w:rPr>
            </w:pPr>
            <w:r>
              <w:rPr>
                <w:rFonts w:ascii="Times New Roman" w:hAnsi="Times New Roman" w:cs="Times New Roman"/>
                <w:b/>
                <w:color w:val="auto"/>
                <w:sz w:val="21"/>
                <w:szCs w:val="24"/>
              </w:rPr>
              <w:t>中等损害区域（m</w:t>
            </w:r>
            <w:r>
              <w:rPr>
                <w:rFonts w:ascii="Times New Roman" w:hAnsi="Times New Roman" w:cs="Times New Roman"/>
                <w:b/>
                <w:color w:val="auto"/>
                <w:sz w:val="21"/>
                <w:szCs w:val="24"/>
                <w:vertAlign w:val="superscript"/>
              </w:rPr>
              <w:t>2</w:t>
            </w:r>
            <w:r>
              <w:rPr>
                <w:rFonts w:ascii="Times New Roman" w:hAnsi="Times New Roman" w:cs="Times New Roman"/>
                <w:b/>
                <w:color w:val="auto"/>
                <w:sz w:val="21"/>
                <w:szCs w:val="24"/>
              </w:rPr>
              <w:t>）</w:t>
            </w:r>
          </w:p>
        </w:tc>
        <w:tc>
          <w:tcPr>
            <w:tcW w:w="1045" w:type="dxa"/>
            <w:vAlign w:val="center"/>
          </w:tcPr>
          <w:p>
            <w:pPr>
              <w:ind w:firstLine="0" w:firstLineChars="0"/>
              <w:rPr>
                <w:rFonts w:ascii="Times New Roman" w:hAnsi="Times New Roman" w:cs="Times New Roman"/>
                <w:b/>
                <w:color w:val="auto"/>
                <w:sz w:val="21"/>
                <w:szCs w:val="24"/>
              </w:rPr>
            </w:pPr>
            <w:r>
              <w:rPr>
                <w:rFonts w:ascii="Times New Roman" w:hAnsi="Times New Roman" w:cs="Times New Roman"/>
                <w:b/>
                <w:color w:val="auto"/>
                <w:sz w:val="21"/>
                <w:szCs w:val="24"/>
              </w:rPr>
              <w:t>轻微损坏半径（m）</w:t>
            </w:r>
          </w:p>
        </w:tc>
        <w:tc>
          <w:tcPr>
            <w:tcW w:w="1045" w:type="dxa"/>
            <w:vAlign w:val="center"/>
          </w:tcPr>
          <w:p>
            <w:pPr>
              <w:ind w:firstLine="0" w:firstLineChars="0"/>
              <w:rPr>
                <w:rFonts w:ascii="Times New Roman" w:hAnsi="Times New Roman" w:cs="Times New Roman"/>
                <w:b/>
                <w:color w:val="auto"/>
                <w:sz w:val="21"/>
                <w:szCs w:val="24"/>
              </w:rPr>
            </w:pPr>
            <w:r>
              <w:rPr>
                <w:rFonts w:ascii="Times New Roman" w:hAnsi="Times New Roman" w:cs="Times New Roman"/>
                <w:b/>
                <w:color w:val="auto"/>
                <w:sz w:val="21"/>
                <w:szCs w:val="24"/>
              </w:rPr>
              <w:t>轻微损坏区域</w:t>
            </w:r>
          </w:p>
          <w:p>
            <w:pPr>
              <w:ind w:firstLine="0" w:firstLineChars="0"/>
              <w:rPr>
                <w:rFonts w:ascii="Times New Roman" w:hAnsi="Times New Roman" w:cs="Times New Roman"/>
                <w:b/>
                <w:color w:val="auto"/>
                <w:sz w:val="21"/>
                <w:szCs w:val="24"/>
              </w:rPr>
            </w:pPr>
            <w:r>
              <w:rPr>
                <w:rFonts w:ascii="Times New Roman" w:hAnsi="Times New Roman" w:cs="Times New Roman"/>
                <w:b/>
                <w:color w:val="auto"/>
                <w:sz w:val="21"/>
                <w:szCs w:val="24"/>
              </w:rPr>
              <w:t>（m</w:t>
            </w:r>
            <w:r>
              <w:rPr>
                <w:rFonts w:ascii="Times New Roman" w:hAnsi="Times New Roman" w:cs="Times New Roman"/>
                <w:b/>
                <w:color w:val="auto"/>
                <w:sz w:val="21"/>
                <w:szCs w:val="24"/>
                <w:vertAlign w:val="superscript"/>
              </w:rPr>
              <w:t>2</w:t>
            </w:r>
            <w:r>
              <w:rPr>
                <w:rFonts w:ascii="Times New Roman" w:hAnsi="Times New Roman" w:cs="Times New Roman"/>
                <w:b/>
                <w:color w:val="auto"/>
                <w:sz w:val="21"/>
                <w:szCs w:val="24"/>
              </w:rPr>
              <w:t>）</w:t>
            </w:r>
          </w:p>
        </w:tc>
        <w:tc>
          <w:tcPr>
            <w:tcW w:w="1040" w:type="dxa"/>
            <w:vAlign w:val="center"/>
          </w:tcPr>
          <w:p>
            <w:pPr>
              <w:ind w:firstLine="0" w:firstLineChars="0"/>
              <w:rPr>
                <w:rFonts w:ascii="Times New Roman" w:hAnsi="Times New Roman" w:cs="Times New Roman"/>
                <w:b/>
                <w:color w:val="auto"/>
                <w:sz w:val="21"/>
                <w:szCs w:val="24"/>
              </w:rPr>
            </w:pPr>
            <w:r>
              <w:rPr>
                <w:rFonts w:ascii="Times New Roman" w:hAnsi="Times New Roman" w:cs="Times New Roman"/>
                <w:b/>
                <w:color w:val="auto"/>
                <w:sz w:val="21"/>
                <w:szCs w:val="24"/>
              </w:rPr>
              <w:t>安全距离（m）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044" w:type="dxa"/>
            <w:vAlign w:val="center"/>
          </w:tcPr>
          <w:p>
            <w:pPr>
              <w:ind w:firstLine="0" w:firstLineChars="0"/>
              <w:jc w:val="center"/>
              <w:rPr>
                <w:rFonts w:ascii="Times New Roman" w:hAnsi="Times New Roman" w:cs="Times New Roman"/>
                <w:color w:val="auto"/>
                <w:sz w:val="21"/>
                <w:szCs w:val="24"/>
              </w:rPr>
            </w:pPr>
            <w:r>
              <w:rPr>
                <w:rFonts w:hint="eastAsia" w:ascii="Times New Roman" w:hAnsi="Times New Roman" w:cs="Times New Roman"/>
                <w:color w:val="auto"/>
                <w:sz w:val="21"/>
                <w:szCs w:val="24"/>
              </w:rPr>
              <w:t>30</w:t>
            </w:r>
          </w:p>
        </w:tc>
        <w:tc>
          <w:tcPr>
            <w:tcW w:w="1046" w:type="dxa"/>
            <w:vAlign w:val="center"/>
          </w:tcPr>
          <w:p>
            <w:pPr>
              <w:ind w:firstLine="0" w:firstLineChars="0"/>
              <w:jc w:val="center"/>
              <w:rPr>
                <w:rFonts w:ascii="Times New Roman" w:hAnsi="Times New Roman" w:cs="Times New Roman"/>
                <w:color w:val="auto"/>
                <w:sz w:val="21"/>
                <w:szCs w:val="24"/>
              </w:rPr>
            </w:pPr>
            <w:r>
              <w:rPr>
                <w:rFonts w:hint="eastAsia" w:ascii="Times New Roman" w:hAnsi="Times New Roman" w:cs="Times New Roman"/>
                <w:color w:val="auto"/>
                <w:sz w:val="21"/>
                <w:szCs w:val="24"/>
              </w:rPr>
              <w:t>3.15</w:t>
            </w:r>
          </w:p>
        </w:tc>
        <w:tc>
          <w:tcPr>
            <w:tcW w:w="1045" w:type="dxa"/>
            <w:vAlign w:val="center"/>
          </w:tcPr>
          <w:p>
            <w:pPr>
              <w:ind w:firstLine="0" w:firstLineChars="0"/>
              <w:jc w:val="center"/>
              <w:rPr>
                <w:rFonts w:ascii="Times New Roman" w:hAnsi="Times New Roman" w:cs="Times New Roman"/>
                <w:color w:val="auto"/>
                <w:sz w:val="21"/>
                <w:szCs w:val="24"/>
              </w:rPr>
            </w:pPr>
            <w:r>
              <w:rPr>
                <w:rFonts w:hint="eastAsia" w:ascii="Times New Roman" w:hAnsi="Times New Roman" w:cs="Times New Roman"/>
                <w:color w:val="auto"/>
                <w:sz w:val="21"/>
                <w:szCs w:val="24"/>
              </w:rPr>
              <w:t>2.93</w:t>
            </w:r>
          </w:p>
        </w:tc>
        <w:tc>
          <w:tcPr>
            <w:tcW w:w="1045" w:type="dxa"/>
            <w:vAlign w:val="center"/>
          </w:tcPr>
          <w:p>
            <w:pPr>
              <w:ind w:firstLine="0" w:firstLineChars="0"/>
              <w:jc w:val="center"/>
              <w:rPr>
                <w:rFonts w:ascii="Times New Roman" w:hAnsi="Times New Roman" w:cs="Times New Roman"/>
                <w:color w:val="auto"/>
                <w:sz w:val="21"/>
                <w:szCs w:val="24"/>
              </w:rPr>
            </w:pPr>
            <w:r>
              <w:rPr>
                <w:rFonts w:hint="eastAsia" w:ascii="Times New Roman" w:hAnsi="Times New Roman" w:cs="Times New Roman"/>
                <w:color w:val="auto"/>
                <w:sz w:val="21"/>
                <w:szCs w:val="24"/>
              </w:rPr>
              <w:t>27.0</w:t>
            </w:r>
          </w:p>
        </w:tc>
        <w:tc>
          <w:tcPr>
            <w:tcW w:w="1045" w:type="dxa"/>
            <w:vAlign w:val="center"/>
          </w:tcPr>
          <w:p>
            <w:pPr>
              <w:ind w:firstLine="0" w:firstLineChars="0"/>
              <w:jc w:val="center"/>
              <w:rPr>
                <w:rFonts w:ascii="Times New Roman" w:hAnsi="Times New Roman" w:cs="Times New Roman"/>
                <w:color w:val="auto"/>
                <w:sz w:val="21"/>
                <w:szCs w:val="24"/>
              </w:rPr>
            </w:pPr>
            <w:r>
              <w:rPr>
                <w:rFonts w:hint="eastAsia" w:ascii="Times New Roman" w:hAnsi="Times New Roman" w:cs="Times New Roman"/>
                <w:color w:val="auto"/>
                <w:sz w:val="21"/>
                <w:szCs w:val="24"/>
              </w:rPr>
              <w:t>3.98</w:t>
            </w:r>
          </w:p>
        </w:tc>
        <w:tc>
          <w:tcPr>
            <w:tcW w:w="1045" w:type="dxa"/>
            <w:vAlign w:val="center"/>
          </w:tcPr>
          <w:p>
            <w:pPr>
              <w:ind w:firstLine="0" w:firstLineChars="0"/>
              <w:jc w:val="center"/>
              <w:rPr>
                <w:rFonts w:ascii="Times New Roman" w:hAnsi="Times New Roman" w:cs="Times New Roman"/>
                <w:color w:val="auto"/>
                <w:sz w:val="21"/>
                <w:szCs w:val="24"/>
              </w:rPr>
            </w:pPr>
            <w:r>
              <w:rPr>
                <w:rFonts w:hint="eastAsia" w:ascii="Times New Roman" w:hAnsi="Times New Roman" w:cs="Times New Roman"/>
                <w:color w:val="auto"/>
                <w:sz w:val="21"/>
                <w:szCs w:val="24"/>
              </w:rPr>
              <w:t>49.8</w:t>
            </w:r>
          </w:p>
        </w:tc>
        <w:tc>
          <w:tcPr>
            <w:tcW w:w="1045" w:type="dxa"/>
            <w:vAlign w:val="center"/>
          </w:tcPr>
          <w:p>
            <w:pPr>
              <w:ind w:firstLine="0" w:firstLineChars="0"/>
              <w:jc w:val="center"/>
              <w:rPr>
                <w:rFonts w:ascii="Times New Roman" w:hAnsi="Times New Roman" w:cs="Times New Roman"/>
                <w:color w:val="auto"/>
                <w:sz w:val="21"/>
                <w:szCs w:val="24"/>
              </w:rPr>
            </w:pPr>
            <w:r>
              <w:rPr>
                <w:rFonts w:hint="eastAsia" w:ascii="Times New Roman" w:hAnsi="Times New Roman" w:cs="Times New Roman"/>
                <w:color w:val="auto"/>
                <w:sz w:val="21"/>
                <w:szCs w:val="24"/>
              </w:rPr>
              <w:t>6.31</w:t>
            </w:r>
          </w:p>
        </w:tc>
        <w:tc>
          <w:tcPr>
            <w:tcW w:w="1045" w:type="dxa"/>
            <w:vAlign w:val="center"/>
          </w:tcPr>
          <w:p>
            <w:pPr>
              <w:ind w:firstLine="0" w:firstLineChars="0"/>
              <w:jc w:val="center"/>
              <w:rPr>
                <w:rFonts w:ascii="Times New Roman" w:hAnsi="Times New Roman" w:cs="Times New Roman"/>
                <w:color w:val="auto"/>
                <w:sz w:val="21"/>
                <w:szCs w:val="24"/>
              </w:rPr>
            </w:pPr>
            <w:r>
              <w:rPr>
                <w:rFonts w:hint="eastAsia" w:ascii="Times New Roman" w:hAnsi="Times New Roman" w:cs="Times New Roman"/>
                <w:color w:val="auto"/>
                <w:sz w:val="21"/>
                <w:szCs w:val="24"/>
              </w:rPr>
              <w:t>125</w:t>
            </w:r>
          </w:p>
        </w:tc>
        <w:tc>
          <w:tcPr>
            <w:tcW w:w="1040" w:type="dxa"/>
            <w:vAlign w:val="center"/>
          </w:tcPr>
          <w:p>
            <w:pPr>
              <w:ind w:firstLine="0" w:firstLineChars="0"/>
              <w:jc w:val="center"/>
              <w:rPr>
                <w:rFonts w:ascii="Times New Roman" w:hAnsi="Times New Roman" w:cs="Times New Roman"/>
                <w:color w:val="auto"/>
                <w:sz w:val="21"/>
                <w:szCs w:val="24"/>
              </w:rPr>
            </w:pPr>
            <w:r>
              <w:rPr>
                <w:rFonts w:hint="eastAsia" w:ascii="Times New Roman" w:hAnsi="Times New Roman" w:cs="Times New Roman"/>
                <w:color w:val="auto"/>
                <w:sz w:val="21"/>
                <w:szCs w:val="24"/>
              </w:rPr>
              <w:t>7.95</w:t>
            </w:r>
          </w:p>
        </w:tc>
      </w:tr>
    </w:tbl>
    <w:p>
      <w:pPr>
        <w:ind w:firstLine="480"/>
        <w:rPr>
          <w:rFonts w:ascii="Times New Roman" w:hAnsi="Times New Roman" w:cs="Times New Roman"/>
          <w:color w:val="auto"/>
          <w:sz w:val="28"/>
          <w:szCs w:val="28"/>
        </w:rPr>
      </w:pPr>
      <w:r>
        <w:rPr>
          <w:rFonts w:ascii="Times New Roman" w:hAnsi="Times New Roman" w:cs="Times New Roman"/>
          <w:color w:val="auto"/>
          <w:sz w:val="28"/>
          <w:szCs w:val="28"/>
        </w:rPr>
        <w:t>通过</w:t>
      </w:r>
      <w:r>
        <w:rPr>
          <w:rFonts w:hint="eastAsia" w:ascii="Times New Roman" w:hAnsi="Times New Roman" w:cs="Times New Roman"/>
          <w:color w:val="auto"/>
          <w:sz w:val="28"/>
          <w:szCs w:val="28"/>
        </w:rPr>
        <w:t>模拟</w:t>
      </w:r>
      <w:r>
        <w:rPr>
          <w:rFonts w:ascii="Times New Roman" w:hAnsi="Times New Roman" w:cs="Times New Roman"/>
          <w:color w:val="auto"/>
          <w:sz w:val="28"/>
          <w:szCs w:val="28"/>
        </w:rPr>
        <w:t>计算，得出其</w:t>
      </w:r>
      <w:r>
        <w:rPr>
          <w:rFonts w:hint="eastAsia" w:ascii="Times New Roman" w:hAnsi="Times New Roman" w:cs="Times New Roman"/>
          <w:color w:val="auto"/>
          <w:sz w:val="28"/>
          <w:szCs w:val="28"/>
        </w:rPr>
        <w:t>与人的</w:t>
      </w:r>
      <w:r>
        <w:rPr>
          <w:rFonts w:ascii="Times New Roman" w:hAnsi="Times New Roman" w:cs="Times New Roman"/>
          <w:color w:val="auto"/>
          <w:sz w:val="28"/>
          <w:szCs w:val="28"/>
        </w:rPr>
        <w:t>安全距离为</w:t>
      </w:r>
      <w:r>
        <w:rPr>
          <w:rFonts w:hint="eastAsia" w:ascii="Times New Roman" w:hAnsi="Times New Roman" w:cs="Times New Roman"/>
          <w:color w:val="auto"/>
          <w:sz w:val="28"/>
          <w:szCs w:val="28"/>
        </w:rPr>
        <w:t>5.01m，与建筑物的安全距离为7.95m</w:t>
      </w:r>
      <w:r>
        <w:rPr>
          <w:rFonts w:ascii="Times New Roman" w:hAnsi="Times New Roman" w:cs="Times New Roman"/>
          <w:color w:val="auto"/>
          <w:sz w:val="28"/>
          <w:szCs w:val="28"/>
        </w:rPr>
        <w:t>。对计算结果分析，加油点储罐区周边</w:t>
      </w:r>
      <w:r>
        <w:rPr>
          <w:rFonts w:hint="eastAsia" w:ascii="Times New Roman" w:hAnsi="Times New Roman" w:cs="Times New Roman"/>
          <w:color w:val="auto"/>
          <w:sz w:val="28"/>
          <w:szCs w:val="28"/>
        </w:rPr>
        <w:t>5.01m</w:t>
      </w:r>
      <w:r>
        <w:rPr>
          <w:rFonts w:ascii="Times New Roman" w:hAnsi="Times New Roman" w:cs="Times New Roman"/>
          <w:color w:val="auto"/>
          <w:sz w:val="28"/>
          <w:szCs w:val="28"/>
        </w:rPr>
        <w:t>范围内为爆炸冲击波危害区域，对其外的区域基本不造成影响</w:t>
      </w:r>
      <w:r>
        <w:rPr>
          <w:rFonts w:hint="eastAsia" w:ascii="Times New Roman" w:hAnsi="Times New Roman" w:cs="Times New Roman"/>
          <w:color w:val="auto"/>
          <w:sz w:val="28"/>
          <w:szCs w:val="28"/>
        </w:rPr>
        <w:t>，可能遭受伤害的人员主要是加油站员工</w:t>
      </w:r>
      <w:r>
        <w:rPr>
          <w:rFonts w:ascii="Times New Roman" w:hAnsi="Times New Roman" w:cs="Times New Roman"/>
          <w:color w:val="auto"/>
          <w:sz w:val="28"/>
          <w:szCs w:val="28"/>
        </w:rPr>
        <w:t>。</w:t>
      </w:r>
    </w:p>
    <w:p>
      <w:pPr>
        <w:widowControl/>
        <w:spacing w:line="240" w:lineRule="auto"/>
        <w:ind w:firstLine="0" w:firstLineChars="0"/>
        <w:rPr>
          <w:rFonts w:ascii="Times New Roman" w:hAnsi="Times New Roman" w:cs="Times New Roman"/>
          <w:color w:val="auto"/>
          <w:szCs w:val="24"/>
        </w:rPr>
      </w:pPr>
      <w:r>
        <w:rPr>
          <w:rFonts w:ascii="Times New Roman" w:hAnsi="Times New Roman" w:cs="Times New Roman"/>
          <w:color w:val="auto"/>
          <w:szCs w:val="24"/>
        </w:rPr>
        <w:br w:type="page"/>
      </w:r>
    </w:p>
    <w:p>
      <w:pPr>
        <w:pStyle w:val="3"/>
        <w:spacing w:after="97"/>
        <w:ind w:firstLine="643"/>
        <w:rPr>
          <w:color w:val="auto"/>
        </w:rPr>
      </w:pPr>
      <w:bookmarkStart w:id="24" w:name="_Toc503774713"/>
      <w:bookmarkStart w:id="25" w:name="_Toc11893"/>
      <w:bookmarkStart w:id="26" w:name="_Toc4402782"/>
      <w:r>
        <w:rPr>
          <w:rFonts w:hint="eastAsia"/>
          <w:color w:val="auto"/>
          <w:lang w:val="en-US" w:eastAsia="zh-CN"/>
        </w:rPr>
        <w:t>5</w:t>
      </w:r>
      <w:r>
        <w:rPr>
          <w:rFonts w:hint="eastAsia"/>
          <w:color w:val="auto"/>
        </w:rPr>
        <w:t>安全对策</w:t>
      </w:r>
      <w:r>
        <w:rPr>
          <w:color w:val="auto"/>
        </w:rPr>
        <w:t>措施</w:t>
      </w:r>
      <w:bookmarkEnd w:id="24"/>
      <w:bookmarkEnd w:id="25"/>
      <w:bookmarkEnd w:id="26"/>
    </w:p>
    <w:p>
      <w:pPr>
        <w:pStyle w:val="4"/>
        <w:spacing w:after="65"/>
        <w:rPr>
          <w:color w:val="auto"/>
        </w:rPr>
      </w:pPr>
      <w:bookmarkStart w:id="27" w:name="_Toc4402783"/>
      <w:bookmarkStart w:id="28" w:name="_Toc3195"/>
      <w:bookmarkStart w:id="29" w:name="_Toc503774714"/>
      <w:r>
        <w:rPr>
          <w:rFonts w:hint="eastAsia"/>
          <w:color w:val="auto"/>
          <w:lang w:val="en-US" w:eastAsia="zh-CN"/>
        </w:rPr>
        <w:t>5</w:t>
      </w:r>
      <w:r>
        <w:rPr>
          <w:rFonts w:hint="eastAsia"/>
          <w:color w:val="auto"/>
        </w:rPr>
        <w:t>.1安全管理的对策措施</w:t>
      </w:r>
      <w:bookmarkEnd w:id="27"/>
      <w:bookmarkEnd w:id="28"/>
      <w:bookmarkEnd w:id="29"/>
    </w:p>
    <w:p>
      <w:pPr>
        <w:ind w:firstLine="480"/>
        <w:rPr>
          <w:rFonts w:ascii="Times New Roman" w:hAnsi="Times New Roman" w:cs="Times New Roman"/>
          <w:color w:val="auto"/>
          <w:sz w:val="28"/>
          <w:szCs w:val="28"/>
        </w:rPr>
      </w:pPr>
      <w:bookmarkStart w:id="36" w:name="_GoBack"/>
      <w:r>
        <w:rPr>
          <w:rFonts w:hint="eastAsia" w:ascii="Times New Roman" w:hAnsi="Times New Roman" w:cs="Times New Roman"/>
          <w:color w:val="auto"/>
          <w:sz w:val="28"/>
          <w:szCs w:val="28"/>
        </w:rPr>
        <w:t>1、认真贯彻落实原国家安全监管总局《企业安全生产责任体系五落实五到位规定》要求。</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2、主要负责人、安全管理人员应当接受安全培训，具备与所从事的经营活动相适应的安全知识和管理能力，持证上岗，每年应按规定进行再培训。</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3、特种作业人员应当按照国家和省有关规定，由特种作业人员培训机构进行安全技术理论和实际操作培训，经相关部门组织考核合格，取得特种作业操作资格证书后，持证上岗。</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4、应当建立健全安全检查及事故隐患整治档案，每次检查的内容、结果、整改情况应当记入档案，并由检查人员、复查人员签字。</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5、严格做好防火防爆的日常安全管理工作，规范现场消防标志的设置及灭火器材的放置，并应注意维护，到期及时更换保证随时可用。</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6、加强防护用品、消防器材使用方法的学习，掌握各类器材的性能，正确使用各类器材，提高员工自我安全防范意识，避免因使用不当造成意外伤害事故。各危险岗位应设置足量的防护用品，并应保持完好，不合格的应及时更换。</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7、做好新员工“三级”安全教育、转岗员工培训教育、消防培训、日常安全培训教育等工作。</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8、应当在工艺流程各环节、各岗位推行岗位安全标准化操作，教育从业人员严格遵守本岗位的安全规章制度、标准和操作规程。</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9、加强加油人员的培训，本着干一行学一行的原则，使加油人员懂得本岗位工艺流程、设备构造；会操作，会维护保养，会排除故障，会正确使用消防和防护器材。</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10、应针对加油站安全现状，应以工艺规程为主要内容，经常加强员工的技术培训和学习，不断提高技术素质，以杜绝误操作的发生。</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11、应以国家有关安全法律、法规、安全标准为学习内容，加强安全法治观念，提高遵章守纪自觉性，做到在经营中遵守安全纪律、安全规定，不违章作业，不违章指挥。</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12、作业人员在作业过程中发现事故隐患或者其他不安全因素，应当立即向现场安全管理人员和单位有关负责人报告。</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13、做好节假日安全检查和节假日安全值日，保证节假日期间的安全经营。</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14、应组织人员对单位编制的应急预案进行论证，应急预案的论证应当注重应急预案的实用性、基本要素的完整性、预防措施的针对性、组织体系的科学性、响应程序的操作性、应急保障措施的可行性、应急预案的衔接性等内容。</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①必须落实企业主要负责人是应急管理第一责任人的工作责任制，层层建立应急管理责任体系。</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②必须依法设置应急管理机构，配备专职或者兼职应急管理人员，建立应急管理工作制度。</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③必须建立专（兼）职应急救援队伍或与邻近专职救援队签订救援协议，配备必要的应急装备、物资，危险作业必须有专人监护。</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④必须在风险评估的基础上，编制与当地政府及相关部门相衔接的应急预案，重点岗位制定应急处置卡，每年至少组织一次应急演练。</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⑤必须开展从业人员岗位应急知识教育和自救互救、避险逃生技能培训，并定期组织考核。</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⑥必须向从业人员告知作业岗位、场所危险因素和险情处置要点，高风险区域和重大危险源必须设立明显标识，并确保逃生通道畅通。</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⑦必须落实从业人员在发现直接危及人身安全的紧急情况时停止作业，或在采取可能的应急措施后撤离作业场所的权利。</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⑧必须在险情或事故发生后第一时间做好先期处置，及时采取隔离和疏散措施，并按规定立即如实向当地政府及有关部门报告。</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⑨必须每年对应急投入、应急准备、应急处置与救援等工作进行总结评估。</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15、应根据经营实际情况，加强组织义务救援队伍，定期和不定期的对各类事故应急救援预案组织演练，对演练情况认真总结，作好记录，做到有备无患。</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16、岗位操作人员，应经过培训，严格按操作规程操作，熟知所接触物质的性能和事故应急救援知识，懂得事故发生后的处理方法，提高自救、互救能力。</w:t>
      </w:r>
    </w:p>
    <w:p>
      <w:pPr>
        <w:ind w:firstLine="480"/>
        <w:rPr>
          <w:rFonts w:ascii="Times New Roman" w:hAnsi="Times New Roman" w:cs="Times New Roman"/>
          <w:color w:val="auto"/>
          <w:sz w:val="28"/>
          <w:szCs w:val="28"/>
        </w:rPr>
      </w:pPr>
      <w:r>
        <w:rPr>
          <w:rFonts w:ascii="Times New Roman" w:hAnsi="Times New Roman" w:cs="Times New Roman"/>
          <w:color w:val="auto"/>
          <w:sz w:val="28"/>
          <w:szCs w:val="28"/>
        </w:rPr>
        <w:t>17</w:t>
      </w:r>
      <w:r>
        <w:rPr>
          <w:rFonts w:hint="eastAsia" w:ascii="Times New Roman" w:hAnsi="Times New Roman" w:cs="Times New Roman"/>
          <w:color w:val="auto"/>
          <w:sz w:val="28"/>
          <w:szCs w:val="28"/>
        </w:rPr>
        <w:t>、要严格遵守关于职业病危害防治的管理要求：</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①必须建立健全职业病危害防治责任制，严禁责任不落实违法违规经营。</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②必须保证工作场所符合职业卫生要求，严禁在职业病危害超标环境中作业。</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③必须设置职业病防护设施并保证有效运行，严禁不设置不使用。</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④必须为劳动者配备符合要求的防护用品，严禁配发假冒伪劣防护用品。</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⑤必须在工作场所与作业岗位设置警示标识和告知卡，严禁隐瞒职业病危害。</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⑥必须定期进行职业病危害检测，严禁弄虚作假或少检漏检。</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⑦必须对劳动者进行职业卫生培训，严禁不培训或培训不合格上岗。</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⑧必须组织劳动者职业健康检查并建立监护档案，严禁不体检不建档。</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18、加强事故事件管理，进一步提升事故防范能力，建立健全事故档案。</w:t>
      </w:r>
      <w:bookmarkStart w:id="30" w:name="_Toc4402784"/>
      <w:bookmarkStart w:id="31" w:name="_Toc503774715"/>
    </w:p>
    <w:bookmarkEnd w:id="36"/>
    <w:p>
      <w:pPr>
        <w:pStyle w:val="4"/>
        <w:spacing w:after="65"/>
        <w:rPr>
          <w:color w:val="auto"/>
        </w:rPr>
      </w:pPr>
      <w:bookmarkStart w:id="32" w:name="_Toc28647"/>
      <w:r>
        <w:rPr>
          <w:rFonts w:hint="eastAsia"/>
          <w:color w:val="auto"/>
          <w:lang w:val="en-US" w:eastAsia="zh-CN"/>
        </w:rPr>
        <w:t>5</w:t>
      </w:r>
      <w:r>
        <w:rPr>
          <w:rFonts w:hint="eastAsia"/>
          <w:color w:val="auto"/>
        </w:rPr>
        <w:t>.2安全技术对策措施</w:t>
      </w:r>
      <w:bookmarkEnd w:id="30"/>
      <w:bookmarkEnd w:id="31"/>
      <w:bookmarkEnd w:id="32"/>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1、加油站应严格执行《加油站作业安全规范》（AQ3010-2007）要求。</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1）油罐车进、出加油站或倒车时，应由加油站人员引导、指挥。</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2）油罐车应停放于卸油专用区，熄火并拉上手剎车、于车轮处放置轮挡；并使车头向外，以利紧急事故发生时，可迅速驶离。</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3）卸油过程中，卸油人员和油罐车驾驶员不应离开作业现场，打雷时应停止卸油作业。</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4）向地下罐注油时，与该罐连接的给油设备应停止使用。卸油前应检查油罐的存油量，以防卸油时溢油。卸油作业中，严禁用量油尺计量油罐。</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5）卸油作业中，必须有专人在现场监视，并禁止车辆及非工作人员进入卸油区。</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6）油罐车进站后，卸油人员应立即检查油罐车的安全设施是否齐全有效，油罐车的排气管应安装防火罩。检查合格后，引导油罐车进入卸油现场，应先接妥静电接地线夹头接线并确实接触。</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7）油罐车熄火并静置15min后，卸油员按工艺流程连接卸油管及油气回收管及接头，将接头结合紧密，保持卸油管自然弯曲；经计量后准备接卸；按规定在卸油位置上风处摆放干粉灭火器。</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8）卸油前，核对罐车与油罐中油品的品名、牌号是否一致，各项准备工作检查无误后，能自流卸油的不泵送卸油。</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9）油罐车驾驶员缓慢开启卸油阀卸油。卸油员集中精力监视、观察卸油管线、相关闸阀、过滤器等设备的运行情况，随时准备处理可能发生的问题。</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10）卸油时严格控制油的流速，在油面淹没进油管口200mm前，初始流速不应大于1m/s，正常卸油时流速控制在4.5m/s以内，以防产生静电。</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11）卸油完毕，油罐车驾驶员应关闭卸油阀；卸油员应先拆卸油管与油罐车连接端头，并将卸油管抬高使管内油料流入油罐内并防止溅出。盖严罐口处的卸油帽，收回静电导线。收存卸油管、油气回收管时不可拋摔，以防接头变形。</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12）卸油完毕罐车静置5min后，卸油员引导油罐车启车、离站，清理卸油现场，将消防器材放回原位。</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13）卸油时如发生交通事故、火灾事故、爆炸事故、破坏事故和伤亡事故等重大事故，应立即停止卸油作业，同时应将油罐车驶离加油站。</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14）在卸油过程中，严禁擦洗罐车物品、按喇叭、修车等，对器具要轻拿轻放，夜间照明须使用防爆灯具。</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15）卸油口未使用时应加锁。</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16）加油机运转时，电机和泵温度应保持正常，计量器和泵的轴封应无明显泄漏，汽油加油流量不应大于</w:t>
      </w:r>
      <w:r>
        <w:rPr>
          <w:rFonts w:ascii="Times New Roman" w:hAnsi="Times New Roman" w:cs="Times New Roman"/>
          <w:color w:val="auto"/>
          <w:sz w:val="28"/>
          <w:szCs w:val="28"/>
        </w:rPr>
        <w:t>50</w:t>
      </w:r>
      <w:r>
        <w:rPr>
          <w:rFonts w:hint="eastAsia" w:ascii="Times New Roman" w:hAnsi="Times New Roman" w:cs="Times New Roman"/>
          <w:color w:val="auto"/>
          <w:sz w:val="28"/>
          <w:szCs w:val="28"/>
        </w:rPr>
        <w:t>L/min。</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17）加油机机件应保持性能良好，油气分离器及过滤器应保持功能正常，排气管应畅通、无损，泵安全阀应保持压力正常。加油员在使用加油机前，应检查加油机运转是否正常及有无渗漏油品现象，并要保持加油机的整洁。</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18）加油岛上不得放置收录音机，电扇、延长线、冷藏设备等一般电器设备及其他杂物。</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19）客车进站加油时不得载有乘客。</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20）禁止使用绝缘性容器加注汽油、柴油。</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21）车辆驶入站时，加油员应主动引导车辆进入加油位置。当进站加油车停稳，发动机熄火后，方可打开油箱盖，加油前加油机计数器回零后，启动加油机开始加油。</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22）加油时应避免油料溅出，尤其机车加油时应特别注意不可溅出油料溅及高温引擎及排气管。</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23）加油时若有油料溢出，应立即擦拭，含有油污布料应妥善收存有盖容器中。</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24）加完油后，应立即将加油枪拉出，以防被拖走。</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25）站内有人吸烟或使用移动电话时，应立即停止加油。</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26）摩托车加油后，应用人力将摩托车推离加油岛4.5m后，方可启动。</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27）加油站上空有高强闪电或雷击频繁时，应停止加油作业，采取防护措施。</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28）夜间量测油罐时应使用防爆型照明设备。</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29）卸油后，待稳油15min后方可计量。</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30）进行油品采样、计量和测温时，不得猛拉快提，上提速度不得大于0.5m/s，下落速度不得大于1m/s。</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31）进加油站区域内各类作业人员上岗时应穿防静电工作服，防静电工作鞋、袜；严禁穿带铁钉的鞋。严禁在爆炸危险场所穿脱衣服、帽子或类似物。</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32）维修作业应使用防爆工具。严禁使用撞击易产生火花的工具。</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33）适时清洗油罐沉积物，装运不同油品应按规定进行清洗。清罐时必须按清罐安全要求进行，以防发生中毒和爆炸事故。</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34）油罐清洗，应委托具备相应资格的专业公司依相关规定作业，清洗公司专门须指定并设置现场安全主管于现场指挥监督作业。</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35）清洗油罐所用的手持工具应为无火花安全工具，和全棉清洁用。</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36）清洗油罐处，须设置施工标识，并严禁无关人员接近。</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37）油罐清洗时应随时注意并测试油罐内、外油气浓度及采取必要安全防护措施。</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38）油罐清洗后之残渣，应依废弃物清理法规处理。</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39）加油机维修之前要切断电源，摘下皮带轮上的皮带。若所修的部位需要放油时，必须用容器收集燃油，防止燃油泄漏。</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40）在维修加油机时，要注意不要划伤各金属零件、密封件及密封结合面，以免造成泄漏。在复装前，须将各零部件清洗干净，以免损伤部件。</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2、应对安全设施、设备进行经常性的维护、保养。维护、保养必须记录，并由有关人员签字。维护、保养记录应当包括安全设施、设备的名称和维护、保养、检测的时间、人员、问题等内容。</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3、对灭火器材、安全警示标志等定期检查，凡不符合安全要求的，应及时更换。</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4、应保持站内道路顺畅，不得在道路上装卸货物，不准乱停乱放，堵塞站内交通。</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5、应根据国家现行有关安全生产法律、法规和部门规章及标准的规定和要求，以及企业现状、工艺特点加强安全设施的更新与改进，持续提高企业的安全管理水平。</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6、检查出的事故隐患应作好记录、归类，能够及时解决的应督促执行单位及时整改，一时不能解决的，应制定计划限期整改，未整改前应制定监控措施。</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7、凡容易发生事故或危及生命的场所和设备以及需要提醒操作人员注意的地点，均应按《安全标志及其使用导则》（GB2894-2008）、《安全色》（GB2893-2008）的要求设置安全标志。</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8、按照《工作场所职业病危害警示标识》规定，在工作场所应设置可以使劳动者对职业病危害产生警觉的标识，且标识有相应防护措施的图形标识、警示线、警示语句和文字。</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9、加油站防雷接地、防静电接地、电气设备的工作接地、保护接地及信息系统的接地等每年应进行检测，保证接地网电阻不应大于1Ω。</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10、应将加油站的动火作业、登高作业、临时用电作业、进罐作业等列为危险作业范畴，在危险作业前，应从人员、工艺、物料、环境、设备等方面进行细致的风险分析，并制定相应的安全措施。</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11、在重大检修过程应加强安全检查，纠正、制止违章指挥及违章作业行为。</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 xml:space="preserve">12、施工单位、施工人员应具有相应的资质，施工前应签订施工合同，施工合同中应明确各自的权利和义务、安全协议。施工时应拟定施工方案、计划，并报相关部门批准。施工时严格执行施工方案。     </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13、按规定对电气设备、线路应采用与电压相符与使用环境相适应的绝缘措施，并定期检查、维修，保持完好状态。</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14、工作场所应配备一定应急药品，并应放于方便处，必须做到可以随时便于拿取；且必须定期送相关部门检验，保证其处于良好状态。</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15、加强消防管理和培训，使企业职工掌握站内消防器材的正确使用，经常检查维护各种消防设施，应对过期失效的消防器材及时更换。</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16、加油站应委托有危险化学品运输资质的单位进行危险化学品运输，并在合同中明确各自的职责；驾驶员和押运员应有相应的从业资质，并明确在危险化学品运输、装卸过程中的安全责任。</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17、当在运输危险化学品过程中，若发生事故，加油站应积极配合有关单位进行应急处理。</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18、油品进入站时，应严格检验油品质量、数量、有无泄漏。</w:t>
      </w:r>
    </w:p>
    <w:p>
      <w:pPr>
        <w:widowControl/>
        <w:spacing w:line="240" w:lineRule="auto"/>
        <w:ind w:firstLine="0" w:firstLineChars="0"/>
        <w:rPr>
          <w:rFonts w:ascii="Times New Roman" w:hAnsi="Times New Roman" w:cs="Times New Roman"/>
          <w:color w:val="auto"/>
          <w:szCs w:val="24"/>
        </w:rPr>
      </w:pPr>
      <w:r>
        <w:rPr>
          <w:rFonts w:ascii="Times New Roman" w:hAnsi="Times New Roman" w:cs="Times New Roman"/>
          <w:color w:val="auto"/>
          <w:szCs w:val="24"/>
        </w:rPr>
        <w:br w:type="page"/>
      </w:r>
    </w:p>
    <w:p>
      <w:pPr>
        <w:pStyle w:val="3"/>
        <w:spacing w:after="97"/>
        <w:ind w:firstLine="643"/>
        <w:rPr>
          <w:color w:val="auto"/>
        </w:rPr>
      </w:pPr>
      <w:bookmarkStart w:id="33" w:name="_Toc503774716"/>
      <w:bookmarkStart w:id="34" w:name="_Toc16347"/>
      <w:bookmarkStart w:id="35" w:name="_Toc4402785"/>
      <w:r>
        <w:rPr>
          <w:rFonts w:hint="eastAsia"/>
          <w:color w:val="auto"/>
          <w:lang w:val="en-US" w:eastAsia="zh-CN"/>
        </w:rPr>
        <w:t>6</w:t>
      </w:r>
      <w:r>
        <w:rPr>
          <w:color w:val="auto"/>
        </w:rPr>
        <w:t>事故风险辨识、评估结果</w:t>
      </w:r>
      <w:bookmarkEnd w:id="33"/>
      <w:bookmarkEnd w:id="34"/>
      <w:bookmarkEnd w:id="35"/>
    </w:p>
    <w:p>
      <w:pPr>
        <w:ind w:firstLine="480"/>
        <w:rPr>
          <w:rFonts w:ascii="Times New Roman" w:hAnsi="Times New Roman" w:cs="Times New Roman"/>
          <w:color w:val="auto"/>
          <w:sz w:val="28"/>
          <w:szCs w:val="28"/>
        </w:rPr>
      </w:pPr>
      <w:r>
        <w:rPr>
          <w:rFonts w:ascii="Times New Roman" w:hAnsi="Times New Roman" w:cs="Times New Roman"/>
          <w:color w:val="auto"/>
          <w:sz w:val="28"/>
          <w:szCs w:val="28"/>
        </w:rPr>
        <w:t>由本事故风险辨识、评估内容可知，</w:t>
      </w:r>
      <w:r>
        <w:rPr>
          <w:rFonts w:hint="eastAsia" w:ascii="Times New Roman" w:hAnsi="Times New Roman" w:cs="Times New Roman"/>
          <w:color w:val="auto"/>
          <w:sz w:val="28"/>
          <w:szCs w:val="28"/>
        </w:rPr>
        <w:t>结果如下：</w:t>
      </w:r>
    </w:p>
    <w:p>
      <w:pPr>
        <w:numPr>
          <w:ilvl w:val="0"/>
          <w:numId w:val="2"/>
        </w:numPr>
        <w:ind w:firstLine="480" w:firstLineChars="0"/>
        <w:rPr>
          <w:rFonts w:ascii="Times New Roman" w:hAnsi="Times New Roman" w:cs="Times New Roman"/>
          <w:color w:val="auto"/>
          <w:sz w:val="28"/>
          <w:szCs w:val="28"/>
        </w:rPr>
      </w:pPr>
      <w:r>
        <w:rPr>
          <w:rFonts w:hint="eastAsia"/>
          <w:color w:val="auto"/>
          <w:sz w:val="28"/>
          <w:szCs w:val="28"/>
          <w:lang w:eastAsia="zh-CN"/>
        </w:rPr>
        <w:t>南充市成南高速公路大观加油站有限公司大观加油站B站</w:t>
      </w:r>
      <w:r>
        <w:rPr>
          <w:rFonts w:hint="eastAsia" w:ascii="Times New Roman" w:hAnsi="Times New Roman" w:cs="Times New Roman"/>
          <w:color w:val="auto"/>
          <w:sz w:val="28"/>
          <w:szCs w:val="28"/>
        </w:rPr>
        <w:t>工艺过程主要存在的风险因素有火灾爆炸、中毒窒息、触电、车辆伤害等，本站针对各风险因素均采取了相应的对策措施和安全设施，在运行过程中风险因素能控制在人员可接受的范围。</w:t>
      </w:r>
    </w:p>
    <w:p>
      <w:pPr>
        <w:numPr>
          <w:ilvl w:val="0"/>
          <w:numId w:val="2"/>
        </w:numPr>
        <w:ind w:firstLine="480" w:firstLineChars="0"/>
        <w:rPr>
          <w:rFonts w:ascii="Times New Roman" w:hAnsi="Times New Roman" w:cs="Times New Roman"/>
          <w:color w:val="auto"/>
          <w:sz w:val="28"/>
          <w:szCs w:val="28"/>
        </w:rPr>
      </w:pPr>
      <w:r>
        <w:rPr>
          <w:rFonts w:ascii="Times New Roman" w:hAnsi="Times New Roman" w:cs="Times New Roman"/>
          <w:color w:val="auto"/>
          <w:sz w:val="28"/>
          <w:szCs w:val="28"/>
        </w:rPr>
        <w:t>通过对加油站埋地储油罐进行爆炸冲击波后果模拟计算，</w:t>
      </w:r>
      <w:r>
        <w:rPr>
          <w:rFonts w:hint="eastAsia" w:ascii="Times New Roman" w:hAnsi="Times New Roman" w:cs="Times New Roman"/>
          <w:color w:val="auto"/>
          <w:sz w:val="28"/>
          <w:szCs w:val="28"/>
        </w:rPr>
        <w:t>得出其与人的安全距离为5.01m，与建筑物的安全距离为7.95m。</w:t>
      </w:r>
      <w:r>
        <w:rPr>
          <w:rFonts w:ascii="Times New Roman" w:hAnsi="Times New Roman" w:cs="Times New Roman"/>
          <w:color w:val="auto"/>
          <w:sz w:val="28"/>
          <w:szCs w:val="28"/>
        </w:rPr>
        <w:t>根据对计算结果分析，加油站储罐区周边</w:t>
      </w:r>
      <w:r>
        <w:rPr>
          <w:rFonts w:hint="eastAsia" w:ascii="Times New Roman" w:hAnsi="Times New Roman" w:cs="Times New Roman"/>
          <w:color w:val="auto"/>
          <w:sz w:val="28"/>
          <w:szCs w:val="28"/>
        </w:rPr>
        <w:t>5.01m</w:t>
      </w:r>
      <w:r>
        <w:rPr>
          <w:rFonts w:ascii="Times New Roman" w:hAnsi="Times New Roman" w:cs="Times New Roman"/>
          <w:color w:val="auto"/>
          <w:sz w:val="28"/>
          <w:szCs w:val="28"/>
        </w:rPr>
        <w:t>范围内为爆炸冲击波危害区域，对其外的区域不造成影响</w:t>
      </w:r>
      <w:r>
        <w:rPr>
          <w:rFonts w:hint="eastAsia" w:ascii="Times New Roman" w:hAnsi="Times New Roman" w:cs="Times New Roman"/>
          <w:color w:val="auto"/>
          <w:sz w:val="28"/>
          <w:szCs w:val="28"/>
        </w:rPr>
        <w:t>，可能遭受伤害的人员主要是加油站员工。</w:t>
      </w:r>
    </w:p>
    <w:p>
      <w:pPr>
        <w:ind w:firstLine="482"/>
        <w:rPr>
          <w:rFonts w:ascii="Times New Roman" w:hAnsi="Times New Roman" w:cs="Times New Roman"/>
          <w:b/>
          <w:color w:val="auto"/>
          <w:sz w:val="28"/>
          <w:szCs w:val="28"/>
        </w:rPr>
      </w:pPr>
      <w:r>
        <w:rPr>
          <w:rFonts w:hint="eastAsia" w:ascii="Times New Roman" w:hAnsi="Times New Roman" w:cs="Times New Roman"/>
          <w:b/>
          <w:color w:val="auto"/>
          <w:sz w:val="28"/>
          <w:szCs w:val="28"/>
        </w:rPr>
        <w:t>综上所述：</w:t>
      </w:r>
      <w:r>
        <w:rPr>
          <w:rFonts w:hint="eastAsia" w:ascii="Times New Roman" w:hAnsi="Times New Roman" w:cs="Times New Roman"/>
          <w:b/>
          <w:color w:val="auto"/>
          <w:sz w:val="28"/>
          <w:szCs w:val="28"/>
          <w:lang w:eastAsia="zh-CN"/>
        </w:rPr>
        <w:t>南充市成南高速公路大观加油站有限公司大观加油站B站</w:t>
      </w:r>
      <w:r>
        <w:rPr>
          <w:rFonts w:hint="eastAsia" w:ascii="Times New Roman" w:hAnsi="Times New Roman" w:cs="Times New Roman"/>
          <w:b/>
          <w:color w:val="auto"/>
          <w:sz w:val="28"/>
          <w:szCs w:val="28"/>
        </w:rPr>
        <w:t>工艺过程中事故风险可控，埋地储油罐与人员频繁操作区域安全间距满足要求，事故影响范围可控，事故状态下能及时排除隐患及危险源。</w:t>
      </w:r>
    </w:p>
    <w:p>
      <w:pPr>
        <w:widowControl/>
        <w:spacing w:line="240" w:lineRule="auto"/>
        <w:ind w:firstLine="0" w:firstLineChars="0"/>
        <w:rPr>
          <w:rFonts w:ascii="Times New Roman" w:hAnsi="Times New Roman" w:cs="Times New Roman"/>
          <w:b/>
          <w:color w:val="auto"/>
          <w:szCs w:val="24"/>
        </w:rPr>
      </w:pPr>
    </w:p>
    <w:sectPr>
      <w:headerReference r:id="rId9" w:type="default"/>
      <w:footerReference r:id="rId10" w:type="default"/>
      <w:pgSz w:w="11906" w:h="16838"/>
      <w:pgMar w:top="1418" w:right="1418" w:bottom="1418" w:left="1418" w:header="851" w:footer="992" w:gutter="0"/>
      <w:pgNumType w:start="1"/>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New time roman">
    <w:altName w:val="Times New Roman"/>
    <w:panose1 w:val="00000000000000000000"/>
    <w:charset w:val="00"/>
    <w:family w:val="roman"/>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193650"/>
      <w:showingPlcHdr/>
    </w:sdtPr>
    <w:sdtContent>
      <w:p>
        <w:pPr>
          <w:pStyle w:val="9"/>
          <w:ind w:firstLine="360"/>
          <w:jc w:val="center"/>
        </w:pPr>
        <w:r>
          <w:t xml:space="preserve">     </w:t>
        </w:r>
      </w:p>
    </w:sdtContent>
  </w:sdt>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12609743"/>
    </w:sdtPr>
    <w:sdtContent>
      <w:p>
        <w:pPr>
          <w:pStyle w:val="9"/>
          <w:ind w:firstLine="360"/>
          <w:jc w:val="center"/>
        </w:pPr>
        <w:r>
          <w:fldChar w:fldCharType="begin"/>
        </w:r>
        <w:r>
          <w:instrText xml:space="preserve">PAGE   \* MERGEFORMAT</w:instrText>
        </w:r>
        <w:r>
          <w:fldChar w:fldCharType="separate"/>
        </w:r>
        <w:r>
          <w:rPr>
            <w:lang w:val="zh-CN"/>
          </w:rPr>
          <w:t>20</w:t>
        </w:r>
        <w:r>
          <w:fldChar w:fldCharType="end"/>
        </w:r>
      </w:p>
    </w:sdtContent>
  </w:sdt>
  <w:p>
    <w:pPr>
      <w:pStyle w:val="9"/>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w:rPr>
        <w:rFonts w:hint="eastAsia"/>
        <w:lang w:eastAsia="zh-CN"/>
      </w:rPr>
      <w:t>南充市成南高速公路大观加油站有限公司大观加油站B站</w:t>
    </w:r>
    <w:r>
      <w:rPr>
        <w:rFonts w:hint="eastAsia"/>
      </w:rPr>
      <w:t>事故风险辨识、评估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D3E20"/>
    <w:multiLevelType w:val="multilevel"/>
    <w:tmpl w:val="06BD3E20"/>
    <w:lvl w:ilvl="0" w:tentative="0">
      <w:start w:val="1"/>
      <w:numFmt w:val="decimal"/>
      <w:lvlText w:val="%1）"/>
      <w:lvlJc w:val="left"/>
      <w:pPr>
        <w:ind w:left="644"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
    <w:nsid w:val="20F5B1A4"/>
    <w:multiLevelType w:val="singleLevel"/>
    <w:tmpl w:val="20F5B1A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D47D7"/>
    <w:rsid w:val="00003CCC"/>
    <w:rsid w:val="00007745"/>
    <w:rsid w:val="00015EBB"/>
    <w:rsid w:val="00016E0D"/>
    <w:rsid w:val="00022F92"/>
    <w:rsid w:val="00033A92"/>
    <w:rsid w:val="000404A6"/>
    <w:rsid w:val="00042991"/>
    <w:rsid w:val="00057058"/>
    <w:rsid w:val="000918BF"/>
    <w:rsid w:val="000B1371"/>
    <w:rsid w:val="000B20A5"/>
    <w:rsid w:val="000C0027"/>
    <w:rsid w:val="000C1AFF"/>
    <w:rsid w:val="000F09B1"/>
    <w:rsid w:val="000F6137"/>
    <w:rsid w:val="00104842"/>
    <w:rsid w:val="0010667F"/>
    <w:rsid w:val="0010785A"/>
    <w:rsid w:val="001233B9"/>
    <w:rsid w:val="001251AD"/>
    <w:rsid w:val="001363EF"/>
    <w:rsid w:val="00142DA5"/>
    <w:rsid w:val="0015493E"/>
    <w:rsid w:val="00166E61"/>
    <w:rsid w:val="001744B1"/>
    <w:rsid w:val="001761C1"/>
    <w:rsid w:val="001801B3"/>
    <w:rsid w:val="00181C50"/>
    <w:rsid w:val="001831F2"/>
    <w:rsid w:val="0018452F"/>
    <w:rsid w:val="001975B5"/>
    <w:rsid w:val="001D47D7"/>
    <w:rsid w:val="001E06BE"/>
    <w:rsid w:val="001E7241"/>
    <w:rsid w:val="001F1AB3"/>
    <w:rsid w:val="001F40DE"/>
    <w:rsid w:val="001F603E"/>
    <w:rsid w:val="00205681"/>
    <w:rsid w:val="00211DD2"/>
    <w:rsid w:val="00215B66"/>
    <w:rsid w:val="002244E9"/>
    <w:rsid w:val="00232B92"/>
    <w:rsid w:val="00255779"/>
    <w:rsid w:val="002838F3"/>
    <w:rsid w:val="00296D43"/>
    <w:rsid w:val="0029772A"/>
    <w:rsid w:val="002A2CB4"/>
    <w:rsid w:val="002A346E"/>
    <w:rsid w:val="002B0B6F"/>
    <w:rsid w:val="002C5C0A"/>
    <w:rsid w:val="002D356F"/>
    <w:rsid w:val="002D47AD"/>
    <w:rsid w:val="002D560C"/>
    <w:rsid w:val="002D78A9"/>
    <w:rsid w:val="002F0516"/>
    <w:rsid w:val="002F74A6"/>
    <w:rsid w:val="00315583"/>
    <w:rsid w:val="00342B1D"/>
    <w:rsid w:val="003565BF"/>
    <w:rsid w:val="003773F6"/>
    <w:rsid w:val="00381323"/>
    <w:rsid w:val="003819A7"/>
    <w:rsid w:val="00382243"/>
    <w:rsid w:val="00382D2F"/>
    <w:rsid w:val="003C1331"/>
    <w:rsid w:val="003D190B"/>
    <w:rsid w:val="003D29FE"/>
    <w:rsid w:val="003D5ABF"/>
    <w:rsid w:val="003D79E2"/>
    <w:rsid w:val="003E3EF0"/>
    <w:rsid w:val="003E7896"/>
    <w:rsid w:val="00412CB7"/>
    <w:rsid w:val="004221E0"/>
    <w:rsid w:val="00426C87"/>
    <w:rsid w:val="00427CD4"/>
    <w:rsid w:val="00427F10"/>
    <w:rsid w:val="00441257"/>
    <w:rsid w:val="00444E8E"/>
    <w:rsid w:val="00451FAE"/>
    <w:rsid w:val="00465F75"/>
    <w:rsid w:val="00471EF0"/>
    <w:rsid w:val="00474476"/>
    <w:rsid w:val="0049188C"/>
    <w:rsid w:val="0049332F"/>
    <w:rsid w:val="004A3D35"/>
    <w:rsid w:val="004B4EC7"/>
    <w:rsid w:val="004C155A"/>
    <w:rsid w:val="004E6818"/>
    <w:rsid w:val="004E6DB3"/>
    <w:rsid w:val="004F0482"/>
    <w:rsid w:val="004F4E57"/>
    <w:rsid w:val="00525304"/>
    <w:rsid w:val="00532DD8"/>
    <w:rsid w:val="005463CF"/>
    <w:rsid w:val="00561E74"/>
    <w:rsid w:val="005650BD"/>
    <w:rsid w:val="00581360"/>
    <w:rsid w:val="005B3B3A"/>
    <w:rsid w:val="005B43B3"/>
    <w:rsid w:val="005C3C3D"/>
    <w:rsid w:val="005D6510"/>
    <w:rsid w:val="005E03EF"/>
    <w:rsid w:val="0060362F"/>
    <w:rsid w:val="006147A7"/>
    <w:rsid w:val="00615032"/>
    <w:rsid w:val="006206C0"/>
    <w:rsid w:val="00625672"/>
    <w:rsid w:val="006340DE"/>
    <w:rsid w:val="00641756"/>
    <w:rsid w:val="00646C00"/>
    <w:rsid w:val="00656C38"/>
    <w:rsid w:val="00664605"/>
    <w:rsid w:val="00692215"/>
    <w:rsid w:val="006936ED"/>
    <w:rsid w:val="006951CC"/>
    <w:rsid w:val="00696A34"/>
    <w:rsid w:val="006B5A91"/>
    <w:rsid w:val="006E4DAD"/>
    <w:rsid w:val="006F3213"/>
    <w:rsid w:val="006F6944"/>
    <w:rsid w:val="0072423D"/>
    <w:rsid w:val="00734D6C"/>
    <w:rsid w:val="007354EE"/>
    <w:rsid w:val="00742B88"/>
    <w:rsid w:val="00743B8F"/>
    <w:rsid w:val="007468BB"/>
    <w:rsid w:val="00766BF6"/>
    <w:rsid w:val="00793F72"/>
    <w:rsid w:val="007B19D5"/>
    <w:rsid w:val="007B7672"/>
    <w:rsid w:val="007C54B9"/>
    <w:rsid w:val="007F02BD"/>
    <w:rsid w:val="007F48FD"/>
    <w:rsid w:val="00802522"/>
    <w:rsid w:val="008035E2"/>
    <w:rsid w:val="00807D44"/>
    <w:rsid w:val="00820677"/>
    <w:rsid w:val="0082328A"/>
    <w:rsid w:val="0087027A"/>
    <w:rsid w:val="00882AFA"/>
    <w:rsid w:val="008908E9"/>
    <w:rsid w:val="008976F5"/>
    <w:rsid w:val="008A1A81"/>
    <w:rsid w:val="008B3948"/>
    <w:rsid w:val="008C79F7"/>
    <w:rsid w:val="008D64C6"/>
    <w:rsid w:val="008E3ABB"/>
    <w:rsid w:val="008F23B8"/>
    <w:rsid w:val="00926D59"/>
    <w:rsid w:val="00933082"/>
    <w:rsid w:val="00937DFF"/>
    <w:rsid w:val="00950F86"/>
    <w:rsid w:val="00954CAB"/>
    <w:rsid w:val="00975E71"/>
    <w:rsid w:val="00982CB5"/>
    <w:rsid w:val="00983EE8"/>
    <w:rsid w:val="00994B2E"/>
    <w:rsid w:val="009A55A7"/>
    <w:rsid w:val="009A78C3"/>
    <w:rsid w:val="009B4166"/>
    <w:rsid w:val="009D0514"/>
    <w:rsid w:val="009F60C9"/>
    <w:rsid w:val="009F722B"/>
    <w:rsid w:val="00A06028"/>
    <w:rsid w:val="00A07146"/>
    <w:rsid w:val="00A22F66"/>
    <w:rsid w:val="00A262C4"/>
    <w:rsid w:val="00A355E8"/>
    <w:rsid w:val="00A35B70"/>
    <w:rsid w:val="00A42FB4"/>
    <w:rsid w:val="00A71796"/>
    <w:rsid w:val="00A82010"/>
    <w:rsid w:val="00A85CC1"/>
    <w:rsid w:val="00AA13D6"/>
    <w:rsid w:val="00AA1D24"/>
    <w:rsid w:val="00AA471C"/>
    <w:rsid w:val="00AA6AE1"/>
    <w:rsid w:val="00AA7C08"/>
    <w:rsid w:val="00AB24F4"/>
    <w:rsid w:val="00AB7132"/>
    <w:rsid w:val="00AC7B29"/>
    <w:rsid w:val="00AE02AE"/>
    <w:rsid w:val="00AF0FF9"/>
    <w:rsid w:val="00B13612"/>
    <w:rsid w:val="00B14644"/>
    <w:rsid w:val="00B161C5"/>
    <w:rsid w:val="00B20E15"/>
    <w:rsid w:val="00B33C4C"/>
    <w:rsid w:val="00B40201"/>
    <w:rsid w:val="00B44CA6"/>
    <w:rsid w:val="00B652A3"/>
    <w:rsid w:val="00B703C4"/>
    <w:rsid w:val="00B75707"/>
    <w:rsid w:val="00B80056"/>
    <w:rsid w:val="00B869C7"/>
    <w:rsid w:val="00BA49C0"/>
    <w:rsid w:val="00BA4E45"/>
    <w:rsid w:val="00BB3D91"/>
    <w:rsid w:val="00BB7CCD"/>
    <w:rsid w:val="00BD33D6"/>
    <w:rsid w:val="00BE37C4"/>
    <w:rsid w:val="00BE46CC"/>
    <w:rsid w:val="00BF423B"/>
    <w:rsid w:val="00BF7FFA"/>
    <w:rsid w:val="00C01138"/>
    <w:rsid w:val="00C22771"/>
    <w:rsid w:val="00C259DD"/>
    <w:rsid w:val="00C831C4"/>
    <w:rsid w:val="00CA028F"/>
    <w:rsid w:val="00CC60E1"/>
    <w:rsid w:val="00CD4D78"/>
    <w:rsid w:val="00CD5AD3"/>
    <w:rsid w:val="00CE4D40"/>
    <w:rsid w:val="00CE60BD"/>
    <w:rsid w:val="00D04741"/>
    <w:rsid w:val="00D17404"/>
    <w:rsid w:val="00D437F3"/>
    <w:rsid w:val="00D62E9B"/>
    <w:rsid w:val="00D6423B"/>
    <w:rsid w:val="00D74D41"/>
    <w:rsid w:val="00DA41AD"/>
    <w:rsid w:val="00DB5BCD"/>
    <w:rsid w:val="00DC1341"/>
    <w:rsid w:val="00DC330D"/>
    <w:rsid w:val="00DD65D7"/>
    <w:rsid w:val="00DF1A82"/>
    <w:rsid w:val="00DF2844"/>
    <w:rsid w:val="00E02097"/>
    <w:rsid w:val="00E03D4A"/>
    <w:rsid w:val="00E13310"/>
    <w:rsid w:val="00E17312"/>
    <w:rsid w:val="00E2214D"/>
    <w:rsid w:val="00E40D90"/>
    <w:rsid w:val="00E42F4D"/>
    <w:rsid w:val="00E4366A"/>
    <w:rsid w:val="00E5596F"/>
    <w:rsid w:val="00E716E7"/>
    <w:rsid w:val="00E74AB2"/>
    <w:rsid w:val="00E81789"/>
    <w:rsid w:val="00E81B67"/>
    <w:rsid w:val="00E930F7"/>
    <w:rsid w:val="00EA1B76"/>
    <w:rsid w:val="00EA5451"/>
    <w:rsid w:val="00EA6D35"/>
    <w:rsid w:val="00EA7125"/>
    <w:rsid w:val="00EA779A"/>
    <w:rsid w:val="00EB4F4C"/>
    <w:rsid w:val="00EC5F36"/>
    <w:rsid w:val="00ED1B88"/>
    <w:rsid w:val="00EE248E"/>
    <w:rsid w:val="00EF78ED"/>
    <w:rsid w:val="00F00FC4"/>
    <w:rsid w:val="00F045FD"/>
    <w:rsid w:val="00F167B8"/>
    <w:rsid w:val="00F46479"/>
    <w:rsid w:val="00F53165"/>
    <w:rsid w:val="00F62992"/>
    <w:rsid w:val="00F64F83"/>
    <w:rsid w:val="00F672D0"/>
    <w:rsid w:val="00F72017"/>
    <w:rsid w:val="00F7371F"/>
    <w:rsid w:val="00F77895"/>
    <w:rsid w:val="00F81D1E"/>
    <w:rsid w:val="00F9641F"/>
    <w:rsid w:val="00FA39A0"/>
    <w:rsid w:val="00FA73E8"/>
    <w:rsid w:val="00FB1925"/>
    <w:rsid w:val="00FC12D6"/>
    <w:rsid w:val="00FD476E"/>
    <w:rsid w:val="00FF5410"/>
    <w:rsid w:val="05BB785B"/>
    <w:rsid w:val="05D15C43"/>
    <w:rsid w:val="07E16F71"/>
    <w:rsid w:val="09B42458"/>
    <w:rsid w:val="0BF87A3F"/>
    <w:rsid w:val="0DAA12CF"/>
    <w:rsid w:val="0DC5667C"/>
    <w:rsid w:val="105349B9"/>
    <w:rsid w:val="16425173"/>
    <w:rsid w:val="179F5633"/>
    <w:rsid w:val="17C51A7A"/>
    <w:rsid w:val="19574DBD"/>
    <w:rsid w:val="1C5774A0"/>
    <w:rsid w:val="1D253EA5"/>
    <w:rsid w:val="1E4C78CA"/>
    <w:rsid w:val="23FF37AC"/>
    <w:rsid w:val="24C31227"/>
    <w:rsid w:val="259168BD"/>
    <w:rsid w:val="2A313D7F"/>
    <w:rsid w:val="2B4146D5"/>
    <w:rsid w:val="33B56994"/>
    <w:rsid w:val="36144C25"/>
    <w:rsid w:val="39485A6D"/>
    <w:rsid w:val="3E5F6F56"/>
    <w:rsid w:val="3EB84B16"/>
    <w:rsid w:val="3ECE237C"/>
    <w:rsid w:val="40BD0EA9"/>
    <w:rsid w:val="42F2407B"/>
    <w:rsid w:val="43427080"/>
    <w:rsid w:val="44F72F58"/>
    <w:rsid w:val="498E6219"/>
    <w:rsid w:val="4BEF3495"/>
    <w:rsid w:val="4D382AA7"/>
    <w:rsid w:val="4F1C7759"/>
    <w:rsid w:val="4F351A88"/>
    <w:rsid w:val="55B9486F"/>
    <w:rsid w:val="57350BF7"/>
    <w:rsid w:val="58CA3CE7"/>
    <w:rsid w:val="5F2401D1"/>
    <w:rsid w:val="646E5C14"/>
    <w:rsid w:val="70D11AC1"/>
    <w:rsid w:val="755E59A2"/>
    <w:rsid w:val="76786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pPr>
    <w:rPr>
      <w:rFonts w:eastAsia="宋体" w:asciiTheme="minorHAnsi" w:hAnsiTheme="minorHAnsi" w:cstheme="minorBidi"/>
      <w:kern w:val="2"/>
      <w:sz w:val="24"/>
      <w:szCs w:val="22"/>
      <w:lang w:val="en-US" w:eastAsia="zh-CN" w:bidi="ar-SA"/>
    </w:rPr>
  </w:style>
  <w:style w:type="paragraph" w:styleId="3">
    <w:name w:val="heading 1"/>
    <w:basedOn w:val="1"/>
    <w:next w:val="1"/>
    <w:link w:val="28"/>
    <w:qFormat/>
    <w:uiPriority w:val="0"/>
    <w:pPr>
      <w:keepNext/>
      <w:keepLines/>
      <w:spacing w:afterLines="30"/>
      <w:jc w:val="center"/>
      <w:outlineLvl w:val="0"/>
    </w:pPr>
    <w:rPr>
      <w:rFonts w:ascii="Times New Roman" w:hAnsi="Times New Roman" w:eastAsia="黑体" w:cs="Times New Roman"/>
      <w:b/>
      <w:kern w:val="44"/>
      <w:sz w:val="32"/>
      <w:szCs w:val="24"/>
    </w:rPr>
  </w:style>
  <w:style w:type="paragraph" w:styleId="4">
    <w:name w:val="heading 2"/>
    <w:basedOn w:val="1"/>
    <w:next w:val="1"/>
    <w:link w:val="21"/>
    <w:unhideWhenUsed/>
    <w:qFormat/>
    <w:uiPriority w:val="9"/>
    <w:pPr>
      <w:keepNext/>
      <w:keepLines/>
      <w:spacing w:after="20" w:afterLines="20"/>
      <w:ind w:firstLine="0" w:firstLineChars="0"/>
      <w:outlineLvl w:val="1"/>
    </w:pPr>
    <w:rPr>
      <w:rFonts w:eastAsia="黑体" w:asciiTheme="majorHAnsi" w:hAnsiTheme="majorHAnsi" w:cstheme="majorBidi"/>
      <w:b/>
      <w:bCs/>
      <w:sz w:val="30"/>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正文 首行缩进:  2 字符"/>
    <w:basedOn w:val="1"/>
    <w:qFormat/>
    <w:uiPriority w:val="0"/>
    <w:pPr>
      <w:ind w:firstLine="579"/>
    </w:pPr>
    <w:rPr>
      <w:rFonts w:cs="宋体"/>
      <w:szCs w:val="20"/>
    </w:rPr>
  </w:style>
  <w:style w:type="paragraph" w:styleId="5">
    <w:name w:val="caption"/>
    <w:basedOn w:val="1"/>
    <w:next w:val="1"/>
    <w:unhideWhenUsed/>
    <w:qFormat/>
    <w:uiPriority w:val="35"/>
    <w:rPr>
      <w:rFonts w:eastAsia="黑体" w:asciiTheme="majorHAnsi" w:hAnsiTheme="majorHAnsi" w:cstheme="majorBidi"/>
      <w:sz w:val="20"/>
      <w:szCs w:val="20"/>
    </w:rPr>
  </w:style>
  <w:style w:type="paragraph" w:styleId="6">
    <w:name w:val="annotation text"/>
    <w:basedOn w:val="1"/>
    <w:link w:val="36"/>
    <w:semiHidden/>
    <w:unhideWhenUsed/>
    <w:qFormat/>
    <w:uiPriority w:val="99"/>
  </w:style>
  <w:style w:type="paragraph" w:styleId="7">
    <w:name w:val="Body Text Indent"/>
    <w:basedOn w:val="1"/>
    <w:link w:val="40"/>
    <w:semiHidden/>
    <w:unhideWhenUsed/>
    <w:qFormat/>
    <w:uiPriority w:val="99"/>
    <w:pPr>
      <w:spacing w:after="120"/>
      <w:ind w:left="420" w:leftChars="200"/>
    </w:pPr>
  </w:style>
  <w:style w:type="paragraph" w:styleId="8">
    <w:name w:val="Balloon Text"/>
    <w:basedOn w:val="1"/>
    <w:link w:val="35"/>
    <w:semiHidden/>
    <w:unhideWhenUsed/>
    <w:qFormat/>
    <w:uiPriority w:val="99"/>
    <w:pPr>
      <w:spacing w:line="240" w:lineRule="auto"/>
    </w:pPr>
    <w:rPr>
      <w:sz w:val="18"/>
      <w:szCs w:val="18"/>
    </w:rPr>
  </w:style>
  <w:style w:type="paragraph" w:styleId="9">
    <w:name w:val="footer"/>
    <w:basedOn w:val="1"/>
    <w:link w:val="23"/>
    <w:unhideWhenUsed/>
    <w:qFormat/>
    <w:uiPriority w:val="99"/>
    <w:pPr>
      <w:tabs>
        <w:tab w:val="center" w:pos="4153"/>
        <w:tab w:val="right" w:pos="8306"/>
      </w:tabs>
      <w:snapToGrid w:val="0"/>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toc 2"/>
    <w:basedOn w:val="1"/>
    <w:next w:val="1"/>
    <w:unhideWhenUsed/>
    <w:qFormat/>
    <w:uiPriority w:val="39"/>
    <w:pPr>
      <w:ind w:left="420" w:leftChars="200"/>
    </w:pPr>
  </w:style>
  <w:style w:type="paragraph" w:styleId="13">
    <w:name w:val="Title"/>
    <w:basedOn w:val="1"/>
    <w:next w:val="1"/>
    <w:link w:val="31"/>
    <w:qFormat/>
    <w:uiPriority w:val="10"/>
    <w:pPr>
      <w:spacing w:before="240" w:after="60"/>
      <w:jc w:val="center"/>
      <w:outlineLvl w:val="0"/>
    </w:pPr>
    <w:rPr>
      <w:rFonts w:asciiTheme="majorHAnsi" w:hAnsiTheme="majorHAnsi" w:cstheme="majorBidi"/>
      <w:b/>
      <w:bCs/>
      <w:sz w:val="32"/>
      <w:szCs w:val="32"/>
    </w:rPr>
  </w:style>
  <w:style w:type="paragraph" w:styleId="14">
    <w:name w:val="annotation subject"/>
    <w:basedOn w:val="6"/>
    <w:next w:val="6"/>
    <w:link w:val="37"/>
    <w:semiHidden/>
    <w:unhideWhenUsed/>
    <w:qFormat/>
    <w:uiPriority w:val="99"/>
    <w:rPr>
      <w:b/>
      <w:bCs/>
    </w:rPr>
  </w:style>
  <w:style w:type="paragraph" w:styleId="15">
    <w:name w:val="Body Text First Indent 2"/>
    <w:basedOn w:val="7"/>
    <w:link w:val="41"/>
    <w:semiHidden/>
    <w:unhideWhenUsed/>
    <w:qFormat/>
    <w:uiPriority w:val="99"/>
    <w:pPr>
      <w:ind w:firstLine="420"/>
    </w:p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unhideWhenUsed/>
    <w:qFormat/>
    <w:uiPriority w:val="99"/>
    <w:rPr>
      <w:color w:val="0000FF" w:themeColor="hyperlink"/>
      <w:u w:val="single"/>
    </w:rPr>
  </w:style>
  <w:style w:type="character" w:styleId="20">
    <w:name w:val="annotation reference"/>
    <w:basedOn w:val="18"/>
    <w:semiHidden/>
    <w:unhideWhenUsed/>
    <w:qFormat/>
    <w:uiPriority w:val="99"/>
    <w:rPr>
      <w:sz w:val="21"/>
      <w:szCs w:val="21"/>
    </w:rPr>
  </w:style>
  <w:style w:type="character" w:customStyle="1" w:styleId="21">
    <w:name w:val="标题 2 字符"/>
    <w:basedOn w:val="18"/>
    <w:link w:val="4"/>
    <w:qFormat/>
    <w:uiPriority w:val="9"/>
    <w:rPr>
      <w:rFonts w:eastAsia="黑体" w:asciiTheme="majorHAnsi" w:hAnsiTheme="majorHAnsi" w:cstheme="majorBidi"/>
      <w:b/>
      <w:bCs/>
      <w:kern w:val="2"/>
      <w:sz w:val="30"/>
      <w:szCs w:val="32"/>
    </w:rPr>
  </w:style>
  <w:style w:type="character" w:customStyle="1" w:styleId="22">
    <w:name w:val="页眉 字符"/>
    <w:basedOn w:val="18"/>
    <w:link w:val="10"/>
    <w:qFormat/>
    <w:uiPriority w:val="99"/>
    <w:rPr>
      <w:sz w:val="18"/>
      <w:szCs w:val="18"/>
    </w:rPr>
  </w:style>
  <w:style w:type="character" w:customStyle="1" w:styleId="23">
    <w:name w:val="页脚 字符"/>
    <w:basedOn w:val="18"/>
    <w:link w:val="9"/>
    <w:qFormat/>
    <w:uiPriority w:val="99"/>
    <w:rPr>
      <w:sz w:val="18"/>
      <w:szCs w:val="18"/>
    </w:rPr>
  </w:style>
  <w:style w:type="paragraph" w:styleId="24">
    <w:name w:val="List Paragraph"/>
    <w:basedOn w:val="1"/>
    <w:qFormat/>
    <w:uiPriority w:val="34"/>
    <w:pPr>
      <w:ind w:firstLine="420"/>
    </w:pPr>
  </w:style>
  <w:style w:type="paragraph" w:customStyle="1" w:styleId="25">
    <w:name w:val="表头和图名"/>
    <w:basedOn w:val="1"/>
    <w:next w:val="1"/>
    <w:link w:val="26"/>
    <w:qFormat/>
    <w:uiPriority w:val="0"/>
    <w:pPr>
      <w:adjustRightInd w:val="0"/>
      <w:snapToGrid w:val="0"/>
      <w:spacing w:beforeLines="10" w:afterLines="10"/>
      <w:jc w:val="center"/>
    </w:pPr>
    <w:rPr>
      <w:rFonts w:ascii="Times New Roman" w:hAnsi="Times New Roman" w:eastAsia="黑体" w:cs="Times New Roman"/>
      <w:szCs w:val="28"/>
    </w:rPr>
  </w:style>
  <w:style w:type="character" w:customStyle="1" w:styleId="26">
    <w:name w:val="表头和图名 字符"/>
    <w:link w:val="25"/>
    <w:qFormat/>
    <w:uiPriority w:val="0"/>
    <w:rPr>
      <w:rFonts w:ascii="Times New Roman" w:hAnsi="Times New Roman" w:eastAsia="黑体" w:cs="Times New Roman"/>
      <w:sz w:val="24"/>
      <w:szCs w:val="28"/>
    </w:rPr>
  </w:style>
  <w:style w:type="paragraph" w:customStyle="1" w:styleId="27">
    <w:name w:val="表内容"/>
    <w:basedOn w:val="1"/>
    <w:qFormat/>
    <w:uiPriority w:val="0"/>
    <w:pPr>
      <w:jc w:val="center"/>
    </w:pPr>
    <w:rPr>
      <w:rFonts w:ascii="Times New Roman" w:hAnsi="Times New Roman" w:cs="Times New Roman"/>
      <w:kern w:val="0"/>
      <w:szCs w:val="24"/>
    </w:rPr>
  </w:style>
  <w:style w:type="character" w:customStyle="1" w:styleId="28">
    <w:name w:val="标题 1 字符"/>
    <w:basedOn w:val="18"/>
    <w:link w:val="3"/>
    <w:qFormat/>
    <w:uiPriority w:val="0"/>
    <w:rPr>
      <w:rFonts w:eastAsia="黑体"/>
      <w:b/>
      <w:kern w:val="44"/>
      <w:sz w:val="32"/>
      <w:szCs w:val="24"/>
    </w:rPr>
  </w:style>
  <w:style w:type="paragraph" w:customStyle="1" w:styleId="29">
    <w:name w:val="表格中的文字"/>
    <w:basedOn w:val="1"/>
    <w:next w:val="1"/>
    <w:link w:val="30"/>
    <w:qFormat/>
    <w:uiPriority w:val="0"/>
    <w:pPr>
      <w:jc w:val="center"/>
    </w:pPr>
    <w:rPr>
      <w:rFonts w:ascii="Times New Roman" w:hAnsi="Times New Roman" w:cs="Times New Roman"/>
      <w:szCs w:val="24"/>
    </w:rPr>
  </w:style>
  <w:style w:type="character" w:customStyle="1" w:styleId="30">
    <w:name w:val="表格中的文字 字符"/>
    <w:link w:val="29"/>
    <w:qFormat/>
    <w:uiPriority w:val="0"/>
    <w:rPr>
      <w:rFonts w:ascii="Times New Roman" w:hAnsi="Times New Roman" w:eastAsia="宋体" w:cs="Times New Roman"/>
      <w:szCs w:val="24"/>
    </w:rPr>
  </w:style>
  <w:style w:type="character" w:customStyle="1" w:styleId="31">
    <w:name w:val="标题 字符"/>
    <w:basedOn w:val="18"/>
    <w:link w:val="13"/>
    <w:qFormat/>
    <w:uiPriority w:val="10"/>
    <w:rPr>
      <w:rFonts w:eastAsia="宋体" w:asciiTheme="majorHAnsi" w:hAnsiTheme="majorHAnsi" w:cstheme="majorBidi"/>
      <w:b/>
      <w:bCs/>
      <w:sz w:val="32"/>
      <w:szCs w:val="32"/>
    </w:rPr>
  </w:style>
  <w:style w:type="paragraph" w:customStyle="1" w:styleId="32">
    <w:name w:val="表头和 图名"/>
    <w:basedOn w:val="1"/>
    <w:link w:val="33"/>
    <w:qFormat/>
    <w:uiPriority w:val="0"/>
    <w:pPr>
      <w:spacing w:beforeLines="20" w:afterLines="20"/>
      <w:jc w:val="center"/>
    </w:pPr>
    <w:rPr>
      <w:rFonts w:ascii="Times New Roman" w:hAnsi="Times New Roman" w:eastAsia="黑体" w:cs="Times New Roman"/>
      <w:szCs w:val="20"/>
    </w:rPr>
  </w:style>
  <w:style w:type="character" w:customStyle="1" w:styleId="33">
    <w:name w:val="表头和 图名 字符"/>
    <w:link w:val="32"/>
    <w:qFormat/>
    <w:uiPriority w:val="0"/>
    <w:rPr>
      <w:rFonts w:ascii="Times New Roman" w:hAnsi="Times New Roman" w:eastAsia="黑体" w:cs="Times New Roman"/>
      <w:sz w:val="24"/>
      <w:szCs w:val="20"/>
    </w:rPr>
  </w:style>
  <w:style w:type="paragraph" w:customStyle="1" w:styleId="34">
    <w:name w:val="TOC 标题1"/>
    <w:basedOn w:val="3"/>
    <w:next w:val="1"/>
    <w:semiHidden/>
    <w:unhideWhenUsed/>
    <w:qFormat/>
    <w:uiPriority w:val="39"/>
    <w:pPr>
      <w:widowControl/>
      <w:spacing w:before="480" w:afterLines="0" w:line="276" w:lineRule="auto"/>
      <w:ind w:firstLine="0" w:firstLineChars="0"/>
      <w:jc w:val="left"/>
      <w:outlineLvl w:val="9"/>
    </w:pPr>
    <w:rPr>
      <w:rFonts w:asciiTheme="majorHAnsi" w:hAnsiTheme="majorHAnsi" w:eastAsiaTheme="majorEastAsia" w:cstheme="majorBidi"/>
      <w:b w:val="0"/>
      <w:bCs/>
      <w:color w:val="366091" w:themeColor="accent1" w:themeShade="BF"/>
      <w:kern w:val="0"/>
      <w:sz w:val="28"/>
      <w:szCs w:val="28"/>
    </w:rPr>
  </w:style>
  <w:style w:type="character" w:customStyle="1" w:styleId="35">
    <w:name w:val="批注框文本 字符"/>
    <w:basedOn w:val="18"/>
    <w:link w:val="8"/>
    <w:semiHidden/>
    <w:qFormat/>
    <w:uiPriority w:val="99"/>
    <w:rPr>
      <w:rFonts w:eastAsia="宋体"/>
      <w:sz w:val="18"/>
      <w:szCs w:val="18"/>
    </w:rPr>
  </w:style>
  <w:style w:type="character" w:customStyle="1" w:styleId="36">
    <w:name w:val="批注文字 字符"/>
    <w:basedOn w:val="18"/>
    <w:link w:val="6"/>
    <w:semiHidden/>
    <w:qFormat/>
    <w:uiPriority w:val="99"/>
    <w:rPr>
      <w:rFonts w:asciiTheme="minorHAnsi" w:hAnsiTheme="minorHAnsi" w:cstheme="minorBidi"/>
      <w:kern w:val="2"/>
      <w:sz w:val="24"/>
      <w:szCs w:val="22"/>
    </w:rPr>
  </w:style>
  <w:style w:type="character" w:customStyle="1" w:styleId="37">
    <w:name w:val="批注主题 字符"/>
    <w:basedOn w:val="36"/>
    <w:link w:val="14"/>
    <w:semiHidden/>
    <w:qFormat/>
    <w:uiPriority w:val="99"/>
    <w:rPr>
      <w:rFonts w:asciiTheme="minorHAnsi" w:hAnsiTheme="minorHAnsi" w:cstheme="minorBidi"/>
      <w:b/>
      <w:bCs/>
      <w:kern w:val="2"/>
      <w:sz w:val="24"/>
      <w:szCs w:val="22"/>
    </w:rPr>
  </w:style>
  <w:style w:type="paragraph" w:customStyle="1" w:styleId="38">
    <w:name w:val="正文首行缩进 2 Char Char Char Char Char Char Char"/>
    <w:basedOn w:val="7"/>
    <w:next w:val="15"/>
    <w:link w:val="39"/>
    <w:qFormat/>
    <w:uiPriority w:val="0"/>
    <w:pPr>
      <w:ind w:left="0" w:leftChars="0" w:firstLine="0" w:firstLineChars="0"/>
    </w:pPr>
    <w:rPr>
      <w:rFonts w:ascii="Times New Roman" w:hAnsi="Times New Roman" w:cs="Times New Roman"/>
      <w:kern w:val="0"/>
      <w:sz w:val="20"/>
      <w:szCs w:val="20"/>
    </w:rPr>
  </w:style>
  <w:style w:type="character" w:customStyle="1" w:styleId="39">
    <w:name w:val="正文首行缩进 2 Char"/>
    <w:link w:val="38"/>
    <w:qFormat/>
    <w:uiPriority w:val="0"/>
  </w:style>
  <w:style w:type="character" w:customStyle="1" w:styleId="40">
    <w:name w:val="正文文本缩进 字符"/>
    <w:basedOn w:val="18"/>
    <w:link w:val="7"/>
    <w:semiHidden/>
    <w:qFormat/>
    <w:uiPriority w:val="99"/>
    <w:rPr>
      <w:rFonts w:asciiTheme="minorHAnsi" w:hAnsiTheme="minorHAnsi" w:cstheme="minorBidi"/>
      <w:kern w:val="2"/>
      <w:sz w:val="24"/>
      <w:szCs w:val="22"/>
    </w:rPr>
  </w:style>
  <w:style w:type="character" w:customStyle="1" w:styleId="41">
    <w:name w:val="正文文本首行缩进 2 字符"/>
    <w:basedOn w:val="40"/>
    <w:link w:val="15"/>
    <w:semiHidden/>
    <w:qFormat/>
    <w:uiPriority w:val="99"/>
    <w:rPr>
      <w:rFonts w:asciiTheme="minorHAnsi" w:hAnsiTheme="minorHAnsi" w:cstheme="minorBidi"/>
      <w:kern w:val="2"/>
      <w:sz w:val="24"/>
      <w:szCs w:val="22"/>
    </w:rPr>
  </w:style>
  <w:style w:type="paragraph" w:customStyle="1" w:styleId="42">
    <w:name w:val="p0"/>
    <w:basedOn w:val="1"/>
    <w:qFormat/>
    <w:uiPriority w:val="0"/>
    <w:pPr>
      <w:widowControl/>
      <w:ind w:firstLine="420"/>
    </w:pPr>
    <w:rPr>
      <w:rFonts w:cs="Times New Roman"/>
      <w:kern w:val="0"/>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7AB904-5D06-4DDB-AC32-FDC252397A6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22</Pages>
  <Words>1987</Words>
  <Characters>11331</Characters>
  <Lines>94</Lines>
  <Paragraphs>26</Paragraphs>
  <TotalTime>13</TotalTime>
  <ScaleCrop>false</ScaleCrop>
  <LinksUpToDate>false</LinksUpToDate>
  <CharactersWithSpaces>13292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2019-04-03T01:19:00Z</dcterms:created>
  <dc:creator>LK-DELL</dc:creator>
  <cp:lastModifiedBy>admin</cp:lastModifiedBy>
  <cp:lastPrinted>2020-07-31T08:45:27Z</cp:lastPrinted>
  <dcterms:modified xsi:type="dcterms:W3CDTF">2020-07-31T09:29:12Z</dcterms:modified>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