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sz w:val="28"/>
          <w:szCs w:val="28"/>
        </w:rPr>
      </w:pPr>
      <w:bookmarkStart w:id="0" w:name="_Toc459150227"/>
    </w:p>
    <w:p>
      <w:pPr>
        <w:jc w:val="center"/>
        <w:rPr>
          <w:rFonts w:hint="eastAsia"/>
          <w:sz w:val="32"/>
          <w:szCs w:val="32"/>
        </w:rPr>
      </w:pPr>
    </w:p>
    <w:p>
      <w:pPr>
        <w:jc w:val="center"/>
        <w:rPr>
          <w:rFonts w:hint="eastAsia"/>
          <w:sz w:val="32"/>
          <w:szCs w:val="32"/>
        </w:rPr>
      </w:pPr>
    </w:p>
    <w:p>
      <w:pPr>
        <w:spacing w:line="360" w:lineRule="auto"/>
        <w:jc w:val="center"/>
        <w:rPr>
          <w:rFonts w:hint="eastAsia" w:ascii="宋体" w:hAnsi="宋体"/>
          <w:b/>
          <w:bCs/>
          <w:caps/>
          <w:sz w:val="48"/>
          <w:szCs w:val="48"/>
        </w:rPr>
      </w:pPr>
    </w:p>
    <w:p>
      <w:pPr>
        <w:spacing w:line="360" w:lineRule="auto"/>
        <w:jc w:val="center"/>
        <w:rPr>
          <w:b/>
          <w:bCs/>
          <w:caps/>
          <w:sz w:val="48"/>
          <w:szCs w:val="48"/>
        </w:rPr>
      </w:pPr>
    </w:p>
    <w:p>
      <w:pPr>
        <w:spacing w:line="360" w:lineRule="auto"/>
        <w:jc w:val="center"/>
        <w:rPr>
          <w:rFonts w:hint="eastAsia"/>
          <w:b/>
          <w:bCs/>
          <w:caps/>
          <w:sz w:val="48"/>
          <w:szCs w:val="48"/>
        </w:rPr>
      </w:pPr>
      <w:r>
        <w:rPr>
          <w:rFonts w:hint="eastAsia"/>
          <w:b/>
          <w:bCs/>
          <w:caps/>
          <w:sz w:val="48"/>
          <w:szCs w:val="48"/>
        </w:rPr>
        <w:t>南充经开城镇投资建设有限责任公司</w:t>
      </w:r>
    </w:p>
    <w:p>
      <w:pPr>
        <w:spacing w:line="360" w:lineRule="auto"/>
        <w:jc w:val="center"/>
        <w:rPr>
          <w:b/>
          <w:bCs/>
          <w:caps/>
          <w:sz w:val="48"/>
          <w:szCs w:val="48"/>
        </w:rPr>
      </w:pPr>
    </w:p>
    <w:p>
      <w:pPr>
        <w:spacing w:line="360" w:lineRule="auto"/>
        <w:jc w:val="center"/>
        <w:rPr>
          <w:b/>
          <w:bCs/>
          <w:caps/>
          <w:sz w:val="48"/>
          <w:szCs w:val="48"/>
        </w:rPr>
      </w:pPr>
      <w:r>
        <w:rPr>
          <w:rFonts w:hint="eastAsia"/>
          <w:b/>
          <w:bCs/>
          <w:caps/>
          <w:sz w:val="48"/>
          <w:szCs w:val="48"/>
        </w:rPr>
        <w:t>专用线</w:t>
      </w:r>
    </w:p>
    <w:p>
      <w:pPr>
        <w:spacing w:line="360" w:lineRule="auto"/>
        <w:jc w:val="center"/>
        <w:rPr>
          <w:b/>
          <w:bCs/>
          <w:caps/>
          <w:sz w:val="48"/>
          <w:szCs w:val="48"/>
        </w:rPr>
      </w:pPr>
      <w:r>
        <w:rPr>
          <w:b/>
          <w:bCs/>
          <w:caps/>
          <w:sz w:val="48"/>
          <w:szCs w:val="48"/>
        </w:rPr>
        <w:t>事故风险评估报告</w:t>
      </w:r>
    </w:p>
    <w:p>
      <w:pPr>
        <w:jc w:val="center"/>
        <w:rPr>
          <w:sz w:val="32"/>
          <w:szCs w:val="32"/>
        </w:rPr>
      </w:pPr>
    </w:p>
    <w:p>
      <w:pPr>
        <w:jc w:val="center"/>
        <w:rPr>
          <w:sz w:val="32"/>
          <w:szCs w:val="32"/>
        </w:rPr>
      </w:pPr>
    </w:p>
    <w:p>
      <w:pPr>
        <w:jc w:val="both"/>
        <w:rPr>
          <w:rFonts w:hint="eastAsia"/>
          <w:sz w:val="32"/>
          <w:szCs w:val="32"/>
        </w:rPr>
      </w:pPr>
    </w:p>
    <w:p>
      <w:pPr>
        <w:pStyle w:val="24"/>
        <w:rPr>
          <w:rFonts w:hint="eastAsia"/>
          <w:sz w:val="32"/>
          <w:szCs w:val="32"/>
        </w:rPr>
      </w:pPr>
    </w:p>
    <w:p>
      <w:pPr>
        <w:pStyle w:val="24"/>
        <w:rPr>
          <w:rFonts w:hint="eastAsia"/>
          <w:sz w:val="32"/>
          <w:szCs w:val="32"/>
        </w:rPr>
      </w:pPr>
    </w:p>
    <w:p>
      <w:pPr>
        <w:pStyle w:val="24"/>
        <w:rPr>
          <w:rFonts w:hint="eastAsia"/>
          <w:sz w:val="32"/>
          <w:szCs w:val="32"/>
        </w:rPr>
      </w:pPr>
    </w:p>
    <w:p>
      <w:pPr>
        <w:pStyle w:val="24"/>
        <w:rPr>
          <w:rFonts w:hint="eastAsia"/>
          <w:sz w:val="32"/>
          <w:szCs w:val="32"/>
        </w:rPr>
      </w:pPr>
    </w:p>
    <w:p>
      <w:pPr>
        <w:pStyle w:val="24"/>
        <w:rPr>
          <w:rFonts w:hint="eastAsia"/>
          <w:sz w:val="32"/>
          <w:szCs w:val="32"/>
        </w:rPr>
      </w:pPr>
    </w:p>
    <w:p>
      <w:pPr>
        <w:rPr>
          <w:sz w:val="32"/>
          <w:szCs w:val="32"/>
        </w:rPr>
      </w:pPr>
    </w:p>
    <w:tbl>
      <w:tblPr>
        <w:tblStyle w:val="54"/>
        <w:tblW w:w="7791" w:type="dxa"/>
        <w:jc w:val="center"/>
        <w:tblInd w:w="0" w:type="dxa"/>
        <w:tblLayout w:type="fixed"/>
        <w:tblCellMar>
          <w:top w:w="0" w:type="dxa"/>
          <w:left w:w="108" w:type="dxa"/>
          <w:bottom w:w="0" w:type="dxa"/>
          <w:right w:w="108" w:type="dxa"/>
        </w:tblCellMar>
      </w:tblPr>
      <w:tblGrid>
        <w:gridCol w:w="7791"/>
      </w:tblGrid>
      <w:tr>
        <w:tblPrEx>
          <w:tblLayout w:type="fixed"/>
          <w:tblCellMar>
            <w:top w:w="0" w:type="dxa"/>
            <w:left w:w="108" w:type="dxa"/>
            <w:bottom w:w="0" w:type="dxa"/>
            <w:right w:w="108" w:type="dxa"/>
          </w:tblCellMar>
        </w:tblPrEx>
        <w:trPr>
          <w:jc w:val="center"/>
        </w:trPr>
        <w:tc>
          <w:tcPr>
            <w:tcW w:w="7791" w:type="dxa"/>
            <w:vAlign w:val="center"/>
          </w:tcPr>
          <w:p>
            <w:pPr>
              <w:spacing w:line="360" w:lineRule="auto"/>
              <w:jc w:val="center"/>
              <w:rPr>
                <w:rFonts w:hint="eastAsia" w:eastAsia="黑体"/>
                <w:bCs/>
                <w:sz w:val="36"/>
                <w:szCs w:val="36"/>
              </w:rPr>
            </w:pPr>
            <w:r>
              <w:rPr>
                <w:rFonts w:eastAsia="黑体"/>
                <w:bCs/>
                <w:sz w:val="36"/>
                <w:szCs w:val="36"/>
              </w:rPr>
              <w:t>编制单位：</w:t>
            </w:r>
            <w:r>
              <w:rPr>
                <w:rFonts w:hint="eastAsia" w:eastAsia="黑体"/>
                <w:bCs/>
                <w:sz w:val="36"/>
                <w:szCs w:val="36"/>
              </w:rPr>
              <w:t>南充经开城镇投资建设有限责任公司</w:t>
            </w:r>
          </w:p>
        </w:tc>
      </w:tr>
      <w:tr>
        <w:tblPrEx>
          <w:tblLayout w:type="fixed"/>
          <w:tblCellMar>
            <w:top w:w="0" w:type="dxa"/>
            <w:left w:w="108" w:type="dxa"/>
            <w:bottom w:w="0" w:type="dxa"/>
            <w:right w:w="108" w:type="dxa"/>
          </w:tblCellMar>
        </w:tblPrEx>
        <w:trPr>
          <w:jc w:val="center"/>
        </w:trPr>
        <w:tc>
          <w:tcPr>
            <w:tcW w:w="7791" w:type="dxa"/>
            <w:vAlign w:val="center"/>
          </w:tcPr>
          <w:p>
            <w:pPr>
              <w:ind w:left="840" w:leftChars="400" w:firstLine="720"/>
              <w:rPr>
                <w:rFonts w:eastAsia="黑体"/>
                <w:bCs/>
                <w:sz w:val="36"/>
                <w:szCs w:val="36"/>
              </w:rPr>
            </w:pPr>
          </w:p>
        </w:tc>
      </w:tr>
      <w:tr>
        <w:tblPrEx>
          <w:tblLayout w:type="fixed"/>
          <w:tblCellMar>
            <w:top w:w="0" w:type="dxa"/>
            <w:left w:w="108" w:type="dxa"/>
            <w:bottom w:w="0" w:type="dxa"/>
            <w:right w:w="108" w:type="dxa"/>
          </w:tblCellMar>
        </w:tblPrEx>
        <w:trPr>
          <w:jc w:val="center"/>
        </w:trPr>
        <w:tc>
          <w:tcPr>
            <w:tcW w:w="7791" w:type="dxa"/>
            <w:vAlign w:val="center"/>
          </w:tcPr>
          <w:p>
            <w:pPr>
              <w:jc w:val="center"/>
              <w:rPr>
                <w:sz w:val="36"/>
                <w:szCs w:val="36"/>
              </w:rPr>
            </w:pPr>
            <w:r>
              <w:rPr>
                <w:rFonts w:eastAsia="黑体"/>
                <w:bCs/>
                <w:sz w:val="36"/>
                <w:szCs w:val="36"/>
              </w:rPr>
              <w:t>编制时间：20</w:t>
            </w:r>
            <w:r>
              <w:rPr>
                <w:rFonts w:hint="eastAsia" w:eastAsia="黑体"/>
                <w:bCs/>
                <w:sz w:val="36"/>
                <w:szCs w:val="36"/>
              </w:rPr>
              <w:t>20</w:t>
            </w:r>
            <w:r>
              <w:rPr>
                <w:rFonts w:eastAsia="黑体"/>
                <w:bCs/>
                <w:sz w:val="36"/>
                <w:szCs w:val="36"/>
              </w:rPr>
              <w:t>年</w:t>
            </w:r>
            <w:r>
              <w:rPr>
                <w:rFonts w:hint="eastAsia" w:eastAsia="黑体"/>
                <w:bCs/>
                <w:sz w:val="36"/>
                <w:szCs w:val="36"/>
                <w:lang w:val="en-US" w:eastAsia="zh-CN"/>
              </w:rPr>
              <w:t>5</w:t>
            </w:r>
            <w:r>
              <w:rPr>
                <w:rFonts w:eastAsia="黑体"/>
                <w:bCs/>
                <w:sz w:val="36"/>
                <w:szCs w:val="36"/>
              </w:rPr>
              <w:t>月</w:t>
            </w:r>
            <w:r>
              <w:rPr>
                <w:rFonts w:hint="eastAsia" w:eastAsia="黑体"/>
                <w:bCs/>
                <w:sz w:val="36"/>
                <w:szCs w:val="36"/>
                <w:lang w:val="en-US" w:eastAsia="zh-CN"/>
              </w:rPr>
              <w:t>10</w:t>
            </w:r>
            <w:r>
              <w:rPr>
                <w:rFonts w:eastAsia="黑体"/>
                <w:bCs/>
                <w:sz w:val="36"/>
                <w:szCs w:val="36"/>
              </w:rPr>
              <w:t>日</w:t>
            </w:r>
          </w:p>
        </w:tc>
      </w:tr>
    </w:tbl>
    <w:p>
      <w:pPr>
        <w:sectPr>
          <w:footerReference r:id="rId3" w:type="default"/>
          <w:pgSz w:w="11906" w:h="16838"/>
          <w:pgMar w:top="1440" w:right="1800" w:bottom="1440" w:left="1800" w:header="851" w:footer="992" w:gutter="0"/>
          <w:cols w:space="720" w:num="1"/>
          <w:docGrid w:type="lines" w:linePitch="312" w:charSpace="0"/>
        </w:sectPr>
      </w:pPr>
    </w:p>
    <w:p>
      <w:pPr>
        <w:pStyle w:val="3"/>
        <w:spacing w:line="360" w:lineRule="auto"/>
        <w:jc w:val="center"/>
        <w:rPr>
          <w:rFonts w:ascii="Times New Roman"/>
          <w:sz w:val="32"/>
          <w:szCs w:val="32"/>
        </w:rPr>
      </w:pPr>
      <w:bookmarkStart w:id="1" w:name="_Toc10357"/>
      <w:bookmarkStart w:id="2" w:name="_Toc504946217"/>
      <w:bookmarkStart w:id="3" w:name="_Toc502005956"/>
      <w:bookmarkStart w:id="4" w:name="_Toc504412373"/>
      <w:bookmarkStart w:id="5" w:name="_Toc497429442"/>
      <w:bookmarkStart w:id="6" w:name="_Toc504407613"/>
      <w:bookmarkStart w:id="7" w:name="_Toc508113621"/>
      <w:bookmarkStart w:id="8" w:name="_Toc509532244"/>
      <w:bookmarkStart w:id="9" w:name="_Toc23858"/>
      <w:bookmarkStart w:id="10" w:name="_Toc518639221"/>
      <w:bookmarkStart w:id="11" w:name="_Toc518109000"/>
      <w:bookmarkStart w:id="12" w:name="_Toc504674260"/>
      <w:bookmarkStart w:id="13" w:name="_Toc18540"/>
      <w:bookmarkStart w:id="14" w:name="_Toc481937753"/>
      <w:bookmarkStart w:id="15" w:name="_Toc488149853"/>
      <w:bookmarkStart w:id="16" w:name="_Toc485124504"/>
      <w:bookmarkStart w:id="17" w:name="_Toc488149796"/>
      <w:r>
        <w:rPr>
          <w:rFonts w:ascii="Times New Roman"/>
          <w:sz w:val="32"/>
          <w:szCs w:val="32"/>
        </w:rPr>
        <w:t>前言</w:t>
      </w:r>
      <w:bookmarkEnd w:id="1"/>
      <w:bookmarkEnd w:id="2"/>
      <w:bookmarkEnd w:id="3"/>
      <w:bookmarkEnd w:id="4"/>
      <w:bookmarkEnd w:id="5"/>
      <w:bookmarkEnd w:id="6"/>
      <w:bookmarkEnd w:id="7"/>
      <w:bookmarkEnd w:id="8"/>
      <w:bookmarkEnd w:id="9"/>
      <w:bookmarkEnd w:id="10"/>
      <w:bookmarkEnd w:id="11"/>
      <w:bookmarkEnd w:id="12"/>
      <w:bookmarkEnd w:id="13"/>
    </w:p>
    <w:p>
      <w:pPr>
        <w:spacing w:line="360" w:lineRule="auto"/>
        <w:ind w:firstLine="560" w:firstLineChars="200"/>
        <w:rPr>
          <w:rFonts w:hint="eastAsia" w:ascii="宋体" w:hAnsi="宋体" w:cs="宋体"/>
          <w:sz w:val="28"/>
          <w:szCs w:val="28"/>
        </w:rPr>
      </w:pPr>
      <w:r>
        <w:rPr>
          <w:rFonts w:hint="eastAsia" w:ascii="宋体" w:hAnsi="宋体" w:cs="宋体"/>
          <w:sz w:val="28"/>
          <w:szCs w:val="28"/>
        </w:rPr>
        <w:t>根据《中华人民共和国安全生产法》及《生产安全事故应急预案管理办法》（应急管理部第2号）要求，编制应急预案前，编制单位应当进行事故风险评估和应急资源调查。突发事件风险评估，是指针对不同突发事件种类及特点，识别存在的危险、危害因素，分析可能产生的直接后果以及次生、衍生后果,评估各种后果的危害程度和影响范围，提出防范和控制事故风险措施的过程。按照GB/T24353-2009（ISO31000）《风险管理原则与实施指南》的基本规定，可将突发事件风险评估划分为3个阶段：（1）设定环境。通过明确环境信息，相关部门可明确其风险管理的目标，确定与其相关的内部和外部环境条件，并设定风险管理的范围和有关风险准则。（2）风险识别。风险识别是发现、认可并记录风险的过程。风险识别的目的是识别那些可能产生重大不利后果的风险源。（3）风险分析。风险分析要考虑导致风险的原因与来源、风险后果及其发 生的可能性，识别影响后果和可能性的因素，现有的风险控制措施及其有效性；然后结合风险发生的可能性及后果来确定风险水平。</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本评估报告根据南充经开城镇投资建设有限责任公司情况，按照《风险管理风险评估技术》GB/T27921-2011进行风险源识别，分析其风险事故类型及事故状态下的影响，风险防范措施是否全面、可靠。通过对各类事件风险进行评估，以弥补防范措施的不足，最大限度减少人员伤亡和财产 损失、降低损害和社会影响，保障公众安全，维护社会稳定，促进经 济社会全面、协调、可持续发展。</w:t>
      </w:r>
    </w:p>
    <w:p>
      <w:pPr>
        <w:pStyle w:val="3"/>
        <w:spacing w:line="360" w:lineRule="auto"/>
        <w:rPr>
          <w:rFonts w:ascii="Times New Roman"/>
        </w:rPr>
      </w:pPr>
      <w:r>
        <w:rPr>
          <w:rFonts w:ascii="Times New Roman"/>
        </w:rPr>
        <w:br w:type="page"/>
      </w:r>
      <w:bookmarkStart w:id="18" w:name="_Toc497429443"/>
      <w:bookmarkStart w:id="19" w:name="_Toc502005957"/>
      <w:bookmarkStart w:id="20" w:name="_Toc504412374"/>
      <w:bookmarkStart w:id="21" w:name="_Toc3264"/>
      <w:bookmarkStart w:id="22" w:name="_Toc504407614"/>
      <w:bookmarkStart w:id="23" w:name="_Toc504946218"/>
      <w:bookmarkStart w:id="24" w:name="_Toc509532245"/>
      <w:bookmarkStart w:id="25" w:name="_Toc518109001"/>
      <w:bookmarkStart w:id="26" w:name="_Toc508113622"/>
      <w:bookmarkStart w:id="27" w:name="_Toc19078"/>
      <w:bookmarkStart w:id="28" w:name="_Toc15080"/>
      <w:bookmarkStart w:id="29" w:name="_Toc504674261"/>
      <w:bookmarkStart w:id="30" w:name="_Toc518639222"/>
      <w:r>
        <w:rPr>
          <w:rFonts w:ascii="Times New Roman"/>
        </w:rPr>
        <w:t>目  录</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pStyle w:val="34"/>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TOC \o "1-3" \h \z \u </w:instrText>
      </w:r>
      <w:r>
        <w:rPr>
          <w:rFonts w:hint="eastAsia" w:ascii="宋体" w:hAnsi="宋体" w:cs="宋体"/>
          <w:szCs w:val="21"/>
        </w:rPr>
        <w:fldChar w:fldCharType="separate"/>
      </w:r>
    </w:p>
    <w:p>
      <w:pPr>
        <w:pStyle w:val="34"/>
        <w:tabs>
          <w:tab w:val="right" w:leader="dot" w:pos="8312"/>
        </w:tabs>
        <w:rPr>
          <w:rFonts w:hint="eastAsia" w:ascii="宋体" w:hAnsi="宋体" w:cs="宋体"/>
          <w:b/>
          <w:bCs/>
        </w:rPr>
      </w:pPr>
      <w:r>
        <w:rPr>
          <w:rFonts w:hint="eastAsia" w:ascii="宋体" w:hAnsi="宋体" w:cs="宋体"/>
          <w:b/>
          <w:bCs/>
          <w:szCs w:val="21"/>
        </w:rPr>
        <w:fldChar w:fldCharType="begin"/>
      </w:r>
      <w:r>
        <w:rPr>
          <w:rFonts w:hint="eastAsia" w:ascii="宋体" w:hAnsi="宋体" w:cs="宋体"/>
          <w:b/>
          <w:bCs/>
          <w:szCs w:val="21"/>
        </w:rPr>
        <w:instrText xml:space="preserve"> HYPERLINK \l _Toc12948 </w:instrText>
      </w:r>
      <w:r>
        <w:rPr>
          <w:rFonts w:hint="eastAsia" w:ascii="宋体" w:hAnsi="宋体" w:cs="宋体"/>
          <w:b/>
          <w:bCs/>
          <w:szCs w:val="21"/>
        </w:rPr>
        <w:fldChar w:fldCharType="separate"/>
      </w:r>
      <w:r>
        <w:rPr>
          <w:rFonts w:hint="eastAsia" w:ascii="宋体" w:hAnsi="宋体" w:cs="宋体"/>
          <w:b/>
          <w:bCs/>
          <w:szCs w:val="32"/>
        </w:rPr>
        <w:t>1 概述</w:t>
      </w:r>
      <w:r>
        <w:rPr>
          <w:rFonts w:hint="eastAsia" w:ascii="宋体" w:hAnsi="宋体" w:cs="宋体"/>
          <w:b/>
          <w:bCs/>
        </w:rPr>
        <w:tab/>
      </w:r>
      <w:r>
        <w:rPr>
          <w:rFonts w:hint="eastAsia" w:ascii="宋体" w:hAnsi="宋体" w:cs="宋体"/>
          <w:b/>
          <w:bCs/>
        </w:rPr>
        <w:fldChar w:fldCharType="begin"/>
      </w:r>
      <w:r>
        <w:rPr>
          <w:rFonts w:hint="eastAsia" w:ascii="宋体" w:hAnsi="宋体" w:cs="宋体"/>
          <w:b/>
          <w:bCs/>
        </w:rPr>
        <w:instrText xml:space="preserve"> PAGEREF _Toc12948 </w:instrText>
      </w:r>
      <w:r>
        <w:rPr>
          <w:rFonts w:hint="eastAsia" w:ascii="宋体" w:hAnsi="宋体" w:cs="宋体"/>
          <w:b/>
          <w:bCs/>
        </w:rPr>
        <w:fldChar w:fldCharType="separate"/>
      </w:r>
      <w:r>
        <w:rPr>
          <w:rFonts w:hint="eastAsia" w:ascii="宋体" w:hAnsi="宋体" w:cs="宋体"/>
          <w:b/>
          <w:bCs/>
        </w:rPr>
        <w:t>6</w:t>
      </w:r>
      <w:r>
        <w:rPr>
          <w:rFonts w:hint="eastAsia" w:ascii="宋体" w:hAnsi="宋体" w:cs="宋体"/>
          <w:b/>
          <w:bCs/>
        </w:rPr>
        <w:fldChar w:fldCharType="end"/>
      </w:r>
      <w:r>
        <w:rPr>
          <w:rFonts w:hint="eastAsia" w:ascii="宋体" w:hAnsi="宋体" w:cs="宋体"/>
          <w:b/>
          <w:bCs/>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_Toc16028 </w:instrText>
      </w:r>
      <w:r>
        <w:rPr>
          <w:rFonts w:hint="eastAsia" w:ascii="宋体" w:hAnsi="宋体" w:cs="宋体"/>
          <w:szCs w:val="21"/>
        </w:rPr>
        <w:fldChar w:fldCharType="separate"/>
      </w:r>
      <w:r>
        <w:rPr>
          <w:rFonts w:hint="eastAsia" w:ascii="宋体" w:hAnsi="宋体" w:cs="宋体"/>
          <w:szCs w:val="28"/>
        </w:rPr>
        <w:t>1.1 评估的主要依据</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_Toc16028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szCs w:val="21"/>
        </w:rPr>
        <w:fldChar w:fldCharType="end"/>
      </w:r>
    </w:p>
    <w:p>
      <w:pPr>
        <w:pStyle w:val="26"/>
        <w:tabs>
          <w:tab w:val="right" w:leader="dot" w:pos="8312"/>
        </w:tabs>
        <w:ind w:left="0" w:leftChars="0"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_Toc284 </w:instrText>
      </w:r>
      <w:r>
        <w:rPr>
          <w:rFonts w:hint="eastAsia" w:ascii="宋体" w:hAnsi="宋体" w:cs="宋体"/>
          <w:szCs w:val="21"/>
        </w:rPr>
        <w:fldChar w:fldCharType="separate"/>
      </w:r>
      <w:r>
        <w:rPr>
          <w:rFonts w:hint="eastAsia" w:ascii="宋体" w:hAnsi="宋体" w:cs="宋体"/>
          <w:szCs w:val="28"/>
        </w:rPr>
        <w:t>1.1.1 相关法律、法规</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_Toc284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szCs w:val="21"/>
        </w:rPr>
        <w:fldChar w:fldCharType="end"/>
      </w:r>
    </w:p>
    <w:p>
      <w:pPr>
        <w:pStyle w:val="26"/>
        <w:tabs>
          <w:tab w:val="right" w:leader="dot" w:pos="8312"/>
        </w:tabs>
        <w:ind w:left="0" w:leftChars="0" w:firstLine="420" w:firstLineChars="20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HYPERLINK \l _Toc11335 </w:instrText>
      </w:r>
      <w:r>
        <w:rPr>
          <w:rFonts w:hint="eastAsia" w:ascii="宋体" w:hAnsi="宋体" w:cs="宋体"/>
          <w:szCs w:val="21"/>
        </w:rPr>
        <w:fldChar w:fldCharType="separate"/>
      </w:r>
      <w:r>
        <w:rPr>
          <w:rFonts w:hint="eastAsia" w:ascii="宋体" w:hAnsi="宋体" w:cs="宋体"/>
          <w:szCs w:val="28"/>
        </w:rPr>
        <w:t>1.1.2相关标准、规范</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_Toc11335 </w:instrText>
      </w:r>
      <w:r>
        <w:rPr>
          <w:rFonts w:hint="eastAsia" w:ascii="宋体" w:hAnsi="宋体" w:cs="宋体"/>
        </w:rPr>
        <w:fldChar w:fldCharType="separate"/>
      </w:r>
      <w:r>
        <w:rPr>
          <w:rFonts w:hint="eastAsia" w:ascii="宋体" w:hAnsi="宋体" w:cs="宋体"/>
        </w:rPr>
        <w:t>8</w:t>
      </w:r>
      <w:r>
        <w:rPr>
          <w:rFonts w:hint="eastAsia" w:ascii="宋体" w:hAnsi="宋体" w:cs="宋体"/>
        </w:rPr>
        <w:fldChar w:fldCharType="end"/>
      </w:r>
      <w:r>
        <w:rPr>
          <w:rFonts w:hint="eastAsia" w:ascii="宋体" w:hAnsi="宋体" w:cs="宋体"/>
          <w:szCs w:val="21"/>
        </w:rPr>
        <w:fldChar w:fldCharType="end"/>
      </w:r>
    </w:p>
    <w:p>
      <w:pPr>
        <w:ind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_Toc8051 </w:instrText>
      </w:r>
      <w:r>
        <w:rPr>
          <w:rFonts w:hint="eastAsia" w:ascii="宋体" w:hAnsi="宋体" w:cs="宋体"/>
          <w:szCs w:val="21"/>
        </w:rPr>
        <w:fldChar w:fldCharType="separate"/>
      </w:r>
      <w:r>
        <w:rPr>
          <w:rFonts w:hint="eastAsia" w:ascii="宋体" w:hAnsi="宋体" w:cs="宋体"/>
          <w:szCs w:val="28"/>
        </w:rPr>
        <w:t>1.2 风险评估目的.......................................................</w:t>
      </w:r>
      <w:r>
        <w:rPr>
          <w:rFonts w:hint="eastAsia" w:ascii="宋体" w:hAnsi="宋体" w:cs="宋体"/>
        </w:rPr>
        <w:tab/>
      </w:r>
      <w:r>
        <w:rPr>
          <w:rFonts w:hint="eastAsia" w:ascii="宋体" w:hAnsi="宋体" w:cs="宋体"/>
        </w:rPr>
        <w:t xml:space="preserve"> </w:t>
      </w:r>
      <w:r>
        <w:rPr>
          <w:rFonts w:hint="eastAsia" w:ascii="宋体" w:hAnsi="宋体" w:cs="宋体"/>
        </w:rPr>
        <w:fldChar w:fldCharType="begin"/>
      </w:r>
      <w:r>
        <w:rPr>
          <w:rFonts w:hint="eastAsia" w:ascii="宋体" w:hAnsi="宋体" w:cs="宋体"/>
        </w:rPr>
        <w:instrText xml:space="preserve"> PAGEREF _Toc8051 </w:instrText>
      </w:r>
      <w:r>
        <w:rPr>
          <w:rFonts w:hint="eastAsia" w:ascii="宋体" w:hAnsi="宋体" w:cs="宋体"/>
        </w:rPr>
        <w:fldChar w:fldCharType="separate"/>
      </w:r>
      <w:r>
        <w:rPr>
          <w:rFonts w:hint="eastAsia" w:ascii="宋体" w:hAnsi="宋体" w:cs="宋体"/>
        </w:rPr>
        <w:t>10</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_Toc8051 </w:instrText>
      </w:r>
      <w:r>
        <w:rPr>
          <w:rFonts w:hint="eastAsia" w:ascii="宋体" w:hAnsi="宋体" w:cs="宋体"/>
          <w:szCs w:val="21"/>
        </w:rPr>
        <w:fldChar w:fldCharType="separate"/>
      </w:r>
      <w:r>
        <w:rPr>
          <w:rFonts w:hint="eastAsia" w:ascii="宋体" w:hAnsi="宋体" w:cs="宋体"/>
          <w:szCs w:val="28"/>
        </w:rPr>
        <w:t>1.3 风险评估范围</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_Toc8051 </w:instrText>
      </w:r>
      <w:r>
        <w:rPr>
          <w:rFonts w:hint="eastAsia" w:ascii="宋体" w:hAnsi="宋体" w:cs="宋体"/>
        </w:rPr>
        <w:fldChar w:fldCharType="separate"/>
      </w:r>
      <w:r>
        <w:rPr>
          <w:rFonts w:hint="eastAsia" w:ascii="宋体" w:hAnsi="宋体" w:cs="宋体"/>
        </w:rPr>
        <w:t>10</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_Toc16855 </w:instrText>
      </w:r>
      <w:r>
        <w:rPr>
          <w:rFonts w:hint="eastAsia" w:ascii="宋体" w:hAnsi="宋体" w:cs="宋体"/>
          <w:szCs w:val="21"/>
        </w:rPr>
        <w:fldChar w:fldCharType="separate"/>
      </w:r>
      <w:r>
        <w:rPr>
          <w:rFonts w:hint="eastAsia" w:ascii="宋体" w:hAnsi="宋体" w:cs="宋体"/>
          <w:szCs w:val="28"/>
        </w:rPr>
        <w:t>1.4 评估程序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_Toc16855 </w:instrText>
      </w:r>
      <w:r>
        <w:rPr>
          <w:rFonts w:hint="eastAsia" w:ascii="宋体" w:hAnsi="宋体" w:cs="宋体"/>
        </w:rPr>
        <w:fldChar w:fldCharType="separate"/>
      </w:r>
      <w:r>
        <w:rPr>
          <w:rFonts w:hint="eastAsia" w:ascii="宋体" w:hAnsi="宋体" w:cs="宋体"/>
        </w:rPr>
        <w:t>10</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rPr>
          <w:rFonts w:hint="eastAsia" w:ascii="宋体" w:hAnsi="宋体" w:cs="宋体"/>
          <w:b/>
          <w:bCs/>
        </w:rPr>
      </w:pPr>
      <w:r>
        <w:rPr>
          <w:rFonts w:hint="eastAsia" w:ascii="宋体" w:hAnsi="宋体" w:cs="宋体"/>
          <w:b/>
          <w:bCs/>
          <w:szCs w:val="21"/>
        </w:rPr>
        <w:fldChar w:fldCharType="begin"/>
      </w:r>
      <w:r>
        <w:rPr>
          <w:rFonts w:hint="eastAsia" w:ascii="宋体" w:hAnsi="宋体" w:cs="宋体"/>
          <w:b/>
          <w:bCs/>
          <w:szCs w:val="21"/>
        </w:rPr>
        <w:instrText xml:space="preserve"> HYPERLINK \l _Toc6436 </w:instrText>
      </w:r>
      <w:r>
        <w:rPr>
          <w:rFonts w:hint="eastAsia" w:ascii="宋体" w:hAnsi="宋体" w:cs="宋体"/>
          <w:b/>
          <w:bCs/>
          <w:szCs w:val="21"/>
        </w:rPr>
        <w:fldChar w:fldCharType="separate"/>
      </w:r>
      <w:r>
        <w:rPr>
          <w:rFonts w:hint="eastAsia" w:ascii="宋体" w:hAnsi="宋体" w:cs="宋体"/>
          <w:b/>
          <w:bCs/>
          <w:szCs w:val="32"/>
        </w:rPr>
        <w:t>2 公司基本情况</w:t>
      </w:r>
      <w:r>
        <w:rPr>
          <w:rFonts w:hint="eastAsia" w:ascii="宋体" w:hAnsi="宋体" w:cs="宋体"/>
          <w:b/>
          <w:bCs/>
        </w:rPr>
        <w:tab/>
      </w:r>
      <w:r>
        <w:rPr>
          <w:rFonts w:hint="eastAsia" w:ascii="宋体" w:hAnsi="宋体" w:cs="宋体"/>
          <w:b/>
          <w:bCs/>
        </w:rPr>
        <w:fldChar w:fldCharType="begin"/>
      </w:r>
      <w:r>
        <w:rPr>
          <w:rFonts w:hint="eastAsia" w:ascii="宋体" w:hAnsi="宋体" w:cs="宋体"/>
          <w:b/>
          <w:bCs/>
        </w:rPr>
        <w:instrText xml:space="preserve"> PAGEREF _Toc6436 </w:instrText>
      </w:r>
      <w:r>
        <w:rPr>
          <w:rFonts w:hint="eastAsia" w:ascii="宋体" w:hAnsi="宋体" w:cs="宋体"/>
          <w:b/>
          <w:bCs/>
        </w:rPr>
        <w:fldChar w:fldCharType="separate"/>
      </w:r>
      <w:r>
        <w:rPr>
          <w:rFonts w:hint="eastAsia" w:ascii="宋体" w:hAnsi="宋体" w:cs="宋体"/>
          <w:b/>
          <w:bCs/>
        </w:rPr>
        <w:t>11</w:t>
      </w:r>
      <w:r>
        <w:rPr>
          <w:rFonts w:hint="eastAsia" w:ascii="宋体" w:hAnsi="宋体" w:cs="宋体"/>
          <w:b/>
          <w:bCs/>
        </w:rPr>
        <w:fldChar w:fldCharType="end"/>
      </w:r>
      <w:r>
        <w:rPr>
          <w:rFonts w:hint="eastAsia" w:ascii="宋体" w:hAnsi="宋体" w:cs="宋体"/>
          <w:b/>
          <w:bCs/>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_Toc314 </w:instrText>
      </w:r>
      <w:r>
        <w:rPr>
          <w:rFonts w:hint="eastAsia" w:ascii="宋体" w:hAnsi="宋体" w:cs="宋体"/>
          <w:szCs w:val="21"/>
        </w:rPr>
        <w:fldChar w:fldCharType="separate"/>
      </w:r>
      <w:r>
        <w:rPr>
          <w:rFonts w:hint="eastAsia" w:ascii="宋体" w:hAnsi="宋体" w:cs="宋体"/>
          <w:szCs w:val="28"/>
        </w:rPr>
        <w:t>2.1 项目概况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_Toc314 </w:instrText>
      </w:r>
      <w:r>
        <w:rPr>
          <w:rFonts w:hint="eastAsia" w:ascii="宋体" w:hAnsi="宋体" w:cs="宋体"/>
        </w:rPr>
        <w:fldChar w:fldCharType="separate"/>
      </w:r>
      <w:r>
        <w:rPr>
          <w:rFonts w:hint="eastAsia" w:ascii="宋体" w:hAnsi="宋体" w:cs="宋体"/>
        </w:rPr>
        <w:t>11</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_Toc17074 </w:instrText>
      </w:r>
      <w:r>
        <w:rPr>
          <w:rFonts w:hint="eastAsia" w:ascii="宋体" w:hAnsi="宋体" w:cs="宋体"/>
          <w:szCs w:val="21"/>
        </w:rPr>
        <w:fldChar w:fldCharType="separate"/>
      </w:r>
      <w:r>
        <w:rPr>
          <w:rFonts w:hint="eastAsia" w:ascii="宋体" w:hAnsi="宋体" w:cs="宋体"/>
          <w:szCs w:val="28"/>
        </w:rPr>
        <w:t>2.2 位置及周边关系</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_Toc17074 </w:instrText>
      </w:r>
      <w:r>
        <w:rPr>
          <w:rFonts w:hint="eastAsia" w:ascii="宋体" w:hAnsi="宋体" w:cs="宋体"/>
        </w:rPr>
        <w:fldChar w:fldCharType="separate"/>
      </w:r>
      <w:r>
        <w:rPr>
          <w:rFonts w:hint="eastAsia" w:ascii="宋体" w:hAnsi="宋体" w:cs="宋体"/>
        </w:rPr>
        <w:t>11</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_Toc1554 </w:instrText>
      </w:r>
      <w:r>
        <w:rPr>
          <w:rFonts w:hint="eastAsia" w:ascii="宋体" w:hAnsi="宋体" w:cs="宋体"/>
          <w:szCs w:val="21"/>
        </w:rPr>
        <w:fldChar w:fldCharType="separate"/>
      </w:r>
      <w:r>
        <w:rPr>
          <w:rFonts w:hint="eastAsia" w:ascii="宋体" w:hAnsi="宋体" w:cs="宋体"/>
          <w:szCs w:val="28"/>
        </w:rPr>
        <w:t>2.3 总平面布置</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_Toc1554 </w:instrText>
      </w:r>
      <w:r>
        <w:rPr>
          <w:rFonts w:hint="eastAsia" w:ascii="宋体" w:hAnsi="宋体" w:cs="宋体"/>
        </w:rPr>
        <w:fldChar w:fldCharType="separate"/>
      </w:r>
      <w:r>
        <w:rPr>
          <w:rFonts w:hint="eastAsia" w:ascii="宋体" w:hAnsi="宋体" w:cs="宋体"/>
        </w:rPr>
        <w:t>13</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_Toc1484 </w:instrText>
      </w:r>
      <w:r>
        <w:rPr>
          <w:rFonts w:hint="eastAsia" w:ascii="宋体" w:hAnsi="宋体" w:cs="宋体"/>
          <w:szCs w:val="21"/>
        </w:rPr>
        <w:fldChar w:fldCharType="separate"/>
      </w:r>
      <w:r>
        <w:rPr>
          <w:rFonts w:hint="eastAsia" w:ascii="宋体" w:hAnsi="宋体" w:cs="宋体"/>
          <w:spacing w:val="19"/>
        </w:rPr>
        <w:t>图2-3.2 总平面布置</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_Toc1484 </w:instrText>
      </w:r>
      <w:r>
        <w:rPr>
          <w:rFonts w:hint="eastAsia" w:ascii="宋体" w:hAnsi="宋体" w:cs="宋体"/>
        </w:rPr>
        <w:fldChar w:fldCharType="separate"/>
      </w:r>
      <w:r>
        <w:rPr>
          <w:rFonts w:hint="eastAsia" w:ascii="宋体" w:hAnsi="宋体" w:cs="宋体"/>
        </w:rPr>
        <w:t>14</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_Toc17785 </w:instrText>
      </w:r>
      <w:r>
        <w:rPr>
          <w:rFonts w:hint="eastAsia" w:ascii="宋体" w:hAnsi="宋体" w:cs="宋体"/>
          <w:szCs w:val="21"/>
        </w:rPr>
        <w:fldChar w:fldCharType="separate"/>
      </w:r>
      <w:r>
        <w:rPr>
          <w:rFonts w:hint="eastAsia" w:ascii="宋体" w:hAnsi="宋体" w:cs="宋体"/>
          <w:szCs w:val="28"/>
        </w:rPr>
        <w:t>2.4 工艺流程</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_Toc17785 </w:instrText>
      </w:r>
      <w:r>
        <w:rPr>
          <w:rFonts w:hint="eastAsia" w:ascii="宋体" w:hAnsi="宋体" w:cs="宋体"/>
        </w:rPr>
        <w:fldChar w:fldCharType="separate"/>
      </w:r>
      <w:r>
        <w:rPr>
          <w:rFonts w:hint="eastAsia" w:ascii="宋体" w:hAnsi="宋体" w:cs="宋体"/>
        </w:rPr>
        <w:t>15</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_Toc13459 </w:instrText>
      </w:r>
      <w:r>
        <w:rPr>
          <w:rFonts w:hint="eastAsia" w:ascii="宋体" w:hAnsi="宋体" w:cs="宋体"/>
          <w:szCs w:val="21"/>
        </w:rPr>
        <w:fldChar w:fldCharType="separate"/>
      </w:r>
      <w:r>
        <w:rPr>
          <w:rFonts w:hint="eastAsia" w:ascii="宋体" w:hAnsi="宋体" w:cs="宋体"/>
          <w:szCs w:val="28"/>
        </w:rPr>
        <w:t>2.5设备设施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_Toc13459 </w:instrText>
      </w:r>
      <w:r>
        <w:rPr>
          <w:rFonts w:hint="eastAsia" w:ascii="宋体" w:hAnsi="宋体" w:cs="宋体"/>
        </w:rPr>
        <w:fldChar w:fldCharType="separate"/>
      </w:r>
      <w:r>
        <w:rPr>
          <w:rFonts w:hint="eastAsia" w:ascii="宋体" w:hAnsi="宋体" w:cs="宋体"/>
        </w:rPr>
        <w:t>16</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_Toc23765 </w:instrText>
      </w:r>
      <w:r>
        <w:rPr>
          <w:rFonts w:hint="eastAsia" w:ascii="宋体" w:hAnsi="宋体" w:cs="宋体"/>
          <w:szCs w:val="21"/>
        </w:rPr>
        <w:fldChar w:fldCharType="separate"/>
      </w:r>
      <w:r>
        <w:rPr>
          <w:rFonts w:hint="eastAsia" w:ascii="宋体" w:hAnsi="宋体" w:cs="宋体"/>
          <w:szCs w:val="28"/>
        </w:rPr>
        <w:t>2.6 公用辅助工程</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_Toc23765 </w:instrText>
      </w:r>
      <w:r>
        <w:rPr>
          <w:rFonts w:hint="eastAsia" w:ascii="宋体" w:hAnsi="宋体" w:cs="宋体"/>
        </w:rPr>
        <w:fldChar w:fldCharType="separate"/>
      </w:r>
      <w:r>
        <w:rPr>
          <w:rFonts w:hint="eastAsia" w:ascii="宋体" w:hAnsi="宋体" w:cs="宋体"/>
        </w:rPr>
        <w:t>20</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_Toc17289 </w:instrText>
      </w:r>
      <w:r>
        <w:rPr>
          <w:rFonts w:hint="eastAsia" w:ascii="宋体" w:hAnsi="宋体" w:cs="宋体"/>
          <w:szCs w:val="21"/>
        </w:rPr>
        <w:fldChar w:fldCharType="separate"/>
      </w:r>
      <w:r>
        <w:rPr>
          <w:rFonts w:hint="eastAsia" w:ascii="宋体" w:hAnsi="宋体" w:cs="宋体"/>
          <w:szCs w:val="28"/>
        </w:rPr>
        <w:t>2.7消防工程</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_Toc17289 </w:instrText>
      </w:r>
      <w:r>
        <w:rPr>
          <w:rFonts w:hint="eastAsia" w:ascii="宋体" w:hAnsi="宋体" w:cs="宋体"/>
        </w:rPr>
        <w:fldChar w:fldCharType="separate"/>
      </w:r>
      <w:r>
        <w:rPr>
          <w:rFonts w:hint="eastAsia" w:ascii="宋体" w:hAnsi="宋体" w:cs="宋体"/>
        </w:rPr>
        <w:t>22</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_Toc28788 </w:instrText>
      </w:r>
      <w:r>
        <w:rPr>
          <w:rFonts w:hint="eastAsia" w:ascii="宋体" w:hAnsi="宋体" w:cs="宋体"/>
          <w:szCs w:val="21"/>
        </w:rPr>
        <w:fldChar w:fldCharType="separate"/>
      </w:r>
      <w:r>
        <w:rPr>
          <w:rFonts w:hint="eastAsia" w:ascii="宋体" w:hAnsi="宋体" w:cs="宋体"/>
          <w:szCs w:val="28"/>
        </w:rPr>
        <w:t>2.8自动控制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_Toc28788 </w:instrText>
      </w:r>
      <w:r>
        <w:rPr>
          <w:rFonts w:hint="eastAsia" w:ascii="宋体" w:hAnsi="宋体" w:cs="宋体"/>
        </w:rPr>
        <w:fldChar w:fldCharType="separate"/>
      </w:r>
      <w:r>
        <w:rPr>
          <w:rFonts w:hint="eastAsia" w:ascii="宋体" w:hAnsi="宋体" w:cs="宋体"/>
        </w:rPr>
        <w:t>22</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_Toc2133 </w:instrText>
      </w:r>
      <w:r>
        <w:rPr>
          <w:rFonts w:hint="eastAsia" w:ascii="宋体" w:hAnsi="宋体" w:cs="宋体"/>
          <w:szCs w:val="21"/>
        </w:rPr>
        <w:fldChar w:fldCharType="separate"/>
      </w:r>
      <w:r>
        <w:rPr>
          <w:rFonts w:hint="eastAsia" w:ascii="宋体" w:hAnsi="宋体" w:cs="宋体"/>
          <w:szCs w:val="28"/>
        </w:rPr>
        <w:t>2.9通讯及信息</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_Toc2133 </w:instrText>
      </w:r>
      <w:r>
        <w:rPr>
          <w:rFonts w:hint="eastAsia" w:ascii="宋体" w:hAnsi="宋体" w:cs="宋体"/>
        </w:rPr>
        <w:fldChar w:fldCharType="separate"/>
      </w:r>
      <w:r>
        <w:rPr>
          <w:rFonts w:hint="eastAsia" w:ascii="宋体" w:hAnsi="宋体" w:cs="宋体"/>
        </w:rPr>
        <w:t>23</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_Toc24507 </w:instrText>
      </w:r>
      <w:r>
        <w:rPr>
          <w:rFonts w:hint="eastAsia" w:ascii="宋体" w:hAnsi="宋体" w:cs="宋体"/>
          <w:szCs w:val="21"/>
        </w:rPr>
        <w:fldChar w:fldCharType="separate"/>
      </w:r>
      <w:r>
        <w:rPr>
          <w:rFonts w:hint="eastAsia" w:ascii="宋体" w:hAnsi="宋体" w:cs="宋体"/>
          <w:szCs w:val="28"/>
        </w:rPr>
        <w:t>2.</w:t>
      </w:r>
      <w:r>
        <w:rPr>
          <w:rFonts w:hint="eastAsia" w:ascii="宋体" w:hAnsi="宋体" w:cs="宋体"/>
          <w:spacing w:val="-3"/>
          <w:szCs w:val="28"/>
        </w:rPr>
        <w:t>10信号</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_Toc24507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_Toc19354 </w:instrText>
      </w:r>
      <w:r>
        <w:rPr>
          <w:rFonts w:hint="eastAsia" w:ascii="宋体" w:hAnsi="宋体" w:cs="宋体"/>
          <w:szCs w:val="21"/>
        </w:rPr>
        <w:fldChar w:fldCharType="separate"/>
      </w:r>
      <w:r>
        <w:rPr>
          <w:rFonts w:hint="eastAsia" w:ascii="宋体" w:hAnsi="宋体" w:cs="宋体"/>
          <w:szCs w:val="28"/>
        </w:rPr>
        <w:t>2.11防雷防静电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_Toc19354 </w:instrText>
      </w:r>
      <w:r>
        <w:rPr>
          <w:rFonts w:hint="eastAsia" w:ascii="宋体" w:hAnsi="宋体" w:cs="宋体"/>
        </w:rPr>
        <w:fldChar w:fldCharType="separate"/>
      </w:r>
      <w:r>
        <w:rPr>
          <w:rFonts w:hint="eastAsia" w:ascii="宋体" w:hAnsi="宋体" w:cs="宋体"/>
        </w:rPr>
        <w:t>25</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rPr>
          <w:rFonts w:hint="eastAsia" w:ascii="宋体" w:hAnsi="宋体" w:cs="宋体"/>
        </w:rPr>
      </w:pPr>
      <w:r>
        <w:rPr>
          <w:rFonts w:hint="eastAsia" w:ascii="宋体" w:hAnsi="宋体" w:cs="宋体"/>
          <w:b/>
          <w:bCs/>
          <w:szCs w:val="21"/>
        </w:rPr>
        <w:fldChar w:fldCharType="begin"/>
      </w:r>
      <w:r>
        <w:rPr>
          <w:rFonts w:hint="eastAsia" w:ascii="宋体" w:hAnsi="宋体" w:cs="宋体"/>
          <w:b/>
          <w:bCs/>
          <w:szCs w:val="21"/>
        </w:rPr>
        <w:instrText xml:space="preserve"> HYPERLINK \l _Toc1079 </w:instrText>
      </w:r>
      <w:r>
        <w:rPr>
          <w:rFonts w:hint="eastAsia" w:ascii="宋体" w:hAnsi="宋体" w:cs="宋体"/>
          <w:b/>
          <w:bCs/>
          <w:szCs w:val="21"/>
        </w:rPr>
        <w:fldChar w:fldCharType="separate"/>
      </w:r>
      <w:r>
        <w:rPr>
          <w:rFonts w:hint="eastAsia" w:ascii="宋体" w:hAnsi="宋体" w:cs="宋体"/>
          <w:b/>
          <w:bCs/>
          <w:szCs w:val="32"/>
        </w:rPr>
        <w:t>3 危险源的基本情况、可能发生的事故类别</w:t>
      </w:r>
      <w:r>
        <w:rPr>
          <w:rFonts w:hint="eastAsia" w:ascii="宋体" w:hAnsi="宋体" w:cs="宋体"/>
          <w:b/>
          <w:bCs/>
        </w:rPr>
        <w:tab/>
      </w:r>
      <w:r>
        <w:rPr>
          <w:rFonts w:hint="eastAsia" w:ascii="宋体" w:hAnsi="宋体" w:cs="宋体"/>
          <w:b/>
          <w:bCs/>
        </w:rPr>
        <w:fldChar w:fldCharType="begin"/>
      </w:r>
      <w:r>
        <w:rPr>
          <w:rFonts w:hint="eastAsia" w:ascii="宋体" w:hAnsi="宋体" w:cs="宋体"/>
          <w:b/>
          <w:bCs/>
        </w:rPr>
        <w:instrText xml:space="preserve"> PAGEREF _Toc1079 </w:instrText>
      </w:r>
      <w:r>
        <w:rPr>
          <w:rFonts w:hint="eastAsia" w:ascii="宋体" w:hAnsi="宋体" w:cs="宋体"/>
          <w:b/>
          <w:bCs/>
        </w:rPr>
        <w:fldChar w:fldCharType="separate"/>
      </w:r>
      <w:r>
        <w:rPr>
          <w:rFonts w:hint="eastAsia" w:ascii="宋体" w:hAnsi="宋体" w:cs="宋体"/>
          <w:b/>
          <w:bCs/>
        </w:rPr>
        <w:t>28</w:t>
      </w:r>
      <w:r>
        <w:rPr>
          <w:rFonts w:hint="eastAsia" w:ascii="宋体" w:hAnsi="宋体" w:cs="宋体"/>
          <w:b/>
          <w:bCs/>
        </w:rPr>
        <w:fldChar w:fldCharType="end"/>
      </w:r>
      <w:r>
        <w:rPr>
          <w:rFonts w:hint="eastAsia" w:ascii="宋体" w:hAnsi="宋体" w:cs="宋体"/>
          <w:b/>
          <w:bCs/>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_Toc11872 </w:instrText>
      </w:r>
      <w:r>
        <w:rPr>
          <w:rFonts w:hint="eastAsia" w:ascii="宋体" w:hAnsi="宋体" w:cs="宋体"/>
          <w:szCs w:val="21"/>
        </w:rPr>
        <w:fldChar w:fldCharType="separate"/>
      </w:r>
      <w:r>
        <w:rPr>
          <w:rFonts w:hint="eastAsia" w:ascii="宋体" w:hAnsi="宋体" w:cs="宋体"/>
          <w:szCs w:val="28"/>
        </w:rPr>
        <w:t>3.1 可能存在的风险分析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_Toc11872 </w:instrText>
      </w:r>
      <w:r>
        <w:rPr>
          <w:rFonts w:hint="eastAsia" w:ascii="宋体" w:hAnsi="宋体" w:cs="宋体"/>
        </w:rPr>
        <w:fldChar w:fldCharType="separate"/>
      </w:r>
      <w:r>
        <w:rPr>
          <w:rFonts w:hint="eastAsia" w:ascii="宋体" w:hAnsi="宋体" w:cs="宋体"/>
        </w:rPr>
        <w:t>28</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ind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_Toc6611 </w:instrText>
      </w:r>
      <w:r>
        <w:rPr>
          <w:rFonts w:hint="eastAsia" w:ascii="宋体" w:hAnsi="宋体" w:cs="宋体"/>
          <w:szCs w:val="21"/>
        </w:rPr>
        <w:fldChar w:fldCharType="separate"/>
      </w:r>
      <w:r>
        <w:rPr>
          <w:rFonts w:hint="eastAsia" w:ascii="宋体" w:hAnsi="宋体" w:cs="宋体"/>
        </w:rPr>
        <w:t>3.1.1主要物料的危险、有害因素辨识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_Toc6611 </w:instrText>
      </w:r>
      <w:r>
        <w:rPr>
          <w:rFonts w:hint="eastAsia" w:ascii="宋体" w:hAnsi="宋体" w:cs="宋体"/>
        </w:rPr>
        <w:fldChar w:fldCharType="separate"/>
      </w:r>
      <w:r>
        <w:rPr>
          <w:rFonts w:hint="eastAsia" w:ascii="宋体" w:hAnsi="宋体" w:cs="宋体"/>
        </w:rPr>
        <w:t>28</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ind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_Toc10210 </w:instrText>
      </w:r>
      <w:r>
        <w:rPr>
          <w:rFonts w:hint="eastAsia" w:ascii="宋体" w:hAnsi="宋体" w:cs="宋体"/>
          <w:szCs w:val="21"/>
        </w:rPr>
        <w:fldChar w:fldCharType="separate"/>
      </w:r>
      <w:r>
        <w:rPr>
          <w:rFonts w:hint="eastAsia" w:ascii="宋体" w:hAnsi="宋体" w:cs="宋体"/>
          <w:bCs/>
          <w:spacing w:val="-7"/>
          <w:szCs w:val="28"/>
        </w:rPr>
        <w:t>3.1.2项目自然条件危险、有害因素辨识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_Toc10210 </w:instrText>
      </w:r>
      <w:r>
        <w:rPr>
          <w:rFonts w:hint="eastAsia" w:ascii="宋体" w:hAnsi="宋体" w:cs="宋体"/>
        </w:rPr>
        <w:fldChar w:fldCharType="separate"/>
      </w:r>
      <w:r>
        <w:rPr>
          <w:rFonts w:hint="eastAsia" w:ascii="宋体" w:hAnsi="宋体" w:cs="宋体"/>
        </w:rPr>
        <w:t>32</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_Toc8688 </w:instrText>
      </w:r>
      <w:r>
        <w:rPr>
          <w:rFonts w:hint="eastAsia" w:ascii="宋体" w:hAnsi="宋体" w:cs="宋体"/>
          <w:szCs w:val="21"/>
        </w:rPr>
        <w:fldChar w:fldCharType="separate"/>
      </w:r>
      <w:r>
        <w:rPr>
          <w:rFonts w:hint="eastAsia" w:ascii="宋体" w:hAnsi="宋体" w:cs="宋体"/>
          <w:szCs w:val="28"/>
        </w:rPr>
        <w:t>3.1.3项目周边环境影响分析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_Toc8688 </w:instrText>
      </w:r>
      <w:r>
        <w:rPr>
          <w:rFonts w:hint="eastAsia" w:ascii="宋体" w:hAnsi="宋体" w:cs="宋体"/>
        </w:rPr>
        <w:fldChar w:fldCharType="separate"/>
      </w:r>
      <w:r>
        <w:rPr>
          <w:rFonts w:hint="eastAsia" w:ascii="宋体" w:hAnsi="宋体" w:cs="宋体"/>
        </w:rPr>
        <w:t>33</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_Toc18116 </w:instrText>
      </w:r>
      <w:r>
        <w:rPr>
          <w:rFonts w:hint="eastAsia" w:ascii="宋体" w:hAnsi="宋体" w:cs="宋体"/>
          <w:szCs w:val="21"/>
        </w:rPr>
        <w:fldChar w:fldCharType="separate"/>
      </w:r>
      <w:r>
        <w:rPr>
          <w:rFonts w:hint="eastAsia" w:ascii="宋体" w:hAnsi="宋体" w:cs="宋体"/>
          <w:szCs w:val="28"/>
        </w:rPr>
        <w:t>3.1.4总平面布置及建筑危险有害因素分析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_Toc18116 </w:instrText>
      </w:r>
      <w:r>
        <w:rPr>
          <w:rFonts w:hint="eastAsia" w:ascii="宋体" w:hAnsi="宋体" w:cs="宋体"/>
        </w:rPr>
        <w:fldChar w:fldCharType="separate"/>
      </w:r>
      <w:r>
        <w:rPr>
          <w:rFonts w:hint="eastAsia" w:ascii="宋体" w:hAnsi="宋体" w:cs="宋体"/>
        </w:rPr>
        <w:t>34</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_Toc24645 </w:instrText>
      </w:r>
      <w:r>
        <w:rPr>
          <w:rFonts w:hint="eastAsia" w:ascii="宋体" w:hAnsi="宋体" w:cs="宋体"/>
          <w:szCs w:val="21"/>
        </w:rPr>
        <w:fldChar w:fldCharType="separate"/>
      </w:r>
      <w:r>
        <w:rPr>
          <w:rFonts w:hint="eastAsia" w:ascii="宋体" w:hAnsi="宋体" w:cs="宋体"/>
          <w:szCs w:val="28"/>
        </w:rPr>
        <w:t>3.1.5运输过程中危险、有害因素辨识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_Toc24645 </w:instrText>
      </w:r>
      <w:r>
        <w:rPr>
          <w:rFonts w:hint="eastAsia" w:ascii="宋体" w:hAnsi="宋体" w:cs="宋体"/>
        </w:rPr>
        <w:fldChar w:fldCharType="separate"/>
      </w:r>
      <w:r>
        <w:rPr>
          <w:rFonts w:hint="eastAsia" w:ascii="宋体" w:hAnsi="宋体" w:cs="宋体"/>
        </w:rPr>
        <w:t>34</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_Toc30967 </w:instrText>
      </w:r>
      <w:r>
        <w:rPr>
          <w:rFonts w:hint="eastAsia" w:ascii="宋体" w:hAnsi="宋体" w:cs="宋体"/>
          <w:szCs w:val="21"/>
        </w:rPr>
        <w:fldChar w:fldCharType="separate"/>
      </w:r>
      <w:r>
        <w:rPr>
          <w:rFonts w:hint="eastAsia" w:ascii="宋体" w:hAnsi="宋体" w:cs="宋体"/>
          <w:szCs w:val="28"/>
        </w:rPr>
        <w:t>3.1.6装卸过程危险有害因素辨识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_Toc30967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ind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_Toc18347 </w:instrText>
      </w:r>
      <w:r>
        <w:rPr>
          <w:rFonts w:hint="eastAsia" w:ascii="宋体" w:hAnsi="宋体" w:cs="宋体"/>
          <w:szCs w:val="21"/>
        </w:rPr>
        <w:fldChar w:fldCharType="separate"/>
      </w:r>
      <w:r>
        <w:rPr>
          <w:rFonts w:hint="eastAsia" w:ascii="宋体" w:hAnsi="宋体" w:cs="宋体"/>
        </w:rPr>
        <w:t>3.1.7辅助装卸储设备设施危险、有害因素辨识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_Toc18347 </w:instrText>
      </w:r>
      <w:r>
        <w:rPr>
          <w:rFonts w:hint="eastAsia" w:ascii="宋体" w:hAnsi="宋体" w:cs="宋体"/>
        </w:rPr>
        <w:fldChar w:fldCharType="separate"/>
      </w:r>
      <w:r>
        <w:rPr>
          <w:rFonts w:hint="eastAsia" w:ascii="宋体" w:hAnsi="宋体" w:cs="宋体"/>
        </w:rPr>
        <w:t>40</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ind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_Toc30689 </w:instrText>
      </w:r>
      <w:r>
        <w:rPr>
          <w:rFonts w:hint="eastAsia" w:ascii="宋体" w:hAnsi="宋体" w:cs="宋体"/>
          <w:szCs w:val="21"/>
        </w:rPr>
        <w:fldChar w:fldCharType="separate"/>
      </w:r>
      <w:r>
        <w:rPr>
          <w:rFonts w:hint="eastAsia" w:ascii="宋体" w:hAnsi="宋体" w:cs="宋体"/>
        </w:rPr>
        <w:t>3.2公用工程及辅助设施危险、有害因素辨识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_Toc30689 </w:instrText>
      </w:r>
      <w:r>
        <w:rPr>
          <w:rFonts w:hint="eastAsia" w:ascii="宋体" w:hAnsi="宋体" w:cs="宋体"/>
        </w:rPr>
        <w:fldChar w:fldCharType="separate"/>
      </w:r>
      <w:r>
        <w:rPr>
          <w:rFonts w:hint="eastAsia" w:ascii="宋体" w:hAnsi="宋体" w:cs="宋体"/>
        </w:rPr>
        <w:t>43</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_Toc7737 </w:instrText>
      </w:r>
      <w:r>
        <w:rPr>
          <w:rFonts w:hint="eastAsia" w:ascii="宋体" w:hAnsi="宋体" w:cs="宋体"/>
          <w:szCs w:val="21"/>
        </w:rPr>
        <w:fldChar w:fldCharType="separate"/>
      </w:r>
      <w:r>
        <w:rPr>
          <w:rFonts w:hint="eastAsia" w:ascii="宋体" w:hAnsi="宋体" w:cs="宋体"/>
          <w:szCs w:val="28"/>
        </w:rPr>
        <w:t>3.2.1消防及给排水</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_Toc7737 </w:instrText>
      </w:r>
      <w:r>
        <w:rPr>
          <w:rFonts w:hint="eastAsia" w:ascii="宋体" w:hAnsi="宋体" w:cs="宋体"/>
        </w:rPr>
        <w:fldChar w:fldCharType="separate"/>
      </w:r>
      <w:r>
        <w:rPr>
          <w:rFonts w:hint="eastAsia" w:ascii="宋体" w:hAnsi="宋体" w:cs="宋体"/>
        </w:rPr>
        <w:t>43</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_Toc8823 </w:instrText>
      </w:r>
      <w:r>
        <w:rPr>
          <w:rFonts w:hint="eastAsia" w:ascii="宋体" w:hAnsi="宋体" w:cs="宋体"/>
          <w:szCs w:val="21"/>
        </w:rPr>
        <w:fldChar w:fldCharType="separate"/>
      </w:r>
      <w:r>
        <w:rPr>
          <w:rFonts w:hint="eastAsia" w:ascii="宋体" w:hAnsi="宋体" w:cs="宋体"/>
          <w:szCs w:val="28"/>
        </w:rPr>
        <w:t>3.2.2供配电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_Toc8823 </w:instrText>
      </w:r>
      <w:r>
        <w:rPr>
          <w:rFonts w:hint="eastAsia" w:ascii="宋体" w:hAnsi="宋体" w:cs="宋体"/>
        </w:rPr>
        <w:fldChar w:fldCharType="separate"/>
      </w:r>
      <w:r>
        <w:rPr>
          <w:rFonts w:hint="eastAsia" w:ascii="宋体" w:hAnsi="宋体" w:cs="宋体"/>
        </w:rPr>
        <w:t>43</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_Toc7009 </w:instrText>
      </w:r>
      <w:r>
        <w:rPr>
          <w:rFonts w:hint="eastAsia" w:ascii="宋体" w:hAnsi="宋体" w:cs="宋体"/>
          <w:szCs w:val="21"/>
        </w:rPr>
        <w:fldChar w:fldCharType="separate"/>
      </w:r>
      <w:r>
        <w:rPr>
          <w:rFonts w:hint="eastAsia" w:ascii="宋体" w:hAnsi="宋体" w:cs="宋体"/>
          <w:bCs/>
          <w:szCs w:val="28"/>
        </w:rPr>
        <w:t>3.2.3自动控制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_Toc7009 </w:instrText>
      </w:r>
      <w:r>
        <w:rPr>
          <w:rFonts w:hint="eastAsia" w:ascii="宋体" w:hAnsi="宋体" w:cs="宋体"/>
        </w:rPr>
        <w:fldChar w:fldCharType="separate"/>
      </w:r>
      <w:r>
        <w:rPr>
          <w:rFonts w:hint="eastAsia" w:ascii="宋体" w:hAnsi="宋体" w:cs="宋体"/>
        </w:rPr>
        <w:t>46</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_Toc7527 </w:instrText>
      </w:r>
      <w:r>
        <w:rPr>
          <w:rFonts w:hint="eastAsia" w:ascii="宋体" w:hAnsi="宋体" w:cs="宋体"/>
          <w:szCs w:val="21"/>
        </w:rPr>
        <w:fldChar w:fldCharType="separate"/>
      </w:r>
      <w:r>
        <w:rPr>
          <w:rFonts w:hint="eastAsia" w:ascii="宋体" w:hAnsi="宋体" w:cs="宋体"/>
          <w:szCs w:val="28"/>
        </w:rPr>
        <w:t>3.2.4通信及信息</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_Toc7527 </w:instrText>
      </w:r>
      <w:r>
        <w:rPr>
          <w:rFonts w:hint="eastAsia" w:ascii="宋体" w:hAnsi="宋体" w:cs="宋体"/>
        </w:rPr>
        <w:fldChar w:fldCharType="separate"/>
      </w:r>
      <w:r>
        <w:rPr>
          <w:rFonts w:hint="eastAsia" w:ascii="宋体" w:hAnsi="宋体" w:cs="宋体"/>
        </w:rPr>
        <w:t>46</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_Toc6132 </w:instrText>
      </w:r>
      <w:r>
        <w:rPr>
          <w:rFonts w:hint="eastAsia" w:ascii="宋体" w:hAnsi="宋体" w:cs="宋体"/>
          <w:szCs w:val="21"/>
        </w:rPr>
        <w:fldChar w:fldCharType="separate"/>
      </w:r>
      <w:r>
        <w:rPr>
          <w:rFonts w:hint="eastAsia" w:ascii="宋体" w:hAnsi="宋体" w:cs="宋体"/>
          <w:szCs w:val="28"/>
        </w:rPr>
        <w:t>3.2.5信号及安全标志</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_Toc6132 </w:instrText>
      </w:r>
      <w:r>
        <w:rPr>
          <w:rFonts w:hint="eastAsia" w:ascii="宋体" w:hAnsi="宋体" w:cs="宋体"/>
        </w:rPr>
        <w:fldChar w:fldCharType="separate"/>
      </w:r>
      <w:r>
        <w:rPr>
          <w:rFonts w:hint="eastAsia" w:ascii="宋体" w:hAnsi="宋体" w:cs="宋体"/>
        </w:rPr>
        <w:t>47</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_Toc4507 </w:instrText>
      </w:r>
      <w:r>
        <w:rPr>
          <w:rFonts w:hint="eastAsia" w:ascii="宋体" w:hAnsi="宋体" w:cs="宋体"/>
          <w:szCs w:val="21"/>
        </w:rPr>
        <w:fldChar w:fldCharType="separate"/>
      </w:r>
      <w:r>
        <w:rPr>
          <w:rFonts w:hint="eastAsia" w:ascii="宋体" w:hAnsi="宋体" w:cs="宋体"/>
          <w:szCs w:val="28"/>
        </w:rPr>
        <w:t>3.2.6防雷、防静电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_Toc4507 </w:instrText>
      </w:r>
      <w:r>
        <w:rPr>
          <w:rFonts w:hint="eastAsia" w:ascii="宋体" w:hAnsi="宋体" w:cs="宋体"/>
        </w:rPr>
        <w:fldChar w:fldCharType="separate"/>
      </w:r>
      <w:r>
        <w:rPr>
          <w:rFonts w:hint="eastAsia" w:ascii="宋体" w:hAnsi="宋体" w:cs="宋体"/>
        </w:rPr>
        <w:t>48</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ind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_Toc26417 </w:instrText>
      </w:r>
      <w:r>
        <w:rPr>
          <w:rFonts w:hint="eastAsia" w:ascii="宋体" w:hAnsi="宋体" w:cs="宋体"/>
          <w:szCs w:val="21"/>
        </w:rPr>
        <w:fldChar w:fldCharType="separate"/>
      </w:r>
      <w:r>
        <w:rPr>
          <w:rFonts w:hint="eastAsia" w:ascii="宋体" w:hAnsi="宋体" w:cs="宋体"/>
          <w:bCs/>
        </w:rPr>
        <w:t>3.3安全管理方面的危险有害因素辨识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_Toc26417 </w:instrText>
      </w:r>
      <w:r>
        <w:rPr>
          <w:rFonts w:hint="eastAsia" w:ascii="宋体" w:hAnsi="宋体" w:cs="宋体"/>
        </w:rPr>
        <w:fldChar w:fldCharType="separate"/>
      </w:r>
      <w:r>
        <w:rPr>
          <w:rFonts w:hint="eastAsia" w:ascii="宋体" w:hAnsi="宋体" w:cs="宋体"/>
        </w:rPr>
        <w:t>49</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_Toc25474 </w:instrText>
      </w:r>
      <w:r>
        <w:rPr>
          <w:rFonts w:hint="eastAsia" w:ascii="宋体" w:hAnsi="宋体" w:cs="宋体"/>
          <w:szCs w:val="21"/>
        </w:rPr>
        <w:fldChar w:fldCharType="separate"/>
      </w:r>
      <w:r>
        <w:rPr>
          <w:rFonts w:hint="eastAsia" w:ascii="宋体" w:hAnsi="宋体" w:cs="宋体"/>
          <w:szCs w:val="28"/>
        </w:rPr>
        <w:t>3.3.1人的不安全行为及其他影响</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_Toc25474 </w:instrText>
      </w:r>
      <w:r>
        <w:rPr>
          <w:rFonts w:hint="eastAsia" w:ascii="宋体" w:hAnsi="宋体" w:cs="宋体"/>
        </w:rPr>
        <w:fldChar w:fldCharType="separate"/>
      </w:r>
      <w:r>
        <w:rPr>
          <w:rFonts w:hint="eastAsia" w:ascii="宋体" w:hAnsi="宋体" w:cs="宋体"/>
        </w:rPr>
        <w:t>49</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_Toc26948 </w:instrText>
      </w:r>
      <w:r>
        <w:rPr>
          <w:rFonts w:hint="eastAsia" w:ascii="宋体" w:hAnsi="宋体" w:cs="宋体"/>
          <w:szCs w:val="21"/>
        </w:rPr>
        <w:fldChar w:fldCharType="separate"/>
      </w:r>
      <w:r>
        <w:rPr>
          <w:rFonts w:hint="eastAsia" w:ascii="宋体" w:hAnsi="宋体" w:cs="宋体"/>
          <w:szCs w:val="28"/>
        </w:rPr>
        <w:t>3.3.2安全生产管理危险有害因素分析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_Toc26948 </w:instrText>
      </w:r>
      <w:r>
        <w:rPr>
          <w:rFonts w:hint="eastAsia" w:ascii="宋体" w:hAnsi="宋体" w:cs="宋体"/>
        </w:rPr>
        <w:fldChar w:fldCharType="separate"/>
      </w:r>
      <w:r>
        <w:rPr>
          <w:rFonts w:hint="eastAsia" w:ascii="宋体" w:hAnsi="宋体" w:cs="宋体"/>
        </w:rPr>
        <w:t>50</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ind w:left="0" w:leftChars="0"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_Toc21006 </w:instrText>
      </w:r>
      <w:r>
        <w:rPr>
          <w:rFonts w:hint="eastAsia" w:ascii="宋体" w:hAnsi="宋体" w:cs="宋体"/>
          <w:szCs w:val="21"/>
        </w:rPr>
        <w:fldChar w:fldCharType="separate"/>
      </w:r>
      <w:r>
        <w:rPr>
          <w:rFonts w:hint="eastAsia" w:ascii="宋体" w:hAnsi="宋体" w:cs="宋体"/>
          <w:szCs w:val="28"/>
        </w:rPr>
        <w:t>3.4 重大危险源辨识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_Toc21006 </w:instrText>
      </w:r>
      <w:r>
        <w:rPr>
          <w:rFonts w:hint="eastAsia" w:ascii="宋体" w:hAnsi="宋体" w:cs="宋体"/>
        </w:rPr>
        <w:fldChar w:fldCharType="separate"/>
      </w:r>
      <w:r>
        <w:rPr>
          <w:rFonts w:hint="eastAsia" w:ascii="宋体" w:hAnsi="宋体" w:cs="宋体"/>
        </w:rPr>
        <w:t>51</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ind w:firstLine="420" w:firstLineChars="200"/>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_Toc8782 </w:instrText>
      </w:r>
      <w:r>
        <w:rPr>
          <w:rFonts w:hint="eastAsia" w:ascii="宋体" w:hAnsi="宋体" w:cs="宋体"/>
          <w:szCs w:val="21"/>
        </w:rPr>
        <w:fldChar w:fldCharType="separate"/>
      </w:r>
      <w:r>
        <w:rPr>
          <w:rFonts w:hint="eastAsia" w:ascii="宋体" w:hAnsi="宋体" w:cs="宋体"/>
        </w:rPr>
        <w:t>3.5主要危险、有害因素分析汇总</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_Toc8782 </w:instrText>
      </w:r>
      <w:r>
        <w:rPr>
          <w:rFonts w:hint="eastAsia" w:ascii="宋体" w:hAnsi="宋体" w:cs="宋体"/>
        </w:rPr>
        <w:fldChar w:fldCharType="separate"/>
      </w:r>
      <w:r>
        <w:rPr>
          <w:rFonts w:hint="eastAsia" w:ascii="宋体" w:hAnsi="宋体" w:cs="宋体"/>
        </w:rPr>
        <w:t>53</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rPr>
          <w:rFonts w:hint="eastAsia" w:ascii="宋体" w:hAnsi="宋体" w:cs="宋体"/>
          <w:b/>
          <w:bCs/>
        </w:rPr>
      </w:pPr>
      <w:r>
        <w:rPr>
          <w:rFonts w:hint="eastAsia" w:ascii="宋体" w:hAnsi="宋体" w:cs="宋体"/>
          <w:b/>
          <w:bCs/>
          <w:szCs w:val="21"/>
        </w:rPr>
        <w:fldChar w:fldCharType="begin"/>
      </w:r>
      <w:r>
        <w:rPr>
          <w:rFonts w:hint="eastAsia" w:ascii="宋体" w:hAnsi="宋体" w:cs="宋体"/>
          <w:b/>
          <w:bCs/>
          <w:szCs w:val="21"/>
        </w:rPr>
        <w:instrText xml:space="preserve"> HYPERLINK \l _Toc17183 </w:instrText>
      </w:r>
      <w:r>
        <w:rPr>
          <w:rFonts w:hint="eastAsia" w:ascii="宋体" w:hAnsi="宋体" w:cs="宋体"/>
          <w:b/>
          <w:bCs/>
          <w:szCs w:val="21"/>
        </w:rPr>
        <w:fldChar w:fldCharType="separate"/>
      </w:r>
      <w:r>
        <w:rPr>
          <w:rFonts w:hint="eastAsia" w:ascii="宋体" w:hAnsi="宋体" w:cs="宋体"/>
          <w:b/>
          <w:bCs/>
          <w:szCs w:val="32"/>
        </w:rPr>
        <w:t>4 现有安全管理措施、安全技术、监控措施和事故应急措施</w:t>
      </w:r>
      <w:r>
        <w:rPr>
          <w:rFonts w:hint="eastAsia" w:ascii="宋体" w:hAnsi="宋体" w:cs="宋体"/>
          <w:b/>
          <w:bCs/>
        </w:rPr>
        <w:tab/>
      </w:r>
      <w:r>
        <w:rPr>
          <w:rFonts w:hint="eastAsia" w:ascii="宋体" w:hAnsi="宋体" w:cs="宋体"/>
          <w:b/>
          <w:bCs/>
        </w:rPr>
        <w:fldChar w:fldCharType="begin"/>
      </w:r>
      <w:r>
        <w:rPr>
          <w:rFonts w:hint="eastAsia" w:ascii="宋体" w:hAnsi="宋体" w:cs="宋体"/>
          <w:b/>
          <w:bCs/>
        </w:rPr>
        <w:instrText xml:space="preserve"> PAGEREF _Toc17183 </w:instrText>
      </w:r>
      <w:r>
        <w:rPr>
          <w:rFonts w:hint="eastAsia" w:ascii="宋体" w:hAnsi="宋体" w:cs="宋体"/>
          <w:b/>
          <w:bCs/>
        </w:rPr>
        <w:fldChar w:fldCharType="separate"/>
      </w:r>
      <w:r>
        <w:rPr>
          <w:rFonts w:hint="eastAsia" w:ascii="宋体" w:hAnsi="宋体" w:cs="宋体"/>
          <w:b/>
          <w:bCs/>
        </w:rPr>
        <w:t>54</w:t>
      </w:r>
      <w:r>
        <w:rPr>
          <w:rFonts w:hint="eastAsia" w:ascii="宋体" w:hAnsi="宋体" w:cs="宋体"/>
          <w:b/>
          <w:bCs/>
        </w:rPr>
        <w:fldChar w:fldCharType="end"/>
      </w:r>
      <w:r>
        <w:rPr>
          <w:rFonts w:hint="eastAsia" w:ascii="宋体" w:hAnsi="宋体" w:cs="宋体"/>
          <w:b/>
          <w:bCs/>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_Toc25855 </w:instrText>
      </w:r>
      <w:r>
        <w:rPr>
          <w:rFonts w:hint="eastAsia" w:ascii="宋体" w:hAnsi="宋体" w:cs="宋体"/>
          <w:szCs w:val="21"/>
        </w:rPr>
        <w:fldChar w:fldCharType="separate"/>
      </w:r>
      <w:r>
        <w:rPr>
          <w:rFonts w:hint="eastAsia" w:ascii="宋体" w:hAnsi="宋体" w:cs="宋体"/>
          <w:szCs w:val="28"/>
        </w:rPr>
        <w:t>4.1 主要设备设施安全对策措施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_Toc25855 </w:instrText>
      </w:r>
      <w:r>
        <w:rPr>
          <w:rFonts w:hint="eastAsia" w:ascii="宋体" w:hAnsi="宋体" w:cs="宋体"/>
        </w:rPr>
        <w:fldChar w:fldCharType="separate"/>
      </w:r>
      <w:r>
        <w:rPr>
          <w:rFonts w:hint="eastAsia" w:ascii="宋体" w:hAnsi="宋体" w:cs="宋体"/>
        </w:rPr>
        <w:t>54</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HYPERLINK \l _Toc26328 </w:instrText>
      </w:r>
      <w:r>
        <w:rPr>
          <w:rFonts w:hint="eastAsia" w:ascii="宋体" w:hAnsi="宋体" w:cs="宋体"/>
          <w:szCs w:val="21"/>
        </w:rPr>
        <w:fldChar w:fldCharType="separate"/>
      </w:r>
      <w:r>
        <w:rPr>
          <w:rFonts w:hint="eastAsia" w:ascii="宋体" w:hAnsi="宋体" w:cs="宋体"/>
          <w:szCs w:val="28"/>
        </w:rPr>
        <w:t>4.2运输及装卸过程安全对策措施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_Toc26328 </w:instrText>
      </w:r>
      <w:r>
        <w:rPr>
          <w:rFonts w:hint="eastAsia" w:ascii="宋体" w:hAnsi="宋体" w:cs="宋体"/>
        </w:rPr>
        <w:fldChar w:fldCharType="separate"/>
      </w:r>
      <w:r>
        <w:rPr>
          <w:rFonts w:hint="eastAsia" w:ascii="宋体" w:hAnsi="宋体" w:cs="宋体"/>
        </w:rPr>
        <w:t>54</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_Toc3473 </w:instrText>
      </w:r>
      <w:r>
        <w:rPr>
          <w:rFonts w:hint="eastAsia" w:ascii="宋体" w:hAnsi="宋体" w:cs="宋体"/>
          <w:szCs w:val="21"/>
        </w:rPr>
        <w:fldChar w:fldCharType="separate"/>
      </w:r>
      <w:r>
        <w:rPr>
          <w:rFonts w:hint="eastAsia" w:ascii="宋体" w:hAnsi="宋体" w:cs="宋体"/>
          <w:szCs w:val="28"/>
        </w:rPr>
        <w:t>4.3爆炸事故预防控制措施</w:t>
      </w:r>
      <w:r>
        <w:rPr>
          <w:rFonts w:hint="eastAsia" w:ascii="宋体" w:hAnsi="宋体" w:cs="宋体"/>
        </w:rPr>
        <w:tab/>
      </w:r>
      <w:r>
        <w:rPr>
          <w:rFonts w:hint="eastAsia" w:ascii="宋体" w:hAnsi="宋体" w:cs="宋体"/>
        </w:rPr>
        <w:t>5</w:t>
      </w:r>
      <w:r>
        <w:rPr>
          <w:rFonts w:hint="eastAsia" w:ascii="宋体" w:hAnsi="宋体" w:cs="宋体"/>
          <w:szCs w:val="21"/>
        </w:rPr>
        <w:fldChar w:fldCharType="end"/>
      </w:r>
      <w:r>
        <w:rPr>
          <w:rFonts w:hint="eastAsia" w:ascii="宋体" w:hAnsi="宋体" w:cs="宋体"/>
          <w:szCs w:val="21"/>
        </w:rPr>
        <w:t>6</w:t>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_Toc3473 </w:instrText>
      </w:r>
      <w:r>
        <w:rPr>
          <w:rFonts w:hint="eastAsia" w:ascii="宋体" w:hAnsi="宋体" w:cs="宋体"/>
          <w:szCs w:val="21"/>
        </w:rPr>
        <w:fldChar w:fldCharType="separate"/>
      </w:r>
      <w:r>
        <w:rPr>
          <w:rFonts w:hint="eastAsia" w:ascii="宋体" w:hAnsi="宋体" w:cs="宋体"/>
          <w:szCs w:val="28"/>
        </w:rPr>
        <w:t>4.4火灾事故预防控制措施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_Toc3473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_Toc11399 </w:instrText>
      </w:r>
      <w:r>
        <w:rPr>
          <w:rFonts w:hint="eastAsia" w:ascii="宋体" w:hAnsi="宋体" w:cs="宋体"/>
          <w:szCs w:val="21"/>
        </w:rPr>
        <w:fldChar w:fldCharType="separate"/>
      </w:r>
      <w:r>
        <w:rPr>
          <w:rFonts w:hint="eastAsia" w:ascii="宋体" w:hAnsi="宋体" w:cs="宋体"/>
          <w:szCs w:val="28"/>
        </w:rPr>
        <w:t>4.5中毒、窒息和化学品灼伤事故预防控制措施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_Toc11399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_Toc3701 </w:instrText>
      </w:r>
      <w:r>
        <w:rPr>
          <w:rFonts w:hint="eastAsia" w:ascii="宋体" w:hAnsi="宋体" w:cs="宋体"/>
          <w:szCs w:val="21"/>
        </w:rPr>
        <w:fldChar w:fldCharType="separate"/>
      </w:r>
      <w:r>
        <w:rPr>
          <w:rFonts w:hint="eastAsia" w:ascii="宋体" w:hAnsi="宋体" w:cs="宋体"/>
          <w:bCs/>
          <w:szCs w:val="28"/>
        </w:rPr>
        <w:t>4.6触电事故预防控制措施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_Toc3701 </w:instrText>
      </w:r>
      <w:r>
        <w:rPr>
          <w:rFonts w:hint="eastAsia" w:ascii="宋体" w:hAnsi="宋体" w:cs="宋体"/>
        </w:rPr>
        <w:fldChar w:fldCharType="separate"/>
      </w:r>
      <w:r>
        <w:rPr>
          <w:rFonts w:hint="eastAsia" w:ascii="宋体" w:hAnsi="宋体" w:cs="宋体"/>
        </w:rPr>
        <w:t>60</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_Toc942 </w:instrText>
      </w:r>
      <w:r>
        <w:rPr>
          <w:rFonts w:hint="eastAsia" w:ascii="宋体" w:hAnsi="宋体" w:cs="宋体"/>
          <w:szCs w:val="21"/>
        </w:rPr>
        <w:fldChar w:fldCharType="separate"/>
      </w:r>
      <w:r>
        <w:rPr>
          <w:rFonts w:hint="eastAsia" w:ascii="宋体" w:hAnsi="宋体" w:cs="宋体"/>
          <w:szCs w:val="28"/>
        </w:rPr>
        <w:t>4.7高处坠落事故预防控制措施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_Toc942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_Toc19120 </w:instrText>
      </w:r>
      <w:r>
        <w:rPr>
          <w:rFonts w:hint="eastAsia" w:ascii="宋体" w:hAnsi="宋体" w:cs="宋体"/>
          <w:szCs w:val="21"/>
        </w:rPr>
        <w:fldChar w:fldCharType="separate"/>
      </w:r>
      <w:r>
        <w:rPr>
          <w:rFonts w:hint="eastAsia" w:ascii="宋体" w:hAnsi="宋体" w:cs="宋体"/>
          <w:szCs w:val="28"/>
        </w:rPr>
        <w:t>4.8安全色和安全标志对策措施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_Toc19120 </w:instrText>
      </w:r>
      <w:r>
        <w:rPr>
          <w:rFonts w:hint="eastAsia" w:ascii="宋体" w:hAnsi="宋体" w:cs="宋体"/>
        </w:rPr>
        <w:fldChar w:fldCharType="separate"/>
      </w:r>
      <w:r>
        <w:rPr>
          <w:rFonts w:hint="eastAsia" w:ascii="宋体" w:hAnsi="宋体" w:cs="宋体"/>
        </w:rPr>
        <w:t>62</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_Toc3298 </w:instrText>
      </w:r>
      <w:r>
        <w:rPr>
          <w:rFonts w:hint="eastAsia" w:ascii="宋体" w:hAnsi="宋体" w:cs="宋体"/>
          <w:szCs w:val="21"/>
        </w:rPr>
        <w:fldChar w:fldCharType="separate"/>
      </w:r>
      <w:r>
        <w:rPr>
          <w:rFonts w:hint="eastAsia" w:ascii="宋体" w:hAnsi="宋体" w:cs="宋体"/>
          <w:bCs/>
          <w:szCs w:val="28"/>
        </w:rPr>
        <w:t>4.9消防、应急救援保障措施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_Toc3298 </w:instrText>
      </w:r>
      <w:r>
        <w:rPr>
          <w:rFonts w:hint="eastAsia" w:ascii="宋体" w:hAnsi="宋体" w:cs="宋体"/>
        </w:rPr>
        <w:fldChar w:fldCharType="separate"/>
      </w:r>
      <w:r>
        <w:rPr>
          <w:rFonts w:hint="eastAsia" w:ascii="宋体" w:hAnsi="宋体" w:cs="宋体"/>
        </w:rPr>
        <w:t>62</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_Toc31717 </w:instrText>
      </w:r>
      <w:r>
        <w:rPr>
          <w:rFonts w:hint="eastAsia" w:ascii="宋体" w:hAnsi="宋体" w:cs="宋体"/>
          <w:szCs w:val="21"/>
        </w:rPr>
        <w:fldChar w:fldCharType="separate"/>
      </w:r>
      <w:r>
        <w:rPr>
          <w:rFonts w:hint="eastAsia" w:ascii="宋体" w:hAnsi="宋体" w:cs="宋体"/>
          <w:szCs w:val="28"/>
        </w:rPr>
        <w:t>4.10安全生产管理措施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_Toc31717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szCs w:val="21"/>
        </w:rPr>
        <w:fldChar w:fldCharType="end"/>
      </w:r>
    </w:p>
    <w:p>
      <w:pPr>
        <w:pStyle w:val="34"/>
        <w:tabs>
          <w:tab w:val="right" w:leader="dot" w:pos="8312"/>
        </w:tabs>
        <w:rPr>
          <w:rFonts w:hint="eastAsia" w:ascii="宋体" w:hAnsi="宋体" w:cs="宋体"/>
        </w:rPr>
      </w:pPr>
      <w:r>
        <w:rPr>
          <w:rFonts w:hint="eastAsia" w:ascii="宋体" w:hAnsi="宋体" w:cs="宋体"/>
          <w:b/>
          <w:bCs/>
          <w:szCs w:val="21"/>
        </w:rPr>
        <w:fldChar w:fldCharType="begin"/>
      </w:r>
      <w:r>
        <w:rPr>
          <w:rFonts w:hint="eastAsia" w:ascii="宋体" w:hAnsi="宋体" w:cs="宋体"/>
          <w:b/>
          <w:bCs/>
          <w:szCs w:val="21"/>
        </w:rPr>
        <w:instrText xml:space="preserve"> HYPERLINK \l _Toc20163 </w:instrText>
      </w:r>
      <w:r>
        <w:rPr>
          <w:rFonts w:hint="eastAsia" w:ascii="宋体" w:hAnsi="宋体" w:cs="宋体"/>
          <w:b/>
          <w:bCs/>
          <w:szCs w:val="21"/>
        </w:rPr>
        <w:fldChar w:fldCharType="separate"/>
      </w:r>
      <w:r>
        <w:rPr>
          <w:rFonts w:hint="eastAsia" w:ascii="宋体" w:hAnsi="宋体" w:cs="宋体"/>
          <w:b/>
          <w:bCs/>
          <w:szCs w:val="32"/>
        </w:rPr>
        <w:t>5 评估结论与建议</w:t>
      </w:r>
      <w:r>
        <w:rPr>
          <w:rFonts w:hint="eastAsia" w:ascii="宋体" w:hAnsi="宋体" w:cs="宋体"/>
          <w:b/>
          <w:bCs/>
        </w:rPr>
        <w:tab/>
      </w:r>
      <w:r>
        <w:rPr>
          <w:rFonts w:hint="eastAsia" w:ascii="宋体" w:hAnsi="宋体" w:cs="宋体"/>
          <w:b/>
          <w:bCs/>
        </w:rPr>
        <w:fldChar w:fldCharType="begin"/>
      </w:r>
      <w:r>
        <w:rPr>
          <w:rFonts w:hint="eastAsia" w:ascii="宋体" w:hAnsi="宋体" w:cs="宋体"/>
          <w:b/>
          <w:bCs/>
        </w:rPr>
        <w:instrText xml:space="preserve"> PAGEREF _Toc20163 </w:instrText>
      </w:r>
      <w:r>
        <w:rPr>
          <w:rFonts w:hint="eastAsia" w:ascii="宋体" w:hAnsi="宋体" w:cs="宋体"/>
          <w:b/>
          <w:bCs/>
        </w:rPr>
        <w:fldChar w:fldCharType="separate"/>
      </w:r>
      <w:r>
        <w:rPr>
          <w:rFonts w:hint="eastAsia" w:ascii="宋体" w:hAnsi="宋体" w:cs="宋体"/>
          <w:b/>
          <w:bCs/>
        </w:rPr>
        <w:t>72</w:t>
      </w:r>
      <w:r>
        <w:rPr>
          <w:rFonts w:hint="eastAsia" w:ascii="宋体" w:hAnsi="宋体" w:cs="宋体"/>
          <w:b/>
          <w:bCs/>
        </w:rPr>
        <w:fldChar w:fldCharType="end"/>
      </w:r>
      <w:r>
        <w:rPr>
          <w:rFonts w:hint="eastAsia" w:ascii="宋体" w:hAnsi="宋体" w:cs="宋体"/>
          <w:b/>
          <w:bCs/>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_Toc29797 </w:instrText>
      </w:r>
      <w:r>
        <w:rPr>
          <w:rFonts w:hint="eastAsia" w:ascii="宋体" w:hAnsi="宋体" w:cs="宋体"/>
          <w:szCs w:val="21"/>
        </w:rPr>
        <w:fldChar w:fldCharType="separate"/>
      </w:r>
      <w:r>
        <w:rPr>
          <w:rFonts w:hint="eastAsia" w:ascii="宋体" w:hAnsi="宋体" w:cs="宋体"/>
          <w:szCs w:val="28"/>
        </w:rPr>
        <w:t>5.1 结论</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_Toc29797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szCs w:val="21"/>
        </w:rPr>
        <w:fldChar w:fldCharType="end"/>
      </w:r>
    </w:p>
    <w:p>
      <w:pPr>
        <w:pStyle w:val="40"/>
        <w:tabs>
          <w:tab w:val="right" w:leader="dot" w:pos="8312"/>
        </w:tabs>
        <w:rPr>
          <w:rFonts w:hint="eastAsia" w:ascii="宋体" w:hAnsi="宋体" w:cs="宋体"/>
        </w:rPr>
      </w:pPr>
      <w:r>
        <w:rPr>
          <w:rFonts w:hint="eastAsia" w:ascii="宋体" w:hAnsi="宋体" w:cs="宋体"/>
          <w:szCs w:val="21"/>
        </w:rPr>
        <w:fldChar w:fldCharType="begin"/>
      </w:r>
      <w:r>
        <w:rPr>
          <w:rFonts w:hint="eastAsia" w:ascii="宋体" w:hAnsi="宋体" w:cs="宋体"/>
          <w:szCs w:val="21"/>
        </w:rPr>
        <w:instrText xml:space="preserve"> HYPERLINK \l _Toc28412 </w:instrText>
      </w:r>
      <w:r>
        <w:rPr>
          <w:rFonts w:hint="eastAsia" w:ascii="宋体" w:hAnsi="宋体" w:cs="宋体"/>
          <w:szCs w:val="21"/>
        </w:rPr>
        <w:fldChar w:fldCharType="separate"/>
      </w:r>
      <w:r>
        <w:rPr>
          <w:rFonts w:hint="eastAsia" w:ascii="宋体" w:hAnsi="宋体" w:cs="宋体"/>
          <w:szCs w:val="28"/>
        </w:rPr>
        <w:t>5.2 建议</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_Toc28412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szCs w:val="21"/>
        </w:rPr>
        <w:fldChar w:fldCharType="end"/>
      </w:r>
    </w:p>
    <w:p>
      <w:pPr>
        <w:spacing w:line="276" w:lineRule="auto"/>
        <w:rPr>
          <w:rFonts w:hint="eastAsia" w:ascii="宋体" w:hAnsi="宋体" w:cs="宋体"/>
        </w:rPr>
      </w:pPr>
      <w:r>
        <w:rPr>
          <w:rFonts w:hint="eastAsia" w:ascii="宋体" w:hAnsi="宋体" w:cs="宋体"/>
          <w:szCs w:val="21"/>
        </w:rPr>
        <w:fldChar w:fldCharType="end"/>
      </w:r>
    </w:p>
    <w:p>
      <w:pPr>
        <w:rPr>
          <w:rFonts w:hint="eastAsia" w:ascii="宋体" w:hAnsi="宋体" w:cs="宋体"/>
        </w:rPr>
        <w:sectPr>
          <w:pgSz w:w="11906" w:h="16838"/>
          <w:pgMar w:top="1440" w:right="1797" w:bottom="1440" w:left="1797" w:header="851" w:footer="992" w:gutter="0"/>
          <w:cols w:space="720" w:num="1"/>
          <w:docGrid w:type="lines" w:linePitch="312" w:charSpace="0"/>
        </w:sectPr>
      </w:pPr>
    </w:p>
    <w:bookmarkEnd w:id="0"/>
    <w:p>
      <w:pPr>
        <w:spacing w:line="360" w:lineRule="auto"/>
        <w:jc w:val="center"/>
        <w:outlineLvl w:val="0"/>
        <w:rPr>
          <w:rFonts w:eastAsia="黑体"/>
          <w:b/>
          <w:sz w:val="32"/>
          <w:szCs w:val="32"/>
        </w:rPr>
      </w:pPr>
      <w:bookmarkStart w:id="31" w:name="_Toc481135188"/>
      <w:bookmarkStart w:id="32" w:name="_Toc12948"/>
      <w:r>
        <w:rPr>
          <w:rFonts w:eastAsia="黑体"/>
          <w:b/>
          <w:sz w:val="32"/>
          <w:szCs w:val="32"/>
        </w:rPr>
        <w:t xml:space="preserve">1 </w:t>
      </w:r>
      <w:bookmarkEnd w:id="31"/>
      <w:r>
        <w:rPr>
          <w:rFonts w:eastAsia="黑体"/>
          <w:b/>
          <w:sz w:val="32"/>
          <w:szCs w:val="32"/>
        </w:rPr>
        <w:t>概述</w:t>
      </w:r>
      <w:bookmarkEnd w:id="32"/>
    </w:p>
    <w:p>
      <w:pPr>
        <w:pStyle w:val="4"/>
        <w:spacing w:before="0" w:after="0" w:line="360" w:lineRule="auto"/>
        <w:rPr>
          <w:rFonts w:hint="eastAsia" w:ascii="黑体" w:hAnsi="黑体" w:cs="黑体"/>
          <w:sz w:val="28"/>
          <w:szCs w:val="28"/>
        </w:rPr>
      </w:pPr>
      <w:bookmarkStart w:id="33" w:name="_Toc16028"/>
      <w:r>
        <w:rPr>
          <w:rFonts w:hint="eastAsia" w:ascii="黑体" w:hAnsi="黑体" w:cs="黑体"/>
          <w:sz w:val="28"/>
          <w:szCs w:val="28"/>
        </w:rPr>
        <w:t>1.1 评估的主要依据</w:t>
      </w:r>
      <w:bookmarkEnd w:id="33"/>
    </w:p>
    <w:p>
      <w:pPr>
        <w:tabs>
          <w:tab w:val="left" w:pos="4680"/>
        </w:tabs>
        <w:spacing w:line="360" w:lineRule="auto"/>
        <w:outlineLvl w:val="2"/>
        <w:rPr>
          <w:rFonts w:hint="eastAsia" w:ascii="宋体" w:hAnsi="宋体" w:cs="宋体"/>
          <w:b/>
          <w:sz w:val="28"/>
          <w:szCs w:val="28"/>
        </w:rPr>
      </w:pPr>
      <w:bookmarkStart w:id="34" w:name="_Toc184009547"/>
      <w:bookmarkStart w:id="35" w:name="_Toc438205753"/>
      <w:bookmarkStart w:id="36" w:name="_Toc284"/>
      <w:bookmarkStart w:id="37" w:name="_Toc184788803"/>
      <w:r>
        <w:rPr>
          <w:rFonts w:hint="eastAsia" w:ascii="宋体" w:hAnsi="宋体" w:cs="宋体"/>
          <w:b/>
          <w:sz w:val="28"/>
          <w:szCs w:val="28"/>
        </w:rPr>
        <w:t>1.1.1 相关法律、法规</w:t>
      </w:r>
      <w:bookmarkEnd w:id="34"/>
      <w:bookmarkEnd w:id="35"/>
      <w:bookmarkEnd w:id="36"/>
    </w:p>
    <w:p>
      <w:pPr>
        <w:snapToGrid w:val="0"/>
        <w:spacing w:line="360" w:lineRule="auto"/>
        <w:ind w:firstLine="560" w:firstLineChars="200"/>
        <w:rPr>
          <w:sz w:val="28"/>
          <w:szCs w:val="28"/>
        </w:rPr>
      </w:pPr>
      <w:r>
        <w:rPr>
          <w:sz w:val="28"/>
          <w:szCs w:val="28"/>
        </w:rPr>
        <w:t>1）《中华人民共和国安全生产法》(主席令第13号，2014年)；</w:t>
      </w:r>
    </w:p>
    <w:p>
      <w:pPr>
        <w:snapToGrid w:val="0"/>
        <w:spacing w:line="360" w:lineRule="auto"/>
        <w:ind w:firstLine="560" w:firstLineChars="200"/>
        <w:rPr>
          <w:sz w:val="28"/>
          <w:szCs w:val="28"/>
        </w:rPr>
      </w:pPr>
      <w:r>
        <w:rPr>
          <w:sz w:val="28"/>
          <w:szCs w:val="28"/>
        </w:rPr>
        <w:t>2）《中华人民共和国劳动合同法》(主席令第73号，2008年)；</w:t>
      </w:r>
    </w:p>
    <w:p>
      <w:pPr>
        <w:snapToGrid w:val="0"/>
        <w:spacing w:line="360" w:lineRule="auto"/>
        <w:ind w:firstLine="560" w:firstLineChars="200"/>
        <w:rPr>
          <w:sz w:val="28"/>
          <w:szCs w:val="28"/>
        </w:rPr>
      </w:pPr>
      <w:r>
        <w:rPr>
          <w:sz w:val="28"/>
          <w:szCs w:val="28"/>
        </w:rPr>
        <w:t>3）《中华人民共和国消防法》(主席令第</w:t>
      </w:r>
      <w:r>
        <w:rPr>
          <w:rFonts w:hint="eastAsia"/>
          <w:sz w:val="28"/>
          <w:szCs w:val="28"/>
        </w:rPr>
        <w:t>29</w:t>
      </w:r>
      <w:r>
        <w:rPr>
          <w:sz w:val="28"/>
          <w:szCs w:val="28"/>
        </w:rPr>
        <w:t>号，20</w:t>
      </w:r>
      <w:r>
        <w:rPr>
          <w:rFonts w:hint="eastAsia"/>
          <w:sz w:val="28"/>
          <w:szCs w:val="28"/>
        </w:rPr>
        <w:t>19</w:t>
      </w:r>
      <w:r>
        <w:rPr>
          <w:sz w:val="28"/>
          <w:szCs w:val="28"/>
        </w:rPr>
        <w:t>年)；</w:t>
      </w:r>
    </w:p>
    <w:p>
      <w:pPr>
        <w:snapToGrid w:val="0"/>
        <w:spacing w:line="360" w:lineRule="auto"/>
        <w:ind w:firstLine="560" w:firstLineChars="200"/>
        <w:rPr>
          <w:sz w:val="28"/>
          <w:szCs w:val="28"/>
        </w:rPr>
      </w:pPr>
      <w:r>
        <w:rPr>
          <w:sz w:val="28"/>
          <w:szCs w:val="28"/>
        </w:rPr>
        <w:t>4）《中华人民共和国环境保护法》（国家主席令第9号，2015年）；</w:t>
      </w:r>
    </w:p>
    <w:p>
      <w:pPr>
        <w:snapToGrid w:val="0"/>
        <w:spacing w:line="360" w:lineRule="auto"/>
        <w:ind w:firstLine="560" w:firstLineChars="200"/>
        <w:rPr>
          <w:sz w:val="28"/>
          <w:szCs w:val="28"/>
        </w:rPr>
      </w:pPr>
      <w:r>
        <w:rPr>
          <w:sz w:val="28"/>
          <w:szCs w:val="28"/>
        </w:rPr>
        <w:t>5）《中华人民共和国职业病防治法》（主席令第81号，</w:t>
      </w:r>
      <w:r>
        <w:rPr>
          <w:rFonts w:hint="eastAsia"/>
          <w:sz w:val="28"/>
          <w:szCs w:val="28"/>
        </w:rPr>
        <w:t>201</w:t>
      </w:r>
      <w:r>
        <w:rPr>
          <w:sz w:val="28"/>
          <w:szCs w:val="28"/>
        </w:rPr>
        <w:t>7年</w:t>
      </w:r>
      <w:r>
        <w:rPr>
          <w:rFonts w:hint="eastAsia"/>
          <w:sz w:val="28"/>
          <w:szCs w:val="28"/>
        </w:rPr>
        <w:t>1</w:t>
      </w:r>
      <w:r>
        <w:rPr>
          <w:sz w:val="28"/>
          <w:szCs w:val="28"/>
        </w:rPr>
        <w:t>1月15日）；</w:t>
      </w:r>
    </w:p>
    <w:p>
      <w:pPr>
        <w:snapToGrid w:val="0"/>
        <w:spacing w:line="360" w:lineRule="auto"/>
        <w:ind w:firstLine="560" w:firstLineChars="200"/>
        <w:rPr>
          <w:sz w:val="28"/>
          <w:szCs w:val="28"/>
        </w:rPr>
      </w:pPr>
      <w:r>
        <w:rPr>
          <w:sz w:val="28"/>
          <w:szCs w:val="28"/>
        </w:rPr>
        <w:t>6）《中华人民共和国行政许可法》（主席令第7号，2004年）；</w:t>
      </w:r>
    </w:p>
    <w:p>
      <w:pPr>
        <w:snapToGrid w:val="0"/>
        <w:spacing w:line="360" w:lineRule="auto"/>
        <w:ind w:firstLine="560" w:firstLineChars="200"/>
        <w:rPr>
          <w:rFonts w:hint="eastAsia"/>
          <w:sz w:val="28"/>
          <w:szCs w:val="28"/>
        </w:rPr>
      </w:pPr>
      <w:r>
        <w:rPr>
          <w:rFonts w:hint="eastAsia"/>
          <w:sz w:val="28"/>
          <w:szCs w:val="28"/>
        </w:rPr>
        <w:t>7</w:t>
      </w:r>
      <w:r>
        <w:rPr>
          <w:sz w:val="28"/>
          <w:szCs w:val="28"/>
        </w:rPr>
        <w:t>）《</w:t>
      </w:r>
      <w:r>
        <w:rPr>
          <w:rFonts w:hint="eastAsia"/>
          <w:sz w:val="28"/>
          <w:szCs w:val="28"/>
        </w:rPr>
        <w:t>生产安全事故应急条例</w:t>
      </w:r>
      <w:r>
        <w:rPr>
          <w:sz w:val="28"/>
          <w:szCs w:val="28"/>
        </w:rPr>
        <w:t>》</w:t>
      </w:r>
      <w:r>
        <w:rPr>
          <w:rFonts w:hint="eastAsia"/>
          <w:sz w:val="28"/>
          <w:szCs w:val="28"/>
        </w:rPr>
        <w:t>（国务院令第708号）</w:t>
      </w:r>
    </w:p>
    <w:p>
      <w:pPr>
        <w:snapToGrid w:val="0"/>
        <w:spacing w:line="360" w:lineRule="auto"/>
        <w:ind w:firstLine="560" w:firstLineChars="200"/>
        <w:rPr>
          <w:sz w:val="28"/>
          <w:szCs w:val="28"/>
        </w:rPr>
      </w:pPr>
      <w:r>
        <w:rPr>
          <w:rFonts w:hint="eastAsia"/>
          <w:sz w:val="28"/>
          <w:szCs w:val="28"/>
        </w:rPr>
        <w:t>8</w:t>
      </w:r>
      <w:r>
        <w:rPr>
          <w:sz w:val="28"/>
          <w:szCs w:val="28"/>
        </w:rPr>
        <w:t>）《职业病危害因素分类目录》（国卫疾控发〔2015〕92号）；</w:t>
      </w:r>
    </w:p>
    <w:p>
      <w:pPr>
        <w:snapToGrid w:val="0"/>
        <w:spacing w:line="360" w:lineRule="auto"/>
        <w:ind w:firstLine="560" w:firstLineChars="200"/>
        <w:rPr>
          <w:sz w:val="28"/>
          <w:szCs w:val="28"/>
        </w:rPr>
      </w:pPr>
      <w:r>
        <w:rPr>
          <w:rFonts w:hint="eastAsia"/>
          <w:sz w:val="28"/>
          <w:szCs w:val="28"/>
        </w:rPr>
        <w:t>9</w:t>
      </w:r>
      <w:r>
        <w:rPr>
          <w:sz w:val="28"/>
          <w:szCs w:val="28"/>
        </w:rPr>
        <w:t>）《建设项目安全设施“三同时”监督管理办法》（国家安监总局36号，2015年77号令修订）；</w:t>
      </w:r>
    </w:p>
    <w:p>
      <w:pPr>
        <w:snapToGrid w:val="0"/>
        <w:spacing w:line="360" w:lineRule="auto"/>
        <w:ind w:firstLine="560" w:firstLineChars="200"/>
        <w:rPr>
          <w:rFonts w:hint="eastAsia"/>
          <w:sz w:val="28"/>
          <w:szCs w:val="28"/>
        </w:rPr>
      </w:pPr>
      <w:r>
        <w:rPr>
          <w:sz w:val="28"/>
          <w:szCs w:val="28"/>
        </w:rPr>
        <w:t>1</w:t>
      </w:r>
      <w:r>
        <w:rPr>
          <w:rFonts w:hint="eastAsia"/>
          <w:sz w:val="28"/>
          <w:szCs w:val="28"/>
        </w:rPr>
        <w:t>0</w:t>
      </w:r>
      <w:r>
        <w:rPr>
          <w:sz w:val="28"/>
          <w:szCs w:val="28"/>
        </w:rPr>
        <w:t>）</w:t>
      </w:r>
      <w:r>
        <w:rPr>
          <w:rFonts w:hint="eastAsia"/>
          <w:sz w:val="28"/>
          <w:szCs w:val="28"/>
        </w:rPr>
        <w:t>《生产经营单位生产安全事故应急预案评估指南》</w:t>
      </w:r>
    </w:p>
    <w:p>
      <w:pPr>
        <w:snapToGrid w:val="0"/>
        <w:spacing w:line="360" w:lineRule="auto"/>
        <w:ind w:firstLine="560" w:firstLineChars="200"/>
        <w:rPr>
          <w:rFonts w:hint="eastAsia"/>
          <w:sz w:val="28"/>
          <w:szCs w:val="28"/>
        </w:rPr>
      </w:pPr>
      <w:r>
        <w:rPr>
          <w:sz w:val="28"/>
          <w:szCs w:val="28"/>
        </w:rPr>
        <w:t>1</w:t>
      </w:r>
      <w:r>
        <w:rPr>
          <w:rFonts w:hint="eastAsia"/>
          <w:sz w:val="28"/>
          <w:szCs w:val="28"/>
        </w:rPr>
        <w:t>1</w:t>
      </w:r>
      <w:r>
        <w:rPr>
          <w:sz w:val="28"/>
          <w:szCs w:val="28"/>
        </w:rPr>
        <w:t>）</w:t>
      </w:r>
      <w:r>
        <w:rPr>
          <w:rFonts w:hint="eastAsia"/>
          <w:sz w:val="28"/>
          <w:szCs w:val="28"/>
        </w:rPr>
        <w:t>《生产安全事故应急演练基本规范》</w:t>
      </w:r>
    </w:p>
    <w:p>
      <w:pPr>
        <w:snapToGrid w:val="0"/>
        <w:spacing w:line="360" w:lineRule="auto"/>
        <w:ind w:firstLine="560" w:firstLineChars="200"/>
        <w:rPr>
          <w:sz w:val="28"/>
          <w:szCs w:val="28"/>
        </w:rPr>
      </w:pPr>
      <w:r>
        <w:rPr>
          <w:sz w:val="28"/>
          <w:szCs w:val="28"/>
        </w:rPr>
        <w:t>1</w:t>
      </w:r>
      <w:r>
        <w:rPr>
          <w:rFonts w:hint="eastAsia"/>
          <w:sz w:val="28"/>
          <w:szCs w:val="28"/>
        </w:rPr>
        <w:t>2</w:t>
      </w:r>
      <w:r>
        <w:rPr>
          <w:sz w:val="28"/>
          <w:szCs w:val="28"/>
        </w:rPr>
        <w:t>）《建设工程消防监督管理规定》（公安部令第119号，2012年）；</w:t>
      </w:r>
    </w:p>
    <w:p>
      <w:pPr>
        <w:snapToGrid w:val="0"/>
        <w:spacing w:line="360" w:lineRule="auto"/>
        <w:ind w:firstLine="560" w:firstLineChars="200"/>
        <w:rPr>
          <w:sz w:val="28"/>
          <w:szCs w:val="28"/>
        </w:rPr>
      </w:pPr>
      <w:r>
        <w:rPr>
          <w:sz w:val="28"/>
          <w:szCs w:val="28"/>
        </w:rPr>
        <w:t>1</w:t>
      </w:r>
      <w:r>
        <w:rPr>
          <w:rFonts w:hint="eastAsia"/>
          <w:sz w:val="28"/>
          <w:szCs w:val="28"/>
        </w:rPr>
        <w:t>3</w:t>
      </w:r>
      <w:r>
        <w:rPr>
          <w:sz w:val="28"/>
          <w:szCs w:val="28"/>
        </w:rPr>
        <w:t>）《</w:t>
      </w:r>
      <w:r>
        <w:rPr>
          <w:rFonts w:hint="eastAsia"/>
          <w:sz w:val="28"/>
          <w:szCs w:val="28"/>
        </w:rPr>
        <w:t>中华人民共和国突发事件应对法》（2007年主席令第69号）</w:t>
      </w:r>
      <w:r>
        <w:rPr>
          <w:sz w:val="28"/>
          <w:szCs w:val="28"/>
        </w:rPr>
        <w:t>；</w:t>
      </w:r>
    </w:p>
    <w:p>
      <w:pPr>
        <w:snapToGrid w:val="0"/>
        <w:spacing w:line="360" w:lineRule="auto"/>
        <w:ind w:firstLine="560" w:firstLineChars="200"/>
        <w:rPr>
          <w:sz w:val="28"/>
          <w:szCs w:val="28"/>
        </w:rPr>
      </w:pPr>
      <w:r>
        <w:rPr>
          <w:sz w:val="28"/>
          <w:szCs w:val="28"/>
        </w:rPr>
        <w:t>1</w:t>
      </w:r>
      <w:r>
        <w:rPr>
          <w:rFonts w:hint="eastAsia"/>
          <w:sz w:val="28"/>
          <w:szCs w:val="28"/>
        </w:rPr>
        <w:t>4</w:t>
      </w:r>
      <w:r>
        <w:rPr>
          <w:sz w:val="28"/>
          <w:szCs w:val="28"/>
        </w:rPr>
        <w:t>）</w:t>
      </w:r>
      <w:r>
        <w:rPr>
          <w:rFonts w:hint="eastAsia"/>
          <w:sz w:val="28"/>
          <w:szCs w:val="28"/>
        </w:rPr>
        <w:t>《生产安全事故应急预案管理办法》（</w:t>
      </w:r>
      <w:r>
        <w:rPr>
          <w:sz w:val="28"/>
          <w:szCs w:val="28"/>
        </w:rPr>
        <w:t>201</w:t>
      </w:r>
      <w:r>
        <w:rPr>
          <w:rFonts w:hint="eastAsia"/>
          <w:sz w:val="28"/>
          <w:szCs w:val="28"/>
        </w:rPr>
        <w:t>9年应急管理部令第2 号）</w:t>
      </w:r>
      <w:r>
        <w:rPr>
          <w:sz w:val="28"/>
          <w:szCs w:val="28"/>
        </w:rPr>
        <w:t>；</w:t>
      </w:r>
    </w:p>
    <w:p>
      <w:pPr>
        <w:snapToGrid w:val="0"/>
        <w:spacing w:line="360" w:lineRule="auto"/>
        <w:ind w:firstLine="560" w:firstLineChars="200"/>
        <w:rPr>
          <w:sz w:val="28"/>
          <w:szCs w:val="28"/>
        </w:rPr>
      </w:pPr>
      <w:r>
        <w:rPr>
          <w:sz w:val="28"/>
          <w:szCs w:val="28"/>
        </w:rPr>
        <w:t>1</w:t>
      </w:r>
      <w:r>
        <w:rPr>
          <w:rFonts w:hint="eastAsia"/>
          <w:sz w:val="28"/>
          <w:szCs w:val="28"/>
        </w:rPr>
        <w:t>5</w:t>
      </w:r>
      <w:r>
        <w:rPr>
          <w:sz w:val="28"/>
          <w:szCs w:val="28"/>
        </w:rPr>
        <w:t>）《国家安全监管总局关于公布首批重点监管的危险化学品名录的通知》（安监总管三[2011]95号）；</w:t>
      </w:r>
    </w:p>
    <w:p>
      <w:pPr>
        <w:snapToGrid w:val="0"/>
        <w:spacing w:line="360" w:lineRule="auto"/>
        <w:ind w:firstLine="560" w:firstLineChars="200"/>
        <w:rPr>
          <w:sz w:val="28"/>
          <w:szCs w:val="28"/>
        </w:rPr>
      </w:pPr>
      <w:r>
        <w:rPr>
          <w:sz w:val="28"/>
          <w:szCs w:val="28"/>
        </w:rPr>
        <w:t>1</w:t>
      </w:r>
      <w:r>
        <w:rPr>
          <w:rFonts w:hint="eastAsia"/>
          <w:sz w:val="28"/>
          <w:szCs w:val="28"/>
        </w:rPr>
        <w:t>6</w:t>
      </w:r>
      <w:r>
        <w:rPr>
          <w:sz w:val="28"/>
          <w:szCs w:val="28"/>
        </w:rPr>
        <w:t>）《企业安全生产责任体系五落实五到位规定》国家安全生产监督管理总局以安监总办〔2015〕27号印发；</w:t>
      </w:r>
    </w:p>
    <w:p>
      <w:pPr>
        <w:snapToGrid w:val="0"/>
        <w:spacing w:line="360" w:lineRule="auto"/>
        <w:ind w:firstLine="560" w:firstLineChars="200"/>
        <w:rPr>
          <w:sz w:val="28"/>
          <w:szCs w:val="28"/>
        </w:rPr>
      </w:pPr>
      <w:r>
        <w:rPr>
          <w:sz w:val="28"/>
          <w:szCs w:val="28"/>
        </w:rPr>
        <w:t>1</w:t>
      </w:r>
      <w:r>
        <w:rPr>
          <w:rFonts w:hint="eastAsia"/>
          <w:sz w:val="28"/>
          <w:szCs w:val="28"/>
        </w:rPr>
        <w:t>7</w:t>
      </w:r>
      <w:r>
        <w:rPr>
          <w:sz w:val="28"/>
          <w:szCs w:val="28"/>
        </w:rPr>
        <w:t>）《企业安全生产费用提取和使用管理办法》（财企[2012]16号）；</w:t>
      </w:r>
    </w:p>
    <w:p>
      <w:pPr>
        <w:snapToGrid w:val="0"/>
        <w:spacing w:line="360" w:lineRule="auto"/>
        <w:ind w:firstLine="560" w:firstLineChars="200"/>
        <w:rPr>
          <w:rFonts w:hint="eastAsia" w:ascii="宋体" w:hAnsi="宋体" w:cs="宋体"/>
          <w:sz w:val="28"/>
          <w:szCs w:val="28"/>
        </w:rPr>
      </w:pPr>
      <w:r>
        <w:rPr>
          <w:sz w:val="28"/>
          <w:szCs w:val="28"/>
        </w:rPr>
        <w:t>1</w:t>
      </w:r>
      <w:r>
        <w:rPr>
          <w:rFonts w:hint="eastAsia"/>
          <w:sz w:val="28"/>
          <w:szCs w:val="28"/>
        </w:rPr>
        <w:t>8</w:t>
      </w:r>
      <w:r>
        <w:rPr>
          <w:sz w:val="28"/>
          <w:szCs w:val="28"/>
        </w:rPr>
        <w:t>）</w:t>
      </w:r>
      <w:r>
        <w:rPr>
          <w:rFonts w:hint="eastAsia" w:ascii="宋体" w:hAnsi="宋体" w:cs="宋体"/>
          <w:sz w:val="28"/>
          <w:szCs w:val="28"/>
        </w:rPr>
        <w:t>《南充市嘉陵工业园区突发事件总体应急预案》；</w:t>
      </w:r>
    </w:p>
    <w:p>
      <w:pPr>
        <w:snapToGrid w:val="0"/>
        <w:spacing w:line="360" w:lineRule="auto"/>
        <w:ind w:left="559" w:leftChars="266"/>
        <w:rPr>
          <w:rFonts w:hint="eastAsia" w:ascii="宋体" w:hAnsi="宋体" w:cs="宋体"/>
          <w:sz w:val="28"/>
          <w:szCs w:val="28"/>
        </w:rPr>
      </w:pPr>
      <w:r>
        <w:rPr>
          <w:rFonts w:hint="eastAsia" w:ascii="宋体" w:hAnsi="宋体" w:cs="宋体"/>
          <w:sz w:val="28"/>
          <w:szCs w:val="28"/>
        </w:rPr>
        <w:t>19）《南充经济开发区投资集团有限公司总体应急预案》；</w:t>
      </w:r>
    </w:p>
    <w:p>
      <w:pPr>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20）《防雷减灾管理办法》（中国气象局24号令，2013年）；</w:t>
      </w:r>
    </w:p>
    <w:p>
      <w:pPr>
        <w:snapToGrid w:val="0"/>
        <w:spacing w:line="360" w:lineRule="auto"/>
        <w:ind w:firstLine="560" w:firstLineChars="200"/>
        <w:rPr>
          <w:rFonts w:hint="eastAsia"/>
          <w:sz w:val="28"/>
          <w:szCs w:val="28"/>
        </w:rPr>
      </w:pPr>
      <w:r>
        <w:rPr>
          <w:rFonts w:hint="eastAsia"/>
          <w:sz w:val="28"/>
          <w:szCs w:val="28"/>
        </w:rPr>
        <w:t>21）《铁路交通事故应急救援和调查处理条例》（国务院令第501号，2007年9月1日起施行）；</w:t>
      </w:r>
    </w:p>
    <w:p>
      <w:pPr>
        <w:snapToGrid w:val="0"/>
        <w:spacing w:line="360" w:lineRule="auto"/>
        <w:ind w:firstLine="560" w:firstLineChars="200"/>
        <w:rPr>
          <w:sz w:val="28"/>
          <w:szCs w:val="28"/>
        </w:rPr>
      </w:pPr>
      <w:r>
        <w:rPr>
          <w:rFonts w:hint="eastAsia"/>
          <w:sz w:val="28"/>
          <w:szCs w:val="28"/>
        </w:rPr>
        <w:t>22）</w:t>
      </w:r>
      <w:r>
        <w:rPr>
          <w:sz w:val="28"/>
          <w:szCs w:val="28"/>
        </w:rPr>
        <w:t>《铁路安全管理条例》（国务院令第639号，2014年1月1日起施行）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23）</w:t>
      </w:r>
      <w:r>
        <w:rPr>
          <w:sz w:val="28"/>
          <w:szCs w:val="28"/>
        </w:rPr>
        <w:t>《铁路危险货物运输安全监督管理规定》（交通运输部2015年第1号，2015年5月1日起施行）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24）</w:t>
      </w:r>
      <w:r>
        <w:rPr>
          <w:sz w:val="28"/>
          <w:szCs w:val="28"/>
        </w:rPr>
        <w:t>《铁路交通事故调查处理规则》（铁道部令第30号，2007年9月1 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25）</w:t>
      </w:r>
      <w:r>
        <w:rPr>
          <w:sz w:val="28"/>
          <w:szCs w:val="28"/>
        </w:rPr>
        <w:t>《铁路交通事故应急救援规则》（铁道部令第32号，2007年9月1 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26）</w:t>
      </w:r>
      <w:r>
        <w:rPr>
          <w:sz w:val="28"/>
          <w:szCs w:val="28"/>
        </w:rPr>
        <w:t>《成都铁路局铁路专用线（专用铁路）管理办法》（成铁总工[2016]351 号，2016 年 6 月 21 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27）</w:t>
      </w:r>
      <w:r>
        <w:rPr>
          <w:sz w:val="28"/>
          <w:szCs w:val="28"/>
        </w:rPr>
        <w:t>《成都铁路局铁路危险货物运输管理办法》（成铁货[2017]453 号</w:t>
      </w:r>
      <w:r>
        <w:rPr>
          <w:rFonts w:hint="eastAsia"/>
          <w:sz w:val="28"/>
          <w:szCs w:val="28"/>
        </w:rPr>
        <w:t>；</w:t>
      </w:r>
    </w:p>
    <w:p>
      <w:pPr>
        <w:snapToGrid w:val="0"/>
        <w:spacing w:line="360" w:lineRule="auto"/>
        <w:ind w:firstLine="560" w:firstLineChars="200"/>
        <w:rPr>
          <w:sz w:val="28"/>
          <w:szCs w:val="28"/>
        </w:rPr>
      </w:pPr>
      <w:r>
        <w:rPr>
          <w:rFonts w:hint="eastAsia"/>
          <w:sz w:val="28"/>
          <w:szCs w:val="28"/>
        </w:rPr>
        <w:t>28）</w:t>
      </w:r>
      <w:r>
        <w:rPr>
          <w:sz w:val="28"/>
          <w:szCs w:val="28"/>
        </w:rPr>
        <w:t>《铁路危险货物办理站、专用线（专用铁路）货运安全设备设施暂行技术条件》（铁运[2010]105 号，2010 年 10 月 1 日起施行）</w:t>
      </w:r>
    </w:p>
    <w:p>
      <w:pPr>
        <w:snapToGrid w:val="0"/>
        <w:spacing w:line="360" w:lineRule="auto"/>
        <w:ind w:firstLine="560" w:firstLineChars="200"/>
        <w:rPr>
          <w:sz w:val="28"/>
          <w:szCs w:val="28"/>
        </w:rPr>
      </w:pPr>
      <w:r>
        <w:rPr>
          <w:rFonts w:hint="eastAsia"/>
          <w:sz w:val="28"/>
          <w:szCs w:val="28"/>
        </w:rPr>
        <w:t>29）</w:t>
      </w:r>
      <w:r>
        <w:rPr>
          <w:sz w:val="28"/>
          <w:szCs w:val="28"/>
        </w:rPr>
        <w:t>《铁路专用线专用铁路管理办法（试行）》（铁运[1995]107 号</w:t>
      </w:r>
      <w:r>
        <w:rPr>
          <w:rFonts w:hint="eastAsia"/>
          <w:sz w:val="28"/>
          <w:szCs w:val="28"/>
        </w:rPr>
        <w:t>；</w:t>
      </w:r>
    </w:p>
    <w:p>
      <w:pPr>
        <w:snapToGrid w:val="0"/>
        <w:spacing w:line="360" w:lineRule="auto"/>
        <w:ind w:firstLine="560" w:firstLineChars="200"/>
        <w:rPr>
          <w:sz w:val="28"/>
          <w:szCs w:val="28"/>
        </w:rPr>
      </w:pPr>
      <w:r>
        <w:rPr>
          <w:rFonts w:hint="eastAsia"/>
          <w:sz w:val="28"/>
          <w:szCs w:val="28"/>
        </w:rPr>
        <w:t>30）</w:t>
      </w:r>
      <w:r>
        <w:rPr>
          <w:sz w:val="28"/>
          <w:szCs w:val="28"/>
        </w:rPr>
        <w:t>《铁路危险货物运输管理规则》（铁总运[2017]164号，2017年8 月1日起施行）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31）</w:t>
      </w:r>
      <w:r>
        <w:rPr>
          <w:sz w:val="28"/>
          <w:szCs w:val="28"/>
        </w:rPr>
        <w:t>《铁路消防管理办法》（铁公安[2009]95号，2009年6月1日起施行）</w:t>
      </w:r>
      <w:r>
        <w:rPr>
          <w:rFonts w:hint="eastAsia"/>
          <w:sz w:val="28"/>
          <w:szCs w:val="28"/>
        </w:rPr>
        <w:t>；</w:t>
      </w:r>
    </w:p>
    <w:p>
      <w:pPr>
        <w:pStyle w:val="16"/>
        <w:spacing w:before="186"/>
        <w:ind w:left="118" w:firstLine="280" w:firstLineChars="100"/>
        <w:rPr>
          <w:rFonts w:ascii="Times New Roman" w:eastAsia="Calibri"/>
          <w:sz w:val="28"/>
          <w:szCs w:val="28"/>
        </w:rPr>
      </w:pPr>
      <w:r>
        <w:rPr>
          <w:rFonts w:hint="eastAsia" w:ascii="Times New Roman" w:eastAsia="Calibri"/>
          <w:sz w:val="28"/>
          <w:szCs w:val="28"/>
        </w:rPr>
        <w:t>32）</w:t>
      </w:r>
      <w:r>
        <w:rPr>
          <w:rFonts w:ascii="Times New Roman" w:eastAsia="Calibri"/>
          <w:sz w:val="28"/>
          <w:szCs w:val="28"/>
        </w:rPr>
        <w:t>《危险化学品目录（2015 版）》</w:t>
      </w:r>
      <w:r>
        <w:rPr>
          <w:rFonts w:hint="eastAsia" w:ascii="Times New Roman" w:eastAsia="Calibri"/>
          <w:sz w:val="28"/>
          <w:szCs w:val="28"/>
        </w:rPr>
        <w:t>；</w:t>
      </w:r>
    </w:p>
    <w:p>
      <w:pPr>
        <w:pStyle w:val="121"/>
        <w:tabs>
          <w:tab w:val="left" w:pos="1527"/>
        </w:tabs>
        <w:spacing w:before="186" w:line="364" w:lineRule="auto"/>
        <w:ind w:left="420" w:leftChars="200" w:right="709" w:firstLine="0" w:firstLineChars="0"/>
        <w:jc w:val="left"/>
        <w:rPr>
          <w:rFonts w:hint="eastAsia"/>
          <w:sz w:val="28"/>
        </w:rPr>
      </w:pPr>
      <w:r>
        <w:rPr>
          <w:rFonts w:hint="eastAsia" w:eastAsia="Calibri"/>
          <w:sz w:val="28"/>
          <w:szCs w:val="28"/>
        </w:rPr>
        <w:t>33）</w:t>
      </w:r>
      <w:r>
        <w:rPr>
          <w:rFonts w:eastAsia="Calibri"/>
          <w:sz w:val="28"/>
          <w:szCs w:val="28"/>
        </w:rPr>
        <w:t>《重点监管的危险化学品名录》（安监总管三[2011]95 号、</w:t>
      </w:r>
      <w:r>
        <w:rPr>
          <w:sz w:val="28"/>
        </w:rPr>
        <w:t>安监总管三[2013]12 号）</w:t>
      </w:r>
      <w:r>
        <w:rPr>
          <w:rFonts w:hint="eastAsia"/>
          <w:sz w:val="28"/>
        </w:rPr>
        <w:t>；</w:t>
      </w:r>
    </w:p>
    <w:p>
      <w:pPr>
        <w:tabs>
          <w:tab w:val="left" w:pos="4680"/>
        </w:tabs>
        <w:spacing w:line="360" w:lineRule="auto"/>
        <w:outlineLvl w:val="2"/>
        <w:rPr>
          <w:rFonts w:hint="eastAsia" w:ascii="宋体" w:hAnsi="宋体" w:cs="宋体"/>
          <w:b/>
          <w:sz w:val="28"/>
          <w:szCs w:val="28"/>
        </w:rPr>
      </w:pPr>
      <w:bookmarkStart w:id="38" w:name="_Toc11335"/>
      <w:bookmarkStart w:id="39" w:name="_Toc184009548"/>
      <w:bookmarkStart w:id="40" w:name="_Toc518639342"/>
      <w:bookmarkStart w:id="41" w:name="_Toc438205755"/>
      <w:r>
        <w:rPr>
          <w:rFonts w:hint="eastAsia" w:ascii="宋体" w:hAnsi="宋体" w:cs="宋体"/>
          <w:b/>
          <w:sz w:val="28"/>
          <w:szCs w:val="28"/>
        </w:rPr>
        <w:t>1.1.2相关标准、规范</w:t>
      </w:r>
      <w:bookmarkEnd w:id="38"/>
      <w:bookmarkEnd w:id="39"/>
      <w:bookmarkEnd w:id="40"/>
      <w:bookmarkEnd w:id="41"/>
    </w:p>
    <w:p>
      <w:pPr>
        <w:spacing w:line="360" w:lineRule="auto"/>
        <w:ind w:left="567"/>
        <w:rPr>
          <w:sz w:val="28"/>
        </w:rPr>
      </w:pPr>
      <w:r>
        <w:rPr>
          <w:sz w:val="28"/>
        </w:rPr>
        <w:t>1）《建筑设计防火规范》（GB50016-2014）；</w:t>
      </w:r>
    </w:p>
    <w:p>
      <w:pPr>
        <w:spacing w:line="360" w:lineRule="auto"/>
        <w:ind w:left="567"/>
        <w:rPr>
          <w:sz w:val="28"/>
        </w:rPr>
      </w:pPr>
      <w:r>
        <w:rPr>
          <w:rFonts w:hint="eastAsia"/>
          <w:sz w:val="28"/>
        </w:rPr>
        <w:t>2</w:t>
      </w:r>
      <w:r>
        <w:rPr>
          <w:sz w:val="28"/>
        </w:rPr>
        <w:t>）《建筑物防雷设计规范》（GB50057-2010）；</w:t>
      </w:r>
    </w:p>
    <w:p>
      <w:pPr>
        <w:spacing w:line="360" w:lineRule="auto"/>
        <w:ind w:left="567"/>
        <w:rPr>
          <w:sz w:val="28"/>
        </w:rPr>
      </w:pPr>
      <w:r>
        <w:rPr>
          <w:rFonts w:hint="eastAsia"/>
          <w:sz w:val="28"/>
        </w:rPr>
        <w:t>3</w:t>
      </w:r>
      <w:r>
        <w:rPr>
          <w:sz w:val="28"/>
        </w:rPr>
        <w:t>）《建筑照明设计标准》（GB50034-2013）；</w:t>
      </w:r>
    </w:p>
    <w:p>
      <w:pPr>
        <w:spacing w:line="360" w:lineRule="auto"/>
        <w:ind w:left="567"/>
        <w:rPr>
          <w:sz w:val="28"/>
        </w:rPr>
      </w:pPr>
      <w:r>
        <w:rPr>
          <w:rFonts w:hint="eastAsia"/>
          <w:sz w:val="28"/>
        </w:rPr>
        <w:t>4</w:t>
      </w:r>
      <w:r>
        <w:rPr>
          <w:sz w:val="28"/>
        </w:rPr>
        <w:t>）《建筑抗震设计规范》（GB50011-2010，2016年修订）；</w:t>
      </w:r>
    </w:p>
    <w:p>
      <w:pPr>
        <w:spacing w:line="360" w:lineRule="auto"/>
        <w:ind w:left="567"/>
        <w:rPr>
          <w:sz w:val="28"/>
        </w:rPr>
      </w:pPr>
      <w:r>
        <w:rPr>
          <w:rFonts w:hint="eastAsia"/>
          <w:sz w:val="28"/>
        </w:rPr>
        <w:t>5</w:t>
      </w:r>
      <w:r>
        <w:rPr>
          <w:sz w:val="28"/>
        </w:rPr>
        <w:t>）《供配电系统设计规范》（GB50052-2009）；</w:t>
      </w:r>
    </w:p>
    <w:p>
      <w:pPr>
        <w:spacing w:line="360" w:lineRule="auto"/>
        <w:ind w:left="567"/>
        <w:rPr>
          <w:sz w:val="28"/>
        </w:rPr>
      </w:pPr>
      <w:r>
        <w:rPr>
          <w:rFonts w:hint="eastAsia"/>
          <w:sz w:val="28"/>
        </w:rPr>
        <w:t>6</w:t>
      </w:r>
      <w:r>
        <w:rPr>
          <w:sz w:val="28"/>
        </w:rPr>
        <w:t>）《低压配电设计规范》（GB50054-2011）；</w:t>
      </w:r>
    </w:p>
    <w:p>
      <w:pPr>
        <w:spacing w:line="360" w:lineRule="auto"/>
        <w:ind w:left="567"/>
        <w:rPr>
          <w:sz w:val="28"/>
        </w:rPr>
      </w:pPr>
      <w:r>
        <w:rPr>
          <w:rFonts w:hint="eastAsia"/>
          <w:sz w:val="28"/>
        </w:rPr>
        <w:t>7</w:t>
      </w:r>
      <w:r>
        <w:rPr>
          <w:sz w:val="28"/>
        </w:rPr>
        <w:t>）《通用用电设备配电设计规范》（GB50055-2011）；</w:t>
      </w:r>
    </w:p>
    <w:p>
      <w:pPr>
        <w:spacing w:line="360" w:lineRule="auto"/>
        <w:ind w:left="567"/>
        <w:rPr>
          <w:sz w:val="28"/>
        </w:rPr>
      </w:pPr>
      <w:r>
        <w:rPr>
          <w:rFonts w:hint="eastAsia"/>
          <w:sz w:val="28"/>
        </w:rPr>
        <w:t>8</w:t>
      </w:r>
      <w:r>
        <w:rPr>
          <w:sz w:val="28"/>
        </w:rPr>
        <w:t>）《建筑给水排水设计规范》（GB50015-2009）；</w:t>
      </w:r>
    </w:p>
    <w:p>
      <w:pPr>
        <w:spacing w:line="360" w:lineRule="auto"/>
        <w:ind w:left="567"/>
        <w:rPr>
          <w:sz w:val="28"/>
        </w:rPr>
      </w:pPr>
      <w:r>
        <w:rPr>
          <w:rFonts w:hint="eastAsia"/>
          <w:sz w:val="28"/>
        </w:rPr>
        <w:t>9</w:t>
      </w:r>
      <w:r>
        <w:rPr>
          <w:sz w:val="28"/>
        </w:rPr>
        <w:t>）《建筑灭火器配置设计规范》（GB50140-2005）；</w:t>
      </w:r>
    </w:p>
    <w:p>
      <w:pPr>
        <w:spacing w:line="360" w:lineRule="auto"/>
        <w:ind w:left="567"/>
        <w:rPr>
          <w:sz w:val="28"/>
        </w:rPr>
      </w:pPr>
      <w:r>
        <w:rPr>
          <w:sz w:val="28"/>
        </w:rPr>
        <w:t>1</w:t>
      </w:r>
      <w:r>
        <w:rPr>
          <w:rFonts w:hint="eastAsia"/>
          <w:sz w:val="28"/>
        </w:rPr>
        <w:t>0</w:t>
      </w:r>
      <w:r>
        <w:rPr>
          <w:sz w:val="28"/>
        </w:rPr>
        <w:t>）《危险化学品重大危险源辨识》（GB18218-20</w:t>
      </w:r>
      <w:r>
        <w:rPr>
          <w:rFonts w:hint="eastAsia"/>
          <w:sz w:val="28"/>
        </w:rPr>
        <w:t>18</w:t>
      </w:r>
      <w:r>
        <w:rPr>
          <w:sz w:val="28"/>
        </w:rPr>
        <w:t>）；</w:t>
      </w:r>
    </w:p>
    <w:p>
      <w:pPr>
        <w:spacing w:line="360" w:lineRule="auto"/>
        <w:ind w:left="567"/>
        <w:rPr>
          <w:sz w:val="28"/>
        </w:rPr>
      </w:pPr>
      <w:r>
        <w:rPr>
          <w:sz w:val="28"/>
        </w:rPr>
        <w:t>1</w:t>
      </w:r>
      <w:r>
        <w:rPr>
          <w:rFonts w:hint="eastAsia"/>
          <w:sz w:val="28"/>
        </w:rPr>
        <w:t>1</w:t>
      </w:r>
      <w:r>
        <w:rPr>
          <w:sz w:val="28"/>
        </w:rPr>
        <w:t>）《工作场所、有害因素职业接触限值第1部分：化学有害因素》（GBZ2.1-2007）；</w:t>
      </w:r>
    </w:p>
    <w:p>
      <w:pPr>
        <w:spacing w:line="360" w:lineRule="auto"/>
        <w:ind w:left="567"/>
        <w:rPr>
          <w:sz w:val="28"/>
        </w:rPr>
      </w:pPr>
      <w:r>
        <w:rPr>
          <w:sz w:val="28"/>
        </w:rPr>
        <w:t>1</w:t>
      </w:r>
      <w:r>
        <w:rPr>
          <w:rFonts w:hint="eastAsia"/>
          <w:sz w:val="28"/>
        </w:rPr>
        <w:t>2</w:t>
      </w:r>
      <w:r>
        <w:rPr>
          <w:sz w:val="28"/>
        </w:rPr>
        <w:t>）《工作场所有害因素职业接触限值第2部分：物理因素》（GBZ2.2-2007）；</w:t>
      </w:r>
    </w:p>
    <w:p>
      <w:pPr>
        <w:spacing w:line="360" w:lineRule="auto"/>
        <w:ind w:left="567"/>
        <w:rPr>
          <w:sz w:val="28"/>
        </w:rPr>
      </w:pPr>
      <w:r>
        <w:rPr>
          <w:sz w:val="28"/>
        </w:rPr>
        <w:t>1</w:t>
      </w:r>
      <w:r>
        <w:rPr>
          <w:rFonts w:hint="eastAsia"/>
          <w:sz w:val="28"/>
        </w:rPr>
        <w:t>3</w:t>
      </w:r>
      <w:r>
        <w:rPr>
          <w:sz w:val="28"/>
        </w:rPr>
        <w:t>）《易燃易爆性商品储存养护技术条件》（GB17914-2013）；</w:t>
      </w:r>
    </w:p>
    <w:p>
      <w:pPr>
        <w:spacing w:line="360" w:lineRule="auto"/>
        <w:ind w:left="567"/>
        <w:rPr>
          <w:sz w:val="28"/>
        </w:rPr>
      </w:pPr>
      <w:r>
        <w:rPr>
          <w:rFonts w:hint="eastAsia"/>
          <w:sz w:val="28"/>
        </w:rPr>
        <w:t>14</w:t>
      </w:r>
      <w:r>
        <w:rPr>
          <w:sz w:val="28"/>
        </w:rPr>
        <w:t>）《个体防护装备选用规范》（GB/T11651-2008）；</w:t>
      </w:r>
    </w:p>
    <w:p>
      <w:pPr>
        <w:spacing w:line="360" w:lineRule="auto"/>
        <w:ind w:left="567"/>
        <w:rPr>
          <w:sz w:val="28"/>
        </w:rPr>
      </w:pPr>
      <w:r>
        <w:rPr>
          <w:rFonts w:hint="eastAsia"/>
          <w:sz w:val="28"/>
        </w:rPr>
        <w:t>15</w:t>
      </w:r>
      <w:r>
        <w:rPr>
          <w:sz w:val="28"/>
        </w:rPr>
        <w:t>）《企业职工伤亡事故分类标准》（GB/T6441-1986）；</w:t>
      </w:r>
    </w:p>
    <w:p>
      <w:pPr>
        <w:spacing w:line="360" w:lineRule="auto"/>
        <w:ind w:left="567"/>
        <w:rPr>
          <w:sz w:val="28"/>
        </w:rPr>
      </w:pPr>
      <w:r>
        <w:rPr>
          <w:rFonts w:hint="eastAsia"/>
          <w:sz w:val="28"/>
        </w:rPr>
        <w:t>16</w:t>
      </w:r>
      <w:r>
        <w:rPr>
          <w:sz w:val="28"/>
        </w:rPr>
        <w:t>）《生产过程危险和有害因素分类与代码》（GB/T13861-2009）；</w:t>
      </w:r>
    </w:p>
    <w:p>
      <w:pPr>
        <w:spacing w:line="360" w:lineRule="auto"/>
        <w:ind w:left="567"/>
        <w:rPr>
          <w:sz w:val="28"/>
        </w:rPr>
      </w:pPr>
      <w:r>
        <w:rPr>
          <w:rFonts w:hint="eastAsia"/>
          <w:sz w:val="28"/>
        </w:rPr>
        <w:t>17</w:t>
      </w:r>
      <w:r>
        <w:rPr>
          <w:sz w:val="28"/>
        </w:rPr>
        <w:t>）《安全色》（GB2893-2008）；</w:t>
      </w:r>
    </w:p>
    <w:p>
      <w:pPr>
        <w:spacing w:line="360" w:lineRule="auto"/>
        <w:ind w:left="567"/>
        <w:rPr>
          <w:sz w:val="28"/>
        </w:rPr>
      </w:pPr>
      <w:r>
        <w:rPr>
          <w:rFonts w:hint="eastAsia"/>
          <w:sz w:val="28"/>
        </w:rPr>
        <w:t>18</w:t>
      </w:r>
      <w:r>
        <w:rPr>
          <w:sz w:val="28"/>
        </w:rPr>
        <w:t>）《安全标志及其使用导则》（GB2894-2008）；</w:t>
      </w:r>
    </w:p>
    <w:p>
      <w:pPr>
        <w:spacing w:line="360" w:lineRule="auto"/>
        <w:ind w:left="567"/>
        <w:rPr>
          <w:sz w:val="28"/>
        </w:rPr>
      </w:pPr>
      <w:r>
        <w:rPr>
          <w:rFonts w:hint="eastAsia"/>
          <w:sz w:val="28"/>
        </w:rPr>
        <w:t>19</w:t>
      </w:r>
      <w:r>
        <w:rPr>
          <w:sz w:val="28"/>
        </w:rPr>
        <w:t>）《消防安全标志设置要求》（GB15630-1995）；</w:t>
      </w:r>
    </w:p>
    <w:p>
      <w:pPr>
        <w:spacing w:line="360" w:lineRule="auto"/>
        <w:ind w:left="567"/>
        <w:rPr>
          <w:sz w:val="28"/>
        </w:rPr>
      </w:pPr>
      <w:r>
        <w:rPr>
          <w:rFonts w:hint="eastAsia"/>
          <w:sz w:val="28"/>
        </w:rPr>
        <w:t>20</w:t>
      </w:r>
      <w:r>
        <w:rPr>
          <w:sz w:val="28"/>
        </w:rPr>
        <w:t>）《防止静电事故通用导则》（GB12158-2006）；</w:t>
      </w:r>
    </w:p>
    <w:p>
      <w:pPr>
        <w:spacing w:line="360" w:lineRule="auto"/>
        <w:ind w:left="567"/>
        <w:rPr>
          <w:sz w:val="28"/>
        </w:rPr>
      </w:pPr>
      <w:r>
        <w:rPr>
          <w:sz w:val="28"/>
        </w:rPr>
        <w:t>2</w:t>
      </w:r>
      <w:r>
        <w:rPr>
          <w:rFonts w:hint="eastAsia"/>
          <w:sz w:val="28"/>
        </w:rPr>
        <w:t>1</w:t>
      </w:r>
      <w:r>
        <w:rPr>
          <w:sz w:val="28"/>
        </w:rPr>
        <w:t>）《钢结构设计规范》（GB50017-2003）；</w:t>
      </w:r>
    </w:p>
    <w:p>
      <w:pPr>
        <w:spacing w:line="360" w:lineRule="auto"/>
        <w:ind w:left="567"/>
        <w:rPr>
          <w:sz w:val="28"/>
        </w:rPr>
      </w:pPr>
      <w:r>
        <w:rPr>
          <w:rFonts w:hint="eastAsia"/>
          <w:sz w:val="28"/>
        </w:rPr>
        <w:t>22</w:t>
      </w:r>
      <w:r>
        <w:rPr>
          <w:sz w:val="28"/>
        </w:rPr>
        <w:t>）《个体防护装备选用规范》（GB/T11651-2008）；</w:t>
      </w:r>
    </w:p>
    <w:p>
      <w:pPr>
        <w:spacing w:line="360" w:lineRule="auto"/>
        <w:ind w:left="567"/>
        <w:rPr>
          <w:sz w:val="28"/>
        </w:rPr>
      </w:pPr>
      <w:r>
        <w:rPr>
          <w:rFonts w:hint="eastAsia"/>
          <w:sz w:val="28"/>
        </w:rPr>
        <w:t>23</w:t>
      </w:r>
      <w:r>
        <w:rPr>
          <w:sz w:val="28"/>
        </w:rPr>
        <w:t>）《生产经营单位生产安全事故应急救援预案编制导则》（GB/T 29639-2013）；</w:t>
      </w:r>
    </w:p>
    <w:p>
      <w:pPr>
        <w:spacing w:line="360" w:lineRule="auto"/>
        <w:ind w:left="567"/>
        <w:rPr>
          <w:rFonts w:hint="eastAsia"/>
          <w:sz w:val="28"/>
        </w:rPr>
      </w:pPr>
      <w:r>
        <w:rPr>
          <w:rFonts w:hint="eastAsia"/>
          <w:sz w:val="28"/>
        </w:rPr>
        <w:t>24)《常用化学危险品贮存通则》（GB15603-1995）</w:t>
      </w:r>
    </w:p>
    <w:p>
      <w:pPr>
        <w:spacing w:line="360" w:lineRule="auto"/>
        <w:ind w:left="567"/>
        <w:rPr>
          <w:rFonts w:hint="eastAsia"/>
          <w:sz w:val="28"/>
        </w:rPr>
      </w:pPr>
      <w:r>
        <w:rPr>
          <w:rFonts w:hint="eastAsia"/>
          <w:sz w:val="28"/>
        </w:rPr>
        <w:t>25)《危险货物品名表》（GB12268-2012）</w:t>
      </w:r>
    </w:p>
    <w:p>
      <w:pPr>
        <w:spacing w:line="360" w:lineRule="auto"/>
        <w:ind w:left="567"/>
        <w:rPr>
          <w:rFonts w:hint="eastAsia"/>
          <w:sz w:val="28"/>
        </w:rPr>
      </w:pPr>
      <w:r>
        <w:rPr>
          <w:rFonts w:hint="eastAsia"/>
          <w:sz w:val="28"/>
        </w:rPr>
        <w:t>26)《危险货物分类和品名编号》（GB6944-2012）</w:t>
      </w:r>
    </w:p>
    <w:p>
      <w:pPr>
        <w:spacing w:line="360" w:lineRule="auto"/>
        <w:ind w:left="567"/>
        <w:rPr>
          <w:rFonts w:hint="eastAsia"/>
          <w:sz w:val="28"/>
        </w:rPr>
      </w:pPr>
      <w:r>
        <w:rPr>
          <w:rFonts w:hint="eastAsia"/>
          <w:sz w:val="28"/>
        </w:rPr>
        <w:t>27)《危险货物包装标志》（GB190-2009）</w:t>
      </w:r>
    </w:p>
    <w:p>
      <w:pPr>
        <w:spacing w:line="360" w:lineRule="auto"/>
        <w:ind w:left="567"/>
        <w:rPr>
          <w:rFonts w:hint="eastAsia"/>
          <w:sz w:val="28"/>
        </w:rPr>
      </w:pPr>
      <w:r>
        <w:rPr>
          <w:rFonts w:hint="eastAsia"/>
          <w:sz w:val="28"/>
        </w:rPr>
        <w:t>28)《危险货物运输包装通用技术条件》（GB12463-2009）</w:t>
      </w:r>
    </w:p>
    <w:p>
      <w:pPr>
        <w:spacing w:line="360" w:lineRule="auto"/>
        <w:ind w:left="567"/>
        <w:rPr>
          <w:sz w:val="28"/>
        </w:rPr>
      </w:pPr>
    </w:p>
    <w:p>
      <w:pPr>
        <w:spacing w:line="360" w:lineRule="auto"/>
        <w:ind w:left="567"/>
        <w:rPr>
          <w:rFonts w:hint="eastAsia"/>
          <w:sz w:val="28"/>
        </w:rPr>
      </w:pPr>
    </w:p>
    <w:p>
      <w:pPr>
        <w:spacing w:line="360" w:lineRule="auto"/>
        <w:rPr>
          <w:sz w:val="28"/>
          <w:szCs w:val="28"/>
        </w:rPr>
      </w:pPr>
      <w:r>
        <w:rPr>
          <w:sz w:val="28"/>
        </w:rPr>
        <w:br w:type="page"/>
      </w:r>
      <w:r>
        <w:rPr>
          <w:rFonts w:hint="eastAsia" w:ascii="黑体" w:hAnsi="黑体" w:eastAsia="黑体" w:cs="黑体"/>
          <w:b/>
          <w:bCs/>
          <w:sz w:val="28"/>
          <w:szCs w:val="28"/>
        </w:rPr>
        <w:t>1.2 评估目的</w:t>
      </w:r>
      <w:r>
        <w:rPr>
          <w:rFonts w:hint="eastAsia" w:ascii="黑体" w:hAnsi="黑体" w:eastAsia="黑体" w:cs="黑体"/>
          <w:b/>
          <w:bCs/>
          <w:sz w:val="28"/>
          <w:szCs w:val="28"/>
        </w:rPr>
        <w:tab/>
      </w:r>
    </w:p>
    <w:p>
      <w:pPr>
        <w:pStyle w:val="114"/>
        <w:spacing w:line="558" w:lineRule="exact"/>
        <w:ind w:firstLine="560" w:firstLineChars="200"/>
        <w:jc w:val="both"/>
        <w:rPr>
          <w:rFonts w:ascii="Times New Roman" w:hAnsi="Times New Roman" w:eastAsia="宋体"/>
          <w:kern w:val="2"/>
          <w:sz w:val="28"/>
          <w:szCs w:val="28"/>
          <w:lang w:val="en-US" w:eastAsia="zh-CN"/>
        </w:rPr>
      </w:pPr>
      <w:r>
        <w:rPr>
          <w:rFonts w:hint="eastAsia" w:ascii="Times New Roman" w:hAnsi="Times New Roman" w:eastAsia="宋体"/>
          <w:kern w:val="2"/>
          <w:sz w:val="28"/>
          <w:szCs w:val="28"/>
          <w:lang w:val="en-US" w:eastAsia="zh-CN"/>
        </w:rPr>
        <w:t>针对不同突发事件种类及特点，识别存在的危险、危害因素，分析可能产生的直接后果以及次生、衍生后果，评估各种后果的危害程度</w:t>
      </w:r>
      <w:r>
        <w:rPr>
          <w:rFonts w:ascii="Times New Roman" w:hAnsi="Times New Roman" w:eastAsia="宋体"/>
          <w:kern w:val="2"/>
          <w:sz w:val="28"/>
          <w:szCs w:val="28"/>
          <w:lang w:val="en-US" w:eastAsia="zh-CN"/>
        </w:rPr>
        <w:t xml:space="preserve"> </w:t>
      </w:r>
      <w:r>
        <w:rPr>
          <w:rFonts w:hint="eastAsia" w:ascii="Times New Roman" w:hAnsi="Times New Roman" w:eastAsia="宋体"/>
          <w:kern w:val="2"/>
          <w:sz w:val="28"/>
          <w:szCs w:val="28"/>
          <w:lang w:val="en-US" w:eastAsia="zh-CN"/>
        </w:rPr>
        <w:t>和影响范围，提出防范和控制风险措施的过程。</w:t>
      </w:r>
    </w:p>
    <w:p>
      <w:pPr>
        <w:pStyle w:val="114"/>
        <w:spacing w:after="360" w:line="558" w:lineRule="exact"/>
        <w:ind w:firstLine="560" w:firstLineChars="200"/>
        <w:jc w:val="both"/>
        <w:rPr>
          <w:rFonts w:ascii="Times New Roman" w:hAnsi="Times New Roman" w:eastAsia="宋体"/>
          <w:kern w:val="2"/>
          <w:sz w:val="28"/>
          <w:szCs w:val="28"/>
          <w:lang w:val="en-US" w:eastAsia="zh-CN"/>
        </w:rPr>
      </w:pPr>
      <w:r>
        <w:rPr>
          <w:rFonts w:hint="eastAsia" w:ascii="Times New Roman" w:hAnsi="Times New Roman" w:eastAsia="宋体"/>
          <w:kern w:val="2"/>
          <w:sz w:val="28"/>
          <w:szCs w:val="28"/>
          <w:lang w:val="en-US" w:eastAsia="zh-CN"/>
        </w:rPr>
        <w:t>通过对突发事件风险以及突发事件类别进行分析、评估，以弥补防范措施的不足，最大限度减少人员伤亡和财产损失、降低损害和社会影响，保障公众安全，维护社会稳定，促进经济社会全面、协调、可持续发展。</w:t>
      </w:r>
    </w:p>
    <w:p>
      <w:pPr>
        <w:pStyle w:val="4"/>
        <w:spacing w:before="0" w:after="0" w:line="360" w:lineRule="auto"/>
        <w:rPr>
          <w:rFonts w:hint="eastAsia" w:ascii="黑体" w:hAnsi="黑体" w:cs="黑体"/>
          <w:sz w:val="28"/>
          <w:szCs w:val="28"/>
        </w:rPr>
      </w:pPr>
      <w:bookmarkStart w:id="42" w:name="_Toc8051"/>
      <w:r>
        <w:rPr>
          <w:rFonts w:hint="eastAsia" w:ascii="黑体" w:hAnsi="黑体" w:cs="黑体"/>
          <w:sz w:val="28"/>
          <w:szCs w:val="28"/>
        </w:rPr>
        <w:t>1.3 风险评估范围</w:t>
      </w:r>
      <w:bookmarkEnd w:id="42"/>
      <w:r>
        <w:rPr>
          <w:rFonts w:hint="eastAsia" w:ascii="黑体" w:hAnsi="黑体" w:cs="黑体"/>
          <w:sz w:val="28"/>
          <w:szCs w:val="28"/>
        </w:rPr>
        <w:t xml:space="preserve"> </w:t>
      </w:r>
    </w:p>
    <w:p>
      <w:pPr>
        <w:autoSpaceDE w:val="0"/>
        <w:autoSpaceDN w:val="0"/>
        <w:adjustRightInd w:val="0"/>
        <w:spacing w:line="360" w:lineRule="auto"/>
        <w:ind w:firstLine="560" w:firstLineChars="200"/>
        <w:rPr>
          <w:sz w:val="28"/>
          <w:szCs w:val="28"/>
        </w:rPr>
      </w:pPr>
      <w:r>
        <w:rPr>
          <w:sz w:val="28"/>
          <w:szCs w:val="28"/>
        </w:rPr>
        <w:t>评估范围主要围绕</w:t>
      </w:r>
      <w:r>
        <w:rPr>
          <w:rFonts w:hint="eastAsia"/>
          <w:sz w:val="28"/>
          <w:szCs w:val="28"/>
        </w:rPr>
        <w:t>南充经开城镇投资建设有限责任公司（简称城投公司）铁路专用线项目来</w:t>
      </w:r>
      <w:r>
        <w:rPr>
          <w:sz w:val="28"/>
          <w:szCs w:val="28"/>
        </w:rPr>
        <w:t>开展，主要包括</w:t>
      </w:r>
      <w:r>
        <w:rPr>
          <w:rFonts w:hint="eastAsia"/>
          <w:sz w:val="28"/>
          <w:szCs w:val="28"/>
        </w:rPr>
        <w:t>专用线整体风险、应急范围评估，部分重点企业使用专用线可能造成</w:t>
      </w:r>
      <w:r>
        <w:rPr>
          <w:sz w:val="28"/>
          <w:szCs w:val="28"/>
        </w:rPr>
        <w:t>的风险性识别和分析。</w:t>
      </w:r>
    </w:p>
    <w:p>
      <w:pPr>
        <w:pStyle w:val="4"/>
        <w:spacing w:before="0" w:after="0" w:line="360" w:lineRule="auto"/>
        <w:rPr>
          <w:rFonts w:hint="eastAsia" w:ascii="黑体" w:hAnsi="黑体" w:cs="黑体"/>
          <w:sz w:val="28"/>
          <w:szCs w:val="28"/>
        </w:rPr>
      </w:pPr>
      <w:bookmarkStart w:id="43" w:name="_Toc16855"/>
      <w:r>
        <w:rPr>
          <w:rFonts w:hint="eastAsia" w:ascii="黑体" w:hAnsi="黑体" w:cs="黑体"/>
          <w:sz w:val="28"/>
          <w:szCs w:val="28"/>
        </w:rPr>
        <w:t>1.4 评估程序</w:t>
      </w:r>
      <w:bookmarkEnd w:id="43"/>
      <w:r>
        <w:rPr>
          <w:rFonts w:hint="eastAsia" w:ascii="黑体" w:hAnsi="黑体" w:cs="黑体"/>
          <w:sz w:val="28"/>
          <w:szCs w:val="28"/>
        </w:rPr>
        <w:t xml:space="preserve"> </w:t>
      </w:r>
    </w:p>
    <w:p>
      <w:pPr>
        <w:autoSpaceDE w:val="0"/>
        <w:autoSpaceDN w:val="0"/>
        <w:adjustRightInd w:val="0"/>
        <w:spacing w:line="360" w:lineRule="auto"/>
        <w:ind w:firstLine="560" w:firstLineChars="200"/>
        <w:rPr>
          <w:sz w:val="28"/>
          <w:szCs w:val="28"/>
        </w:rPr>
      </w:pPr>
      <w:r>
        <w:rPr>
          <w:sz w:val="28"/>
          <w:szCs w:val="28"/>
        </w:rPr>
        <w:t xml:space="preserve">1、成立风险评估小组 </w:t>
      </w:r>
    </w:p>
    <w:p>
      <w:pPr>
        <w:autoSpaceDE w:val="0"/>
        <w:autoSpaceDN w:val="0"/>
        <w:adjustRightInd w:val="0"/>
        <w:spacing w:line="360" w:lineRule="auto"/>
        <w:ind w:firstLine="560" w:firstLineChars="200"/>
        <w:rPr>
          <w:sz w:val="28"/>
          <w:szCs w:val="28"/>
        </w:rPr>
      </w:pPr>
      <w:r>
        <w:rPr>
          <w:sz w:val="28"/>
          <w:szCs w:val="28"/>
        </w:rPr>
        <w:t xml:space="preserve">2、收集分析资料、现场勘察 </w:t>
      </w:r>
    </w:p>
    <w:p>
      <w:pPr>
        <w:autoSpaceDE w:val="0"/>
        <w:autoSpaceDN w:val="0"/>
        <w:adjustRightInd w:val="0"/>
        <w:spacing w:line="360" w:lineRule="auto"/>
        <w:ind w:firstLine="560" w:firstLineChars="200"/>
        <w:rPr>
          <w:sz w:val="28"/>
          <w:szCs w:val="28"/>
        </w:rPr>
      </w:pPr>
      <w:r>
        <w:rPr>
          <w:sz w:val="28"/>
          <w:szCs w:val="28"/>
        </w:rPr>
        <w:t xml:space="preserve">3、组织进行风险识别和评估 </w:t>
      </w:r>
    </w:p>
    <w:p>
      <w:pPr>
        <w:autoSpaceDE w:val="0"/>
        <w:autoSpaceDN w:val="0"/>
        <w:adjustRightInd w:val="0"/>
        <w:spacing w:line="360" w:lineRule="auto"/>
        <w:ind w:firstLine="560" w:firstLineChars="200"/>
        <w:rPr>
          <w:sz w:val="28"/>
          <w:szCs w:val="28"/>
        </w:rPr>
      </w:pPr>
      <w:r>
        <w:rPr>
          <w:sz w:val="28"/>
          <w:szCs w:val="28"/>
        </w:rPr>
        <w:t>4、评估汇总交</w:t>
      </w:r>
      <w:r>
        <w:rPr>
          <w:rFonts w:hint="eastAsia"/>
          <w:sz w:val="28"/>
          <w:szCs w:val="28"/>
        </w:rPr>
        <w:t>南充经开城镇投资建设有限责任公司</w:t>
      </w:r>
      <w:r>
        <w:rPr>
          <w:sz w:val="28"/>
          <w:szCs w:val="28"/>
        </w:rPr>
        <w:t xml:space="preserve">主要负责人批准 </w:t>
      </w:r>
    </w:p>
    <w:p>
      <w:pPr>
        <w:spacing w:line="360" w:lineRule="auto"/>
        <w:jc w:val="center"/>
        <w:outlineLvl w:val="0"/>
        <w:rPr>
          <w:rFonts w:hint="eastAsia" w:ascii="黑体" w:hAnsi="黑体" w:eastAsia="黑体" w:cs="黑体"/>
          <w:b/>
          <w:sz w:val="32"/>
          <w:szCs w:val="32"/>
        </w:rPr>
      </w:pPr>
      <w:r>
        <w:rPr>
          <w:sz w:val="28"/>
          <w:szCs w:val="28"/>
        </w:rPr>
        <w:br w:type="page"/>
      </w:r>
      <w:bookmarkEnd w:id="37"/>
      <w:bookmarkStart w:id="44" w:name="_Toc6436"/>
      <w:bookmarkStart w:id="45" w:name="_Toc481135249"/>
      <w:bookmarkStart w:id="46" w:name="_Toc477275482"/>
      <w:r>
        <w:rPr>
          <w:rFonts w:hint="eastAsia" w:ascii="黑体" w:hAnsi="黑体" w:eastAsia="黑体" w:cs="黑体"/>
          <w:b/>
          <w:sz w:val="32"/>
          <w:szCs w:val="32"/>
        </w:rPr>
        <w:t>2 公司基本情况</w:t>
      </w:r>
      <w:bookmarkEnd w:id="44"/>
    </w:p>
    <w:p>
      <w:pPr>
        <w:pStyle w:val="4"/>
        <w:adjustRightInd w:val="0"/>
        <w:spacing w:before="120" w:beforeLines="50" w:after="120" w:afterLines="50"/>
        <w:rPr>
          <w:rFonts w:hint="eastAsia" w:ascii="黑体" w:hAnsi="黑体" w:cs="黑体"/>
          <w:sz w:val="28"/>
          <w:szCs w:val="28"/>
        </w:rPr>
      </w:pPr>
      <w:bookmarkStart w:id="47" w:name="_Toc516661589"/>
      <w:bookmarkStart w:id="48" w:name="_Toc314"/>
      <w:r>
        <w:rPr>
          <w:rFonts w:hint="eastAsia" w:ascii="黑体" w:hAnsi="黑体" w:cs="黑体"/>
          <w:sz w:val="28"/>
          <w:szCs w:val="28"/>
        </w:rPr>
        <w:t>2.1 项目概况</w:t>
      </w:r>
      <w:bookmarkEnd w:id="47"/>
      <w:bookmarkEnd w:id="48"/>
      <w:bookmarkStart w:id="49" w:name="_Toc516661590"/>
    </w:p>
    <w:p>
      <w:pPr>
        <w:pStyle w:val="23"/>
        <w:spacing w:before="120"/>
      </w:pPr>
      <w:bookmarkStart w:id="50" w:name="_Toc8163"/>
      <w:bookmarkStart w:id="51" w:name="_Toc5486"/>
      <w:r>
        <w:rPr>
          <w:rFonts w:hint="eastAsia"/>
        </w:rPr>
        <w:t>南充经开城镇投资建设有限责任公司属于南充经济开发区投资集团有限公司的子公司，主要负责工业园区铁路专用线的经营管理，公司地址位于南充市嘉陵区文峰大道企业服务中心九楼。</w:t>
      </w:r>
      <w:r>
        <w:t>本项目专用线接轨于兰渝线广安支线老君站，南充经济开发区投资集团有限公司已与中国铁路成都局集团有限公司老君车站签订专用线运输协议。</w:t>
      </w:r>
      <w:r>
        <w:rPr>
          <w:rFonts w:hint="eastAsia"/>
        </w:rPr>
        <w:t>本项目</w:t>
      </w:r>
      <w:r>
        <w:t>专用线正线长 27.018km，危险货物铁路专用线（8 线、10 线）均为尽头式平直段线路，尽头均设有车挡和车挡表示器。</w:t>
      </w:r>
      <w:r>
        <w:rPr>
          <w:rFonts w:hint="eastAsia"/>
        </w:rPr>
        <w:t>其中</w:t>
      </w:r>
      <w:r>
        <w:t>本项目专用线 8线装卸设施的产权单位暨使用单位为四川晟达化学新材料有限责任公司，8 线装卸栈桥长度 600m，设对二甲苯鹤位 50 个，机泵 18 个，150m</w:t>
      </w:r>
      <w:r>
        <w:rPr>
          <w:vertAlign w:val="superscript"/>
        </w:rPr>
        <w:t>3</w:t>
      </w:r>
      <w:r>
        <w:t xml:space="preserve"> 对二甲苯缓冲罐 2 个，以及鹤管至转输泵之间的管道</w:t>
      </w:r>
      <w:r>
        <w:rPr>
          <w:rFonts w:hint="eastAsia"/>
        </w:rPr>
        <w:t>，该</w:t>
      </w:r>
      <w:r>
        <w:t>公司主要产品 PTA（精对苯二甲酸）上承对二甲苯，下接聚酯切片和涤纶短纤、长丝，是石化和化纤产业链的分水岭，具有承前启后的作用。本项目专用线 10 线装卸设施的产权单位暨使用单位为南充联成化学工业有限公司， 10 线装卸栈桥长度 66m，设邻二甲苯鹤位 6 个，机泵 9 个， 10m</w:t>
      </w:r>
      <w:r>
        <w:rPr>
          <w:vertAlign w:val="superscript"/>
        </w:rPr>
        <w:t>3</w:t>
      </w:r>
      <w:r>
        <w:t xml:space="preserve"> 扫舱罐 1 个，鹤管至卸车泵之间的管道，以及卸车泵至南充联成化学工业有限公司厂区邻二甲苯输送管线</w:t>
      </w:r>
      <w:r>
        <w:rPr>
          <w:rFonts w:hint="eastAsia"/>
        </w:rPr>
        <w:t>,该公司</w:t>
      </w:r>
      <w:r>
        <w:t>主要利用四川石化基地配置给园区的邻二甲苯等系列石化原料，发展邻二甲苯产业链，生产相关下游产品</w:t>
      </w:r>
      <w:r>
        <w:rPr>
          <w:rFonts w:hint="eastAsia"/>
        </w:rPr>
        <w:t>。</w:t>
      </w:r>
    </w:p>
    <w:bookmarkEnd w:id="50"/>
    <w:bookmarkEnd w:id="51"/>
    <w:p>
      <w:pPr>
        <w:pStyle w:val="4"/>
        <w:adjustRightInd w:val="0"/>
        <w:spacing w:before="120" w:beforeLines="50" w:after="120" w:afterLines="50"/>
        <w:rPr>
          <w:rFonts w:hint="eastAsia" w:ascii="黑体" w:hAnsi="黑体" w:cs="黑体"/>
          <w:sz w:val="28"/>
          <w:szCs w:val="28"/>
        </w:rPr>
      </w:pPr>
      <w:bookmarkStart w:id="52" w:name="_Toc17074"/>
      <w:r>
        <w:rPr>
          <w:rFonts w:hint="eastAsia" w:ascii="黑体" w:hAnsi="黑体" w:cs="黑体"/>
          <w:sz w:val="28"/>
          <w:szCs w:val="28"/>
        </w:rPr>
        <w:t>2.2 位置及周边关系</w:t>
      </w:r>
      <w:bookmarkEnd w:id="49"/>
      <w:bookmarkEnd w:id="52"/>
    </w:p>
    <w:p>
      <w:pPr>
        <w:spacing w:line="360" w:lineRule="auto"/>
        <w:ind w:firstLine="562" w:firstLineChars="200"/>
        <w:rPr>
          <w:b/>
          <w:sz w:val="28"/>
          <w:szCs w:val="28"/>
        </w:rPr>
      </w:pPr>
      <w:r>
        <w:rPr>
          <w:b/>
          <w:sz w:val="28"/>
          <w:szCs w:val="28"/>
        </w:rPr>
        <w:t xml:space="preserve">(1) </w:t>
      </w:r>
      <w:r>
        <w:rPr>
          <w:rFonts w:hint="eastAsia"/>
          <w:b/>
          <w:sz w:val="28"/>
          <w:szCs w:val="28"/>
        </w:rPr>
        <w:t>地理</w:t>
      </w:r>
      <w:r>
        <w:rPr>
          <w:b/>
          <w:sz w:val="28"/>
          <w:szCs w:val="28"/>
        </w:rPr>
        <w:t>位置</w:t>
      </w:r>
    </w:p>
    <w:p>
      <w:pPr>
        <w:autoSpaceDE w:val="0"/>
        <w:autoSpaceDN w:val="0"/>
        <w:adjustRightInd w:val="0"/>
        <w:spacing w:line="360" w:lineRule="auto"/>
        <w:ind w:firstLine="560" w:firstLineChars="200"/>
        <w:rPr>
          <w:rFonts w:hint="eastAsia" w:ascii="宋体" w:hAnsi="宋体" w:cs="宋体"/>
          <w:sz w:val="28"/>
          <w:szCs w:val="28"/>
        </w:rPr>
      </w:pPr>
      <w:r>
        <w:rPr>
          <w:rFonts w:hint="eastAsia" w:ascii="宋体" w:hAnsi="宋体"/>
          <w:sz w:val="28"/>
          <w:szCs w:val="28"/>
        </w:rPr>
        <w:t>铁路专用线位于嘉陵区河西化工园区内。</w:t>
      </w:r>
      <w:r>
        <w:rPr>
          <w:rFonts w:hint="eastAsia"/>
          <w:sz w:val="28"/>
          <w:szCs w:val="28"/>
        </w:rPr>
        <w:t>该项目线路自兰渝铁路广安支线老君站南充东端咽喉区引出后，穿凌云山，跨嘉陵</w:t>
      </w:r>
      <w:r>
        <w:rPr>
          <w:rFonts w:hint="eastAsia" w:ascii="宋体" w:hAnsi="宋体"/>
          <w:sz w:val="28"/>
          <w:szCs w:val="28"/>
        </w:rPr>
        <w:t>江至化学工业园，</w:t>
      </w:r>
      <w:r>
        <w:rPr>
          <w:rFonts w:hint="eastAsia" w:ascii="宋体" w:hAnsi="宋体" w:cs="宋体"/>
          <w:sz w:val="28"/>
          <w:szCs w:val="28"/>
          <w:lang w:val="zh-CN"/>
        </w:rPr>
        <w:t>地理位置图见</w:t>
      </w:r>
      <w:r>
        <w:rPr>
          <w:rFonts w:hint="eastAsia" w:ascii="宋体" w:hAnsi="宋体" w:cs="宋体"/>
          <w:sz w:val="28"/>
          <w:szCs w:val="28"/>
        </w:rPr>
        <w:t>2-2-1</w:t>
      </w:r>
    </w:p>
    <w:p>
      <w:pPr>
        <w:autoSpaceDE w:val="0"/>
        <w:autoSpaceDN w:val="0"/>
        <w:adjustRightInd w:val="0"/>
        <w:spacing w:line="360" w:lineRule="auto"/>
        <w:ind w:firstLine="480" w:firstLineChars="200"/>
        <w:rPr>
          <w:rFonts w:ascii="宋体" w:hAnsi="宋体" w:cs="宋体"/>
          <w:sz w:val="28"/>
          <w:szCs w:val="28"/>
        </w:rPr>
      </w:pPr>
      <w:r>
        <w:rPr>
          <w:rFonts w:ascii="宋体" w:hAnsi="宋体" w:cs="宋体"/>
          <w:kern w:val="0"/>
          <w:sz w:val="24"/>
        </w:rPr>
        <w:drawing>
          <wp:inline distT="0" distB="0" distL="114300" distR="114300">
            <wp:extent cx="5006340" cy="4520565"/>
            <wp:effectExtent l="0" t="0" r="3810" b="13335"/>
            <wp:docPr id="7" name="图片 6" descr="@C6`74@]5IPTOO]0X1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6`74@]5IPTOO]0X1G`[~X"/>
                    <pic:cNvPicPr>
                      <a:picLocks noChangeAspect="1"/>
                    </pic:cNvPicPr>
                  </pic:nvPicPr>
                  <pic:blipFill>
                    <a:blip r:embed="rId7"/>
                    <a:stretch>
                      <a:fillRect/>
                    </a:stretch>
                  </pic:blipFill>
                  <pic:spPr>
                    <a:xfrm>
                      <a:off x="0" y="0"/>
                      <a:ext cx="5006340" cy="4520565"/>
                    </a:xfrm>
                    <a:prstGeom prst="rect">
                      <a:avLst/>
                    </a:prstGeom>
                    <a:noFill/>
                    <a:ln w="9525">
                      <a:noFill/>
                    </a:ln>
                  </pic:spPr>
                </pic:pic>
              </a:graphicData>
            </a:graphic>
          </wp:inline>
        </w:drawing>
      </w:r>
    </w:p>
    <w:p>
      <w:pPr>
        <w:pStyle w:val="68"/>
        <w:ind w:firstLine="560"/>
        <w:rPr>
          <w:rFonts w:hint="eastAsia" w:eastAsia="黑体"/>
          <w:sz w:val="24"/>
        </w:rPr>
      </w:pPr>
    </w:p>
    <w:p>
      <w:pPr>
        <w:pStyle w:val="68"/>
        <w:ind w:firstLine="560"/>
        <w:rPr>
          <w:rFonts w:eastAsia="黑体"/>
          <w:sz w:val="24"/>
          <w:szCs w:val="24"/>
        </w:rPr>
      </w:pPr>
      <w:r>
        <w:rPr>
          <w:rFonts w:eastAsia="黑体"/>
          <w:sz w:val="24"/>
          <w:szCs w:val="24"/>
        </w:rPr>
        <w:t>图2-</w:t>
      </w:r>
      <w:r>
        <w:rPr>
          <w:rFonts w:hint="eastAsia" w:eastAsia="黑体"/>
          <w:sz w:val="24"/>
          <w:szCs w:val="24"/>
        </w:rPr>
        <w:t>2-</w:t>
      </w:r>
      <w:r>
        <w:rPr>
          <w:rFonts w:eastAsia="黑体"/>
          <w:sz w:val="24"/>
          <w:szCs w:val="24"/>
        </w:rPr>
        <w:t>1 地理位置示意图</w:t>
      </w:r>
    </w:p>
    <w:p>
      <w:pPr>
        <w:spacing w:line="360" w:lineRule="auto"/>
        <w:ind w:firstLine="562" w:firstLineChars="200"/>
        <w:rPr>
          <w:rFonts w:hint="eastAsia" w:ascii="黑体" w:hAnsi="黑体" w:eastAsia="黑体" w:cs="黑体"/>
          <w:b/>
          <w:sz w:val="28"/>
          <w:szCs w:val="28"/>
        </w:rPr>
      </w:pPr>
      <w:r>
        <w:rPr>
          <w:rFonts w:hint="eastAsia" w:ascii="黑体" w:hAnsi="黑体" w:eastAsia="黑体" w:cs="黑体"/>
          <w:b/>
          <w:sz w:val="28"/>
          <w:szCs w:val="28"/>
        </w:rPr>
        <w:t xml:space="preserve"> (2) 周边关系</w:t>
      </w:r>
    </w:p>
    <w:p>
      <w:pPr>
        <w:spacing w:line="360" w:lineRule="auto"/>
        <w:ind w:firstLine="560"/>
        <w:rPr>
          <w:sz w:val="28"/>
          <w:szCs w:val="28"/>
        </w:rPr>
      </w:pPr>
      <w:bookmarkStart w:id="53" w:name="_Toc516661591"/>
      <w:r>
        <w:rPr>
          <w:rFonts w:hint="eastAsia"/>
          <w:sz w:val="28"/>
          <w:szCs w:val="28"/>
        </w:rPr>
        <w:t>本项目位于嘉陵区河西化工园区内，</w:t>
      </w:r>
      <w:r>
        <w:rPr>
          <w:rFonts w:hint="eastAsia" w:ascii="宋体" w:hAnsi="宋体"/>
          <w:sz w:val="28"/>
          <w:szCs w:val="28"/>
        </w:rPr>
        <w:t>区间线路和铁路装卸区周边环境均相对简单，区间线路走向范围内主要为一些当地零散民居，装卸区位于化学工业园内，铁路危险化学品装卸区位于化学工业园区内，100m 范围内无居民区、公共福利设施、村庄，50m 范围内无厂外工厂，50m 范围内无厂外公路。化学工业园区</w:t>
      </w:r>
      <w:r>
        <w:rPr>
          <w:rFonts w:hint="eastAsia" w:ascii="宋体" w:hAnsi="宋体" w:cs="宋体"/>
          <w:sz w:val="28"/>
          <w:szCs w:val="28"/>
          <w:lang w:val="zh-CN"/>
        </w:rPr>
        <w:t>周围1000米内无学校、医院、大型商场、影剧院、公园、车站等人口密集区域以及基本农田保护区、风景名胜区和自然保护区。周边</w:t>
      </w:r>
      <w:r>
        <w:rPr>
          <w:sz w:val="28"/>
          <w:szCs w:val="28"/>
        </w:rPr>
        <w:t>关系如下</w:t>
      </w:r>
      <w:r>
        <w:rPr>
          <w:rFonts w:hint="eastAsia"/>
          <w:sz w:val="28"/>
          <w:szCs w:val="28"/>
        </w:rPr>
        <w:t>图</w:t>
      </w:r>
      <w:r>
        <w:rPr>
          <w:sz w:val="28"/>
          <w:szCs w:val="28"/>
        </w:rPr>
        <w:t>2-2</w:t>
      </w:r>
      <w:r>
        <w:rPr>
          <w:rFonts w:hint="eastAsia"/>
          <w:sz w:val="28"/>
          <w:szCs w:val="28"/>
        </w:rPr>
        <w:t>-2</w:t>
      </w:r>
      <w:r>
        <w:rPr>
          <w:sz w:val="28"/>
          <w:szCs w:val="28"/>
        </w:rPr>
        <w:t>。</w:t>
      </w:r>
    </w:p>
    <w:p>
      <w:pPr>
        <w:spacing w:line="360" w:lineRule="auto"/>
        <w:rPr>
          <w:rFonts w:hint="eastAsia"/>
          <w:sz w:val="28"/>
          <w:szCs w:val="28"/>
        </w:rPr>
      </w:pPr>
      <w:r>
        <w:rPr>
          <w:rFonts w:hint="eastAsia"/>
          <w:lang w:eastAsia="zh-CN"/>
        </w:rPr>
        <w:t>房</w:t>
      </w:r>
      <w:r>
        <w:drawing>
          <wp:inline distT="0" distB="0" distL="114300" distR="114300">
            <wp:extent cx="4814570" cy="2711450"/>
            <wp:effectExtent l="0" t="0" r="5080"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4814570" cy="2711450"/>
                    </a:xfrm>
                    <a:prstGeom prst="rect">
                      <a:avLst/>
                    </a:prstGeom>
                    <a:noFill/>
                    <a:ln w="9525">
                      <a:noFill/>
                    </a:ln>
                  </pic:spPr>
                </pic:pic>
              </a:graphicData>
            </a:graphic>
          </wp:inline>
        </w:drawing>
      </w:r>
    </w:p>
    <w:p>
      <w:pPr>
        <w:pStyle w:val="68"/>
        <w:rPr>
          <w:rFonts w:hint="eastAsia" w:eastAsia="黑体"/>
          <w:sz w:val="24"/>
          <w:szCs w:val="24"/>
        </w:rPr>
      </w:pPr>
      <w:r>
        <w:rPr>
          <w:rFonts w:hint="eastAsia" w:eastAsia="黑体"/>
          <w:sz w:val="24"/>
          <w:szCs w:val="24"/>
        </w:rPr>
        <w:t>图</w:t>
      </w:r>
      <w:r>
        <w:rPr>
          <w:rFonts w:eastAsia="黑体"/>
          <w:sz w:val="24"/>
          <w:szCs w:val="24"/>
        </w:rPr>
        <w:t>2-2</w:t>
      </w:r>
      <w:r>
        <w:rPr>
          <w:rFonts w:hint="eastAsia" w:eastAsia="黑体"/>
          <w:sz w:val="24"/>
          <w:szCs w:val="24"/>
        </w:rPr>
        <w:t>-2化工园区周边关系图</w:t>
      </w:r>
    </w:p>
    <w:p>
      <w:pPr>
        <w:pStyle w:val="68"/>
        <w:rPr>
          <w:rFonts w:hint="eastAsia" w:eastAsia="黑体"/>
          <w:sz w:val="24"/>
          <w:szCs w:val="24"/>
          <w:lang w:eastAsia="zh-CN"/>
        </w:rPr>
      </w:pPr>
      <w:r>
        <w:rPr>
          <w:rFonts w:hint="eastAsia" w:eastAsia="黑体"/>
          <w:sz w:val="24"/>
          <w:szCs w:val="24"/>
          <w:lang w:eastAsia="zh-CN"/>
        </w:rPr>
        <w:drawing>
          <wp:inline distT="0" distB="0" distL="114300" distR="114300">
            <wp:extent cx="4485005" cy="2103120"/>
            <wp:effectExtent l="0" t="0" r="10795" b="11430"/>
            <wp:docPr id="9" name="图片 9" descr="城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城投"/>
                    <pic:cNvPicPr>
                      <a:picLocks noChangeAspect="1"/>
                    </pic:cNvPicPr>
                  </pic:nvPicPr>
                  <pic:blipFill>
                    <a:blip r:embed="rId9"/>
                    <a:srcRect l="5426" t="8682" r="4160" b="20257"/>
                    <a:stretch>
                      <a:fillRect/>
                    </a:stretch>
                  </pic:blipFill>
                  <pic:spPr>
                    <a:xfrm>
                      <a:off x="0" y="0"/>
                      <a:ext cx="4485005" cy="2103120"/>
                    </a:xfrm>
                    <a:prstGeom prst="rect">
                      <a:avLst/>
                    </a:prstGeom>
                  </pic:spPr>
                </pic:pic>
              </a:graphicData>
            </a:graphic>
          </wp:inline>
        </w:drawing>
      </w:r>
    </w:p>
    <w:p>
      <w:pPr>
        <w:pStyle w:val="68"/>
        <w:rPr>
          <w:rFonts w:hint="eastAsia" w:eastAsia="黑体"/>
          <w:sz w:val="24"/>
          <w:szCs w:val="24"/>
          <w:lang w:eastAsia="zh-CN"/>
        </w:rPr>
      </w:pPr>
      <w:r>
        <w:rPr>
          <w:rFonts w:hint="eastAsia" w:eastAsia="黑体"/>
          <w:sz w:val="24"/>
          <w:szCs w:val="24"/>
        </w:rPr>
        <w:t>图</w:t>
      </w:r>
      <w:r>
        <w:rPr>
          <w:rFonts w:eastAsia="黑体"/>
          <w:sz w:val="24"/>
          <w:szCs w:val="24"/>
        </w:rPr>
        <w:t>2-2</w:t>
      </w:r>
      <w:r>
        <w:rPr>
          <w:rFonts w:hint="eastAsia" w:eastAsia="黑体"/>
          <w:sz w:val="24"/>
          <w:szCs w:val="24"/>
        </w:rPr>
        <w:t>-2化工园区</w:t>
      </w:r>
      <w:r>
        <w:rPr>
          <w:rFonts w:hint="eastAsia"/>
        </w:rPr>
        <w:t>企业服务中心</w:t>
      </w:r>
      <w:r>
        <w:rPr>
          <w:rFonts w:hint="eastAsia"/>
          <w:lang w:eastAsia="zh-CN"/>
        </w:rPr>
        <w:t>办公楼</w:t>
      </w:r>
      <w:r>
        <w:rPr>
          <w:rFonts w:hint="eastAsia" w:eastAsia="黑体"/>
          <w:sz w:val="24"/>
          <w:szCs w:val="24"/>
        </w:rPr>
        <w:t>图</w:t>
      </w:r>
    </w:p>
    <w:p>
      <w:pPr>
        <w:pStyle w:val="68"/>
        <w:rPr>
          <w:rFonts w:hint="eastAsia" w:eastAsia="黑体"/>
          <w:sz w:val="24"/>
          <w:szCs w:val="24"/>
          <w:lang w:eastAsia="zh-CN"/>
        </w:rPr>
      </w:pPr>
      <w:r>
        <w:rPr>
          <w:rFonts w:hint="eastAsia" w:eastAsia="黑体"/>
          <w:sz w:val="24"/>
          <w:szCs w:val="24"/>
          <w:lang w:eastAsia="zh-CN"/>
        </w:rPr>
        <w:drawing>
          <wp:inline distT="0" distB="0" distL="114300" distR="114300">
            <wp:extent cx="4467225" cy="2921635"/>
            <wp:effectExtent l="0" t="0" r="9525" b="12065"/>
            <wp:docPr id="10" name="图片 10"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相片"/>
                    <pic:cNvPicPr>
                      <a:picLocks noChangeAspect="1"/>
                    </pic:cNvPicPr>
                  </pic:nvPicPr>
                  <pic:blipFill>
                    <a:blip r:embed="rId10"/>
                    <a:srcRect t="10561" b="14893"/>
                    <a:stretch>
                      <a:fillRect/>
                    </a:stretch>
                  </pic:blipFill>
                  <pic:spPr>
                    <a:xfrm>
                      <a:off x="0" y="0"/>
                      <a:ext cx="4467225" cy="2921635"/>
                    </a:xfrm>
                    <a:prstGeom prst="rect">
                      <a:avLst/>
                    </a:prstGeom>
                  </pic:spPr>
                </pic:pic>
              </a:graphicData>
            </a:graphic>
          </wp:inline>
        </w:drawing>
      </w:r>
    </w:p>
    <w:p>
      <w:pPr>
        <w:pStyle w:val="68"/>
        <w:rPr>
          <w:rFonts w:hint="eastAsia" w:eastAsia="黑体"/>
          <w:sz w:val="24"/>
          <w:szCs w:val="24"/>
        </w:rPr>
      </w:pPr>
      <w:r>
        <w:rPr>
          <w:rFonts w:hint="eastAsia" w:eastAsia="黑体"/>
          <w:sz w:val="24"/>
          <w:szCs w:val="24"/>
        </w:rPr>
        <w:t>图</w:t>
      </w:r>
      <w:r>
        <w:rPr>
          <w:rFonts w:eastAsia="黑体"/>
          <w:sz w:val="24"/>
          <w:szCs w:val="24"/>
        </w:rPr>
        <w:t>2-2</w:t>
      </w:r>
      <w:r>
        <w:rPr>
          <w:rFonts w:hint="eastAsia" w:eastAsia="黑体"/>
          <w:sz w:val="24"/>
          <w:szCs w:val="24"/>
        </w:rPr>
        <w:t>-</w:t>
      </w:r>
      <w:r>
        <w:rPr>
          <w:rFonts w:hint="eastAsia" w:eastAsia="黑体"/>
          <w:sz w:val="24"/>
          <w:szCs w:val="24"/>
          <w:lang w:val="en-US" w:eastAsia="zh-CN"/>
        </w:rPr>
        <w:t>3城投公司</w:t>
      </w:r>
      <w:r>
        <w:rPr>
          <w:rFonts w:hint="eastAsia" w:eastAsia="黑体"/>
          <w:sz w:val="24"/>
          <w:szCs w:val="24"/>
        </w:rPr>
        <w:t>图</w:t>
      </w:r>
    </w:p>
    <w:p>
      <w:pPr>
        <w:pStyle w:val="68"/>
        <w:rPr>
          <w:rFonts w:hint="eastAsia" w:eastAsia="黑体"/>
          <w:sz w:val="24"/>
          <w:szCs w:val="24"/>
          <w:lang w:eastAsia="zh-CN"/>
        </w:rPr>
      </w:pPr>
    </w:p>
    <w:p>
      <w:pPr>
        <w:pStyle w:val="4"/>
        <w:adjustRightInd w:val="0"/>
        <w:spacing w:before="120" w:beforeLines="50" w:after="120" w:afterLines="50" w:line="360" w:lineRule="auto"/>
        <w:rPr>
          <w:rFonts w:hint="eastAsia" w:ascii="黑体" w:hAnsi="黑体" w:cs="黑体"/>
          <w:sz w:val="28"/>
          <w:szCs w:val="28"/>
        </w:rPr>
      </w:pPr>
      <w:bookmarkStart w:id="54" w:name="_Toc1554"/>
      <w:r>
        <w:rPr>
          <w:rFonts w:hint="eastAsia" w:ascii="黑体" w:hAnsi="黑体" w:cs="黑体"/>
          <w:sz w:val="28"/>
          <w:szCs w:val="28"/>
        </w:rPr>
        <w:t>2.3 总平面布置</w:t>
      </w:r>
      <w:bookmarkEnd w:id="53"/>
      <w:bookmarkEnd w:id="54"/>
    </w:p>
    <w:p>
      <w:pPr>
        <w:autoSpaceDE w:val="0"/>
        <w:autoSpaceDN w:val="0"/>
        <w:adjustRightInd w:val="0"/>
        <w:spacing w:line="360" w:lineRule="auto"/>
        <w:ind w:firstLine="560" w:firstLineChars="200"/>
        <w:rPr>
          <w:rFonts w:hint="eastAsia" w:ascii="宋体" w:hAnsi="宋体"/>
          <w:sz w:val="28"/>
          <w:szCs w:val="28"/>
        </w:rPr>
      </w:pPr>
      <w:bookmarkStart w:id="55" w:name="_Toc516661592"/>
      <w:r>
        <w:rPr>
          <w:rFonts w:hint="eastAsia" w:ascii="宋体" w:hAnsi="宋体"/>
          <w:sz w:val="28"/>
          <w:szCs w:val="28"/>
        </w:rPr>
        <w:t>本项目铁路专用线位于嘉陵区河西化工园区内，专用线在厂内设工厂站，本项目危险货物装卸区位于工厂站西南侧。危险货物装卸区现有 8 线（892m）、9 线和 10 线（345m），其中 9 线已停用。8 线北侧分布有四川晟达化学新材料有限责任公司的对二甲苯卸车栈桥及醋酸卸车栈桥（醋酸卸车栈桥已停用），鹤管间距 12m；10 线南侧布置有南充联成化学工业有限公司邻二甲苯卸车栈桥，鹤管间距 12m，四川晟达化学新材料有限责任公司的缓冲罐区位于装卸区南侧，2 个对二甲苯缓冲罐间距为 3m。项目总平面布置一览如下表2.3-1，总平面布置图如2.3-2。</w:t>
      </w:r>
    </w:p>
    <w:p>
      <w:pPr>
        <w:pStyle w:val="2"/>
        <w:rPr>
          <w:rFonts w:hint="eastAsia" w:ascii="宋体" w:hAnsi="宋体"/>
          <w:sz w:val="28"/>
          <w:szCs w:val="28"/>
        </w:rPr>
      </w:pPr>
    </w:p>
    <w:p>
      <w:pPr>
        <w:pStyle w:val="2"/>
        <w:rPr>
          <w:rFonts w:hint="eastAsia" w:ascii="宋体" w:hAnsi="宋体"/>
          <w:sz w:val="28"/>
          <w:szCs w:val="28"/>
        </w:rPr>
      </w:pPr>
    </w:p>
    <w:p>
      <w:pPr>
        <w:tabs>
          <w:tab w:val="left" w:pos="4060"/>
        </w:tabs>
        <w:spacing w:before="190"/>
        <w:ind w:left="2946"/>
        <w:jc w:val="left"/>
        <w:rPr>
          <w:b/>
          <w:bCs/>
        </w:rPr>
      </w:pPr>
      <w:r>
        <w:rPr>
          <w:b/>
          <w:bCs/>
        </w:rPr>
        <w:t>表</w:t>
      </w:r>
      <w:r>
        <w:rPr>
          <w:b/>
          <w:bCs/>
          <w:spacing w:val="-28"/>
        </w:rPr>
        <w:t xml:space="preserve"> </w:t>
      </w:r>
      <w:r>
        <w:rPr>
          <w:b/>
          <w:bCs/>
          <w:spacing w:val="7"/>
        </w:rPr>
        <w:t>2.3-</w:t>
      </w:r>
      <w:r>
        <w:rPr>
          <w:rFonts w:hint="eastAsia"/>
          <w:b/>
          <w:bCs/>
          <w:spacing w:val="7"/>
        </w:rPr>
        <w:t>1</w:t>
      </w:r>
      <w:r>
        <w:rPr>
          <w:b/>
          <w:bCs/>
          <w:spacing w:val="7"/>
        </w:rPr>
        <w:tab/>
      </w:r>
      <w:r>
        <w:rPr>
          <w:b/>
          <w:bCs/>
          <w:spacing w:val="19"/>
        </w:rPr>
        <w:t>项目总平</w:t>
      </w:r>
      <w:r>
        <w:rPr>
          <w:b/>
          <w:bCs/>
          <w:spacing w:val="16"/>
        </w:rPr>
        <w:t>面</w:t>
      </w:r>
      <w:r>
        <w:rPr>
          <w:b/>
          <w:bCs/>
          <w:spacing w:val="19"/>
        </w:rPr>
        <w:t>布</w:t>
      </w:r>
      <w:r>
        <w:rPr>
          <w:b/>
          <w:bCs/>
          <w:spacing w:val="20"/>
        </w:rPr>
        <w:t>置</w:t>
      </w:r>
      <w:r>
        <w:rPr>
          <w:b/>
          <w:bCs/>
          <w:spacing w:val="19"/>
        </w:rPr>
        <w:t>一览表</w:t>
      </w:r>
    </w:p>
    <w:p>
      <w:pPr>
        <w:pStyle w:val="16"/>
        <w:spacing w:before="9"/>
        <w:rPr>
          <w:sz w:val="10"/>
        </w:rPr>
      </w:pPr>
    </w:p>
    <w:tbl>
      <w:tblPr>
        <w:tblStyle w:val="54"/>
        <w:tblW w:w="8115"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0"/>
        <w:gridCol w:w="960"/>
        <w:gridCol w:w="3600"/>
        <w:gridCol w:w="1005"/>
        <w:gridCol w:w="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530" w:type="dxa"/>
            <w:vAlign w:val="top"/>
          </w:tcPr>
          <w:p>
            <w:pPr>
              <w:pStyle w:val="88"/>
              <w:spacing w:before="135"/>
              <w:ind w:left="640"/>
              <w:jc w:val="center"/>
            </w:pPr>
            <w:r>
              <w:t>主要设施</w:t>
            </w:r>
          </w:p>
        </w:tc>
        <w:tc>
          <w:tcPr>
            <w:tcW w:w="960" w:type="dxa"/>
            <w:vAlign w:val="top"/>
          </w:tcPr>
          <w:p>
            <w:pPr>
              <w:pStyle w:val="88"/>
              <w:spacing w:before="135"/>
              <w:ind w:right="460"/>
              <w:jc w:val="center"/>
            </w:pPr>
            <w:r>
              <w:t>方位</w:t>
            </w:r>
          </w:p>
        </w:tc>
        <w:tc>
          <w:tcPr>
            <w:tcW w:w="3600" w:type="dxa"/>
            <w:vAlign w:val="top"/>
          </w:tcPr>
          <w:p>
            <w:pPr>
              <w:pStyle w:val="88"/>
              <w:spacing w:before="135"/>
              <w:ind w:left="328" w:right="322"/>
              <w:jc w:val="center"/>
            </w:pPr>
            <w:r>
              <w:t>其他设施</w:t>
            </w:r>
          </w:p>
        </w:tc>
        <w:tc>
          <w:tcPr>
            <w:tcW w:w="1005" w:type="dxa"/>
            <w:vAlign w:val="top"/>
          </w:tcPr>
          <w:p>
            <w:pPr>
              <w:pStyle w:val="88"/>
              <w:spacing w:line="268" w:lineRule="exact"/>
              <w:ind w:left="314"/>
              <w:jc w:val="center"/>
            </w:pPr>
            <w:r>
              <w:t>距离</w:t>
            </w:r>
          </w:p>
          <w:p>
            <w:pPr>
              <w:pStyle w:val="88"/>
              <w:spacing w:before="2" w:line="255" w:lineRule="exact"/>
              <w:ind w:left="232"/>
              <w:jc w:val="center"/>
            </w:pPr>
            <w:r>
              <w:t>（</w:t>
            </w:r>
            <w:r>
              <w:rPr>
                <w:rFonts w:ascii="Times New Roman" w:eastAsia="Times New Roman"/>
              </w:rPr>
              <w:t>m</w:t>
            </w:r>
            <w:r>
              <w:t>）</w:t>
            </w:r>
          </w:p>
        </w:tc>
        <w:tc>
          <w:tcPr>
            <w:tcW w:w="1020" w:type="dxa"/>
            <w:vAlign w:val="top"/>
          </w:tcPr>
          <w:p>
            <w:pPr>
              <w:pStyle w:val="88"/>
              <w:spacing w:before="135"/>
              <w:ind w:left="31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restart"/>
            <w:vAlign w:val="top"/>
          </w:tcPr>
          <w:p>
            <w:pPr>
              <w:pStyle w:val="88"/>
              <w:jc w:val="center"/>
              <w:rPr>
                <w:sz w:val="22"/>
              </w:rPr>
            </w:pPr>
          </w:p>
          <w:p>
            <w:pPr>
              <w:pStyle w:val="88"/>
              <w:jc w:val="center"/>
              <w:rPr>
                <w:sz w:val="22"/>
              </w:rPr>
            </w:pPr>
          </w:p>
          <w:p>
            <w:pPr>
              <w:pStyle w:val="88"/>
              <w:spacing w:before="4"/>
              <w:jc w:val="center"/>
              <w:rPr>
                <w:sz w:val="17"/>
              </w:rPr>
            </w:pPr>
          </w:p>
          <w:p>
            <w:pPr>
              <w:pStyle w:val="88"/>
              <w:ind w:right="795"/>
              <w:jc w:val="center"/>
            </w:pPr>
            <w:r>
              <w:rPr>
                <w:rFonts w:ascii="Times New Roman" w:eastAsia="Times New Roman"/>
              </w:rPr>
              <w:t xml:space="preserve">8 </w:t>
            </w:r>
            <w:r>
              <w:t>线</w:t>
            </w:r>
          </w:p>
        </w:tc>
        <w:tc>
          <w:tcPr>
            <w:tcW w:w="960" w:type="dxa"/>
            <w:vMerge w:val="restart"/>
            <w:vAlign w:val="top"/>
          </w:tcPr>
          <w:p>
            <w:pPr>
              <w:pStyle w:val="88"/>
              <w:spacing w:before="2"/>
              <w:jc w:val="center"/>
              <w:rPr>
                <w:sz w:val="25"/>
              </w:rPr>
            </w:pPr>
          </w:p>
          <w:p>
            <w:pPr>
              <w:pStyle w:val="88"/>
              <w:ind w:left="8"/>
              <w:jc w:val="center"/>
            </w:pPr>
            <w:r>
              <w:t>南</w:t>
            </w:r>
          </w:p>
        </w:tc>
        <w:tc>
          <w:tcPr>
            <w:tcW w:w="3600" w:type="dxa"/>
            <w:vAlign w:val="top"/>
          </w:tcPr>
          <w:p>
            <w:pPr>
              <w:pStyle w:val="88"/>
              <w:spacing w:before="89"/>
              <w:ind w:left="326" w:right="322"/>
              <w:jc w:val="center"/>
            </w:pPr>
            <w:r>
              <w:rPr>
                <w:rFonts w:ascii="Times New Roman" w:eastAsia="Times New Roman"/>
              </w:rPr>
              <w:t xml:space="preserve">10 </w:t>
            </w:r>
            <w:r>
              <w:t>线</w:t>
            </w:r>
          </w:p>
        </w:tc>
        <w:tc>
          <w:tcPr>
            <w:tcW w:w="1005" w:type="dxa"/>
            <w:vAlign w:val="top"/>
          </w:tcPr>
          <w:p>
            <w:pPr>
              <w:pStyle w:val="88"/>
              <w:spacing w:before="84"/>
              <w:ind w:left="267" w:right="268"/>
              <w:jc w:val="center"/>
              <w:rPr>
                <w:rFonts w:ascii="Times New Roman"/>
              </w:rPr>
            </w:pPr>
            <w:r>
              <w:rPr>
                <w:rFonts w:ascii="Times New Roman"/>
              </w:rPr>
              <w:t>20</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1530" w:type="dxa"/>
            <w:vMerge w:val="continue"/>
            <w:tcBorders>
              <w:top w:val="nil"/>
            </w:tcBorders>
            <w:vAlign w:val="top"/>
          </w:tcPr>
          <w:p>
            <w:pPr>
              <w:jc w:val="center"/>
              <w:rPr>
                <w:sz w:val="2"/>
                <w:szCs w:val="2"/>
              </w:rPr>
            </w:pPr>
          </w:p>
        </w:tc>
        <w:tc>
          <w:tcPr>
            <w:tcW w:w="960" w:type="dxa"/>
            <w:vMerge w:val="continue"/>
            <w:tcBorders>
              <w:top w:val="nil"/>
            </w:tcBorders>
            <w:vAlign w:val="top"/>
          </w:tcPr>
          <w:p>
            <w:pPr>
              <w:jc w:val="center"/>
              <w:rPr>
                <w:sz w:val="2"/>
                <w:szCs w:val="2"/>
              </w:rPr>
            </w:pPr>
          </w:p>
        </w:tc>
        <w:tc>
          <w:tcPr>
            <w:tcW w:w="3600" w:type="dxa"/>
            <w:vAlign w:val="top"/>
          </w:tcPr>
          <w:p>
            <w:pPr>
              <w:pStyle w:val="88"/>
              <w:spacing w:before="89"/>
              <w:ind w:left="328" w:right="322"/>
              <w:jc w:val="center"/>
            </w:pPr>
            <w:r>
              <w:t>消防车道</w:t>
            </w:r>
          </w:p>
        </w:tc>
        <w:tc>
          <w:tcPr>
            <w:tcW w:w="1005" w:type="dxa"/>
            <w:vAlign w:val="top"/>
          </w:tcPr>
          <w:p>
            <w:pPr>
              <w:pStyle w:val="88"/>
              <w:spacing w:before="87"/>
              <w:ind w:left="269" w:right="268"/>
              <w:jc w:val="center"/>
              <w:rPr>
                <w:rFonts w:ascii="Times New Roman"/>
              </w:rPr>
            </w:pPr>
            <w:r>
              <w:rPr>
                <w:rFonts w:ascii="Times New Roman"/>
              </w:rPr>
              <w:t>32.8</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continue"/>
            <w:tcBorders>
              <w:top w:val="nil"/>
            </w:tcBorders>
            <w:vAlign w:val="top"/>
          </w:tcPr>
          <w:p>
            <w:pPr>
              <w:jc w:val="center"/>
              <w:rPr>
                <w:sz w:val="2"/>
                <w:szCs w:val="2"/>
              </w:rPr>
            </w:pPr>
          </w:p>
        </w:tc>
        <w:tc>
          <w:tcPr>
            <w:tcW w:w="960" w:type="dxa"/>
            <w:vMerge w:val="restart"/>
            <w:vAlign w:val="top"/>
          </w:tcPr>
          <w:p>
            <w:pPr>
              <w:pStyle w:val="88"/>
              <w:spacing w:before="12"/>
              <w:jc w:val="center"/>
              <w:rPr>
                <w:sz w:val="24"/>
              </w:rPr>
            </w:pPr>
          </w:p>
          <w:p>
            <w:pPr>
              <w:pStyle w:val="88"/>
              <w:ind w:left="8"/>
              <w:jc w:val="center"/>
            </w:pPr>
            <w:r>
              <w:t>北</w:t>
            </w:r>
          </w:p>
        </w:tc>
        <w:tc>
          <w:tcPr>
            <w:tcW w:w="3600" w:type="dxa"/>
            <w:vAlign w:val="top"/>
          </w:tcPr>
          <w:p>
            <w:pPr>
              <w:pStyle w:val="88"/>
              <w:spacing w:before="89"/>
              <w:ind w:left="325" w:right="322"/>
              <w:jc w:val="center"/>
            </w:pPr>
            <w:r>
              <w:t>围墙</w:t>
            </w:r>
          </w:p>
        </w:tc>
        <w:tc>
          <w:tcPr>
            <w:tcW w:w="1005" w:type="dxa"/>
            <w:vAlign w:val="top"/>
          </w:tcPr>
          <w:p>
            <w:pPr>
              <w:pStyle w:val="88"/>
              <w:spacing w:before="84"/>
              <w:ind w:left="269" w:right="268"/>
              <w:jc w:val="center"/>
              <w:rPr>
                <w:rFonts w:ascii="Times New Roman"/>
              </w:rPr>
            </w:pPr>
            <w:r>
              <w:rPr>
                <w:rFonts w:ascii="Times New Roman"/>
              </w:rPr>
              <w:t>33.3</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continue"/>
            <w:tcBorders>
              <w:top w:val="nil"/>
            </w:tcBorders>
            <w:vAlign w:val="top"/>
          </w:tcPr>
          <w:p>
            <w:pPr>
              <w:jc w:val="center"/>
              <w:rPr>
                <w:sz w:val="2"/>
                <w:szCs w:val="2"/>
              </w:rPr>
            </w:pPr>
          </w:p>
        </w:tc>
        <w:tc>
          <w:tcPr>
            <w:tcW w:w="960" w:type="dxa"/>
            <w:vMerge w:val="continue"/>
            <w:tcBorders>
              <w:top w:val="nil"/>
            </w:tcBorders>
            <w:vAlign w:val="top"/>
          </w:tcPr>
          <w:p>
            <w:pPr>
              <w:jc w:val="center"/>
              <w:rPr>
                <w:sz w:val="2"/>
                <w:szCs w:val="2"/>
              </w:rPr>
            </w:pPr>
          </w:p>
        </w:tc>
        <w:tc>
          <w:tcPr>
            <w:tcW w:w="3600" w:type="dxa"/>
            <w:vAlign w:val="top"/>
          </w:tcPr>
          <w:p>
            <w:pPr>
              <w:pStyle w:val="88"/>
              <w:spacing w:before="89"/>
              <w:ind w:left="325" w:right="322"/>
              <w:jc w:val="center"/>
            </w:pPr>
            <w:r>
              <w:t>走行线</w:t>
            </w:r>
          </w:p>
        </w:tc>
        <w:tc>
          <w:tcPr>
            <w:tcW w:w="1005" w:type="dxa"/>
            <w:vAlign w:val="top"/>
          </w:tcPr>
          <w:p>
            <w:pPr>
              <w:pStyle w:val="88"/>
              <w:spacing w:before="84"/>
              <w:ind w:left="269" w:right="268"/>
              <w:jc w:val="center"/>
              <w:rPr>
                <w:rFonts w:ascii="Times New Roman"/>
              </w:rPr>
            </w:pPr>
            <w:r>
              <w:rPr>
                <w:rFonts w:ascii="Times New Roman"/>
              </w:rPr>
              <w:t>22.5</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1530" w:type="dxa"/>
            <w:vMerge w:val="restart"/>
            <w:vAlign w:val="top"/>
          </w:tcPr>
          <w:p>
            <w:pPr>
              <w:pStyle w:val="88"/>
              <w:jc w:val="center"/>
              <w:rPr>
                <w:sz w:val="22"/>
              </w:rPr>
            </w:pPr>
          </w:p>
          <w:p>
            <w:pPr>
              <w:pStyle w:val="88"/>
              <w:spacing w:before="4"/>
              <w:jc w:val="center"/>
            </w:pPr>
          </w:p>
          <w:p>
            <w:pPr>
              <w:pStyle w:val="88"/>
              <w:spacing w:before="1"/>
              <w:ind w:right="795"/>
              <w:jc w:val="center"/>
            </w:pPr>
            <w:r>
              <w:rPr>
                <w:rFonts w:ascii="Times New Roman" w:eastAsia="Times New Roman"/>
              </w:rPr>
              <w:t xml:space="preserve">10 </w:t>
            </w:r>
            <w:r>
              <w:t>线</w:t>
            </w:r>
          </w:p>
        </w:tc>
        <w:tc>
          <w:tcPr>
            <w:tcW w:w="960" w:type="dxa"/>
            <w:vMerge w:val="restart"/>
            <w:vAlign w:val="top"/>
          </w:tcPr>
          <w:p>
            <w:pPr>
              <w:pStyle w:val="88"/>
              <w:jc w:val="center"/>
              <w:rPr>
                <w:sz w:val="20"/>
              </w:rPr>
            </w:pPr>
          </w:p>
          <w:p>
            <w:pPr>
              <w:pStyle w:val="88"/>
              <w:spacing w:before="4"/>
              <w:jc w:val="center"/>
              <w:rPr>
                <w:sz w:val="23"/>
              </w:rPr>
            </w:pPr>
          </w:p>
          <w:p>
            <w:pPr>
              <w:pStyle w:val="88"/>
              <w:spacing w:before="1"/>
              <w:ind w:left="8"/>
              <w:jc w:val="center"/>
            </w:pPr>
            <w:r>
              <w:t>南</w:t>
            </w:r>
          </w:p>
        </w:tc>
        <w:tc>
          <w:tcPr>
            <w:tcW w:w="3600" w:type="dxa"/>
            <w:vAlign w:val="top"/>
          </w:tcPr>
          <w:p>
            <w:pPr>
              <w:pStyle w:val="88"/>
              <w:spacing w:before="90"/>
              <w:ind w:left="325" w:right="322"/>
              <w:jc w:val="center"/>
            </w:pPr>
            <w:r>
              <w:t>围墙</w:t>
            </w:r>
          </w:p>
        </w:tc>
        <w:tc>
          <w:tcPr>
            <w:tcW w:w="1005" w:type="dxa"/>
            <w:vAlign w:val="top"/>
          </w:tcPr>
          <w:p>
            <w:pPr>
              <w:pStyle w:val="88"/>
              <w:spacing w:before="87"/>
              <w:ind w:left="267" w:right="268"/>
              <w:jc w:val="center"/>
              <w:rPr>
                <w:rFonts w:ascii="Times New Roman"/>
              </w:rPr>
            </w:pPr>
            <w:r>
              <w:rPr>
                <w:rFonts w:ascii="Times New Roman"/>
              </w:rPr>
              <w:t>30</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continue"/>
            <w:tcBorders>
              <w:top w:val="nil"/>
            </w:tcBorders>
            <w:vAlign w:val="top"/>
          </w:tcPr>
          <w:p>
            <w:pPr>
              <w:jc w:val="center"/>
              <w:rPr>
                <w:sz w:val="2"/>
                <w:szCs w:val="2"/>
              </w:rPr>
            </w:pPr>
          </w:p>
        </w:tc>
        <w:tc>
          <w:tcPr>
            <w:tcW w:w="960" w:type="dxa"/>
            <w:vMerge w:val="continue"/>
            <w:tcBorders>
              <w:top w:val="nil"/>
            </w:tcBorders>
            <w:vAlign w:val="top"/>
          </w:tcPr>
          <w:p>
            <w:pPr>
              <w:jc w:val="center"/>
              <w:rPr>
                <w:sz w:val="2"/>
                <w:szCs w:val="2"/>
              </w:rPr>
            </w:pPr>
          </w:p>
        </w:tc>
        <w:tc>
          <w:tcPr>
            <w:tcW w:w="3600" w:type="dxa"/>
            <w:vAlign w:val="top"/>
          </w:tcPr>
          <w:p>
            <w:pPr>
              <w:pStyle w:val="88"/>
              <w:spacing w:before="90"/>
              <w:ind w:left="328" w:right="322"/>
              <w:jc w:val="center"/>
            </w:pPr>
            <w:r>
              <w:t>消防车道</w:t>
            </w:r>
          </w:p>
        </w:tc>
        <w:tc>
          <w:tcPr>
            <w:tcW w:w="1005" w:type="dxa"/>
            <w:vAlign w:val="top"/>
          </w:tcPr>
          <w:p>
            <w:pPr>
              <w:pStyle w:val="88"/>
              <w:spacing w:before="85"/>
              <w:ind w:left="269" w:right="268"/>
              <w:jc w:val="center"/>
              <w:rPr>
                <w:rFonts w:ascii="Times New Roman"/>
              </w:rPr>
            </w:pPr>
            <w:r>
              <w:rPr>
                <w:rFonts w:ascii="Times New Roman"/>
              </w:rPr>
              <w:t>12.8</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continue"/>
            <w:tcBorders>
              <w:top w:val="nil"/>
            </w:tcBorders>
            <w:vAlign w:val="top"/>
          </w:tcPr>
          <w:p>
            <w:pPr>
              <w:jc w:val="center"/>
              <w:rPr>
                <w:sz w:val="2"/>
                <w:szCs w:val="2"/>
              </w:rPr>
            </w:pPr>
          </w:p>
        </w:tc>
        <w:tc>
          <w:tcPr>
            <w:tcW w:w="960" w:type="dxa"/>
            <w:vMerge w:val="continue"/>
            <w:tcBorders>
              <w:top w:val="nil"/>
            </w:tcBorders>
            <w:vAlign w:val="top"/>
          </w:tcPr>
          <w:p>
            <w:pPr>
              <w:jc w:val="center"/>
              <w:rPr>
                <w:sz w:val="2"/>
                <w:szCs w:val="2"/>
              </w:rPr>
            </w:pPr>
          </w:p>
        </w:tc>
        <w:tc>
          <w:tcPr>
            <w:tcW w:w="3600" w:type="dxa"/>
            <w:vAlign w:val="top"/>
          </w:tcPr>
          <w:p>
            <w:pPr>
              <w:pStyle w:val="88"/>
              <w:spacing w:before="89"/>
              <w:ind w:left="325" w:right="322"/>
              <w:jc w:val="center"/>
            </w:pPr>
            <w:r>
              <w:t>扫仓罐</w:t>
            </w:r>
          </w:p>
        </w:tc>
        <w:tc>
          <w:tcPr>
            <w:tcW w:w="1005" w:type="dxa"/>
            <w:vAlign w:val="top"/>
          </w:tcPr>
          <w:p>
            <w:pPr>
              <w:pStyle w:val="88"/>
              <w:spacing w:before="84"/>
              <w:ind w:left="269" w:right="268"/>
              <w:jc w:val="center"/>
              <w:rPr>
                <w:rFonts w:ascii="Times New Roman"/>
              </w:rPr>
            </w:pPr>
            <w:r>
              <w:rPr>
                <w:rFonts w:ascii="Times New Roman"/>
              </w:rPr>
              <w:t>20.4</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1530" w:type="dxa"/>
            <w:vMerge w:val="restart"/>
            <w:vAlign w:val="top"/>
          </w:tcPr>
          <w:p>
            <w:pPr>
              <w:pStyle w:val="88"/>
              <w:spacing w:before="2"/>
              <w:jc w:val="center"/>
              <w:rPr>
                <w:sz w:val="25"/>
              </w:rPr>
            </w:pPr>
          </w:p>
          <w:p>
            <w:pPr>
              <w:pStyle w:val="88"/>
              <w:jc w:val="center"/>
            </w:pPr>
            <w:r>
              <w:rPr>
                <w:rFonts w:ascii="Times New Roman" w:eastAsia="Times New Roman"/>
              </w:rPr>
              <w:t xml:space="preserve">8 </w:t>
            </w:r>
            <w:r>
              <w:t>线装卸栈桥</w:t>
            </w:r>
          </w:p>
        </w:tc>
        <w:tc>
          <w:tcPr>
            <w:tcW w:w="960" w:type="dxa"/>
            <w:vMerge w:val="restart"/>
            <w:vAlign w:val="top"/>
          </w:tcPr>
          <w:p>
            <w:pPr>
              <w:pStyle w:val="88"/>
              <w:spacing w:before="2"/>
              <w:jc w:val="center"/>
              <w:rPr>
                <w:sz w:val="25"/>
              </w:rPr>
            </w:pPr>
          </w:p>
          <w:p>
            <w:pPr>
              <w:pStyle w:val="88"/>
              <w:ind w:left="8"/>
              <w:jc w:val="center"/>
            </w:pPr>
            <w:r>
              <w:t>南</w:t>
            </w:r>
          </w:p>
        </w:tc>
        <w:tc>
          <w:tcPr>
            <w:tcW w:w="3600" w:type="dxa"/>
            <w:vAlign w:val="top"/>
          </w:tcPr>
          <w:p>
            <w:pPr>
              <w:pStyle w:val="88"/>
              <w:spacing w:before="89"/>
              <w:ind w:left="328" w:right="322"/>
              <w:jc w:val="center"/>
            </w:pPr>
            <w:r>
              <w:t>消防车道</w:t>
            </w:r>
          </w:p>
        </w:tc>
        <w:tc>
          <w:tcPr>
            <w:tcW w:w="1005" w:type="dxa"/>
            <w:vAlign w:val="top"/>
          </w:tcPr>
          <w:p>
            <w:pPr>
              <w:pStyle w:val="88"/>
              <w:spacing w:before="87"/>
              <w:ind w:left="269" w:right="268"/>
              <w:jc w:val="center"/>
              <w:rPr>
                <w:rFonts w:ascii="Times New Roman"/>
              </w:rPr>
            </w:pPr>
            <w:r>
              <w:rPr>
                <w:rFonts w:ascii="Times New Roman"/>
              </w:rPr>
              <w:t>35.2</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continue"/>
            <w:tcBorders>
              <w:top w:val="nil"/>
            </w:tcBorders>
            <w:vAlign w:val="top"/>
          </w:tcPr>
          <w:p>
            <w:pPr>
              <w:jc w:val="center"/>
              <w:rPr>
                <w:sz w:val="2"/>
                <w:szCs w:val="2"/>
              </w:rPr>
            </w:pPr>
          </w:p>
        </w:tc>
        <w:tc>
          <w:tcPr>
            <w:tcW w:w="960" w:type="dxa"/>
            <w:vMerge w:val="continue"/>
            <w:tcBorders>
              <w:top w:val="nil"/>
            </w:tcBorders>
            <w:vAlign w:val="top"/>
          </w:tcPr>
          <w:p>
            <w:pPr>
              <w:jc w:val="center"/>
              <w:rPr>
                <w:sz w:val="2"/>
                <w:szCs w:val="2"/>
              </w:rPr>
            </w:pPr>
          </w:p>
        </w:tc>
        <w:tc>
          <w:tcPr>
            <w:tcW w:w="3600" w:type="dxa"/>
            <w:vAlign w:val="top"/>
          </w:tcPr>
          <w:p>
            <w:pPr>
              <w:pStyle w:val="88"/>
              <w:spacing w:before="89"/>
              <w:ind w:left="326" w:right="322"/>
              <w:jc w:val="center"/>
            </w:pPr>
            <w:r>
              <w:rPr>
                <w:rFonts w:ascii="Times New Roman" w:eastAsia="Times New Roman"/>
              </w:rPr>
              <w:t xml:space="preserve">8 </w:t>
            </w:r>
            <w:r>
              <w:t>线</w:t>
            </w:r>
          </w:p>
        </w:tc>
        <w:tc>
          <w:tcPr>
            <w:tcW w:w="1005" w:type="dxa"/>
            <w:vAlign w:val="top"/>
          </w:tcPr>
          <w:p>
            <w:pPr>
              <w:pStyle w:val="88"/>
              <w:spacing w:before="84"/>
              <w:ind w:left="269" w:right="268"/>
              <w:jc w:val="center"/>
              <w:rPr>
                <w:rFonts w:ascii="Times New Roman"/>
              </w:rPr>
            </w:pPr>
            <w:r>
              <w:rPr>
                <w:rFonts w:ascii="Times New Roman"/>
              </w:rPr>
              <w:t>2.5</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restart"/>
            <w:vAlign w:val="top"/>
          </w:tcPr>
          <w:p>
            <w:pPr>
              <w:pStyle w:val="88"/>
              <w:spacing w:before="2"/>
              <w:jc w:val="center"/>
              <w:rPr>
                <w:sz w:val="25"/>
              </w:rPr>
            </w:pPr>
          </w:p>
          <w:p>
            <w:pPr>
              <w:pStyle w:val="88"/>
              <w:jc w:val="center"/>
            </w:pPr>
            <w:r>
              <w:rPr>
                <w:rFonts w:ascii="Times New Roman" w:eastAsia="Times New Roman"/>
              </w:rPr>
              <w:t xml:space="preserve">10 </w:t>
            </w:r>
            <w:r>
              <w:t>线装卸栈桥</w:t>
            </w:r>
          </w:p>
        </w:tc>
        <w:tc>
          <w:tcPr>
            <w:tcW w:w="960" w:type="dxa"/>
            <w:vAlign w:val="top"/>
          </w:tcPr>
          <w:p>
            <w:pPr>
              <w:pStyle w:val="88"/>
              <w:spacing w:before="90"/>
              <w:ind w:left="8"/>
              <w:jc w:val="center"/>
            </w:pPr>
            <w:r>
              <w:t>南</w:t>
            </w:r>
          </w:p>
        </w:tc>
        <w:tc>
          <w:tcPr>
            <w:tcW w:w="3600" w:type="dxa"/>
            <w:vAlign w:val="top"/>
          </w:tcPr>
          <w:p>
            <w:pPr>
              <w:pStyle w:val="88"/>
              <w:spacing w:before="90"/>
              <w:ind w:left="328" w:right="322"/>
              <w:jc w:val="center"/>
            </w:pPr>
            <w:r>
              <w:t>消防车道</w:t>
            </w:r>
          </w:p>
        </w:tc>
        <w:tc>
          <w:tcPr>
            <w:tcW w:w="1005" w:type="dxa"/>
            <w:vAlign w:val="top"/>
          </w:tcPr>
          <w:p>
            <w:pPr>
              <w:pStyle w:val="88"/>
              <w:spacing w:before="84"/>
              <w:ind w:left="269" w:right="268"/>
              <w:jc w:val="center"/>
              <w:rPr>
                <w:rFonts w:ascii="Times New Roman"/>
              </w:rPr>
            </w:pPr>
            <w:r>
              <w:rPr>
                <w:rFonts w:ascii="Times New Roman"/>
              </w:rPr>
              <w:t>19.5</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1530" w:type="dxa"/>
            <w:vMerge w:val="continue"/>
            <w:tcBorders>
              <w:top w:val="nil"/>
            </w:tcBorders>
            <w:vAlign w:val="top"/>
          </w:tcPr>
          <w:p>
            <w:pPr>
              <w:jc w:val="center"/>
              <w:rPr>
                <w:sz w:val="2"/>
                <w:szCs w:val="2"/>
              </w:rPr>
            </w:pPr>
          </w:p>
        </w:tc>
        <w:tc>
          <w:tcPr>
            <w:tcW w:w="960" w:type="dxa"/>
            <w:vAlign w:val="top"/>
          </w:tcPr>
          <w:p>
            <w:pPr>
              <w:pStyle w:val="88"/>
              <w:spacing w:before="89"/>
              <w:ind w:left="8"/>
              <w:jc w:val="center"/>
            </w:pPr>
            <w:r>
              <w:t>北</w:t>
            </w:r>
          </w:p>
        </w:tc>
        <w:tc>
          <w:tcPr>
            <w:tcW w:w="3600" w:type="dxa"/>
            <w:vAlign w:val="top"/>
          </w:tcPr>
          <w:p>
            <w:pPr>
              <w:pStyle w:val="88"/>
              <w:spacing w:before="89"/>
              <w:ind w:left="326" w:right="322"/>
              <w:jc w:val="center"/>
            </w:pPr>
            <w:r>
              <w:rPr>
                <w:rFonts w:ascii="Times New Roman" w:eastAsia="Times New Roman"/>
              </w:rPr>
              <w:t xml:space="preserve">10 </w:t>
            </w:r>
            <w:r>
              <w:t>线</w:t>
            </w:r>
          </w:p>
        </w:tc>
        <w:tc>
          <w:tcPr>
            <w:tcW w:w="1005" w:type="dxa"/>
            <w:vAlign w:val="top"/>
          </w:tcPr>
          <w:p>
            <w:pPr>
              <w:pStyle w:val="88"/>
              <w:spacing w:before="87"/>
              <w:ind w:left="269" w:right="268"/>
              <w:jc w:val="center"/>
              <w:rPr>
                <w:rFonts w:ascii="Times New Roman"/>
              </w:rPr>
            </w:pPr>
            <w:r>
              <w:rPr>
                <w:rFonts w:ascii="Times New Roman"/>
              </w:rPr>
              <w:t>2.5</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restart"/>
            <w:vAlign w:val="top"/>
          </w:tcPr>
          <w:p>
            <w:pPr>
              <w:pStyle w:val="88"/>
              <w:spacing w:before="12"/>
              <w:jc w:val="center"/>
              <w:rPr>
                <w:sz w:val="24"/>
              </w:rPr>
            </w:pPr>
          </w:p>
          <w:p>
            <w:pPr>
              <w:pStyle w:val="88"/>
              <w:jc w:val="center"/>
            </w:pPr>
            <w:r>
              <w:rPr>
                <w:rFonts w:ascii="Times New Roman" w:eastAsia="Times New Roman"/>
              </w:rPr>
              <w:t xml:space="preserve">8 </w:t>
            </w:r>
            <w:r>
              <w:t>线鹤管</w:t>
            </w:r>
          </w:p>
        </w:tc>
        <w:tc>
          <w:tcPr>
            <w:tcW w:w="960" w:type="dxa"/>
            <w:vMerge w:val="restart"/>
            <w:vAlign w:val="top"/>
          </w:tcPr>
          <w:p>
            <w:pPr>
              <w:pStyle w:val="88"/>
              <w:spacing w:before="12"/>
              <w:jc w:val="center"/>
              <w:rPr>
                <w:sz w:val="24"/>
              </w:rPr>
            </w:pPr>
          </w:p>
          <w:p>
            <w:pPr>
              <w:pStyle w:val="88"/>
              <w:ind w:left="8"/>
              <w:jc w:val="center"/>
            </w:pPr>
            <w:r>
              <w:t>东</w:t>
            </w:r>
          </w:p>
        </w:tc>
        <w:tc>
          <w:tcPr>
            <w:tcW w:w="3600" w:type="dxa"/>
            <w:vAlign w:val="top"/>
          </w:tcPr>
          <w:p>
            <w:pPr>
              <w:pStyle w:val="88"/>
              <w:spacing w:before="90"/>
              <w:ind w:left="328" w:right="322"/>
              <w:jc w:val="center"/>
            </w:pPr>
            <w:r>
              <w:t>直线段始端</w:t>
            </w:r>
          </w:p>
        </w:tc>
        <w:tc>
          <w:tcPr>
            <w:tcW w:w="1005" w:type="dxa"/>
            <w:vAlign w:val="top"/>
          </w:tcPr>
          <w:p>
            <w:pPr>
              <w:pStyle w:val="88"/>
              <w:spacing w:before="84"/>
              <w:ind w:left="269" w:right="268"/>
              <w:jc w:val="center"/>
              <w:rPr>
                <w:rFonts w:ascii="Times New Roman"/>
              </w:rPr>
            </w:pPr>
            <w:r>
              <w:rPr>
                <w:rFonts w:ascii="Times New Roman"/>
              </w:rPr>
              <w:t>142.5</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continue"/>
            <w:tcBorders>
              <w:top w:val="nil"/>
            </w:tcBorders>
            <w:vAlign w:val="top"/>
          </w:tcPr>
          <w:p>
            <w:pPr>
              <w:jc w:val="center"/>
              <w:rPr>
                <w:sz w:val="2"/>
                <w:szCs w:val="2"/>
              </w:rPr>
            </w:pPr>
          </w:p>
        </w:tc>
        <w:tc>
          <w:tcPr>
            <w:tcW w:w="960" w:type="dxa"/>
            <w:vMerge w:val="continue"/>
            <w:tcBorders>
              <w:top w:val="nil"/>
            </w:tcBorders>
            <w:vAlign w:val="top"/>
          </w:tcPr>
          <w:p>
            <w:pPr>
              <w:jc w:val="center"/>
              <w:rPr>
                <w:sz w:val="2"/>
                <w:szCs w:val="2"/>
              </w:rPr>
            </w:pPr>
          </w:p>
        </w:tc>
        <w:tc>
          <w:tcPr>
            <w:tcW w:w="3600" w:type="dxa"/>
            <w:vAlign w:val="top"/>
          </w:tcPr>
          <w:p>
            <w:pPr>
              <w:pStyle w:val="88"/>
              <w:spacing w:before="89"/>
              <w:ind w:left="328" w:right="322"/>
              <w:jc w:val="center"/>
            </w:pPr>
            <w:r>
              <w:t>装卸区大门</w:t>
            </w:r>
          </w:p>
        </w:tc>
        <w:tc>
          <w:tcPr>
            <w:tcW w:w="1005" w:type="dxa"/>
            <w:vAlign w:val="top"/>
          </w:tcPr>
          <w:p>
            <w:pPr>
              <w:pStyle w:val="88"/>
              <w:spacing w:before="84"/>
              <w:ind w:left="269" w:right="268"/>
              <w:jc w:val="center"/>
              <w:rPr>
                <w:rFonts w:ascii="Times New Roman"/>
              </w:rPr>
            </w:pPr>
            <w:r>
              <w:rPr>
                <w:rFonts w:ascii="Times New Roman"/>
              </w:rPr>
              <w:t>77.6</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atLeast"/>
        </w:trPr>
        <w:tc>
          <w:tcPr>
            <w:tcW w:w="1530" w:type="dxa"/>
            <w:vMerge w:val="restart"/>
            <w:vAlign w:val="top"/>
          </w:tcPr>
          <w:p>
            <w:pPr>
              <w:pStyle w:val="88"/>
              <w:spacing w:before="2"/>
              <w:jc w:val="center"/>
              <w:rPr>
                <w:sz w:val="25"/>
              </w:rPr>
            </w:pPr>
          </w:p>
          <w:p>
            <w:pPr>
              <w:pStyle w:val="88"/>
              <w:spacing w:before="1"/>
              <w:jc w:val="center"/>
            </w:pPr>
            <w:r>
              <w:rPr>
                <w:rFonts w:ascii="Times New Roman" w:eastAsia="Times New Roman"/>
              </w:rPr>
              <w:t xml:space="preserve">10 </w:t>
            </w:r>
            <w:r>
              <w:t>线鹤管</w:t>
            </w:r>
          </w:p>
        </w:tc>
        <w:tc>
          <w:tcPr>
            <w:tcW w:w="960" w:type="dxa"/>
            <w:vMerge w:val="restart"/>
            <w:vAlign w:val="top"/>
          </w:tcPr>
          <w:p>
            <w:pPr>
              <w:pStyle w:val="88"/>
              <w:spacing w:before="2"/>
              <w:jc w:val="center"/>
              <w:rPr>
                <w:sz w:val="25"/>
              </w:rPr>
            </w:pPr>
          </w:p>
          <w:p>
            <w:pPr>
              <w:pStyle w:val="88"/>
              <w:spacing w:before="1"/>
              <w:ind w:left="8"/>
              <w:jc w:val="center"/>
            </w:pPr>
            <w:r>
              <w:t>东</w:t>
            </w:r>
          </w:p>
        </w:tc>
        <w:tc>
          <w:tcPr>
            <w:tcW w:w="3600" w:type="dxa"/>
            <w:vAlign w:val="top"/>
          </w:tcPr>
          <w:p>
            <w:pPr>
              <w:pStyle w:val="88"/>
              <w:spacing w:before="90"/>
              <w:ind w:left="328" w:right="322"/>
              <w:jc w:val="center"/>
            </w:pPr>
            <w:r>
              <w:t>直线段始端</w:t>
            </w:r>
          </w:p>
        </w:tc>
        <w:tc>
          <w:tcPr>
            <w:tcW w:w="1005" w:type="dxa"/>
            <w:vAlign w:val="top"/>
          </w:tcPr>
          <w:p>
            <w:pPr>
              <w:pStyle w:val="88"/>
              <w:spacing w:before="87"/>
              <w:ind w:left="267" w:right="268"/>
              <w:jc w:val="center"/>
              <w:rPr>
                <w:rFonts w:ascii="Times New Roman"/>
              </w:rPr>
            </w:pPr>
            <w:r>
              <w:rPr>
                <w:rFonts w:ascii="Times New Roman"/>
              </w:rPr>
              <w:t>23</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continue"/>
            <w:tcBorders>
              <w:top w:val="nil"/>
            </w:tcBorders>
            <w:vAlign w:val="top"/>
          </w:tcPr>
          <w:p>
            <w:pPr>
              <w:jc w:val="center"/>
              <w:rPr>
                <w:sz w:val="2"/>
                <w:szCs w:val="2"/>
              </w:rPr>
            </w:pPr>
          </w:p>
        </w:tc>
        <w:tc>
          <w:tcPr>
            <w:tcW w:w="960" w:type="dxa"/>
            <w:vMerge w:val="continue"/>
            <w:tcBorders>
              <w:top w:val="nil"/>
            </w:tcBorders>
            <w:vAlign w:val="top"/>
          </w:tcPr>
          <w:p>
            <w:pPr>
              <w:jc w:val="center"/>
              <w:rPr>
                <w:sz w:val="2"/>
                <w:szCs w:val="2"/>
              </w:rPr>
            </w:pPr>
          </w:p>
        </w:tc>
        <w:tc>
          <w:tcPr>
            <w:tcW w:w="3600" w:type="dxa"/>
            <w:vAlign w:val="top"/>
          </w:tcPr>
          <w:p>
            <w:pPr>
              <w:pStyle w:val="88"/>
              <w:spacing w:before="89"/>
              <w:ind w:left="328" w:right="322"/>
              <w:jc w:val="center"/>
            </w:pPr>
            <w:r>
              <w:t>装卸区大门</w:t>
            </w:r>
          </w:p>
        </w:tc>
        <w:tc>
          <w:tcPr>
            <w:tcW w:w="1005" w:type="dxa"/>
            <w:vAlign w:val="top"/>
          </w:tcPr>
          <w:p>
            <w:pPr>
              <w:pStyle w:val="88"/>
              <w:spacing w:before="84"/>
              <w:ind w:left="267" w:right="268"/>
              <w:jc w:val="center"/>
              <w:rPr>
                <w:rFonts w:ascii="Times New Roman"/>
              </w:rPr>
            </w:pPr>
            <w:r>
              <w:rPr>
                <w:rFonts w:ascii="Times New Roman"/>
              </w:rPr>
              <w:t>35</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restart"/>
            <w:vAlign w:val="top"/>
          </w:tcPr>
          <w:p>
            <w:pPr>
              <w:pStyle w:val="88"/>
              <w:jc w:val="center"/>
              <w:rPr>
                <w:sz w:val="20"/>
              </w:rPr>
            </w:pPr>
          </w:p>
          <w:p>
            <w:pPr>
              <w:pStyle w:val="88"/>
              <w:spacing w:before="2"/>
              <w:jc w:val="center"/>
              <w:rPr>
                <w:sz w:val="23"/>
              </w:rPr>
            </w:pPr>
          </w:p>
          <w:p>
            <w:pPr>
              <w:pStyle w:val="88"/>
              <w:jc w:val="center"/>
            </w:pPr>
            <w:r>
              <w:t>对二甲苯缓冲罐</w:t>
            </w:r>
          </w:p>
        </w:tc>
        <w:tc>
          <w:tcPr>
            <w:tcW w:w="960" w:type="dxa"/>
            <w:vMerge w:val="restart"/>
            <w:vAlign w:val="top"/>
          </w:tcPr>
          <w:p>
            <w:pPr>
              <w:pStyle w:val="88"/>
              <w:spacing w:before="2"/>
              <w:jc w:val="center"/>
              <w:rPr>
                <w:sz w:val="25"/>
              </w:rPr>
            </w:pPr>
          </w:p>
          <w:p>
            <w:pPr>
              <w:pStyle w:val="88"/>
              <w:ind w:left="8"/>
              <w:jc w:val="center"/>
            </w:pPr>
            <w:r>
              <w:t>南</w:t>
            </w:r>
          </w:p>
        </w:tc>
        <w:tc>
          <w:tcPr>
            <w:tcW w:w="3600" w:type="dxa"/>
            <w:vAlign w:val="top"/>
          </w:tcPr>
          <w:p>
            <w:pPr>
              <w:pStyle w:val="88"/>
              <w:spacing w:before="90"/>
              <w:ind w:left="328" w:right="322"/>
              <w:jc w:val="center"/>
            </w:pPr>
            <w:r>
              <w:t>厂内道路</w:t>
            </w:r>
          </w:p>
        </w:tc>
        <w:tc>
          <w:tcPr>
            <w:tcW w:w="1005" w:type="dxa"/>
            <w:vAlign w:val="top"/>
          </w:tcPr>
          <w:p>
            <w:pPr>
              <w:pStyle w:val="88"/>
              <w:spacing w:before="84"/>
              <w:ind w:left="269" w:right="268"/>
              <w:jc w:val="center"/>
              <w:rPr>
                <w:rFonts w:ascii="Times New Roman"/>
              </w:rPr>
            </w:pPr>
            <w:r>
              <w:rPr>
                <w:rFonts w:ascii="Times New Roman"/>
              </w:rPr>
              <w:t>24.3</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1530" w:type="dxa"/>
            <w:vMerge w:val="continue"/>
            <w:tcBorders>
              <w:top w:val="nil"/>
            </w:tcBorders>
            <w:vAlign w:val="top"/>
          </w:tcPr>
          <w:p>
            <w:pPr>
              <w:jc w:val="center"/>
              <w:rPr>
                <w:sz w:val="2"/>
                <w:szCs w:val="2"/>
              </w:rPr>
            </w:pPr>
          </w:p>
        </w:tc>
        <w:tc>
          <w:tcPr>
            <w:tcW w:w="960" w:type="dxa"/>
            <w:vMerge w:val="continue"/>
            <w:tcBorders>
              <w:top w:val="nil"/>
            </w:tcBorders>
            <w:vAlign w:val="top"/>
          </w:tcPr>
          <w:p>
            <w:pPr>
              <w:jc w:val="center"/>
              <w:rPr>
                <w:sz w:val="2"/>
                <w:szCs w:val="2"/>
              </w:rPr>
            </w:pPr>
          </w:p>
        </w:tc>
        <w:tc>
          <w:tcPr>
            <w:tcW w:w="3600" w:type="dxa"/>
            <w:vAlign w:val="top"/>
          </w:tcPr>
          <w:p>
            <w:pPr>
              <w:pStyle w:val="88"/>
              <w:spacing w:before="89"/>
              <w:ind w:left="328" w:right="322"/>
              <w:jc w:val="center"/>
            </w:pPr>
            <w:r>
              <w:t>火车装卸站变配电所及操作间</w:t>
            </w:r>
          </w:p>
        </w:tc>
        <w:tc>
          <w:tcPr>
            <w:tcW w:w="1005" w:type="dxa"/>
            <w:vAlign w:val="top"/>
          </w:tcPr>
          <w:p>
            <w:pPr>
              <w:pStyle w:val="88"/>
              <w:spacing w:before="87"/>
              <w:ind w:left="267" w:right="268"/>
              <w:jc w:val="center"/>
              <w:rPr>
                <w:rFonts w:ascii="Times New Roman"/>
              </w:rPr>
            </w:pPr>
            <w:r>
              <w:rPr>
                <w:rFonts w:ascii="Times New Roman"/>
              </w:rPr>
              <w:t>34</w:t>
            </w:r>
          </w:p>
        </w:tc>
        <w:tc>
          <w:tcPr>
            <w:tcW w:w="1020" w:type="dxa"/>
            <w:vAlign w:val="top"/>
          </w:tcPr>
          <w:p>
            <w:pPr>
              <w:pStyle w:val="88"/>
              <w:jc w:val="center"/>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530" w:type="dxa"/>
            <w:vMerge w:val="continue"/>
            <w:tcBorders>
              <w:top w:val="nil"/>
            </w:tcBorders>
            <w:vAlign w:val="top"/>
          </w:tcPr>
          <w:p>
            <w:pPr>
              <w:jc w:val="center"/>
              <w:rPr>
                <w:sz w:val="2"/>
                <w:szCs w:val="2"/>
              </w:rPr>
            </w:pPr>
          </w:p>
        </w:tc>
        <w:tc>
          <w:tcPr>
            <w:tcW w:w="960" w:type="dxa"/>
            <w:vAlign w:val="top"/>
          </w:tcPr>
          <w:p>
            <w:pPr>
              <w:pStyle w:val="88"/>
              <w:spacing w:before="89"/>
              <w:ind w:left="8"/>
              <w:jc w:val="center"/>
            </w:pPr>
            <w:r>
              <w:t>北</w:t>
            </w:r>
          </w:p>
        </w:tc>
        <w:tc>
          <w:tcPr>
            <w:tcW w:w="3600" w:type="dxa"/>
            <w:vAlign w:val="top"/>
          </w:tcPr>
          <w:p>
            <w:pPr>
              <w:pStyle w:val="88"/>
              <w:spacing w:before="89"/>
              <w:ind w:left="326" w:right="322"/>
              <w:jc w:val="center"/>
            </w:pPr>
            <w:r>
              <w:rPr>
                <w:rFonts w:ascii="Times New Roman" w:eastAsia="Times New Roman"/>
              </w:rPr>
              <w:t xml:space="preserve">10 </w:t>
            </w:r>
            <w:r>
              <w:t>线</w:t>
            </w:r>
          </w:p>
        </w:tc>
        <w:tc>
          <w:tcPr>
            <w:tcW w:w="1005" w:type="dxa"/>
            <w:vAlign w:val="top"/>
          </w:tcPr>
          <w:p>
            <w:pPr>
              <w:pStyle w:val="88"/>
              <w:spacing w:before="84"/>
              <w:ind w:left="267" w:right="268"/>
              <w:jc w:val="center"/>
              <w:rPr>
                <w:rFonts w:ascii="Times New Roman"/>
              </w:rPr>
            </w:pPr>
            <w:r>
              <w:rPr>
                <w:rFonts w:ascii="Times New Roman"/>
              </w:rPr>
              <w:t>71</w:t>
            </w:r>
          </w:p>
        </w:tc>
        <w:tc>
          <w:tcPr>
            <w:tcW w:w="1020" w:type="dxa"/>
            <w:vAlign w:val="top"/>
          </w:tcPr>
          <w:p>
            <w:pPr>
              <w:pStyle w:val="88"/>
              <w:jc w:val="center"/>
              <w:rPr>
                <w:rFonts w:ascii="Times New Roman"/>
                <w:sz w:val="24"/>
              </w:rPr>
            </w:pPr>
          </w:p>
        </w:tc>
      </w:tr>
    </w:tbl>
    <w:p>
      <w:pPr>
        <w:pStyle w:val="4"/>
        <w:adjustRightInd w:val="0"/>
        <w:spacing w:before="120" w:beforeLines="50" w:after="120" w:afterLines="50"/>
        <w:jc w:val="center"/>
        <w:rPr>
          <w:rFonts w:hint="eastAsia" w:ascii="Calibri" w:hAnsi="Calibri" w:eastAsia="Calibri"/>
          <w:spacing w:val="19"/>
          <w:sz w:val="21"/>
          <w:szCs w:val="24"/>
        </w:rPr>
      </w:pPr>
      <w:bookmarkStart w:id="56" w:name="_Toc22890"/>
      <w:bookmarkStart w:id="57" w:name="_Toc17078"/>
      <w:bookmarkStart w:id="58" w:name="_Toc1484"/>
    </w:p>
    <w:p>
      <w:pPr>
        <w:rPr>
          <w:rFonts w:hint="eastAsia"/>
        </w:rPr>
      </w:pPr>
    </w:p>
    <w:p>
      <w:pPr>
        <w:pStyle w:val="4"/>
        <w:adjustRightInd w:val="0"/>
        <w:spacing w:before="120" w:beforeLines="50" w:after="120" w:afterLines="50"/>
        <w:jc w:val="center"/>
        <w:rPr>
          <w:rFonts w:hint="eastAsia" w:ascii="Calibri" w:hAnsi="Calibri" w:eastAsia="Calibri"/>
          <w:spacing w:val="19"/>
          <w:sz w:val="21"/>
          <w:szCs w:val="24"/>
        </w:rPr>
      </w:pPr>
      <w:r>
        <w:rPr>
          <w:rFonts w:hint="eastAsia" w:ascii="Calibri" w:hAnsi="Calibri" w:eastAsia="Calibri"/>
          <w:spacing w:val="19"/>
          <w:sz w:val="21"/>
          <w:szCs w:val="24"/>
        </w:rPr>
        <w:t>图</w:t>
      </w:r>
      <w:r>
        <w:rPr>
          <w:rFonts w:ascii="Calibri" w:hAnsi="Calibri" w:eastAsia="Calibri"/>
          <w:spacing w:val="19"/>
          <w:sz w:val="21"/>
          <w:szCs w:val="24"/>
        </w:rPr>
        <w:t>2-3</w:t>
      </w:r>
      <w:r>
        <w:rPr>
          <w:rFonts w:hint="eastAsia" w:ascii="Calibri" w:hAnsi="Calibri" w:eastAsia="Calibri"/>
          <w:spacing w:val="19"/>
          <w:sz w:val="21"/>
          <w:szCs w:val="24"/>
        </w:rPr>
        <w:t>.2</w:t>
      </w:r>
      <w:r>
        <w:rPr>
          <w:rFonts w:ascii="Calibri" w:hAnsi="Calibri" w:eastAsia="Calibri"/>
          <w:spacing w:val="19"/>
          <w:sz w:val="21"/>
          <w:szCs w:val="24"/>
        </w:rPr>
        <w:t xml:space="preserve"> </w:t>
      </w:r>
      <w:r>
        <w:rPr>
          <w:rFonts w:hint="eastAsia" w:ascii="Calibri" w:hAnsi="Calibri" w:eastAsia="Calibri"/>
          <w:spacing w:val="19"/>
          <w:sz w:val="21"/>
          <w:szCs w:val="24"/>
        </w:rPr>
        <w:t>总平面布置</w:t>
      </w:r>
      <w:bookmarkEnd w:id="56"/>
      <w:bookmarkEnd w:id="57"/>
      <w:bookmarkEnd w:id="58"/>
    </w:p>
    <w:p>
      <w:pPr>
        <w:rPr>
          <w:rFonts w:hint="eastAsia" w:ascii="Calibri" w:hAnsi="Calibri" w:eastAsia="Calibri"/>
          <w:spacing w:val="19"/>
          <w:sz w:val="21"/>
          <w:szCs w:val="24"/>
        </w:rPr>
      </w:pPr>
      <w:r>
        <mc:AlternateContent>
          <mc:Choice Requires="wpg">
            <w:drawing>
              <wp:anchor distT="0" distB="0" distL="114300" distR="114300" simplePos="0" relativeHeight="251658240" behindDoc="1" locked="0" layoutInCell="1" allowOverlap="1">
                <wp:simplePos x="0" y="0"/>
                <wp:positionH relativeFrom="page">
                  <wp:posOffset>1212850</wp:posOffset>
                </wp:positionH>
                <wp:positionV relativeFrom="page">
                  <wp:posOffset>3772535</wp:posOffset>
                </wp:positionV>
                <wp:extent cx="5235575" cy="3943350"/>
                <wp:effectExtent l="635" t="0" r="2540" b="0"/>
                <wp:wrapNone/>
                <wp:docPr id="6" name="组合 16"/>
                <wp:cNvGraphicFramePr/>
                <a:graphic xmlns:a="http://schemas.openxmlformats.org/drawingml/2006/main">
                  <a:graphicData uri="http://schemas.microsoft.com/office/word/2010/wordprocessingGroup">
                    <wpg:wgp>
                      <wpg:cNvGrpSpPr/>
                      <wpg:grpSpPr>
                        <a:xfrm>
                          <a:off x="0" y="0"/>
                          <a:ext cx="5235575" cy="3943350"/>
                          <a:chOff x="1133" y="1418"/>
                          <a:chExt cx="14266" cy="6900"/>
                        </a:xfrm>
                      </wpg:grpSpPr>
                      <pic:pic xmlns:pic="http://schemas.openxmlformats.org/drawingml/2006/picture">
                        <pic:nvPicPr>
                          <pic:cNvPr id="1" name="图片 17"/>
                          <pic:cNvPicPr>
                            <a:picLocks noChangeAspect="1"/>
                          </pic:cNvPicPr>
                        </pic:nvPicPr>
                        <pic:blipFill>
                          <a:blip r:embed="rId11"/>
                          <a:stretch>
                            <a:fillRect/>
                          </a:stretch>
                        </pic:blipFill>
                        <pic:spPr>
                          <a:xfrm>
                            <a:off x="1132" y="1418"/>
                            <a:ext cx="14266" cy="6900"/>
                          </a:xfrm>
                          <a:prstGeom prst="rect">
                            <a:avLst/>
                          </a:prstGeom>
                          <a:noFill/>
                          <a:ln w="9525">
                            <a:noFill/>
                          </a:ln>
                        </pic:spPr>
                      </pic:pic>
                      <wps:wsp>
                        <wps:cNvPr id="2" name="任意多边形 18"/>
                        <wps:cNvSpPr/>
                        <wps:spPr>
                          <a:xfrm>
                            <a:off x="5340" y="3144"/>
                            <a:ext cx="120" cy="516"/>
                          </a:xfrm>
                          <a:custGeom>
                            <a:avLst/>
                            <a:gdLst/>
                            <a:ahLst/>
                            <a:cxnLst/>
                            <a:pathLst>
                              <a:path w="120" h="516">
                                <a:moveTo>
                                  <a:pt x="50" y="396"/>
                                </a:moveTo>
                                <a:lnTo>
                                  <a:pt x="0" y="396"/>
                                </a:lnTo>
                                <a:lnTo>
                                  <a:pt x="60" y="516"/>
                                </a:lnTo>
                                <a:lnTo>
                                  <a:pt x="110" y="416"/>
                                </a:lnTo>
                                <a:lnTo>
                                  <a:pt x="50" y="416"/>
                                </a:lnTo>
                                <a:lnTo>
                                  <a:pt x="50" y="396"/>
                                </a:lnTo>
                                <a:close/>
                                <a:moveTo>
                                  <a:pt x="70" y="0"/>
                                </a:moveTo>
                                <a:lnTo>
                                  <a:pt x="50" y="0"/>
                                </a:lnTo>
                                <a:lnTo>
                                  <a:pt x="50" y="416"/>
                                </a:lnTo>
                                <a:lnTo>
                                  <a:pt x="70" y="416"/>
                                </a:lnTo>
                                <a:lnTo>
                                  <a:pt x="70" y="0"/>
                                </a:lnTo>
                                <a:close/>
                                <a:moveTo>
                                  <a:pt x="120" y="396"/>
                                </a:moveTo>
                                <a:lnTo>
                                  <a:pt x="70" y="396"/>
                                </a:lnTo>
                                <a:lnTo>
                                  <a:pt x="70" y="416"/>
                                </a:lnTo>
                                <a:lnTo>
                                  <a:pt x="110" y="416"/>
                                </a:lnTo>
                                <a:lnTo>
                                  <a:pt x="120" y="396"/>
                                </a:lnTo>
                                <a:close/>
                              </a:path>
                            </a:pathLst>
                          </a:custGeom>
                          <a:solidFill>
                            <a:srgbClr val="497DBA"/>
                          </a:solidFill>
                          <a:ln w="9525">
                            <a:noFill/>
                          </a:ln>
                        </wps:spPr>
                        <wps:bodyPr vert="horz" wrap="square" anchor="t" upright="1"/>
                      </wps:wsp>
                      <wps:wsp>
                        <wps:cNvPr id="3" name="文本框 19"/>
                        <wps:cNvSpPr txBox="1"/>
                        <wps:spPr>
                          <a:xfrm>
                            <a:off x="5600" y="3563"/>
                            <a:ext cx="173" cy="234"/>
                          </a:xfrm>
                          <a:prstGeom prst="rect">
                            <a:avLst/>
                          </a:prstGeom>
                          <a:noFill/>
                          <a:ln w="9525">
                            <a:noFill/>
                          </a:ln>
                        </wps:spPr>
                        <wps:txbx>
                          <w:txbxContent>
                            <w:p>
                              <w:pPr>
                                <w:spacing w:line="234" w:lineRule="exact"/>
                                <w:jc w:val="left"/>
                              </w:pPr>
                              <w:r>
                                <w:t>N</w:t>
                              </w:r>
                            </w:p>
                          </w:txbxContent>
                        </wps:txbx>
                        <wps:bodyPr wrap="square" lIns="0" tIns="0" rIns="0" bIns="0" upright="1"/>
                      </wps:wsp>
                      <wps:wsp>
                        <wps:cNvPr id="4" name="文本框 20"/>
                        <wps:cNvSpPr txBox="1"/>
                        <wps:spPr>
                          <a:xfrm>
                            <a:off x="9361" y="2881"/>
                            <a:ext cx="4548" cy="3084"/>
                          </a:xfrm>
                          <a:prstGeom prst="rect">
                            <a:avLst/>
                          </a:prstGeom>
                          <a:noFill/>
                          <a:ln w="25908" cap="flat" cmpd="sng">
                            <a:solidFill>
                              <a:srgbClr val="385D89"/>
                            </a:solidFill>
                            <a:prstDash val="solid"/>
                            <a:miter/>
                            <a:headEnd type="none" w="med" len="med"/>
                            <a:tailEnd type="none" w="med" len="med"/>
                          </a:ln>
                        </wps:spPr>
                        <wps:txbx>
                          <w:txbxContent>
                            <w:p>
                              <w:pPr>
                                <w:rPr>
                                  <w:sz w:val="20"/>
                                </w:rPr>
                              </w:pPr>
                            </w:p>
                            <w:p>
                              <w:pPr>
                                <w:rPr>
                                  <w:sz w:val="20"/>
                                </w:rPr>
                              </w:pPr>
                            </w:p>
                            <w:p>
                              <w:pPr>
                                <w:spacing w:before="3"/>
                                <w:rPr>
                                  <w:sz w:val="14"/>
                                </w:rPr>
                              </w:pPr>
                            </w:p>
                            <w:p>
                              <w:pPr>
                                <w:ind w:left="1505" w:right="1912"/>
                                <w:jc w:val="center"/>
                              </w:pPr>
                              <w:r>
                                <w:t>已停用）</w:t>
                              </w:r>
                            </w:p>
                          </w:txbxContent>
                        </wps:txbx>
                        <wps:bodyPr wrap="square" lIns="0" tIns="0" rIns="0" bIns="0" upright="1"/>
                      </wps:wsp>
                      <wps:wsp>
                        <wps:cNvPr id="5" name="文本框 21"/>
                        <wps:cNvSpPr txBox="1"/>
                        <wps:spPr>
                          <a:xfrm>
                            <a:off x="11904" y="4872"/>
                            <a:ext cx="1776" cy="430"/>
                          </a:xfrm>
                          <a:prstGeom prst="rect">
                            <a:avLst/>
                          </a:prstGeom>
                          <a:noFill/>
                          <a:ln w="9144" cap="flat" cmpd="sng">
                            <a:solidFill>
                              <a:srgbClr val="000000"/>
                            </a:solidFill>
                            <a:prstDash val="solid"/>
                            <a:miter/>
                            <a:headEnd type="none" w="med" len="med"/>
                            <a:tailEnd type="none" w="med" len="med"/>
                          </a:ln>
                        </wps:spPr>
                        <wps:txbx>
                          <w:txbxContent>
                            <w:p>
                              <w:pPr>
                                <w:spacing w:before="74"/>
                                <w:ind w:left="145"/>
                                <w:jc w:val="left"/>
                              </w:pPr>
                              <w:r>
                                <w:t>危险货物装卸区</w:t>
                              </w:r>
                            </w:p>
                          </w:txbxContent>
                        </wps:txbx>
                        <wps:bodyPr wrap="square" lIns="0" tIns="0" rIns="0" bIns="0" upright="1"/>
                      </wps:wsp>
                    </wpg:wgp>
                  </a:graphicData>
                </a:graphic>
              </wp:anchor>
            </w:drawing>
          </mc:Choice>
          <mc:Fallback>
            <w:pict>
              <v:group id="组合 16" o:spid="_x0000_s1026" o:spt="203" style="position:absolute;left:0pt;margin-left:95.5pt;margin-top:297.05pt;height:310.5pt;width:412.25pt;mso-position-horizontal-relative:page;mso-position-vertical-relative:page;z-index:-251658240;mso-width-relative:page;mso-height-relative:page;" coordorigin="1133,1418" coordsize="14266,6900" o:gfxdata="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">
                <o:lock v:ext="edit" aspectratio="f"/>
                <v:shape id="图片 17" o:spid="_x0000_s1026" o:spt="75" type="#_x0000_t75" style="position:absolute;left:1132;top:1418;height:6900;width:14266;" filled="f" o:preferrelative="t" stroked="f" coordsize="21600,21600" o:gfxdata="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JxqCugAAANoA&#10;AAAPAAAAAAAAAAEAIAAAACIAAABkcnMvZG93bnJldi54bWxQSwECFAAUAAAACACHTuJAMy8FnjsA&#10;AAA5AAAAEAAAAAAAAAABACAAAAAJAQAAZHJzL3NoYXBleG1sLnhtbFBLBQYAAAAABgAGAFsBAACz&#10;AwAAAAA=&#10;">
                  <v:fill on="f" focussize="0,0"/>
                  <v:stroke on="f"/>
                  <v:imagedata r:id="rId11" o:title=""/>
                  <o:lock v:ext="edit" aspectratio="t"/>
                </v:shape>
                <v:shape id="任意多边形 18" o:spid="_x0000_s1026" o:spt="100" style="position:absolute;left:5340;top:3144;height:516;width:120;" fillcolor="#497DBA" filled="t" stroked="f" coordsize="120,516" o:gfxdata="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NQUL4A&#10;AADaAAAADwAAAAAAAAABACAAAAAiAAAAZHJzL2Rvd25yZXYueG1sUEsBAhQAFAAAAAgAh07iQDMv&#10;BZ47AAAAOQAAABAAAAAAAAAAAQAgAAAADQEAAGRycy9zaGFwZXhtbC54bWxQSwUGAAAAAAYABgBb&#10;AQAAtwMAAAAA&#10;" path="m50,396l0,396,60,516,110,416,50,416,50,396xm70,0l50,0,50,416,70,416,70,0xm120,396l70,396,70,416,110,416,120,396xe">
                  <v:fill on="t" focussize="0,0"/>
                  <v:stroke on="f"/>
                  <v:imagedata o:title=""/>
                  <o:lock v:ext="edit" aspectratio="f"/>
                </v:shape>
                <v:shape id="文本框 19" o:spid="_x0000_s1026" o:spt="202" type="#_x0000_t202" style="position:absolute;left:5600;top:3563;height:234;width:173;"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4" w:lineRule="exact"/>
                          <w:jc w:val="left"/>
                        </w:pPr>
                        <w:r>
                          <w:t>N</w:t>
                        </w:r>
                      </w:p>
                    </w:txbxContent>
                  </v:textbox>
                </v:shape>
                <v:shape id="文本框 20" o:spid="_x0000_s1026" o:spt="202" type="#_x0000_t202" style="position:absolute;left:9361;top:2881;height:3084;width:4548;" filled="f" stroked="t" coordsize="21600,21600" o:gfxdata="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5tL4A&#10;AADaAAAADwAAAAAAAAABACAAAAAiAAAAZHJzL2Rvd25yZXYueG1sUEsBAhQAFAAAAAgAh07iQDMv&#10;BZ47AAAAOQAAABAAAAAAAAAAAQAgAAAADQEAAGRycy9zaGFwZXhtbC54bWxQSwUGAAAAAAYABgBb&#10;AQAAtwMAAAAA&#10;">
                  <v:fill on="f" focussize="0,0"/>
                  <v:stroke weight="2.04pt" color="#385D89" joinstyle="miter"/>
                  <v:imagedata o:title=""/>
                  <o:lock v:ext="edit" aspectratio="f"/>
                  <v:textbox inset="0mm,0mm,0mm,0mm">
                    <w:txbxContent>
                      <w:p>
                        <w:pPr>
                          <w:rPr>
                            <w:sz w:val="20"/>
                          </w:rPr>
                        </w:pPr>
                      </w:p>
                      <w:p>
                        <w:pPr>
                          <w:rPr>
                            <w:sz w:val="20"/>
                          </w:rPr>
                        </w:pPr>
                      </w:p>
                      <w:p>
                        <w:pPr>
                          <w:spacing w:before="3"/>
                          <w:rPr>
                            <w:sz w:val="14"/>
                          </w:rPr>
                        </w:pPr>
                      </w:p>
                      <w:p>
                        <w:pPr>
                          <w:ind w:left="1505" w:right="1912"/>
                          <w:jc w:val="center"/>
                        </w:pPr>
                        <w:r>
                          <w:t>已停用）</w:t>
                        </w:r>
                      </w:p>
                    </w:txbxContent>
                  </v:textbox>
                </v:shape>
                <v:shape id="文本框 21" o:spid="_x0000_s1026" o:spt="202" type="#_x0000_t202" style="position:absolute;left:11904;top:4872;height:430;width:1776;" filled="f" stroked="t" coordsize="21600,21600" o:gfxdata="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HgC3vQAA&#10;ANoAAAAPAAAAAAAAAAEAIAAAACIAAABkcnMvZG93bnJldi54bWxQSwECFAAUAAAACACHTuJAMy8F&#10;njsAAAA5AAAAEAAAAAAAAAABACAAAAAMAQAAZHJzL3NoYXBleG1sLnhtbFBLBQYAAAAABgAGAFsB&#10;AAC2AwAAAAA=&#10;">
                  <v:fill on="f" focussize="0,0"/>
                  <v:stroke weight="0.72pt" color="#000000" joinstyle="miter"/>
                  <v:imagedata o:title=""/>
                  <o:lock v:ext="edit" aspectratio="f"/>
                  <v:textbox inset="0mm,0mm,0mm,0mm">
                    <w:txbxContent>
                      <w:p>
                        <w:pPr>
                          <w:spacing w:before="74"/>
                          <w:ind w:left="145"/>
                          <w:jc w:val="left"/>
                        </w:pPr>
                        <w:r>
                          <w:t>危险货物装卸区</w:t>
                        </w:r>
                      </w:p>
                    </w:txbxContent>
                  </v:textbox>
                </v:shape>
              </v:group>
            </w:pict>
          </mc:Fallback>
        </mc:AlternateContent>
      </w:r>
    </w:p>
    <w:p>
      <w:pPr>
        <w:pStyle w:val="2"/>
        <w:rPr>
          <w:rFonts w:hint="eastAsia" w:ascii="Calibri" w:hAnsi="Calibri" w:eastAsia="Calibri"/>
          <w:spacing w:val="19"/>
          <w:sz w:val="21"/>
          <w:szCs w:val="24"/>
        </w:rPr>
      </w:pPr>
    </w:p>
    <w:p>
      <w:pPr>
        <w:pStyle w:val="2"/>
        <w:rPr>
          <w:rFonts w:hint="eastAsia" w:ascii="Calibri" w:hAnsi="Calibri" w:eastAsia="Calibri"/>
          <w:spacing w:val="19"/>
          <w:sz w:val="21"/>
          <w:szCs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2"/>
        <w:rPr>
          <w:sz w:val="24"/>
        </w:rPr>
      </w:pPr>
    </w:p>
    <w:p>
      <w:pPr>
        <w:pStyle w:val="2"/>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bookmarkEnd w:id="55"/>
    <w:p>
      <w:pPr>
        <w:pStyle w:val="4"/>
        <w:adjustRightInd w:val="0"/>
        <w:spacing w:before="120" w:beforeLines="50" w:after="120" w:afterLines="50" w:line="360" w:lineRule="auto"/>
        <w:rPr>
          <w:rFonts w:hint="eastAsia" w:ascii="黑体" w:hAnsi="黑体" w:cs="黑体"/>
          <w:sz w:val="28"/>
          <w:szCs w:val="28"/>
        </w:rPr>
      </w:pPr>
      <w:bookmarkStart w:id="59" w:name="_Toc516661594"/>
      <w:bookmarkStart w:id="60" w:name="_Toc17785"/>
    </w:p>
    <w:p>
      <w:pPr>
        <w:pStyle w:val="4"/>
        <w:adjustRightInd w:val="0"/>
        <w:spacing w:before="120" w:beforeLines="50" w:after="120" w:afterLines="50" w:line="360" w:lineRule="auto"/>
        <w:rPr>
          <w:rFonts w:hint="eastAsia" w:ascii="黑体" w:hAnsi="黑体" w:cs="黑体"/>
          <w:sz w:val="28"/>
          <w:szCs w:val="28"/>
        </w:rPr>
      </w:pPr>
    </w:p>
    <w:p>
      <w:pPr>
        <w:pStyle w:val="4"/>
        <w:adjustRightInd w:val="0"/>
        <w:spacing w:before="120" w:beforeLines="50" w:after="120" w:afterLines="50" w:line="360" w:lineRule="auto"/>
        <w:rPr>
          <w:rFonts w:hint="eastAsia" w:ascii="黑体" w:hAnsi="黑体" w:cs="黑体"/>
          <w:sz w:val="28"/>
          <w:szCs w:val="28"/>
        </w:rPr>
      </w:pPr>
    </w:p>
    <w:p>
      <w:pPr>
        <w:pStyle w:val="4"/>
        <w:adjustRightInd w:val="0"/>
        <w:spacing w:before="120" w:beforeLines="50" w:after="120" w:afterLines="50" w:line="360" w:lineRule="auto"/>
        <w:rPr>
          <w:rFonts w:hint="eastAsia" w:ascii="黑体" w:hAnsi="黑体" w:cs="黑体"/>
          <w:sz w:val="28"/>
          <w:szCs w:val="28"/>
        </w:rPr>
      </w:pPr>
    </w:p>
    <w:p>
      <w:pPr>
        <w:pStyle w:val="2"/>
        <w:ind w:left="0" w:leftChars="0" w:firstLine="0" w:firstLineChars="0"/>
        <w:rPr>
          <w:rFonts w:hint="eastAsia" w:ascii="黑体" w:hAnsi="黑体" w:cs="黑体"/>
          <w:sz w:val="28"/>
          <w:szCs w:val="28"/>
        </w:rPr>
      </w:pPr>
      <w:bookmarkStart w:id="172" w:name="_GoBack"/>
      <w:bookmarkEnd w:id="172"/>
    </w:p>
    <w:p>
      <w:pPr>
        <w:pStyle w:val="4"/>
        <w:adjustRightInd w:val="0"/>
        <w:spacing w:before="120" w:beforeLines="50" w:after="120" w:afterLines="50" w:line="360" w:lineRule="auto"/>
        <w:rPr>
          <w:rFonts w:hint="eastAsia" w:ascii="黑体" w:hAnsi="黑体" w:cs="黑体"/>
          <w:sz w:val="28"/>
          <w:szCs w:val="28"/>
        </w:rPr>
      </w:pPr>
      <w:r>
        <w:rPr>
          <w:rFonts w:hint="eastAsia" w:ascii="黑体" w:hAnsi="黑体" w:cs="黑体"/>
          <w:sz w:val="28"/>
          <w:szCs w:val="28"/>
        </w:rPr>
        <w:t xml:space="preserve">2.4 </w:t>
      </w:r>
      <w:bookmarkEnd w:id="59"/>
      <w:r>
        <w:rPr>
          <w:rFonts w:hint="eastAsia" w:ascii="黑体" w:hAnsi="黑体" w:cs="黑体"/>
          <w:sz w:val="28"/>
          <w:szCs w:val="28"/>
        </w:rPr>
        <w:t>工艺流程</w:t>
      </w:r>
      <w:bookmarkEnd w:id="60"/>
    </w:p>
    <w:p>
      <w:pPr>
        <w:pStyle w:val="16"/>
        <w:spacing w:before="138" w:line="360" w:lineRule="auto"/>
        <w:rPr>
          <w:rFonts w:hint="eastAsia" w:ascii="宋体" w:hAnsi="宋体" w:eastAsia="宋体" w:cs="宋体"/>
          <w:b/>
          <w:bCs/>
          <w:sz w:val="28"/>
          <w:szCs w:val="28"/>
        </w:rPr>
      </w:pPr>
      <w:r>
        <w:rPr>
          <w:rFonts w:hint="eastAsia" w:ascii="宋体" w:hAnsi="宋体" w:eastAsia="宋体" w:cs="宋体"/>
          <w:b/>
          <w:bCs/>
          <w:sz w:val="28"/>
          <w:szCs w:val="28"/>
        </w:rPr>
        <w:t>2.4.1园区液体化学品卸车</w:t>
      </w:r>
    </w:p>
    <w:p>
      <w:pPr>
        <w:pStyle w:val="16"/>
        <w:spacing w:before="186" w:line="360" w:lineRule="auto"/>
        <w:ind w:right="454" w:firstLine="559"/>
        <w:rPr>
          <w:rFonts w:hint="eastAsia" w:ascii="宋体" w:hAnsi="宋体" w:eastAsia="宋体" w:cs="宋体"/>
          <w:sz w:val="28"/>
          <w:szCs w:val="28"/>
        </w:rPr>
      </w:pPr>
      <w:r>
        <w:rPr>
          <w:rFonts w:hint="eastAsia" w:ascii="宋体" w:hAnsi="宋体" w:eastAsia="宋体" w:cs="宋体"/>
          <w:sz w:val="28"/>
          <w:szCs w:val="28"/>
        </w:rPr>
        <w:t>整列的液体化学品列车驶入 1、2、Ⅲ道后，本务机车通过空闲股道折返至进站端，将停留在其他股道上的待发空罐车车列连挂后发车。本站调机将待卸的液体罐车车列推送至 8、10 道液体卸载线相应鹤位进行卸载作业。</w:t>
      </w:r>
    </w:p>
    <w:p>
      <w:pPr>
        <w:pStyle w:val="16"/>
        <w:spacing w:line="360" w:lineRule="auto"/>
        <w:rPr>
          <w:rFonts w:hint="eastAsia" w:ascii="宋体" w:hAnsi="宋体" w:eastAsia="宋体" w:cs="宋体"/>
          <w:b/>
          <w:bCs/>
          <w:sz w:val="28"/>
          <w:szCs w:val="28"/>
        </w:rPr>
      </w:pPr>
      <w:r>
        <w:rPr>
          <w:rFonts w:hint="eastAsia" w:ascii="宋体" w:hAnsi="宋体" w:eastAsia="宋体" w:cs="宋体"/>
          <w:b/>
          <w:bCs/>
          <w:sz w:val="28"/>
          <w:szCs w:val="28"/>
        </w:rPr>
        <w:t>2.4.2对二甲苯卸车工艺流程（8 线）</w:t>
      </w:r>
    </w:p>
    <w:p>
      <w:pPr>
        <w:pStyle w:val="121"/>
        <w:numPr>
          <w:ilvl w:val="0"/>
          <w:numId w:val="3"/>
        </w:numPr>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卸车流程</w:t>
      </w:r>
    </w:p>
    <w:p>
      <w:pPr>
        <w:pStyle w:val="121"/>
        <w:tabs>
          <w:tab w:val="left" w:pos="1403"/>
        </w:tabs>
        <w:spacing w:before="186" w:line="360" w:lineRule="auto"/>
        <w:ind w:firstLine="560"/>
        <w:jc w:val="left"/>
        <w:rPr>
          <w:rFonts w:hint="eastAsia" w:ascii="宋体" w:hAnsi="宋体" w:cs="宋体"/>
          <w:sz w:val="28"/>
          <w:szCs w:val="28"/>
        </w:rPr>
      </w:pPr>
      <w:r>
        <w:rPr>
          <w:rFonts w:hint="eastAsia" w:ascii="宋体" w:hAnsi="宋体" w:cs="宋体"/>
          <w:sz w:val="28"/>
          <w:szCs w:val="28"/>
        </w:rPr>
        <w:t>火车卸车采用上卸的方式，设置卸车泵将介质输送至缓冲罐。其流程示意如下：</w:t>
      </w:r>
    </w:p>
    <w:p>
      <w:pPr>
        <w:pStyle w:val="16"/>
        <w:spacing w:line="360" w:lineRule="auto"/>
        <w:ind w:left="698"/>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火车槽车运入→火车卸车鹤管→卸车泵→对二甲苯缓冲罐</w:t>
      </w:r>
    </w:p>
    <w:p>
      <w:pPr>
        <w:pStyle w:val="16"/>
        <w:spacing w:line="360" w:lineRule="auto"/>
        <w:ind w:left="698"/>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2）扫仓流程</w:t>
      </w:r>
    </w:p>
    <w:p>
      <w:pPr>
        <w:pStyle w:val="16"/>
        <w:spacing w:before="60" w:line="360" w:lineRule="auto"/>
        <w:ind w:right="565"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从扫仓软管来的对二甲苯经扫仓泵输送至缓冲罐。其流程示意如下： 火车槽车→火车扫仓软管→扫仓泵→对二甲苯缓冲罐</w:t>
      </w:r>
    </w:p>
    <w:p>
      <w:pPr>
        <w:pStyle w:val="121"/>
        <w:numPr>
          <w:ilvl w:val="0"/>
          <w:numId w:val="4"/>
        </w:numPr>
        <w:tabs>
          <w:tab w:val="left" w:pos="1403"/>
        </w:tabs>
        <w:spacing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罐区接收流程简述</w:t>
      </w:r>
    </w:p>
    <w:p>
      <w:pPr>
        <w:pStyle w:val="121"/>
        <w:tabs>
          <w:tab w:val="left" w:pos="1403"/>
        </w:tabs>
        <w:spacing w:line="360" w:lineRule="auto"/>
        <w:ind w:firstLine="560"/>
        <w:jc w:val="left"/>
        <w:rPr>
          <w:rFonts w:hint="eastAsia" w:ascii="宋体" w:hAnsi="宋体" w:cs="宋体"/>
          <w:sz w:val="28"/>
          <w:szCs w:val="28"/>
        </w:rPr>
      </w:pPr>
      <w:r>
        <w:rPr>
          <w:rFonts w:hint="eastAsia" w:ascii="宋体" w:hAnsi="宋体" w:cs="宋体"/>
          <w:sz w:val="28"/>
          <w:szCs w:val="28"/>
        </w:rPr>
        <w:t>卸车区对二甲苯缓冲罐中的介质通过转输泵输送至四川晟达化学新材料有限责任公司原料罐区设有 2 个 20000m3 对二甲苯储罐，对二甲苯缓冲罐呼出的尾气输送至企业罐区尾气处理设施（不在本次评价范围内）进行处理。</w:t>
      </w:r>
    </w:p>
    <w:p>
      <w:pPr>
        <w:pStyle w:val="16"/>
        <w:spacing w:line="360" w:lineRule="auto"/>
        <w:rPr>
          <w:rFonts w:hint="eastAsia" w:ascii="宋体" w:hAnsi="宋体" w:eastAsia="宋体" w:cs="宋体"/>
          <w:b/>
          <w:bCs/>
          <w:sz w:val="28"/>
          <w:szCs w:val="28"/>
        </w:rPr>
      </w:pPr>
      <w:r>
        <w:rPr>
          <w:rFonts w:hint="eastAsia" w:ascii="宋体" w:hAnsi="宋体" w:eastAsia="宋体" w:cs="宋体"/>
          <w:b/>
          <w:bCs/>
          <w:sz w:val="28"/>
          <w:szCs w:val="28"/>
        </w:rPr>
        <w:t>2.4.3邻二甲苯卸车工艺流程（10 线）</w:t>
      </w:r>
    </w:p>
    <w:p>
      <w:pPr>
        <w:pStyle w:val="121"/>
        <w:tabs>
          <w:tab w:val="left" w:pos="1403"/>
        </w:tabs>
        <w:spacing w:before="187"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1）卸车流程</w:t>
      </w:r>
    </w:p>
    <w:p>
      <w:pPr>
        <w:pStyle w:val="16"/>
        <w:spacing w:before="186" w:line="360" w:lineRule="auto"/>
        <w:ind w:right="451" w:firstLine="559"/>
        <w:rPr>
          <w:rFonts w:hint="eastAsia" w:ascii="宋体" w:hAnsi="宋体" w:eastAsia="宋体" w:cs="宋体"/>
          <w:sz w:val="28"/>
          <w:szCs w:val="28"/>
        </w:rPr>
      </w:pPr>
      <w:r>
        <w:rPr>
          <w:rFonts w:hint="eastAsia" w:ascii="宋体" w:hAnsi="宋体" w:eastAsia="宋体" w:cs="宋体"/>
          <w:sz w:val="28"/>
          <w:szCs w:val="28"/>
        </w:rPr>
        <w:t>邻二甲苯由火车槽车运进，采用油槽车检尺计量方式计量后，通过火车卸车鹤管（带潜油泵）进入集油汇管，再经卸车泵增压后送至输油管线，最后输入储罐储存。其流程示意如下：</w:t>
      </w:r>
    </w:p>
    <w:p>
      <w:pPr>
        <w:pStyle w:val="16"/>
        <w:spacing w:line="360" w:lineRule="auto"/>
        <w:ind w:right="447" w:firstLine="559"/>
        <w:rPr>
          <w:rFonts w:hint="eastAsia" w:ascii="宋体" w:hAnsi="宋体" w:eastAsia="宋体" w:cs="宋体"/>
          <w:sz w:val="28"/>
          <w:szCs w:val="28"/>
        </w:rPr>
      </w:pPr>
      <w:r>
        <w:rPr>
          <w:rFonts w:hint="eastAsia" w:ascii="宋体" w:hAnsi="宋体" w:eastAsia="宋体" w:cs="宋体"/>
          <w:sz w:val="28"/>
          <w:szCs w:val="28"/>
        </w:rPr>
        <w:t>火车槽车运入→火车卸车电动潜液泵→火车卸车鹤管→卸车泵→企业已建邻二甲苯罐区</w:t>
      </w:r>
    </w:p>
    <w:p>
      <w:pPr>
        <w:pStyle w:val="121"/>
        <w:tabs>
          <w:tab w:val="left" w:pos="1403"/>
        </w:tabs>
        <w:spacing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2）扫仓流程</w:t>
      </w:r>
    </w:p>
    <w:p>
      <w:pPr>
        <w:pStyle w:val="16"/>
        <w:spacing w:before="182" w:line="360" w:lineRule="auto"/>
        <w:ind w:right="447" w:firstLine="559"/>
        <w:rPr>
          <w:rFonts w:hint="eastAsia" w:ascii="宋体" w:hAnsi="宋体" w:eastAsia="宋体" w:cs="宋体"/>
          <w:sz w:val="28"/>
          <w:szCs w:val="28"/>
        </w:rPr>
      </w:pPr>
      <w:r>
        <w:rPr>
          <w:rFonts w:hint="eastAsia" w:ascii="宋体" w:hAnsi="宋体" w:eastAsia="宋体" w:cs="宋体"/>
          <w:sz w:val="28"/>
          <w:szCs w:val="28"/>
        </w:rPr>
        <w:t>火车槽车底油通过扫仓软管进入扫仓管线再经扫仓泵抽吸至扫仓罐。扫仓罐出口与火车卸车泵的进口管线连通，经火车卸车泵抽出并增压后输送至储罐储存。其流程示意如下：</w:t>
      </w:r>
    </w:p>
    <w:p>
      <w:pPr>
        <w:pStyle w:val="16"/>
        <w:spacing w:line="360" w:lineRule="auto"/>
        <w:ind w:right="452" w:firstLine="559"/>
        <w:rPr>
          <w:rFonts w:hint="eastAsia" w:ascii="宋体" w:hAnsi="宋体" w:eastAsia="宋体" w:cs="宋体"/>
          <w:sz w:val="28"/>
          <w:szCs w:val="28"/>
        </w:rPr>
      </w:pPr>
      <w:r>
        <w:rPr>
          <w:rFonts w:hint="eastAsia" w:ascii="宋体" w:hAnsi="宋体" w:eastAsia="宋体" w:cs="宋体"/>
          <w:sz w:val="28"/>
          <w:szCs w:val="28"/>
        </w:rPr>
        <w:t>火车槽车→火车扫仓软管→扫仓泵→扫仓罐→卸车泵→企业已建邻二甲苯罐区</w:t>
      </w:r>
    </w:p>
    <w:p>
      <w:pPr>
        <w:pStyle w:val="121"/>
        <w:tabs>
          <w:tab w:val="left" w:pos="1403"/>
        </w:tabs>
        <w:spacing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3）罐区接收流程简述</w:t>
      </w:r>
    </w:p>
    <w:p>
      <w:pPr>
        <w:pStyle w:val="16"/>
        <w:spacing w:before="185" w:line="360" w:lineRule="auto"/>
        <w:ind w:right="452" w:firstLine="559"/>
        <w:rPr>
          <w:rFonts w:hint="eastAsia" w:ascii="宋体" w:hAnsi="宋体" w:eastAsia="宋体" w:cs="宋体"/>
          <w:sz w:val="28"/>
          <w:szCs w:val="28"/>
        </w:rPr>
      </w:pPr>
      <w:r>
        <w:rPr>
          <w:rFonts w:hint="eastAsia" w:ascii="宋体" w:hAnsi="宋体" w:eastAsia="宋体" w:cs="宋体"/>
          <w:sz w:val="28"/>
          <w:szCs w:val="28"/>
        </w:rPr>
        <w:t>南充联成化学工业有限公司邻二甲苯罐区内已有 2 具 150m3 内浮顶罐储存火车卸车的邻二甲苯，进出罐工艺管道上设置了安全泄放装置，保证管线不会因为内介质的热胀冷缩及事故状态管线超压造成破坏。</w:t>
      </w:r>
    </w:p>
    <w:p>
      <w:pPr>
        <w:pStyle w:val="4"/>
        <w:adjustRightInd w:val="0"/>
        <w:spacing w:before="120" w:beforeLines="50" w:after="120" w:afterLines="50"/>
        <w:rPr>
          <w:rFonts w:ascii="黑体" w:hAnsi="黑体" w:cs="黑体"/>
          <w:sz w:val="28"/>
          <w:szCs w:val="28"/>
        </w:rPr>
      </w:pPr>
      <w:bookmarkStart w:id="61" w:name="_Toc13459"/>
      <w:r>
        <w:rPr>
          <w:rFonts w:hint="eastAsia" w:ascii="黑体" w:hAnsi="黑体" w:cs="黑体"/>
          <w:sz w:val="28"/>
          <w:szCs w:val="28"/>
        </w:rPr>
        <w:t>2.5设备设施</w:t>
      </w:r>
      <w:bookmarkEnd w:id="61"/>
    </w:p>
    <w:p>
      <w:pPr>
        <w:pStyle w:val="16"/>
        <w:spacing w:before="122" w:line="360" w:lineRule="auto"/>
        <w:rPr>
          <w:rFonts w:hint="eastAsia" w:ascii="宋体" w:hAnsi="宋体" w:eastAsia="宋体" w:cs="宋体"/>
          <w:b/>
          <w:bCs/>
          <w:sz w:val="28"/>
          <w:szCs w:val="28"/>
        </w:rPr>
      </w:pPr>
      <w:r>
        <w:rPr>
          <w:rFonts w:hint="eastAsia" w:ascii="宋体" w:hAnsi="宋体" w:eastAsia="宋体" w:cs="宋体"/>
          <w:b/>
          <w:bCs/>
          <w:sz w:val="28"/>
          <w:szCs w:val="28"/>
        </w:rPr>
        <w:t>2.5.1专用线 8 线装卸设备</w:t>
      </w:r>
    </w:p>
    <w:p>
      <w:pPr>
        <w:pStyle w:val="121"/>
        <w:tabs>
          <w:tab w:val="left" w:pos="1403"/>
        </w:tabs>
        <w:spacing w:before="186" w:line="360" w:lineRule="auto"/>
        <w:ind w:left="420" w:leftChars="200" w:firstLine="0" w:firstLineChars="0"/>
        <w:jc w:val="left"/>
        <w:rPr>
          <w:rFonts w:hint="eastAsia" w:ascii="宋体" w:hAnsi="宋体" w:cs="宋体"/>
          <w:sz w:val="28"/>
          <w:szCs w:val="28"/>
        </w:rPr>
      </w:pPr>
      <w:r>
        <w:rPr>
          <w:rFonts w:hint="eastAsia" w:ascii="宋体" w:hAnsi="宋体" w:cs="宋体"/>
          <w:sz w:val="28"/>
          <w:szCs w:val="28"/>
        </w:rPr>
        <w:t>1）卸车鹤管</w:t>
      </w:r>
    </w:p>
    <w:p>
      <w:pPr>
        <w:pStyle w:val="121"/>
        <w:tabs>
          <w:tab w:val="left" w:pos="1403"/>
        </w:tabs>
        <w:spacing w:before="186" w:line="360" w:lineRule="auto"/>
        <w:ind w:left="420" w:leftChars="200" w:firstLine="0" w:firstLineChars="0"/>
        <w:jc w:val="left"/>
        <w:rPr>
          <w:rFonts w:hint="eastAsia" w:ascii="宋体" w:hAnsi="宋体" w:cs="宋体"/>
          <w:sz w:val="28"/>
          <w:szCs w:val="28"/>
        </w:rPr>
      </w:pPr>
      <w:r>
        <w:rPr>
          <w:rFonts w:hint="eastAsia" w:ascii="宋体" w:hAnsi="宋体" w:cs="宋体"/>
          <w:sz w:val="28"/>
          <w:szCs w:val="28"/>
        </w:rPr>
        <w:t>专用线 8 线选用火车上卸鹤管，卸车鹤管规格参数见表2.5.1-1。</w:t>
      </w:r>
    </w:p>
    <w:p>
      <w:pPr>
        <w:spacing w:before="188"/>
        <w:ind w:left="145" w:right="479"/>
        <w:jc w:val="center"/>
        <w:rPr>
          <w:rFonts w:hint="eastAsia" w:ascii="宋体" w:hAnsi="宋体" w:cs="宋体"/>
          <w:sz w:val="24"/>
        </w:rPr>
      </w:pPr>
      <w:r>
        <w:rPr>
          <w:rFonts w:hint="eastAsia" w:ascii="宋体" w:hAnsi="宋体" w:cs="宋体"/>
          <w:sz w:val="24"/>
        </w:rPr>
        <w:t>表 2.5.1-1  线装卸鹤管规格参数表</w:t>
      </w:r>
    </w:p>
    <w:tbl>
      <w:tblPr>
        <w:tblStyle w:val="54"/>
        <w:tblW w:w="8333" w:type="dxa"/>
        <w:jc w:val="center"/>
        <w:tblInd w:w="4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43"/>
        <w:gridCol w:w="1380"/>
        <w:gridCol w:w="1527"/>
        <w:gridCol w:w="1769"/>
        <w:gridCol w:w="1262"/>
        <w:gridCol w:w="16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5" w:hRule="atLeast"/>
          <w:jc w:val="center"/>
        </w:trPr>
        <w:tc>
          <w:tcPr>
            <w:tcW w:w="743" w:type="dxa"/>
            <w:tcBorders>
              <w:bottom w:val="single" w:color="000000" w:sz="4" w:space="0"/>
              <w:right w:val="single" w:color="000000" w:sz="4" w:space="0"/>
            </w:tcBorders>
            <w:vAlign w:val="top"/>
          </w:tcPr>
          <w:p>
            <w:pPr>
              <w:pStyle w:val="88"/>
              <w:spacing w:before="92"/>
              <w:ind w:left="127" w:right="113"/>
              <w:jc w:val="center"/>
              <w:rPr>
                <w:rFonts w:hint="eastAsia"/>
                <w:sz w:val="24"/>
                <w:lang w:val="en-US" w:bidi="ar-SA"/>
              </w:rPr>
            </w:pPr>
            <w:r>
              <w:rPr>
                <w:rFonts w:hint="eastAsia"/>
                <w:sz w:val="24"/>
                <w:lang w:val="en-US" w:bidi="ar-SA"/>
              </w:rPr>
              <w:t>序号</w:t>
            </w:r>
          </w:p>
        </w:tc>
        <w:tc>
          <w:tcPr>
            <w:tcW w:w="1380" w:type="dxa"/>
            <w:tcBorders>
              <w:left w:val="single" w:color="000000" w:sz="4" w:space="0"/>
              <w:bottom w:val="single" w:color="000000" w:sz="4" w:space="0"/>
              <w:right w:val="single" w:color="000000" w:sz="4" w:space="0"/>
            </w:tcBorders>
            <w:vAlign w:val="top"/>
          </w:tcPr>
          <w:p>
            <w:pPr>
              <w:pStyle w:val="88"/>
              <w:spacing w:before="92"/>
              <w:ind w:left="350" w:right="331"/>
              <w:jc w:val="center"/>
              <w:rPr>
                <w:rFonts w:hint="eastAsia"/>
                <w:sz w:val="24"/>
                <w:lang w:val="en-US" w:bidi="ar-SA"/>
              </w:rPr>
            </w:pPr>
            <w:r>
              <w:rPr>
                <w:rFonts w:hint="eastAsia"/>
                <w:sz w:val="24"/>
                <w:lang w:val="en-US" w:bidi="ar-SA"/>
              </w:rPr>
              <w:t>介质</w:t>
            </w:r>
          </w:p>
        </w:tc>
        <w:tc>
          <w:tcPr>
            <w:tcW w:w="1527" w:type="dxa"/>
            <w:tcBorders>
              <w:left w:val="single" w:color="000000" w:sz="4" w:space="0"/>
              <w:bottom w:val="single" w:color="000000" w:sz="4" w:space="0"/>
              <w:right w:val="single" w:color="000000" w:sz="4" w:space="0"/>
            </w:tcBorders>
            <w:vAlign w:val="top"/>
          </w:tcPr>
          <w:p>
            <w:pPr>
              <w:pStyle w:val="88"/>
              <w:spacing w:before="92"/>
              <w:ind w:left="50" w:right="35"/>
              <w:jc w:val="center"/>
              <w:rPr>
                <w:rFonts w:hint="eastAsia"/>
                <w:sz w:val="24"/>
                <w:lang w:val="en-US" w:bidi="ar-SA"/>
              </w:rPr>
            </w:pPr>
            <w:r>
              <w:rPr>
                <w:rFonts w:hint="eastAsia"/>
                <w:sz w:val="24"/>
                <w:lang w:val="en-US" w:bidi="ar-SA"/>
              </w:rPr>
              <w:t>公称压力（MPa）</w:t>
            </w:r>
          </w:p>
        </w:tc>
        <w:tc>
          <w:tcPr>
            <w:tcW w:w="1769" w:type="dxa"/>
            <w:tcBorders>
              <w:left w:val="single" w:color="000000" w:sz="4" w:space="0"/>
              <w:bottom w:val="single" w:color="000000" w:sz="4" w:space="0"/>
              <w:right w:val="single" w:color="000000" w:sz="4" w:space="0"/>
            </w:tcBorders>
            <w:vAlign w:val="top"/>
          </w:tcPr>
          <w:p>
            <w:pPr>
              <w:pStyle w:val="88"/>
              <w:spacing w:before="92"/>
              <w:ind w:left="86" w:right="68"/>
              <w:jc w:val="center"/>
              <w:rPr>
                <w:rFonts w:hint="eastAsia"/>
                <w:sz w:val="24"/>
                <w:lang w:val="en-US" w:bidi="ar-SA"/>
              </w:rPr>
            </w:pPr>
            <w:r>
              <w:rPr>
                <w:rFonts w:hint="eastAsia"/>
                <w:sz w:val="24"/>
                <w:lang w:val="en-US" w:bidi="ar-SA"/>
              </w:rPr>
              <w:t>公称直径（DN）</w:t>
            </w:r>
          </w:p>
        </w:tc>
        <w:tc>
          <w:tcPr>
            <w:tcW w:w="1262" w:type="dxa"/>
            <w:tcBorders>
              <w:left w:val="single" w:color="000000" w:sz="4" w:space="0"/>
              <w:bottom w:val="single" w:color="000000" w:sz="4" w:space="0"/>
              <w:right w:val="single" w:color="000000" w:sz="4" w:space="0"/>
            </w:tcBorders>
            <w:vAlign w:val="top"/>
          </w:tcPr>
          <w:p>
            <w:pPr>
              <w:pStyle w:val="88"/>
              <w:spacing w:before="92"/>
              <w:ind w:left="93" w:right="69"/>
              <w:jc w:val="center"/>
              <w:rPr>
                <w:rFonts w:hint="eastAsia"/>
                <w:sz w:val="24"/>
                <w:lang w:val="en-US" w:bidi="ar-SA"/>
              </w:rPr>
            </w:pPr>
            <w:r>
              <w:rPr>
                <w:rFonts w:hint="eastAsia"/>
                <w:sz w:val="24"/>
                <w:lang w:val="en-US" w:bidi="ar-SA"/>
              </w:rPr>
              <w:t>数量（套）</w:t>
            </w:r>
          </w:p>
        </w:tc>
        <w:tc>
          <w:tcPr>
            <w:tcW w:w="1652" w:type="dxa"/>
            <w:tcBorders>
              <w:left w:val="single" w:color="000000" w:sz="4" w:space="0"/>
              <w:bottom w:val="single" w:color="000000" w:sz="4" w:space="0"/>
            </w:tcBorders>
            <w:vAlign w:val="top"/>
          </w:tcPr>
          <w:p>
            <w:pPr>
              <w:pStyle w:val="88"/>
              <w:spacing w:before="92"/>
              <w:ind w:left="743" w:right="718"/>
              <w:jc w:val="center"/>
              <w:rPr>
                <w:rFonts w:hint="eastAsia"/>
                <w:sz w:val="24"/>
                <w:lang w:val="en-US" w:bidi="ar-SA"/>
              </w:rPr>
            </w:pPr>
            <w:r>
              <w:rPr>
                <w:rFonts w:hint="eastAsia"/>
                <w:sz w:val="24"/>
                <w:lang w:val="en-US" w:bidi="ar-SA"/>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6" w:hRule="atLeast"/>
          <w:jc w:val="center"/>
        </w:trPr>
        <w:tc>
          <w:tcPr>
            <w:tcW w:w="743" w:type="dxa"/>
            <w:tcBorders>
              <w:top w:val="single" w:color="000000" w:sz="4" w:space="0"/>
              <w:right w:val="single" w:color="000000" w:sz="4" w:space="0"/>
            </w:tcBorders>
            <w:vAlign w:val="top"/>
          </w:tcPr>
          <w:p>
            <w:pPr>
              <w:pStyle w:val="88"/>
              <w:spacing w:before="84"/>
              <w:ind w:left="14"/>
              <w:jc w:val="center"/>
              <w:rPr>
                <w:rFonts w:hint="eastAsia"/>
                <w:sz w:val="24"/>
                <w:lang w:val="en-US" w:bidi="ar-SA"/>
              </w:rPr>
            </w:pPr>
            <w:r>
              <w:rPr>
                <w:rFonts w:hint="eastAsia"/>
                <w:sz w:val="24"/>
                <w:lang w:val="en-US" w:bidi="ar-SA"/>
              </w:rPr>
              <w:t>1</w:t>
            </w:r>
          </w:p>
        </w:tc>
        <w:tc>
          <w:tcPr>
            <w:tcW w:w="1380" w:type="dxa"/>
            <w:tcBorders>
              <w:top w:val="single" w:color="000000" w:sz="4" w:space="0"/>
              <w:left w:val="single" w:color="000000" w:sz="4" w:space="0"/>
              <w:right w:val="single" w:color="000000" w:sz="4" w:space="0"/>
            </w:tcBorders>
            <w:vAlign w:val="top"/>
          </w:tcPr>
          <w:p>
            <w:pPr>
              <w:pStyle w:val="88"/>
              <w:spacing w:before="90"/>
              <w:ind w:right="333"/>
              <w:rPr>
                <w:rFonts w:hint="eastAsia"/>
                <w:sz w:val="24"/>
                <w:lang w:val="en-US" w:bidi="ar-SA"/>
              </w:rPr>
            </w:pPr>
            <w:r>
              <w:rPr>
                <w:rFonts w:hint="eastAsia"/>
                <w:sz w:val="24"/>
                <w:lang w:val="en-US" w:bidi="ar-SA"/>
              </w:rPr>
              <w:t>对二甲苯</w:t>
            </w:r>
          </w:p>
        </w:tc>
        <w:tc>
          <w:tcPr>
            <w:tcW w:w="1527" w:type="dxa"/>
            <w:tcBorders>
              <w:top w:val="single" w:color="000000" w:sz="4" w:space="0"/>
              <w:left w:val="single" w:color="000000" w:sz="4" w:space="0"/>
              <w:right w:val="single" w:color="000000" w:sz="4" w:space="0"/>
            </w:tcBorders>
            <w:vAlign w:val="top"/>
          </w:tcPr>
          <w:p>
            <w:pPr>
              <w:pStyle w:val="88"/>
              <w:spacing w:before="84"/>
              <w:ind w:left="50" w:right="32"/>
              <w:jc w:val="center"/>
              <w:rPr>
                <w:rFonts w:hint="eastAsia"/>
                <w:sz w:val="24"/>
                <w:lang w:val="en-US" w:bidi="ar-SA"/>
              </w:rPr>
            </w:pPr>
            <w:r>
              <w:rPr>
                <w:rFonts w:hint="eastAsia"/>
                <w:sz w:val="24"/>
                <w:lang w:val="en-US" w:bidi="ar-SA"/>
              </w:rPr>
              <w:t>0.1</w:t>
            </w:r>
          </w:p>
        </w:tc>
        <w:tc>
          <w:tcPr>
            <w:tcW w:w="1769" w:type="dxa"/>
            <w:tcBorders>
              <w:top w:val="single" w:color="000000" w:sz="4" w:space="0"/>
              <w:left w:val="single" w:color="000000" w:sz="4" w:space="0"/>
              <w:right w:val="single" w:color="000000" w:sz="4" w:space="0"/>
            </w:tcBorders>
            <w:vAlign w:val="top"/>
          </w:tcPr>
          <w:p>
            <w:pPr>
              <w:pStyle w:val="88"/>
              <w:spacing w:before="84"/>
              <w:ind w:left="86" w:right="68"/>
              <w:jc w:val="center"/>
              <w:rPr>
                <w:rFonts w:hint="eastAsia"/>
                <w:sz w:val="24"/>
                <w:lang w:val="en-US" w:bidi="ar-SA"/>
              </w:rPr>
            </w:pPr>
            <w:r>
              <w:rPr>
                <w:rFonts w:hint="eastAsia"/>
                <w:sz w:val="24"/>
                <w:lang w:val="en-US" w:bidi="ar-SA"/>
              </w:rPr>
              <w:t>100</w:t>
            </w:r>
          </w:p>
        </w:tc>
        <w:tc>
          <w:tcPr>
            <w:tcW w:w="1262" w:type="dxa"/>
            <w:tcBorders>
              <w:top w:val="single" w:color="000000" w:sz="4" w:space="0"/>
              <w:left w:val="single" w:color="000000" w:sz="4" w:space="0"/>
              <w:right w:val="single" w:color="000000" w:sz="4" w:space="0"/>
            </w:tcBorders>
            <w:vAlign w:val="top"/>
          </w:tcPr>
          <w:p>
            <w:pPr>
              <w:pStyle w:val="88"/>
              <w:spacing w:before="84"/>
              <w:ind w:left="90" w:right="69"/>
              <w:jc w:val="center"/>
              <w:rPr>
                <w:rFonts w:hint="eastAsia"/>
                <w:sz w:val="24"/>
                <w:lang w:val="en-US" w:bidi="ar-SA"/>
              </w:rPr>
            </w:pPr>
            <w:r>
              <w:rPr>
                <w:rFonts w:hint="eastAsia"/>
                <w:sz w:val="24"/>
                <w:lang w:val="en-US" w:bidi="ar-SA"/>
              </w:rPr>
              <w:t>50</w:t>
            </w:r>
          </w:p>
        </w:tc>
        <w:tc>
          <w:tcPr>
            <w:tcW w:w="1652" w:type="dxa"/>
            <w:tcBorders>
              <w:top w:val="single" w:color="000000" w:sz="4" w:space="0"/>
              <w:left w:val="single" w:color="000000" w:sz="4" w:space="0"/>
            </w:tcBorders>
            <w:vAlign w:val="top"/>
          </w:tcPr>
          <w:p>
            <w:pPr>
              <w:pStyle w:val="88"/>
              <w:rPr>
                <w:rFonts w:hint="eastAsia"/>
                <w:sz w:val="24"/>
                <w:lang w:val="en-US" w:bidi="ar-SA"/>
              </w:rPr>
            </w:pPr>
          </w:p>
        </w:tc>
      </w:tr>
    </w:tbl>
    <w:p>
      <w:pPr>
        <w:pStyle w:val="121"/>
        <w:tabs>
          <w:tab w:val="left" w:pos="1403"/>
        </w:tabs>
        <w:spacing w:before="186" w:line="360" w:lineRule="auto"/>
        <w:ind w:left="420" w:leftChars="200" w:firstLine="0" w:firstLineChars="0"/>
        <w:jc w:val="left"/>
        <w:rPr>
          <w:rFonts w:hint="eastAsia" w:ascii="宋体" w:hAnsi="宋体" w:cs="宋体"/>
          <w:sz w:val="28"/>
          <w:szCs w:val="28"/>
        </w:rPr>
      </w:pPr>
      <w:r>
        <w:rPr>
          <w:rFonts w:hint="eastAsia" w:ascii="宋体" w:hAnsi="宋体" w:cs="宋体"/>
          <w:sz w:val="28"/>
          <w:szCs w:val="28"/>
        </w:rPr>
        <w:t>2）机泵</w:t>
      </w:r>
    </w:p>
    <w:p>
      <w:pPr>
        <w:pStyle w:val="121"/>
        <w:tabs>
          <w:tab w:val="left" w:pos="1403"/>
        </w:tabs>
        <w:spacing w:before="186" w:line="360" w:lineRule="auto"/>
        <w:ind w:left="420" w:leftChars="200" w:firstLine="0" w:firstLineChars="0"/>
        <w:jc w:val="left"/>
        <w:rPr>
          <w:rFonts w:hint="eastAsia" w:ascii="宋体" w:hAnsi="宋体" w:cs="宋体"/>
          <w:sz w:val="28"/>
          <w:szCs w:val="28"/>
        </w:rPr>
      </w:pPr>
      <w:r>
        <w:rPr>
          <w:rFonts w:hint="eastAsia" w:ascii="宋体" w:hAnsi="宋体" w:cs="宋体"/>
          <w:sz w:val="28"/>
          <w:szCs w:val="28"/>
        </w:rPr>
        <w:t>专用线 8线卸车区设置的机泵主要有卸车泵、扫仓泵及转输泵。</w:t>
      </w:r>
    </w:p>
    <w:p>
      <w:pPr>
        <w:pStyle w:val="121"/>
        <w:tabs>
          <w:tab w:val="left" w:pos="1403"/>
        </w:tabs>
        <w:spacing w:before="186" w:line="360" w:lineRule="auto"/>
        <w:ind w:firstLine="0" w:firstLineChars="0"/>
        <w:jc w:val="left"/>
        <w:rPr>
          <w:rFonts w:hint="eastAsia" w:ascii="宋体" w:hAnsi="宋体" w:cs="宋体"/>
          <w:sz w:val="28"/>
          <w:szCs w:val="28"/>
        </w:rPr>
      </w:pPr>
      <w:r>
        <w:rPr>
          <w:rFonts w:hint="eastAsia" w:ascii="宋体" w:hAnsi="宋体" w:cs="宋体"/>
          <w:sz w:val="28"/>
          <w:szCs w:val="28"/>
        </w:rPr>
        <w:t>机泵规格参数见表 2.5.1-2。</w:t>
      </w:r>
    </w:p>
    <w:p>
      <w:pPr>
        <w:spacing w:before="6"/>
        <w:ind w:left="146" w:right="479"/>
        <w:jc w:val="center"/>
        <w:rPr>
          <w:rFonts w:hint="eastAsia" w:ascii="宋体" w:hAnsi="宋体" w:cs="宋体"/>
          <w:sz w:val="24"/>
        </w:rPr>
      </w:pPr>
      <w:r>
        <w:rPr>
          <w:rFonts w:hint="eastAsia" w:ascii="宋体" w:hAnsi="宋体" w:cs="宋体"/>
          <w:sz w:val="24"/>
        </w:rPr>
        <w:t>表 2.5.1-2  线新增机泵规格参数表</w:t>
      </w:r>
    </w:p>
    <w:tbl>
      <w:tblPr>
        <w:tblStyle w:val="54"/>
        <w:tblW w:w="8244" w:type="dxa"/>
        <w:jc w:val="center"/>
        <w:tblInd w:w="70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0"/>
        <w:gridCol w:w="1295"/>
        <w:gridCol w:w="1155"/>
        <w:gridCol w:w="945"/>
        <w:gridCol w:w="979"/>
        <w:gridCol w:w="1350"/>
        <w:gridCol w:w="915"/>
        <w:gridCol w:w="11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jc w:val="center"/>
        </w:trPr>
        <w:tc>
          <w:tcPr>
            <w:tcW w:w="480" w:type="dxa"/>
            <w:tcBorders>
              <w:bottom w:val="single" w:color="000000" w:sz="4" w:space="0"/>
              <w:right w:val="single" w:color="000000" w:sz="4" w:space="0"/>
            </w:tcBorders>
            <w:vAlign w:val="center"/>
          </w:tcPr>
          <w:p>
            <w:pPr>
              <w:pStyle w:val="88"/>
              <w:spacing w:before="135"/>
              <w:ind w:left="28" w:right="12"/>
              <w:jc w:val="center"/>
              <w:rPr>
                <w:rFonts w:hint="eastAsia"/>
                <w:sz w:val="24"/>
                <w:lang w:val="en-US" w:bidi="ar-SA"/>
              </w:rPr>
            </w:pPr>
            <w:r>
              <w:rPr>
                <w:rFonts w:hint="eastAsia"/>
                <w:sz w:val="24"/>
                <w:lang w:val="en-US" w:bidi="ar-SA"/>
              </w:rPr>
              <w:t>序号</w:t>
            </w:r>
          </w:p>
        </w:tc>
        <w:tc>
          <w:tcPr>
            <w:tcW w:w="1295" w:type="dxa"/>
            <w:tcBorders>
              <w:left w:val="single" w:color="000000" w:sz="4" w:space="0"/>
              <w:bottom w:val="single" w:color="000000" w:sz="4" w:space="0"/>
              <w:right w:val="single" w:color="000000" w:sz="4" w:space="0"/>
            </w:tcBorders>
            <w:vAlign w:val="center"/>
          </w:tcPr>
          <w:p>
            <w:pPr>
              <w:pStyle w:val="88"/>
              <w:spacing w:before="135"/>
              <w:ind w:left="163" w:right="142"/>
              <w:jc w:val="center"/>
              <w:rPr>
                <w:rFonts w:hint="eastAsia"/>
                <w:sz w:val="24"/>
                <w:lang w:val="en-US" w:bidi="ar-SA"/>
              </w:rPr>
            </w:pPr>
            <w:r>
              <w:rPr>
                <w:rFonts w:hint="eastAsia"/>
                <w:sz w:val="24"/>
                <w:lang w:val="en-US" w:bidi="ar-SA"/>
              </w:rPr>
              <w:t>介质</w:t>
            </w:r>
          </w:p>
        </w:tc>
        <w:tc>
          <w:tcPr>
            <w:tcW w:w="1155" w:type="dxa"/>
            <w:tcBorders>
              <w:left w:val="single" w:color="000000" w:sz="4" w:space="0"/>
              <w:bottom w:val="single" w:color="000000" w:sz="4" w:space="0"/>
              <w:right w:val="single" w:color="000000" w:sz="4" w:space="0"/>
            </w:tcBorders>
            <w:vAlign w:val="center"/>
          </w:tcPr>
          <w:p>
            <w:pPr>
              <w:pStyle w:val="88"/>
              <w:spacing w:before="135"/>
              <w:ind w:right="340"/>
              <w:jc w:val="center"/>
              <w:rPr>
                <w:rFonts w:hint="eastAsia"/>
                <w:sz w:val="24"/>
                <w:lang w:val="en-US" w:bidi="ar-SA"/>
              </w:rPr>
            </w:pPr>
            <w:r>
              <w:rPr>
                <w:rFonts w:hint="eastAsia"/>
                <w:sz w:val="24"/>
                <w:lang w:val="en-US" w:bidi="ar-SA"/>
              </w:rPr>
              <w:t>泵名称</w:t>
            </w:r>
          </w:p>
        </w:tc>
        <w:tc>
          <w:tcPr>
            <w:tcW w:w="945" w:type="dxa"/>
            <w:tcBorders>
              <w:left w:val="single" w:color="000000" w:sz="4" w:space="0"/>
              <w:bottom w:val="single" w:color="000000" w:sz="4" w:space="0"/>
              <w:right w:val="single" w:color="000000" w:sz="4" w:space="0"/>
            </w:tcBorders>
            <w:vAlign w:val="center"/>
          </w:tcPr>
          <w:p>
            <w:pPr>
              <w:pStyle w:val="88"/>
              <w:spacing w:line="267" w:lineRule="exact"/>
              <w:ind w:right="93" w:firstLine="240" w:firstLineChars="100"/>
              <w:rPr>
                <w:rFonts w:hint="eastAsia"/>
                <w:sz w:val="24"/>
                <w:lang w:val="en-US" w:bidi="ar-SA"/>
              </w:rPr>
            </w:pPr>
            <w:r>
              <w:rPr>
                <w:rFonts w:hint="eastAsia"/>
                <w:sz w:val="24"/>
                <w:lang w:val="en-US" w:bidi="ar-SA"/>
              </w:rPr>
              <w:t>流量</w:t>
            </w:r>
          </w:p>
          <w:p>
            <w:pPr>
              <w:pStyle w:val="88"/>
              <w:spacing w:before="2" w:line="255" w:lineRule="exact"/>
              <w:ind w:right="98"/>
              <w:rPr>
                <w:rFonts w:hint="eastAsia"/>
                <w:sz w:val="24"/>
                <w:lang w:val="en-US" w:bidi="ar-SA"/>
              </w:rPr>
            </w:pPr>
          </w:p>
          <w:p>
            <w:pPr>
              <w:pStyle w:val="88"/>
              <w:spacing w:before="2" w:line="255" w:lineRule="exact"/>
              <w:ind w:right="98"/>
              <w:rPr>
                <w:rFonts w:hint="eastAsia"/>
                <w:sz w:val="24"/>
                <w:lang w:val="en-US" w:bidi="ar-SA"/>
              </w:rPr>
            </w:pPr>
            <w:r>
              <w:rPr>
                <w:rFonts w:hint="eastAsia"/>
                <w:sz w:val="24"/>
                <w:lang w:val="en-US" w:bidi="ar-SA"/>
              </w:rPr>
              <w:t>(m3/h）</w:t>
            </w:r>
          </w:p>
        </w:tc>
        <w:tc>
          <w:tcPr>
            <w:tcW w:w="979" w:type="dxa"/>
            <w:tcBorders>
              <w:left w:val="single" w:color="000000" w:sz="4" w:space="0"/>
              <w:bottom w:val="single" w:color="000000" w:sz="4" w:space="0"/>
              <w:right w:val="single" w:color="000000" w:sz="4" w:space="0"/>
            </w:tcBorders>
            <w:vAlign w:val="center"/>
          </w:tcPr>
          <w:p>
            <w:pPr>
              <w:pStyle w:val="88"/>
              <w:spacing w:before="135"/>
              <w:ind w:left="492" w:right="470"/>
              <w:jc w:val="center"/>
              <w:rPr>
                <w:rFonts w:hint="eastAsia"/>
                <w:sz w:val="24"/>
                <w:lang w:val="en-US" w:bidi="ar-SA"/>
              </w:rPr>
            </w:pPr>
            <w:r>
              <w:rPr>
                <w:rFonts w:hint="eastAsia"/>
                <w:sz w:val="24"/>
                <w:lang w:val="en-US" w:bidi="ar-SA"/>
              </w:rPr>
              <w:t>扬程</w:t>
            </w:r>
          </w:p>
        </w:tc>
        <w:tc>
          <w:tcPr>
            <w:tcW w:w="1350" w:type="dxa"/>
            <w:tcBorders>
              <w:left w:val="single" w:color="000000" w:sz="4" w:space="0"/>
              <w:bottom w:val="single" w:color="000000" w:sz="4" w:space="0"/>
              <w:right w:val="single" w:color="000000" w:sz="4" w:space="0"/>
            </w:tcBorders>
            <w:vAlign w:val="center"/>
          </w:tcPr>
          <w:p>
            <w:pPr>
              <w:pStyle w:val="88"/>
              <w:spacing w:line="267" w:lineRule="exact"/>
              <w:ind w:left="263"/>
              <w:jc w:val="left"/>
              <w:rPr>
                <w:rFonts w:hint="eastAsia"/>
                <w:sz w:val="24"/>
                <w:lang w:val="en-US" w:bidi="ar-SA"/>
              </w:rPr>
            </w:pPr>
            <w:r>
              <w:rPr>
                <w:rFonts w:hint="eastAsia"/>
                <w:sz w:val="24"/>
                <w:lang w:val="en-US" w:bidi="ar-SA"/>
              </w:rPr>
              <w:t>电机功率</w:t>
            </w:r>
          </w:p>
          <w:p>
            <w:pPr>
              <w:pStyle w:val="88"/>
              <w:spacing w:before="2" w:line="255" w:lineRule="exact"/>
              <w:ind w:left="323"/>
              <w:jc w:val="left"/>
              <w:rPr>
                <w:rFonts w:hint="eastAsia"/>
                <w:sz w:val="24"/>
                <w:lang w:val="en-US" w:bidi="ar-SA"/>
              </w:rPr>
            </w:pPr>
            <w:r>
              <w:rPr>
                <w:rFonts w:hint="eastAsia"/>
                <w:sz w:val="24"/>
                <w:lang w:val="en-US" w:bidi="ar-SA"/>
              </w:rPr>
              <w:t>（kW）</w:t>
            </w:r>
          </w:p>
        </w:tc>
        <w:tc>
          <w:tcPr>
            <w:tcW w:w="915" w:type="dxa"/>
            <w:tcBorders>
              <w:left w:val="single" w:color="000000" w:sz="4" w:space="0"/>
              <w:bottom w:val="single" w:color="000000" w:sz="4" w:space="0"/>
              <w:right w:val="single" w:color="000000" w:sz="4" w:space="0"/>
            </w:tcBorders>
            <w:vAlign w:val="center"/>
          </w:tcPr>
          <w:p>
            <w:pPr>
              <w:pStyle w:val="88"/>
              <w:spacing w:line="267" w:lineRule="exact"/>
              <w:ind w:left="220"/>
              <w:jc w:val="center"/>
              <w:rPr>
                <w:rFonts w:hint="eastAsia"/>
                <w:sz w:val="24"/>
                <w:lang w:val="en-US" w:bidi="ar-SA"/>
              </w:rPr>
            </w:pPr>
            <w:r>
              <w:rPr>
                <w:rFonts w:hint="eastAsia"/>
                <w:sz w:val="24"/>
                <w:lang w:val="en-US" w:bidi="ar-SA"/>
              </w:rPr>
              <w:t>数量</w:t>
            </w:r>
          </w:p>
          <w:p>
            <w:pPr>
              <w:pStyle w:val="88"/>
              <w:spacing w:before="2" w:line="255" w:lineRule="exact"/>
              <w:ind w:left="114"/>
              <w:jc w:val="center"/>
              <w:rPr>
                <w:rFonts w:hint="eastAsia"/>
                <w:sz w:val="24"/>
                <w:lang w:val="en-US" w:bidi="ar-SA"/>
              </w:rPr>
            </w:pPr>
            <w:r>
              <w:rPr>
                <w:rFonts w:hint="eastAsia"/>
                <w:sz w:val="24"/>
                <w:lang w:val="en-US" w:bidi="ar-SA"/>
              </w:rPr>
              <w:t>（台）</w:t>
            </w:r>
          </w:p>
        </w:tc>
        <w:tc>
          <w:tcPr>
            <w:tcW w:w="1125" w:type="dxa"/>
            <w:tcBorders>
              <w:left w:val="single" w:color="000000" w:sz="4" w:space="0"/>
              <w:bottom w:val="single" w:color="000000" w:sz="4" w:space="0"/>
            </w:tcBorders>
            <w:vAlign w:val="center"/>
          </w:tcPr>
          <w:p>
            <w:pPr>
              <w:pStyle w:val="88"/>
              <w:spacing w:before="135"/>
              <w:ind w:left="303" w:right="276"/>
              <w:jc w:val="center"/>
              <w:rPr>
                <w:rFonts w:hint="eastAsia"/>
                <w:sz w:val="24"/>
                <w:lang w:val="en-US" w:bidi="ar-SA"/>
              </w:rPr>
            </w:pPr>
            <w:r>
              <w:rPr>
                <w:rFonts w:hint="eastAsia"/>
                <w:sz w:val="24"/>
                <w:lang w:val="en-US" w:bidi="ar-SA"/>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3" w:hRule="atLeast"/>
          <w:jc w:val="center"/>
        </w:trPr>
        <w:tc>
          <w:tcPr>
            <w:tcW w:w="480" w:type="dxa"/>
            <w:tcBorders>
              <w:top w:val="single" w:color="000000" w:sz="4" w:space="0"/>
              <w:bottom w:val="single" w:color="000000" w:sz="4" w:space="0"/>
              <w:right w:val="single" w:color="000000" w:sz="4" w:space="0"/>
            </w:tcBorders>
            <w:vAlign w:val="center"/>
          </w:tcPr>
          <w:p>
            <w:pPr>
              <w:pStyle w:val="88"/>
              <w:spacing w:before="84"/>
              <w:ind w:left="11"/>
              <w:jc w:val="center"/>
              <w:rPr>
                <w:rFonts w:hint="eastAsia"/>
                <w:sz w:val="24"/>
                <w:lang w:val="en-US" w:bidi="ar-SA"/>
              </w:rPr>
            </w:pPr>
            <w:r>
              <w:rPr>
                <w:rFonts w:hint="eastAsia"/>
                <w:sz w:val="24"/>
                <w:lang w:val="en-US" w:bidi="ar-SA"/>
              </w:rPr>
              <w:t>1</w:t>
            </w:r>
          </w:p>
        </w:tc>
        <w:tc>
          <w:tcPr>
            <w:tcW w:w="1295" w:type="dxa"/>
            <w:tcBorders>
              <w:top w:val="single" w:color="000000" w:sz="4" w:space="0"/>
              <w:left w:val="single" w:color="000000" w:sz="4" w:space="0"/>
              <w:bottom w:val="single" w:color="000000" w:sz="4" w:space="0"/>
              <w:right w:val="single" w:color="000000" w:sz="4" w:space="0"/>
            </w:tcBorders>
            <w:vAlign w:val="center"/>
          </w:tcPr>
          <w:p>
            <w:pPr>
              <w:pStyle w:val="88"/>
              <w:spacing w:before="89"/>
              <w:ind w:left="165" w:right="142"/>
              <w:jc w:val="center"/>
              <w:rPr>
                <w:rFonts w:hint="eastAsia"/>
                <w:sz w:val="24"/>
                <w:lang w:val="en-US" w:bidi="ar-SA"/>
              </w:rPr>
            </w:pPr>
            <w:r>
              <w:rPr>
                <w:rFonts w:hint="eastAsia"/>
                <w:sz w:val="24"/>
                <w:lang w:val="en-US" w:bidi="ar-SA"/>
              </w:rPr>
              <w:t>对二甲苯</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88"/>
              <w:spacing w:before="89"/>
              <w:ind w:right="340"/>
              <w:jc w:val="center"/>
              <w:rPr>
                <w:rFonts w:hint="eastAsia"/>
                <w:sz w:val="24"/>
                <w:lang w:val="en-US" w:bidi="ar-SA"/>
              </w:rPr>
            </w:pPr>
            <w:r>
              <w:rPr>
                <w:rFonts w:hint="eastAsia"/>
                <w:sz w:val="24"/>
                <w:lang w:val="en-US" w:bidi="ar-SA"/>
              </w:rPr>
              <w:t>卸车泵</w:t>
            </w:r>
          </w:p>
        </w:tc>
        <w:tc>
          <w:tcPr>
            <w:tcW w:w="945" w:type="dxa"/>
            <w:tcBorders>
              <w:top w:val="single" w:color="000000" w:sz="4" w:space="0"/>
              <w:left w:val="single" w:color="000000" w:sz="4" w:space="0"/>
              <w:bottom w:val="single" w:color="000000" w:sz="4" w:space="0"/>
              <w:right w:val="single" w:color="000000" w:sz="4" w:space="0"/>
            </w:tcBorders>
            <w:vAlign w:val="center"/>
          </w:tcPr>
          <w:p>
            <w:pPr>
              <w:pStyle w:val="88"/>
              <w:spacing w:before="84"/>
              <w:ind w:left="387"/>
              <w:jc w:val="left"/>
              <w:rPr>
                <w:rFonts w:hint="eastAsia"/>
                <w:sz w:val="24"/>
                <w:lang w:val="en-US" w:bidi="ar-SA"/>
              </w:rPr>
            </w:pPr>
            <w:r>
              <w:rPr>
                <w:rFonts w:hint="eastAsia"/>
                <w:sz w:val="24"/>
                <w:lang w:val="en-US" w:bidi="ar-SA"/>
              </w:rPr>
              <w:t>150</w:t>
            </w:r>
          </w:p>
        </w:tc>
        <w:tc>
          <w:tcPr>
            <w:tcW w:w="979" w:type="dxa"/>
            <w:tcBorders>
              <w:top w:val="single" w:color="000000" w:sz="4" w:space="0"/>
              <w:left w:val="single" w:color="000000" w:sz="4" w:space="0"/>
              <w:bottom w:val="single" w:color="000000" w:sz="4" w:space="0"/>
              <w:right w:val="single" w:color="000000" w:sz="4" w:space="0"/>
            </w:tcBorders>
            <w:vAlign w:val="center"/>
          </w:tcPr>
          <w:p>
            <w:pPr>
              <w:pStyle w:val="88"/>
              <w:spacing w:before="84"/>
              <w:ind w:right="470"/>
              <w:jc w:val="center"/>
              <w:rPr>
                <w:rFonts w:hint="eastAsia"/>
                <w:sz w:val="24"/>
                <w:lang w:val="en-US" w:bidi="ar-SA"/>
              </w:rPr>
            </w:pPr>
            <w:r>
              <w:rPr>
                <w:rFonts w:hint="eastAsia"/>
                <w:sz w:val="24"/>
                <w:lang w:val="en-US" w:bidi="ar-SA"/>
              </w:rPr>
              <w:t>0.6m</w:t>
            </w:r>
          </w:p>
        </w:tc>
        <w:tc>
          <w:tcPr>
            <w:tcW w:w="1350" w:type="dxa"/>
            <w:tcBorders>
              <w:top w:val="single" w:color="000000" w:sz="4" w:space="0"/>
              <w:left w:val="single" w:color="000000" w:sz="4" w:space="0"/>
              <w:bottom w:val="single" w:color="000000" w:sz="4" w:space="0"/>
              <w:right w:val="single" w:color="000000" w:sz="4" w:space="0"/>
            </w:tcBorders>
            <w:vAlign w:val="center"/>
          </w:tcPr>
          <w:p>
            <w:pPr>
              <w:pStyle w:val="88"/>
              <w:spacing w:before="84"/>
              <w:ind w:left="577"/>
              <w:jc w:val="left"/>
              <w:rPr>
                <w:rFonts w:hint="eastAsia"/>
                <w:sz w:val="24"/>
                <w:lang w:val="en-US" w:bidi="ar-SA"/>
              </w:rPr>
            </w:pPr>
            <w:r>
              <w:rPr>
                <w:rFonts w:hint="eastAsia"/>
                <w:sz w:val="24"/>
                <w:lang w:val="en-US" w:bidi="ar-SA"/>
              </w:rPr>
              <w:t>45</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88"/>
              <w:spacing w:before="84"/>
              <w:ind w:left="110" w:right="94"/>
              <w:jc w:val="center"/>
              <w:rPr>
                <w:rFonts w:hint="eastAsia"/>
                <w:sz w:val="24"/>
                <w:lang w:val="en-US" w:bidi="ar-SA"/>
              </w:rPr>
            </w:pPr>
            <w:r>
              <w:rPr>
                <w:rFonts w:hint="eastAsia"/>
                <w:sz w:val="24"/>
                <w:lang w:val="en-US" w:bidi="ar-SA"/>
              </w:rPr>
              <w:t>10</w:t>
            </w:r>
          </w:p>
        </w:tc>
        <w:tc>
          <w:tcPr>
            <w:tcW w:w="1125" w:type="dxa"/>
            <w:tcBorders>
              <w:top w:val="single" w:color="000000" w:sz="4" w:space="0"/>
              <w:left w:val="single" w:color="000000" w:sz="4" w:space="0"/>
              <w:bottom w:val="single" w:color="000000" w:sz="4" w:space="0"/>
            </w:tcBorders>
            <w:vAlign w:val="center"/>
          </w:tcPr>
          <w:p>
            <w:pPr>
              <w:pStyle w:val="88"/>
              <w:spacing w:before="89"/>
              <w:ind w:right="276"/>
              <w:jc w:val="center"/>
              <w:rPr>
                <w:rFonts w:hint="eastAsia"/>
                <w:sz w:val="24"/>
                <w:lang w:val="en-US" w:bidi="ar-SA"/>
              </w:rPr>
            </w:pPr>
            <w:r>
              <w:rPr>
                <w:rFonts w:hint="eastAsia"/>
                <w:sz w:val="24"/>
                <w:lang w:val="en-US" w:bidi="ar-SA"/>
              </w:rPr>
              <w:t>转子泵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5" w:hRule="atLeast"/>
          <w:jc w:val="center"/>
        </w:trPr>
        <w:tc>
          <w:tcPr>
            <w:tcW w:w="480" w:type="dxa"/>
            <w:tcBorders>
              <w:top w:val="single" w:color="000000" w:sz="4" w:space="0"/>
              <w:bottom w:val="single" w:color="000000" w:sz="4" w:space="0"/>
              <w:right w:val="single" w:color="000000" w:sz="4" w:space="0"/>
            </w:tcBorders>
            <w:vAlign w:val="center"/>
          </w:tcPr>
          <w:p>
            <w:pPr>
              <w:pStyle w:val="88"/>
              <w:spacing w:before="87"/>
              <w:ind w:left="11"/>
              <w:jc w:val="center"/>
              <w:rPr>
                <w:rFonts w:hint="eastAsia"/>
                <w:sz w:val="24"/>
                <w:lang w:val="en-US" w:bidi="ar-SA"/>
              </w:rPr>
            </w:pPr>
            <w:r>
              <w:rPr>
                <w:rFonts w:hint="eastAsia"/>
                <w:sz w:val="24"/>
                <w:lang w:val="en-US" w:bidi="ar-SA"/>
              </w:rPr>
              <w:t>2</w:t>
            </w:r>
          </w:p>
        </w:tc>
        <w:tc>
          <w:tcPr>
            <w:tcW w:w="1295" w:type="dxa"/>
            <w:tcBorders>
              <w:top w:val="single" w:color="000000" w:sz="4" w:space="0"/>
              <w:left w:val="single" w:color="000000" w:sz="4" w:space="0"/>
              <w:bottom w:val="single" w:color="000000" w:sz="4" w:space="0"/>
              <w:right w:val="single" w:color="000000" w:sz="4" w:space="0"/>
            </w:tcBorders>
            <w:vAlign w:val="center"/>
          </w:tcPr>
          <w:p>
            <w:pPr>
              <w:pStyle w:val="88"/>
              <w:spacing w:before="89"/>
              <w:ind w:left="165" w:right="142"/>
              <w:jc w:val="center"/>
              <w:rPr>
                <w:rFonts w:hint="eastAsia"/>
                <w:sz w:val="24"/>
                <w:lang w:val="en-US" w:bidi="ar-SA"/>
              </w:rPr>
            </w:pPr>
            <w:r>
              <w:rPr>
                <w:rFonts w:hint="eastAsia"/>
                <w:sz w:val="24"/>
                <w:lang w:val="en-US" w:bidi="ar-SA"/>
              </w:rPr>
              <w:t>对二甲苯</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88"/>
              <w:spacing w:before="89"/>
              <w:ind w:right="340"/>
              <w:jc w:val="center"/>
              <w:rPr>
                <w:rFonts w:hint="eastAsia"/>
                <w:sz w:val="24"/>
                <w:lang w:val="en-US" w:bidi="ar-SA"/>
              </w:rPr>
            </w:pPr>
            <w:r>
              <w:rPr>
                <w:rFonts w:hint="eastAsia"/>
                <w:sz w:val="24"/>
                <w:lang w:val="en-US" w:bidi="ar-SA"/>
              </w:rPr>
              <w:t>扫仓泵</w:t>
            </w:r>
          </w:p>
        </w:tc>
        <w:tc>
          <w:tcPr>
            <w:tcW w:w="945" w:type="dxa"/>
            <w:tcBorders>
              <w:top w:val="single" w:color="000000" w:sz="4" w:space="0"/>
              <w:left w:val="single" w:color="000000" w:sz="4" w:space="0"/>
              <w:bottom w:val="single" w:color="000000" w:sz="4" w:space="0"/>
              <w:right w:val="single" w:color="000000" w:sz="4" w:space="0"/>
            </w:tcBorders>
            <w:vAlign w:val="center"/>
          </w:tcPr>
          <w:p>
            <w:pPr>
              <w:pStyle w:val="88"/>
              <w:spacing w:before="87"/>
              <w:ind w:left="438"/>
              <w:jc w:val="left"/>
              <w:rPr>
                <w:rFonts w:hint="eastAsia"/>
                <w:sz w:val="24"/>
                <w:lang w:val="en-US" w:bidi="ar-SA"/>
              </w:rPr>
            </w:pPr>
            <w:r>
              <w:rPr>
                <w:rFonts w:hint="eastAsia"/>
                <w:sz w:val="24"/>
                <w:lang w:val="en-US" w:bidi="ar-SA"/>
              </w:rPr>
              <w:t>30</w:t>
            </w:r>
          </w:p>
        </w:tc>
        <w:tc>
          <w:tcPr>
            <w:tcW w:w="979" w:type="dxa"/>
            <w:tcBorders>
              <w:top w:val="single" w:color="000000" w:sz="4" w:space="0"/>
              <w:left w:val="single" w:color="000000" w:sz="4" w:space="0"/>
              <w:bottom w:val="single" w:color="000000" w:sz="4" w:space="0"/>
              <w:right w:val="single" w:color="000000" w:sz="4" w:space="0"/>
            </w:tcBorders>
            <w:vAlign w:val="center"/>
          </w:tcPr>
          <w:p>
            <w:pPr>
              <w:pStyle w:val="88"/>
              <w:spacing w:before="87"/>
              <w:ind w:right="470"/>
              <w:jc w:val="center"/>
              <w:rPr>
                <w:rFonts w:hint="eastAsia"/>
                <w:sz w:val="24"/>
                <w:lang w:val="en-US" w:bidi="ar-SA"/>
              </w:rPr>
            </w:pPr>
            <w:r>
              <w:rPr>
                <w:rFonts w:hint="eastAsia"/>
                <w:sz w:val="24"/>
                <w:lang w:val="en-US" w:bidi="ar-SA"/>
              </w:rPr>
              <w:t>30m</w:t>
            </w:r>
          </w:p>
        </w:tc>
        <w:tc>
          <w:tcPr>
            <w:tcW w:w="1350" w:type="dxa"/>
            <w:tcBorders>
              <w:top w:val="single" w:color="000000" w:sz="4" w:space="0"/>
              <w:left w:val="single" w:color="000000" w:sz="4" w:space="0"/>
              <w:bottom w:val="single" w:color="000000" w:sz="4" w:space="0"/>
              <w:right w:val="single" w:color="000000" w:sz="4" w:space="0"/>
            </w:tcBorders>
            <w:vAlign w:val="center"/>
          </w:tcPr>
          <w:p>
            <w:pPr>
              <w:pStyle w:val="88"/>
              <w:spacing w:before="87"/>
              <w:ind w:left="553"/>
              <w:jc w:val="left"/>
              <w:rPr>
                <w:rFonts w:hint="eastAsia"/>
                <w:sz w:val="24"/>
                <w:lang w:val="en-US" w:bidi="ar-SA"/>
              </w:rPr>
            </w:pPr>
            <w:r>
              <w:rPr>
                <w:rFonts w:hint="eastAsia"/>
                <w:sz w:val="24"/>
                <w:lang w:val="en-US" w:bidi="ar-SA"/>
              </w:rPr>
              <w:t>7.5</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88"/>
              <w:spacing w:before="87"/>
              <w:ind w:left="16"/>
              <w:jc w:val="center"/>
              <w:rPr>
                <w:rFonts w:hint="eastAsia"/>
                <w:sz w:val="24"/>
                <w:lang w:val="en-US" w:bidi="ar-SA"/>
              </w:rPr>
            </w:pPr>
            <w:r>
              <w:rPr>
                <w:rFonts w:hint="eastAsia"/>
                <w:sz w:val="24"/>
                <w:lang w:val="en-US" w:bidi="ar-SA"/>
              </w:rPr>
              <w:t>5</w:t>
            </w:r>
          </w:p>
        </w:tc>
        <w:tc>
          <w:tcPr>
            <w:tcW w:w="1125" w:type="dxa"/>
            <w:tcBorders>
              <w:top w:val="single" w:color="000000" w:sz="4" w:space="0"/>
              <w:left w:val="single" w:color="000000" w:sz="4" w:space="0"/>
              <w:bottom w:val="single" w:color="000000" w:sz="4" w:space="0"/>
            </w:tcBorders>
            <w:vAlign w:val="center"/>
          </w:tcPr>
          <w:p>
            <w:pPr>
              <w:pStyle w:val="88"/>
              <w:spacing w:before="89"/>
              <w:ind w:right="276"/>
              <w:jc w:val="center"/>
              <w:rPr>
                <w:rFonts w:hint="eastAsia"/>
                <w:sz w:val="24"/>
                <w:lang w:val="en-US" w:bidi="ar-SA"/>
              </w:rPr>
            </w:pPr>
            <w:r>
              <w:rPr>
                <w:rFonts w:hint="eastAsia"/>
                <w:sz w:val="24"/>
                <w:lang w:val="en-US" w:bidi="ar-SA"/>
              </w:rPr>
              <w:t>转子泵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3" w:hRule="atLeast"/>
          <w:jc w:val="center"/>
        </w:trPr>
        <w:tc>
          <w:tcPr>
            <w:tcW w:w="480" w:type="dxa"/>
            <w:tcBorders>
              <w:top w:val="single" w:color="000000" w:sz="4" w:space="0"/>
              <w:right w:val="single" w:color="000000" w:sz="4" w:space="0"/>
            </w:tcBorders>
            <w:vAlign w:val="center"/>
          </w:tcPr>
          <w:p>
            <w:pPr>
              <w:pStyle w:val="88"/>
              <w:spacing w:before="85"/>
              <w:ind w:left="11"/>
              <w:jc w:val="center"/>
              <w:rPr>
                <w:rFonts w:hint="eastAsia"/>
                <w:sz w:val="24"/>
                <w:lang w:val="en-US" w:bidi="ar-SA"/>
              </w:rPr>
            </w:pPr>
            <w:r>
              <w:rPr>
                <w:rFonts w:hint="eastAsia"/>
                <w:sz w:val="24"/>
                <w:lang w:val="en-US" w:bidi="ar-SA"/>
              </w:rPr>
              <w:t>3</w:t>
            </w:r>
          </w:p>
        </w:tc>
        <w:tc>
          <w:tcPr>
            <w:tcW w:w="1295" w:type="dxa"/>
            <w:tcBorders>
              <w:top w:val="single" w:color="000000" w:sz="4" w:space="0"/>
              <w:left w:val="single" w:color="000000" w:sz="4" w:space="0"/>
              <w:right w:val="single" w:color="000000" w:sz="4" w:space="0"/>
            </w:tcBorders>
            <w:vAlign w:val="center"/>
          </w:tcPr>
          <w:p>
            <w:pPr>
              <w:pStyle w:val="88"/>
              <w:spacing w:before="90"/>
              <w:ind w:left="165" w:right="142"/>
              <w:jc w:val="center"/>
              <w:rPr>
                <w:rFonts w:hint="eastAsia"/>
                <w:sz w:val="24"/>
                <w:lang w:val="en-US" w:bidi="ar-SA"/>
              </w:rPr>
            </w:pPr>
            <w:r>
              <w:rPr>
                <w:rFonts w:hint="eastAsia"/>
                <w:sz w:val="24"/>
                <w:lang w:val="en-US" w:bidi="ar-SA"/>
              </w:rPr>
              <w:t>对二甲苯</w:t>
            </w:r>
          </w:p>
        </w:tc>
        <w:tc>
          <w:tcPr>
            <w:tcW w:w="1155" w:type="dxa"/>
            <w:tcBorders>
              <w:top w:val="single" w:color="000000" w:sz="4" w:space="0"/>
              <w:left w:val="single" w:color="000000" w:sz="4" w:space="0"/>
              <w:right w:val="single" w:color="000000" w:sz="4" w:space="0"/>
            </w:tcBorders>
            <w:vAlign w:val="center"/>
          </w:tcPr>
          <w:p>
            <w:pPr>
              <w:pStyle w:val="88"/>
              <w:spacing w:before="90"/>
              <w:ind w:right="340"/>
              <w:jc w:val="center"/>
              <w:rPr>
                <w:rFonts w:hint="eastAsia"/>
                <w:sz w:val="24"/>
                <w:lang w:val="en-US" w:bidi="ar-SA"/>
              </w:rPr>
            </w:pPr>
            <w:r>
              <w:rPr>
                <w:rFonts w:hint="eastAsia"/>
                <w:sz w:val="24"/>
                <w:lang w:val="en-US" w:bidi="ar-SA"/>
              </w:rPr>
              <w:t>转输泵</w:t>
            </w:r>
          </w:p>
        </w:tc>
        <w:tc>
          <w:tcPr>
            <w:tcW w:w="945" w:type="dxa"/>
            <w:tcBorders>
              <w:top w:val="single" w:color="000000" w:sz="4" w:space="0"/>
              <w:left w:val="single" w:color="000000" w:sz="4" w:space="0"/>
              <w:right w:val="single" w:color="000000" w:sz="4" w:space="0"/>
            </w:tcBorders>
            <w:vAlign w:val="center"/>
          </w:tcPr>
          <w:p>
            <w:pPr>
              <w:pStyle w:val="88"/>
              <w:spacing w:before="85"/>
              <w:ind w:left="387"/>
              <w:jc w:val="left"/>
              <w:rPr>
                <w:rFonts w:hint="eastAsia"/>
                <w:sz w:val="24"/>
                <w:lang w:val="en-US" w:bidi="ar-SA"/>
              </w:rPr>
            </w:pPr>
            <w:r>
              <w:rPr>
                <w:rFonts w:hint="eastAsia"/>
                <w:sz w:val="24"/>
                <w:lang w:val="en-US" w:bidi="ar-SA"/>
              </w:rPr>
              <w:t>300</w:t>
            </w:r>
          </w:p>
        </w:tc>
        <w:tc>
          <w:tcPr>
            <w:tcW w:w="979" w:type="dxa"/>
            <w:tcBorders>
              <w:top w:val="single" w:color="000000" w:sz="4" w:space="0"/>
              <w:left w:val="single" w:color="000000" w:sz="4" w:space="0"/>
              <w:right w:val="single" w:color="000000" w:sz="4" w:space="0"/>
            </w:tcBorders>
            <w:vAlign w:val="center"/>
          </w:tcPr>
          <w:p>
            <w:pPr>
              <w:pStyle w:val="88"/>
              <w:spacing w:before="85"/>
              <w:ind w:right="470"/>
              <w:jc w:val="center"/>
              <w:rPr>
                <w:rFonts w:hint="eastAsia"/>
                <w:sz w:val="24"/>
                <w:lang w:val="en-US" w:bidi="ar-SA"/>
              </w:rPr>
            </w:pPr>
            <w:r>
              <w:rPr>
                <w:rFonts w:hint="eastAsia"/>
                <w:sz w:val="24"/>
                <w:lang w:val="en-US" w:bidi="ar-SA"/>
              </w:rPr>
              <w:t>80</w:t>
            </w:r>
          </w:p>
        </w:tc>
        <w:tc>
          <w:tcPr>
            <w:tcW w:w="1350" w:type="dxa"/>
            <w:tcBorders>
              <w:top w:val="single" w:color="000000" w:sz="4" w:space="0"/>
              <w:left w:val="single" w:color="000000" w:sz="4" w:space="0"/>
              <w:right w:val="single" w:color="000000" w:sz="4" w:space="0"/>
            </w:tcBorders>
            <w:vAlign w:val="center"/>
          </w:tcPr>
          <w:p>
            <w:pPr>
              <w:pStyle w:val="88"/>
              <w:spacing w:before="85"/>
              <w:ind w:left="527"/>
              <w:jc w:val="left"/>
              <w:rPr>
                <w:rFonts w:hint="eastAsia"/>
                <w:sz w:val="24"/>
                <w:lang w:val="en-US" w:bidi="ar-SA"/>
              </w:rPr>
            </w:pPr>
            <w:r>
              <w:rPr>
                <w:rFonts w:hint="eastAsia"/>
                <w:sz w:val="24"/>
                <w:lang w:val="en-US" w:bidi="ar-SA"/>
              </w:rPr>
              <w:t>110</w:t>
            </w:r>
          </w:p>
        </w:tc>
        <w:tc>
          <w:tcPr>
            <w:tcW w:w="915" w:type="dxa"/>
            <w:tcBorders>
              <w:top w:val="single" w:color="000000" w:sz="4" w:space="0"/>
              <w:left w:val="single" w:color="000000" w:sz="4" w:space="0"/>
              <w:right w:val="single" w:color="000000" w:sz="4" w:space="0"/>
            </w:tcBorders>
            <w:vAlign w:val="center"/>
          </w:tcPr>
          <w:p>
            <w:pPr>
              <w:pStyle w:val="88"/>
              <w:spacing w:before="85"/>
              <w:ind w:left="16"/>
              <w:jc w:val="center"/>
              <w:rPr>
                <w:rFonts w:hint="eastAsia"/>
                <w:sz w:val="24"/>
                <w:lang w:val="en-US" w:bidi="ar-SA"/>
              </w:rPr>
            </w:pPr>
            <w:r>
              <w:rPr>
                <w:rFonts w:hint="eastAsia"/>
                <w:sz w:val="24"/>
                <w:lang w:val="en-US" w:bidi="ar-SA"/>
              </w:rPr>
              <w:t>3</w:t>
            </w:r>
          </w:p>
        </w:tc>
        <w:tc>
          <w:tcPr>
            <w:tcW w:w="1125" w:type="dxa"/>
            <w:tcBorders>
              <w:top w:val="single" w:color="000000" w:sz="4" w:space="0"/>
              <w:left w:val="single" w:color="000000" w:sz="4" w:space="0"/>
            </w:tcBorders>
            <w:vAlign w:val="center"/>
          </w:tcPr>
          <w:p>
            <w:pPr>
              <w:pStyle w:val="88"/>
              <w:spacing w:before="90"/>
              <w:ind w:right="276"/>
              <w:jc w:val="center"/>
              <w:rPr>
                <w:rFonts w:hint="eastAsia"/>
                <w:sz w:val="24"/>
                <w:lang w:val="en-US" w:bidi="ar-SA"/>
              </w:rPr>
            </w:pPr>
            <w:r>
              <w:rPr>
                <w:rFonts w:hint="eastAsia"/>
                <w:sz w:val="24"/>
                <w:lang w:val="en-US" w:bidi="ar-SA"/>
              </w:rPr>
              <w:t>离心泵</w:t>
            </w:r>
          </w:p>
        </w:tc>
      </w:tr>
    </w:tbl>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3）缓冲罐</w:t>
      </w:r>
    </w:p>
    <w:p>
      <w:pPr>
        <w:pStyle w:val="16"/>
        <w:spacing w:before="186" w:line="364" w:lineRule="auto"/>
        <w:ind w:left="210" w:leftChars="100" w:right="315" w:firstLine="55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专用线 8 线新增对二甲苯缓冲罐 2 座，缓冲罐为拱顶罐，设置氮气系统进行密封，设蒸汽系统对储罐加热，氮气及蒸汽均通过管道从企业厂区输送至缓冲罐区。2 座缓冲罐分别布置在 2 个防火堤内，储罐间距 3m，防火堤距罐壁的距离（3.2m）大于储罐罐壁高度的 1/2。</w:t>
      </w:r>
    </w:p>
    <w:tbl>
      <w:tblPr>
        <w:tblStyle w:val="54"/>
        <w:tblpPr w:leftFromText="180" w:rightFromText="180" w:vertAnchor="text" w:horzAnchor="page" w:tblpX="2069" w:tblpY="308"/>
        <w:tblOverlap w:val="never"/>
        <w:tblW w:w="788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0"/>
        <w:gridCol w:w="1392"/>
        <w:gridCol w:w="1085"/>
        <w:gridCol w:w="975"/>
        <w:gridCol w:w="1230"/>
        <w:gridCol w:w="1343"/>
        <w:gridCol w:w="11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7" w:hRule="atLeast"/>
        </w:trPr>
        <w:tc>
          <w:tcPr>
            <w:tcW w:w="750" w:type="dxa"/>
            <w:tcBorders>
              <w:bottom w:val="single" w:color="000000" w:sz="4" w:space="0"/>
              <w:right w:val="single" w:color="000000" w:sz="4" w:space="0"/>
            </w:tcBorders>
            <w:vAlign w:val="top"/>
          </w:tcPr>
          <w:p>
            <w:pPr>
              <w:pStyle w:val="88"/>
              <w:spacing w:before="136"/>
              <w:ind w:left="194" w:right="181"/>
              <w:jc w:val="center"/>
              <w:rPr>
                <w:rFonts w:hint="eastAsia"/>
                <w:sz w:val="24"/>
                <w:lang w:val="en-US" w:bidi="ar-SA"/>
              </w:rPr>
            </w:pPr>
            <w:r>
              <w:rPr>
                <w:rFonts w:hint="eastAsia"/>
                <w:sz w:val="24"/>
                <w:lang w:val="en-US" w:bidi="ar-SA"/>
              </w:rPr>
              <w:t>序号</w:t>
            </w:r>
          </w:p>
        </w:tc>
        <w:tc>
          <w:tcPr>
            <w:tcW w:w="1392" w:type="dxa"/>
            <w:tcBorders>
              <w:left w:val="single" w:color="000000" w:sz="4" w:space="0"/>
              <w:bottom w:val="single" w:color="000000" w:sz="4" w:space="0"/>
              <w:right w:val="single" w:color="000000" w:sz="4" w:space="0"/>
            </w:tcBorders>
            <w:vAlign w:val="top"/>
          </w:tcPr>
          <w:p>
            <w:pPr>
              <w:pStyle w:val="88"/>
              <w:spacing w:before="136"/>
              <w:ind w:left="120" w:right="103"/>
              <w:jc w:val="center"/>
              <w:rPr>
                <w:rFonts w:hint="eastAsia"/>
                <w:sz w:val="24"/>
                <w:lang w:val="en-US" w:bidi="ar-SA"/>
              </w:rPr>
            </w:pPr>
            <w:r>
              <w:rPr>
                <w:rFonts w:hint="eastAsia"/>
                <w:sz w:val="24"/>
                <w:lang w:val="en-US" w:bidi="ar-SA"/>
              </w:rPr>
              <w:t>储罐名称</w:t>
            </w:r>
          </w:p>
        </w:tc>
        <w:tc>
          <w:tcPr>
            <w:tcW w:w="1085" w:type="dxa"/>
            <w:tcBorders>
              <w:left w:val="single" w:color="000000" w:sz="4" w:space="0"/>
              <w:bottom w:val="single" w:color="000000" w:sz="4" w:space="0"/>
              <w:right w:val="single" w:color="000000" w:sz="4" w:space="0"/>
            </w:tcBorders>
            <w:vAlign w:val="top"/>
          </w:tcPr>
          <w:p>
            <w:pPr>
              <w:pStyle w:val="88"/>
              <w:spacing w:before="136"/>
              <w:ind w:left="123"/>
              <w:rPr>
                <w:rFonts w:hint="eastAsia"/>
                <w:sz w:val="24"/>
                <w:lang w:val="en-US" w:bidi="ar-SA"/>
              </w:rPr>
            </w:pPr>
            <w:r>
              <w:rPr>
                <w:rFonts w:hint="eastAsia"/>
                <w:sz w:val="24"/>
                <w:lang w:val="en-US" w:bidi="ar-SA"/>
              </w:rPr>
              <w:t>储罐型式</w:t>
            </w:r>
          </w:p>
        </w:tc>
        <w:tc>
          <w:tcPr>
            <w:tcW w:w="975" w:type="dxa"/>
            <w:tcBorders>
              <w:left w:val="single" w:color="000000" w:sz="4" w:space="0"/>
              <w:bottom w:val="single" w:color="000000" w:sz="4" w:space="0"/>
              <w:right w:val="single" w:color="000000" w:sz="4" w:space="0"/>
            </w:tcBorders>
            <w:vAlign w:val="top"/>
          </w:tcPr>
          <w:p>
            <w:pPr>
              <w:pStyle w:val="88"/>
              <w:spacing w:before="1"/>
              <w:ind w:right="319"/>
              <w:jc w:val="center"/>
              <w:rPr>
                <w:rFonts w:hint="eastAsia"/>
                <w:sz w:val="24"/>
                <w:lang w:val="en-US" w:bidi="ar-SA"/>
              </w:rPr>
            </w:pPr>
            <w:r>
              <w:rPr>
                <w:rFonts w:hint="eastAsia"/>
                <w:sz w:val="24"/>
                <w:lang w:val="en-US" w:bidi="ar-SA"/>
              </w:rPr>
              <w:t>容积</w:t>
            </w:r>
          </w:p>
          <w:p>
            <w:pPr>
              <w:pStyle w:val="88"/>
              <w:spacing w:before="2" w:line="255" w:lineRule="exact"/>
              <w:ind w:right="323"/>
              <w:jc w:val="center"/>
              <w:rPr>
                <w:rFonts w:hint="eastAsia"/>
                <w:sz w:val="24"/>
                <w:lang w:val="en-US" w:bidi="ar-SA"/>
              </w:rPr>
            </w:pPr>
            <w:r>
              <w:rPr>
                <w:rFonts w:hint="eastAsia"/>
                <w:sz w:val="24"/>
                <w:lang w:val="en-US" w:bidi="ar-SA"/>
              </w:rPr>
              <w:t>（m3）</w:t>
            </w:r>
          </w:p>
        </w:tc>
        <w:tc>
          <w:tcPr>
            <w:tcW w:w="1230" w:type="dxa"/>
            <w:tcBorders>
              <w:left w:val="single" w:color="000000" w:sz="4" w:space="0"/>
              <w:bottom w:val="single" w:color="000000" w:sz="4" w:space="0"/>
              <w:right w:val="single" w:color="000000" w:sz="4" w:space="0"/>
            </w:tcBorders>
            <w:vAlign w:val="top"/>
          </w:tcPr>
          <w:p>
            <w:pPr>
              <w:pStyle w:val="88"/>
              <w:spacing w:before="1"/>
              <w:ind w:left="66" w:right="52"/>
              <w:jc w:val="center"/>
              <w:rPr>
                <w:rFonts w:hint="eastAsia"/>
                <w:sz w:val="24"/>
                <w:lang w:val="en-US" w:bidi="ar-SA"/>
              </w:rPr>
            </w:pPr>
            <w:r>
              <w:rPr>
                <w:rFonts w:hint="eastAsia"/>
                <w:sz w:val="24"/>
                <w:lang w:val="en-US" w:bidi="ar-SA"/>
              </w:rPr>
              <w:t>储罐直径</w:t>
            </w:r>
          </w:p>
          <w:p>
            <w:pPr>
              <w:pStyle w:val="88"/>
              <w:spacing w:before="2" w:line="255" w:lineRule="exact"/>
              <w:ind w:left="66" w:right="51"/>
              <w:jc w:val="center"/>
              <w:rPr>
                <w:rFonts w:hint="eastAsia"/>
                <w:sz w:val="24"/>
                <w:lang w:val="en-US" w:bidi="ar-SA"/>
              </w:rPr>
            </w:pPr>
            <w:r>
              <w:rPr>
                <w:rFonts w:hint="eastAsia"/>
                <w:sz w:val="24"/>
                <w:lang w:val="en-US" w:bidi="ar-SA"/>
              </w:rPr>
              <w:t>（m）</w:t>
            </w:r>
          </w:p>
        </w:tc>
        <w:tc>
          <w:tcPr>
            <w:tcW w:w="1343" w:type="dxa"/>
            <w:tcBorders>
              <w:left w:val="single" w:color="000000" w:sz="4" w:space="0"/>
              <w:bottom w:val="single" w:color="000000" w:sz="4" w:space="0"/>
              <w:right w:val="single" w:color="000000" w:sz="4" w:space="0"/>
            </w:tcBorders>
            <w:vAlign w:val="top"/>
          </w:tcPr>
          <w:p>
            <w:pPr>
              <w:pStyle w:val="88"/>
              <w:spacing w:before="1"/>
              <w:ind w:right="316"/>
              <w:jc w:val="both"/>
              <w:rPr>
                <w:rFonts w:hint="eastAsia"/>
                <w:sz w:val="24"/>
                <w:lang w:val="en-US" w:bidi="ar-SA"/>
              </w:rPr>
            </w:pPr>
            <w:r>
              <w:rPr>
                <w:rFonts w:hint="eastAsia"/>
                <w:sz w:val="24"/>
                <w:lang w:val="en-US" w:bidi="ar-SA"/>
              </w:rPr>
              <w:t>罐体高度</w:t>
            </w:r>
          </w:p>
          <w:p>
            <w:pPr>
              <w:pStyle w:val="88"/>
              <w:spacing w:before="2" w:line="255" w:lineRule="exact"/>
              <w:ind w:right="313" w:firstLine="240" w:firstLineChars="100"/>
              <w:jc w:val="both"/>
              <w:rPr>
                <w:rFonts w:hint="eastAsia"/>
                <w:sz w:val="24"/>
                <w:lang w:val="en-US" w:bidi="ar-SA"/>
              </w:rPr>
            </w:pPr>
            <w:r>
              <w:rPr>
                <w:rFonts w:hint="eastAsia"/>
                <w:sz w:val="24"/>
                <w:lang w:val="en-US" w:bidi="ar-SA"/>
              </w:rPr>
              <w:t>（m）</w:t>
            </w:r>
          </w:p>
        </w:tc>
        <w:tc>
          <w:tcPr>
            <w:tcW w:w="1110" w:type="dxa"/>
            <w:tcBorders>
              <w:left w:val="single" w:color="000000" w:sz="4" w:space="0"/>
              <w:bottom w:val="single" w:color="000000" w:sz="4" w:space="0"/>
            </w:tcBorders>
            <w:vAlign w:val="top"/>
          </w:tcPr>
          <w:p>
            <w:pPr>
              <w:pStyle w:val="88"/>
              <w:spacing w:before="136"/>
              <w:ind w:left="190" w:right="167"/>
              <w:jc w:val="center"/>
              <w:rPr>
                <w:rFonts w:hint="eastAsia"/>
                <w:sz w:val="24"/>
                <w:lang w:val="en-US" w:bidi="ar-SA"/>
              </w:rPr>
            </w:pPr>
            <w:r>
              <w:rPr>
                <w:rFonts w:hint="eastAsia"/>
                <w:sz w:val="24"/>
                <w:lang w:val="en-US" w:bidi="ar-SA"/>
              </w:rPr>
              <w:t>数量（座）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trPr>
        <w:tc>
          <w:tcPr>
            <w:tcW w:w="750" w:type="dxa"/>
            <w:tcBorders>
              <w:top w:val="single" w:color="000000" w:sz="4" w:space="0"/>
              <w:right w:val="single" w:color="000000" w:sz="4" w:space="0"/>
            </w:tcBorders>
            <w:vAlign w:val="top"/>
          </w:tcPr>
          <w:p>
            <w:pPr>
              <w:pStyle w:val="88"/>
              <w:spacing w:before="130"/>
              <w:ind w:left="13"/>
              <w:jc w:val="center"/>
              <w:rPr>
                <w:rFonts w:hint="eastAsia"/>
                <w:sz w:val="24"/>
                <w:lang w:val="en-US" w:bidi="ar-SA"/>
              </w:rPr>
            </w:pPr>
            <w:r>
              <w:rPr>
                <w:rFonts w:hint="eastAsia"/>
                <w:sz w:val="24"/>
                <w:lang w:val="en-US" w:bidi="ar-SA"/>
              </w:rPr>
              <w:t>1</w:t>
            </w:r>
          </w:p>
        </w:tc>
        <w:tc>
          <w:tcPr>
            <w:tcW w:w="1392" w:type="dxa"/>
            <w:tcBorders>
              <w:top w:val="single" w:color="000000" w:sz="4" w:space="0"/>
              <w:left w:val="single" w:color="000000" w:sz="4" w:space="0"/>
              <w:right w:val="single" w:color="000000" w:sz="4" w:space="0"/>
            </w:tcBorders>
            <w:vAlign w:val="top"/>
          </w:tcPr>
          <w:p>
            <w:pPr>
              <w:pStyle w:val="88"/>
              <w:spacing w:before="133"/>
              <w:ind w:left="120" w:right="106"/>
              <w:jc w:val="center"/>
              <w:rPr>
                <w:rFonts w:hint="eastAsia"/>
                <w:sz w:val="24"/>
                <w:lang w:val="en-US" w:bidi="ar-SA"/>
              </w:rPr>
            </w:pPr>
            <w:r>
              <w:rPr>
                <w:rFonts w:hint="eastAsia"/>
                <w:sz w:val="24"/>
                <w:lang w:val="en-US" w:bidi="ar-SA"/>
              </w:rPr>
              <w:t>对二甲苯缓冲罐</w:t>
            </w:r>
          </w:p>
        </w:tc>
        <w:tc>
          <w:tcPr>
            <w:tcW w:w="1085" w:type="dxa"/>
            <w:tcBorders>
              <w:top w:val="single" w:color="000000" w:sz="4" w:space="0"/>
              <w:left w:val="single" w:color="000000" w:sz="4" w:space="0"/>
              <w:right w:val="single" w:color="000000" w:sz="4" w:space="0"/>
            </w:tcBorders>
            <w:vAlign w:val="top"/>
          </w:tcPr>
          <w:p>
            <w:pPr>
              <w:pStyle w:val="88"/>
              <w:spacing w:line="268" w:lineRule="exact"/>
              <w:ind w:left="149" w:right="136"/>
              <w:jc w:val="center"/>
              <w:rPr>
                <w:rFonts w:hint="eastAsia"/>
                <w:sz w:val="24"/>
                <w:lang w:val="en-US" w:bidi="ar-SA"/>
              </w:rPr>
            </w:pPr>
            <w:r>
              <w:rPr>
                <w:rFonts w:hint="eastAsia"/>
                <w:sz w:val="24"/>
                <w:lang w:val="en-US" w:bidi="ar-SA"/>
              </w:rPr>
              <w:t>拱顶罐+</w:t>
            </w:r>
          </w:p>
          <w:p>
            <w:pPr>
              <w:pStyle w:val="88"/>
              <w:spacing w:before="2" w:line="254" w:lineRule="exact"/>
              <w:ind w:left="148" w:right="136"/>
              <w:jc w:val="center"/>
              <w:rPr>
                <w:rFonts w:hint="eastAsia"/>
                <w:sz w:val="24"/>
                <w:lang w:val="en-US" w:bidi="ar-SA"/>
              </w:rPr>
            </w:pPr>
            <w:r>
              <w:rPr>
                <w:rFonts w:hint="eastAsia"/>
                <w:sz w:val="24"/>
                <w:lang w:val="en-US" w:bidi="ar-SA"/>
              </w:rPr>
              <w:t>氮封</w:t>
            </w:r>
          </w:p>
        </w:tc>
        <w:tc>
          <w:tcPr>
            <w:tcW w:w="975" w:type="dxa"/>
            <w:tcBorders>
              <w:top w:val="single" w:color="000000" w:sz="4" w:space="0"/>
              <w:left w:val="single" w:color="000000" w:sz="4" w:space="0"/>
              <w:right w:val="single" w:color="000000" w:sz="4" w:space="0"/>
            </w:tcBorders>
            <w:vAlign w:val="top"/>
          </w:tcPr>
          <w:p>
            <w:pPr>
              <w:pStyle w:val="88"/>
              <w:spacing w:before="130"/>
              <w:ind w:right="319"/>
              <w:jc w:val="center"/>
              <w:rPr>
                <w:rFonts w:hint="eastAsia"/>
                <w:sz w:val="24"/>
                <w:lang w:val="en-US" w:bidi="ar-SA"/>
              </w:rPr>
            </w:pPr>
            <w:r>
              <w:rPr>
                <w:rFonts w:hint="eastAsia"/>
                <w:sz w:val="24"/>
                <w:lang w:val="en-US" w:bidi="ar-SA"/>
              </w:rPr>
              <w:t>150</w:t>
            </w:r>
          </w:p>
        </w:tc>
        <w:tc>
          <w:tcPr>
            <w:tcW w:w="1230" w:type="dxa"/>
            <w:tcBorders>
              <w:top w:val="single" w:color="000000" w:sz="4" w:space="0"/>
              <w:left w:val="single" w:color="000000" w:sz="4" w:space="0"/>
              <w:right w:val="single" w:color="000000" w:sz="4" w:space="0"/>
            </w:tcBorders>
            <w:vAlign w:val="top"/>
          </w:tcPr>
          <w:p>
            <w:pPr>
              <w:pStyle w:val="88"/>
              <w:spacing w:before="130"/>
              <w:ind w:left="13"/>
              <w:jc w:val="center"/>
              <w:rPr>
                <w:rFonts w:hint="eastAsia"/>
                <w:sz w:val="24"/>
                <w:lang w:val="en-US" w:bidi="ar-SA"/>
              </w:rPr>
            </w:pPr>
            <w:r>
              <w:rPr>
                <w:rFonts w:hint="eastAsia"/>
                <w:sz w:val="24"/>
                <w:lang w:val="en-US" w:bidi="ar-SA"/>
              </w:rPr>
              <w:t>6</w:t>
            </w:r>
          </w:p>
        </w:tc>
        <w:tc>
          <w:tcPr>
            <w:tcW w:w="1343" w:type="dxa"/>
            <w:tcBorders>
              <w:top w:val="single" w:color="000000" w:sz="4" w:space="0"/>
              <w:left w:val="single" w:color="000000" w:sz="4" w:space="0"/>
              <w:right w:val="single" w:color="000000" w:sz="4" w:space="0"/>
            </w:tcBorders>
            <w:vAlign w:val="top"/>
          </w:tcPr>
          <w:p>
            <w:pPr>
              <w:pStyle w:val="88"/>
              <w:spacing w:before="130"/>
              <w:ind w:left="15"/>
              <w:jc w:val="center"/>
              <w:rPr>
                <w:rFonts w:hint="eastAsia"/>
                <w:sz w:val="24"/>
                <w:lang w:val="en-US" w:bidi="ar-SA"/>
              </w:rPr>
            </w:pPr>
            <w:r>
              <w:rPr>
                <w:rFonts w:hint="eastAsia"/>
                <w:sz w:val="24"/>
                <w:lang w:val="en-US" w:bidi="ar-SA"/>
              </w:rPr>
              <w:t>6</w:t>
            </w:r>
          </w:p>
        </w:tc>
        <w:tc>
          <w:tcPr>
            <w:tcW w:w="1110" w:type="dxa"/>
            <w:tcBorders>
              <w:top w:val="single" w:color="000000" w:sz="4" w:space="0"/>
              <w:left w:val="single" w:color="000000" w:sz="4" w:space="0"/>
            </w:tcBorders>
            <w:vAlign w:val="top"/>
          </w:tcPr>
          <w:p>
            <w:pPr>
              <w:pStyle w:val="88"/>
              <w:spacing w:before="130"/>
              <w:ind w:left="22"/>
              <w:jc w:val="center"/>
              <w:rPr>
                <w:rFonts w:hint="eastAsia"/>
                <w:sz w:val="24"/>
                <w:lang w:val="en-US" w:bidi="ar-SA"/>
              </w:rPr>
            </w:pPr>
            <w:r>
              <w:rPr>
                <w:rFonts w:hint="eastAsia"/>
                <w:sz w:val="24"/>
                <w:lang w:val="en-US" w:bidi="ar-SA"/>
              </w:rPr>
              <w:t>2</w:t>
            </w:r>
          </w:p>
        </w:tc>
      </w:tr>
    </w:tbl>
    <w:p>
      <w:pPr>
        <w:spacing w:before="1"/>
        <w:ind w:left="166" w:right="479"/>
        <w:jc w:val="center"/>
        <w:rPr>
          <w:rFonts w:hint="eastAsia" w:ascii="宋体" w:hAnsi="宋体" w:cs="宋体"/>
          <w:sz w:val="24"/>
        </w:rPr>
      </w:pPr>
      <w:r>
        <w:rPr>
          <w:rFonts w:hint="eastAsia" w:ascii="宋体" w:hAnsi="宋体" w:cs="宋体"/>
          <w:sz w:val="24"/>
        </w:rPr>
        <w:t>表 2.5.1-3  8 线对二甲苯缓冲罐设计参数</w:t>
      </w:r>
    </w:p>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4）阀门</w:t>
      </w:r>
    </w:p>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a)闸阀选用楔式单闸板闸阀。</w:t>
      </w:r>
    </w:p>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b)球阀选用选用直通式浮动球阀。</w:t>
      </w:r>
    </w:p>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c)止回阀均选用旋启式止回阀。</w:t>
      </w:r>
    </w:p>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5)装卸区管道和设备防腐、保温</w:t>
      </w:r>
    </w:p>
    <w:p>
      <w:pPr>
        <w:pStyle w:val="16"/>
        <w:spacing w:before="186" w:line="364" w:lineRule="auto"/>
        <w:ind w:right="315" w:firstLine="559"/>
        <w:rPr>
          <w:rFonts w:ascii="Times New Roman" w:eastAsia="Calibri"/>
          <w:sz w:val="28"/>
          <w:szCs w:val="28"/>
        </w:rPr>
      </w:pPr>
      <w:r>
        <w:rPr>
          <w:rFonts w:ascii="Times New Roman" w:eastAsia="Calibri"/>
          <w:sz w:val="28"/>
          <w:szCs w:val="28"/>
        </w:rPr>
        <w:t>对新增对二甲苯输送管道、对二甲苯缓冲罐、火车装卸栈桥、管道支架、给排水管道等需采取外防腐层的腐蚀控制措施，对钢结构采取防腐耐火保护措施。蒸汽系统管道采用耐高温玻璃棉毡、管壳等进行保温。</w:t>
      </w:r>
    </w:p>
    <w:p>
      <w:pPr>
        <w:pStyle w:val="16"/>
        <w:spacing w:line="357" w:lineRule="exact"/>
        <w:rPr>
          <w:rFonts w:hint="eastAsia" w:ascii="宋体" w:hAnsi="宋体" w:eastAsia="宋体" w:cs="宋体"/>
          <w:b/>
          <w:bCs/>
          <w:sz w:val="28"/>
          <w:szCs w:val="28"/>
        </w:rPr>
      </w:pPr>
      <w:r>
        <w:rPr>
          <w:rFonts w:hint="eastAsia" w:ascii="宋体" w:hAnsi="宋体" w:eastAsia="宋体" w:cs="宋体"/>
          <w:b/>
          <w:bCs/>
          <w:sz w:val="28"/>
          <w:szCs w:val="28"/>
        </w:rPr>
        <w:t>2.5.2专用线 10 线装卸设备</w:t>
      </w:r>
    </w:p>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1)卸车鹤管</w:t>
      </w:r>
    </w:p>
    <w:p>
      <w:pPr>
        <w:pStyle w:val="16"/>
        <w:spacing w:before="187"/>
        <w:ind w:firstLine="560" w:firstLineChars="200"/>
        <w:rPr>
          <w:rFonts w:ascii="Times New Roman" w:eastAsia="Calibri"/>
          <w:sz w:val="28"/>
          <w:szCs w:val="28"/>
        </w:rPr>
      </w:pPr>
      <w:r>
        <w:rPr>
          <w:rFonts w:ascii="Times New Roman" w:eastAsia="Calibri"/>
          <w:sz w:val="28"/>
          <w:szCs w:val="28"/>
        </w:rPr>
        <w:t>专用线 10线选用顶部卸车鹤管，卸车鹤管规格参数见表 2.</w:t>
      </w:r>
      <w:r>
        <w:rPr>
          <w:rFonts w:hint="eastAsia" w:ascii="Times New Roman" w:eastAsia="Calibri"/>
          <w:sz w:val="28"/>
          <w:szCs w:val="28"/>
        </w:rPr>
        <w:t>5</w:t>
      </w:r>
      <w:r>
        <w:rPr>
          <w:rFonts w:ascii="Times New Roman" w:eastAsia="Calibri"/>
          <w:sz w:val="28"/>
          <w:szCs w:val="28"/>
        </w:rPr>
        <w:t>.</w:t>
      </w:r>
      <w:r>
        <w:rPr>
          <w:rFonts w:hint="eastAsia" w:ascii="Times New Roman" w:eastAsia="Calibri"/>
          <w:sz w:val="28"/>
          <w:szCs w:val="28"/>
        </w:rPr>
        <w:t>2</w:t>
      </w:r>
      <w:r>
        <w:rPr>
          <w:rFonts w:ascii="Times New Roman" w:eastAsia="Calibri"/>
          <w:sz w:val="28"/>
          <w:szCs w:val="28"/>
        </w:rPr>
        <w:t>-</w:t>
      </w:r>
      <w:r>
        <w:rPr>
          <w:rFonts w:hint="eastAsia" w:ascii="Times New Roman" w:eastAsia="Calibri"/>
          <w:sz w:val="28"/>
          <w:szCs w:val="28"/>
        </w:rPr>
        <w:t>1</w:t>
      </w:r>
      <w:r>
        <w:rPr>
          <w:rFonts w:ascii="Times New Roman" w:eastAsia="Calibri"/>
          <w:sz w:val="28"/>
          <w:szCs w:val="28"/>
        </w:rPr>
        <w:t>。</w:t>
      </w:r>
    </w:p>
    <w:p>
      <w:pPr>
        <w:spacing w:before="189"/>
        <w:ind w:left="145" w:right="479"/>
        <w:jc w:val="center"/>
        <w:rPr>
          <w:rFonts w:hint="eastAsia" w:ascii="宋体" w:hAnsi="宋体" w:cs="宋体"/>
          <w:sz w:val="24"/>
        </w:rPr>
      </w:pPr>
      <w:r>
        <w:rPr>
          <w:rFonts w:hint="eastAsia" w:ascii="宋体" w:hAnsi="宋体" w:cs="宋体"/>
          <w:sz w:val="24"/>
        </w:rPr>
        <w:t>表 2.5.2-1 线装卸鹤管规格参数表</w:t>
      </w:r>
    </w:p>
    <w:tbl>
      <w:tblPr>
        <w:tblStyle w:val="54"/>
        <w:tblpPr w:leftFromText="180" w:rightFromText="180" w:vertAnchor="text" w:horzAnchor="page" w:tblpX="1844" w:tblpY="318"/>
        <w:tblOverlap w:val="never"/>
        <w:tblW w:w="812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5"/>
        <w:gridCol w:w="1245"/>
        <w:gridCol w:w="2415"/>
        <w:gridCol w:w="1167"/>
        <w:gridCol w:w="1150"/>
        <w:gridCol w:w="821"/>
        <w:gridCol w:w="8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trPr>
        <w:tc>
          <w:tcPr>
            <w:tcW w:w="525" w:type="dxa"/>
            <w:tcBorders>
              <w:bottom w:val="single" w:color="000000" w:sz="4" w:space="0"/>
              <w:right w:val="single" w:color="000000" w:sz="4" w:space="0"/>
            </w:tcBorders>
            <w:vAlign w:val="top"/>
          </w:tcPr>
          <w:p>
            <w:pPr>
              <w:pStyle w:val="88"/>
              <w:spacing w:line="267" w:lineRule="exact"/>
              <w:ind w:left="126"/>
              <w:rPr>
                <w:rFonts w:hint="eastAsia"/>
                <w:sz w:val="24"/>
                <w:lang w:val="en-US" w:bidi="ar-SA"/>
              </w:rPr>
            </w:pPr>
            <w:r>
              <w:rPr>
                <w:rFonts w:hint="eastAsia"/>
                <w:sz w:val="24"/>
                <w:lang w:val="en-US" w:bidi="ar-SA"/>
              </w:rPr>
              <w:t>序</w:t>
            </w:r>
          </w:p>
          <w:p>
            <w:pPr>
              <w:pStyle w:val="88"/>
              <w:spacing w:before="4" w:line="252" w:lineRule="exact"/>
              <w:ind w:left="126"/>
              <w:rPr>
                <w:rFonts w:hint="eastAsia"/>
                <w:sz w:val="24"/>
                <w:lang w:val="en-US" w:bidi="ar-SA"/>
              </w:rPr>
            </w:pPr>
            <w:r>
              <w:rPr>
                <w:rFonts w:hint="eastAsia"/>
                <w:sz w:val="24"/>
                <w:lang w:val="en-US" w:bidi="ar-SA"/>
              </w:rPr>
              <w:t>号</w:t>
            </w:r>
          </w:p>
        </w:tc>
        <w:tc>
          <w:tcPr>
            <w:tcW w:w="1245" w:type="dxa"/>
            <w:tcBorders>
              <w:left w:val="single" w:color="000000" w:sz="4" w:space="0"/>
              <w:bottom w:val="single" w:color="000000" w:sz="4" w:space="0"/>
              <w:right w:val="single" w:color="000000" w:sz="4" w:space="0"/>
            </w:tcBorders>
            <w:vAlign w:val="top"/>
          </w:tcPr>
          <w:p>
            <w:pPr>
              <w:pStyle w:val="88"/>
              <w:spacing w:before="135"/>
              <w:ind w:left="74" w:right="59"/>
              <w:jc w:val="center"/>
              <w:rPr>
                <w:rFonts w:hint="eastAsia"/>
                <w:sz w:val="24"/>
                <w:lang w:val="en-US" w:bidi="ar-SA"/>
              </w:rPr>
            </w:pPr>
            <w:r>
              <w:rPr>
                <w:rFonts w:hint="eastAsia"/>
                <w:sz w:val="24"/>
                <w:lang w:val="en-US" w:bidi="ar-SA"/>
              </w:rPr>
              <w:t>介质</w:t>
            </w:r>
          </w:p>
        </w:tc>
        <w:tc>
          <w:tcPr>
            <w:tcW w:w="2415" w:type="dxa"/>
            <w:tcBorders>
              <w:left w:val="single" w:color="000000" w:sz="4" w:space="0"/>
              <w:bottom w:val="single" w:color="000000" w:sz="4" w:space="0"/>
              <w:right w:val="single" w:color="000000" w:sz="4" w:space="0"/>
            </w:tcBorders>
            <w:vAlign w:val="top"/>
          </w:tcPr>
          <w:p>
            <w:pPr>
              <w:pStyle w:val="88"/>
              <w:spacing w:before="135"/>
              <w:ind w:left="199" w:right="184"/>
              <w:jc w:val="center"/>
              <w:rPr>
                <w:rFonts w:hint="eastAsia"/>
                <w:sz w:val="24"/>
                <w:lang w:val="en-US" w:bidi="ar-SA"/>
              </w:rPr>
            </w:pPr>
            <w:r>
              <w:rPr>
                <w:rFonts w:hint="eastAsia"/>
                <w:sz w:val="24"/>
                <w:lang w:val="en-US" w:bidi="ar-SA"/>
              </w:rPr>
              <w:t>鹤管名称</w:t>
            </w:r>
          </w:p>
        </w:tc>
        <w:tc>
          <w:tcPr>
            <w:tcW w:w="1167" w:type="dxa"/>
            <w:tcBorders>
              <w:left w:val="single" w:color="000000" w:sz="4" w:space="0"/>
              <w:bottom w:val="single" w:color="000000" w:sz="4" w:space="0"/>
              <w:right w:val="single" w:color="000000" w:sz="4" w:space="0"/>
            </w:tcBorders>
            <w:vAlign w:val="top"/>
          </w:tcPr>
          <w:p>
            <w:pPr>
              <w:pStyle w:val="88"/>
              <w:spacing w:line="267" w:lineRule="exact"/>
              <w:ind w:left="164"/>
              <w:rPr>
                <w:rFonts w:hint="eastAsia"/>
                <w:sz w:val="24"/>
                <w:lang w:val="en-US" w:bidi="ar-SA"/>
              </w:rPr>
            </w:pPr>
            <w:r>
              <w:rPr>
                <w:rFonts w:hint="eastAsia"/>
                <w:sz w:val="24"/>
                <w:lang w:val="en-US" w:bidi="ar-SA"/>
              </w:rPr>
              <w:t>公称压力</w:t>
            </w:r>
          </w:p>
          <w:p>
            <w:pPr>
              <w:pStyle w:val="88"/>
              <w:spacing w:before="4" w:line="252" w:lineRule="exact"/>
              <w:ind w:left="176"/>
              <w:rPr>
                <w:rFonts w:hint="eastAsia"/>
                <w:sz w:val="24"/>
                <w:lang w:val="en-US" w:bidi="ar-SA"/>
              </w:rPr>
            </w:pPr>
            <w:r>
              <w:rPr>
                <w:rFonts w:hint="eastAsia"/>
                <w:sz w:val="24"/>
                <w:lang w:val="en-US" w:bidi="ar-SA"/>
              </w:rPr>
              <w:t>（MPa）</w:t>
            </w:r>
          </w:p>
        </w:tc>
        <w:tc>
          <w:tcPr>
            <w:tcW w:w="1150" w:type="dxa"/>
            <w:tcBorders>
              <w:left w:val="single" w:color="000000" w:sz="4" w:space="0"/>
              <w:bottom w:val="single" w:color="000000" w:sz="4" w:space="0"/>
              <w:right w:val="single" w:color="000000" w:sz="4" w:space="0"/>
            </w:tcBorders>
            <w:vAlign w:val="top"/>
          </w:tcPr>
          <w:p>
            <w:pPr>
              <w:pStyle w:val="88"/>
              <w:spacing w:line="267" w:lineRule="exact"/>
              <w:ind w:left="157"/>
              <w:rPr>
                <w:rFonts w:hint="eastAsia"/>
                <w:sz w:val="24"/>
                <w:lang w:val="en-US" w:bidi="ar-SA"/>
              </w:rPr>
            </w:pPr>
            <w:r>
              <w:rPr>
                <w:rFonts w:hint="eastAsia"/>
                <w:sz w:val="24"/>
                <w:lang w:val="en-US" w:bidi="ar-SA"/>
              </w:rPr>
              <w:t>公称直径</w:t>
            </w:r>
          </w:p>
          <w:p>
            <w:pPr>
              <w:pStyle w:val="88"/>
              <w:spacing w:before="4" w:line="252" w:lineRule="exact"/>
              <w:ind w:left="214"/>
              <w:rPr>
                <w:rFonts w:hint="eastAsia"/>
                <w:sz w:val="24"/>
                <w:lang w:val="en-US" w:bidi="ar-SA"/>
              </w:rPr>
            </w:pPr>
            <w:r>
              <w:rPr>
                <w:rFonts w:hint="eastAsia"/>
                <w:sz w:val="24"/>
                <w:lang w:val="en-US" w:bidi="ar-SA"/>
              </w:rPr>
              <w:t>（DN）</w:t>
            </w:r>
          </w:p>
        </w:tc>
        <w:tc>
          <w:tcPr>
            <w:tcW w:w="821" w:type="dxa"/>
            <w:tcBorders>
              <w:left w:val="single" w:color="000000" w:sz="4" w:space="0"/>
              <w:bottom w:val="single" w:color="000000" w:sz="4" w:space="0"/>
              <w:right w:val="single" w:color="000000" w:sz="4" w:space="0"/>
            </w:tcBorders>
            <w:vAlign w:val="top"/>
          </w:tcPr>
          <w:p>
            <w:pPr>
              <w:pStyle w:val="88"/>
              <w:spacing w:line="267" w:lineRule="exact"/>
              <w:ind w:left="78" w:right="62"/>
              <w:jc w:val="center"/>
              <w:rPr>
                <w:rFonts w:hint="eastAsia"/>
                <w:sz w:val="24"/>
                <w:lang w:val="en-US" w:bidi="ar-SA"/>
              </w:rPr>
            </w:pPr>
            <w:r>
              <w:rPr>
                <w:rFonts w:hint="eastAsia"/>
                <w:sz w:val="24"/>
                <w:lang w:val="en-US" w:bidi="ar-SA"/>
              </w:rPr>
              <w:t>数量</w:t>
            </w:r>
          </w:p>
          <w:p>
            <w:pPr>
              <w:pStyle w:val="88"/>
              <w:spacing w:before="4" w:line="252" w:lineRule="exact"/>
              <w:ind w:left="78" w:right="62"/>
              <w:jc w:val="center"/>
              <w:rPr>
                <w:rFonts w:hint="eastAsia"/>
                <w:sz w:val="24"/>
                <w:lang w:val="en-US" w:bidi="ar-SA"/>
              </w:rPr>
            </w:pPr>
            <w:r>
              <w:rPr>
                <w:rFonts w:hint="eastAsia"/>
                <w:sz w:val="24"/>
                <w:lang w:val="en-US" w:bidi="ar-SA"/>
              </w:rPr>
              <w:t>（套）</w:t>
            </w:r>
          </w:p>
        </w:tc>
        <w:tc>
          <w:tcPr>
            <w:tcW w:w="802" w:type="dxa"/>
            <w:tcBorders>
              <w:left w:val="single" w:color="000000" w:sz="4" w:space="0"/>
              <w:bottom w:val="single" w:color="000000" w:sz="4" w:space="0"/>
            </w:tcBorders>
            <w:vAlign w:val="top"/>
          </w:tcPr>
          <w:p>
            <w:pPr>
              <w:pStyle w:val="88"/>
              <w:spacing w:before="135"/>
              <w:rPr>
                <w:rFonts w:hint="eastAsia"/>
                <w:sz w:val="24"/>
                <w:lang w:val="en-US" w:bidi="ar-SA"/>
              </w:rPr>
            </w:pPr>
            <w:r>
              <w:rPr>
                <w:rFonts w:hint="eastAsia"/>
                <w:sz w:val="24"/>
                <w:lang w:val="en-US" w:bidi="ar-SA"/>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5" w:hRule="atLeast"/>
        </w:trPr>
        <w:tc>
          <w:tcPr>
            <w:tcW w:w="525" w:type="dxa"/>
            <w:tcBorders>
              <w:top w:val="single" w:color="000000" w:sz="4" w:space="0"/>
              <w:right w:val="single" w:color="000000" w:sz="4" w:space="0"/>
            </w:tcBorders>
            <w:vAlign w:val="top"/>
          </w:tcPr>
          <w:p>
            <w:pPr>
              <w:pStyle w:val="88"/>
              <w:spacing w:before="87"/>
              <w:ind w:left="13"/>
              <w:jc w:val="center"/>
              <w:rPr>
                <w:rFonts w:hint="eastAsia"/>
                <w:sz w:val="24"/>
                <w:lang w:val="en-US" w:bidi="ar-SA"/>
              </w:rPr>
            </w:pPr>
            <w:r>
              <w:rPr>
                <w:rFonts w:hint="eastAsia"/>
                <w:sz w:val="24"/>
                <w:lang w:val="en-US" w:bidi="ar-SA"/>
              </w:rPr>
              <w:t>1</w:t>
            </w:r>
          </w:p>
        </w:tc>
        <w:tc>
          <w:tcPr>
            <w:tcW w:w="1245" w:type="dxa"/>
            <w:tcBorders>
              <w:top w:val="single" w:color="000000" w:sz="4" w:space="0"/>
              <w:left w:val="single" w:color="000000" w:sz="4" w:space="0"/>
              <w:right w:val="single" w:color="000000" w:sz="4" w:space="0"/>
            </w:tcBorders>
            <w:vAlign w:val="top"/>
          </w:tcPr>
          <w:p>
            <w:pPr>
              <w:pStyle w:val="88"/>
              <w:spacing w:before="90"/>
              <w:ind w:left="74" w:right="61"/>
              <w:jc w:val="center"/>
              <w:rPr>
                <w:rFonts w:hint="eastAsia"/>
                <w:sz w:val="24"/>
                <w:lang w:val="en-US" w:bidi="ar-SA"/>
              </w:rPr>
            </w:pPr>
            <w:r>
              <w:rPr>
                <w:rFonts w:hint="eastAsia"/>
                <w:sz w:val="24"/>
                <w:lang w:val="en-US" w:bidi="ar-SA"/>
              </w:rPr>
              <w:t>邻二甲苯</w:t>
            </w:r>
          </w:p>
        </w:tc>
        <w:tc>
          <w:tcPr>
            <w:tcW w:w="2415" w:type="dxa"/>
            <w:tcBorders>
              <w:top w:val="single" w:color="000000" w:sz="4" w:space="0"/>
              <w:left w:val="single" w:color="000000" w:sz="4" w:space="0"/>
              <w:right w:val="single" w:color="000000" w:sz="4" w:space="0"/>
            </w:tcBorders>
            <w:vAlign w:val="top"/>
          </w:tcPr>
          <w:p>
            <w:pPr>
              <w:pStyle w:val="88"/>
              <w:spacing w:before="90"/>
              <w:ind w:left="199" w:right="184"/>
              <w:jc w:val="center"/>
              <w:rPr>
                <w:rFonts w:hint="eastAsia"/>
                <w:sz w:val="24"/>
                <w:lang w:val="en-US" w:bidi="ar-SA"/>
              </w:rPr>
            </w:pPr>
            <w:r>
              <w:rPr>
                <w:rFonts w:hint="eastAsia"/>
                <w:sz w:val="24"/>
                <w:lang w:val="en-US" w:bidi="ar-SA"/>
              </w:rPr>
              <w:t>火车立柱式单侧顶部卸车鹤管</w:t>
            </w:r>
          </w:p>
        </w:tc>
        <w:tc>
          <w:tcPr>
            <w:tcW w:w="1167" w:type="dxa"/>
            <w:tcBorders>
              <w:top w:val="single" w:color="000000" w:sz="4" w:space="0"/>
              <w:left w:val="single" w:color="000000" w:sz="4" w:space="0"/>
              <w:right w:val="single" w:color="000000" w:sz="4" w:space="0"/>
            </w:tcBorders>
            <w:vAlign w:val="top"/>
          </w:tcPr>
          <w:p>
            <w:pPr>
              <w:pStyle w:val="88"/>
              <w:spacing w:before="87"/>
              <w:ind w:left="435" w:right="419"/>
              <w:jc w:val="center"/>
              <w:rPr>
                <w:rFonts w:hint="eastAsia"/>
                <w:sz w:val="24"/>
                <w:lang w:val="en-US" w:bidi="ar-SA"/>
              </w:rPr>
            </w:pPr>
            <w:r>
              <w:rPr>
                <w:rFonts w:hint="eastAsia"/>
                <w:sz w:val="24"/>
                <w:lang w:val="en-US" w:bidi="ar-SA"/>
              </w:rPr>
              <w:t>1.6</w:t>
            </w:r>
          </w:p>
        </w:tc>
        <w:tc>
          <w:tcPr>
            <w:tcW w:w="1150" w:type="dxa"/>
            <w:tcBorders>
              <w:top w:val="single" w:color="000000" w:sz="4" w:space="0"/>
              <w:left w:val="single" w:color="000000" w:sz="4" w:space="0"/>
              <w:right w:val="single" w:color="000000" w:sz="4" w:space="0"/>
            </w:tcBorders>
            <w:vAlign w:val="top"/>
          </w:tcPr>
          <w:p>
            <w:pPr>
              <w:pStyle w:val="88"/>
              <w:spacing w:before="87"/>
              <w:ind w:left="399" w:right="385"/>
              <w:jc w:val="center"/>
              <w:rPr>
                <w:rFonts w:hint="eastAsia"/>
                <w:sz w:val="24"/>
                <w:lang w:val="en-US" w:bidi="ar-SA"/>
              </w:rPr>
            </w:pPr>
            <w:r>
              <w:rPr>
                <w:rFonts w:hint="eastAsia"/>
                <w:sz w:val="24"/>
                <w:lang w:val="en-US" w:bidi="ar-SA"/>
              </w:rPr>
              <w:t>100</w:t>
            </w:r>
          </w:p>
        </w:tc>
        <w:tc>
          <w:tcPr>
            <w:tcW w:w="821" w:type="dxa"/>
            <w:tcBorders>
              <w:top w:val="single" w:color="000000" w:sz="4" w:space="0"/>
              <w:left w:val="single" w:color="000000" w:sz="4" w:space="0"/>
              <w:right w:val="single" w:color="000000" w:sz="4" w:space="0"/>
            </w:tcBorders>
            <w:vAlign w:val="top"/>
          </w:tcPr>
          <w:p>
            <w:pPr>
              <w:pStyle w:val="88"/>
              <w:spacing w:before="87"/>
              <w:ind w:left="16"/>
              <w:jc w:val="center"/>
              <w:rPr>
                <w:rFonts w:hint="eastAsia"/>
                <w:sz w:val="24"/>
                <w:lang w:val="en-US" w:bidi="ar-SA"/>
              </w:rPr>
            </w:pPr>
            <w:r>
              <w:rPr>
                <w:rFonts w:hint="eastAsia"/>
                <w:sz w:val="24"/>
                <w:lang w:val="en-US" w:bidi="ar-SA"/>
              </w:rPr>
              <w:t>6</w:t>
            </w:r>
          </w:p>
        </w:tc>
        <w:tc>
          <w:tcPr>
            <w:tcW w:w="802" w:type="dxa"/>
            <w:tcBorders>
              <w:top w:val="single" w:color="000000" w:sz="4" w:space="0"/>
              <w:left w:val="single" w:color="000000" w:sz="4" w:space="0"/>
            </w:tcBorders>
            <w:vAlign w:val="top"/>
          </w:tcPr>
          <w:p>
            <w:pPr>
              <w:pStyle w:val="88"/>
              <w:rPr>
                <w:rFonts w:hint="eastAsia"/>
                <w:sz w:val="24"/>
                <w:lang w:val="en-US" w:bidi="ar-SA"/>
              </w:rPr>
            </w:pPr>
          </w:p>
        </w:tc>
      </w:tr>
    </w:tbl>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2)机泵</w:t>
      </w:r>
    </w:p>
    <w:p>
      <w:pPr>
        <w:pStyle w:val="16"/>
        <w:spacing w:before="186" w:line="364" w:lineRule="auto"/>
        <w:ind w:right="452" w:firstLine="559"/>
        <w:rPr>
          <w:rFonts w:hint="eastAsia" w:ascii="宋体" w:hAnsi="宋体" w:eastAsia="宋体" w:cs="宋体"/>
          <w:sz w:val="28"/>
          <w:szCs w:val="28"/>
        </w:rPr>
      </w:pPr>
      <w:r>
        <w:rPr>
          <w:rFonts w:hint="eastAsia" w:ascii="宋体" w:hAnsi="宋体" w:eastAsia="宋体" w:cs="宋体"/>
          <w:sz w:val="28"/>
          <w:szCs w:val="28"/>
        </w:rPr>
        <w:t>专用线 10 线卸车区设置的机泵主要有潜液泵、卸车泵、扫仓泵。机泵规格参数见表 2.5.2-2。</w:t>
      </w:r>
    </w:p>
    <w:tbl>
      <w:tblPr>
        <w:tblStyle w:val="54"/>
        <w:tblpPr w:leftFromText="180" w:rightFromText="180" w:vertAnchor="text" w:horzAnchor="page" w:tblpX="1739" w:tblpY="1325"/>
        <w:tblOverlap w:val="never"/>
        <w:tblW w:w="8305"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90"/>
        <w:gridCol w:w="1365"/>
        <w:gridCol w:w="1152"/>
        <w:gridCol w:w="1038"/>
        <w:gridCol w:w="1155"/>
        <w:gridCol w:w="1110"/>
        <w:gridCol w:w="765"/>
        <w:gridCol w:w="12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jc w:val="center"/>
        </w:trPr>
        <w:tc>
          <w:tcPr>
            <w:tcW w:w="490" w:type="dxa"/>
            <w:tcBorders>
              <w:bottom w:val="single" w:color="000000" w:sz="4" w:space="0"/>
              <w:right w:val="single" w:color="000000" w:sz="4" w:space="0"/>
            </w:tcBorders>
            <w:vAlign w:val="center"/>
          </w:tcPr>
          <w:p>
            <w:pPr>
              <w:pStyle w:val="88"/>
              <w:spacing w:before="135"/>
              <w:ind w:left="14" w:right="1"/>
              <w:jc w:val="center"/>
              <w:rPr>
                <w:rFonts w:hint="eastAsia"/>
                <w:sz w:val="24"/>
                <w:lang w:val="en-US" w:bidi="ar-SA"/>
              </w:rPr>
            </w:pPr>
            <w:r>
              <w:rPr>
                <w:rFonts w:hint="eastAsia"/>
                <w:sz w:val="24"/>
                <w:lang w:val="en-US" w:bidi="ar-SA"/>
              </w:rPr>
              <w:t>序号</w:t>
            </w:r>
          </w:p>
        </w:tc>
        <w:tc>
          <w:tcPr>
            <w:tcW w:w="1365" w:type="dxa"/>
            <w:tcBorders>
              <w:left w:val="single" w:color="000000" w:sz="4" w:space="0"/>
              <w:bottom w:val="single" w:color="000000" w:sz="4" w:space="0"/>
              <w:right w:val="single" w:color="000000" w:sz="4" w:space="0"/>
            </w:tcBorders>
            <w:vAlign w:val="center"/>
          </w:tcPr>
          <w:p>
            <w:pPr>
              <w:pStyle w:val="88"/>
              <w:spacing w:before="135"/>
              <w:ind w:left="131" w:right="114"/>
              <w:jc w:val="center"/>
              <w:rPr>
                <w:rFonts w:hint="eastAsia"/>
                <w:sz w:val="24"/>
                <w:lang w:val="en-US" w:bidi="ar-SA"/>
              </w:rPr>
            </w:pPr>
            <w:r>
              <w:rPr>
                <w:rFonts w:hint="eastAsia"/>
                <w:sz w:val="24"/>
                <w:lang w:val="en-US" w:bidi="ar-SA"/>
              </w:rPr>
              <w:t>介质</w:t>
            </w:r>
          </w:p>
        </w:tc>
        <w:tc>
          <w:tcPr>
            <w:tcW w:w="1152" w:type="dxa"/>
            <w:tcBorders>
              <w:left w:val="single" w:color="000000" w:sz="4" w:space="0"/>
              <w:bottom w:val="single" w:color="000000" w:sz="4" w:space="0"/>
              <w:right w:val="single" w:color="000000" w:sz="4" w:space="0"/>
            </w:tcBorders>
            <w:vAlign w:val="center"/>
          </w:tcPr>
          <w:p>
            <w:pPr>
              <w:pStyle w:val="88"/>
              <w:spacing w:before="135"/>
              <w:ind w:left="197" w:right="183"/>
              <w:jc w:val="center"/>
              <w:rPr>
                <w:rFonts w:hint="eastAsia"/>
                <w:sz w:val="24"/>
                <w:lang w:val="en-US" w:bidi="ar-SA"/>
              </w:rPr>
            </w:pPr>
            <w:r>
              <w:rPr>
                <w:rFonts w:hint="eastAsia"/>
                <w:sz w:val="24"/>
                <w:lang w:val="en-US" w:bidi="ar-SA"/>
              </w:rPr>
              <w:t>泵名称</w:t>
            </w:r>
          </w:p>
        </w:tc>
        <w:tc>
          <w:tcPr>
            <w:tcW w:w="1038" w:type="dxa"/>
            <w:tcBorders>
              <w:left w:val="single" w:color="000000" w:sz="4" w:space="0"/>
              <w:bottom w:val="single" w:color="000000" w:sz="4" w:space="0"/>
              <w:right w:val="single" w:color="000000" w:sz="4" w:space="0"/>
            </w:tcBorders>
            <w:vAlign w:val="center"/>
          </w:tcPr>
          <w:p>
            <w:pPr>
              <w:pStyle w:val="88"/>
              <w:spacing w:line="268" w:lineRule="exact"/>
              <w:ind w:left="84" w:right="67"/>
              <w:jc w:val="center"/>
              <w:rPr>
                <w:rFonts w:hint="eastAsia"/>
                <w:sz w:val="24"/>
                <w:lang w:val="en-US" w:bidi="ar-SA"/>
              </w:rPr>
            </w:pPr>
            <w:r>
              <w:rPr>
                <w:rFonts w:hint="eastAsia"/>
                <w:sz w:val="24"/>
                <w:lang w:val="en-US" w:bidi="ar-SA"/>
              </w:rPr>
              <w:t>流量</w:t>
            </w:r>
          </w:p>
          <w:p>
            <w:pPr>
              <w:pStyle w:val="88"/>
              <w:spacing w:before="4" w:line="252" w:lineRule="exact"/>
              <w:ind w:left="84" w:right="71"/>
              <w:rPr>
                <w:rFonts w:hint="eastAsia"/>
                <w:sz w:val="24"/>
                <w:lang w:val="en-US" w:bidi="ar-SA"/>
              </w:rPr>
            </w:pPr>
            <w:r>
              <w:rPr>
                <w:rFonts w:hint="eastAsia"/>
                <w:sz w:val="24"/>
                <w:lang w:val="en-US" w:bidi="ar-SA"/>
              </w:rPr>
              <w:t>（m3/h）</w:t>
            </w:r>
          </w:p>
        </w:tc>
        <w:tc>
          <w:tcPr>
            <w:tcW w:w="1155" w:type="dxa"/>
            <w:tcBorders>
              <w:left w:val="single" w:color="000000" w:sz="4" w:space="0"/>
              <w:bottom w:val="single" w:color="000000" w:sz="4" w:space="0"/>
              <w:right w:val="single" w:color="000000" w:sz="4" w:space="0"/>
            </w:tcBorders>
            <w:vAlign w:val="center"/>
          </w:tcPr>
          <w:p>
            <w:pPr>
              <w:pStyle w:val="88"/>
              <w:spacing w:line="268" w:lineRule="exact"/>
              <w:ind w:left="38" w:right="18"/>
              <w:jc w:val="center"/>
              <w:rPr>
                <w:rFonts w:hint="eastAsia"/>
                <w:sz w:val="24"/>
                <w:lang w:val="en-US" w:bidi="ar-SA"/>
              </w:rPr>
            </w:pPr>
            <w:r>
              <w:rPr>
                <w:rFonts w:hint="eastAsia"/>
                <w:sz w:val="24"/>
                <w:lang w:val="en-US" w:bidi="ar-SA"/>
              </w:rPr>
              <w:t>扬程或排出压力</w:t>
            </w:r>
          </w:p>
        </w:tc>
        <w:tc>
          <w:tcPr>
            <w:tcW w:w="1110" w:type="dxa"/>
            <w:tcBorders>
              <w:left w:val="single" w:color="000000" w:sz="4" w:space="0"/>
              <w:bottom w:val="single" w:color="000000" w:sz="4" w:space="0"/>
              <w:right w:val="single" w:color="000000" w:sz="4" w:space="0"/>
            </w:tcBorders>
            <w:vAlign w:val="center"/>
          </w:tcPr>
          <w:p>
            <w:pPr>
              <w:pStyle w:val="88"/>
              <w:spacing w:line="268" w:lineRule="exact"/>
              <w:jc w:val="both"/>
              <w:rPr>
                <w:rFonts w:hint="eastAsia"/>
                <w:sz w:val="24"/>
                <w:lang w:val="en-US" w:bidi="ar-SA"/>
              </w:rPr>
            </w:pPr>
            <w:r>
              <w:rPr>
                <w:rFonts w:hint="eastAsia"/>
                <w:sz w:val="24"/>
                <w:lang w:val="en-US" w:bidi="ar-SA"/>
              </w:rPr>
              <w:t>电机功率</w:t>
            </w:r>
          </w:p>
          <w:p>
            <w:pPr>
              <w:pStyle w:val="88"/>
              <w:spacing w:before="4" w:line="252" w:lineRule="exact"/>
              <w:ind w:left="244"/>
              <w:jc w:val="center"/>
              <w:rPr>
                <w:rFonts w:hint="eastAsia"/>
                <w:sz w:val="24"/>
                <w:lang w:val="en-US" w:bidi="ar-SA"/>
              </w:rPr>
            </w:pPr>
            <w:r>
              <w:rPr>
                <w:rFonts w:hint="eastAsia"/>
                <w:sz w:val="24"/>
                <w:lang w:val="en-US" w:bidi="ar-SA"/>
              </w:rPr>
              <w:t>（kW）</w:t>
            </w:r>
          </w:p>
        </w:tc>
        <w:tc>
          <w:tcPr>
            <w:tcW w:w="765" w:type="dxa"/>
            <w:tcBorders>
              <w:left w:val="single" w:color="000000" w:sz="4" w:space="0"/>
              <w:bottom w:val="single" w:color="000000" w:sz="4" w:space="0"/>
              <w:right w:val="single" w:color="000000" w:sz="4" w:space="0"/>
            </w:tcBorders>
            <w:vAlign w:val="center"/>
          </w:tcPr>
          <w:p>
            <w:pPr>
              <w:pStyle w:val="88"/>
              <w:spacing w:line="268" w:lineRule="exact"/>
              <w:ind w:left="153"/>
              <w:jc w:val="center"/>
              <w:rPr>
                <w:rFonts w:hint="eastAsia"/>
                <w:sz w:val="24"/>
                <w:lang w:val="en-US" w:bidi="ar-SA"/>
              </w:rPr>
            </w:pPr>
            <w:r>
              <w:rPr>
                <w:rFonts w:hint="eastAsia"/>
                <w:sz w:val="24"/>
                <w:lang w:val="en-US" w:bidi="ar-SA"/>
              </w:rPr>
              <w:t>数量</w:t>
            </w:r>
          </w:p>
          <w:p>
            <w:pPr>
              <w:pStyle w:val="88"/>
              <w:spacing w:before="4" w:line="252" w:lineRule="exact"/>
              <w:ind w:left="47"/>
              <w:jc w:val="center"/>
              <w:rPr>
                <w:rFonts w:hint="eastAsia"/>
                <w:sz w:val="24"/>
                <w:lang w:val="en-US" w:bidi="ar-SA"/>
              </w:rPr>
            </w:pPr>
            <w:r>
              <w:rPr>
                <w:rFonts w:hint="eastAsia"/>
                <w:sz w:val="24"/>
                <w:lang w:val="en-US" w:bidi="ar-SA"/>
              </w:rPr>
              <w:t>（台）</w:t>
            </w:r>
          </w:p>
        </w:tc>
        <w:tc>
          <w:tcPr>
            <w:tcW w:w="1230" w:type="dxa"/>
            <w:tcBorders>
              <w:left w:val="single" w:color="000000" w:sz="4" w:space="0"/>
              <w:bottom w:val="single" w:color="000000" w:sz="4" w:space="0"/>
            </w:tcBorders>
            <w:vAlign w:val="center"/>
          </w:tcPr>
          <w:p>
            <w:pPr>
              <w:pStyle w:val="88"/>
              <w:spacing w:before="135"/>
              <w:ind w:left="57" w:right="34"/>
              <w:jc w:val="center"/>
              <w:rPr>
                <w:rFonts w:hint="eastAsia"/>
                <w:sz w:val="24"/>
                <w:lang w:val="en-US" w:bidi="ar-SA"/>
              </w:rPr>
            </w:pPr>
            <w:r>
              <w:rPr>
                <w:rFonts w:hint="eastAsia"/>
                <w:sz w:val="24"/>
                <w:lang w:val="en-US" w:bidi="ar-SA"/>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jc w:val="center"/>
        </w:trPr>
        <w:tc>
          <w:tcPr>
            <w:tcW w:w="490" w:type="dxa"/>
            <w:tcBorders>
              <w:top w:val="single" w:color="000000" w:sz="4" w:space="0"/>
              <w:bottom w:val="single" w:color="000000" w:sz="4" w:space="0"/>
              <w:right w:val="single" w:color="000000" w:sz="4" w:space="0"/>
            </w:tcBorders>
            <w:vAlign w:val="center"/>
          </w:tcPr>
          <w:p>
            <w:pPr>
              <w:pStyle w:val="88"/>
              <w:spacing w:before="130"/>
              <w:ind w:left="13"/>
              <w:jc w:val="center"/>
              <w:rPr>
                <w:rFonts w:hint="eastAsia"/>
                <w:sz w:val="24"/>
                <w:lang w:val="en-US" w:bidi="ar-SA"/>
              </w:rPr>
            </w:pPr>
            <w:r>
              <w:rPr>
                <w:rFonts w:hint="eastAsia"/>
                <w:sz w:val="24"/>
                <w:lang w:val="en-US" w:bidi="ar-SA"/>
              </w:rPr>
              <w:t>1</w:t>
            </w:r>
          </w:p>
        </w:tc>
        <w:tc>
          <w:tcPr>
            <w:tcW w:w="1365" w:type="dxa"/>
            <w:tcBorders>
              <w:top w:val="single" w:color="000000" w:sz="4" w:space="0"/>
              <w:left w:val="single" w:color="000000" w:sz="4" w:space="0"/>
              <w:bottom w:val="single" w:color="000000" w:sz="4" w:space="0"/>
              <w:right w:val="single" w:color="000000" w:sz="4" w:space="0"/>
            </w:tcBorders>
            <w:vAlign w:val="center"/>
          </w:tcPr>
          <w:p>
            <w:pPr>
              <w:pStyle w:val="88"/>
              <w:spacing w:before="135"/>
              <w:ind w:left="131" w:right="116"/>
              <w:jc w:val="center"/>
              <w:rPr>
                <w:rFonts w:hint="eastAsia"/>
                <w:sz w:val="24"/>
                <w:lang w:val="en-US" w:bidi="ar-SA"/>
              </w:rPr>
            </w:pPr>
            <w:r>
              <w:rPr>
                <w:rFonts w:hint="eastAsia"/>
                <w:sz w:val="24"/>
                <w:lang w:val="en-US" w:bidi="ar-SA"/>
              </w:rPr>
              <w:t>邻二甲苯</w:t>
            </w:r>
          </w:p>
        </w:tc>
        <w:tc>
          <w:tcPr>
            <w:tcW w:w="1152" w:type="dxa"/>
            <w:tcBorders>
              <w:top w:val="single" w:color="000000" w:sz="4" w:space="0"/>
              <w:left w:val="single" w:color="000000" w:sz="4" w:space="0"/>
              <w:bottom w:val="single" w:color="000000" w:sz="4" w:space="0"/>
              <w:right w:val="single" w:color="000000" w:sz="4" w:space="0"/>
            </w:tcBorders>
            <w:vAlign w:val="center"/>
          </w:tcPr>
          <w:p>
            <w:pPr>
              <w:pStyle w:val="88"/>
              <w:spacing w:line="268" w:lineRule="exact"/>
              <w:ind w:left="197" w:right="188"/>
              <w:jc w:val="center"/>
              <w:rPr>
                <w:rFonts w:hint="eastAsia"/>
                <w:sz w:val="24"/>
                <w:lang w:val="en-US" w:bidi="ar-SA"/>
              </w:rPr>
            </w:pPr>
            <w:r>
              <w:rPr>
                <w:rFonts w:hint="eastAsia"/>
                <w:sz w:val="24"/>
                <w:lang w:val="en-US" w:bidi="ar-SA"/>
              </w:rPr>
              <w:t>卸车电动</w:t>
            </w:r>
          </w:p>
          <w:p>
            <w:pPr>
              <w:pStyle w:val="88"/>
              <w:spacing w:before="4" w:line="252" w:lineRule="exact"/>
              <w:ind w:left="197" w:right="183"/>
              <w:jc w:val="center"/>
              <w:rPr>
                <w:rFonts w:hint="eastAsia"/>
                <w:sz w:val="24"/>
                <w:lang w:val="en-US" w:bidi="ar-SA"/>
              </w:rPr>
            </w:pPr>
            <w:r>
              <w:rPr>
                <w:rFonts w:hint="eastAsia"/>
                <w:sz w:val="24"/>
                <w:lang w:val="en-US" w:bidi="ar-SA"/>
              </w:rPr>
              <w:t>潜液泵</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88"/>
              <w:spacing w:before="130"/>
              <w:ind w:left="406"/>
              <w:jc w:val="left"/>
              <w:rPr>
                <w:rFonts w:hint="eastAsia"/>
                <w:sz w:val="24"/>
                <w:lang w:val="en-US" w:bidi="ar-SA"/>
              </w:rPr>
            </w:pPr>
            <w:r>
              <w:rPr>
                <w:rFonts w:hint="eastAsia"/>
                <w:sz w:val="24"/>
                <w:lang w:val="en-US" w:bidi="ar-SA"/>
              </w:rPr>
              <w:t>50</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88"/>
              <w:spacing w:before="130"/>
              <w:ind w:left="34" w:right="18"/>
              <w:jc w:val="center"/>
              <w:rPr>
                <w:rFonts w:hint="eastAsia"/>
                <w:sz w:val="24"/>
                <w:lang w:val="en-US" w:bidi="ar-SA"/>
              </w:rPr>
            </w:pPr>
            <w:r>
              <w:rPr>
                <w:rFonts w:hint="eastAsia"/>
                <w:sz w:val="24"/>
                <w:lang w:val="en-US" w:bidi="ar-SA"/>
              </w:rPr>
              <w:t>6m</w:t>
            </w: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88"/>
              <w:spacing w:before="130"/>
              <w:ind w:left="16"/>
              <w:jc w:val="center"/>
              <w:rPr>
                <w:rFonts w:hint="eastAsia"/>
                <w:sz w:val="24"/>
                <w:lang w:val="en-US" w:bidi="ar-SA"/>
              </w:rPr>
            </w:pPr>
            <w:r>
              <w:rPr>
                <w:rFonts w:hint="eastAsia"/>
                <w:sz w:val="24"/>
                <w:lang w:val="en-US" w:bidi="ar-SA"/>
              </w:rPr>
              <w:t>3</w:t>
            </w:r>
          </w:p>
        </w:tc>
        <w:tc>
          <w:tcPr>
            <w:tcW w:w="765" w:type="dxa"/>
            <w:tcBorders>
              <w:top w:val="single" w:color="000000" w:sz="4" w:space="0"/>
              <w:left w:val="single" w:color="000000" w:sz="4" w:space="0"/>
              <w:bottom w:val="single" w:color="000000" w:sz="4" w:space="0"/>
              <w:right w:val="single" w:color="000000" w:sz="4" w:space="0"/>
            </w:tcBorders>
            <w:vAlign w:val="center"/>
          </w:tcPr>
          <w:p>
            <w:pPr>
              <w:pStyle w:val="88"/>
              <w:spacing w:before="130"/>
              <w:ind w:left="13"/>
              <w:jc w:val="center"/>
              <w:rPr>
                <w:rFonts w:hint="eastAsia"/>
                <w:sz w:val="24"/>
                <w:lang w:val="en-US" w:bidi="ar-SA"/>
              </w:rPr>
            </w:pPr>
            <w:r>
              <w:rPr>
                <w:rFonts w:hint="eastAsia"/>
                <w:sz w:val="24"/>
                <w:lang w:val="en-US" w:bidi="ar-SA"/>
              </w:rPr>
              <w:t>6</w:t>
            </w:r>
          </w:p>
        </w:tc>
        <w:tc>
          <w:tcPr>
            <w:tcW w:w="1230" w:type="dxa"/>
            <w:tcBorders>
              <w:top w:val="single" w:color="000000" w:sz="4" w:space="0"/>
              <w:left w:val="single" w:color="000000" w:sz="4" w:space="0"/>
              <w:bottom w:val="single" w:color="000000" w:sz="4" w:space="0"/>
            </w:tcBorders>
            <w:vAlign w:val="center"/>
          </w:tcPr>
          <w:p>
            <w:pPr>
              <w:pStyle w:val="88"/>
              <w:spacing w:before="135"/>
              <w:ind w:left="57" w:right="38"/>
              <w:jc w:val="center"/>
              <w:rPr>
                <w:rFonts w:hint="eastAsia"/>
                <w:sz w:val="24"/>
                <w:lang w:val="en-US" w:bidi="ar-SA"/>
              </w:rPr>
            </w:pPr>
            <w:r>
              <w:rPr>
                <w:rFonts w:hint="eastAsia"/>
                <w:sz w:val="24"/>
                <w:lang w:val="en-US" w:bidi="ar-SA"/>
              </w:rPr>
              <w:t>电动潜液泵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jc w:val="center"/>
        </w:trPr>
        <w:tc>
          <w:tcPr>
            <w:tcW w:w="490" w:type="dxa"/>
            <w:tcBorders>
              <w:top w:val="single" w:color="000000" w:sz="4" w:space="0"/>
              <w:bottom w:val="single" w:color="000000" w:sz="4" w:space="0"/>
              <w:right w:val="single" w:color="000000" w:sz="4" w:space="0"/>
            </w:tcBorders>
            <w:vAlign w:val="center"/>
          </w:tcPr>
          <w:p>
            <w:pPr>
              <w:pStyle w:val="88"/>
              <w:spacing w:before="132"/>
              <w:ind w:left="13"/>
              <w:jc w:val="center"/>
              <w:rPr>
                <w:rFonts w:hint="eastAsia"/>
                <w:sz w:val="24"/>
                <w:lang w:val="en-US" w:bidi="ar-SA"/>
              </w:rPr>
            </w:pPr>
            <w:r>
              <w:rPr>
                <w:rFonts w:hint="eastAsia"/>
                <w:sz w:val="24"/>
                <w:lang w:val="en-US" w:bidi="ar-SA"/>
              </w:rPr>
              <w:t>2</w:t>
            </w:r>
          </w:p>
        </w:tc>
        <w:tc>
          <w:tcPr>
            <w:tcW w:w="1365" w:type="dxa"/>
            <w:tcBorders>
              <w:top w:val="single" w:color="000000" w:sz="4" w:space="0"/>
              <w:left w:val="single" w:color="000000" w:sz="4" w:space="0"/>
              <w:bottom w:val="single" w:color="000000" w:sz="4" w:space="0"/>
              <w:right w:val="single" w:color="000000" w:sz="4" w:space="0"/>
            </w:tcBorders>
            <w:vAlign w:val="center"/>
          </w:tcPr>
          <w:p>
            <w:pPr>
              <w:pStyle w:val="88"/>
              <w:spacing w:before="135"/>
              <w:ind w:left="131" w:right="116"/>
              <w:jc w:val="center"/>
              <w:rPr>
                <w:rFonts w:hint="eastAsia"/>
                <w:sz w:val="24"/>
                <w:lang w:val="en-US" w:bidi="ar-SA"/>
              </w:rPr>
            </w:pPr>
            <w:r>
              <w:rPr>
                <w:rFonts w:hint="eastAsia"/>
                <w:sz w:val="24"/>
                <w:lang w:val="en-US" w:bidi="ar-SA"/>
              </w:rPr>
              <w:t>邻二甲苯</w:t>
            </w:r>
          </w:p>
        </w:tc>
        <w:tc>
          <w:tcPr>
            <w:tcW w:w="1152" w:type="dxa"/>
            <w:tcBorders>
              <w:top w:val="single" w:color="000000" w:sz="4" w:space="0"/>
              <w:left w:val="single" w:color="000000" w:sz="4" w:space="0"/>
              <w:bottom w:val="single" w:color="000000" w:sz="4" w:space="0"/>
              <w:right w:val="single" w:color="000000" w:sz="4" w:space="0"/>
            </w:tcBorders>
            <w:vAlign w:val="center"/>
          </w:tcPr>
          <w:p>
            <w:pPr>
              <w:pStyle w:val="88"/>
              <w:spacing w:before="135"/>
              <w:ind w:left="197" w:right="183"/>
              <w:jc w:val="center"/>
              <w:rPr>
                <w:rFonts w:hint="eastAsia"/>
                <w:sz w:val="24"/>
                <w:lang w:val="en-US" w:bidi="ar-SA"/>
              </w:rPr>
            </w:pPr>
            <w:r>
              <w:rPr>
                <w:rFonts w:hint="eastAsia"/>
                <w:sz w:val="24"/>
                <w:lang w:val="en-US" w:bidi="ar-SA"/>
              </w:rPr>
              <w:t>卸车泵</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88"/>
              <w:spacing w:before="132"/>
              <w:ind w:left="356"/>
              <w:jc w:val="left"/>
              <w:rPr>
                <w:rFonts w:hint="eastAsia"/>
                <w:sz w:val="24"/>
                <w:lang w:val="en-US" w:bidi="ar-SA"/>
              </w:rPr>
            </w:pPr>
            <w:r>
              <w:rPr>
                <w:rFonts w:hint="eastAsia"/>
                <w:sz w:val="24"/>
                <w:lang w:val="en-US" w:bidi="ar-SA"/>
              </w:rPr>
              <w:t>250</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88"/>
              <w:spacing w:before="132"/>
              <w:ind w:left="38" w:right="17"/>
              <w:jc w:val="center"/>
              <w:rPr>
                <w:rFonts w:hint="eastAsia"/>
                <w:sz w:val="24"/>
                <w:lang w:val="en-US" w:bidi="ar-SA"/>
              </w:rPr>
            </w:pPr>
            <w:r>
              <w:rPr>
                <w:rFonts w:hint="eastAsia"/>
                <w:sz w:val="24"/>
                <w:lang w:val="en-US" w:bidi="ar-SA"/>
              </w:rPr>
              <w:t>150m</w:t>
            </w: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88"/>
              <w:spacing w:before="132"/>
              <w:ind w:left="402" w:right="386"/>
              <w:jc w:val="center"/>
              <w:rPr>
                <w:rFonts w:hint="eastAsia"/>
                <w:sz w:val="24"/>
                <w:lang w:val="en-US" w:bidi="ar-SA"/>
              </w:rPr>
            </w:pPr>
            <w:r>
              <w:rPr>
                <w:rFonts w:hint="eastAsia"/>
                <w:sz w:val="24"/>
                <w:lang w:val="en-US" w:bidi="ar-SA"/>
              </w:rPr>
              <w:t>185</w:t>
            </w:r>
          </w:p>
        </w:tc>
        <w:tc>
          <w:tcPr>
            <w:tcW w:w="765" w:type="dxa"/>
            <w:tcBorders>
              <w:top w:val="single" w:color="000000" w:sz="4" w:space="0"/>
              <w:left w:val="single" w:color="000000" w:sz="4" w:space="0"/>
              <w:bottom w:val="single" w:color="000000" w:sz="4" w:space="0"/>
              <w:right w:val="single" w:color="000000" w:sz="4" w:space="0"/>
            </w:tcBorders>
            <w:vAlign w:val="center"/>
          </w:tcPr>
          <w:p>
            <w:pPr>
              <w:pStyle w:val="88"/>
              <w:spacing w:before="132"/>
              <w:ind w:left="13"/>
              <w:jc w:val="center"/>
              <w:rPr>
                <w:rFonts w:hint="eastAsia"/>
                <w:sz w:val="24"/>
                <w:lang w:val="en-US" w:bidi="ar-SA"/>
              </w:rPr>
            </w:pPr>
            <w:r>
              <w:rPr>
                <w:rFonts w:hint="eastAsia"/>
                <w:sz w:val="24"/>
                <w:lang w:val="en-US" w:bidi="ar-SA"/>
              </w:rPr>
              <w:t>2</w:t>
            </w:r>
          </w:p>
        </w:tc>
        <w:tc>
          <w:tcPr>
            <w:tcW w:w="1230" w:type="dxa"/>
            <w:tcBorders>
              <w:top w:val="single" w:color="000000" w:sz="4" w:space="0"/>
              <w:left w:val="single" w:color="000000" w:sz="4" w:space="0"/>
              <w:bottom w:val="single" w:color="000000" w:sz="4" w:space="0"/>
            </w:tcBorders>
            <w:vAlign w:val="center"/>
          </w:tcPr>
          <w:p>
            <w:pPr>
              <w:pStyle w:val="88"/>
              <w:spacing w:line="268" w:lineRule="exact"/>
              <w:ind w:left="57" w:right="35"/>
              <w:jc w:val="center"/>
              <w:rPr>
                <w:rFonts w:hint="eastAsia"/>
                <w:sz w:val="24"/>
                <w:lang w:val="en-US" w:bidi="ar-SA"/>
              </w:rPr>
            </w:pPr>
            <w:r>
              <w:rPr>
                <w:rFonts w:hint="eastAsia"/>
                <w:sz w:val="24"/>
                <w:lang w:val="en-US" w:bidi="ar-SA"/>
              </w:rPr>
              <w:t>离心泵</w:t>
            </w:r>
          </w:p>
          <w:p>
            <w:pPr>
              <w:pStyle w:val="88"/>
              <w:spacing w:before="4" w:line="252" w:lineRule="exact"/>
              <w:ind w:left="57" w:right="38"/>
              <w:jc w:val="center"/>
              <w:rPr>
                <w:rFonts w:hint="eastAsia"/>
                <w:sz w:val="24"/>
                <w:lang w:val="en-US" w:bidi="ar-SA"/>
              </w:rPr>
            </w:pPr>
            <w:r>
              <w:rPr>
                <w:rFonts w:hint="eastAsia"/>
                <w:sz w:val="24"/>
                <w:lang w:val="en-US" w:bidi="ar-SA"/>
              </w:rPr>
              <w:t>（双重机械密封）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5" w:hRule="atLeast"/>
          <w:jc w:val="center"/>
        </w:trPr>
        <w:tc>
          <w:tcPr>
            <w:tcW w:w="490" w:type="dxa"/>
            <w:tcBorders>
              <w:top w:val="single" w:color="000000" w:sz="4" w:space="0"/>
              <w:right w:val="single" w:color="000000" w:sz="4" w:space="0"/>
            </w:tcBorders>
            <w:vAlign w:val="center"/>
          </w:tcPr>
          <w:p>
            <w:pPr>
              <w:pStyle w:val="88"/>
              <w:spacing w:before="87"/>
              <w:ind w:left="13"/>
              <w:jc w:val="center"/>
              <w:rPr>
                <w:rFonts w:hint="eastAsia"/>
                <w:sz w:val="24"/>
                <w:lang w:val="en-US" w:bidi="ar-SA"/>
              </w:rPr>
            </w:pPr>
            <w:r>
              <w:rPr>
                <w:rFonts w:hint="eastAsia"/>
                <w:sz w:val="24"/>
                <w:lang w:val="en-US" w:bidi="ar-SA"/>
              </w:rPr>
              <w:t>3</w:t>
            </w:r>
          </w:p>
        </w:tc>
        <w:tc>
          <w:tcPr>
            <w:tcW w:w="1365" w:type="dxa"/>
            <w:tcBorders>
              <w:top w:val="single" w:color="000000" w:sz="4" w:space="0"/>
              <w:left w:val="single" w:color="000000" w:sz="4" w:space="0"/>
              <w:right w:val="single" w:color="000000" w:sz="4" w:space="0"/>
            </w:tcBorders>
            <w:vAlign w:val="center"/>
          </w:tcPr>
          <w:p>
            <w:pPr>
              <w:pStyle w:val="88"/>
              <w:spacing w:before="90"/>
              <w:ind w:left="131" w:right="116"/>
              <w:jc w:val="center"/>
              <w:rPr>
                <w:rFonts w:hint="eastAsia"/>
                <w:sz w:val="24"/>
                <w:lang w:val="en-US" w:bidi="ar-SA"/>
              </w:rPr>
            </w:pPr>
            <w:r>
              <w:rPr>
                <w:rFonts w:hint="eastAsia"/>
                <w:sz w:val="24"/>
                <w:lang w:val="en-US" w:bidi="ar-SA"/>
              </w:rPr>
              <w:t>邻二甲苯</w:t>
            </w:r>
          </w:p>
        </w:tc>
        <w:tc>
          <w:tcPr>
            <w:tcW w:w="1152" w:type="dxa"/>
            <w:tcBorders>
              <w:top w:val="single" w:color="000000" w:sz="4" w:space="0"/>
              <w:left w:val="single" w:color="000000" w:sz="4" w:space="0"/>
              <w:right w:val="single" w:color="000000" w:sz="4" w:space="0"/>
            </w:tcBorders>
            <w:vAlign w:val="center"/>
          </w:tcPr>
          <w:p>
            <w:pPr>
              <w:pStyle w:val="88"/>
              <w:spacing w:before="90"/>
              <w:ind w:left="197" w:right="183"/>
              <w:jc w:val="center"/>
              <w:rPr>
                <w:rFonts w:hint="eastAsia"/>
                <w:sz w:val="24"/>
                <w:lang w:val="en-US" w:bidi="ar-SA"/>
              </w:rPr>
            </w:pPr>
            <w:r>
              <w:rPr>
                <w:rFonts w:hint="eastAsia"/>
                <w:sz w:val="24"/>
                <w:lang w:val="en-US" w:bidi="ar-SA"/>
              </w:rPr>
              <w:t>扫仓泵</w:t>
            </w:r>
          </w:p>
        </w:tc>
        <w:tc>
          <w:tcPr>
            <w:tcW w:w="1038" w:type="dxa"/>
            <w:tcBorders>
              <w:top w:val="single" w:color="000000" w:sz="4" w:space="0"/>
              <w:left w:val="single" w:color="000000" w:sz="4" w:space="0"/>
              <w:right w:val="single" w:color="000000" w:sz="4" w:space="0"/>
            </w:tcBorders>
            <w:vAlign w:val="center"/>
          </w:tcPr>
          <w:p>
            <w:pPr>
              <w:pStyle w:val="88"/>
              <w:spacing w:before="87"/>
              <w:ind w:left="406"/>
              <w:jc w:val="left"/>
              <w:rPr>
                <w:rFonts w:hint="eastAsia"/>
                <w:sz w:val="24"/>
                <w:lang w:val="en-US" w:bidi="ar-SA"/>
              </w:rPr>
            </w:pPr>
            <w:r>
              <w:rPr>
                <w:rFonts w:hint="eastAsia"/>
                <w:sz w:val="24"/>
                <w:lang w:val="en-US" w:bidi="ar-SA"/>
              </w:rPr>
              <w:t>60</w:t>
            </w:r>
          </w:p>
        </w:tc>
        <w:tc>
          <w:tcPr>
            <w:tcW w:w="1155" w:type="dxa"/>
            <w:tcBorders>
              <w:top w:val="single" w:color="000000" w:sz="4" w:space="0"/>
              <w:left w:val="single" w:color="000000" w:sz="4" w:space="0"/>
              <w:right w:val="single" w:color="000000" w:sz="4" w:space="0"/>
            </w:tcBorders>
            <w:vAlign w:val="center"/>
          </w:tcPr>
          <w:p>
            <w:pPr>
              <w:pStyle w:val="88"/>
              <w:spacing w:before="87"/>
              <w:ind w:left="38" w:right="18"/>
              <w:jc w:val="center"/>
              <w:rPr>
                <w:rFonts w:hint="eastAsia"/>
                <w:sz w:val="24"/>
                <w:lang w:val="en-US" w:bidi="ar-SA"/>
              </w:rPr>
            </w:pPr>
            <w:r>
              <w:rPr>
                <w:rFonts w:hint="eastAsia"/>
                <w:sz w:val="24"/>
                <w:lang w:val="en-US" w:bidi="ar-SA"/>
              </w:rPr>
              <w:t>0.6MPa</w:t>
            </w:r>
          </w:p>
        </w:tc>
        <w:tc>
          <w:tcPr>
            <w:tcW w:w="1110" w:type="dxa"/>
            <w:tcBorders>
              <w:top w:val="single" w:color="000000" w:sz="4" w:space="0"/>
              <w:left w:val="single" w:color="000000" w:sz="4" w:space="0"/>
              <w:right w:val="single" w:color="000000" w:sz="4" w:space="0"/>
            </w:tcBorders>
            <w:vAlign w:val="center"/>
          </w:tcPr>
          <w:p>
            <w:pPr>
              <w:pStyle w:val="88"/>
              <w:spacing w:before="87"/>
              <w:ind w:right="386"/>
              <w:jc w:val="right"/>
              <w:rPr>
                <w:rFonts w:hint="eastAsia"/>
                <w:sz w:val="24"/>
                <w:lang w:val="en-US" w:bidi="ar-SA"/>
              </w:rPr>
            </w:pPr>
            <w:r>
              <w:rPr>
                <w:rFonts w:hint="eastAsia"/>
                <w:sz w:val="24"/>
                <w:lang w:val="en-US" w:bidi="ar-SA"/>
              </w:rPr>
              <w:t>18.5</w:t>
            </w:r>
          </w:p>
        </w:tc>
        <w:tc>
          <w:tcPr>
            <w:tcW w:w="765" w:type="dxa"/>
            <w:tcBorders>
              <w:top w:val="single" w:color="000000" w:sz="4" w:space="0"/>
              <w:left w:val="single" w:color="000000" w:sz="4" w:space="0"/>
              <w:right w:val="single" w:color="000000" w:sz="4" w:space="0"/>
            </w:tcBorders>
            <w:vAlign w:val="center"/>
          </w:tcPr>
          <w:p>
            <w:pPr>
              <w:pStyle w:val="88"/>
              <w:spacing w:before="87"/>
              <w:ind w:left="13"/>
              <w:jc w:val="center"/>
              <w:rPr>
                <w:rFonts w:hint="eastAsia"/>
                <w:sz w:val="24"/>
                <w:lang w:val="en-US" w:bidi="ar-SA"/>
              </w:rPr>
            </w:pPr>
            <w:r>
              <w:rPr>
                <w:rFonts w:hint="eastAsia"/>
                <w:sz w:val="24"/>
                <w:lang w:val="en-US" w:bidi="ar-SA"/>
              </w:rPr>
              <w:t>1</w:t>
            </w:r>
          </w:p>
        </w:tc>
        <w:tc>
          <w:tcPr>
            <w:tcW w:w="1230" w:type="dxa"/>
            <w:tcBorders>
              <w:top w:val="single" w:color="000000" w:sz="4" w:space="0"/>
              <w:left w:val="single" w:color="000000" w:sz="4" w:space="0"/>
            </w:tcBorders>
            <w:vAlign w:val="center"/>
          </w:tcPr>
          <w:p>
            <w:pPr>
              <w:pStyle w:val="88"/>
              <w:spacing w:before="90"/>
              <w:ind w:left="57" w:right="38"/>
              <w:jc w:val="center"/>
              <w:rPr>
                <w:rFonts w:hint="eastAsia"/>
                <w:sz w:val="24"/>
                <w:lang w:val="en-US" w:bidi="ar-SA"/>
              </w:rPr>
            </w:pPr>
            <w:r>
              <w:rPr>
                <w:rFonts w:hint="eastAsia"/>
                <w:sz w:val="24"/>
                <w:lang w:val="en-US" w:bidi="ar-SA"/>
              </w:rPr>
              <w:t>摆动转子泵</w:t>
            </w:r>
          </w:p>
        </w:tc>
      </w:tr>
    </w:tbl>
    <w:p>
      <w:pPr>
        <w:spacing w:before="2"/>
        <w:ind w:left="146" w:right="479"/>
        <w:jc w:val="center"/>
        <w:rPr>
          <w:rFonts w:eastAsia="Calibri"/>
          <w:sz w:val="24"/>
        </w:rPr>
      </w:pPr>
      <w:r>
        <w:rPr>
          <w:rFonts w:eastAsia="Calibri"/>
          <w:sz w:val="24"/>
        </w:rPr>
        <w:t>表 2.</w:t>
      </w:r>
      <w:r>
        <w:rPr>
          <w:rFonts w:hint="eastAsia" w:eastAsia="Calibri"/>
          <w:sz w:val="24"/>
        </w:rPr>
        <w:t>5</w:t>
      </w:r>
      <w:r>
        <w:rPr>
          <w:rFonts w:eastAsia="Calibri"/>
          <w:sz w:val="24"/>
        </w:rPr>
        <w:t>.</w:t>
      </w:r>
      <w:r>
        <w:rPr>
          <w:rFonts w:hint="eastAsia" w:eastAsia="Calibri"/>
          <w:sz w:val="24"/>
        </w:rPr>
        <w:t>2</w:t>
      </w:r>
      <w:r>
        <w:rPr>
          <w:rFonts w:eastAsia="Calibri"/>
          <w:sz w:val="24"/>
        </w:rPr>
        <w:t>-</w:t>
      </w:r>
      <w:r>
        <w:rPr>
          <w:rFonts w:hint="eastAsia" w:eastAsia="Calibri"/>
          <w:sz w:val="24"/>
        </w:rPr>
        <w:t xml:space="preserve">2 </w:t>
      </w:r>
      <w:r>
        <w:rPr>
          <w:rFonts w:eastAsia="Calibri"/>
          <w:sz w:val="24"/>
        </w:rPr>
        <w:t xml:space="preserve"> 10线机泵规格参数表</w:t>
      </w:r>
    </w:p>
    <w:p>
      <w:pPr>
        <w:pStyle w:val="121"/>
        <w:tabs>
          <w:tab w:val="left" w:pos="1403"/>
        </w:tabs>
        <w:spacing w:before="186"/>
        <w:ind w:left="420" w:leftChars="200" w:firstLine="280" w:firstLineChars="100"/>
        <w:jc w:val="left"/>
        <w:rPr>
          <w:rFonts w:hint="eastAsia" w:ascii="宋体" w:hAnsi="宋体" w:cs="宋体"/>
          <w:sz w:val="28"/>
          <w:szCs w:val="28"/>
        </w:rPr>
      </w:pPr>
      <w:r>
        <w:rPr>
          <w:rFonts w:hint="eastAsia" w:ascii="宋体" w:hAnsi="宋体" w:cs="宋体"/>
          <w:sz w:val="28"/>
          <w:szCs w:val="28"/>
        </w:rPr>
        <w:t>3)扫仓罐</w:t>
      </w:r>
    </w:p>
    <w:p>
      <w:pPr>
        <w:pStyle w:val="121"/>
        <w:tabs>
          <w:tab w:val="left" w:pos="1403"/>
        </w:tabs>
        <w:spacing w:before="186" w:line="360" w:lineRule="auto"/>
        <w:ind w:left="420" w:firstLine="560"/>
        <w:rPr>
          <w:rFonts w:hint="eastAsia" w:ascii="宋体" w:hAnsi="宋体" w:cs="宋体"/>
          <w:sz w:val="28"/>
          <w:szCs w:val="28"/>
        </w:rPr>
      </w:pPr>
      <w:r>
        <w:rPr>
          <w:rFonts w:hint="eastAsia" w:ascii="宋体" w:hAnsi="宋体" w:cs="宋体"/>
          <w:sz w:val="28"/>
          <w:szCs w:val="28"/>
        </w:rPr>
        <w:t>新建 10m3 邻二甲苯扫仓罐 1 座，扫仓罐为卧式结构。扫仓罐由筒体、封头，鞍座及配管组成。</w:t>
      </w:r>
    </w:p>
    <w:p>
      <w:pPr>
        <w:spacing w:before="2"/>
        <w:ind w:left="143" w:right="479"/>
        <w:jc w:val="center"/>
        <w:rPr>
          <w:rFonts w:eastAsia="Calibri"/>
          <w:sz w:val="24"/>
        </w:rPr>
      </w:pPr>
      <w:r>
        <w:rPr>
          <w:rFonts w:eastAsia="Calibri"/>
          <w:sz w:val="24"/>
        </w:rPr>
        <w:t>表 2.</w:t>
      </w:r>
      <w:r>
        <w:rPr>
          <w:rFonts w:hint="eastAsia" w:eastAsia="Calibri"/>
          <w:sz w:val="24"/>
        </w:rPr>
        <w:t>5</w:t>
      </w:r>
      <w:r>
        <w:rPr>
          <w:rFonts w:eastAsia="Calibri"/>
          <w:sz w:val="24"/>
        </w:rPr>
        <w:t>.</w:t>
      </w:r>
      <w:r>
        <w:rPr>
          <w:rFonts w:hint="eastAsia" w:eastAsia="Calibri"/>
          <w:sz w:val="24"/>
        </w:rPr>
        <w:t>2</w:t>
      </w:r>
      <w:r>
        <w:rPr>
          <w:rFonts w:eastAsia="Calibri"/>
          <w:sz w:val="24"/>
        </w:rPr>
        <w:t>-</w:t>
      </w:r>
      <w:r>
        <w:rPr>
          <w:rFonts w:hint="eastAsia" w:eastAsia="Calibri"/>
          <w:sz w:val="24"/>
        </w:rPr>
        <w:t>3</w:t>
      </w:r>
      <w:r>
        <w:rPr>
          <w:rFonts w:eastAsia="Calibri"/>
          <w:sz w:val="24"/>
        </w:rPr>
        <w:t xml:space="preserve"> 扫仓罐设计参数</w:t>
      </w:r>
    </w:p>
    <w:tbl>
      <w:tblPr>
        <w:tblStyle w:val="54"/>
        <w:tblpPr w:leftFromText="180" w:rightFromText="180" w:vertAnchor="text" w:horzAnchor="page" w:tblpX="1784" w:tblpY="332"/>
        <w:tblOverlap w:val="never"/>
        <w:tblW w:w="833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0"/>
        <w:gridCol w:w="1445"/>
        <w:gridCol w:w="1050"/>
        <w:gridCol w:w="1380"/>
        <w:gridCol w:w="1215"/>
        <w:gridCol w:w="1365"/>
        <w:gridCol w:w="12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trPr>
        <w:tc>
          <w:tcPr>
            <w:tcW w:w="590" w:type="dxa"/>
            <w:tcBorders>
              <w:bottom w:val="single" w:color="000000" w:sz="4" w:space="0"/>
              <w:right w:val="single" w:color="000000" w:sz="4" w:space="0"/>
            </w:tcBorders>
            <w:vAlign w:val="top"/>
          </w:tcPr>
          <w:p>
            <w:pPr>
              <w:pStyle w:val="88"/>
              <w:spacing w:before="135"/>
              <w:ind w:left="194" w:right="181"/>
              <w:jc w:val="center"/>
              <w:rPr>
                <w:rFonts w:hint="eastAsia"/>
                <w:sz w:val="24"/>
                <w:lang w:val="en-US" w:bidi="ar-SA"/>
              </w:rPr>
            </w:pPr>
            <w:r>
              <w:rPr>
                <w:rFonts w:hint="eastAsia"/>
                <w:sz w:val="24"/>
                <w:lang w:val="en-US" w:bidi="ar-SA"/>
              </w:rPr>
              <w:t>序号</w:t>
            </w:r>
          </w:p>
        </w:tc>
        <w:tc>
          <w:tcPr>
            <w:tcW w:w="1445" w:type="dxa"/>
            <w:tcBorders>
              <w:left w:val="single" w:color="000000" w:sz="4" w:space="0"/>
              <w:bottom w:val="single" w:color="000000" w:sz="4" w:space="0"/>
              <w:right w:val="single" w:color="000000" w:sz="4" w:space="0"/>
            </w:tcBorders>
            <w:vAlign w:val="top"/>
          </w:tcPr>
          <w:p>
            <w:pPr>
              <w:pStyle w:val="88"/>
              <w:spacing w:before="135"/>
              <w:ind w:right="419"/>
              <w:jc w:val="both"/>
              <w:rPr>
                <w:rFonts w:hint="eastAsia"/>
                <w:sz w:val="24"/>
                <w:lang w:val="en-US" w:bidi="ar-SA"/>
              </w:rPr>
            </w:pPr>
            <w:r>
              <w:rPr>
                <w:rFonts w:hint="eastAsia"/>
                <w:sz w:val="24"/>
                <w:lang w:val="en-US" w:bidi="ar-SA"/>
              </w:rPr>
              <w:t>储罐名称</w:t>
            </w:r>
          </w:p>
        </w:tc>
        <w:tc>
          <w:tcPr>
            <w:tcW w:w="1050" w:type="dxa"/>
            <w:tcBorders>
              <w:left w:val="single" w:color="000000" w:sz="4" w:space="0"/>
              <w:bottom w:val="single" w:color="000000" w:sz="4" w:space="0"/>
              <w:right w:val="single" w:color="000000" w:sz="4" w:space="0"/>
            </w:tcBorders>
            <w:vAlign w:val="top"/>
          </w:tcPr>
          <w:p>
            <w:pPr>
              <w:pStyle w:val="88"/>
              <w:spacing w:line="267" w:lineRule="exact"/>
              <w:ind w:left="335"/>
              <w:rPr>
                <w:rFonts w:hint="eastAsia"/>
                <w:sz w:val="24"/>
                <w:lang w:val="en-US" w:bidi="ar-SA"/>
              </w:rPr>
            </w:pPr>
            <w:r>
              <w:rPr>
                <w:rFonts w:hint="eastAsia"/>
                <w:sz w:val="24"/>
                <w:lang w:val="en-US" w:bidi="ar-SA"/>
              </w:rPr>
              <w:t>设备</w:t>
            </w:r>
          </w:p>
          <w:p>
            <w:pPr>
              <w:pStyle w:val="88"/>
              <w:spacing w:before="4" w:line="252" w:lineRule="exact"/>
              <w:ind w:left="335"/>
              <w:rPr>
                <w:rFonts w:hint="eastAsia"/>
                <w:sz w:val="24"/>
                <w:lang w:val="en-US" w:bidi="ar-SA"/>
              </w:rPr>
            </w:pPr>
            <w:r>
              <w:rPr>
                <w:rFonts w:hint="eastAsia"/>
                <w:sz w:val="24"/>
                <w:lang w:val="en-US" w:bidi="ar-SA"/>
              </w:rPr>
              <w:t>类型</w:t>
            </w:r>
          </w:p>
        </w:tc>
        <w:tc>
          <w:tcPr>
            <w:tcW w:w="1380" w:type="dxa"/>
            <w:tcBorders>
              <w:left w:val="single" w:color="000000" w:sz="4" w:space="0"/>
              <w:bottom w:val="single" w:color="000000" w:sz="4" w:space="0"/>
              <w:right w:val="single" w:color="000000" w:sz="4" w:space="0"/>
            </w:tcBorders>
            <w:vAlign w:val="top"/>
          </w:tcPr>
          <w:p>
            <w:pPr>
              <w:pStyle w:val="88"/>
              <w:spacing w:line="267" w:lineRule="exact"/>
              <w:ind w:left="263"/>
              <w:rPr>
                <w:rFonts w:hint="eastAsia"/>
                <w:sz w:val="24"/>
                <w:lang w:val="en-US" w:bidi="ar-SA"/>
              </w:rPr>
            </w:pPr>
            <w:r>
              <w:rPr>
                <w:rFonts w:hint="eastAsia"/>
                <w:sz w:val="24"/>
                <w:lang w:val="en-US" w:bidi="ar-SA"/>
              </w:rPr>
              <w:t>公称容积</w:t>
            </w:r>
          </w:p>
          <w:p>
            <w:pPr>
              <w:pStyle w:val="88"/>
              <w:spacing w:before="4" w:line="252" w:lineRule="exact"/>
              <w:ind w:left="356"/>
              <w:rPr>
                <w:rFonts w:hint="eastAsia"/>
                <w:sz w:val="24"/>
                <w:lang w:val="en-US" w:bidi="ar-SA"/>
              </w:rPr>
            </w:pPr>
            <w:r>
              <w:rPr>
                <w:rFonts w:hint="eastAsia"/>
                <w:sz w:val="24"/>
                <w:lang w:val="en-US" w:bidi="ar-SA"/>
              </w:rPr>
              <w:t>（m3）</w:t>
            </w:r>
          </w:p>
        </w:tc>
        <w:tc>
          <w:tcPr>
            <w:tcW w:w="1215" w:type="dxa"/>
            <w:tcBorders>
              <w:left w:val="single" w:color="000000" w:sz="4" w:space="0"/>
              <w:bottom w:val="single" w:color="000000" w:sz="4" w:space="0"/>
              <w:right w:val="single" w:color="000000" w:sz="4" w:space="0"/>
            </w:tcBorders>
            <w:vAlign w:val="top"/>
          </w:tcPr>
          <w:p>
            <w:pPr>
              <w:pStyle w:val="88"/>
              <w:spacing w:line="267" w:lineRule="exact"/>
              <w:ind w:left="66" w:right="54"/>
              <w:jc w:val="center"/>
              <w:rPr>
                <w:rFonts w:hint="eastAsia"/>
                <w:sz w:val="24"/>
                <w:lang w:val="en-US" w:bidi="ar-SA"/>
              </w:rPr>
            </w:pPr>
            <w:r>
              <w:rPr>
                <w:rFonts w:hint="eastAsia"/>
                <w:sz w:val="24"/>
                <w:lang w:val="en-US" w:bidi="ar-SA"/>
              </w:rPr>
              <w:t>储罐直径</w:t>
            </w:r>
          </w:p>
          <w:p>
            <w:pPr>
              <w:pStyle w:val="88"/>
              <w:spacing w:before="4" w:line="252" w:lineRule="exact"/>
              <w:ind w:left="66" w:right="53"/>
              <w:jc w:val="center"/>
              <w:rPr>
                <w:rFonts w:hint="eastAsia"/>
                <w:sz w:val="24"/>
                <w:lang w:val="en-US" w:bidi="ar-SA"/>
              </w:rPr>
            </w:pPr>
            <w:r>
              <w:rPr>
                <w:rFonts w:hint="eastAsia"/>
                <w:sz w:val="24"/>
                <w:lang w:val="en-US" w:bidi="ar-SA"/>
              </w:rPr>
              <w:t>（m）</w:t>
            </w:r>
          </w:p>
        </w:tc>
        <w:tc>
          <w:tcPr>
            <w:tcW w:w="1365" w:type="dxa"/>
            <w:tcBorders>
              <w:left w:val="single" w:color="000000" w:sz="4" w:space="0"/>
              <w:bottom w:val="single" w:color="000000" w:sz="4" w:space="0"/>
              <w:right w:val="single" w:color="000000" w:sz="4" w:space="0"/>
            </w:tcBorders>
            <w:vAlign w:val="top"/>
          </w:tcPr>
          <w:p>
            <w:pPr>
              <w:pStyle w:val="88"/>
              <w:spacing w:line="267" w:lineRule="exact"/>
              <w:ind w:left="330" w:right="315"/>
              <w:jc w:val="center"/>
              <w:rPr>
                <w:rFonts w:hint="eastAsia"/>
                <w:sz w:val="24"/>
                <w:lang w:val="en-US" w:bidi="ar-SA"/>
              </w:rPr>
            </w:pPr>
            <w:r>
              <w:rPr>
                <w:rFonts w:hint="eastAsia"/>
                <w:sz w:val="24"/>
                <w:lang w:val="en-US" w:bidi="ar-SA"/>
              </w:rPr>
              <w:t>罐体长度</w:t>
            </w:r>
          </w:p>
          <w:p>
            <w:pPr>
              <w:pStyle w:val="88"/>
              <w:spacing w:before="4" w:line="252" w:lineRule="exact"/>
              <w:ind w:left="330" w:right="315"/>
              <w:jc w:val="center"/>
              <w:rPr>
                <w:rFonts w:hint="eastAsia"/>
                <w:sz w:val="24"/>
                <w:lang w:val="en-US" w:bidi="ar-SA"/>
              </w:rPr>
            </w:pPr>
            <w:r>
              <w:rPr>
                <w:rFonts w:hint="eastAsia"/>
                <w:sz w:val="24"/>
                <w:lang w:val="en-US" w:bidi="ar-SA"/>
              </w:rPr>
              <w:t>（m）</w:t>
            </w:r>
          </w:p>
        </w:tc>
        <w:tc>
          <w:tcPr>
            <w:tcW w:w="1290" w:type="dxa"/>
            <w:tcBorders>
              <w:left w:val="single" w:color="000000" w:sz="4" w:space="0"/>
              <w:bottom w:val="single" w:color="000000" w:sz="4" w:space="0"/>
            </w:tcBorders>
            <w:vAlign w:val="top"/>
          </w:tcPr>
          <w:p>
            <w:pPr>
              <w:pStyle w:val="88"/>
              <w:spacing w:before="135"/>
              <w:ind w:left="189" w:right="170"/>
              <w:jc w:val="center"/>
              <w:rPr>
                <w:rFonts w:hint="eastAsia"/>
                <w:sz w:val="24"/>
                <w:lang w:val="en-US" w:bidi="ar-SA"/>
              </w:rPr>
            </w:pPr>
            <w:r>
              <w:rPr>
                <w:rFonts w:hint="eastAsia"/>
                <w:sz w:val="24"/>
                <w:lang w:val="en-US" w:bidi="ar-SA"/>
              </w:rPr>
              <w:t>数量（座）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5" w:hRule="atLeast"/>
        </w:trPr>
        <w:tc>
          <w:tcPr>
            <w:tcW w:w="590" w:type="dxa"/>
            <w:tcBorders>
              <w:top w:val="single" w:color="000000" w:sz="4" w:space="0"/>
              <w:right w:val="single" w:color="000000" w:sz="4" w:space="0"/>
            </w:tcBorders>
            <w:vAlign w:val="top"/>
          </w:tcPr>
          <w:p>
            <w:pPr>
              <w:pStyle w:val="88"/>
              <w:spacing w:before="87"/>
              <w:ind w:left="13"/>
              <w:jc w:val="center"/>
              <w:rPr>
                <w:rFonts w:hint="eastAsia"/>
                <w:sz w:val="24"/>
                <w:lang w:val="en-US" w:bidi="ar-SA"/>
              </w:rPr>
            </w:pPr>
            <w:r>
              <w:rPr>
                <w:rFonts w:hint="eastAsia"/>
                <w:sz w:val="24"/>
                <w:lang w:val="en-US" w:bidi="ar-SA"/>
              </w:rPr>
              <w:t>1</w:t>
            </w:r>
          </w:p>
        </w:tc>
        <w:tc>
          <w:tcPr>
            <w:tcW w:w="1445" w:type="dxa"/>
            <w:tcBorders>
              <w:top w:val="single" w:color="000000" w:sz="4" w:space="0"/>
              <w:left w:val="single" w:color="000000" w:sz="4" w:space="0"/>
              <w:right w:val="single" w:color="000000" w:sz="4" w:space="0"/>
            </w:tcBorders>
            <w:vAlign w:val="top"/>
          </w:tcPr>
          <w:p>
            <w:pPr>
              <w:pStyle w:val="88"/>
              <w:spacing w:before="89"/>
              <w:ind w:right="417"/>
              <w:jc w:val="both"/>
              <w:rPr>
                <w:rFonts w:hint="eastAsia"/>
                <w:sz w:val="24"/>
                <w:lang w:val="en-US" w:bidi="ar-SA"/>
              </w:rPr>
            </w:pPr>
            <w:r>
              <w:rPr>
                <w:rFonts w:hint="eastAsia"/>
                <w:sz w:val="24"/>
                <w:lang w:val="en-US" w:bidi="ar-SA"/>
              </w:rPr>
              <w:t>扫仓罐</w:t>
            </w:r>
          </w:p>
        </w:tc>
        <w:tc>
          <w:tcPr>
            <w:tcW w:w="1050" w:type="dxa"/>
            <w:tcBorders>
              <w:top w:val="single" w:color="000000" w:sz="4" w:space="0"/>
              <w:left w:val="single" w:color="000000" w:sz="4" w:space="0"/>
              <w:right w:val="single" w:color="000000" w:sz="4" w:space="0"/>
            </w:tcBorders>
            <w:vAlign w:val="top"/>
          </w:tcPr>
          <w:p>
            <w:pPr>
              <w:pStyle w:val="88"/>
              <w:spacing w:before="89"/>
              <w:ind w:left="335"/>
              <w:rPr>
                <w:rFonts w:hint="eastAsia"/>
                <w:sz w:val="24"/>
                <w:lang w:val="en-US" w:bidi="ar-SA"/>
              </w:rPr>
            </w:pPr>
            <w:r>
              <w:rPr>
                <w:rFonts w:hint="eastAsia"/>
                <w:sz w:val="24"/>
                <w:lang w:val="en-US" w:bidi="ar-SA"/>
              </w:rPr>
              <w:t>卧式</w:t>
            </w:r>
          </w:p>
        </w:tc>
        <w:tc>
          <w:tcPr>
            <w:tcW w:w="1380" w:type="dxa"/>
            <w:tcBorders>
              <w:top w:val="single" w:color="000000" w:sz="4" w:space="0"/>
              <w:left w:val="single" w:color="000000" w:sz="4" w:space="0"/>
              <w:right w:val="single" w:color="000000" w:sz="4" w:space="0"/>
            </w:tcBorders>
            <w:vAlign w:val="top"/>
          </w:tcPr>
          <w:p>
            <w:pPr>
              <w:pStyle w:val="88"/>
              <w:spacing w:before="87"/>
              <w:ind w:left="335" w:right="322"/>
              <w:jc w:val="center"/>
              <w:rPr>
                <w:rFonts w:hint="eastAsia"/>
                <w:sz w:val="24"/>
                <w:lang w:val="en-US" w:bidi="ar-SA"/>
              </w:rPr>
            </w:pPr>
            <w:r>
              <w:rPr>
                <w:rFonts w:hint="eastAsia"/>
                <w:sz w:val="24"/>
                <w:lang w:val="en-US" w:bidi="ar-SA"/>
              </w:rPr>
              <w:t>10</w:t>
            </w:r>
          </w:p>
        </w:tc>
        <w:tc>
          <w:tcPr>
            <w:tcW w:w="1215" w:type="dxa"/>
            <w:tcBorders>
              <w:top w:val="single" w:color="000000" w:sz="4" w:space="0"/>
              <w:left w:val="single" w:color="000000" w:sz="4" w:space="0"/>
              <w:right w:val="single" w:color="000000" w:sz="4" w:space="0"/>
            </w:tcBorders>
            <w:vAlign w:val="top"/>
          </w:tcPr>
          <w:p>
            <w:pPr>
              <w:pStyle w:val="88"/>
              <w:spacing w:before="87"/>
              <w:ind w:left="66" w:right="50"/>
              <w:jc w:val="center"/>
              <w:rPr>
                <w:rFonts w:hint="eastAsia"/>
                <w:sz w:val="24"/>
                <w:lang w:val="en-US" w:bidi="ar-SA"/>
              </w:rPr>
            </w:pPr>
            <w:r>
              <w:rPr>
                <w:rFonts w:hint="eastAsia"/>
                <w:sz w:val="24"/>
                <w:lang w:val="en-US" w:bidi="ar-SA"/>
              </w:rPr>
              <w:t>1.8</w:t>
            </w:r>
          </w:p>
        </w:tc>
        <w:tc>
          <w:tcPr>
            <w:tcW w:w="1365" w:type="dxa"/>
            <w:tcBorders>
              <w:top w:val="single" w:color="000000" w:sz="4" w:space="0"/>
              <w:left w:val="single" w:color="000000" w:sz="4" w:space="0"/>
              <w:right w:val="single" w:color="000000" w:sz="4" w:space="0"/>
            </w:tcBorders>
            <w:vAlign w:val="top"/>
          </w:tcPr>
          <w:p>
            <w:pPr>
              <w:pStyle w:val="88"/>
              <w:spacing w:before="87"/>
              <w:ind w:left="330" w:right="313"/>
              <w:jc w:val="center"/>
              <w:rPr>
                <w:rFonts w:hint="eastAsia"/>
                <w:sz w:val="24"/>
                <w:lang w:val="en-US" w:bidi="ar-SA"/>
              </w:rPr>
            </w:pPr>
            <w:r>
              <w:rPr>
                <w:rFonts w:hint="eastAsia"/>
                <w:sz w:val="24"/>
                <w:lang w:val="en-US" w:bidi="ar-SA"/>
              </w:rPr>
              <w:t>3.9</w:t>
            </w:r>
          </w:p>
        </w:tc>
        <w:tc>
          <w:tcPr>
            <w:tcW w:w="1290" w:type="dxa"/>
            <w:tcBorders>
              <w:top w:val="single" w:color="000000" w:sz="4" w:space="0"/>
              <w:left w:val="single" w:color="000000" w:sz="4" w:space="0"/>
            </w:tcBorders>
            <w:vAlign w:val="top"/>
          </w:tcPr>
          <w:p>
            <w:pPr>
              <w:pStyle w:val="88"/>
              <w:spacing w:before="87"/>
              <w:ind w:left="18"/>
              <w:jc w:val="center"/>
              <w:rPr>
                <w:rFonts w:hint="eastAsia"/>
                <w:sz w:val="24"/>
                <w:lang w:val="en-US" w:bidi="ar-SA"/>
              </w:rPr>
            </w:pPr>
            <w:r>
              <w:rPr>
                <w:rFonts w:hint="eastAsia"/>
                <w:sz w:val="24"/>
                <w:lang w:val="en-US" w:bidi="ar-SA"/>
              </w:rPr>
              <w:t>1</w:t>
            </w:r>
          </w:p>
        </w:tc>
      </w:tr>
    </w:tbl>
    <w:p>
      <w:pPr>
        <w:pStyle w:val="121"/>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4)过滤器</w:t>
      </w:r>
    </w:p>
    <w:p>
      <w:pPr>
        <w:pStyle w:val="121"/>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选用篮式过滤器，摩阻较小，安装于机泵前，对介质进行过滤，改善机泵工作环境，延长设备的使用寿命。</w:t>
      </w:r>
    </w:p>
    <w:p>
      <w:pPr>
        <w:pStyle w:val="121"/>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5)阀门</w:t>
      </w:r>
    </w:p>
    <w:p>
      <w:pPr>
        <w:pStyle w:val="121"/>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a)闸阀选用楔式单闸板闸阀。</w:t>
      </w:r>
    </w:p>
    <w:p>
      <w:pPr>
        <w:pStyle w:val="121"/>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b)球阀选用选用直通式浮动球阀。</w:t>
      </w:r>
    </w:p>
    <w:p>
      <w:pPr>
        <w:pStyle w:val="121"/>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C)止回阀均选用旋启式止回阀。</w:t>
      </w:r>
    </w:p>
    <w:p>
      <w:pPr>
        <w:pStyle w:val="121"/>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6)邻二甲苯输送管道</w:t>
      </w:r>
    </w:p>
    <w:p>
      <w:pPr>
        <w:pStyle w:val="121"/>
        <w:tabs>
          <w:tab w:val="left" w:pos="1403"/>
        </w:tabs>
        <w:spacing w:before="186" w:line="360" w:lineRule="auto"/>
        <w:ind w:left="420" w:leftChars="200" w:firstLine="280" w:firstLineChars="100"/>
        <w:jc w:val="left"/>
        <w:rPr>
          <w:rFonts w:hint="eastAsia" w:ascii="宋体" w:hAnsi="宋体" w:cs="宋体"/>
          <w:sz w:val="28"/>
          <w:szCs w:val="28"/>
        </w:rPr>
      </w:pPr>
      <w:r>
        <w:rPr>
          <w:rFonts w:hint="eastAsia" w:ascii="宋体" w:hAnsi="宋体" w:cs="宋体"/>
          <w:sz w:val="28"/>
          <w:szCs w:val="28"/>
        </w:rPr>
        <w:t>卸车泵（P107、P108）出口至南充联成化学工业有限公司厂区的邻二甲苯输送管道长度为 4.27km，管道规格 D219×6.5，管道材质 20#无缝钢管， 设计压力 1.6MPa，设计温度 60℃，近期设计周转量 6.2×10 4t/a，远期设计周转量 12.4×10 4t/a。</w:t>
      </w:r>
    </w:p>
    <w:p>
      <w:pPr>
        <w:pStyle w:val="121"/>
        <w:tabs>
          <w:tab w:val="left" w:pos="1403"/>
        </w:tabs>
        <w:spacing w:before="186" w:line="360" w:lineRule="auto"/>
        <w:ind w:left="420" w:leftChars="200" w:firstLine="280" w:firstLineChars="100"/>
        <w:jc w:val="left"/>
        <w:rPr>
          <w:rFonts w:eastAsia="Calibri"/>
          <w:sz w:val="28"/>
          <w:szCs w:val="28"/>
        </w:rPr>
      </w:pPr>
      <w:r>
        <w:rPr>
          <w:rFonts w:hint="eastAsia" w:ascii="宋体" w:hAnsi="宋体" w:cs="宋体"/>
          <w:sz w:val="28"/>
          <w:szCs w:val="28"/>
        </w:rPr>
        <w:t xml:space="preserve">管道全线各跨越 1 次园区铁路专用线和园区道路。跨越利用园区已建管廊架顶层垂直跨越，跨越点情况如下表所示。 </w:t>
      </w:r>
    </w:p>
    <w:p>
      <w:pPr>
        <w:spacing w:before="5"/>
        <w:ind w:left="144" w:right="479"/>
        <w:jc w:val="center"/>
        <w:rPr>
          <w:rFonts w:eastAsia="Calibri"/>
          <w:sz w:val="24"/>
        </w:rPr>
      </w:pPr>
      <w:r>
        <w:rPr>
          <w:rFonts w:eastAsia="Calibri"/>
          <w:sz w:val="24"/>
        </w:rPr>
        <w:t>表 2.</w:t>
      </w:r>
      <w:r>
        <w:rPr>
          <w:rFonts w:hint="eastAsia" w:eastAsia="Calibri"/>
          <w:sz w:val="24"/>
        </w:rPr>
        <w:t>5</w:t>
      </w:r>
      <w:r>
        <w:rPr>
          <w:rFonts w:eastAsia="Calibri"/>
          <w:sz w:val="24"/>
        </w:rPr>
        <w:t>.</w:t>
      </w:r>
      <w:r>
        <w:rPr>
          <w:rFonts w:hint="eastAsia" w:eastAsia="Calibri"/>
          <w:sz w:val="24"/>
        </w:rPr>
        <w:t>2</w:t>
      </w:r>
      <w:r>
        <w:rPr>
          <w:rFonts w:eastAsia="Calibri"/>
          <w:sz w:val="24"/>
        </w:rPr>
        <w:t>-</w:t>
      </w:r>
      <w:r>
        <w:rPr>
          <w:rFonts w:hint="eastAsia" w:eastAsia="Calibri"/>
          <w:sz w:val="24"/>
        </w:rPr>
        <w:t>4</w:t>
      </w:r>
      <w:r>
        <w:rPr>
          <w:rFonts w:eastAsia="Calibri"/>
          <w:sz w:val="24"/>
        </w:rPr>
        <w:t xml:space="preserve"> 邻二甲苯输送管道跨越情况统计表</w:t>
      </w:r>
    </w:p>
    <w:tbl>
      <w:tblPr>
        <w:tblStyle w:val="54"/>
        <w:tblW w:w="8382" w:type="dxa"/>
        <w:jc w:val="center"/>
        <w:tblInd w:w="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5"/>
        <w:gridCol w:w="1890"/>
        <w:gridCol w:w="1926"/>
        <w:gridCol w:w="1356"/>
        <w:gridCol w:w="2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jc w:val="center"/>
        </w:trPr>
        <w:tc>
          <w:tcPr>
            <w:tcW w:w="795" w:type="dxa"/>
            <w:vAlign w:val="center"/>
          </w:tcPr>
          <w:p>
            <w:pPr>
              <w:pStyle w:val="88"/>
              <w:spacing w:before="135"/>
              <w:ind w:left="211" w:right="200"/>
              <w:jc w:val="center"/>
              <w:rPr>
                <w:rFonts w:hint="eastAsia"/>
                <w:sz w:val="24"/>
                <w:lang w:val="en-US" w:bidi="ar-SA"/>
              </w:rPr>
            </w:pPr>
            <w:r>
              <w:rPr>
                <w:rFonts w:hint="eastAsia"/>
                <w:sz w:val="24"/>
                <w:lang w:val="en-US" w:bidi="ar-SA"/>
              </w:rPr>
              <w:t>序号</w:t>
            </w:r>
          </w:p>
        </w:tc>
        <w:tc>
          <w:tcPr>
            <w:tcW w:w="1890" w:type="dxa"/>
            <w:vAlign w:val="center"/>
          </w:tcPr>
          <w:p>
            <w:pPr>
              <w:pStyle w:val="88"/>
              <w:spacing w:before="135"/>
              <w:ind w:left="137" w:right="126"/>
              <w:jc w:val="center"/>
              <w:rPr>
                <w:rFonts w:hint="eastAsia"/>
                <w:sz w:val="24"/>
                <w:lang w:val="en-US" w:bidi="ar-SA"/>
              </w:rPr>
            </w:pPr>
            <w:r>
              <w:rPr>
                <w:rFonts w:hint="eastAsia"/>
                <w:sz w:val="24"/>
                <w:lang w:val="en-US" w:bidi="ar-SA"/>
              </w:rPr>
              <w:t>跨越类型</w:t>
            </w:r>
          </w:p>
        </w:tc>
        <w:tc>
          <w:tcPr>
            <w:tcW w:w="1926" w:type="dxa"/>
            <w:vAlign w:val="center"/>
          </w:tcPr>
          <w:p>
            <w:pPr>
              <w:pStyle w:val="88"/>
              <w:spacing w:line="268" w:lineRule="exact"/>
              <w:ind w:left="186" w:right="177"/>
              <w:jc w:val="center"/>
              <w:rPr>
                <w:rFonts w:hint="eastAsia"/>
                <w:sz w:val="24"/>
                <w:lang w:val="en-US" w:bidi="ar-SA"/>
              </w:rPr>
            </w:pPr>
            <w:r>
              <w:rPr>
                <w:rFonts w:hint="eastAsia"/>
                <w:sz w:val="24"/>
                <w:lang w:val="en-US" w:bidi="ar-SA"/>
              </w:rPr>
              <w:t>管道距离</w:t>
            </w:r>
          </w:p>
          <w:p>
            <w:pPr>
              <w:pStyle w:val="88"/>
              <w:spacing w:before="2" w:line="255" w:lineRule="exact"/>
              <w:ind w:left="186" w:right="177"/>
              <w:jc w:val="center"/>
              <w:rPr>
                <w:rFonts w:hint="eastAsia"/>
                <w:sz w:val="24"/>
                <w:lang w:val="en-US" w:bidi="ar-SA"/>
              </w:rPr>
            </w:pPr>
            <w:r>
              <w:rPr>
                <w:rFonts w:hint="eastAsia"/>
                <w:sz w:val="24"/>
                <w:lang w:val="en-US" w:bidi="ar-SA"/>
              </w:rPr>
              <w:t>铁路路轨高度（m）</w:t>
            </w:r>
          </w:p>
        </w:tc>
        <w:tc>
          <w:tcPr>
            <w:tcW w:w="1356" w:type="dxa"/>
            <w:vAlign w:val="center"/>
          </w:tcPr>
          <w:p>
            <w:pPr>
              <w:pStyle w:val="88"/>
              <w:spacing w:line="268" w:lineRule="exact"/>
              <w:ind w:left="324" w:right="311"/>
              <w:jc w:val="center"/>
              <w:rPr>
                <w:rFonts w:hint="eastAsia"/>
                <w:sz w:val="24"/>
                <w:lang w:val="en-US" w:bidi="ar-SA"/>
              </w:rPr>
            </w:pPr>
            <w:r>
              <w:rPr>
                <w:rFonts w:hint="eastAsia"/>
                <w:sz w:val="24"/>
                <w:lang w:val="en-US" w:bidi="ar-SA"/>
              </w:rPr>
              <w:t>跨越长度</w:t>
            </w:r>
          </w:p>
          <w:p>
            <w:pPr>
              <w:pStyle w:val="88"/>
              <w:spacing w:before="2" w:line="255" w:lineRule="exact"/>
              <w:ind w:left="320" w:right="311"/>
              <w:jc w:val="center"/>
              <w:rPr>
                <w:rFonts w:hint="eastAsia"/>
                <w:sz w:val="24"/>
                <w:lang w:val="en-US" w:bidi="ar-SA"/>
              </w:rPr>
            </w:pPr>
            <w:r>
              <w:rPr>
                <w:rFonts w:hint="eastAsia"/>
                <w:sz w:val="24"/>
                <w:lang w:val="en-US" w:bidi="ar-SA"/>
              </w:rPr>
              <w:t>（m）</w:t>
            </w:r>
          </w:p>
        </w:tc>
        <w:tc>
          <w:tcPr>
            <w:tcW w:w="2415" w:type="dxa"/>
            <w:vAlign w:val="center"/>
          </w:tcPr>
          <w:p>
            <w:pPr>
              <w:pStyle w:val="88"/>
              <w:spacing w:line="268" w:lineRule="exact"/>
              <w:ind w:left="203" w:right="192"/>
              <w:jc w:val="center"/>
              <w:rPr>
                <w:rFonts w:hint="eastAsia"/>
                <w:sz w:val="24"/>
                <w:lang w:val="en-US" w:bidi="ar-SA"/>
              </w:rPr>
            </w:pPr>
            <w:r>
              <w:rPr>
                <w:rFonts w:hint="eastAsia"/>
                <w:sz w:val="24"/>
                <w:lang w:val="en-US" w:bidi="ar-SA"/>
              </w:rPr>
              <w:t>管廊架底距离</w:t>
            </w:r>
          </w:p>
          <w:p>
            <w:pPr>
              <w:pStyle w:val="88"/>
              <w:spacing w:before="2" w:line="255" w:lineRule="exact"/>
              <w:ind w:left="204" w:right="192"/>
              <w:jc w:val="center"/>
              <w:rPr>
                <w:rFonts w:hint="eastAsia"/>
                <w:sz w:val="24"/>
                <w:lang w:val="en-US" w:bidi="ar-SA"/>
              </w:rPr>
            </w:pPr>
            <w:r>
              <w:rPr>
                <w:rFonts w:hint="eastAsia"/>
                <w:sz w:val="24"/>
                <w:lang w:val="en-US" w:bidi="ar-SA"/>
              </w:rPr>
              <w:t>轨面、路面高度（m）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jc w:val="center"/>
        </w:trPr>
        <w:tc>
          <w:tcPr>
            <w:tcW w:w="795" w:type="dxa"/>
            <w:vAlign w:val="center"/>
          </w:tcPr>
          <w:p>
            <w:pPr>
              <w:pStyle w:val="88"/>
              <w:spacing w:before="84"/>
              <w:ind w:left="7"/>
              <w:jc w:val="center"/>
              <w:rPr>
                <w:rFonts w:hint="eastAsia"/>
                <w:sz w:val="24"/>
                <w:lang w:val="en-US" w:bidi="ar-SA"/>
              </w:rPr>
            </w:pPr>
            <w:r>
              <w:rPr>
                <w:rFonts w:hint="eastAsia"/>
                <w:sz w:val="24"/>
                <w:lang w:val="en-US" w:bidi="ar-SA"/>
              </w:rPr>
              <w:t>1</w:t>
            </w:r>
          </w:p>
        </w:tc>
        <w:tc>
          <w:tcPr>
            <w:tcW w:w="1890" w:type="dxa"/>
            <w:vAlign w:val="center"/>
          </w:tcPr>
          <w:p>
            <w:pPr>
              <w:pStyle w:val="88"/>
              <w:spacing w:before="89"/>
              <w:ind w:left="137" w:right="129"/>
              <w:jc w:val="center"/>
              <w:rPr>
                <w:rFonts w:hint="eastAsia"/>
                <w:sz w:val="24"/>
                <w:lang w:val="en-US" w:bidi="ar-SA"/>
              </w:rPr>
            </w:pPr>
            <w:r>
              <w:rPr>
                <w:rFonts w:hint="eastAsia"/>
                <w:sz w:val="24"/>
                <w:lang w:val="en-US" w:bidi="ar-SA"/>
              </w:rPr>
              <w:t>园区铁路专运线</w:t>
            </w:r>
          </w:p>
        </w:tc>
        <w:tc>
          <w:tcPr>
            <w:tcW w:w="1926" w:type="dxa"/>
            <w:vAlign w:val="center"/>
          </w:tcPr>
          <w:p>
            <w:pPr>
              <w:pStyle w:val="88"/>
              <w:spacing w:before="84"/>
              <w:ind w:left="186" w:right="174"/>
              <w:jc w:val="center"/>
              <w:rPr>
                <w:rFonts w:hint="eastAsia"/>
                <w:sz w:val="24"/>
                <w:lang w:val="en-US" w:bidi="ar-SA"/>
              </w:rPr>
            </w:pPr>
            <w:r>
              <w:rPr>
                <w:rFonts w:hint="eastAsia"/>
                <w:sz w:val="24"/>
                <w:lang w:val="en-US" w:bidi="ar-SA"/>
              </w:rPr>
              <w:t>18.2</w:t>
            </w:r>
          </w:p>
        </w:tc>
        <w:tc>
          <w:tcPr>
            <w:tcW w:w="1356" w:type="dxa"/>
            <w:vAlign w:val="center"/>
          </w:tcPr>
          <w:p>
            <w:pPr>
              <w:pStyle w:val="88"/>
              <w:spacing w:before="84"/>
              <w:ind w:left="322" w:right="311"/>
              <w:jc w:val="center"/>
              <w:rPr>
                <w:rFonts w:hint="eastAsia"/>
                <w:sz w:val="24"/>
                <w:lang w:val="en-US" w:bidi="ar-SA"/>
              </w:rPr>
            </w:pPr>
            <w:r>
              <w:rPr>
                <w:rFonts w:hint="eastAsia"/>
                <w:sz w:val="24"/>
                <w:lang w:val="en-US" w:bidi="ar-SA"/>
              </w:rPr>
              <w:t>51.6</w:t>
            </w:r>
          </w:p>
        </w:tc>
        <w:tc>
          <w:tcPr>
            <w:tcW w:w="2415" w:type="dxa"/>
            <w:vAlign w:val="center"/>
          </w:tcPr>
          <w:p>
            <w:pPr>
              <w:pStyle w:val="88"/>
              <w:spacing w:before="84"/>
              <w:ind w:left="203" w:right="192"/>
              <w:jc w:val="center"/>
              <w:rPr>
                <w:rFonts w:hint="eastAsia"/>
                <w:sz w:val="24"/>
                <w:lang w:val="en-US" w:bidi="ar-SA"/>
              </w:rPr>
            </w:pPr>
            <w:r>
              <w:rPr>
                <w:rFonts w:hint="eastAsia"/>
                <w:sz w:val="24"/>
                <w:lang w:val="en-US" w:bidi="ar-SA"/>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795" w:type="dxa"/>
            <w:vAlign w:val="center"/>
          </w:tcPr>
          <w:p>
            <w:pPr>
              <w:pStyle w:val="88"/>
              <w:spacing w:before="87"/>
              <w:ind w:left="7"/>
              <w:jc w:val="center"/>
              <w:rPr>
                <w:rFonts w:hint="eastAsia"/>
                <w:sz w:val="24"/>
                <w:lang w:val="en-US" w:bidi="ar-SA"/>
              </w:rPr>
            </w:pPr>
            <w:r>
              <w:rPr>
                <w:rFonts w:hint="eastAsia"/>
                <w:sz w:val="24"/>
                <w:lang w:val="en-US" w:bidi="ar-SA"/>
              </w:rPr>
              <w:t>2</w:t>
            </w:r>
          </w:p>
        </w:tc>
        <w:tc>
          <w:tcPr>
            <w:tcW w:w="1890" w:type="dxa"/>
            <w:vAlign w:val="center"/>
          </w:tcPr>
          <w:p>
            <w:pPr>
              <w:pStyle w:val="88"/>
              <w:spacing w:before="90"/>
              <w:ind w:left="137" w:right="126"/>
              <w:jc w:val="center"/>
              <w:rPr>
                <w:rFonts w:hint="eastAsia"/>
                <w:sz w:val="24"/>
                <w:lang w:val="en-US" w:bidi="ar-SA"/>
              </w:rPr>
            </w:pPr>
            <w:r>
              <w:rPr>
                <w:rFonts w:hint="eastAsia"/>
                <w:sz w:val="24"/>
                <w:lang w:val="en-US" w:bidi="ar-SA"/>
              </w:rPr>
              <w:t>园区道路</w:t>
            </w:r>
          </w:p>
        </w:tc>
        <w:tc>
          <w:tcPr>
            <w:tcW w:w="1926" w:type="dxa"/>
            <w:vAlign w:val="center"/>
          </w:tcPr>
          <w:p>
            <w:pPr>
              <w:pStyle w:val="88"/>
              <w:spacing w:before="87"/>
              <w:ind w:left="186" w:right="174"/>
              <w:jc w:val="center"/>
              <w:rPr>
                <w:rFonts w:hint="eastAsia"/>
                <w:sz w:val="24"/>
                <w:lang w:val="en-US" w:bidi="ar-SA"/>
              </w:rPr>
            </w:pPr>
            <w:r>
              <w:rPr>
                <w:rFonts w:hint="eastAsia"/>
                <w:sz w:val="24"/>
                <w:lang w:val="en-US" w:bidi="ar-SA"/>
              </w:rPr>
              <w:t>16.2</w:t>
            </w:r>
          </w:p>
        </w:tc>
        <w:tc>
          <w:tcPr>
            <w:tcW w:w="1356" w:type="dxa"/>
            <w:vAlign w:val="center"/>
          </w:tcPr>
          <w:p>
            <w:pPr>
              <w:pStyle w:val="88"/>
              <w:spacing w:before="87"/>
              <w:ind w:left="322" w:right="311"/>
              <w:jc w:val="center"/>
              <w:rPr>
                <w:rFonts w:hint="eastAsia"/>
                <w:sz w:val="24"/>
                <w:lang w:val="en-US" w:bidi="ar-SA"/>
              </w:rPr>
            </w:pPr>
            <w:r>
              <w:rPr>
                <w:rFonts w:hint="eastAsia"/>
                <w:sz w:val="24"/>
                <w:lang w:val="en-US" w:bidi="ar-SA"/>
              </w:rPr>
              <w:t>33.6</w:t>
            </w:r>
          </w:p>
        </w:tc>
        <w:tc>
          <w:tcPr>
            <w:tcW w:w="2415" w:type="dxa"/>
            <w:vAlign w:val="center"/>
          </w:tcPr>
          <w:p>
            <w:pPr>
              <w:pStyle w:val="88"/>
              <w:spacing w:before="87"/>
              <w:ind w:left="203" w:right="192"/>
              <w:jc w:val="center"/>
              <w:rPr>
                <w:rFonts w:hint="eastAsia"/>
                <w:sz w:val="24"/>
                <w:lang w:val="en-US" w:bidi="ar-SA"/>
              </w:rPr>
            </w:pPr>
            <w:r>
              <w:rPr>
                <w:rFonts w:hint="eastAsia"/>
                <w:sz w:val="24"/>
                <w:lang w:val="en-US" w:bidi="ar-SA"/>
              </w:rPr>
              <w:t>12.5</w:t>
            </w:r>
          </w:p>
        </w:tc>
      </w:tr>
    </w:tbl>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z w:val="28"/>
          <w:szCs w:val="28"/>
        </w:rPr>
        <w:t>7)管道和设备防腐</w:t>
      </w:r>
    </w:p>
    <w:p>
      <w:pPr>
        <w:pStyle w:val="16"/>
        <w:spacing w:before="186" w:line="364" w:lineRule="auto"/>
        <w:ind w:right="451" w:firstLine="559"/>
        <w:rPr>
          <w:rFonts w:hint="eastAsia" w:ascii="宋体" w:hAnsi="宋体" w:eastAsia="宋体" w:cs="宋体"/>
          <w:sz w:val="28"/>
          <w:szCs w:val="28"/>
        </w:rPr>
      </w:pPr>
      <w:r>
        <w:rPr>
          <w:rFonts w:hint="eastAsia" w:ascii="宋体" w:hAnsi="宋体" w:eastAsia="宋体" w:cs="宋体"/>
          <w:sz w:val="28"/>
          <w:szCs w:val="28"/>
        </w:rPr>
        <w:t>对邻二甲苯输送管道、邻二甲苯扫仓罐、火车装卸栈桥、管道支架、给排水管道等需采取外防腐层的腐蚀控制措施，对钢结构采取防腐耐火保护措施。</w:t>
      </w:r>
    </w:p>
    <w:p>
      <w:pPr>
        <w:pStyle w:val="4"/>
        <w:adjustRightInd w:val="0"/>
        <w:spacing w:before="120" w:beforeLines="50" w:after="120" w:afterLines="50"/>
        <w:rPr>
          <w:rFonts w:hint="eastAsia" w:ascii="黑体" w:hAnsi="黑体" w:cs="黑体"/>
          <w:sz w:val="28"/>
          <w:szCs w:val="28"/>
        </w:rPr>
      </w:pPr>
      <w:bookmarkStart w:id="62" w:name="_Toc23765"/>
      <w:bookmarkStart w:id="63" w:name="_Toc516661596"/>
      <w:r>
        <w:rPr>
          <w:rFonts w:hint="eastAsia" w:ascii="黑体" w:hAnsi="黑体" w:cs="黑体"/>
          <w:sz w:val="28"/>
          <w:szCs w:val="28"/>
        </w:rPr>
        <w:t>2.6 公用辅助工程</w:t>
      </w:r>
      <w:bookmarkEnd w:id="62"/>
      <w:bookmarkEnd w:id="63"/>
    </w:p>
    <w:p>
      <w:pPr>
        <w:adjustRightInd w:val="0"/>
        <w:snapToGrid w:val="0"/>
        <w:spacing w:line="360" w:lineRule="auto"/>
        <w:rPr>
          <w:rFonts w:hint="eastAsia" w:ascii="宋体" w:hAnsi="宋体" w:cs="宋体"/>
          <w:b/>
          <w:bCs/>
          <w:sz w:val="28"/>
          <w:szCs w:val="28"/>
        </w:rPr>
      </w:pPr>
      <w:bookmarkStart w:id="64" w:name="_Toc516661600"/>
      <w:bookmarkStart w:id="65" w:name="_Toc518639241"/>
      <w:r>
        <w:rPr>
          <w:rFonts w:hint="eastAsia" w:ascii="宋体" w:hAnsi="宋体" w:cs="宋体"/>
          <w:b/>
          <w:bCs/>
          <w:sz w:val="28"/>
          <w:szCs w:val="28"/>
        </w:rPr>
        <w:t>2.6.1供水</w:t>
      </w:r>
    </w:p>
    <w:p>
      <w:pPr>
        <w:pStyle w:val="16"/>
        <w:spacing w:before="186" w:line="360" w:lineRule="auto"/>
        <w:ind w:right="453" w:firstLine="559"/>
        <w:rPr>
          <w:rFonts w:hint="eastAsia" w:ascii="宋体" w:hAnsi="宋体" w:eastAsia="宋体" w:cs="宋体"/>
          <w:sz w:val="28"/>
          <w:szCs w:val="28"/>
        </w:rPr>
      </w:pPr>
      <w:r>
        <w:rPr>
          <w:rFonts w:hint="eastAsia" w:ascii="宋体" w:hAnsi="宋体" w:eastAsia="宋体" w:cs="宋体"/>
          <w:spacing w:val="-14"/>
          <w:sz w:val="28"/>
          <w:szCs w:val="28"/>
        </w:rPr>
        <w:t>专用线工厂站设置生产、生活、消防供水管道系统，从附近的化工园区</w:t>
      </w:r>
      <w:r>
        <w:rPr>
          <w:rFonts w:hint="eastAsia" w:ascii="宋体" w:hAnsi="宋体" w:eastAsia="宋体" w:cs="宋体"/>
          <w:spacing w:val="15"/>
          <w:sz w:val="28"/>
          <w:szCs w:val="28"/>
        </w:rPr>
        <w:t xml:space="preserve">给水管道就近接管，接管点供水压力要求不低于 </w:t>
      </w:r>
      <w:r>
        <w:rPr>
          <w:rFonts w:hint="eastAsia" w:ascii="宋体" w:hAnsi="宋体" w:eastAsia="宋体" w:cs="宋体"/>
          <w:spacing w:val="3"/>
          <w:sz w:val="28"/>
          <w:szCs w:val="28"/>
        </w:rPr>
        <w:t>0.4Mpa</w:t>
      </w:r>
      <w:r>
        <w:rPr>
          <w:rFonts w:hint="eastAsia" w:ascii="宋体" w:hAnsi="宋体" w:eastAsia="宋体" w:cs="宋体"/>
          <w:spacing w:val="-5"/>
          <w:sz w:val="28"/>
          <w:szCs w:val="28"/>
        </w:rPr>
        <w:t>， 接管管径DN200mm。</w:t>
      </w:r>
    </w:p>
    <w:p>
      <w:pPr>
        <w:adjustRightInd w:val="0"/>
        <w:snapToGrid w:val="0"/>
        <w:spacing w:line="360" w:lineRule="auto"/>
        <w:rPr>
          <w:rFonts w:hint="eastAsia" w:ascii="宋体" w:hAnsi="宋体" w:cs="宋体"/>
          <w:b/>
          <w:bCs/>
          <w:sz w:val="28"/>
          <w:szCs w:val="28"/>
        </w:rPr>
      </w:pPr>
      <w:r>
        <w:rPr>
          <w:rFonts w:hint="eastAsia" w:ascii="宋体" w:hAnsi="宋体" w:cs="宋体"/>
          <w:b/>
          <w:bCs/>
          <w:sz w:val="28"/>
          <w:szCs w:val="28"/>
        </w:rPr>
        <w:t>2.6.2排水</w:t>
      </w:r>
    </w:p>
    <w:p>
      <w:pPr>
        <w:pStyle w:val="16"/>
        <w:spacing w:before="186" w:line="360" w:lineRule="auto"/>
        <w:ind w:right="453" w:firstLine="559"/>
        <w:rPr>
          <w:rFonts w:hint="eastAsia" w:ascii="宋体" w:hAnsi="宋体" w:eastAsia="宋体" w:cs="宋体"/>
          <w:spacing w:val="-14"/>
          <w:sz w:val="28"/>
          <w:szCs w:val="28"/>
        </w:rPr>
      </w:pPr>
      <w:r>
        <w:rPr>
          <w:rFonts w:hint="eastAsia" w:ascii="宋体" w:hAnsi="宋体" w:eastAsia="宋体" w:cs="宋体"/>
          <w:spacing w:val="-14"/>
          <w:sz w:val="28"/>
          <w:szCs w:val="28"/>
        </w:rPr>
        <w:t>冲洗栈桥排水、洗眼器排水均含有二甲苯危险物质成分，不符合直接排放标准。故通过已有排水暗沟排放至园区污水池统一处理。8 线对二甲苯缓冲罐区排水由集污坑收集后经雨水泵排入园区园区雨水管道。场地雨水、冲洗道路排水通过地面漫流和自然下渗进行排放。</w:t>
      </w:r>
    </w:p>
    <w:p>
      <w:pPr>
        <w:adjustRightInd w:val="0"/>
        <w:snapToGrid w:val="0"/>
        <w:spacing w:line="360" w:lineRule="auto"/>
        <w:rPr>
          <w:rFonts w:hint="eastAsia" w:ascii="宋体" w:hAnsi="宋体" w:cs="宋体"/>
          <w:b/>
          <w:bCs/>
          <w:spacing w:val="-14"/>
          <w:sz w:val="28"/>
          <w:szCs w:val="28"/>
        </w:rPr>
      </w:pPr>
      <w:r>
        <w:rPr>
          <w:rFonts w:hint="eastAsia" w:ascii="宋体" w:hAnsi="宋体" w:cs="宋体"/>
          <w:b/>
          <w:bCs/>
          <w:spacing w:val="-14"/>
          <w:sz w:val="28"/>
          <w:szCs w:val="28"/>
        </w:rPr>
        <w:t>2.6.3电力工程</w:t>
      </w:r>
    </w:p>
    <w:p>
      <w:pPr>
        <w:pStyle w:val="16"/>
        <w:spacing w:before="122" w:line="360" w:lineRule="auto"/>
        <w:ind w:left="698"/>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1、负荷分类</w:t>
      </w:r>
    </w:p>
    <w:p>
      <w:pPr>
        <w:pStyle w:val="16"/>
        <w:spacing w:before="186" w:line="360" w:lineRule="auto"/>
        <w:ind w:right="452" w:firstLine="559"/>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专用线装卸区工艺机泵、照明等设备负荷等级为三级负荷。对于重要用电负荷，如现场仪表、通信设备等采用不间断 UPS 电源（EPS）装置作为保证供电连续性的措施。</w:t>
      </w:r>
    </w:p>
    <w:p>
      <w:pPr>
        <w:pStyle w:val="16"/>
        <w:spacing w:line="360" w:lineRule="auto"/>
        <w:ind w:left="698"/>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2、供电方案</w:t>
      </w:r>
    </w:p>
    <w:p>
      <w:pPr>
        <w:pStyle w:val="121"/>
        <w:tabs>
          <w:tab w:val="left" w:pos="1403"/>
        </w:tabs>
        <w:spacing w:before="186" w:line="360" w:lineRule="auto"/>
        <w:ind w:right="452" w:firstLine="504"/>
        <w:rPr>
          <w:rFonts w:hint="eastAsia" w:ascii="宋体" w:hAnsi="宋体" w:cs="宋体"/>
          <w:spacing w:val="-14"/>
          <w:sz w:val="28"/>
          <w:szCs w:val="28"/>
        </w:rPr>
      </w:pPr>
      <w:r>
        <w:rPr>
          <w:rFonts w:hint="eastAsia" w:ascii="宋体" w:hAnsi="宋体" w:cs="宋体"/>
          <w:spacing w:val="-14"/>
          <w:sz w:val="28"/>
          <w:szCs w:val="28"/>
        </w:rPr>
        <w:t>（1）工厂站新设 10/0.4kV 箱变一座，电源一路自兰渝一级负荷贯通线 T 接作为通信信号主用电源、一路接引自兰渝综合负荷贯通线 T 接作为通信信号备用电源及为化工园其他用电负荷供电。</w:t>
      </w:r>
    </w:p>
    <w:p>
      <w:pPr>
        <w:pStyle w:val="121"/>
        <w:tabs>
          <w:tab w:val="left" w:pos="1428"/>
        </w:tabs>
        <w:spacing w:line="360" w:lineRule="auto"/>
        <w:ind w:right="452" w:firstLine="504"/>
        <w:rPr>
          <w:rFonts w:hint="eastAsia" w:ascii="宋体" w:hAnsi="宋体" w:cs="宋体"/>
          <w:spacing w:val="-14"/>
          <w:sz w:val="28"/>
          <w:szCs w:val="28"/>
        </w:rPr>
      </w:pPr>
      <w:r>
        <w:rPr>
          <w:rFonts w:hint="eastAsia" w:ascii="宋体" w:hAnsi="宋体" w:cs="宋体"/>
          <w:spacing w:val="-14"/>
          <w:sz w:val="28"/>
          <w:szCs w:val="28"/>
        </w:rPr>
        <w:t>（2）专用线 8 线在装卸站变配电所及操作间高低压配电室设 2 台10/0.4kV 变压器，从晟达公司厂区 110kV 总变电所引 2 路 10kV 电源。此外还设置有UPS、EPS 及直流屏电源装置各一套。</w:t>
      </w:r>
    </w:p>
    <w:p>
      <w:pPr>
        <w:pStyle w:val="121"/>
        <w:tabs>
          <w:tab w:val="left" w:pos="1403"/>
        </w:tabs>
        <w:spacing w:line="360" w:lineRule="auto"/>
        <w:ind w:right="453" w:firstLine="504"/>
        <w:rPr>
          <w:rFonts w:hint="eastAsia" w:ascii="宋体" w:hAnsi="宋体" w:cs="宋体"/>
          <w:spacing w:val="-14"/>
          <w:sz w:val="28"/>
          <w:szCs w:val="28"/>
        </w:rPr>
      </w:pPr>
      <w:r>
        <w:rPr>
          <w:rFonts w:hint="eastAsia" w:ascii="宋体" w:hAnsi="宋体" w:cs="宋体"/>
          <w:spacing w:val="-14"/>
          <w:sz w:val="28"/>
          <w:szCs w:val="28"/>
        </w:rPr>
        <w:t>（3）专用线 10 线新设设 10/0.4kV 一座箱式变电站，外部电源采用电缆进线方式引自附近 10kV 架空线路。</w:t>
      </w:r>
    </w:p>
    <w:p>
      <w:pPr>
        <w:pStyle w:val="16"/>
        <w:spacing w:line="360" w:lineRule="auto"/>
        <w:ind w:left="698"/>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3、配电系统</w:t>
      </w:r>
    </w:p>
    <w:p>
      <w:pPr>
        <w:pStyle w:val="16"/>
        <w:spacing w:before="60"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专用线 8 线在装卸站变配电所及操作间高低压配电室设 2 台 10/0.4kV变压器，变压器容量选择为 800kVA。2 台变压器采用双母线接线。</w:t>
      </w:r>
    </w:p>
    <w:p>
      <w:pPr>
        <w:pStyle w:val="16"/>
        <w:spacing w:before="60"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 xml:space="preserve"> 专用线 10 线新增箱式变电站内设一台 10/0.4kV 变压器，变压器容量选择为 315kVA。箱式变电站内 10kV 及 0.4kV 系统均采用单母线接线。</w:t>
      </w:r>
    </w:p>
    <w:p>
      <w:pPr>
        <w:pStyle w:val="16"/>
        <w:spacing w:line="360" w:lineRule="auto"/>
        <w:ind w:right="454" w:firstLine="559"/>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火车卸车区内机泵、防爆动力配电箱、电动阀电源均引自箱式变电站。栈桥上火车卸车防爆静电检测仪及照明用电引自现场防爆动力配电箱。</w:t>
      </w:r>
    </w:p>
    <w:p>
      <w:pPr>
        <w:pStyle w:val="16"/>
        <w:numPr>
          <w:ilvl w:val="0"/>
          <w:numId w:val="5"/>
        </w:numPr>
        <w:spacing w:line="360" w:lineRule="auto"/>
        <w:ind w:left="698"/>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照明</w:t>
      </w:r>
    </w:p>
    <w:p>
      <w:pPr>
        <w:pStyle w:val="16"/>
        <w:spacing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专用线装卸区照明灯具采用高光效节能型灯具，配高效、长寿命、节能型光源。卸车设施操作平台采用防爆金卤灯。</w:t>
      </w:r>
    </w:p>
    <w:p>
      <w:pPr>
        <w:pStyle w:val="16"/>
        <w:spacing w:line="360" w:lineRule="auto"/>
        <w:ind w:right="459"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照明电源电缆采用穿管明敷及穿管直埋地相结合的敷设方式。现场适当位置设照明开关，进行就地控制。</w:t>
      </w:r>
    </w:p>
    <w:p>
      <w:pPr>
        <w:pStyle w:val="16"/>
        <w:spacing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专用线 8 线在装卸站变配电所及操作间设应急照明。</w:t>
      </w:r>
    </w:p>
    <w:p>
      <w:pPr>
        <w:pStyle w:val="16"/>
        <w:numPr>
          <w:ilvl w:val="0"/>
          <w:numId w:val="5"/>
        </w:numPr>
        <w:spacing w:before="186" w:line="360" w:lineRule="auto"/>
        <w:ind w:left="698"/>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爆炸危险区域划分</w:t>
      </w:r>
    </w:p>
    <w:p>
      <w:pPr>
        <w:pStyle w:val="16"/>
        <w:spacing w:before="186"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专用线卸车设施以释放源为中心 15m 半径范围内爆炸危险区域内为爆炸危险性气体环境 2 区，鹤管嘴 1.5m 范围内以及地坪下的坑、沟为 1 区。爆炸性气体环境危险区域内设备防爆等级不低于为dIIBT4Gb，位于爆炸危险 1 区范围内的电气设备选用隔爆型。</w:t>
      </w:r>
    </w:p>
    <w:p>
      <w:pPr>
        <w:pStyle w:val="16"/>
        <w:numPr>
          <w:ilvl w:val="0"/>
          <w:numId w:val="5"/>
        </w:numPr>
        <w:spacing w:line="360" w:lineRule="auto"/>
        <w:ind w:left="698"/>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电气防火设计</w:t>
      </w:r>
    </w:p>
    <w:p>
      <w:pPr>
        <w:pStyle w:val="16"/>
        <w:spacing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（1）消防用电设备配电及控制采用耐火电缆，其他场所配电采用阻 燃电缆。</w:t>
      </w:r>
    </w:p>
    <w:p>
      <w:pPr>
        <w:pStyle w:val="121"/>
        <w:tabs>
          <w:tab w:val="left" w:pos="1403"/>
        </w:tabs>
        <w:spacing w:line="360" w:lineRule="auto"/>
        <w:ind w:left="420" w:leftChars="200" w:firstLine="0" w:firstLineChars="0"/>
        <w:jc w:val="left"/>
        <w:rPr>
          <w:rFonts w:hint="eastAsia" w:ascii="宋体" w:hAnsi="宋体" w:cs="宋体"/>
          <w:spacing w:val="-14"/>
          <w:sz w:val="28"/>
          <w:szCs w:val="28"/>
        </w:rPr>
      </w:pPr>
      <w:r>
        <w:rPr>
          <w:rFonts w:hint="eastAsia" w:ascii="宋体" w:hAnsi="宋体" w:cs="宋体"/>
          <w:spacing w:val="-14"/>
          <w:sz w:val="28"/>
          <w:szCs w:val="28"/>
        </w:rPr>
        <w:t>（2）电缆及保护管管口采用防火胶泥严密封堵。</w:t>
      </w:r>
    </w:p>
    <w:p>
      <w:pPr>
        <w:pStyle w:val="121"/>
        <w:tabs>
          <w:tab w:val="left" w:pos="1403"/>
        </w:tabs>
        <w:spacing w:before="187" w:line="360" w:lineRule="auto"/>
        <w:ind w:right="454" w:firstLine="504"/>
        <w:jc w:val="left"/>
        <w:rPr>
          <w:rFonts w:hint="eastAsia" w:ascii="宋体" w:hAnsi="宋体" w:cs="宋体"/>
          <w:spacing w:val="-14"/>
          <w:sz w:val="28"/>
          <w:szCs w:val="28"/>
        </w:rPr>
      </w:pPr>
      <w:r>
        <w:rPr>
          <w:rFonts w:hint="eastAsia" w:ascii="宋体" w:hAnsi="宋体" w:cs="宋体"/>
          <w:spacing w:val="-14"/>
          <w:sz w:val="28"/>
          <w:szCs w:val="28"/>
        </w:rPr>
        <w:t>（3）电缆引至电气柜、箱或控制柜的开孔部位，电缆穿墙、楼板时穿管保护，贯穿隔墙、楼板的孔、洞处均采采用非燃烧性材料进行阻火封堵。</w:t>
      </w:r>
    </w:p>
    <w:p>
      <w:pPr>
        <w:pStyle w:val="4"/>
        <w:adjustRightInd w:val="0"/>
        <w:spacing w:before="120" w:beforeLines="50" w:after="120" w:afterLines="50"/>
        <w:rPr>
          <w:rFonts w:ascii="黑体" w:hAnsi="黑体" w:cs="黑体"/>
          <w:sz w:val="28"/>
          <w:szCs w:val="28"/>
        </w:rPr>
      </w:pPr>
      <w:bookmarkStart w:id="66" w:name="_Toc17289"/>
      <w:r>
        <w:rPr>
          <w:rFonts w:hint="eastAsia" w:ascii="黑体" w:hAnsi="黑体" w:cs="黑体"/>
          <w:sz w:val="28"/>
          <w:szCs w:val="28"/>
        </w:rPr>
        <w:t>2.7消防工程</w:t>
      </w:r>
      <w:bookmarkEnd w:id="66"/>
    </w:p>
    <w:bookmarkEnd w:id="64"/>
    <w:bookmarkEnd w:id="65"/>
    <w:p>
      <w:pPr>
        <w:pStyle w:val="16"/>
        <w:spacing w:before="186" w:line="360" w:lineRule="auto"/>
        <w:ind w:firstLine="504" w:firstLineChars="200"/>
        <w:rPr>
          <w:rFonts w:hint="eastAsia" w:ascii="宋体" w:hAnsi="宋体" w:eastAsia="宋体" w:cs="宋体"/>
          <w:spacing w:val="-14"/>
          <w:sz w:val="28"/>
          <w:szCs w:val="28"/>
          <w:lang w:val="en-US" w:eastAsia="zh-CN"/>
        </w:rPr>
      </w:pPr>
      <w:bookmarkStart w:id="67" w:name="_Toc516661601"/>
      <w:r>
        <w:rPr>
          <w:rFonts w:hint="eastAsia" w:ascii="宋体" w:hAnsi="宋体" w:eastAsia="宋体" w:cs="宋体"/>
          <w:spacing w:val="-14"/>
          <w:sz w:val="28"/>
          <w:szCs w:val="28"/>
          <w:lang w:val="en-US" w:eastAsia="zh-CN"/>
        </w:rPr>
        <w:t>1、消防水</w:t>
      </w:r>
    </w:p>
    <w:p>
      <w:pPr>
        <w:pStyle w:val="16"/>
        <w:spacing w:before="186"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工厂站室外布置成环状消防给水管道，采用低压消防给水系统，每 50m</w:t>
      </w:r>
    </w:p>
    <w:p>
      <w:pPr>
        <w:pStyle w:val="16"/>
        <w:spacing w:before="186" w:line="360" w:lineRule="auto"/>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设置 1 座室外消火栓，卸车栈桥消防水量为 60L/s。</w:t>
      </w:r>
    </w:p>
    <w:p>
      <w:pPr>
        <w:pStyle w:val="16"/>
        <w:numPr>
          <w:ilvl w:val="0"/>
          <w:numId w:val="6"/>
        </w:numPr>
        <w:spacing w:before="186"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灭火设施</w:t>
      </w:r>
    </w:p>
    <w:p>
      <w:pPr>
        <w:pStyle w:val="16"/>
        <w:spacing w:before="186"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装卸作业区及缓冲罐区按《铁路危险货物办理站、专用线(专用铁路)货运安全设备设施暂行技术条件》（铁运[2010]105 号）等国家现行相关规范要求设置消防设施，包括灭火器、灭火毯、消防砂、固定式地面消防栓、消防水带等。</w:t>
      </w:r>
    </w:p>
    <w:p>
      <w:pPr>
        <w:pStyle w:val="16"/>
        <w:spacing w:before="186"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3、消防道路</w:t>
      </w:r>
    </w:p>
    <w:p>
      <w:pPr>
        <w:pStyle w:val="16"/>
        <w:spacing w:before="186" w:line="360" w:lineRule="auto"/>
        <w:ind w:firstLine="504" w:firstLineChars="200"/>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危险货物装卸作业区内南侧布置有消防道路，宽 7m，距离 10 线中心线约 12.8m。</w:t>
      </w:r>
    </w:p>
    <w:bookmarkEnd w:id="67"/>
    <w:p>
      <w:pPr>
        <w:pStyle w:val="4"/>
        <w:adjustRightInd w:val="0"/>
        <w:spacing w:before="120" w:beforeLines="50" w:after="120" w:afterLines="50"/>
        <w:rPr>
          <w:rFonts w:hint="eastAsia" w:ascii="黑体" w:hAnsi="黑体" w:cs="黑体"/>
          <w:sz w:val="28"/>
          <w:szCs w:val="28"/>
        </w:rPr>
      </w:pPr>
      <w:bookmarkStart w:id="68" w:name="_Toc28788"/>
      <w:r>
        <w:rPr>
          <w:rFonts w:hint="eastAsia" w:ascii="黑体" w:hAnsi="黑体" w:cs="黑体"/>
          <w:sz w:val="28"/>
          <w:szCs w:val="28"/>
        </w:rPr>
        <w:t>2.8自动控制</w:t>
      </w:r>
      <w:bookmarkEnd w:id="68"/>
    </w:p>
    <w:p>
      <w:pPr>
        <w:pStyle w:val="16"/>
        <w:spacing w:before="122" w:line="360" w:lineRule="auto"/>
        <w:ind w:left="698"/>
        <w:rPr>
          <w:rFonts w:hint="eastAsia" w:ascii="宋体" w:hAnsi="宋体" w:eastAsia="宋体" w:cs="宋体"/>
          <w:sz w:val="28"/>
          <w:szCs w:val="28"/>
        </w:rPr>
      </w:pPr>
      <w:r>
        <w:rPr>
          <w:rFonts w:hint="eastAsia" w:ascii="宋体" w:hAnsi="宋体" w:eastAsia="宋体" w:cs="宋体"/>
          <w:sz w:val="28"/>
          <w:szCs w:val="28"/>
        </w:rPr>
        <w:t>1、8 线装卸设施自动控制</w:t>
      </w:r>
    </w:p>
    <w:p>
      <w:pPr>
        <w:pStyle w:val="16"/>
        <w:spacing w:before="186"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对二甲苯缓冲罐设就地及远传液位指示，液位远传至企业厂区中心控</w:t>
      </w:r>
      <w:r>
        <w:rPr>
          <w:rFonts w:hint="eastAsia" w:ascii="宋体" w:hAnsi="宋体" w:eastAsia="宋体" w:cs="宋体"/>
          <w:spacing w:val="-25"/>
          <w:sz w:val="28"/>
          <w:szCs w:val="28"/>
        </w:rPr>
        <w:t xml:space="preserve">制室，并设高、低、高高、低低液位报警，高高液位连锁切断罐入口气动阀， </w:t>
      </w:r>
      <w:r>
        <w:rPr>
          <w:rFonts w:hint="eastAsia" w:ascii="宋体" w:hAnsi="宋体" w:eastAsia="宋体" w:cs="宋体"/>
          <w:spacing w:val="-3"/>
          <w:sz w:val="28"/>
          <w:szCs w:val="28"/>
        </w:rPr>
        <w:t>低低液位联锁关闭转输泵，报警信号远传至中心控制室。</w:t>
      </w:r>
    </w:p>
    <w:p>
      <w:pPr>
        <w:pStyle w:val="16"/>
        <w:spacing w:line="360" w:lineRule="auto"/>
        <w:ind w:right="454" w:firstLine="559"/>
        <w:rPr>
          <w:rFonts w:hint="eastAsia" w:ascii="宋体" w:hAnsi="宋体" w:eastAsia="宋体" w:cs="宋体"/>
          <w:sz w:val="28"/>
          <w:szCs w:val="28"/>
        </w:rPr>
      </w:pPr>
      <w:r>
        <w:rPr>
          <w:rFonts w:hint="eastAsia" w:ascii="宋体" w:hAnsi="宋体" w:eastAsia="宋体" w:cs="宋体"/>
          <w:spacing w:val="-12"/>
          <w:sz w:val="28"/>
          <w:szCs w:val="28"/>
        </w:rPr>
        <w:t>对二甲苯缓冲罐设远传温度指示，加热蒸汽进罐管道设气动开关阀，并</w:t>
      </w:r>
      <w:r>
        <w:rPr>
          <w:rFonts w:hint="eastAsia" w:ascii="宋体" w:hAnsi="宋体" w:eastAsia="宋体" w:cs="宋体"/>
          <w:spacing w:val="-3"/>
          <w:sz w:val="28"/>
          <w:szCs w:val="28"/>
        </w:rPr>
        <w:t>设温度高、低控制，低开高关。</w:t>
      </w:r>
    </w:p>
    <w:p>
      <w:pPr>
        <w:pStyle w:val="16"/>
        <w:spacing w:line="360" w:lineRule="auto"/>
        <w:ind w:right="458" w:firstLine="559"/>
        <w:rPr>
          <w:rFonts w:hint="eastAsia" w:ascii="宋体" w:hAnsi="宋体" w:eastAsia="宋体" w:cs="宋体"/>
          <w:sz w:val="28"/>
          <w:szCs w:val="28"/>
        </w:rPr>
      </w:pPr>
      <w:r>
        <w:rPr>
          <w:rFonts w:hint="eastAsia" w:ascii="宋体" w:hAnsi="宋体" w:eastAsia="宋体" w:cs="宋体"/>
          <w:sz w:val="28"/>
          <w:szCs w:val="28"/>
        </w:rPr>
        <w:t>对二甲苯缓冲罐前进罐管道经常操作的阀门采用气动阀，气动阀控制室控制并显示阀位。</w:t>
      </w:r>
    </w:p>
    <w:p>
      <w:pPr>
        <w:pStyle w:val="16"/>
        <w:spacing w:line="360" w:lineRule="auto"/>
        <w:ind w:left="698"/>
        <w:rPr>
          <w:rFonts w:hint="eastAsia" w:ascii="宋体" w:hAnsi="宋体" w:eastAsia="宋体" w:cs="宋体"/>
          <w:sz w:val="28"/>
          <w:szCs w:val="28"/>
        </w:rPr>
      </w:pPr>
      <w:r>
        <w:rPr>
          <w:rFonts w:hint="eastAsia" w:ascii="宋体" w:hAnsi="宋体" w:eastAsia="宋体" w:cs="宋体"/>
          <w:sz w:val="28"/>
          <w:szCs w:val="28"/>
        </w:rPr>
        <w:t>对二甲苯缓冲罐顶设就地及远传压力指示。</w:t>
      </w:r>
    </w:p>
    <w:p>
      <w:pPr>
        <w:pStyle w:val="16"/>
        <w:spacing w:line="360" w:lineRule="auto"/>
        <w:ind w:left="698"/>
        <w:rPr>
          <w:rFonts w:hint="eastAsia" w:ascii="宋体" w:hAnsi="宋体" w:eastAsia="宋体" w:cs="宋体"/>
          <w:sz w:val="28"/>
          <w:szCs w:val="28"/>
        </w:rPr>
      </w:pPr>
      <w:r>
        <w:rPr>
          <w:rFonts w:hint="eastAsia" w:ascii="宋体" w:hAnsi="宋体" w:eastAsia="宋体" w:cs="宋体"/>
          <w:sz w:val="28"/>
          <w:szCs w:val="28"/>
        </w:rPr>
        <w:t>对二甲苯缓冲罐防火堤内设置可燃气体探测器，报警信号远传至中控室。</w:t>
      </w:r>
    </w:p>
    <w:p>
      <w:pPr>
        <w:pStyle w:val="16"/>
        <w:spacing w:line="360" w:lineRule="auto"/>
        <w:ind w:left="698"/>
        <w:rPr>
          <w:rFonts w:hint="eastAsia" w:ascii="宋体" w:hAnsi="宋体" w:eastAsia="宋体" w:cs="宋体"/>
          <w:sz w:val="28"/>
          <w:szCs w:val="28"/>
        </w:rPr>
      </w:pPr>
      <w:r>
        <w:rPr>
          <w:rFonts w:hint="eastAsia" w:ascii="宋体" w:hAnsi="宋体" w:eastAsia="宋体" w:cs="宋体"/>
          <w:sz w:val="28"/>
          <w:szCs w:val="28"/>
        </w:rPr>
        <w:t>2、10 线装卸设施自动控制</w:t>
      </w:r>
    </w:p>
    <w:p>
      <w:pPr>
        <w:pStyle w:val="16"/>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专用线 10 线卸车区仪表均采用就地控制方式。自动控制范围包括对邻-二甲苯铁路装卸设施进行压力、液位指示和可燃气体泄漏检测及报警。可燃气体探测器采用现场声光报警并预留信号接口。</w:t>
      </w:r>
    </w:p>
    <w:p>
      <w:pPr>
        <w:pStyle w:val="16"/>
        <w:spacing w:line="360" w:lineRule="auto"/>
        <w:ind w:right="452" w:firstLine="559"/>
        <w:rPr>
          <w:rFonts w:hint="eastAsia" w:ascii="宋体" w:hAnsi="宋体" w:eastAsia="宋体" w:cs="宋体"/>
          <w:sz w:val="28"/>
          <w:szCs w:val="28"/>
        </w:rPr>
      </w:pPr>
      <w:r>
        <w:rPr>
          <w:rFonts w:hint="eastAsia" w:ascii="宋体" w:hAnsi="宋体" w:eastAsia="宋体" w:cs="宋体"/>
          <w:spacing w:val="-8"/>
          <w:sz w:val="28"/>
          <w:szCs w:val="28"/>
        </w:rPr>
        <w:t>为保证检测仪表的正常工作，采用不间断电源系统</w:t>
      </w:r>
      <w:r>
        <w:rPr>
          <w:rFonts w:hint="eastAsia" w:ascii="宋体" w:hAnsi="宋体" w:eastAsia="宋体" w:cs="宋体"/>
          <w:spacing w:val="-9"/>
          <w:sz w:val="28"/>
          <w:szCs w:val="28"/>
        </w:rPr>
        <w:t>（UPS）</w:t>
      </w:r>
      <w:r>
        <w:rPr>
          <w:rFonts w:hint="eastAsia" w:ascii="宋体" w:hAnsi="宋体" w:eastAsia="宋体" w:cs="宋体"/>
          <w:spacing w:val="-1"/>
          <w:sz w:val="28"/>
          <w:szCs w:val="28"/>
        </w:rPr>
        <w:t>为有毒气体</w:t>
      </w:r>
      <w:r>
        <w:rPr>
          <w:rFonts w:hint="eastAsia" w:ascii="宋体" w:hAnsi="宋体" w:eastAsia="宋体" w:cs="宋体"/>
          <w:spacing w:val="-2"/>
          <w:sz w:val="28"/>
          <w:szCs w:val="28"/>
        </w:rPr>
        <w:t>检测仪表供电。</w:t>
      </w:r>
      <w:r>
        <w:rPr>
          <w:rFonts w:hint="eastAsia" w:ascii="宋体" w:hAnsi="宋体" w:eastAsia="宋体" w:cs="宋体"/>
          <w:sz w:val="28"/>
          <w:szCs w:val="28"/>
        </w:rPr>
        <w:t xml:space="preserve">UPS </w:t>
      </w:r>
      <w:r>
        <w:rPr>
          <w:rFonts w:hint="eastAsia" w:ascii="宋体" w:hAnsi="宋体" w:eastAsia="宋体" w:cs="宋体"/>
          <w:spacing w:val="-10"/>
          <w:sz w:val="28"/>
          <w:szCs w:val="28"/>
        </w:rPr>
        <w:t xml:space="preserve">后备供电时间为 </w:t>
      </w:r>
      <w:r>
        <w:rPr>
          <w:rFonts w:hint="eastAsia" w:ascii="宋体" w:hAnsi="宋体" w:eastAsia="宋体" w:cs="宋体"/>
          <w:sz w:val="28"/>
          <w:szCs w:val="28"/>
        </w:rPr>
        <w:t>30min。</w:t>
      </w:r>
    </w:p>
    <w:p>
      <w:pPr>
        <w:pStyle w:val="16"/>
        <w:spacing w:line="360" w:lineRule="auto"/>
        <w:ind w:left="698"/>
        <w:rPr>
          <w:rFonts w:hint="eastAsia" w:ascii="宋体" w:hAnsi="宋体" w:eastAsia="宋体" w:cs="宋体"/>
          <w:sz w:val="28"/>
          <w:szCs w:val="28"/>
        </w:rPr>
      </w:pPr>
      <w:r>
        <w:rPr>
          <w:rFonts w:hint="eastAsia" w:ascii="宋体" w:hAnsi="宋体" w:eastAsia="宋体" w:cs="宋体"/>
          <w:sz w:val="28"/>
          <w:szCs w:val="28"/>
        </w:rPr>
        <w:t>现场仪表的接地与电气共用接地网连接，接地电阻不大于 1Ω。</w:t>
      </w:r>
    </w:p>
    <w:p>
      <w:pPr>
        <w:pStyle w:val="4"/>
        <w:adjustRightInd w:val="0"/>
        <w:spacing w:before="120" w:beforeLines="50" w:after="120" w:afterLines="50"/>
        <w:rPr>
          <w:rFonts w:hint="eastAsia" w:ascii="黑体" w:hAnsi="黑体" w:cs="黑体"/>
          <w:sz w:val="28"/>
          <w:szCs w:val="28"/>
        </w:rPr>
      </w:pPr>
      <w:bookmarkStart w:id="69" w:name="_Toc2133"/>
      <w:r>
        <w:rPr>
          <w:rFonts w:hint="eastAsia" w:ascii="黑体" w:hAnsi="黑体" w:cs="黑体"/>
          <w:sz w:val="28"/>
          <w:szCs w:val="28"/>
        </w:rPr>
        <w:t>2.9通讯及信息</w:t>
      </w:r>
      <w:bookmarkEnd w:id="69"/>
    </w:p>
    <w:p>
      <w:pPr>
        <w:pStyle w:val="16"/>
        <w:spacing w:before="122" w:line="360" w:lineRule="auto"/>
        <w:ind w:right="451" w:firstLine="559"/>
        <w:rPr>
          <w:rFonts w:hint="eastAsia" w:ascii="宋体" w:hAnsi="宋体" w:eastAsia="宋体" w:cs="宋体"/>
          <w:sz w:val="28"/>
          <w:szCs w:val="28"/>
        </w:rPr>
      </w:pPr>
      <w:r>
        <w:rPr>
          <w:rFonts w:hint="eastAsia" w:ascii="宋体" w:hAnsi="宋体" w:eastAsia="宋体" w:cs="宋体"/>
          <w:spacing w:val="-2"/>
          <w:sz w:val="28"/>
          <w:szCs w:val="28"/>
        </w:rPr>
        <w:t xml:space="preserve">装卸线 </w:t>
      </w:r>
      <w:r>
        <w:rPr>
          <w:rFonts w:hint="eastAsia" w:ascii="宋体" w:hAnsi="宋体" w:eastAsia="宋体" w:cs="宋体"/>
          <w:sz w:val="28"/>
          <w:szCs w:val="28"/>
        </w:rPr>
        <w:t>8</w:t>
      </w:r>
      <w:r>
        <w:rPr>
          <w:rFonts w:hint="eastAsia" w:ascii="宋体" w:hAnsi="宋体" w:eastAsia="宋体" w:cs="宋体"/>
          <w:spacing w:val="-3"/>
          <w:sz w:val="28"/>
          <w:szCs w:val="28"/>
        </w:rPr>
        <w:t>线装卸设施设电话和网络系统、扩音对讲系统、工业电视监控系统及火灾自动报警系统。扩音对讲系统扬声器安装在栈桥上，距地面</w:t>
      </w:r>
      <w:r>
        <w:rPr>
          <w:rFonts w:hint="eastAsia" w:ascii="宋体" w:hAnsi="宋体" w:eastAsia="宋体" w:cs="宋体"/>
          <w:spacing w:val="-21"/>
          <w:sz w:val="28"/>
          <w:szCs w:val="28"/>
        </w:rPr>
        <w:t>3m</w:t>
      </w:r>
      <w:r>
        <w:rPr>
          <w:rFonts w:hint="eastAsia" w:ascii="宋体" w:hAnsi="宋体" w:eastAsia="宋体" w:cs="宋体"/>
          <w:spacing w:val="-7"/>
          <w:sz w:val="28"/>
          <w:szCs w:val="28"/>
        </w:rPr>
        <w:t xml:space="preserve">；工业电视监控系统摄像机安装在立杆上距离栈桥面 </w:t>
      </w:r>
      <w:r>
        <w:rPr>
          <w:rFonts w:hint="eastAsia" w:ascii="宋体" w:hAnsi="宋体" w:eastAsia="宋体" w:cs="宋体"/>
          <w:spacing w:val="-22"/>
          <w:sz w:val="28"/>
          <w:szCs w:val="28"/>
        </w:rPr>
        <w:t>3m</w:t>
      </w:r>
      <w:r>
        <w:rPr>
          <w:rFonts w:hint="eastAsia" w:ascii="宋体" w:hAnsi="宋体" w:eastAsia="宋体" w:cs="宋体"/>
          <w:spacing w:val="-6"/>
          <w:sz w:val="28"/>
          <w:szCs w:val="28"/>
        </w:rPr>
        <w:t>；火灾报警按钮</w:t>
      </w:r>
      <w:r>
        <w:rPr>
          <w:rFonts w:hint="eastAsia" w:ascii="宋体" w:hAnsi="宋体" w:eastAsia="宋体" w:cs="宋体"/>
          <w:spacing w:val="-12"/>
          <w:sz w:val="28"/>
          <w:szCs w:val="28"/>
        </w:rPr>
        <w:t xml:space="preserve">安装在管廊柱上，距地面高度 </w:t>
      </w:r>
      <w:r>
        <w:rPr>
          <w:rFonts w:hint="eastAsia" w:ascii="宋体" w:hAnsi="宋体" w:eastAsia="宋体" w:cs="宋体"/>
          <w:spacing w:val="-14"/>
          <w:sz w:val="28"/>
          <w:szCs w:val="28"/>
        </w:rPr>
        <w:t>1.4m</w:t>
      </w:r>
      <w:r>
        <w:rPr>
          <w:rFonts w:hint="eastAsia" w:ascii="宋体" w:hAnsi="宋体" w:eastAsia="宋体" w:cs="宋体"/>
          <w:spacing w:val="-10"/>
          <w:sz w:val="28"/>
          <w:szCs w:val="28"/>
        </w:rPr>
        <w:t>；设备均为防爆型设备。</w:t>
      </w:r>
      <w:r>
        <w:rPr>
          <w:rFonts w:hint="eastAsia" w:ascii="宋体" w:hAnsi="宋体" w:eastAsia="宋体" w:cs="宋体"/>
          <w:sz w:val="28"/>
          <w:szCs w:val="28"/>
        </w:rPr>
        <w:t xml:space="preserve">8 </w:t>
      </w:r>
      <w:r>
        <w:rPr>
          <w:rFonts w:hint="eastAsia" w:ascii="宋体" w:hAnsi="宋体" w:eastAsia="宋体" w:cs="宋体"/>
          <w:spacing w:val="-3"/>
          <w:sz w:val="28"/>
          <w:szCs w:val="28"/>
        </w:rPr>
        <w:t>线装卸站变配</w:t>
      </w:r>
      <w:r>
        <w:rPr>
          <w:rFonts w:hint="eastAsia" w:ascii="宋体" w:hAnsi="宋体" w:eastAsia="宋体" w:cs="宋体"/>
          <w:spacing w:val="-13"/>
          <w:sz w:val="28"/>
          <w:szCs w:val="28"/>
        </w:rPr>
        <w:t>电所及操作间设电话和网络系统、扩音对讲系统、工业电视监控系统及火灾</w:t>
      </w:r>
      <w:r>
        <w:rPr>
          <w:rFonts w:hint="eastAsia" w:ascii="宋体" w:hAnsi="宋体" w:eastAsia="宋体" w:cs="宋体"/>
          <w:spacing w:val="-1"/>
          <w:sz w:val="28"/>
          <w:szCs w:val="28"/>
        </w:rPr>
        <w:t>自动报警系统。</w:t>
      </w:r>
    </w:p>
    <w:p>
      <w:pPr>
        <w:pStyle w:val="16"/>
        <w:spacing w:line="360" w:lineRule="auto"/>
        <w:ind w:right="452" w:firstLine="559"/>
        <w:rPr>
          <w:rFonts w:hint="eastAsia" w:ascii="宋体" w:hAnsi="宋体" w:eastAsia="宋体" w:cs="宋体"/>
          <w:sz w:val="28"/>
          <w:szCs w:val="28"/>
        </w:rPr>
      </w:pPr>
      <w:r>
        <w:rPr>
          <w:rFonts w:hint="eastAsia" w:ascii="宋体" w:hAnsi="宋体" w:eastAsia="宋体" w:cs="宋体"/>
          <w:spacing w:val="-16"/>
          <w:sz w:val="28"/>
          <w:szCs w:val="28"/>
        </w:rPr>
        <w:t xml:space="preserve">装卸线 </w:t>
      </w:r>
      <w:r>
        <w:rPr>
          <w:rFonts w:hint="eastAsia" w:ascii="宋体" w:hAnsi="宋体" w:eastAsia="宋体" w:cs="宋体"/>
          <w:sz w:val="28"/>
          <w:szCs w:val="28"/>
        </w:rPr>
        <w:t xml:space="preserve">10 </w:t>
      </w:r>
      <w:r>
        <w:rPr>
          <w:rFonts w:hint="eastAsia" w:ascii="宋体" w:hAnsi="宋体" w:eastAsia="宋体" w:cs="宋体"/>
          <w:spacing w:val="-6"/>
          <w:sz w:val="28"/>
          <w:szCs w:val="28"/>
        </w:rPr>
        <w:t>线设火灾自动报警系统，在火车卸车栈桥平台入口处设置防</w:t>
      </w:r>
      <w:r>
        <w:rPr>
          <w:rFonts w:hint="eastAsia" w:ascii="宋体" w:hAnsi="宋体" w:eastAsia="宋体" w:cs="宋体"/>
          <w:spacing w:val="-14"/>
          <w:sz w:val="28"/>
          <w:szCs w:val="28"/>
        </w:rPr>
        <w:t>爆手动报警按钮，并使用防爆声光报警器作为报警设施。壁挂式火灾报警机</w:t>
      </w:r>
      <w:r>
        <w:rPr>
          <w:rFonts w:hint="eastAsia" w:ascii="宋体" w:hAnsi="宋体" w:eastAsia="宋体" w:cs="宋体"/>
          <w:spacing w:val="13"/>
          <w:sz w:val="28"/>
          <w:szCs w:val="28"/>
        </w:rPr>
        <w:t>柜电源引起</w:t>
      </w:r>
      <w:r>
        <w:rPr>
          <w:rFonts w:hint="eastAsia" w:ascii="宋体" w:hAnsi="宋体" w:eastAsia="宋体" w:cs="宋体"/>
          <w:sz w:val="28"/>
          <w:szCs w:val="28"/>
        </w:rPr>
        <w:t xml:space="preserve">UPS </w:t>
      </w:r>
      <w:r>
        <w:rPr>
          <w:rFonts w:hint="eastAsia" w:ascii="宋体" w:hAnsi="宋体" w:eastAsia="宋体" w:cs="宋体"/>
          <w:spacing w:val="-3"/>
          <w:sz w:val="28"/>
          <w:szCs w:val="28"/>
        </w:rPr>
        <w:t>柜。</w:t>
      </w:r>
    </w:p>
    <w:p>
      <w:pPr>
        <w:pStyle w:val="16"/>
        <w:spacing w:before="60" w:line="360" w:lineRule="auto"/>
        <w:ind w:left="698"/>
      </w:pPr>
      <w:r>
        <w:rPr>
          <w:rFonts w:hint="eastAsia" w:ascii="宋体" w:hAnsi="宋体" w:eastAsia="宋体" w:cs="宋体"/>
          <w:sz w:val="28"/>
          <w:szCs w:val="28"/>
        </w:rPr>
        <w:t>通讯线缆采用沿电信桥架敷设及穿管沿敷设明敷方式。</w:t>
      </w:r>
    </w:p>
    <w:p>
      <w:pPr>
        <w:pStyle w:val="4"/>
        <w:adjustRightInd w:val="0"/>
        <w:spacing w:before="120" w:beforeLines="50" w:after="120" w:afterLines="50"/>
        <w:rPr>
          <w:rFonts w:hint="eastAsia" w:ascii="宋体" w:hAnsi="宋体" w:eastAsia="宋体" w:cs="宋体"/>
          <w:b w:val="0"/>
          <w:bCs w:val="0"/>
          <w:spacing w:val="-3"/>
          <w:sz w:val="28"/>
          <w:szCs w:val="28"/>
        </w:rPr>
      </w:pPr>
      <w:bookmarkStart w:id="70" w:name="_bookmark44"/>
      <w:bookmarkEnd w:id="70"/>
      <w:bookmarkStart w:id="71" w:name="_Toc24507"/>
      <w:r>
        <w:rPr>
          <w:rFonts w:hint="eastAsia" w:ascii="黑体" w:hAnsi="黑体" w:cs="黑体"/>
          <w:sz w:val="28"/>
          <w:szCs w:val="28"/>
        </w:rPr>
        <w:t>2.10信号</w:t>
      </w:r>
      <w:bookmarkEnd w:id="71"/>
    </w:p>
    <w:p>
      <w:pPr>
        <w:pStyle w:val="16"/>
        <w:spacing w:before="122" w:line="360" w:lineRule="auto"/>
        <w:ind w:left="698"/>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1、运输调度指挥系统</w:t>
      </w:r>
    </w:p>
    <w:p>
      <w:pPr>
        <w:pStyle w:val="16"/>
        <w:spacing w:before="186" w:line="360" w:lineRule="auto"/>
        <w:ind w:firstLine="548" w:firstLineChars="200"/>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专用线运输调度指挥系统采用列车调度集中系统（CTC），并设置 CTC系统通道质量专用监测装置及安全设备。工厂站设计 CTC 分机系统，按纳入成都局调度中心兰渝台统一指挥。</w:t>
      </w:r>
    </w:p>
    <w:p>
      <w:pPr>
        <w:pStyle w:val="16"/>
        <w:spacing w:before="186" w:line="360" w:lineRule="auto"/>
        <w:ind w:left="548"/>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rPr>
        <w:t>2、</w:t>
      </w:r>
      <w:r>
        <w:rPr>
          <w:rFonts w:hint="eastAsia" w:ascii="宋体" w:hAnsi="宋体" w:eastAsia="宋体" w:cs="宋体"/>
          <w:spacing w:val="-3"/>
          <w:sz w:val="28"/>
          <w:szCs w:val="28"/>
          <w:lang w:val="en-US" w:eastAsia="zh-CN"/>
        </w:rPr>
        <w:t>联锁系统</w:t>
      </w:r>
    </w:p>
    <w:p>
      <w:pPr>
        <w:pStyle w:val="16"/>
        <w:spacing w:before="186" w:line="360" w:lineRule="auto"/>
        <w:ind w:left="420" w:leftChars="200" w:firstLine="274" w:firstLineChars="100"/>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工厂站采用双机热备型计算机联锁系统。</w:t>
      </w:r>
    </w:p>
    <w:p>
      <w:pPr>
        <w:pStyle w:val="121"/>
        <w:tabs>
          <w:tab w:val="left" w:pos="1403"/>
        </w:tabs>
        <w:spacing w:before="186" w:line="360" w:lineRule="auto"/>
        <w:ind w:left="420" w:leftChars="200" w:firstLine="0" w:firstLineChars="0"/>
        <w:jc w:val="left"/>
        <w:rPr>
          <w:rFonts w:hint="eastAsia" w:ascii="宋体" w:hAnsi="宋体" w:cs="宋体"/>
          <w:spacing w:val="-3"/>
          <w:sz w:val="28"/>
          <w:szCs w:val="28"/>
        </w:rPr>
      </w:pPr>
      <w:r>
        <w:rPr>
          <w:rFonts w:hint="eastAsia" w:ascii="宋体" w:hAnsi="宋体" w:cs="宋体"/>
          <w:spacing w:val="-3"/>
          <w:sz w:val="28"/>
          <w:szCs w:val="28"/>
        </w:rPr>
        <w:t>（1）信号机</w:t>
      </w:r>
    </w:p>
    <w:p>
      <w:pPr>
        <w:pStyle w:val="16"/>
        <w:spacing w:before="186" w:line="360" w:lineRule="auto"/>
        <w:ind w:right="456" w:firstLine="559"/>
        <w:rPr>
          <w:rFonts w:hint="eastAsia" w:ascii="宋体" w:hAnsi="宋体" w:eastAsia="宋体" w:cs="宋体"/>
          <w:sz w:val="28"/>
          <w:szCs w:val="28"/>
        </w:rPr>
      </w:pPr>
      <w:r>
        <w:rPr>
          <w:rFonts w:hint="eastAsia" w:ascii="宋体" w:hAnsi="宋体" w:eastAsia="宋体" w:cs="宋体"/>
          <w:spacing w:val="-3"/>
          <w:sz w:val="28"/>
          <w:szCs w:val="28"/>
          <w:lang w:val="en-US" w:eastAsia="zh-CN"/>
        </w:rPr>
        <w:t>采用透镜式色灯信号机，进站、预告、正线出站及牵出线、专用线</w:t>
      </w:r>
      <w:r>
        <w:rPr>
          <w:rFonts w:hint="eastAsia" w:ascii="宋体" w:hAnsi="宋体" w:eastAsia="宋体" w:cs="宋体"/>
          <w:spacing w:val="-15"/>
          <w:sz w:val="28"/>
          <w:szCs w:val="28"/>
        </w:rPr>
        <w:t>入口</w:t>
      </w:r>
      <w:r>
        <w:rPr>
          <w:rFonts w:hint="eastAsia" w:ascii="宋体" w:hAnsi="宋体" w:eastAsia="宋体" w:cs="宋体"/>
          <w:spacing w:val="-3"/>
          <w:sz w:val="28"/>
          <w:szCs w:val="28"/>
        </w:rPr>
        <w:t>处信号机，原则上采用高柱信号机，其余信号机采用矮型信号机。</w:t>
      </w:r>
    </w:p>
    <w:p>
      <w:pPr>
        <w:pStyle w:val="121"/>
        <w:tabs>
          <w:tab w:val="left" w:pos="1403"/>
        </w:tabs>
        <w:spacing w:line="360" w:lineRule="auto"/>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（2）轨道电路</w:t>
      </w:r>
    </w:p>
    <w:p>
      <w:pPr>
        <w:pStyle w:val="16"/>
        <w:spacing w:before="186" w:line="360" w:lineRule="auto"/>
        <w:ind w:left="698"/>
        <w:rPr>
          <w:rFonts w:hint="eastAsia" w:ascii="宋体" w:hAnsi="宋体" w:eastAsia="宋体" w:cs="宋体"/>
          <w:sz w:val="28"/>
          <w:szCs w:val="28"/>
        </w:rPr>
      </w:pPr>
      <w:r>
        <w:rPr>
          <w:rFonts w:hint="eastAsia" w:ascii="宋体" w:hAnsi="宋体" w:eastAsia="宋体" w:cs="宋体"/>
          <w:sz w:val="28"/>
          <w:szCs w:val="28"/>
        </w:rPr>
        <w:t>采用 97 型 25 周相敏轨道电路。</w:t>
      </w:r>
    </w:p>
    <w:p>
      <w:pPr>
        <w:pStyle w:val="121"/>
        <w:tabs>
          <w:tab w:val="left" w:pos="1403"/>
        </w:tabs>
        <w:spacing w:before="186" w:line="360" w:lineRule="auto"/>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（3）转辙设备</w:t>
      </w:r>
    </w:p>
    <w:p>
      <w:pPr>
        <w:pStyle w:val="16"/>
        <w:spacing w:before="187" w:line="360" w:lineRule="auto"/>
        <w:ind w:right="454" w:firstLine="559"/>
        <w:rPr>
          <w:rFonts w:hint="eastAsia" w:ascii="宋体" w:hAnsi="宋体" w:eastAsia="宋体" w:cs="宋体"/>
          <w:color w:val="C00000"/>
          <w:sz w:val="28"/>
          <w:szCs w:val="28"/>
        </w:rPr>
      </w:pPr>
      <w:r>
        <w:rPr>
          <w:rFonts w:hint="eastAsia" w:ascii="宋体" w:hAnsi="宋体" w:eastAsia="宋体" w:cs="宋体"/>
          <w:color w:val="C00000"/>
          <w:spacing w:val="-15"/>
          <w:sz w:val="28"/>
          <w:szCs w:val="28"/>
        </w:rPr>
        <w:t>根据站场道岔的设计，配备相应的转辙设备。</w:t>
      </w:r>
      <w:r>
        <w:rPr>
          <w:rFonts w:hint="eastAsia" w:ascii="宋体" w:hAnsi="宋体" w:eastAsia="宋体" w:cs="宋体"/>
          <w:color w:val="C00000"/>
          <w:spacing w:val="-3"/>
          <w:sz w:val="28"/>
          <w:szCs w:val="28"/>
        </w:rPr>
        <w:t>设计道岔防护罩及道岔缺口检查装置。</w:t>
      </w:r>
    </w:p>
    <w:p>
      <w:pPr>
        <w:pStyle w:val="121"/>
        <w:tabs>
          <w:tab w:val="left" w:pos="1403"/>
        </w:tabs>
        <w:spacing w:line="360" w:lineRule="auto"/>
        <w:ind w:left="420" w:leftChars="200" w:firstLine="0" w:firstLineChars="0"/>
        <w:jc w:val="left"/>
        <w:rPr>
          <w:rFonts w:hint="eastAsia" w:ascii="宋体" w:hAnsi="宋体" w:cs="宋体"/>
          <w:sz w:val="28"/>
          <w:szCs w:val="28"/>
        </w:rPr>
      </w:pPr>
      <w:r>
        <w:rPr>
          <w:rFonts w:hint="eastAsia" w:ascii="宋体" w:hAnsi="宋体" w:cs="宋体"/>
          <w:spacing w:val="-2"/>
          <w:sz w:val="28"/>
          <w:szCs w:val="28"/>
        </w:rPr>
        <w:t>（4）机车信号及电码化</w:t>
      </w:r>
    </w:p>
    <w:p>
      <w:pPr>
        <w:pStyle w:val="16"/>
        <w:spacing w:before="186" w:line="360" w:lineRule="auto"/>
        <w:ind w:right="452" w:firstLine="559"/>
        <w:rPr>
          <w:rFonts w:hint="eastAsia" w:ascii="宋体" w:hAnsi="宋体" w:eastAsia="宋体" w:cs="宋体"/>
          <w:sz w:val="28"/>
          <w:szCs w:val="28"/>
        </w:rPr>
      </w:pPr>
      <w:r>
        <w:rPr>
          <w:rFonts w:hint="eastAsia" w:ascii="宋体" w:hAnsi="宋体" w:eastAsia="宋体" w:cs="宋体"/>
          <w:sz w:val="28"/>
          <w:szCs w:val="28"/>
        </w:rPr>
        <w:t>工厂站采用接近连续式机车信号。接车进路及站内正线采用预叠加电</w:t>
      </w:r>
      <w:r>
        <w:rPr>
          <w:rFonts w:hint="eastAsia" w:ascii="宋体" w:hAnsi="宋体" w:eastAsia="宋体" w:cs="宋体"/>
          <w:spacing w:val="-3"/>
          <w:sz w:val="28"/>
          <w:szCs w:val="28"/>
        </w:rPr>
        <w:t>码化、到发线采用叠加电码化方式。电码化设备采用 ZPW-2000（UM）</w:t>
      </w:r>
      <w:r>
        <w:rPr>
          <w:rFonts w:hint="eastAsia" w:ascii="宋体" w:hAnsi="宋体" w:eastAsia="宋体" w:cs="宋体"/>
          <w:sz w:val="28"/>
          <w:szCs w:val="28"/>
        </w:rPr>
        <w:t>系列。</w:t>
      </w:r>
    </w:p>
    <w:p>
      <w:pPr>
        <w:pStyle w:val="121"/>
        <w:tabs>
          <w:tab w:val="left" w:pos="1403"/>
        </w:tabs>
        <w:spacing w:line="360" w:lineRule="auto"/>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（5）电源设备</w:t>
      </w:r>
    </w:p>
    <w:p>
      <w:pPr>
        <w:pStyle w:val="16"/>
        <w:spacing w:before="186" w:line="360" w:lineRule="auto"/>
        <w:ind w:left="698"/>
        <w:rPr>
          <w:rFonts w:hint="eastAsia" w:ascii="宋体" w:hAnsi="宋体" w:eastAsia="宋体" w:cs="宋体"/>
          <w:sz w:val="28"/>
          <w:szCs w:val="28"/>
        </w:rPr>
      </w:pPr>
      <w:r>
        <w:rPr>
          <w:rFonts w:hint="eastAsia" w:ascii="宋体" w:hAnsi="宋体" w:eastAsia="宋体" w:cs="宋体"/>
          <w:sz w:val="28"/>
          <w:szCs w:val="28"/>
        </w:rPr>
        <w:t>工厂站新设智能电源屏。</w:t>
      </w:r>
    </w:p>
    <w:p>
      <w:pPr>
        <w:pStyle w:val="16"/>
        <w:spacing w:before="187" w:line="360" w:lineRule="auto"/>
        <w:ind w:left="698"/>
        <w:rPr>
          <w:rFonts w:hint="eastAsia" w:ascii="宋体" w:hAnsi="宋体" w:eastAsia="宋体" w:cs="宋体"/>
          <w:sz w:val="28"/>
          <w:szCs w:val="28"/>
        </w:rPr>
      </w:pPr>
      <w:r>
        <w:rPr>
          <w:rFonts w:hint="eastAsia" w:ascii="宋体" w:hAnsi="宋体" w:eastAsia="宋体" w:cs="宋体"/>
          <w:sz w:val="28"/>
          <w:szCs w:val="28"/>
        </w:rPr>
        <w:t>3、其他、信号设备</w:t>
      </w:r>
    </w:p>
    <w:p>
      <w:pPr>
        <w:pStyle w:val="121"/>
        <w:tabs>
          <w:tab w:val="left" w:pos="1403"/>
        </w:tabs>
        <w:spacing w:before="186" w:line="360" w:lineRule="auto"/>
        <w:ind w:left="420" w:leftChars="200" w:firstLine="0" w:firstLineChars="0"/>
        <w:jc w:val="left"/>
        <w:rPr>
          <w:rFonts w:hint="eastAsia" w:ascii="宋体" w:hAnsi="宋体" w:cs="宋体"/>
          <w:sz w:val="28"/>
          <w:szCs w:val="28"/>
        </w:rPr>
      </w:pPr>
      <w:r>
        <w:rPr>
          <w:rFonts w:hint="eastAsia" w:ascii="宋体" w:hAnsi="宋体" w:cs="宋体"/>
          <w:spacing w:val="-3"/>
          <w:sz w:val="28"/>
          <w:szCs w:val="28"/>
        </w:rPr>
        <w:t>（1）信号设备集中监测维护系统</w:t>
      </w:r>
    </w:p>
    <w:p>
      <w:pPr>
        <w:pStyle w:val="16"/>
        <w:spacing w:before="186" w:line="360" w:lineRule="auto"/>
        <w:ind w:right="264" w:firstLine="559"/>
        <w:rPr>
          <w:rFonts w:hint="eastAsia" w:ascii="宋体" w:hAnsi="宋体" w:eastAsia="宋体" w:cs="宋体"/>
          <w:sz w:val="28"/>
          <w:szCs w:val="28"/>
        </w:rPr>
      </w:pPr>
      <w:r>
        <w:rPr>
          <w:rFonts w:hint="eastAsia" w:ascii="宋体" w:hAnsi="宋体" w:eastAsia="宋体" w:cs="宋体"/>
          <w:color w:val="C00000"/>
          <w:sz w:val="28"/>
          <w:szCs w:val="28"/>
        </w:rPr>
        <w:t>工厂站新设信号设备集中监测系统，完成对各种信号设备的在线监测，实现信号设备的远程监督、测试、诊断功能</w:t>
      </w:r>
      <w:r>
        <w:rPr>
          <w:rFonts w:hint="eastAsia" w:ascii="宋体" w:hAnsi="宋体" w:eastAsia="宋体" w:cs="宋体"/>
          <w:sz w:val="28"/>
          <w:szCs w:val="28"/>
        </w:rPr>
        <w:t>。</w:t>
      </w:r>
    </w:p>
    <w:p>
      <w:pPr>
        <w:pStyle w:val="121"/>
        <w:tabs>
          <w:tab w:val="left" w:pos="1403"/>
        </w:tabs>
        <w:spacing w:before="186" w:line="360" w:lineRule="auto"/>
        <w:ind w:left="420" w:leftChars="200" w:firstLine="0" w:firstLineChars="0"/>
        <w:jc w:val="left"/>
        <w:rPr>
          <w:rFonts w:hint="eastAsia" w:ascii="宋体" w:hAnsi="宋体" w:cs="宋体"/>
          <w:sz w:val="28"/>
          <w:szCs w:val="28"/>
        </w:rPr>
      </w:pPr>
      <w:r>
        <w:rPr>
          <w:rFonts w:hint="eastAsia" w:ascii="宋体" w:hAnsi="宋体" w:cs="宋体"/>
          <w:spacing w:val="-2"/>
          <w:sz w:val="28"/>
          <w:szCs w:val="28"/>
        </w:rPr>
        <w:t>（2）信号设备防护措施</w:t>
      </w:r>
    </w:p>
    <w:p>
      <w:pPr>
        <w:pStyle w:val="16"/>
        <w:spacing w:before="186" w:line="360" w:lineRule="auto"/>
        <w:ind w:right="451" w:firstLine="559"/>
        <w:rPr>
          <w:rFonts w:hint="eastAsia" w:ascii="宋体" w:hAnsi="宋体" w:eastAsia="宋体" w:cs="宋体"/>
          <w:sz w:val="28"/>
          <w:szCs w:val="28"/>
        </w:rPr>
      </w:pPr>
      <w:r>
        <w:rPr>
          <w:rFonts w:hint="eastAsia" w:ascii="宋体" w:hAnsi="宋体" w:eastAsia="宋体" w:cs="宋体"/>
          <w:spacing w:val="-14"/>
          <w:sz w:val="28"/>
          <w:szCs w:val="28"/>
        </w:rPr>
        <w:t>工厂站新设综合防雷设备，按《铁路信号设备雷电及电磁兼容综合防护</w:t>
      </w:r>
      <w:r>
        <w:rPr>
          <w:rFonts w:hint="eastAsia" w:ascii="宋体" w:hAnsi="宋体" w:eastAsia="宋体" w:cs="宋体"/>
          <w:spacing w:val="-28"/>
          <w:sz w:val="28"/>
          <w:szCs w:val="28"/>
        </w:rPr>
        <w:t>实施指导意见》</w:t>
      </w:r>
      <w:r>
        <w:rPr>
          <w:rFonts w:hint="eastAsia" w:ascii="宋体" w:hAnsi="宋体" w:eastAsia="宋体" w:cs="宋体"/>
          <w:sz w:val="28"/>
          <w:szCs w:val="28"/>
        </w:rPr>
        <w:t>（</w:t>
      </w:r>
      <w:r>
        <w:rPr>
          <w:rFonts w:hint="eastAsia" w:ascii="宋体" w:hAnsi="宋体" w:eastAsia="宋体" w:cs="宋体"/>
          <w:spacing w:val="-2"/>
          <w:sz w:val="28"/>
          <w:szCs w:val="28"/>
        </w:rPr>
        <w:t>铁运</w:t>
      </w:r>
      <w:r>
        <w:rPr>
          <w:rFonts w:hint="eastAsia" w:ascii="宋体" w:hAnsi="宋体" w:eastAsia="宋体" w:cs="宋体"/>
          <w:sz w:val="28"/>
          <w:szCs w:val="28"/>
        </w:rPr>
        <w:t>[2006]26 号</w:t>
      </w:r>
      <w:r>
        <w:rPr>
          <w:rFonts w:hint="eastAsia" w:ascii="宋体" w:hAnsi="宋体" w:eastAsia="宋体" w:cs="宋体"/>
          <w:spacing w:val="-142"/>
          <w:sz w:val="28"/>
          <w:szCs w:val="28"/>
        </w:rPr>
        <w:t>）</w:t>
      </w:r>
      <w:r>
        <w:rPr>
          <w:rFonts w:hint="eastAsia" w:ascii="宋体" w:hAnsi="宋体" w:eastAsia="宋体" w:cs="宋体"/>
          <w:spacing w:val="-14"/>
          <w:sz w:val="28"/>
          <w:szCs w:val="28"/>
        </w:rPr>
        <w:t>、《铁路防雷、电磁兼容及接地工程技术</w:t>
      </w:r>
      <w:r>
        <w:rPr>
          <w:rFonts w:hint="eastAsia" w:ascii="宋体" w:hAnsi="宋体" w:eastAsia="宋体" w:cs="宋体"/>
          <w:spacing w:val="-38"/>
          <w:sz w:val="28"/>
          <w:szCs w:val="28"/>
        </w:rPr>
        <w:t>暂行规定》</w:t>
      </w:r>
      <w:r>
        <w:rPr>
          <w:rFonts w:hint="eastAsia" w:ascii="宋体" w:hAnsi="宋体" w:eastAsia="宋体" w:cs="宋体"/>
          <w:spacing w:val="-3"/>
          <w:sz w:val="28"/>
          <w:szCs w:val="28"/>
        </w:rPr>
        <w:t>（</w:t>
      </w:r>
      <w:r>
        <w:rPr>
          <w:rFonts w:hint="eastAsia" w:ascii="宋体" w:hAnsi="宋体" w:eastAsia="宋体" w:cs="宋体"/>
          <w:spacing w:val="-1"/>
          <w:sz w:val="28"/>
          <w:szCs w:val="28"/>
        </w:rPr>
        <w:t>铁建设</w:t>
      </w:r>
      <w:r>
        <w:rPr>
          <w:rFonts w:hint="eastAsia" w:ascii="宋体" w:hAnsi="宋体" w:eastAsia="宋体" w:cs="宋体"/>
          <w:sz w:val="28"/>
          <w:szCs w:val="28"/>
        </w:rPr>
        <w:t xml:space="preserve">[2007]39 </w:t>
      </w:r>
      <w:r>
        <w:rPr>
          <w:rFonts w:hint="eastAsia" w:ascii="宋体" w:hAnsi="宋体" w:eastAsia="宋体" w:cs="宋体"/>
          <w:spacing w:val="-3"/>
          <w:sz w:val="28"/>
          <w:szCs w:val="28"/>
        </w:rPr>
        <w:t>号</w:t>
      </w:r>
      <w:r>
        <w:rPr>
          <w:rFonts w:hint="eastAsia" w:ascii="宋体" w:hAnsi="宋体" w:eastAsia="宋体" w:cs="宋体"/>
          <w:sz w:val="28"/>
          <w:szCs w:val="28"/>
        </w:rPr>
        <w:t>）</w:t>
      </w:r>
      <w:r>
        <w:rPr>
          <w:rFonts w:hint="eastAsia" w:ascii="宋体" w:hAnsi="宋体" w:eastAsia="宋体" w:cs="宋体"/>
          <w:spacing w:val="-3"/>
          <w:sz w:val="28"/>
          <w:szCs w:val="28"/>
        </w:rPr>
        <w:t>之规定进行雷电电磁安全防护。</w:t>
      </w:r>
    </w:p>
    <w:p>
      <w:pPr>
        <w:pStyle w:val="4"/>
        <w:adjustRightInd w:val="0"/>
        <w:spacing w:before="120" w:beforeLines="50" w:after="120" w:afterLines="50"/>
        <w:rPr>
          <w:rFonts w:hint="eastAsia" w:ascii="黑体" w:hAnsi="黑体" w:cs="黑体"/>
          <w:sz w:val="28"/>
          <w:szCs w:val="28"/>
        </w:rPr>
      </w:pPr>
      <w:bookmarkStart w:id="72" w:name="_bookmark45"/>
      <w:bookmarkEnd w:id="72"/>
      <w:bookmarkStart w:id="73" w:name="_Toc19354"/>
      <w:r>
        <w:rPr>
          <w:rFonts w:hint="eastAsia" w:ascii="黑体" w:hAnsi="黑体" w:cs="黑体"/>
          <w:sz w:val="28"/>
          <w:szCs w:val="28"/>
        </w:rPr>
        <w:t>2.11防雷防静电</w:t>
      </w:r>
      <w:bookmarkEnd w:id="73"/>
    </w:p>
    <w:p>
      <w:pPr>
        <w:pStyle w:val="121"/>
        <w:tabs>
          <w:tab w:val="left" w:pos="1403"/>
        </w:tabs>
        <w:spacing w:before="186" w:line="360" w:lineRule="auto"/>
        <w:ind w:left="420" w:leftChars="200" w:firstLine="0" w:firstLineChars="0"/>
        <w:jc w:val="left"/>
        <w:rPr>
          <w:rFonts w:hint="eastAsia" w:ascii="宋体" w:hAnsi="宋体" w:cs="宋体"/>
          <w:spacing w:val="-3"/>
          <w:sz w:val="28"/>
          <w:szCs w:val="28"/>
        </w:rPr>
      </w:pPr>
      <w:r>
        <w:rPr>
          <w:rFonts w:hint="eastAsia" w:ascii="宋体" w:hAnsi="宋体" w:cs="宋体"/>
          <w:spacing w:val="-3"/>
          <w:sz w:val="28"/>
          <w:szCs w:val="28"/>
        </w:rPr>
        <w:t>1、防雷及防静电</w:t>
      </w:r>
    </w:p>
    <w:p>
      <w:pPr>
        <w:pStyle w:val="121"/>
        <w:tabs>
          <w:tab w:val="left" w:pos="1403"/>
        </w:tabs>
        <w:spacing w:before="186" w:line="360" w:lineRule="auto"/>
        <w:ind w:firstLine="548"/>
        <w:jc w:val="left"/>
        <w:rPr>
          <w:rFonts w:hint="eastAsia" w:ascii="宋体" w:hAnsi="宋体" w:cs="宋体"/>
          <w:spacing w:val="-3"/>
          <w:sz w:val="28"/>
          <w:szCs w:val="28"/>
        </w:rPr>
      </w:pPr>
      <w:r>
        <w:rPr>
          <w:rFonts w:hint="eastAsia" w:ascii="宋体" w:hAnsi="宋体" w:cs="宋体"/>
          <w:spacing w:val="-3"/>
          <w:sz w:val="28"/>
          <w:szCs w:val="28"/>
        </w:rPr>
        <w:t>根据《建筑物防雷设计规范》（GB 50057-2010），卸车栈桥等工艺装置属第二类防雷建筑物，并按照第二类防雷建筑物要求设置防雷设施。</w:t>
      </w:r>
    </w:p>
    <w:p>
      <w:pPr>
        <w:pStyle w:val="121"/>
        <w:tabs>
          <w:tab w:val="left" w:pos="1403"/>
        </w:tabs>
        <w:spacing w:before="186" w:line="360" w:lineRule="auto"/>
        <w:ind w:firstLine="548"/>
        <w:jc w:val="left"/>
        <w:rPr>
          <w:rFonts w:hint="eastAsia" w:ascii="宋体" w:hAnsi="宋体" w:cs="宋体"/>
          <w:spacing w:val="-3"/>
          <w:sz w:val="28"/>
          <w:szCs w:val="28"/>
        </w:rPr>
      </w:pPr>
      <w:r>
        <w:rPr>
          <w:rFonts w:hint="eastAsia" w:ascii="宋体" w:hAnsi="宋体" w:cs="宋体"/>
          <w:spacing w:val="-3"/>
          <w:sz w:val="28"/>
          <w:szCs w:val="28"/>
        </w:rPr>
        <w:t>专用线卸车区工艺装置管线、罐利用本体作为引下线，不另设避雷引下线。栈桥与接地网可靠连接，其接地点间距不大于 18m。</w:t>
      </w:r>
    </w:p>
    <w:p>
      <w:pPr>
        <w:pStyle w:val="121"/>
        <w:tabs>
          <w:tab w:val="left" w:pos="1403"/>
        </w:tabs>
        <w:spacing w:before="186" w:line="360" w:lineRule="auto"/>
        <w:ind w:firstLine="548"/>
        <w:jc w:val="left"/>
        <w:rPr>
          <w:rFonts w:hint="eastAsia" w:ascii="宋体" w:hAnsi="宋体" w:cs="宋体"/>
          <w:spacing w:val="-3"/>
          <w:sz w:val="28"/>
          <w:szCs w:val="28"/>
        </w:rPr>
      </w:pPr>
      <w:r>
        <w:rPr>
          <w:rFonts w:hint="eastAsia" w:ascii="宋体" w:hAnsi="宋体" w:cs="宋体"/>
          <w:spacing w:val="-3"/>
          <w:sz w:val="28"/>
          <w:szCs w:val="28"/>
        </w:rPr>
        <w:t>低压配电系统配置电涌保护器防雷。在电源引入的低压配电柜处装设Ⅰ级试验的电涌保护器，防爆配电箱电源侧装设第二级电涌保护器(SPD)， 电涌保护器的电压保护水平值小于或等于 2.5kV，每一层保护模式的冲击电流值，当无法确定时，冲击电流取等于或大于 12.5kA。管线平行敷设其净距小于 100mm 时，应每个隔 30m 用金属线连接。管道交叉净距小于 100mm 时，其交叉点应用金属线跨接。</w:t>
      </w:r>
    </w:p>
    <w:p>
      <w:pPr>
        <w:pStyle w:val="121"/>
        <w:tabs>
          <w:tab w:val="left" w:pos="1403"/>
        </w:tabs>
        <w:spacing w:before="186" w:line="360" w:lineRule="auto"/>
        <w:ind w:firstLine="548"/>
        <w:jc w:val="left"/>
        <w:rPr>
          <w:rFonts w:hint="eastAsia" w:ascii="宋体" w:hAnsi="宋体" w:cs="宋体"/>
          <w:spacing w:val="-3"/>
          <w:sz w:val="28"/>
          <w:szCs w:val="28"/>
        </w:rPr>
      </w:pPr>
      <w:r>
        <w:rPr>
          <w:rFonts w:hint="eastAsia" w:ascii="宋体" w:hAnsi="宋体" w:cs="宋体"/>
          <w:spacing w:val="-3"/>
          <w:sz w:val="28"/>
          <w:szCs w:val="28"/>
        </w:rPr>
        <w:t>卸车区操作平台扶梯入口处设置人体静电消除装置。卸车鹤位处设防爆静电检测仪。</w:t>
      </w:r>
    </w:p>
    <w:p>
      <w:pPr>
        <w:pStyle w:val="121"/>
        <w:tabs>
          <w:tab w:val="left" w:pos="1403"/>
        </w:tabs>
        <w:spacing w:before="186" w:line="360" w:lineRule="auto"/>
        <w:ind w:left="420" w:leftChars="200" w:firstLine="0" w:firstLineChars="0"/>
        <w:jc w:val="left"/>
        <w:rPr>
          <w:rFonts w:hint="eastAsia" w:ascii="宋体" w:hAnsi="宋体" w:cs="宋体"/>
          <w:spacing w:val="-3"/>
          <w:sz w:val="28"/>
          <w:szCs w:val="28"/>
        </w:rPr>
      </w:pPr>
      <w:r>
        <w:rPr>
          <w:rFonts w:hint="eastAsia" w:ascii="宋体" w:hAnsi="宋体" w:cs="宋体"/>
          <w:spacing w:val="-3"/>
          <w:sz w:val="28"/>
          <w:szCs w:val="28"/>
        </w:rPr>
        <w:t>2、接地</w:t>
      </w:r>
    </w:p>
    <w:p>
      <w:pPr>
        <w:pStyle w:val="121"/>
        <w:tabs>
          <w:tab w:val="left" w:pos="1403"/>
        </w:tabs>
        <w:spacing w:before="186" w:line="360" w:lineRule="auto"/>
        <w:ind w:firstLine="548"/>
        <w:jc w:val="left"/>
        <w:rPr>
          <w:rFonts w:hint="eastAsia" w:ascii="宋体" w:hAnsi="宋体" w:cs="宋体"/>
          <w:spacing w:val="-3"/>
          <w:sz w:val="28"/>
          <w:szCs w:val="28"/>
        </w:rPr>
      </w:pPr>
      <w:r>
        <w:rPr>
          <w:rFonts w:hint="eastAsia" w:ascii="宋体" w:hAnsi="宋体" w:cs="宋体"/>
          <w:spacing w:val="-3"/>
          <w:sz w:val="28"/>
          <w:szCs w:val="28"/>
        </w:rPr>
        <w:t>电气保护接地、电气工作接地、防雷接地、防静电接地共用接地系统， 接地极采用 L50×5×2500 热镀锌角钢和-40×4 镀锌扁钢连接成闭合环状接地网，接地电阻R≤4Ω。</w:t>
      </w:r>
    </w:p>
    <w:p>
      <w:pPr>
        <w:pStyle w:val="121"/>
        <w:tabs>
          <w:tab w:val="left" w:pos="1403"/>
        </w:tabs>
        <w:spacing w:before="186" w:line="360" w:lineRule="auto"/>
        <w:ind w:firstLine="548"/>
        <w:jc w:val="left"/>
        <w:rPr>
          <w:rFonts w:hint="eastAsia" w:ascii="宋体" w:hAnsi="宋体" w:cs="宋体"/>
          <w:spacing w:val="-3"/>
          <w:sz w:val="28"/>
          <w:szCs w:val="28"/>
        </w:rPr>
      </w:pPr>
      <w:r>
        <w:rPr>
          <w:rFonts w:hint="eastAsia" w:ascii="宋体" w:hAnsi="宋体" w:cs="宋体"/>
          <w:spacing w:val="-3"/>
          <w:sz w:val="28"/>
          <w:szCs w:val="28"/>
        </w:rPr>
        <w:t>所有电气设备材料正常不带电金属部分、电气装置和设施的非载流的金属外壳、构件和支架、电缆金属保护管、机泵等应可靠接地，人体静电消除器、配线钢管、罐、容器、成套设备、管构架、金属平台和梯子、金属管线、穿线缆保护钢管、电缆两端金属外皮、罐基础主筋、金属给排水管线、消防管线及各种金属构部件等均要求良好可靠接地，并形成总体等电位联结。接地扁钢引至电气设备附近后转为黄绿软铜线与其可靠连接。在装置区内进行局部等电位联结，电气与弱电联合接地电阻 R≤1Ω。专用线及 8 线、10 线卸车区的装卸设施防雷防静电设施由南充市防雷中心检测合格。</w:t>
      </w:r>
    </w:p>
    <w:p>
      <w:pPr>
        <w:pStyle w:val="121"/>
        <w:tabs>
          <w:tab w:val="left" w:pos="1403"/>
        </w:tabs>
        <w:spacing w:before="186" w:line="360" w:lineRule="auto"/>
        <w:ind w:left="420" w:leftChars="200" w:firstLine="0" w:firstLineChars="0"/>
        <w:jc w:val="left"/>
        <w:rPr>
          <w:rFonts w:hint="eastAsia" w:ascii="黑体" w:hAnsi="黑体" w:eastAsia="黑体" w:cs="黑体"/>
          <w:b/>
          <w:bCs/>
          <w:spacing w:val="-3"/>
          <w:sz w:val="28"/>
          <w:szCs w:val="28"/>
        </w:rPr>
      </w:pPr>
      <w:bookmarkStart w:id="74" w:name="_bookmark46"/>
      <w:bookmarkEnd w:id="74"/>
      <w:r>
        <w:rPr>
          <w:rFonts w:hint="eastAsia" w:ascii="黑体" w:hAnsi="黑体" w:eastAsia="黑体" w:cs="黑体"/>
          <w:b/>
          <w:bCs/>
          <w:spacing w:val="-3"/>
          <w:sz w:val="28"/>
          <w:szCs w:val="28"/>
        </w:rPr>
        <w:t>2.12安全及警示标志</w:t>
      </w:r>
    </w:p>
    <w:p>
      <w:pPr>
        <w:pStyle w:val="121"/>
        <w:tabs>
          <w:tab w:val="left" w:pos="1403"/>
        </w:tabs>
        <w:spacing w:before="186" w:line="360" w:lineRule="auto"/>
        <w:ind w:firstLine="548"/>
        <w:jc w:val="left"/>
        <w:rPr>
          <w:rFonts w:hint="eastAsia" w:ascii="宋体" w:hAnsi="宋体" w:cs="宋体"/>
          <w:spacing w:val="-3"/>
          <w:sz w:val="28"/>
          <w:szCs w:val="28"/>
        </w:rPr>
      </w:pPr>
      <w:r>
        <w:rPr>
          <w:rFonts w:hint="eastAsia" w:ascii="宋体" w:hAnsi="宋体" w:cs="宋体"/>
          <w:spacing w:val="-3"/>
          <w:sz w:val="28"/>
          <w:szCs w:val="28"/>
        </w:rPr>
        <w:t>危险货物专用线区域设置有较为醒目的安全标志，包括禁止烟火、禁止带火种、禁止打手机标志等。</w:t>
      </w:r>
    </w:p>
    <w:p>
      <w:pPr>
        <w:pStyle w:val="121"/>
        <w:tabs>
          <w:tab w:val="left" w:pos="1403"/>
        </w:tabs>
        <w:spacing w:before="186" w:line="360" w:lineRule="auto"/>
        <w:ind w:firstLine="548"/>
        <w:jc w:val="left"/>
        <w:rPr>
          <w:rFonts w:hint="eastAsia" w:ascii="宋体" w:hAnsi="宋体" w:cs="宋体"/>
          <w:spacing w:val="-3"/>
          <w:sz w:val="28"/>
          <w:szCs w:val="28"/>
        </w:rPr>
      </w:pPr>
      <w:r>
        <w:rPr>
          <w:rFonts w:hint="eastAsia" w:ascii="宋体" w:hAnsi="宋体" w:cs="宋体"/>
          <w:spacing w:val="-3"/>
          <w:sz w:val="28"/>
          <w:szCs w:val="28"/>
        </w:rPr>
        <w:t>在专用线尽头线的终端，设置了车挡和车档表示器。园区内道路平交的道口了设置了相应的标志、护桩、信号灯。两会合线路线间设置了警冲标， 信号机。</w:t>
      </w:r>
    </w:p>
    <w:p>
      <w:pPr>
        <w:spacing w:line="360" w:lineRule="auto"/>
        <w:jc w:val="both"/>
        <w:outlineLvl w:val="0"/>
        <w:rPr>
          <w:rFonts w:eastAsia="黑体"/>
          <w:b/>
          <w:sz w:val="32"/>
          <w:szCs w:val="32"/>
        </w:rPr>
      </w:pPr>
    </w:p>
    <w:p>
      <w:pPr>
        <w:spacing w:line="360" w:lineRule="auto"/>
        <w:jc w:val="center"/>
        <w:outlineLvl w:val="0"/>
        <w:rPr>
          <w:rFonts w:eastAsia="黑体"/>
          <w:b/>
          <w:sz w:val="32"/>
          <w:szCs w:val="32"/>
        </w:rPr>
      </w:pPr>
      <w:bookmarkStart w:id="75" w:name="_Toc1079"/>
      <w:r>
        <w:rPr>
          <w:rFonts w:eastAsia="黑体"/>
          <w:b/>
          <w:sz w:val="32"/>
          <w:szCs w:val="32"/>
        </w:rPr>
        <w:t xml:space="preserve">3 </w:t>
      </w:r>
      <w:bookmarkEnd w:id="45"/>
      <w:r>
        <w:rPr>
          <w:rFonts w:eastAsia="黑体"/>
          <w:b/>
          <w:sz w:val="32"/>
          <w:szCs w:val="32"/>
        </w:rPr>
        <w:t>危险源的基本情况、可能发生的事故类别</w:t>
      </w:r>
      <w:bookmarkEnd w:id="75"/>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sz w:val="28"/>
          <w:szCs w:val="28"/>
        </w:rPr>
      </w:pPr>
      <w:r>
        <w:rPr>
          <w:sz w:val="28"/>
          <w:szCs w:val="28"/>
        </w:rPr>
        <w:t>根据《企业职工伤亡事故分类标准》（GB6441-86）、《生产过程危险和危害因素分类与代码》（GB/T13861-2009）规范要求，由各部门对本单位的危险有害因素进行辨识。辨识危险有害因素时可以选用的方法有（但不限于）：现场调查法；工序分析法；专家咨询法；预先危害分析法（PHA）；工作岗位安全分析法（JSA）；人机工程学分析法。</w:t>
      </w:r>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sz w:val="28"/>
          <w:szCs w:val="28"/>
        </w:rPr>
      </w:pPr>
      <w:r>
        <w:rPr>
          <w:sz w:val="28"/>
          <w:szCs w:val="28"/>
        </w:rPr>
        <w:t>1、辨识危险源应综合考虑本</w:t>
      </w:r>
      <w:r>
        <w:rPr>
          <w:rFonts w:hint="eastAsia"/>
          <w:sz w:val="28"/>
          <w:szCs w:val="28"/>
        </w:rPr>
        <w:t>城投公司各企业</w:t>
      </w:r>
      <w:r>
        <w:rPr>
          <w:sz w:val="28"/>
          <w:szCs w:val="28"/>
        </w:rPr>
        <w:t>各项活动中涉及的人员、设备、工艺设施、用电、环境情况、安全标志、可能的事故、可能的事件、外部相关方、特殊气候、工作时间等因素，辨识可能存在的物理、化学、生物、生理和心理和行为性危险源。</w:t>
      </w:r>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sz w:val="28"/>
          <w:szCs w:val="28"/>
        </w:rPr>
      </w:pPr>
      <w:r>
        <w:rPr>
          <w:sz w:val="28"/>
          <w:szCs w:val="28"/>
        </w:rPr>
        <w:t>2、</w:t>
      </w:r>
      <w:r>
        <w:rPr>
          <w:rFonts w:hint="eastAsia"/>
          <w:sz w:val="28"/>
          <w:szCs w:val="28"/>
        </w:rPr>
        <w:t>城投公司要</w:t>
      </w:r>
      <w:r>
        <w:rPr>
          <w:sz w:val="28"/>
          <w:szCs w:val="28"/>
        </w:rPr>
        <w:t>对辨识出的危险源进行汇总后，组织对危险源进行风险评价。风险评价的方法为作业条件危险性评价法（LEC），即考虑危险源发生事故的可能性、人体暴露在危险环境下的频繁程度和事故产生的后果，取此三种因素指标值之积来评价风险的大小。</w:t>
      </w:r>
    </w:p>
    <w:p>
      <w:pPr>
        <w:tabs>
          <w:tab w:val="left" w:pos="180"/>
          <w:tab w:val="left" w:pos="1800"/>
          <w:tab w:val="left" w:pos="1980"/>
          <w:tab w:val="left" w:pos="2520"/>
          <w:tab w:val="left" w:pos="2700"/>
          <w:tab w:val="left" w:pos="2880"/>
          <w:tab w:val="left" w:pos="4140"/>
          <w:tab w:val="left" w:pos="4680"/>
        </w:tabs>
        <w:spacing w:line="360" w:lineRule="auto"/>
        <w:ind w:firstLine="554" w:firstLineChars="198"/>
        <w:rPr>
          <w:sz w:val="28"/>
          <w:szCs w:val="28"/>
        </w:rPr>
      </w:pPr>
      <w:r>
        <w:rPr>
          <w:sz w:val="28"/>
          <w:szCs w:val="28"/>
        </w:rPr>
        <w:t>3、根据风险评价的结果，确定</w:t>
      </w:r>
      <w:r>
        <w:rPr>
          <w:rFonts w:hint="eastAsia"/>
          <w:sz w:val="28"/>
          <w:szCs w:val="28"/>
        </w:rPr>
        <w:t>城投公司</w:t>
      </w:r>
      <w:r>
        <w:rPr>
          <w:sz w:val="28"/>
          <w:szCs w:val="28"/>
        </w:rPr>
        <w:t>的重要危险源。对于确定为重要危险源的工作项目（场所、设备），应按照此性质，各部门应确定明确的控制要求，采取消除、限制、处理、转移等措施进行风险控制等。</w:t>
      </w:r>
    </w:p>
    <w:p>
      <w:pPr>
        <w:pStyle w:val="4"/>
        <w:spacing w:before="0" w:after="0" w:line="360" w:lineRule="auto"/>
        <w:rPr>
          <w:rFonts w:hint="eastAsia" w:ascii="黑体" w:hAnsi="黑体" w:cs="黑体"/>
          <w:sz w:val="28"/>
          <w:szCs w:val="28"/>
        </w:rPr>
      </w:pPr>
      <w:bookmarkStart w:id="76" w:name="_Toc11872"/>
      <w:r>
        <w:rPr>
          <w:rFonts w:hint="eastAsia" w:ascii="黑体" w:hAnsi="黑体" w:cs="黑体"/>
          <w:sz w:val="28"/>
          <w:szCs w:val="28"/>
        </w:rPr>
        <w:t>3.1 可能存在的风险分析</w:t>
      </w:r>
      <w:bookmarkEnd w:id="76"/>
    </w:p>
    <w:p>
      <w:pPr>
        <w:pStyle w:val="3"/>
        <w:tabs>
          <w:tab w:val="left" w:pos="2784"/>
          <w:tab w:val="left" w:pos="2785"/>
        </w:tabs>
        <w:spacing w:before="33" w:line="360" w:lineRule="auto"/>
        <w:jc w:val="left"/>
        <w:rPr>
          <w:rFonts w:hint="eastAsia" w:ascii="宋体" w:hAnsi="宋体" w:eastAsia="宋体" w:cs="宋体"/>
        </w:rPr>
      </w:pPr>
      <w:bookmarkStart w:id="77" w:name="_Toc6611"/>
      <w:r>
        <w:rPr>
          <w:rFonts w:hint="eastAsia" w:ascii="宋体" w:hAnsi="宋体" w:eastAsia="宋体" w:cs="宋体"/>
        </w:rPr>
        <w:t>3.1.1主要物料的危险、有害因素辨识</w:t>
      </w:r>
      <w:bookmarkEnd w:id="77"/>
    </w:p>
    <w:p>
      <w:pPr>
        <w:pStyle w:val="16"/>
        <w:spacing w:before="138" w:line="360" w:lineRule="auto"/>
        <w:ind w:right="171" w:firstLine="559"/>
        <w:rPr>
          <w:rFonts w:hint="eastAsia" w:ascii="宋体" w:hAnsi="宋体" w:eastAsia="宋体" w:cs="宋体"/>
          <w:sz w:val="28"/>
          <w:szCs w:val="28"/>
        </w:rPr>
      </w:pPr>
      <w:r>
        <w:rPr>
          <w:rFonts w:hint="eastAsia" w:ascii="宋体" w:hAnsi="宋体" w:eastAsia="宋体" w:cs="宋体"/>
          <w:spacing w:val="-12"/>
          <w:sz w:val="28"/>
          <w:szCs w:val="28"/>
        </w:rPr>
        <w:t>本项目专用线运输的物料为对二甲苯、邻二甲苯，配套设施使用到氮气、</w:t>
      </w:r>
      <w:r>
        <w:rPr>
          <w:rFonts w:hint="eastAsia" w:ascii="宋体" w:hAnsi="宋体" w:eastAsia="宋体" w:cs="宋体"/>
          <w:spacing w:val="-1"/>
          <w:sz w:val="28"/>
          <w:szCs w:val="28"/>
        </w:rPr>
        <w:t>蒸汽等辅料。</w:t>
      </w:r>
    </w:p>
    <w:p>
      <w:pPr>
        <w:pStyle w:val="16"/>
        <w:spacing w:line="360" w:lineRule="auto"/>
        <w:ind w:right="452" w:firstLine="559"/>
        <w:rPr>
          <w:rFonts w:hint="eastAsia" w:ascii="宋体" w:hAnsi="宋体" w:eastAsia="宋体" w:cs="宋体"/>
          <w:sz w:val="28"/>
          <w:szCs w:val="28"/>
        </w:rPr>
      </w:pPr>
      <w:r>
        <w:rPr>
          <w:rFonts w:hint="eastAsia" w:ascii="宋体" w:hAnsi="宋体" w:eastAsia="宋体" w:cs="宋体"/>
          <w:spacing w:val="-10"/>
          <w:sz w:val="28"/>
          <w:szCs w:val="28"/>
        </w:rPr>
        <w:t>根据《危险化学品目录</w:t>
      </w:r>
      <w:r>
        <w:rPr>
          <w:rFonts w:hint="eastAsia" w:ascii="宋体" w:hAnsi="宋体" w:eastAsia="宋体" w:cs="宋体"/>
          <w:spacing w:val="-204"/>
          <w:sz w:val="28"/>
          <w:szCs w:val="28"/>
        </w:rPr>
        <w:t>》</w:t>
      </w:r>
      <w:r>
        <w:rPr>
          <w:rFonts w:hint="eastAsia" w:ascii="宋体" w:hAnsi="宋体" w:eastAsia="宋体" w:cs="宋体"/>
          <w:sz w:val="28"/>
          <w:szCs w:val="28"/>
        </w:rPr>
        <w:t>（2015 版</w:t>
      </w:r>
      <w:r>
        <w:rPr>
          <w:rFonts w:hint="eastAsia" w:ascii="宋体" w:hAnsi="宋体" w:eastAsia="宋体" w:cs="宋体"/>
          <w:spacing w:val="-68"/>
          <w:sz w:val="28"/>
          <w:szCs w:val="28"/>
        </w:rPr>
        <w:t>）</w:t>
      </w:r>
      <w:r>
        <w:rPr>
          <w:rFonts w:hint="eastAsia" w:ascii="宋体" w:hAnsi="宋体" w:eastAsia="宋体" w:cs="宋体"/>
          <w:spacing w:val="-17"/>
          <w:sz w:val="28"/>
          <w:szCs w:val="28"/>
        </w:rPr>
        <w:t>进行辨识，对二甲苯</w:t>
      </w:r>
      <w:r>
        <w:rPr>
          <w:rFonts w:hint="eastAsia" w:ascii="宋体" w:hAnsi="宋体" w:eastAsia="宋体" w:cs="宋体"/>
          <w:sz w:val="28"/>
          <w:szCs w:val="28"/>
        </w:rPr>
        <w:t xml:space="preserve">（CAS </w:t>
      </w:r>
      <w:r>
        <w:rPr>
          <w:rFonts w:hint="eastAsia" w:ascii="宋体" w:hAnsi="宋体" w:eastAsia="宋体" w:cs="宋体"/>
          <w:spacing w:val="-7"/>
          <w:sz w:val="28"/>
          <w:szCs w:val="28"/>
        </w:rPr>
        <w:t>号：</w:t>
      </w:r>
      <w:r>
        <w:rPr>
          <w:rFonts w:hint="eastAsia" w:ascii="宋体" w:hAnsi="宋体" w:eastAsia="宋体" w:cs="宋体"/>
          <w:spacing w:val="-14"/>
          <w:sz w:val="28"/>
          <w:szCs w:val="28"/>
        </w:rPr>
        <w:t xml:space="preserve">106- </w:t>
      </w:r>
      <w:r>
        <w:rPr>
          <w:rFonts w:hint="eastAsia" w:ascii="宋体" w:hAnsi="宋体" w:eastAsia="宋体" w:cs="宋体"/>
          <w:spacing w:val="1"/>
          <w:sz w:val="28"/>
          <w:szCs w:val="28"/>
        </w:rPr>
        <w:t>42</w:t>
      </w:r>
      <w:r>
        <w:rPr>
          <w:rFonts w:hint="eastAsia" w:ascii="宋体" w:hAnsi="宋体" w:eastAsia="宋体" w:cs="宋体"/>
          <w:spacing w:val="-3"/>
          <w:sz w:val="28"/>
          <w:szCs w:val="28"/>
        </w:rPr>
        <w:t>-</w:t>
      </w:r>
      <w:r>
        <w:rPr>
          <w:rFonts w:hint="eastAsia" w:ascii="宋体" w:hAnsi="宋体" w:eastAsia="宋体" w:cs="宋体"/>
          <w:spacing w:val="-2"/>
          <w:sz w:val="28"/>
          <w:szCs w:val="28"/>
        </w:rPr>
        <w:t>3</w:t>
      </w:r>
      <w:r>
        <w:rPr>
          <w:rFonts w:hint="eastAsia" w:ascii="宋体" w:hAnsi="宋体" w:eastAsia="宋体" w:cs="宋体"/>
          <w:spacing w:val="-140"/>
          <w:sz w:val="28"/>
          <w:szCs w:val="28"/>
        </w:rPr>
        <w:t>）</w:t>
      </w:r>
      <w:r>
        <w:rPr>
          <w:rFonts w:hint="eastAsia" w:ascii="宋体" w:hAnsi="宋体" w:eastAsia="宋体" w:cs="宋体"/>
          <w:spacing w:val="-20"/>
          <w:sz w:val="28"/>
          <w:szCs w:val="28"/>
        </w:rPr>
        <w:t>、邻二甲苯</w:t>
      </w:r>
      <w:r>
        <w:rPr>
          <w:rFonts w:hint="eastAsia" w:ascii="宋体" w:hAnsi="宋体" w:eastAsia="宋体" w:cs="宋体"/>
          <w:spacing w:val="-3"/>
          <w:sz w:val="28"/>
          <w:szCs w:val="28"/>
        </w:rPr>
        <w:t>（C</w:t>
      </w:r>
      <w:r>
        <w:rPr>
          <w:rFonts w:hint="eastAsia" w:ascii="宋体" w:hAnsi="宋体" w:eastAsia="宋体" w:cs="宋体"/>
          <w:spacing w:val="-2"/>
          <w:sz w:val="28"/>
          <w:szCs w:val="28"/>
        </w:rPr>
        <w:t>A</w:t>
      </w:r>
      <w:r>
        <w:rPr>
          <w:rFonts w:hint="eastAsia" w:ascii="宋体" w:hAnsi="宋体" w:eastAsia="宋体" w:cs="宋体"/>
          <w:sz w:val="28"/>
          <w:szCs w:val="28"/>
        </w:rPr>
        <w:t xml:space="preserve">S </w:t>
      </w:r>
      <w:r>
        <w:rPr>
          <w:rFonts w:hint="eastAsia" w:ascii="宋体" w:hAnsi="宋体" w:eastAsia="宋体" w:cs="宋体"/>
          <w:spacing w:val="-23"/>
          <w:sz w:val="28"/>
          <w:szCs w:val="28"/>
        </w:rPr>
        <w:t>号：</w:t>
      </w:r>
      <w:r>
        <w:rPr>
          <w:rFonts w:hint="eastAsia" w:ascii="宋体" w:hAnsi="宋体" w:eastAsia="宋体" w:cs="宋体"/>
          <w:spacing w:val="-2"/>
          <w:sz w:val="28"/>
          <w:szCs w:val="28"/>
        </w:rPr>
        <w:t>9</w:t>
      </w:r>
      <w:r>
        <w:rPr>
          <w:rFonts w:hint="eastAsia" w:ascii="宋体" w:hAnsi="宋体" w:eastAsia="宋体" w:cs="宋体"/>
          <w:spacing w:val="1"/>
          <w:sz w:val="28"/>
          <w:szCs w:val="28"/>
        </w:rPr>
        <w:t>5</w:t>
      </w:r>
      <w:r>
        <w:rPr>
          <w:rFonts w:hint="eastAsia" w:ascii="宋体" w:hAnsi="宋体" w:eastAsia="宋体" w:cs="宋体"/>
          <w:spacing w:val="-3"/>
          <w:sz w:val="28"/>
          <w:szCs w:val="28"/>
        </w:rPr>
        <w:t>-</w:t>
      </w:r>
      <w:r>
        <w:rPr>
          <w:rFonts w:hint="eastAsia" w:ascii="宋体" w:hAnsi="宋体" w:eastAsia="宋体" w:cs="宋体"/>
          <w:spacing w:val="1"/>
          <w:sz w:val="28"/>
          <w:szCs w:val="28"/>
        </w:rPr>
        <w:t>4</w:t>
      </w:r>
      <w:r>
        <w:rPr>
          <w:rFonts w:hint="eastAsia" w:ascii="宋体" w:hAnsi="宋体" w:eastAsia="宋体" w:cs="宋体"/>
          <w:spacing w:val="-2"/>
          <w:sz w:val="28"/>
          <w:szCs w:val="28"/>
        </w:rPr>
        <w:t>7</w:t>
      </w:r>
      <w:r>
        <w:rPr>
          <w:rFonts w:hint="eastAsia" w:ascii="宋体" w:hAnsi="宋体" w:eastAsia="宋体" w:cs="宋体"/>
          <w:sz w:val="28"/>
          <w:szCs w:val="28"/>
        </w:rPr>
        <w:t>-</w:t>
      </w:r>
      <w:r>
        <w:rPr>
          <w:rFonts w:hint="eastAsia" w:ascii="宋体" w:hAnsi="宋体" w:eastAsia="宋体" w:cs="宋体"/>
          <w:spacing w:val="-2"/>
          <w:sz w:val="28"/>
          <w:szCs w:val="28"/>
        </w:rPr>
        <w:t>6</w:t>
      </w:r>
      <w:r>
        <w:rPr>
          <w:rFonts w:hint="eastAsia" w:ascii="宋体" w:hAnsi="宋体" w:eastAsia="宋体" w:cs="宋体"/>
          <w:spacing w:val="-142"/>
          <w:sz w:val="28"/>
          <w:szCs w:val="28"/>
        </w:rPr>
        <w:t>）</w:t>
      </w:r>
      <w:r>
        <w:rPr>
          <w:rFonts w:hint="eastAsia" w:ascii="宋体" w:hAnsi="宋体" w:eastAsia="宋体" w:cs="宋体"/>
          <w:spacing w:val="-24"/>
          <w:sz w:val="28"/>
          <w:szCs w:val="28"/>
        </w:rPr>
        <w:t>、氮</w:t>
      </w:r>
      <w:r>
        <w:rPr>
          <w:rFonts w:hint="eastAsia" w:ascii="宋体" w:hAnsi="宋体" w:eastAsia="宋体" w:cs="宋体"/>
          <w:sz w:val="28"/>
          <w:szCs w:val="28"/>
        </w:rPr>
        <w:t>[</w:t>
      </w:r>
      <w:r>
        <w:rPr>
          <w:rFonts w:hint="eastAsia" w:ascii="宋体" w:hAnsi="宋体" w:eastAsia="宋体" w:cs="宋体"/>
          <w:spacing w:val="-2"/>
          <w:sz w:val="28"/>
          <w:szCs w:val="28"/>
        </w:rPr>
        <w:t>压缩的或液化的</w:t>
      </w:r>
      <w:r>
        <w:rPr>
          <w:rFonts w:hint="eastAsia" w:ascii="宋体" w:hAnsi="宋体" w:eastAsia="宋体" w:cs="宋体"/>
          <w:spacing w:val="-48"/>
          <w:sz w:val="28"/>
          <w:szCs w:val="28"/>
        </w:rPr>
        <w:t>]</w:t>
      </w:r>
      <w:r>
        <w:rPr>
          <w:rFonts w:hint="eastAsia" w:ascii="宋体" w:hAnsi="宋体" w:eastAsia="宋体" w:cs="宋体"/>
          <w:sz w:val="28"/>
          <w:szCs w:val="28"/>
        </w:rPr>
        <w:t>（C</w:t>
      </w:r>
      <w:r>
        <w:rPr>
          <w:rFonts w:hint="eastAsia" w:ascii="宋体" w:hAnsi="宋体" w:eastAsia="宋体" w:cs="宋体"/>
          <w:spacing w:val="-2"/>
          <w:sz w:val="28"/>
          <w:szCs w:val="28"/>
        </w:rPr>
        <w:t>A</w:t>
      </w:r>
      <w:r>
        <w:rPr>
          <w:rFonts w:hint="eastAsia" w:ascii="宋体" w:hAnsi="宋体" w:eastAsia="宋体" w:cs="宋体"/>
          <w:sz w:val="28"/>
          <w:szCs w:val="28"/>
        </w:rPr>
        <w:t xml:space="preserve">S </w:t>
      </w:r>
      <w:r>
        <w:rPr>
          <w:rFonts w:hint="eastAsia" w:ascii="宋体" w:hAnsi="宋体" w:eastAsia="宋体" w:cs="宋体"/>
          <w:spacing w:val="-25"/>
          <w:sz w:val="28"/>
          <w:szCs w:val="28"/>
        </w:rPr>
        <w:t>号：</w:t>
      </w:r>
      <w:r>
        <w:rPr>
          <w:rFonts w:hint="eastAsia" w:ascii="宋体" w:hAnsi="宋体" w:eastAsia="宋体" w:cs="宋体"/>
          <w:spacing w:val="-2"/>
          <w:sz w:val="28"/>
          <w:szCs w:val="28"/>
        </w:rPr>
        <w:t>77</w:t>
      </w:r>
      <w:r>
        <w:rPr>
          <w:rFonts w:hint="eastAsia" w:ascii="宋体" w:hAnsi="宋体" w:eastAsia="宋体" w:cs="宋体"/>
          <w:sz w:val="28"/>
          <w:szCs w:val="28"/>
        </w:rPr>
        <w:t>2</w:t>
      </w:r>
      <w:r>
        <w:rPr>
          <w:rFonts w:hint="eastAsia" w:ascii="宋体" w:hAnsi="宋体" w:eastAsia="宋体" w:cs="宋体"/>
          <w:spacing w:val="1"/>
          <w:sz w:val="28"/>
          <w:szCs w:val="28"/>
        </w:rPr>
        <w:t>7</w:t>
      </w:r>
      <w:r>
        <w:rPr>
          <w:rFonts w:hint="eastAsia" w:ascii="宋体" w:hAnsi="宋体" w:eastAsia="宋体" w:cs="宋体"/>
          <w:sz w:val="28"/>
          <w:szCs w:val="28"/>
        </w:rPr>
        <w:t>-37-9）属于危险化学品。</w:t>
      </w:r>
    </w:p>
    <w:p>
      <w:pPr>
        <w:pStyle w:val="16"/>
        <w:spacing w:before="186" w:line="360" w:lineRule="auto"/>
        <w:ind w:right="450" w:firstLine="559"/>
        <w:rPr>
          <w:rFonts w:hint="eastAsia" w:ascii="宋体" w:hAnsi="宋体" w:eastAsia="宋体" w:cs="宋体"/>
          <w:sz w:val="28"/>
          <w:szCs w:val="28"/>
        </w:rPr>
      </w:pPr>
      <w:r>
        <w:rPr>
          <w:rFonts w:hint="eastAsia" w:ascii="宋体" w:hAnsi="宋体" w:eastAsia="宋体" w:cs="宋体"/>
          <w:spacing w:val="-9"/>
          <w:sz w:val="28"/>
          <w:szCs w:val="28"/>
        </w:rPr>
        <w:t>根据《铁路危险货物品名表</w:t>
      </w:r>
      <w:r>
        <w:rPr>
          <w:rFonts w:hint="eastAsia" w:ascii="宋体" w:hAnsi="宋体" w:eastAsia="宋体" w:cs="宋体"/>
          <w:spacing w:val="-202"/>
          <w:sz w:val="28"/>
          <w:szCs w:val="28"/>
        </w:rPr>
        <w:t>》</w:t>
      </w:r>
      <w:r>
        <w:rPr>
          <w:rFonts w:hint="eastAsia" w:ascii="宋体" w:hAnsi="宋体" w:eastAsia="宋体" w:cs="宋体"/>
          <w:spacing w:val="-12"/>
          <w:sz w:val="28"/>
          <w:szCs w:val="28"/>
        </w:rPr>
        <w:t>（2009）</w:t>
      </w:r>
      <w:r>
        <w:rPr>
          <w:rFonts w:hint="eastAsia" w:ascii="宋体" w:hAnsi="宋体" w:eastAsia="宋体" w:cs="宋体"/>
          <w:spacing w:val="-16"/>
          <w:sz w:val="28"/>
          <w:szCs w:val="28"/>
        </w:rPr>
        <w:t>版进行辨识，二甲苯</w:t>
      </w:r>
      <w:r>
        <w:rPr>
          <w:rFonts w:hint="eastAsia" w:ascii="宋体" w:hAnsi="宋体" w:eastAsia="宋体" w:cs="宋体"/>
          <w:sz w:val="28"/>
          <w:szCs w:val="28"/>
        </w:rPr>
        <w:t>（</w:t>
      </w:r>
      <w:r>
        <w:rPr>
          <w:rFonts w:hint="eastAsia" w:ascii="宋体" w:hAnsi="宋体" w:eastAsia="宋体" w:cs="宋体"/>
          <w:spacing w:val="-1"/>
          <w:sz w:val="28"/>
          <w:szCs w:val="28"/>
        </w:rPr>
        <w:t>对二甲苯、</w:t>
      </w:r>
      <w:r>
        <w:rPr>
          <w:rFonts w:hint="eastAsia" w:ascii="宋体" w:hAnsi="宋体" w:eastAsia="宋体" w:cs="宋体"/>
          <w:spacing w:val="-2"/>
          <w:sz w:val="28"/>
          <w:szCs w:val="28"/>
        </w:rPr>
        <w:t>邻二甲苯</w:t>
      </w:r>
      <w:r>
        <w:rPr>
          <w:rFonts w:hint="eastAsia" w:ascii="宋体" w:hAnsi="宋体" w:eastAsia="宋体" w:cs="宋体"/>
          <w:sz w:val="28"/>
          <w:szCs w:val="28"/>
        </w:rPr>
        <w:t>）</w:t>
      </w:r>
      <w:r>
        <w:rPr>
          <w:rFonts w:hint="eastAsia" w:ascii="宋体" w:hAnsi="宋体" w:eastAsia="宋体" w:cs="宋体"/>
          <w:spacing w:val="-9"/>
          <w:sz w:val="28"/>
          <w:szCs w:val="28"/>
        </w:rPr>
        <w:t xml:space="preserve">属于危险货物，铁危编号 </w:t>
      </w:r>
      <w:r>
        <w:rPr>
          <w:rFonts w:hint="eastAsia" w:ascii="宋体" w:hAnsi="宋体" w:eastAsia="宋体" w:cs="宋体"/>
          <w:sz w:val="28"/>
          <w:szCs w:val="28"/>
        </w:rPr>
        <w:t>32035。</w:t>
      </w:r>
    </w:p>
    <w:p>
      <w:pPr>
        <w:pStyle w:val="16"/>
        <w:spacing w:before="4" w:line="360" w:lineRule="auto"/>
        <w:rPr>
          <w:rFonts w:hint="eastAsia" w:ascii="宋体" w:hAnsi="宋体" w:eastAsia="宋体" w:cs="宋体"/>
          <w:sz w:val="28"/>
          <w:szCs w:val="28"/>
        </w:rPr>
      </w:pPr>
      <w:r>
        <w:rPr>
          <w:rFonts w:hint="eastAsia" w:ascii="宋体" w:hAnsi="宋体" w:eastAsia="宋体" w:cs="宋体"/>
          <w:sz w:val="28"/>
          <w:szCs w:val="28"/>
        </w:rPr>
        <w:t>对二甲苯、邻二甲苯、氮气的理化性质及危险、有害特性见下列表格。</w:t>
      </w:r>
    </w:p>
    <w:p>
      <w:pPr>
        <w:tabs>
          <w:tab w:val="left" w:pos="1114"/>
        </w:tabs>
        <w:spacing w:before="189"/>
        <w:ind w:right="316"/>
        <w:jc w:val="center"/>
        <w:rPr>
          <w:b/>
          <w:bCs/>
        </w:rPr>
      </w:pPr>
      <w:r>
        <w:rPr>
          <w:b/>
          <w:bCs/>
        </w:rPr>
        <w:t>表</w:t>
      </w:r>
      <w:r>
        <w:rPr>
          <w:b/>
          <w:bCs/>
          <w:spacing w:val="-27"/>
        </w:rPr>
        <w:t xml:space="preserve"> </w:t>
      </w:r>
      <w:r>
        <w:rPr>
          <w:b/>
          <w:bCs/>
          <w:spacing w:val="7"/>
        </w:rPr>
        <w:t>3.1</w:t>
      </w:r>
      <w:r>
        <w:rPr>
          <w:rFonts w:hint="eastAsia"/>
          <w:b/>
          <w:bCs/>
          <w:spacing w:val="7"/>
        </w:rPr>
        <w:t>.1</w:t>
      </w:r>
      <w:r>
        <w:rPr>
          <w:b/>
          <w:bCs/>
          <w:spacing w:val="7"/>
        </w:rPr>
        <w:t>-1</w:t>
      </w:r>
      <w:r>
        <w:rPr>
          <w:b/>
          <w:bCs/>
          <w:spacing w:val="7"/>
        </w:rPr>
        <w:tab/>
      </w:r>
      <w:r>
        <w:rPr>
          <w:b/>
          <w:bCs/>
          <w:spacing w:val="19"/>
        </w:rPr>
        <w:t>对二甲苯</w:t>
      </w:r>
      <w:r>
        <w:rPr>
          <w:b/>
          <w:bCs/>
          <w:spacing w:val="16"/>
        </w:rPr>
        <w:t>的</w:t>
      </w:r>
      <w:r>
        <w:rPr>
          <w:b/>
          <w:bCs/>
          <w:spacing w:val="19"/>
        </w:rPr>
        <w:t>理化性质及危险、</w:t>
      </w:r>
      <w:r>
        <w:rPr>
          <w:b/>
          <w:bCs/>
          <w:spacing w:val="16"/>
        </w:rPr>
        <w:t>有害</w:t>
      </w:r>
      <w:r>
        <w:rPr>
          <w:b/>
          <w:bCs/>
          <w:spacing w:val="19"/>
        </w:rPr>
        <w:t>特性表</w:t>
      </w:r>
    </w:p>
    <w:p>
      <w:pPr>
        <w:pStyle w:val="16"/>
        <w:spacing w:before="11" w:after="1"/>
        <w:rPr>
          <w:sz w:val="10"/>
        </w:rPr>
      </w:pPr>
    </w:p>
    <w:tbl>
      <w:tblPr>
        <w:tblStyle w:val="54"/>
        <w:tblW w:w="8156"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879"/>
        <w:gridCol w:w="943"/>
        <w:gridCol w:w="813"/>
        <w:gridCol w:w="466"/>
        <w:gridCol w:w="658"/>
        <w:gridCol w:w="250"/>
        <w:gridCol w:w="956"/>
        <w:gridCol w:w="564"/>
        <w:gridCol w:w="1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77" w:type="dxa"/>
            <w:vAlign w:val="top"/>
          </w:tcPr>
          <w:p>
            <w:pPr>
              <w:pStyle w:val="88"/>
              <w:spacing w:before="89"/>
              <w:ind w:left="107"/>
            </w:pPr>
            <w:r>
              <w:t>标识</w:t>
            </w:r>
          </w:p>
        </w:tc>
        <w:tc>
          <w:tcPr>
            <w:tcW w:w="3759" w:type="dxa"/>
            <w:gridSpan w:val="5"/>
            <w:vAlign w:val="top"/>
          </w:tcPr>
          <w:p>
            <w:pPr>
              <w:pStyle w:val="88"/>
              <w:spacing w:before="89"/>
              <w:ind w:left="107"/>
              <w:rPr>
                <w:rFonts w:ascii="Times New Roman" w:eastAsia="Times New Roman"/>
              </w:rPr>
            </w:pPr>
            <w:r>
              <w:t>英文名：</w:t>
            </w:r>
            <w:r>
              <w:rPr>
                <w:rFonts w:ascii="Times New Roman" w:eastAsia="Times New Roman"/>
              </w:rPr>
              <w:t>1</w:t>
            </w:r>
            <w:r>
              <w:t>，</w:t>
            </w:r>
            <w:r>
              <w:rPr>
                <w:rFonts w:ascii="Times New Roman" w:eastAsia="Times New Roman"/>
              </w:rPr>
              <w:t>4-Xylene p-Xylene</w:t>
            </w:r>
          </w:p>
        </w:tc>
        <w:tc>
          <w:tcPr>
            <w:tcW w:w="1770" w:type="dxa"/>
            <w:gridSpan w:val="3"/>
            <w:vAlign w:val="top"/>
          </w:tcPr>
          <w:p>
            <w:pPr>
              <w:pStyle w:val="88"/>
              <w:spacing w:before="94"/>
              <w:ind w:left="101"/>
              <w:rPr>
                <w:rFonts w:ascii="Times New Roman" w:eastAsia="Times New Roman"/>
                <w:sz w:val="14"/>
              </w:rPr>
            </w:pPr>
            <w:r>
              <w:t>分子式：</w:t>
            </w:r>
            <w:r>
              <w:rPr>
                <w:rFonts w:ascii="Times New Roman" w:eastAsia="Times New Roman"/>
                <w:position w:val="1"/>
              </w:rPr>
              <w:t>C</w:t>
            </w:r>
            <w:r>
              <w:rPr>
                <w:rFonts w:ascii="Times New Roman" w:eastAsia="Times New Roman"/>
                <w:sz w:val="14"/>
              </w:rPr>
              <w:t>8</w:t>
            </w:r>
            <w:r>
              <w:rPr>
                <w:rFonts w:ascii="Times New Roman" w:eastAsia="Times New Roman"/>
                <w:position w:val="1"/>
              </w:rPr>
              <w:t>H</w:t>
            </w:r>
            <w:r>
              <w:rPr>
                <w:rFonts w:ascii="Times New Roman" w:eastAsia="Times New Roman"/>
                <w:sz w:val="14"/>
              </w:rPr>
              <w:t>10</w:t>
            </w:r>
          </w:p>
        </w:tc>
        <w:tc>
          <w:tcPr>
            <w:tcW w:w="1950" w:type="dxa"/>
            <w:vAlign w:val="top"/>
          </w:tcPr>
          <w:p>
            <w:pPr>
              <w:pStyle w:val="88"/>
              <w:spacing w:before="89"/>
              <w:ind w:left="103"/>
              <w:rPr>
                <w:rFonts w:ascii="Times New Roman" w:eastAsia="Times New Roman"/>
              </w:rPr>
            </w:pPr>
            <w:r>
              <w:t>分子量：</w:t>
            </w:r>
            <w:r>
              <w:rPr>
                <w:rFonts w:ascii="Times New Roman" w:eastAsia="Times New Roman"/>
              </w:rPr>
              <w:t>106.17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77" w:type="dxa"/>
            <w:vMerge w:val="restart"/>
            <w:vAlign w:val="top"/>
          </w:tcPr>
          <w:p>
            <w:pPr>
              <w:pStyle w:val="88"/>
              <w:rPr>
                <w:sz w:val="20"/>
              </w:rPr>
            </w:pPr>
          </w:p>
          <w:p>
            <w:pPr>
              <w:pStyle w:val="88"/>
              <w:rPr>
                <w:sz w:val="20"/>
              </w:rPr>
            </w:pPr>
          </w:p>
          <w:p>
            <w:pPr>
              <w:pStyle w:val="88"/>
              <w:spacing w:before="136" w:line="244" w:lineRule="auto"/>
              <w:ind w:left="107" w:right="53"/>
            </w:pPr>
            <w:r>
              <w:t>理化特性</w:t>
            </w:r>
          </w:p>
        </w:tc>
        <w:tc>
          <w:tcPr>
            <w:tcW w:w="1822" w:type="dxa"/>
            <w:gridSpan w:val="2"/>
            <w:vAlign w:val="top"/>
          </w:tcPr>
          <w:p>
            <w:pPr>
              <w:pStyle w:val="88"/>
              <w:spacing w:before="89"/>
              <w:ind w:left="107"/>
            </w:pPr>
            <w:r>
              <w:t>外观与性状</w:t>
            </w:r>
          </w:p>
        </w:tc>
        <w:tc>
          <w:tcPr>
            <w:tcW w:w="5657" w:type="dxa"/>
            <w:gridSpan w:val="7"/>
            <w:vAlign w:val="top"/>
          </w:tcPr>
          <w:p>
            <w:pPr>
              <w:pStyle w:val="88"/>
              <w:spacing w:before="89"/>
              <w:ind w:left="69"/>
            </w:pPr>
            <w:r>
              <w:t>无色透明液体，有类似甲苯的气味。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677" w:type="dxa"/>
            <w:vMerge w:val="continue"/>
            <w:tcBorders>
              <w:top w:val="nil"/>
            </w:tcBorders>
            <w:vAlign w:val="top"/>
          </w:tcPr>
          <w:p>
            <w:pPr>
              <w:rPr>
                <w:sz w:val="2"/>
                <w:szCs w:val="2"/>
              </w:rPr>
            </w:pPr>
          </w:p>
        </w:tc>
        <w:tc>
          <w:tcPr>
            <w:tcW w:w="3101" w:type="dxa"/>
            <w:gridSpan w:val="4"/>
            <w:vAlign w:val="top"/>
          </w:tcPr>
          <w:p>
            <w:pPr>
              <w:pStyle w:val="88"/>
              <w:spacing w:before="89"/>
              <w:ind w:left="107"/>
              <w:rPr>
                <w:rFonts w:ascii="Times New Roman" w:hAnsi="Times New Roman" w:eastAsia="Times New Roman"/>
              </w:rPr>
            </w:pPr>
            <w:r>
              <w:t>熔点（℃）：</w:t>
            </w:r>
            <w:r>
              <w:rPr>
                <w:rFonts w:ascii="Times New Roman" w:hAnsi="Times New Roman" w:eastAsia="Times New Roman"/>
              </w:rPr>
              <w:t>13.3</w:t>
            </w:r>
          </w:p>
        </w:tc>
        <w:tc>
          <w:tcPr>
            <w:tcW w:w="4378" w:type="dxa"/>
            <w:gridSpan w:val="5"/>
            <w:vAlign w:val="top"/>
          </w:tcPr>
          <w:p>
            <w:pPr>
              <w:pStyle w:val="88"/>
              <w:spacing w:before="89"/>
              <w:ind w:left="105"/>
            </w:pPr>
            <w:r>
              <w:t>蒸汽压（</w:t>
            </w:r>
            <w:r>
              <w:rPr>
                <w:rFonts w:ascii="Times New Roman" w:hAnsi="Times New Roman" w:eastAsia="Times New Roman"/>
              </w:rPr>
              <w:t>kPa</w:t>
            </w:r>
            <w:r>
              <w:t>）：</w:t>
            </w:r>
            <w:r>
              <w:rPr>
                <w:rFonts w:ascii="Times New Roman" w:hAnsi="Times New Roman" w:eastAsia="Times New Roman"/>
              </w:rPr>
              <w:t>1.16</w:t>
            </w:r>
            <w:r>
              <w:t>／</w:t>
            </w:r>
            <w:r>
              <w:rPr>
                <w:rFonts w:ascii="Times New Roman" w:hAnsi="Times New Roman" w:eastAsia="Times New Roman"/>
              </w:rPr>
              <w:t>25</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677" w:type="dxa"/>
            <w:vMerge w:val="continue"/>
            <w:tcBorders>
              <w:top w:val="nil"/>
            </w:tcBorders>
            <w:vAlign w:val="top"/>
          </w:tcPr>
          <w:p>
            <w:pPr>
              <w:rPr>
                <w:sz w:val="2"/>
                <w:szCs w:val="2"/>
              </w:rPr>
            </w:pPr>
          </w:p>
        </w:tc>
        <w:tc>
          <w:tcPr>
            <w:tcW w:w="3101" w:type="dxa"/>
            <w:gridSpan w:val="4"/>
            <w:tcBorders>
              <w:bottom w:val="single" w:color="000000" w:sz="6" w:space="0"/>
            </w:tcBorders>
            <w:vAlign w:val="top"/>
          </w:tcPr>
          <w:p>
            <w:pPr>
              <w:pStyle w:val="88"/>
              <w:spacing w:before="89"/>
              <w:ind w:left="107"/>
              <w:rPr>
                <w:rFonts w:ascii="Times New Roman" w:hAnsi="Times New Roman" w:eastAsia="Times New Roman"/>
              </w:rPr>
            </w:pPr>
            <w:r>
              <w:t>沸点（℃）：</w:t>
            </w:r>
            <w:r>
              <w:rPr>
                <w:rFonts w:ascii="Times New Roman" w:hAnsi="Times New Roman" w:eastAsia="Times New Roman"/>
              </w:rPr>
              <w:t>138.4</w:t>
            </w:r>
          </w:p>
        </w:tc>
        <w:tc>
          <w:tcPr>
            <w:tcW w:w="4378" w:type="dxa"/>
            <w:gridSpan w:val="5"/>
            <w:tcBorders>
              <w:bottom w:val="single" w:color="000000" w:sz="6" w:space="0"/>
            </w:tcBorders>
            <w:vAlign w:val="top"/>
          </w:tcPr>
          <w:p>
            <w:pPr>
              <w:pStyle w:val="88"/>
              <w:spacing w:before="89"/>
              <w:ind w:left="105"/>
              <w:rPr>
                <w:rFonts w:ascii="Times New Roman" w:eastAsia="Times New Roman"/>
              </w:rPr>
            </w:pPr>
            <w:r>
              <w:t>相对密度</w:t>
            </w:r>
            <w:r>
              <w:rPr>
                <w:rFonts w:ascii="Times New Roman" w:eastAsia="Times New Roman"/>
              </w:rPr>
              <w:t>(</w:t>
            </w:r>
            <w:r>
              <w:t>水</w:t>
            </w:r>
            <w:r>
              <w:rPr>
                <w:rFonts w:ascii="Times New Roman" w:eastAsia="Times New Roman"/>
              </w:rPr>
              <w:t>=1)</w:t>
            </w:r>
            <w:r>
              <w:t>：</w:t>
            </w:r>
            <w:r>
              <w:rPr>
                <w:rFonts w:ascii="Times New Roman" w:eastAsia="Times New Roman"/>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677" w:type="dxa"/>
            <w:vMerge w:val="continue"/>
            <w:tcBorders>
              <w:top w:val="nil"/>
            </w:tcBorders>
            <w:vAlign w:val="top"/>
          </w:tcPr>
          <w:p>
            <w:pPr>
              <w:rPr>
                <w:sz w:val="2"/>
                <w:szCs w:val="2"/>
              </w:rPr>
            </w:pPr>
          </w:p>
        </w:tc>
        <w:tc>
          <w:tcPr>
            <w:tcW w:w="879" w:type="dxa"/>
            <w:tcBorders>
              <w:top w:val="single" w:color="000000" w:sz="6" w:space="0"/>
            </w:tcBorders>
            <w:vAlign w:val="top"/>
          </w:tcPr>
          <w:p>
            <w:pPr>
              <w:pStyle w:val="88"/>
              <w:spacing w:before="87"/>
              <w:ind w:left="107"/>
            </w:pPr>
            <w:r>
              <w:t>溶解性</w:t>
            </w:r>
          </w:p>
        </w:tc>
        <w:tc>
          <w:tcPr>
            <w:tcW w:w="6600" w:type="dxa"/>
            <w:gridSpan w:val="8"/>
            <w:tcBorders>
              <w:top w:val="single" w:color="000000" w:sz="6" w:space="0"/>
            </w:tcBorders>
            <w:vAlign w:val="top"/>
          </w:tcPr>
          <w:p>
            <w:pPr>
              <w:pStyle w:val="88"/>
              <w:spacing w:before="87"/>
              <w:ind w:left="106"/>
            </w:pPr>
            <w:r>
              <w:t>不溶于水，可混溶于乙醇、乙醚、氯仿等多数有机溶剂。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677" w:type="dxa"/>
            <w:vMerge w:val="restart"/>
            <w:vAlign w:val="top"/>
          </w:tcPr>
          <w:p>
            <w:pPr>
              <w:pStyle w:val="88"/>
              <w:rPr>
                <w:sz w:val="20"/>
              </w:rPr>
            </w:pPr>
          </w:p>
          <w:p>
            <w:pPr>
              <w:pStyle w:val="88"/>
              <w:rPr>
                <w:sz w:val="20"/>
              </w:rPr>
            </w:pPr>
          </w:p>
          <w:p>
            <w:pPr>
              <w:pStyle w:val="88"/>
              <w:rPr>
                <w:sz w:val="20"/>
              </w:rPr>
            </w:pPr>
          </w:p>
          <w:p>
            <w:pPr>
              <w:pStyle w:val="88"/>
              <w:rPr>
                <w:sz w:val="20"/>
              </w:rPr>
            </w:pPr>
          </w:p>
          <w:p>
            <w:pPr>
              <w:pStyle w:val="88"/>
              <w:rPr>
                <w:sz w:val="20"/>
              </w:rPr>
            </w:pPr>
          </w:p>
          <w:p>
            <w:pPr>
              <w:pStyle w:val="88"/>
              <w:spacing w:before="2"/>
              <w:rPr>
                <w:sz w:val="28"/>
              </w:rPr>
            </w:pPr>
          </w:p>
          <w:p>
            <w:pPr>
              <w:pStyle w:val="88"/>
              <w:spacing w:line="242" w:lineRule="auto"/>
              <w:ind w:left="107" w:right="53"/>
            </w:pPr>
            <w:r>
              <w:t>毒性及健康危害</w:t>
            </w:r>
          </w:p>
        </w:tc>
        <w:tc>
          <w:tcPr>
            <w:tcW w:w="879" w:type="dxa"/>
            <w:vMerge w:val="restart"/>
            <w:vAlign w:val="top"/>
          </w:tcPr>
          <w:p>
            <w:pPr>
              <w:pStyle w:val="88"/>
              <w:rPr>
                <w:sz w:val="20"/>
              </w:rPr>
            </w:pPr>
          </w:p>
          <w:p>
            <w:pPr>
              <w:pStyle w:val="88"/>
              <w:rPr>
                <w:sz w:val="20"/>
              </w:rPr>
            </w:pPr>
          </w:p>
          <w:p>
            <w:pPr>
              <w:pStyle w:val="88"/>
              <w:tabs>
                <w:tab w:val="left" w:pos="529"/>
              </w:tabs>
              <w:spacing w:before="167"/>
              <w:ind w:left="107"/>
            </w:pPr>
            <w:r>
              <w:t>接</w:t>
            </w:r>
            <w:r>
              <w:tab/>
            </w:r>
            <w:r>
              <w:t>触</w:t>
            </w:r>
          </w:p>
          <w:p>
            <w:pPr>
              <w:pStyle w:val="88"/>
              <w:tabs>
                <w:tab w:val="left" w:pos="529"/>
              </w:tabs>
              <w:spacing w:before="5"/>
              <w:ind w:left="107"/>
            </w:pPr>
            <w:r>
              <w:t>限</w:t>
            </w:r>
            <w:r>
              <w:tab/>
            </w:r>
            <w:r>
              <w:t>值</w:t>
            </w:r>
          </w:p>
        </w:tc>
        <w:tc>
          <w:tcPr>
            <w:tcW w:w="3130" w:type="dxa"/>
            <w:gridSpan w:val="5"/>
            <w:vMerge w:val="restart"/>
            <w:vAlign w:val="top"/>
          </w:tcPr>
          <w:p>
            <w:pPr>
              <w:pStyle w:val="88"/>
              <w:spacing w:line="268" w:lineRule="exact"/>
              <w:ind w:left="106"/>
              <w:rPr>
                <w:rFonts w:ascii="Times New Roman" w:eastAsia="Times New Roman"/>
                <w:sz w:val="14"/>
              </w:rPr>
            </w:pPr>
            <w:r>
              <w:t xml:space="preserve">中国 </w:t>
            </w:r>
            <w:r>
              <w:rPr>
                <w:rFonts w:ascii="Times New Roman" w:eastAsia="Times New Roman"/>
              </w:rPr>
              <w:t>MAC</w:t>
            </w:r>
            <w:r>
              <w:t>：</w:t>
            </w:r>
            <w:r>
              <w:rPr>
                <w:rFonts w:ascii="Times New Roman" w:eastAsia="Times New Roman"/>
              </w:rPr>
              <w:t>100mg</w:t>
            </w:r>
            <w:r>
              <w:t>／</w:t>
            </w:r>
            <w:r>
              <w:rPr>
                <w:rFonts w:ascii="Times New Roman" w:eastAsia="Times New Roman"/>
              </w:rPr>
              <w:t>m</w:t>
            </w:r>
            <w:r>
              <w:rPr>
                <w:rFonts w:ascii="Times New Roman" w:eastAsia="Times New Roman"/>
                <w:position w:val="7"/>
                <w:sz w:val="14"/>
              </w:rPr>
              <w:t>3</w:t>
            </w:r>
          </w:p>
          <w:p>
            <w:pPr>
              <w:pStyle w:val="88"/>
              <w:spacing w:before="4"/>
              <w:ind w:left="106"/>
              <w:rPr>
                <w:rFonts w:ascii="Times New Roman" w:eastAsia="Times New Roman"/>
                <w:sz w:val="14"/>
              </w:rPr>
            </w:pPr>
            <w:r>
              <w:t xml:space="preserve">苏联 </w:t>
            </w:r>
            <w:r>
              <w:rPr>
                <w:rFonts w:ascii="Times New Roman" w:eastAsia="Times New Roman"/>
              </w:rPr>
              <w:t>MAC</w:t>
            </w:r>
            <w:r>
              <w:t>：</w:t>
            </w:r>
            <w:r>
              <w:rPr>
                <w:rFonts w:ascii="Times New Roman" w:eastAsia="Times New Roman"/>
              </w:rPr>
              <w:t>50mg</w:t>
            </w:r>
            <w:r>
              <w:t>／</w:t>
            </w:r>
            <w:r>
              <w:rPr>
                <w:rFonts w:ascii="Times New Roman" w:eastAsia="Times New Roman"/>
              </w:rPr>
              <w:t>m</w:t>
            </w:r>
            <w:r>
              <w:rPr>
                <w:rFonts w:ascii="Times New Roman" w:eastAsia="Times New Roman"/>
                <w:position w:val="7"/>
                <w:sz w:val="14"/>
              </w:rPr>
              <w:t>3</w:t>
            </w:r>
          </w:p>
          <w:p>
            <w:pPr>
              <w:pStyle w:val="88"/>
              <w:spacing w:before="2" w:line="242" w:lineRule="auto"/>
              <w:ind w:left="106" w:right="99"/>
              <w:rPr>
                <w:rFonts w:ascii="Times New Roman" w:eastAsia="Times New Roman"/>
                <w:sz w:val="14"/>
              </w:rPr>
            </w:pPr>
            <w:r>
              <w:rPr>
                <w:spacing w:val="17"/>
              </w:rPr>
              <w:t xml:space="preserve">美国 </w:t>
            </w:r>
            <w:r>
              <w:rPr>
                <w:rFonts w:ascii="Times New Roman" w:eastAsia="Times New Roman"/>
                <w:spacing w:val="5"/>
              </w:rPr>
              <w:t>TWA</w:t>
            </w:r>
            <w:r>
              <w:rPr>
                <w:spacing w:val="-36"/>
              </w:rPr>
              <w:t xml:space="preserve">： </w:t>
            </w:r>
            <w:r>
              <w:rPr>
                <w:rFonts w:ascii="Times New Roman" w:eastAsia="Times New Roman"/>
              </w:rPr>
              <w:t>OSHA</w:t>
            </w:r>
            <w:r>
              <w:rPr>
                <w:rFonts w:ascii="Times New Roman" w:eastAsia="Times New Roman"/>
                <w:spacing w:val="1"/>
              </w:rPr>
              <w:t xml:space="preserve"> </w:t>
            </w:r>
            <w:r>
              <w:rPr>
                <w:rFonts w:ascii="Times New Roman" w:eastAsia="Times New Roman"/>
                <w:spacing w:val="2"/>
              </w:rPr>
              <w:t>100ppm</w:t>
            </w:r>
            <w:r>
              <w:rPr>
                <w:spacing w:val="2"/>
              </w:rPr>
              <w:t xml:space="preserve">， </w:t>
            </w:r>
            <w:r>
              <w:rPr>
                <w:rFonts w:ascii="Times New Roman" w:eastAsia="Times New Roman"/>
              </w:rPr>
              <w:t>434mg</w:t>
            </w:r>
            <w:r>
              <w:t>／</w:t>
            </w:r>
            <w:r>
              <w:rPr>
                <w:rFonts w:ascii="Times New Roman" w:eastAsia="Times New Roman"/>
              </w:rPr>
              <w:t>m</w:t>
            </w:r>
            <w:r>
              <w:rPr>
                <w:rFonts w:ascii="Times New Roman" w:eastAsia="Times New Roman"/>
                <w:position w:val="7"/>
                <w:sz w:val="14"/>
              </w:rPr>
              <w:t>3</w:t>
            </w:r>
            <w:r>
              <w:t>；</w:t>
            </w:r>
            <w:r>
              <w:rPr>
                <w:rFonts w:ascii="Times New Roman" w:eastAsia="Times New Roman"/>
              </w:rPr>
              <w:t>ACGIH 100ppm</w:t>
            </w:r>
            <w:r>
              <w:t xml:space="preserve">， </w:t>
            </w:r>
            <w:r>
              <w:rPr>
                <w:rFonts w:ascii="Times New Roman" w:eastAsia="Times New Roman"/>
              </w:rPr>
              <w:t>434mg</w:t>
            </w:r>
            <w:r>
              <w:t>／</w:t>
            </w:r>
            <w:r>
              <w:rPr>
                <w:rFonts w:ascii="Times New Roman" w:eastAsia="Times New Roman"/>
              </w:rPr>
              <w:t>m</w:t>
            </w:r>
            <w:r>
              <w:rPr>
                <w:rFonts w:ascii="Times New Roman" w:eastAsia="Times New Roman"/>
                <w:position w:val="7"/>
                <w:sz w:val="14"/>
              </w:rPr>
              <w:t>3</w:t>
            </w:r>
          </w:p>
          <w:p>
            <w:pPr>
              <w:pStyle w:val="88"/>
              <w:spacing w:before="3" w:line="270" w:lineRule="atLeast"/>
              <w:ind w:left="106" w:right="99"/>
              <w:rPr>
                <w:rFonts w:ascii="Times New Roman" w:eastAsia="Times New Roman"/>
                <w:sz w:val="14"/>
              </w:rPr>
            </w:pPr>
            <w:r>
              <w:rPr>
                <w:spacing w:val="3"/>
              </w:rPr>
              <w:t xml:space="preserve">美国 </w:t>
            </w:r>
            <w:r>
              <w:rPr>
                <w:rFonts w:ascii="Times New Roman" w:eastAsia="Times New Roman"/>
              </w:rPr>
              <w:t>STEL</w:t>
            </w:r>
            <w:r>
              <w:t>：</w:t>
            </w:r>
            <w:r>
              <w:rPr>
                <w:rFonts w:ascii="Times New Roman" w:eastAsia="Times New Roman"/>
              </w:rPr>
              <w:t>ACGIH</w:t>
            </w:r>
            <w:r>
              <w:rPr>
                <w:rFonts w:ascii="Times New Roman" w:eastAsia="Times New Roman"/>
                <w:spacing w:val="31"/>
              </w:rPr>
              <w:t xml:space="preserve"> </w:t>
            </w:r>
            <w:r>
              <w:rPr>
                <w:rFonts w:ascii="Times New Roman" w:eastAsia="Times New Roman"/>
              </w:rPr>
              <w:t>150ppm</w:t>
            </w:r>
            <w:r>
              <w:t xml:space="preserve">， </w:t>
            </w:r>
            <w:r>
              <w:rPr>
                <w:rFonts w:ascii="Times New Roman" w:eastAsia="Times New Roman"/>
              </w:rPr>
              <w:t>651mg</w:t>
            </w:r>
            <w:r>
              <w:t>／</w:t>
            </w:r>
            <w:r>
              <w:rPr>
                <w:rFonts w:ascii="Times New Roman" w:eastAsia="Times New Roman"/>
              </w:rPr>
              <w:t>m</w:t>
            </w:r>
            <w:r>
              <w:rPr>
                <w:rFonts w:ascii="Times New Roman" w:eastAsia="Times New Roman"/>
                <w:position w:val="7"/>
                <w:sz w:val="14"/>
              </w:rPr>
              <w:t>3</w:t>
            </w:r>
          </w:p>
        </w:tc>
        <w:tc>
          <w:tcPr>
            <w:tcW w:w="3470" w:type="dxa"/>
            <w:gridSpan w:val="3"/>
            <w:vAlign w:val="top"/>
          </w:tcPr>
          <w:p>
            <w:pPr>
              <w:pStyle w:val="88"/>
              <w:tabs>
                <w:tab w:val="left" w:pos="1787"/>
                <w:tab w:val="left" w:pos="2416"/>
              </w:tabs>
              <w:spacing w:before="89"/>
              <w:ind w:left="104"/>
            </w:pPr>
            <w:r>
              <w:t>侵入</w:t>
            </w:r>
            <w:r>
              <w:rPr>
                <w:spacing w:val="-3"/>
              </w:rPr>
              <w:t>途</w:t>
            </w:r>
            <w:r>
              <w:t>径</w:t>
            </w:r>
            <w:r>
              <w:rPr>
                <w:spacing w:val="-3"/>
              </w:rPr>
              <w:t>：</w:t>
            </w:r>
            <w:r>
              <w:t>吸入</w:t>
            </w:r>
            <w:r>
              <w:tab/>
            </w:r>
            <w:r>
              <w:rPr>
                <w:spacing w:val="-3"/>
              </w:rPr>
              <w:t>食</w:t>
            </w:r>
            <w:r>
              <w:t>入</w:t>
            </w:r>
            <w:r>
              <w:tab/>
            </w:r>
            <w:r>
              <w:t>经皮</w:t>
            </w:r>
            <w:r>
              <w:rPr>
                <w:spacing w:val="-3"/>
              </w:rPr>
              <w:t>吸</w:t>
            </w:r>
            <w:r>
              <w:t>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1" w:hRule="atLeast"/>
        </w:trPr>
        <w:tc>
          <w:tcPr>
            <w:tcW w:w="677"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3130" w:type="dxa"/>
            <w:gridSpan w:val="5"/>
            <w:vMerge w:val="continue"/>
            <w:tcBorders>
              <w:top w:val="nil"/>
            </w:tcBorders>
            <w:vAlign w:val="top"/>
          </w:tcPr>
          <w:p>
            <w:pPr>
              <w:rPr>
                <w:sz w:val="2"/>
                <w:szCs w:val="2"/>
              </w:rPr>
            </w:pPr>
          </w:p>
        </w:tc>
        <w:tc>
          <w:tcPr>
            <w:tcW w:w="3470" w:type="dxa"/>
            <w:gridSpan w:val="3"/>
            <w:vAlign w:val="top"/>
          </w:tcPr>
          <w:p>
            <w:pPr>
              <w:pStyle w:val="88"/>
              <w:spacing w:before="3"/>
              <w:rPr>
                <w:sz w:val="24"/>
              </w:rPr>
            </w:pPr>
          </w:p>
          <w:p>
            <w:pPr>
              <w:pStyle w:val="88"/>
              <w:spacing w:line="242" w:lineRule="auto"/>
              <w:ind w:left="104" w:right="1166"/>
              <w:rPr>
                <w:rFonts w:ascii="Times New Roman" w:eastAsia="Times New Roman"/>
              </w:rPr>
            </w:pPr>
            <w:r>
              <w:t>毒性</w:t>
            </w:r>
            <w:r>
              <w:rPr>
                <w:rFonts w:ascii="Times New Roman" w:eastAsia="Times New Roman"/>
              </w:rPr>
              <w:t xml:space="preserve">: </w:t>
            </w:r>
            <w:r>
              <w:t>属低毒类</w:t>
            </w:r>
            <w:r>
              <w:rPr>
                <w:rFonts w:ascii="Times New Roman" w:eastAsia="Times New Roman"/>
              </w:rPr>
              <w:t>LD50</w:t>
            </w:r>
            <w:r>
              <w:t>：</w:t>
            </w:r>
            <w:r>
              <w:rPr>
                <w:rFonts w:ascii="Times New Roman" w:eastAsia="Times New Roman"/>
              </w:rPr>
              <w:t>5000mg</w:t>
            </w:r>
            <w:r>
              <w:t>／</w:t>
            </w:r>
            <w:r>
              <w:rPr>
                <w:rFonts w:ascii="Times New Roman" w:eastAsia="Times New Roman"/>
              </w:rPr>
              <w:t>kg(</w:t>
            </w:r>
            <w:r>
              <w:t>大鼠经口</w:t>
            </w:r>
            <w:r>
              <w:rPr>
                <w:rFonts w:ascii="Times New Roman" w:eastAsia="Times New Roman"/>
              </w:rPr>
              <w:t>) LC50</w:t>
            </w:r>
            <w:r>
              <w:t>：</w:t>
            </w:r>
            <w:r>
              <w:rPr>
                <w:rFonts w:ascii="Times New Roman" w:eastAsia="Times New Roman"/>
              </w:rPr>
              <w:t xml:space="preserve">4550ppm 4 </w:t>
            </w:r>
            <w:r>
              <w:t>小时</w:t>
            </w:r>
            <w:r>
              <w:rPr>
                <w:rFonts w:ascii="Times New Roman" w:eastAsia="Times New Roman"/>
              </w:rPr>
              <w:t>(</w:t>
            </w:r>
            <w:r>
              <w:t>大鼠吸入</w:t>
            </w:r>
            <w:r>
              <w:rPr>
                <w:rFonts w:ascii="Times New Roman" w:eastAsia="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677" w:type="dxa"/>
            <w:vMerge w:val="continue"/>
            <w:tcBorders>
              <w:top w:val="nil"/>
            </w:tcBorders>
            <w:vAlign w:val="top"/>
          </w:tcPr>
          <w:p>
            <w:pPr>
              <w:rPr>
                <w:sz w:val="2"/>
                <w:szCs w:val="2"/>
              </w:rPr>
            </w:pPr>
          </w:p>
        </w:tc>
        <w:tc>
          <w:tcPr>
            <w:tcW w:w="879" w:type="dxa"/>
            <w:vAlign w:val="top"/>
          </w:tcPr>
          <w:p>
            <w:pPr>
              <w:pStyle w:val="88"/>
            </w:pPr>
          </w:p>
          <w:p>
            <w:pPr>
              <w:pStyle w:val="88"/>
              <w:tabs>
                <w:tab w:val="left" w:pos="529"/>
              </w:tabs>
              <w:ind w:left="107"/>
            </w:pPr>
            <w:r>
              <w:t>健</w:t>
            </w:r>
            <w:r>
              <w:tab/>
            </w:r>
            <w:r>
              <w:t>康</w:t>
            </w:r>
          </w:p>
          <w:p>
            <w:pPr>
              <w:pStyle w:val="88"/>
              <w:tabs>
                <w:tab w:val="left" w:pos="529"/>
              </w:tabs>
              <w:spacing w:before="5"/>
              <w:ind w:left="107"/>
            </w:pPr>
            <w:r>
              <w:t>危</w:t>
            </w:r>
            <w:r>
              <w:tab/>
            </w:r>
            <w:r>
              <w:t>害</w:t>
            </w:r>
          </w:p>
        </w:tc>
        <w:tc>
          <w:tcPr>
            <w:tcW w:w="6600" w:type="dxa"/>
            <w:gridSpan w:val="8"/>
            <w:vAlign w:val="top"/>
          </w:tcPr>
          <w:p>
            <w:pPr>
              <w:pStyle w:val="88"/>
              <w:spacing w:line="242" w:lineRule="auto"/>
              <w:ind w:left="106" w:right="98"/>
            </w:pPr>
            <w:r>
              <w:rPr>
                <w:spacing w:val="-7"/>
              </w:rPr>
              <w:t>对皮肤、粘膜有刺激作用，对中枢神经系统有麻醉作用；长期作用可影响肝、肾</w:t>
            </w:r>
            <w:r>
              <w:rPr>
                <w:spacing w:val="-12"/>
              </w:rPr>
              <w:t>功能。急性中毒：病人有咳嗽、流泪、结膜充血等；重症者有幻觉、谵妄、神志</w:t>
            </w:r>
            <w:r>
              <w:rPr>
                <w:spacing w:val="-10"/>
              </w:rPr>
              <w:t>不清等，有的有癔病样发作。慢性中毒：病人有神经衰弱综合征的表现，女工有</w:t>
            </w:r>
          </w:p>
          <w:p>
            <w:pPr>
              <w:pStyle w:val="88"/>
              <w:spacing w:line="255" w:lineRule="exact"/>
              <w:ind w:left="106"/>
            </w:pPr>
            <w:r>
              <w:t>月经异常，工人常发生皮肤干燥、皲裂、皮炎。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0" w:hRule="atLeast"/>
        </w:trPr>
        <w:tc>
          <w:tcPr>
            <w:tcW w:w="677" w:type="dxa"/>
            <w:vMerge w:val="continue"/>
            <w:tcBorders>
              <w:top w:val="nil"/>
            </w:tcBorders>
            <w:vAlign w:val="top"/>
          </w:tcPr>
          <w:p>
            <w:pPr>
              <w:rPr>
                <w:sz w:val="2"/>
                <w:szCs w:val="2"/>
              </w:rPr>
            </w:pPr>
          </w:p>
        </w:tc>
        <w:tc>
          <w:tcPr>
            <w:tcW w:w="879" w:type="dxa"/>
            <w:vAlign w:val="top"/>
          </w:tcPr>
          <w:p>
            <w:pPr>
              <w:pStyle w:val="88"/>
              <w:spacing w:before="1"/>
            </w:pPr>
          </w:p>
          <w:p>
            <w:pPr>
              <w:pStyle w:val="88"/>
              <w:tabs>
                <w:tab w:val="left" w:pos="529"/>
              </w:tabs>
              <w:spacing w:line="244" w:lineRule="auto"/>
              <w:ind w:left="107" w:right="125"/>
            </w:pPr>
            <w:r>
              <w:t>急</w:t>
            </w:r>
            <w:r>
              <w:tab/>
            </w:r>
            <w:r>
              <w:rPr>
                <w:spacing w:val="-17"/>
              </w:rPr>
              <w:t>救</w:t>
            </w:r>
            <w:r>
              <w:t>与</w:t>
            </w:r>
          </w:p>
          <w:p>
            <w:pPr>
              <w:pStyle w:val="88"/>
              <w:tabs>
                <w:tab w:val="left" w:pos="529"/>
              </w:tabs>
              <w:spacing w:line="265" w:lineRule="exact"/>
              <w:ind w:left="107"/>
            </w:pPr>
            <w:r>
              <w:t>防</w:t>
            </w:r>
            <w:r>
              <w:tab/>
            </w:r>
            <w:r>
              <w:t>护</w:t>
            </w:r>
          </w:p>
        </w:tc>
        <w:tc>
          <w:tcPr>
            <w:tcW w:w="6600" w:type="dxa"/>
            <w:gridSpan w:val="8"/>
            <w:vAlign w:val="top"/>
          </w:tcPr>
          <w:p>
            <w:pPr>
              <w:pStyle w:val="88"/>
              <w:spacing w:line="242" w:lineRule="auto"/>
              <w:ind w:left="106" w:right="2181"/>
            </w:pPr>
            <w:r>
              <w:t>皮肤接触</w:t>
            </w:r>
            <w:r>
              <w:rPr>
                <w:rFonts w:ascii="Times New Roman" w:eastAsia="Times New Roman"/>
              </w:rPr>
              <w:t xml:space="preserve">: </w:t>
            </w:r>
            <w:r>
              <w:t>脱去污染的衣着，用肥皂水及清水彻底冲洗。眼睛接触</w:t>
            </w:r>
            <w:r>
              <w:rPr>
                <w:rFonts w:ascii="Times New Roman" w:eastAsia="Times New Roman"/>
              </w:rPr>
              <w:t xml:space="preserve">: </w:t>
            </w:r>
            <w:r>
              <w:t>立即提起眼睑，用大量流动清水彻底冲洗。</w:t>
            </w:r>
          </w:p>
          <w:p>
            <w:pPr>
              <w:pStyle w:val="88"/>
              <w:spacing w:line="242" w:lineRule="auto"/>
              <w:ind w:left="106" w:right="96"/>
            </w:pPr>
            <w:r>
              <w:t>吸入</w:t>
            </w:r>
            <w:r>
              <w:rPr>
                <w:rFonts w:ascii="Times New Roman" w:eastAsia="Times New Roman"/>
              </w:rPr>
              <w:t xml:space="preserve">: </w:t>
            </w:r>
            <w:r>
              <w:t>迅速脱离现场至空气新鲜处。保持呼吸道通畅。呼吸困难时给输氧。呼吸及心跳停止者立即进行人工呼吸和心脏按压术。就医。</w:t>
            </w:r>
          </w:p>
          <w:p>
            <w:pPr>
              <w:pStyle w:val="88"/>
              <w:spacing w:before="1" w:line="252" w:lineRule="exact"/>
              <w:ind w:left="106"/>
            </w:pPr>
            <w:r>
              <w:t>食入</w:t>
            </w:r>
            <w:r>
              <w:rPr>
                <w:rFonts w:ascii="Times New Roman" w:eastAsia="Times New Roman"/>
              </w:rPr>
              <w:t xml:space="preserve">: </w:t>
            </w:r>
            <w:r>
              <w:t>误服者给充分漱口、饮水，尽快洗胃。就医。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677" w:type="dxa"/>
            <w:vMerge w:val="restart"/>
            <w:vAlign w:val="top"/>
          </w:tcPr>
          <w:p>
            <w:pPr>
              <w:pStyle w:val="88"/>
              <w:spacing w:before="6"/>
              <w:rPr>
                <w:sz w:val="14"/>
              </w:rPr>
            </w:pPr>
          </w:p>
          <w:p>
            <w:pPr>
              <w:pStyle w:val="88"/>
              <w:spacing w:line="244" w:lineRule="auto"/>
              <w:ind w:left="107" w:right="53"/>
            </w:pPr>
            <w:r>
              <w:t xml:space="preserve">燃烧爆炸 </w:t>
            </w:r>
          </w:p>
        </w:tc>
        <w:tc>
          <w:tcPr>
            <w:tcW w:w="1822" w:type="dxa"/>
            <w:gridSpan w:val="2"/>
            <w:vAlign w:val="top"/>
          </w:tcPr>
          <w:p>
            <w:pPr>
              <w:pStyle w:val="88"/>
              <w:spacing w:before="89"/>
              <w:ind w:left="107"/>
            </w:pPr>
            <w:r>
              <w:t>燃烧性：易燃</w:t>
            </w:r>
          </w:p>
        </w:tc>
        <w:tc>
          <w:tcPr>
            <w:tcW w:w="5657" w:type="dxa"/>
            <w:gridSpan w:val="7"/>
            <w:vAlign w:val="top"/>
          </w:tcPr>
          <w:p>
            <w:pPr>
              <w:pStyle w:val="88"/>
              <w:spacing w:before="89"/>
              <w:ind w:left="141"/>
            </w:pPr>
            <w:r>
              <w:t>燃烧（分解）产物：一氧化碳、二氧化碳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77" w:type="dxa"/>
            <w:vMerge w:val="continue"/>
            <w:tcBorders>
              <w:top w:val="nil"/>
            </w:tcBorders>
            <w:vAlign w:val="top"/>
          </w:tcPr>
          <w:p>
            <w:pPr>
              <w:rPr>
                <w:sz w:val="2"/>
                <w:szCs w:val="2"/>
              </w:rPr>
            </w:pPr>
          </w:p>
        </w:tc>
        <w:tc>
          <w:tcPr>
            <w:tcW w:w="2635" w:type="dxa"/>
            <w:gridSpan w:val="3"/>
            <w:vAlign w:val="top"/>
          </w:tcPr>
          <w:p>
            <w:pPr>
              <w:pStyle w:val="88"/>
              <w:spacing w:before="89"/>
              <w:ind w:left="107"/>
              <w:rPr>
                <w:rFonts w:ascii="Times New Roman" w:hAnsi="Times New Roman" w:eastAsia="Times New Roman"/>
              </w:rPr>
            </w:pPr>
            <w:r>
              <w:t>闪点（℃）：</w:t>
            </w:r>
            <w:r>
              <w:rPr>
                <w:rFonts w:ascii="Times New Roman" w:hAnsi="Times New Roman" w:eastAsia="Times New Roman"/>
              </w:rPr>
              <w:t>25</w:t>
            </w:r>
          </w:p>
        </w:tc>
        <w:tc>
          <w:tcPr>
            <w:tcW w:w="2330" w:type="dxa"/>
            <w:gridSpan w:val="4"/>
            <w:vAlign w:val="top"/>
          </w:tcPr>
          <w:p>
            <w:pPr>
              <w:pStyle w:val="88"/>
              <w:spacing w:before="89"/>
              <w:ind w:left="105"/>
              <w:rPr>
                <w:rFonts w:ascii="Times New Roman" w:hAnsi="Times New Roman" w:eastAsia="Times New Roman"/>
              </w:rPr>
            </w:pPr>
            <w:r>
              <w:t>自燃点（℃）：</w:t>
            </w:r>
            <w:r>
              <w:rPr>
                <w:rFonts w:ascii="Times New Roman" w:hAnsi="Times New Roman" w:eastAsia="Times New Roman"/>
              </w:rPr>
              <w:t>525</w:t>
            </w:r>
          </w:p>
        </w:tc>
        <w:tc>
          <w:tcPr>
            <w:tcW w:w="2514" w:type="dxa"/>
            <w:gridSpan w:val="2"/>
            <w:vAlign w:val="top"/>
          </w:tcPr>
          <w:p>
            <w:pPr>
              <w:pStyle w:val="88"/>
              <w:spacing w:before="89"/>
              <w:ind w:left="104"/>
              <w:rPr>
                <w:rFonts w:ascii="Times New Roman" w:eastAsia="Times New Roman"/>
              </w:rPr>
            </w:pPr>
            <w:r>
              <w:t>爆炸下限（</w:t>
            </w:r>
            <w:r>
              <w:rPr>
                <w:rFonts w:ascii="Times New Roman" w:eastAsia="Times New Roman"/>
              </w:rPr>
              <w:t>V%</w:t>
            </w:r>
            <w:r>
              <w:t>）：</w:t>
            </w:r>
            <w:r>
              <w:rPr>
                <w:rFonts w:ascii="Times New Roman" w:eastAsia="Times New Roman"/>
              </w:rPr>
              <w:t>1.1</w:t>
            </w:r>
          </w:p>
        </w:tc>
      </w:tr>
    </w:tbl>
    <w:p>
      <w:pPr>
        <w:pStyle w:val="16"/>
        <w:spacing w:before="10"/>
        <w:rPr>
          <w:sz w:val="4"/>
        </w:rPr>
      </w:pPr>
    </w:p>
    <w:tbl>
      <w:tblPr>
        <w:tblStyle w:val="54"/>
        <w:tblW w:w="8141"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451"/>
        <w:gridCol w:w="1560"/>
        <w:gridCol w:w="2561"/>
        <w:gridCol w:w="2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677" w:type="dxa"/>
            <w:vMerge w:val="restart"/>
            <w:vAlign w:val="top"/>
          </w:tcPr>
          <w:p>
            <w:pPr>
              <w:pStyle w:val="88"/>
              <w:spacing w:line="244" w:lineRule="auto"/>
              <w:ind w:left="107" w:right="53"/>
            </w:pPr>
            <w:r>
              <w:t>危险性</w:t>
            </w:r>
          </w:p>
        </w:tc>
        <w:tc>
          <w:tcPr>
            <w:tcW w:w="451" w:type="dxa"/>
            <w:vAlign w:val="top"/>
          </w:tcPr>
          <w:p>
            <w:pPr>
              <w:pStyle w:val="88"/>
              <w:spacing w:line="242" w:lineRule="auto"/>
              <w:ind w:left="107" w:right="120"/>
            </w:pPr>
            <w:r>
              <w:t>危险特</w:t>
            </w:r>
          </w:p>
          <w:p>
            <w:pPr>
              <w:pStyle w:val="88"/>
              <w:spacing w:before="2" w:line="252" w:lineRule="exact"/>
              <w:ind w:left="107"/>
            </w:pPr>
            <w:r>
              <w:t>性</w:t>
            </w:r>
          </w:p>
        </w:tc>
        <w:tc>
          <w:tcPr>
            <w:tcW w:w="7013" w:type="dxa"/>
            <w:gridSpan w:val="3"/>
            <w:vAlign w:val="top"/>
          </w:tcPr>
          <w:p>
            <w:pPr>
              <w:pStyle w:val="88"/>
              <w:spacing w:before="135" w:line="242" w:lineRule="auto"/>
              <w:ind w:left="105" w:right="93"/>
            </w:pPr>
            <w:r>
              <w:rPr>
                <w:spacing w:val="-7"/>
              </w:rPr>
              <w:t>其蒸气与空气形成爆炸性混合物，遇明火、高热能引起燃烧爆炸。与氧化剂能发生强</w:t>
            </w:r>
            <w:r>
              <w:rPr>
                <w:spacing w:val="-10"/>
              </w:rPr>
              <w:t>烈反应。其蒸气比空气重，能在较低处扩散到相当远的地方，遇火源引着回燃。若遇</w:t>
            </w:r>
            <w:r>
              <w:rPr>
                <w:spacing w:val="-5"/>
              </w:rPr>
              <w:t>高热，容器内压增大，有开裂和爆炸的危险。流速过快，容易产生和积聚静电。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77" w:type="dxa"/>
            <w:vMerge w:val="continue"/>
            <w:tcBorders>
              <w:top w:val="nil"/>
            </w:tcBorders>
            <w:vAlign w:val="top"/>
          </w:tcPr>
          <w:p>
            <w:pPr>
              <w:rPr>
                <w:sz w:val="2"/>
                <w:szCs w:val="2"/>
              </w:rPr>
            </w:pPr>
          </w:p>
        </w:tc>
        <w:tc>
          <w:tcPr>
            <w:tcW w:w="2011" w:type="dxa"/>
            <w:gridSpan w:val="2"/>
            <w:vAlign w:val="top"/>
          </w:tcPr>
          <w:p>
            <w:pPr>
              <w:pStyle w:val="88"/>
              <w:spacing w:before="89"/>
              <w:ind w:left="107"/>
            </w:pPr>
            <w:r>
              <w:t>稳定性：稳定</w:t>
            </w:r>
          </w:p>
        </w:tc>
        <w:tc>
          <w:tcPr>
            <w:tcW w:w="2561" w:type="dxa"/>
            <w:vAlign w:val="top"/>
          </w:tcPr>
          <w:p>
            <w:pPr>
              <w:pStyle w:val="88"/>
              <w:spacing w:before="89"/>
              <w:ind w:left="108"/>
            </w:pPr>
            <w:r>
              <w:t>聚合危险：不能出现</w:t>
            </w:r>
          </w:p>
        </w:tc>
        <w:tc>
          <w:tcPr>
            <w:tcW w:w="2892" w:type="dxa"/>
            <w:vAlign w:val="top"/>
          </w:tcPr>
          <w:p>
            <w:pPr>
              <w:pStyle w:val="88"/>
              <w:spacing w:before="89"/>
              <w:ind w:left="108"/>
            </w:pPr>
            <w:r>
              <w:t>禁忌物：强氧化剂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4" w:hRule="atLeast"/>
        </w:trPr>
        <w:tc>
          <w:tcPr>
            <w:tcW w:w="677" w:type="dxa"/>
            <w:vAlign w:val="top"/>
          </w:tcPr>
          <w:p>
            <w:pPr>
              <w:pStyle w:val="88"/>
              <w:spacing w:before="1" w:line="242" w:lineRule="auto"/>
              <w:ind w:left="107" w:right="347"/>
            </w:pPr>
            <w:r>
              <w:t>储运注意事</w:t>
            </w:r>
          </w:p>
          <w:p>
            <w:pPr>
              <w:pStyle w:val="88"/>
              <w:spacing w:before="2" w:line="252" w:lineRule="exact"/>
              <w:ind w:left="107"/>
            </w:pPr>
            <w:r>
              <w:t>项</w:t>
            </w:r>
          </w:p>
        </w:tc>
        <w:tc>
          <w:tcPr>
            <w:tcW w:w="7464" w:type="dxa"/>
            <w:gridSpan w:val="4"/>
            <w:vAlign w:val="top"/>
          </w:tcPr>
          <w:p>
            <w:pPr>
              <w:pStyle w:val="88"/>
              <w:spacing w:before="135" w:line="242" w:lineRule="auto"/>
              <w:ind w:left="107" w:right="91"/>
            </w:pPr>
            <w:r>
              <w:rPr>
                <w:spacing w:val="-9"/>
              </w:rPr>
              <w:t xml:space="preserve">储存于阴凉、通风仓间内。远离火种、热源。仓温不宜超过 </w:t>
            </w:r>
            <w:r>
              <w:rPr>
                <w:rFonts w:ascii="Times New Roman" w:hAnsi="Times New Roman" w:eastAsia="Times New Roman"/>
              </w:rPr>
              <w:t>30</w:t>
            </w:r>
            <w:r>
              <w:rPr>
                <w:spacing w:val="-6"/>
              </w:rPr>
              <w:t>℃。防止阳光直射。保持容器密封。应与氧化剂分开存放。储存间内的照明、通风等设施应采用防爆型，开关设在仓</w:t>
            </w:r>
            <w:r>
              <w:rPr>
                <w:spacing w:val="-7"/>
              </w:rPr>
              <w:t>外。配备相应品种和数量的消防器材。罐储时要有防火防爆技术措施。露天贮罐夏季要有</w:t>
            </w:r>
            <w:r>
              <w:rPr>
                <w:spacing w:val="-5"/>
              </w:rPr>
              <w:t>降温措施。禁止使用易产生火花的机械设备和工具。灌装时应注意流速</w:t>
            </w:r>
            <w:r>
              <w:rPr>
                <w:rFonts w:ascii="Times New Roman" w:hAnsi="Times New Roman" w:eastAsia="Times New Roman"/>
              </w:rPr>
              <w:t>(</w:t>
            </w:r>
            <w:r>
              <w:rPr>
                <w:spacing w:val="7"/>
              </w:rPr>
              <w:t xml:space="preserve">不超过 </w:t>
            </w:r>
            <w:r>
              <w:rPr>
                <w:rFonts w:ascii="Times New Roman" w:hAnsi="Times New Roman" w:eastAsia="Times New Roman"/>
              </w:rPr>
              <w:t>3m</w:t>
            </w:r>
            <w:r>
              <w:t>／</w:t>
            </w:r>
            <w:r>
              <w:rPr>
                <w:rFonts w:ascii="Times New Roman" w:hAnsi="Times New Roman" w:eastAsia="Times New Roman"/>
              </w:rPr>
              <w:t>s)</w:t>
            </w:r>
            <w:r>
              <w:t xml:space="preserve">， </w:t>
            </w:r>
            <w:r>
              <w:rPr>
                <w:spacing w:val="-3"/>
              </w:rPr>
              <w:t>且有接地装置，防止静电积聚。搬运时要轻装轻卸，防止包装及容器损坏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1128" w:type="dxa"/>
            <w:gridSpan w:val="2"/>
            <w:vAlign w:val="top"/>
          </w:tcPr>
          <w:p>
            <w:pPr>
              <w:pStyle w:val="88"/>
              <w:spacing w:before="90"/>
              <w:ind w:left="107"/>
            </w:pPr>
            <w:r>
              <w:t>灭火方法</w:t>
            </w:r>
          </w:p>
        </w:tc>
        <w:tc>
          <w:tcPr>
            <w:tcW w:w="7013" w:type="dxa"/>
            <w:gridSpan w:val="3"/>
            <w:vAlign w:val="top"/>
          </w:tcPr>
          <w:p>
            <w:pPr>
              <w:pStyle w:val="88"/>
              <w:spacing w:before="90"/>
              <w:ind w:left="105"/>
            </w:pPr>
            <w:r>
              <w:t>泡沫、二氧化碳、干粉、砂土。用水灭火无效。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4" w:hRule="atLeast"/>
        </w:trPr>
        <w:tc>
          <w:tcPr>
            <w:tcW w:w="1128" w:type="dxa"/>
            <w:gridSpan w:val="2"/>
            <w:vAlign w:val="top"/>
          </w:tcPr>
          <w:p>
            <w:pPr>
              <w:pStyle w:val="88"/>
              <w:rPr>
                <w:sz w:val="20"/>
              </w:rPr>
            </w:pPr>
          </w:p>
          <w:p>
            <w:pPr>
              <w:pStyle w:val="88"/>
              <w:rPr>
                <w:sz w:val="20"/>
              </w:rPr>
            </w:pPr>
          </w:p>
          <w:p>
            <w:pPr>
              <w:pStyle w:val="88"/>
              <w:spacing w:before="168"/>
              <w:ind w:left="107"/>
            </w:pPr>
            <w:r>
              <w:t>泄漏处置</w:t>
            </w:r>
          </w:p>
        </w:tc>
        <w:tc>
          <w:tcPr>
            <w:tcW w:w="7013" w:type="dxa"/>
            <w:gridSpan w:val="3"/>
            <w:vAlign w:val="top"/>
          </w:tcPr>
          <w:p>
            <w:pPr>
              <w:pStyle w:val="88"/>
              <w:spacing w:line="242" w:lineRule="auto"/>
              <w:ind w:left="105" w:right="-15"/>
            </w:pPr>
            <w:r>
              <w:rPr>
                <w:spacing w:val="-6"/>
              </w:rPr>
              <w:t>疏散泄漏污染区人员至安全区，禁止无关人员进入污染区，切断火源。建议应急处理</w:t>
            </w:r>
            <w:r>
              <w:rPr>
                <w:spacing w:val="-14"/>
              </w:rPr>
              <w:t xml:space="preserve">人员戴好防毒面具，穿一般消防防护服。在确保安全情况下堵漏。喷水雾会减少蒸发， </w:t>
            </w:r>
            <w:r>
              <w:rPr>
                <w:spacing w:val="-10"/>
              </w:rPr>
              <w:t>但不能降低泄漏物在受限制空间内的易燃性。用活性炭或其它惰性材料吸收，然后使</w:t>
            </w:r>
            <w:r>
              <w:rPr>
                <w:spacing w:val="-5"/>
              </w:rPr>
              <w:t>用无火花工具收集运至废物处理场所处置。也可以用不燃性分散剂制成的乳液刷洗，</w:t>
            </w:r>
          </w:p>
          <w:p>
            <w:pPr>
              <w:pStyle w:val="88"/>
              <w:spacing w:before="1" w:line="270" w:lineRule="atLeast"/>
              <w:ind w:left="105" w:right="93"/>
            </w:pPr>
            <w:r>
              <w:rPr>
                <w:spacing w:val="-8"/>
              </w:rPr>
              <w:t>经稀释的洗水放入废水系统。如大量泄漏，利用围堤收容，然后收集、转移、回收或</w:t>
            </w:r>
            <w:r>
              <w:rPr>
                <w:spacing w:val="-5"/>
              </w:rPr>
              <w:t>无害处理后废弃。</w:t>
            </w:r>
          </w:p>
        </w:tc>
      </w:tr>
    </w:tbl>
    <w:p>
      <w:pPr>
        <w:tabs>
          <w:tab w:val="left" w:pos="1263"/>
        </w:tabs>
        <w:spacing w:before="1"/>
        <w:ind w:left="240"/>
        <w:jc w:val="center"/>
        <w:rPr>
          <w:b/>
          <w:bCs/>
        </w:rPr>
      </w:pPr>
      <w:r>
        <w:rPr>
          <w:b/>
          <w:bCs/>
        </w:rPr>
        <w:t>表</w:t>
      </w:r>
      <w:r>
        <w:rPr>
          <w:b/>
          <w:bCs/>
          <w:spacing w:val="-26"/>
        </w:rPr>
        <w:t xml:space="preserve"> </w:t>
      </w:r>
      <w:r>
        <w:rPr>
          <w:rFonts w:eastAsia="Times New Roman"/>
          <w:b/>
          <w:bCs/>
          <w:spacing w:val="6"/>
        </w:rPr>
        <w:t>3.1</w:t>
      </w:r>
      <w:r>
        <w:rPr>
          <w:rFonts w:hint="eastAsia"/>
          <w:b/>
          <w:bCs/>
          <w:spacing w:val="6"/>
        </w:rPr>
        <w:t>.1</w:t>
      </w:r>
      <w:r>
        <w:rPr>
          <w:rFonts w:eastAsia="Times New Roman"/>
          <w:b/>
          <w:bCs/>
          <w:spacing w:val="6"/>
        </w:rPr>
        <w:t>-2</w:t>
      </w:r>
      <w:r>
        <w:rPr>
          <w:rFonts w:eastAsia="Times New Roman"/>
          <w:b/>
          <w:bCs/>
          <w:spacing w:val="6"/>
        </w:rPr>
        <w:tab/>
      </w:r>
      <w:r>
        <w:rPr>
          <w:b/>
          <w:bCs/>
          <w:spacing w:val="19"/>
        </w:rPr>
        <w:t>邻二甲苯的理化性质及危险、有</w:t>
      </w:r>
      <w:r>
        <w:rPr>
          <w:b/>
          <w:bCs/>
          <w:spacing w:val="16"/>
        </w:rPr>
        <w:t>害特</w:t>
      </w:r>
      <w:r>
        <w:rPr>
          <w:b/>
          <w:bCs/>
          <w:spacing w:val="19"/>
        </w:rPr>
        <w:t>性表</w:t>
      </w:r>
    </w:p>
    <w:p>
      <w:pPr>
        <w:pStyle w:val="16"/>
        <w:spacing w:before="10"/>
        <w:rPr>
          <w:sz w:val="10"/>
        </w:rPr>
      </w:pPr>
    </w:p>
    <w:tbl>
      <w:tblPr>
        <w:tblStyle w:val="54"/>
        <w:tblW w:w="8111"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751"/>
        <w:gridCol w:w="96"/>
        <w:gridCol w:w="1842"/>
        <w:gridCol w:w="957"/>
        <w:gridCol w:w="1532"/>
        <w:gridCol w:w="170"/>
        <w:gridCol w:w="2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708" w:type="dxa"/>
            <w:vAlign w:val="top"/>
          </w:tcPr>
          <w:p>
            <w:pPr>
              <w:pStyle w:val="88"/>
              <w:spacing w:before="90"/>
              <w:ind w:left="107"/>
            </w:pPr>
            <w:r>
              <w:t>标识</w:t>
            </w:r>
          </w:p>
        </w:tc>
        <w:tc>
          <w:tcPr>
            <w:tcW w:w="3646" w:type="dxa"/>
            <w:gridSpan w:val="4"/>
            <w:vAlign w:val="top"/>
          </w:tcPr>
          <w:p>
            <w:pPr>
              <w:pStyle w:val="88"/>
              <w:spacing w:before="90"/>
              <w:ind w:left="107"/>
              <w:rPr>
                <w:rFonts w:ascii="Times New Roman" w:eastAsia="Times New Roman"/>
              </w:rPr>
            </w:pPr>
            <w:r>
              <w:t>英文名：</w:t>
            </w:r>
            <w:r>
              <w:rPr>
                <w:rFonts w:ascii="Times New Roman" w:eastAsia="Times New Roman"/>
              </w:rPr>
              <w:t>1</w:t>
            </w:r>
            <w:r>
              <w:t>，</w:t>
            </w:r>
            <w:r>
              <w:rPr>
                <w:rFonts w:ascii="Times New Roman" w:eastAsia="Times New Roman"/>
              </w:rPr>
              <w:t>2-Xylene;o-Xylene</w:t>
            </w:r>
          </w:p>
        </w:tc>
        <w:tc>
          <w:tcPr>
            <w:tcW w:w="1702" w:type="dxa"/>
            <w:gridSpan w:val="2"/>
            <w:vAlign w:val="top"/>
          </w:tcPr>
          <w:p>
            <w:pPr>
              <w:pStyle w:val="88"/>
              <w:spacing w:before="94"/>
              <w:ind w:left="105"/>
              <w:rPr>
                <w:rFonts w:ascii="Times New Roman" w:eastAsia="Times New Roman"/>
                <w:sz w:val="14"/>
              </w:rPr>
            </w:pPr>
            <w:r>
              <w:t>分子式：</w:t>
            </w:r>
            <w:r>
              <w:rPr>
                <w:rFonts w:ascii="Times New Roman" w:eastAsia="Times New Roman"/>
                <w:position w:val="1"/>
              </w:rPr>
              <w:t>C</w:t>
            </w:r>
            <w:r>
              <w:rPr>
                <w:rFonts w:ascii="Times New Roman" w:eastAsia="Times New Roman"/>
                <w:sz w:val="14"/>
              </w:rPr>
              <w:t>8</w:t>
            </w:r>
            <w:r>
              <w:rPr>
                <w:rFonts w:ascii="Times New Roman" w:eastAsia="Times New Roman"/>
                <w:position w:val="1"/>
              </w:rPr>
              <w:t>H</w:t>
            </w:r>
            <w:r>
              <w:rPr>
                <w:rFonts w:ascii="Times New Roman" w:eastAsia="Times New Roman"/>
                <w:sz w:val="14"/>
              </w:rPr>
              <w:t>10</w:t>
            </w:r>
          </w:p>
        </w:tc>
        <w:tc>
          <w:tcPr>
            <w:tcW w:w="2055" w:type="dxa"/>
            <w:vAlign w:val="top"/>
          </w:tcPr>
          <w:p>
            <w:pPr>
              <w:pStyle w:val="88"/>
              <w:spacing w:before="90"/>
              <w:ind w:left="107"/>
              <w:rPr>
                <w:rFonts w:ascii="Times New Roman" w:eastAsia="Times New Roman"/>
              </w:rPr>
            </w:pPr>
            <w:r>
              <w:t>分子量：</w:t>
            </w:r>
            <w:r>
              <w:rPr>
                <w:rFonts w:ascii="Times New Roman" w:eastAsia="Times New Roman"/>
              </w:rPr>
              <w:t>106.17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08" w:type="dxa"/>
            <w:vMerge w:val="restart"/>
            <w:vAlign w:val="top"/>
          </w:tcPr>
          <w:p>
            <w:pPr>
              <w:pStyle w:val="88"/>
              <w:rPr>
                <w:sz w:val="20"/>
              </w:rPr>
            </w:pPr>
          </w:p>
          <w:p>
            <w:pPr>
              <w:pStyle w:val="88"/>
              <w:rPr>
                <w:sz w:val="20"/>
              </w:rPr>
            </w:pPr>
          </w:p>
          <w:p>
            <w:pPr>
              <w:pStyle w:val="88"/>
              <w:spacing w:before="136" w:line="242" w:lineRule="auto"/>
              <w:ind w:left="107" w:right="21"/>
            </w:pPr>
            <w:r>
              <w:t>理化特性</w:t>
            </w:r>
          </w:p>
        </w:tc>
        <w:tc>
          <w:tcPr>
            <w:tcW w:w="2689" w:type="dxa"/>
            <w:gridSpan w:val="3"/>
            <w:vAlign w:val="top"/>
          </w:tcPr>
          <w:p>
            <w:pPr>
              <w:pStyle w:val="88"/>
              <w:spacing w:before="90"/>
              <w:ind w:left="107"/>
            </w:pPr>
            <w:r>
              <w:t>外观与性状</w:t>
            </w:r>
          </w:p>
        </w:tc>
        <w:tc>
          <w:tcPr>
            <w:tcW w:w="4714" w:type="dxa"/>
            <w:gridSpan w:val="4"/>
            <w:vAlign w:val="top"/>
          </w:tcPr>
          <w:p>
            <w:pPr>
              <w:pStyle w:val="88"/>
              <w:spacing w:before="90"/>
              <w:ind w:left="100"/>
            </w:pPr>
            <w:r>
              <w:t>无色透明液体，有类似甲苯的气味。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08" w:type="dxa"/>
            <w:vMerge w:val="continue"/>
            <w:tcBorders>
              <w:top w:val="nil"/>
            </w:tcBorders>
            <w:vAlign w:val="top"/>
          </w:tcPr>
          <w:p>
            <w:pPr>
              <w:rPr>
                <w:sz w:val="2"/>
                <w:szCs w:val="2"/>
              </w:rPr>
            </w:pPr>
          </w:p>
        </w:tc>
        <w:tc>
          <w:tcPr>
            <w:tcW w:w="3646" w:type="dxa"/>
            <w:gridSpan w:val="4"/>
            <w:vAlign w:val="top"/>
          </w:tcPr>
          <w:p>
            <w:pPr>
              <w:pStyle w:val="88"/>
              <w:spacing w:before="90"/>
              <w:ind w:left="107"/>
              <w:rPr>
                <w:rFonts w:ascii="Times New Roman" w:hAnsi="Times New Roman" w:eastAsia="Times New Roman"/>
              </w:rPr>
            </w:pPr>
            <w:r>
              <w:t>熔点（℃）：</w:t>
            </w:r>
            <w:r>
              <w:rPr>
                <w:rFonts w:ascii="Times New Roman" w:hAnsi="Times New Roman" w:eastAsia="Times New Roman"/>
              </w:rPr>
              <w:t>-25.5</w:t>
            </w:r>
          </w:p>
        </w:tc>
        <w:tc>
          <w:tcPr>
            <w:tcW w:w="3757" w:type="dxa"/>
            <w:gridSpan w:val="3"/>
            <w:vAlign w:val="top"/>
          </w:tcPr>
          <w:p>
            <w:pPr>
              <w:pStyle w:val="88"/>
              <w:spacing w:before="90"/>
              <w:ind w:left="107"/>
            </w:pPr>
            <w:r>
              <w:t>蒸汽压（</w:t>
            </w:r>
            <w:r>
              <w:rPr>
                <w:rFonts w:ascii="Times New Roman" w:hAnsi="Times New Roman" w:eastAsia="Times New Roman"/>
              </w:rPr>
              <w:t>kPa</w:t>
            </w:r>
            <w:r>
              <w:t>）：</w:t>
            </w:r>
            <w:r>
              <w:rPr>
                <w:rFonts w:ascii="Times New Roman" w:hAnsi="Times New Roman" w:eastAsia="Times New Roman"/>
              </w:rPr>
              <w:t>1.33</w:t>
            </w:r>
            <w:r>
              <w:t>／</w:t>
            </w:r>
            <w:r>
              <w:rPr>
                <w:rFonts w:ascii="Times New Roman" w:hAnsi="Times New Roman" w:eastAsia="Times New Roman"/>
              </w:rPr>
              <w:t>32</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708" w:type="dxa"/>
            <w:vMerge w:val="continue"/>
            <w:tcBorders>
              <w:top w:val="nil"/>
            </w:tcBorders>
            <w:vAlign w:val="top"/>
          </w:tcPr>
          <w:p>
            <w:pPr>
              <w:rPr>
                <w:sz w:val="2"/>
                <w:szCs w:val="2"/>
              </w:rPr>
            </w:pPr>
          </w:p>
        </w:tc>
        <w:tc>
          <w:tcPr>
            <w:tcW w:w="3646" w:type="dxa"/>
            <w:gridSpan w:val="4"/>
            <w:vAlign w:val="top"/>
          </w:tcPr>
          <w:p>
            <w:pPr>
              <w:pStyle w:val="88"/>
              <w:spacing w:before="90"/>
              <w:ind w:left="107"/>
              <w:rPr>
                <w:rFonts w:ascii="Times New Roman" w:hAnsi="Times New Roman" w:eastAsia="Times New Roman"/>
              </w:rPr>
            </w:pPr>
            <w:r>
              <w:t>沸点（℃）：</w:t>
            </w:r>
            <w:r>
              <w:rPr>
                <w:rFonts w:ascii="Times New Roman" w:hAnsi="Times New Roman" w:eastAsia="Times New Roman"/>
              </w:rPr>
              <w:t>144.4</w:t>
            </w:r>
          </w:p>
        </w:tc>
        <w:tc>
          <w:tcPr>
            <w:tcW w:w="3757" w:type="dxa"/>
            <w:gridSpan w:val="3"/>
            <w:vAlign w:val="top"/>
          </w:tcPr>
          <w:p>
            <w:pPr>
              <w:pStyle w:val="88"/>
              <w:spacing w:before="90"/>
              <w:ind w:left="107"/>
              <w:rPr>
                <w:rFonts w:ascii="Times New Roman" w:eastAsia="Times New Roman"/>
              </w:rPr>
            </w:pPr>
            <w:r>
              <w:t>相对密度</w:t>
            </w:r>
            <w:r>
              <w:rPr>
                <w:rFonts w:ascii="Times New Roman" w:eastAsia="Times New Roman"/>
              </w:rPr>
              <w:t>(</w:t>
            </w:r>
            <w:r>
              <w:t>水</w:t>
            </w:r>
            <w:r>
              <w:rPr>
                <w:rFonts w:ascii="Times New Roman" w:eastAsia="Times New Roman"/>
              </w:rPr>
              <w:t>=1)</w:t>
            </w:r>
            <w:r>
              <w:t>：</w:t>
            </w:r>
            <w:r>
              <w:rPr>
                <w:rFonts w:ascii="Times New Roman" w:eastAsia="Times New Roman"/>
              </w:rPr>
              <w:t>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08" w:type="dxa"/>
            <w:vMerge w:val="continue"/>
            <w:tcBorders>
              <w:top w:val="nil"/>
            </w:tcBorders>
            <w:vAlign w:val="top"/>
          </w:tcPr>
          <w:p>
            <w:pPr>
              <w:rPr>
                <w:sz w:val="2"/>
                <w:szCs w:val="2"/>
              </w:rPr>
            </w:pPr>
          </w:p>
        </w:tc>
        <w:tc>
          <w:tcPr>
            <w:tcW w:w="847" w:type="dxa"/>
            <w:gridSpan w:val="2"/>
            <w:vAlign w:val="top"/>
          </w:tcPr>
          <w:p>
            <w:pPr>
              <w:pStyle w:val="88"/>
              <w:spacing w:before="90"/>
              <w:ind w:left="107"/>
            </w:pPr>
            <w:r>
              <w:t>溶解性</w:t>
            </w:r>
          </w:p>
        </w:tc>
        <w:tc>
          <w:tcPr>
            <w:tcW w:w="6556" w:type="dxa"/>
            <w:gridSpan w:val="5"/>
            <w:vAlign w:val="top"/>
          </w:tcPr>
          <w:p>
            <w:pPr>
              <w:pStyle w:val="88"/>
              <w:spacing w:before="90"/>
              <w:ind w:left="105"/>
            </w:pPr>
            <w:r>
              <w:t>不溶于水，可混溶于乙醇、乙醚、氯仿等多数有机溶剂。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08" w:type="dxa"/>
            <w:vMerge w:val="restart"/>
            <w:vAlign w:val="top"/>
          </w:tcPr>
          <w:p>
            <w:pPr>
              <w:pStyle w:val="88"/>
              <w:rPr>
                <w:sz w:val="20"/>
              </w:rPr>
            </w:pPr>
          </w:p>
          <w:p>
            <w:pPr>
              <w:pStyle w:val="88"/>
              <w:rPr>
                <w:sz w:val="20"/>
              </w:rPr>
            </w:pPr>
          </w:p>
          <w:p>
            <w:pPr>
              <w:pStyle w:val="88"/>
              <w:rPr>
                <w:sz w:val="20"/>
              </w:rPr>
            </w:pPr>
          </w:p>
          <w:p>
            <w:pPr>
              <w:pStyle w:val="88"/>
              <w:rPr>
                <w:sz w:val="20"/>
              </w:rPr>
            </w:pPr>
          </w:p>
          <w:p>
            <w:pPr>
              <w:pStyle w:val="88"/>
              <w:rPr>
                <w:sz w:val="27"/>
              </w:rPr>
            </w:pPr>
          </w:p>
          <w:p>
            <w:pPr>
              <w:pStyle w:val="88"/>
              <w:spacing w:line="242" w:lineRule="auto"/>
              <w:ind w:left="107" w:right="21"/>
            </w:pPr>
            <w:r>
              <w:t>毒性及健康危害</w:t>
            </w:r>
          </w:p>
        </w:tc>
        <w:tc>
          <w:tcPr>
            <w:tcW w:w="847" w:type="dxa"/>
            <w:gridSpan w:val="2"/>
            <w:vMerge w:val="restart"/>
            <w:vAlign w:val="top"/>
          </w:tcPr>
          <w:p>
            <w:pPr>
              <w:pStyle w:val="88"/>
              <w:rPr>
                <w:sz w:val="20"/>
              </w:rPr>
            </w:pPr>
          </w:p>
          <w:p>
            <w:pPr>
              <w:pStyle w:val="88"/>
              <w:tabs>
                <w:tab w:val="left" w:pos="530"/>
              </w:tabs>
              <w:spacing w:before="150"/>
              <w:ind w:left="107"/>
            </w:pPr>
            <w:r>
              <w:t>接</w:t>
            </w:r>
            <w:r>
              <w:tab/>
            </w:r>
            <w:r>
              <w:t>触</w:t>
            </w:r>
          </w:p>
          <w:p>
            <w:pPr>
              <w:pStyle w:val="88"/>
              <w:tabs>
                <w:tab w:val="left" w:pos="530"/>
              </w:tabs>
              <w:spacing w:before="5"/>
              <w:ind w:left="107"/>
            </w:pPr>
            <w:r>
              <w:t>限</w:t>
            </w:r>
            <w:r>
              <w:tab/>
            </w:r>
            <w:r>
              <w:t>值</w:t>
            </w:r>
          </w:p>
        </w:tc>
        <w:tc>
          <w:tcPr>
            <w:tcW w:w="2799" w:type="dxa"/>
            <w:gridSpan w:val="2"/>
            <w:vMerge w:val="restart"/>
            <w:vAlign w:val="top"/>
          </w:tcPr>
          <w:p>
            <w:pPr>
              <w:pStyle w:val="88"/>
              <w:spacing w:line="268" w:lineRule="exact"/>
              <w:ind w:left="105"/>
              <w:rPr>
                <w:rFonts w:ascii="Times New Roman" w:eastAsia="Times New Roman"/>
                <w:sz w:val="14"/>
              </w:rPr>
            </w:pPr>
            <w:r>
              <w:t xml:space="preserve">中国 </w:t>
            </w:r>
            <w:r>
              <w:rPr>
                <w:rFonts w:ascii="Times New Roman" w:eastAsia="Times New Roman"/>
              </w:rPr>
              <w:t>MAC</w:t>
            </w:r>
            <w:r>
              <w:t>：</w:t>
            </w:r>
            <w:r>
              <w:rPr>
                <w:rFonts w:ascii="Times New Roman" w:eastAsia="Times New Roman"/>
              </w:rPr>
              <w:t>100mg/m</w:t>
            </w:r>
            <w:r>
              <w:rPr>
                <w:rFonts w:ascii="Times New Roman" w:eastAsia="Times New Roman"/>
                <w:position w:val="7"/>
                <w:sz w:val="14"/>
              </w:rPr>
              <w:t>3</w:t>
            </w:r>
          </w:p>
          <w:p>
            <w:pPr>
              <w:pStyle w:val="88"/>
              <w:spacing w:before="2"/>
              <w:ind w:left="105"/>
              <w:rPr>
                <w:rFonts w:ascii="Times New Roman" w:eastAsia="Times New Roman"/>
                <w:sz w:val="14"/>
              </w:rPr>
            </w:pPr>
            <w:r>
              <w:t xml:space="preserve">苏联 </w:t>
            </w:r>
            <w:r>
              <w:rPr>
                <w:rFonts w:ascii="Times New Roman" w:eastAsia="Times New Roman"/>
              </w:rPr>
              <w:t>MAC</w:t>
            </w:r>
            <w:r>
              <w:t>：</w:t>
            </w:r>
            <w:r>
              <w:rPr>
                <w:rFonts w:ascii="Times New Roman" w:eastAsia="Times New Roman"/>
              </w:rPr>
              <w:t>50mg/m</w:t>
            </w:r>
            <w:r>
              <w:rPr>
                <w:rFonts w:ascii="Times New Roman" w:eastAsia="Times New Roman"/>
                <w:position w:val="7"/>
                <w:sz w:val="14"/>
              </w:rPr>
              <w:t>3</w:t>
            </w:r>
          </w:p>
          <w:p>
            <w:pPr>
              <w:pStyle w:val="88"/>
              <w:spacing w:before="4" w:line="242" w:lineRule="auto"/>
              <w:ind w:left="105"/>
              <w:rPr>
                <w:rFonts w:ascii="Times New Roman" w:eastAsia="Times New Roman"/>
                <w:sz w:val="14"/>
              </w:rPr>
            </w:pPr>
            <w:r>
              <w:t>美国</w:t>
            </w:r>
            <w:r>
              <w:rPr>
                <w:rFonts w:ascii="Times New Roman" w:eastAsia="Times New Roman"/>
              </w:rPr>
              <w:t>TWA</w:t>
            </w:r>
            <w:r>
              <w:t>：</w:t>
            </w:r>
            <w:r>
              <w:rPr>
                <w:rFonts w:ascii="Times New Roman" w:eastAsia="Times New Roman"/>
              </w:rPr>
              <w:t>OSHA 100ppm</w:t>
            </w:r>
            <w:r>
              <w:t>，</w:t>
            </w:r>
            <w:r>
              <w:rPr>
                <w:rFonts w:ascii="Times New Roman" w:eastAsia="Times New Roman"/>
              </w:rPr>
              <w:t>434mg/m</w:t>
            </w:r>
            <w:r>
              <w:rPr>
                <w:rFonts w:ascii="Times New Roman" w:eastAsia="Times New Roman"/>
                <w:position w:val="7"/>
                <w:sz w:val="14"/>
              </w:rPr>
              <w:t>3</w:t>
            </w:r>
            <w:r>
              <w:t xml:space="preserve">； </w:t>
            </w:r>
            <w:r>
              <w:rPr>
                <w:rFonts w:ascii="Times New Roman" w:eastAsia="Times New Roman"/>
              </w:rPr>
              <w:t>ACGIH 100ppm</w:t>
            </w:r>
            <w:r>
              <w:t>，</w:t>
            </w:r>
            <w:r>
              <w:rPr>
                <w:rFonts w:ascii="Times New Roman" w:eastAsia="Times New Roman"/>
              </w:rPr>
              <w:t>434mg/m</w:t>
            </w:r>
            <w:r>
              <w:rPr>
                <w:rFonts w:ascii="Times New Roman" w:eastAsia="Times New Roman"/>
                <w:position w:val="7"/>
                <w:sz w:val="14"/>
              </w:rPr>
              <w:t>3</w:t>
            </w:r>
          </w:p>
          <w:p>
            <w:pPr>
              <w:pStyle w:val="88"/>
              <w:spacing w:before="2" w:line="252" w:lineRule="exact"/>
              <w:ind w:left="105"/>
              <w:rPr>
                <w:rFonts w:ascii="Times New Roman" w:eastAsia="Times New Roman"/>
                <w:sz w:val="14"/>
              </w:rPr>
            </w:pPr>
            <w:r>
              <w:t xml:space="preserve">美国 </w:t>
            </w:r>
            <w:r>
              <w:rPr>
                <w:rFonts w:ascii="Times New Roman" w:eastAsia="Times New Roman"/>
              </w:rPr>
              <w:t>STEL</w:t>
            </w:r>
            <w:r>
              <w:t>：</w:t>
            </w:r>
            <w:r>
              <w:rPr>
                <w:rFonts w:ascii="Times New Roman" w:eastAsia="Times New Roman"/>
              </w:rPr>
              <w:t>ACGIH 150ppm</w:t>
            </w:r>
            <w:r>
              <w:t>，</w:t>
            </w:r>
            <w:r>
              <w:rPr>
                <w:rFonts w:ascii="Times New Roman" w:eastAsia="Times New Roman"/>
              </w:rPr>
              <w:t>651mg/m</w:t>
            </w:r>
            <w:r>
              <w:rPr>
                <w:rFonts w:ascii="Times New Roman" w:eastAsia="Times New Roman"/>
                <w:position w:val="7"/>
                <w:sz w:val="14"/>
              </w:rPr>
              <w:t>3</w:t>
            </w:r>
          </w:p>
        </w:tc>
        <w:tc>
          <w:tcPr>
            <w:tcW w:w="3757" w:type="dxa"/>
            <w:gridSpan w:val="3"/>
            <w:vAlign w:val="top"/>
          </w:tcPr>
          <w:p>
            <w:pPr>
              <w:pStyle w:val="88"/>
              <w:tabs>
                <w:tab w:val="left" w:pos="1787"/>
                <w:tab w:val="left" w:pos="2417"/>
              </w:tabs>
              <w:spacing w:before="90"/>
              <w:ind w:left="105"/>
            </w:pPr>
            <w:r>
              <w:t>侵入</w:t>
            </w:r>
            <w:r>
              <w:rPr>
                <w:spacing w:val="-3"/>
              </w:rPr>
              <w:t>途</w:t>
            </w:r>
            <w:r>
              <w:t>径</w:t>
            </w:r>
            <w:r>
              <w:rPr>
                <w:spacing w:val="-3"/>
              </w:rPr>
              <w:t>：</w:t>
            </w:r>
            <w:r>
              <w:t>吸入</w:t>
            </w:r>
            <w:r>
              <w:tab/>
            </w:r>
            <w:r>
              <w:rPr>
                <w:spacing w:val="-3"/>
              </w:rPr>
              <w:t>食</w:t>
            </w:r>
            <w:r>
              <w:t>入</w:t>
            </w:r>
            <w:r>
              <w:tab/>
            </w:r>
            <w:r>
              <w:t>经皮</w:t>
            </w:r>
            <w:r>
              <w:rPr>
                <w:spacing w:val="-3"/>
              </w:rPr>
              <w:t>吸</w:t>
            </w:r>
            <w:r>
              <w:t>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97" w:hRule="atLeast"/>
        </w:trPr>
        <w:tc>
          <w:tcPr>
            <w:tcW w:w="708" w:type="dxa"/>
            <w:vMerge w:val="continue"/>
            <w:tcBorders>
              <w:top w:val="nil"/>
            </w:tcBorders>
            <w:vAlign w:val="top"/>
          </w:tcPr>
          <w:p>
            <w:pPr>
              <w:rPr>
                <w:sz w:val="2"/>
                <w:szCs w:val="2"/>
              </w:rPr>
            </w:pPr>
          </w:p>
        </w:tc>
        <w:tc>
          <w:tcPr>
            <w:tcW w:w="847" w:type="dxa"/>
            <w:gridSpan w:val="2"/>
            <w:vMerge w:val="continue"/>
            <w:tcBorders>
              <w:top w:val="nil"/>
            </w:tcBorders>
            <w:vAlign w:val="top"/>
          </w:tcPr>
          <w:p>
            <w:pPr>
              <w:rPr>
                <w:sz w:val="2"/>
                <w:szCs w:val="2"/>
              </w:rPr>
            </w:pPr>
          </w:p>
        </w:tc>
        <w:tc>
          <w:tcPr>
            <w:tcW w:w="2799" w:type="dxa"/>
            <w:gridSpan w:val="2"/>
            <w:vMerge w:val="continue"/>
            <w:tcBorders>
              <w:top w:val="nil"/>
            </w:tcBorders>
            <w:vAlign w:val="top"/>
          </w:tcPr>
          <w:p>
            <w:pPr>
              <w:rPr>
                <w:sz w:val="2"/>
                <w:szCs w:val="2"/>
              </w:rPr>
            </w:pPr>
          </w:p>
        </w:tc>
        <w:tc>
          <w:tcPr>
            <w:tcW w:w="3757" w:type="dxa"/>
            <w:gridSpan w:val="3"/>
            <w:vAlign w:val="top"/>
          </w:tcPr>
          <w:p>
            <w:pPr>
              <w:pStyle w:val="88"/>
              <w:spacing w:before="39" w:line="244" w:lineRule="auto"/>
              <w:ind w:left="105" w:right="913"/>
              <w:rPr>
                <w:rFonts w:ascii="Times New Roman" w:eastAsia="Times New Roman"/>
              </w:rPr>
            </w:pPr>
            <w:r>
              <w:t>毒性</w:t>
            </w:r>
            <w:r>
              <w:rPr>
                <w:rFonts w:ascii="Times New Roman" w:eastAsia="Times New Roman"/>
              </w:rPr>
              <w:t>:</w:t>
            </w:r>
            <w:r>
              <w:t>属低毒类</w:t>
            </w:r>
            <w:r>
              <w:rPr>
                <w:rFonts w:ascii="Times New Roman" w:eastAsia="Times New Roman"/>
                <w:position w:val="1"/>
              </w:rPr>
              <w:t>LD</w:t>
            </w:r>
            <w:r>
              <w:rPr>
                <w:rFonts w:ascii="Times New Roman" w:eastAsia="Times New Roman"/>
                <w:sz w:val="14"/>
              </w:rPr>
              <w:t>50</w:t>
            </w:r>
            <w:r>
              <w:t>：</w:t>
            </w:r>
            <w:r>
              <w:rPr>
                <w:rFonts w:ascii="Times New Roman" w:eastAsia="Times New Roman"/>
                <w:position w:val="1"/>
              </w:rPr>
              <w:t>1364mg/kg(</w:t>
            </w:r>
            <w:r>
              <w:t>小鼠静注</w:t>
            </w:r>
            <w:r>
              <w:rPr>
                <w:rFonts w:ascii="Times New Roman" w:eastAsia="Times New Roman"/>
                <w:position w:val="1"/>
              </w:rPr>
              <w:t>) LC</w:t>
            </w:r>
            <w:r>
              <w:rPr>
                <w:rFonts w:ascii="Times New Roman" w:eastAsia="Times New Roman"/>
                <w:sz w:val="14"/>
              </w:rPr>
              <w:t>50</w:t>
            </w:r>
            <w:r>
              <w:t>：</w:t>
            </w:r>
            <w:r>
              <w:rPr>
                <w:rFonts w:ascii="Times New Roman" w:eastAsia="Times New Roman"/>
                <w:position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708" w:type="dxa"/>
            <w:vMerge w:val="continue"/>
            <w:tcBorders>
              <w:top w:val="nil"/>
            </w:tcBorders>
            <w:vAlign w:val="top"/>
          </w:tcPr>
          <w:p>
            <w:pPr>
              <w:rPr>
                <w:sz w:val="2"/>
                <w:szCs w:val="2"/>
              </w:rPr>
            </w:pPr>
          </w:p>
        </w:tc>
        <w:tc>
          <w:tcPr>
            <w:tcW w:w="847" w:type="dxa"/>
            <w:gridSpan w:val="2"/>
            <w:vAlign w:val="top"/>
          </w:tcPr>
          <w:p>
            <w:pPr>
              <w:pStyle w:val="88"/>
              <w:spacing w:before="3"/>
            </w:pPr>
          </w:p>
          <w:p>
            <w:pPr>
              <w:pStyle w:val="88"/>
              <w:tabs>
                <w:tab w:val="left" w:pos="530"/>
              </w:tabs>
              <w:ind w:left="107"/>
            </w:pPr>
            <w:r>
              <w:t>健</w:t>
            </w:r>
            <w:r>
              <w:tab/>
            </w:r>
            <w:r>
              <w:t>康</w:t>
            </w:r>
          </w:p>
          <w:p>
            <w:pPr>
              <w:pStyle w:val="88"/>
              <w:tabs>
                <w:tab w:val="left" w:pos="530"/>
              </w:tabs>
              <w:spacing w:before="4"/>
              <w:ind w:left="107"/>
            </w:pPr>
            <w:r>
              <w:t>危</w:t>
            </w:r>
            <w:r>
              <w:tab/>
            </w:r>
            <w:r>
              <w:t>害</w:t>
            </w:r>
          </w:p>
        </w:tc>
        <w:tc>
          <w:tcPr>
            <w:tcW w:w="6556" w:type="dxa"/>
            <w:gridSpan w:val="5"/>
            <w:vAlign w:val="top"/>
          </w:tcPr>
          <w:p>
            <w:pPr>
              <w:pStyle w:val="88"/>
              <w:spacing w:before="1" w:line="242" w:lineRule="auto"/>
              <w:ind w:left="105" w:right="95"/>
            </w:pPr>
            <w:r>
              <w:rPr>
                <w:spacing w:val="-7"/>
              </w:rPr>
              <w:t>对皮肤、粘膜有刺激作用，对中枢神经系统有麻醉作用；长期作用可影响肝、肾</w:t>
            </w:r>
            <w:r>
              <w:rPr>
                <w:spacing w:val="-10"/>
              </w:rPr>
              <w:t>功能。急性中毒：病人有咳嗽、流沮、结膜充血等重症者有幻觉、谵妄、神志不清等，有的有癔病样发作。慢性中毒：病人有神经衰弱综合征的表现，女工有月</w:t>
            </w:r>
          </w:p>
          <w:p>
            <w:pPr>
              <w:pStyle w:val="88"/>
              <w:spacing w:line="252" w:lineRule="exact"/>
              <w:ind w:left="105"/>
            </w:pPr>
            <w:r>
              <w:t>经异常，工人常发生皮肤干燥、皲裂、皮炎。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3" w:hRule="atLeast"/>
        </w:trPr>
        <w:tc>
          <w:tcPr>
            <w:tcW w:w="708" w:type="dxa"/>
            <w:vMerge w:val="continue"/>
            <w:tcBorders>
              <w:top w:val="nil"/>
            </w:tcBorders>
            <w:vAlign w:val="top"/>
          </w:tcPr>
          <w:p>
            <w:pPr>
              <w:rPr>
                <w:sz w:val="2"/>
                <w:szCs w:val="2"/>
              </w:rPr>
            </w:pPr>
          </w:p>
        </w:tc>
        <w:tc>
          <w:tcPr>
            <w:tcW w:w="847" w:type="dxa"/>
            <w:gridSpan w:val="2"/>
            <w:vAlign w:val="top"/>
          </w:tcPr>
          <w:p>
            <w:pPr>
              <w:pStyle w:val="88"/>
              <w:spacing w:before="3"/>
            </w:pPr>
          </w:p>
          <w:p>
            <w:pPr>
              <w:pStyle w:val="88"/>
              <w:tabs>
                <w:tab w:val="left" w:pos="530"/>
              </w:tabs>
              <w:spacing w:line="244" w:lineRule="auto"/>
              <w:ind w:left="107" w:right="93"/>
            </w:pPr>
            <w:r>
              <w:t>急</w:t>
            </w:r>
            <w:r>
              <w:tab/>
            </w:r>
            <w:r>
              <w:rPr>
                <w:spacing w:val="-18"/>
              </w:rPr>
              <w:t>救</w:t>
            </w:r>
            <w:r>
              <w:t>与</w:t>
            </w:r>
          </w:p>
          <w:p>
            <w:pPr>
              <w:pStyle w:val="88"/>
              <w:tabs>
                <w:tab w:val="left" w:pos="530"/>
              </w:tabs>
              <w:spacing w:line="265" w:lineRule="exact"/>
              <w:ind w:left="107"/>
            </w:pPr>
            <w:r>
              <w:t>防</w:t>
            </w:r>
            <w:r>
              <w:tab/>
            </w:r>
            <w:r>
              <w:t>护</w:t>
            </w:r>
          </w:p>
        </w:tc>
        <w:tc>
          <w:tcPr>
            <w:tcW w:w="6556" w:type="dxa"/>
            <w:gridSpan w:val="5"/>
            <w:vAlign w:val="top"/>
          </w:tcPr>
          <w:p>
            <w:pPr>
              <w:pStyle w:val="88"/>
              <w:spacing w:before="1" w:line="242" w:lineRule="auto"/>
              <w:ind w:left="105" w:right="2179"/>
            </w:pPr>
            <w:r>
              <w:t>皮肤接触</w:t>
            </w:r>
            <w:r>
              <w:rPr>
                <w:rFonts w:ascii="Times New Roman" w:eastAsia="Times New Roman"/>
              </w:rPr>
              <w:t xml:space="preserve">: </w:t>
            </w:r>
            <w:r>
              <w:t>脱去污染的衣着，用肥皂水及清水彻底冲洗。眼睛接触</w:t>
            </w:r>
            <w:r>
              <w:rPr>
                <w:rFonts w:ascii="Times New Roman" w:eastAsia="Times New Roman"/>
              </w:rPr>
              <w:t xml:space="preserve">: </w:t>
            </w:r>
            <w:r>
              <w:t>立即提起眼睑，用大量流动清水彻底冲洗。</w:t>
            </w:r>
          </w:p>
          <w:p>
            <w:pPr>
              <w:pStyle w:val="88"/>
              <w:spacing w:before="1" w:line="242" w:lineRule="auto"/>
              <w:ind w:left="105" w:right="93"/>
            </w:pPr>
            <w:r>
              <w:t>吸入</w:t>
            </w:r>
            <w:r>
              <w:rPr>
                <w:rFonts w:ascii="Times New Roman" w:eastAsia="Times New Roman"/>
              </w:rPr>
              <w:t xml:space="preserve">: </w:t>
            </w:r>
            <w:r>
              <w:t>迅速脱离现场至空气新鲜处。保持呼吸道通畅。呼吸困难时给输氧。呼吸及心跳停止者立即进行人工呼吸和心脏按压术。就医。</w:t>
            </w:r>
          </w:p>
          <w:p>
            <w:pPr>
              <w:pStyle w:val="88"/>
              <w:spacing w:before="2" w:line="252" w:lineRule="exact"/>
              <w:ind w:left="105"/>
            </w:pPr>
            <w:r>
              <w:t>食入</w:t>
            </w:r>
            <w:r>
              <w:rPr>
                <w:rFonts w:ascii="Times New Roman" w:eastAsia="Times New Roman"/>
              </w:rPr>
              <w:t xml:space="preserve">: </w:t>
            </w:r>
            <w:r>
              <w:t>误服者给充分漱口、饮水，尽快洗胃。就医。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08" w:type="dxa"/>
            <w:vMerge w:val="restart"/>
            <w:vAlign w:val="top"/>
          </w:tcPr>
          <w:p>
            <w:pPr>
              <w:pStyle w:val="88"/>
              <w:rPr>
                <w:sz w:val="20"/>
              </w:rPr>
            </w:pPr>
          </w:p>
          <w:p>
            <w:pPr>
              <w:pStyle w:val="88"/>
              <w:spacing w:before="2"/>
              <w:rPr>
                <w:sz w:val="16"/>
              </w:rPr>
            </w:pPr>
          </w:p>
          <w:p>
            <w:pPr>
              <w:pStyle w:val="88"/>
              <w:spacing w:before="1" w:line="242" w:lineRule="auto"/>
              <w:ind w:left="107" w:right="21"/>
            </w:pPr>
            <w:r>
              <w:t>燃烧爆炸危险性</w:t>
            </w:r>
          </w:p>
        </w:tc>
        <w:tc>
          <w:tcPr>
            <w:tcW w:w="2689" w:type="dxa"/>
            <w:gridSpan w:val="3"/>
            <w:vAlign w:val="top"/>
          </w:tcPr>
          <w:p>
            <w:pPr>
              <w:pStyle w:val="88"/>
              <w:spacing w:before="89"/>
              <w:ind w:left="107"/>
            </w:pPr>
            <w:r>
              <w:t>燃烧性：易燃</w:t>
            </w:r>
          </w:p>
        </w:tc>
        <w:tc>
          <w:tcPr>
            <w:tcW w:w="4714" w:type="dxa"/>
            <w:gridSpan w:val="4"/>
            <w:vAlign w:val="top"/>
          </w:tcPr>
          <w:p>
            <w:pPr>
              <w:pStyle w:val="88"/>
              <w:spacing w:before="89"/>
              <w:ind w:left="124"/>
            </w:pPr>
            <w:r>
              <w:t>燃烧（分解）产物：一氧化碳、二氧化碳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708" w:type="dxa"/>
            <w:vMerge w:val="continue"/>
            <w:tcBorders>
              <w:top w:val="nil"/>
            </w:tcBorders>
            <w:vAlign w:val="top"/>
          </w:tcPr>
          <w:p>
            <w:pPr>
              <w:rPr>
                <w:sz w:val="2"/>
                <w:szCs w:val="2"/>
              </w:rPr>
            </w:pPr>
          </w:p>
        </w:tc>
        <w:tc>
          <w:tcPr>
            <w:tcW w:w="3646" w:type="dxa"/>
            <w:gridSpan w:val="4"/>
            <w:vAlign w:val="top"/>
          </w:tcPr>
          <w:p>
            <w:pPr>
              <w:pStyle w:val="88"/>
              <w:spacing w:before="89"/>
              <w:ind w:left="107"/>
              <w:rPr>
                <w:rFonts w:ascii="Times New Roman" w:hAnsi="Times New Roman" w:eastAsia="Times New Roman"/>
              </w:rPr>
            </w:pPr>
            <w:r>
              <w:t>闪点（℃）：</w:t>
            </w:r>
            <w:r>
              <w:rPr>
                <w:rFonts w:ascii="Times New Roman" w:hAnsi="Times New Roman" w:eastAsia="Times New Roman"/>
              </w:rPr>
              <w:t>30</w:t>
            </w:r>
          </w:p>
        </w:tc>
        <w:tc>
          <w:tcPr>
            <w:tcW w:w="1532" w:type="dxa"/>
            <w:vAlign w:val="top"/>
          </w:tcPr>
          <w:p>
            <w:pPr>
              <w:pStyle w:val="88"/>
              <w:spacing w:before="89"/>
              <w:ind w:left="100"/>
              <w:rPr>
                <w:rFonts w:ascii="Times New Roman" w:hAnsi="Times New Roman" w:eastAsia="Times New Roman"/>
              </w:rPr>
            </w:pPr>
            <w:r>
              <w:t>自燃点（℃）：</w:t>
            </w:r>
            <w:r>
              <w:rPr>
                <w:rFonts w:ascii="Times New Roman" w:hAnsi="Times New Roman" w:eastAsia="Times New Roman"/>
              </w:rPr>
              <w:t>463</w:t>
            </w:r>
          </w:p>
        </w:tc>
        <w:tc>
          <w:tcPr>
            <w:tcW w:w="2225" w:type="dxa"/>
            <w:gridSpan w:val="2"/>
            <w:vAlign w:val="top"/>
          </w:tcPr>
          <w:p>
            <w:pPr>
              <w:pStyle w:val="88"/>
              <w:spacing w:before="89"/>
              <w:ind w:left="107"/>
              <w:rPr>
                <w:rFonts w:ascii="Times New Roman" w:eastAsia="Times New Roman"/>
              </w:rPr>
            </w:pPr>
            <w:r>
              <w:t>爆炸下限（</w:t>
            </w:r>
            <w:r>
              <w:rPr>
                <w:rFonts w:ascii="Times New Roman" w:eastAsia="Times New Roman"/>
              </w:rPr>
              <w:t>V%</w:t>
            </w:r>
            <w:r>
              <w:t>）：</w:t>
            </w:r>
            <w:r>
              <w:rPr>
                <w:rFonts w:ascii="Times New Roman" w:eastAsia="Times New Roman"/>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708" w:type="dxa"/>
            <w:vMerge w:val="continue"/>
            <w:tcBorders>
              <w:top w:val="nil"/>
            </w:tcBorders>
            <w:vAlign w:val="top"/>
          </w:tcPr>
          <w:p>
            <w:pPr>
              <w:rPr>
                <w:sz w:val="2"/>
                <w:szCs w:val="2"/>
              </w:rPr>
            </w:pPr>
          </w:p>
        </w:tc>
        <w:tc>
          <w:tcPr>
            <w:tcW w:w="751" w:type="dxa"/>
            <w:vAlign w:val="top"/>
          </w:tcPr>
          <w:p>
            <w:pPr>
              <w:pStyle w:val="88"/>
            </w:pPr>
          </w:p>
          <w:p>
            <w:pPr>
              <w:pStyle w:val="88"/>
              <w:spacing w:line="244" w:lineRule="auto"/>
              <w:ind w:left="107" w:right="208"/>
            </w:pPr>
            <w:r>
              <w:t>危险特性</w:t>
            </w:r>
          </w:p>
        </w:tc>
        <w:tc>
          <w:tcPr>
            <w:tcW w:w="6652" w:type="dxa"/>
            <w:gridSpan w:val="6"/>
            <w:vAlign w:val="top"/>
          </w:tcPr>
          <w:p>
            <w:pPr>
              <w:pStyle w:val="88"/>
              <w:spacing w:line="242" w:lineRule="auto"/>
              <w:ind w:left="105" w:right="97"/>
            </w:pPr>
            <w:r>
              <w:t>其蒸气与空气形成爆炸性混合物，遇明火、高热能引起燃烧爆炸。与氧化剂能发生强烈反应。其蒸气比空气重，能在较低处扩散到相当远的地方，遇火源引着回燃。若遇高热，容器内压增大，有开裂和爆炸的危险。流速过快，容易产生和积</w:t>
            </w:r>
          </w:p>
          <w:p>
            <w:pPr>
              <w:pStyle w:val="88"/>
              <w:spacing w:line="255" w:lineRule="exact"/>
              <w:ind w:left="105"/>
            </w:pPr>
            <w:r>
              <w:t>聚静电。</w:t>
            </w:r>
          </w:p>
        </w:tc>
      </w:tr>
    </w:tbl>
    <w:p>
      <w:pPr>
        <w:pStyle w:val="16"/>
        <w:spacing w:before="10"/>
        <w:rPr>
          <w:sz w:val="4"/>
        </w:rPr>
      </w:pPr>
    </w:p>
    <w:tbl>
      <w:tblPr>
        <w:tblStyle w:val="54"/>
        <w:tblW w:w="8141"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378"/>
        <w:gridCol w:w="2295"/>
        <w:gridCol w:w="2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08" w:type="dxa"/>
            <w:vAlign w:val="top"/>
          </w:tcPr>
          <w:p>
            <w:pPr>
              <w:pStyle w:val="88"/>
              <w:rPr>
                <w:rFonts w:ascii="Times New Roman"/>
                <w:sz w:val="20"/>
              </w:rPr>
            </w:pPr>
          </w:p>
        </w:tc>
        <w:tc>
          <w:tcPr>
            <w:tcW w:w="2378" w:type="dxa"/>
            <w:vAlign w:val="top"/>
          </w:tcPr>
          <w:p>
            <w:pPr>
              <w:pStyle w:val="88"/>
              <w:spacing w:before="89"/>
              <w:ind w:left="107"/>
            </w:pPr>
            <w:r>
              <w:t>稳定性：稳定</w:t>
            </w:r>
          </w:p>
        </w:tc>
        <w:tc>
          <w:tcPr>
            <w:tcW w:w="2295" w:type="dxa"/>
            <w:vAlign w:val="top"/>
          </w:tcPr>
          <w:p>
            <w:pPr>
              <w:pStyle w:val="88"/>
              <w:spacing w:before="89"/>
              <w:ind w:left="105"/>
            </w:pPr>
            <w:r>
              <w:t>聚合危险：不能出现</w:t>
            </w:r>
          </w:p>
        </w:tc>
        <w:tc>
          <w:tcPr>
            <w:tcW w:w="2760" w:type="dxa"/>
            <w:vAlign w:val="top"/>
          </w:tcPr>
          <w:p>
            <w:pPr>
              <w:pStyle w:val="88"/>
              <w:spacing w:before="89"/>
              <w:ind w:left="105"/>
            </w:pPr>
            <w:r>
              <w:t>禁忌物：强氧化剂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2" w:hRule="atLeast"/>
        </w:trPr>
        <w:tc>
          <w:tcPr>
            <w:tcW w:w="708" w:type="dxa"/>
            <w:vAlign w:val="top"/>
          </w:tcPr>
          <w:p>
            <w:pPr>
              <w:pStyle w:val="88"/>
              <w:spacing w:before="3"/>
            </w:pPr>
          </w:p>
          <w:p>
            <w:pPr>
              <w:pStyle w:val="88"/>
              <w:spacing w:line="242" w:lineRule="auto"/>
              <w:ind w:left="107" w:right="165"/>
            </w:pPr>
            <w:r>
              <w:t>储运注意事项</w:t>
            </w:r>
          </w:p>
        </w:tc>
        <w:tc>
          <w:tcPr>
            <w:tcW w:w="7433" w:type="dxa"/>
            <w:gridSpan w:val="3"/>
            <w:vAlign w:val="top"/>
          </w:tcPr>
          <w:p>
            <w:pPr>
              <w:pStyle w:val="88"/>
              <w:spacing w:line="242" w:lineRule="auto"/>
              <w:ind w:left="107" w:right="91"/>
            </w:pPr>
            <w:r>
              <w:rPr>
                <w:spacing w:val="-9"/>
              </w:rPr>
              <w:t xml:space="preserve">储存于阴凉、通风仓间内。远离火种、热源。仓温不宜超过 </w:t>
            </w:r>
            <w:r>
              <w:rPr>
                <w:rFonts w:ascii="Times New Roman" w:hAnsi="Times New Roman" w:eastAsia="Times New Roman"/>
              </w:rPr>
              <w:t>30</w:t>
            </w:r>
            <w:r>
              <w:rPr>
                <w:spacing w:val="-8"/>
              </w:rPr>
              <w:t>℃。防止阳光直射。保持容</w:t>
            </w:r>
            <w:r>
              <w:rPr>
                <w:spacing w:val="-10"/>
              </w:rPr>
              <w:t>器密封。应与氧化剂分开存放。储存间内的照明、通风等设施应采用防爆型，开关设在仓</w:t>
            </w:r>
            <w:r>
              <w:rPr>
                <w:spacing w:val="-9"/>
              </w:rPr>
              <w:t>外。配备相应品种和数量的消防器材。罐储时要有防火防爆技术措施。露天贮罐夏季要有</w:t>
            </w:r>
          </w:p>
          <w:p>
            <w:pPr>
              <w:pStyle w:val="88"/>
              <w:spacing w:before="1" w:line="270" w:lineRule="atLeast"/>
              <w:ind w:left="107" w:right="91"/>
            </w:pPr>
            <w:r>
              <w:rPr>
                <w:spacing w:val="-3"/>
              </w:rPr>
              <w:t>降温措施。禁止使用易产生火花的机械设备和工具。灌装时应注意流速</w:t>
            </w:r>
            <w:r>
              <w:rPr>
                <w:rFonts w:ascii="Times New Roman" w:eastAsia="Times New Roman"/>
                <w:spacing w:val="-4"/>
              </w:rPr>
              <w:t>(</w:t>
            </w:r>
            <w:r>
              <w:rPr>
                <w:spacing w:val="2"/>
              </w:rPr>
              <w:t xml:space="preserve">不超过 </w:t>
            </w:r>
            <w:r>
              <w:rPr>
                <w:rFonts w:ascii="Times New Roman" w:eastAsia="Times New Roman"/>
              </w:rPr>
              <w:t>3m</w:t>
            </w:r>
            <w:r>
              <w:t>／</w:t>
            </w:r>
            <w:r>
              <w:rPr>
                <w:rFonts w:ascii="Times New Roman" w:eastAsia="Times New Roman"/>
              </w:rPr>
              <w:t>s)</w:t>
            </w:r>
            <w:r>
              <w:t xml:space="preserve">， </w:t>
            </w:r>
            <w:r>
              <w:rPr>
                <w:spacing w:val="-3"/>
              </w:rPr>
              <w:t>且有接地装置，防止静电积聚。搬运时要轻装轻卸，防止包装及容器损坏。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708" w:type="dxa"/>
            <w:vAlign w:val="top"/>
          </w:tcPr>
          <w:p>
            <w:pPr>
              <w:pStyle w:val="88"/>
              <w:spacing w:line="268" w:lineRule="exact"/>
              <w:ind w:left="107"/>
            </w:pPr>
            <w:r>
              <w:t xml:space="preserve">灭火 </w:t>
            </w:r>
          </w:p>
          <w:p>
            <w:pPr>
              <w:pStyle w:val="88"/>
              <w:spacing w:before="4" w:line="252" w:lineRule="exact"/>
              <w:ind w:left="107"/>
            </w:pPr>
            <w:r>
              <w:t>方法</w:t>
            </w:r>
          </w:p>
        </w:tc>
        <w:tc>
          <w:tcPr>
            <w:tcW w:w="7433" w:type="dxa"/>
            <w:gridSpan w:val="3"/>
            <w:vAlign w:val="top"/>
          </w:tcPr>
          <w:p>
            <w:pPr>
              <w:pStyle w:val="88"/>
              <w:spacing w:before="135"/>
              <w:ind w:left="107"/>
            </w:pPr>
            <w:r>
              <w:t>泡沫、二氧化碳、干粉、砂土。用水灭火无效。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2" w:hRule="atLeast"/>
        </w:trPr>
        <w:tc>
          <w:tcPr>
            <w:tcW w:w="708" w:type="dxa"/>
            <w:vAlign w:val="top"/>
          </w:tcPr>
          <w:p>
            <w:pPr>
              <w:pStyle w:val="88"/>
              <w:rPr>
                <w:sz w:val="20"/>
              </w:rPr>
            </w:pPr>
          </w:p>
          <w:p>
            <w:pPr>
              <w:pStyle w:val="88"/>
              <w:spacing w:before="150" w:line="244" w:lineRule="auto"/>
              <w:ind w:left="107" w:right="21"/>
            </w:pPr>
            <w:r>
              <w:t>泄漏处置</w:t>
            </w:r>
          </w:p>
        </w:tc>
        <w:tc>
          <w:tcPr>
            <w:tcW w:w="7433" w:type="dxa"/>
            <w:gridSpan w:val="3"/>
            <w:vAlign w:val="top"/>
          </w:tcPr>
          <w:p>
            <w:pPr>
              <w:pStyle w:val="88"/>
              <w:spacing w:line="242" w:lineRule="auto"/>
              <w:ind w:left="107" w:right="92"/>
            </w:pPr>
            <w:r>
              <w:rPr>
                <w:spacing w:val="-6"/>
              </w:rPr>
              <w:t>疏散泄漏污染区人员至安全区，禁止无关人员进入污染区，切断火源。建议应急处理人员</w:t>
            </w:r>
            <w:r>
              <w:rPr>
                <w:spacing w:val="-9"/>
              </w:rPr>
              <w:t>戴好防毒面具，穿一般消防防护服。在确保安全情况下堵漏。喷水雾会减少蒸发，但不能</w:t>
            </w:r>
            <w:r>
              <w:rPr>
                <w:spacing w:val="-8"/>
              </w:rPr>
              <w:t>降低泄漏物在受限制空间内的易燃性。用活性炭或其它惰性材料吸收，然后使用无火花工</w:t>
            </w:r>
          </w:p>
          <w:p>
            <w:pPr>
              <w:pStyle w:val="88"/>
              <w:spacing w:before="1" w:line="270" w:lineRule="atLeast"/>
              <w:ind w:left="107" w:right="94"/>
            </w:pPr>
            <w:r>
              <w:rPr>
                <w:spacing w:val="-6"/>
              </w:rPr>
              <w:t>具收集运至废物处理场所处置。也可以用不燃性分散剂制成的乳液刷洗，经稀释的洗水放</w:t>
            </w:r>
            <w:r>
              <w:rPr>
                <w:spacing w:val="-4"/>
              </w:rPr>
              <w:t>入废水系统。如大量泄漏，利用围堤收容，然后收集、转移、回收或无害处理后废弃。</w:t>
            </w:r>
          </w:p>
        </w:tc>
      </w:tr>
    </w:tbl>
    <w:p>
      <w:pPr>
        <w:spacing w:before="1"/>
        <w:ind w:left="240"/>
        <w:jc w:val="center"/>
      </w:pPr>
      <w:r>
        <w:rPr>
          <w:b/>
          <w:bCs/>
        </w:rPr>
        <w:t xml:space="preserve">表 </w:t>
      </w:r>
      <w:r>
        <w:rPr>
          <w:rFonts w:eastAsia="Times New Roman"/>
          <w:b/>
          <w:bCs/>
        </w:rPr>
        <w:t xml:space="preserve">3.1-3 </w:t>
      </w:r>
      <w:r>
        <w:rPr>
          <w:b/>
          <w:bCs/>
        </w:rPr>
        <w:t>氮（压缩的）理化性质及危险、有害特性表</w:t>
      </w:r>
    </w:p>
    <w:p>
      <w:pPr>
        <w:pStyle w:val="16"/>
        <w:spacing w:before="10" w:after="1"/>
        <w:rPr>
          <w:sz w:val="10"/>
        </w:rPr>
      </w:pPr>
    </w:p>
    <w:tbl>
      <w:tblPr>
        <w:tblStyle w:val="54"/>
        <w:tblW w:w="8171"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700"/>
        <w:gridCol w:w="177"/>
        <w:gridCol w:w="537"/>
        <w:gridCol w:w="189"/>
        <w:gridCol w:w="590"/>
        <w:gridCol w:w="443"/>
        <w:gridCol w:w="700"/>
        <w:gridCol w:w="707"/>
        <w:gridCol w:w="361"/>
        <w:gridCol w:w="717"/>
        <w:gridCol w:w="2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50" w:type="dxa"/>
            <w:vAlign w:val="top"/>
          </w:tcPr>
          <w:p>
            <w:pPr>
              <w:pStyle w:val="88"/>
              <w:spacing w:before="90"/>
              <w:ind w:left="107"/>
            </w:pPr>
            <w:r>
              <w:t>标识</w:t>
            </w:r>
          </w:p>
        </w:tc>
        <w:tc>
          <w:tcPr>
            <w:tcW w:w="3336" w:type="dxa"/>
            <w:gridSpan w:val="7"/>
            <w:vAlign w:val="top"/>
          </w:tcPr>
          <w:p>
            <w:pPr>
              <w:pStyle w:val="88"/>
              <w:spacing w:before="90"/>
              <w:ind w:left="105"/>
              <w:rPr>
                <w:rFonts w:ascii="Times New Roman" w:eastAsia="Times New Roman"/>
              </w:rPr>
            </w:pPr>
            <w:r>
              <w:t>英文名：</w:t>
            </w:r>
            <w:r>
              <w:rPr>
                <w:rFonts w:ascii="Times New Roman" w:eastAsia="Times New Roman"/>
              </w:rPr>
              <w:t>Nitrogen</w:t>
            </w:r>
          </w:p>
        </w:tc>
        <w:tc>
          <w:tcPr>
            <w:tcW w:w="1785" w:type="dxa"/>
            <w:gridSpan w:val="3"/>
            <w:vAlign w:val="top"/>
          </w:tcPr>
          <w:p>
            <w:pPr>
              <w:pStyle w:val="88"/>
              <w:spacing w:before="94"/>
              <w:ind w:left="113"/>
              <w:rPr>
                <w:rFonts w:ascii="Times New Roman" w:eastAsia="Times New Roman"/>
                <w:sz w:val="14"/>
              </w:rPr>
            </w:pPr>
            <w:r>
              <w:t>分子式：</w:t>
            </w:r>
            <w:r>
              <w:rPr>
                <w:rFonts w:ascii="Times New Roman" w:eastAsia="Times New Roman"/>
                <w:position w:val="1"/>
              </w:rPr>
              <w:t>N</w:t>
            </w:r>
            <w:r>
              <w:rPr>
                <w:rFonts w:ascii="Times New Roman" w:eastAsia="Times New Roman"/>
                <w:sz w:val="14"/>
              </w:rPr>
              <w:t>2</w:t>
            </w:r>
          </w:p>
        </w:tc>
        <w:tc>
          <w:tcPr>
            <w:tcW w:w="2400" w:type="dxa"/>
            <w:vAlign w:val="top"/>
          </w:tcPr>
          <w:p>
            <w:pPr>
              <w:pStyle w:val="88"/>
              <w:spacing w:before="90"/>
              <w:ind w:left="117"/>
              <w:rPr>
                <w:rFonts w:ascii="Times New Roman" w:eastAsia="Times New Roman"/>
              </w:rPr>
            </w:pPr>
            <w:r>
              <w:t>分子量：</w:t>
            </w:r>
            <w:r>
              <w:rPr>
                <w:rFonts w:ascii="Times New Roman" w:eastAsia="Times New Roman"/>
              </w:rPr>
              <w:t>28.01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650" w:type="dxa"/>
            <w:vMerge w:val="restart"/>
            <w:vAlign w:val="top"/>
          </w:tcPr>
          <w:p>
            <w:pPr>
              <w:pStyle w:val="88"/>
              <w:rPr>
                <w:sz w:val="20"/>
              </w:rPr>
            </w:pPr>
          </w:p>
          <w:p>
            <w:pPr>
              <w:pStyle w:val="88"/>
              <w:rPr>
                <w:sz w:val="20"/>
              </w:rPr>
            </w:pPr>
          </w:p>
          <w:p>
            <w:pPr>
              <w:pStyle w:val="88"/>
              <w:spacing w:before="139" w:line="242" w:lineRule="auto"/>
              <w:ind w:left="107" w:right="83"/>
            </w:pPr>
            <w:r>
              <w:t>理化特性</w:t>
            </w:r>
          </w:p>
        </w:tc>
        <w:tc>
          <w:tcPr>
            <w:tcW w:w="1414" w:type="dxa"/>
            <w:gridSpan w:val="3"/>
            <w:vAlign w:val="top"/>
          </w:tcPr>
          <w:p>
            <w:pPr>
              <w:pStyle w:val="88"/>
              <w:spacing w:before="89"/>
              <w:ind w:left="105"/>
            </w:pPr>
            <w:r>
              <w:t>外观与性状</w:t>
            </w:r>
          </w:p>
        </w:tc>
        <w:tc>
          <w:tcPr>
            <w:tcW w:w="6107" w:type="dxa"/>
            <w:gridSpan w:val="8"/>
            <w:vAlign w:val="top"/>
          </w:tcPr>
          <w:p>
            <w:pPr>
              <w:pStyle w:val="88"/>
              <w:spacing w:before="89"/>
              <w:ind w:left="110"/>
            </w:pPr>
            <w:r>
              <w:t>无色无臭气体。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50" w:type="dxa"/>
            <w:vMerge w:val="continue"/>
            <w:tcBorders>
              <w:top w:val="nil"/>
            </w:tcBorders>
            <w:vAlign w:val="top"/>
          </w:tcPr>
          <w:p>
            <w:pPr>
              <w:rPr>
                <w:sz w:val="2"/>
                <w:szCs w:val="2"/>
              </w:rPr>
            </w:pPr>
          </w:p>
        </w:tc>
        <w:tc>
          <w:tcPr>
            <w:tcW w:w="2636" w:type="dxa"/>
            <w:gridSpan w:val="6"/>
            <w:vAlign w:val="top"/>
          </w:tcPr>
          <w:p>
            <w:pPr>
              <w:pStyle w:val="88"/>
              <w:spacing w:before="89"/>
              <w:ind w:left="105"/>
              <w:rPr>
                <w:rFonts w:ascii="Times New Roman" w:hAnsi="Times New Roman" w:eastAsia="Times New Roman"/>
              </w:rPr>
            </w:pPr>
            <w:r>
              <w:t>熔点（</w:t>
            </w:r>
            <w:r>
              <w:rPr>
                <w:rFonts w:ascii="Times New Roman" w:hAnsi="Times New Roman" w:eastAsia="Times New Roman"/>
              </w:rPr>
              <w:t>℃</w:t>
            </w:r>
            <w:r>
              <w:t>）：</w:t>
            </w:r>
            <w:r>
              <w:rPr>
                <w:rFonts w:ascii="Times New Roman" w:hAnsi="Times New Roman" w:eastAsia="Times New Roman"/>
              </w:rPr>
              <w:t>-209.8</w:t>
            </w:r>
          </w:p>
        </w:tc>
        <w:tc>
          <w:tcPr>
            <w:tcW w:w="4885" w:type="dxa"/>
            <w:gridSpan w:val="5"/>
            <w:vAlign w:val="top"/>
          </w:tcPr>
          <w:p>
            <w:pPr>
              <w:pStyle w:val="88"/>
              <w:spacing w:before="89"/>
              <w:ind w:left="110"/>
            </w:pPr>
            <w:r>
              <w:t>蒸汽压（</w:t>
            </w:r>
            <w:r>
              <w:rPr>
                <w:rFonts w:ascii="Times New Roman" w:hAnsi="Times New Roman" w:eastAsia="Times New Roman"/>
              </w:rPr>
              <w:t>kPa</w:t>
            </w:r>
            <w:r>
              <w:t>）：</w:t>
            </w:r>
            <w:r>
              <w:rPr>
                <w:rFonts w:ascii="Times New Roman" w:hAnsi="Times New Roman" w:eastAsia="Times New Roman"/>
              </w:rPr>
              <w:t>1026.42</w:t>
            </w:r>
            <w:r>
              <w:t>／</w:t>
            </w:r>
            <w:r>
              <w:rPr>
                <w:rFonts w:ascii="Times New Roman" w:hAnsi="Times New Roman" w:eastAsia="Times New Roman"/>
              </w:rPr>
              <w:t>-173</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50" w:type="dxa"/>
            <w:vMerge w:val="continue"/>
            <w:tcBorders>
              <w:top w:val="nil"/>
            </w:tcBorders>
            <w:vAlign w:val="top"/>
          </w:tcPr>
          <w:p>
            <w:pPr>
              <w:rPr>
                <w:sz w:val="2"/>
                <w:szCs w:val="2"/>
              </w:rPr>
            </w:pPr>
          </w:p>
        </w:tc>
        <w:tc>
          <w:tcPr>
            <w:tcW w:w="2636" w:type="dxa"/>
            <w:gridSpan w:val="6"/>
            <w:vAlign w:val="top"/>
          </w:tcPr>
          <w:p>
            <w:pPr>
              <w:pStyle w:val="88"/>
              <w:spacing w:before="90"/>
              <w:ind w:left="105"/>
              <w:rPr>
                <w:rFonts w:ascii="Times New Roman" w:hAnsi="Times New Roman" w:eastAsia="Times New Roman"/>
              </w:rPr>
            </w:pPr>
            <w:r>
              <w:t>沸点（</w:t>
            </w:r>
            <w:r>
              <w:rPr>
                <w:rFonts w:ascii="Times New Roman" w:hAnsi="Times New Roman" w:eastAsia="Times New Roman"/>
              </w:rPr>
              <w:t>℃</w:t>
            </w:r>
            <w:r>
              <w:t>）：</w:t>
            </w:r>
            <w:r>
              <w:rPr>
                <w:rFonts w:ascii="Times New Roman" w:hAnsi="Times New Roman" w:eastAsia="Times New Roman"/>
              </w:rPr>
              <w:t>-195.6</w:t>
            </w:r>
          </w:p>
        </w:tc>
        <w:tc>
          <w:tcPr>
            <w:tcW w:w="4885" w:type="dxa"/>
            <w:gridSpan w:val="5"/>
            <w:vAlign w:val="top"/>
          </w:tcPr>
          <w:p>
            <w:pPr>
              <w:pStyle w:val="88"/>
              <w:spacing w:before="90"/>
              <w:ind w:left="110"/>
            </w:pPr>
            <w:r>
              <w:t>相对密度</w:t>
            </w:r>
            <w:r>
              <w:rPr>
                <w:rFonts w:ascii="Times New Roman" w:hAnsi="Times New Roman" w:eastAsia="Times New Roman"/>
              </w:rPr>
              <w:t>(</w:t>
            </w:r>
            <w:r>
              <w:t>水</w:t>
            </w:r>
            <w:r>
              <w:rPr>
                <w:rFonts w:ascii="Times New Roman" w:hAnsi="Times New Roman" w:eastAsia="Times New Roman"/>
              </w:rPr>
              <w:t>=1)</w:t>
            </w:r>
            <w:r>
              <w:t>：</w:t>
            </w:r>
            <w:r>
              <w:rPr>
                <w:rFonts w:ascii="Times New Roman" w:hAnsi="Times New Roman" w:eastAsia="Times New Roman"/>
              </w:rPr>
              <w:t>0.81</w:t>
            </w:r>
            <w:r>
              <w:t>／</w:t>
            </w:r>
            <w:r>
              <w:rPr>
                <w:rFonts w:ascii="Times New Roman" w:hAnsi="Times New Roman" w:eastAsia="Times New Roman"/>
              </w:rPr>
              <w:t>-196</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650" w:type="dxa"/>
            <w:vMerge w:val="continue"/>
            <w:tcBorders>
              <w:top w:val="nil"/>
            </w:tcBorders>
            <w:vAlign w:val="top"/>
          </w:tcPr>
          <w:p>
            <w:pPr>
              <w:rPr>
                <w:sz w:val="2"/>
                <w:szCs w:val="2"/>
              </w:rPr>
            </w:pPr>
          </w:p>
        </w:tc>
        <w:tc>
          <w:tcPr>
            <w:tcW w:w="877" w:type="dxa"/>
            <w:gridSpan w:val="2"/>
            <w:vAlign w:val="top"/>
          </w:tcPr>
          <w:p>
            <w:pPr>
              <w:pStyle w:val="88"/>
              <w:spacing w:before="90"/>
              <w:ind w:left="105"/>
            </w:pPr>
            <w:r>
              <w:t>溶解性</w:t>
            </w:r>
          </w:p>
        </w:tc>
        <w:tc>
          <w:tcPr>
            <w:tcW w:w="6644" w:type="dxa"/>
            <w:gridSpan w:val="9"/>
            <w:vAlign w:val="top"/>
          </w:tcPr>
          <w:p>
            <w:pPr>
              <w:pStyle w:val="88"/>
              <w:spacing w:before="90"/>
              <w:ind w:left="109"/>
            </w:pPr>
            <w:r>
              <w:t>微溶于水、乙醇。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50" w:type="dxa"/>
            <w:vMerge w:val="restart"/>
            <w:vAlign w:val="top"/>
          </w:tcPr>
          <w:p>
            <w:pPr>
              <w:pStyle w:val="88"/>
              <w:rPr>
                <w:sz w:val="20"/>
              </w:rPr>
            </w:pPr>
          </w:p>
          <w:p>
            <w:pPr>
              <w:pStyle w:val="88"/>
              <w:rPr>
                <w:sz w:val="20"/>
              </w:rPr>
            </w:pPr>
          </w:p>
          <w:p>
            <w:pPr>
              <w:pStyle w:val="88"/>
              <w:rPr>
                <w:sz w:val="20"/>
              </w:rPr>
            </w:pPr>
          </w:p>
          <w:p>
            <w:pPr>
              <w:pStyle w:val="88"/>
              <w:spacing w:before="8"/>
              <w:rPr>
                <w:sz w:val="25"/>
              </w:rPr>
            </w:pPr>
          </w:p>
          <w:p>
            <w:pPr>
              <w:pStyle w:val="88"/>
              <w:spacing w:line="242" w:lineRule="auto"/>
              <w:ind w:left="107" w:right="83"/>
            </w:pPr>
            <w:r>
              <w:t>毒性及健康危害</w:t>
            </w:r>
          </w:p>
        </w:tc>
        <w:tc>
          <w:tcPr>
            <w:tcW w:w="877" w:type="dxa"/>
            <w:gridSpan w:val="2"/>
            <w:vMerge w:val="restart"/>
            <w:vAlign w:val="top"/>
          </w:tcPr>
          <w:p>
            <w:pPr>
              <w:pStyle w:val="88"/>
            </w:pPr>
          </w:p>
          <w:p>
            <w:pPr>
              <w:pStyle w:val="88"/>
              <w:tabs>
                <w:tab w:val="left" w:pos="528"/>
              </w:tabs>
              <w:ind w:left="105"/>
            </w:pPr>
            <w:r>
              <w:t>接</w:t>
            </w:r>
            <w:r>
              <w:tab/>
            </w:r>
            <w:r>
              <w:t>触</w:t>
            </w:r>
          </w:p>
          <w:p>
            <w:pPr>
              <w:pStyle w:val="88"/>
              <w:tabs>
                <w:tab w:val="left" w:pos="528"/>
              </w:tabs>
              <w:spacing w:before="5"/>
              <w:ind w:left="105"/>
            </w:pPr>
            <w:r>
              <w:t>限</w:t>
            </w:r>
            <w:r>
              <w:tab/>
            </w:r>
            <w:r>
              <w:t>值</w:t>
            </w:r>
          </w:p>
        </w:tc>
        <w:tc>
          <w:tcPr>
            <w:tcW w:w="3166" w:type="dxa"/>
            <w:gridSpan w:val="6"/>
            <w:vMerge w:val="restart"/>
            <w:vAlign w:val="top"/>
          </w:tcPr>
          <w:p>
            <w:pPr>
              <w:pStyle w:val="88"/>
              <w:spacing w:line="242" w:lineRule="auto"/>
              <w:ind w:left="109" w:right="766"/>
            </w:pPr>
            <w:r>
              <w:t xml:space="preserve">中国 </w:t>
            </w:r>
            <w:r>
              <w:rPr>
                <w:rFonts w:ascii="Times New Roman" w:eastAsia="Times New Roman"/>
              </w:rPr>
              <w:t>MAC</w:t>
            </w:r>
            <w:r>
              <w:t xml:space="preserve">：未制定标准苏联 </w:t>
            </w:r>
            <w:r>
              <w:rPr>
                <w:rFonts w:ascii="Times New Roman" w:eastAsia="Times New Roman"/>
              </w:rPr>
              <w:t>MAC</w:t>
            </w:r>
            <w:r>
              <w:t>：未制定标准</w:t>
            </w:r>
          </w:p>
          <w:p>
            <w:pPr>
              <w:pStyle w:val="88"/>
              <w:ind w:left="109"/>
            </w:pPr>
            <w:r>
              <w:t>美国</w:t>
            </w:r>
            <w:r>
              <w:rPr>
                <w:rFonts w:ascii="Times New Roman" w:eastAsia="Times New Roman"/>
              </w:rPr>
              <w:t>TWA</w:t>
            </w:r>
            <w:r>
              <w:t>：</w:t>
            </w:r>
            <w:r>
              <w:rPr>
                <w:rFonts w:ascii="Times New Roman" w:eastAsia="Times New Roman"/>
              </w:rPr>
              <w:t xml:space="preserve">ACGIH </w:t>
            </w:r>
            <w:r>
              <w:t>窒息性气体</w:t>
            </w:r>
          </w:p>
          <w:p>
            <w:pPr>
              <w:pStyle w:val="88"/>
              <w:spacing w:before="2" w:line="255" w:lineRule="exact"/>
              <w:ind w:left="109"/>
            </w:pPr>
            <w:r>
              <w:t xml:space="preserve">美国 </w:t>
            </w:r>
            <w:r>
              <w:rPr>
                <w:rFonts w:ascii="Times New Roman" w:eastAsia="Times New Roman"/>
              </w:rPr>
              <w:t>STEL</w:t>
            </w:r>
            <w:r>
              <w:t>：未制定标准</w:t>
            </w:r>
          </w:p>
        </w:tc>
        <w:tc>
          <w:tcPr>
            <w:tcW w:w="3478" w:type="dxa"/>
            <w:gridSpan w:val="3"/>
            <w:vAlign w:val="top"/>
          </w:tcPr>
          <w:p>
            <w:pPr>
              <w:pStyle w:val="88"/>
              <w:spacing w:before="90"/>
              <w:ind w:left="114"/>
            </w:pPr>
            <w:r>
              <w:t>侵入途径：吸入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650" w:type="dxa"/>
            <w:vMerge w:val="continue"/>
            <w:tcBorders>
              <w:top w:val="nil"/>
            </w:tcBorders>
            <w:vAlign w:val="top"/>
          </w:tcPr>
          <w:p>
            <w:pPr>
              <w:rPr>
                <w:sz w:val="2"/>
                <w:szCs w:val="2"/>
              </w:rPr>
            </w:pPr>
          </w:p>
        </w:tc>
        <w:tc>
          <w:tcPr>
            <w:tcW w:w="877" w:type="dxa"/>
            <w:gridSpan w:val="2"/>
            <w:vMerge w:val="continue"/>
            <w:tcBorders>
              <w:top w:val="nil"/>
            </w:tcBorders>
            <w:vAlign w:val="top"/>
          </w:tcPr>
          <w:p>
            <w:pPr>
              <w:rPr>
                <w:sz w:val="2"/>
                <w:szCs w:val="2"/>
              </w:rPr>
            </w:pPr>
          </w:p>
        </w:tc>
        <w:tc>
          <w:tcPr>
            <w:tcW w:w="3166" w:type="dxa"/>
            <w:gridSpan w:val="6"/>
            <w:vMerge w:val="continue"/>
            <w:tcBorders>
              <w:top w:val="nil"/>
            </w:tcBorders>
            <w:vAlign w:val="top"/>
          </w:tcPr>
          <w:p>
            <w:pPr>
              <w:rPr>
                <w:sz w:val="2"/>
                <w:szCs w:val="2"/>
              </w:rPr>
            </w:pPr>
          </w:p>
        </w:tc>
        <w:tc>
          <w:tcPr>
            <w:tcW w:w="3478" w:type="dxa"/>
            <w:gridSpan w:val="3"/>
            <w:vAlign w:val="top"/>
          </w:tcPr>
          <w:p>
            <w:pPr>
              <w:pStyle w:val="88"/>
              <w:spacing w:before="176"/>
              <w:ind w:left="114"/>
              <w:rPr>
                <w:rFonts w:ascii="Times New Roman" w:eastAsia="Times New Roman"/>
              </w:rPr>
            </w:pPr>
            <w:r>
              <w:t>毒性：</w:t>
            </w:r>
            <w:r>
              <w:rPr>
                <w:rFonts w:ascii="Times New Roman" w:eastAsia="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trPr>
        <w:tc>
          <w:tcPr>
            <w:tcW w:w="650" w:type="dxa"/>
            <w:vMerge w:val="continue"/>
            <w:tcBorders>
              <w:top w:val="nil"/>
            </w:tcBorders>
            <w:vAlign w:val="top"/>
          </w:tcPr>
          <w:p>
            <w:pPr>
              <w:rPr>
                <w:sz w:val="2"/>
                <w:szCs w:val="2"/>
              </w:rPr>
            </w:pPr>
          </w:p>
        </w:tc>
        <w:tc>
          <w:tcPr>
            <w:tcW w:w="877" w:type="dxa"/>
            <w:gridSpan w:val="2"/>
            <w:vAlign w:val="top"/>
          </w:tcPr>
          <w:p>
            <w:pPr>
              <w:pStyle w:val="88"/>
              <w:tabs>
                <w:tab w:val="left" w:pos="528"/>
              </w:tabs>
              <w:spacing w:before="136"/>
              <w:ind w:left="105"/>
            </w:pPr>
            <w:r>
              <w:t>健</w:t>
            </w:r>
            <w:r>
              <w:tab/>
            </w:r>
            <w:r>
              <w:t>康</w:t>
            </w:r>
          </w:p>
          <w:p>
            <w:pPr>
              <w:pStyle w:val="88"/>
              <w:tabs>
                <w:tab w:val="left" w:pos="528"/>
              </w:tabs>
              <w:spacing w:before="2"/>
              <w:ind w:left="105"/>
            </w:pPr>
            <w:r>
              <w:t>危</w:t>
            </w:r>
            <w:r>
              <w:tab/>
            </w:r>
            <w:r>
              <w:t>害</w:t>
            </w:r>
          </w:p>
        </w:tc>
        <w:tc>
          <w:tcPr>
            <w:tcW w:w="6644" w:type="dxa"/>
            <w:gridSpan w:val="9"/>
            <w:vAlign w:val="top"/>
          </w:tcPr>
          <w:p>
            <w:pPr>
              <w:pStyle w:val="88"/>
              <w:spacing w:line="242" w:lineRule="auto"/>
              <w:ind w:left="109" w:right="81"/>
            </w:pPr>
            <w:r>
              <w:rPr>
                <w:spacing w:val="-14"/>
              </w:rPr>
              <w:t xml:space="preserve">氮气过量，使氧分压下降，会引起缺氧。大气压力为 </w:t>
            </w:r>
            <w:r>
              <w:rPr>
                <w:rFonts w:ascii="Times New Roman" w:eastAsia="Times New Roman"/>
              </w:rPr>
              <w:t xml:space="preserve">392kPa </w:t>
            </w:r>
            <w:r>
              <w:rPr>
                <w:spacing w:val="-7"/>
              </w:rPr>
              <w:t>表现爱笑和多言，对</w:t>
            </w:r>
            <w:r>
              <w:rPr>
                <w:spacing w:val="-14"/>
              </w:rPr>
              <w:t xml:space="preserve">视、听和嗅觉刺激迟钝，智力活动减弱；在 </w:t>
            </w:r>
            <w:r>
              <w:rPr>
                <w:rFonts w:ascii="Times New Roman" w:eastAsia="Times New Roman"/>
              </w:rPr>
              <w:t xml:space="preserve">980kPa </w:t>
            </w:r>
            <w:r>
              <w:rPr>
                <w:spacing w:val="-10"/>
              </w:rPr>
              <w:t>时，肌肉运动严重失调。潜水</w:t>
            </w:r>
          </w:p>
          <w:p>
            <w:pPr>
              <w:pStyle w:val="88"/>
              <w:spacing w:line="252" w:lineRule="exact"/>
              <w:ind w:left="109"/>
            </w:pPr>
            <w:r>
              <w:t>员深潜时，可发生氮的麻醉作用；上升时快速减压，可发生“减压病”。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2" w:hRule="atLeast"/>
        </w:trPr>
        <w:tc>
          <w:tcPr>
            <w:tcW w:w="650" w:type="dxa"/>
            <w:vMerge w:val="continue"/>
            <w:tcBorders>
              <w:top w:val="nil"/>
            </w:tcBorders>
            <w:vAlign w:val="top"/>
          </w:tcPr>
          <w:p>
            <w:pPr>
              <w:rPr>
                <w:sz w:val="2"/>
                <w:szCs w:val="2"/>
              </w:rPr>
            </w:pPr>
          </w:p>
        </w:tc>
        <w:tc>
          <w:tcPr>
            <w:tcW w:w="877" w:type="dxa"/>
            <w:gridSpan w:val="2"/>
            <w:vAlign w:val="top"/>
          </w:tcPr>
          <w:p>
            <w:pPr>
              <w:pStyle w:val="88"/>
              <w:spacing w:before="3"/>
            </w:pPr>
          </w:p>
          <w:p>
            <w:pPr>
              <w:pStyle w:val="88"/>
              <w:tabs>
                <w:tab w:val="left" w:pos="528"/>
              </w:tabs>
              <w:spacing w:line="242" w:lineRule="auto"/>
              <w:ind w:left="105" w:right="125"/>
            </w:pPr>
            <w:r>
              <w:t>急</w:t>
            </w:r>
            <w:r>
              <w:tab/>
            </w:r>
            <w:r>
              <w:rPr>
                <w:spacing w:val="-18"/>
              </w:rPr>
              <w:t>救</w:t>
            </w:r>
            <w:r>
              <w:t>与</w:t>
            </w:r>
          </w:p>
          <w:p>
            <w:pPr>
              <w:pStyle w:val="88"/>
              <w:tabs>
                <w:tab w:val="left" w:pos="528"/>
              </w:tabs>
              <w:spacing w:before="1"/>
              <w:ind w:left="105"/>
            </w:pPr>
            <w:r>
              <w:t>防</w:t>
            </w:r>
            <w:r>
              <w:tab/>
            </w:r>
            <w:r>
              <w:t>护</w:t>
            </w:r>
          </w:p>
        </w:tc>
        <w:tc>
          <w:tcPr>
            <w:tcW w:w="6644" w:type="dxa"/>
            <w:gridSpan w:val="9"/>
            <w:vAlign w:val="top"/>
          </w:tcPr>
          <w:p>
            <w:pPr>
              <w:pStyle w:val="88"/>
              <w:spacing w:line="268" w:lineRule="exact"/>
              <w:ind w:left="109"/>
              <w:rPr>
                <w:rFonts w:ascii="Times New Roman" w:eastAsia="Times New Roman"/>
              </w:rPr>
            </w:pPr>
            <w:r>
              <w:rPr>
                <w:spacing w:val="-1"/>
              </w:rPr>
              <w:t>皮肤接触</w:t>
            </w:r>
            <w:r>
              <w:rPr>
                <w:rFonts w:ascii="Times New Roman" w:eastAsia="Times New Roman"/>
                <w:spacing w:val="1"/>
              </w:rPr>
              <w:t xml:space="preserve">: </w:t>
            </w:r>
            <w:r>
              <w:rPr>
                <w:rFonts w:ascii="Times New Roman" w:eastAsia="Times New Roman"/>
              </w:rPr>
              <w:t>/</w:t>
            </w:r>
          </w:p>
          <w:p>
            <w:pPr>
              <w:pStyle w:val="88"/>
              <w:spacing w:before="4"/>
              <w:ind w:left="109"/>
              <w:rPr>
                <w:rFonts w:ascii="Times New Roman" w:eastAsia="Times New Roman"/>
              </w:rPr>
            </w:pPr>
            <w:r>
              <w:rPr>
                <w:spacing w:val="-1"/>
              </w:rPr>
              <w:t>眼睛接触</w:t>
            </w:r>
            <w:r>
              <w:rPr>
                <w:rFonts w:ascii="Times New Roman" w:eastAsia="Times New Roman"/>
                <w:spacing w:val="1"/>
              </w:rPr>
              <w:t xml:space="preserve">: </w:t>
            </w:r>
            <w:r>
              <w:rPr>
                <w:rFonts w:ascii="Times New Roman" w:eastAsia="Times New Roman"/>
              </w:rPr>
              <w:t>/</w:t>
            </w:r>
          </w:p>
          <w:p>
            <w:pPr>
              <w:pStyle w:val="88"/>
              <w:spacing w:before="2" w:line="244" w:lineRule="auto"/>
              <w:ind w:left="109" w:right="84"/>
            </w:pPr>
            <w:r>
              <w:t>吸入</w:t>
            </w:r>
            <w:r>
              <w:rPr>
                <w:rFonts w:ascii="Times New Roman" w:eastAsia="Times New Roman"/>
              </w:rPr>
              <w:t xml:space="preserve">: </w:t>
            </w:r>
            <w:r>
              <w:t>迅速脱离现场至空气新鲜处。保持呼吸道通畅。呼吸困难时给输氧。呼吸停止时，立即进行人工呼吸。就医。</w:t>
            </w:r>
          </w:p>
          <w:p>
            <w:pPr>
              <w:pStyle w:val="88"/>
              <w:spacing w:line="251" w:lineRule="exact"/>
              <w:ind w:left="109"/>
              <w:rPr>
                <w:rFonts w:ascii="Times New Roman" w:eastAsia="Times New Roman"/>
              </w:rPr>
            </w:pPr>
            <w:r>
              <w:t>食入</w:t>
            </w:r>
            <w:r>
              <w:rPr>
                <w:rFonts w:ascii="Times New Roman" w:eastAsia="Times New Roman"/>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50" w:type="dxa"/>
            <w:vMerge w:val="restart"/>
            <w:vAlign w:val="top"/>
          </w:tcPr>
          <w:p>
            <w:pPr>
              <w:pStyle w:val="88"/>
              <w:rPr>
                <w:sz w:val="20"/>
              </w:rPr>
            </w:pPr>
          </w:p>
          <w:p>
            <w:pPr>
              <w:pStyle w:val="88"/>
              <w:spacing w:before="167" w:line="242" w:lineRule="auto"/>
              <w:ind w:left="107" w:right="83"/>
            </w:pPr>
            <w:r>
              <w:t>燃烧爆炸危险性</w:t>
            </w:r>
          </w:p>
        </w:tc>
        <w:tc>
          <w:tcPr>
            <w:tcW w:w="2193" w:type="dxa"/>
            <w:gridSpan w:val="5"/>
            <w:vAlign w:val="top"/>
          </w:tcPr>
          <w:p>
            <w:pPr>
              <w:pStyle w:val="88"/>
              <w:spacing w:before="90"/>
              <w:ind w:left="105"/>
            </w:pPr>
            <w:r>
              <w:t>燃烧性：不燃</w:t>
            </w:r>
          </w:p>
        </w:tc>
        <w:tc>
          <w:tcPr>
            <w:tcW w:w="5328" w:type="dxa"/>
            <w:gridSpan w:val="6"/>
            <w:vAlign w:val="top"/>
          </w:tcPr>
          <w:p>
            <w:pPr>
              <w:pStyle w:val="88"/>
              <w:spacing w:before="90"/>
              <w:ind w:left="111"/>
            </w:pPr>
            <w:r>
              <w:t>燃烧（分解）产物：氮气。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50" w:type="dxa"/>
            <w:vMerge w:val="continue"/>
            <w:tcBorders>
              <w:top w:val="nil"/>
            </w:tcBorders>
            <w:vAlign w:val="top"/>
          </w:tcPr>
          <w:p>
            <w:pPr>
              <w:rPr>
                <w:sz w:val="2"/>
                <w:szCs w:val="2"/>
              </w:rPr>
            </w:pPr>
          </w:p>
        </w:tc>
        <w:tc>
          <w:tcPr>
            <w:tcW w:w="2193" w:type="dxa"/>
            <w:gridSpan w:val="5"/>
            <w:vAlign w:val="top"/>
          </w:tcPr>
          <w:p>
            <w:pPr>
              <w:pStyle w:val="88"/>
              <w:spacing w:before="89"/>
              <w:ind w:left="105"/>
            </w:pPr>
            <w:r>
              <w:rPr>
                <w:w w:val="105"/>
              </w:rPr>
              <w:t>闪点（</w:t>
            </w:r>
            <w:r>
              <w:rPr>
                <w:rFonts w:ascii="Times New Roman" w:hAnsi="Times New Roman" w:eastAsia="Times New Roman"/>
                <w:w w:val="105"/>
              </w:rPr>
              <w:t>℃</w:t>
            </w:r>
            <w:r>
              <w:rPr>
                <w:w w:val="105"/>
              </w:rPr>
              <w:t>）：无意义</w:t>
            </w:r>
          </w:p>
        </w:tc>
        <w:tc>
          <w:tcPr>
            <w:tcW w:w="2211" w:type="dxa"/>
            <w:gridSpan w:val="4"/>
            <w:vAlign w:val="top"/>
          </w:tcPr>
          <w:p>
            <w:pPr>
              <w:pStyle w:val="88"/>
              <w:spacing w:before="89"/>
              <w:ind w:left="111"/>
            </w:pPr>
            <w:r>
              <w:rPr>
                <w:spacing w:val="-13"/>
              </w:rPr>
              <w:t>自燃点</w:t>
            </w:r>
            <w:r>
              <w:rPr>
                <w:spacing w:val="-19"/>
              </w:rPr>
              <w:t>（</w:t>
            </w:r>
            <w:r>
              <w:rPr>
                <w:rFonts w:ascii="Times New Roman" w:hAnsi="Times New Roman" w:eastAsia="Times New Roman"/>
                <w:spacing w:val="-19"/>
              </w:rPr>
              <w:t>℃</w:t>
            </w:r>
            <w:r>
              <w:rPr>
                <w:spacing w:val="-19"/>
              </w:rPr>
              <w:t>）：</w:t>
            </w:r>
            <w:r>
              <w:rPr>
                <w:spacing w:val="-3"/>
              </w:rPr>
              <w:t>无意义</w:t>
            </w:r>
          </w:p>
        </w:tc>
        <w:tc>
          <w:tcPr>
            <w:tcW w:w="3117" w:type="dxa"/>
            <w:gridSpan w:val="2"/>
            <w:vAlign w:val="top"/>
          </w:tcPr>
          <w:p>
            <w:pPr>
              <w:pStyle w:val="88"/>
              <w:spacing w:before="89"/>
              <w:ind w:left="115"/>
            </w:pPr>
            <w:r>
              <w:t>爆炸下限（</w:t>
            </w:r>
            <w:r>
              <w:rPr>
                <w:rFonts w:ascii="Times New Roman" w:eastAsia="Times New Roman"/>
              </w:rPr>
              <w:t>V%</w:t>
            </w:r>
            <w:r>
              <w:t>）：无意义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6" w:hRule="atLeast"/>
        </w:trPr>
        <w:tc>
          <w:tcPr>
            <w:tcW w:w="650" w:type="dxa"/>
            <w:vMerge w:val="continue"/>
            <w:tcBorders>
              <w:top w:val="nil"/>
            </w:tcBorders>
            <w:vAlign w:val="top"/>
          </w:tcPr>
          <w:p>
            <w:pPr>
              <w:rPr>
                <w:sz w:val="2"/>
                <w:szCs w:val="2"/>
              </w:rPr>
            </w:pPr>
          </w:p>
        </w:tc>
        <w:tc>
          <w:tcPr>
            <w:tcW w:w="700" w:type="dxa"/>
            <w:vAlign w:val="top"/>
          </w:tcPr>
          <w:p>
            <w:pPr>
              <w:pStyle w:val="88"/>
              <w:spacing w:before="1"/>
              <w:ind w:left="105"/>
            </w:pPr>
            <w:r>
              <w:t>危险</w:t>
            </w:r>
          </w:p>
          <w:p>
            <w:pPr>
              <w:pStyle w:val="88"/>
              <w:spacing w:before="2" w:line="255" w:lineRule="exact"/>
              <w:ind w:left="105"/>
            </w:pPr>
            <w:r>
              <w:t>特性</w:t>
            </w:r>
          </w:p>
        </w:tc>
        <w:tc>
          <w:tcPr>
            <w:tcW w:w="6821" w:type="dxa"/>
            <w:gridSpan w:val="10"/>
            <w:vAlign w:val="top"/>
          </w:tcPr>
          <w:p>
            <w:pPr>
              <w:pStyle w:val="88"/>
              <w:spacing w:before="1"/>
              <w:ind w:left="106"/>
            </w:pPr>
            <w:r>
              <w:t>惰性气体，有窒息性，在密闭空间内可将人窒息死亡。若遇高热，容器内压增大，</w:t>
            </w:r>
          </w:p>
          <w:p>
            <w:pPr>
              <w:pStyle w:val="88"/>
              <w:spacing w:before="2" w:line="255" w:lineRule="exact"/>
              <w:ind w:left="106"/>
            </w:pPr>
            <w:r>
              <w:t>有开裂和爆炸的危险。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50" w:type="dxa"/>
            <w:vMerge w:val="continue"/>
            <w:tcBorders>
              <w:top w:val="nil"/>
            </w:tcBorders>
            <w:vAlign w:val="top"/>
          </w:tcPr>
          <w:p>
            <w:pPr>
              <w:rPr>
                <w:sz w:val="2"/>
                <w:szCs w:val="2"/>
              </w:rPr>
            </w:pPr>
          </w:p>
        </w:tc>
        <w:tc>
          <w:tcPr>
            <w:tcW w:w="1603" w:type="dxa"/>
            <w:gridSpan w:val="4"/>
            <w:vAlign w:val="top"/>
          </w:tcPr>
          <w:p>
            <w:pPr>
              <w:pStyle w:val="88"/>
              <w:spacing w:before="89"/>
              <w:ind w:left="105"/>
            </w:pPr>
            <w:r>
              <w:t>稳定性：稳定</w:t>
            </w:r>
          </w:p>
        </w:tc>
        <w:tc>
          <w:tcPr>
            <w:tcW w:w="2440" w:type="dxa"/>
            <w:gridSpan w:val="4"/>
            <w:vAlign w:val="top"/>
          </w:tcPr>
          <w:p>
            <w:pPr>
              <w:pStyle w:val="88"/>
              <w:spacing w:before="89"/>
              <w:ind w:left="110"/>
            </w:pPr>
            <w:r>
              <w:t>聚合危险：不能出现</w:t>
            </w:r>
          </w:p>
        </w:tc>
        <w:tc>
          <w:tcPr>
            <w:tcW w:w="3478" w:type="dxa"/>
            <w:gridSpan w:val="3"/>
            <w:vAlign w:val="top"/>
          </w:tcPr>
          <w:p>
            <w:pPr>
              <w:pStyle w:val="88"/>
              <w:spacing w:before="89"/>
              <w:ind w:left="114"/>
            </w:pPr>
            <w:r>
              <w:t>禁忌物：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8" w:hRule="atLeast"/>
        </w:trPr>
        <w:tc>
          <w:tcPr>
            <w:tcW w:w="650" w:type="dxa"/>
            <w:vAlign w:val="top"/>
          </w:tcPr>
          <w:p>
            <w:pPr>
              <w:pStyle w:val="88"/>
              <w:spacing w:line="268" w:lineRule="exact"/>
              <w:ind w:left="107"/>
            </w:pPr>
            <w:r>
              <w:t>储运</w:t>
            </w:r>
          </w:p>
          <w:p>
            <w:pPr>
              <w:pStyle w:val="88"/>
              <w:spacing w:before="3" w:line="270" w:lineRule="atLeast"/>
              <w:ind w:left="107" w:right="107"/>
            </w:pPr>
            <w:r>
              <w:rPr>
                <w:spacing w:val="-9"/>
              </w:rPr>
              <w:t>注意事项</w:t>
            </w:r>
          </w:p>
        </w:tc>
        <w:tc>
          <w:tcPr>
            <w:tcW w:w="7521" w:type="dxa"/>
            <w:gridSpan w:val="11"/>
            <w:vAlign w:val="top"/>
          </w:tcPr>
          <w:p>
            <w:pPr>
              <w:pStyle w:val="88"/>
              <w:spacing w:line="268" w:lineRule="exact"/>
              <w:ind w:left="105"/>
            </w:pPr>
            <w:r>
              <w:rPr>
                <w:spacing w:val="-8"/>
              </w:rPr>
              <w:t xml:space="preserve">不燃性压缩气体。储存于阴凉、通风仓间内。仓温不宜超过 </w:t>
            </w:r>
            <w:r>
              <w:rPr>
                <w:rFonts w:ascii="Times New Roman" w:hAnsi="Times New Roman" w:eastAsia="Times New Roman"/>
              </w:rPr>
              <w:t>30</w:t>
            </w:r>
            <w:r>
              <w:rPr>
                <w:spacing w:val="-5"/>
              </w:rPr>
              <w:t>℃。远离火种、热源。防止</w:t>
            </w:r>
          </w:p>
          <w:p>
            <w:pPr>
              <w:pStyle w:val="88"/>
              <w:spacing w:before="3" w:line="270" w:lineRule="atLeast"/>
              <w:ind w:left="105" w:right="85"/>
            </w:pPr>
            <w:r>
              <w:t>阳光直射。验收时要注意品名，注意验瓶日期，先进仓的先发用。搬运时轻装轻卸，防止钢瓶及附件破损。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650" w:type="dxa"/>
            <w:vAlign w:val="top"/>
          </w:tcPr>
          <w:p>
            <w:pPr>
              <w:pStyle w:val="88"/>
              <w:spacing w:line="268" w:lineRule="exact"/>
              <w:ind w:left="107"/>
            </w:pPr>
            <w:r>
              <w:rPr>
                <w:spacing w:val="12"/>
              </w:rPr>
              <w:t>灭火</w:t>
            </w:r>
          </w:p>
          <w:p>
            <w:pPr>
              <w:pStyle w:val="88"/>
              <w:spacing w:before="2" w:line="255" w:lineRule="exact"/>
              <w:ind w:left="107"/>
            </w:pPr>
            <w:r>
              <w:t>方法</w:t>
            </w:r>
          </w:p>
        </w:tc>
        <w:tc>
          <w:tcPr>
            <w:tcW w:w="7521" w:type="dxa"/>
            <w:gridSpan w:val="11"/>
            <w:vAlign w:val="top"/>
          </w:tcPr>
          <w:p>
            <w:pPr>
              <w:pStyle w:val="88"/>
              <w:spacing w:before="133"/>
              <w:ind w:left="105"/>
            </w:pPr>
            <w:r>
              <w:t>不燃。切断气源。喷水冷却容器，可能的话将容器从火场移至空旷处。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trPr>
        <w:tc>
          <w:tcPr>
            <w:tcW w:w="650" w:type="dxa"/>
            <w:vAlign w:val="top"/>
          </w:tcPr>
          <w:p>
            <w:pPr>
              <w:pStyle w:val="88"/>
              <w:spacing w:before="135" w:line="242" w:lineRule="auto"/>
              <w:ind w:left="107" w:right="83"/>
            </w:pPr>
            <w:r>
              <w:t>泄漏处置</w:t>
            </w:r>
          </w:p>
        </w:tc>
        <w:tc>
          <w:tcPr>
            <w:tcW w:w="7521" w:type="dxa"/>
            <w:gridSpan w:val="11"/>
            <w:vAlign w:val="top"/>
          </w:tcPr>
          <w:p>
            <w:pPr>
              <w:pStyle w:val="88"/>
              <w:spacing w:line="242" w:lineRule="auto"/>
              <w:ind w:left="105" w:right="85"/>
            </w:pPr>
            <w:r>
              <w:t>迅速撤离泄漏污染区人员至上风处，并隔离直至气体散尽，建议应急处理人员戴自给式呼吸器，穿相应的工作服。切断气源，通风对流，稀释扩散。漏气容器不能再用，且要经过</w:t>
            </w:r>
          </w:p>
          <w:p>
            <w:pPr>
              <w:pStyle w:val="88"/>
              <w:spacing w:line="252" w:lineRule="exact"/>
              <w:ind w:left="105"/>
            </w:pPr>
            <w:r>
              <w:t>技术处理以清除可能剩下的气体。</w:t>
            </w:r>
          </w:p>
        </w:tc>
      </w:tr>
    </w:tbl>
    <w:p>
      <w:pPr>
        <w:pStyle w:val="16"/>
        <w:spacing w:before="186" w:line="364" w:lineRule="auto"/>
        <w:ind w:right="452" w:firstLine="559"/>
        <w:rPr>
          <w:rFonts w:hint="eastAsia" w:ascii="宋体" w:hAnsi="宋体" w:eastAsia="宋体" w:cs="宋体"/>
          <w:spacing w:val="-7"/>
          <w:sz w:val="28"/>
          <w:szCs w:val="28"/>
        </w:rPr>
      </w:pPr>
      <w:r>
        <w:rPr>
          <w:rFonts w:hint="eastAsia" w:ascii="宋体" w:hAnsi="宋体" w:eastAsia="宋体" w:cs="宋体"/>
          <w:spacing w:val="-7"/>
          <w:sz w:val="28"/>
          <w:szCs w:val="28"/>
        </w:rPr>
        <w:t>本项目 8线对二甲苯缓冲罐设蒸汽系统对储罐加热，若蒸汽管道破裂或其连接部位产生泄漏，人员接触蒸汽可能受到灼烫伤害；同时，蒸汽的品质不好，将对设备寿命有影响。</w:t>
      </w:r>
    </w:p>
    <w:p>
      <w:pPr>
        <w:pStyle w:val="3"/>
        <w:tabs>
          <w:tab w:val="left" w:pos="2461"/>
          <w:tab w:val="left" w:pos="2462"/>
        </w:tabs>
        <w:spacing w:line="360" w:lineRule="auto"/>
        <w:jc w:val="left"/>
        <w:rPr>
          <w:rFonts w:hint="eastAsia" w:ascii="宋体" w:hAnsi="宋体" w:eastAsia="宋体" w:cs="宋体"/>
          <w:bCs/>
          <w:spacing w:val="-7"/>
          <w:kern w:val="2"/>
        </w:rPr>
      </w:pPr>
      <w:bookmarkStart w:id="78" w:name="_Toc10210"/>
      <w:r>
        <w:rPr>
          <w:rFonts w:hint="eastAsia" w:ascii="宋体" w:hAnsi="宋体" w:eastAsia="宋体" w:cs="宋体"/>
          <w:bCs/>
          <w:spacing w:val="-7"/>
          <w:kern w:val="2"/>
        </w:rPr>
        <w:t>3.1.2项目</w:t>
      </w:r>
      <w:bookmarkStart w:id="79" w:name="_bookmark58"/>
      <w:bookmarkEnd w:id="79"/>
      <w:r>
        <w:rPr>
          <w:rFonts w:hint="eastAsia" w:ascii="宋体" w:hAnsi="宋体" w:eastAsia="宋体" w:cs="宋体"/>
          <w:bCs/>
          <w:spacing w:val="-7"/>
          <w:kern w:val="2"/>
        </w:rPr>
        <w:t>自然条件危险、有害因素辨识</w:t>
      </w:r>
      <w:bookmarkEnd w:id="78"/>
    </w:p>
    <w:p>
      <w:pPr>
        <w:pStyle w:val="16"/>
        <w:spacing w:before="122" w:line="360" w:lineRule="auto"/>
        <w:ind w:left="698"/>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1、地质危险有害因素辨识</w:t>
      </w:r>
    </w:p>
    <w:p>
      <w:pPr>
        <w:pStyle w:val="16"/>
        <w:spacing w:before="186" w:line="360" w:lineRule="auto"/>
        <w:ind w:right="452" w:firstLine="559"/>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本项目区域地震烈度为Ⅵ度，动峰值加速度为 0.05g，若建筑物、构筑物未按规定设防，一旦发生地震可能导致建（构）筑物地基开裂、倒塌，造成人员伤亡、财产损失；同时地震还可能导致铁路线路、信号等设备、设施损坏，影响铁路行车安全，造成铁路交通事故，尤其是罐车脱轨，还可能造成物料泄露，导致火灾、爆炸、中毒等事故。</w:t>
      </w:r>
    </w:p>
    <w:p>
      <w:pPr>
        <w:pStyle w:val="16"/>
        <w:spacing w:line="360" w:lineRule="auto"/>
        <w:ind w:left="698"/>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2、水文危险有害因素辨识</w:t>
      </w:r>
    </w:p>
    <w:p>
      <w:pPr>
        <w:pStyle w:val="16"/>
        <w:spacing w:before="187" w:line="360" w:lineRule="auto"/>
        <w:ind w:right="451" w:firstLine="559"/>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若地表水水量大，排水不畅，容易造成道床板结，线路翻浆冒泥，引发路基下沉，从而造成铁路交通事故。</w:t>
      </w:r>
    </w:p>
    <w:p>
      <w:pPr>
        <w:pStyle w:val="16"/>
        <w:spacing w:line="360" w:lineRule="auto"/>
        <w:ind w:right="451" w:firstLine="559"/>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若地表水、地下水具有腐蚀性，会对路基基床、线路设备造成腐蚀，引发路基下沉、设备损毁，从而造成铁路交通事故。</w:t>
      </w:r>
    </w:p>
    <w:p>
      <w:pPr>
        <w:pStyle w:val="16"/>
        <w:spacing w:line="360" w:lineRule="auto"/>
        <w:ind w:left="698"/>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3、气象危险有害因素辨识</w:t>
      </w:r>
    </w:p>
    <w:p>
      <w:pPr>
        <w:pStyle w:val="121"/>
        <w:numPr>
          <w:ilvl w:val="0"/>
          <w:numId w:val="7"/>
        </w:numPr>
        <w:tabs>
          <w:tab w:val="left" w:pos="1400"/>
        </w:tabs>
        <w:spacing w:before="185" w:line="360" w:lineRule="auto"/>
        <w:ind w:right="454" w:firstLine="532"/>
        <w:rPr>
          <w:rFonts w:hint="eastAsia" w:ascii="宋体" w:hAnsi="宋体" w:cs="宋体"/>
          <w:spacing w:val="-7"/>
          <w:sz w:val="28"/>
          <w:szCs w:val="28"/>
        </w:rPr>
      </w:pPr>
      <w:r>
        <w:rPr>
          <w:rFonts w:hint="eastAsia" w:ascii="宋体" w:hAnsi="宋体" w:cs="宋体"/>
          <w:spacing w:val="-7"/>
          <w:sz w:val="28"/>
          <w:szCs w:val="28"/>
        </w:rPr>
        <w:t>高温天气可能导致作业人员中暑，还会导致液体物料挥发速度 加快，可能形成爆炸性混合物，一旦遇到明火、火花等点火源将导致爆炸； 低温天气会造成作业人员身体僵硬，动作迟缓，增加操作失误的可能性；同时若未给作业人员配备保暖劳动保护用品，将可能造成冻伤。</w:t>
      </w:r>
    </w:p>
    <w:p>
      <w:pPr>
        <w:pStyle w:val="121"/>
        <w:numPr>
          <w:ilvl w:val="0"/>
          <w:numId w:val="7"/>
        </w:numPr>
        <w:tabs>
          <w:tab w:val="left" w:pos="1403"/>
        </w:tabs>
        <w:spacing w:line="360" w:lineRule="auto"/>
        <w:ind w:right="452" w:firstLine="532"/>
        <w:rPr>
          <w:rFonts w:hint="eastAsia" w:ascii="宋体" w:hAnsi="宋体" w:cs="宋体"/>
          <w:spacing w:val="-7"/>
          <w:sz w:val="28"/>
          <w:szCs w:val="28"/>
        </w:rPr>
      </w:pPr>
      <w:r>
        <w:rPr>
          <w:rFonts w:hint="eastAsia" w:ascii="宋体" w:hAnsi="宋体" w:cs="宋体"/>
          <w:spacing w:val="-7"/>
          <w:sz w:val="28"/>
          <w:szCs w:val="28"/>
        </w:rPr>
        <w:t>本项目区域雨量充沛，年平均降雨量达 1100mm，主要集中在夏季，强降雨时，若排水系统不畅，将导致厂内被淹，造成财产损失；若雨水汇集，引发洪水，可能冲毁管线，造成物料大量泄漏，污染环境；同时降雨常伴随雷电，若铁路设备设施及装卸设备设施等防雷措施失效或未设置防雷措施，将可能导致雷击事故，还可能因雷击引发火灾、爆炸。</w:t>
      </w:r>
    </w:p>
    <w:p>
      <w:pPr>
        <w:pStyle w:val="121"/>
        <w:numPr>
          <w:ilvl w:val="0"/>
          <w:numId w:val="7"/>
        </w:numPr>
        <w:tabs>
          <w:tab w:val="left" w:pos="1403"/>
        </w:tabs>
        <w:spacing w:before="60" w:line="364" w:lineRule="auto"/>
        <w:ind w:right="452" w:firstLine="544"/>
        <w:rPr>
          <w:rFonts w:hint="eastAsia" w:ascii="宋体" w:hAnsi="宋体" w:cs="宋体"/>
          <w:color w:val="C00000"/>
          <w:sz w:val="28"/>
          <w:szCs w:val="28"/>
        </w:rPr>
      </w:pPr>
      <w:r>
        <w:rPr>
          <w:rFonts w:hint="eastAsia" w:ascii="宋体" w:hAnsi="宋体" w:cs="宋体"/>
          <w:color w:val="C00000"/>
          <w:spacing w:val="-4"/>
          <w:sz w:val="28"/>
          <w:szCs w:val="28"/>
        </w:rPr>
        <w:t>夏季高温天气时，由于铁路线路的钢轨温度过高，钢轨很容易胀</w:t>
      </w:r>
      <w:r>
        <w:rPr>
          <w:rFonts w:hint="eastAsia" w:ascii="宋体" w:hAnsi="宋体" w:cs="宋体"/>
          <w:color w:val="C00000"/>
          <w:spacing w:val="-15"/>
          <w:sz w:val="28"/>
          <w:szCs w:val="28"/>
        </w:rPr>
        <w:t>轨，导致轨道弯曲，列车通过时会发生脱轨等安全事故；冬季低温</w:t>
      </w:r>
      <w:r>
        <w:rPr>
          <w:rFonts w:hint="eastAsia" w:ascii="宋体" w:hAnsi="宋体" w:cs="宋体"/>
          <w:color w:val="C00000"/>
          <w:spacing w:val="-16"/>
          <w:sz w:val="28"/>
          <w:szCs w:val="28"/>
        </w:rPr>
        <w:t>天气时，轨道受到温度拉力及其他附加拉力，使应力超过钢轨母材</w:t>
      </w:r>
      <w:r>
        <w:rPr>
          <w:rFonts w:hint="eastAsia" w:ascii="宋体" w:hAnsi="宋体" w:cs="宋体"/>
          <w:color w:val="C00000"/>
          <w:spacing w:val="-3"/>
          <w:sz w:val="28"/>
          <w:szCs w:val="28"/>
        </w:rPr>
        <w:t>时，钢轨</w:t>
      </w:r>
      <w:r>
        <w:rPr>
          <w:rFonts w:hint="eastAsia" w:ascii="宋体" w:hAnsi="宋体" w:cs="宋体"/>
          <w:color w:val="C00000"/>
          <w:spacing w:val="-3"/>
          <w:sz w:val="28"/>
          <w:szCs w:val="28"/>
          <w:lang w:eastAsia="zh-CN"/>
        </w:rPr>
        <w:t>轨缝拉大超限</w:t>
      </w:r>
      <w:r>
        <w:rPr>
          <w:rFonts w:hint="eastAsia" w:ascii="宋体" w:hAnsi="宋体" w:cs="宋体"/>
          <w:color w:val="C00000"/>
          <w:spacing w:val="-3"/>
          <w:sz w:val="28"/>
          <w:szCs w:val="28"/>
        </w:rPr>
        <w:t>，</w:t>
      </w:r>
      <w:r>
        <w:rPr>
          <w:rFonts w:hint="eastAsia" w:ascii="宋体" w:hAnsi="宋体" w:cs="宋体"/>
          <w:color w:val="C00000"/>
          <w:spacing w:val="-3"/>
          <w:sz w:val="28"/>
          <w:szCs w:val="28"/>
          <w:lang w:eastAsia="zh-CN"/>
        </w:rPr>
        <w:t>导致夹板螺栓断裂，造成行车事故</w:t>
      </w:r>
      <w:r>
        <w:rPr>
          <w:rFonts w:hint="eastAsia" w:ascii="宋体" w:hAnsi="宋体" w:cs="宋体"/>
          <w:color w:val="C00000"/>
          <w:spacing w:val="-3"/>
          <w:sz w:val="28"/>
          <w:szCs w:val="28"/>
        </w:rPr>
        <w:t>。</w:t>
      </w:r>
    </w:p>
    <w:p>
      <w:pPr>
        <w:pStyle w:val="4"/>
        <w:tabs>
          <w:tab w:val="left" w:pos="1540"/>
          <w:tab w:val="left" w:pos="1541"/>
        </w:tabs>
        <w:spacing w:before="0" w:after="0" w:line="360" w:lineRule="auto"/>
        <w:jc w:val="left"/>
        <w:rPr>
          <w:rFonts w:hint="eastAsia" w:ascii="宋体" w:hAnsi="宋体" w:eastAsia="宋体" w:cs="宋体"/>
          <w:sz w:val="28"/>
          <w:szCs w:val="28"/>
        </w:rPr>
      </w:pPr>
      <w:bookmarkStart w:id="80" w:name="_bookmark59"/>
      <w:bookmarkEnd w:id="80"/>
      <w:bookmarkStart w:id="81" w:name="_Toc8688"/>
      <w:r>
        <w:rPr>
          <w:rFonts w:hint="eastAsia" w:ascii="宋体" w:hAnsi="宋体" w:eastAsia="宋体" w:cs="宋体"/>
          <w:sz w:val="28"/>
          <w:szCs w:val="28"/>
        </w:rPr>
        <w:t>3.1.3项目周边环境影响分析</w:t>
      </w:r>
      <w:bookmarkEnd w:id="81"/>
    </w:p>
    <w:p>
      <w:pPr>
        <w:pStyle w:val="16"/>
        <w:spacing w:before="122" w:line="360" w:lineRule="auto"/>
        <w:rPr>
          <w:rFonts w:hint="eastAsia" w:ascii="宋体" w:hAnsi="宋体" w:eastAsia="宋体" w:cs="宋体"/>
          <w:b/>
          <w:bCs/>
          <w:sz w:val="28"/>
          <w:szCs w:val="28"/>
        </w:rPr>
      </w:pPr>
      <w:r>
        <w:rPr>
          <w:rFonts w:hint="eastAsia" w:ascii="宋体" w:hAnsi="宋体" w:eastAsia="宋体" w:cs="宋体"/>
          <w:b/>
          <w:bCs/>
          <w:sz w:val="28"/>
          <w:szCs w:val="28"/>
        </w:rPr>
        <w:t>3.1.3.1建设项目对周边单位生产、经营活动的影响</w:t>
      </w:r>
    </w:p>
    <w:p>
      <w:pPr>
        <w:pStyle w:val="16"/>
        <w:spacing w:before="122" w:line="360" w:lineRule="auto"/>
        <w:ind w:firstLine="512" w:firstLineChars="200"/>
        <w:rPr>
          <w:rFonts w:hint="eastAsia" w:ascii="宋体" w:hAnsi="宋体" w:eastAsia="宋体" w:cs="宋体"/>
          <w:sz w:val="28"/>
          <w:szCs w:val="28"/>
        </w:rPr>
      </w:pPr>
      <w:r>
        <w:rPr>
          <w:rFonts w:hint="eastAsia" w:ascii="宋体" w:hAnsi="宋体" w:eastAsia="宋体" w:cs="宋体"/>
          <w:spacing w:val="-12"/>
          <w:sz w:val="28"/>
          <w:szCs w:val="28"/>
        </w:rPr>
        <w:t>本项目危货专用线位于化学工业园区内，对二甲苯、邻二甲苯接卸的过</w:t>
      </w:r>
      <w:r>
        <w:rPr>
          <w:rFonts w:hint="eastAsia" w:ascii="宋体" w:hAnsi="宋体" w:eastAsia="宋体" w:cs="宋体"/>
          <w:spacing w:val="-16"/>
          <w:sz w:val="28"/>
          <w:szCs w:val="28"/>
        </w:rPr>
        <w:t>程中存在火灾、其他爆炸、中毒和窒息的危险性，若与周边单位的安全间距</w:t>
      </w:r>
      <w:r>
        <w:rPr>
          <w:rFonts w:hint="eastAsia" w:ascii="宋体" w:hAnsi="宋体" w:eastAsia="宋体" w:cs="宋体"/>
          <w:spacing w:val="-15"/>
          <w:sz w:val="28"/>
          <w:szCs w:val="28"/>
        </w:rPr>
        <w:t xml:space="preserve">不满足相关规范要求，一旦发生事故，将会影响周边单位生产、经营活动， </w:t>
      </w:r>
      <w:r>
        <w:rPr>
          <w:rFonts w:hint="eastAsia" w:ascii="宋体" w:hAnsi="宋体" w:eastAsia="宋体" w:cs="宋体"/>
          <w:spacing w:val="-3"/>
          <w:sz w:val="28"/>
          <w:szCs w:val="28"/>
        </w:rPr>
        <w:t>甚至造成二次事故，扩大事故后果。</w:t>
      </w:r>
    </w:p>
    <w:p>
      <w:pPr>
        <w:pStyle w:val="16"/>
        <w:spacing w:before="122" w:line="360" w:lineRule="auto"/>
        <w:rPr>
          <w:rFonts w:hint="eastAsia" w:ascii="宋体" w:hAnsi="宋体" w:eastAsia="宋体" w:cs="宋体"/>
          <w:b/>
          <w:bCs/>
          <w:sz w:val="28"/>
          <w:szCs w:val="28"/>
        </w:rPr>
      </w:pPr>
      <w:r>
        <w:rPr>
          <w:rFonts w:hint="eastAsia" w:ascii="宋体" w:hAnsi="宋体" w:eastAsia="宋体" w:cs="宋体"/>
          <w:b/>
          <w:bCs/>
          <w:sz w:val="28"/>
          <w:szCs w:val="28"/>
        </w:rPr>
        <w:t>3.1.3.2周边单位生产、经营活动或者居民生活对建设项目的影响</w:t>
      </w:r>
    </w:p>
    <w:p>
      <w:pPr>
        <w:pStyle w:val="16"/>
        <w:spacing w:before="184" w:line="360" w:lineRule="auto"/>
        <w:ind w:right="315" w:firstLine="559"/>
        <w:rPr>
          <w:rFonts w:hint="eastAsia" w:ascii="宋体" w:hAnsi="宋体" w:eastAsia="宋体" w:cs="宋体"/>
          <w:sz w:val="28"/>
          <w:szCs w:val="28"/>
        </w:rPr>
      </w:pPr>
      <w:r>
        <w:rPr>
          <w:rFonts w:hint="eastAsia" w:ascii="宋体" w:hAnsi="宋体" w:eastAsia="宋体" w:cs="宋体"/>
          <w:sz w:val="28"/>
          <w:szCs w:val="28"/>
        </w:rPr>
        <w:t xml:space="preserve">若周边单位与建设项目的重要设施的安全间距不满足相关规范要求， </w:t>
      </w:r>
      <w:r>
        <w:rPr>
          <w:rFonts w:hint="eastAsia" w:ascii="宋体" w:hAnsi="宋体" w:eastAsia="宋体" w:cs="宋体"/>
          <w:spacing w:val="-19"/>
          <w:sz w:val="28"/>
          <w:szCs w:val="28"/>
        </w:rPr>
        <w:t>则周边单位生产、经营活动会给建设项目带来的安全隐患，如明火、吸烟等。</w:t>
      </w:r>
    </w:p>
    <w:p>
      <w:pPr>
        <w:pStyle w:val="16"/>
        <w:spacing w:line="360" w:lineRule="auto"/>
        <w:ind w:right="452" w:firstLine="559"/>
        <w:rPr>
          <w:rFonts w:hint="eastAsia" w:ascii="宋体" w:hAnsi="宋体" w:eastAsia="宋体" w:cs="宋体"/>
          <w:sz w:val="28"/>
          <w:szCs w:val="28"/>
        </w:rPr>
      </w:pPr>
      <w:r>
        <w:rPr>
          <w:rFonts w:hint="eastAsia" w:ascii="宋体" w:hAnsi="宋体" w:eastAsia="宋体" w:cs="宋体"/>
          <w:sz w:val="28"/>
          <w:szCs w:val="28"/>
        </w:rPr>
        <w:t>若铁路专用线区间线路未采取全封闭，周边的人员必然会存在穿越铁</w:t>
      </w:r>
      <w:r>
        <w:rPr>
          <w:rFonts w:hint="eastAsia" w:ascii="宋体" w:hAnsi="宋体" w:eastAsia="宋体" w:cs="宋体"/>
          <w:spacing w:val="-16"/>
          <w:sz w:val="28"/>
          <w:szCs w:val="28"/>
        </w:rPr>
        <w:t>路，在铁路线路上行走、坐卧的现象，将极大的增加铁路运输过程中发生路</w:t>
      </w:r>
      <w:r>
        <w:rPr>
          <w:rFonts w:hint="eastAsia" w:ascii="宋体" w:hAnsi="宋体" w:eastAsia="宋体" w:cs="宋体"/>
          <w:spacing w:val="-17"/>
          <w:sz w:val="28"/>
          <w:szCs w:val="28"/>
        </w:rPr>
        <w:t>外伤亡事故的可能性。同时因人员素质的问题，可能会发生人员偷盗螺栓、</w:t>
      </w:r>
      <w:r>
        <w:rPr>
          <w:rFonts w:hint="eastAsia" w:ascii="宋体" w:hAnsi="宋体" w:eastAsia="宋体" w:cs="宋体"/>
          <w:spacing w:val="-14"/>
          <w:sz w:val="28"/>
          <w:szCs w:val="28"/>
        </w:rPr>
        <w:t>扣件等线路配件的事件，一旦螺栓、扣件等配件缺失，而建设单位又未及时</w:t>
      </w:r>
      <w:r>
        <w:rPr>
          <w:rFonts w:hint="eastAsia" w:ascii="宋体" w:hAnsi="宋体" w:eastAsia="宋体" w:cs="宋体"/>
          <w:spacing w:val="-3"/>
          <w:sz w:val="28"/>
          <w:szCs w:val="28"/>
        </w:rPr>
        <w:t>发现进行修补，线路的几何尺寸必然失衡，极易造成车辆脱轨。</w:t>
      </w:r>
    </w:p>
    <w:p>
      <w:pPr>
        <w:pStyle w:val="16"/>
        <w:spacing w:line="360" w:lineRule="auto"/>
        <w:ind w:right="450" w:firstLine="559"/>
        <w:rPr>
          <w:rFonts w:hint="eastAsia" w:ascii="宋体" w:hAnsi="宋体" w:eastAsia="宋体" w:cs="宋体"/>
          <w:sz w:val="28"/>
          <w:szCs w:val="28"/>
        </w:rPr>
      </w:pPr>
      <w:r>
        <w:rPr>
          <w:rFonts w:hint="eastAsia" w:ascii="宋体" w:hAnsi="宋体" w:eastAsia="宋体" w:cs="宋体"/>
          <w:sz w:val="28"/>
          <w:szCs w:val="28"/>
        </w:rPr>
        <w:t>10</w:t>
      </w:r>
      <w:r>
        <w:rPr>
          <w:rFonts w:hint="eastAsia" w:ascii="宋体" w:hAnsi="宋体" w:eastAsia="宋体" w:cs="宋体"/>
          <w:spacing w:val="-3"/>
          <w:sz w:val="28"/>
          <w:szCs w:val="28"/>
        </w:rPr>
        <w:t>线新增邻二甲苯输送管道跨越园区铁路专用线和园区道路，若机车</w:t>
      </w:r>
      <w:r>
        <w:rPr>
          <w:rFonts w:hint="eastAsia" w:ascii="宋体" w:hAnsi="宋体" w:eastAsia="宋体" w:cs="宋体"/>
          <w:spacing w:val="-13"/>
          <w:sz w:val="28"/>
          <w:szCs w:val="28"/>
        </w:rPr>
        <w:t>车辆及汽车运输车辆未按限高行驶，可能损坏管廊架，进而导致可燃液体泄</w:t>
      </w:r>
      <w:r>
        <w:rPr>
          <w:rFonts w:hint="eastAsia" w:ascii="宋体" w:hAnsi="宋体" w:eastAsia="宋体" w:cs="宋体"/>
          <w:spacing w:val="-3"/>
          <w:sz w:val="28"/>
          <w:szCs w:val="28"/>
        </w:rPr>
        <w:t>漏引起火灾、爆炸等事故。</w:t>
      </w:r>
    </w:p>
    <w:p>
      <w:pPr>
        <w:pStyle w:val="4"/>
        <w:tabs>
          <w:tab w:val="left" w:pos="1540"/>
          <w:tab w:val="left" w:pos="1541"/>
        </w:tabs>
        <w:spacing w:before="0" w:after="0" w:line="360" w:lineRule="auto"/>
        <w:jc w:val="left"/>
        <w:rPr>
          <w:rFonts w:hint="eastAsia" w:ascii="宋体" w:hAnsi="宋体" w:eastAsia="宋体" w:cs="宋体"/>
          <w:sz w:val="28"/>
          <w:szCs w:val="28"/>
        </w:rPr>
      </w:pPr>
      <w:bookmarkStart w:id="82" w:name="_bookmark60"/>
      <w:bookmarkEnd w:id="82"/>
      <w:bookmarkStart w:id="83" w:name="_Toc18116"/>
      <w:r>
        <w:rPr>
          <w:rFonts w:hint="eastAsia" w:ascii="宋体" w:hAnsi="宋体" w:eastAsia="宋体" w:cs="宋体"/>
          <w:sz w:val="28"/>
          <w:szCs w:val="28"/>
        </w:rPr>
        <w:t>3.1.4总平面布置及建筑危险有害因素分析</w:t>
      </w:r>
      <w:bookmarkEnd w:id="83"/>
    </w:p>
    <w:p>
      <w:pPr>
        <w:pStyle w:val="16"/>
        <w:spacing w:before="119" w:line="360" w:lineRule="auto"/>
        <w:ind w:right="453" w:firstLine="559"/>
        <w:rPr>
          <w:rFonts w:hint="eastAsia" w:ascii="宋体" w:hAnsi="宋体" w:eastAsia="宋体" w:cs="宋体"/>
          <w:sz w:val="28"/>
          <w:szCs w:val="28"/>
        </w:rPr>
      </w:pPr>
      <w:r>
        <w:rPr>
          <w:rFonts w:hint="eastAsia" w:ascii="宋体" w:hAnsi="宋体" w:eastAsia="宋体" w:cs="宋体"/>
          <w:sz w:val="28"/>
          <w:szCs w:val="28"/>
        </w:rPr>
        <w:t>总平面应按功能分区布置，合理的总平面布置可以有效减少各类事故</w:t>
      </w:r>
      <w:r>
        <w:rPr>
          <w:rFonts w:hint="eastAsia" w:ascii="宋体" w:hAnsi="宋体" w:eastAsia="宋体" w:cs="宋体"/>
          <w:spacing w:val="-13"/>
          <w:sz w:val="28"/>
          <w:szCs w:val="28"/>
        </w:rPr>
        <w:t>发生的概率。安全间距是总平面布置时考虑的最重要的元素，危险货物装卸</w:t>
      </w:r>
      <w:r>
        <w:rPr>
          <w:rFonts w:hint="eastAsia" w:ascii="宋体" w:hAnsi="宋体" w:eastAsia="宋体" w:cs="宋体"/>
          <w:spacing w:val="-18"/>
          <w:sz w:val="28"/>
          <w:szCs w:val="28"/>
        </w:rPr>
        <w:t>工艺各单元、建</w:t>
      </w:r>
      <w:r>
        <w:rPr>
          <w:rFonts w:hint="eastAsia" w:ascii="宋体" w:hAnsi="宋体" w:eastAsia="宋体" w:cs="宋体"/>
          <w:sz w:val="28"/>
          <w:szCs w:val="28"/>
        </w:rPr>
        <w:t>（</w:t>
      </w:r>
      <w:r>
        <w:rPr>
          <w:rFonts w:hint="eastAsia" w:ascii="宋体" w:hAnsi="宋体" w:eastAsia="宋体" w:cs="宋体"/>
          <w:spacing w:val="-3"/>
          <w:sz w:val="28"/>
          <w:szCs w:val="28"/>
        </w:rPr>
        <w:t>构</w:t>
      </w:r>
      <w:r>
        <w:rPr>
          <w:rFonts w:hint="eastAsia" w:ascii="宋体" w:hAnsi="宋体" w:eastAsia="宋体" w:cs="宋体"/>
          <w:spacing w:val="-58"/>
          <w:sz w:val="28"/>
          <w:szCs w:val="28"/>
        </w:rPr>
        <w:t>）</w:t>
      </w:r>
      <w:r>
        <w:rPr>
          <w:rFonts w:hint="eastAsia" w:ascii="宋体" w:hAnsi="宋体" w:eastAsia="宋体" w:cs="宋体"/>
          <w:spacing w:val="-4"/>
          <w:sz w:val="28"/>
          <w:szCs w:val="28"/>
        </w:rPr>
        <w:t>筑物间足够的安全间距可以有效减少安全事故或避免</w:t>
      </w:r>
      <w:r>
        <w:rPr>
          <w:rFonts w:hint="eastAsia" w:ascii="宋体" w:hAnsi="宋体" w:eastAsia="宋体" w:cs="宋体"/>
          <w:spacing w:val="-12"/>
          <w:sz w:val="28"/>
          <w:szCs w:val="28"/>
        </w:rPr>
        <w:t>事故后果扩大以及连锁事故的发生；道路是总平面布置的骨架，是联系各单</w:t>
      </w:r>
      <w:r>
        <w:rPr>
          <w:rFonts w:hint="eastAsia" w:ascii="宋体" w:hAnsi="宋体" w:eastAsia="宋体" w:cs="宋体"/>
          <w:spacing w:val="-15"/>
          <w:sz w:val="28"/>
          <w:szCs w:val="28"/>
        </w:rPr>
        <w:t>元的纽带，消防、安全、疏散均依赖于道路。因此，若消防通道未辐射到站场的每个角落，发生火灾、其他爆炸事故时，得不到有效的救援，则会扩大</w:t>
      </w:r>
      <w:r>
        <w:rPr>
          <w:rFonts w:hint="eastAsia" w:ascii="宋体" w:hAnsi="宋体" w:eastAsia="宋体" w:cs="宋体"/>
          <w:spacing w:val="-16"/>
          <w:sz w:val="28"/>
          <w:szCs w:val="28"/>
        </w:rPr>
        <w:t>事故后果，造成不必要的损失；若专用线两侧建</w:t>
      </w:r>
      <w:r>
        <w:rPr>
          <w:rFonts w:hint="eastAsia" w:ascii="宋体" w:hAnsi="宋体" w:eastAsia="宋体" w:cs="宋体"/>
          <w:sz w:val="28"/>
          <w:szCs w:val="28"/>
        </w:rPr>
        <w:t>（构</w:t>
      </w:r>
      <w:r>
        <w:rPr>
          <w:rFonts w:hint="eastAsia" w:ascii="宋体" w:hAnsi="宋体" w:eastAsia="宋体" w:cs="宋体"/>
          <w:spacing w:val="-44"/>
          <w:sz w:val="28"/>
          <w:szCs w:val="28"/>
        </w:rPr>
        <w:t>）</w:t>
      </w:r>
      <w:r>
        <w:rPr>
          <w:rFonts w:hint="eastAsia" w:ascii="宋体" w:hAnsi="宋体" w:eastAsia="宋体" w:cs="宋体"/>
          <w:spacing w:val="-3"/>
          <w:sz w:val="28"/>
          <w:szCs w:val="28"/>
        </w:rPr>
        <w:t xml:space="preserve">筑物侵入铁路限界， </w:t>
      </w:r>
      <w:r>
        <w:rPr>
          <w:rFonts w:hint="eastAsia" w:ascii="宋体" w:hAnsi="宋体" w:eastAsia="宋体" w:cs="宋体"/>
          <w:spacing w:val="-15"/>
          <w:sz w:val="28"/>
          <w:szCs w:val="28"/>
        </w:rPr>
        <w:t>当车辆驶入时，会发生侧面碰撞，导致车辆脱轨、车体受损，导致危险货物</w:t>
      </w:r>
      <w:r>
        <w:rPr>
          <w:rFonts w:hint="eastAsia" w:ascii="宋体" w:hAnsi="宋体" w:eastAsia="宋体" w:cs="宋体"/>
          <w:spacing w:val="-8"/>
          <w:sz w:val="28"/>
          <w:szCs w:val="28"/>
        </w:rPr>
        <w:t>泄漏，从而引发火灾、其他爆炸、中毒和窒息等事故。</w:t>
      </w:r>
    </w:p>
    <w:p>
      <w:pPr>
        <w:pStyle w:val="4"/>
        <w:tabs>
          <w:tab w:val="left" w:pos="1540"/>
          <w:tab w:val="left" w:pos="1541"/>
        </w:tabs>
        <w:spacing w:before="43" w:after="0" w:line="360" w:lineRule="auto"/>
        <w:jc w:val="left"/>
        <w:rPr>
          <w:rFonts w:hint="eastAsia" w:ascii="宋体" w:hAnsi="宋体" w:eastAsia="宋体" w:cs="宋体"/>
          <w:sz w:val="28"/>
          <w:szCs w:val="28"/>
        </w:rPr>
      </w:pPr>
      <w:bookmarkStart w:id="84" w:name="_Toc24645"/>
      <w:r>
        <w:rPr>
          <w:rFonts w:hint="eastAsia" w:ascii="宋体" w:hAnsi="宋体" w:eastAsia="宋体" w:cs="宋体"/>
          <w:sz w:val="28"/>
          <w:szCs w:val="28"/>
        </w:rPr>
        <w:t>3.1.5运输过程中危险、有害因素辨识</w:t>
      </w:r>
      <w:bookmarkEnd w:id="84"/>
    </w:p>
    <w:p>
      <w:pPr>
        <w:pStyle w:val="16"/>
        <w:spacing w:before="123" w:line="360" w:lineRule="auto"/>
        <w:ind w:right="318"/>
        <w:rPr>
          <w:rFonts w:hint="eastAsia" w:ascii="宋体" w:hAnsi="宋体" w:eastAsia="宋体" w:cs="宋体"/>
          <w:b/>
          <w:bCs/>
          <w:sz w:val="28"/>
          <w:szCs w:val="28"/>
        </w:rPr>
      </w:pPr>
      <w:r>
        <w:rPr>
          <w:rFonts w:hint="eastAsia" w:ascii="宋体" w:hAnsi="宋体" w:eastAsia="宋体" w:cs="宋体"/>
          <w:b/>
          <w:bCs/>
          <w:sz w:val="28"/>
          <w:szCs w:val="28"/>
        </w:rPr>
        <w:t>3.1.5.1铁路专用线运输作业过程中常见事故的种类</w:t>
      </w:r>
    </w:p>
    <w:p>
      <w:pPr>
        <w:pStyle w:val="16"/>
        <w:spacing w:before="123" w:line="360" w:lineRule="auto"/>
        <w:ind w:right="318" w:firstLine="280" w:firstLineChars="100"/>
        <w:rPr>
          <w:rFonts w:hint="eastAsia" w:ascii="宋体" w:hAnsi="宋体" w:eastAsia="宋体" w:cs="宋体"/>
          <w:sz w:val="28"/>
          <w:szCs w:val="28"/>
        </w:rPr>
      </w:pPr>
      <w:r>
        <w:rPr>
          <w:rFonts w:hint="eastAsia" w:ascii="宋体" w:hAnsi="宋体" w:eastAsia="宋体" w:cs="宋体"/>
          <w:sz w:val="28"/>
          <w:szCs w:val="28"/>
        </w:rPr>
        <w:t>种类有“撞、脱、挤、溜” 四大类，即冲突、脱轨、挤道岔、相撞、车辆溜逸。</w:t>
      </w:r>
    </w:p>
    <w:p>
      <w:pPr>
        <w:pStyle w:val="121"/>
        <w:tabs>
          <w:tab w:val="left" w:pos="1403"/>
        </w:tabs>
        <w:spacing w:line="360" w:lineRule="auto"/>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（1）冲突危险</w:t>
      </w:r>
    </w:p>
    <w:p>
      <w:pPr>
        <w:pStyle w:val="16"/>
        <w:spacing w:before="186" w:line="360" w:lineRule="auto"/>
        <w:ind w:right="317"/>
        <w:jc w:val="left"/>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①有车线非计划误进车列（如错办进路、忘扳、错扳和抢扳道岔等</w:t>
      </w:r>
      <w:r>
        <w:rPr>
          <w:rFonts w:hint="eastAsia" w:ascii="宋体" w:hAnsi="宋体" w:eastAsia="宋体" w:cs="宋体"/>
          <w:spacing w:val="-140"/>
          <w:sz w:val="28"/>
          <w:szCs w:val="28"/>
        </w:rPr>
        <w:t>）</w:t>
      </w:r>
      <w:r>
        <w:rPr>
          <w:rFonts w:hint="eastAsia" w:ascii="宋体" w:hAnsi="宋体" w:eastAsia="宋体" w:cs="宋体"/>
          <w:sz w:val="28"/>
          <w:szCs w:val="28"/>
        </w:rPr>
        <w:t>。</w:t>
      </w:r>
    </w:p>
    <w:p>
      <w:pPr>
        <w:pStyle w:val="16"/>
        <w:spacing w:before="186" w:line="360" w:lineRule="auto"/>
        <w:ind w:right="312" w:firstLine="576"/>
        <w:rPr>
          <w:rFonts w:hint="eastAsia" w:ascii="宋体" w:hAnsi="宋体" w:eastAsia="宋体" w:cs="宋体"/>
          <w:spacing w:val="2"/>
          <w:sz w:val="28"/>
          <w:szCs w:val="28"/>
        </w:rPr>
      </w:pPr>
      <w:r>
        <w:rPr>
          <w:rFonts w:hint="eastAsia" w:ascii="宋体" w:hAnsi="宋体" w:eastAsia="宋体" w:cs="宋体"/>
          <w:spacing w:val="2"/>
          <w:sz w:val="28"/>
          <w:szCs w:val="28"/>
        </w:rPr>
        <w:t>②车辆连挂速度过高。</w:t>
      </w:r>
    </w:p>
    <w:p>
      <w:pPr>
        <w:pStyle w:val="16"/>
        <w:spacing w:before="186" w:line="360" w:lineRule="auto"/>
        <w:ind w:right="312" w:firstLine="576"/>
        <w:rPr>
          <w:rFonts w:hint="eastAsia" w:ascii="宋体" w:hAnsi="宋体" w:eastAsia="宋体" w:cs="宋体"/>
          <w:sz w:val="28"/>
          <w:szCs w:val="28"/>
        </w:rPr>
      </w:pPr>
      <w:r>
        <w:rPr>
          <w:rFonts w:hint="eastAsia" w:ascii="宋体" w:hAnsi="宋体" w:eastAsia="宋体" w:cs="宋体"/>
          <w:spacing w:val="2"/>
          <w:sz w:val="28"/>
          <w:szCs w:val="28"/>
        </w:rPr>
        <w:t>③停留车压标（警冲标</w:t>
      </w:r>
      <w:r>
        <w:rPr>
          <w:rFonts w:hint="eastAsia" w:ascii="宋体" w:hAnsi="宋体" w:eastAsia="宋体" w:cs="宋体"/>
          <w:spacing w:val="-137"/>
          <w:sz w:val="28"/>
          <w:szCs w:val="28"/>
        </w:rPr>
        <w:t>）</w:t>
      </w:r>
      <w:r>
        <w:rPr>
          <w:rFonts w:hint="eastAsia" w:ascii="宋体" w:hAnsi="宋体" w:eastAsia="宋体" w:cs="宋体"/>
          <w:spacing w:val="2"/>
          <w:sz w:val="28"/>
          <w:szCs w:val="28"/>
        </w:rPr>
        <w:t>，邻线进车造成侧面冲撞。</w:t>
      </w:r>
    </w:p>
    <w:p>
      <w:pPr>
        <w:pStyle w:val="16"/>
        <w:spacing w:before="186" w:line="360" w:lineRule="auto"/>
        <w:ind w:right="452" w:firstLine="504" w:firstLineChars="200"/>
        <w:rPr>
          <w:rFonts w:hint="eastAsia" w:ascii="宋体" w:hAnsi="宋体" w:eastAsia="宋体" w:cs="宋体"/>
          <w:color w:val="C00000"/>
          <w:spacing w:val="-15"/>
          <w:sz w:val="28"/>
          <w:szCs w:val="28"/>
        </w:rPr>
      </w:pPr>
      <w:r>
        <w:rPr>
          <w:rFonts w:hint="eastAsia" w:ascii="宋体" w:hAnsi="宋体" w:eastAsia="宋体" w:cs="宋体"/>
          <w:spacing w:val="-14"/>
          <w:sz w:val="28"/>
          <w:szCs w:val="28"/>
        </w:rPr>
        <w:t>④</w:t>
      </w:r>
      <w:r>
        <w:rPr>
          <w:rFonts w:hint="eastAsia" w:ascii="宋体" w:hAnsi="宋体" w:eastAsia="宋体" w:cs="宋体"/>
          <w:color w:val="C00000"/>
          <w:spacing w:val="-14"/>
          <w:sz w:val="28"/>
          <w:szCs w:val="28"/>
          <w:lang w:eastAsia="zh-CN"/>
        </w:rPr>
        <w:t>调车</w:t>
      </w:r>
      <w:r>
        <w:rPr>
          <w:rFonts w:hint="eastAsia" w:ascii="宋体" w:hAnsi="宋体" w:eastAsia="宋体" w:cs="宋体"/>
          <w:color w:val="C00000"/>
          <w:spacing w:val="-14"/>
          <w:sz w:val="28"/>
          <w:szCs w:val="28"/>
        </w:rPr>
        <w:t>机车</w:t>
      </w:r>
      <w:r>
        <w:rPr>
          <w:rFonts w:hint="eastAsia" w:ascii="宋体" w:hAnsi="宋体" w:eastAsia="宋体" w:cs="宋体"/>
          <w:color w:val="C00000"/>
          <w:spacing w:val="-14"/>
          <w:sz w:val="28"/>
          <w:szCs w:val="28"/>
          <w:lang w:eastAsia="zh-CN"/>
        </w:rPr>
        <w:t>取送车辆时，</w:t>
      </w:r>
      <w:r>
        <w:rPr>
          <w:rFonts w:hint="eastAsia" w:ascii="宋体" w:hAnsi="宋体" w:eastAsia="宋体" w:cs="宋体"/>
          <w:color w:val="C00000"/>
          <w:spacing w:val="-14"/>
          <w:sz w:val="28"/>
          <w:szCs w:val="28"/>
        </w:rPr>
        <w:t>若通讯</w:t>
      </w:r>
      <w:r>
        <w:rPr>
          <w:rFonts w:hint="eastAsia" w:ascii="宋体" w:hAnsi="宋体" w:eastAsia="宋体" w:cs="宋体"/>
          <w:color w:val="C00000"/>
          <w:spacing w:val="-14"/>
          <w:sz w:val="28"/>
          <w:szCs w:val="28"/>
          <w:lang w:eastAsia="zh-CN"/>
        </w:rPr>
        <w:t>不畅</w:t>
      </w:r>
      <w:r>
        <w:rPr>
          <w:rFonts w:hint="eastAsia" w:ascii="宋体" w:hAnsi="宋体" w:eastAsia="宋体" w:cs="宋体"/>
          <w:color w:val="C00000"/>
          <w:spacing w:val="-14"/>
          <w:sz w:val="28"/>
          <w:szCs w:val="28"/>
        </w:rPr>
        <w:t xml:space="preserve">、检查不细，可能发生冲突事件， </w:t>
      </w:r>
      <w:r>
        <w:rPr>
          <w:rFonts w:hint="eastAsia" w:ascii="宋体" w:hAnsi="宋体" w:eastAsia="宋体" w:cs="宋体"/>
          <w:color w:val="C00000"/>
          <w:spacing w:val="-15"/>
          <w:sz w:val="28"/>
          <w:szCs w:val="28"/>
        </w:rPr>
        <w:t>碰坏机车和卸车设施。</w:t>
      </w:r>
    </w:p>
    <w:p>
      <w:pPr>
        <w:pStyle w:val="16"/>
        <w:spacing w:before="186" w:line="360" w:lineRule="auto"/>
        <w:ind w:right="452" w:firstLine="500" w:firstLineChars="200"/>
        <w:rPr>
          <w:rFonts w:hint="eastAsia" w:ascii="宋体" w:hAnsi="宋体" w:eastAsia="宋体" w:cs="宋体"/>
          <w:color w:val="C00000"/>
          <w:spacing w:val="-18"/>
          <w:sz w:val="28"/>
          <w:szCs w:val="28"/>
        </w:rPr>
      </w:pPr>
      <w:r>
        <w:rPr>
          <w:rFonts w:hint="eastAsia" w:ascii="宋体" w:hAnsi="宋体" w:eastAsia="宋体" w:cs="宋体"/>
          <w:color w:val="C00000"/>
          <w:spacing w:val="-15"/>
          <w:sz w:val="28"/>
          <w:szCs w:val="28"/>
        </w:rPr>
        <w:t>⑤推进作业时，车组前端无人领车，由于调机乘务员</w:t>
      </w:r>
      <w:r>
        <w:rPr>
          <w:rFonts w:hint="eastAsia" w:ascii="宋体" w:hAnsi="宋体" w:eastAsia="宋体" w:cs="宋体"/>
          <w:color w:val="C00000"/>
          <w:spacing w:val="-18"/>
          <w:sz w:val="28"/>
          <w:szCs w:val="28"/>
        </w:rPr>
        <w:t>无法确认线路和停留车情况，极易造成冲突。</w:t>
      </w:r>
    </w:p>
    <w:p>
      <w:pPr>
        <w:pStyle w:val="16"/>
        <w:spacing w:before="186" w:line="360" w:lineRule="auto"/>
        <w:ind w:right="452" w:firstLine="488" w:firstLineChars="200"/>
        <w:rPr>
          <w:rFonts w:hint="eastAsia" w:ascii="宋体" w:hAnsi="宋体" w:eastAsia="宋体" w:cs="宋体"/>
          <w:sz w:val="28"/>
          <w:szCs w:val="28"/>
        </w:rPr>
      </w:pPr>
      <w:r>
        <w:rPr>
          <w:rFonts w:hint="eastAsia" w:ascii="宋体" w:hAnsi="宋体" w:eastAsia="宋体" w:cs="宋体"/>
          <w:color w:val="C00000"/>
          <w:spacing w:val="-18"/>
          <w:sz w:val="28"/>
          <w:szCs w:val="28"/>
        </w:rPr>
        <w:t>⑥推进车辆</w:t>
      </w:r>
      <w:r>
        <w:rPr>
          <w:rFonts w:hint="eastAsia" w:ascii="宋体" w:hAnsi="宋体" w:eastAsia="宋体" w:cs="宋体"/>
          <w:color w:val="C00000"/>
          <w:spacing w:val="-18"/>
          <w:sz w:val="28"/>
          <w:szCs w:val="28"/>
          <w:lang w:eastAsia="zh-CN"/>
        </w:rPr>
        <w:t>前</w:t>
      </w:r>
      <w:r>
        <w:rPr>
          <w:rFonts w:hint="eastAsia" w:ascii="宋体" w:hAnsi="宋体" w:eastAsia="宋体" w:cs="宋体"/>
          <w:color w:val="C00000"/>
          <w:spacing w:val="-18"/>
          <w:sz w:val="28"/>
          <w:szCs w:val="28"/>
        </w:rPr>
        <w:t>不试拉，一旦车辆中有假连结，制动或停车时车辆脱钩发生溜逸，也容易发生冲突等事故</w:t>
      </w:r>
      <w:r>
        <w:rPr>
          <w:rFonts w:hint="eastAsia" w:ascii="宋体" w:hAnsi="宋体" w:eastAsia="宋体" w:cs="宋体"/>
          <w:color w:val="C00000"/>
          <w:spacing w:val="-8"/>
          <w:sz w:val="28"/>
          <w:szCs w:val="28"/>
        </w:rPr>
        <w:t>。</w:t>
      </w:r>
    </w:p>
    <w:p>
      <w:pPr>
        <w:pStyle w:val="121"/>
        <w:tabs>
          <w:tab w:val="left" w:pos="1403"/>
        </w:tabs>
        <w:spacing w:line="360" w:lineRule="auto"/>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（2）脱轨危险</w:t>
      </w:r>
    </w:p>
    <w:p>
      <w:pPr>
        <w:tabs>
          <w:tab w:val="left" w:pos="639"/>
        </w:tabs>
        <w:ind w:firstLine="560" w:firstLineChars="200"/>
        <w:jc w:val="left"/>
        <w:rPr>
          <w:rFonts w:ascii="宋体" w:hAnsi="宋体" w:cs="宋体"/>
          <w:sz w:val="28"/>
          <w:szCs w:val="28"/>
        </w:rPr>
      </w:pPr>
      <w:r>
        <w:rPr>
          <w:rFonts w:hint="eastAsia" w:ascii="宋体" w:hAnsi="宋体" w:cs="宋体"/>
          <w:color w:val="C00000"/>
          <w:sz w:val="28"/>
          <w:szCs w:val="28"/>
        </w:rPr>
        <w:t>由于线路几何尺寸不符合规格、路基下</w:t>
      </w:r>
      <w:r>
        <w:rPr>
          <w:rFonts w:hint="eastAsia" w:ascii="宋体" w:hAnsi="宋体" w:cs="宋体"/>
          <w:color w:val="C00000"/>
          <w:sz w:val="28"/>
          <w:szCs w:val="28"/>
          <w:lang w:eastAsia="zh-CN"/>
        </w:rPr>
        <w:t>沉</w:t>
      </w:r>
      <w:r>
        <w:rPr>
          <w:rFonts w:hint="eastAsia" w:ascii="宋体" w:hAnsi="宋体" w:cs="宋体"/>
          <w:color w:val="C00000"/>
          <w:sz w:val="28"/>
          <w:szCs w:val="28"/>
        </w:rPr>
        <w:t>、连接</w:t>
      </w:r>
      <w:r>
        <w:rPr>
          <w:rFonts w:hint="eastAsia" w:ascii="宋体" w:hAnsi="宋体" w:cs="宋体"/>
          <w:color w:val="C00000"/>
          <w:sz w:val="28"/>
          <w:szCs w:val="28"/>
          <w:lang w:eastAsia="zh-CN"/>
        </w:rPr>
        <w:t>零</w:t>
      </w:r>
      <w:r>
        <w:rPr>
          <w:rFonts w:hint="eastAsia" w:ascii="宋体" w:hAnsi="宋体" w:cs="宋体"/>
          <w:color w:val="C00000"/>
          <w:sz w:val="28"/>
          <w:szCs w:val="28"/>
        </w:rPr>
        <w:t>件缺失或松动，轨道上或道心有障碍物，在</w:t>
      </w:r>
      <w:r>
        <w:rPr>
          <w:rFonts w:hint="eastAsia" w:ascii="宋体" w:hAnsi="宋体" w:cs="宋体"/>
          <w:color w:val="C00000"/>
          <w:sz w:val="28"/>
          <w:szCs w:val="28"/>
          <w:lang w:eastAsia="zh-CN"/>
        </w:rPr>
        <w:t>列</w:t>
      </w:r>
      <w:r>
        <w:rPr>
          <w:rFonts w:hint="eastAsia" w:ascii="宋体" w:hAnsi="宋体" w:cs="宋体"/>
          <w:color w:val="C00000"/>
          <w:sz w:val="28"/>
          <w:szCs w:val="28"/>
        </w:rPr>
        <w:t>车</w:t>
      </w:r>
      <w:r>
        <w:rPr>
          <w:rFonts w:hint="eastAsia" w:ascii="宋体" w:hAnsi="宋体" w:cs="宋体"/>
          <w:color w:val="C00000"/>
          <w:sz w:val="28"/>
          <w:szCs w:val="28"/>
          <w:lang w:eastAsia="zh-CN"/>
        </w:rPr>
        <w:t>或车列</w:t>
      </w:r>
      <w:r>
        <w:rPr>
          <w:rFonts w:hint="eastAsia" w:ascii="宋体" w:hAnsi="宋体" w:cs="宋体"/>
          <w:color w:val="C00000"/>
          <w:sz w:val="28"/>
          <w:szCs w:val="28"/>
        </w:rPr>
        <w:t>经过时，会导致脱轨事故。机车车辆行驶过程中，配件脱落、走行部构件限度超标、线路及道岔限度超标、车辆装载超限等同样可能引发机车车辆脱轨事故。</w:t>
      </w:r>
    </w:p>
    <w:p>
      <w:pPr>
        <w:pStyle w:val="121"/>
        <w:tabs>
          <w:tab w:val="left" w:pos="1403"/>
        </w:tabs>
        <w:spacing w:line="360" w:lineRule="auto"/>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（3）挤道岔危险</w:t>
      </w:r>
    </w:p>
    <w:p>
      <w:pPr>
        <w:pStyle w:val="121"/>
        <w:tabs>
          <w:tab w:val="left" w:pos="1403"/>
        </w:tabs>
        <w:spacing w:before="186" w:line="360" w:lineRule="auto"/>
        <w:ind w:left="420" w:leftChars="200" w:firstLine="560" w:firstLineChars="200"/>
        <w:jc w:val="left"/>
        <w:rPr>
          <w:rFonts w:hint="eastAsia" w:ascii="宋体" w:hAnsi="宋体" w:eastAsia="宋体" w:cs="宋体"/>
          <w:color w:val="C00000"/>
          <w:sz w:val="28"/>
          <w:szCs w:val="28"/>
          <w:lang w:eastAsia="zh-CN"/>
        </w:rPr>
      </w:pPr>
      <w:r>
        <w:rPr>
          <w:rFonts w:hint="eastAsia" w:ascii="宋体" w:hAnsi="宋体" w:cs="宋体"/>
          <w:color w:val="C00000"/>
          <w:sz w:val="28"/>
          <w:szCs w:val="28"/>
          <w:lang w:eastAsia="zh-CN"/>
        </w:rPr>
        <w:t>列</w:t>
      </w:r>
      <w:r>
        <w:rPr>
          <w:rFonts w:hint="eastAsia" w:ascii="宋体" w:hAnsi="宋体" w:cs="宋体"/>
          <w:color w:val="C00000"/>
          <w:sz w:val="28"/>
          <w:szCs w:val="28"/>
        </w:rPr>
        <w:t>车</w:t>
      </w:r>
      <w:r>
        <w:rPr>
          <w:rFonts w:hint="eastAsia" w:ascii="宋体" w:hAnsi="宋体" w:cs="宋体"/>
          <w:color w:val="C00000"/>
          <w:sz w:val="28"/>
          <w:szCs w:val="28"/>
          <w:lang w:eastAsia="zh-CN"/>
        </w:rPr>
        <w:t>或车列</w:t>
      </w:r>
      <w:r>
        <w:rPr>
          <w:rFonts w:hint="eastAsia" w:ascii="宋体" w:hAnsi="宋体" w:cs="宋体"/>
          <w:color w:val="C00000"/>
          <w:sz w:val="28"/>
          <w:szCs w:val="28"/>
        </w:rPr>
        <w:t>通过道岔时，由于道岔位置不正确，尖轨与基本轨</w:t>
      </w:r>
      <w:r>
        <w:rPr>
          <w:rFonts w:hint="eastAsia" w:ascii="宋体" w:hAnsi="宋体" w:cs="宋体"/>
          <w:color w:val="C00000"/>
          <w:sz w:val="28"/>
          <w:szCs w:val="28"/>
          <w:lang w:eastAsia="zh-CN"/>
        </w:rPr>
        <w:t>不</w:t>
      </w:r>
      <w:r>
        <w:rPr>
          <w:rFonts w:hint="eastAsia" w:ascii="宋体" w:hAnsi="宋体" w:cs="宋体"/>
          <w:color w:val="C00000"/>
          <w:sz w:val="28"/>
          <w:szCs w:val="28"/>
        </w:rPr>
        <w:t>密贴</w:t>
      </w:r>
      <w:r>
        <w:rPr>
          <w:rFonts w:hint="eastAsia" w:ascii="宋体" w:hAnsi="宋体" w:cs="宋体"/>
          <w:color w:val="C00000"/>
          <w:sz w:val="28"/>
          <w:szCs w:val="28"/>
          <w:lang w:eastAsia="zh-CN"/>
        </w:rPr>
        <w:t>时</w:t>
      </w:r>
      <w:r>
        <w:rPr>
          <w:rFonts w:hint="eastAsia" w:ascii="宋体" w:hAnsi="宋体" w:cs="宋体"/>
          <w:color w:val="C00000"/>
          <w:sz w:val="28"/>
          <w:szCs w:val="28"/>
        </w:rPr>
        <w:t>，车轮碾压时，将尖轨与基本轨挤开的过程。此时道岔即不在正位，也不在反位，呈四开状态，造成</w:t>
      </w:r>
      <w:r>
        <w:rPr>
          <w:rFonts w:hint="eastAsia" w:ascii="宋体" w:hAnsi="宋体" w:cs="宋体"/>
          <w:color w:val="C00000"/>
          <w:sz w:val="28"/>
          <w:szCs w:val="28"/>
          <w:lang w:eastAsia="zh-CN"/>
        </w:rPr>
        <w:t>挤</w:t>
      </w:r>
      <w:r>
        <w:rPr>
          <w:rFonts w:hint="eastAsia" w:ascii="宋体" w:hAnsi="宋体" w:cs="宋体"/>
          <w:color w:val="C00000"/>
          <w:sz w:val="28"/>
          <w:szCs w:val="28"/>
        </w:rPr>
        <w:t>岔</w:t>
      </w:r>
      <w:r>
        <w:rPr>
          <w:rFonts w:hint="eastAsia" w:ascii="宋体" w:hAnsi="宋体" w:cs="宋体"/>
          <w:color w:val="C00000"/>
          <w:sz w:val="28"/>
          <w:szCs w:val="28"/>
          <w:lang w:eastAsia="zh-CN"/>
        </w:rPr>
        <w:t>。</w:t>
      </w:r>
    </w:p>
    <w:p>
      <w:pPr>
        <w:pStyle w:val="121"/>
        <w:tabs>
          <w:tab w:val="left" w:pos="1403"/>
        </w:tabs>
        <w:spacing w:before="186" w:line="360" w:lineRule="auto"/>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（4）相撞危险</w:t>
      </w:r>
    </w:p>
    <w:p>
      <w:pPr>
        <w:pStyle w:val="16"/>
        <w:spacing w:before="186" w:line="360" w:lineRule="auto"/>
        <w:ind w:right="315" w:firstLine="559"/>
        <w:rPr>
          <w:rFonts w:hint="eastAsia" w:ascii="宋体" w:hAnsi="宋体" w:eastAsia="宋体" w:cs="宋体"/>
          <w:sz w:val="28"/>
          <w:szCs w:val="28"/>
        </w:rPr>
      </w:pPr>
      <w:r>
        <w:rPr>
          <w:rFonts w:hint="eastAsia" w:ascii="宋体" w:hAnsi="宋体" w:eastAsia="宋体" w:cs="宋体"/>
          <w:color w:val="C00000"/>
          <w:spacing w:val="-21"/>
          <w:sz w:val="28"/>
          <w:szCs w:val="28"/>
        </w:rPr>
        <w:t>专用线铁路上出现车辆溜逸、紧急制动、错扳道岔等，引发撞击或</w:t>
      </w:r>
      <w:r>
        <w:rPr>
          <w:rFonts w:hint="eastAsia" w:ascii="宋体" w:hAnsi="宋体" w:eastAsia="宋体" w:cs="宋体"/>
          <w:color w:val="C00000"/>
          <w:spacing w:val="-21"/>
          <w:sz w:val="28"/>
          <w:szCs w:val="28"/>
          <w:lang w:eastAsia="zh-CN"/>
        </w:rPr>
        <w:t>脱轨</w:t>
      </w:r>
      <w:r>
        <w:rPr>
          <w:rFonts w:hint="eastAsia" w:ascii="宋体" w:hAnsi="宋体" w:eastAsia="宋体" w:cs="宋体"/>
          <w:color w:val="C00000"/>
          <w:spacing w:val="-21"/>
          <w:sz w:val="28"/>
          <w:szCs w:val="28"/>
        </w:rPr>
        <w:t xml:space="preserve">， </w:t>
      </w:r>
      <w:r>
        <w:rPr>
          <w:rFonts w:hint="eastAsia" w:ascii="宋体" w:hAnsi="宋体" w:eastAsia="宋体" w:cs="宋体"/>
          <w:color w:val="C00000"/>
          <w:spacing w:val="-3"/>
          <w:sz w:val="28"/>
          <w:szCs w:val="28"/>
        </w:rPr>
        <w:t>导致人员、设备受撞击伤害、损坏</w:t>
      </w:r>
      <w:r>
        <w:rPr>
          <w:rFonts w:hint="eastAsia" w:ascii="宋体" w:hAnsi="宋体" w:eastAsia="宋体" w:cs="宋体"/>
          <w:spacing w:val="-3"/>
          <w:sz w:val="28"/>
          <w:szCs w:val="28"/>
        </w:rPr>
        <w:t>。</w:t>
      </w:r>
    </w:p>
    <w:p>
      <w:pPr>
        <w:pStyle w:val="121"/>
        <w:tabs>
          <w:tab w:val="left" w:pos="1403"/>
        </w:tabs>
        <w:spacing w:line="360" w:lineRule="auto"/>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（5）车辆溜逸</w:t>
      </w:r>
    </w:p>
    <w:p>
      <w:pPr>
        <w:pStyle w:val="16"/>
        <w:spacing w:before="186" w:line="360" w:lineRule="auto"/>
        <w:ind w:right="454" w:firstLine="559"/>
        <w:rPr>
          <w:rFonts w:hint="eastAsia" w:ascii="宋体" w:hAnsi="宋体" w:eastAsia="宋体" w:cs="宋体"/>
          <w:sz w:val="28"/>
          <w:szCs w:val="28"/>
        </w:rPr>
      </w:pPr>
      <w:r>
        <w:rPr>
          <w:rFonts w:hint="eastAsia" w:ascii="宋体" w:hAnsi="宋体" w:eastAsia="宋体" w:cs="宋体"/>
          <w:spacing w:val="-14"/>
          <w:sz w:val="28"/>
          <w:szCs w:val="28"/>
        </w:rPr>
        <w:t>专用线进行装卸作业的车辆，若未采取防溜措施，车辆会因大风或坡道</w:t>
      </w:r>
      <w:r>
        <w:rPr>
          <w:rFonts w:hint="eastAsia" w:ascii="宋体" w:hAnsi="宋体" w:eastAsia="宋体" w:cs="宋体"/>
          <w:spacing w:val="-3"/>
          <w:sz w:val="28"/>
          <w:szCs w:val="28"/>
        </w:rPr>
        <w:t>而自动溜逸，有可能造成设备和车辆损坏或人身伤害。</w:t>
      </w:r>
    </w:p>
    <w:p>
      <w:pPr>
        <w:pStyle w:val="16"/>
        <w:spacing w:line="360" w:lineRule="auto"/>
        <w:rPr>
          <w:rFonts w:hint="eastAsia" w:ascii="宋体" w:hAnsi="宋体" w:eastAsia="宋体" w:cs="宋体"/>
          <w:b/>
          <w:bCs/>
          <w:sz w:val="28"/>
          <w:szCs w:val="28"/>
        </w:rPr>
      </w:pPr>
      <w:r>
        <w:rPr>
          <w:rFonts w:hint="eastAsia" w:ascii="宋体" w:hAnsi="宋体" w:eastAsia="宋体" w:cs="宋体"/>
          <w:b/>
          <w:bCs/>
          <w:sz w:val="28"/>
          <w:szCs w:val="28"/>
        </w:rPr>
        <w:t>3.1.5.2其他运输作业过程中危险、有害因素</w:t>
      </w:r>
    </w:p>
    <w:p>
      <w:pPr>
        <w:pStyle w:val="121"/>
        <w:numPr>
          <w:ilvl w:val="0"/>
          <w:numId w:val="8"/>
        </w:numPr>
        <w:tabs>
          <w:tab w:val="left" w:pos="1409"/>
        </w:tabs>
        <w:spacing w:before="187" w:line="360" w:lineRule="auto"/>
        <w:ind w:right="319" w:firstLine="560"/>
        <w:jc w:val="left"/>
        <w:rPr>
          <w:rFonts w:hint="eastAsia" w:ascii="宋体" w:hAnsi="宋体" w:cs="宋体"/>
          <w:sz w:val="28"/>
          <w:szCs w:val="28"/>
        </w:rPr>
      </w:pPr>
      <w:r>
        <w:rPr>
          <w:rFonts w:hint="eastAsia" w:ascii="宋体" w:hAnsi="宋体" w:cs="宋体"/>
          <w:sz w:val="28"/>
          <w:szCs w:val="28"/>
        </w:rPr>
        <w:t xml:space="preserve">取送车作业过程中，若遇人员穿越铁路，在铁路上行走、坐卧， </w:t>
      </w:r>
      <w:r>
        <w:rPr>
          <w:rFonts w:hint="eastAsia" w:ascii="宋体" w:hAnsi="宋体" w:cs="宋体"/>
          <w:spacing w:val="-3"/>
          <w:sz w:val="28"/>
          <w:szCs w:val="28"/>
        </w:rPr>
        <w:t>则可能造成路外伤亡；</w:t>
      </w:r>
    </w:p>
    <w:p>
      <w:pPr>
        <w:pStyle w:val="121"/>
        <w:numPr>
          <w:ilvl w:val="0"/>
          <w:numId w:val="8"/>
        </w:numPr>
        <w:tabs>
          <w:tab w:val="left" w:pos="1403"/>
        </w:tabs>
        <w:spacing w:line="360" w:lineRule="auto"/>
        <w:ind w:right="451" w:firstLine="540"/>
        <w:rPr>
          <w:rFonts w:hint="eastAsia" w:ascii="宋体" w:hAnsi="宋体" w:cs="宋体"/>
          <w:sz w:val="28"/>
          <w:szCs w:val="28"/>
        </w:rPr>
      </w:pPr>
      <w:r>
        <w:rPr>
          <w:rFonts w:hint="eastAsia" w:ascii="宋体" w:hAnsi="宋体" w:cs="宋体"/>
          <w:spacing w:val="-5"/>
          <w:sz w:val="28"/>
          <w:szCs w:val="28"/>
        </w:rPr>
        <w:t>区间线路有桥梁，在取送车作业过程中，若桥梁上掉落物体，则</w:t>
      </w:r>
      <w:r>
        <w:rPr>
          <w:rFonts w:hint="eastAsia" w:ascii="宋体" w:hAnsi="宋体" w:cs="宋体"/>
          <w:spacing w:val="-14"/>
          <w:sz w:val="28"/>
          <w:szCs w:val="28"/>
        </w:rPr>
        <w:t>可能引发事故；桥梁上的步行板未安防牢固或安防不正确，可能造成人员坠</w:t>
      </w:r>
      <w:r>
        <w:rPr>
          <w:rFonts w:hint="eastAsia" w:ascii="宋体" w:hAnsi="宋体" w:cs="宋体"/>
          <w:sz w:val="28"/>
          <w:szCs w:val="28"/>
        </w:rPr>
        <w:t>落事故。</w:t>
      </w:r>
    </w:p>
    <w:p>
      <w:pPr>
        <w:pStyle w:val="121"/>
        <w:numPr>
          <w:ilvl w:val="0"/>
          <w:numId w:val="8"/>
        </w:numPr>
        <w:tabs>
          <w:tab w:val="left" w:pos="1403"/>
        </w:tabs>
        <w:spacing w:line="360" w:lineRule="auto"/>
        <w:ind w:right="457" w:firstLine="548"/>
        <w:jc w:val="left"/>
        <w:rPr>
          <w:rFonts w:hint="eastAsia" w:ascii="宋体" w:hAnsi="宋体" w:cs="宋体"/>
          <w:sz w:val="28"/>
          <w:szCs w:val="28"/>
        </w:rPr>
      </w:pPr>
      <w:r>
        <w:rPr>
          <w:rFonts w:hint="eastAsia" w:ascii="宋体" w:hAnsi="宋体" w:cs="宋体"/>
          <w:spacing w:val="-3"/>
          <w:sz w:val="28"/>
          <w:szCs w:val="28"/>
        </w:rPr>
        <w:t>停留车采取的制动措施若不是能有效防止撞击火花产生的材质 制造，一旦撞击产生火花，可能会造成火灾、爆炸事故。</w:t>
      </w:r>
    </w:p>
    <w:p>
      <w:pPr>
        <w:pStyle w:val="121"/>
        <w:numPr>
          <w:ilvl w:val="0"/>
          <w:numId w:val="8"/>
        </w:numPr>
        <w:tabs>
          <w:tab w:val="left" w:pos="1400"/>
        </w:tabs>
        <w:spacing w:line="360" w:lineRule="auto"/>
        <w:ind w:right="457" w:firstLine="540"/>
        <w:jc w:val="left"/>
        <w:rPr>
          <w:rFonts w:hint="eastAsia" w:ascii="宋体" w:hAnsi="宋体" w:cs="宋体"/>
          <w:sz w:val="28"/>
          <w:szCs w:val="28"/>
        </w:rPr>
      </w:pPr>
      <w:r>
        <w:rPr>
          <w:rFonts w:hint="eastAsia" w:ascii="宋体" w:hAnsi="宋体" w:cs="宋体"/>
          <w:color w:val="C00000"/>
          <w:spacing w:val="-5"/>
          <w:sz w:val="28"/>
          <w:szCs w:val="28"/>
        </w:rPr>
        <w:t>作业人员长期接触机车、车辆在运行过程中与轨道的相互作用 产生的噪声，机车鸣笛噪声，列车制动噪声，可能会损伤听觉系统。</w:t>
      </w:r>
    </w:p>
    <w:p>
      <w:pPr>
        <w:pStyle w:val="4"/>
        <w:tabs>
          <w:tab w:val="left" w:pos="1540"/>
          <w:tab w:val="left" w:pos="1541"/>
        </w:tabs>
        <w:spacing w:before="0" w:after="0" w:line="421" w:lineRule="exact"/>
        <w:jc w:val="left"/>
        <w:rPr>
          <w:rFonts w:hint="eastAsia" w:ascii="宋体" w:hAnsi="宋体" w:eastAsia="宋体" w:cs="宋体"/>
          <w:sz w:val="28"/>
          <w:szCs w:val="28"/>
        </w:rPr>
      </w:pPr>
      <w:bookmarkStart w:id="85" w:name="_bookmark63"/>
      <w:bookmarkEnd w:id="85"/>
      <w:bookmarkStart w:id="86" w:name="_Toc30967"/>
      <w:r>
        <w:rPr>
          <w:rFonts w:hint="eastAsia" w:ascii="宋体" w:hAnsi="宋体" w:eastAsia="宋体" w:cs="宋体"/>
          <w:sz w:val="28"/>
          <w:szCs w:val="28"/>
        </w:rPr>
        <w:t>3.1.6装卸过程危险有害因素辨识</w:t>
      </w:r>
      <w:bookmarkEnd w:id="86"/>
    </w:p>
    <w:p>
      <w:pPr>
        <w:pStyle w:val="16"/>
        <w:spacing w:before="117" w:line="364" w:lineRule="auto"/>
        <w:ind w:right="455" w:firstLine="559"/>
        <w:rPr>
          <w:rFonts w:hint="eastAsia" w:ascii="宋体" w:hAnsi="宋体" w:eastAsia="宋体" w:cs="宋体"/>
          <w:sz w:val="28"/>
          <w:szCs w:val="28"/>
        </w:rPr>
      </w:pPr>
      <w:r>
        <w:rPr>
          <w:rFonts w:hint="eastAsia" w:ascii="宋体" w:hAnsi="宋体" w:eastAsia="宋体" w:cs="宋体"/>
          <w:sz w:val="28"/>
          <w:szCs w:val="28"/>
        </w:rPr>
        <w:t>铁路专用线及附属装卸设施在装卸作业过程中可能产生的主要危险因素有：</w:t>
      </w:r>
    </w:p>
    <w:p>
      <w:pPr>
        <w:pStyle w:val="16"/>
        <w:spacing w:line="358" w:lineRule="exact"/>
        <w:rPr>
          <w:rFonts w:hint="eastAsia" w:ascii="宋体" w:hAnsi="宋体" w:eastAsia="宋体" w:cs="宋体"/>
          <w:b/>
          <w:bCs/>
          <w:sz w:val="28"/>
          <w:szCs w:val="28"/>
        </w:rPr>
      </w:pPr>
      <w:r>
        <w:rPr>
          <w:rFonts w:hint="eastAsia" w:ascii="宋体" w:hAnsi="宋体" w:eastAsia="宋体" w:cs="宋体"/>
          <w:b/>
          <w:bCs/>
          <w:sz w:val="28"/>
          <w:szCs w:val="28"/>
        </w:rPr>
        <w:t>3.1.6.1火灾、其他爆炸</w:t>
      </w:r>
    </w:p>
    <w:p>
      <w:pPr>
        <w:pStyle w:val="16"/>
        <w:spacing w:before="187" w:line="364" w:lineRule="auto"/>
        <w:ind w:right="452" w:firstLine="559"/>
        <w:rPr>
          <w:rFonts w:hint="eastAsia" w:ascii="宋体" w:hAnsi="宋体" w:eastAsia="宋体" w:cs="宋体"/>
          <w:sz w:val="28"/>
          <w:szCs w:val="28"/>
        </w:rPr>
      </w:pPr>
      <w:r>
        <w:rPr>
          <w:rFonts w:hint="eastAsia" w:ascii="宋体" w:hAnsi="宋体" w:eastAsia="宋体" w:cs="宋体"/>
          <w:spacing w:val="-11"/>
          <w:sz w:val="28"/>
          <w:szCs w:val="28"/>
        </w:rPr>
        <w:t>火灾、其他爆炸事故是在可燃物、助燃物</w:t>
      </w:r>
      <w:r>
        <w:rPr>
          <w:rFonts w:hint="eastAsia" w:ascii="宋体" w:hAnsi="宋体" w:eastAsia="宋体" w:cs="宋体"/>
          <w:sz w:val="28"/>
          <w:szCs w:val="28"/>
        </w:rPr>
        <w:t>（</w:t>
      </w:r>
      <w:r>
        <w:rPr>
          <w:rFonts w:hint="eastAsia" w:ascii="宋体" w:hAnsi="宋体" w:eastAsia="宋体" w:cs="宋体"/>
          <w:spacing w:val="-8"/>
          <w:sz w:val="28"/>
          <w:szCs w:val="28"/>
        </w:rPr>
        <w:t>空气、氧化剂</w:t>
      </w:r>
      <w:r>
        <w:rPr>
          <w:rFonts w:hint="eastAsia" w:ascii="宋体" w:hAnsi="宋体" w:eastAsia="宋体" w:cs="宋体"/>
          <w:spacing w:val="-34"/>
          <w:sz w:val="28"/>
          <w:szCs w:val="28"/>
        </w:rPr>
        <w:t>）</w:t>
      </w:r>
      <w:r>
        <w:rPr>
          <w:rFonts w:hint="eastAsia" w:ascii="宋体" w:hAnsi="宋体" w:eastAsia="宋体" w:cs="宋体"/>
          <w:spacing w:val="-1"/>
          <w:sz w:val="28"/>
          <w:szCs w:val="28"/>
        </w:rPr>
        <w:t>和点火源三</w:t>
      </w:r>
      <w:r>
        <w:rPr>
          <w:rFonts w:hint="eastAsia" w:ascii="宋体" w:hAnsi="宋体" w:eastAsia="宋体" w:cs="宋体"/>
          <w:spacing w:val="-12"/>
          <w:sz w:val="28"/>
          <w:szCs w:val="28"/>
        </w:rPr>
        <w:t>个基本条件同时存在且相互作用时才发生的。也就是说，火灾爆炸事故的发</w:t>
      </w:r>
      <w:r>
        <w:rPr>
          <w:rFonts w:hint="eastAsia" w:ascii="宋体" w:hAnsi="宋体" w:eastAsia="宋体" w:cs="宋体"/>
          <w:spacing w:val="-9"/>
          <w:sz w:val="28"/>
          <w:szCs w:val="28"/>
        </w:rPr>
        <w:t>生必须具备物质的可燃性、助燃物和点火源三者同时存在时才构成一个燃</w:t>
      </w:r>
      <w:r>
        <w:rPr>
          <w:rFonts w:hint="eastAsia" w:ascii="宋体" w:hAnsi="宋体" w:eastAsia="宋体" w:cs="宋体"/>
          <w:spacing w:val="-16"/>
          <w:sz w:val="28"/>
          <w:szCs w:val="28"/>
        </w:rPr>
        <w:t>烧系统。爆炸是瞬间的燃烧，火灾和爆炸可随条件而转化。因此，分析铁路</w:t>
      </w:r>
      <w:r>
        <w:rPr>
          <w:rFonts w:hint="eastAsia" w:ascii="宋体" w:hAnsi="宋体" w:eastAsia="宋体" w:cs="宋体"/>
          <w:sz w:val="28"/>
          <w:szCs w:val="28"/>
        </w:rPr>
        <w:t>专用线运输装卸过程火灾爆炸危险性主要从可燃物的物化特性、助燃物和点火源三个方面进行分析。铁路专用线装卸过程火灾爆炸危险有害因素主要有以下几方面：</w:t>
      </w:r>
    </w:p>
    <w:p>
      <w:pPr>
        <w:pStyle w:val="121"/>
        <w:tabs>
          <w:tab w:val="left" w:pos="1403"/>
        </w:tabs>
        <w:spacing w:before="186" w:line="364" w:lineRule="auto"/>
        <w:ind w:right="449" w:firstLine="540"/>
        <w:rPr>
          <w:rFonts w:hint="eastAsia" w:ascii="宋体" w:hAnsi="宋体" w:cs="宋体"/>
          <w:sz w:val="28"/>
          <w:szCs w:val="28"/>
        </w:rPr>
      </w:pPr>
      <w:r>
        <w:rPr>
          <w:rFonts w:hint="eastAsia" w:ascii="宋体" w:hAnsi="宋体" w:cs="宋体"/>
          <w:spacing w:val="-5"/>
          <w:sz w:val="28"/>
          <w:szCs w:val="28"/>
        </w:rPr>
        <w:t>（1）对二甲苯、邻二甲苯具有较强易挥发性、易燃性，在空气中爆炸</w:t>
      </w:r>
      <w:r>
        <w:rPr>
          <w:rFonts w:hint="eastAsia" w:ascii="宋体" w:hAnsi="宋体" w:cs="宋体"/>
          <w:spacing w:val="-15"/>
          <w:sz w:val="28"/>
          <w:szCs w:val="28"/>
        </w:rPr>
        <w:t>极限低、范围宽，接卸过程又属间歇作业，在正常情况下，就有可燃的蒸汽散发出来，若操作控制处理不当，出现险情有可能发生化学性爆炸，甚至发</w:t>
      </w:r>
      <w:r>
        <w:rPr>
          <w:rFonts w:hint="eastAsia" w:ascii="宋体" w:hAnsi="宋体" w:cs="宋体"/>
          <w:spacing w:val="-8"/>
          <w:sz w:val="28"/>
          <w:szCs w:val="28"/>
        </w:rPr>
        <w:t>生难以扑救且对周边危害较大的火灾爆炸。</w:t>
      </w:r>
    </w:p>
    <w:p>
      <w:pPr>
        <w:pStyle w:val="121"/>
        <w:tabs>
          <w:tab w:val="left" w:pos="1403"/>
        </w:tabs>
        <w:spacing w:line="364" w:lineRule="auto"/>
        <w:ind w:right="312" w:firstLine="544"/>
        <w:jc w:val="left"/>
        <w:rPr>
          <w:rFonts w:hint="eastAsia" w:ascii="宋体" w:hAnsi="宋体" w:cs="宋体"/>
          <w:sz w:val="28"/>
          <w:szCs w:val="28"/>
        </w:rPr>
      </w:pPr>
      <w:r>
        <w:rPr>
          <w:rFonts w:hint="eastAsia" w:ascii="宋体" w:hAnsi="宋体" w:cs="宋体"/>
          <w:spacing w:val="-4"/>
          <w:sz w:val="28"/>
          <w:szCs w:val="28"/>
        </w:rPr>
        <w:t>（2）在泵输送对二甲苯、邻二甲苯的过程中管道压力波动较大，当管</w:t>
      </w:r>
      <w:r>
        <w:rPr>
          <w:rFonts w:hint="eastAsia" w:ascii="宋体" w:hAnsi="宋体" w:cs="宋体"/>
          <w:spacing w:val="-12"/>
          <w:sz w:val="28"/>
          <w:szCs w:val="28"/>
        </w:rPr>
        <w:t>道存在焊接质量缺陷或其它质量问题时，可能造成管道破裂泄漏等事故。铁</w:t>
      </w:r>
      <w:r>
        <w:rPr>
          <w:rFonts w:hint="eastAsia" w:ascii="宋体" w:hAnsi="宋体" w:cs="宋体"/>
          <w:spacing w:val="-10"/>
          <w:sz w:val="28"/>
          <w:szCs w:val="28"/>
        </w:rPr>
        <w:t xml:space="preserve">路专用线危险化学品罐车装卸运输过程明火来源较多，如打火机等的带入； </w:t>
      </w:r>
      <w:r>
        <w:rPr>
          <w:rFonts w:hint="eastAsia" w:ascii="宋体" w:hAnsi="宋体" w:cs="宋体"/>
          <w:spacing w:val="-15"/>
          <w:sz w:val="28"/>
          <w:szCs w:val="28"/>
        </w:rPr>
        <w:t>非防爆电器的使用；动火维修作业；铁路专用线附近的汽车排气管火星；放</w:t>
      </w:r>
      <w:r>
        <w:rPr>
          <w:rFonts w:hint="eastAsia" w:ascii="宋体" w:hAnsi="宋体" w:cs="宋体"/>
          <w:spacing w:val="-16"/>
          <w:sz w:val="28"/>
          <w:szCs w:val="28"/>
        </w:rPr>
        <w:t>鞭炮和烧纸的飞火；化学危险品铁路专用线内违章吸烟；动明火、电气焊作</w:t>
      </w:r>
      <w:r>
        <w:rPr>
          <w:rFonts w:hint="eastAsia" w:ascii="宋体" w:hAnsi="宋体" w:cs="宋体"/>
          <w:spacing w:val="-8"/>
          <w:sz w:val="28"/>
          <w:szCs w:val="28"/>
        </w:rPr>
        <w:t>业等极易引燃泄漏在地面的可燃液体或引爆弥漫在空气中的可燃蒸汽。</w:t>
      </w:r>
    </w:p>
    <w:p>
      <w:pPr>
        <w:pStyle w:val="121"/>
        <w:tabs>
          <w:tab w:val="left" w:pos="1400"/>
        </w:tabs>
        <w:spacing w:line="364" w:lineRule="auto"/>
        <w:ind w:right="317" w:firstLine="516"/>
        <w:jc w:val="left"/>
        <w:rPr>
          <w:rFonts w:hint="eastAsia" w:ascii="宋体" w:hAnsi="宋体" w:cs="宋体"/>
          <w:sz w:val="28"/>
          <w:szCs w:val="28"/>
        </w:rPr>
      </w:pPr>
      <w:r>
        <w:rPr>
          <w:rFonts w:hint="eastAsia" w:ascii="宋体" w:hAnsi="宋体" w:cs="宋体"/>
          <w:spacing w:val="-11"/>
          <w:sz w:val="28"/>
          <w:szCs w:val="28"/>
        </w:rPr>
        <w:t>（3）对二甲苯、邻二甲苯在管道中流动或进入储罐易产生和积聚静电</w:t>
      </w:r>
      <w:r>
        <w:rPr>
          <w:rFonts w:hint="eastAsia" w:ascii="宋体" w:hAnsi="宋体" w:cs="宋体"/>
          <w:spacing w:val="-15"/>
          <w:sz w:val="28"/>
          <w:szCs w:val="28"/>
        </w:rPr>
        <w:t>。静电具有高电压、静电感应和尖端放电的特点，放电产生的静电火花容易</w:t>
      </w:r>
      <w:r>
        <w:rPr>
          <w:rFonts w:hint="eastAsia" w:ascii="宋体" w:hAnsi="宋体" w:cs="宋体"/>
          <w:spacing w:val="-9"/>
          <w:sz w:val="28"/>
          <w:szCs w:val="28"/>
        </w:rPr>
        <w:t>导致火灾和爆炸。</w:t>
      </w:r>
    </w:p>
    <w:p>
      <w:pPr>
        <w:pStyle w:val="121"/>
        <w:tabs>
          <w:tab w:val="left" w:pos="1400"/>
        </w:tabs>
        <w:spacing w:line="364" w:lineRule="auto"/>
        <w:ind w:right="451" w:firstLine="532"/>
        <w:rPr>
          <w:rFonts w:hint="eastAsia" w:ascii="宋体" w:hAnsi="宋体" w:cs="宋体"/>
          <w:sz w:val="28"/>
          <w:szCs w:val="28"/>
        </w:rPr>
      </w:pPr>
      <w:r>
        <w:rPr>
          <w:rFonts w:hint="eastAsia" w:ascii="宋体" w:hAnsi="宋体" w:cs="宋体"/>
          <w:spacing w:val="-7"/>
          <w:sz w:val="28"/>
          <w:szCs w:val="28"/>
        </w:rPr>
        <w:t>（4）在爆炸危险区内乱拉电线；电气、电线老化；配管、接线松动或</w:t>
      </w:r>
      <w:r>
        <w:rPr>
          <w:rFonts w:hint="eastAsia" w:ascii="宋体" w:hAnsi="宋体" w:cs="宋体"/>
          <w:spacing w:val="-15"/>
          <w:sz w:val="28"/>
          <w:szCs w:val="28"/>
        </w:rPr>
        <w:t>脱落；电气设施损坏；违反操作规程等，均可能会引发电气火灾。铁路专用线接卸主要电气设备包括线路、照明设备等，若发生短路、漏电、接地、过</w:t>
      </w:r>
      <w:r>
        <w:rPr>
          <w:rFonts w:hint="eastAsia" w:ascii="宋体" w:hAnsi="宋体" w:cs="宋体"/>
          <w:spacing w:val="-16"/>
          <w:sz w:val="28"/>
          <w:szCs w:val="28"/>
        </w:rPr>
        <w:t>负荷等故障时，产生的电弧、电火花、高热极易引燃泄漏的易燃化学品。若</w:t>
      </w:r>
      <w:r>
        <w:rPr>
          <w:rFonts w:hint="eastAsia" w:ascii="宋体" w:hAnsi="宋体" w:cs="宋体"/>
          <w:spacing w:val="-3"/>
          <w:sz w:val="28"/>
          <w:szCs w:val="28"/>
        </w:rPr>
        <w:t>灯具、开关等采用非防爆型或防爆等级不够也易点燃泄漏的易燃化学品。</w:t>
      </w:r>
    </w:p>
    <w:p>
      <w:pPr>
        <w:pStyle w:val="121"/>
        <w:tabs>
          <w:tab w:val="left" w:pos="1400"/>
        </w:tabs>
        <w:spacing w:line="364" w:lineRule="auto"/>
        <w:ind w:right="312" w:firstLine="544"/>
        <w:jc w:val="left"/>
        <w:rPr>
          <w:rFonts w:hint="eastAsia" w:ascii="宋体" w:hAnsi="宋体" w:cs="宋体"/>
          <w:sz w:val="28"/>
          <w:szCs w:val="28"/>
        </w:rPr>
      </w:pPr>
      <w:r>
        <w:rPr>
          <w:rFonts w:hint="eastAsia" w:ascii="宋体" w:hAnsi="宋体" w:cs="宋体"/>
          <w:spacing w:val="-4"/>
          <w:sz w:val="28"/>
          <w:szCs w:val="28"/>
        </w:rPr>
        <w:t>（5）</w:t>
      </w:r>
      <w:r>
        <w:rPr>
          <w:rFonts w:hint="eastAsia" w:ascii="宋体" w:hAnsi="宋体" w:cs="宋体"/>
          <w:color w:val="C00000"/>
          <w:spacing w:val="-4"/>
          <w:sz w:val="28"/>
          <w:szCs w:val="28"/>
        </w:rPr>
        <w:t>铁路专用线运管人员违章操作，</w:t>
      </w:r>
      <w:r>
        <w:rPr>
          <w:rFonts w:hint="eastAsia" w:ascii="宋体" w:hAnsi="宋体" w:cs="宋体"/>
          <w:color w:val="C00000"/>
          <w:spacing w:val="-14"/>
          <w:sz w:val="28"/>
          <w:szCs w:val="28"/>
        </w:rPr>
        <w:t>装卸作业前未在来车一端设红色防护信号；在线路</w:t>
      </w:r>
      <w:r>
        <w:rPr>
          <w:rFonts w:hint="eastAsia" w:ascii="宋体" w:hAnsi="宋体" w:cs="宋体"/>
          <w:color w:val="C00000"/>
          <w:spacing w:val="-11"/>
          <w:sz w:val="28"/>
          <w:szCs w:val="28"/>
        </w:rPr>
        <w:t xml:space="preserve">终端的车挡上未设置车挡表示器；专用线上作业停留车未采取防溜措施等； </w:t>
      </w:r>
      <w:r>
        <w:rPr>
          <w:rFonts w:hint="eastAsia" w:ascii="宋体" w:hAnsi="宋体" w:cs="宋体"/>
          <w:color w:val="C00000"/>
          <w:spacing w:val="-3"/>
          <w:sz w:val="28"/>
          <w:szCs w:val="28"/>
        </w:rPr>
        <w:t>从而导致机车电火花，罐车相互撞击产生火花，引发火灾爆炸</w:t>
      </w:r>
      <w:r>
        <w:rPr>
          <w:rFonts w:hint="eastAsia" w:ascii="宋体" w:hAnsi="宋体" w:cs="宋体"/>
          <w:spacing w:val="-3"/>
          <w:sz w:val="28"/>
          <w:szCs w:val="28"/>
        </w:rPr>
        <w:t>。</w:t>
      </w:r>
    </w:p>
    <w:p>
      <w:pPr>
        <w:pStyle w:val="121"/>
        <w:tabs>
          <w:tab w:val="left" w:pos="1403"/>
        </w:tabs>
        <w:spacing w:line="364" w:lineRule="auto"/>
        <w:ind w:right="454" w:firstLine="536"/>
        <w:jc w:val="left"/>
        <w:rPr>
          <w:rFonts w:hint="eastAsia" w:ascii="宋体" w:hAnsi="宋体" w:cs="宋体"/>
          <w:sz w:val="28"/>
          <w:szCs w:val="28"/>
        </w:rPr>
      </w:pPr>
      <w:r>
        <w:rPr>
          <w:rFonts w:hint="eastAsia" w:ascii="宋体" w:hAnsi="宋体" w:cs="宋体"/>
          <w:spacing w:val="-6"/>
          <w:sz w:val="28"/>
          <w:szCs w:val="28"/>
        </w:rPr>
        <w:t>（6）</w:t>
      </w:r>
      <w:r>
        <w:rPr>
          <w:rFonts w:hint="eastAsia" w:ascii="宋体" w:hAnsi="宋体" w:cs="宋体"/>
          <w:color w:val="C00000"/>
          <w:spacing w:val="-6"/>
          <w:sz w:val="28"/>
          <w:szCs w:val="28"/>
        </w:rPr>
        <w:t>铁路专用线线路存在各种隐患，导致运行罐车脱轨，引发</w:t>
      </w:r>
      <w:r>
        <w:rPr>
          <w:rFonts w:hint="eastAsia" w:ascii="宋体" w:hAnsi="宋体" w:cs="宋体"/>
          <w:color w:val="C00000"/>
          <w:spacing w:val="-5"/>
          <w:sz w:val="28"/>
          <w:szCs w:val="28"/>
        </w:rPr>
        <w:t>火灾爆炸。</w:t>
      </w:r>
    </w:p>
    <w:p>
      <w:pPr>
        <w:pStyle w:val="16"/>
        <w:spacing w:before="60"/>
        <w:rPr>
          <w:rFonts w:hint="eastAsia" w:ascii="宋体" w:hAnsi="宋体" w:eastAsia="宋体" w:cs="宋体"/>
          <w:b/>
          <w:bCs/>
          <w:sz w:val="28"/>
          <w:szCs w:val="28"/>
        </w:rPr>
      </w:pPr>
      <w:r>
        <w:rPr>
          <w:rFonts w:hint="eastAsia" w:ascii="宋体" w:hAnsi="宋体" w:eastAsia="宋体" w:cs="宋体"/>
          <w:b/>
          <w:bCs/>
          <w:sz w:val="28"/>
          <w:szCs w:val="28"/>
        </w:rPr>
        <w:t>3.1.6.2中毒和窒息</w:t>
      </w:r>
    </w:p>
    <w:p>
      <w:pPr>
        <w:pStyle w:val="16"/>
        <w:spacing w:before="186" w:line="364" w:lineRule="auto"/>
        <w:ind w:right="452" w:firstLine="559"/>
        <w:rPr>
          <w:rFonts w:hint="eastAsia" w:ascii="宋体" w:hAnsi="宋体" w:eastAsia="宋体" w:cs="宋体"/>
          <w:sz w:val="28"/>
          <w:szCs w:val="28"/>
        </w:rPr>
      </w:pPr>
      <w:r>
        <w:rPr>
          <w:rFonts w:hint="eastAsia" w:ascii="宋体" w:hAnsi="宋体" w:eastAsia="宋体" w:cs="宋体"/>
          <w:spacing w:val="-13"/>
          <w:sz w:val="28"/>
          <w:szCs w:val="28"/>
        </w:rPr>
        <w:t>对二甲苯、邻二甲苯为低度危害的毒害物，一旦发生泄漏、飞溅均会对</w:t>
      </w:r>
      <w:r>
        <w:rPr>
          <w:rFonts w:hint="eastAsia" w:ascii="宋体" w:hAnsi="宋体" w:eastAsia="宋体" w:cs="宋体"/>
          <w:spacing w:val="-17"/>
          <w:sz w:val="28"/>
          <w:szCs w:val="28"/>
        </w:rPr>
        <w:t xml:space="preserve">人造成一定程度的毒害。设备、设施损坏或违反操作规程等造成液体泄漏， </w:t>
      </w:r>
      <w:r>
        <w:rPr>
          <w:rFonts w:hint="eastAsia" w:ascii="宋体" w:hAnsi="宋体" w:eastAsia="宋体" w:cs="宋体"/>
          <w:spacing w:val="-16"/>
          <w:sz w:val="28"/>
          <w:szCs w:val="28"/>
        </w:rPr>
        <w:t xml:space="preserve">或某些特殊条件下，遇到某些化学物质能发生剧烈反应，引起物质燃烧时， </w:t>
      </w:r>
      <w:r>
        <w:rPr>
          <w:rFonts w:hint="eastAsia" w:ascii="宋体" w:hAnsi="宋体" w:eastAsia="宋体" w:cs="宋体"/>
          <w:spacing w:val="-3"/>
          <w:sz w:val="28"/>
          <w:szCs w:val="28"/>
        </w:rPr>
        <w:t>可能产生有害的毒性烟雾，人员缺乏防护可能导致中毒事故。</w:t>
      </w:r>
    </w:p>
    <w:p>
      <w:pPr>
        <w:pStyle w:val="16"/>
        <w:spacing w:line="364" w:lineRule="auto"/>
        <w:ind w:right="457" w:firstLine="559"/>
        <w:rPr>
          <w:rFonts w:hint="eastAsia" w:ascii="宋体" w:hAnsi="宋体" w:eastAsia="宋体" w:cs="宋体"/>
          <w:sz w:val="28"/>
          <w:szCs w:val="28"/>
        </w:rPr>
      </w:pPr>
      <w:r>
        <w:rPr>
          <w:rFonts w:hint="eastAsia" w:ascii="宋体" w:hAnsi="宋体" w:eastAsia="宋体" w:cs="宋体"/>
          <w:sz w:val="28"/>
          <w:szCs w:val="28"/>
        </w:rPr>
        <w:t>8</w:t>
      </w:r>
      <w:r>
        <w:rPr>
          <w:rFonts w:hint="eastAsia" w:ascii="宋体" w:hAnsi="宋体" w:eastAsia="宋体" w:cs="宋体"/>
          <w:spacing w:val="-10"/>
          <w:sz w:val="28"/>
          <w:szCs w:val="28"/>
        </w:rPr>
        <w:t>线对二甲苯缓冲罐采用氮气进行密封，若氮气管道发生大量泄漏在防</w:t>
      </w:r>
      <w:r>
        <w:rPr>
          <w:rFonts w:hint="eastAsia" w:ascii="宋体" w:hAnsi="宋体" w:eastAsia="宋体" w:cs="宋体"/>
          <w:spacing w:val="-3"/>
          <w:sz w:val="28"/>
          <w:szCs w:val="28"/>
        </w:rPr>
        <w:t>火堤等低洼处积聚，人员进入缺氧区域可能造成窒息。</w:t>
      </w:r>
    </w:p>
    <w:p>
      <w:pPr>
        <w:pStyle w:val="16"/>
        <w:spacing w:line="358" w:lineRule="exact"/>
        <w:rPr>
          <w:rFonts w:hint="eastAsia" w:ascii="宋体" w:hAnsi="宋体" w:eastAsia="宋体" w:cs="宋体"/>
          <w:b/>
          <w:bCs/>
          <w:sz w:val="28"/>
          <w:szCs w:val="28"/>
        </w:rPr>
      </w:pPr>
      <w:r>
        <w:rPr>
          <w:rFonts w:hint="eastAsia" w:ascii="宋体" w:hAnsi="宋体" w:eastAsia="宋体" w:cs="宋体"/>
          <w:b/>
          <w:bCs/>
          <w:sz w:val="28"/>
          <w:szCs w:val="28"/>
        </w:rPr>
        <w:t>3.1.6.3高处坠落</w:t>
      </w:r>
    </w:p>
    <w:p>
      <w:pPr>
        <w:pStyle w:val="16"/>
        <w:spacing w:before="185" w:line="364" w:lineRule="auto"/>
        <w:ind w:right="451" w:firstLine="559"/>
        <w:rPr>
          <w:rFonts w:hint="eastAsia" w:ascii="宋体" w:hAnsi="宋体" w:eastAsia="宋体" w:cs="宋体"/>
          <w:sz w:val="28"/>
          <w:szCs w:val="28"/>
        </w:rPr>
      </w:pPr>
      <w:r>
        <w:rPr>
          <w:rFonts w:hint="eastAsia" w:ascii="宋体" w:hAnsi="宋体" w:eastAsia="宋体" w:cs="宋体"/>
          <w:spacing w:val="-15"/>
          <w:sz w:val="28"/>
          <w:szCs w:val="28"/>
        </w:rPr>
        <w:t>专用线在运输、装卸过程中，存在高处作业场所，在设备运行、维护保</w:t>
      </w:r>
      <w:r>
        <w:rPr>
          <w:rFonts w:hint="eastAsia" w:ascii="宋体" w:hAnsi="宋体" w:eastAsia="宋体" w:cs="宋体"/>
          <w:spacing w:val="-14"/>
          <w:sz w:val="28"/>
          <w:szCs w:val="28"/>
        </w:rPr>
        <w:t>养、检查修理过程中，各类登高固定式钢梯、平台、防护栏杆、脚手架等的</w:t>
      </w:r>
      <w:r>
        <w:rPr>
          <w:rFonts w:hint="eastAsia" w:ascii="宋体" w:hAnsi="宋体" w:eastAsia="宋体" w:cs="宋体"/>
          <w:spacing w:val="-12"/>
          <w:sz w:val="28"/>
          <w:szCs w:val="28"/>
        </w:rPr>
        <w:t>设计、制造、安装缺陷；不良气候条件下</w:t>
      </w:r>
      <w:r>
        <w:rPr>
          <w:rFonts w:hint="eastAsia" w:ascii="宋体" w:hAnsi="宋体" w:eastAsia="宋体" w:cs="宋体"/>
          <w:sz w:val="28"/>
          <w:szCs w:val="28"/>
        </w:rPr>
        <w:t>（</w:t>
      </w:r>
      <w:r>
        <w:rPr>
          <w:rFonts w:hint="eastAsia" w:ascii="宋体" w:hAnsi="宋体" w:eastAsia="宋体" w:cs="宋体"/>
          <w:spacing w:val="-10"/>
          <w:sz w:val="28"/>
          <w:szCs w:val="28"/>
        </w:rPr>
        <w:t>如雨、雪、风、雾等天气</w:t>
      </w:r>
      <w:r>
        <w:rPr>
          <w:rFonts w:hint="eastAsia" w:ascii="宋体" w:hAnsi="宋体" w:eastAsia="宋体" w:cs="宋体"/>
          <w:spacing w:val="-24"/>
          <w:sz w:val="28"/>
          <w:szCs w:val="28"/>
        </w:rPr>
        <w:t>）</w:t>
      </w:r>
      <w:r>
        <w:rPr>
          <w:rFonts w:hint="eastAsia" w:ascii="宋体" w:hAnsi="宋体" w:eastAsia="宋体" w:cs="宋体"/>
          <w:spacing w:val="-2"/>
          <w:sz w:val="28"/>
          <w:szCs w:val="28"/>
        </w:rPr>
        <w:t>梯子</w:t>
      </w:r>
      <w:r>
        <w:rPr>
          <w:rFonts w:hint="eastAsia" w:ascii="宋体" w:hAnsi="宋体" w:eastAsia="宋体" w:cs="宋体"/>
          <w:spacing w:val="-14"/>
          <w:sz w:val="28"/>
          <w:szCs w:val="28"/>
        </w:rPr>
        <w:t xml:space="preserve">平台防滑性能下降、扶手滑湿以及照明不良、思想麻痹、注意力不集中等， </w:t>
      </w:r>
      <w:r>
        <w:rPr>
          <w:rFonts w:hint="eastAsia" w:ascii="宋体" w:hAnsi="宋体" w:eastAsia="宋体" w:cs="宋体"/>
          <w:spacing w:val="-8"/>
          <w:sz w:val="28"/>
          <w:szCs w:val="28"/>
        </w:rPr>
        <w:t>都可能造成作业人员高处坠落事故的发生。</w:t>
      </w:r>
    </w:p>
    <w:p>
      <w:pPr>
        <w:pStyle w:val="16"/>
        <w:spacing w:line="354" w:lineRule="exact"/>
        <w:rPr>
          <w:rFonts w:hint="eastAsia" w:ascii="宋体" w:hAnsi="宋体" w:eastAsia="宋体" w:cs="宋体"/>
          <w:b/>
          <w:bCs/>
          <w:sz w:val="28"/>
          <w:szCs w:val="28"/>
        </w:rPr>
      </w:pPr>
      <w:r>
        <w:rPr>
          <w:rFonts w:hint="eastAsia" w:ascii="宋体" w:hAnsi="宋体" w:eastAsia="宋体" w:cs="宋体"/>
          <w:b/>
          <w:bCs/>
          <w:sz w:val="28"/>
          <w:szCs w:val="28"/>
        </w:rPr>
        <w:t>3.1.6.4物体打击</w:t>
      </w:r>
    </w:p>
    <w:p>
      <w:pPr>
        <w:pStyle w:val="121"/>
        <w:tabs>
          <w:tab w:val="left" w:pos="1409"/>
        </w:tabs>
        <w:spacing w:before="186" w:line="364" w:lineRule="auto"/>
        <w:ind w:right="319" w:firstLine="280" w:firstLineChars="100"/>
        <w:jc w:val="left"/>
        <w:rPr>
          <w:rFonts w:hint="eastAsia" w:ascii="宋体" w:hAnsi="宋体" w:cs="宋体"/>
          <w:sz w:val="28"/>
          <w:szCs w:val="28"/>
        </w:rPr>
      </w:pPr>
      <w:r>
        <w:rPr>
          <w:rFonts w:hint="eastAsia" w:ascii="宋体" w:hAnsi="宋体" w:cs="宋体"/>
          <w:sz w:val="28"/>
          <w:szCs w:val="28"/>
        </w:rPr>
        <w:t>（1）在物质装卸过程中，车辆上物体掉落，当有人员在车辆旁作业，</w:t>
      </w:r>
      <w:r>
        <w:rPr>
          <w:rFonts w:hint="eastAsia" w:ascii="宋体" w:hAnsi="宋体" w:cs="宋体"/>
          <w:spacing w:val="-3"/>
          <w:sz w:val="28"/>
          <w:szCs w:val="28"/>
        </w:rPr>
        <w:t>或者有人员经过时，可能引起物体打击。</w:t>
      </w:r>
    </w:p>
    <w:p>
      <w:pPr>
        <w:pStyle w:val="121"/>
        <w:tabs>
          <w:tab w:val="left" w:pos="1403"/>
        </w:tabs>
        <w:spacing w:line="364" w:lineRule="auto"/>
        <w:ind w:right="180" w:firstLine="274" w:firstLineChars="100"/>
        <w:jc w:val="left"/>
        <w:rPr>
          <w:rFonts w:hint="eastAsia" w:ascii="宋体" w:hAnsi="宋体" w:cs="宋体"/>
          <w:sz w:val="28"/>
          <w:szCs w:val="28"/>
        </w:rPr>
      </w:pPr>
      <w:r>
        <w:rPr>
          <w:rFonts w:hint="eastAsia" w:ascii="宋体" w:hAnsi="宋体" w:cs="宋体"/>
          <w:spacing w:val="-3"/>
          <w:sz w:val="28"/>
          <w:szCs w:val="28"/>
        </w:rPr>
        <w:t>（2）铁路专用线维修人员在上车厢顶维修时由于维修工具未及时收起 ，造成维修工具掉落。</w:t>
      </w:r>
    </w:p>
    <w:p>
      <w:pPr>
        <w:pStyle w:val="121"/>
        <w:tabs>
          <w:tab w:val="left" w:pos="1403"/>
        </w:tabs>
        <w:spacing w:line="364" w:lineRule="auto"/>
        <w:ind w:right="454" w:firstLine="270" w:firstLineChars="100"/>
        <w:rPr>
          <w:rFonts w:hint="eastAsia" w:ascii="宋体" w:hAnsi="宋体" w:cs="宋体"/>
          <w:b/>
          <w:bCs/>
          <w:sz w:val="28"/>
          <w:szCs w:val="28"/>
        </w:rPr>
      </w:pPr>
      <w:r>
        <w:rPr>
          <w:rFonts w:hint="eastAsia" w:ascii="宋体" w:hAnsi="宋体" w:cs="宋体"/>
          <w:spacing w:val="-5"/>
          <w:sz w:val="28"/>
          <w:szCs w:val="28"/>
        </w:rPr>
        <w:t>（3）在栈桥平台上操作、安装或检修工具及设备的零部件等，若使用</w:t>
      </w:r>
      <w:r>
        <w:rPr>
          <w:rFonts w:hint="eastAsia" w:ascii="宋体" w:hAnsi="宋体" w:cs="宋体"/>
          <w:spacing w:val="-13"/>
          <w:sz w:val="28"/>
          <w:szCs w:val="28"/>
        </w:rPr>
        <w:t>不当或放置不牢固，致使工具意外飞出或高处零部件意外坠落，机械设备的</w:t>
      </w:r>
      <w:r>
        <w:rPr>
          <w:rFonts w:hint="eastAsia" w:ascii="宋体" w:hAnsi="宋体" w:cs="宋体"/>
          <w:spacing w:val="-3"/>
          <w:sz w:val="28"/>
          <w:szCs w:val="28"/>
        </w:rPr>
        <w:t>转动部件飞出等，可能造成物体打击人体造成人身伤害事故。</w:t>
      </w:r>
    </w:p>
    <w:p>
      <w:pPr>
        <w:pStyle w:val="16"/>
        <w:spacing w:line="358" w:lineRule="exact"/>
        <w:rPr>
          <w:rFonts w:hint="eastAsia" w:ascii="宋体" w:hAnsi="宋体" w:eastAsia="宋体" w:cs="宋体"/>
          <w:sz w:val="28"/>
          <w:szCs w:val="28"/>
        </w:rPr>
      </w:pPr>
      <w:r>
        <w:rPr>
          <w:rFonts w:hint="eastAsia" w:ascii="宋体" w:hAnsi="宋体" w:eastAsia="宋体" w:cs="宋体"/>
          <w:b/>
          <w:bCs/>
          <w:sz w:val="28"/>
          <w:szCs w:val="28"/>
        </w:rPr>
        <w:t>3.1.6.5触电</w:t>
      </w:r>
    </w:p>
    <w:p>
      <w:pPr>
        <w:pStyle w:val="16"/>
        <w:spacing w:before="185" w:line="364" w:lineRule="auto"/>
        <w:ind w:right="452" w:firstLine="559"/>
        <w:rPr>
          <w:rFonts w:hint="eastAsia" w:ascii="宋体" w:hAnsi="宋体" w:eastAsia="宋体" w:cs="宋体"/>
          <w:sz w:val="28"/>
          <w:szCs w:val="28"/>
        </w:rPr>
      </w:pPr>
      <w:r>
        <w:rPr>
          <w:rFonts w:hint="eastAsia" w:ascii="宋体" w:hAnsi="宋体" w:eastAsia="宋体" w:cs="宋体"/>
          <w:spacing w:val="-13"/>
          <w:sz w:val="28"/>
          <w:szCs w:val="28"/>
        </w:rPr>
        <w:t>专用线在运输、装卸过程中使用了较多泵类机械和电气设备，可能造成</w:t>
      </w:r>
      <w:r>
        <w:rPr>
          <w:rFonts w:hint="eastAsia" w:ascii="宋体" w:hAnsi="宋体" w:eastAsia="宋体" w:cs="宋体"/>
          <w:spacing w:val="-3"/>
          <w:sz w:val="28"/>
          <w:szCs w:val="28"/>
        </w:rPr>
        <w:t>漏电，引起触电事故，造成触电事故的主要原因有：</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（1）电气线路或机械、电气设备安装操作不当，保养不善及接</w:t>
      </w:r>
    </w:p>
    <w:p>
      <w:pPr>
        <w:pStyle w:val="121"/>
        <w:tabs>
          <w:tab w:val="left" w:pos="1403"/>
        </w:tabs>
        <w:spacing w:line="364" w:lineRule="auto"/>
        <w:ind w:right="454" w:firstLine="0" w:firstLineChars="0"/>
        <w:jc w:val="left"/>
        <w:rPr>
          <w:rFonts w:hint="eastAsia" w:ascii="宋体" w:hAnsi="宋体" w:cs="宋体"/>
          <w:spacing w:val="-7"/>
          <w:sz w:val="28"/>
          <w:szCs w:val="28"/>
        </w:rPr>
      </w:pPr>
      <w:r>
        <w:rPr>
          <w:rFonts w:hint="eastAsia" w:ascii="宋体" w:hAnsi="宋体" w:cs="宋体"/>
          <w:spacing w:val="-7"/>
          <w:sz w:val="28"/>
          <w:szCs w:val="28"/>
        </w:rPr>
        <w:t>地、接零设备损坏或失效等，将会引起电气设备各绝缘性能降低或保护失效，造成漏电，引发触电事故。</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（2）电气设备在潮湿环境中可引起电化学腐蚀及触电事故发生。</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（3）不办理危险作业手续或不执行监护制度，不使用或使用不</w:t>
      </w:r>
    </w:p>
    <w:p>
      <w:pPr>
        <w:pStyle w:val="121"/>
        <w:tabs>
          <w:tab w:val="left" w:pos="1403"/>
        </w:tabs>
        <w:spacing w:line="364" w:lineRule="auto"/>
        <w:ind w:right="454" w:firstLine="0" w:firstLineChars="0"/>
        <w:jc w:val="left"/>
        <w:rPr>
          <w:rFonts w:hint="eastAsia" w:ascii="宋体" w:hAnsi="宋体" w:cs="宋体"/>
          <w:spacing w:val="-7"/>
          <w:sz w:val="28"/>
          <w:szCs w:val="28"/>
        </w:rPr>
      </w:pPr>
      <w:r>
        <w:rPr>
          <w:rFonts w:hint="eastAsia" w:ascii="宋体" w:hAnsi="宋体" w:cs="宋体"/>
          <w:spacing w:val="-7"/>
          <w:sz w:val="28"/>
          <w:szCs w:val="28"/>
        </w:rPr>
        <w:t>合格绝缘工具和电气工具。</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（4）检修电气设备工作完毕，未办理相关手续，就对检修设备</w:t>
      </w:r>
    </w:p>
    <w:p>
      <w:pPr>
        <w:pStyle w:val="121"/>
        <w:tabs>
          <w:tab w:val="left" w:pos="1403"/>
        </w:tabs>
        <w:spacing w:line="364" w:lineRule="auto"/>
        <w:ind w:right="454" w:firstLine="0" w:firstLineChars="0"/>
        <w:jc w:val="left"/>
        <w:rPr>
          <w:rFonts w:hint="eastAsia" w:ascii="宋体" w:hAnsi="宋体" w:cs="宋体"/>
          <w:spacing w:val="-7"/>
          <w:sz w:val="28"/>
          <w:szCs w:val="28"/>
        </w:rPr>
      </w:pPr>
      <w:r>
        <w:rPr>
          <w:rFonts w:hint="eastAsia" w:ascii="宋体" w:hAnsi="宋体" w:cs="宋体"/>
          <w:spacing w:val="-7"/>
          <w:sz w:val="28"/>
          <w:szCs w:val="28"/>
        </w:rPr>
        <w:t>恢复送电。</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（5）在带电设备附近适用钢卷尺等进行测量或携带金属超高物</w:t>
      </w:r>
    </w:p>
    <w:p>
      <w:pPr>
        <w:pStyle w:val="121"/>
        <w:tabs>
          <w:tab w:val="left" w:pos="1403"/>
        </w:tabs>
        <w:spacing w:line="364" w:lineRule="auto"/>
        <w:ind w:right="454" w:firstLine="0" w:firstLineChars="0"/>
        <w:jc w:val="left"/>
        <w:rPr>
          <w:rFonts w:hint="eastAsia" w:ascii="宋体" w:hAnsi="宋体" w:cs="宋体"/>
          <w:spacing w:val="-7"/>
          <w:sz w:val="28"/>
          <w:szCs w:val="28"/>
        </w:rPr>
      </w:pPr>
      <w:r>
        <w:rPr>
          <w:rFonts w:hint="eastAsia" w:ascii="宋体" w:hAnsi="宋体" w:cs="宋体"/>
          <w:spacing w:val="-7"/>
          <w:sz w:val="28"/>
          <w:szCs w:val="28"/>
        </w:rPr>
        <w:t>体在带电设备下行走。</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（6）电器设备未按规定接地或绝缘不良，导致事故发生。</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（7）跨越安全围栏。</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（8）工作人员擅自扩大工作范围。</w:t>
      </w:r>
    </w:p>
    <w:p>
      <w:pPr>
        <w:pStyle w:val="121"/>
        <w:tabs>
          <w:tab w:val="left" w:pos="1403"/>
        </w:tabs>
        <w:spacing w:line="364" w:lineRule="auto"/>
        <w:ind w:left="420" w:leftChars="200" w:right="454" w:firstLine="0" w:firstLineChars="0"/>
        <w:jc w:val="left"/>
        <w:rPr>
          <w:rFonts w:hint="eastAsia" w:ascii="宋体" w:hAnsi="宋体" w:cs="宋体"/>
          <w:spacing w:val="-7"/>
          <w:sz w:val="28"/>
          <w:szCs w:val="28"/>
        </w:rPr>
      </w:pPr>
      <w:r>
        <w:rPr>
          <w:rFonts w:hint="eastAsia" w:ascii="宋体" w:hAnsi="宋体" w:cs="宋体"/>
          <w:spacing w:val="-7"/>
          <w:sz w:val="28"/>
          <w:szCs w:val="28"/>
        </w:rPr>
        <w:t>（9）适用的电动工具外壳不接地，操作时不带绝缘手套。</w:t>
      </w:r>
    </w:p>
    <w:p>
      <w:pPr>
        <w:pStyle w:val="121"/>
        <w:tabs>
          <w:tab w:val="left" w:pos="1403"/>
        </w:tabs>
        <w:spacing w:line="364" w:lineRule="auto"/>
        <w:ind w:right="454" w:firstLineChars="0"/>
        <w:jc w:val="left"/>
        <w:rPr>
          <w:rFonts w:hint="eastAsia" w:ascii="宋体" w:hAnsi="宋体" w:cs="宋体"/>
          <w:spacing w:val="-7"/>
          <w:sz w:val="28"/>
          <w:szCs w:val="28"/>
        </w:rPr>
      </w:pPr>
      <w:r>
        <w:rPr>
          <w:rFonts w:hint="eastAsia" w:ascii="宋体" w:hAnsi="宋体" w:cs="宋体"/>
          <w:spacing w:val="-7"/>
          <w:sz w:val="28"/>
          <w:szCs w:val="28"/>
        </w:rPr>
        <w:t>在潮湿地区、金属容器内进行电焊工作室不穿绝缘鞋，无绝缘垫， 无监护人。</w:t>
      </w:r>
    </w:p>
    <w:p>
      <w:pPr>
        <w:pStyle w:val="16"/>
        <w:spacing w:line="358" w:lineRule="exact"/>
        <w:rPr>
          <w:rFonts w:hint="eastAsia" w:ascii="宋体" w:hAnsi="宋体" w:eastAsia="宋体" w:cs="宋体"/>
          <w:b/>
          <w:bCs/>
          <w:sz w:val="28"/>
          <w:szCs w:val="28"/>
        </w:rPr>
      </w:pPr>
      <w:r>
        <w:rPr>
          <w:rFonts w:hint="eastAsia" w:ascii="宋体" w:hAnsi="宋体" w:eastAsia="宋体" w:cs="宋体"/>
          <w:b/>
          <w:bCs/>
          <w:sz w:val="28"/>
          <w:szCs w:val="28"/>
        </w:rPr>
        <w:t>3.1.6.6机械伤害</w:t>
      </w:r>
    </w:p>
    <w:p>
      <w:pPr>
        <w:pStyle w:val="16"/>
        <w:spacing w:before="186" w:line="364" w:lineRule="auto"/>
        <w:ind w:right="454" w:firstLine="559"/>
        <w:rPr>
          <w:rFonts w:hint="eastAsia" w:ascii="宋体" w:hAnsi="宋体" w:eastAsia="宋体" w:cs="宋体"/>
          <w:sz w:val="28"/>
          <w:szCs w:val="28"/>
        </w:rPr>
      </w:pPr>
      <w:r>
        <w:rPr>
          <w:rFonts w:hint="eastAsia" w:ascii="宋体" w:hAnsi="宋体" w:eastAsia="宋体" w:cs="宋体"/>
          <w:spacing w:val="-14"/>
          <w:sz w:val="28"/>
          <w:szCs w:val="28"/>
        </w:rPr>
        <w:t>卸车泵等机械转动设备，若其暴露在外的转动部分没有设置防护罩，可</w:t>
      </w:r>
      <w:r>
        <w:rPr>
          <w:rFonts w:hint="eastAsia" w:ascii="宋体" w:hAnsi="宋体" w:eastAsia="宋体" w:cs="宋体"/>
          <w:spacing w:val="-3"/>
          <w:sz w:val="28"/>
          <w:szCs w:val="28"/>
        </w:rPr>
        <w:t>能造成机械伤害事故。</w:t>
      </w:r>
    </w:p>
    <w:p>
      <w:pPr>
        <w:pStyle w:val="16"/>
        <w:spacing w:line="358" w:lineRule="exact"/>
        <w:rPr>
          <w:rFonts w:hint="eastAsia" w:ascii="宋体" w:hAnsi="宋体" w:eastAsia="宋体" w:cs="宋体"/>
          <w:b/>
          <w:bCs/>
          <w:sz w:val="28"/>
          <w:szCs w:val="28"/>
        </w:rPr>
      </w:pPr>
      <w:r>
        <w:rPr>
          <w:rFonts w:hint="eastAsia" w:ascii="宋体" w:hAnsi="宋体" w:eastAsia="宋体" w:cs="宋体"/>
          <w:b/>
          <w:bCs/>
          <w:sz w:val="28"/>
          <w:szCs w:val="28"/>
        </w:rPr>
        <w:t>3.1.6.7灼烫</w:t>
      </w:r>
    </w:p>
    <w:p>
      <w:pPr>
        <w:pStyle w:val="16"/>
        <w:spacing w:before="186" w:line="364" w:lineRule="auto"/>
        <w:ind w:right="454" w:firstLine="559"/>
        <w:rPr>
          <w:rFonts w:hint="eastAsia" w:ascii="宋体" w:hAnsi="宋体" w:eastAsia="宋体" w:cs="宋体"/>
          <w:sz w:val="28"/>
          <w:szCs w:val="28"/>
        </w:rPr>
      </w:pPr>
      <w:r>
        <w:rPr>
          <w:rFonts w:hint="eastAsia" w:ascii="宋体" w:hAnsi="宋体" w:eastAsia="宋体" w:cs="宋体"/>
          <w:spacing w:val="-2"/>
          <w:sz w:val="28"/>
          <w:szCs w:val="28"/>
        </w:rPr>
        <w:t xml:space="preserve">本项目 </w:t>
      </w:r>
      <w:r>
        <w:rPr>
          <w:rFonts w:hint="eastAsia" w:ascii="宋体" w:hAnsi="宋体" w:eastAsia="宋体" w:cs="宋体"/>
          <w:sz w:val="28"/>
          <w:szCs w:val="28"/>
        </w:rPr>
        <w:t>8</w:t>
      </w:r>
      <w:r>
        <w:rPr>
          <w:rFonts w:hint="eastAsia" w:ascii="宋体" w:hAnsi="宋体" w:eastAsia="宋体" w:cs="宋体"/>
          <w:spacing w:val="-3"/>
          <w:sz w:val="28"/>
          <w:szCs w:val="28"/>
        </w:rPr>
        <w:t>线对二甲苯缓冲罐设蒸汽系统对储罐加热，若蒸汽管道破裂或其连接部位产生泄漏，人员接触蒸汽可能受到灼烫伤害。</w:t>
      </w:r>
    </w:p>
    <w:p>
      <w:pPr>
        <w:pStyle w:val="16"/>
        <w:spacing w:line="358" w:lineRule="exact"/>
        <w:rPr>
          <w:rFonts w:hint="eastAsia" w:ascii="宋体" w:hAnsi="宋体" w:eastAsia="宋体" w:cs="宋体"/>
          <w:b/>
          <w:bCs/>
          <w:sz w:val="28"/>
          <w:szCs w:val="28"/>
        </w:rPr>
      </w:pPr>
      <w:r>
        <w:rPr>
          <w:rFonts w:hint="eastAsia" w:ascii="宋体" w:hAnsi="宋体" w:eastAsia="宋体" w:cs="宋体"/>
          <w:b/>
          <w:bCs/>
          <w:sz w:val="28"/>
          <w:szCs w:val="28"/>
        </w:rPr>
        <w:t>3.1.6.8其他危害（噪声与振动）</w:t>
      </w:r>
    </w:p>
    <w:p>
      <w:pPr>
        <w:pStyle w:val="16"/>
        <w:spacing w:before="187" w:line="364" w:lineRule="auto"/>
        <w:ind w:right="454" w:firstLine="559"/>
        <w:rPr>
          <w:rFonts w:hint="eastAsia" w:ascii="宋体" w:hAnsi="宋体" w:eastAsia="宋体" w:cs="宋体"/>
          <w:sz w:val="28"/>
          <w:szCs w:val="28"/>
        </w:rPr>
      </w:pPr>
      <w:r>
        <w:rPr>
          <w:rFonts w:hint="eastAsia" w:ascii="宋体" w:hAnsi="宋体" w:eastAsia="宋体" w:cs="宋体"/>
          <w:sz w:val="28"/>
          <w:szCs w:val="28"/>
        </w:rPr>
        <w:t>噪声主要来源于铁路列车运行及调度作业时所产生的轮轨噪声以及机</w:t>
      </w:r>
      <w:r>
        <w:rPr>
          <w:rFonts w:hint="eastAsia" w:ascii="宋体" w:hAnsi="宋体" w:eastAsia="宋体" w:cs="宋体"/>
          <w:spacing w:val="-16"/>
          <w:sz w:val="28"/>
          <w:szCs w:val="28"/>
        </w:rPr>
        <w:t>车鸣笛噪声；其次是运转的机、泵设备。长期接触高强度噪声会对人体产生</w:t>
      </w:r>
      <w:r>
        <w:rPr>
          <w:rFonts w:hint="eastAsia" w:ascii="宋体" w:hAnsi="宋体" w:eastAsia="宋体" w:cs="宋体"/>
          <w:spacing w:val="-14"/>
          <w:sz w:val="28"/>
          <w:szCs w:val="28"/>
        </w:rPr>
        <w:t>听力损伤、神经系统危害和心血管系统危害，从而引发噪声性疾病。同时噪</w:t>
      </w:r>
      <w:r>
        <w:rPr>
          <w:rFonts w:hint="eastAsia" w:ascii="宋体" w:hAnsi="宋体" w:eastAsia="宋体" w:cs="宋体"/>
          <w:sz w:val="28"/>
          <w:szCs w:val="28"/>
        </w:rPr>
        <w:t>声干扰作业人员交谈清晰度，影响作业过程中的指挥信号警示信号的准确</w:t>
      </w:r>
      <w:r>
        <w:rPr>
          <w:rFonts w:hint="eastAsia" w:ascii="宋体" w:hAnsi="宋体" w:eastAsia="宋体" w:cs="宋体"/>
          <w:spacing w:val="-14"/>
          <w:sz w:val="28"/>
          <w:szCs w:val="28"/>
        </w:rPr>
        <w:t>传递，从而导致作业人员操作配合失误，增加了工伤事故发生的概率。振动</w:t>
      </w:r>
      <w:r>
        <w:rPr>
          <w:rFonts w:hint="eastAsia" w:ascii="宋体" w:hAnsi="宋体" w:eastAsia="宋体" w:cs="宋体"/>
          <w:sz w:val="28"/>
          <w:szCs w:val="28"/>
        </w:rPr>
        <w:t>不仅影响人体健康，而且危害设备的安全运行。</w:t>
      </w:r>
      <w:r>
        <w:rPr>
          <w:rFonts w:hint="eastAsia" w:ascii="宋体" w:hAnsi="宋体" w:eastAsia="宋体" w:cs="宋体"/>
          <w:sz w:val="28"/>
          <w:szCs w:val="28"/>
        </w:rPr>
        <w:tab/>
      </w:r>
    </w:p>
    <w:p>
      <w:pPr>
        <w:pStyle w:val="3"/>
        <w:tabs>
          <w:tab w:val="left" w:pos="2944"/>
          <w:tab w:val="left" w:pos="2945"/>
        </w:tabs>
        <w:spacing w:before="84" w:line="240" w:lineRule="auto"/>
        <w:jc w:val="left"/>
        <w:rPr>
          <w:rFonts w:hint="eastAsia" w:ascii="宋体" w:hAnsi="宋体" w:eastAsia="宋体" w:cs="宋体"/>
        </w:rPr>
      </w:pPr>
      <w:bookmarkStart w:id="87" w:name="_Toc18347"/>
      <w:r>
        <w:rPr>
          <w:rFonts w:hint="eastAsia" w:ascii="宋体" w:hAnsi="宋体" w:eastAsia="宋体" w:cs="宋体"/>
        </w:rPr>
        <w:t>3.1.7辅助装卸储设备设施危险、有害因素辨识</w:t>
      </w:r>
      <w:bookmarkEnd w:id="87"/>
    </w:p>
    <w:p>
      <w:pPr>
        <w:pStyle w:val="16"/>
        <w:spacing w:before="136" w:line="360" w:lineRule="auto"/>
        <w:ind w:right="455" w:firstLine="559"/>
        <w:rPr>
          <w:rFonts w:hint="eastAsia" w:ascii="宋体" w:hAnsi="宋体" w:eastAsia="宋体" w:cs="宋体"/>
          <w:sz w:val="28"/>
          <w:szCs w:val="28"/>
        </w:rPr>
      </w:pPr>
      <w:r>
        <w:rPr>
          <w:rFonts w:hint="eastAsia" w:ascii="宋体" w:hAnsi="宋体" w:eastAsia="宋体" w:cs="宋体"/>
          <w:spacing w:val="-9"/>
          <w:sz w:val="28"/>
          <w:szCs w:val="28"/>
        </w:rPr>
        <w:t>铁路专用线中涉及的主要设备设施包括缓冲罐</w:t>
      </w:r>
      <w:r>
        <w:rPr>
          <w:rFonts w:hint="eastAsia" w:ascii="宋体" w:hAnsi="宋体" w:eastAsia="宋体" w:cs="宋体"/>
          <w:sz w:val="28"/>
          <w:szCs w:val="28"/>
        </w:rPr>
        <w:t>（</w:t>
      </w:r>
      <w:r>
        <w:rPr>
          <w:rFonts w:hint="eastAsia" w:ascii="宋体" w:hAnsi="宋体" w:eastAsia="宋体" w:cs="宋体"/>
          <w:spacing w:val="-2"/>
          <w:sz w:val="28"/>
          <w:szCs w:val="28"/>
        </w:rPr>
        <w:t>扫仓罐</w:t>
      </w:r>
      <w:r>
        <w:rPr>
          <w:rFonts w:hint="eastAsia" w:ascii="宋体" w:hAnsi="宋体" w:eastAsia="宋体" w:cs="宋体"/>
          <w:spacing w:val="-142"/>
          <w:sz w:val="28"/>
          <w:szCs w:val="28"/>
        </w:rPr>
        <w:t>）</w:t>
      </w:r>
      <w:r>
        <w:rPr>
          <w:rFonts w:hint="eastAsia" w:ascii="宋体" w:hAnsi="宋体" w:eastAsia="宋体" w:cs="宋体"/>
          <w:spacing w:val="-33"/>
          <w:sz w:val="28"/>
          <w:szCs w:val="28"/>
        </w:rPr>
        <w:t>、栈桥、鹤管、</w:t>
      </w:r>
      <w:r>
        <w:rPr>
          <w:rFonts w:hint="eastAsia" w:ascii="宋体" w:hAnsi="宋体" w:eastAsia="宋体" w:cs="宋体"/>
          <w:spacing w:val="-1"/>
          <w:sz w:val="28"/>
          <w:szCs w:val="28"/>
        </w:rPr>
        <w:t>泵和管道等。</w:t>
      </w:r>
    </w:p>
    <w:p>
      <w:pPr>
        <w:pStyle w:val="16"/>
        <w:spacing w:line="360" w:lineRule="auto"/>
        <w:ind w:left="698"/>
        <w:rPr>
          <w:rFonts w:hint="eastAsia" w:ascii="宋体" w:hAnsi="宋体" w:eastAsia="宋体" w:cs="宋体"/>
          <w:sz w:val="28"/>
          <w:szCs w:val="28"/>
        </w:rPr>
      </w:pPr>
      <w:r>
        <w:rPr>
          <w:rFonts w:hint="eastAsia" w:ascii="宋体" w:hAnsi="宋体" w:eastAsia="宋体" w:cs="宋体"/>
          <w:sz w:val="28"/>
          <w:szCs w:val="28"/>
        </w:rPr>
        <w:t>1、缓冲储罐的主要危险、有害因素辨识</w:t>
      </w:r>
    </w:p>
    <w:p>
      <w:pPr>
        <w:pStyle w:val="121"/>
        <w:numPr>
          <w:ilvl w:val="0"/>
          <w:numId w:val="9"/>
        </w:numPr>
        <w:tabs>
          <w:tab w:val="left" w:pos="1403"/>
        </w:tabs>
        <w:spacing w:before="186" w:line="360" w:lineRule="auto"/>
        <w:ind w:right="454" w:firstLine="532"/>
        <w:rPr>
          <w:rFonts w:hint="eastAsia" w:ascii="宋体" w:hAnsi="宋体" w:cs="宋体"/>
          <w:sz w:val="28"/>
          <w:szCs w:val="28"/>
        </w:rPr>
      </w:pPr>
      <w:r>
        <w:rPr>
          <w:rFonts w:hint="eastAsia" w:ascii="宋体" w:hAnsi="宋体" w:cs="宋体"/>
          <w:spacing w:val="-7"/>
          <w:sz w:val="28"/>
          <w:szCs w:val="28"/>
        </w:rPr>
        <w:t>储罐基础选址不当、基础设计错误、基础处理不当会导致储存物</w:t>
      </w:r>
      <w:r>
        <w:rPr>
          <w:rFonts w:hint="eastAsia" w:ascii="宋体" w:hAnsi="宋体" w:cs="宋体"/>
          <w:spacing w:val="-12"/>
          <w:sz w:val="28"/>
          <w:szCs w:val="28"/>
        </w:rPr>
        <w:t>料后基础不均匀沉降或地基基础塌陷，可能造成储罐倾斜或失稳，甚至储罐</w:t>
      </w:r>
      <w:r>
        <w:rPr>
          <w:rFonts w:hint="eastAsia" w:ascii="宋体" w:hAnsi="宋体" w:cs="宋体"/>
          <w:spacing w:val="-3"/>
          <w:sz w:val="28"/>
          <w:szCs w:val="28"/>
        </w:rPr>
        <w:t>罐壁撕裂或储罐底板断裂，引发物料泄漏。</w:t>
      </w:r>
    </w:p>
    <w:p>
      <w:pPr>
        <w:pStyle w:val="121"/>
        <w:numPr>
          <w:ilvl w:val="0"/>
          <w:numId w:val="9"/>
        </w:numPr>
        <w:tabs>
          <w:tab w:val="left" w:pos="1403"/>
        </w:tabs>
        <w:spacing w:line="360" w:lineRule="auto"/>
        <w:ind w:right="454" w:firstLine="520"/>
        <w:jc w:val="left"/>
        <w:rPr>
          <w:rFonts w:hint="eastAsia" w:ascii="宋体" w:hAnsi="宋体" w:cs="宋体"/>
          <w:sz w:val="28"/>
          <w:szCs w:val="28"/>
        </w:rPr>
      </w:pPr>
      <w:r>
        <w:rPr>
          <w:rFonts w:hint="eastAsia" w:ascii="宋体" w:hAnsi="宋体" w:cs="宋体"/>
          <w:spacing w:val="-10"/>
          <w:sz w:val="28"/>
          <w:szCs w:val="28"/>
        </w:rPr>
        <w:t>储罐板材质量差、焊接不过关</w:t>
      </w:r>
      <w:r>
        <w:rPr>
          <w:rFonts w:hint="eastAsia" w:ascii="宋体" w:hAnsi="宋体" w:cs="宋体"/>
          <w:sz w:val="28"/>
          <w:szCs w:val="28"/>
        </w:rPr>
        <w:t>（</w:t>
      </w:r>
      <w:r>
        <w:rPr>
          <w:rFonts w:hint="eastAsia" w:ascii="宋体" w:hAnsi="宋体" w:cs="宋体"/>
          <w:spacing w:val="-10"/>
          <w:sz w:val="28"/>
          <w:szCs w:val="28"/>
        </w:rPr>
        <w:t>如夹渣、砂眼、裂纹</w:t>
      </w:r>
      <w:r>
        <w:rPr>
          <w:rFonts w:hint="eastAsia" w:ascii="宋体" w:hAnsi="宋体" w:cs="宋体"/>
          <w:spacing w:val="-142"/>
          <w:sz w:val="28"/>
          <w:szCs w:val="28"/>
        </w:rPr>
        <w:t>）</w:t>
      </w:r>
      <w:r>
        <w:rPr>
          <w:rFonts w:hint="eastAsia" w:ascii="宋体" w:hAnsi="宋体" w:cs="宋体"/>
          <w:spacing w:val="-8"/>
          <w:sz w:val="28"/>
          <w:szCs w:val="28"/>
        </w:rPr>
        <w:t>、完工后和</w:t>
      </w:r>
      <w:r>
        <w:rPr>
          <w:rFonts w:hint="eastAsia" w:ascii="宋体" w:hAnsi="宋体" w:cs="宋体"/>
          <w:spacing w:val="-5"/>
          <w:sz w:val="28"/>
          <w:szCs w:val="28"/>
        </w:rPr>
        <w:t>使用前全面质量检查不落实，可能导致罐体破裂和渗漏，引发物料泄漏。</w:t>
      </w:r>
    </w:p>
    <w:p>
      <w:pPr>
        <w:pStyle w:val="121"/>
        <w:numPr>
          <w:ilvl w:val="0"/>
          <w:numId w:val="9"/>
        </w:numPr>
        <w:tabs>
          <w:tab w:val="left" w:pos="1403"/>
        </w:tabs>
        <w:spacing w:line="360" w:lineRule="auto"/>
        <w:ind w:right="452" w:firstLine="524"/>
        <w:jc w:val="left"/>
        <w:rPr>
          <w:rFonts w:hint="eastAsia" w:ascii="宋体" w:hAnsi="宋体" w:cs="宋体"/>
          <w:sz w:val="28"/>
          <w:szCs w:val="28"/>
        </w:rPr>
      </w:pPr>
      <w:r>
        <w:rPr>
          <w:rFonts w:hint="eastAsia" w:ascii="宋体" w:hAnsi="宋体" w:cs="宋体"/>
          <w:spacing w:val="-9"/>
          <w:sz w:val="28"/>
          <w:szCs w:val="28"/>
        </w:rPr>
        <w:t>罐体防腐处理不当易发生罐体腐蚀</w:t>
      </w:r>
      <w:r>
        <w:rPr>
          <w:rFonts w:hint="eastAsia" w:ascii="宋体" w:hAnsi="宋体" w:cs="宋体"/>
          <w:sz w:val="28"/>
          <w:szCs w:val="28"/>
        </w:rPr>
        <w:t>（</w:t>
      </w:r>
      <w:r>
        <w:rPr>
          <w:rFonts w:hint="eastAsia" w:ascii="宋体" w:hAnsi="宋体" w:cs="宋体"/>
          <w:spacing w:val="-3"/>
          <w:sz w:val="28"/>
          <w:szCs w:val="28"/>
        </w:rPr>
        <w:t>特别是罐底板的腐蚀</w:t>
      </w:r>
      <w:r>
        <w:rPr>
          <w:rFonts w:hint="eastAsia" w:ascii="宋体" w:hAnsi="宋体" w:cs="宋体"/>
          <w:spacing w:val="-113"/>
          <w:sz w:val="28"/>
          <w:szCs w:val="28"/>
        </w:rPr>
        <w:t>）</w:t>
      </w:r>
      <w:r>
        <w:rPr>
          <w:rFonts w:hint="eastAsia" w:ascii="宋体" w:hAnsi="宋体" w:cs="宋体"/>
          <w:spacing w:val="-42"/>
          <w:sz w:val="28"/>
          <w:szCs w:val="28"/>
        </w:rPr>
        <w:t>，可能</w:t>
      </w:r>
      <w:r>
        <w:rPr>
          <w:rFonts w:hint="eastAsia" w:ascii="宋体" w:hAnsi="宋体" w:cs="宋体"/>
          <w:spacing w:val="-3"/>
          <w:sz w:val="28"/>
          <w:szCs w:val="28"/>
        </w:rPr>
        <w:t>导致渗漏物料污染环境和火灾事故。</w:t>
      </w:r>
    </w:p>
    <w:p>
      <w:pPr>
        <w:pStyle w:val="121"/>
        <w:numPr>
          <w:ilvl w:val="0"/>
          <w:numId w:val="9"/>
        </w:numPr>
        <w:tabs>
          <w:tab w:val="left" w:pos="1403"/>
        </w:tabs>
        <w:spacing w:line="360" w:lineRule="auto"/>
        <w:ind w:right="457" w:firstLine="540"/>
        <w:jc w:val="left"/>
        <w:rPr>
          <w:rFonts w:hint="eastAsia" w:ascii="宋体" w:hAnsi="宋体" w:cs="宋体"/>
          <w:sz w:val="28"/>
          <w:szCs w:val="28"/>
        </w:rPr>
      </w:pPr>
      <w:r>
        <w:rPr>
          <w:rFonts w:hint="eastAsia" w:ascii="宋体" w:hAnsi="宋体" w:cs="宋体"/>
          <w:spacing w:val="-5"/>
          <w:sz w:val="28"/>
          <w:szCs w:val="28"/>
        </w:rPr>
        <w:t>储罐进出管道如不安装抗震金属软管，可能储罐基础沉降、地震</w:t>
      </w:r>
      <w:r>
        <w:rPr>
          <w:rFonts w:hint="eastAsia" w:ascii="宋体" w:hAnsi="宋体" w:cs="宋体"/>
          <w:spacing w:val="-4"/>
          <w:sz w:val="28"/>
          <w:szCs w:val="28"/>
        </w:rPr>
        <w:t>等因素对储罐及其进出口接合管产生影响，不利于利于储罐的安全运行。</w:t>
      </w:r>
    </w:p>
    <w:p>
      <w:pPr>
        <w:pStyle w:val="121"/>
        <w:tabs>
          <w:tab w:val="left" w:pos="1403"/>
        </w:tabs>
        <w:spacing w:line="360" w:lineRule="auto"/>
        <w:ind w:firstLine="822" w:firstLineChars="300"/>
        <w:jc w:val="left"/>
        <w:rPr>
          <w:rFonts w:hint="eastAsia" w:ascii="宋体" w:hAnsi="宋体" w:cs="宋体"/>
          <w:sz w:val="28"/>
          <w:szCs w:val="28"/>
        </w:rPr>
      </w:pPr>
      <w:r>
        <w:rPr>
          <w:rFonts w:hint="eastAsia" w:ascii="宋体" w:hAnsi="宋体" w:cs="宋体"/>
          <w:spacing w:val="-3"/>
          <w:sz w:val="28"/>
          <w:szCs w:val="28"/>
        </w:rPr>
        <w:t>（5）如不设置储罐高液位报警系统，可能导致油罐超装。</w:t>
      </w:r>
    </w:p>
    <w:p>
      <w:pPr>
        <w:pStyle w:val="16"/>
        <w:spacing w:before="183" w:line="360" w:lineRule="auto"/>
        <w:ind w:left="698"/>
        <w:rPr>
          <w:rFonts w:hint="eastAsia" w:ascii="宋体" w:hAnsi="宋体" w:eastAsia="宋体" w:cs="宋体"/>
          <w:sz w:val="28"/>
          <w:szCs w:val="28"/>
        </w:rPr>
      </w:pPr>
      <w:r>
        <w:rPr>
          <w:rFonts w:hint="eastAsia" w:ascii="宋体" w:hAnsi="宋体" w:eastAsia="宋体" w:cs="宋体"/>
          <w:sz w:val="28"/>
          <w:szCs w:val="28"/>
        </w:rPr>
        <w:t>2、栈桥、鹤管的主要危险、有害因素辨识</w:t>
      </w:r>
    </w:p>
    <w:p>
      <w:pPr>
        <w:pStyle w:val="121"/>
        <w:tabs>
          <w:tab w:val="left" w:pos="1403"/>
        </w:tabs>
        <w:spacing w:before="186" w:line="360" w:lineRule="auto"/>
        <w:ind w:left="420" w:leftChars="200" w:right="457" w:firstLine="246" w:firstLineChars="100"/>
        <w:jc w:val="left"/>
        <w:rPr>
          <w:rFonts w:hint="eastAsia" w:ascii="宋体" w:hAnsi="宋体" w:cs="宋体"/>
          <w:spacing w:val="-17"/>
          <w:sz w:val="28"/>
          <w:szCs w:val="28"/>
        </w:rPr>
      </w:pPr>
      <w:r>
        <w:rPr>
          <w:rFonts w:hint="eastAsia" w:ascii="宋体" w:hAnsi="宋体" w:cs="宋体"/>
          <w:spacing w:val="-17"/>
          <w:sz w:val="28"/>
          <w:szCs w:val="28"/>
        </w:rPr>
        <w:t>（1）栈桥栏杆、吊梯等设施损坏，操作人员在装卸操作或检修过程</w:t>
      </w:r>
    </w:p>
    <w:p>
      <w:pPr>
        <w:pStyle w:val="121"/>
        <w:tabs>
          <w:tab w:val="left" w:pos="1403"/>
        </w:tabs>
        <w:spacing w:before="186" w:line="360" w:lineRule="auto"/>
        <w:ind w:right="457" w:firstLine="0" w:firstLineChars="0"/>
        <w:jc w:val="left"/>
        <w:rPr>
          <w:rFonts w:hint="eastAsia" w:ascii="宋体" w:hAnsi="宋体" w:cs="宋体"/>
          <w:spacing w:val="-17"/>
          <w:sz w:val="28"/>
          <w:szCs w:val="28"/>
        </w:rPr>
      </w:pPr>
      <w:r>
        <w:rPr>
          <w:rFonts w:hint="eastAsia" w:ascii="宋体" w:hAnsi="宋体" w:cs="宋体"/>
          <w:spacing w:val="-17"/>
          <w:sz w:val="28"/>
          <w:szCs w:val="28"/>
        </w:rPr>
        <w:t>中</w:t>
      </w:r>
      <w:r>
        <w:rPr>
          <w:rFonts w:hint="eastAsia" w:ascii="宋体" w:hAnsi="宋体" w:cs="宋体"/>
          <w:spacing w:val="-3"/>
          <w:sz w:val="28"/>
          <w:szCs w:val="28"/>
        </w:rPr>
        <w:t>，不慎可能从栈桥、吊梯摔倒、坠落，造成人员伤亡。</w:t>
      </w:r>
    </w:p>
    <w:p>
      <w:pPr>
        <w:pStyle w:val="121"/>
        <w:tabs>
          <w:tab w:val="left" w:pos="1403"/>
        </w:tabs>
        <w:spacing w:line="360" w:lineRule="auto"/>
        <w:ind w:left="420" w:leftChars="200" w:right="452" w:firstLine="270" w:firstLineChars="100"/>
        <w:rPr>
          <w:rFonts w:hint="eastAsia" w:ascii="宋体" w:hAnsi="宋体" w:cs="宋体"/>
          <w:spacing w:val="-2"/>
          <w:sz w:val="28"/>
          <w:szCs w:val="28"/>
        </w:rPr>
      </w:pPr>
      <w:r>
        <w:rPr>
          <w:rFonts w:hint="eastAsia" w:ascii="宋体" w:hAnsi="宋体" w:cs="宋体"/>
          <w:spacing w:val="-5"/>
          <w:sz w:val="28"/>
          <w:szCs w:val="28"/>
        </w:rPr>
        <w:t xml:space="preserve">（2）若设置的栈桥没有按照规定每隔 </w:t>
      </w:r>
      <w:r>
        <w:rPr>
          <w:rFonts w:hint="eastAsia" w:ascii="宋体" w:hAnsi="宋体" w:cs="宋体"/>
          <w:sz w:val="28"/>
          <w:szCs w:val="28"/>
        </w:rPr>
        <w:t>60-80m</w:t>
      </w:r>
      <w:r>
        <w:rPr>
          <w:rFonts w:hint="eastAsia" w:ascii="宋体" w:hAnsi="宋体" w:cs="宋体"/>
          <w:spacing w:val="43"/>
          <w:sz w:val="28"/>
          <w:szCs w:val="28"/>
        </w:rPr>
        <w:t xml:space="preserve"> </w:t>
      </w:r>
      <w:r>
        <w:rPr>
          <w:rFonts w:hint="eastAsia" w:ascii="宋体" w:hAnsi="宋体" w:cs="宋体"/>
          <w:spacing w:val="-2"/>
          <w:sz w:val="28"/>
          <w:szCs w:val="28"/>
        </w:rPr>
        <w:t>设置上下护</w:t>
      </w:r>
    </w:p>
    <w:p>
      <w:pPr>
        <w:pStyle w:val="121"/>
        <w:tabs>
          <w:tab w:val="left" w:pos="1403"/>
        </w:tabs>
        <w:spacing w:line="360" w:lineRule="auto"/>
        <w:ind w:right="452" w:firstLine="0" w:firstLineChars="0"/>
        <w:rPr>
          <w:rFonts w:hint="eastAsia" w:ascii="宋体" w:hAnsi="宋体" w:cs="宋体"/>
          <w:sz w:val="28"/>
          <w:szCs w:val="28"/>
        </w:rPr>
      </w:pPr>
      <w:r>
        <w:rPr>
          <w:rFonts w:hint="eastAsia" w:ascii="宋体" w:hAnsi="宋体" w:cs="宋体"/>
          <w:spacing w:val="-2"/>
          <w:sz w:val="28"/>
          <w:szCs w:val="28"/>
        </w:rPr>
        <w:t>梯，一旦遇</w:t>
      </w:r>
      <w:r>
        <w:rPr>
          <w:rFonts w:hint="eastAsia" w:ascii="宋体" w:hAnsi="宋体" w:cs="宋体"/>
          <w:spacing w:val="-14"/>
          <w:sz w:val="28"/>
          <w:szCs w:val="28"/>
        </w:rPr>
        <w:t>见火灾事故，操作人员不能及时逃离事故现场，可能造成事故扩大，引起人</w:t>
      </w:r>
      <w:r>
        <w:rPr>
          <w:rFonts w:hint="eastAsia" w:ascii="宋体" w:hAnsi="宋体" w:cs="宋体"/>
          <w:spacing w:val="-9"/>
          <w:sz w:val="28"/>
          <w:szCs w:val="28"/>
        </w:rPr>
        <w:t>员伤害事故。</w:t>
      </w:r>
    </w:p>
    <w:p>
      <w:pPr>
        <w:pStyle w:val="121"/>
        <w:tabs>
          <w:tab w:val="left" w:pos="1403"/>
        </w:tabs>
        <w:spacing w:line="360" w:lineRule="auto"/>
        <w:ind w:left="420" w:leftChars="200" w:right="457" w:firstLine="270" w:firstLineChars="100"/>
        <w:jc w:val="left"/>
        <w:rPr>
          <w:rFonts w:hint="eastAsia" w:ascii="宋体" w:hAnsi="宋体" w:cs="宋体"/>
          <w:spacing w:val="-5"/>
          <w:sz w:val="28"/>
          <w:szCs w:val="28"/>
        </w:rPr>
      </w:pPr>
      <w:r>
        <w:rPr>
          <w:rFonts w:hint="eastAsia" w:ascii="宋体" w:hAnsi="宋体" w:cs="宋体"/>
          <w:spacing w:val="-5"/>
          <w:sz w:val="28"/>
          <w:szCs w:val="28"/>
        </w:rPr>
        <w:t>（3）鹤管、输送管道等设备若存在质量缺陷，或者由于内部</w:t>
      </w:r>
    </w:p>
    <w:p>
      <w:pPr>
        <w:pStyle w:val="121"/>
        <w:tabs>
          <w:tab w:val="left" w:pos="1403"/>
        </w:tabs>
        <w:spacing w:line="360" w:lineRule="auto"/>
        <w:ind w:right="457" w:firstLine="0" w:firstLineChars="0"/>
        <w:jc w:val="left"/>
        <w:rPr>
          <w:rFonts w:hint="eastAsia" w:ascii="宋体" w:hAnsi="宋体" w:cs="宋体"/>
          <w:sz w:val="28"/>
          <w:szCs w:val="28"/>
        </w:rPr>
      </w:pPr>
      <w:r>
        <w:rPr>
          <w:rFonts w:hint="eastAsia" w:ascii="宋体" w:hAnsi="宋体" w:cs="宋体"/>
          <w:spacing w:val="-5"/>
          <w:sz w:val="28"/>
          <w:szCs w:val="28"/>
        </w:rPr>
        <w:t>压力波 动致使破裂等可能造成装卸物料泄露，引起火灾、爆炸、中毒事故。</w:t>
      </w:r>
    </w:p>
    <w:p>
      <w:pPr>
        <w:pStyle w:val="121"/>
        <w:tabs>
          <w:tab w:val="left" w:pos="1400"/>
        </w:tabs>
        <w:spacing w:line="360" w:lineRule="auto"/>
        <w:ind w:left="420" w:leftChars="200" w:right="454" w:firstLine="242" w:firstLineChars="100"/>
        <w:jc w:val="left"/>
        <w:rPr>
          <w:rFonts w:hint="eastAsia" w:ascii="宋体" w:hAnsi="宋体" w:cs="宋体"/>
          <w:spacing w:val="-19"/>
          <w:sz w:val="28"/>
          <w:szCs w:val="28"/>
        </w:rPr>
      </w:pPr>
      <w:r>
        <w:rPr>
          <w:rFonts w:hint="eastAsia" w:ascii="宋体" w:hAnsi="宋体" w:cs="宋体"/>
          <w:spacing w:val="-19"/>
          <w:sz w:val="28"/>
          <w:szCs w:val="28"/>
        </w:rPr>
        <w:t>（4）在管道、鹤管连接法兰处，若存在密封不严，可能造成物料泄</w:t>
      </w:r>
    </w:p>
    <w:p>
      <w:pPr>
        <w:pStyle w:val="121"/>
        <w:tabs>
          <w:tab w:val="left" w:pos="1400"/>
        </w:tabs>
        <w:spacing w:line="360" w:lineRule="auto"/>
        <w:ind w:right="454" w:firstLine="0" w:firstLineChars="0"/>
        <w:jc w:val="left"/>
        <w:rPr>
          <w:rFonts w:hint="eastAsia" w:ascii="宋体" w:hAnsi="宋体" w:cs="宋体"/>
          <w:sz w:val="28"/>
          <w:szCs w:val="28"/>
        </w:rPr>
      </w:pPr>
      <w:r>
        <w:rPr>
          <w:rFonts w:hint="eastAsia" w:ascii="宋体" w:hAnsi="宋体" w:cs="宋体"/>
          <w:spacing w:val="-19"/>
          <w:sz w:val="28"/>
          <w:szCs w:val="28"/>
        </w:rPr>
        <w:t>漏</w:t>
      </w:r>
      <w:r>
        <w:rPr>
          <w:rFonts w:hint="eastAsia" w:ascii="宋体" w:hAnsi="宋体" w:cs="宋体"/>
          <w:spacing w:val="-3"/>
          <w:sz w:val="28"/>
          <w:szCs w:val="28"/>
        </w:rPr>
        <w:t>，引起火灾、爆炸、中毒事故。</w:t>
      </w:r>
    </w:p>
    <w:p>
      <w:pPr>
        <w:pStyle w:val="121"/>
        <w:tabs>
          <w:tab w:val="left" w:pos="1400"/>
        </w:tabs>
        <w:spacing w:line="360" w:lineRule="auto"/>
        <w:ind w:left="420" w:leftChars="200" w:firstLine="272" w:firstLineChars="100"/>
        <w:jc w:val="left"/>
        <w:rPr>
          <w:rFonts w:hint="eastAsia" w:ascii="宋体" w:hAnsi="宋体" w:cs="宋体"/>
          <w:spacing w:val="-4"/>
          <w:sz w:val="28"/>
          <w:szCs w:val="28"/>
        </w:rPr>
      </w:pPr>
      <w:r>
        <w:rPr>
          <w:rFonts w:hint="eastAsia" w:ascii="宋体" w:hAnsi="宋体" w:cs="宋体"/>
          <w:spacing w:val="-4"/>
          <w:sz w:val="28"/>
          <w:szCs w:val="28"/>
        </w:rPr>
        <w:t>（5）若装卸鹤管没有设置静电接地或接地失效，当鹤管插入罐车</w:t>
      </w:r>
    </w:p>
    <w:p>
      <w:pPr>
        <w:pStyle w:val="121"/>
        <w:tabs>
          <w:tab w:val="left" w:pos="1400"/>
        </w:tabs>
        <w:spacing w:line="360" w:lineRule="auto"/>
        <w:ind w:firstLine="0" w:firstLineChars="0"/>
        <w:jc w:val="left"/>
        <w:rPr>
          <w:rFonts w:hint="eastAsia" w:ascii="宋体" w:hAnsi="宋体" w:cs="宋体"/>
          <w:sz w:val="28"/>
          <w:szCs w:val="28"/>
        </w:rPr>
      </w:pPr>
      <w:r>
        <w:rPr>
          <w:rFonts w:hint="eastAsia" w:ascii="宋体" w:hAnsi="宋体" w:cs="宋体"/>
          <w:spacing w:val="-4"/>
          <w:sz w:val="28"/>
          <w:szCs w:val="28"/>
        </w:rPr>
        <w:t>内进</w:t>
      </w:r>
      <w:r>
        <w:rPr>
          <w:rFonts w:hint="eastAsia" w:ascii="宋体" w:hAnsi="宋体" w:cs="宋体"/>
          <w:sz w:val="28"/>
          <w:szCs w:val="28"/>
        </w:rPr>
        <w:t>行作业时，可能引起静电或杂散电流放电，造成火灾爆炸事故。</w:t>
      </w:r>
    </w:p>
    <w:p>
      <w:pPr>
        <w:pStyle w:val="16"/>
        <w:spacing w:before="186" w:line="360" w:lineRule="auto"/>
        <w:ind w:left="698"/>
        <w:rPr>
          <w:rFonts w:hint="eastAsia" w:ascii="宋体" w:hAnsi="宋体" w:eastAsia="宋体" w:cs="宋体"/>
          <w:sz w:val="28"/>
          <w:szCs w:val="28"/>
        </w:rPr>
      </w:pPr>
      <w:r>
        <w:rPr>
          <w:rFonts w:hint="eastAsia" w:ascii="宋体" w:hAnsi="宋体" w:eastAsia="宋体" w:cs="宋体"/>
          <w:sz w:val="28"/>
          <w:szCs w:val="28"/>
        </w:rPr>
        <w:t>3、管道和泵的主要危险、有害因素辨识</w:t>
      </w:r>
    </w:p>
    <w:p>
      <w:pPr>
        <w:pStyle w:val="16"/>
        <w:spacing w:before="186" w:line="360" w:lineRule="auto"/>
        <w:ind w:left="698"/>
        <w:rPr>
          <w:rFonts w:hint="eastAsia" w:ascii="宋体" w:hAnsi="宋体" w:eastAsia="宋体" w:cs="宋体"/>
          <w:sz w:val="28"/>
          <w:szCs w:val="28"/>
        </w:rPr>
      </w:pPr>
      <w:r>
        <w:rPr>
          <w:rFonts w:hint="eastAsia" w:ascii="宋体" w:hAnsi="宋体" w:eastAsia="宋体" w:cs="宋体"/>
          <w:sz w:val="28"/>
          <w:szCs w:val="28"/>
        </w:rPr>
        <w:t>本项目的管道和泵，主要是输送二甲苯的工艺管道及输送泵。</w:t>
      </w:r>
    </w:p>
    <w:p>
      <w:pPr>
        <w:pStyle w:val="121"/>
        <w:numPr>
          <w:ilvl w:val="0"/>
          <w:numId w:val="10"/>
        </w:numPr>
        <w:tabs>
          <w:tab w:val="left" w:pos="1403"/>
        </w:tabs>
        <w:spacing w:before="186" w:line="360" w:lineRule="auto"/>
        <w:ind w:right="454" w:firstLine="536"/>
        <w:jc w:val="left"/>
        <w:rPr>
          <w:rFonts w:hint="eastAsia" w:ascii="宋体" w:hAnsi="宋体" w:cs="宋体"/>
          <w:sz w:val="28"/>
          <w:szCs w:val="28"/>
        </w:rPr>
      </w:pPr>
      <w:r>
        <w:rPr>
          <w:rFonts w:hint="eastAsia" w:ascii="宋体" w:hAnsi="宋体" w:cs="宋体"/>
          <w:spacing w:val="-6"/>
          <w:sz w:val="28"/>
          <w:szCs w:val="28"/>
        </w:rPr>
        <w:t>管道材料选择不当或施工焊接质量缺陷，管线上的连接部位密封</w:t>
      </w:r>
      <w:r>
        <w:rPr>
          <w:rFonts w:hint="eastAsia" w:ascii="宋体" w:hAnsi="宋体" w:cs="宋体"/>
          <w:spacing w:val="-1"/>
          <w:sz w:val="28"/>
          <w:szCs w:val="28"/>
        </w:rPr>
        <w:t>处可能泄漏。</w:t>
      </w:r>
    </w:p>
    <w:p>
      <w:pPr>
        <w:pStyle w:val="121"/>
        <w:numPr>
          <w:ilvl w:val="0"/>
          <w:numId w:val="10"/>
        </w:numPr>
        <w:tabs>
          <w:tab w:val="left" w:pos="1403"/>
        </w:tabs>
        <w:spacing w:line="360" w:lineRule="auto"/>
        <w:ind w:right="462" w:firstLine="584"/>
        <w:jc w:val="left"/>
        <w:rPr>
          <w:rFonts w:hint="eastAsia" w:ascii="宋体" w:hAnsi="宋体" w:cs="宋体"/>
          <w:sz w:val="28"/>
          <w:szCs w:val="28"/>
        </w:rPr>
      </w:pPr>
      <w:r>
        <w:rPr>
          <w:rFonts w:hint="eastAsia" w:ascii="宋体" w:hAnsi="宋体" w:cs="宋体"/>
          <w:spacing w:val="6"/>
          <w:sz w:val="28"/>
          <w:szCs w:val="28"/>
        </w:rPr>
        <w:t>密闭管道如不设置安全回流阀可能因热胀冷缩导致管线毁损和</w:t>
      </w:r>
      <w:r>
        <w:rPr>
          <w:rFonts w:hint="eastAsia" w:ascii="宋体" w:hAnsi="宋体" w:cs="宋体"/>
          <w:spacing w:val="2"/>
          <w:sz w:val="28"/>
          <w:szCs w:val="28"/>
        </w:rPr>
        <w:t>物料泄漏。</w:t>
      </w:r>
    </w:p>
    <w:p>
      <w:pPr>
        <w:pStyle w:val="121"/>
        <w:numPr>
          <w:ilvl w:val="0"/>
          <w:numId w:val="10"/>
        </w:numPr>
        <w:tabs>
          <w:tab w:val="left" w:pos="1403"/>
        </w:tabs>
        <w:spacing w:line="360" w:lineRule="auto"/>
        <w:ind w:right="454" w:firstLine="540"/>
        <w:rPr>
          <w:rFonts w:hint="eastAsia" w:ascii="宋体" w:hAnsi="宋体" w:cs="宋体"/>
          <w:sz w:val="28"/>
          <w:szCs w:val="28"/>
        </w:rPr>
      </w:pPr>
      <w:r>
        <w:rPr>
          <w:rFonts w:hint="eastAsia" w:ascii="宋体" w:hAnsi="宋体" w:cs="宋体"/>
          <w:spacing w:val="-5"/>
          <w:sz w:val="28"/>
          <w:szCs w:val="28"/>
        </w:rPr>
        <w:t>管道设计和安装没有考虑应力补偿；管道与设备配管碰接时，强</w:t>
      </w:r>
      <w:r>
        <w:rPr>
          <w:rFonts w:hint="eastAsia" w:ascii="宋体" w:hAnsi="宋体" w:cs="宋体"/>
          <w:spacing w:val="-16"/>
          <w:sz w:val="28"/>
          <w:szCs w:val="28"/>
        </w:rPr>
        <w:t>力配管，管道力量传递到设备上；管道固定不当、振动过大等均可能导致管</w:t>
      </w:r>
      <w:r>
        <w:rPr>
          <w:rFonts w:hint="eastAsia" w:ascii="宋体" w:hAnsi="宋体" w:cs="宋体"/>
          <w:spacing w:val="-3"/>
          <w:sz w:val="28"/>
          <w:szCs w:val="28"/>
        </w:rPr>
        <w:t>路毁损、物料泄漏。</w:t>
      </w:r>
    </w:p>
    <w:p>
      <w:pPr>
        <w:pStyle w:val="121"/>
        <w:numPr>
          <w:ilvl w:val="0"/>
          <w:numId w:val="10"/>
        </w:numPr>
        <w:tabs>
          <w:tab w:val="left" w:pos="1403"/>
        </w:tabs>
        <w:spacing w:line="360" w:lineRule="auto"/>
        <w:ind w:right="454" w:firstLine="536"/>
        <w:jc w:val="left"/>
        <w:rPr>
          <w:rFonts w:hint="eastAsia" w:ascii="宋体" w:hAnsi="宋体" w:cs="宋体"/>
          <w:sz w:val="28"/>
          <w:szCs w:val="28"/>
        </w:rPr>
      </w:pPr>
      <w:r>
        <w:rPr>
          <w:rFonts w:hint="eastAsia" w:ascii="宋体" w:hAnsi="宋体" w:cs="宋体"/>
          <w:spacing w:val="-6"/>
          <w:sz w:val="28"/>
          <w:szCs w:val="28"/>
        </w:rPr>
        <w:t>管线没有采取防静电接地措施或静电接地失效，有可能导致静电</w:t>
      </w:r>
      <w:r>
        <w:rPr>
          <w:rFonts w:hint="eastAsia" w:ascii="宋体" w:hAnsi="宋体" w:cs="宋体"/>
          <w:spacing w:val="-2"/>
          <w:sz w:val="28"/>
          <w:szCs w:val="28"/>
        </w:rPr>
        <w:t>积聚而发生事故。</w:t>
      </w:r>
    </w:p>
    <w:p>
      <w:pPr>
        <w:pStyle w:val="121"/>
        <w:tabs>
          <w:tab w:val="left" w:pos="1403"/>
        </w:tabs>
        <w:spacing w:before="1" w:line="360" w:lineRule="auto"/>
        <w:ind w:left="420" w:leftChars="200" w:firstLine="274" w:firstLineChars="100"/>
        <w:jc w:val="left"/>
        <w:rPr>
          <w:rFonts w:hint="eastAsia" w:ascii="宋体" w:hAnsi="宋体" w:cs="宋体"/>
          <w:sz w:val="28"/>
          <w:szCs w:val="28"/>
        </w:rPr>
      </w:pPr>
      <w:r>
        <w:rPr>
          <w:rFonts w:hint="eastAsia" w:ascii="宋体" w:hAnsi="宋体" w:cs="宋体"/>
          <w:spacing w:val="-3"/>
          <w:sz w:val="28"/>
          <w:szCs w:val="28"/>
        </w:rPr>
        <w:t>（5）如不采取保温措施，冬季管线可能冻结。</w:t>
      </w:r>
    </w:p>
    <w:p>
      <w:pPr>
        <w:pStyle w:val="121"/>
        <w:tabs>
          <w:tab w:val="left" w:pos="1403"/>
        </w:tabs>
        <w:spacing w:before="186" w:line="360" w:lineRule="auto"/>
        <w:ind w:left="420" w:leftChars="200" w:right="454" w:firstLine="266" w:firstLineChars="100"/>
        <w:jc w:val="left"/>
        <w:rPr>
          <w:rFonts w:hint="eastAsia" w:ascii="宋体" w:hAnsi="宋体" w:cs="宋体"/>
          <w:sz w:val="28"/>
          <w:szCs w:val="28"/>
        </w:rPr>
      </w:pPr>
      <w:r>
        <w:rPr>
          <w:rFonts w:hint="eastAsia" w:ascii="宋体" w:hAnsi="宋体" w:cs="宋体"/>
          <w:spacing w:val="-7"/>
          <w:sz w:val="28"/>
          <w:szCs w:val="28"/>
        </w:rPr>
        <w:t>（6）管道因被腐蚀，管壁减薄，强度下降；误操作；安全附件，如泄</w:t>
      </w:r>
      <w:r>
        <w:rPr>
          <w:rFonts w:hint="eastAsia" w:ascii="宋体" w:hAnsi="宋体" w:cs="宋体"/>
          <w:spacing w:val="-5"/>
          <w:sz w:val="28"/>
          <w:szCs w:val="28"/>
        </w:rPr>
        <w:t>压阀、爆破板、水位计或自动给水装置不全或失灵。</w:t>
      </w:r>
    </w:p>
    <w:p>
      <w:pPr>
        <w:pStyle w:val="121"/>
        <w:tabs>
          <w:tab w:val="left" w:pos="1403"/>
        </w:tabs>
        <w:spacing w:line="360" w:lineRule="auto"/>
        <w:ind w:left="420" w:leftChars="200" w:right="454" w:firstLine="268" w:firstLineChars="100"/>
        <w:jc w:val="left"/>
        <w:rPr>
          <w:rFonts w:hint="eastAsia" w:ascii="宋体" w:hAnsi="宋体" w:cs="宋体"/>
          <w:sz w:val="28"/>
          <w:szCs w:val="28"/>
        </w:rPr>
      </w:pPr>
      <w:r>
        <w:rPr>
          <w:rFonts w:hint="eastAsia" w:ascii="宋体" w:hAnsi="宋体" w:cs="宋体"/>
          <w:spacing w:val="-6"/>
          <w:sz w:val="28"/>
          <w:szCs w:val="28"/>
        </w:rPr>
        <w:t>（7）系统操作压力过高，流速过快，管道材料导电性差，没有良好的</w:t>
      </w:r>
      <w:r>
        <w:rPr>
          <w:rFonts w:hint="eastAsia" w:ascii="宋体" w:hAnsi="宋体" w:cs="宋体"/>
          <w:spacing w:val="-5"/>
          <w:sz w:val="28"/>
          <w:szCs w:val="28"/>
        </w:rPr>
        <w:t>接地，产生静电积聚，产生静电火花。</w:t>
      </w:r>
    </w:p>
    <w:p>
      <w:pPr>
        <w:pStyle w:val="121"/>
        <w:tabs>
          <w:tab w:val="left" w:pos="1403"/>
        </w:tabs>
        <w:spacing w:line="360" w:lineRule="auto"/>
        <w:ind w:left="420" w:leftChars="200" w:right="452" w:firstLine="266" w:firstLineChars="100"/>
        <w:jc w:val="left"/>
        <w:rPr>
          <w:rFonts w:hint="eastAsia" w:ascii="宋体" w:hAnsi="宋体" w:cs="宋体"/>
          <w:sz w:val="28"/>
          <w:szCs w:val="28"/>
        </w:rPr>
      </w:pPr>
      <w:r>
        <w:rPr>
          <w:rFonts w:hint="eastAsia" w:ascii="宋体" w:hAnsi="宋体" w:cs="宋体"/>
          <w:spacing w:val="-7"/>
          <w:sz w:val="28"/>
          <w:szCs w:val="28"/>
        </w:rPr>
        <w:t>（8）环境温度或操作温度突然升高，物料汽化压力升高超过泵类设备</w:t>
      </w:r>
      <w:r>
        <w:rPr>
          <w:rFonts w:hint="eastAsia" w:ascii="宋体" w:hAnsi="宋体" w:cs="宋体"/>
          <w:spacing w:val="-3"/>
          <w:sz w:val="28"/>
          <w:szCs w:val="28"/>
        </w:rPr>
        <w:t>本体屈服强度而引起爆炸；</w:t>
      </w:r>
    </w:p>
    <w:p>
      <w:pPr>
        <w:pStyle w:val="121"/>
        <w:tabs>
          <w:tab w:val="left" w:pos="1403"/>
        </w:tabs>
        <w:spacing w:line="360" w:lineRule="auto"/>
        <w:ind w:left="420" w:leftChars="200" w:right="457" w:firstLine="268" w:firstLineChars="100"/>
        <w:jc w:val="left"/>
        <w:rPr>
          <w:rFonts w:hint="eastAsia" w:ascii="宋体" w:hAnsi="宋体" w:cs="宋体"/>
          <w:sz w:val="28"/>
          <w:szCs w:val="28"/>
        </w:rPr>
      </w:pPr>
      <w:r>
        <w:rPr>
          <w:rFonts w:hint="eastAsia" w:ascii="宋体" w:hAnsi="宋体" w:cs="宋体"/>
          <w:spacing w:val="-6"/>
          <w:sz w:val="28"/>
          <w:szCs w:val="28"/>
        </w:rPr>
        <w:t>（9）机泵安全附件或安全防护联锁装置不配套、不齐全或失效，未按</w:t>
      </w:r>
      <w:r>
        <w:rPr>
          <w:rFonts w:hint="eastAsia" w:ascii="宋体" w:hAnsi="宋体" w:cs="宋体"/>
          <w:spacing w:val="-1"/>
          <w:sz w:val="28"/>
          <w:szCs w:val="28"/>
        </w:rPr>
        <w:t>规定定期校验。</w:t>
      </w:r>
    </w:p>
    <w:p>
      <w:pPr>
        <w:pStyle w:val="121"/>
        <w:tabs>
          <w:tab w:val="left" w:pos="1542"/>
        </w:tabs>
        <w:spacing w:line="360" w:lineRule="auto"/>
        <w:ind w:left="420" w:leftChars="200" w:right="174" w:firstLine="280" w:firstLineChars="100"/>
        <w:jc w:val="left"/>
        <w:rPr>
          <w:rFonts w:hint="eastAsia" w:ascii="宋体" w:hAnsi="宋体" w:cs="宋体"/>
          <w:sz w:val="28"/>
          <w:szCs w:val="28"/>
        </w:rPr>
      </w:pPr>
      <w:r>
        <w:rPr>
          <w:rFonts w:hint="eastAsia" w:ascii="宋体" w:hAnsi="宋体" w:cs="宋体"/>
          <w:sz w:val="28"/>
          <w:szCs w:val="28"/>
        </w:rPr>
        <w:t xml:space="preserve">（10）因装卸机泵均设置在装卸线附近，距离使用单位厂区储存设施 </w:t>
      </w:r>
      <w:r>
        <w:rPr>
          <w:rFonts w:hint="eastAsia" w:ascii="宋体" w:hAnsi="宋体" w:cs="宋体"/>
          <w:spacing w:val="-14"/>
          <w:sz w:val="28"/>
          <w:szCs w:val="28"/>
        </w:rPr>
        <w:t xml:space="preserve">较远，若在其输送管道上没有设置紧急切断阀，一旦装卸作业场所发生事故， </w:t>
      </w:r>
      <w:r>
        <w:rPr>
          <w:rFonts w:hint="eastAsia" w:ascii="宋体" w:hAnsi="宋体" w:cs="宋体"/>
          <w:spacing w:val="-3"/>
          <w:sz w:val="28"/>
          <w:szCs w:val="28"/>
        </w:rPr>
        <w:t>不能及时切断物料，将造成事故扩大化。</w:t>
      </w:r>
    </w:p>
    <w:p>
      <w:pPr>
        <w:pStyle w:val="121"/>
        <w:tabs>
          <w:tab w:val="left" w:pos="1542"/>
        </w:tabs>
        <w:spacing w:line="360" w:lineRule="auto"/>
        <w:ind w:left="420" w:leftChars="200" w:right="457" w:firstLine="280" w:firstLineChars="100"/>
        <w:jc w:val="left"/>
        <w:rPr>
          <w:rFonts w:hint="eastAsia" w:ascii="宋体" w:hAnsi="宋体" w:cs="宋体"/>
          <w:sz w:val="28"/>
          <w:szCs w:val="28"/>
        </w:rPr>
      </w:pPr>
      <w:r>
        <w:rPr>
          <w:rFonts w:hint="eastAsia" w:ascii="宋体" w:hAnsi="宋体" w:cs="宋体"/>
          <w:sz w:val="28"/>
          <w:szCs w:val="28"/>
        </w:rPr>
        <w:t>（11）卸车泵等机械转动设备，若其暴露在外的转动部分没有设置防</w:t>
      </w:r>
      <w:r>
        <w:rPr>
          <w:rFonts w:hint="eastAsia" w:ascii="宋体" w:hAnsi="宋体" w:cs="宋体"/>
          <w:spacing w:val="-3"/>
          <w:sz w:val="28"/>
          <w:szCs w:val="28"/>
        </w:rPr>
        <w:t>护罩，可能造成机械伤害事故。</w:t>
      </w:r>
    </w:p>
    <w:p>
      <w:pPr>
        <w:pStyle w:val="16"/>
        <w:spacing w:before="60"/>
        <w:rPr>
          <w:rFonts w:hint="eastAsia" w:ascii="宋体" w:hAnsi="宋体" w:eastAsia="宋体" w:cs="宋体"/>
          <w:b/>
          <w:kern w:val="0"/>
          <w:sz w:val="28"/>
          <w:szCs w:val="28"/>
        </w:rPr>
      </w:pPr>
      <w:r>
        <w:rPr>
          <w:rFonts w:hint="eastAsia" w:ascii="宋体" w:hAnsi="宋体" w:eastAsia="宋体" w:cs="宋体"/>
          <w:b/>
          <w:kern w:val="0"/>
          <w:sz w:val="28"/>
          <w:szCs w:val="28"/>
        </w:rPr>
        <w:t>3.1.8其他设施设备的主要危险、有害因素辨识</w:t>
      </w:r>
    </w:p>
    <w:p>
      <w:pPr>
        <w:pStyle w:val="121"/>
        <w:numPr>
          <w:ilvl w:val="0"/>
          <w:numId w:val="11"/>
        </w:numPr>
        <w:tabs>
          <w:tab w:val="left" w:pos="1400"/>
        </w:tabs>
        <w:spacing w:before="186" w:line="364" w:lineRule="auto"/>
        <w:ind w:right="452" w:firstLine="544"/>
        <w:rPr>
          <w:rFonts w:hint="eastAsia" w:ascii="宋体" w:hAnsi="宋体" w:cs="宋体"/>
          <w:sz w:val="28"/>
          <w:szCs w:val="28"/>
        </w:rPr>
      </w:pPr>
      <w:r>
        <w:rPr>
          <w:rFonts w:hint="eastAsia" w:ascii="宋体" w:hAnsi="宋体" w:cs="宋体"/>
          <w:spacing w:val="-4"/>
          <w:sz w:val="28"/>
          <w:szCs w:val="28"/>
        </w:rPr>
        <w:t>若在进站前设置的轨道绝缘不良，导致外轨道的杂散电流导入而</w:t>
      </w:r>
      <w:r>
        <w:rPr>
          <w:rFonts w:hint="eastAsia" w:ascii="宋体" w:hAnsi="宋体" w:cs="宋体"/>
          <w:spacing w:val="-14"/>
          <w:sz w:val="28"/>
          <w:szCs w:val="28"/>
        </w:rPr>
        <w:t>产生电火花，若遇卸车作业易燃物料泄漏或其蒸汽，可能引起着火灾、爆炸</w:t>
      </w:r>
      <w:r>
        <w:rPr>
          <w:rFonts w:hint="eastAsia" w:ascii="宋体" w:hAnsi="宋体" w:cs="宋体"/>
          <w:sz w:val="28"/>
          <w:szCs w:val="28"/>
        </w:rPr>
        <w:t>事故。</w:t>
      </w:r>
    </w:p>
    <w:p>
      <w:pPr>
        <w:pStyle w:val="121"/>
        <w:numPr>
          <w:ilvl w:val="0"/>
          <w:numId w:val="11"/>
        </w:numPr>
        <w:tabs>
          <w:tab w:val="left" w:pos="1400"/>
        </w:tabs>
        <w:spacing w:line="364" w:lineRule="auto"/>
        <w:ind w:right="454" w:firstLine="544"/>
        <w:rPr>
          <w:rFonts w:hint="eastAsia" w:ascii="宋体" w:hAnsi="宋体" w:cs="宋体"/>
          <w:sz w:val="28"/>
          <w:szCs w:val="28"/>
        </w:rPr>
      </w:pPr>
      <w:r>
        <w:rPr>
          <w:rFonts w:hint="eastAsia" w:ascii="宋体" w:hAnsi="宋体" w:cs="宋体"/>
          <w:spacing w:val="-4"/>
          <w:sz w:val="28"/>
          <w:szCs w:val="28"/>
        </w:rPr>
        <w:t xml:space="preserve">若道岔处警冲标不明显或车辆未推入警冲标内，调车作业时可 </w:t>
      </w:r>
      <w:r>
        <w:rPr>
          <w:rFonts w:hint="eastAsia" w:ascii="宋体" w:hAnsi="宋体" w:cs="宋体"/>
          <w:spacing w:val="-13"/>
          <w:sz w:val="28"/>
          <w:szCs w:val="28"/>
        </w:rPr>
        <w:t>能造成罐车冲突导致罐车损坏，甚至导致翻车而引起物料泄漏事故，若遇点</w:t>
      </w:r>
      <w:r>
        <w:rPr>
          <w:rFonts w:hint="eastAsia" w:ascii="宋体" w:hAnsi="宋体" w:cs="宋体"/>
          <w:spacing w:val="-3"/>
          <w:sz w:val="28"/>
          <w:szCs w:val="28"/>
        </w:rPr>
        <w:t>火源，可能发生着火、爆炸事故，若不及时处理还会对环境造成污染。</w:t>
      </w:r>
    </w:p>
    <w:p>
      <w:pPr>
        <w:pStyle w:val="121"/>
        <w:numPr>
          <w:ilvl w:val="0"/>
          <w:numId w:val="11"/>
        </w:numPr>
        <w:tabs>
          <w:tab w:val="left" w:pos="1400"/>
        </w:tabs>
        <w:spacing w:line="364" w:lineRule="auto"/>
        <w:ind w:right="457" w:firstLine="544"/>
        <w:jc w:val="left"/>
        <w:rPr>
          <w:rFonts w:hint="eastAsia" w:ascii="宋体" w:hAnsi="宋体" w:cs="宋体"/>
          <w:sz w:val="28"/>
          <w:szCs w:val="28"/>
        </w:rPr>
      </w:pPr>
      <w:r>
        <w:rPr>
          <w:rFonts w:hint="eastAsia" w:ascii="宋体" w:hAnsi="宋体" w:cs="宋体"/>
          <w:spacing w:val="-4"/>
          <w:sz w:val="28"/>
          <w:szCs w:val="28"/>
        </w:rPr>
        <w:t>装卸区若无可燃气体浓度检测报警设备，或当储罐区的可燃气体浓度超标时不报警，若遇火源，可能性引发火灾、爆炸事故。</w:t>
      </w:r>
    </w:p>
    <w:p>
      <w:pPr>
        <w:pStyle w:val="3"/>
        <w:tabs>
          <w:tab w:val="left" w:pos="2140"/>
          <w:tab w:val="left" w:pos="2141"/>
        </w:tabs>
        <w:spacing w:line="360" w:lineRule="auto"/>
        <w:jc w:val="left"/>
        <w:rPr>
          <w:rFonts w:hint="eastAsia" w:hAnsi="黑体" w:cs="黑体"/>
        </w:rPr>
      </w:pPr>
      <w:bookmarkStart w:id="88" w:name="_Toc30689"/>
      <w:r>
        <w:rPr>
          <w:rFonts w:hint="eastAsia" w:hAnsi="黑体" w:cs="黑体"/>
        </w:rPr>
        <w:t>3.2公用工程及辅助设施危险、有害因素辨识</w:t>
      </w:r>
      <w:bookmarkEnd w:id="88"/>
    </w:p>
    <w:p>
      <w:pPr>
        <w:pStyle w:val="4"/>
        <w:tabs>
          <w:tab w:val="left" w:pos="1540"/>
          <w:tab w:val="left" w:pos="1541"/>
        </w:tabs>
        <w:spacing w:before="41" w:after="0" w:line="360" w:lineRule="auto"/>
        <w:jc w:val="left"/>
        <w:rPr>
          <w:rFonts w:hint="eastAsia" w:ascii="宋体" w:hAnsi="宋体" w:eastAsia="宋体" w:cs="宋体"/>
          <w:sz w:val="28"/>
          <w:szCs w:val="28"/>
        </w:rPr>
      </w:pPr>
      <w:bookmarkStart w:id="89" w:name="_bookmark66"/>
      <w:bookmarkEnd w:id="89"/>
      <w:bookmarkStart w:id="90" w:name="_Toc7737"/>
      <w:r>
        <w:rPr>
          <w:rFonts w:hint="eastAsia" w:ascii="宋体" w:hAnsi="宋体" w:eastAsia="宋体" w:cs="宋体"/>
          <w:sz w:val="28"/>
          <w:szCs w:val="28"/>
        </w:rPr>
        <w:t>3.2.1消防及给排水</w:t>
      </w:r>
      <w:bookmarkEnd w:id="90"/>
    </w:p>
    <w:p>
      <w:pPr>
        <w:pStyle w:val="16"/>
        <w:spacing w:before="122" w:line="360" w:lineRule="auto"/>
        <w:ind w:right="456" w:firstLine="559"/>
        <w:rPr>
          <w:rFonts w:hint="eastAsia" w:ascii="宋体" w:hAnsi="宋体" w:eastAsia="宋体" w:cs="宋体"/>
          <w:sz w:val="28"/>
          <w:szCs w:val="28"/>
        </w:rPr>
      </w:pPr>
      <w:r>
        <w:rPr>
          <w:rFonts w:hint="eastAsia" w:ascii="宋体" w:hAnsi="宋体" w:eastAsia="宋体" w:cs="宋体"/>
          <w:sz w:val="28"/>
          <w:szCs w:val="28"/>
        </w:rPr>
        <w:t>消防及给排水系统为本专用线的安全生产保驾护航，若消防系统和给排水发生故障会给专用线的安全生产带来很大的影响，主要表现为以下方面：</w:t>
      </w:r>
    </w:p>
    <w:p>
      <w:pPr>
        <w:pStyle w:val="16"/>
        <w:spacing w:line="360" w:lineRule="auto"/>
        <w:ind w:right="405" w:firstLine="559"/>
        <w:rPr>
          <w:rFonts w:hint="eastAsia" w:ascii="宋体" w:hAnsi="宋体" w:eastAsia="宋体" w:cs="宋体"/>
          <w:sz w:val="28"/>
          <w:szCs w:val="28"/>
        </w:rPr>
      </w:pPr>
      <w:r>
        <w:rPr>
          <w:rFonts w:hint="eastAsia" w:ascii="宋体" w:hAnsi="宋体" w:eastAsia="宋体" w:cs="宋体"/>
          <w:sz w:val="28"/>
          <w:szCs w:val="28"/>
        </w:rPr>
        <w:t>1、消防设施缺失或者不符合规范要求，不但不能及时有效地控制火灾事故，还可能因此引起人员伤害。</w:t>
      </w:r>
    </w:p>
    <w:p>
      <w:pPr>
        <w:pStyle w:val="16"/>
        <w:spacing w:line="360" w:lineRule="auto"/>
        <w:ind w:right="310" w:firstLine="559"/>
        <w:rPr>
          <w:rFonts w:hint="eastAsia" w:ascii="宋体" w:hAnsi="宋体" w:eastAsia="宋体" w:cs="宋体"/>
          <w:sz w:val="28"/>
          <w:szCs w:val="28"/>
        </w:rPr>
      </w:pPr>
      <w:r>
        <w:rPr>
          <w:rFonts w:hint="eastAsia" w:ascii="宋体" w:hAnsi="宋体" w:eastAsia="宋体" w:cs="宋体"/>
          <w:sz w:val="28"/>
          <w:szCs w:val="28"/>
        </w:rPr>
        <w:t>2、消防栓、灭火器失效，或没有按物质特性配备相应的灭火器材等， 不能及时扑灭初期火灾，可能使事故进一步扩大，造成重大火灾事故。</w:t>
      </w:r>
    </w:p>
    <w:p>
      <w:pPr>
        <w:pStyle w:val="16"/>
        <w:spacing w:line="360" w:lineRule="auto"/>
        <w:ind w:right="403" w:firstLine="559"/>
        <w:rPr>
          <w:rFonts w:hint="eastAsia" w:ascii="宋体" w:hAnsi="宋体" w:eastAsia="宋体" w:cs="宋体"/>
          <w:sz w:val="28"/>
          <w:szCs w:val="28"/>
        </w:rPr>
      </w:pPr>
      <w:r>
        <w:rPr>
          <w:rFonts w:hint="eastAsia" w:ascii="宋体" w:hAnsi="宋体" w:eastAsia="宋体" w:cs="宋体"/>
          <w:sz w:val="28"/>
          <w:szCs w:val="28"/>
        </w:rPr>
        <w:t>3、若给水系统问题，可能会影响到正常消防系统给水，造成火灾事故不能有效控制。</w:t>
      </w:r>
    </w:p>
    <w:p>
      <w:pPr>
        <w:pStyle w:val="16"/>
        <w:spacing w:line="360" w:lineRule="auto"/>
        <w:ind w:right="452" w:firstLine="559"/>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pacing w:val="-7"/>
          <w:sz w:val="28"/>
          <w:szCs w:val="28"/>
        </w:rPr>
        <w:t>、排水系统不完善或者失效，在暴雨时候可能会引起装卸区、缓冲罐</w:t>
      </w:r>
      <w:r>
        <w:rPr>
          <w:rFonts w:hint="eastAsia" w:ascii="宋体" w:hAnsi="宋体" w:eastAsia="宋体" w:cs="宋体"/>
          <w:spacing w:val="-16"/>
          <w:sz w:val="28"/>
          <w:szCs w:val="28"/>
        </w:rPr>
        <w:t>区积水过多，形成内涝，进而引起更大的事故；排水系统不完善还可能损毁</w:t>
      </w:r>
      <w:r>
        <w:rPr>
          <w:rFonts w:hint="eastAsia" w:ascii="宋体" w:hAnsi="宋体" w:eastAsia="宋体" w:cs="宋体"/>
          <w:spacing w:val="-3"/>
          <w:sz w:val="28"/>
          <w:szCs w:val="28"/>
        </w:rPr>
        <w:t>线路路基，造成脱轨事故。</w:t>
      </w:r>
    </w:p>
    <w:p>
      <w:pPr>
        <w:pStyle w:val="16"/>
        <w:spacing w:line="360" w:lineRule="auto"/>
        <w:ind w:right="405" w:firstLine="559"/>
        <w:rPr>
          <w:rFonts w:hint="eastAsia" w:ascii="宋体" w:hAnsi="宋体" w:eastAsia="宋体" w:cs="宋体"/>
          <w:sz w:val="28"/>
          <w:szCs w:val="28"/>
        </w:rPr>
      </w:pPr>
      <w:r>
        <w:rPr>
          <w:rFonts w:hint="eastAsia" w:ascii="宋体" w:hAnsi="宋体" w:eastAsia="宋体" w:cs="宋体"/>
          <w:sz w:val="28"/>
          <w:szCs w:val="28"/>
        </w:rPr>
        <w:t>5、缺失、损坏必要的消防报警及消防自动灭火装置等，会使火灾事故进一步扩大，造成人员伤亡或者财产损失。</w:t>
      </w:r>
    </w:p>
    <w:p>
      <w:pPr>
        <w:pStyle w:val="4"/>
        <w:tabs>
          <w:tab w:val="left" w:pos="1540"/>
          <w:tab w:val="left" w:pos="1541"/>
        </w:tabs>
        <w:spacing w:before="0" w:after="0" w:line="360" w:lineRule="auto"/>
        <w:jc w:val="left"/>
        <w:rPr>
          <w:rFonts w:hint="eastAsia" w:ascii="宋体" w:hAnsi="宋体" w:eastAsia="宋体" w:cs="宋体"/>
          <w:sz w:val="28"/>
          <w:szCs w:val="28"/>
        </w:rPr>
      </w:pPr>
      <w:bookmarkStart w:id="91" w:name="_bookmark67"/>
      <w:bookmarkEnd w:id="91"/>
      <w:bookmarkStart w:id="92" w:name="_Toc8823"/>
      <w:r>
        <w:rPr>
          <w:rFonts w:hint="eastAsia" w:ascii="宋体" w:hAnsi="宋体" w:eastAsia="宋体" w:cs="宋体"/>
          <w:sz w:val="28"/>
          <w:szCs w:val="28"/>
        </w:rPr>
        <w:t>3.2.2供配电</w:t>
      </w:r>
      <w:bookmarkEnd w:id="92"/>
    </w:p>
    <w:p>
      <w:pPr>
        <w:pStyle w:val="16"/>
        <w:spacing w:before="122" w:line="360" w:lineRule="auto"/>
        <w:ind w:right="456" w:firstLine="559"/>
        <w:rPr>
          <w:rFonts w:hint="eastAsia" w:ascii="宋体" w:hAnsi="宋体" w:eastAsia="宋体" w:cs="宋体"/>
          <w:sz w:val="28"/>
          <w:szCs w:val="28"/>
        </w:rPr>
      </w:pPr>
      <w:r>
        <w:rPr>
          <w:rFonts w:hint="eastAsia" w:ascii="宋体" w:hAnsi="宋体" w:eastAsia="宋体" w:cs="宋体"/>
          <w:spacing w:val="-12"/>
          <w:sz w:val="28"/>
          <w:szCs w:val="28"/>
        </w:rPr>
        <w:t>本项目涉及的电气设备主要有变压器、电机、配电柜、照明系统等。运</w:t>
      </w:r>
      <w:r>
        <w:rPr>
          <w:rFonts w:hint="eastAsia" w:ascii="宋体" w:hAnsi="宋体" w:eastAsia="宋体" w:cs="宋体"/>
          <w:spacing w:val="-9"/>
          <w:sz w:val="28"/>
          <w:szCs w:val="28"/>
        </w:rPr>
        <w:t>行时的主要危险是人身触电事故和电气火灾事故。电气部分危险因素主要有：</w:t>
      </w:r>
    </w:p>
    <w:p>
      <w:pPr>
        <w:pStyle w:val="16"/>
        <w:spacing w:line="360" w:lineRule="auto"/>
        <w:ind w:right="403" w:firstLine="559"/>
        <w:rPr>
          <w:rFonts w:hint="eastAsia" w:ascii="宋体" w:hAnsi="宋体" w:eastAsia="宋体" w:cs="宋体"/>
          <w:sz w:val="28"/>
          <w:szCs w:val="28"/>
        </w:rPr>
      </w:pPr>
      <w:r>
        <w:rPr>
          <w:rFonts w:hint="eastAsia" w:ascii="宋体" w:hAnsi="宋体" w:eastAsia="宋体" w:cs="宋体"/>
          <w:sz w:val="28"/>
          <w:szCs w:val="28"/>
        </w:rPr>
        <w:t>1、电路间及带电回路与机壳之间绝缘电阻过小，可能导致漏电，从而发生触电事故。</w:t>
      </w:r>
    </w:p>
    <w:p>
      <w:pPr>
        <w:pStyle w:val="16"/>
        <w:spacing w:line="360" w:lineRule="auto"/>
        <w:ind w:right="176" w:firstLine="559"/>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pacing w:val="-7"/>
          <w:sz w:val="28"/>
          <w:szCs w:val="28"/>
        </w:rPr>
        <w:t xml:space="preserve">、电控设备非电连接的独立电路相互间及带电回路与机壳之间的介电 </w:t>
      </w:r>
      <w:r>
        <w:rPr>
          <w:rFonts w:hint="eastAsia" w:ascii="宋体" w:hAnsi="宋体" w:eastAsia="宋体" w:cs="宋体"/>
          <w:spacing w:val="-16"/>
          <w:sz w:val="28"/>
          <w:szCs w:val="28"/>
        </w:rPr>
        <w:t>强度过低，可能会产生击穿或闪络现象，也可能对人员产生伤害或损坏设备。</w:t>
      </w:r>
    </w:p>
    <w:p>
      <w:pPr>
        <w:pStyle w:val="16"/>
        <w:spacing w:line="360" w:lineRule="auto"/>
        <w:ind w:right="405" w:firstLine="559"/>
        <w:rPr>
          <w:rFonts w:hint="eastAsia" w:ascii="宋体" w:hAnsi="宋体" w:eastAsia="宋体" w:cs="宋体"/>
          <w:sz w:val="28"/>
          <w:szCs w:val="28"/>
        </w:rPr>
      </w:pPr>
      <w:r>
        <w:rPr>
          <w:rFonts w:hint="eastAsia" w:ascii="宋体" w:hAnsi="宋体" w:eastAsia="宋体" w:cs="宋体"/>
          <w:sz w:val="28"/>
          <w:szCs w:val="28"/>
        </w:rPr>
        <w:t>3、保护接地端子与设备外壳之间的接触电阻过大，有可能发生触电事故。</w:t>
      </w:r>
    </w:p>
    <w:p>
      <w:pPr>
        <w:pStyle w:val="16"/>
        <w:spacing w:line="364" w:lineRule="auto"/>
        <w:ind w:right="454" w:firstLine="559"/>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pacing w:val="-7"/>
          <w:sz w:val="28"/>
          <w:szCs w:val="28"/>
        </w:rPr>
        <w:t>、变压器室和配电室及相关的电气设备运行时引起人员触电，是事故</w:t>
      </w:r>
      <w:r>
        <w:rPr>
          <w:rFonts w:hint="eastAsia" w:ascii="宋体" w:hAnsi="宋体" w:eastAsia="宋体" w:cs="宋体"/>
          <w:spacing w:val="-15"/>
          <w:sz w:val="28"/>
          <w:szCs w:val="28"/>
        </w:rPr>
        <w:t>的主要原因，除了设备自身缺陷、设计不当等技术因素外，大部分是由于违</w:t>
      </w:r>
      <w:r>
        <w:rPr>
          <w:rFonts w:hint="eastAsia" w:ascii="宋体" w:hAnsi="宋体" w:eastAsia="宋体" w:cs="宋体"/>
          <w:spacing w:val="-3"/>
          <w:sz w:val="28"/>
          <w:szCs w:val="28"/>
        </w:rPr>
        <w:t>章作业、违规操作引起的，常见的行为表现包括：</w:t>
      </w:r>
    </w:p>
    <w:p>
      <w:pPr>
        <w:pStyle w:val="121"/>
        <w:tabs>
          <w:tab w:val="left" w:pos="1403"/>
        </w:tabs>
        <w:spacing w:line="360" w:lineRule="auto"/>
        <w:ind w:left="420" w:leftChars="200" w:firstLine="0" w:firstLineChars="0"/>
        <w:jc w:val="left"/>
        <w:rPr>
          <w:rFonts w:hint="eastAsia" w:ascii="宋体" w:hAnsi="宋体" w:cs="宋体"/>
          <w:sz w:val="28"/>
          <w:szCs w:val="28"/>
        </w:rPr>
      </w:pPr>
      <w:r>
        <w:rPr>
          <w:rFonts w:hint="eastAsia" w:ascii="宋体" w:hAnsi="宋体" w:cs="宋体"/>
          <w:spacing w:val="-3"/>
          <w:sz w:val="28"/>
          <w:szCs w:val="28"/>
        </w:rPr>
        <w:t>（1）缺乏电气安全知识，非专业人员蛮干行为。</w:t>
      </w:r>
    </w:p>
    <w:p>
      <w:pPr>
        <w:pStyle w:val="121"/>
        <w:tabs>
          <w:tab w:val="left" w:pos="1403"/>
        </w:tabs>
        <w:spacing w:before="183" w:line="360" w:lineRule="auto"/>
        <w:ind w:left="420" w:leftChars="200" w:firstLine="0" w:firstLineChars="0"/>
        <w:jc w:val="left"/>
        <w:rPr>
          <w:rFonts w:hint="eastAsia" w:ascii="宋体" w:hAnsi="宋体" w:cs="宋体"/>
          <w:sz w:val="28"/>
          <w:szCs w:val="28"/>
        </w:rPr>
      </w:pPr>
      <w:r>
        <w:rPr>
          <w:rFonts w:hint="eastAsia" w:ascii="宋体" w:hAnsi="宋体" w:cs="宋体"/>
          <w:spacing w:val="-3"/>
          <w:sz w:val="28"/>
          <w:szCs w:val="28"/>
        </w:rPr>
        <w:t>（2）安装不当，设备维修不善，装设地线未进行接地检验。</w:t>
      </w:r>
    </w:p>
    <w:p>
      <w:pPr>
        <w:pStyle w:val="121"/>
        <w:tabs>
          <w:tab w:val="left" w:pos="1403"/>
        </w:tabs>
        <w:spacing w:line="360" w:lineRule="auto"/>
        <w:ind w:left="420" w:leftChars="200" w:firstLine="0" w:firstLineChars="0"/>
        <w:jc w:val="left"/>
        <w:rPr>
          <w:rFonts w:hint="eastAsia" w:ascii="宋体" w:hAnsi="宋体" w:cs="宋体"/>
          <w:spacing w:val="-3"/>
          <w:sz w:val="28"/>
          <w:szCs w:val="28"/>
        </w:rPr>
      </w:pPr>
      <w:r>
        <w:rPr>
          <w:rFonts w:hint="eastAsia" w:ascii="宋体" w:hAnsi="宋体" w:cs="宋体"/>
          <w:spacing w:val="-3"/>
          <w:sz w:val="28"/>
          <w:szCs w:val="28"/>
        </w:rPr>
        <w:t>（3）线路检修时不设置或未按规定装设接地线；电气线路、设</w:t>
      </w:r>
    </w:p>
    <w:p>
      <w:pPr>
        <w:pStyle w:val="121"/>
        <w:tabs>
          <w:tab w:val="left" w:pos="1403"/>
        </w:tabs>
        <w:spacing w:line="360" w:lineRule="auto"/>
        <w:ind w:firstLine="0" w:firstLineChars="0"/>
        <w:jc w:val="left"/>
        <w:rPr>
          <w:rFonts w:hint="eastAsia" w:ascii="宋体" w:hAnsi="宋体" w:cs="宋体"/>
          <w:spacing w:val="-3"/>
          <w:sz w:val="28"/>
          <w:szCs w:val="28"/>
        </w:rPr>
      </w:pPr>
      <w:r>
        <w:rPr>
          <w:rFonts w:hint="eastAsia" w:ascii="宋体" w:hAnsi="宋体" w:cs="宋体"/>
          <w:spacing w:val="-3"/>
          <w:sz w:val="28"/>
          <w:szCs w:val="28"/>
        </w:rPr>
        <w:t>备检修中措施不落实，检修完毕又选用不同型号元件互换。</w:t>
      </w:r>
    </w:p>
    <w:p>
      <w:pPr>
        <w:pStyle w:val="121"/>
        <w:tabs>
          <w:tab w:val="left" w:pos="1403"/>
        </w:tabs>
        <w:spacing w:line="360" w:lineRule="auto"/>
        <w:ind w:left="420" w:leftChars="200" w:right="454" w:firstLine="0" w:firstLineChars="0"/>
        <w:jc w:val="left"/>
        <w:rPr>
          <w:rFonts w:hint="eastAsia" w:ascii="宋体" w:hAnsi="宋体" w:cs="宋体"/>
          <w:spacing w:val="-5"/>
          <w:sz w:val="28"/>
          <w:szCs w:val="28"/>
        </w:rPr>
      </w:pPr>
      <w:r>
        <w:rPr>
          <w:rFonts w:hint="eastAsia" w:ascii="宋体" w:hAnsi="宋体" w:cs="宋体"/>
          <w:spacing w:val="-5"/>
          <w:sz w:val="28"/>
          <w:szCs w:val="28"/>
        </w:rPr>
        <w:t>（4）线路或电气设备检修工作完毕，未办理工作票终结手续，</w:t>
      </w:r>
    </w:p>
    <w:p>
      <w:pPr>
        <w:pStyle w:val="121"/>
        <w:tabs>
          <w:tab w:val="left" w:pos="1403"/>
        </w:tabs>
        <w:spacing w:line="360" w:lineRule="auto"/>
        <w:ind w:right="454" w:firstLine="0" w:firstLineChars="0"/>
        <w:jc w:val="left"/>
        <w:rPr>
          <w:rFonts w:hint="eastAsia" w:ascii="宋体" w:hAnsi="宋体" w:cs="宋体"/>
          <w:sz w:val="28"/>
          <w:szCs w:val="28"/>
        </w:rPr>
      </w:pPr>
      <w:r>
        <w:rPr>
          <w:rFonts w:hint="eastAsia" w:ascii="宋体" w:hAnsi="宋体" w:cs="宋体"/>
          <w:spacing w:val="-5"/>
          <w:sz w:val="28"/>
          <w:szCs w:val="28"/>
        </w:rPr>
        <w:t>就对停电设备恢复送电。</w:t>
      </w:r>
    </w:p>
    <w:p>
      <w:pPr>
        <w:pStyle w:val="121"/>
        <w:tabs>
          <w:tab w:val="left" w:pos="1403"/>
        </w:tabs>
        <w:spacing w:line="358" w:lineRule="exact"/>
        <w:ind w:left="420" w:leftChars="200" w:firstLine="0" w:firstLineChars="0"/>
        <w:jc w:val="left"/>
        <w:rPr>
          <w:rFonts w:hint="eastAsia" w:ascii="宋体" w:hAnsi="宋体" w:cs="宋体"/>
          <w:sz w:val="28"/>
          <w:szCs w:val="28"/>
        </w:rPr>
      </w:pPr>
      <w:r>
        <w:rPr>
          <w:rFonts w:hint="eastAsia" w:ascii="宋体" w:hAnsi="宋体" w:cs="宋体"/>
          <w:spacing w:val="-3"/>
          <w:sz w:val="28"/>
          <w:szCs w:val="28"/>
        </w:rPr>
        <w:t>（5）在带电设备附近工作时，不符合安全距离或无监护措施。</w:t>
      </w:r>
    </w:p>
    <w:p>
      <w:pPr>
        <w:pStyle w:val="121"/>
        <w:tabs>
          <w:tab w:val="left" w:pos="1403"/>
        </w:tabs>
        <w:spacing w:before="185"/>
        <w:ind w:left="420" w:leftChars="200" w:firstLine="0" w:firstLineChars="0"/>
        <w:jc w:val="left"/>
        <w:rPr>
          <w:rFonts w:hint="eastAsia" w:ascii="宋体" w:hAnsi="宋体" w:cs="宋体"/>
          <w:sz w:val="28"/>
          <w:szCs w:val="28"/>
        </w:rPr>
      </w:pPr>
      <w:r>
        <w:rPr>
          <w:rFonts w:hint="eastAsia" w:ascii="宋体" w:hAnsi="宋体" w:cs="宋体"/>
          <w:spacing w:val="-3"/>
          <w:sz w:val="28"/>
          <w:szCs w:val="28"/>
        </w:rPr>
        <w:t>（6）倒闸操作不核对设备名称、编号、位置状态。</w:t>
      </w:r>
    </w:p>
    <w:p>
      <w:pPr>
        <w:pStyle w:val="121"/>
        <w:tabs>
          <w:tab w:val="left" w:pos="1403"/>
        </w:tabs>
        <w:spacing w:before="187"/>
        <w:ind w:left="420" w:leftChars="200" w:firstLine="0" w:firstLineChars="0"/>
        <w:jc w:val="left"/>
        <w:rPr>
          <w:rFonts w:hint="eastAsia" w:ascii="宋体" w:hAnsi="宋体" w:cs="宋体"/>
          <w:sz w:val="28"/>
          <w:szCs w:val="28"/>
        </w:rPr>
      </w:pPr>
      <w:r>
        <w:rPr>
          <w:rFonts w:hint="eastAsia" w:ascii="宋体" w:hAnsi="宋体" w:cs="宋体"/>
          <w:spacing w:val="-3"/>
          <w:sz w:val="28"/>
          <w:szCs w:val="28"/>
        </w:rPr>
        <w:t>（7）引线摆动碰地、触及带电体。</w:t>
      </w:r>
    </w:p>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pacing w:val="-3"/>
          <w:sz w:val="28"/>
          <w:szCs w:val="28"/>
        </w:rPr>
        <w:t>（8）电气元件或设备制造不良，设备老化。</w:t>
      </w:r>
    </w:p>
    <w:p>
      <w:pPr>
        <w:pStyle w:val="121"/>
        <w:tabs>
          <w:tab w:val="left" w:pos="1403"/>
        </w:tabs>
        <w:spacing w:before="186"/>
        <w:ind w:left="420" w:leftChars="200" w:firstLine="0" w:firstLineChars="0"/>
        <w:jc w:val="left"/>
        <w:rPr>
          <w:rFonts w:hint="eastAsia" w:ascii="宋体" w:hAnsi="宋体" w:cs="宋体"/>
          <w:sz w:val="28"/>
          <w:szCs w:val="28"/>
        </w:rPr>
      </w:pPr>
      <w:r>
        <w:rPr>
          <w:rFonts w:hint="eastAsia" w:ascii="宋体" w:hAnsi="宋体" w:cs="宋体"/>
          <w:spacing w:val="-3"/>
          <w:sz w:val="28"/>
          <w:szCs w:val="28"/>
        </w:rPr>
        <w:t>（9）维护不善，造成电气设备和电缆漏电或有残余电荷。</w:t>
      </w:r>
    </w:p>
    <w:p>
      <w:pPr>
        <w:pStyle w:val="121"/>
        <w:tabs>
          <w:tab w:val="left" w:pos="1542"/>
        </w:tabs>
        <w:spacing w:before="186" w:line="364" w:lineRule="auto"/>
        <w:ind w:left="420" w:leftChars="200" w:right="454" w:firstLine="0" w:firstLineChars="0"/>
        <w:rPr>
          <w:rFonts w:hint="eastAsia" w:ascii="宋体" w:hAnsi="宋体" w:cs="宋体"/>
          <w:spacing w:val="-8"/>
          <w:sz w:val="28"/>
          <w:szCs w:val="28"/>
        </w:rPr>
      </w:pPr>
      <w:r>
        <w:rPr>
          <w:rFonts w:hint="eastAsia" w:ascii="宋体" w:hAnsi="宋体" w:cs="宋体"/>
          <w:spacing w:val="-8"/>
          <w:sz w:val="28"/>
          <w:szCs w:val="28"/>
        </w:rPr>
        <w:t>（10）工作人员擅自扩大工作范围而触及带电体，使用电动工具的金</w:t>
      </w:r>
      <w:r>
        <w:rPr>
          <w:rFonts w:hint="eastAsia" w:ascii="宋体" w:hAnsi="宋体" w:cs="宋体"/>
          <w:spacing w:val="-3"/>
          <w:sz w:val="28"/>
          <w:szCs w:val="28"/>
        </w:rPr>
        <w:t>属外壳不接地，不戴绝缘手套。</w:t>
      </w:r>
    </w:p>
    <w:p>
      <w:pPr>
        <w:pStyle w:val="121"/>
        <w:tabs>
          <w:tab w:val="left" w:pos="1532"/>
        </w:tabs>
        <w:spacing w:before="60" w:line="364" w:lineRule="auto"/>
        <w:ind w:left="420" w:leftChars="200" w:right="454" w:firstLine="0" w:firstLineChars="0"/>
        <w:jc w:val="left"/>
        <w:rPr>
          <w:rFonts w:hint="eastAsia" w:ascii="宋体" w:hAnsi="宋体" w:cs="宋体"/>
          <w:spacing w:val="-9"/>
          <w:sz w:val="28"/>
          <w:szCs w:val="28"/>
        </w:rPr>
      </w:pPr>
      <w:r>
        <w:rPr>
          <w:rFonts w:hint="eastAsia" w:ascii="宋体" w:hAnsi="宋体" w:cs="宋体"/>
          <w:spacing w:val="-9"/>
          <w:sz w:val="28"/>
          <w:szCs w:val="28"/>
        </w:rPr>
        <w:t>（11）现场临时用电管理不善或由于违章操作、违章指挥，操作</w:t>
      </w:r>
    </w:p>
    <w:p>
      <w:pPr>
        <w:pStyle w:val="121"/>
        <w:tabs>
          <w:tab w:val="left" w:pos="1532"/>
        </w:tabs>
        <w:spacing w:before="60" w:line="364" w:lineRule="auto"/>
        <w:ind w:right="454" w:firstLine="0" w:firstLineChars="0"/>
        <w:jc w:val="left"/>
        <w:rPr>
          <w:rFonts w:hint="eastAsia" w:ascii="宋体" w:hAnsi="宋体" w:cs="宋体"/>
          <w:sz w:val="28"/>
          <w:szCs w:val="28"/>
        </w:rPr>
      </w:pPr>
      <w:r>
        <w:rPr>
          <w:rFonts w:hint="eastAsia" w:ascii="宋体" w:hAnsi="宋体" w:cs="宋体"/>
          <w:spacing w:val="-9"/>
          <w:sz w:val="28"/>
          <w:szCs w:val="28"/>
        </w:rPr>
        <w:t>人员</w:t>
      </w:r>
      <w:r>
        <w:rPr>
          <w:rFonts w:hint="eastAsia" w:ascii="宋体" w:hAnsi="宋体" w:cs="宋体"/>
          <w:spacing w:val="-6"/>
          <w:sz w:val="28"/>
          <w:szCs w:val="28"/>
        </w:rPr>
        <w:t>误合闸而使检修人员触电。</w:t>
      </w:r>
    </w:p>
    <w:p>
      <w:pPr>
        <w:pStyle w:val="16"/>
        <w:spacing w:line="358" w:lineRule="exact"/>
        <w:ind w:left="698"/>
        <w:rPr>
          <w:rFonts w:hint="eastAsia" w:ascii="宋体" w:hAnsi="宋体" w:eastAsia="宋体" w:cs="宋体"/>
          <w:sz w:val="28"/>
          <w:szCs w:val="28"/>
        </w:rPr>
      </w:pPr>
      <w:r>
        <w:rPr>
          <w:rFonts w:hint="eastAsia" w:ascii="宋体" w:hAnsi="宋体" w:eastAsia="宋体" w:cs="宋体"/>
          <w:sz w:val="28"/>
          <w:szCs w:val="28"/>
        </w:rPr>
        <w:t>5、电气火灾</w:t>
      </w:r>
    </w:p>
    <w:p>
      <w:pPr>
        <w:pStyle w:val="16"/>
        <w:spacing w:before="186" w:line="364" w:lineRule="auto"/>
        <w:ind w:right="452" w:firstLine="559"/>
        <w:rPr>
          <w:rFonts w:hint="eastAsia" w:ascii="宋体" w:hAnsi="宋体" w:eastAsia="宋体" w:cs="宋体"/>
          <w:sz w:val="28"/>
          <w:szCs w:val="28"/>
        </w:rPr>
      </w:pPr>
      <w:r>
        <w:rPr>
          <w:rFonts w:hint="eastAsia" w:ascii="宋体" w:hAnsi="宋体" w:eastAsia="宋体" w:cs="宋体"/>
          <w:spacing w:val="-13"/>
          <w:sz w:val="28"/>
          <w:szCs w:val="28"/>
        </w:rPr>
        <w:t>变压器、配电室发生火灾，会产生大量的毒烟</w:t>
      </w:r>
      <w:r>
        <w:rPr>
          <w:rFonts w:hint="eastAsia" w:ascii="宋体" w:hAnsi="宋体" w:eastAsia="宋体" w:cs="宋体"/>
          <w:spacing w:val="-3"/>
          <w:sz w:val="28"/>
          <w:szCs w:val="28"/>
        </w:rPr>
        <w:t>（</w:t>
      </w:r>
      <w:r>
        <w:rPr>
          <w:rFonts w:hint="eastAsia" w:ascii="宋体" w:hAnsi="宋体" w:eastAsia="宋体" w:cs="宋体"/>
          <w:spacing w:val="-9"/>
          <w:sz w:val="28"/>
          <w:szCs w:val="28"/>
        </w:rPr>
        <w:t>电缆、电线的塑料外壳</w:t>
      </w:r>
      <w:r>
        <w:rPr>
          <w:rFonts w:hint="eastAsia" w:ascii="宋体" w:hAnsi="宋体" w:eastAsia="宋体" w:cs="宋体"/>
          <w:sz w:val="28"/>
          <w:szCs w:val="28"/>
        </w:rPr>
        <w:t>燃烧</w:t>
      </w:r>
      <w:r>
        <w:rPr>
          <w:rFonts w:hint="eastAsia" w:ascii="宋体" w:hAnsi="宋体" w:eastAsia="宋体" w:cs="宋体"/>
          <w:spacing w:val="-142"/>
          <w:sz w:val="28"/>
          <w:szCs w:val="28"/>
        </w:rPr>
        <w:t>）</w:t>
      </w:r>
      <w:r>
        <w:rPr>
          <w:rFonts w:hint="eastAsia" w:ascii="宋体" w:hAnsi="宋体" w:eastAsia="宋体" w:cs="宋体"/>
          <w:spacing w:val="-4"/>
          <w:sz w:val="28"/>
          <w:szCs w:val="28"/>
        </w:rPr>
        <w:t>，操作人员抢救火灾时若不采取防护措施</w:t>
      </w:r>
      <w:r>
        <w:rPr>
          <w:rFonts w:hint="eastAsia" w:ascii="宋体" w:hAnsi="宋体" w:eastAsia="宋体" w:cs="宋体"/>
          <w:sz w:val="28"/>
          <w:szCs w:val="28"/>
        </w:rPr>
        <w:t>（</w:t>
      </w:r>
      <w:r>
        <w:rPr>
          <w:rFonts w:hint="eastAsia" w:ascii="宋体" w:hAnsi="宋体" w:eastAsia="宋体" w:cs="宋体"/>
          <w:spacing w:val="-4"/>
          <w:sz w:val="28"/>
          <w:szCs w:val="28"/>
        </w:rPr>
        <w:t>如：佩戴防护用具</w:t>
      </w:r>
      <w:r>
        <w:rPr>
          <w:rFonts w:hint="eastAsia" w:ascii="宋体" w:hAnsi="宋体" w:eastAsia="宋体" w:cs="宋体"/>
          <w:spacing w:val="-8"/>
          <w:sz w:val="28"/>
          <w:szCs w:val="28"/>
        </w:rPr>
        <w:t>）</w:t>
      </w:r>
      <w:r>
        <w:rPr>
          <w:rFonts w:hint="eastAsia" w:ascii="宋体" w:hAnsi="宋体" w:eastAsia="宋体" w:cs="宋体"/>
          <w:spacing w:val="-2"/>
          <w:sz w:val="28"/>
          <w:szCs w:val="28"/>
        </w:rPr>
        <w:t>或佩</w:t>
      </w:r>
      <w:r>
        <w:rPr>
          <w:rFonts w:hint="eastAsia" w:ascii="宋体" w:hAnsi="宋体" w:eastAsia="宋体" w:cs="宋体"/>
          <w:spacing w:val="-3"/>
          <w:sz w:val="28"/>
          <w:szCs w:val="28"/>
        </w:rPr>
        <w:t>戴防护用具不当，可能造成中毒、窒息事故。</w:t>
      </w:r>
    </w:p>
    <w:p>
      <w:pPr>
        <w:pStyle w:val="16"/>
        <w:spacing w:line="364" w:lineRule="auto"/>
        <w:ind w:right="451" w:firstLine="559"/>
        <w:rPr>
          <w:rFonts w:hint="eastAsia" w:ascii="宋体" w:hAnsi="宋体" w:eastAsia="宋体" w:cs="宋体"/>
          <w:sz w:val="28"/>
          <w:szCs w:val="28"/>
        </w:rPr>
      </w:pPr>
      <w:r>
        <w:rPr>
          <w:rFonts w:hint="eastAsia" w:ascii="宋体" w:hAnsi="宋体" w:eastAsia="宋体" w:cs="宋体"/>
          <w:spacing w:val="-10"/>
          <w:sz w:val="28"/>
          <w:szCs w:val="28"/>
        </w:rPr>
        <w:t>电气设备运行时引起的电气火灾的主要原因包括：电气线路短路、电气</w:t>
      </w:r>
      <w:r>
        <w:rPr>
          <w:rFonts w:hint="eastAsia" w:ascii="宋体" w:hAnsi="宋体" w:eastAsia="宋体" w:cs="宋体"/>
          <w:spacing w:val="-16"/>
          <w:sz w:val="28"/>
          <w:szCs w:val="28"/>
        </w:rPr>
        <w:t>线路或设备过载运行、电缆的接头接触不良、散热不良、铁芯发热、外力破</w:t>
      </w:r>
      <w:r>
        <w:rPr>
          <w:rFonts w:hint="eastAsia" w:ascii="宋体" w:hAnsi="宋体" w:eastAsia="宋体" w:cs="宋体"/>
          <w:sz w:val="28"/>
          <w:szCs w:val="28"/>
        </w:rPr>
        <w:t>坏等。</w:t>
      </w:r>
    </w:p>
    <w:p>
      <w:pPr>
        <w:pStyle w:val="121"/>
        <w:tabs>
          <w:tab w:val="left" w:pos="1403"/>
        </w:tabs>
        <w:spacing w:line="358" w:lineRule="exact"/>
        <w:ind w:left="420" w:leftChars="200" w:firstLine="0" w:firstLineChars="0"/>
        <w:jc w:val="left"/>
        <w:rPr>
          <w:rFonts w:hint="eastAsia" w:ascii="宋体" w:hAnsi="宋体" w:cs="宋体"/>
          <w:sz w:val="28"/>
          <w:szCs w:val="28"/>
        </w:rPr>
      </w:pPr>
      <w:r>
        <w:rPr>
          <w:rFonts w:hint="eastAsia" w:ascii="宋体" w:hAnsi="宋体" w:cs="宋体"/>
          <w:sz w:val="28"/>
          <w:szCs w:val="28"/>
        </w:rPr>
        <w:t>（1）短路</w:t>
      </w:r>
    </w:p>
    <w:p>
      <w:pPr>
        <w:pStyle w:val="16"/>
        <w:spacing w:before="185" w:line="364" w:lineRule="auto"/>
        <w:ind w:right="452" w:firstLine="559"/>
        <w:rPr>
          <w:rFonts w:hint="eastAsia" w:ascii="宋体" w:hAnsi="宋体" w:eastAsia="宋体" w:cs="宋体"/>
          <w:sz w:val="28"/>
          <w:szCs w:val="28"/>
        </w:rPr>
      </w:pPr>
      <w:r>
        <w:rPr>
          <w:rFonts w:hint="eastAsia" w:ascii="宋体" w:hAnsi="宋体" w:eastAsia="宋体" w:cs="宋体"/>
          <w:sz w:val="28"/>
          <w:szCs w:val="28"/>
        </w:rPr>
        <w:t>短路时产生的电流远远超过导线和设备所允许的电流限度，结果造成</w:t>
      </w:r>
      <w:r>
        <w:rPr>
          <w:rFonts w:hint="eastAsia" w:ascii="宋体" w:hAnsi="宋体" w:eastAsia="宋体" w:cs="宋体"/>
          <w:spacing w:val="-15"/>
          <w:sz w:val="28"/>
          <w:szCs w:val="28"/>
        </w:rPr>
        <w:t>电气设备过热或烧毁。短路电流还产生很大的电动力，可能导致设备严重损</w:t>
      </w:r>
      <w:r>
        <w:rPr>
          <w:rFonts w:hint="eastAsia" w:ascii="宋体" w:hAnsi="宋体" w:eastAsia="宋体" w:cs="宋体"/>
          <w:spacing w:val="-14"/>
          <w:sz w:val="28"/>
          <w:szCs w:val="28"/>
        </w:rPr>
        <w:t>坏。而且常常伴随有电弧和火花产生，如果环境中有可燃介质存在，可能引</w:t>
      </w:r>
      <w:r>
        <w:rPr>
          <w:rFonts w:hint="eastAsia" w:ascii="宋体" w:hAnsi="宋体" w:eastAsia="宋体" w:cs="宋体"/>
          <w:spacing w:val="-9"/>
          <w:sz w:val="28"/>
          <w:szCs w:val="28"/>
        </w:rPr>
        <w:t>发火灾事故。</w:t>
      </w:r>
    </w:p>
    <w:p>
      <w:pPr>
        <w:pStyle w:val="121"/>
        <w:tabs>
          <w:tab w:val="left" w:pos="1403"/>
        </w:tabs>
        <w:spacing w:line="355" w:lineRule="exact"/>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（2）接触不良</w:t>
      </w:r>
    </w:p>
    <w:p>
      <w:pPr>
        <w:pStyle w:val="16"/>
        <w:spacing w:before="186" w:line="364" w:lineRule="auto"/>
        <w:ind w:right="313" w:firstLine="559"/>
        <w:rPr>
          <w:rFonts w:hint="eastAsia" w:ascii="宋体" w:hAnsi="宋体" w:eastAsia="宋体" w:cs="宋体"/>
          <w:sz w:val="28"/>
          <w:szCs w:val="28"/>
        </w:rPr>
      </w:pPr>
      <w:r>
        <w:rPr>
          <w:rFonts w:hint="eastAsia" w:ascii="宋体" w:hAnsi="宋体" w:eastAsia="宋体" w:cs="宋体"/>
          <w:spacing w:val="-13"/>
          <w:sz w:val="28"/>
          <w:szCs w:val="28"/>
        </w:rPr>
        <w:t>导线接头连接不牢固或焊接不良，会使接触电阻过高，导致接头过热起</w:t>
      </w:r>
      <w:r>
        <w:rPr>
          <w:rFonts w:hint="eastAsia" w:ascii="宋体" w:hAnsi="宋体" w:eastAsia="宋体" w:cs="宋体"/>
          <w:spacing w:val="-21"/>
          <w:sz w:val="28"/>
          <w:szCs w:val="28"/>
        </w:rPr>
        <w:t>火。接触不良的电线接头、开关接点等还会发出火花，引燃周围的可燃物质。</w:t>
      </w:r>
    </w:p>
    <w:p>
      <w:pPr>
        <w:pStyle w:val="121"/>
        <w:tabs>
          <w:tab w:val="left" w:pos="1403"/>
        </w:tabs>
        <w:spacing w:line="358" w:lineRule="exact"/>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（3）散热不良</w:t>
      </w:r>
    </w:p>
    <w:p>
      <w:pPr>
        <w:pStyle w:val="16"/>
        <w:spacing w:before="186" w:line="364" w:lineRule="auto"/>
        <w:ind w:right="454" w:firstLine="559"/>
        <w:rPr>
          <w:rFonts w:hint="eastAsia" w:ascii="宋体" w:hAnsi="宋体" w:eastAsia="宋体" w:cs="宋体"/>
          <w:sz w:val="28"/>
          <w:szCs w:val="28"/>
        </w:rPr>
      </w:pPr>
      <w:r>
        <w:rPr>
          <w:rFonts w:hint="eastAsia" w:ascii="宋体" w:hAnsi="宋体" w:eastAsia="宋体" w:cs="宋体"/>
          <w:spacing w:val="-14"/>
          <w:sz w:val="28"/>
          <w:szCs w:val="28"/>
        </w:rPr>
        <w:t>电动机、变压器等设备均配有散热和通风装置</w:t>
      </w:r>
      <w:r>
        <w:rPr>
          <w:rFonts w:hint="eastAsia" w:ascii="宋体" w:hAnsi="宋体" w:eastAsia="宋体" w:cs="宋体"/>
          <w:sz w:val="28"/>
          <w:szCs w:val="28"/>
        </w:rPr>
        <w:t>（</w:t>
      </w:r>
      <w:r>
        <w:rPr>
          <w:rFonts w:hint="eastAsia" w:ascii="宋体" w:hAnsi="宋体" w:eastAsia="宋体" w:cs="宋体"/>
          <w:spacing w:val="-19"/>
          <w:sz w:val="28"/>
          <w:szCs w:val="28"/>
        </w:rPr>
        <w:t>如：风叶、散热器等</w:t>
      </w:r>
      <w:r>
        <w:rPr>
          <w:rFonts w:hint="eastAsia" w:ascii="宋体" w:hAnsi="宋体" w:eastAsia="宋体" w:cs="宋体"/>
          <w:spacing w:val="-140"/>
          <w:sz w:val="28"/>
          <w:szCs w:val="28"/>
        </w:rPr>
        <w:t>）</w:t>
      </w:r>
      <w:r>
        <w:rPr>
          <w:rFonts w:hint="eastAsia" w:ascii="宋体" w:hAnsi="宋体" w:eastAsia="宋体" w:cs="宋体"/>
          <w:sz w:val="28"/>
          <w:szCs w:val="28"/>
        </w:rPr>
        <w:t>，</w:t>
      </w:r>
      <w:r>
        <w:rPr>
          <w:rFonts w:hint="eastAsia" w:ascii="宋体" w:hAnsi="宋体" w:eastAsia="宋体" w:cs="宋体"/>
          <w:spacing w:val="-13"/>
          <w:sz w:val="28"/>
          <w:szCs w:val="28"/>
        </w:rPr>
        <w:t>如果风叶断裂会导致散热不良，使热量累积起来，此外，电缆沟内的电缆过</w:t>
      </w:r>
      <w:r>
        <w:rPr>
          <w:rFonts w:hint="eastAsia" w:ascii="宋体" w:hAnsi="宋体" w:eastAsia="宋体" w:cs="宋体"/>
          <w:spacing w:val="-3"/>
          <w:sz w:val="28"/>
          <w:szCs w:val="28"/>
        </w:rPr>
        <w:t>密，散热不良亦会引发火灾。</w:t>
      </w:r>
    </w:p>
    <w:p>
      <w:pPr>
        <w:pStyle w:val="121"/>
        <w:tabs>
          <w:tab w:val="left" w:pos="1403"/>
        </w:tabs>
        <w:spacing w:line="358" w:lineRule="exact"/>
        <w:ind w:left="420" w:leftChars="200" w:firstLine="0" w:firstLineChars="0"/>
        <w:jc w:val="left"/>
        <w:rPr>
          <w:rFonts w:hint="eastAsia" w:ascii="宋体" w:hAnsi="宋体" w:cs="宋体"/>
          <w:sz w:val="28"/>
          <w:szCs w:val="28"/>
        </w:rPr>
      </w:pPr>
      <w:r>
        <w:rPr>
          <w:rFonts w:hint="eastAsia" w:ascii="宋体" w:hAnsi="宋体" w:cs="宋体"/>
          <w:spacing w:val="-1"/>
          <w:sz w:val="28"/>
          <w:szCs w:val="28"/>
        </w:rPr>
        <w:t>（4）铁芯发热</w:t>
      </w:r>
    </w:p>
    <w:p>
      <w:pPr>
        <w:pStyle w:val="16"/>
        <w:spacing w:before="186" w:line="364" w:lineRule="auto"/>
        <w:ind w:right="454" w:firstLine="559"/>
        <w:rPr>
          <w:rFonts w:hint="eastAsia" w:ascii="宋体" w:hAnsi="宋体" w:eastAsia="宋体" w:cs="宋体"/>
          <w:sz w:val="28"/>
          <w:szCs w:val="28"/>
        </w:rPr>
      </w:pPr>
      <w:r>
        <w:rPr>
          <w:rFonts w:hint="eastAsia" w:ascii="宋体" w:hAnsi="宋体" w:eastAsia="宋体" w:cs="宋体"/>
          <w:sz w:val="28"/>
          <w:szCs w:val="28"/>
        </w:rPr>
        <w:t>电动机等设备的绝缘损坏或长时间过电压，都会引起电动机的铁芯发</w:t>
      </w:r>
      <w:r>
        <w:rPr>
          <w:rFonts w:hint="eastAsia" w:ascii="宋体" w:hAnsi="宋体" w:eastAsia="宋体" w:cs="宋体"/>
          <w:spacing w:val="-15"/>
          <w:sz w:val="28"/>
          <w:szCs w:val="28"/>
        </w:rPr>
        <w:t>热，从而易出现过热现象，导致设备使用寿命缩短，甚至设备烧坏，严重时</w:t>
      </w:r>
      <w:r>
        <w:rPr>
          <w:rFonts w:hint="eastAsia" w:ascii="宋体" w:hAnsi="宋体" w:eastAsia="宋体" w:cs="宋体"/>
          <w:spacing w:val="-8"/>
          <w:sz w:val="28"/>
          <w:szCs w:val="28"/>
        </w:rPr>
        <w:t>引发火灾和爆炸。</w:t>
      </w:r>
      <w:r>
        <w:rPr>
          <w:rFonts w:hint="eastAsia" w:ascii="宋体" w:hAnsi="宋体" w:eastAsia="宋体" w:cs="宋体"/>
          <w:sz w:val="28"/>
          <w:szCs w:val="28"/>
        </w:rPr>
        <w:t>如果电气设备由于以上原因或其他原因过热而使导体温度升高，并加热周围可燃材料或物体，亦可能引起火灾。</w:t>
      </w:r>
    </w:p>
    <w:p>
      <w:pPr>
        <w:pStyle w:val="16"/>
        <w:spacing w:before="186" w:line="364" w:lineRule="auto"/>
        <w:ind w:right="404" w:firstLine="559"/>
        <w:rPr>
          <w:rFonts w:hint="eastAsia" w:ascii="宋体" w:hAnsi="宋体" w:eastAsia="宋体" w:cs="宋体"/>
          <w:sz w:val="28"/>
          <w:szCs w:val="28"/>
        </w:rPr>
      </w:pPr>
      <w:r>
        <w:rPr>
          <w:rFonts w:hint="eastAsia" w:ascii="宋体" w:hAnsi="宋体" w:eastAsia="宋体" w:cs="宋体"/>
          <w:sz w:val="28"/>
          <w:szCs w:val="28"/>
        </w:rPr>
        <w:t>6、因电力系统故障或人员误操作停电，导致通信、信号、机车供电和消防系统瘫痪，除影响到线路的正常运行外，还可能引发其他安全事故。</w:t>
      </w:r>
    </w:p>
    <w:p>
      <w:pPr>
        <w:pStyle w:val="16"/>
        <w:spacing w:line="364" w:lineRule="auto"/>
        <w:ind w:right="456" w:firstLine="559"/>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eastAsia="宋体" w:cs="宋体"/>
          <w:spacing w:val="-20"/>
          <w:sz w:val="28"/>
          <w:szCs w:val="28"/>
        </w:rPr>
        <w:t xml:space="preserve">、爆炸火灾环境设备、仪器、仪表不防爆、防爆等级不够或防爆失效， </w:t>
      </w:r>
      <w:r>
        <w:rPr>
          <w:rFonts w:hint="eastAsia" w:ascii="宋体" w:hAnsi="宋体" w:eastAsia="宋体" w:cs="宋体"/>
          <w:spacing w:val="-9"/>
          <w:sz w:val="28"/>
          <w:szCs w:val="28"/>
        </w:rPr>
        <w:t>可引发火灾、爆炸。</w:t>
      </w:r>
    </w:p>
    <w:p>
      <w:pPr>
        <w:pStyle w:val="4"/>
        <w:tabs>
          <w:tab w:val="left" w:pos="1540"/>
          <w:tab w:val="left" w:pos="1541"/>
        </w:tabs>
        <w:spacing w:before="0" w:after="0" w:line="360" w:lineRule="auto"/>
        <w:jc w:val="left"/>
        <w:rPr>
          <w:rFonts w:hint="eastAsia" w:ascii="宋体" w:hAnsi="宋体" w:eastAsia="宋体" w:cs="宋体"/>
          <w:sz w:val="28"/>
          <w:szCs w:val="28"/>
        </w:rPr>
      </w:pPr>
      <w:bookmarkStart w:id="93" w:name="_bookmark68"/>
      <w:bookmarkEnd w:id="93"/>
      <w:bookmarkStart w:id="94" w:name="_Toc7009"/>
      <w:r>
        <w:rPr>
          <w:rFonts w:hint="eastAsia" w:ascii="宋体" w:hAnsi="宋体" w:eastAsia="宋体" w:cs="宋体"/>
          <w:sz w:val="28"/>
          <w:szCs w:val="28"/>
        </w:rPr>
        <w:t>3.2.3自动控制</w:t>
      </w:r>
      <w:bookmarkEnd w:id="94"/>
    </w:p>
    <w:p>
      <w:pPr>
        <w:pStyle w:val="16"/>
        <w:spacing w:before="122" w:line="360" w:lineRule="auto"/>
        <w:ind w:right="453" w:firstLine="55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pacing w:val="-7"/>
          <w:sz w:val="28"/>
          <w:szCs w:val="28"/>
        </w:rPr>
        <w:t>、对二甲苯缓冲罐压力监控系统发生故障，可导致压力显示失真、系</w:t>
      </w:r>
      <w:r>
        <w:rPr>
          <w:rFonts w:hint="eastAsia" w:ascii="宋体" w:hAnsi="宋体" w:eastAsia="宋体" w:cs="宋体"/>
          <w:spacing w:val="-14"/>
          <w:sz w:val="28"/>
          <w:szCs w:val="28"/>
        </w:rPr>
        <w:t>统失控，可引导致储罐压力过高而爆炸，进而引起物料泄漏发生火灾、爆炸</w:t>
      </w:r>
      <w:r>
        <w:rPr>
          <w:rFonts w:hint="eastAsia" w:ascii="宋体" w:hAnsi="宋体" w:eastAsia="宋体" w:cs="宋体"/>
          <w:sz w:val="28"/>
          <w:szCs w:val="28"/>
        </w:rPr>
        <w:t>事故。</w:t>
      </w:r>
    </w:p>
    <w:p>
      <w:pPr>
        <w:pStyle w:val="16"/>
        <w:spacing w:line="360" w:lineRule="auto"/>
        <w:ind w:right="451" w:firstLine="559"/>
        <w:jc w:val="right"/>
        <w:rPr>
          <w:rFonts w:hint="eastAsia" w:ascii="宋体" w:hAnsi="宋体" w:eastAsia="宋体" w:cs="宋体"/>
          <w:spacing w:val="-14"/>
          <w:sz w:val="28"/>
          <w:szCs w:val="28"/>
        </w:rPr>
      </w:pPr>
      <w:r>
        <w:rPr>
          <w:rFonts w:hint="eastAsia" w:ascii="宋体" w:hAnsi="宋体" w:eastAsia="宋体" w:cs="宋体"/>
          <w:sz w:val="28"/>
          <w:szCs w:val="28"/>
        </w:rPr>
        <w:t>2</w:t>
      </w:r>
      <w:r>
        <w:rPr>
          <w:rFonts w:hint="eastAsia" w:ascii="宋体" w:hAnsi="宋体" w:eastAsia="宋体" w:cs="宋体"/>
          <w:spacing w:val="-6"/>
          <w:sz w:val="28"/>
          <w:szCs w:val="28"/>
        </w:rPr>
        <w:t>、对二甲苯缓冲罐及蒸汽管道温度监控系统发生故障，可导致温度显</w:t>
      </w:r>
      <w:r>
        <w:rPr>
          <w:rFonts w:hint="eastAsia" w:ascii="宋体" w:hAnsi="宋体" w:eastAsia="宋体" w:cs="宋体"/>
          <w:spacing w:val="-14"/>
          <w:sz w:val="28"/>
          <w:szCs w:val="28"/>
        </w:rPr>
        <w:t>示失真、系统失控，可能引发高温蒸汽管道温度过高，材料发生</w:t>
      </w:r>
    </w:p>
    <w:p>
      <w:pPr>
        <w:pStyle w:val="16"/>
        <w:spacing w:line="360" w:lineRule="auto"/>
        <w:ind w:right="451"/>
        <w:rPr>
          <w:rFonts w:hint="eastAsia" w:ascii="宋体" w:hAnsi="宋体" w:eastAsia="宋体" w:cs="宋体"/>
          <w:spacing w:val="-15"/>
          <w:sz w:val="28"/>
          <w:szCs w:val="28"/>
        </w:rPr>
      </w:pPr>
      <w:r>
        <w:rPr>
          <w:rFonts w:hint="eastAsia" w:ascii="宋体" w:hAnsi="宋体" w:eastAsia="宋体" w:cs="宋体"/>
          <w:spacing w:val="-14"/>
          <w:sz w:val="28"/>
          <w:szCs w:val="28"/>
        </w:rPr>
        <w:t>蠕变，导致</w:t>
      </w:r>
      <w:r>
        <w:rPr>
          <w:rFonts w:hint="eastAsia" w:ascii="宋体" w:hAnsi="宋体" w:eastAsia="宋体" w:cs="宋体"/>
          <w:spacing w:val="-15"/>
          <w:sz w:val="28"/>
          <w:szCs w:val="28"/>
        </w:rPr>
        <w:t>爆裂；还可能导致缓冲罐温度过高，导致压力升高，可引发泄漏甚至爆裂。</w:t>
      </w:r>
    </w:p>
    <w:p>
      <w:pPr>
        <w:pStyle w:val="16"/>
        <w:spacing w:line="360" w:lineRule="auto"/>
        <w:ind w:right="451" w:firstLine="559"/>
        <w:rPr>
          <w:rFonts w:hint="eastAsia" w:ascii="宋体" w:hAnsi="宋体" w:eastAsia="宋体" w:cs="宋体"/>
          <w:sz w:val="28"/>
          <w:szCs w:val="28"/>
        </w:rPr>
      </w:pPr>
      <w:r>
        <w:rPr>
          <w:rFonts w:hint="eastAsia" w:ascii="宋体" w:hAnsi="宋体" w:eastAsia="宋体" w:cs="宋体"/>
          <w:spacing w:val="-15"/>
          <w:sz w:val="28"/>
          <w:szCs w:val="28"/>
        </w:rPr>
        <w:t>3</w:t>
      </w:r>
      <w:r>
        <w:rPr>
          <w:rFonts w:hint="eastAsia" w:ascii="宋体" w:hAnsi="宋体" w:eastAsia="宋体" w:cs="宋体"/>
          <w:spacing w:val="-5"/>
          <w:sz w:val="28"/>
          <w:szCs w:val="28"/>
        </w:rPr>
        <w:t>、缓冲罐</w:t>
      </w:r>
      <w:r>
        <w:rPr>
          <w:rFonts w:hint="eastAsia" w:ascii="宋体" w:hAnsi="宋体" w:eastAsia="宋体" w:cs="宋体"/>
          <w:spacing w:val="-3"/>
          <w:sz w:val="28"/>
          <w:szCs w:val="28"/>
        </w:rPr>
        <w:t>（</w:t>
      </w:r>
      <w:r>
        <w:rPr>
          <w:rFonts w:hint="eastAsia" w:ascii="宋体" w:hAnsi="宋体" w:eastAsia="宋体" w:cs="宋体"/>
          <w:spacing w:val="-1"/>
          <w:sz w:val="28"/>
          <w:szCs w:val="28"/>
        </w:rPr>
        <w:t>扫仓罐</w:t>
      </w:r>
      <w:r>
        <w:rPr>
          <w:rFonts w:hint="eastAsia" w:ascii="宋体" w:hAnsi="宋体" w:eastAsia="宋体" w:cs="宋体"/>
          <w:spacing w:val="-7"/>
          <w:sz w:val="28"/>
          <w:szCs w:val="28"/>
        </w:rPr>
        <w:t>）</w:t>
      </w:r>
      <w:r>
        <w:rPr>
          <w:rFonts w:hint="eastAsia" w:ascii="宋体" w:hAnsi="宋体" w:eastAsia="宋体" w:cs="宋体"/>
          <w:spacing w:val="-4"/>
          <w:sz w:val="28"/>
          <w:szCs w:val="28"/>
        </w:rPr>
        <w:t>液位监控系统发生故障，导致液位显示失真、系</w:t>
      </w:r>
      <w:r>
        <w:rPr>
          <w:rFonts w:hint="eastAsia" w:ascii="宋体" w:hAnsi="宋体" w:eastAsia="宋体" w:cs="宋体"/>
          <w:spacing w:val="-15"/>
          <w:sz w:val="28"/>
          <w:szCs w:val="28"/>
        </w:rPr>
        <w:t>统失控，可引起储罐液位过高，可导致冒罐，进而发生泄漏事故；储罐液位</w:t>
      </w:r>
      <w:r>
        <w:rPr>
          <w:rFonts w:hint="eastAsia" w:ascii="宋体" w:hAnsi="宋体" w:eastAsia="宋体" w:cs="宋体"/>
          <w:spacing w:val="-3"/>
          <w:sz w:val="28"/>
          <w:szCs w:val="28"/>
        </w:rPr>
        <w:t>过低，可导致泵抽空。</w:t>
      </w:r>
    </w:p>
    <w:p>
      <w:pPr>
        <w:pStyle w:val="16"/>
        <w:spacing w:line="360" w:lineRule="auto"/>
        <w:ind w:right="403" w:firstLine="559"/>
        <w:rPr>
          <w:rFonts w:hint="eastAsia" w:ascii="宋体" w:hAnsi="宋体" w:eastAsia="宋体" w:cs="宋体"/>
          <w:sz w:val="28"/>
          <w:szCs w:val="28"/>
        </w:rPr>
      </w:pPr>
      <w:r>
        <w:rPr>
          <w:rFonts w:hint="eastAsia" w:ascii="宋体" w:hAnsi="宋体" w:eastAsia="宋体" w:cs="宋体"/>
          <w:sz w:val="28"/>
          <w:szCs w:val="28"/>
        </w:rPr>
        <w:t>4、流量监控系统发生故障，流量计量失真，导致流量控制不稳，可引发事故。</w:t>
      </w:r>
    </w:p>
    <w:p>
      <w:pPr>
        <w:pStyle w:val="16"/>
        <w:spacing w:line="360" w:lineRule="auto"/>
        <w:ind w:right="405" w:firstLine="559"/>
        <w:rPr>
          <w:rFonts w:hint="eastAsia" w:ascii="宋体" w:hAnsi="宋体" w:eastAsia="宋体" w:cs="宋体"/>
          <w:sz w:val="28"/>
          <w:szCs w:val="28"/>
        </w:rPr>
      </w:pPr>
      <w:r>
        <w:rPr>
          <w:rFonts w:hint="eastAsia" w:ascii="宋体" w:hAnsi="宋体" w:eastAsia="宋体" w:cs="宋体"/>
          <w:sz w:val="28"/>
          <w:szCs w:val="28"/>
        </w:rPr>
        <w:t>5、可燃气体监控系统发生故障，一旦发生可燃气体泄漏而不能及时发现，可造成火灾、爆炸事故。</w:t>
      </w:r>
    </w:p>
    <w:p>
      <w:pPr>
        <w:pStyle w:val="4"/>
        <w:tabs>
          <w:tab w:val="left" w:pos="1540"/>
          <w:tab w:val="left" w:pos="1541"/>
        </w:tabs>
        <w:spacing w:before="0" w:after="0" w:line="421" w:lineRule="exact"/>
        <w:jc w:val="left"/>
        <w:rPr>
          <w:rFonts w:hint="eastAsia" w:ascii="宋体" w:hAnsi="宋体" w:eastAsia="宋体" w:cs="宋体"/>
          <w:sz w:val="28"/>
          <w:szCs w:val="28"/>
        </w:rPr>
      </w:pPr>
      <w:bookmarkStart w:id="95" w:name="_bookmark69"/>
      <w:bookmarkEnd w:id="95"/>
      <w:bookmarkStart w:id="96" w:name="_Toc7527"/>
      <w:r>
        <w:rPr>
          <w:rFonts w:hint="eastAsia" w:ascii="宋体" w:hAnsi="宋体" w:eastAsia="宋体" w:cs="宋体"/>
          <w:sz w:val="28"/>
          <w:szCs w:val="28"/>
        </w:rPr>
        <w:t>3.2.4通信及信息</w:t>
      </w:r>
      <w:bookmarkEnd w:id="96"/>
    </w:p>
    <w:p>
      <w:pPr>
        <w:pStyle w:val="16"/>
        <w:spacing w:before="115" w:line="364" w:lineRule="auto"/>
        <w:ind w:right="453" w:firstLine="55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pacing w:val="-6"/>
          <w:sz w:val="28"/>
          <w:szCs w:val="28"/>
        </w:rPr>
        <w:t>、铁路通信设备出现故障，可能导致调度与指挥命令不能传达，主要</w:t>
      </w:r>
      <w:r>
        <w:rPr>
          <w:rFonts w:hint="eastAsia" w:ascii="宋体" w:hAnsi="宋体" w:eastAsia="宋体" w:cs="宋体"/>
          <w:spacing w:val="-15"/>
          <w:sz w:val="28"/>
          <w:szCs w:val="28"/>
        </w:rPr>
        <w:t xml:space="preserve">表现在以下方面：限速命令不能传达，造成列车超速；漏发超限运行命令， </w:t>
      </w:r>
      <w:r>
        <w:rPr>
          <w:rFonts w:hint="eastAsia" w:ascii="宋体" w:hAnsi="宋体" w:eastAsia="宋体" w:cs="宋体"/>
          <w:spacing w:val="-14"/>
          <w:sz w:val="28"/>
          <w:szCs w:val="28"/>
        </w:rPr>
        <w:t>开出超限列车；限速运行命令不能传达，造车列车超速行驶；施工调度命令</w:t>
      </w:r>
      <w:r>
        <w:rPr>
          <w:rFonts w:hint="eastAsia" w:ascii="宋体" w:hAnsi="宋体" w:eastAsia="宋体" w:cs="宋体"/>
          <w:spacing w:val="-3"/>
          <w:sz w:val="28"/>
          <w:szCs w:val="28"/>
        </w:rPr>
        <w:t>不能传达，造成拦停列车。</w:t>
      </w:r>
    </w:p>
    <w:p>
      <w:pPr>
        <w:pStyle w:val="16"/>
        <w:spacing w:line="357"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2、铁路信息系统出现故障，可能导致管理混乱，导致各类安全事故。</w:t>
      </w:r>
    </w:p>
    <w:p>
      <w:pPr>
        <w:pStyle w:val="16"/>
        <w:spacing w:before="186"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3、工业电视监控系统发生故障，可导致无法及时发现装卸区、缓冲罐</w:t>
      </w:r>
      <w:r>
        <w:rPr>
          <w:rFonts w:hint="eastAsia" w:ascii="宋体" w:hAnsi="宋体" w:eastAsia="宋体" w:cs="宋体"/>
          <w:spacing w:val="-3"/>
          <w:sz w:val="28"/>
          <w:szCs w:val="28"/>
        </w:rPr>
        <w:t>区的异常情况，进而引发事故。</w:t>
      </w:r>
    </w:p>
    <w:p>
      <w:pPr>
        <w:pStyle w:val="16"/>
        <w:spacing w:before="186" w:line="364" w:lineRule="auto"/>
        <w:ind w:right="454" w:firstLine="559"/>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pacing w:val="-7"/>
          <w:sz w:val="28"/>
          <w:szCs w:val="28"/>
        </w:rPr>
        <w:t>、扩音对讲系统故障失效，装卸区事故状态下不能及时组织作业人员</w:t>
      </w:r>
      <w:r>
        <w:rPr>
          <w:rFonts w:hint="eastAsia" w:ascii="宋体" w:hAnsi="宋体" w:eastAsia="宋体" w:cs="宋体"/>
          <w:spacing w:val="-3"/>
          <w:sz w:val="28"/>
          <w:szCs w:val="28"/>
        </w:rPr>
        <w:t>疏散，可能引起事故后果扩大。</w:t>
      </w:r>
    </w:p>
    <w:p>
      <w:pPr>
        <w:pStyle w:val="4"/>
        <w:tabs>
          <w:tab w:val="left" w:pos="1540"/>
          <w:tab w:val="left" w:pos="1541"/>
        </w:tabs>
        <w:spacing w:before="0" w:after="0" w:line="360" w:lineRule="auto"/>
        <w:jc w:val="left"/>
        <w:rPr>
          <w:rFonts w:hint="eastAsia" w:ascii="宋体" w:hAnsi="宋体" w:eastAsia="宋体" w:cs="宋体"/>
          <w:sz w:val="28"/>
          <w:szCs w:val="28"/>
        </w:rPr>
      </w:pPr>
      <w:bookmarkStart w:id="97" w:name="_bookmark70"/>
      <w:bookmarkEnd w:id="97"/>
      <w:bookmarkStart w:id="98" w:name="_Toc6132"/>
      <w:r>
        <w:rPr>
          <w:rFonts w:hint="eastAsia" w:ascii="宋体" w:hAnsi="宋体" w:eastAsia="宋体" w:cs="宋体"/>
          <w:sz w:val="28"/>
          <w:szCs w:val="28"/>
        </w:rPr>
        <w:t>3.2.5信号及安全标志</w:t>
      </w:r>
      <w:bookmarkEnd w:id="98"/>
    </w:p>
    <w:p>
      <w:pPr>
        <w:pStyle w:val="16"/>
        <w:spacing w:before="123" w:line="360" w:lineRule="auto"/>
        <w:ind w:right="452" w:firstLine="55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pacing w:val="-6"/>
          <w:sz w:val="28"/>
          <w:szCs w:val="28"/>
        </w:rPr>
        <w:t>、装卸设备应设有作业状态信号，而没有设置或虽然设置但信号选用</w:t>
      </w:r>
      <w:r>
        <w:rPr>
          <w:rFonts w:hint="eastAsia" w:ascii="宋体" w:hAnsi="宋体" w:eastAsia="宋体" w:cs="宋体"/>
          <w:spacing w:val="-15"/>
          <w:sz w:val="28"/>
          <w:szCs w:val="28"/>
        </w:rPr>
        <w:t>不当、信号位置不当、信号不清、信号显示不准等引起操作和指挥失误，引</w:t>
      </w:r>
      <w:r>
        <w:rPr>
          <w:rFonts w:hint="eastAsia" w:ascii="宋体" w:hAnsi="宋体" w:eastAsia="宋体" w:cs="宋体"/>
          <w:spacing w:val="-3"/>
          <w:sz w:val="28"/>
          <w:szCs w:val="28"/>
        </w:rPr>
        <w:t>发脱轨、冲突等事故。</w:t>
      </w:r>
    </w:p>
    <w:p>
      <w:pPr>
        <w:pStyle w:val="16"/>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2、设备设施无标志、标志不清、标志不规范等而导致事故发生。</w:t>
      </w:r>
    </w:p>
    <w:p>
      <w:pPr>
        <w:pStyle w:val="16"/>
        <w:spacing w:before="186" w:line="360" w:lineRule="auto"/>
        <w:ind w:right="414" w:firstLine="559"/>
        <w:rPr>
          <w:rFonts w:hint="eastAsia" w:ascii="宋体" w:hAnsi="宋体" w:eastAsia="宋体" w:cs="宋体"/>
          <w:sz w:val="28"/>
          <w:szCs w:val="28"/>
        </w:rPr>
      </w:pPr>
      <w:r>
        <w:rPr>
          <w:rFonts w:hint="eastAsia" w:ascii="宋体" w:hAnsi="宋体" w:eastAsia="宋体" w:cs="宋体"/>
          <w:sz w:val="28"/>
          <w:szCs w:val="28"/>
        </w:rPr>
        <w:t>3、设备若存在质量缺陷或作业人员操作失误等引发联锁操作和指挥失误，从而诱发铁路事故发生。</w:t>
      </w:r>
    </w:p>
    <w:p>
      <w:pPr>
        <w:pStyle w:val="16"/>
        <w:spacing w:line="360" w:lineRule="auto"/>
        <w:ind w:right="315" w:firstLine="559"/>
        <w:rPr>
          <w:rFonts w:hint="eastAsia" w:ascii="宋体" w:hAnsi="宋体" w:eastAsia="宋体" w:cs="宋体"/>
          <w:color w:val="C00000"/>
          <w:spacing w:val="-8"/>
          <w:sz w:val="28"/>
          <w:szCs w:val="28"/>
        </w:rPr>
      </w:pPr>
      <w:r>
        <w:rPr>
          <w:rFonts w:hint="eastAsia" w:ascii="宋体" w:hAnsi="宋体" w:eastAsia="宋体" w:cs="宋体"/>
          <w:sz w:val="28"/>
          <w:szCs w:val="28"/>
        </w:rPr>
        <w:t>4</w:t>
      </w:r>
      <w:r>
        <w:rPr>
          <w:rFonts w:hint="eastAsia" w:ascii="宋体" w:hAnsi="宋体" w:eastAsia="宋体" w:cs="宋体"/>
          <w:spacing w:val="-6"/>
          <w:sz w:val="28"/>
          <w:szCs w:val="28"/>
        </w:rPr>
        <w:t>、</w:t>
      </w:r>
      <w:r>
        <w:rPr>
          <w:rFonts w:hint="eastAsia" w:ascii="宋体" w:hAnsi="宋体" w:eastAsia="宋体" w:cs="宋体"/>
          <w:color w:val="C00000"/>
          <w:spacing w:val="-6"/>
          <w:sz w:val="28"/>
          <w:szCs w:val="28"/>
        </w:rPr>
        <w:t>专用线信号设备故障，可能引起</w:t>
      </w:r>
      <w:r>
        <w:rPr>
          <w:rFonts w:hint="eastAsia" w:ascii="宋体" w:hAnsi="宋体" w:eastAsia="宋体" w:cs="宋体"/>
          <w:color w:val="C00000"/>
          <w:spacing w:val="-6"/>
          <w:sz w:val="28"/>
          <w:szCs w:val="28"/>
          <w:lang w:eastAsia="zh-CN"/>
        </w:rPr>
        <w:t>信号不能开放</w:t>
      </w:r>
      <w:r>
        <w:rPr>
          <w:rFonts w:hint="eastAsia" w:ascii="宋体" w:hAnsi="宋体" w:eastAsia="宋体" w:cs="宋体"/>
          <w:color w:val="C00000"/>
          <w:spacing w:val="-8"/>
          <w:sz w:val="28"/>
          <w:szCs w:val="28"/>
        </w:rPr>
        <w:t>。</w:t>
      </w:r>
    </w:p>
    <w:p>
      <w:pPr>
        <w:pStyle w:val="16"/>
        <w:spacing w:line="360" w:lineRule="auto"/>
        <w:ind w:right="315" w:firstLine="559"/>
        <w:rPr>
          <w:rFonts w:hint="eastAsia" w:ascii="宋体" w:hAnsi="宋体" w:eastAsia="宋体" w:cs="宋体"/>
          <w:sz w:val="28"/>
          <w:szCs w:val="28"/>
        </w:rPr>
      </w:pPr>
      <w:r>
        <w:rPr>
          <w:rFonts w:hint="eastAsia" w:ascii="宋体" w:hAnsi="宋体" w:eastAsia="宋体" w:cs="宋体"/>
          <w:color w:val="C00000"/>
          <w:spacing w:val="-8"/>
          <w:sz w:val="28"/>
          <w:szCs w:val="28"/>
        </w:rPr>
        <w:t>信号设备故障原因分析</w:t>
      </w:r>
      <w:r>
        <w:rPr>
          <w:rFonts w:hint="eastAsia" w:ascii="宋体" w:hAnsi="宋体" w:eastAsia="宋体" w:cs="宋体"/>
          <w:spacing w:val="-8"/>
          <w:sz w:val="28"/>
          <w:szCs w:val="28"/>
        </w:rPr>
        <w:t>：</w:t>
      </w:r>
    </w:p>
    <w:p>
      <w:pPr>
        <w:pStyle w:val="121"/>
        <w:tabs>
          <w:tab w:val="left" w:pos="1403"/>
        </w:tabs>
        <w:spacing w:line="360" w:lineRule="auto"/>
        <w:ind w:right="454" w:firstLine="508"/>
        <w:rPr>
          <w:rFonts w:hint="eastAsia" w:ascii="宋体" w:hAnsi="宋体" w:cs="宋体"/>
          <w:sz w:val="28"/>
          <w:szCs w:val="28"/>
        </w:rPr>
      </w:pPr>
      <w:r>
        <w:rPr>
          <w:rFonts w:hint="eastAsia" w:ascii="宋体" w:hAnsi="宋体" w:cs="宋体"/>
          <w:spacing w:val="-13"/>
          <w:sz w:val="28"/>
          <w:szCs w:val="28"/>
        </w:rPr>
        <w:t>（1）材质不良</w:t>
      </w:r>
      <w:r>
        <w:rPr>
          <w:rFonts w:hint="eastAsia" w:ascii="宋体" w:hAnsi="宋体" w:cs="宋体"/>
          <w:spacing w:val="-3"/>
          <w:sz w:val="28"/>
          <w:szCs w:val="28"/>
        </w:rPr>
        <w:t>（客观原因</w:t>
      </w:r>
      <w:r>
        <w:rPr>
          <w:rFonts w:hint="eastAsia" w:ascii="宋体" w:hAnsi="宋体" w:cs="宋体"/>
          <w:spacing w:val="-140"/>
          <w:sz w:val="28"/>
          <w:szCs w:val="28"/>
        </w:rPr>
        <w:t>）</w:t>
      </w:r>
      <w:r>
        <w:rPr>
          <w:rFonts w:hint="eastAsia" w:ascii="宋体" w:hAnsi="宋体" w:cs="宋体"/>
          <w:spacing w:val="-11"/>
          <w:sz w:val="28"/>
          <w:szCs w:val="28"/>
        </w:rPr>
        <w:t>。一是元器件变质。信号电气设备的许多</w:t>
      </w:r>
      <w:r>
        <w:rPr>
          <w:rFonts w:hint="eastAsia" w:ascii="宋体" w:hAnsi="宋体" w:cs="宋体"/>
          <w:spacing w:val="-26"/>
          <w:sz w:val="28"/>
          <w:szCs w:val="28"/>
        </w:rPr>
        <w:t>元件，使用一段时间后，都可能发生质变，导致设备故障。二是制造工艺缺陷</w:t>
      </w:r>
      <w:r>
        <w:rPr>
          <w:rFonts w:hint="eastAsia" w:ascii="宋体" w:hAnsi="宋体" w:cs="宋体"/>
          <w:spacing w:val="-15"/>
          <w:sz w:val="28"/>
          <w:szCs w:val="28"/>
        </w:rPr>
        <w:t>。制造工艺落后，选材不当，生产过程控制不严等原因造成产品质量不合格</w:t>
      </w:r>
      <w:r>
        <w:rPr>
          <w:rFonts w:hint="eastAsia" w:ascii="宋体" w:hAnsi="宋体" w:cs="宋体"/>
          <w:spacing w:val="-12"/>
          <w:sz w:val="28"/>
          <w:szCs w:val="28"/>
        </w:rPr>
        <w:t>。</w:t>
      </w:r>
    </w:p>
    <w:p>
      <w:pPr>
        <w:pStyle w:val="121"/>
        <w:tabs>
          <w:tab w:val="left" w:pos="1403"/>
        </w:tabs>
        <w:spacing w:line="360" w:lineRule="auto"/>
        <w:ind w:right="456" w:firstLine="508"/>
        <w:jc w:val="left"/>
        <w:rPr>
          <w:rFonts w:hint="eastAsia" w:ascii="宋体" w:hAnsi="宋体" w:cs="宋体"/>
          <w:sz w:val="28"/>
          <w:szCs w:val="28"/>
        </w:rPr>
      </w:pPr>
      <w:r>
        <w:rPr>
          <w:rFonts w:hint="eastAsia" w:ascii="宋体" w:hAnsi="宋体" w:cs="宋体"/>
          <w:spacing w:val="-13"/>
          <w:sz w:val="28"/>
          <w:szCs w:val="28"/>
        </w:rPr>
        <w:t>（2）维修不良</w:t>
      </w:r>
      <w:r>
        <w:rPr>
          <w:rFonts w:hint="eastAsia" w:ascii="宋体" w:hAnsi="宋体" w:cs="宋体"/>
          <w:spacing w:val="-3"/>
          <w:sz w:val="28"/>
          <w:szCs w:val="28"/>
        </w:rPr>
        <w:t>（主观原因</w:t>
      </w:r>
      <w:r>
        <w:rPr>
          <w:rFonts w:hint="eastAsia" w:ascii="宋体" w:hAnsi="宋体" w:cs="宋体"/>
          <w:spacing w:val="-140"/>
          <w:sz w:val="28"/>
          <w:szCs w:val="28"/>
        </w:rPr>
        <w:t>）</w:t>
      </w:r>
      <w:r>
        <w:rPr>
          <w:rFonts w:hint="eastAsia" w:ascii="宋体" w:hAnsi="宋体" w:cs="宋体"/>
          <w:spacing w:val="-11"/>
          <w:sz w:val="28"/>
          <w:szCs w:val="28"/>
        </w:rPr>
        <w:t>。一是业务素质差。维修人员缺乏业务知</w:t>
      </w:r>
      <w:r>
        <w:rPr>
          <w:rFonts w:hint="eastAsia" w:ascii="宋体" w:hAnsi="宋体" w:cs="宋体"/>
          <w:spacing w:val="-8"/>
          <w:sz w:val="28"/>
          <w:szCs w:val="28"/>
        </w:rPr>
        <w:t>识和操作技能不熟练，造成信号设备故障。二是责任心不强。</w:t>
      </w:r>
    </w:p>
    <w:p>
      <w:pPr>
        <w:pStyle w:val="121"/>
        <w:tabs>
          <w:tab w:val="left" w:pos="1403"/>
        </w:tabs>
        <w:spacing w:line="360" w:lineRule="auto"/>
        <w:ind w:firstLine="508"/>
        <w:jc w:val="left"/>
        <w:rPr>
          <w:rFonts w:hint="eastAsia" w:ascii="宋体" w:hAnsi="宋体" w:cs="宋体"/>
          <w:sz w:val="28"/>
          <w:szCs w:val="28"/>
        </w:rPr>
      </w:pPr>
      <w:r>
        <w:rPr>
          <w:rFonts w:hint="eastAsia" w:ascii="宋体" w:hAnsi="宋体" w:cs="宋体"/>
          <w:spacing w:val="-13"/>
          <w:sz w:val="28"/>
          <w:szCs w:val="28"/>
        </w:rPr>
        <w:t>（3）违章作业</w:t>
      </w:r>
      <w:r>
        <w:rPr>
          <w:rFonts w:hint="eastAsia" w:ascii="宋体" w:hAnsi="宋体" w:cs="宋体"/>
          <w:spacing w:val="-3"/>
          <w:sz w:val="28"/>
          <w:szCs w:val="28"/>
        </w:rPr>
        <w:t>（人为原因</w:t>
      </w:r>
      <w:r>
        <w:rPr>
          <w:rFonts w:hint="eastAsia" w:ascii="宋体" w:hAnsi="宋体" w:cs="宋体"/>
          <w:spacing w:val="-140"/>
          <w:sz w:val="28"/>
          <w:szCs w:val="28"/>
        </w:rPr>
        <w:t>）</w:t>
      </w:r>
      <w:r>
        <w:rPr>
          <w:rFonts w:hint="eastAsia" w:ascii="宋体" w:hAnsi="宋体" w:cs="宋体"/>
          <w:spacing w:val="-11"/>
          <w:sz w:val="28"/>
          <w:szCs w:val="28"/>
        </w:rPr>
        <w:t>。维修信号设备时，不遵守安全操作规程。</w:t>
      </w:r>
    </w:p>
    <w:p>
      <w:pPr>
        <w:pStyle w:val="121"/>
        <w:tabs>
          <w:tab w:val="left" w:pos="1403"/>
        </w:tabs>
        <w:spacing w:before="180" w:line="360" w:lineRule="auto"/>
        <w:ind w:right="452" w:firstLine="508"/>
        <w:rPr>
          <w:rFonts w:hint="eastAsia" w:ascii="宋体" w:hAnsi="宋体" w:cs="宋体"/>
          <w:sz w:val="28"/>
          <w:szCs w:val="28"/>
        </w:rPr>
      </w:pPr>
      <w:r>
        <w:rPr>
          <w:rFonts w:hint="eastAsia" w:ascii="宋体" w:hAnsi="宋体" w:cs="宋体"/>
          <w:spacing w:val="-13"/>
          <w:sz w:val="28"/>
          <w:szCs w:val="28"/>
        </w:rPr>
        <w:t>（4）其他原因</w:t>
      </w:r>
      <w:r>
        <w:rPr>
          <w:rFonts w:hint="eastAsia" w:ascii="宋体" w:hAnsi="宋体" w:cs="宋体"/>
          <w:spacing w:val="-3"/>
          <w:sz w:val="28"/>
          <w:szCs w:val="28"/>
        </w:rPr>
        <w:t>（外界原因</w:t>
      </w:r>
      <w:r>
        <w:rPr>
          <w:rFonts w:hint="eastAsia" w:ascii="宋体" w:hAnsi="宋体" w:cs="宋体"/>
          <w:spacing w:val="-140"/>
          <w:sz w:val="28"/>
          <w:szCs w:val="28"/>
        </w:rPr>
        <w:t>）</w:t>
      </w:r>
      <w:r>
        <w:rPr>
          <w:rFonts w:hint="eastAsia" w:ascii="宋体" w:hAnsi="宋体" w:cs="宋体"/>
          <w:spacing w:val="-11"/>
          <w:sz w:val="28"/>
          <w:szCs w:val="28"/>
        </w:rPr>
        <w:t>。信号分布在铁道线上，自然环境不可避</w:t>
      </w:r>
      <w:r>
        <w:rPr>
          <w:rFonts w:hint="eastAsia" w:ascii="宋体" w:hAnsi="宋体" w:cs="宋体"/>
          <w:spacing w:val="-16"/>
          <w:sz w:val="28"/>
          <w:szCs w:val="28"/>
        </w:rPr>
        <w:t>免地要对其产生影响，同时，铁路其他部门的维修、施工方法不当，社会不</w:t>
      </w:r>
      <w:r>
        <w:rPr>
          <w:rFonts w:hint="eastAsia" w:ascii="宋体" w:hAnsi="宋体" w:cs="宋体"/>
          <w:spacing w:val="-3"/>
          <w:sz w:val="28"/>
          <w:szCs w:val="28"/>
        </w:rPr>
        <w:t>法分子对设备的破坏，都直接造成信号设备故障。</w:t>
      </w:r>
    </w:p>
    <w:p>
      <w:pPr>
        <w:pStyle w:val="16"/>
        <w:spacing w:line="360" w:lineRule="auto"/>
        <w:ind w:right="403" w:firstLine="559"/>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color w:val="C00000"/>
          <w:sz w:val="28"/>
          <w:szCs w:val="28"/>
        </w:rPr>
        <w:t>机车乘务员若操作失误或误认信号，车速过快，制动</w:t>
      </w:r>
      <w:r>
        <w:rPr>
          <w:rFonts w:hint="eastAsia" w:ascii="宋体" w:hAnsi="宋体" w:eastAsia="宋体" w:cs="宋体"/>
          <w:color w:val="C00000"/>
          <w:sz w:val="28"/>
          <w:szCs w:val="28"/>
          <w:lang w:eastAsia="zh-CN"/>
        </w:rPr>
        <w:t>不及时</w:t>
      </w:r>
      <w:r>
        <w:rPr>
          <w:rFonts w:hint="eastAsia" w:ascii="宋体" w:hAnsi="宋体" w:eastAsia="宋体" w:cs="宋体"/>
          <w:color w:val="C00000"/>
          <w:sz w:val="28"/>
          <w:szCs w:val="28"/>
        </w:rPr>
        <w:t>，也可能导致列车冒进信号。</w:t>
      </w:r>
    </w:p>
    <w:p>
      <w:pPr>
        <w:pStyle w:val="16"/>
        <w:spacing w:line="360" w:lineRule="auto"/>
        <w:ind w:left="698"/>
        <w:rPr>
          <w:rFonts w:hint="eastAsia" w:ascii="宋体" w:hAnsi="宋体" w:eastAsia="宋体" w:cs="宋体"/>
          <w:sz w:val="28"/>
          <w:szCs w:val="28"/>
          <w:lang w:eastAsia="zh-CN"/>
        </w:rPr>
      </w:pPr>
      <w:r>
        <w:rPr>
          <w:rFonts w:hint="eastAsia" w:ascii="宋体" w:hAnsi="宋体" w:eastAsia="宋体" w:cs="宋体"/>
          <w:sz w:val="28"/>
          <w:szCs w:val="28"/>
        </w:rPr>
        <w:t>6、出现轨道电路“红光带”</w:t>
      </w:r>
      <w:r>
        <w:rPr>
          <w:rFonts w:hint="eastAsia" w:ascii="宋体" w:hAnsi="宋体" w:eastAsia="宋体" w:cs="宋体"/>
          <w:sz w:val="28"/>
          <w:szCs w:val="28"/>
          <w:lang w:eastAsia="zh-CN"/>
        </w:rPr>
        <w:t>。</w:t>
      </w:r>
    </w:p>
    <w:p>
      <w:pPr>
        <w:pStyle w:val="121"/>
        <w:tabs>
          <w:tab w:val="left" w:pos="1403"/>
        </w:tabs>
        <w:spacing w:before="60" w:line="360" w:lineRule="auto"/>
        <w:ind w:right="176" w:firstLine="540"/>
        <w:jc w:val="left"/>
        <w:rPr>
          <w:rFonts w:hint="eastAsia" w:ascii="宋体" w:hAnsi="宋体" w:cs="宋体"/>
          <w:sz w:val="28"/>
          <w:szCs w:val="28"/>
        </w:rPr>
      </w:pPr>
      <w:r>
        <w:rPr>
          <w:rFonts w:hint="eastAsia" w:ascii="宋体" w:hAnsi="宋体" w:cs="宋体"/>
          <w:spacing w:val="-5"/>
          <w:sz w:val="28"/>
          <w:szCs w:val="28"/>
        </w:rPr>
        <w:t xml:space="preserve">（1）钢轨锁定不良，昼夜温差、季节温差造成窜轨严重，轨端绝缘顶 </w:t>
      </w:r>
      <w:r>
        <w:rPr>
          <w:rFonts w:hint="eastAsia" w:ascii="宋体" w:hAnsi="宋体" w:cs="宋体"/>
          <w:spacing w:val="-16"/>
          <w:sz w:val="28"/>
          <w:szCs w:val="28"/>
        </w:rPr>
        <w:t xml:space="preserve">死，管垫拉破。绝缘接头处应为窄扣件却安装了一般扣件或水泥枕固定盘条， </w:t>
      </w:r>
      <w:r>
        <w:rPr>
          <w:rFonts w:hint="eastAsia" w:ascii="宋体" w:hAnsi="宋体" w:cs="宋体"/>
          <w:spacing w:val="-3"/>
          <w:sz w:val="28"/>
          <w:szCs w:val="28"/>
        </w:rPr>
        <w:t>螺母松动盘条碰鱼尾板。</w:t>
      </w:r>
    </w:p>
    <w:p>
      <w:pPr>
        <w:pStyle w:val="121"/>
        <w:tabs>
          <w:tab w:val="left" w:pos="1403"/>
        </w:tabs>
        <w:spacing w:line="360" w:lineRule="auto"/>
        <w:ind w:right="457" w:firstLine="536"/>
        <w:jc w:val="left"/>
        <w:rPr>
          <w:rFonts w:hint="eastAsia" w:ascii="宋体" w:hAnsi="宋体" w:cs="宋体"/>
          <w:sz w:val="28"/>
          <w:szCs w:val="28"/>
        </w:rPr>
      </w:pPr>
      <w:r>
        <w:rPr>
          <w:rFonts w:hint="eastAsia" w:ascii="宋体" w:hAnsi="宋体" w:cs="宋体"/>
          <w:spacing w:val="-6"/>
          <w:sz w:val="28"/>
          <w:szCs w:val="28"/>
        </w:rPr>
        <w:t>（2）支距杆、轨距杆绝缘材料质量较差，依靠拧紧螺母来调整和固定</w:t>
      </w:r>
      <w:r>
        <w:rPr>
          <w:rFonts w:hint="eastAsia" w:ascii="宋体" w:hAnsi="宋体" w:cs="宋体"/>
          <w:spacing w:val="-3"/>
          <w:sz w:val="28"/>
          <w:szCs w:val="28"/>
        </w:rPr>
        <w:t>轨距，造成粘接式轨距杆绝缘拉出，支距杆绝缘破损。</w:t>
      </w:r>
    </w:p>
    <w:p>
      <w:pPr>
        <w:pStyle w:val="121"/>
        <w:tabs>
          <w:tab w:val="left" w:pos="1403"/>
        </w:tabs>
        <w:spacing w:line="360" w:lineRule="auto"/>
        <w:ind w:right="454" w:firstLine="536"/>
        <w:rPr>
          <w:rFonts w:hint="eastAsia" w:ascii="宋体" w:hAnsi="宋体" w:cs="宋体"/>
          <w:sz w:val="28"/>
          <w:szCs w:val="28"/>
        </w:rPr>
      </w:pPr>
      <w:r>
        <w:rPr>
          <w:rFonts w:hint="eastAsia" w:ascii="宋体" w:hAnsi="宋体" w:cs="宋体"/>
          <w:spacing w:val="-6"/>
          <w:sz w:val="28"/>
          <w:szCs w:val="28"/>
        </w:rPr>
        <w:t>（3）</w:t>
      </w:r>
      <w:r>
        <w:rPr>
          <w:rFonts w:hint="eastAsia" w:ascii="宋体" w:hAnsi="宋体" w:cs="宋体"/>
          <w:color w:val="C00000"/>
          <w:spacing w:val="-6"/>
          <w:sz w:val="28"/>
          <w:szCs w:val="28"/>
        </w:rPr>
        <w:t>普通绝缘轨距杆性能差，绝缘部分易损坏，电务采用的尼龙绝缘</w:t>
      </w:r>
      <w:r>
        <w:rPr>
          <w:rFonts w:hint="eastAsia" w:ascii="宋体" w:hAnsi="宋体" w:cs="宋体"/>
          <w:color w:val="C00000"/>
          <w:spacing w:val="-16"/>
          <w:sz w:val="28"/>
          <w:szCs w:val="28"/>
        </w:rPr>
        <w:t>性能差，夏天不耐高温，冬天发脆易碎，高强度绝缘断面稍高出轨面就被撞</w:t>
      </w:r>
      <w:r>
        <w:rPr>
          <w:rFonts w:hint="eastAsia" w:ascii="宋体" w:hAnsi="宋体" w:cs="宋体"/>
          <w:color w:val="C00000"/>
          <w:spacing w:val="-3"/>
          <w:sz w:val="28"/>
          <w:szCs w:val="28"/>
        </w:rPr>
        <w:t>碎，螺栓绝缘</w:t>
      </w:r>
      <w:r>
        <w:rPr>
          <w:rFonts w:hint="eastAsia" w:ascii="宋体" w:hAnsi="宋体" w:cs="宋体"/>
          <w:color w:val="C00000"/>
          <w:spacing w:val="-3"/>
          <w:sz w:val="28"/>
          <w:szCs w:val="28"/>
          <w:lang w:eastAsia="zh-CN"/>
        </w:rPr>
        <w:t>导管</w:t>
      </w:r>
      <w:r>
        <w:rPr>
          <w:rFonts w:hint="eastAsia" w:ascii="宋体" w:hAnsi="宋体" w:cs="宋体"/>
          <w:color w:val="C00000"/>
          <w:spacing w:val="-3"/>
          <w:sz w:val="28"/>
          <w:szCs w:val="28"/>
        </w:rPr>
        <w:t>失效严重，绝缘老化</w:t>
      </w:r>
      <w:r>
        <w:rPr>
          <w:rFonts w:hint="eastAsia" w:ascii="宋体" w:hAnsi="宋体" w:cs="宋体"/>
          <w:spacing w:val="-3"/>
          <w:sz w:val="28"/>
          <w:szCs w:val="28"/>
        </w:rPr>
        <w:t>。</w:t>
      </w:r>
    </w:p>
    <w:p>
      <w:pPr>
        <w:pStyle w:val="121"/>
        <w:tabs>
          <w:tab w:val="left" w:pos="1403"/>
        </w:tabs>
        <w:spacing w:line="360" w:lineRule="auto"/>
        <w:ind w:right="452" w:firstLine="540"/>
        <w:rPr>
          <w:rFonts w:hint="eastAsia" w:ascii="宋体" w:hAnsi="宋体" w:cs="宋体"/>
          <w:sz w:val="28"/>
          <w:szCs w:val="28"/>
        </w:rPr>
      </w:pPr>
      <w:r>
        <w:rPr>
          <w:rFonts w:hint="eastAsia" w:ascii="宋体" w:hAnsi="宋体" w:cs="宋体"/>
          <w:spacing w:val="-5"/>
          <w:sz w:val="28"/>
          <w:szCs w:val="28"/>
        </w:rPr>
        <w:t>（4）</w:t>
      </w:r>
      <w:r>
        <w:rPr>
          <w:rFonts w:hint="eastAsia" w:ascii="宋体" w:hAnsi="宋体" w:cs="宋体"/>
          <w:color w:val="C00000"/>
          <w:spacing w:val="-5"/>
          <w:sz w:val="28"/>
          <w:szCs w:val="28"/>
        </w:rPr>
        <w:t>道岔尖轨与基本轨爬行，使安装装置绝缘拉碎和单向磨损，</w:t>
      </w:r>
      <w:r>
        <w:rPr>
          <w:rFonts w:hint="eastAsia" w:ascii="宋体" w:hAnsi="宋体" w:cs="宋体"/>
          <w:color w:val="C00000"/>
          <w:spacing w:val="-15"/>
          <w:sz w:val="28"/>
          <w:szCs w:val="28"/>
        </w:rPr>
        <w:t>造成中心滑床板窜动与道岔角钢</w:t>
      </w:r>
      <w:r>
        <w:rPr>
          <w:rFonts w:hint="eastAsia" w:ascii="宋体" w:hAnsi="宋体" w:cs="宋体"/>
          <w:color w:val="C00000"/>
          <w:sz w:val="28"/>
          <w:szCs w:val="28"/>
        </w:rPr>
        <w:t>连接杆相碰造成短路，道岔连接杆开口销顶部与钢轨底部相碰造成短路</w:t>
      </w:r>
      <w:r>
        <w:rPr>
          <w:rFonts w:hint="eastAsia" w:ascii="宋体" w:hAnsi="宋体" w:cs="宋体"/>
          <w:sz w:val="28"/>
          <w:szCs w:val="28"/>
        </w:rPr>
        <w:t>。</w:t>
      </w:r>
    </w:p>
    <w:p>
      <w:pPr>
        <w:pStyle w:val="121"/>
        <w:tabs>
          <w:tab w:val="left" w:pos="1400"/>
        </w:tabs>
        <w:spacing w:line="360" w:lineRule="auto"/>
        <w:ind w:right="454" w:firstLine="532"/>
        <w:rPr>
          <w:rFonts w:hint="eastAsia" w:ascii="宋体" w:hAnsi="宋体" w:cs="宋体"/>
          <w:sz w:val="28"/>
          <w:szCs w:val="28"/>
        </w:rPr>
      </w:pPr>
      <w:r>
        <w:rPr>
          <w:rFonts w:hint="eastAsia" w:ascii="宋体" w:hAnsi="宋体" w:cs="宋体"/>
          <w:spacing w:val="-7"/>
          <w:sz w:val="28"/>
          <w:szCs w:val="28"/>
        </w:rPr>
        <w:t>（5）各部门在轨道电路区段整治，施工中的撬棍、铁板、铁丝、机具</w:t>
      </w:r>
      <w:r>
        <w:rPr>
          <w:rFonts w:hint="eastAsia" w:ascii="宋体" w:hAnsi="宋体" w:cs="宋体"/>
          <w:spacing w:val="-13"/>
          <w:sz w:val="28"/>
          <w:szCs w:val="28"/>
        </w:rPr>
        <w:t>以及在站场内检破烂者拉的废旧铁丝、易拉罐等拉动和稍不注意，就会造成</w:t>
      </w:r>
      <w:r>
        <w:rPr>
          <w:rFonts w:hint="eastAsia" w:ascii="宋体" w:hAnsi="宋体" w:cs="宋体"/>
          <w:spacing w:val="-14"/>
          <w:sz w:val="28"/>
          <w:szCs w:val="28"/>
        </w:rPr>
        <w:t>瞬间“红光带”，使信号关闭，甚至造成机车冒进信号。</w:t>
      </w:r>
    </w:p>
    <w:p>
      <w:pPr>
        <w:pStyle w:val="121"/>
        <w:tabs>
          <w:tab w:val="left" w:pos="1403"/>
        </w:tabs>
        <w:spacing w:line="360" w:lineRule="auto"/>
        <w:ind w:right="452" w:firstLine="500"/>
        <w:rPr>
          <w:rFonts w:hint="eastAsia" w:ascii="宋体" w:hAnsi="宋体" w:cs="宋体"/>
          <w:spacing w:val="-15"/>
          <w:sz w:val="28"/>
          <w:szCs w:val="28"/>
        </w:rPr>
      </w:pPr>
      <w:r>
        <w:rPr>
          <w:rFonts w:hint="eastAsia" w:ascii="宋体" w:hAnsi="宋体" w:cs="宋体"/>
          <w:spacing w:val="-15"/>
          <w:sz w:val="28"/>
          <w:szCs w:val="28"/>
        </w:rPr>
        <w:t>（6）设备被盗及“自然灾害”。</w:t>
      </w:r>
    </w:p>
    <w:p>
      <w:pPr>
        <w:pStyle w:val="121"/>
        <w:tabs>
          <w:tab w:val="left" w:pos="1403"/>
        </w:tabs>
        <w:spacing w:line="360" w:lineRule="auto"/>
        <w:ind w:right="452" w:firstLine="500"/>
        <w:rPr>
          <w:rFonts w:hint="eastAsia" w:ascii="宋体" w:hAnsi="宋体" w:cs="宋体"/>
          <w:spacing w:val="-15"/>
          <w:sz w:val="28"/>
          <w:szCs w:val="28"/>
        </w:rPr>
      </w:pPr>
      <w:r>
        <w:rPr>
          <w:rFonts w:hint="eastAsia" w:ascii="宋体" w:hAnsi="宋体" w:cs="宋体"/>
          <w:spacing w:val="-15"/>
          <w:sz w:val="28"/>
          <w:szCs w:val="28"/>
        </w:rPr>
        <w:t>（7）列车重载、提速、双机牵引，原设计扼流变压器容量不够，造成轨道电路熔断器熔断，电缆、扼流变压器烧坏，箱盒引接线烧断。</w:t>
      </w:r>
    </w:p>
    <w:p>
      <w:pPr>
        <w:pStyle w:val="4"/>
        <w:tabs>
          <w:tab w:val="left" w:pos="1540"/>
          <w:tab w:val="left" w:pos="1541"/>
        </w:tabs>
        <w:spacing w:before="0" w:after="0" w:line="421" w:lineRule="exact"/>
        <w:jc w:val="left"/>
        <w:rPr>
          <w:rFonts w:hint="eastAsia" w:ascii="宋体" w:hAnsi="宋体" w:eastAsia="宋体" w:cs="宋体"/>
          <w:sz w:val="28"/>
          <w:szCs w:val="28"/>
        </w:rPr>
      </w:pPr>
      <w:bookmarkStart w:id="99" w:name="_bookmark71"/>
      <w:bookmarkEnd w:id="99"/>
      <w:bookmarkStart w:id="100" w:name="_Toc4507"/>
      <w:r>
        <w:rPr>
          <w:rFonts w:hint="eastAsia" w:ascii="宋体" w:hAnsi="宋体" w:eastAsia="宋体" w:cs="宋体"/>
          <w:sz w:val="28"/>
          <w:szCs w:val="28"/>
        </w:rPr>
        <w:t>3.2.6防雷、防静电</w:t>
      </w:r>
      <w:bookmarkEnd w:id="100"/>
    </w:p>
    <w:p>
      <w:pPr>
        <w:pStyle w:val="16"/>
        <w:spacing w:before="122" w:line="364" w:lineRule="auto"/>
        <w:ind w:right="449" w:firstLine="55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pacing w:val="-6"/>
          <w:sz w:val="28"/>
          <w:szCs w:val="28"/>
        </w:rPr>
        <w:t>、由于二甲苯在输油管道内流动，会导致静电产生，如静电接地系统</w:t>
      </w:r>
      <w:r>
        <w:rPr>
          <w:rFonts w:hint="eastAsia" w:ascii="宋体" w:hAnsi="宋体" w:eastAsia="宋体" w:cs="宋体"/>
          <w:spacing w:val="-15"/>
          <w:sz w:val="28"/>
          <w:szCs w:val="28"/>
        </w:rPr>
        <w:t>失效，当积聚的静电达到足够的放电能量放电时，遇泄漏的油品或蒸汽可能</w:t>
      </w:r>
      <w:r>
        <w:rPr>
          <w:rFonts w:hint="eastAsia" w:ascii="宋体" w:hAnsi="宋体" w:eastAsia="宋体" w:cs="宋体"/>
          <w:spacing w:val="-3"/>
          <w:sz w:val="28"/>
          <w:szCs w:val="28"/>
        </w:rPr>
        <w:t>引发火灾、爆炸事故。</w:t>
      </w:r>
    </w:p>
    <w:p>
      <w:pPr>
        <w:pStyle w:val="16"/>
        <w:spacing w:line="364" w:lineRule="auto"/>
        <w:ind w:right="318" w:firstLine="559"/>
        <w:rPr>
          <w:rFonts w:hint="eastAsia" w:ascii="宋体" w:hAnsi="宋体" w:eastAsia="宋体" w:cs="宋体"/>
          <w:sz w:val="28"/>
          <w:szCs w:val="28"/>
        </w:rPr>
      </w:pPr>
      <w:r>
        <w:rPr>
          <w:rFonts w:hint="eastAsia" w:ascii="宋体" w:hAnsi="宋体" w:eastAsia="宋体" w:cs="宋体"/>
          <w:sz w:val="28"/>
          <w:szCs w:val="28"/>
        </w:rPr>
        <w:t>2、接地装置松动或锈蚀而接触不良，可引起静电大量积聚以及放电， 当出现物料泄漏、物料溢出等情况异常情况下，易发生火灾。</w:t>
      </w:r>
    </w:p>
    <w:p>
      <w:pPr>
        <w:pStyle w:val="16"/>
        <w:spacing w:line="364" w:lineRule="auto"/>
        <w:ind w:right="453" w:firstLine="559"/>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pacing w:val="-20"/>
          <w:sz w:val="28"/>
          <w:szCs w:val="28"/>
        </w:rPr>
        <w:t xml:space="preserve">、在雷雨天，如设备管道、栈桥及缓冲罐遇雷击，加之防雷措施失效， </w:t>
      </w:r>
      <w:r>
        <w:rPr>
          <w:rFonts w:hint="eastAsia" w:ascii="宋体" w:hAnsi="宋体" w:eastAsia="宋体" w:cs="宋体"/>
          <w:spacing w:val="-9"/>
          <w:sz w:val="28"/>
          <w:szCs w:val="28"/>
        </w:rPr>
        <w:t>可能引起火灾、爆炸事故。</w:t>
      </w:r>
    </w:p>
    <w:p>
      <w:pPr>
        <w:pStyle w:val="16"/>
        <w:spacing w:before="60" w:line="364" w:lineRule="auto"/>
        <w:ind w:right="403" w:firstLine="559"/>
        <w:rPr>
          <w:rFonts w:hint="eastAsia" w:ascii="宋体" w:hAnsi="宋体" w:eastAsia="宋体" w:cs="宋体"/>
          <w:sz w:val="28"/>
          <w:szCs w:val="28"/>
        </w:rPr>
      </w:pPr>
      <w:r>
        <w:rPr>
          <w:rFonts w:hint="eastAsia" w:ascii="宋体" w:hAnsi="宋体" w:eastAsia="宋体" w:cs="宋体"/>
          <w:sz w:val="28"/>
          <w:szCs w:val="28"/>
        </w:rPr>
        <w:t>4、若罐车的防静电接地线不牢靠，可能造成大量的静电积聚放电，产生电火花，若遇可燃性混合气体，会引起燃烧、爆炸。</w:t>
      </w:r>
    </w:p>
    <w:p>
      <w:pPr>
        <w:pStyle w:val="16"/>
        <w:spacing w:line="364" w:lineRule="auto"/>
        <w:ind w:right="319" w:firstLine="559"/>
        <w:rPr>
          <w:rFonts w:hint="eastAsia" w:ascii="宋体" w:hAnsi="宋体" w:eastAsia="宋体" w:cs="宋体"/>
          <w:sz w:val="28"/>
          <w:szCs w:val="28"/>
        </w:rPr>
      </w:pPr>
      <w:r>
        <w:rPr>
          <w:rFonts w:hint="eastAsia" w:ascii="宋体" w:hAnsi="宋体" w:eastAsia="宋体" w:cs="宋体"/>
          <w:spacing w:val="3"/>
          <w:sz w:val="28"/>
          <w:szCs w:val="28"/>
        </w:rPr>
        <w:t>5</w:t>
      </w:r>
      <w:r>
        <w:rPr>
          <w:rFonts w:hint="eastAsia" w:ascii="宋体" w:hAnsi="宋体" w:eastAsia="宋体" w:cs="宋体"/>
          <w:sz w:val="28"/>
          <w:szCs w:val="28"/>
        </w:rPr>
        <w:t xml:space="preserve">、若专用线未设置轨道连通接地，卸车作业时可能造成轨道电位差， </w:t>
      </w:r>
      <w:r>
        <w:rPr>
          <w:rFonts w:hint="eastAsia" w:ascii="宋体" w:hAnsi="宋体" w:eastAsia="宋体" w:cs="宋体"/>
          <w:spacing w:val="-14"/>
          <w:sz w:val="28"/>
          <w:szCs w:val="28"/>
        </w:rPr>
        <w:t>产生放电火花，若遇易燃物料及其蒸汽达到爆炸极限，可能引发燃烧、爆炸事故。</w:t>
      </w:r>
    </w:p>
    <w:p>
      <w:pPr>
        <w:pStyle w:val="3"/>
        <w:tabs>
          <w:tab w:val="left" w:pos="2622"/>
          <w:tab w:val="left" w:pos="2623"/>
        </w:tabs>
        <w:spacing w:line="360" w:lineRule="auto"/>
        <w:jc w:val="left"/>
        <w:rPr>
          <w:rFonts w:hint="eastAsia" w:hAnsi="黑体" w:cs="黑体"/>
          <w:bCs/>
          <w:kern w:val="2"/>
        </w:rPr>
      </w:pPr>
      <w:bookmarkStart w:id="101" w:name="_Toc26417"/>
      <w:r>
        <w:rPr>
          <w:rFonts w:hint="eastAsia" w:hAnsi="黑体" w:cs="黑体"/>
          <w:bCs/>
          <w:kern w:val="2"/>
        </w:rPr>
        <w:t>3.3安全管理方面的危险有害因素辨识</w:t>
      </w:r>
      <w:bookmarkEnd w:id="101"/>
    </w:p>
    <w:p>
      <w:pPr>
        <w:pStyle w:val="4"/>
        <w:spacing w:before="0" w:after="0" w:line="360" w:lineRule="auto"/>
        <w:rPr>
          <w:rFonts w:hint="eastAsia" w:ascii="宋体" w:hAnsi="宋体" w:eastAsia="宋体" w:cs="宋体"/>
          <w:sz w:val="28"/>
          <w:szCs w:val="28"/>
        </w:rPr>
      </w:pPr>
      <w:bookmarkStart w:id="102" w:name="_Toc7779"/>
      <w:bookmarkStart w:id="103" w:name="_Toc17345"/>
      <w:bookmarkStart w:id="104" w:name="_Toc25474"/>
      <w:bookmarkStart w:id="105" w:name="_Toc170284694"/>
      <w:r>
        <w:rPr>
          <w:rFonts w:hint="eastAsia" w:ascii="宋体" w:hAnsi="宋体" w:eastAsia="宋体" w:cs="宋体"/>
          <w:sz w:val="28"/>
          <w:szCs w:val="28"/>
        </w:rPr>
        <w:t>3.3.1人的不安全行为及其他影响</w:t>
      </w:r>
      <w:bookmarkEnd w:id="102"/>
      <w:bookmarkEnd w:id="103"/>
      <w:bookmarkEnd w:id="104"/>
    </w:p>
    <w:p>
      <w:pPr>
        <w:spacing w:line="360" w:lineRule="auto"/>
        <w:ind w:firstLine="560" w:firstLineChars="200"/>
        <w:rPr>
          <w:rFonts w:hint="eastAsia" w:ascii="宋体" w:hAnsi="宋体" w:cs="宋体"/>
          <w:sz w:val="28"/>
          <w:szCs w:val="28"/>
        </w:rPr>
      </w:pPr>
      <w:r>
        <w:rPr>
          <w:rFonts w:hint="eastAsia" w:ascii="宋体" w:hAnsi="宋体" w:cs="宋体"/>
          <w:sz w:val="28"/>
          <w:szCs w:val="28"/>
        </w:rPr>
        <w:t>在人、物和环境产生的不安全因素中，人的因素是最重要的。行为性危险因素主要是分析人在生产中由于操作原因而产生的事故。大量的统计数字表明，90%的事故中，人为过失占主要原因。</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人的不安全因素主要表现在思想意识方面，技术方面和心理或生理方面。缺乏牢固的“安全第一”的意识，或因长期在简单重复的劳动中产生的麻痹思想，而导致违反操作规程和安全管理制度；知识不够，技术不熟练，缺乏处理异常现象的经验；过度疲劳或带病上岗；情绪波动和逆反心理违反劳动纪律等。</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物的不安全状态主要表现在防护、保险、信号等装置缺乏或有缺陷，危险环境下作业，设备、设施、工具、附件有缺陷，操作工序设计或配置不安全等。</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同时，管理方面的技术培训不够、违章指挥、监管不严或失误、职业禁忌往往也是造成事故的原因。较常见的现象是抢任务、赶时间，有章不守，忽略不安全因素而违章指挥作业，导致事故发生。</w:t>
      </w:r>
    </w:p>
    <w:p>
      <w:pPr>
        <w:pStyle w:val="4"/>
        <w:spacing w:before="0" w:after="0" w:line="360" w:lineRule="auto"/>
        <w:rPr>
          <w:rFonts w:hint="eastAsia" w:ascii="宋体" w:hAnsi="宋体" w:eastAsia="宋体" w:cs="宋体"/>
          <w:sz w:val="28"/>
          <w:szCs w:val="28"/>
        </w:rPr>
      </w:pPr>
      <w:bookmarkStart w:id="106" w:name="_Toc26948"/>
      <w:bookmarkStart w:id="107" w:name="_Toc514"/>
      <w:bookmarkStart w:id="108" w:name="_Toc477900040"/>
      <w:bookmarkStart w:id="109" w:name="_Toc429731006"/>
      <w:bookmarkStart w:id="110" w:name="_Toc25352"/>
      <w:r>
        <w:rPr>
          <w:rFonts w:hint="eastAsia" w:ascii="宋体" w:hAnsi="宋体" w:eastAsia="宋体" w:cs="宋体"/>
          <w:sz w:val="28"/>
          <w:szCs w:val="28"/>
        </w:rPr>
        <w:t>3.3.2安全生产管理危险有害因素分析</w:t>
      </w:r>
      <w:bookmarkEnd w:id="106"/>
      <w:bookmarkEnd w:id="107"/>
      <w:bookmarkEnd w:id="108"/>
      <w:bookmarkEnd w:id="109"/>
      <w:bookmarkEnd w:id="110"/>
    </w:p>
    <w:p>
      <w:pPr>
        <w:spacing w:line="360" w:lineRule="auto"/>
        <w:ind w:firstLine="560" w:firstLineChars="200"/>
        <w:rPr>
          <w:rFonts w:hint="eastAsia" w:ascii="宋体" w:hAnsi="宋体" w:cs="宋体"/>
          <w:sz w:val="28"/>
          <w:szCs w:val="28"/>
        </w:rPr>
      </w:pPr>
      <w:r>
        <w:rPr>
          <w:rFonts w:hint="eastAsia" w:ascii="宋体" w:hAnsi="宋体" w:cs="宋体"/>
          <w:sz w:val="28"/>
          <w:szCs w:val="28"/>
        </w:rPr>
        <w:t>重点企业设置安全生产管理机构或落实专职安全管理人员，其他企业设立兼职安全管理人员，建立健全安全生产管理制度是企业安全发展的基本保证。</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（1）若企业安全生产管理机构不健全，未设置专职或兼职安全管理人员，造成安全生产管理漏洞，安全无人管理，安全管理不善而酿成事故。</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2）铁路专用线如果不依据相关铁路安全运输法律、法规、标准、规范建立、健全的货物受理、承运、装卸、存放保管、消防、防护的管理和作业制度，建立各岗位的作业程序、货运流程质量控制制度容易发生铁路专用线运输管理不当，严重时造成人员伤亡和车辆损毁等事故。</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（3）专用线运行单位和专用线使用单位之间未建立各部门之间的协调制度和协调人制度，可能引起管理及运行混乱，引发事故。</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（4）特种设备作业人员（包括操作、维修、管理人员）若未进行培训、考核、持证，容易产生由于人为原因而造成的各种安全事故。</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（5）消防应急物资配备不到位、保养不到位、使用培训不到位，都可能导致事故不能第一时间处置，引发大的事故。</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（6）操作人员忽视规章制度，违章作业。</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① 不熟悉操作规程或不按操作规程作业。</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② 在缺乏联络的情况下擅自操作。</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③ 交接班情况了解不清或操作记录不明，使作业人员错误操作。</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④ 对生产现场的设备、设施及工艺流程不熟悉，选错需要操纵的开关或阀门引起事故。</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⑤ 工作人员未按规定路线进行巡回检查，未能发现异常情况而发生事故。</w:t>
      </w:r>
    </w:p>
    <w:p>
      <w:pPr>
        <w:spacing w:line="360" w:lineRule="auto"/>
        <w:ind w:firstLine="560" w:firstLineChars="200"/>
        <w:rPr>
          <w:sz w:val="28"/>
          <w:szCs w:val="28"/>
        </w:rPr>
      </w:pPr>
      <w:r>
        <w:rPr>
          <w:rFonts w:hint="eastAsia" w:ascii="宋体" w:hAnsi="宋体" w:cs="宋体"/>
          <w:sz w:val="28"/>
          <w:szCs w:val="28"/>
        </w:rPr>
        <w:t>⑥ 生产管理人员不按规程违章指挥引起事故。</w:t>
      </w:r>
    </w:p>
    <w:bookmarkEnd w:id="105"/>
    <w:p>
      <w:pPr>
        <w:pStyle w:val="4"/>
        <w:spacing w:before="0" w:after="0" w:line="360" w:lineRule="auto"/>
        <w:rPr>
          <w:rFonts w:hint="eastAsia" w:ascii="黑体" w:hAnsi="黑体" w:cs="黑体"/>
          <w:sz w:val="28"/>
          <w:szCs w:val="28"/>
        </w:rPr>
      </w:pPr>
      <w:bookmarkStart w:id="111" w:name="_Toc176066681"/>
      <w:bookmarkStart w:id="112" w:name="_Toc21006"/>
      <w:bookmarkStart w:id="113" w:name="_Toc438205861"/>
      <w:r>
        <w:rPr>
          <w:rFonts w:hint="eastAsia" w:ascii="黑体" w:hAnsi="黑体" w:cs="黑体"/>
          <w:sz w:val="28"/>
          <w:szCs w:val="28"/>
        </w:rPr>
        <w:t>3.4 重大危险源辨识</w:t>
      </w:r>
      <w:bookmarkEnd w:id="111"/>
      <w:bookmarkEnd w:id="112"/>
      <w:bookmarkEnd w:id="113"/>
    </w:p>
    <w:bookmarkEnd w:id="46"/>
    <w:p>
      <w:pPr>
        <w:pStyle w:val="16"/>
        <w:spacing w:before="135"/>
        <w:ind w:firstLine="560" w:firstLineChars="200"/>
        <w:rPr>
          <w:rFonts w:hint="eastAsia" w:ascii="宋体" w:hAnsi="宋体" w:eastAsia="宋体" w:cs="宋体"/>
          <w:sz w:val="28"/>
          <w:szCs w:val="28"/>
        </w:rPr>
      </w:pPr>
      <w:r>
        <w:rPr>
          <w:rFonts w:hint="eastAsia" w:ascii="宋体" w:hAnsi="宋体" w:eastAsia="宋体" w:cs="宋体"/>
          <w:sz w:val="28"/>
          <w:szCs w:val="28"/>
        </w:rPr>
        <w:t>依据《危险化学品重大危险源辨识》（GB18218-2009）进行辨识。</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1、定义</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重大危险源是长期地或者临时地生产、加工、使用或者储存危险物品， 且危险物品的数量等于或者超过临界量的单元（包括场所和设施）。这类单元中的物质具有导致火灾、爆炸或中毒的危险，发生重大火灾、爆炸或毒物泄漏事故，给现场人员或公众带来严重危害，对财产造成重大损失，对环境造成严重污染。</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2、重大危险源辨识方法</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单元内存在的危险物质为单一品种，则该物质的数量即为单元 内危险物质的总量，若等于或超过相应的临界量，则定为重大危险源；</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单元内存在的危险物质为多品种时，则按下式计算，若满足则 定为重大危险源；</w:t>
      </w:r>
    </w:p>
    <w:p>
      <w:pPr>
        <w:pStyle w:val="16"/>
        <w:spacing w:line="316" w:lineRule="exact"/>
        <w:ind w:left="240" w:right="1"/>
        <w:jc w:val="center"/>
        <w:rPr>
          <w:rFonts w:ascii="Times New Roman"/>
        </w:rPr>
      </w:pPr>
      <w:r>
        <w:rPr>
          <w:rFonts w:ascii="Times New Roman"/>
        </w:rPr>
        <w:t>q</w:t>
      </w:r>
      <w:r>
        <w:rPr>
          <w:rFonts w:ascii="Times New Roman"/>
          <w:vertAlign w:val="subscript"/>
        </w:rPr>
        <w:t>1</w:t>
      </w:r>
      <w:r>
        <w:rPr>
          <w:rFonts w:ascii="Times New Roman"/>
        </w:rPr>
        <w:t>/Q</w:t>
      </w:r>
      <w:r>
        <w:rPr>
          <w:rFonts w:ascii="Times New Roman"/>
          <w:vertAlign w:val="subscript"/>
        </w:rPr>
        <w:t>1</w:t>
      </w:r>
      <w:r>
        <w:rPr>
          <w:rFonts w:ascii="Times New Roman"/>
        </w:rPr>
        <w:t>+q</w:t>
      </w:r>
      <w:r>
        <w:rPr>
          <w:rFonts w:ascii="Times New Roman"/>
          <w:vertAlign w:val="subscript"/>
        </w:rPr>
        <w:t>2</w:t>
      </w:r>
      <w:r>
        <w:rPr>
          <w:rFonts w:ascii="Times New Roman"/>
        </w:rPr>
        <w:t>/Q</w:t>
      </w:r>
      <w:r>
        <w:rPr>
          <w:rFonts w:ascii="Times New Roman"/>
          <w:vertAlign w:val="subscript"/>
        </w:rPr>
        <w:t>2</w:t>
      </w:r>
      <w:r>
        <w:rPr>
          <w:rFonts w:ascii="Times New Roman"/>
        </w:rPr>
        <w:t>+……q</w:t>
      </w:r>
      <w:r>
        <w:rPr>
          <w:rFonts w:ascii="Times New Roman"/>
          <w:vertAlign w:val="subscript"/>
        </w:rPr>
        <w:t>n</w:t>
      </w:r>
      <w:r>
        <w:rPr>
          <w:rFonts w:ascii="Times New Roman"/>
        </w:rPr>
        <w:t>/Q</w:t>
      </w:r>
      <w:r>
        <w:rPr>
          <w:rFonts w:ascii="Times New Roman"/>
          <w:vertAlign w:val="subscript"/>
        </w:rPr>
        <w:t>n</w:t>
      </w:r>
      <w:r>
        <w:rPr>
          <w:rFonts w:ascii="Times New Roman"/>
        </w:rPr>
        <w:t>≥1</w:t>
      </w:r>
    </w:p>
    <w:p>
      <w:pPr>
        <w:pStyle w:val="16"/>
        <w:spacing w:before="166" w:line="364" w:lineRule="auto"/>
        <w:ind w:left="1535" w:right="2269" w:hanging="838"/>
        <w:rPr>
          <w:rFonts w:hint="eastAsia" w:ascii="宋体" w:hAnsi="宋体" w:eastAsia="宋体" w:cs="宋体"/>
          <w:sz w:val="28"/>
          <w:szCs w:val="28"/>
        </w:rPr>
      </w:pPr>
      <w:r>
        <w:t>式中：</w:t>
      </w:r>
      <w:r>
        <w:rPr>
          <w:rFonts w:ascii="Times New Roman" w:eastAsia="Times New Roman"/>
        </w:rPr>
        <w:t>q</w:t>
      </w:r>
      <w:r>
        <w:rPr>
          <w:rFonts w:ascii="Times New Roman" w:eastAsia="Times New Roman"/>
          <w:vertAlign w:val="subscript"/>
        </w:rPr>
        <w:t>1</w:t>
      </w:r>
      <w:r>
        <w:t>，</w:t>
      </w:r>
      <w:r>
        <w:rPr>
          <w:rFonts w:ascii="Times New Roman" w:eastAsia="Times New Roman"/>
        </w:rPr>
        <w:t>q</w:t>
      </w:r>
      <w:r>
        <w:rPr>
          <w:rFonts w:ascii="Times New Roman" w:eastAsia="Times New Roman"/>
          <w:vertAlign w:val="subscript"/>
        </w:rPr>
        <w:t>2</w:t>
      </w:r>
      <w:r>
        <w:t xml:space="preserve">， </w:t>
      </w:r>
      <w:r>
        <w:rPr>
          <w:rFonts w:ascii="Times New Roman" w:eastAsia="Times New Roman"/>
        </w:rPr>
        <w:t>……q</w:t>
      </w:r>
      <w:r>
        <w:rPr>
          <w:rFonts w:ascii="Times New Roman" w:eastAsia="Times New Roman"/>
          <w:vertAlign w:val="subscript"/>
        </w:rPr>
        <w:t>n</w:t>
      </w:r>
      <w:r>
        <w:rPr>
          <w:rFonts w:ascii="Times New Roman" w:eastAsia="Times New Roman"/>
        </w:rPr>
        <w:t>--</w:t>
      </w:r>
      <w:r>
        <w:t>每</w:t>
      </w:r>
      <w:r>
        <w:rPr>
          <w:rFonts w:hint="eastAsia" w:ascii="宋体" w:hAnsi="宋体" w:eastAsia="宋体" w:cs="宋体"/>
          <w:sz w:val="28"/>
          <w:szCs w:val="28"/>
        </w:rPr>
        <w:t>种危险物质实际存在量t； Q</w:t>
      </w:r>
      <w:r>
        <w:rPr>
          <w:rFonts w:hint="eastAsia" w:ascii="宋体" w:hAnsi="宋体" w:eastAsia="宋体" w:cs="宋体"/>
          <w:sz w:val="28"/>
          <w:szCs w:val="28"/>
          <w:vertAlign w:val="subscript"/>
        </w:rPr>
        <w:t>1</w:t>
      </w:r>
      <w:r>
        <w:rPr>
          <w:rFonts w:hint="eastAsia" w:ascii="宋体" w:hAnsi="宋体" w:eastAsia="宋体" w:cs="宋体"/>
          <w:sz w:val="28"/>
          <w:szCs w:val="28"/>
        </w:rPr>
        <w:t>，Q</w:t>
      </w:r>
      <w:r>
        <w:rPr>
          <w:rFonts w:hint="eastAsia" w:ascii="宋体" w:hAnsi="宋体" w:eastAsia="宋体" w:cs="宋体"/>
          <w:sz w:val="28"/>
          <w:szCs w:val="28"/>
          <w:vertAlign w:val="subscript"/>
        </w:rPr>
        <w:t>2</w:t>
      </w:r>
      <w:r>
        <w:rPr>
          <w:rFonts w:hint="eastAsia" w:ascii="宋体" w:hAnsi="宋体" w:eastAsia="宋体" w:cs="宋体"/>
          <w:sz w:val="28"/>
          <w:szCs w:val="28"/>
        </w:rPr>
        <w:t>， ……Q</w:t>
      </w:r>
      <w:r>
        <w:rPr>
          <w:rFonts w:hint="eastAsia" w:ascii="宋体" w:hAnsi="宋体" w:eastAsia="宋体" w:cs="宋体"/>
          <w:sz w:val="28"/>
          <w:szCs w:val="28"/>
          <w:vertAlign w:val="subscript"/>
        </w:rPr>
        <w:t>n</w:t>
      </w:r>
      <w:r>
        <w:rPr>
          <w:rFonts w:hint="eastAsia" w:ascii="宋体" w:hAnsi="宋体" w:eastAsia="宋体" w:cs="宋体"/>
          <w:sz w:val="28"/>
          <w:szCs w:val="28"/>
        </w:rPr>
        <w:t>--各危险物质的临界量，t。</w:t>
      </w:r>
    </w:p>
    <w:p>
      <w:pPr>
        <w:pStyle w:val="121"/>
        <w:tabs>
          <w:tab w:val="left" w:pos="1403"/>
        </w:tabs>
        <w:spacing w:line="358" w:lineRule="exact"/>
        <w:ind w:left="420" w:leftChars="200" w:firstLine="276" w:firstLineChars="100"/>
        <w:jc w:val="left"/>
        <w:rPr>
          <w:rFonts w:hint="eastAsia" w:ascii="宋体" w:hAnsi="宋体" w:cs="宋体"/>
          <w:sz w:val="28"/>
          <w:szCs w:val="28"/>
        </w:rPr>
      </w:pPr>
      <w:r>
        <w:rPr>
          <w:rFonts w:hint="eastAsia" w:ascii="宋体" w:hAnsi="宋体" w:cs="宋体"/>
          <w:spacing w:val="-2"/>
          <w:sz w:val="28"/>
          <w:szCs w:val="28"/>
        </w:rPr>
        <w:t>（3）重大危险源辨识过程</w:t>
      </w:r>
    </w:p>
    <w:p>
      <w:pPr>
        <w:pStyle w:val="16"/>
        <w:spacing w:before="186" w:line="364" w:lineRule="auto"/>
        <w:ind w:right="452" w:firstLine="559"/>
        <w:rPr>
          <w:rFonts w:hint="eastAsia" w:ascii="宋体" w:hAnsi="宋体" w:eastAsia="宋体" w:cs="宋体"/>
          <w:spacing w:val="-2"/>
          <w:sz w:val="28"/>
          <w:szCs w:val="28"/>
        </w:rPr>
      </w:pPr>
      <w:r>
        <w:rPr>
          <w:rFonts w:hint="eastAsia" w:ascii="宋体" w:hAnsi="宋体" w:eastAsia="宋体" w:cs="宋体"/>
          <w:spacing w:val="-5"/>
          <w:sz w:val="28"/>
          <w:szCs w:val="28"/>
        </w:rPr>
        <w:t>根据《危险化学品重大危险源辨识</w:t>
      </w:r>
      <w:r>
        <w:rPr>
          <w:rFonts w:hint="eastAsia" w:ascii="宋体" w:hAnsi="宋体" w:eastAsia="宋体" w:cs="宋体"/>
          <w:spacing w:val="-164"/>
          <w:sz w:val="28"/>
          <w:szCs w:val="28"/>
        </w:rPr>
        <w:t>》</w:t>
      </w:r>
      <w:r>
        <w:rPr>
          <w:rFonts w:hint="eastAsia" w:ascii="宋体" w:hAnsi="宋体" w:eastAsia="宋体" w:cs="宋体"/>
          <w:spacing w:val="-3"/>
          <w:sz w:val="28"/>
          <w:szCs w:val="28"/>
        </w:rPr>
        <w:t>（GB18218-2009）</w:t>
      </w:r>
      <w:r>
        <w:rPr>
          <w:rFonts w:hint="eastAsia" w:ascii="宋体" w:hAnsi="宋体" w:eastAsia="宋体" w:cs="宋体"/>
          <w:spacing w:val="-7"/>
          <w:sz w:val="28"/>
          <w:szCs w:val="28"/>
        </w:rPr>
        <w:t>标准规定，本项</w:t>
      </w:r>
      <w:r>
        <w:rPr>
          <w:rFonts w:hint="eastAsia" w:ascii="宋体" w:hAnsi="宋体" w:eastAsia="宋体" w:cs="宋体"/>
          <w:spacing w:val="-24"/>
          <w:sz w:val="28"/>
          <w:szCs w:val="28"/>
        </w:rPr>
        <w:t xml:space="preserve">目涉及重大危险源物质有：对二甲苯、邻二甲苯，其临界量见表 </w:t>
      </w:r>
      <w:r>
        <w:rPr>
          <w:rFonts w:hint="eastAsia" w:ascii="宋体" w:hAnsi="宋体" w:eastAsia="宋体" w:cs="宋体"/>
          <w:sz w:val="28"/>
          <w:szCs w:val="28"/>
        </w:rPr>
        <w:t>3.</w:t>
      </w:r>
      <w:r>
        <w:rPr>
          <w:rFonts w:hint="eastAsia" w:ascii="宋体" w:hAnsi="宋体" w:eastAsia="宋体" w:cs="宋体"/>
          <w:sz w:val="28"/>
          <w:szCs w:val="28"/>
          <w:lang w:val="en-US" w:eastAsia="zh-CN"/>
        </w:rPr>
        <w:t>4</w:t>
      </w:r>
      <w:r>
        <w:rPr>
          <w:rFonts w:hint="eastAsia" w:ascii="宋体" w:hAnsi="宋体" w:eastAsia="宋体" w:cs="宋体"/>
          <w:sz w:val="28"/>
          <w:szCs w:val="28"/>
        </w:rPr>
        <w:t xml:space="preserve">-1 </w:t>
      </w:r>
      <w:r>
        <w:rPr>
          <w:rFonts w:hint="eastAsia" w:ascii="宋体" w:hAnsi="宋体" w:eastAsia="宋体" w:cs="宋体"/>
          <w:spacing w:val="-2"/>
          <w:sz w:val="28"/>
          <w:szCs w:val="28"/>
        </w:rPr>
        <w:t>所示。</w:t>
      </w:r>
    </w:p>
    <w:p>
      <w:pPr>
        <w:pStyle w:val="16"/>
        <w:spacing w:before="186" w:line="364" w:lineRule="auto"/>
        <w:ind w:right="452" w:firstLine="559"/>
        <w:rPr>
          <w:rFonts w:hint="eastAsia" w:ascii="宋体" w:hAnsi="宋体" w:eastAsia="宋体" w:cs="宋体"/>
          <w:spacing w:val="-2"/>
          <w:sz w:val="28"/>
          <w:szCs w:val="28"/>
        </w:rPr>
      </w:pPr>
    </w:p>
    <w:p>
      <w:pPr>
        <w:tabs>
          <w:tab w:val="left" w:pos="1263"/>
        </w:tabs>
        <w:spacing w:before="2"/>
        <w:ind w:left="241"/>
        <w:jc w:val="center"/>
      </w:pPr>
    </w:p>
    <w:p>
      <w:pPr>
        <w:tabs>
          <w:tab w:val="left" w:pos="1263"/>
        </w:tabs>
        <w:spacing w:before="2"/>
        <w:ind w:left="241"/>
        <w:jc w:val="center"/>
        <w:rPr>
          <w:rFonts w:hint="eastAsia"/>
          <w:b/>
          <w:bCs/>
        </w:rPr>
      </w:pPr>
    </w:p>
    <w:p>
      <w:pPr>
        <w:tabs>
          <w:tab w:val="left" w:pos="1263"/>
        </w:tabs>
        <w:spacing w:before="2"/>
        <w:ind w:left="241"/>
        <w:jc w:val="center"/>
        <w:rPr>
          <w:b/>
          <w:bCs/>
        </w:rPr>
      </w:pPr>
      <w:r>
        <w:rPr>
          <w:b/>
          <w:bCs/>
        </w:rPr>
        <w:t>表</w:t>
      </w:r>
      <w:r>
        <w:rPr>
          <w:b/>
          <w:bCs/>
          <w:spacing w:val="-27"/>
        </w:rPr>
        <w:t xml:space="preserve"> </w:t>
      </w:r>
      <w:r>
        <w:rPr>
          <w:rFonts w:eastAsia="Times New Roman"/>
          <w:b/>
          <w:bCs/>
          <w:spacing w:val="6"/>
        </w:rPr>
        <w:t>3.</w:t>
      </w:r>
      <w:r>
        <w:rPr>
          <w:rFonts w:hint="eastAsia"/>
          <w:b/>
          <w:bCs/>
          <w:spacing w:val="6"/>
        </w:rPr>
        <w:t>4</w:t>
      </w:r>
      <w:r>
        <w:rPr>
          <w:rFonts w:eastAsia="Times New Roman"/>
          <w:b/>
          <w:bCs/>
          <w:spacing w:val="6"/>
        </w:rPr>
        <w:t>-1</w:t>
      </w:r>
      <w:r>
        <w:rPr>
          <w:rFonts w:eastAsia="Times New Roman"/>
          <w:b/>
          <w:bCs/>
          <w:spacing w:val="6"/>
        </w:rPr>
        <w:tab/>
      </w:r>
      <w:r>
        <w:rPr>
          <w:b/>
          <w:bCs/>
          <w:spacing w:val="19"/>
        </w:rPr>
        <w:t>危险化学品临界量及存在量一览表</w:t>
      </w:r>
    </w:p>
    <w:p>
      <w:pPr>
        <w:pStyle w:val="16"/>
        <w:spacing w:before="9" w:after="1"/>
        <w:rPr>
          <w:sz w:val="10"/>
        </w:rPr>
      </w:pPr>
    </w:p>
    <w:tbl>
      <w:tblPr>
        <w:tblStyle w:val="54"/>
        <w:tblW w:w="8130"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470"/>
        <w:gridCol w:w="1575"/>
        <w:gridCol w:w="1980"/>
        <w:gridCol w:w="2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80" w:type="dxa"/>
            <w:vAlign w:val="top"/>
          </w:tcPr>
          <w:p>
            <w:pPr>
              <w:pStyle w:val="88"/>
              <w:spacing w:before="92"/>
              <w:ind w:right="182"/>
              <w:jc w:val="center"/>
            </w:pPr>
            <w:r>
              <w:t>序号</w:t>
            </w:r>
          </w:p>
        </w:tc>
        <w:tc>
          <w:tcPr>
            <w:tcW w:w="1470" w:type="dxa"/>
            <w:vAlign w:val="top"/>
          </w:tcPr>
          <w:p>
            <w:pPr>
              <w:pStyle w:val="88"/>
              <w:spacing w:before="92"/>
              <w:ind w:right="502"/>
              <w:jc w:val="center"/>
            </w:pPr>
            <w:r>
              <w:t>名称</w:t>
            </w:r>
          </w:p>
        </w:tc>
        <w:tc>
          <w:tcPr>
            <w:tcW w:w="1575" w:type="dxa"/>
            <w:vAlign w:val="top"/>
          </w:tcPr>
          <w:p>
            <w:pPr>
              <w:pStyle w:val="88"/>
              <w:spacing w:before="92"/>
              <w:ind w:left="387" w:right="378"/>
              <w:jc w:val="center"/>
            </w:pPr>
            <w:r>
              <w:t>临界量（</w:t>
            </w:r>
            <w:r>
              <w:rPr>
                <w:rFonts w:ascii="Times New Roman" w:eastAsia="Times New Roman"/>
              </w:rPr>
              <w:t>t</w:t>
            </w:r>
            <w:r>
              <w:t>）</w:t>
            </w:r>
          </w:p>
        </w:tc>
        <w:tc>
          <w:tcPr>
            <w:tcW w:w="1980" w:type="dxa"/>
            <w:vAlign w:val="top"/>
          </w:tcPr>
          <w:p>
            <w:pPr>
              <w:pStyle w:val="88"/>
              <w:spacing w:before="92"/>
              <w:ind w:left="104" w:right="91"/>
              <w:jc w:val="center"/>
            </w:pPr>
            <w:r>
              <w:t>最大存在数量（</w:t>
            </w:r>
            <w:r>
              <w:rPr>
                <w:rFonts w:ascii="Times New Roman" w:eastAsia="Times New Roman"/>
              </w:rPr>
              <w:t>t</w:t>
            </w:r>
            <w:r>
              <w:t>）</w:t>
            </w:r>
          </w:p>
        </w:tc>
        <w:tc>
          <w:tcPr>
            <w:tcW w:w="2325" w:type="dxa"/>
            <w:vAlign w:val="top"/>
          </w:tcPr>
          <w:p>
            <w:pPr>
              <w:pStyle w:val="88"/>
              <w:spacing w:before="92"/>
              <w:ind w:left="134" w:right="117"/>
              <w:jc w:val="center"/>
            </w:pPr>
            <w:r>
              <w:t>存在量与临界量的比值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780" w:type="dxa"/>
            <w:vAlign w:val="top"/>
          </w:tcPr>
          <w:p>
            <w:pPr>
              <w:pStyle w:val="88"/>
              <w:spacing w:before="101"/>
              <w:ind w:left="7"/>
              <w:jc w:val="center"/>
              <w:rPr>
                <w:rFonts w:ascii="Times New Roman"/>
              </w:rPr>
            </w:pPr>
            <w:r>
              <w:rPr>
                <w:rFonts w:ascii="Times New Roman"/>
              </w:rPr>
              <w:t>1</w:t>
            </w:r>
          </w:p>
        </w:tc>
        <w:tc>
          <w:tcPr>
            <w:tcW w:w="1470" w:type="dxa"/>
            <w:vAlign w:val="top"/>
          </w:tcPr>
          <w:p>
            <w:pPr>
              <w:pStyle w:val="88"/>
              <w:spacing w:before="92"/>
              <w:ind w:right="502"/>
              <w:jc w:val="center"/>
            </w:pPr>
            <w:r>
              <w:t>对二甲苯</w:t>
            </w:r>
          </w:p>
        </w:tc>
        <w:tc>
          <w:tcPr>
            <w:tcW w:w="1575" w:type="dxa"/>
            <w:vAlign w:val="top"/>
          </w:tcPr>
          <w:p>
            <w:pPr>
              <w:pStyle w:val="88"/>
              <w:spacing w:before="101"/>
              <w:ind w:left="387" w:right="376"/>
              <w:jc w:val="center"/>
              <w:rPr>
                <w:rFonts w:ascii="Times New Roman"/>
              </w:rPr>
            </w:pPr>
            <w:r>
              <w:rPr>
                <w:rFonts w:ascii="Times New Roman"/>
              </w:rPr>
              <w:t>5000</w:t>
            </w:r>
          </w:p>
        </w:tc>
        <w:tc>
          <w:tcPr>
            <w:tcW w:w="1980" w:type="dxa"/>
            <w:vAlign w:val="top"/>
          </w:tcPr>
          <w:p>
            <w:pPr>
              <w:pStyle w:val="88"/>
              <w:spacing w:before="101"/>
              <w:ind w:left="104" w:right="88"/>
              <w:jc w:val="center"/>
              <w:rPr>
                <w:rFonts w:ascii="Times New Roman"/>
              </w:rPr>
            </w:pPr>
            <w:r>
              <w:rPr>
                <w:rFonts w:ascii="Times New Roman"/>
              </w:rPr>
              <w:t>250</w:t>
            </w:r>
          </w:p>
        </w:tc>
        <w:tc>
          <w:tcPr>
            <w:tcW w:w="2325" w:type="dxa"/>
            <w:vAlign w:val="top"/>
          </w:tcPr>
          <w:p>
            <w:pPr>
              <w:pStyle w:val="88"/>
              <w:spacing w:before="101"/>
              <w:ind w:left="134" w:right="117"/>
              <w:jc w:val="center"/>
              <w:rPr>
                <w:rFonts w:ascii="Times New Roman"/>
              </w:rPr>
            </w:pPr>
            <w:r>
              <w:rPr>
                <w:rFonts w:ascii="Times New Roma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80" w:type="dxa"/>
            <w:vAlign w:val="top"/>
          </w:tcPr>
          <w:p>
            <w:pPr>
              <w:pStyle w:val="88"/>
              <w:spacing w:before="99"/>
              <w:ind w:left="7"/>
              <w:jc w:val="center"/>
              <w:rPr>
                <w:rFonts w:ascii="Times New Roman"/>
              </w:rPr>
            </w:pPr>
            <w:r>
              <w:rPr>
                <w:rFonts w:ascii="Times New Roman"/>
              </w:rPr>
              <w:t>2</w:t>
            </w:r>
          </w:p>
        </w:tc>
        <w:tc>
          <w:tcPr>
            <w:tcW w:w="1470" w:type="dxa"/>
            <w:vAlign w:val="top"/>
          </w:tcPr>
          <w:p>
            <w:pPr>
              <w:pStyle w:val="88"/>
              <w:spacing w:before="92"/>
              <w:ind w:right="502"/>
              <w:jc w:val="center"/>
            </w:pPr>
            <w:r>
              <w:t>邻二甲苯</w:t>
            </w:r>
          </w:p>
        </w:tc>
        <w:tc>
          <w:tcPr>
            <w:tcW w:w="1575" w:type="dxa"/>
            <w:vAlign w:val="top"/>
          </w:tcPr>
          <w:p>
            <w:pPr>
              <w:pStyle w:val="88"/>
              <w:spacing w:before="99"/>
              <w:ind w:left="387" w:right="376"/>
              <w:jc w:val="center"/>
              <w:rPr>
                <w:rFonts w:ascii="Times New Roman"/>
              </w:rPr>
            </w:pPr>
            <w:r>
              <w:rPr>
                <w:rFonts w:ascii="Times New Roman"/>
              </w:rPr>
              <w:t>5000</w:t>
            </w:r>
          </w:p>
        </w:tc>
        <w:tc>
          <w:tcPr>
            <w:tcW w:w="1980" w:type="dxa"/>
            <w:vAlign w:val="top"/>
          </w:tcPr>
          <w:p>
            <w:pPr>
              <w:pStyle w:val="88"/>
              <w:spacing w:before="99"/>
              <w:ind w:left="11"/>
              <w:jc w:val="center"/>
              <w:rPr>
                <w:rFonts w:ascii="Times New Roman"/>
              </w:rPr>
            </w:pPr>
            <w:r>
              <w:rPr>
                <w:rFonts w:ascii="Times New Roman"/>
              </w:rPr>
              <w:t>8</w:t>
            </w:r>
          </w:p>
        </w:tc>
        <w:tc>
          <w:tcPr>
            <w:tcW w:w="2325" w:type="dxa"/>
            <w:vAlign w:val="top"/>
          </w:tcPr>
          <w:p>
            <w:pPr>
              <w:pStyle w:val="88"/>
              <w:spacing w:before="99"/>
              <w:ind w:left="134" w:right="117"/>
              <w:jc w:val="center"/>
              <w:rPr>
                <w:rFonts w:ascii="Times New Roman"/>
              </w:rPr>
            </w:pPr>
            <w:r>
              <w:rPr>
                <w:rFonts w:ascii="Times New Roman"/>
              </w:rPr>
              <w:t>0.0016</w:t>
            </w:r>
          </w:p>
        </w:tc>
      </w:tr>
    </w:tbl>
    <w:p>
      <w:pPr>
        <w:rPr>
          <w:rFonts w:hint="eastAsia"/>
        </w:rPr>
      </w:pPr>
    </w:p>
    <w:p>
      <w:pPr>
        <w:ind w:firstLine="840" w:firstLineChars="300"/>
        <w:rPr>
          <w:rFonts w:hint="eastAsia"/>
          <w:sz w:val="28"/>
          <w:szCs w:val="28"/>
        </w:rPr>
      </w:pPr>
      <w:r>
        <w:rPr>
          <w:rFonts w:hint="eastAsia"/>
          <w:sz w:val="28"/>
          <w:szCs w:val="28"/>
        </w:rPr>
        <w:t>根据计算：</w:t>
      </w:r>
      <w:r>
        <w:rPr>
          <w:sz w:val="28"/>
          <w:szCs w:val="28"/>
        </w:rPr>
        <w:t>q</w:t>
      </w:r>
      <w:r>
        <w:rPr>
          <w:sz w:val="28"/>
          <w:szCs w:val="28"/>
          <w:vertAlign w:val="subscript"/>
        </w:rPr>
        <w:t>1</w:t>
      </w:r>
      <w:r>
        <w:rPr>
          <w:sz w:val="28"/>
          <w:szCs w:val="28"/>
        </w:rPr>
        <w:t>/Q</w:t>
      </w:r>
      <w:r>
        <w:rPr>
          <w:sz w:val="28"/>
          <w:szCs w:val="28"/>
          <w:vertAlign w:val="subscript"/>
        </w:rPr>
        <w:t>1</w:t>
      </w:r>
      <w:r>
        <w:rPr>
          <w:sz w:val="28"/>
          <w:szCs w:val="28"/>
        </w:rPr>
        <w:t>+q</w:t>
      </w:r>
      <w:r>
        <w:rPr>
          <w:sz w:val="28"/>
          <w:szCs w:val="28"/>
          <w:vertAlign w:val="subscript"/>
        </w:rPr>
        <w:t>2</w:t>
      </w:r>
      <w:r>
        <w:rPr>
          <w:sz w:val="28"/>
          <w:szCs w:val="28"/>
        </w:rPr>
        <w:t>/Q</w:t>
      </w:r>
      <w:r>
        <w:rPr>
          <w:sz w:val="28"/>
          <w:szCs w:val="28"/>
          <w:vertAlign w:val="subscript"/>
        </w:rPr>
        <w:t>2</w:t>
      </w:r>
      <w:r>
        <w:rPr>
          <w:rFonts w:hint="eastAsia"/>
          <w:sz w:val="28"/>
          <w:szCs w:val="28"/>
          <w:vertAlign w:val="subscript"/>
        </w:rPr>
        <w:t>=0.0516</w:t>
      </w:r>
      <w:r>
        <w:rPr>
          <w:sz w:val="28"/>
          <w:szCs w:val="28"/>
        </w:rPr>
        <w:t>&lt;</w:t>
      </w:r>
      <w:r>
        <w:rPr>
          <w:rFonts w:hint="eastAsia"/>
          <w:sz w:val="28"/>
          <w:szCs w:val="28"/>
        </w:rPr>
        <w:t>1</w:t>
      </w:r>
    </w:p>
    <w:p>
      <w:pPr>
        <w:jc w:val="center"/>
        <w:rPr>
          <w:rFonts w:hint="eastAsia"/>
        </w:rPr>
      </w:pPr>
    </w:p>
    <w:p>
      <w:pPr>
        <w:pStyle w:val="4"/>
        <w:spacing w:line="487" w:lineRule="exact"/>
        <w:ind w:left="240" w:right="32"/>
        <w:jc w:val="center"/>
        <w:rPr>
          <w:rFonts w:hint="eastAsia" w:ascii="微软雅黑" w:eastAsia="微软雅黑"/>
          <w:sz w:val="28"/>
          <w:szCs w:val="28"/>
        </w:rPr>
      </w:pPr>
      <w:bookmarkStart w:id="114" w:name="_Toc3241"/>
      <w:bookmarkStart w:id="115" w:name="_Toc18815"/>
      <w:bookmarkStart w:id="116" w:name="_Toc10989"/>
      <w:r>
        <w:rPr>
          <w:rFonts w:hint="eastAsia" w:ascii="宋体" w:eastAsia="宋体"/>
          <w:b w:val="0"/>
          <w:spacing w:val="-12"/>
          <w:sz w:val="28"/>
          <w:szCs w:val="28"/>
        </w:rPr>
        <w:t>因此，</w:t>
      </w:r>
      <w:r>
        <w:rPr>
          <w:rFonts w:hint="eastAsia" w:ascii="微软雅黑" w:eastAsia="微软雅黑"/>
          <w:spacing w:val="-6"/>
          <w:sz w:val="28"/>
          <w:szCs w:val="28"/>
        </w:rPr>
        <w:t>本项目依据《危险化学品重大危险源辨识</w:t>
      </w:r>
      <w:r>
        <w:rPr>
          <w:rFonts w:hint="eastAsia" w:ascii="微软雅黑" w:eastAsia="微软雅黑"/>
          <w:spacing w:val="-173"/>
          <w:sz w:val="28"/>
          <w:szCs w:val="28"/>
        </w:rPr>
        <w:t>》</w:t>
      </w:r>
      <w:r>
        <w:rPr>
          <w:rFonts w:hint="eastAsia" w:ascii="微软雅黑" w:eastAsia="微软雅黑"/>
          <w:spacing w:val="-3"/>
          <w:sz w:val="28"/>
          <w:szCs w:val="28"/>
        </w:rPr>
        <w:t>（</w:t>
      </w:r>
      <w:r>
        <w:rPr>
          <w:rFonts w:ascii="Times New Roman" w:eastAsia="Times New Roman"/>
          <w:spacing w:val="-3"/>
          <w:sz w:val="28"/>
          <w:szCs w:val="28"/>
        </w:rPr>
        <w:t>GB18218-2009</w:t>
      </w:r>
      <w:r>
        <w:rPr>
          <w:rFonts w:hint="eastAsia" w:ascii="微软雅黑" w:eastAsia="微软雅黑"/>
          <w:spacing w:val="-3"/>
          <w:sz w:val="28"/>
          <w:szCs w:val="28"/>
        </w:rPr>
        <w:t>）</w:t>
      </w:r>
      <w:r>
        <w:rPr>
          <w:rFonts w:hint="eastAsia" w:ascii="微软雅黑" w:eastAsia="微软雅黑"/>
          <w:spacing w:val="-34"/>
          <w:sz w:val="28"/>
          <w:szCs w:val="28"/>
        </w:rPr>
        <w:t>辨</w:t>
      </w:r>
      <w:bookmarkEnd w:id="114"/>
      <w:bookmarkEnd w:id="115"/>
      <w:bookmarkEnd w:id="116"/>
    </w:p>
    <w:p>
      <w:pPr>
        <w:spacing w:before="29"/>
        <w:ind w:left="138"/>
        <w:jc w:val="left"/>
        <w:rPr>
          <w:rFonts w:hint="eastAsia" w:ascii="微软雅黑" w:eastAsia="微软雅黑"/>
          <w:b/>
          <w:sz w:val="28"/>
          <w:szCs w:val="28"/>
        </w:rPr>
      </w:pPr>
      <w:r>
        <w:rPr>
          <w:rFonts w:hint="eastAsia" w:ascii="微软雅黑" w:eastAsia="微软雅黑"/>
          <w:b/>
          <w:sz w:val="28"/>
          <w:szCs w:val="28"/>
        </w:rPr>
        <w:t>识不构成危险化学品重大危险源。</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both"/>
        <w:rPr>
          <w:rFonts w:hint="eastAsia"/>
        </w:rPr>
      </w:pPr>
    </w:p>
    <w:p>
      <w:pPr>
        <w:pStyle w:val="3"/>
        <w:tabs>
          <w:tab w:val="left" w:pos="2944"/>
          <w:tab w:val="left" w:pos="2945"/>
        </w:tabs>
        <w:spacing w:before="16" w:line="240" w:lineRule="auto"/>
        <w:jc w:val="left"/>
      </w:pPr>
      <w:bookmarkStart w:id="117" w:name="_Toc8782"/>
      <w:r>
        <w:rPr>
          <w:rFonts w:hint="eastAsia"/>
        </w:rPr>
        <w:t>3.5</w:t>
      </w:r>
      <w:r>
        <w:t>主要危险、有害因素分析汇总</w:t>
      </w:r>
      <w:bookmarkEnd w:id="117"/>
    </w:p>
    <w:p>
      <w:pPr>
        <w:pStyle w:val="16"/>
        <w:spacing w:before="135" w:line="360" w:lineRule="auto"/>
        <w:ind w:right="449" w:firstLine="55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通过对本项目专用线运行线路、装卸区等方面进行了辨识分析，本专用线列车与调车过程中主要危险有害因素是冲突、脱轨、挤道岔、相撞、溜逸， 装卸过程危害有害因素有火灾、其他爆炸、物体打击、高处坠落、中毒和窒息、触电、机械伤害、灼烫、其他危害（噪声）等。本项目涉及的主要危险、有害因素汇总见下表。</w:t>
      </w:r>
    </w:p>
    <w:tbl>
      <w:tblPr>
        <w:tblStyle w:val="54"/>
        <w:tblW w:w="82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
        <w:gridCol w:w="1650"/>
        <w:gridCol w:w="2130"/>
        <w:gridCol w:w="4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394" w:type="dxa"/>
            <w:vAlign w:val="top"/>
          </w:tcPr>
          <w:p>
            <w:pPr>
              <w:pStyle w:val="88"/>
              <w:spacing w:before="135"/>
              <w:ind w:left="55" w:right="46"/>
              <w:jc w:val="center"/>
            </w:pPr>
            <w:r>
              <w:t>序号</w:t>
            </w:r>
          </w:p>
        </w:tc>
        <w:tc>
          <w:tcPr>
            <w:tcW w:w="1650" w:type="dxa"/>
            <w:vAlign w:val="top"/>
          </w:tcPr>
          <w:p>
            <w:pPr>
              <w:pStyle w:val="88"/>
              <w:spacing w:before="135"/>
              <w:ind w:left="89" w:right="80"/>
              <w:jc w:val="center"/>
            </w:pPr>
            <w:r>
              <w:t>危险因素</w:t>
            </w:r>
          </w:p>
        </w:tc>
        <w:tc>
          <w:tcPr>
            <w:tcW w:w="2130" w:type="dxa"/>
            <w:vAlign w:val="top"/>
          </w:tcPr>
          <w:p>
            <w:pPr>
              <w:pStyle w:val="88"/>
              <w:spacing w:line="268" w:lineRule="exact"/>
              <w:ind w:left="49" w:right="37"/>
              <w:jc w:val="center"/>
            </w:pPr>
            <w:r>
              <w:t>存在的主要场所、部位或</w:t>
            </w:r>
          </w:p>
          <w:p>
            <w:pPr>
              <w:pStyle w:val="88"/>
              <w:spacing w:before="4" w:line="252" w:lineRule="exact"/>
              <w:ind w:left="49" w:right="36"/>
              <w:jc w:val="center"/>
            </w:pPr>
            <w:r>
              <w:t>过程</w:t>
            </w:r>
          </w:p>
        </w:tc>
        <w:tc>
          <w:tcPr>
            <w:tcW w:w="4035" w:type="dxa"/>
            <w:vAlign w:val="top"/>
          </w:tcPr>
          <w:p>
            <w:pPr>
              <w:pStyle w:val="88"/>
              <w:spacing w:before="135"/>
              <w:ind w:left="1229"/>
            </w:pPr>
            <w:r>
              <w:t>可能引起事故的原因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394" w:type="dxa"/>
            <w:vAlign w:val="top"/>
          </w:tcPr>
          <w:p>
            <w:pPr>
              <w:pStyle w:val="88"/>
              <w:spacing w:before="87"/>
              <w:ind w:left="9"/>
              <w:jc w:val="center"/>
              <w:rPr>
                <w:rFonts w:ascii="Times New Roman"/>
              </w:rPr>
            </w:pPr>
            <w:r>
              <w:rPr>
                <w:rFonts w:ascii="Times New Roman"/>
              </w:rPr>
              <w:t>1</w:t>
            </w:r>
          </w:p>
        </w:tc>
        <w:tc>
          <w:tcPr>
            <w:tcW w:w="1650" w:type="dxa"/>
            <w:vAlign w:val="top"/>
          </w:tcPr>
          <w:p>
            <w:pPr>
              <w:pStyle w:val="88"/>
              <w:spacing w:before="89"/>
              <w:ind w:left="89" w:right="82"/>
              <w:jc w:val="center"/>
            </w:pPr>
            <w:r>
              <w:t>脱轨</w:t>
            </w:r>
          </w:p>
        </w:tc>
        <w:tc>
          <w:tcPr>
            <w:tcW w:w="2130" w:type="dxa"/>
            <w:vAlign w:val="top"/>
          </w:tcPr>
          <w:p>
            <w:pPr>
              <w:pStyle w:val="88"/>
              <w:spacing w:before="89"/>
              <w:ind w:left="49" w:right="36"/>
              <w:jc w:val="center"/>
            </w:pPr>
            <w:r>
              <w:t>专用线</w:t>
            </w:r>
          </w:p>
        </w:tc>
        <w:tc>
          <w:tcPr>
            <w:tcW w:w="4035" w:type="dxa"/>
            <w:vAlign w:val="top"/>
          </w:tcPr>
          <w:p>
            <w:pPr>
              <w:pStyle w:val="88"/>
              <w:spacing w:before="89"/>
              <w:ind w:left="9"/>
            </w:pPr>
            <w:r>
              <w:t>设备损坏、超速、信号显示错误。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394" w:type="dxa"/>
            <w:vAlign w:val="top"/>
          </w:tcPr>
          <w:p>
            <w:pPr>
              <w:pStyle w:val="88"/>
              <w:spacing w:before="6"/>
              <w:rPr>
                <w:sz w:val="31"/>
              </w:rPr>
            </w:pPr>
          </w:p>
          <w:p>
            <w:pPr>
              <w:pStyle w:val="88"/>
              <w:ind w:left="9"/>
              <w:jc w:val="center"/>
              <w:rPr>
                <w:rFonts w:ascii="Times New Roman"/>
              </w:rPr>
            </w:pPr>
            <w:r>
              <w:rPr>
                <w:rFonts w:ascii="Times New Roman"/>
              </w:rPr>
              <w:t>2</w:t>
            </w:r>
          </w:p>
        </w:tc>
        <w:tc>
          <w:tcPr>
            <w:tcW w:w="1650" w:type="dxa"/>
            <w:vAlign w:val="top"/>
          </w:tcPr>
          <w:p>
            <w:pPr>
              <w:pStyle w:val="88"/>
              <w:rPr>
                <w:sz w:val="20"/>
              </w:rPr>
            </w:pPr>
          </w:p>
          <w:p>
            <w:pPr>
              <w:pStyle w:val="88"/>
              <w:spacing w:before="150"/>
              <w:ind w:left="89" w:right="82"/>
              <w:jc w:val="center"/>
            </w:pPr>
            <w:r>
              <w:t>冲突</w:t>
            </w:r>
          </w:p>
        </w:tc>
        <w:tc>
          <w:tcPr>
            <w:tcW w:w="2130" w:type="dxa"/>
            <w:vAlign w:val="top"/>
          </w:tcPr>
          <w:p>
            <w:pPr>
              <w:pStyle w:val="88"/>
              <w:rPr>
                <w:sz w:val="20"/>
              </w:rPr>
            </w:pPr>
          </w:p>
          <w:p>
            <w:pPr>
              <w:pStyle w:val="88"/>
              <w:spacing w:before="150"/>
              <w:ind w:left="49" w:right="36"/>
              <w:jc w:val="center"/>
            </w:pPr>
            <w:r>
              <w:t>专用线</w:t>
            </w:r>
          </w:p>
        </w:tc>
        <w:tc>
          <w:tcPr>
            <w:tcW w:w="4035" w:type="dxa"/>
            <w:vAlign w:val="top"/>
          </w:tcPr>
          <w:p>
            <w:pPr>
              <w:pStyle w:val="88"/>
              <w:spacing w:line="242" w:lineRule="auto"/>
              <w:ind w:left="9" w:right="-15"/>
            </w:pPr>
            <w:r>
              <w:rPr>
                <w:spacing w:val="-8"/>
              </w:rPr>
              <w:t>警戒标志和曲线标志等安全标志不明显，道路交</w:t>
            </w:r>
            <w:r>
              <w:rPr>
                <w:spacing w:val="-11"/>
              </w:rPr>
              <w:t>叉口管理不善；列车自动控制系统意外故障，发</w:t>
            </w:r>
            <w:r>
              <w:rPr>
                <w:spacing w:val="-12"/>
              </w:rPr>
              <w:t>生调度错误；因维修等原因造成联锁管理不正确</w:t>
            </w:r>
          </w:p>
          <w:p>
            <w:pPr>
              <w:pStyle w:val="88"/>
              <w:spacing w:line="255" w:lineRule="exact"/>
              <w:ind w:left="9"/>
            </w:pPr>
            <w:r>
              <w:t>或失效。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394" w:type="dxa"/>
            <w:vAlign w:val="top"/>
          </w:tcPr>
          <w:p>
            <w:pPr>
              <w:pStyle w:val="88"/>
              <w:spacing w:before="130"/>
              <w:ind w:left="9"/>
              <w:jc w:val="center"/>
              <w:rPr>
                <w:rFonts w:ascii="Times New Roman"/>
              </w:rPr>
            </w:pPr>
            <w:r>
              <w:rPr>
                <w:rFonts w:ascii="Times New Roman"/>
              </w:rPr>
              <w:t>3</w:t>
            </w:r>
          </w:p>
        </w:tc>
        <w:tc>
          <w:tcPr>
            <w:tcW w:w="1650" w:type="dxa"/>
            <w:vAlign w:val="top"/>
          </w:tcPr>
          <w:p>
            <w:pPr>
              <w:pStyle w:val="88"/>
              <w:spacing w:before="135"/>
              <w:ind w:left="89" w:right="82"/>
              <w:jc w:val="center"/>
            </w:pPr>
            <w:r>
              <w:t>相撞</w:t>
            </w:r>
          </w:p>
        </w:tc>
        <w:tc>
          <w:tcPr>
            <w:tcW w:w="2130" w:type="dxa"/>
            <w:vAlign w:val="top"/>
          </w:tcPr>
          <w:p>
            <w:pPr>
              <w:pStyle w:val="88"/>
              <w:spacing w:before="135"/>
              <w:ind w:left="47" w:right="37"/>
              <w:jc w:val="center"/>
            </w:pPr>
            <w:r>
              <w:t>专用线、园区内道口</w:t>
            </w:r>
          </w:p>
        </w:tc>
        <w:tc>
          <w:tcPr>
            <w:tcW w:w="4035" w:type="dxa"/>
            <w:vAlign w:val="top"/>
          </w:tcPr>
          <w:p>
            <w:pPr>
              <w:pStyle w:val="88"/>
              <w:spacing w:line="268" w:lineRule="exact"/>
              <w:ind w:left="9"/>
            </w:pPr>
            <w:r>
              <w:t>车辆和行人在通过道口时不按道口信号及道口</w:t>
            </w:r>
          </w:p>
          <w:p>
            <w:pPr>
              <w:pStyle w:val="88"/>
              <w:spacing w:before="2" w:line="255" w:lineRule="exact"/>
              <w:ind w:left="9"/>
            </w:pPr>
            <w:r>
              <w:t>看守员指挥、在铁路上停留。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394" w:type="dxa"/>
            <w:vAlign w:val="top"/>
          </w:tcPr>
          <w:p>
            <w:pPr>
              <w:pStyle w:val="88"/>
              <w:spacing w:before="6"/>
              <w:rPr>
                <w:sz w:val="31"/>
              </w:rPr>
            </w:pPr>
          </w:p>
          <w:p>
            <w:pPr>
              <w:pStyle w:val="88"/>
              <w:spacing w:before="1"/>
              <w:ind w:left="9"/>
              <w:jc w:val="center"/>
              <w:rPr>
                <w:rFonts w:ascii="Times New Roman"/>
              </w:rPr>
            </w:pPr>
            <w:r>
              <w:rPr>
                <w:rFonts w:ascii="Times New Roman"/>
              </w:rPr>
              <w:t>4</w:t>
            </w:r>
          </w:p>
        </w:tc>
        <w:tc>
          <w:tcPr>
            <w:tcW w:w="1650" w:type="dxa"/>
            <w:vAlign w:val="top"/>
          </w:tcPr>
          <w:p>
            <w:pPr>
              <w:pStyle w:val="88"/>
              <w:rPr>
                <w:sz w:val="20"/>
              </w:rPr>
            </w:pPr>
          </w:p>
          <w:p>
            <w:pPr>
              <w:pStyle w:val="88"/>
              <w:spacing w:before="150"/>
              <w:ind w:left="89" w:right="82"/>
              <w:jc w:val="center"/>
            </w:pPr>
            <w:r>
              <w:t>挤道岔</w:t>
            </w:r>
          </w:p>
        </w:tc>
        <w:tc>
          <w:tcPr>
            <w:tcW w:w="2130" w:type="dxa"/>
            <w:vAlign w:val="top"/>
          </w:tcPr>
          <w:p>
            <w:pPr>
              <w:pStyle w:val="88"/>
              <w:rPr>
                <w:sz w:val="20"/>
              </w:rPr>
            </w:pPr>
          </w:p>
          <w:p>
            <w:pPr>
              <w:pStyle w:val="88"/>
              <w:spacing w:before="150"/>
              <w:ind w:left="49" w:right="36"/>
              <w:jc w:val="center"/>
            </w:pPr>
            <w:r>
              <w:t>专用线</w:t>
            </w:r>
          </w:p>
        </w:tc>
        <w:tc>
          <w:tcPr>
            <w:tcW w:w="4035" w:type="dxa"/>
            <w:vAlign w:val="top"/>
          </w:tcPr>
          <w:p>
            <w:pPr>
              <w:pStyle w:val="88"/>
              <w:spacing w:line="242" w:lineRule="auto"/>
              <w:ind w:left="9" w:right="-15"/>
            </w:pPr>
            <w:r>
              <w:rPr>
                <w:spacing w:val="-9"/>
              </w:rPr>
              <w:t>列车直向通过道岔时，由于道岔位置不正确，尖</w:t>
            </w:r>
            <w:r>
              <w:rPr>
                <w:spacing w:val="-11"/>
              </w:rPr>
              <w:t>轨未能与基本轨密贴，车轮碾压时，将尖轨与基</w:t>
            </w:r>
            <w:r>
              <w:rPr>
                <w:spacing w:val="-12"/>
              </w:rPr>
              <w:t>本轨挤开的过程。此时道岔即不在正位，也不在</w:t>
            </w:r>
          </w:p>
          <w:p>
            <w:pPr>
              <w:pStyle w:val="88"/>
              <w:spacing w:before="2" w:line="252" w:lineRule="exact"/>
              <w:ind w:left="9"/>
            </w:pPr>
            <w:r>
              <w:t>反位，呈四开状态。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394" w:type="dxa"/>
            <w:vAlign w:val="top"/>
          </w:tcPr>
          <w:p>
            <w:pPr>
              <w:pStyle w:val="88"/>
              <w:spacing w:before="84"/>
              <w:ind w:left="9"/>
              <w:jc w:val="center"/>
              <w:rPr>
                <w:rFonts w:ascii="Times New Roman"/>
              </w:rPr>
            </w:pPr>
            <w:r>
              <w:rPr>
                <w:rFonts w:ascii="Times New Roman"/>
              </w:rPr>
              <w:t>5</w:t>
            </w:r>
          </w:p>
        </w:tc>
        <w:tc>
          <w:tcPr>
            <w:tcW w:w="1650" w:type="dxa"/>
            <w:vAlign w:val="top"/>
          </w:tcPr>
          <w:p>
            <w:pPr>
              <w:pStyle w:val="88"/>
              <w:spacing w:before="89"/>
              <w:ind w:left="89" w:right="82"/>
              <w:jc w:val="center"/>
            </w:pPr>
            <w:r>
              <w:t>溜逸</w:t>
            </w:r>
          </w:p>
        </w:tc>
        <w:tc>
          <w:tcPr>
            <w:tcW w:w="2130" w:type="dxa"/>
            <w:vAlign w:val="top"/>
          </w:tcPr>
          <w:p>
            <w:pPr>
              <w:pStyle w:val="88"/>
              <w:spacing w:before="89"/>
              <w:ind w:left="49" w:right="36"/>
              <w:jc w:val="center"/>
            </w:pPr>
            <w:r>
              <w:t>专用线</w:t>
            </w:r>
          </w:p>
        </w:tc>
        <w:tc>
          <w:tcPr>
            <w:tcW w:w="4035" w:type="dxa"/>
            <w:vAlign w:val="top"/>
          </w:tcPr>
          <w:p>
            <w:pPr>
              <w:pStyle w:val="88"/>
              <w:spacing w:before="89"/>
              <w:ind w:left="9"/>
            </w:pPr>
            <w:r>
              <w:t>未采取防溜措施、大风。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394" w:type="dxa"/>
            <w:vAlign w:val="top"/>
          </w:tcPr>
          <w:p>
            <w:pPr>
              <w:pStyle w:val="88"/>
              <w:spacing w:before="132"/>
              <w:ind w:left="9"/>
              <w:jc w:val="center"/>
              <w:rPr>
                <w:rFonts w:ascii="Times New Roman"/>
              </w:rPr>
            </w:pPr>
            <w:r>
              <w:rPr>
                <w:rFonts w:ascii="Times New Roman"/>
              </w:rPr>
              <w:t>6</w:t>
            </w:r>
          </w:p>
        </w:tc>
        <w:tc>
          <w:tcPr>
            <w:tcW w:w="1650" w:type="dxa"/>
            <w:vAlign w:val="top"/>
          </w:tcPr>
          <w:p>
            <w:pPr>
              <w:pStyle w:val="88"/>
              <w:spacing w:before="135"/>
              <w:ind w:left="89" w:right="82"/>
              <w:jc w:val="center"/>
            </w:pPr>
            <w:r>
              <w:t>火灾、其他爆炸</w:t>
            </w:r>
          </w:p>
        </w:tc>
        <w:tc>
          <w:tcPr>
            <w:tcW w:w="2130" w:type="dxa"/>
            <w:vAlign w:val="top"/>
          </w:tcPr>
          <w:p>
            <w:pPr>
              <w:pStyle w:val="88"/>
              <w:spacing w:before="135"/>
              <w:ind w:left="47" w:right="37"/>
              <w:jc w:val="center"/>
            </w:pPr>
            <w:r>
              <w:t>装卸区、缓冲罐区</w:t>
            </w:r>
          </w:p>
        </w:tc>
        <w:tc>
          <w:tcPr>
            <w:tcW w:w="4035" w:type="dxa"/>
            <w:vAlign w:val="top"/>
          </w:tcPr>
          <w:p>
            <w:pPr>
              <w:pStyle w:val="88"/>
              <w:spacing w:line="268" w:lineRule="exact"/>
              <w:ind w:left="9" w:right="-15"/>
            </w:pPr>
            <w:r>
              <w:rPr>
                <w:spacing w:val="-9"/>
              </w:rPr>
              <w:t>危险货物泄露，与点火源，可能发生火灾、爆炸</w:t>
            </w:r>
          </w:p>
          <w:p>
            <w:pPr>
              <w:pStyle w:val="88"/>
              <w:spacing w:before="4" w:line="252" w:lineRule="exact"/>
              <w:ind w:left="9"/>
            </w:pPr>
            <w:r>
              <w:t>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394" w:type="dxa"/>
            <w:vAlign w:val="top"/>
          </w:tcPr>
          <w:p>
            <w:pPr>
              <w:pStyle w:val="88"/>
              <w:spacing w:before="87"/>
              <w:ind w:left="9"/>
              <w:jc w:val="center"/>
              <w:rPr>
                <w:rFonts w:ascii="Times New Roman"/>
              </w:rPr>
            </w:pPr>
            <w:r>
              <w:rPr>
                <w:rFonts w:ascii="Times New Roman"/>
              </w:rPr>
              <w:t>7</w:t>
            </w:r>
          </w:p>
        </w:tc>
        <w:tc>
          <w:tcPr>
            <w:tcW w:w="1650" w:type="dxa"/>
            <w:vAlign w:val="top"/>
          </w:tcPr>
          <w:p>
            <w:pPr>
              <w:pStyle w:val="88"/>
              <w:spacing w:before="89"/>
              <w:ind w:left="89" w:right="80"/>
              <w:jc w:val="center"/>
            </w:pPr>
            <w:r>
              <w:t>中毒和窒息</w:t>
            </w:r>
          </w:p>
        </w:tc>
        <w:tc>
          <w:tcPr>
            <w:tcW w:w="2130" w:type="dxa"/>
            <w:vAlign w:val="top"/>
          </w:tcPr>
          <w:p>
            <w:pPr>
              <w:pStyle w:val="88"/>
              <w:spacing w:before="89"/>
              <w:ind w:left="47" w:right="37"/>
              <w:jc w:val="center"/>
            </w:pPr>
            <w:r>
              <w:t>装卸区、缓冲罐区</w:t>
            </w:r>
          </w:p>
        </w:tc>
        <w:tc>
          <w:tcPr>
            <w:tcW w:w="4035" w:type="dxa"/>
            <w:vAlign w:val="top"/>
          </w:tcPr>
          <w:p>
            <w:pPr>
              <w:pStyle w:val="88"/>
              <w:spacing w:before="89"/>
              <w:ind w:left="9"/>
            </w:pPr>
            <w:r>
              <w:t>危险货物、氮气泄露。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394" w:type="dxa"/>
            <w:vAlign w:val="top"/>
          </w:tcPr>
          <w:p>
            <w:pPr>
              <w:pStyle w:val="88"/>
              <w:spacing w:before="84"/>
              <w:ind w:left="9"/>
              <w:jc w:val="center"/>
              <w:rPr>
                <w:rFonts w:ascii="Times New Roman"/>
              </w:rPr>
            </w:pPr>
            <w:r>
              <w:rPr>
                <w:rFonts w:ascii="Times New Roman"/>
              </w:rPr>
              <w:t>8</w:t>
            </w:r>
          </w:p>
        </w:tc>
        <w:tc>
          <w:tcPr>
            <w:tcW w:w="1650" w:type="dxa"/>
            <w:vAlign w:val="top"/>
          </w:tcPr>
          <w:p>
            <w:pPr>
              <w:pStyle w:val="88"/>
              <w:spacing w:before="90"/>
              <w:ind w:left="89" w:right="80"/>
              <w:jc w:val="center"/>
            </w:pPr>
            <w:r>
              <w:t>高处坠落</w:t>
            </w:r>
          </w:p>
        </w:tc>
        <w:tc>
          <w:tcPr>
            <w:tcW w:w="2130" w:type="dxa"/>
            <w:vAlign w:val="top"/>
          </w:tcPr>
          <w:p>
            <w:pPr>
              <w:pStyle w:val="88"/>
              <w:spacing w:before="90"/>
              <w:ind w:left="47" w:right="37"/>
              <w:jc w:val="center"/>
            </w:pPr>
            <w:r>
              <w:t>装卸区、缓冲罐区</w:t>
            </w:r>
          </w:p>
        </w:tc>
        <w:tc>
          <w:tcPr>
            <w:tcW w:w="4035" w:type="dxa"/>
            <w:vAlign w:val="top"/>
          </w:tcPr>
          <w:p>
            <w:pPr>
              <w:pStyle w:val="88"/>
              <w:spacing w:before="90"/>
              <w:ind w:left="9"/>
            </w:pPr>
            <w:r>
              <w:t xml:space="preserve">人员在离地面大于 </w:t>
            </w:r>
            <w:r>
              <w:rPr>
                <w:rFonts w:ascii="Times New Roman" w:eastAsia="Times New Roman"/>
              </w:rPr>
              <w:t xml:space="preserve">2m </w:t>
            </w:r>
            <w:r>
              <w:t>的高度进行作业。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394" w:type="dxa"/>
            <w:vAlign w:val="top"/>
          </w:tcPr>
          <w:p>
            <w:pPr>
              <w:pStyle w:val="88"/>
              <w:spacing w:before="130"/>
              <w:ind w:left="9"/>
              <w:jc w:val="center"/>
              <w:rPr>
                <w:rFonts w:ascii="Times New Roman"/>
              </w:rPr>
            </w:pPr>
            <w:r>
              <w:rPr>
                <w:rFonts w:ascii="Times New Roman"/>
              </w:rPr>
              <w:t>9</w:t>
            </w:r>
          </w:p>
        </w:tc>
        <w:tc>
          <w:tcPr>
            <w:tcW w:w="1650" w:type="dxa"/>
            <w:vAlign w:val="top"/>
          </w:tcPr>
          <w:p>
            <w:pPr>
              <w:pStyle w:val="88"/>
              <w:spacing w:before="135"/>
              <w:ind w:left="89" w:right="80"/>
              <w:jc w:val="center"/>
            </w:pPr>
            <w:r>
              <w:t>物体打击</w:t>
            </w:r>
          </w:p>
        </w:tc>
        <w:tc>
          <w:tcPr>
            <w:tcW w:w="2130" w:type="dxa"/>
            <w:vAlign w:val="top"/>
          </w:tcPr>
          <w:p>
            <w:pPr>
              <w:pStyle w:val="88"/>
              <w:spacing w:before="135"/>
              <w:ind w:left="49" w:right="37"/>
              <w:jc w:val="center"/>
            </w:pPr>
            <w:r>
              <w:t>货物搬运过程，检维修。</w:t>
            </w:r>
          </w:p>
        </w:tc>
        <w:tc>
          <w:tcPr>
            <w:tcW w:w="4035" w:type="dxa"/>
            <w:vAlign w:val="top"/>
          </w:tcPr>
          <w:p>
            <w:pPr>
              <w:pStyle w:val="88"/>
              <w:spacing w:line="268" w:lineRule="exact"/>
              <w:ind w:left="9" w:right="-15"/>
            </w:pPr>
            <w:r>
              <w:rPr>
                <w:spacing w:val="-8"/>
              </w:rPr>
              <w:t>物体在重力或其他外力的作用下产生运动，打击</w:t>
            </w:r>
          </w:p>
          <w:p>
            <w:pPr>
              <w:pStyle w:val="88"/>
              <w:spacing w:before="4" w:line="252" w:lineRule="exact"/>
              <w:ind w:left="9"/>
            </w:pPr>
            <w:r>
              <w:t>人体造成人身伤亡。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394" w:type="dxa"/>
            <w:vAlign w:val="top"/>
          </w:tcPr>
          <w:p>
            <w:pPr>
              <w:pStyle w:val="88"/>
              <w:spacing w:before="7"/>
              <w:rPr>
                <w:sz w:val="31"/>
              </w:rPr>
            </w:pPr>
          </w:p>
          <w:p>
            <w:pPr>
              <w:pStyle w:val="88"/>
              <w:ind w:left="55" w:right="46"/>
              <w:jc w:val="center"/>
              <w:rPr>
                <w:rFonts w:ascii="Times New Roman"/>
              </w:rPr>
            </w:pPr>
            <w:r>
              <w:rPr>
                <w:rFonts w:ascii="Times New Roman"/>
              </w:rPr>
              <w:t>10</w:t>
            </w:r>
          </w:p>
        </w:tc>
        <w:tc>
          <w:tcPr>
            <w:tcW w:w="1650" w:type="dxa"/>
            <w:vAlign w:val="top"/>
          </w:tcPr>
          <w:p>
            <w:pPr>
              <w:pStyle w:val="88"/>
              <w:rPr>
                <w:sz w:val="20"/>
              </w:rPr>
            </w:pPr>
          </w:p>
          <w:p>
            <w:pPr>
              <w:pStyle w:val="88"/>
              <w:spacing w:before="153"/>
              <w:ind w:left="89" w:right="82"/>
              <w:jc w:val="center"/>
            </w:pPr>
            <w:r>
              <w:t>触电</w:t>
            </w:r>
          </w:p>
        </w:tc>
        <w:tc>
          <w:tcPr>
            <w:tcW w:w="2130" w:type="dxa"/>
            <w:vAlign w:val="top"/>
          </w:tcPr>
          <w:p>
            <w:pPr>
              <w:pStyle w:val="88"/>
              <w:spacing w:before="3"/>
            </w:pPr>
          </w:p>
          <w:p>
            <w:pPr>
              <w:pStyle w:val="88"/>
              <w:spacing w:line="242" w:lineRule="auto"/>
              <w:ind w:left="276" w:right="52" w:hanging="210"/>
            </w:pPr>
            <w:r>
              <w:t>所有的带电设备及线路、接触网和用电机具。</w:t>
            </w:r>
          </w:p>
        </w:tc>
        <w:tc>
          <w:tcPr>
            <w:tcW w:w="4035" w:type="dxa"/>
            <w:vAlign w:val="top"/>
          </w:tcPr>
          <w:p>
            <w:pPr>
              <w:pStyle w:val="88"/>
              <w:spacing w:line="242" w:lineRule="auto"/>
              <w:ind w:left="9" w:right="-15"/>
            </w:pPr>
            <w:r>
              <w:rPr>
                <w:spacing w:val="-10"/>
              </w:rPr>
              <w:t>设备缺陷、绝缘损坏、接地不良、误送电、带电</w:t>
            </w:r>
            <w:r>
              <w:rPr>
                <w:spacing w:val="-17"/>
              </w:rPr>
              <w:t>体外露、防护缺陷、静电、雷电接地电阻不合格</w:t>
            </w:r>
            <w:r>
              <w:rPr>
                <w:spacing w:val="-12"/>
              </w:rPr>
              <w:t>违章操作，设备漏电、未用绝缘工具、临时用电</w:t>
            </w:r>
          </w:p>
          <w:p>
            <w:pPr>
              <w:pStyle w:val="88"/>
              <w:spacing w:before="2" w:line="252" w:lineRule="exact"/>
              <w:ind w:left="9"/>
            </w:pPr>
            <w:r>
              <w:t>设施不符要求、误入带电区等。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394" w:type="dxa"/>
            <w:vAlign w:val="top"/>
          </w:tcPr>
          <w:p>
            <w:pPr>
              <w:pStyle w:val="88"/>
              <w:spacing w:before="87"/>
              <w:ind w:left="55" w:right="46"/>
              <w:jc w:val="center"/>
              <w:rPr>
                <w:rFonts w:ascii="Times New Roman"/>
              </w:rPr>
            </w:pPr>
            <w:r>
              <w:rPr>
                <w:rFonts w:ascii="Times New Roman"/>
              </w:rPr>
              <w:t>11</w:t>
            </w:r>
          </w:p>
        </w:tc>
        <w:tc>
          <w:tcPr>
            <w:tcW w:w="1650" w:type="dxa"/>
            <w:vAlign w:val="top"/>
          </w:tcPr>
          <w:p>
            <w:pPr>
              <w:pStyle w:val="88"/>
              <w:spacing w:before="89"/>
              <w:ind w:left="89" w:right="80"/>
              <w:jc w:val="center"/>
            </w:pPr>
            <w:r>
              <w:t>机械伤害</w:t>
            </w:r>
          </w:p>
        </w:tc>
        <w:tc>
          <w:tcPr>
            <w:tcW w:w="2130" w:type="dxa"/>
            <w:vAlign w:val="top"/>
          </w:tcPr>
          <w:p>
            <w:pPr>
              <w:pStyle w:val="88"/>
              <w:spacing w:before="89"/>
              <w:ind w:left="47" w:right="37"/>
              <w:jc w:val="center"/>
            </w:pPr>
            <w:r>
              <w:t>装卸区、缓冲罐区</w:t>
            </w:r>
          </w:p>
        </w:tc>
        <w:tc>
          <w:tcPr>
            <w:tcW w:w="4035" w:type="dxa"/>
            <w:vAlign w:val="top"/>
          </w:tcPr>
          <w:p>
            <w:pPr>
              <w:pStyle w:val="88"/>
              <w:spacing w:before="89"/>
              <w:ind w:left="9"/>
            </w:pPr>
            <w:r>
              <w:t>机泵转动部位。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394" w:type="dxa"/>
            <w:vAlign w:val="top"/>
          </w:tcPr>
          <w:p>
            <w:pPr>
              <w:pStyle w:val="88"/>
              <w:spacing w:before="84"/>
              <w:ind w:left="55" w:right="46"/>
              <w:jc w:val="center"/>
              <w:rPr>
                <w:rFonts w:ascii="Times New Roman"/>
              </w:rPr>
            </w:pPr>
            <w:r>
              <w:rPr>
                <w:rFonts w:ascii="Times New Roman"/>
              </w:rPr>
              <w:t>12</w:t>
            </w:r>
          </w:p>
        </w:tc>
        <w:tc>
          <w:tcPr>
            <w:tcW w:w="1650" w:type="dxa"/>
            <w:vAlign w:val="top"/>
          </w:tcPr>
          <w:p>
            <w:pPr>
              <w:pStyle w:val="88"/>
              <w:spacing w:before="89"/>
              <w:ind w:left="89" w:right="82"/>
              <w:jc w:val="center"/>
            </w:pPr>
            <w:r>
              <w:t>灼烫</w:t>
            </w:r>
          </w:p>
        </w:tc>
        <w:tc>
          <w:tcPr>
            <w:tcW w:w="2130" w:type="dxa"/>
            <w:vAlign w:val="top"/>
          </w:tcPr>
          <w:p>
            <w:pPr>
              <w:pStyle w:val="88"/>
              <w:spacing w:before="89"/>
              <w:ind w:left="47" w:right="37"/>
              <w:jc w:val="center"/>
            </w:pPr>
            <w:r>
              <w:t>缓冲罐区</w:t>
            </w:r>
          </w:p>
        </w:tc>
        <w:tc>
          <w:tcPr>
            <w:tcW w:w="4035" w:type="dxa"/>
            <w:vAlign w:val="top"/>
          </w:tcPr>
          <w:p>
            <w:pPr>
              <w:pStyle w:val="88"/>
              <w:spacing w:before="89"/>
              <w:ind w:left="9"/>
            </w:pPr>
            <w:r>
              <w:t>加热蒸汽泄漏。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394" w:type="dxa"/>
            <w:vAlign w:val="top"/>
          </w:tcPr>
          <w:p>
            <w:pPr>
              <w:pStyle w:val="88"/>
              <w:spacing w:before="130"/>
              <w:ind w:left="55" w:right="46"/>
              <w:jc w:val="center"/>
              <w:rPr>
                <w:rFonts w:ascii="Times New Roman"/>
              </w:rPr>
            </w:pPr>
            <w:r>
              <w:rPr>
                <w:rFonts w:ascii="Times New Roman"/>
              </w:rPr>
              <w:t>13</w:t>
            </w:r>
          </w:p>
        </w:tc>
        <w:tc>
          <w:tcPr>
            <w:tcW w:w="1650" w:type="dxa"/>
            <w:vAlign w:val="top"/>
          </w:tcPr>
          <w:p>
            <w:pPr>
              <w:pStyle w:val="88"/>
              <w:spacing w:line="268" w:lineRule="exact"/>
              <w:ind w:left="89" w:right="82"/>
              <w:jc w:val="center"/>
            </w:pPr>
            <w:r>
              <w:t>其它危害（噪</w:t>
            </w:r>
          </w:p>
          <w:p>
            <w:pPr>
              <w:pStyle w:val="88"/>
              <w:spacing w:before="4" w:line="252" w:lineRule="exact"/>
              <w:ind w:left="89" w:right="82"/>
              <w:jc w:val="center"/>
            </w:pPr>
            <w:r>
              <w:t>声）</w:t>
            </w:r>
          </w:p>
        </w:tc>
        <w:tc>
          <w:tcPr>
            <w:tcW w:w="2130" w:type="dxa"/>
            <w:vAlign w:val="top"/>
          </w:tcPr>
          <w:p>
            <w:pPr>
              <w:pStyle w:val="88"/>
              <w:spacing w:before="135"/>
              <w:ind w:left="49" w:right="36"/>
              <w:jc w:val="center"/>
            </w:pPr>
            <w:r>
              <w:t>专用线、装卸区</w:t>
            </w:r>
          </w:p>
        </w:tc>
        <w:tc>
          <w:tcPr>
            <w:tcW w:w="4035" w:type="dxa"/>
            <w:vAlign w:val="top"/>
          </w:tcPr>
          <w:p>
            <w:pPr>
              <w:pStyle w:val="88"/>
              <w:spacing w:line="268" w:lineRule="exact"/>
              <w:ind w:left="9"/>
            </w:pPr>
            <w:r>
              <w:t>运营机械噪声；</w:t>
            </w:r>
          </w:p>
          <w:p>
            <w:pPr>
              <w:pStyle w:val="88"/>
              <w:spacing w:before="4" w:line="252" w:lineRule="exact"/>
              <w:ind w:left="9"/>
            </w:pPr>
            <w:r>
              <w:t>轮轨噪声，机车鸣笛噪声，列车制动噪声等。</w:t>
            </w:r>
          </w:p>
        </w:tc>
      </w:tr>
    </w:tbl>
    <w:p>
      <w:pPr>
        <w:spacing w:line="360" w:lineRule="auto"/>
        <w:jc w:val="center"/>
        <w:rPr>
          <w:rFonts w:hint="eastAsia" w:ascii="宋体" w:hAnsi="宋体" w:cs="宋体"/>
          <w:sz w:val="28"/>
          <w:szCs w:val="28"/>
        </w:rPr>
      </w:pPr>
    </w:p>
    <w:p>
      <w:pPr>
        <w:spacing w:line="360" w:lineRule="auto"/>
        <w:jc w:val="center"/>
        <w:rPr>
          <w:rFonts w:hint="eastAsia" w:ascii="宋体" w:hAnsi="宋体" w:cs="宋体"/>
          <w:sz w:val="28"/>
          <w:szCs w:val="28"/>
        </w:rPr>
        <w:sectPr>
          <w:pgSz w:w="11910" w:h="16840"/>
          <w:pgMar w:top="1440" w:right="1800" w:bottom="1440" w:left="1800" w:header="877" w:footer="771" w:gutter="0"/>
          <w:cols w:space="720" w:num="1"/>
        </w:sectPr>
      </w:pPr>
    </w:p>
    <w:p>
      <w:pPr>
        <w:spacing w:line="360" w:lineRule="auto"/>
        <w:outlineLvl w:val="0"/>
        <w:rPr>
          <w:rFonts w:eastAsia="黑体"/>
          <w:b/>
          <w:sz w:val="32"/>
          <w:szCs w:val="32"/>
        </w:rPr>
      </w:pPr>
      <w:bookmarkStart w:id="118" w:name="_Toc17183"/>
      <w:r>
        <w:rPr>
          <w:rFonts w:eastAsia="黑体"/>
          <w:b/>
          <w:sz w:val="32"/>
          <w:szCs w:val="32"/>
        </w:rPr>
        <w:t>4 现有安全管理措施、安全技术、监控措施和事故应急措施</w:t>
      </w:r>
      <w:bookmarkEnd w:id="118"/>
    </w:p>
    <w:p>
      <w:pPr>
        <w:pStyle w:val="4"/>
        <w:tabs>
          <w:tab w:val="left" w:pos="1540"/>
          <w:tab w:val="left" w:pos="1541"/>
        </w:tabs>
        <w:spacing w:before="45" w:after="0" w:line="360" w:lineRule="auto"/>
        <w:jc w:val="left"/>
        <w:rPr>
          <w:rFonts w:hint="eastAsia" w:ascii="宋体" w:hAnsi="宋体" w:eastAsia="宋体" w:cs="宋体"/>
          <w:sz w:val="28"/>
          <w:szCs w:val="28"/>
        </w:rPr>
      </w:pPr>
      <w:bookmarkStart w:id="119" w:name="_Toc25855"/>
      <w:bookmarkStart w:id="120" w:name="_Toc438205781"/>
      <w:r>
        <w:rPr>
          <w:rFonts w:hint="eastAsia" w:ascii="宋体" w:hAnsi="宋体" w:eastAsia="宋体" w:cs="宋体"/>
          <w:sz w:val="28"/>
          <w:szCs w:val="28"/>
        </w:rPr>
        <w:t>4.1 主要设备设施安全对策措施</w:t>
      </w:r>
      <w:bookmarkEnd w:id="119"/>
    </w:p>
    <w:p>
      <w:pPr>
        <w:pStyle w:val="16"/>
        <w:spacing w:before="123" w:line="360" w:lineRule="auto"/>
        <w:ind w:right="405" w:firstLine="559"/>
        <w:rPr>
          <w:rFonts w:hint="eastAsia" w:ascii="宋体" w:hAnsi="宋体" w:eastAsia="宋体" w:cs="宋体"/>
          <w:sz w:val="28"/>
          <w:szCs w:val="28"/>
        </w:rPr>
      </w:pPr>
      <w:r>
        <w:rPr>
          <w:rFonts w:hint="eastAsia" w:ascii="宋体" w:hAnsi="宋体" w:eastAsia="宋体" w:cs="宋体"/>
          <w:sz w:val="28"/>
          <w:szCs w:val="28"/>
        </w:rPr>
        <w:t>1、保证道岔处的警冲标外露，明显易见，不得有杂草、树木或其他物体遮挡警冲标，保证机车司机能确认车辆已推入警冲标内。</w:t>
      </w:r>
    </w:p>
    <w:p>
      <w:pPr>
        <w:pStyle w:val="16"/>
        <w:spacing w:line="360" w:lineRule="auto"/>
        <w:ind w:right="413" w:firstLine="559"/>
        <w:rPr>
          <w:rFonts w:hint="eastAsia" w:ascii="宋体" w:hAnsi="宋体" w:eastAsia="宋体" w:cs="宋体"/>
          <w:sz w:val="28"/>
          <w:szCs w:val="28"/>
        </w:rPr>
      </w:pPr>
      <w:r>
        <w:rPr>
          <w:rFonts w:hint="eastAsia" w:ascii="宋体" w:hAnsi="宋体" w:eastAsia="宋体" w:cs="宋体"/>
          <w:sz w:val="28"/>
          <w:szCs w:val="28"/>
        </w:rPr>
        <w:t>2、加强专用线路、通信设备、机车的管理和检查，发现问题，及时通知被委托方。</w:t>
      </w:r>
    </w:p>
    <w:p>
      <w:pPr>
        <w:pStyle w:val="16"/>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3、专用线两侧的任何设施、设备不得侵入铁路安全界限内。</w:t>
      </w:r>
    </w:p>
    <w:p>
      <w:pPr>
        <w:pStyle w:val="16"/>
        <w:spacing w:before="185" w:line="360" w:lineRule="auto"/>
        <w:ind w:right="405" w:firstLine="559"/>
        <w:rPr>
          <w:rFonts w:hint="eastAsia" w:ascii="宋体" w:hAnsi="宋体" w:eastAsia="宋体" w:cs="宋体"/>
          <w:sz w:val="28"/>
          <w:szCs w:val="28"/>
        </w:rPr>
      </w:pPr>
      <w:r>
        <w:rPr>
          <w:rFonts w:hint="eastAsia" w:ascii="宋体" w:hAnsi="宋体" w:eastAsia="宋体" w:cs="宋体"/>
          <w:sz w:val="28"/>
          <w:szCs w:val="28"/>
        </w:rPr>
        <w:t>4、经常检查钢轨、栈桥、鹤管、泵电机、输送管道等接地设施是否良好，不合格时及时采取措施处理。</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pacing w:val="-6"/>
          <w:sz w:val="28"/>
          <w:szCs w:val="28"/>
        </w:rPr>
        <w:t>、对可能发生坠落危险的地方，应设置护栏等安全设施，防止高处坠</w:t>
      </w:r>
      <w:r>
        <w:rPr>
          <w:rFonts w:hint="eastAsia" w:ascii="宋体" w:hAnsi="宋体" w:eastAsia="宋体" w:cs="宋体"/>
          <w:sz w:val="28"/>
          <w:szCs w:val="28"/>
        </w:rPr>
        <w:t>落。</w:t>
      </w:r>
    </w:p>
    <w:p>
      <w:pPr>
        <w:pStyle w:val="16"/>
        <w:spacing w:line="360" w:lineRule="auto"/>
        <w:ind w:right="456" w:firstLine="559"/>
        <w:rPr>
          <w:rFonts w:hint="eastAsia" w:ascii="宋体" w:hAnsi="宋体" w:eastAsia="宋体" w:cs="宋体"/>
          <w:sz w:val="28"/>
          <w:szCs w:val="28"/>
        </w:rPr>
      </w:pPr>
      <w:r>
        <w:rPr>
          <w:rFonts w:hint="eastAsia" w:ascii="宋体" w:hAnsi="宋体" w:eastAsia="宋体" w:cs="宋体"/>
          <w:sz w:val="28"/>
          <w:szCs w:val="28"/>
        </w:rPr>
        <w:t>6</w:t>
      </w:r>
      <w:r>
        <w:rPr>
          <w:rFonts w:hint="eastAsia" w:ascii="宋体" w:hAnsi="宋体" w:eastAsia="宋体" w:cs="宋体"/>
          <w:spacing w:val="-5"/>
          <w:sz w:val="28"/>
          <w:szCs w:val="28"/>
        </w:rPr>
        <w:t>、栈桥以及泵棚的消除人体静电装置应定期检查，发现损坏，及时修复。</w:t>
      </w:r>
    </w:p>
    <w:p>
      <w:pPr>
        <w:pStyle w:val="16"/>
        <w:spacing w:line="360" w:lineRule="auto"/>
        <w:ind w:right="457" w:firstLine="559"/>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eastAsia="宋体" w:cs="宋体"/>
          <w:spacing w:val="-6"/>
          <w:sz w:val="28"/>
          <w:szCs w:val="28"/>
        </w:rPr>
        <w:t>、专用线装卸区的消防器材应定期进行检查，发现问题应及时进行更</w:t>
      </w:r>
      <w:r>
        <w:rPr>
          <w:rFonts w:hint="eastAsia" w:ascii="宋体" w:hAnsi="宋体" w:eastAsia="宋体" w:cs="宋体"/>
          <w:sz w:val="28"/>
          <w:szCs w:val="28"/>
        </w:rPr>
        <w:t>换。</w:t>
      </w:r>
    </w:p>
    <w:p>
      <w:pPr>
        <w:pStyle w:val="16"/>
        <w:spacing w:line="360" w:lineRule="auto"/>
        <w:ind w:right="405" w:firstLine="559"/>
        <w:rPr>
          <w:rFonts w:hint="eastAsia" w:ascii="宋体" w:hAnsi="宋体" w:eastAsia="宋体" w:cs="宋体"/>
          <w:sz w:val="28"/>
          <w:szCs w:val="28"/>
        </w:rPr>
      </w:pPr>
      <w:r>
        <w:rPr>
          <w:rFonts w:hint="eastAsia" w:ascii="宋体" w:hAnsi="宋体" w:eastAsia="宋体" w:cs="宋体"/>
          <w:sz w:val="28"/>
          <w:szCs w:val="28"/>
        </w:rPr>
        <w:t>8、应有能够传递安全信息的安全警示牌，以提醒人员注意安全，采取安全措施，比如：“禁止烟火”、“禁止吸烟”等安全标志。</w:t>
      </w:r>
    </w:p>
    <w:p>
      <w:pPr>
        <w:pStyle w:val="4"/>
        <w:tabs>
          <w:tab w:val="left" w:pos="1540"/>
          <w:tab w:val="left" w:pos="1541"/>
        </w:tabs>
        <w:spacing w:before="0" w:after="0" w:line="360" w:lineRule="auto"/>
        <w:jc w:val="left"/>
        <w:rPr>
          <w:rFonts w:hint="eastAsia" w:ascii="宋体" w:hAnsi="宋体" w:eastAsia="宋体" w:cs="宋体"/>
          <w:sz w:val="28"/>
          <w:szCs w:val="28"/>
        </w:rPr>
      </w:pPr>
      <w:bookmarkStart w:id="121" w:name="_bookmark100"/>
      <w:bookmarkEnd w:id="121"/>
      <w:bookmarkStart w:id="122" w:name="_Toc26328"/>
      <w:r>
        <w:rPr>
          <w:rFonts w:hint="eastAsia" w:ascii="宋体" w:hAnsi="宋体" w:eastAsia="宋体" w:cs="宋体"/>
          <w:sz w:val="28"/>
          <w:szCs w:val="28"/>
        </w:rPr>
        <w:t>4.2运输及装卸过程安全对策措施</w:t>
      </w:r>
      <w:bookmarkEnd w:id="122"/>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1、本项目专用线初期采用内燃机车牵引，若远期恢复采用电力机车牵引，应避免在装卸作业时存在机车车辆跨工厂站内的绝缘轨缝停留，避免接触网电流进入危险货物装卸作业区。</w:t>
      </w:r>
    </w:p>
    <w:p>
      <w:pPr>
        <w:pStyle w:val="16"/>
        <w:spacing w:before="4" w:line="360" w:lineRule="auto"/>
        <w:ind w:right="457" w:firstLine="559"/>
        <w:rPr>
          <w:rFonts w:hint="eastAsia" w:ascii="宋体" w:hAnsi="宋体" w:eastAsia="宋体" w:cs="宋体"/>
          <w:sz w:val="28"/>
          <w:szCs w:val="28"/>
        </w:rPr>
        <w:sectPr>
          <w:pgSz w:w="11910" w:h="16840"/>
          <w:pgMar w:top="1440" w:right="1800" w:bottom="1440" w:left="1800" w:header="877" w:footer="771" w:gutter="0"/>
          <w:cols w:space="720" w:num="1"/>
        </w:sectPr>
      </w:pP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color w:val="C00000"/>
          <w:sz w:val="28"/>
          <w:szCs w:val="28"/>
          <w:lang w:val="zh-CN" w:eastAsia="zh-CN"/>
        </w:rPr>
        <w:t>检查通往装卸区轨道电路终端加装的封连线的完好性，防止轨道电路绝缘破损轨道电流对</w:t>
      </w:r>
      <w:r>
        <w:rPr>
          <w:rFonts w:hint="eastAsia" w:ascii="宋体" w:hAnsi="宋体" w:eastAsia="宋体" w:cs="宋体"/>
          <w:color w:val="C00000"/>
          <w:sz w:val="28"/>
          <w:szCs w:val="28"/>
          <w:lang w:val="zh-CN"/>
        </w:rPr>
        <w:t>装卸作业造成危害</w:t>
      </w:r>
      <w:r>
        <w:rPr>
          <w:rFonts w:hint="eastAsia" w:ascii="宋体" w:hAnsi="宋体" w:eastAsia="宋体" w:cs="宋体"/>
          <w:sz w:val="28"/>
          <w:szCs w:val="28"/>
        </w:rPr>
        <w:t>。</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3、铁路机车推送罐车进入</w:t>
      </w:r>
      <w:r>
        <w:rPr>
          <w:rFonts w:hint="eastAsia" w:ascii="宋体" w:hAnsi="宋体" w:eastAsia="宋体" w:cs="宋体"/>
          <w:color w:val="C00000"/>
          <w:sz w:val="28"/>
          <w:szCs w:val="28"/>
          <w:lang w:val="zh-CN"/>
        </w:rPr>
        <w:t>卸车线</w:t>
      </w:r>
      <w:r>
        <w:rPr>
          <w:rFonts w:hint="eastAsia" w:ascii="宋体" w:hAnsi="宋体" w:eastAsia="宋体" w:cs="宋体"/>
          <w:sz w:val="28"/>
          <w:szCs w:val="28"/>
        </w:rPr>
        <w:t>时，必须按规定限速，并将罐车组推入警冲标内。</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color w:val="C00000"/>
          <w:sz w:val="28"/>
          <w:szCs w:val="28"/>
          <w:lang w:val="zh-CN"/>
        </w:rPr>
        <w:t>罐车对好货位后停车，采取防溜措施，机车方可离开。机车离开后，应及时关闭装卸区大门</w:t>
      </w:r>
      <w:r>
        <w:rPr>
          <w:rFonts w:hint="eastAsia" w:ascii="宋体" w:hAnsi="宋体" w:eastAsia="宋体" w:cs="宋体"/>
          <w:sz w:val="28"/>
          <w:szCs w:val="28"/>
        </w:rPr>
        <w:t>。</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color w:val="C00000"/>
          <w:sz w:val="28"/>
          <w:szCs w:val="28"/>
          <w:lang w:val="zh-CN"/>
        </w:rPr>
        <w:t>罐车进行卸车前，钢轨、管路、栈桥、鹤管及罐车罐体应进行等电位接地</w:t>
      </w:r>
      <w:r>
        <w:rPr>
          <w:rFonts w:hint="eastAsia" w:ascii="宋体" w:hAnsi="宋体" w:eastAsia="宋体" w:cs="宋体"/>
          <w:sz w:val="28"/>
          <w:szCs w:val="28"/>
        </w:rPr>
        <w:t>。</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6、罐车停稳后，需静止 15min 以上，使罐车中的静电充分疏泄，才能进行化卸车作业。</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7、上罐车顶进行作业的人员必须系安全带，对可能发生坠落危险的地方，设置护栏等安全设施。</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8、在卸车工作开展前，作业人员必须严格按要求检查卸车设备和卸车对象，确认是否符合安全要求，符合安全后，才能开始装卸作业。</w:t>
      </w:r>
    </w:p>
    <w:p>
      <w:pPr>
        <w:ind w:firstLine="560" w:firstLineChars="200"/>
        <w:rPr>
          <w:rFonts w:hint="eastAsia" w:ascii="宋体" w:hAnsi="宋体" w:eastAsia="宋体" w:cs="宋体"/>
          <w:color w:val="C00000"/>
          <w:sz w:val="28"/>
          <w:szCs w:val="28"/>
          <w:lang w:val="zh-CN"/>
        </w:rPr>
      </w:pPr>
      <w:r>
        <w:rPr>
          <w:rFonts w:hint="eastAsia" w:ascii="宋体" w:hAnsi="宋体" w:eastAsia="宋体" w:cs="宋体"/>
          <w:sz w:val="28"/>
          <w:szCs w:val="28"/>
        </w:rPr>
        <w:t>9、</w:t>
      </w:r>
      <w:r>
        <w:rPr>
          <w:rFonts w:hint="eastAsia" w:ascii="宋体" w:hAnsi="宋体" w:eastAsia="宋体" w:cs="宋体"/>
          <w:color w:val="C00000"/>
          <w:sz w:val="28"/>
          <w:szCs w:val="28"/>
          <w:lang w:val="zh-CN"/>
        </w:rPr>
        <w:t>在卸车工作开展前，作业人员必须严格按要求检查卸车</w:t>
      </w:r>
    </w:p>
    <w:p>
      <w:pPr>
        <w:rPr>
          <w:rFonts w:hint="eastAsia" w:ascii="宋体" w:hAnsi="宋体" w:eastAsia="宋体" w:cs="宋体"/>
          <w:color w:val="C00000"/>
          <w:sz w:val="28"/>
          <w:szCs w:val="28"/>
          <w:lang w:val="zh-CN"/>
        </w:rPr>
      </w:pPr>
      <w:r>
        <w:rPr>
          <w:rFonts w:hint="eastAsia" w:ascii="宋体" w:hAnsi="宋体" w:eastAsia="宋体" w:cs="宋体"/>
          <w:color w:val="C00000"/>
          <w:sz w:val="28"/>
          <w:szCs w:val="28"/>
          <w:lang w:val="zh-CN"/>
        </w:rPr>
        <w:t>设备和卸车对象，确认是否符合安全要求，符合安全后，才能</w:t>
      </w:r>
    </w:p>
    <w:p>
      <w:pPr>
        <w:rPr>
          <w:rFonts w:hint="eastAsia" w:ascii="宋体" w:hAnsi="宋体" w:eastAsia="宋体" w:cs="宋体"/>
          <w:sz w:val="28"/>
          <w:szCs w:val="28"/>
        </w:rPr>
      </w:pPr>
      <w:r>
        <w:rPr>
          <w:rFonts w:hint="eastAsia" w:ascii="宋体" w:hAnsi="宋体" w:eastAsia="宋体" w:cs="宋体"/>
          <w:color w:val="C00000"/>
          <w:sz w:val="28"/>
          <w:szCs w:val="28"/>
          <w:lang w:val="zh-CN"/>
        </w:rPr>
        <w:t>开始卸车作业。</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10、卸车作业时，作业人员必须佩戴劳动防护用品。</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11、卸车作业过程中，禁止敲打撞击，应使用防爆工具（如铜质工具）。</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12、卸车作业时，要随时巡查管线、阀门、储罐等有无异常情况。发现问题及时上报，必要时停机关阀进行检查。</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13、卸车作业过程中，必须随时检测装卸作业区的可燃液体浓度。浓度过高，采取相应措施，必要时停止作业。</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14、卸车作业结束，应对现场进行清扫，使各种设备保持干净。</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15、</w:t>
      </w:r>
      <w:r>
        <w:rPr>
          <w:rFonts w:hint="eastAsia" w:ascii="宋体" w:hAnsi="宋体" w:eastAsia="宋体" w:cs="宋体"/>
          <w:color w:val="C00000"/>
          <w:sz w:val="28"/>
          <w:szCs w:val="28"/>
          <w:lang w:val="zh-CN"/>
        </w:rPr>
        <w:t>调车作业时，应由调车员单一指挥，遇紧急情况时立即停止调车作业，查明情况再进行作业。</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16、</w:t>
      </w:r>
      <w:r>
        <w:rPr>
          <w:rFonts w:hint="eastAsia" w:ascii="宋体" w:hAnsi="宋体" w:eastAsia="宋体" w:cs="宋体"/>
          <w:color w:val="C00000"/>
          <w:sz w:val="28"/>
          <w:szCs w:val="28"/>
          <w:lang w:val="zh-CN"/>
        </w:rPr>
        <w:t>机车出库前，应确保机车状态良好。</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17、专用线停留车辆防溜措施：</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color w:val="C00000"/>
          <w:sz w:val="28"/>
          <w:szCs w:val="28"/>
          <w:lang w:val="zh-CN"/>
        </w:rPr>
        <w:t>送入厂区专用线的车辆不进行调车作业时应连挂在一起，由调车组人员负责做好防溜措施（紧固器、人力制动机、铁鞋）</w:t>
      </w:r>
      <w:r>
        <w:rPr>
          <w:rFonts w:hint="eastAsia" w:ascii="宋体" w:hAnsi="宋体" w:eastAsia="宋体" w:cs="宋体"/>
          <w:sz w:val="28"/>
          <w:szCs w:val="28"/>
        </w:rPr>
        <w:t>。</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color w:val="C00000"/>
          <w:sz w:val="28"/>
          <w:szCs w:val="28"/>
          <w:lang w:val="zh-CN"/>
        </w:rPr>
        <w:t>因对货位需分组停放车辆时，应分别做好防溜措施</w:t>
      </w:r>
      <w:r>
        <w:rPr>
          <w:rFonts w:hint="eastAsia" w:ascii="宋体" w:hAnsi="宋体" w:eastAsia="宋体" w:cs="宋体"/>
          <w:sz w:val="28"/>
          <w:szCs w:val="28"/>
        </w:rPr>
        <w:t>。</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color w:val="C00000"/>
          <w:sz w:val="28"/>
          <w:szCs w:val="28"/>
          <w:lang w:val="zh-CN"/>
        </w:rPr>
        <w:t>取车作业时，对遗留车辆的防溜措施也要按上述要求办理。停留车辆防溜措施采取妥当后由调车组人员与企业运输员在《防溜交接簿》上办理交接手续</w:t>
      </w:r>
      <w:r>
        <w:rPr>
          <w:rFonts w:hint="eastAsia" w:ascii="宋体" w:hAnsi="宋体" w:eastAsia="宋体" w:cs="宋体"/>
          <w:sz w:val="28"/>
          <w:szCs w:val="28"/>
        </w:rPr>
        <w:t>。</w:t>
      </w:r>
    </w:p>
    <w:p>
      <w:pPr>
        <w:pStyle w:val="16"/>
        <w:spacing w:before="4" w:line="360" w:lineRule="auto"/>
        <w:ind w:right="457" w:firstLine="559"/>
        <w:rPr>
          <w:rFonts w:hint="eastAsia" w:ascii="宋体" w:hAnsi="宋体" w:eastAsia="宋体" w:cs="宋体"/>
          <w:color w:val="C00000"/>
          <w:sz w:val="28"/>
          <w:szCs w:val="28"/>
          <w:lang w:val="zh-CN"/>
        </w:rPr>
      </w:pPr>
      <w:r>
        <w:rPr>
          <w:rFonts w:hint="eastAsia" w:ascii="宋体" w:hAnsi="宋体" w:eastAsia="宋体" w:cs="宋体"/>
          <w:color w:val="C00000"/>
          <w:sz w:val="28"/>
          <w:szCs w:val="28"/>
          <w:lang w:val="zh-CN"/>
        </w:rPr>
        <w:t>本专用线内禁止手推调车作业。</w:t>
      </w:r>
    </w:p>
    <w:p>
      <w:pPr>
        <w:pStyle w:val="16"/>
        <w:spacing w:before="4" w:line="360" w:lineRule="auto"/>
        <w:ind w:right="457" w:firstLine="559"/>
        <w:rPr>
          <w:rFonts w:hint="eastAsia" w:ascii="宋体" w:hAnsi="宋体" w:eastAsia="宋体" w:cs="宋体"/>
          <w:sz w:val="28"/>
          <w:szCs w:val="28"/>
          <w:lang w:val="zh-CN"/>
        </w:rPr>
      </w:pPr>
      <w:r>
        <w:rPr>
          <w:rFonts w:hint="eastAsia" w:ascii="宋体" w:hAnsi="宋体" w:eastAsia="宋体" w:cs="宋体"/>
          <w:color w:val="C00000"/>
          <w:sz w:val="28"/>
          <w:szCs w:val="28"/>
          <w:lang w:val="zh-CN"/>
        </w:rPr>
        <w:t>在到发线、调车线以外的线路上禁止停留车辆。调车作业中临时停留的车辆，须做好防溜措施。车站对停留车辆防溜措施执行情况每天要实行</w:t>
      </w:r>
      <w:r>
        <w:rPr>
          <w:rFonts w:hint="eastAsia" w:ascii="宋体" w:hAnsi="宋体" w:eastAsia="宋体" w:cs="宋体"/>
          <w:color w:val="C00000"/>
          <w:sz w:val="28"/>
          <w:szCs w:val="28"/>
          <w:lang w:val="en-US" w:eastAsia="zh-CN"/>
        </w:rPr>
        <w:t>4小时</w:t>
      </w:r>
      <w:r>
        <w:rPr>
          <w:rFonts w:hint="eastAsia" w:ascii="宋体" w:hAnsi="宋体" w:eastAsia="宋体" w:cs="宋体"/>
          <w:color w:val="C00000"/>
          <w:sz w:val="28"/>
          <w:szCs w:val="28"/>
          <w:lang w:val="zh-CN"/>
        </w:rPr>
        <w:t>定期巡查。机车在车站停留时，乘务员不得擅自离开机车，并保持机车制动</w:t>
      </w:r>
      <w:r>
        <w:rPr>
          <w:rFonts w:hint="eastAsia" w:ascii="宋体" w:hAnsi="宋体" w:eastAsia="宋体" w:cs="宋体"/>
          <w:sz w:val="28"/>
          <w:szCs w:val="28"/>
          <w:lang w:val="zh-CN"/>
        </w:rPr>
        <w:t>。</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调车作业摘车时，必须停妥，采取好防溜措施，方可摘开车钩； 挂车时没有连挂妥当，不得撤除防溜措施。</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18、从下部接卸铁路油罐车的卸油系统，应采用密闭管道系统。从上部向铁路油罐车灌装甲、乙类油品时，应采用插到油罐车底部的鹤管。鹤管内的油品流速，不应大于 4.5m/s。</w:t>
      </w:r>
    </w:p>
    <w:p>
      <w:pPr>
        <w:pStyle w:val="16"/>
        <w:spacing w:before="4" w:line="360" w:lineRule="auto"/>
        <w:ind w:right="457"/>
        <w:rPr>
          <w:rFonts w:hint="eastAsia" w:ascii="宋体" w:hAnsi="宋体" w:eastAsia="宋体" w:cs="宋体"/>
          <w:b/>
          <w:bCs/>
          <w:sz w:val="28"/>
          <w:szCs w:val="28"/>
          <w:lang w:val="en-US" w:eastAsia="zh-CN"/>
        </w:rPr>
      </w:pPr>
      <w:bookmarkStart w:id="123" w:name="_Toc521943579"/>
      <w:bookmarkStart w:id="124" w:name="_Toc518929306"/>
      <w:bookmarkStart w:id="125" w:name="_Toc514922046"/>
      <w:bookmarkStart w:id="126" w:name="_Toc529038618"/>
      <w:bookmarkStart w:id="127" w:name="_Toc523318688"/>
      <w:r>
        <w:rPr>
          <w:rFonts w:hint="eastAsia" w:ascii="宋体" w:hAnsi="宋体" w:eastAsia="宋体" w:cs="宋体"/>
          <w:b/>
          <w:bCs/>
          <w:sz w:val="28"/>
          <w:szCs w:val="28"/>
          <w:lang w:val="en-US" w:eastAsia="zh-CN"/>
        </w:rPr>
        <w:t>4.3爆炸</w:t>
      </w:r>
      <w:bookmarkEnd w:id="123"/>
      <w:bookmarkEnd w:id="124"/>
      <w:bookmarkEnd w:id="125"/>
      <w:r>
        <w:rPr>
          <w:rFonts w:hint="eastAsia" w:ascii="宋体" w:hAnsi="宋体" w:eastAsia="宋体" w:cs="宋体"/>
          <w:b/>
          <w:bCs/>
          <w:sz w:val="28"/>
          <w:szCs w:val="28"/>
          <w:lang w:val="en-US" w:eastAsia="zh-CN"/>
        </w:rPr>
        <w:t>事故预防控制措施</w:t>
      </w:r>
      <w:bookmarkEnd w:id="126"/>
      <w:bookmarkEnd w:id="127"/>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1、消除可燃物，加强对装置、管道的密封，加强设备安全管理，定期对设备、各种工艺管道等设备设施及部件的检查维护，防止泄漏，加强通风，防止易燃气体积聚。</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2、划定禁火区域，严格执行动火审批制度，</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3、采取防静电接地措施，避免静电积累。保证设备、管道接地装置的有效性，应定期请当地有关部门进行检测。</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4、严禁使用铁器等发火工具，避免产生撞击火花，操作人员不穿化纤等能产生静电的服装上岗。</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5、严格执行动火审批制度，高处焊接、切割，必须设有兜接火花溅落的措施。</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6、禁止在雷击时进行作业。</w:t>
      </w:r>
    </w:p>
    <w:p>
      <w:pPr>
        <w:pStyle w:val="16"/>
        <w:spacing w:before="4" w:line="360" w:lineRule="auto"/>
        <w:ind w:right="457" w:firstLine="559"/>
        <w:rPr>
          <w:rFonts w:hint="eastAsia" w:ascii="宋体" w:hAnsi="宋体" w:eastAsia="宋体" w:cs="宋体"/>
          <w:sz w:val="28"/>
          <w:szCs w:val="28"/>
        </w:rPr>
      </w:pPr>
      <w:r>
        <w:rPr>
          <w:rFonts w:hint="eastAsia" w:ascii="宋体" w:hAnsi="宋体" w:eastAsia="宋体" w:cs="宋体"/>
          <w:sz w:val="28"/>
          <w:szCs w:val="28"/>
        </w:rPr>
        <w:t>7、爆炸区域范围内电气设备严禁采用非防爆型，线路应穿管保护。</w:t>
      </w:r>
    </w:p>
    <w:p>
      <w:pPr>
        <w:pStyle w:val="4"/>
        <w:rPr>
          <w:rFonts w:hint="eastAsia" w:ascii="宋体" w:hAnsi="宋体" w:eastAsia="宋体" w:cs="宋体"/>
          <w:sz w:val="28"/>
          <w:szCs w:val="28"/>
        </w:rPr>
      </w:pPr>
      <w:bookmarkStart w:id="128" w:name="_Toc3473"/>
      <w:bookmarkStart w:id="129" w:name="_Toc529038615"/>
      <w:bookmarkStart w:id="130" w:name="_Toc523318685"/>
      <w:bookmarkStart w:id="131" w:name="_Toc521943576"/>
      <w:r>
        <w:rPr>
          <w:rFonts w:hint="eastAsia" w:ascii="宋体" w:hAnsi="宋体" w:eastAsia="宋体" w:cs="宋体"/>
          <w:sz w:val="28"/>
          <w:szCs w:val="28"/>
        </w:rPr>
        <w:t>4.4火灾事故预防控制措施</w:t>
      </w:r>
      <w:bookmarkEnd w:id="128"/>
      <w:bookmarkEnd w:id="129"/>
      <w:bookmarkEnd w:id="130"/>
      <w:bookmarkEnd w:id="131"/>
    </w:p>
    <w:p>
      <w:pPr>
        <w:spacing w:line="560" w:lineRule="exact"/>
        <w:ind w:firstLine="560" w:firstLineChars="200"/>
        <w:rPr>
          <w:rFonts w:hint="eastAsia" w:ascii="宋体" w:hAnsi="宋体" w:cs="宋体"/>
          <w:sz w:val="28"/>
          <w:szCs w:val="28"/>
        </w:rPr>
      </w:pPr>
      <w:r>
        <w:rPr>
          <w:rFonts w:hint="eastAsia" w:ascii="宋体" w:hAnsi="宋体" w:cs="宋体"/>
          <w:sz w:val="28"/>
          <w:szCs w:val="28"/>
        </w:rPr>
        <w:t>1、设计通风良好的车间或设置机械通风装置。</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2、应按照《建筑灭火器配置设计规范》（GB50140-2005）等相关标准的要求配置灭火设施。</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1）在同一灭火器配置场所，当选用两种或两种以上类型灭火器时，应采用灭火剂相容的灭火器。（《建筑灭火器配置设计规范》（GB50140-2005）4.1.3）</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2）灭火器应设置在位置明显和便于取用的地点,且不得影响安全疏散。（《建筑灭火器配置设计规范》（GB50140-2005）5.1.1）</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3）设置在火灾场所的灭火器，其最大保护距离应符合GB50140-2005表5.2.1、5.2.2的规定。（《建筑灭火器配置设计规范》（GB50140-2005）5.2）</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4）一个计算单元内配置的灭火器数量不得少于2具。每个设置点的灭火器数量不宜多于5具。（《建筑灭火器配置设计规范》（GB50140-2005）6.1.1、6.1.2）</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5）每个灭火器设置点实配灭火器的灭火级别和数量不得小于最小需配灭火级别和数量的计算值。（《建筑灭火器配置设计规范》（GB50140-2005）7.1.2）</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3、消火栓等应按《建筑设计防火规范》（GB50016-2014）和《消防给水及消火栓系统技术规范》（GB 50974-2014）的规定进行设计。设置一定数量的室外地上消火栓、室内消火栓和各类型的灭火器。</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4、生产车间内的电气装置应符合国家现行的有关电气设计和施工安装验收标准规范的规定；敷设的配电线路，应穿金属管或用非燃硬塑料管保护，电控箱周围不得堆放物料等。</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5、库房内不准设置移动式照明灯具。照明灯具下方不准堆放物品，其垂直下方与储存物品水平间距离不得小于0.5m。</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6、库房应当设置醒目的防火标志，严禁使用明火。库内动用明火作业时，必须办理作业手续，经安全管理负责人批准，并采取严格的安全措施。工作票应当注明工作地点、时间、作业人、现场监护人、批准人和防护措施等内容。</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7、库房内不准使用火炉取暖，不得吸烟等。</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8、制定防火安全管理制度、落实防火责任人。</w:t>
      </w:r>
    </w:p>
    <w:p>
      <w:pPr>
        <w:spacing w:line="560" w:lineRule="exact"/>
        <w:ind w:firstLine="560" w:firstLineChars="200"/>
        <w:rPr>
          <w:rFonts w:hint="eastAsia" w:ascii="宋体" w:hAnsi="宋体" w:cs="宋体"/>
          <w:sz w:val="28"/>
          <w:szCs w:val="28"/>
        </w:rPr>
      </w:pPr>
      <w:r>
        <w:rPr>
          <w:rFonts w:hint="eastAsia" w:ascii="宋体" w:hAnsi="宋体" w:cs="宋体"/>
          <w:sz w:val="28"/>
          <w:szCs w:val="28"/>
        </w:rPr>
        <w:t>9、电器设备必须由持合格证的电工进行安装、检查和维修保养。电工应当严格遵守各项电器操作规程。</w:t>
      </w:r>
    </w:p>
    <w:p>
      <w:pPr>
        <w:pStyle w:val="4"/>
        <w:spacing w:line="360" w:lineRule="auto"/>
        <w:rPr>
          <w:rFonts w:hint="eastAsia" w:ascii="宋体" w:hAnsi="宋体" w:eastAsia="宋体" w:cs="宋体"/>
          <w:sz w:val="28"/>
          <w:szCs w:val="28"/>
        </w:rPr>
      </w:pPr>
      <w:bookmarkStart w:id="132" w:name="_Toc514922048"/>
      <w:bookmarkStart w:id="133" w:name="_Toc521943581"/>
      <w:bookmarkStart w:id="134" w:name="_Toc518929308"/>
      <w:bookmarkStart w:id="135" w:name="_Toc529038620"/>
      <w:bookmarkStart w:id="136" w:name="_Toc523318690"/>
      <w:bookmarkStart w:id="137" w:name="_Toc11399"/>
      <w:r>
        <w:rPr>
          <w:rFonts w:hint="eastAsia" w:ascii="宋体" w:hAnsi="宋体" w:eastAsia="宋体" w:cs="宋体"/>
          <w:sz w:val="28"/>
          <w:szCs w:val="28"/>
        </w:rPr>
        <w:t>4.5中毒、窒息和化学品灼伤</w:t>
      </w:r>
      <w:bookmarkEnd w:id="132"/>
      <w:bookmarkEnd w:id="133"/>
      <w:bookmarkEnd w:id="134"/>
      <w:r>
        <w:rPr>
          <w:rFonts w:hint="eastAsia" w:ascii="宋体" w:hAnsi="宋体" w:eastAsia="宋体" w:cs="宋体"/>
          <w:sz w:val="28"/>
          <w:szCs w:val="28"/>
        </w:rPr>
        <w:t>事故预防控制措施</w:t>
      </w:r>
      <w:bookmarkEnd w:id="135"/>
      <w:bookmarkEnd w:id="136"/>
      <w:bookmarkEnd w:id="137"/>
    </w:p>
    <w:p>
      <w:pPr>
        <w:spacing w:line="360" w:lineRule="auto"/>
        <w:ind w:firstLine="560" w:firstLineChars="200"/>
        <w:rPr>
          <w:sz w:val="28"/>
          <w:szCs w:val="28"/>
        </w:rPr>
      </w:pPr>
      <w:r>
        <w:rPr>
          <w:rFonts w:hint="eastAsia"/>
          <w:sz w:val="28"/>
          <w:szCs w:val="28"/>
        </w:rPr>
        <w:t>1、设备、管道、阀门等应经常检修，防止跑、冒、滴、漏。管道连接件、机泵等的轴密封应密封良好。</w:t>
      </w:r>
    </w:p>
    <w:p>
      <w:pPr>
        <w:spacing w:line="360" w:lineRule="auto"/>
        <w:ind w:firstLine="560" w:firstLineChars="200"/>
        <w:rPr>
          <w:sz w:val="28"/>
          <w:szCs w:val="28"/>
        </w:rPr>
      </w:pPr>
      <w:r>
        <w:rPr>
          <w:rFonts w:hint="eastAsia"/>
          <w:sz w:val="28"/>
          <w:szCs w:val="28"/>
        </w:rPr>
        <w:t>2、生产过程中产生的残液、废气禁止随意放流、放空。</w:t>
      </w:r>
    </w:p>
    <w:p>
      <w:pPr>
        <w:spacing w:line="360" w:lineRule="auto"/>
        <w:ind w:firstLine="560" w:firstLineChars="200"/>
        <w:rPr>
          <w:sz w:val="28"/>
          <w:szCs w:val="28"/>
        </w:rPr>
      </w:pPr>
      <w:r>
        <w:rPr>
          <w:rFonts w:hint="eastAsia"/>
          <w:sz w:val="28"/>
          <w:szCs w:val="28"/>
        </w:rPr>
        <w:t>3、在进行有限空间内作业时，应按《工贸企业有限空间作业安全管理与监督暂行规定》（</w:t>
      </w:r>
      <w:r>
        <w:rPr>
          <w:sz w:val="28"/>
          <w:szCs w:val="28"/>
        </w:rPr>
        <w:t>国家安全生产监督管理总局令</w:t>
      </w:r>
      <w:r>
        <w:rPr>
          <w:rFonts w:hint="eastAsia"/>
          <w:sz w:val="28"/>
          <w:szCs w:val="28"/>
        </w:rPr>
        <w:t>[2013]</w:t>
      </w:r>
      <w:r>
        <w:rPr>
          <w:sz w:val="28"/>
          <w:szCs w:val="28"/>
        </w:rPr>
        <w:t>第</w:t>
      </w:r>
      <w:r>
        <w:rPr>
          <w:rFonts w:hint="eastAsia"/>
          <w:sz w:val="28"/>
          <w:szCs w:val="28"/>
        </w:rPr>
        <w:t>5</w:t>
      </w:r>
      <w:r>
        <w:rPr>
          <w:sz w:val="28"/>
          <w:szCs w:val="28"/>
        </w:rPr>
        <w:t>9号</w:t>
      </w:r>
      <w:r>
        <w:rPr>
          <w:rFonts w:hint="eastAsia"/>
          <w:sz w:val="28"/>
          <w:szCs w:val="28"/>
        </w:rPr>
        <w:t>，根据</w:t>
      </w:r>
      <w:r>
        <w:rPr>
          <w:sz w:val="28"/>
          <w:szCs w:val="28"/>
        </w:rPr>
        <w:t>国家安全生产监督管理总局令</w:t>
      </w:r>
      <w:r>
        <w:rPr>
          <w:rFonts w:hint="eastAsia"/>
          <w:sz w:val="28"/>
          <w:szCs w:val="28"/>
        </w:rPr>
        <w:t>[2015]</w:t>
      </w:r>
      <w:r>
        <w:rPr>
          <w:sz w:val="28"/>
          <w:szCs w:val="28"/>
        </w:rPr>
        <w:t>第</w:t>
      </w:r>
      <w:r>
        <w:rPr>
          <w:rFonts w:hint="eastAsia"/>
          <w:sz w:val="28"/>
          <w:szCs w:val="28"/>
        </w:rPr>
        <w:t>80</w:t>
      </w:r>
      <w:r>
        <w:rPr>
          <w:sz w:val="28"/>
          <w:szCs w:val="28"/>
        </w:rPr>
        <w:t>号修订</w:t>
      </w:r>
      <w:r>
        <w:rPr>
          <w:rFonts w:hint="eastAsia"/>
          <w:sz w:val="28"/>
          <w:szCs w:val="28"/>
        </w:rPr>
        <w:t>）的要求，配备必要仪器、设施（如氧气浓度、有害气体浓度检测报警仪、隔离式呼吸保护器具、通风换气设备和抢救设备等），并应制定周密安全作业程序，按先检测、通风，后作业原则，工作环境中氧含量以及有害气体浓度均达标后，在密切监护下方可作业。</w:t>
      </w:r>
    </w:p>
    <w:p>
      <w:pPr>
        <w:spacing w:line="360" w:lineRule="auto"/>
        <w:ind w:firstLine="560" w:firstLineChars="200"/>
        <w:rPr>
          <w:rFonts w:hint="eastAsia"/>
          <w:sz w:val="28"/>
          <w:szCs w:val="28"/>
        </w:rPr>
      </w:pPr>
      <w:r>
        <w:rPr>
          <w:rFonts w:hint="eastAsia"/>
          <w:sz w:val="28"/>
          <w:szCs w:val="28"/>
        </w:rPr>
        <w:t>4、危化品储存和使用场所应为从业人员配备防毒面具、工作服、防腐蚀、化学灼伤工作服、护目镜等个人防护用品。</w:t>
      </w:r>
    </w:p>
    <w:p>
      <w:pPr>
        <w:spacing w:line="360" w:lineRule="auto"/>
        <w:ind w:firstLine="560" w:firstLineChars="200"/>
        <w:rPr>
          <w:rFonts w:hint="eastAsia"/>
          <w:sz w:val="28"/>
          <w:szCs w:val="28"/>
        </w:rPr>
      </w:pPr>
      <w:r>
        <w:rPr>
          <w:rFonts w:hint="eastAsia"/>
          <w:sz w:val="28"/>
          <w:szCs w:val="28"/>
        </w:rPr>
        <w:t>5、危化品储存和使用场所应有洗眼器、冲淋器、湿毛巾等清洗设备及物品；</w:t>
      </w:r>
    </w:p>
    <w:p>
      <w:pPr>
        <w:spacing w:line="360" w:lineRule="auto"/>
        <w:ind w:firstLine="560" w:firstLineChars="200"/>
        <w:rPr>
          <w:rFonts w:hint="eastAsia"/>
          <w:sz w:val="28"/>
          <w:szCs w:val="28"/>
        </w:rPr>
      </w:pPr>
      <w:r>
        <w:rPr>
          <w:rFonts w:hint="eastAsia"/>
          <w:sz w:val="28"/>
          <w:szCs w:val="28"/>
        </w:rPr>
        <w:t>6、危化品储存和使用场所应配备应急药品。</w:t>
      </w:r>
    </w:p>
    <w:p>
      <w:pPr>
        <w:pStyle w:val="4"/>
        <w:rPr>
          <w:rFonts w:hint="eastAsia" w:ascii="宋体" w:hAnsi="宋体" w:eastAsia="宋体" w:cs="宋体"/>
          <w:sz w:val="28"/>
          <w:szCs w:val="28"/>
        </w:rPr>
      </w:pPr>
      <w:bookmarkStart w:id="138" w:name="_Toc521943578"/>
      <w:bookmarkStart w:id="139" w:name="_Toc518929305"/>
      <w:bookmarkStart w:id="140" w:name="_Toc514922045"/>
      <w:bookmarkStart w:id="141" w:name="_Toc529038617"/>
      <w:bookmarkStart w:id="142" w:name="_Toc523318687"/>
      <w:bookmarkStart w:id="143" w:name="_Toc3701"/>
      <w:r>
        <w:rPr>
          <w:rFonts w:hint="eastAsia" w:ascii="宋体" w:hAnsi="宋体" w:eastAsia="宋体" w:cs="宋体"/>
          <w:sz w:val="28"/>
          <w:szCs w:val="28"/>
        </w:rPr>
        <w:t>4.6触电</w:t>
      </w:r>
      <w:bookmarkEnd w:id="138"/>
      <w:bookmarkEnd w:id="139"/>
      <w:bookmarkEnd w:id="140"/>
      <w:r>
        <w:rPr>
          <w:rFonts w:hint="eastAsia" w:ascii="宋体" w:hAnsi="宋体" w:eastAsia="宋体" w:cs="宋体"/>
          <w:sz w:val="28"/>
          <w:szCs w:val="28"/>
        </w:rPr>
        <w:t>事故预防控制措施</w:t>
      </w:r>
      <w:bookmarkEnd w:id="141"/>
      <w:bookmarkEnd w:id="142"/>
      <w:bookmarkEnd w:id="143"/>
    </w:p>
    <w:p>
      <w:pPr>
        <w:tabs>
          <w:tab w:val="left" w:pos="1260"/>
        </w:tabs>
        <w:spacing w:line="540" w:lineRule="exact"/>
        <w:ind w:firstLine="560" w:firstLineChars="200"/>
        <w:rPr>
          <w:rFonts w:hint="eastAsia"/>
          <w:sz w:val="28"/>
          <w:szCs w:val="28"/>
        </w:rPr>
      </w:pPr>
      <w:r>
        <w:rPr>
          <w:rFonts w:hint="eastAsia"/>
          <w:sz w:val="28"/>
          <w:szCs w:val="28"/>
        </w:rPr>
        <w:t>为保证电气设备安全可靠地运行和操作人员的人身安全，遵守国家有关规范，设有防雷、防爆、防触电、防静电装置。</w:t>
      </w:r>
    </w:p>
    <w:p>
      <w:pPr>
        <w:tabs>
          <w:tab w:val="left" w:pos="1260"/>
        </w:tabs>
        <w:spacing w:line="540" w:lineRule="exact"/>
        <w:ind w:firstLine="560" w:firstLineChars="200"/>
        <w:rPr>
          <w:rFonts w:hint="eastAsia"/>
          <w:sz w:val="28"/>
          <w:szCs w:val="28"/>
        </w:rPr>
      </w:pPr>
      <w:r>
        <w:rPr>
          <w:rFonts w:hint="eastAsia"/>
          <w:sz w:val="28"/>
          <w:szCs w:val="28"/>
        </w:rPr>
        <w:t>1、供配电接地系统采用三相五线制。</w:t>
      </w:r>
    </w:p>
    <w:p>
      <w:pPr>
        <w:tabs>
          <w:tab w:val="left" w:pos="1260"/>
        </w:tabs>
        <w:spacing w:line="540" w:lineRule="exact"/>
        <w:ind w:firstLine="560" w:firstLineChars="200"/>
        <w:rPr>
          <w:rFonts w:hint="eastAsia"/>
          <w:sz w:val="28"/>
          <w:szCs w:val="28"/>
        </w:rPr>
      </w:pPr>
      <w:r>
        <w:rPr>
          <w:rFonts w:hint="eastAsia"/>
          <w:sz w:val="28"/>
          <w:szCs w:val="28"/>
        </w:rPr>
        <w:t>2、工程使用的各类低压用电设备、插座安装漏电保护器。</w:t>
      </w:r>
    </w:p>
    <w:p>
      <w:pPr>
        <w:tabs>
          <w:tab w:val="left" w:pos="1260"/>
        </w:tabs>
        <w:spacing w:line="540" w:lineRule="exact"/>
        <w:ind w:firstLine="560" w:firstLineChars="200"/>
        <w:rPr>
          <w:rFonts w:hint="eastAsia"/>
          <w:sz w:val="28"/>
          <w:szCs w:val="28"/>
        </w:rPr>
      </w:pPr>
      <w:r>
        <w:rPr>
          <w:rFonts w:hint="eastAsia"/>
          <w:sz w:val="28"/>
          <w:szCs w:val="28"/>
        </w:rPr>
        <w:t>3、使用自带漏电保护器的配电柜。</w:t>
      </w:r>
    </w:p>
    <w:p>
      <w:pPr>
        <w:tabs>
          <w:tab w:val="left" w:pos="1260"/>
        </w:tabs>
        <w:spacing w:line="540" w:lineRule="exact"/>
        <w:ind w:firstLine="560" w:firstLineChars="200"/>
        <w:rPr>
          <w:rFonts w:hint="eastAsia"/>
          <w:sz w:val="28"/>
          <w:szCs w:val="28"/>
        </w:rPr>
      </w:pPr>
      <w:r>
        <w:rPr>
          <w:rFonts w:hint="eastAsia"/>
          <w:sz w:val="28"/>
          <w:szCs w:val="28"/>
        </w:rPr>
        <w:t>4、电气设备一般按照不同的使用环境、运行条件和对触电防护的要求，采用不同的绝缘结构。</w:t>
      </w:r>
    </w:p>
    <w:p>
      <w:pPr>
        <w:tabs>
          <w:tab w:val="left" w:pos="1260"/>
        </w:tabs>
        <w:spacing w:line="540" w:lineRule="exact"/>
        <w:ind w:firstLine="560" w:firstLineChars="200"/>
        <w:rPr>
          <w:rFonts w:hint="eastAsia"/>
          <w:sz w:val="28"/>
          <w:szCs w:val="28"/>
        </w:rPr>
      </w:pPr>
      <w:r>
        <w:rPr>
          <w:rFonts w:hint="eastAsia"/>
          <w:sz w:val="28"/>
          <w:szCs w:val="28"/>
        </w:rPr>
        <w:t>5、进行低压操作，人体或其携带的工具与带电体的最小距离小于0.1m；在高压线路上工作时，人体或其携带的工具与临近带电线路的最小距离，5kV及以下为1m；35kV为2.5m。</w:t>
      </w:r>
    </w:p>
    <w:p>
      <w:pPr>
        <w:tabs>
          <w:tab w:val="left" w:pos="1260"/>
        </w:tabs>
        <w:spacing w:line="540" w:lineRule="exact"/>
        <w:ind w:firstLine="560" w:firstLineChars="200"/>
        <w:rPr>
          <w:rFonts w:hint="eastAsia"/>
          <w:sz w:val="28"/>
          <w:szCs w:val="28"/>
        </w:rPr>
      </w:pPr>
      <w:r>
        <w:rPr>
          <w:rFonts w:hint="eastAsia"/>
          <w:sz w:val="28"/>
          <w:szCs w:val="28"/>
        </w:rPr>
        <w:t>6、电缆等导线在给定的工作条件和环境条件下，严禁超负荷和带故障运行，导致绝缘损坏、漏电和发生火灾。</w:t>
      </w:r>
    </w:p>
    <w:p>
      <w:pPr>
        <w:tabs>
          <w:tab w:val="left" w:pos="1260"/>
        </w:tabs>
        <w:spacing w:line="540" w:lineRule="exact"/>
        <w:ind w:firstLine="560" w:firstLineChars="200"/>
        <w:rPr>
          <w:rFonts w:hint="eastAsia"/>
          <w:sz w:val="28"/>
          <w:szCs w:val="28"/>
        </w:rPr>
      </w:pPr>
      <w:r>
        <w:rPr>
          <w:rFonts w:hint="eastAsia"/>
          <w:sz w:val="28"/>
          <w:szCs w:val="28"/>
        </w:rPr>
        <w:t>7、电气设备设置醒目的、明确的、准确的、统一的图形标志和文字标志。</w:t>
      </w:r>
    </w:p>
    <w:p>
      <w:pPr>
        <w:tabs>
          <w:tab w:val="left" w:pos="1260"/>
        </w:tabs>
        <w:spacing w:line="540" w:lineRule="exact"/>
        <w:ind w:firstLine="560" w:firstLineChars="200"/>
        <w:rPr>
          <w:rFonts w:hint="eastAsia"/>
          <w:sz w:val="28"/>
          <w:szCs w:val="28"/>
        </w:rPr>
      </w:pPr>
      <w:r>
        <w:rPr>
          <w:rFonts w:hint="eastAsia"/>
          <w:sz w:val="28"/>
          <w:szCs w:val="28"/>
        </w:rPr>
        <w:t>8、电气设备或线路上安装必要的保护装置，如过载保护、短路保护、熔断器保护等。</w:t>
      </w:r>
    </w:p>
    <w:p>
      <w:pPr>
        <w:tabs>
          <w:tab w:val="left" w:pos="1260"/>
        </w:tabs>
        <w:spacing w:line="540" w:lineRule="exact"/>
        <w:ind w:firstLine="560" w:firstLineChars="200"/>
        <w:rPr>
          <w:rFonts w:hint="eastAsia"/>
          <w:sz w:val="28"/>
          <w:szCs w:val="28"/>
        </w:rPr>
      </w:pPr>
      <w:r>
        <w:rPr>
          <w:rFonts w:hint="eastAsia"/>
          <w:sz w:val="28"/>
          <w:szCs w:val="28"/>
        </w:rPr>
        <w:t>9、电气工作人员配备必要的电气安全用具和劳动保护用品，如绝缘棒、绝缘夹钳、绝缘胶鞋等，防止人员触电。</w:t>
      </w:r>
    </w:p>
    <w:p>
      <w:pPr>
        <w:tabs>
          <w:tab w:val="left" w:pos="1260"/>
        </w:tabs>
        <w:spacing w:line="540" w:lineRule="exact"/>
        <w:ind w:firstLine="560" w:firstLineChars="200"/>
        <w:rPr>
          <w:rFonts w:hint="eastAsia"/>
          <w:sz w:val="28"/>
          <w:szCs w:val="28"/>
        </w:rPr>
      </w:pPr>
      <w:r>
        <w:rPr>
          <w:rFonts w:hint="eastAsia"/>
          <w:sz w:val="28"/>
          <w:szCs w:val="28"/>
        </w:rPr>
        <w:t>10、建立健全了电气操作安全制度、用电安全规程及岗位责任制。</w:t>
      </w:r>
    </w:p>
    <w:p>
      <w:pPr>
        <w:pStyle w:val="4"/>
        <w:rPr>
          <w:rFonts w:hint="eastAsia" w:ascii="宋体" w:hAnsi="宋体" w:eastAsia="宋体" w:cs="宋体"/>
          <w:sz w:val="28"/>
          <w:szCs w:val="28"/>
        </w:rPr>
      </w:pPr>
      <w:bookmarkStart w:id="144" w:name="_Toc521943583"/>
      <w:bookmarkStart w:id="145" w:name="_Toc518929310"/>
      <w:bookmarkStart w:id="146" w:name="_Toc514922050"/>
      <w:bookmarkStart w:id="147" w:name="_Toc529038622"/>
      <w:bookmarkStart w:id="148" w:name="_Toc523318692"/>
      <w:bookmarkStart w:id="149" w:name="_Toc942"/>
      <w:r>
        <w:rPr>
          <w:rFonts w:hint="eastAsia" w:ascii="宋体" w:hAnsi="宋体" w:eastAsia="宋体" w:cs="宋体"/>
          <w:sz w:val="28"/>
          <w:szCs w:val="28"/>
        </w:rPr>
        <w:t>4.7高处坠落</w:t>
      </w:r>
      <w:bookmarkEnd w:id="144"/>
      <w:bookmarkEnd w:id="145"/>
      <w:bookmarkEnd w:id="146"/>
      <w:r>
        <w:rPr>
          <w:rFonts w:hint="eastAsia" w:ascii="宋体" w:hAnsi="宋体" w:eastAsia="宋体" w:cs="宋体"/>
          <w:sz w:val="28"/>
          <w:szCs w:val="28"/>
        </w:rPr>
        <w:t>事故预防控制措施</w:t>
      </w:r>
      <w:bookmarkEnd w:id="147"/>
      <w:bookmarkEnd w:id="148"/>
      <w:bookmarkEnd w:id="149"/>
    </w:p>
    <w:p>
      <w:pPr>
        <w:spacing w:line="360" w:lineRule="auto"/>
        <w:ind w:firstLine="560" w:firstLineChars="200"/>
        <w:jc w:val="left"/>
        <w:rPr>
          <w:rFonts w:hint="eastAsia" w:ascii="宋体" w:hAnsi="宋体"/>
          <w:sz w:val="28"/>
          <w:szCs w:val="28"/>
        </w:rPr>
      </w:pPr>
      <w:r>
        <w:rPr>
          <w:rFonts w:hint="eastAsia" w:ascii="宋体" w:hAnsi="宋体"/>
          <w:sz w:val="28"/>
          <w:szCs w:val="28"/>
        </w:rPr>
        <w:t>1、具有坠落危险的场所、高度超过坠落基准面2m的操作平台要设供站立的平台和防坠落栏杆、安全盖板、防护板等。</w:t>
      </w:r>
    </w:p>
    <w:p>
      <w:pPr>
        <w:spacing w:line="360" w:lineRule="auto"/>
        <w:ind w:firstLine="560" w:firstLineChars="200"/>
        <w:jc w:val="left"/>
        <w:rPr>
          <w:rFonts w:hint="eastAsia" w:ascii="宋体" w:hAnsi="宋体"/>
          <w:sz w:val="28"/>
          <w:szCs w:val="28"/>
        </w:rPr>
      </w:pPr>
      <w:r>
        <w:rPr>
          <w:rFonts w:hint="eastAsia" w:ascii="宋体" w:hAnsi="宋体"/>
          <w:sz w:val="28"/>
          <w:szCs w:val="28"/>
        </w:rPr>
        <w:t>2、梯子、平台和易滑倒的操作通道地面应有防滑措施。</w:t>
      </w:r>
    </w:p>
    <w:p>
      <w:pPr>
        <w:spacing w:line="360" w:lineRule="auto"/>
        <w:ind w:firstLine="560" w:firstLineChars="200"/>
        <w:jc w:val="left"/>
        <w:rPr>
          <w:rFonts w:hint="eastAsia" w:ascii="宋体" w:hAnsi="宋体"/>
          <w:sz w:val="28"/>
          <w:szCs w:val="28"/>
        </w:rPr>
      </w:pPr>
      <w:r>
        <w:rPr>
          <w:rFonts w:hint="eastAsia" w:ascii="宋体" w:hAnsi="宋体"/>
          <w:sz w:val="28"/>
          <w:szCs w:val="28"/>
        </w:rPr>
        <w:t>3、梯子、平台和栏杆的设计，应按《固定式钢梯及平台安全要求》（GB4053-2018）等有关要求执行。</w:t>
      </w:r>
    </w:p>
    <w:p>
      <w:pPr>
        <w:spacing w:line="360" w:lineRule="auto"/>
        <w:ind w:firstLine="560" w:firstLineChars="200"/>
        <w:jc w:val="left"/>
        <w:rPr>
          <w:rFonts w:hint="eastAsia" w:ascii="宋体" w:hAnsi="宋体"/>
          <w:sz w:val="28"/>
          <w:szCs w:val="28"/>
        </w:rPr>
      </w:pPr>
      <w:r>
        <w:rPr>
          <w:rFonts w:hint="eastAsia" w:ascii="宋体" w:hAnsi="宋体"/>
          <w:sz w:val="28"/>
          <w:szCs w:val="28"/>
        </w:rPr>
        <w:t>4、为了防止高处作业事故的发生，应严格执行下列规定：a）高处作业人员必须符合身体要求，同时必须正确穿戴个体防护用品（如安全带、安全帽、安全手套等）；b）设置安全网、安全距离、安全信号和标志；c）遇6级以上（含6级）强风、雷暴等恶劣气候，露天场所不能进行高处作业；d）夜间进行高处作业，必须有足够照明；e)作业前，应严格检查登高用具的安全可靠性。</w:t>
      </w:r>
    </w:p>
    <w:p>
      <w:pPr>
        <w:spacing w:line="560" w:lineRule="exact"/>
        <w:ind w:firstLine="560" w:firstLineChars="200"/>
        <w:rPr>
          <w:sz w:val="28"/>
          <w:szCs w:val="28"/>
        </w:rPr>
      </w:pPr>
      <w:r>
        <w:rPr>
          <w:rFonts w:hint="eastAsia" w:ascii="宋体" w:hAnsi="宋体"/>
          <w:sz w:val="28"/>
          <w:szCs w:val="28"/>
        </w:rPr>
        <w:t>5、在进行高处作业时，应进行危险作业审批，严格作业规程操作。</w:t>
      </w:r>
    </w:p>
    <w:p>
      <w:pPr>
        <w:pStyle w:val="4"/>
        <w:spacing w:line="360" w:lineRule="auto"/>
        <w:rPr>
          <w:rFonts w:hint="eastAsia" w:ascii="宋体" w:hAnsi="宋体" w:eastAsia="宋体" w:cs="宋体"/>
          <w:sz w:val="28"/>
          <w:szCs w:val="28"/>
        </w:rPr>
      </w:pPr>
      <w:bookmarkStart w:id="150" w:name="_Toc342872569"/>
      <w:bookmarkStart w:id="151" w:name="_Toc521943586"/>
      <w:bookmarkStart w:id="152" w:name="_Toc20049"/>
      <w:bookmarkStart w:id="153" w:name="_Toc311013098"/>
      <w:bookmarkStart w:id="154" w:name="_Toc518929312"/>
      <w:bookmarkStart w:id="155" w:name="_Toc279499700"/>
      <w:bookmarkStart w:id="156" w:name="_Toc343003011"/>
      <w:bookmarkStart w:id="157" w:name="_Toc529038628"/>
      <w:bookmarkStart w:id="158" w:name="_Toc523318695"/>
      <w:bookmarkStart w:id="159" w:name="_Toc19120"/>
      <w:r>
        <w:rPr>
          <w:rFonts w:hint="eastAsia" w:ascii="宋体" w:hAnsi="宋体" w:eastAsia="宋体" w:cs="宋体"/>
          <w:sz w:val="28"/>
          <w:szCs w:val="28"/>
        </w:rPr>
        <w:t>4.8安全色和安全标志</w:t>
      </w:r>
      <w:bookmarkEnd w:id="150"/>
      <w:bookmarkEnd w:id="151"/>
      <w:bookmarkEnd w:id="152"/>
      <w:bookmarkEnd w:id="153"/>
      <w:bookmarkEnd w:id="154"/>
      <w:bookmarkEnd w:id="155"/>
      <w:bookmarkEnd w:id="156"/>
      <w:r>
        <w:rPr>
          <w:rFonts w:hint="eastAsia" w:ascii="宋体" w:hAnsi="宋体" w:eastAsia="宋体" w:cs="宋体"/>
          <w:sz w:val="28"/>
          <w:szCs w:val="28"/>
        </w:rPr>
        <w:t>对策措施</w:t>
      </w:r>
      <w:bookmarkEnd w:id="157"/>
      <w:bookmarkEnd w:id="158"/>
      <w:bookmarkEnd w:id="159"/>
    </w:p>
    <w:p>
      <w:pPr>
        <w:spacing w:line="360" w:lineRule="auto"/>
        <w:ind w:firstLine="560" w:firstLineChars="200"/>
        <w:rPr>
          <w:sz w:val="28"/>
          <w:szCs w:val="28"/>
        </w:rPr>
      </w:pPr>
      <w:r>
        <w:rPr>
          <w:sz w:val="28"/>
          <w:szCs w:val="28"/>
        </w:rPr>
        <w:t>1</w:t>
      </w:r>
      <w:r>
        <w:rPr>
          <w:rFonts w:hint="eastAsia"/>
          <w:sz w:val="28"/>
          <w:szCs w:val="28"/>
        </w:rPr>
        <w:t>、</w:t>
      </w:r>
      <w:r>
        <w:rPr>
          <w:sz w:val="28"/>
          <w:szCs w:val="28"/>
        </w:rPr>
        <w:t>厂区内交通道路应设置路牌、安全警告标志牌、限速标志等设施，并定期进行维修保养，保持清晰。</w:t>
      </w:r>
    </w:p>
    <w:p>
      <w:pPr>
        <w:spacing w:line="360" w:lineRule="auto"/>
        <w:ind w:firstLine="560" w:firstLineChars="200"/>
        <w:rPr>
          <w:sz w:val="28"/>
          <w:szCs w:val="28"/>
        </w:rPr>
      </w:pPr>
      <w:r>
        <w:rPr>
          <w:sz w:val="28"/>
          <w:szCs w:val="28"/>
        </w:rPr>
        <w:t>2</w:t>
      </w:r>
      <w:r>
        <w:rPr>
          <w:rFonts w:hint="eastAsia"/>
          <w:sz w:val="28"/>
          <w:szCs w:val="28"/>
        </w:rPr>
        <w:t>、</w:t>
      </w:r>
      <w:r>
        <w:rPr>
          <w:sz w:val="28"/>
          <w:szCs w:val="28"/>
        </w:rPr>
        <w:t>生产、储存场所作业地点的紧急通道和紧急出口均应设置明显的标志和指示箭头。</w:t>
      </w:r>
    </w:p>
    <w:p>
      <w:pPr>
        <w:spacing w:line="360" w:lineRule="auto"/>
        <w:ind w:firstLine="560" w:firstLineChars="200"/>
        <w:rPr>
          <w:sz w:val="28"/>
          <w:szCs w:val="28"/>
        </w:rPr>
      </w:pPr>
      <w:r>
        <w:rPr>
          <w:sz w:val="28"/>
          <w:szCs w:val="28"/>
        </w:rPr>
        <w:t>3</w:t>
      </w:r>
      <w:r>
        <w:rPr>
          <w:rFonts w:hint="eastAsia"/>
          <w:sz w:val="28"/>
          <w:szCs w:val="28"/>
        </w:rPr>
        <w:t>、</w:t>
      </w:r>
      <w:r>
        <w:rPr>
          <w:sz w:val="28"/>
          <w:szCs w:val="28"/>
        </w:rPr>
        <w:t>在存在高处坠落等危险作业地点应在醒目处设置安全警示标志。</w:t>
      </w:r>
    </w:p>
    <w:p>
      <w:pPr>
        <w:spacing w:line="360" w:lineRule="auto"/>
        <w:ind w:firstLine="560" w:firstLineChars="200"/>
        <w:rPr>
          <w:sz w:val="28"/>
          <w:szCs w:val="28"/>
        </w:rPr>
      </w:pPr>
      <w:r>
        <w:rPr>
          <w:sz w:val="28"/>
          <w:szCs w:val="28"/>
        </w:rPr>
        <w:t>4</w:t>
      </w:r>
      <w:r>
        <w:rPr>
          <w:rFonts w:hint="eastAsia"/>
          <w:sz w:val="28"/>
          <w:szCs w:val="28"/>
        </w:rPr>
        <w:t>、</w:t>
      </w:r>
      <w:r>
        <w:rPr>
          <w:sz w:val="28"/>
          <w:szCs w:val="28"/>
        </w:rPr>
        <w:t>消防系统按规定要求涂红色或绿色。</w:t>
      </w:r>
    </w:p>
    <w:p>
      <w:pPr>
        <w:spacing w:line="360" w:lineRule="auto"/>
        <w:ind w:firstLine="560" w:firstLineChars="200"/>
        <w:rPr>
          <w:sz w:val="28"/>
          <w:szCs w:val="28"/>
        </w:rPr>
      </w:pPr>
      <w:r>
        <w:rPr>
          <w:sz w:val="28"/>
          <w:szCs w:val="28"/>
        </w:rPr>
        <w:t>5</w:t>
      </w:r>
      <w:r>
        <w:rPr>
          <w:rFonts w:hint="eastAsia"/>
          <w:sz w:val="28"/>
          <w:szCs w:val="28"/>
        </w:rPr>
        <w:t>、</w:t>
      </w:r>
      <w:r>
        <w:rPr>
          <w:sz w:val="28"/>
          <w:szCs w:val="28"/>
        </w:rPr>
        <w:t>在电线护网、高压设备围栏、变配电设备遮栏等屏护设施上根据各自屏护对象特征设置相应警示标志。</w:t>
      </w:r>
    </w:p>
    <w:p>
      <w:pPr>
        <w:spacing w:line="360" w:lineRule="auto"/>
        <w:ind w:firstLine="560" w:firstLineChars="200"/>
        <w:rPr>
          <w:rFonts w:hint="eastAsia" w:ascii="Arial" w:hAnsi="Arial"/>
          <w:b/>
          <w:bCs/>
        </w:rPr>
      </w:pPr>
      <w:r>
        <w:rPr>
          <w:sz w:val="28"/>
          <w:szCs w:val="28"/>
        </w:rPr>
        <w:t>6</w:t>
      </w:r>
      <w:r>
        <w:rPr>
          <w:rFonts w:hint="eastAsia"/>
          <w:sz w:val="28"/>
          <w:szCs w:val="28"/>
        </w:rPr>
        <w:t>、</w:t>
      </w:r>
      <w:r>
        <w:rPr>
          <w:sz w:val="28"/>
          <w:szCs w:val="28"/>
        </w:rPr>
        <w:t>在高处作业时设置安全信号和标志。</w:t>
      </w:r>
    </w:p>
    <w:p>
      <w:pPr>
        <w:pStyle w:val="4"/>
        <w:spacing w:line="360" w:lineRule="auto"/>
        <w:rPr>
          <w:rFonts w:hint="eastAsia" w:ascii="宋体" w:hAnsi="宋体" w:eastAsia="宋体" w:cs="宋体"/>
          <w:sz w:val="28"/>
          <w:szCs w:val="28"/>
        </w:rPr>
      </w:pPr>
      <w:bookmarkStart w:id="160" w:name="_Toc3298"/>
      <w:r>
        <w:rPr>
          <w:rFonts w:hint="eastAsia" w:ascii="宋体" w:hAnsi="宋体" w:eastAsia="宋体" w:cs="宋体"/>
          <w:sz w:val="28"/>
          <w:szCs w:val="28"/>
        </w:rPr>
        <w:t>4.9消防</w:t>
      </w:r>
      <w:bookmarkEnd w:id="120"/>
      <w:r>
        <w:rPr>
          <w:rFonts w:hint="eastAsia" w:ascii="宋体" w:hAnsi="宋体" w:eastAsia="宋体" w:cs="宋体"/>
          <w:sz w:val="28"/>
          <w:szCs w:val="28"/>
        </w:rPr>
        <w:t>、应急救援保障措施</w:t>
      </w:r>
      <w:bookmarkEnd w:id="160"/>
    </w:p>
    <w:p>
      <w:pPr>
        <w:pStyle w:val="16"/>
        <w:spacing w:line="360" w:lineRule="auto"/>
        <w:ind w:firstLine="420" w:firstLineChars="150"/>
        <w:rPr>
          <w:rFonts w:ascii="宋体" w:hAnsi="宋体" w:eastAsia="宋体"/>
          <w:sz w:val="28"/>
          <w:szCs w:val="28"/>
        </w:rPr>
      </w:pPr>
      <w:r>
        <w:rPr>
          <w:rFonts w:hint="eastAsia" w:ascii="宋体" w:hAnsi="宋体" w:eastAsia="宋体"/>
          <w:sz w:val="28"/>
          <w:szCs w:val="28"/>
        </w:rPr>
        <w:t>两家企业在专用线沿线、装卸栈桥等区域，按照要求配置了</w:t>
      </w:r>
      <w:r>
        <w:rPr>
          <w:rFonts w:ascii="宋体" w:hAnsi="宋体" w:eastAsia="宋体"/>
          <w:sz w:val="28"/>
          <w:szCs w:val="28"/>
        </w:rPr>
        <w:t>手推式35Kg干粉灭火器、手提式干粉灭火器</w:t>
      </w:r>
      <w:r>
        <w:rPr>
          <w:rFonts w:hint="eastAsia" w:ascii="宋体" w:hAnsi="宋体" w:eastAsia="宋体"/>
          <w:sz w:val="28"/>
          <w:szCs w:val="28"/>
        </w:rPr>
        <w:t>、二氧化碳灭火器、消防栓等、防毒面具等，还配置有各类型过滤式防毒面具及滤罐、化学防护眼镜、半面罩呼吸器、化学防护服等。在工业园区设置了嘉陵经开区消防大队，消防大队配备了足量的灭火防护服、灭火防护靴、方位灯呼救器、消防腰斧、安全吊带、移动供气源、各类型的消防救援车辆，应急物资充足，</w:t>
      </w:r>
      <w:r>
        <w:rPr>
          <w:rFonts w:ascii="宋体" w:hAnsi="宋体" w:eastAsia="宋体"/>
          <w:sz w:val="28"/>
          <w:szCs w:val="28"/>
        </w:rPr>
        <w:t>主要</w:t>
      </w:r>
      <w:r>
        <w:rPr>
          <w:rFonts w:hint="eastAsia" w:ascii="宋体" w:hAnsi="宋体" w:eastAsia="宋体"/>
          <w:sz w:val="28"/>
          <w:szCs w:val="28"/>
        </w:rPr>
        <w:t>应急物资、</w:t>
      </w:r>
      <w:r>
        <w:rPr>
          <w:rFonts w:ascii="宋体" w:hAnsi="宋体" w:eastAsia="宋体"/>
          <w:sz w:val="28"/>
          <w:szCs w:val="28"/>
        </w:rPr>
        <w:t>消防设备设施如表4</w:t>
      </w:r>
      <w:r>
        <w:rPr>
          <w:rFonts w:hint="eastAsia" w:ascii="宋体" w:hAnsi="宋体" w:eastAsia="宋体"/>
          <w:sz w:val="28"/>
          <w:szCs w:val="28"/>
        </w:rPr>
        <w:t>.9</w:t>
      </w:r>
      <w:r>
        <w:rPr>
          <w:rFonts w:ascii="宋体" w:hAnsi="宋体" w:eastAsia="宋体"/>
          <w:sz w:val="28"/>
          <w:szCs w:val="28"/>
        </w:rPr>
        <w:t>-1</w:t>
      </w:r>
      <w:r>
        <w:rPr>
          <w:rFonts w:hint="eastAsia" w:ascii="宋体" w:hAnsi="宋体" w:eastAsia="宋体"/>
          <w:sz w:val="28"/>
          <w:szCs w:val="28"/>
        </w:rPr>
        <w:t>、4.9-2</w:t>
      </w:r>
      <w:r>
        <w:rPr>
          <w:rFonts w:ascii="宋体" w:hAnsi="宋体" w:eastAsia="宋体"/>
          <w:sz w:val="28"/>
          <w:szCs w:val="28"/>
        </w:rPr>
        <w:t>所示：</w:t>
      </w:r>
    </w:p>
    <w:p>
      <w:pPr>
        <w:pStyle w:val="24"/>
        <w:ind w:left="0" w:firstLine="0"/>
        <w:jc w:val="center"/>
        <w:rPr>
          <w:rFonts w:hint="eastAsia"/>
          <w:b/>
          <w:bCs/>
          <w:sz w:val="21"/>
          <w:szCs w:val="21"/>
        </w:rPr>
      </w:pPr>
      <w:r>
        <w:rPr>
          <w:rFonts w:hint="eastAsia"/>
          <w:b/>
          <w:bCs/>
          <w:sz w:val="21"/>
          <w:szCs w:val="21"/>
        </w:rPr>
        <w:t>4.9-1园区应急救援物资装备清单</w:t>
      </w:r>
    </w:p>
    <w:tbl>
      <w:tblPr>
        <w:tblStyle w:val="54"/>
        <w:tblW w:w="8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875"/>
        <w:gridCol w:w="1635"/>
        <w:gridCol w:w="735"/>
        <w:gridCol w:w="165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序号</w:t>
            </w:r>
          </w:p>
        </w:tc>
        <w:tc>
          <w:tcPr>
            <w:tcW w:w="1875" w:type="dxa"/>
            <w:vAlign w:val="top"/>
          </w:tcPr>
          <w:p>
            <w:pPr>
              <w:rPr>
                <w:rFonts w:hint="eastAsia" w:ascii="宋体" w:hAnsi="宋体" w:cs="宋体"/>
                <w:szCs w:val="21"/>
              </w:rPr>
            </w:pPr>
            <w:r>
              <w:rPr>
                <w:rFonts w:hint="eastAsia" w:ascii="宋体" w:hAnsi="宋体" w:cs="宋体"/>
                <w:szCs w:val="21"/>
              </w:rPr>
              <w:t>主要物资或装备名称</w:t>
            </w:r>
          </w:p>
        </w:tc>
        <w:tc>
          <w:tcPr>
            <w:tcW w:w="1635" w:type="dxa"/>
            <w:vAlign w:val="top"/>
          </w:tcPr>
          <w:p>
            <w:pPr>
              <w:rPr>
                <w:rFonts w:hint="eastAsia" w:ascii="宋体" w:hAnsi="宋体" w:cs="宋体"/>
                <w:szCs w:val="21"/>
              </w:rPr>
            </w:pPr>
            <w:r>
              <w:rPr>
                <w:rFonts w:hint="eastAsia" w:ascii="宋体" w:hAnsi="宋体" w:cs="宋体"/>
                <w:szCs w:val="21"/>
              </w:rPr>
              <w:t>规格或型号</w:t>
            </w:r>
          </w:p>
        </w:tc>
        <w:tc>
          <w:tcPr>
            <w:tcW w:w="735" w:type="dxa"/>
            <w:vAlign w:val="top"/>
          </w:tcPr>
          <w:p>
            <w:pPr>
              <w:rPr>
                <w:rFonts w:hint="eastAsia" w:ascii="宋体" w:hAnsi="宋体" w:cs="宋体"/>
                <w:szCs w:val="21"/>
              </w:rPr>
            </w:pPr>
            <w:r>
              <w:rPr>
                <w:rFonts w:hint="eastAsia" w:ascii="宋体" w:hAnsi="宋体" w:cs="宋体"/>
                <w:szCs w:val="21"/>
              </w:rPr>
              <w:t>数量</w:t>
            </w:r>
          </w:p>
        </w:tc>
        <w:tc>
          <w:tcPr>
            <w:tcW w:w="1650" w:type="dxa"/>
            <w:vAlign w:val="top"/>
          </w:tcPr>
          <w:p>
            <w:pPr>
              <w:rPr>
                <w:rFonts w:hint="eastAsia" w:ascii="宋体" w:hAnsi="宋体" w:cs="宋体"/>
                <w:szCs w:val="21"/>
              </w:rPr>
            </w:pPr>
            <w:r>
              <w:rPr>
                <w:rFonts w:hint="eastAsia" w:ascii="宋体" w:hAnsi="宋体" w:cs="宋体"/>
                <w:szCs w:val="21"/>
              </w:rPr>
              <w:t>存放地点</w:t>
            </w:r>
          </w:p>
        </w:tc>
        <w:tc>
          <w:tcPr>
            <w:tcW w:w="1965" w:type="dxa"/>
            <w:vAlign w:val="top"/>
          </w:tcPr>
          <w:p>
            <w:pPr>
              <w:rPr>
                <w:rFonts w:hint="eastAsia" w:ascii="宋体" w:hAnsi="宋体" w:cs="宋体"/>
                <w:szCs w:val="21"/>
              </w:rPr>
            </w:pPr>
            <w:r>
              <w:rPr>
                <w:rFonts w:hint="eastAsia" w:ascii="宋体" w:hAnsi="宋体" w:cs="宋体"/>
                <w:szCs w:val="21"/>
              </w:rPr>
              <w:t>管理责任人及联系电话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1</w:t>
            </w:r>
          </w:p>
        </w:tc>
        <w:tc>
          <w:tcPr>
            <w:tcW w:w="1875" w:type="dxa"/>
            <w:vAlign w:val="top"/>
          </w:tcPr>
          <w:p>
            <w:pPr>
              <w:rPr>
                <w:rFonts w:hint="eastAsia" w:ascii="宋体" w:hAnsi="宋体" w:cs="宋体"/>
                <w:szCs w:val="21"/>
              </w:rPr>
            </w:pPr>
            <w:r>
              <w:rPr>
                <w:rFonts w:hint="eastAsia" w:ascii="宋体" w:hAnsi="宋体" w:cs="宋体"/>
                <w:szCs w:val="21"/>
              </w:rPr>
              <w:t>应急指挥车</w:t>
            </w:r>
          </w:p>
        </w:tc>
        <w:tc>
          <w:tcPr>
            <w:tcW w:w="1635" w:type="dxa"/>
            <w:vAlign w:val="top"/>
          </w:tcPr>
          <w:p>
            <w:pPr>
              <w:rPr>
                <w:rFonts w:hint="eastAsia" w:ascii="宋体" w:hAnsi="宋体" w:cs="宋体"/>
                <w:szCs w:val="21"/>
              </w:rPr>
            </w:pPr>
            <w:r>
              <w:rPr>
                <w:rFonts w:hint="eastAsia" w:ascii="宋体" w:hAnsi="宋体" w:cs="宋体"/>
                <w:szCs w:val="21"/>
              </w:rPr>
              <w:t>轿车</w:t>
            </w:r>
          </w:p>
        </w:tc>
        <w:tc>
          <w:tcPr>
            <w:tcW w:w="735" w:type="dxa"/>
            <w:vAlign w:val="top"/>
          </w:tcPr>
          <w:p>
            <w:pPr>
              <w:rPr>
                <w:rFonts w:hint="eastAsia" w:ascii="宋体" w:hAnsi="宋体" w:cs="宋体"/>
                <w:szCs w:val="21"/>
              </w:rPr>
            </w:pPr>
            <w:r>
              <w:rPr>
                <w:rFonts w:hint="eastAsia" w:ascii="宋体" w:hAnsi="宋体" w:cs="宋体"/>
                <w:szCs w:val="21"/>
              </w:rPr>
              <w:t>2辆</w:t>
            </w:r>
          </w:p>
        </w:tc>
        <w:tc>
          <w:tcPr>
            <w:tcW w:w="1650" w:type="dxa"/>
            <w:vAlign w:val="top"/>
          </w:tcPr>
          <w:p>
            <w:pPr>
              <w:rPr>
                <w:rFonts w:hint="eastAsia" w:ascii="宋体" w:hAnsi="宋体" w:cs="宋体"/>
                <w:szCs w:val="21"/>
              </w:rPr>
            </w:pPr>
            <w:r>
              <w:rPr>
                <w:rFonts w:hint="eastAsia" w:ascii="宋体" w:hAnsi="宋体" w:cs="宋体"/>
                <w:szCs w:val="21"/>
              </w:rPr>
              <w:t>园区办公楼</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2</w:t>
            </w:r>
          </w:p>
        </w:tc>
        <w:tc>
          <w:tcPr>
            <w:tcW w:w="1875" w:type="dxa"/>
            <w:vAlign w:val="top"/>
          </w:tcPr>
          <w:p>
            <w:pPr>
              <w:rPr>
                <w:rFonts w:hint="eastAsia" w:ascii="宋体" w:hAnsi="宋体" w:cs="宋体"/>
                <w:szCs w:val="21"/>
              </w:rPr>
            </w:pPr>
            <w:r>
              <w:rPr>
                <w:rFonts w:hint="eastAsia" w:ascii="宋体" w:hAnsi="宋体" w:cs="宋体"/>
                <w:szCs w:val="21"/>
              </w:rPr>
              <w:t>救援物资、疏散车辆</w:t>
            </w:r>
          </w:p>
        </w:tc>
        <w:tc>
          <w:tcPr>
            <w:tcW w:w="1635" w:type="dxa"/>
            <w:vAlign w:val="top"/>
          </w:tcPr>
          <w:p>
            <w:pPr>
              <w:rPr>
                <w:rFonts w:hint="eastAsia" w:ascii="宋体" w:hAnsi="宋体" w:cs="宋体"/>
                <w:szCs w:val="21"/>
              </w:rPr>
            </w:pPr>
            <w:r>
              <w:rPr>
                <w:rFonts w:hint="eastAsia" w:ascii="宋体" w:hAnsi="宋体" w:cs="宋体"/>
                <w:szCs w:val="21"/>
              </w:rPr>
              <w:t>轿车、其他中型车辆</w:t>
            </w:r>
          </w:p>
        </w:tc>
        <w:tc>
          <w:tcPr>
            <w:tcW w:w="735" w:type="dxa"/>
            <w:vAlign w:val="top"/>
          </w:tcPr>
          <w:p>
            <w:pPr>
              <w:rPr>
                <w:rFonts w:hint="eastAsia" w:ascii="宋体" w:hAnsi="宋体" w:cs="宋体"/>
                <w:szCs w:val="21"/>
              </w:rPr>
            </w:pPr>
          </w:p>
        </w:tc>
        <w:tc>
          <w:tcPr>
            <w:tcW w:w="1650" w:type="dxa"/>
            <w:vAlign w:val="top"/>
          </w:tcPr>
          <w:p>
            <w:pPr>
              <w:rPr>
                <w:rFonts w:hint="eastAsia" w:ascii="宋体" w:hAnsi="宋体" w:cs="宋体"/>
                <w:szCs w:val="21"/>
              </w:rPr>
            </w:pPr>
            <w:r>
              <w:rPr>
                <w:rFonts w:hint="eastAsia" w:ascii="宋体" w:hAnsi="宋体" w:cs="宋体"/>
                <w:szCs w:val="21"/>
              </w:rPr>
              <w:t>分散在园区各企业内</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Merge w:val="restart"/>
            <w:vAlign w:val="top"/>
          </w:tcPr>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3</w:t>
            </w:r>
          </w:p>
        </w:tc>
        <w:tc>
          <w:tcPr>
            <w:tcW w:w="1875" w:type="dxa"/>
            <w:vMerge w:val="restart"/>
            <w:vAlign w:val="top"/>
          </w:tcPr>
          <w:p>
            <w:pPr>
              <w:rPr>
                <w:rFonts w:hint="eastAsia" w:ascii="宋体" w:hAnsi="宋体" w:cs="宋体"/>
                <w:szCs w:val="21"/>
              </w:rPr>
            </w:pPr>
          </w:p>
          <w:p>
            <w:pPr>
              <w:rPr>
                <w:rFonts w:hint="eastAsia" w:ascii="宋体" w:hAnsi="宋体" w:cs="宋体"/>
                <w:szCs w:val="21"/>
              </w:rPr>
            </w:pPr>
            <w:r>
              <w:rPr>
                <w:rFonts w:hint="eastAsia" w:ascii="宋体" w:hAnsi="宋体" w:cs="宋体"/>
                <w:kern w:val="0"/>
                <w:szCs w:val="21"/>
                <w:lang w:bidi="ar"/>
              </w:rPr>
              <w:br w:type="textWrapping"/>
            </w:r>
          </w:p>
          <w:p>
            <w:pPr>
              <w:rPr>
                <w:rFonts w:hint="eastAsia" w:ascii="宋体" w:hAnsi="宋体" w:cs="宋体"/>
                <w:szCs w:val="21"/>
              </w:rPr>
            </w:pPr>
            <w:r>
              <w:rPr>
                <w:rFonts w:hint="eastAsia" w:ascii="宋体" w:hAnsi="宋体" w:cs="宋体"/>
                <w:szCs w:val="21"/>
              </w:rPr>
              <w:t>消防车</w:t>
            </w:r>
          </w:p>
        </w:tc>
        <w:tc>
          <w:tcPr>
            <w:tcW w:w="1635" w:type="dxa"/>
            <w:vAlign w:val="top"/>
          </w:tcPr>
          <w:p>
            <w:pPr>
              <w:rPr>
                <w:rFonts w:hint="eastAsia" w:ascii="宋体" w:hAnsi="宋体" w:cs="宋体"/>
                <w:szCs w:val="21"/>
              </w:rPr>
            </w:pPr>
            <w:r>
              <w:rPr>
                <w:rFonts w:hint="eastAsia" w:ascii="宋体" w:hAnsi="宋体" w:cs="宋体"/>
                <w:kern w:val="0"/>
                <w:szCs w:val="21"/>
                <w:lang w:bidi="ar"/>
              </w:rPr>
              <w:t>干粉车</w:t>
            </w:r>
          </w:p>
        </w:tc>
        <w:tc>
          <w:tcPr>
            <w:tcW w:w="735" w:type="dxa"/>
            <w:vAlign w:val="top"/>
          </w:tcPr>
          <w:p>
            <w:pPr>
              <w:rPr>
                <w:rFonts w:hint="eastAsia" w:ascii="宋体" w:hAnsi="宋体" w:cs="宋体"/>
                <w:szCs w:val="21"/>
              </w:rPr>
            </w:pPr>
            <w:r>
              <w:rPr>
                <w:rFonts w:hint="eastAsia" w:ascii="宋体" w:hAnsi="宋体" w:cs="宋体"/>
                <w:kern w:val="0"/>
                <w:szCs w:val="21"/>
                <w:lang w:bidi="ar"/>
              </w:rPr>
              <w:t>1辆</w:t>
            </w:r>
          </w:p>
        </w:tc>
        <w:tc>
          <w:tcPr>
            <w:tcW w:w="1650" w:type="dxa"/>
            <w:vMerge w:val="restart"/>
            <w:vAlign w:val="top"/>
          </w:tcPr>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园区消防大队</w:t>
            </w:r>
          </w:p>
        </w:tc>
        <w:tc>
          <w:tcPr>
            <w:tcW w:w="1965" w:type="dxa"/>
            <w:vMerge w:val="restart"/>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Merge w:val="continue"/>
            <w:vAlign w:val="top"/>
          </w:tcPr>
          <w:p>
            <w:pPr>
              <w:rPr>
                <w:rFonts w:hint="eastAsia" w:ascii="宋体" w:hAnsi="宋体" w:cs="宋体"/>
                <w:szCs w:val="21"/>
              </w:rPr>
            </w:pPr>
          </w:p>
        </w:tc>
        <w:tc>
          <w:tcPr>
            <w:tcW w:w="1875" w:type="dxa"/>
            <w:vMerge w:val="continue"/>
            <w:vAlign w:val="top"/>
          </w:tcPr>
          <w:p>
            <w:pPr>
              <w:rPr>
                <w:rFonts w:hint="eastAsia" w:ascii="宋体" w:hAnsi="宋体" w:cs="宋体"/>
                <w:szCs w:val="21"/>
              </w:rPr>
            </w:pPr>
          </w:p>
        </w:tc>
        <w:tc>
          <w:tcPr>
            <w:tcW w:w="1635" w:type="dxa"/>
            <w:vAlign w:val="top"/>
          </w:tcPr>
          <w:p>
            <w:pPr>
              <w:rPr>
                <w:rFonts w:hint="eastAsia" w:ascii="宋体" w:hAnsi="宋体" w:cs="宋体"/>
                <w:szCs w:val="21"/>
              </w:rPr>
            </w:pPr>
            <w:r>
              <w:rPr>
                <w:rFonts w:hint="eastAsia" w:ascii="宋体" w:hAnsi="宋体" w:cs="宋体"/>
                <w:kern w:val="0"/>
                <w:szCs w:val="21"/>
                <w:lang w:bidi="ar"/>
              </w:rPr>
              <w:t>水罐车</w:t>
            </w:r>
          </w:p>
        </w:tc>
        <w:tc>
          <w:tcPr>
            <w:tcW w:w="735" w:type="dxa"/>
            <w:vAlign w:val="top"/>
          </w:tcPr>
          <w:p>
            <w:pPr>
              <w:rPr>
                <w:rFonts w:hint="eastAsia" w:ascii="宋体" w:hAnsi="宋体" w:cs="宋体"/>
                <w:szCs w:val="21"/>
              </w:rPr>
            </w:pPr>
            <w:r>
              <w:rPr>
                <w:rFonts w:hint="eastAsia" w:ascii="宋体" w:hAnsi="宋体" w:cs="宋体"/>
                <w:kern w:val="0"/>
                <w:szCs w:val="21"/>
                <w:lang w:bidi="ar"/>
              </w:rPr>
              <w:t>1辆</w:t>
            </w:r>
          </w:p>
        </w:tc>
        <w:tc>
          <w:tcPr>
            <w:tcW w:w="1650" w:type="dxa"/>
            <w:vMerge w:val="continue"/>
            <w:vAlign w:val="top"/>
          </w:tcPr>
          <w:p>
            <w:pPr>
              <w:rPr>
                <w:rFonts w:hint="eastAsia" w:ascii="宋体" w:hAnsi="宋体" w:cs="宋体"/>
                <w:szCs w:val="21"/>
              </w:rPr>
            </w:pPr>
          </w:p>
        </w:tc>
        <w:tc>
          <w:tcPr>
            <w:tcW w:w="1965"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Merge w:val="continue"/>
            <w:vAlign w:val="top"/>
          </w:tcPr>
          <w:p>
            <w:pPr>
              <w:rPr>
                <w:rFonts w:hint="eastAsia" w:ascii="宋体" w:hAnsi="宋体" w:cs="宋体"/>
                <w:szCs w:val="21"/>
              </w:rPr>
            </w:pPr>
          </w:p>
        </w:tc>
        <w:tc>
          <w:tcPr>
            <w:tcW w:w="1875" w:type="dxa"/>
            <w:vMerge w:val="continue"/>
            <w:vAlign w:val="top"/>
          </w:tcPr>
          <w:p>
            <w:pPr>
              <w:rPr>
                <w:rFonts w:hint="eastAsia" w:ascii="宋体" w:hAnsi="宋体" w:cs="宋体"/>
                <w:szCs w:val="21"/>
              </w:rPr>
            </w:pPr>
          </w:p>
        </w:tc>
        <w:tc>
          <w:tcPr>
            <w:tcW w:w="1635" w:type="dxa"/>
            <w:vAlign w:val="top"/>
          </w:tcPr>
          <w:p>
            <w:pPr>
              <w:rPr>
                <w:rFonts w:hint="eastAsia" w:ascii="宋体" w:hAnsi="宋体" w:cs="宋体"/>
                <w:szCs w:val="21"/>
              </w:rPr>
            </w:pPr>
            <w:r>
              <w:rPr>
                <w:rFonts w:hint="eastAsia" w:ascii="宋体" w:hAnsi="宋体" w:cs="宋体"/>
                <w:kern w:val="0"/>
                <w:szCs w:val="21"/>
                <w:lang w:bidi="ar"/>
              </w:rPr>
              <w:t>泡沫车</w:t>
            </w:r>
          </w:p>
        </w:tc>
        <w:tc>
          <w:tcPr>
            <w:tcW w:w="735" w:type="dxa"/>
            <w:vAlign w:val="top"/>
          </w:tcPr>
          <w:p>
            <w:pPr>
              <w:rPr>
                <w:rFonts w:hint="eastAsia" w:ascii="宋体" w:hAnsi="宋体" w:cs="宋体"/>
                <w:szCs w:val="21"/>
              </w:rPr>
            </w:pPr>
            <w:r>
              <w:rPr>
                <w:rFonts w:hint="eastAsia" w:ascii="宋体" w:hAnsi="宋体" w:cs="宋体"/>
                <w:kern w:val="0"/>
                <w:szCs w:val="21"/>
                <w:lang w:bidi="ar"/>
              </w:rPr>
              <w:t>1辆</w:t>
            </w:r>
          </w:p>
        </w:tc>
        <w:tc>
          <w:tcPr>
            <w:tcW w:w="1650" w:type="dxa"/>
            <w:vMerge w:val="continue"/>
            <w:vAlign w:val="top"/>
          </w:tcPr>
          <w:p>
            <w:pPr>
              <w:rPr>
                <w:rFonts w:hint="eastAsia" w:ascii="宋体" w:hAnsi="宋体" w:cs="宋体"/>
                <w:szCs w:val="21"/>
              </w:rPr>
            </w:pPr>
          </w:p>
        </w:tc>
        <w:tc>
          <w:tcPr>
            <w:tcW w:w="1965"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Merge w:val="continue"/>
            <w:vAlign w:val="top"/>
          </w:tcPr>
          <w:p>
            <w:pPr>
              <w:rPr>
                <w:rFonts w:hint="eastAsia" w:ascii="宋体" w:hAnsi="宋体" w:cs="宋体"/>
                <w:szCs w:val="21"/>
              </w:rPr>
            </w:pPr>
          </w:p>
        </w:tc>
        <w:tc>
          <w:tcPr>
            <w:tcW w:w="1875" w:type="dxa"/>
            <w:vMerge w:val="continue"/>
            <w:vAlign w:val="top"/>
          </w:tcPr>
          <w:p>
            <w:pPr>
              <w:rPr>
                <w:rFonts w:hint="eastAsia" w:ascii="宋体" w:hAnsi="宋体" w:cs="宋体"/>
                <w:szCs w:val="21"/>
              </w:rPr>
            </w:pPr>
          </w:p>
        </w:tc>
        <w:tc>
          <w:tcPr>
            <w:tcW w:w="1635" w:type="dxa"/>
            <w:vAlign w:val="top"/>
          </w:tcPr>
          <w:p>
            <w:pPr>
              <w:rPr>
                <w:rFonts w:hint="eastAsia" w:ascii="宋体" w:hAnsi="宋体" w:cs="宋体"/>
                <w:szCs w:val="21"/>
              </w:rPr>
            </w:pPr>
            <w:r>
              <w:rPr>
                <w:rFonts w:hint="eastAsia" w:ascii="宋体" w:hAnsi="宋体" w:cs="宋体"/>
                <w:kern w:val="0"/>
                <w:szCs w:val="21"/>
                <w:lang w:bidi="ar"/>
              </w:rPr>
              <w:t>防化车</w:t>
            </w:r>
          </w:p>
        </w:tc>
        <w:tc>
          <w:tcPr>
            <w:tcW w:w="735" w:type="dxa"/>
            <w:vAlign w:val="top"/>
          </w:tcPr>
          <w:p>
            <w:pPr>
              <w:rPr>
                <w:rFonts w:hint="eastAsia" w:ascii="宋体" w:hAnsi="宋体" w:cs="宋体"/>
                <w:szCs w:val="21"/>
              </w:rPr>
            </w:pPr>
            <w:r>
              <w:rPr>
                <w:rFonts w:hint="eastAsia" w:ascii="宋体" w:hAnsi="宋体" w:cs="宋体"/>
                <w:kern w:val="0"/>
                <w:szCs w:val="21"/>
                <w:lang w:bidi="ar"/>
              </w:rPr>
              <w:t>1辆</w:t>
            </w:r>
          </w:p>
        </w:tc>
        <w:tc>
          <w:tcPr>
            <w:tcW w:w="1650" w:type="dxa"/>
            <w:vMerge w:val="continue"/>
            <w:vAlign w:val="top"/>
          </w:tcPr>
          <w:p>
            <w:pPr>
              <w:rPr>
                <w:rFonts w:hint="eastAsia" w:ascii="宋体" w:hAnsi="宋体" w:cs="宋体"/>
                <w:szCs w:val="21"/>
              </w:rPr>
            </w:pPr>
          </w:p>
        </w:tc>
        <w:tc>
          <w:tcPr>
            <w:tcW w:w="1965"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Merge w:val="continue"/>
            <w:vAlign w:val="top"/>
          </w:tcPr>
          <w:p>
            <w:pPr>
              <w:rPr>
                <w:rFonts w:hint="eastAsia" w:ascii="宋体" w:hAnsi="宋体" w:cs="宋体"/>
                <w:szCs w:val="21"/>
              </w:rPr>
            </w:pPr>
          </w:p>
        </w:tc>
        <w:tc>
          <w:tcPr>
            <w:tcW w:w="1875" w:type="dxa"/>
            <w:vMerge w:val="continue"/>
            <w:vAlign w:val="top"/>
          </w:tcPr>
          <w:p>
            <w:pPr>
              <w:rPr>
                <w:rFonts w:hint="eastAsia" w:ascii="宋体" w:hAnsi="宋体" w:cs="宋体"/>
                <w:szCs w:val="21"/>
              </w:rPr>
            </w:pPr>
          </w:p>
        </w:tc>
        <w:tc>
          <w:tcPr>
            <w:tcW w:w="1635" w:type="dxa"/>
            <w:vAlign w:val="top"/>
          </w:tcPr>
          <w:p>
            <w:pPr>
              <w:rPr>
                <w:rFonts w:hint="eastAsia" w:ascii="宋体" w:hAnsi="宋体" w:cs="宋体"/>
                <w:szCs w:val="21"/>
              </w:rPr>
            </w:pPr>
            <w:r>
              <w:rPr>
                <w:rFonts w:hint="eastAsia" w:ascii="宋体" w:hAnsi="宋体" w:cs="宋体"/>
                <w:kern w:val="0"/>
                <w:szCs w:val="21"/>
                <w:lang w:bidi="ar"/>
              </w:rPr>
              <w:t>高喷车</w:t>
            </w:r>
          </w:p>
        </w:tc>
        <w:tc>
          <w:tcPr>
            <w:tcW w:w="735" w:type="dxa"/>
            <w:vAlign w:val="top"/>
          </w:tcPr>
          <w:p>
            <w:pPr>
              <w:rPr>
                <w:rFonts w:hint="eastAsia" w:ascii="宋体" w:hAnsi="宋体" w:cs="宋体"/>
                <w:szCs w:val="21"/>
              </w:rPr>
            </w:pPr>
            <w:r>
              <w:rPr>
                <w:rFonts w:hint="eastAsia" w:ascii="宋体" w:hAnsi="宋体" w:cs="宋体"/>
                <w:kern w:val="0"/>
                <w:szCs w:val="21"/>
                <w:lang w:bidi="ar"/>
              </w:rPr>
              <w:t>1辆</w:t>
            </w:r>
          </w:p>
        </w:tc>
        <w:tc>
          <w:tcPr>
            <w:tcW w:w="1650" w:type="dxa"/>
            <w:vMerge w:val="continue"/>
            <w:vAlign w:val="top"/>
          </w:tcPr>
          <w:p>
            <w:pPr>
              <w:rPr>
                <w:rFonts w:hint="eastAsia" w:ascii="宋体" w:hAnsi="宋体" w:cs="宋体"/>
                <w:szCs w:val="21"/>
              </w:rPr>
            </w:pPr>
          </w:p>
        </w:tc>
        <w:tc>
          <w:tcPr>
            <w:tcW w:w="1965"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Merge w:val="continue"/>
            <w:vAlign w:val="top"/>
          </w:tcPr>
          <w:p>
            <w:pPr>
              <w:rPr>
                <w:rFonts w:hint="eastAsia" w:ascii="宋体" w:hAnsi="宋体" w:cs="宋体"/>
                <w:szCs w:val="21"/>
              </w:rPr>
            </w:pPr>
          </w:p>
        </w:tc>
        <w:tc>
          <w:tcPr>
            <w:tcW w:w="1875" w:type="dxa"/>
            <w:vMerge w:val="continue"/>
            <w:vAlign w:val="top"/>
          </w:tcPr>
          <w:p>
            <w:pPr>
              <w:rPr>
                <w:rFonts w:hint="eastAsia" w:ascii="宋体" w:hAnsi="宋体" w:cs="宋体"/>
                <w:szCs w:val="21"/>
              </w:rPr>
            </w:pPr>
          </w:p>
        </w:tc>
        <w:tc>
          <w:tcPr>
            <w:tcW w:w="1635" w:type="dxa"/>
            <w:vAlign w:val="top"/>
          </w:tcPr>
          <w:p>
            <w:pPr>
              <w:rPr>
                <w:rFonts w:hint="eastAsia" w:ascii="宋体" w:hAnsi="宋体" w:cs="宋体"/>
                <w:szCs w:val="21"/>
              </w:rPr>
            </w:pPr>
            <w:r>
              <w:rPr>
                <w:rFonts w:hint="eastAsia" w:ascii="宋体" w:hAnsi="宋体" w:cs="宋体"/>
                <w:kern w:val="0"/>
                <w:szCs w:val="21"/>
                <w:lang w:bidi="ar"/>
              </w:rPr>
              <w:t>涡喷车</w:t>
            </w:r>
          </w:p>
        </w:tc>
        <w:tc>
          <w:tcPr>
            <w:tcW w:w="735" w:type="dxa"/>
            <w:vAlign w:val="top"/>
          </w:tcPr>
          <w:p>
            <w:pPr>
              <w:rPr>
                <w:rFonts w:hint="eastAsia" w:ascii="宋体" w:hAnsi="宋体" w:cs="宋体"/>
                <w:szCs w:val="21"/>
              </w:rPr>
            </w:pPr>
            <w:r>
              <w:rPr>
                <w:rFonts w:hint="eastAsia" w:ascii="宋体" w:hAnsi="宋体" w:cs="宋体"/>
                <w:kern w:val="0"/>
                <w:szCs w:val="21"/>
                <w:lang w:bidi="ar"/>
              </w:rPr>
              <w:t>1辆</w:t>
            </w:r>
          </w:p>
        </w:tc>
        <w:tc>
          <w:tcPr>
            <w:tcW w:w="1650" w:type="dxa"/>
            <w:vMerge w:val="continue"/>
            <w:vAlign w:val="top"/>
          </w:tcPr>
          <w:p>
            <w:pPr>
              <w:rPr>
                <w:rFonts w:hint="eastAsia" w:ascii="宋体" w:hAnsi="宋体" w:cs="宋体"/>
                <w:szCs w:val="21"/>
              </w:rPr>
            </w:pPr>
          </w:p>
        </w:tc>
        <w:tc>
          <w:tcPr>
            <w:tcW w:w="1965"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Merge w:val="continue"/>
            <w:vAlign w:val="top"/>
          </w:tcPr>
          <w:p>
            <w:pPr>
              <w:rPr>
                <w:rFonts w:hint="eastAsia" w:ascii="宋体" w:hAnsi="宋体" w:cs="宋体"/>
                <w:szCs w:val="21"/>
              </w:rPr>
            </w:pPr>
          </w:p>
        </w:tc>
        <w:tc>
          <w:tcPr>
            <w:tcW w:w="1875" w:type="dxa"/>
            <w:vMerge w:val="continue"/>
            <w:vAlign w:val="top"/>
          </w:tcPr>
          <w:p>
            <w:pPr>
              <w:rPr>
                <w:rFonts w:hint="eastAsia" w:ascii="宋体" w:hAnsi="宋体" w:cs="宋体"/>
                <w:szCs w:val="21"/>
              </w:rPr>
            </w:pPr>
          </w:p>
        </w:tc>
        <w:tc>
          <w:tcPr>
            <w:tcW w:w="1635" w:type="dxa"/>
            <w:vAlign w:val="top"/>
          </w:tcPr>
          <w:p>
            <w:pPr>
              <w:rPr>
                <w:rFonts w:hint="eastAsia" w:ascii="宋体" w:hAnsi="宋体" w:cs="宋体"/>
                <w:szCs w:val="21"/>
              </w:rPr>
            </w:pPr>
            <w:r>
              <w:rPr>
                <w:rFonts w:hint="eastAsia" w:ascii="宋体" w:hAnsi="宋体" w:cs="宋体"/>
                <w:kern w:val="0"/>
                <w:szCs w:val="21"/>
                <w:lang w:bidi="ar"/>
              </w:rPr>
              <w:t>排烟车</w:t>
            </w:r>
          </w:p>
        </w:tc>
        <w:tc>
          <w:tcPr>
            <w:tcW w:w="735" w:type="dxa"/>
            <w:vAlign w:val="top"/>
          </w:tcPr>
          <w:p>
            <w:pPr>
              <w:rPr>
                <w:rFonts w:hint="eastAsia" w:ascii="宋体" w:hAnsi="宋体" w:cs="宋体"/>
                <w:szCs w:val="21"/>
              </w:rPr>
            </w:pPr>
            <w:r>
              <w:rPr>
                <w:rFonts w:hint="eastAsia" w:ascii="宋体" w:hAnsi="宋体" w:cs="宋体"/>
                <w:kern w:val="0"/>
                <w:szCs w:val="21"/>
                <w:lang w:bidi="ar"/>
              </w:rPr>
              <w:t>1辆</w:t>
            </w:r>
          </w:p>
        </w:tc>
        <w:tc>
          <w:tcPr>
            <w:tcW w:w="1650" w:type="dxa"/>
            <w:vMerge w:val="continue"/>
            <w:vAlign w:val="top"/>
          </w:tcPr>
          <w:p>
            <w:pPr>
              <w:rPr>
                <w:rFonts w:hint="eastAsia" w:ascii="宋体" w:hAnsi="宋体" w:cs="宋体"/>
                <w:szCs w:val="21"/>
              </w:rPr>
            </w:pPr>
          </w:p>
        </w:tc>
        <w:tc>
          <w:tcPr>
            <w:tcW w:w="1965"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Merge w:val="continue"/>
            <w:vAlign w:val="top"/>
          </w:tcPr>
          <w:p>
            <w:pPr>
              <w:rPr>
                <w:rFonts w:hint="eastAsia" w:ascii="宋体" w:hAnsi="宋体" w:cs="宋体"/>
                <w:szCs w:val="21"/>
              </w:rPr>
            </w:pPr>
          </w:p>
        </w:tc>
        <w:tc>
          <w:tcPr>
            <w:tcW w:w="1875" w:type="dxa"/>
            <w:vMerge w:val="continue"/>
            <w:vAlign w:val="top"/>
          </w:tcPr>
          <w:p>
            <w:pPr>
              <w:rPr>
                <w:rFonts w:hint="eastAsia" w:ascii="宋体" w:hAnsi="宋体" w:cs="宋体"/>
                <w:szCs w:val="21"/>
              </w:rPr>
            </w:pPr>
          </w:p>
        </w:tc>
        <w:tc>
          <w:tcPr>
            <w:tcW w:w="1635" w:type="dxa"/>
            <w:vAlign w:val="top"/>
          </w:tcPr>
          <w:p>
            <w:pPr>
              <w:rPr>
                <w:rFonts w:hint="eastAsia" w:ascii="宋体" w:hAnsi="宋体" w:cs="宋体"/>
                <w:szCs w:val="21"/>
              </w:rPr>
            </w:pPr>
            <w:r>
              <w:rPr>
                <w:rFonts w:hint="eastAsia" w:ascii="宋体" w:hAnsi="宋体" w:cs="宋体"/>
                <w:kern w:val="0"/>
                <w:szCs w:val="21"/>
                <w:lang w:bidi="ar"/>
              </w:rPr>
              <w:t>主战车</w:t>
            </w:r>
          </w:p>
        </w:tc>
        <w:tc>
          <w:tcPr>
            <w:tcW w:w="735" w:type="dxa"/>
            <w:vAlign w:val="top"/>
          </w:tcPr>
          <w:p>
            <w:pPr>
              <w:rPr>
                <w:rFonts w:hint="eastAsia" w:ascii="宋体" w:hAnsi="宋体" w:cs="宋体"/>
                <w:szCs w:val="21"/>
              </w:rPr>
            </w:pPr>
            <w:r>
              <w:rPr>
                <w:rFonts w:hint="eastAsia" w:ascii="宋体" w:hAnsi="宋体" w:cs="宋体"/>
                <w:kern w:val="0"/>
                <w:szCs w:val="21"/>
                <w:lang w:bidi="ar"/>
              </w:rPr>
              <w:t>1辆</w:t>
            </w:r>
          </w:p>
        </w:tc>
        <w:tc>
          <w:tcPr>
            <w:tcW w:w="1650" w:type="dxa"/>
            <w:vMerge w:val="continue"/>
            <w:vAlign w:val="top"/>
          </w:tcPr>
          <w:p>
            <w:pPr>
              <w:rPr>
                <w:rFonts w:hint="eastAsia" w:ascii="宋体" w:hAnsi="宋体" w:cs="宋体"/>
                <w:szCs w:val="21"/>
              </w:rPr>
            </w:pPr>
          </w:p>
        </w:tc>
        <w:tc>
          <w:tcPr>
            <w:tcW w:w="1965"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4</w:t>
            </w:r>
          </w:p>
        </w:tc>
        <w:tc>
          <w:tcPr>
            <w:tcW w:w="1875" w:type="dxa"/>
            <w:vAlign w:val="top"/>
          </w:tcPr>
          <w:p>
            <w:pPr>
              <w:rPr>
                <w:rFonts w:hint="eastAsia" w:ascii="宋体" w:hAnsi="宋体" w:cs="宋体"/>
                <w:szCs w:val="21"/>
              </w:rPr>
            </w:pPr>
            <w:r>
              <w:rPr>
                <w:rFonts w:hint="eastAsia" w:ascii="宋体" w:hAnsi="宋体" w:cs="宋体"/>
                <w:szCs w:val="21"/>
              </w:rPr>
              <w:t>对讲机</w:t>
            </w:r>
          </w:p>
        </w:tc>
        <w:tc>
          <w:tcPr>
            <w:tcW w:w="1635" w:type="dxa"/>
            <w:vAlign w:val="top"/>
          </w:tcPr>
          <w:p>
            <w:pPr>
              <w:rPr>
                <w:rFonts w:hint="eastAsia" w:ascii="宋体" w:hAnsi="宋体" w:cs="宋体"/>
                <w:szCs w:val="21"/>
              </w:rPr>
            </w:pPr>
            <w:r>
              <w:rPr>
                <w:rFonts w:hint="eastAsia" w:ascii="宋体" w:hAnsi="宋体" w:cs="宋体"/>
                <w:szCs w:val="21"/>
              </w:rPr>
              <w:t>防爆型</w:t>
            </w:r>
          </w:p>
        </w:tc>
        <w:tc>
          <w:tcPr>
            <w:tcW w:w="735" w:type="dxa"/>
            <w:vAlign w:val="top"/>
          </w:tcPr>
          <w:p>
            <w:pPr>
              <w:rPr>
                <w:rFonts w:hint="eastAsia" w:ascii="宋体" w:hAnsi="宋体" w:cs="宋体"/>
                <w:szCs w:val="21"/>
              </w:rPr>
            </w:pPr>
            <w:r>
              <w:rPr>
                <w:rFonts w:hint="eastAsia" w:ascii="宋体" w:hAnsi="宋体" w:cs="宋体"/>
                <w:szCs w:val="21"/>
              </w:rPr>
              <w:t>26个</w:t>
            </w:r>
          </w:p>
        </w:tc>
        <w:tc>
          <w:tcPr>
            <w:tcW w:w="1650" w:type="dxa"/>
            <w:vAlign w:val="top"/>
          </w:tcPr>
          <w:p>
            <w:pPr>
              <w:rPr>
                <w:rFonts w:hint="eastAsia" w:ascii="宋体" w:hAnsi="宋体" w:cs="宋体"/>
                <w:szCs w:val="21"/>
              </w:rPr>
            </w:pPr>
            <w:r>
              <w:rPr>
                <w:rFonts w:hint="eastAsia" w:ascii="宋体" w:hAnsi="宋体" w:cs="宋体"/>
                <w:szCs w:val="21"/>
              </w:rPr>
              <w:t>园区应急办</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5</w:t>
            </w:r>
          </w:p>
        </w:tc>
        <w:tc>
          <w:tcPr>
            <w:tcW w:w="1875" w:type="dxa"/>
            <w:vAlign w:val="top"/>
          </w:tcPr>
          <w:p>
            <w:pPr>
              <w:rPr>
                <w:rFonts w:hint="eastAsia" w:ascii="宋体" w:hAnsi="宋体" w:cs="宋体"/>
                <w:szCs w:val="21"/>
              </w:rPr>
            </w:pPr>
            <w:r>
              <w:rPr>
                <w:rFonts w:hint="eastAsia" w:ascii="宋体" w:hAnsi="宋体" w:cs="宋体"/>
                <w:szCs w:val="21"/>
              </w:rPr>
              <w:t>防护服</w:t>
            </w:r>
          </w:p>
        </w:tc>
        <w:tc>
          <w:tcPr>
            <w:tcW w:w="1635" w:type="dxa"/>
            <w:vAlign w:val="top"/>
          </w:tcPr>
          <w:p>
            <w:pPr>
              <w:rPr>
                <w:rFonts w:hint="eastAsia" w:ascii="宋体" w:hAnsi="宋体" w:cs="宋体"/>
                <w:szCs w:val="21"/>
              </w:rPr>
            </w:pPr>
            <w:r>
              <w:rPr>
                <w:rFonts w:hint="eastAsia" w:ascii="宋体" w:hAnsi="宋体" w:cs="宋体"/>
                <w:szCs w:val="21"/>
              </w:rPr>
              <w:t>耐酸碱工作服或防静电工作服</w:t>
            </w:r>
          </w:p>
        </w:tc>
        <w:tc>
          <w:tcPr>
            <w:tcW w:w="735" w:type="dxa"/>
            <w:vAlign w:val="top"/>
          </w:tcPr>
          <w:p>
            <w:pPr>
              <w:rPr>
                <w:rFonts w:hint="eastAsia" w:ascii="宋体" w:hAnsi="宋体" w:cs="宋体"/>
                <w:szCs w:val="21"/>
              </w:rPr>
            </w:pPr>
            <w:r>
              <w:rPr>
                <w:rFonts w:hint="eastAsia" w:ascii="宋体" w:hAnsi="宋体" w:cs="宋体"/>
                <w:szCs w:val="21"/>
              </w:rPr>
              <w:t>各20套</w:t>
            </w:r>
          </w:p>
        </w:tc>
        <w:tc>
          <w:tcPr>
            <w:tcW w:w="1650" w:type="dxa"/>
            <w:vAlign w:val="top"/>
          </w:tcPr>
          <w:p>
            <w:pPr>
              <w:rPr>
                <w:rFonts w:hint="eastAsia" w:ascii="宋体" w:hAnsi="宋体" w:cs="宋体"/>
                <w:szCs w:val="21"/>
              </w:rPr>
            </w:pPr>
            <w:r>
              <w:rPr>
                <w:rFonts w:hint="eastAsia" w:ascii="宋体" w:hAnsi="宋体" w:cs="宋体"/>
                <w:szCs w:val="21"/>
              </w:rPr>
              <w:t>园区应急办</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6</w:t>
            </w:r>
          </w:p>
        </w:tc>
        <w:tc>
          <w:tcPr>
            <w:tcW w:w="1875" w:type="dxa"/>
            <w:vAlign w:val="top"/>
          </w:tcPr>
          <w:p>
            <w:pPr>
              <w:rPr>
                <w:rFonts w:hint="eastAsia" w:ascii="宋体" w:hAnsi="宋体" w:cs="宋体"/>
                <w:szCs w:val="21"/>
              </w:rPr>
            </w:pPr>
            <w:r>
              <w:rPr>
                <w:rFonts w:hint="eastAsia" w:ascii="宋体" w:hAnsi="宋体" w:cs="宋体"/>
                <w:szCs w:val="21"/>
              </w:rPr>
              <w:t>呼吸器</w:t>
            </w:r>
          </w:p>
        </w:tc>
        <w:tc>
          <w:tcPr>
            <w:tcW w:w="1635" w:type="dxa"/>
            <w:vAlign w:val="top"/>
          </w:tcPr>
          <w:p>
            <w:pPr>
              <w:rPr>
                <w:rFonts w:hint="eastAsia" w:ascii="宋体" w:hAnsi="宋体" w:cs="宋体"/>
                <w:szCs w:val="21"/>
              </w:rPr>
            </w:pPr>
            <w:r>
              <w:rPr>
                <w:rFonts w:hint="eastAsia" w:ascii="宋体" w:hAnsi="宋体" w:cs="宋体"/>
                <w:szCs w:val="21"/>
              </w:rPr>
              <w:t>正压式</w:t>
            </w:r>
          </w:p>
        </w:tc>
        <w:tc>
          <w:tcPr>
            <w:tcW w:w="735" w:type="dxa"/>
            <w:vAlign w:val="top"/>
          </w:tcPr>
          <w:p>
            <w:pPr>
              <w:rPr>
                <w:rFonts w:hint="eastAsia" w:ascii="宋体" w:hAnsi="宋体" w:cs="宋体"/>
                <w:szCs w:val="21"/>
              </w:rPr>
            </w:pPr>
            <w:r>
              <w:rPr>
                <w:rFonts w:hint="eastAsia" w:ascii="宋体" w:hAnsi="宋体" w:cs="宋体"/>
                <w:szCs w:val="21"/>
              </w:rPr>
              <w:t>10个</w:t>
            </w:r>
          </w:p>
        </w:tc>
        <w:tc>
          <w:tcPr>
            <w:tcW w:w="1650" w:type="dxa"/>
            <w:vAlign w:val="top"/>
          </w:tcPr>
          <w:p>
            <w:pPr>
              <w:rPr>
                <w:rFonts w:hint="eastAsia" w:ascii="宋体" w:hAnsi="宋体" w:cs="宋体"/>
                <w:szCs w:val="21"/>
              </w:rPr>
            </w:pPr>
            <w:r>
              <w:rPr>
                <w:rFonts w:hint="eastAsia" w:ascii="宋体" w:hAnsi="宋体" w:cs="宋体"/>
                <w:szCs w:val="21"/>
              </w:rPr>
              <w:t>园区应急办</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7</w:t>
            </w:r>
          </w:p>
        </w:tc>
        <w:tc>
          <w:tcPr>
            <w:tcW w:w="1875" w:type="dxa"/>
            <w:vAlign w:val="top"/>
          </w:tcPr>
          <w:p>
            <w:pPr>
              <w:rPr>
                <w:rFonts w:hint="eastAsia" w:ascii="宋体" w:hAnsi="宋体" w:cs="宋体"/>
                <w:szCs w:val="21"/>
              </w:rPr>
            </w:pPr>
            <w:r>
              <w:rPr>
                <w:rFonts w:hint="eastAsia" w:ascii="宋体" w:hAnsi="宋体" w:cs="宋体"/>
                <w:szCs w:val="21"/>
              </w:rPr>
              <w:t>便携式可燃气体报警仪</w:t>
            </w:r>
          </w:p>
        </w:tc>
        <w:tc>
          <w:tcPr>
            <w:tcW w:w="1635" w:type="dxa"/>
            <w:vAlign w:val="top"/>
          </w:tcPr>
          <w:p>
            <w:pPr>
              <w:rPr>
                <w:rFonts w:hint="eastAsia" w:ascii="宋体" w:hAnsi="宋体" w:cs="宋体"/>
                <w:szCs w:val="21"/>
              </w:rPr>
            </w:pPr>
            <w:r>
              <w:rPr>
                <w:rFonts w:hint="eastAsia" w:ascii="宋体" w:hAnsi="宋体" w:cs="宋体"/>
                <w:szCs w:val="21"/>
              </w:rPr>
              <w:t>便携式</w:t>
            </w:r>
          </w:p>
        </w:tc>
        <w:tc>
          <w:tcPr>
            <w:tcW w:w="735" w:type="dxa"/>
            <w:vAlign w:val="top"/>
          </w:tcPr>
          <w:p>
            <w:pPr>
              <w:rPr>
                <w:rFonts w:hint="eastAsia" w:ascii="宋体" w:hAnsi="宋体" w:cs="宋体"/>
                <w:szCs w:val="21"/>
              </w:rPr>
            </w:pPr>
            <w:r>
              <w:rPr>
                <w:rFonts w:hint="eastAsia" w:ascii="宋体" w:hAnsi="宋体" w:cs="宋体"/>
                <w:szCs w:val="21"/>
              </w:rPr>
              <w:t>10个</w:t>
            </w:r>
          </w:p>
        </w:tc>
        <w:tc>
          <w:tcPr>
            <w:tcW w:w="1650" w:type="dxa"/>
            <w:vAlign w:val="top"/>
          </w:tcPr>
          <w:p>
            <w:pPr>
              <w:rPr>
                <w:rFonts w:hint="eastAsia" w:ascii="宋体" w:hAnsi="宋体" w:cs="宋体"/>
                <w:szCs w:val="21"/>
              </w:rPr>
            </w:pPr>
            <w:r>
              <w:rPr>
                <w:rFonts w:hint="eastAsia" w:ascii="宋体" w:hAnsi="宋体" w:cs="宋体"/>
                <w:szCs w:val="21"/>
              </w:rPr>
              <w:t>园区应急办</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8</w:t>
            </w:r>
          </w:p>
        </w:tc>
        <w:tc>
          <w:tcPr>
            <w:tcW w:w="1875" w:type="dxa"/>
            <w:vAlign w:val="top"/>
          </w:tcPr>
          <w:p>
            <w:pPr>
              <w:rPr>
                <w:rFonts w:hint="eastAsia" w:ascii="宋体" w:hAnsi="宋体" w:cs="宋体"/>
                <w:szCs w:val="21"/>
              </w:rPr>
            </w:pPr>
            <w:r>
              <w:rPr>
                <w:rFonts w:hint="eastAsia" w:ascii="宋体" w:hAnsi="宋体" w:cs="宋体"/>
                <w:szCs w:val="21"/>
              </w:rPr>
              <w:t>手电筒</w:t>
            </w:r>
          </w:p>
        </w:tc>
        <w:tc>
          <w:tcPr>
            <w:tcW w:w="1635" w:type="dxa"/>
            <w:vAlign w:val="top"/>
          </w:tcPr>
          <w:p>
            <w:pPr>
              <w:rPr>
                <w:rFonts w:hint="eastAsia" w:ascii="宋体" w:hAnsi="宋体" w:cs="宋体"/>
                <w:szCs w:val="21"/>
              </w:rPr>
            </w:pPr>
            <w:r>
              <w:rPr>
                <w:rFonts w:hint="eastAsia" w:ascii="宋体" w:hAnsi="宋体" w:cs="宋体"/>
                <w:szCs w:val="21"/>
              </w:rPr>
              <w:t>防爆型</w:t>
            </w:r>
          </w:p>
        </w:tc>
        <w:tc>
          <w:tcPr>
            <w:tcW w:w="735" w:type="dxa"/>
            <w:vAlign w:val="top"/>
          </w:tcPr>
          <w:p>
            <w:pPr>
              <w:rPr>
                <w:rFonts w:hint="eastAsia" w:ascii="宋体" w:hAnsi="宋体" w:cs="宋体"/>
                <w:szCs w:val="21"/>
              </w:rPr>
            </w:pPr>
            <w:r>
              <w:rPr>
                <w:rFonts w:hint="eastAsia" w:ascii="宋体" w:hAnsi="宋体" w:cs="宋体"/>
                <w:szCs w:val="21"/>
              </w:rPr>
              <w:t>10</w:t>
            </w:r>
          </w:p>
        </w:tc>
        <w:tc>
          <w:tcPr>
            <w:tcW w:w="1650" w:type="dxa"/>
            <w:vAlign w:val="top"/>
          </w:tcPr>
          <w:p>
            <w:pPr>
              <w:rPr>
                <w:rFonts w:hint="eastAsia" w:ascii="宋体" w:hAnsi="宋体" w:cs="宋体"/>
                <w:szCs w:val="21"/>
              </w:rPr>
            </w:pPr>
            <w:r>
              <w:rPr>
                <w:rFonts w:hint="eastAsia" w:ascii="宋体" w:hAnsi="宋体" w:cs="宋体"/>
                <w:szCs w:val="21"/>
              </w:rPr>
              <w:t>园区应急办</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9</w:t>
            </w:r>
          </w:p>
        </w:tc>
        <w:tc>
          <w:tcPr>
            <w:tcW w:w="1875" w:type="dxa"/>
            <w:vAlign w:val="top"/>
          </w:tcPr>
          <w:p>
            <w:pPr>
              <w:rPr>
                <w:rFonts w:hint="eastAsia" w:ascii="宋体" w:hAnsi="宋体" w:cs="宋体"/>
                <w:szCs w:val="21"/>
              </w:rPr>
            </w:pPr>
            <w:r>
              <w:rPr>
                <w:rFonts w:hint="eastAsia" w:ascii="宋体" w:hAnsi="宋体" w:cs="宋体"/>
                <w:szCs w:val="21"/>
              </w:rPr>
              <w:t>警戒警示带</w:t>
            </w:r>
          </w:p>
        </w:tc>
        <w:tc>
          <w:tcPr>
            <w:tcW w:w="1635" w:type="dxa"/>
            <w:vAlign w:val="top"/>
          </w:tcPr>
          <w:p>
            <w:pPr>
              <w:rPr>
                <w:rFonts w:hint="eastAsia" w:ascii="宋体" w:hAnsi="宋体" w:cs="宋体"/>
                <w:szCs w:val="21"/>
              </w:rPr>
            </w:pPr>
            <w:r>
              <w:rPr>
                <w:rFonts w:hint="eastAsia" w:ascii="宋体" w:hAnsi="宋体" w:cs="宋体"/>
                <w:szCs w:val="21"/>
              </w:rPr>
              <w:t>不燃型</w:t>
            </w:r>
          </w:p>
        </w:tc>
        <w:tc>
          <w:tcPr>
            <w:tcW w:w="735" w:type="dxa"/>
            <w:vAlign w:val="top"/>
          </w:tcPr>
          <w:p>
            <w:pPr>
              <w:rPr>
                <w:rFonts w:hint="eastAsia" w:ascii="宋体" w:hAnsi="宋体" w:cs="宋体"/>
                <w:szCs w:val="21"/>
              </w:rPr>
            </w:pPr>
            <w:r>
              <w:rPr>
                <w:rFonts w:hint="eastAsia" w:ascii="宋体" w:hAnsi="宋体" w:cs="宋体"/>
                <w:szCs w:val="21"/>
              </w:rPr>
              <w:t>500米</w:t>
            </w:r>
          </w:p>
        </w:tc>
        <w:tc>
          <w:tcPr>
            <w:tcW w:w="1650" w:type="dxa"/>
            <w:vAlign w:val="top"/>
          </w:tcPr>
          <w:p>
            <w:pPr>
              <w:rPr>
                <w:rFonts w:hint="eastAsia" w:ascii="宋体" w:hAnsi="宋体" w:cs="宋体"/>
                <w:szCs w:val="21"/>
              </w:rPr>
            </w:pPr>
            <w:r>
              <w:rPr>
                <w:rFonts w:hint="eastAsia" w:ascii="宋体" w:hAnsi="宋体" w:cs="宋体"/>
                <w:szCs w:val="21"/>
              </w:rPr>
              <w:t>园区应急办</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10</w:t>
            </w:r>
          </w:p>
        </w:tc>
        <w:tc>
          <w:tcPr>
            <w:tcW w:w="1875" w:type="dxa"/>
            <w:vAlign w:val="top"/>
          </w:tcPr>
          <w:p>
            <w:pPr>
              <w:rPr>
                <w:rFonts w:hint="eastAsia" w:ascii="宋体" w:hAnsi="宋体" w:cs="宋体"/>
                <w:szCs w:val="21"/>
              </w:rPr>
            </w:pPr>
            <w:r>
              <w:rPr>
                <w:rFonts w:hint="eastAsia" w:ascii="宋体" w:hAnsi="宋体" w:cs="宋体"/>
                <w:szCs w:val="21"/>
              </w:rPr>
              <w:t>急救药包</w:t>
            </w:r>
          </w:p>
        </w:tc>
        <w:tc>
          <w:tcPr>
            <w:tcW w:w="1635" w:type="dxa"/>
            <w:vAlign w:val="top"/>
          </w:tcPr>
          <w:p>
            <w:pPr>
              <w:rPr>
                <w:rFonts w:hint="eastAsia" w:ascii="宋体" w:hAnsi="宋体" w:cs="宋体"/>
                <w:szCs w:val="21"/>
              </w:rPr>
            </w:pPr>
            <w:r>
              <w:rPr>
                <w:rFonts w:hint="eastAsia" w:ascii="宋体" w:hAnsi="宋体" w:cs="宋体"/>
                <w:szCs w:val="21"/>
              </w:rPr>
              <w:t>应急包</w:t>
            </w:r>
          </w:p>
        </w:tc>
        <w:tc>
          <w:tcPr>
            <w:tcW w:w="735" w:type="dxa"/>
            <w:vAlign w:val="top"/>
          </w:tcPr>
          <w:p>
            <w:pPr>
              <w:rPr>
                <w:rFonts w:hint="eastAsia" w:ascii="宋体" w:hAnsi="宋体" w:cs="宋体"/>
                <w:szCs w:val="21"/>
              </w:rPr>
            </w:pPr>
            <w:r>
              <w:rPr>
                <w:rFonts w:hint="eastAsia" w:ascii="宋体" w:hAnsi="宋体" w:cs="宋体"/>
                <w:szCs w:val="21"/>
              </w:rPr>
              <w:t>25个</w:t>
            </w:r>
          </w:p>
        </w:tc>
        <w:tc>
          <w:tcPr>
            <w:tcW w:w="1650" w:type="dxa"/>
            <w:vAlign w:val="top"/>
          </w:tcPr>
          <w:p>
            <w:pPr>
              <w:rPr>
                <w:rFonts w:hint="eastAsia" w:ascii="宋体" w:hAnsi="宋体" w:cs="宋体"/>
                <w:szCs w:val="21"/>
              </w:rPr>
            </w:pPr>
            <w:r>
              <w:rPr>
                <w:rFonts w:hint="eastAsia" w:ascii="宋体" w:hAnsi="宋体" w:cs="宋体"/>
                <w:szCs w:val="21"/>
              </w:rPr>
              <w:t>园区内各企业</w:t>
            </w:r>
          </w:p>
        </w:tc>
        <w:tc>
          <w:tcPr>
            <w:tcW w:w="1965" w:type="dxa"/>
            <w:vAlign w:val="top"/>
          </w:tcPr>
          <w:p>
            <w:pPr>
              <w:rPr>
                <w:rFonts w:hint="eastAsia" w:ascii="宋体" w:hAnsi="宋体" w:cs="宋体"/>
                <w:szCs w:val="21"/>
              </w:rPr>
            </w:pPr>
            <w:r>
              <w:rPr>
                <w:rFonts w:hint="eastAsia" w:ascii="宋体" w:hAnsi="宋体" w:cs="宋体"/>
                <w:szCs w:val="21"/>
              </w:rPr>
              <w:t>各企业相关负责人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11</w:t>
            </w:r>
          </w:p>
        </w:tc>
        <w:tc>
          <w:tcPr>
            <w:tcW w:w="1875" w:type="dxa"/>
            <w:vAlign w:val="top"/>
          </w:tcPr>
          <w:p>
            <w:pPr>
              <w:rPr>
                <w:rFonts w:hint="eastAsia" w:ascii="宋体" w:hAnsi="宋体" w:cs="宋体"/>
                <w:szCs w:val="21"/>
              </w:rPr>
            </w:pPr>
            <w:r>
              <w:rPr>
                <w:rFonts w:hint="eastAsia" w:ascii="宋体" w:hAnsi="宋体" w:cs="宋体"/>
                <w:szCs w:val="21"/>
              </w:rPr>
              <w:t>焊接</w:t>
            </w:r>
          </w:p>
        </w:tc>
        <w:tc>
          <w:tcPr>
            <w:tcW w:w="1635" w:type="dxa"/>
            <w:vAlign w:val="top"/>
          </w:tcPr>
          <w:p>
            <w:pPr>
              <w:rPr>
                <w:rFonts w:hint="eastAsia" w:ascii="宋体" w:hAnsi="宋体" w:cs="宋体"/>
                <w:szCs w:val="21"/>
              </w:rPr>
            </w:pPr>
            <w:r>
              <w:rPr>
                <w:rFonts w:hint="eastAsia" w:ascii="宋体" w:hAnsi="宋体" w:cs="宋体"/>
                <w:szCs w:val="21"/>
              </w:rPr>
              <w:t>ZX7、WS等</w:t>
            </w:r>
          </w:p>
        </w:tc>
        <w:tc>
          <w:tcPr>
            <w:tcW w:w="735" w:type="dxa"/>
            <w:vAlign w:val="top"/>
          </w:tcPr>
          <w:p>
            <w:pPr>
              <w:rPr>
                <w:rFonts w:hint="eastAsia" w:ascii="宋体" w:hAnsi="宋体" w:cs="宋体"/>
                <w:szCs w:val="21"/>
              </w:rPr>
            </w:pPr>
            <w:r>
              <w:rPr>
                <w:rFonts w:hint="eastAsia" w:ascii="宋体" w:hAnsi="宋体" w:cs="宋体"/>
                <w:szCs w:val="21"/>
              </w:rPr>
              <w:t>多个</w:t>
            </w:r>
          </w:p>
        </w:tc>
        <w:tc>
          <w:tcPr>
            <w:tcW w:w="1650" w:type="dxa"/>
            <w:vAlign w:val="top"/>
          </w:tcPr>
          <w:p>
            <w:pPr>
              <w:rPr>
                <w:rFonts w:hint="eastAsia" w:ascii="宋体" w:hAnsi="宋体" w:cs="宋体"/>
                <w:szCs w:val="21"/>
              </w:rPr>
            </w:pPr>
            <w:r>
              <w:rPr>
                <w:rFonts w:hint="eastAsia" w:ascii="宋体" w:hAnsi="宋体" w:cs="宋体"/>
                <w:szCs w:val="21"/>
              </w:rPr>
              <w:t>园区内各企业</w:t>
            </w:r>
          </w:p>
        </w:tc>
        <w:tc>
          <w:tcPr>
            <w:tcW w:w="1965" w:type="dxa"/>
            <w:vAlign w:val="top"/>
          </w:tcPr>
          <w:p>
            <w:pPr>
              <w:rPr>
                <w:rFonts w:hint="eastAsia" w:ascii="宋体" w:hAnsi="宋体" w:cs="宋体"/>
                <w:szCs w:val="21"/>
              </w:rPr>
            </w:pPr>
            <w:r>
              <w:rPr>
                <w:rFonts w:hint="eastAsia" w:ascii="宋体" w:hAnsi="宋体" w:cs="宋体"/>
                <w:szCs w:val="21"/>
              </w:rPr>
              <w:t>具体见企业应急救援预案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12</w:t>
            </w:r>
          </w:p>
        </w:tc>
        <w:tc>
          <w:tcPr>
            <w:tcW w:w="1875" w:type="dxa"/>
            <w:vAlign w:val="top"/>
          </w:tcPr>
          <w:p>
            <w:pPr>
              <w:rPr>
                <w:rFonts w:hint="eastAsia" w:ascii="宋体" w:hAnsi="宋体" w:cs="宋体"/>
                <w:szCs w:val="21"/>
              </w:rPr>
            </w:pPr>
            <w:r>
              <w:rPr>
                <w:rFonts w:hint="eastAsia" w:ascii="宋体" w:hAnsi="宋体" w:cs="宋体"/>
                <w:szCs w:val="21"/>
              </w:rPr>
              <w:t>灭火器材</w:t>
            </w:r>
          </w:p>
        </w:tc>
        <w:tc>
          <w:tcPr>
            <w:tcW w:w="1635" w:type="dxa"/>
            <w:vAlign w:val="top"/>
          </w:tcPr>
          <w:p>
            <w:pPr>
              <w:rPr>
                <w:rFonts w:hint="eastAsia" w:ascii="宋体" w:hAnsi="宋体" w:cs="宋体"/>
                <w:szCs w:val="21"/>
              </w:rPr>
            </w:pPr>
            <w:r>
              <w:rPr>
                <w:rFonts w:hint="eastAsia" w:ascii="宋体" w:hAnsi="宋体" w:cs="宋体"/>
                <w:szCs w:val="21"/>
              </w:rPr>
              <w:t>干粉、泡沫等</w:t>
            </w:r>
          </w:p>
        </w:tc>
        <w:tc>
          <w:tcPr>
            <w:tcW w:w="735" w:type="dxa"/>
            <w:vAlign w:val="top"/>
          </w:tcPr>
          <w:p>
            <w:pPr>
              <w:rPr>
                <w:rFonts w:hint="eastAsia" w:ascii="宋体" w:hAnsi="宋体" w:cs="宋体"/>
                <w:szCs w:val="21"/>
              </w:rPr>
            </w:pPr>
            <w:r>
              <w:rPr>
                <w:rFonts w:hint="eastAsia" w:ascii="宋体" w:hAnsi="宋体" w:cs="宋体"/>
                <w:szCs w:val="21"/>
              </w:rPr>
              <w:t>多个</w:t>
            </w:r>
          </w:p>
        </w:tc>
        <w:tc>
          <w:tcPr>
            <w:tcW w:w="1650" w:type="dxa"/>
            <w:vAlign w:val="top"/>
          </w:tcPr>
          <w:p>
            <w:pPr>
              <w:rPr>
                <w:rFonts w:hint="eastAsia" w:ascii="宋体" w:hAnsi="宋体" w:cs="宋体"/>
                <w:szCs w:val="21"/>
              </w:rPr>
            </w:pPr>
            <w:r>
              <w:rPr>
                <w:rFonts w:hint="eastAsia" w:ascii="宋体" w:hAnsi="宋体" w:cs="宋体"/>
                <w:szCs w:val="21"/>
              </w:rPr>
              <w:t>分散在园区各企业</w:t>
            </w:r>
          </w:p>
        </w:tc>
        <w:tc>
          <w:tcPr>
            <w:tcW w:w="1965" w:type="dxa"/>
            <w:vAlign w:val="top"/>
          </w:tcPr>
          <w:p>
            <w:pPr>
              <w:rPr>
                <w:rFonts w:hint="eastAsia" w:ascii="宋体" w:hAnsi="宋体" w:cs="宋体"/>
                <w:szCs w:val="21"/>
              </w:rPr>
            </w:pPr>
            <w:r>
              <w:rPr>
                <w:rFonts w:hint="eastAsia" w:ascii="宋体" w:hAnsi="宋体" w:cs="宋体"/>
                <w:szCs w:val="21"/>
              </w:rPr>
              <w:t>具体见企业应急救援预案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13</w:t>
            </w:r>
          </w:p>
        </w:tc>
        <w:tc>
          <w:tcPr>
            <w:tcW w:w="1875" w:type="dxa"/>
            <w:vAlign w:val="top"/>
          </w:tcPr>
          <w:p>
            <w:pPr>
              <w:rPr>
                <w:rFonts w:hint="eastAsia" w:ascii="宋体" w:hAnsi="宋体" w:cs="宋体"/>
                <w:szCs w:val="21"/>
              </w:rPr>
            </w:pPr>
            <w:r>
              <w:rPr>
                <w:rFonts w:hint="eastAsia" w:ascii="宋体" w:hAnsi="宋体" w:cs="宋体"/>
                <w:szCs w:val="21"/>
              </w:rPr>
              <w:t>泡沫灭火系统</w:t>
            </w:r>
          </w:p>
        </w:tc>
        <w:tc>
          <w:tcPr>
            <w:tcW w:w="1635" w:type="dxa"/>
            <w:vAlign w:val="top"/>
          </w:tcPr>
          <w:p>
            <w:pPr>
              <w:rPr>
                <w:rFonts w:hint="eastAsia" w:ascii="宋体" w:hAnsi="宋体" w:cs="宋体"/>
                <w:szCs w:val="21"/>
              </w:rPr>
            </w:pPr>
            <w:r>
              <w:rPr>
                <w:rFonts w:hint="eastAsia" w:ascii="宋体" w:hAnsi="宋体" w:cs="宋体"/>
                <w:szCs w:val="21"/>
              </w:rPr>
              <w:t>自动</w:t>
            </w:r>
          </w:p>
        </w:tc>
        <w:tc>
          <w:tcPr>
            <w:tcW w:w="735" w:type="dxa"/>
            <w:vAlign w:val="top"/>
          </w:tcPr>
          <w:p>
            <w:pPr>
              <w:rPr>
                <w:rFonts w:hint="eastAsia" w:ascii="宋体" w:hAnsi="宋体" w:cs="宋体"/>
                <w:szCs w:val="21"/>
              </w:rPr>
            </w:pPr>
            <w:r>
              <w:rPr>
                <w:rFonts w:hint="eastAsia" w:ascii="宋体" w:hAnsi="宋体" w:cs="宋体"/>
                <w:szCs w:val="21"/>
              </w:rPr>
              <w:t>4套</w:t>
            </w:r>
          </w:p>
        </w:tc>
        <w:tc>
          <w:tcPr>
            <w:tcW w:w="1650" w:type="dxa"/>
            <w:vAlign w:val="top"/>
          </w:tcPr>
          <w:p>
            <w:pPr>
              <w:rPr>
                <w:rFonts w:hint="eastAsia" w:ascii="宋体" w:hAnsi="宋体" w:cs="宋体"/>
                <w:szCs w:val="21"/>
              </w:rPr>
            </w:pPr>
          </w:p>
        </w:tc>
        <w:tc>
          <w:tcPr>
            <w:tcW w:w="1965" w:type="dxa"/>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 w:type="dxa"/>
            <w:vAlign w:val="top"/>
          </w:tcPr>
          <w:p>
            <w:pPr>
              <w:rPr>
                <w:rFonts w:hint="eastAsia" w:ascii="宋体" w:hAnsi="宋体" w:cs="宋体"/>
                <w:szCs w:val="21"/>
              </w:rPr>
            </w:pPr>
            <w:r>
              <w:rPr>
                <w:rFonts w:hint="eastAsia" w:ascii="宋体" w:hAnsi="宋体" w:cs="宋体"/>
                <w:szCs w:val="21"/>
              </w:rPr>
              <w:t>14</w:t>
            </w:r>
          </w:p>
        </w:tc>
        <w:tc>
          <w:tcPr>
            <w:tcW w:w="1875" w:type="dxa"/>
            <w:vAlign w:val="top"/>
          </w:tcPr>
          <w:p>
            <w:pPr>
              <w:rPr>
                <w:rFonts w:hint="eastAsia" w:ascii="宋体" w:hAnsi="宋体" w:cs="宋体"/>
                <w:szCs w:val="21"/>
              </w:rPr>
            </w:pPr>
            <w:r>
              <w:rPr>
                <w:rFonts w:hint="eastAsia" w:ascii="宋体" w:hAnsi="宋体" w:cs="宋体"/>
                <w:szCs w:val="21"/>
              </w:rPr>
              <w:t>雨衣</w:t>
            </w:r>
          </w:p>
        </w:tc>
        <w:tc>
          <w:tcPr>
            <w:tcW w:w="1635" w:type="dxa"/>
            <w:vAlign w:val="top"/>
          </w:tcPr>
          <w:p>
            <w:pPr>
              <w:rPr>
                <w:rFonts w:hint="eastAsia" w:ascii="宋体" w:hAnsi="宋体" w:cs="宋体"/>
                <w:szCs w:val="21"/>
              </w:rPr>
            </w:pPr>
          </w:p>
        </w:tc>
        <w:tc>
          <w:tcPr>
            <w:tcW w:w="735" w:type="dxa"/>
            <w:vAlign w:val="top"/>
          </w:tcPr>
          <w:p>
            <w:pPr>
              <w:rPr>
                <w:rFonts w:hint="eastAsia" w:ascii="宋体" w:hAnsi="宋体" w:cs="宋体"/>
                <w:szCs w:val="21"/>
              </w:rPr>
            </w:pPr>
            <w:r>
              <w:rPr>
                <w:rFonts w:hint="eastAsia" w:ascii="宋体" w:hAnsi="宋体" w:cs="宋体"/>
                <w:szCs w:val="21"/>
              </w:rPr>
              <w:t>15件</w:t>
            </w:r>
          </w:p>
        </w:tc>
        <w:tc>
          <w:tcPr>
            <w:tcW w:w="1650" w:type="dxa"/>
            <w:vAlign w:val="top"/>
          </w:tcPr>
          <w:p>
            <w:pPr>
              <w:rPr>
                <w:rFonts w:hint="eastAsia" w:ascii="宋体" w:hAnsi="宋体" w:cs="宋体"/>
                <w:szCs w:val="21"/>
              </w:rPr>
            </w:pPr>
            <w:r>
              <w:rPr>
                <w:rFonts w:hint="eastAsia" w:ascii="宋体" w:hAnsi="宋体" w:cs="宋体"/>
                <w:szCs w:val="21"/>
              </w:rPr>
              <w:t>园区应急办</w:t>
            </w:r>
          </w:p>
        </w:tc>
        <w:tc>
          <w:tcPr>
            <w:tcW w:w="1965" w:type="dxa"/>
            <w:vAlign w:val="top"/>
          </w:tcPr>
          <w:p>
            <w:pPr>
              <w:rPr>
                <w:rFonts w:hint="eastAsia" w:ascii="宋体" w:hAnsi="宋体" w:cs="宋体"/>
                <w:szCs w:val="21"/>
              </w:rPr>
            </w:pPr>
            <w:r>
              <w:rPr>
                <w:rFonts w:hint="eastAsia" w:ascii="宋体" w:hAnsi="宋体" w:cs="宋体"/>
                <w:szCs w:val="21"/>
              </w:rPr>
              <w:t>张文伟，13699691666</w:t>
            </w:r>
          </w:p>
        </w:tc>
      </w:tr>
    </w:tbl>
    <w:p>
      <w:pPr>
        <w:pStyle w:val="24"/>
      </w:pPr>
    </w:p>
    <w:p>
      <w:pPr>
        <w:ind w:firstLine="560"/>
        <w:rPr>
          <w:rFonts w:eastAsia="黑体"/>
          <w:b/>
          <w:bCs/>
          <w:sz w:val="24"/>
        </w:rPr>
      </w:pPr>
    </w:p>
    <w:p>
      <w:pPr>
        <w:ind w:firstLine="560"/>
        <w:rPr>
          <w:rFonts w:eastAsia="黑体"/>
          <w:b/>
          <w:bCs/>
          <w:sz w:val="24"/>
        </w:rPr>
      </w:pPr>
    </w:p>
    <w:p>
      <w:pPr>
        <w:ind w:firstLine="560"/>
        <w:rPr>
          <w:rFonts w:eastAsia="黑体"/>
          <w:b/>
          <w:bCs/>
          <w:sz w:val="24"/>
        </w:rPr>
      </w:pPr>
    </w:p>
    <w:p>
      <w:pPr>
        <w:ind w:firstLine="560"/>
        <w:rPr>
          <w:rFonts w:eastAsia="黑体"/>
          <w:b/>
          <w:bCs/>
          <w:sz w:val="24"/>
        </w:rPr>
      </w:pPr>
    </w:p>
    <w:p>
      <w:pPr>
        <w:ind w:firstLine="2323" w:firstLineChars="964"/>
        <w:rPr>
          <w:rFonts w:hint="eastAsia" w:eastAsia="黑体"/>
          <w:b/>
          <w:bCs/>
          <w:sz w:val="24"/>
        </w:rPr>
      </w:pPr>
      <w:r>
        <w:rPr>
          <w:rFonts w:hint="eastAsia" w:eastAsia="黑体"/>
          <w:b/>
          <w:bCs/>
          <w:sz w:val="24"/>
        </w:rPr>
        <w:t>4.9-2化工园区内相关企业消防应急物资分布</w:t>
      </w:r>
    </w:p>
    <w:p>
      <w:pPr>
        <w:ind w:firstLine="560"/>
        <w:rPr>
          <w:rFonts w:eastAsia="黑体"/>
          <w:b/>
          <w:bCs/>
          <w:sz w:val="24"/>
        </w:rPr>
      </w:pPr>
    </w:p>
    <w:tbl>
      <w:tblPr>
        <w:tblStyle w:val="54"/>
        <w:tblW w:w="8232" w:type="dxa"/>
        <w:jc w:val="center"/>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684"/>
        <w:gridCol w:w="2400"/>
        <w:gridCol w:w="922"/>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305" w:type="dxa"/>
            <w:vAlign w:val="center"/>
          </w:tcPr>
          <w:p>
            <w:pPr>
              <w:pStyle w:val="16"/>
              <w:spacing w:line="400" w:lineRule="exact"/>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公司名称及联系方式</w:t>
            </w:r>
          </w:p>
        </w:tc>
        <w:tc>
          <w:tcPr>
            <w:tcW w:w="2684" w:type="dxa"/>
            <w:vAlign w:val="center"/>
          </w:tcPr>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主要物质或装备名称</w:t>
            </w:r>
          </w:p>
        </w:tc>
        <w:tc>
          <w:tcPr>
            <w:tcW w:w="2400" w:type="dxa"/>
            <w:vAlign w:val="center"/>
          </w:tcPr>
          <w:p>
            <w:pPr>
              <w:pStyle w:val="16"/>
              <w:spacing w:line="400" w:lineRule="exact"/>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规格或型号</w:t>
            </w:r>
          </w:p>
        </w:tc>
        <w:tc>
          <w:tcPr>
            <w:tcW w:w="922" w:type="dxa"/>
            <w:vAlign w:val="center"/>
          </w:tcPr>
          <w:p>
            <w:pPr>
              <w:pStyle w:val="16"/>
              <w:spacing w:line="400" w:lineRule="exact"/>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数量</w:t>
            </w:r>
          </w:p>
        </w:tc>
        <w:tc>
          <w:tcPr>
            <w:tcW w:w="921" w:type="dxa"/>
            <w:vAlign w:val="center"/>
          </w:tcPr>
          <w:p>
            <w:pPr>
              <w:pStyle w:val="16"/>
              <w:spacing w:line="400" w:lineRule="exact"/>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四川能投化学新材料有限公司</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肖云</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13980693755</w:t>
            </w: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四川能投化学新材料有限公司</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肖云</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13980693755</w:t>
            </w:r>
          </w:p>
        </w:tc>
        <w:tc>
          <w:tcPr>
            <w:tcW w:w="2684" w:type="dxa"/>
            <w:vAlign w:val="center"/>
          </w:tcPr>
          <w:p>
            <w:pPr>
              <w:rPr>
                <w:rFonts w:hint="eastAsia" w:ascii="宋体" w:hAnsi="宋体" w:cs="宋体"/>
                <w:szCs w:val="21"/>
              </w:rPr>
            </w:pPr>
            <w:r>
              <w:rPr>
                <w:rFonts w:hint="eastAsia" w:ascii="宋体" w:hAnsi="宋体" w:cs="宋体"/>
                <w:szCs w:val="21"/>
              </w:rPr>
              <w:t>气密防化服</w:t>
            </w:r>
          </w:p>
        </w:tc>
        <w:tc>
          <w:tcPr>
            <w:tcW w:w="2400" w:type="dxa"/>
            <w:vAlign w:val="center"/>
          </w:tcPr>
          <w:p>
            <w:pPr>
              <w:rPr>
                <w:rFonts w:hint="eastAsia" w:ascii="宋体" w:hAnsi="宋体" w:cs="宋体"/>
                <w:szCs w:val="21"/>
              </w:rPr>
            </w:pPr>
            <w:r>
              <w:rPr>
                <w:rFonts w:hint="eastAsia" w:ascii="宋体" w:hAnsi="宋体" w:cs="宋体"/>
                <w:szCs w:val="21"/>
              </w:rPr>
              <w:t>CPS 800</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center"/>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center"/>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气密隔热服</w:t>
            </w:r>
          </w:p>
        </w:tc>
        <w:tc>
          <w:tcPr>
            <w:tcW w:w="2400" w:type="dxa"/>
            <w:vAlign w:val="center"/>
          </w:tcPr>
          <w:p>
            <w:pPr>
              <w:rPr>
                <w:rFonts w:hint="eastAsia" w:ascii="宋体" w:hAnsi="宋体" w:cs="宋体"/>
                <w:szCs w:val="21"/>
              </w:rPr>
            </w:pPr>
            <w:r>
              <w:rPr>
                <w:rFonts w:hint="eastAsia" w:ascii="宋体" w:hAnsi="宋体" w:cs="宋体"/>
                <w:szCs w:val="21"/>
              </w:rPr>
              <w:t>305系列连体隔热服</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center"/>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避火服</w:t>
            </w:r>
          </w:p>
        </w:tc>
        <w:tc>
          <w:tcPr>
            <w:tcW w:w="2400" w:type="dxa"/>
            <w:vAlign w:val="center"/>
          </w:tcPr>
          <w:p>
            <w:pPr>
              <w:rPr>
                <w:rFonts w:hint="eastAsia" w:ascii="宋体" w:hAnsi="宋体" w:cs="宋体"/>
                <w:szCs w:val="21"/>
              </w:rPr>
            </w:pPr>
            <w:r>
              <w:rPr>
                <w:rFonts w:hint="eastAsia" w:ascii="宋体" w:hAnsi="宋体" w:cs="宋体"/>
                <w:szCs w:val="21"/>
              </w:rPr>
              <w:t>900</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速降自锁装置</w:t>
            </w:r>
          </w:p>
        </w:tc>
        <w:tc>
          <w:tcPr>
            <w:tcW w:w="2400" w:type="dxa"/>
            <w:vAlign w:val="center"/>
          </w:tcPr>
          <w:p>
            <w:pPr>
              <w:rPr>
                <w:rFonts w:hint="eastAsia" w:ascii="宋体" w:hAnsi="宋体" w:cs="宋体"/>
                <w:szCs w:val="21"/>
              </w:rPr>
            </w:pPr>
            <w:r>
              <w:rPr>
                <w:rFonts w:hint="eastAsia" w:ascii="宋体" w:hAnsi="宋体" w:cs="宋体"/>
                <w:szCs w:val="21"/>
              </w:rPr>
              <w:t>Workman SRL15m</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登高车</w:t>
            </w:r>
          </w:p>
        </w:tc>
        <w:tc>
          <w:tcPr>
            <w:tcW w:w="2400" w:type="dxa"/>
            <w:vAlign w:val="center"/>
          </w:tcPr>
          <w:p>
            <w:pPr>
              <w:rPr>
                <w:rFonts w:hint="eastAsia" w:ascii="宋体" w:hAnsi="宋体" w:cs="宋体"/>
                <w:szCs w:val="21"/>
              </w:rPr>
            </w:pPr>
            <w:r>
              <w:rPr>
                <w:rFonts w:hint="eastAsia" w:ascii="宋体" w:hAnsi="宋体" w:cs="宋体"/>
                <w:szCs w:val="21"/>
              </w:rPr>
              <w:t>1200*600*1000，带护栏加安全链</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移动供气装置</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高压呼吸器压缩机</w:t>
            </w:r>
          </w:p>
        </w:tc>
        <w:tc>
          <w:tcPr>
            <w:tcW w:w="2400" w:type="dxa"/>
            <w:vAlign w:val="center"/>
          </w:tcPr>
          <w:p>
            <w:pPr>
              <w:rPr>
                <w:rFonts w:hint="eastAsia" w:ascii="宋体" w:hAnsi="宋体" w:cs="宋体"/>
                <w:szCs w:val="21"/>
              </w:rPr>
            </w:pPr>
            <w:r>
              <w:rPr>
                <w:rFonts w:hint="eastAsia" w:ascii="宋体" w:hAnsi="宋体" w:cs="宋体"/>
                <w:szCs w:val="21"/>
              </w:rPr>
              <w:t>300HG</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空气呼吸器（6.8L、9L）</w:t>
            </w:r>
          </w:p>
        </w:tc>
        <w:tc>
          <w:tcPr>
            <w:tcW w:w="2400" w:type="dxa"/>
            <w:vAlign w:val="center"/>
          </w:tcPr>
          <w:p>
            <w:pPr>
              <w:rPr>
                <w:rFonts w:hint="eastAsia" w:ascii="宋体" w:hAnsi="宋体" w:cs="宋体"/>
                <w:szCs w:val="21"/>
              </w:rPr>
            </w:pPr>
            <w:r>
              <w:rPr>
                <w:rFonts w:hint="eastAsia" w:ascii="宋体" w:hAnsi="宋体" w:cs="宋体"/>
                <w:szCs w:val="21"/>
              </w:rPr>
              <w:t>BD2100－MAX</w:t>
            </w:r>
          </w:p>
        </w:tc>
        <w:tc>
          <w:tcPr>
            <w:tcW w:w="922" w:type="dxa"/>
            <w:vAlign w:val="center"/>
          </w:tcPr>
          <w:p>
            <w:pPr>
              <w:jc w:val="center"/>
              <w:rPr>
                <w:rFonts w:hint="eastAsia" w:ascii="宋体" w:hAnsi="宋体" w:cs="宋体"/>
                <w:szCs w:val="21"/>
              </w:rPr>
            </w:pPr>
            <w:r>
              <w:rPr>
                <w:rFonts w:hint="eastAsia" w:ascii="宋体" w:hAnsi="宋体" w:cs="宋体"/>
                <w:szCs w:val="21"/>
              </w:rPr>
              <w:t>22个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自吸式长管呼吸器</w:t>
            </w:r>
          </w:p>
        </w:tc>
        <w:tc>
          <w:tcPr>
            <w:tcW w:w="2400" w:type="dxa"/>
            <w:vAlign w:val="center"/>
          </w:tcPr>
          <w:p>
            <w:pPr>
              <w:rPr>
                <w:rFonts w:hint="eastAsia" w:ascii="宋体" w:hAnsi="宋体" w:cs="宋体"/>
                <w:szCs w:val="21"/>
              </w:rPr>
            </w:pPr>
            <w:r>
              <w:rPr>
                <w:rFonts w:hint="eastAsia" w:ascii="宋体" w:hAnsi="宋体" w:cs="宋体"/>
                <w:szCs w:val="21"/>
              </w:rPr>
              <w:t>VZXCG</w:t>
            </w:r>
          </w:p>
        </w:tc>
        <w:tc>
          <w:tcPr>
            <w:tcW w:w="922" w:type="dxa"/>
            <w:vAlign w:val="center"/>
          </w:tcPr>
          <w:p>
            <w:pPr>
              <w:jc w:val="center"/>
              <w:rPr>
                <w:rFonts w:hint="eastAsia" w:ascii="宋体" w:hAnsi="宋体" w:cs="宋体"/>
                <w:szCs w:val="21"/>
              </w:rPr>
            </w:pPr>
            <w:r>
              <w:rPr>
                <w:rFonts w:hint="eastAsia" w:ascii="宋体" w:hAnsi="宋体" w:cs="宋体"/>
                <w:szCs w:val="21"/>
              </w:rPr>
              <w:t>16个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防爆充气箱</w:t>
            </w:r>
          </w:p>
        </w:tc>
        <w:tc>
          <w:tcPr>
            <w:tcW w:w="2400" w:type="dxa"/>
            <w:vAlign w:val="center"/>
          </w:tcPr>
          <w:p>
            <w:pPr>
              <w:rPr>
                <w:rFonts w:hint="eastAsia" w:ascii="宋体" w:hAnsi="宋体" w:cs="宋体"/>
                <w:szCs w:val="21"/>
              </w:rPr>
            </w:pPr>
            <w:r>
              <w:rPr>
                <w:rFonts w:hint="eastAsia" w:ascii="宋体" w:hAnsi="宋体" w:cs="宋体"/>
                <w:szCs w:val="21"/>
              </w:rPr>
              <w:t>CFS-2A</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过滤式防毒面具</w:t>
            </w:r>
          </w:p>
        </w:tc>
        <w:tc>
          <w:tcPr>
            <w:tcW w:w="2400" w:type="dxa"/>
            <w:vAlign w:val="center"/>
          </w:tcPr>
          <w:p>
            <w:pPr>
              <w:rPr>
                <w:rFonts w:hint="eastAsia" w:ascii="宋体" w:hAnsi="宋体" w:cs="宋体"/>
                <w:szCs w:val="21"/>
              </w:rPr>
            </w:pPr>
            <w:r>
              <w:rPr>
                <w:rFonts w:hint="eastAsia" w:ascii="宋体" w:hAnsi="宋体" w:cs="宋体"/>
                <w:szCs w:val="21"/>
              </w:rPr>
              <w:t>D2055790-CN</w:t>
            </w:r>
          </w:p>
        </w:tc>
        <w:tc>
          <w:tcPr>
            <w:tcW w:w="922" w:type="dxa"/>
            <w:vAlign w:val="center"/>
          </w:tcPr>
          <w:p>
            <w:pPr>
              <w:jc w:val="center"/>
              <w:rPr>
                <w:rFonts w:hint="eastAsia" w:ascii="宋体" w:hAnsi="宋体" w:cs="宋体"/>
                <w:szCs w:val="21"/>
              </w:rPr>
            </w:pPr>
            <w:r>
              <w:rPr>
                <w:rFonts w:hint="eastAsia" w:ascii="宋体" w:hAnsi="宋体" w:cs="宋体"/>
                <w:szCs w:val="21"/>
              </w:rPr>
              <w:t>64个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滤毒罐（复合型、防有机气体）</w:t>
            </w:r>
          </w:p>
        </w:tc>
        <w:tc>
          <w:tcPr>
            <w:tcW w:w="2400" w:type="dxa"/>
            <w:vAlign w:val="center"/>
          </w:tcPr>
          <w:p>
            <w:pPr>
              <w:rPr>
                <w:rFonts w:hint="eastAsia" w:ascii="宋体" w:hAnsi="宋体" w:cs="宋体"/>
                <w:szCs w:val="21"/>
              </w:rPr>
            </w:pPr>
            <w:r>
              <w:rPr>
                <w:rFonts w:hint="eastAsia" w:ascii="宋体" w:hAnsi="宋体" w:cs="宋体"/>
                <w:szCs w:val="21"/>
              </w:rPr>
              <w:t>93ABEK-CO-NO-Hg/St、90ABEK2</w:t>
            </w:r>
          </w:p>
        </w:tc>
        <w:tc>
          <w:tcPr>
            <w:tcW w:w="922" w:type="dxa"/>
            <w:vAlign w:val="center"/>
          </w:tcPr>
          <w:p>
            <w:pPr>
              <w:jc w:val="center"/>
              <w:rPr>
                <w:rFonts w:hint="eastAsia" w:ascii="宋体" w:hAnsi="宋体" w:cs="宋体"/>
                <w:szCs w:val="21"/>
              </w:rPr>
            </w:pPr>
            <w:r>
              <w:rPr>
                <w:rFonts w:hint="eastAsia" w:ascii="宋体" w:hAnsi="宋体" w:cs="宋体"/>
                <w:szCs w:val="21"/>
              </w:rPr>
              <w:t>128个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化学防护服</w:t>
            </w:r>
          </w:p>
        </w:tc>
        <w:tc>
          <w:tcPr>
            <w:tcW w:w="2400" w:type="dxa"/>
            <w:vAlign w:val="center"/>
          </w:tcPr>
          <w:p>
            <w:pPr>
              <w:rPr>
                <w:rFonts w:hint="eastAsia" w:ascii="宋体" w:hAnsi="宋体" w:cs="宋体"/>
                <w:szCs w:val="21"/>
              </w:rPr>
            </w:pPr>
            <w:r>
              <w:rPr>
                <w:rFonts w:hint="eastAsia" w:ascii="宋体" w:hAnsi="宋体" w:cs="宋体"/>
                <w:szCs w:val="21"/>
              </w:rPr>
              <w:t>CPS400</w:t>
            </w:r>
          </w:p>
        </w:tc>
        <w:tc>
          <w:tcPr>
            <w:tcW w:w="922" w:type="dxa"/>
            <w:vAlign w:val="center"/>
          </w:tcPr>
          <w:p>
            <w:pPr>
              <w:jc w:val="center"/>
              <w:rPr>
                <w:rFonts w:hint="eastAsia" w:ascii="宋体" w:hAnsi="宋体" w:cs="宋体"/>
                <w:szCs w:val="21"/>
              </w:rPr>
            </w:pPr>
            <w:r>
              <w:rPr>
                <w:rFonts w:hint="eastAsia" w:ascii="宋体" w:hAnsi="宋体" w:cs="宋体"/>
                <w:szCs w:val="21"/>
              </w:rPr>
              <w:t>18套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耳罩</w:t>
            </w:r>
          </w:p>
        </w:tc>
        <w:tc>
          <w:tcPr>
            <w:tcW w:w="2400" w:type="dxa"/>
            <w:vAlign w:val="center"/>
          </w:tcPr>
          <w:p>
            <w:pPr>
              <w:rPr>
                <w:rFonts w:hint="eastAsia" w:ascii="宋体" w:hAnsi="宋体" w:cs="宋体"/>
                <w:szCs w:val="21"/>
              </w:rPr>
            </w:pPr>
            <w:r>
              <w:rPr>
                <w:rFonts w:hint="eastAsia" w:ascii="宋体" w:hAnsi="宋体" w:cs="宋体"/>
                <w:szCs w:val="21"/>
              </w:rPr>
              <w:t>SORI4012</w:t>
            </w:r>
          </w:p>
        </w:tc>
        <w:tc>
          <w:tcPr>
            <w:tcW w:w="922" w:type="dxa"/>
            <w:vAlign w:val="center"/>
          </w:tcPr>
          <w:p>
            <w:pPr>
              <w:jc w:val="center"/>
              <w:rPr>
                <w:rFonts w:hint="eastAsia" w:ascii="宋体" w:hAnsi="宋体" w:cs="宋体"/>
                <w:szCs w:val="21"/>
              </w:rPr>
            </w:pPr>
            <w:r>
              <w:rPr>
                <w:rFonts w:hint="eastAsia" w:ascii="宋体" w:hAnsi="宋体" w:cs="宋体"/>
                <w:szCs w:val="21"/>
              </w:rPr>
              <w:t>50个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安全带</w:t>
            </w:r>
          </w:p>
        </w:tc>
        <w:tc>
          <w:tcPr>
            <w:tcW w:w="2400" w:type="dxa"/>
            <w:vAlign w:val="center"/>
          </w:tcPr>
          <w:p>
            <w:pPr>
              <w:rPr>
                <w:rFonts w:hint="eastAsia" w:ascii="宋体" w:hAnsi="宋体" w:cs="宋体"/>
                <w:szCs w:val="21"/>
              </w:rPr>
            </w:pPr>
            <w:r>
              <w:rPr>
                <w:rFonts w:hint="eastAsia" w:ascii="宋体" w:hAnsi="宋体" w:cs="宋体"/>
                <w:szCs w:val="21"/>
              </w:rPr>
              <w:t>轻巧星全身式安全带</w:t>
            </w:r>
          </w:p>
        </w:tc>
        <w:tc>
          <w:tcPr>
            <w:tcW w:w="922" w:type="dxa"/>
            <w:vAlign w:val="center"/>
          </w:tcPr>
          <w:p>
            <w:pPr>
              <w:jc w:val="center"/>
              <w:rPr>
                <w:rFonts w:hint="eastAsia" w:ascii="宋体" w:hAnsi="宋体" w:cs="宋体"/>
                <w:szCs w:val="21"/>
              </w:rPr>
            </w:pPr>
            <w:r>
              <w:rPr>
                <w:rFonts w:hint="eastAsia" w:ascii="宋体" w:hAnsi="宋体" w:cs="宋体"/>
                <w:szCs w:val="21"/>
              </w:rPr>
              <w:t>83套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面罩</w:t>
            </w:r>
          </w:p>
        </w:tc>
        <w:tc>
          <w:tcPr>
            <w:tcW w:w="2400" w:type="dxa"/>
            <w:vAlign w:val="center"/>
          </w:tcPr>
          <w:p>
            <w:pPr>
              <w:rPr>
                <w:rFonts w:hint="eastAsia" w:ascii="宋体" w:hAnsi="宋体" w:cs="宋体"/>
                <w:szCs w:val="21"/>
              </w:rPr>
            </w:pPr>
            <w:r>
              <w:rPr>
                <w:rFonts w:hint="eastAsia" w:ascii="宋体" w:hAnsi="宋体" w:cs="宋体"/>
                <w:szCs w:val="21"/>
              </w:rPr>
              <w:t>半面罩、半面罩滤盒、防护面罩</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口罩</w:t>
            </w:r>
          </w:p>
        </w:tc>
        <w:tc>
          <w:tcPr>
            <w:tcW w:w="2400" w:type="dxa"/>
            <w:vAlign w:val="center"/>
          </w:tcPr>
          <w:p>
            <w:pPr>
              <w:rPr>
                <w:rFonts w:hint="eastAsia" w:ascii="宋体" w:hAnsi="宋体" w:cs="宋体"/>
                <w:szCs w:val="21"/>
              </w:rPr>
            </w:pPr>
            <w:r>
              <w:rPr>
                <w:rFonts w:hint="eastAsia" w:ascii="宋体" w:hAnsi="宋体" w:cs="宋体"/>
                <w:szCs w:val="21"/>
              </w:rPr>
              <w:t>防尘口罩、防有机蒸汽口罩</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防辐射眼镜</w:t>
            </w:r>
          </w:p>
        </w:tc>
        <w:tc>
          <w:tcPr>
            <w:tcW w:w="2400" w:type="dxa"/>
            <w:vAlign w:val="center"/>
          </w:tcPr>
          <w:p>
            <w:pPr>
              <w:rPr>
                <w:rFonts w:hint="eastAsia" w:ascii="宋体" w:hAnsi="宋体" w:cs="宋体"/>
                <w:szCs w:val="21"/>
              </w:rPr>
            </w:pPr>
            <w:r>
              <w:rPr>
                <w:rFonts w:hint="eastAsia" w:ascii="宋体" w:hAnsi="宋体" w:cs="宋体"/>
                <w:szCs w:val="21"/>
              </w:rPr>
              <w:t xml:space="preserve">护边型防护眼镜  </w:t>
            </w:r>
          </w:p>
        </w:tc>
        <w:tc>
          <w:tcPr>
            <w:tcW w:w="922" w:type="dxa"/>
            <w:vAlign w:val="center"/>
          </w:tcPr>
          <w:p>
            <w:pPr>
              <w:jc w:val="center"/>
              <w:rPr>
                <w:rFonts w:hint="eastAsia" w:ascii="宋体" w:hAnsi="宋体" w:cs="宋体"/>
                <w:szCs w:val="21"/>
              </w:rPr>
            </w:pPr>
            <w:r>
              <w:rPr>
                <w:rFonts w:hint="eastAsia" w:ascii="宋体" w:hAnsi="宋体" w:cs="宋体"/>
                <w:szCs w:val="21"/>
              </w:rPr>
              <w:t>2副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手套</w:t>
            </w:r>
          </w:p>
        </w:tc>
        <w:tc>
          <w:tcPr>
            <w:tcW w:w="2400" w:type="dxa"/>
            <w:vAlign w:val="center"/>
          </w:tcPr>
          <w:p>
            <w:pPr>
              <w:rPr>
                <w:rFonts w:hint="eastAsia" w:ascii="宋体" w:hAnsi="宋体" w:cs="宋体"/>
                <w:szCs w:val="21"/>
              </w:rPr>
            </w:pPr>
            <w:r>
              <w:rPr>
                <w:rFonts w:hint="eastAsia" w:ascii="宋体" w:hAnsi="宋体" w:cs="宋体"/>
                <w:szCs w:val="21"/>
              </w:rPr>
              <w:t>防冻手套、PVC耐酸碱手套、绝缘手套</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绝缘鞋</w:t>
            </w:r>
          </w:p>
        </w:tc>
        <w:tc>
          <w:tcPr>
            <w:tcW w:w="2400" w:type="dxa"/>
            <w:vAlign w:val="center"/>
          </w:tcPr>
          <w:p>
            <w:pPr>
              <w:rPr>
                <w:rFonts w:hint="eastAsia" w:ascii="宋体" w:hAnsi="宋体" w:cs="宋体"/>
                <w:szCs w:val="21"/>
              </w:rPr>
            </w:pPr>
            <w:r>
              <w:rPr>
                <w:rFonts w:hint="eastAsia" w:ascii="宋体" w:hAnsi="宋体" w:cs="宋体"/>
                <w:szCs w:val="21"/>
              </w:rPr>
              <w:t>电工专用</w:t>
            </w:r>
          </w:p>
        </w:tc>
        <w:tc>
          <w:tcPr>
            <w:tcW w:w="922" w:type="dxa"/>
            <w:vAlign w:val="center"/>
          </w:tcPr>
          <w:p>
            <w:pPr>
              <w:jc w:val="center"/>
              <w:rPr>
                <w:rFonts w:hint="eastAsia" w:ascii="宋体" w:hAnsi="宋体" w:cs="宋体"/>
                <w:szCs w:val="21"/>
              </w:rPr>
            </w:pPr>
            <w:r>
              <w:rPr>
                <w:rFonts w:hint="eastAsia" w:ascii="宋体" w:hAnsi="宋体" w:cs="宋体"/>
                <w:szCs w:val="21"/>
              </w:rPr>
              <w:t>19双</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便携式气体检测仪</w:t>
            </w:r>
          </w:p>
        </w:tc>
        <w:tc>
          <w:tcPr>
            <w:tcW w:w="2400" w:type="dxa"/>
            <w:vAlign w:val="center"/>
          </w:tcPr>
          <w:p>
            <w:pPr>
              <w:rPr>
                <w:rFonts w:hint="eastAsia" w:ascii="宋体" w:hAnsi="宋体" w:cs="宋体"/>
                <w:szCs w:val="21"/>
              </w:rPr>
            </w:pPr>
            <w:r>
              <w:rPr>
                <w:rFonts w:hint="eastAsia" w:ascii="宋体" w:hAnsi="宋体" w:cs="宋体"/>
                <w:szCs w:val="21"/>
              </w:rPr>
              <w:t>硫化氢、氧气、氢气</w:t>
            </w:r>
          </w:p>
        </w:tc>
        <w:tc>
          <w:tcPr>
            <w:tcW w:w="922" w:type="dxa"/>
            <w:vAlign w:val="center"/>
          </w:tcPr>
          <w:p>
            <w:pPr>
              <w:jc w:val="center"/>
              <w:rPr>
                <w:rFonts w:hint="eastAsia" w:ascii="宋体" w:hAnsi="宋体" w:cs="宋体"/>
                <w:szCs w:val="21"/>
              </w:rPr>
            </w:pPr>
            <w:r>
              <w:rPr>
                <w:rFonts w:hint="eastAsia" w:ascii="宋体" w:hAnsi="宋体" w:cs="宋体"/>
                <w:szCs w:val="21"/>
              </w:rPr>
              <w:t>23套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便携式可燃气体检测仪</w:t>
            </w:r>
          </w:p>
        </w:tc>
        <w:tc>
          <w:tcPr>
            <w:tcW w:w="2400" w:type="dxa"/>
            <w:vAlign w:val="center"/>
          </w:tcPr>
          <w:p>
            <w:pPr>
              <w:rPr>
                <w:rFonts w:hint="eastAsia" w:ascii="宋体" w:hAnsi="宋体" w:cs="宋体"/>
                <w:szCs w:val="21"/>
              </w:rPr>
            </w:pPr>
          </w:p>
        </w:tc>
        <w:tc>
          <w:tcPr>
            <w:tcW w:w="922" w:type="dxa"/>
            <w:vAlign w:val="center"/>
          </w:tcPr>
          <w:p>
            <w:pPr>
              <w:jc w:val="center"/>
              <w:rPr>
                <w:rFonts w:hint="eastAsia" w:ascii="宋体" w:hAnsi="宋体" w:cs="宋体"/>
                <w:szCs w:val="21"/>
              </w:rPr>
            </w:pPr>
            <w:r>
              <w:rPr>
                <w:rFonts w:hint="eastAsia" w:ascii="宋体" w:hAnsi="宋体" w:cs="宋体"/>
                <w:szCs w:val="21"/>
              </w:rPr>
              <w:t>14套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空气气质检测仪</w:t>
            </w:r>
          </w:p>
        </w:tc>
        <w:tc>
          <w:tcPr>
            <w:tcW w:w="2400" w:type="dxa"/>
            <w:vAlign w:val="center"/>
          </w:tcPr>
          <w:p>
            <w:pPr>
              <w:rPr>
                <w:rFonts w:hint="eastAsia" w:ascii="宋体" w:hAnsi="宋体" w:cs="宋体"/>
                <w:szCs w:val="21"/>
              </w:rPr>
            </w:pPr>
            <w:r>
              <w:rPr>
                <w:rFonts w:hint="eastAsia" w:ascii="宋体" w:hAnsi="宋体" w:cs="宋体"/>
                <w:szCs w:val="21"/>
              </w:rPr>
              <w:t>D3188701</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自动电位滴定计</w:t>
            </w:r>
          </w:p>
        </w:tc>
        <w:tc>
          <w:tcPr>
            <w:tcW w:w="2400" w:type="dxa"/>
            <w:vAlign w:val="center"/>
          </w:tcPr>
          <w:p>
            <w:pPr>
              <w:rPr>
                <w:rFonts w:hint="eastAsia" w:ascii="宋体" w:hAnsi="宋体" w:cs="宋体"/>
                <w:szCs w:val="21"/>
              </w:rPr>
            </w:pPr>
            <w:r>
              <w:rPr>
                <w:rFonts w:hint="eastAsia" w:ascii="宋体" w:hAnsi="宋体" w:cs="宋体"/>
                <w:szCs w:val="21"/>
              </w:rPr>
              <w:t>ZD－2</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水质采样器</w:t>
            </w:r>
          </w:p>
        </w:tc>
        <w:tc>
          <w:tcPr>
            <w:tcW w:w="2400" w:type="dxa"/>
            <w:vAlign w:val="center"/>
          </w:tcPr>
          <w:p>
            <w:pPr>
              <w:rPr>
                <w:rFonts w:hint="eastAsia" w:ascii="宋体" w:hAnsi="宋体" w:cs="宋体"/>
                <w:szCs w:val="21"/>
              </w:rPr>
            </w:pPr>
            <w:r>
              <w:rPr>
                <w:rFonts w:hint="eastAsia" w:ascii="宋体" w:hAnsi="宋体" w:cs="宋体"/>
                <w:szCs w:val="21"/>
              </w:rPr>
              <w:t>CSQ-1</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手持式XY辐射仪</w:t>
            </w:r>
          </w:p>
        </w:tc>
        <w:tc>
          <w:tcPr>
            <w:tcW w:w="2400" w:type="dxa"/>
            <w:vAlign w:val="center"/>
          </w:tcPr>
          <w:p>
            <w:pPr>
              <w:rPr>
                <w:rFonts w:hint="eastAsia" w:ascii="宋体" w:hAnsi="宋体" w:cs="宋体"/>
                <w:szCs w:val="21"/>
              </w:rPr>
            </w:pPr>
            <w:r>
              <w:rPr>
                <w:rFonts w:hint="eastAsia" w:ascii="宋体" w:hAnsi="宋体" w:cs="宋体"/>
                <w:szCs w:val="21"/>
              </w:rPr>
              <w:t>RM2030</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热释先个人检测计量计</w:t>
            </w:r>
          </w:p>
        </w:tc>
        <w:tc>
          <w:tcPr>
            <w:tcW w:w="2400" w:type="dxa"/>
            <w:vAlign w:val="center"/>
          </w:tcPr>
          <w:p>
            <w:pPr>
              <w:rPr>
                <w:rFonts w:hint="eastAsia" w:ascii="宋体" w:hAnsi="宋体" w:cs="宋体"/>
                <w:szCs w:val="21"/>
              </w:rPr>
            </w:pPr>
            <w:r>
              <w:rPr>
                <w:rFonts w:hint="eastAsia" w:ascii="宋体" w:hAnsi="宋体" w:cs="宋体"/>
                <w:szCs w:val="21"/>
              </w:rPr>
              <w:t xml:space="preserve">TLD-600  </w:t>
            </w:r>
          </w:p>
        </w:tc>
        <w:tc>
          <w:tcPr>
            <w:tcW w:w="922" w:type="dxa"/>
            <w:vAlign w:val="center"/>
          </w:tcPr>
          <w:p>
            <w:pPr>
              <w:jc w:val="center"/>
              <w:rPr>
                <w:rFonts w:hint="eastAsia" w:ascii="宋体" w:hAnsi="宋体" w:cs="宋体"/>
                <w:szCs w:val="21"/>
              </w:rPr>
            </w:pPr>
            <w:r>
              <w:rPr>
                <w:rFonts w:hint="eastAsia" w:ascii="宋体" w:hAnsi="宋体" w:cs="宋体"/>
                <w:szCs w:val="21"/>
              </w:rPr>
              <w:t>505个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防护铅服</w:t>
            </w:r>
          </w:p>
        </w:tc>
        <w:tc>
          <w:tcPr>
            <w:tcW w:w="2400" w:type="dxa"/>
            <w:vAlign w:val="center"/>
          </w:tcPr>
          <w:p>
            <w:pPr>
              <w:rPr>
                <w:rFonts w:hint="eastAsia" w:ascii="宋体" w:hAnsi="宋体" w:cs="宋体"/>
                <w:szCs w:val="21"/>
              </w:rPr>
            </w:pPr>
            <w:r>
              <w:rPr>
                <w:rFonts w:hint="eastAsia" w:ascii="宋体" w:hAnsi="宋体" w:cs="宋体"/>
                <w:szCs w:val="21"/>
              </w:rPr>
              <w:t xml:space="preserve">半袖双面连体型  </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便携式心肺复苏机</w:t>
            </w:r>
          </w:p>
        </w:tc>
        <w:tc>
          <w:tcPr>
            <w:tcW w:w="2400" w:type="dxa"/>
            <w:vAlign w:val="top"/>
          </w:tcPr>
          <w:p>
            <w:pPr>
              <w:rPr>
                <w:rFonts w:hint="eastAsia" w:ascii="宋体" w:hAnsi="宋体" w:cs="宋体"/>
                <w:szCs w:val="21"/>
              </w:rPr>
            </w:pPr>
            <w:r>
              <w:rPr>
                <w:rFonts w:hint="eastAsia" w:ascii="宋体" w:hAnsi="宋体" w:cs="宋体"/>
                <w:szCs w:val="21"/>
              </w:rPr>
              <w:t>HLR Model－601</w:t>
            </w:r>
          </w:p>
        </w:tc>
        <w:tc>
          <w:tcPr>
            <w:tcW w:w="922" w:type="dxa"/>
            <w:vAlign w:val="center"/>
          </w:tcPr>
          <w:p>
            <w:pPr>
              <w:jc w:val="center"/>
              <w:rPr>
                <w:rFonts w:hint="eastAsia" w:ascii="宋体" w:hAnsi="宋体" w:cs="宋体"/>
                <w:szCs w:val="21"/>
              </w:rPr>
            </w:pPr>
            <w:r>
              <w:rPr>
                <w:rFonts w:hint="eastAsia" w:ascii="宋体" w:hAnsi="宋体" w:cs="宋体"/>
                <w:szCs w:val="21"/>
              </w:rPr>
              <w:t>2台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被褥和担架</w:t>
            </w:r>
          </w:p>
        </w:tc>
        <w:tc>
          <w:tcPr>
            <w:tcW w:w="2400" w:type="dxa"/>
            <w:vAlign w:val="top"/>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躯干和肢体真空气囊</w:t>
            </w:r>
          </w:p>
        </w:tc>
        <w:tc>
          <w:tcPr>
            <w:tcW w:w="2400" w:type="dxa"/>
            <w:vAlign w:val="top"/>
          </w:tcPr>
          <w:p>
            <w:pPr>
              <w:rPr>
                <w:rFonts w:hint="eastAsia" w:ascii="宋体" w:hAnsi="宋体" w:cs="宋体"/>
                <w:szCs w:val="21"/>
              </w:rPr>
            </w:pPr>
            <w:r>
              <w:rPr>
                <w:rFonts w:hint="eastAsia" w:ascii="宋体" w:hAnsi="宋体" w:cs="宋体"/>
                <w:szCs w:val="21"/>
              </w:rPr>
              <w:t>BGD-1</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综合急救箱</w:t>
            </w:r>
          </w:p>
        </w:tc>
        <w:tc>
          <w:tcPr>
            <w:tcW w:w="2400" w:type="dxa"/>
            <w:vAlign w:val="top"/>
          </w:tcPr>
          <w:p>
            <w:pPr>
              <w:rPr>
                <w:rFonts w:hint="eastAsia" w:ascii="宋体" w:hAnsi="宋体" w:cs="宋体"/>
                <w:szCs w:val="21"/>
              </w:rPr>
            </w:pPr>
            <w:r>
              <w:rPr>
                <w:rFonts w:hint="eastAsia" w:ascii="宋体" w:hAnsi="宋体" w:cs="宋体"/>
                <w:szCs w:val="21"/>
              </w:rPr>
              <w:t>BGA-20</w:t>
            </w:r>
          </w:p>
        </w:tc>
        <w:tc>
          <w:tcPr>
            <w:tcW w:w="922" w:type="dxa"/>
            <w:vAlign w:val="center"/>
          </w:tcPr>
          <w:p>
            <w:pPr>
              <w:jc w:val="center"/>
              <w:rPr>
                <w:rFonts w:hint="eastAsia" w:ascii="宋体" w:hAnsi="宋体" w:cs="宋体"/>
                <w:szCs w:val="21"/>
              </w:rPr>
            </w:pPr>
            <w:r>
              <w:rPr>
                <w:rFonts w:hint="eastAsia" w:ascii="宋体" w:hAnsi="宋体" w:cs="宋体"/>
                <w:szCs w:val="21"/>
              </w:rPr>
              <w:t>8套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器材维修专用工具</w:t>
            </w:r>
          </w:p>
        </w:tc>
        <w:tc>
          <w:tcPr>
            <w:tcW w:w="2400" w:type="dxa"/>
            <w:vAlign w:val="top"/>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螺旋千斤顶</w:t>
            </w:r>
          </w:p>
        </w:tc>
        <w:tc>
          <w:tcPr>
            <w:tcW w:w="2400" w:type="dxa"/>
            <w:vAlign w:val="center"/>
          </w:tcPr>
          <w:p>
            <w:pPr>
              <w:rPr>
                <w:rFonts w:hint="eastAsia" w:ascii="宋体" w:hAnsi="宋体" w:cs="宋体"/>
                <w:szCs w:val="21"/>
              </w:rPr>
            </w:pPr>
            <w:r>
              <w:rPr>
                <w:rFonts w:hint="eastAsia" w:ascii="宋体" w:hAnsi="宋体" w:cs="宋体"/>
                <w:szCs w:val="21"/>
              </w:rPr>
              <w:t>（2.2KG、3.2KG、4.9KG）</w:t>
            </w:r>
          </w:p>
        </w:tc>
        <w:tc>
          <w:tcPr>
            <w:tcW w:w="922" w:type="dxa"/>
            <w:vAlign w:val="center"/>
          </w:tcPr>
          <w:p>
            <w:pPr>
              <w:jc w:val="center"/>
              <w:rPr>
                <w:rFonts w:hint="eastAsia" w:ascii="宋体" w:hAnsi="宋体" w:cs="宋体"/>
                <w:szCs w:val="21"/>
              </w:rPr>
            </w:pPr>
            <w:r>
              <w:rPr>
                <w:rFonts w:hint="eastAsia" w:ascii="宋体" w:hAnsi="宋体" w:cs="宋体"/>
                <w:szCs w:val="21"/>
              </w:rPr>
              <w:t>8个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电剪刀</w:t>
            </w:r>
          </w:p>
        </w:tc>
        <w:tc>
          <w:tcPr>
            <w:tcW w:w="2400" w:type="dxa"/>
            <w:vAlign w:val="center"/>
          </w:tcPr>
          <w:p>
            <w:pPr>
              <w:rPr>
                <w:rFonts w:hint="eastAsia" w:ascii="宋体" w:hAnsi="宋体" w:cs="宋体"/>
                <w:szCs w:val="21"/>
              </w:rPr>
            </w:pPr>
            <w:r>
              <w:rPr>
                <w:rFonts w:hint="eastAsia" w:ascii="宋体" w:hAnsi="宋体" w:cs="宋体"/>
                <w:szCs w:val="21"/>
              </w:rPr>
              <w:t>30W</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电动切管套丝机</w:t>
            </w:r>
          </w:p>
        </w:tc>
        <w:tc>
          <w:tcPr>
            <w:tcW w:w="2400" w:type="dxa"/>
            <w:vAlign w:val="center"/>
          </w:tcPr>
          <w:p>
            <w:pPr>
              <w:rPr>
                <w:rFonts w:hint="eastAsia" w:ascii="宋体" w:hAnsi="宋体" w:cs="宋体"/>
                <w:szCs w:val="21"/>
              </w:rPr>
            </w:pPr>
            <w:r>
              <w:rPr>
                <w:rFonts w:hint="eastAsia" w:ascii="宋体" w:hAnsi="宋体" w:cs="宋体"/>
                <w:szCs w:val="21"/>
              </w:rPr>
              <w:t>Z3T-R6</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对讲机(防爆防水)</w:t>
            </w:r>
          </w:p>
        </w:tc>
        <w:tc>
          <w:tcPr>
            <w:tcW w:w="2400" w:type="dxa"/>
            <w:vAlign w:val="center"/>
          </w:tcPr>
          <w:p>
            <w:pPr>
              <w:rPr>
                <w:rFonts w:hint="eastAsia" w:ascii="宋体" w:hAnsi="宋体" w:cs="宋体"/>
                <w:szCs w:val="21"/>
              </w:rPr>
            </w:pPr>
            <w:r>
              <w:rPr>
                <w:rFonts w:hint="eastAsia" w:ascii="宋体" w:hAnsi="宋体" w:cs="宋体"/>
                <w:szCs w:val="21"/>
              </w:rPr>
              <w:t>GP328</w:t>
            </w:r>
          </w:p>
        </w:tc>
        <w:tc>
          <w:tcPr>
            <w:tcW w:w="922" w:type="dxa"/>
            <w:vAlign w:val="center"/>
          </w:tcPr>
          <w:p>
            <w:pPr>
              <w:jc w:val="center"/>
              <w:rPr>
                <w:rFonts w:hint="eastAsia" w:ascii="宋体" w:hAnsi="宋体" w:cs="宋体"/>
                <w:szCs w:val="21"/>
              </w:rPr>
            </w:pPr>
            <w:r>
              <w:rPr>
                <w:rFonts w:hint="eastAsia" w:ascii="宋体" w:hAnsi="宋体" w:cs="宋体"/>
                <w:szCs w:val="21"/>
              </w:rPr>
              <w:t>92个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现场应急广播系统</w:t>
            </w:r>
          </w:p>
        </w:tc>
        <w:tc>
          <w:tcPr>
            <w:tcW w:w="2400" w:type="dxa"/>
            <w:vAlign w:val="top"/>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现场应急有线电话系统</w:t>
            </w:r>
          </w:p>
        </w:tc>
        <w:tc>
          <w:tcPr>
            <w:tcW w:w="2400" w:type="dxa"/>
            <w:vAlign w:val="top"/>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应急灯(手提式探照灯)</w:t>
            </w:r>
          </w:p>
        </w:tc>
        <w:tc>
          <w:tcPr>
            <w:tcW w:w="2400" w:type="dxa"/>
            <w:vAlign w:val="top"/>
          </w:tcPr>
          <w:p>
            <w:pPr>
              <w:rPr>
                <w:rFonts w:hint="eastAsia" w:ascii="宋体" w:hAnsi="宋体" w:cs="宋体"/>
                <w:szCs w:val="21"/>
              </w:rPr>
            </w:pPr>
            <w:r>
              <w:rPr>
                <w:rFonts w:hint="eastAsia" w:ascii="宋体" w:hAnsi="宋体" w:cs="宋体"/>
                <w:szCs w:val="21"/>
              </w:rPr>
              <w:t>BST6302B</w:t>
            </w:r>
          </w:p>
        </w:tc>
        <w:tc>
          <w:tcPr>
            <w:tcW w:w="922" w:type="dxa"/>
            <w:vAlign w:val="center"/>
          </w:tcPr>
          <w:p>
            <w:pPr>
              <w:jc w:val="center"/>
              <w:rPr>
                <w:rFonts w:hint="eastAsia" w:ascii="宋体" w:hAnsi="宋体" w:cs="宋体"/>
                <w:szCs w:val="21"/>
              </w:rPr>
            </w:pPr>
            <w:r>
              <w:rPr>
                <w:rFonts w:hint="eastAsia" w:ascii="宋体" w:hAnsi="宋体" w:cs="宋体"/>
                <w:szCs w:val="21"/>
              </w:rPr>
              <w:t>19个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防爆电筒</w:t>
            </w:r>
          </w:p>
        </w:tc>
        <w:tc>
          <w:tcPr>
            <w:tcW w:w="2400" w:type="dxa"/>
            <w:vAlign w:val="center"/>
          </w:tcPr>
          <w:p>
            <w:pPr>
              <w:rPr>
                <w:rFonts w:hint="eastAsia" w:ascii="宋体" w:hAnsi="宋体" w:cs="宋体"/>
                <w:szCs w:val="21"/>
              </w:rPr>
            </w:pPr>
            <w:r>
              <w:rPr>
                <w:rFonts w:hint="eastAsia" w:ascii="宋体" w:hAnsi="宋体" w:cs="宋体"/>
                <w:szCs w:val="21"/>
              </w:rPr>
              <w:t>7623（防爆充电）JW7623</w:t>
            </w:r>
          </w:p>
        </w:tc>
        <w:tc>
          <w:tcPr>
            <w:tcW w:w="922" w:type="dxa"/>
            <w:vAlign w:val="center"/>
          </w:tcPr>
          <w:p>
            <w:pPr>
              <w:jc w:val="center"/>
              <w:rPr>
                <w:rFonts w:hint="eastAsia" w:ascii="宋体" w:hAnsi="宋体" w:cs="宋体"/>
                <w:szCs w:val="21"/>
              </w:rPr>
            </w:pPr>
            <w:r>
              <w:rPr>
                <w:rFonts w:hint="eastAsia" w:ascii="宋体" w:hAnsi="宋体" w:cs="宋体"/>
                <w:szCs w:val="21"/>
              </w:rPr>
              <w:t>91个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消防控制中心</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1座</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微型消防站</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1座</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泡沫消防站</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手提式干粉灭火器</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推车式干粉灭火器</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78个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推车式二氧化碳灭火器</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消防栓</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应急车辆</w:t>
            </w:r>
          </w:p>
        </w:tc>
        <w:tc>
          <w:tcPr>
            <w:tcW w:w="2400" w:type="dxa"/>
            <w:vAlign w:val="center"/>
          </w:tcPr>
          <w:p>
            <w:pPr>
              <w:rPr>
                <w:rFonts w:hint="eastAsia" w:ascii="宋体" w:hAnsi="宋体" w:cs="宋体"/>
                <w:szCs w:val="21"/>
              </w:rPr>
            </w:pPr>
            <w:r>
              <w:rPr>
                <w:rFonts w:hint="eastAsia" w:ascii="宋体" w:hAnsi="宋体" w:cs="宋体"/>
                <w:szCs w:val="21"/>
              </w:rPr>
              <w:t>小车</w:t>
            </w:r>
          </w:p>
        </w:tc>
        <w:tc>
          <w:tcPr>
            <w:tcW w:w="922" w:type="dxa"/>
            <w:vAlign w:val="center"/>
          </w:tcPr>
          <w:p>
            <w:pPr>
              <w:jc w:val="center"/>
              <w:rPr>
                <w:rFonts w:hint="eastAsia" w:ascii="宋体" w:hAnsi="宋体" w:cs="宋体"/>
                <w:szCs w:val="21"/>
              </w:rPr>
            </w:pPr>
            <w:r>
              <w:rPr>
                <w:rFonts w:hint="eastAsia" w:ascii="宋体" w:hAnsi="宋体" w:cs="宋体"/>
                <w:szCs w:val="21"/>
              </w:rPr>
              <w:t>3辆</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应急车辆</w:t>
            </w:r>
          </w:p>
        </w:tc>
        <w:tc>
          <w:tcPr>
            <w:tcW w:w="2400" w:type="dxa"/>
            <w:vAlign w:val="center"/>
          </w:tcPr>
          <w:p>
            <w:pPr>
              <w:rPr>
                <w:rFonts w:hint="eastAsia" w:ascii="宋体" w:hAnsi="宋体" w:cs="宋体"/>
                <w:szCs w:val="21"/>
              </w:rPr>
            </w:pPr>
            <w:r>
              <w:rPr>
                <w:rFonts w:hint="eastAsia" w:ascii="宋体" w:hAnsi="宋体" w:cs="宋体"/>
                <w:szCs w:val="21"/>
              </w:rPr>
              <w:t>商务车</w:t>
            </w:r>
          </w:p>
        </w:tc>
        <w:tc>
          <w:tcPr>
            <w:tcW w:w="922" w:type="dxa"/>
            <w:vAlign w:val="center"/>
          </w:tcPr>
          <w:p>
            <w:pPr>
              <w:jc w:val="center"/>
              <w:rPr>
                <w:rFonts w:hint="eastAsia" w:ascii="宋体" w:hAnsi="宋体" w:cs="宋体"/>
                <w:szCs w:val="21"/>
              </w:rPr>
            </w:pPr>
            <w:r>
              <w:rPr>
                <w:rFonts w:hint="eastAsia" w:ascii="宋体" w:hAnsi="宋体" w:cs="宋体"/>
                <w:szCs w:val="21"/>
              </w:rPr>
              <w:t>2辆</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应急车辆</w:t>
            </w:r>
          </w:p>
        </w:tc>
        <w:tc>
          <w:tcPr>
            <w:tcW w:w="2400" w:type="dxa"/>
            <w:vAlign w:val="center"/>
          </w:tcPr>
          <w:p>
            <w:pPr>
              <w:rPr>
                <w:rFonts w:hint="eastAsia" w:ascii="宋体" w:hAnsi="宋体" w:cs="宋体"/>
                <w:szCs w:val="21"/>
              </w:rPr>
            </w:pPr>
            <w:r>
              <w:rPr>
                <w:rFonts w:hint="eastAsia" w:ascii="宋体" w:hAnsi="宋体" w:cs="宋体"/>
                <w:szCs w:val="21"/>
              </w:rPr>
              <w:t>中巴车</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南充柏华污水处理厂</w:t>
            </w: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尹磊</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13659050024</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0817-3733107</w:t>
            </w:r>
          </w:p>
        </w:tc>
        <w:tc>
          <w:tcPr>
            <w:tcW w:w="2684" w:type="dxa"/>
            <w:vAlign w:val="center"/>
          </w:tcPr>
          <w:p>
            <w:pPr>
              <w:rPr>
                <w:rFonts w:hint="eastAsia" w:ascii="宋体" w:hAnsi="宋体" w:cs="宋体"/>
                <w:szCs w:val="21"/>
              </w:rPr>
            </w:pPr>
            <w:r>
              <w:rPr>
                <w:rFonts w:hint="eastAsia" w:ascii="宋体" w:hAnsi="宋体" w:cs="宋体"/>
                <w:szCs w:val="21"/>
              </w:rPr>
              <w:t>对讲机</w:t>
            </w:r>
          </w:p>
        </w:tc>
        <w:tc>
          <w:tcPr>
            <w:tcW w:w="2400" w:type="dxa"/>
            <w:vAlign w:val="center"/>
          </w:tcPr>
          <w:p>
            <w:pPr>
              <w:rPr>
                <w:rFonts w:hint="eastAsia" w:ascii="宋体" w:hAnsi="宋体" w:cs="宋体"/>
                <w:szCs w:val="21"/>
              </w:rPr>
            </w:pPr>
            <w:r>
              <w:rPr>
                <w:rFonts w:hint="eastAsia" w:ascii="宋体" w:hAnsi="宋体" w:cs="宋体"/>
                <w:szCs w:val="21"/>
              </w:rPr>
              <w:t>易燃易爆场所，防爆</w:t>
            </w:r>
          </w:p>
        </w:tc>
        <w:tc>
          <w:tcPr>
            <w:tcW w:w="922" w:type="dxa"/>
            <w:vAlign w:val="center"/>
          </w:tcPr>
          <w:p>
            <w:pPr>
              <w:jc w:val="center"/>
              <w:rPr>
                <w:rFonts w:hint="eastAsia" w:ascii="宋体" w:hAnsi="宋体" w:cs="宋体"/>
                <w:szCs w:val="21"/>
              </w:rPr>
            </w:pPr>
            <w:r>
              <w:rPr>
                <w:rFonts w:hint="eastAsia" w:ascii="宋体" w:hAnsi="宋体" w:cs="宋体"/>
                <w:szCs w:val="21"/>
              </w:rPr>
              <w:t>12个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手电筒</w:t>
            </w:r>
          </w:p>
        </w:tc>
        <w:tc>
          <w:tcPr>
            <w:tcW w:w="2400" w:type="dxa"/>
            <w:vAlign w:val="center"/>
          </w:tcPr>
          <w:p>
            <w:pPr>
              <w:rPr>
                <w:rFonts w:hint="eastAsia" w:ascii="宋体" w:hAnsi="宋体" w:cs="宋体"/>
                <w:szCs w:val="21"/>
              </w:rPr>
            </w:pPr>
            <w:r>
              <w:rPr>
                <w:rFonts w:hint="eastAsia" w:ascii="宋体" w:hAnsi="宋体" w:cs="宋体"/>
                <w:szCs w:val="21"/>
              </w:rPr>
              <w:t>易燃易爆场所，防爆</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吸附材料</w:t>
            </w:r>
          </w:p>
        </w:tc>
        <w:tc>
          <w:tcPr>
            <w:tcW w:w="2400" w:type="dxa"/>
            <w:vAlign w:val="center"/>
          </w:tcPr>
          <w:p>
            <w:pPr>
              <w:rPr>
                <w:rFonts w:hint="eastAsia" w:ascii="宋体" w:hAnsi="宋体" w:cs="宋体"/>
                <w:szCs w:val="21"/>
              </w:rPr>
            </w:pPr>
            <w:r>
              <w:rPr>
                <w:rFonts w:hint="eastAsia" w:ascii="宋体" w:hAnsi="宋体" w:cs="宋体"/>
                <w:szCs w:val="21"/>
              </w:rPr>
              <w:t>吸附泄露的化学品（沙土）</w:t>
            </w:r>
          </w:p>
        </w:tc>
        <w:tc>
          <w:tcPr>
            <w:tcW w:w="922" w:type="dxa"/>
            <w:vAlign w:val="center"/>
          </w:tcPr>
          <w:p>
            <w:pPr>
              <w:jc w:val="center"/>
              <w:rPr>
                <w:rFonts w:hint="eastAsia" w:ascii="宋体" w:hAnsi="宋体" w:cs="宋体"/>
                <w:szCs w:val="21"/>
              </w:rPr>
            </w:pPr>
            <w:r>
              <w:rPr>
                <w:rFonts w:hint="eastAsia" w:ascii="宋体" w:hAnsi="宋体" w:cs="宋体"/>
                <w:szCs w:val="21"/>
              </w:rPr>
              <w:t>3吨</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气体浓度检测仪</w:t>
            </w:r>
          </w:p>
        </w:tc>
        <w:tc>
          <w:tcPr>
            <w:tcW w:w="2400" w:type="dxa"/>
            <w:vAlign w:val="center"/>
          </w:tcPr>
          <w:p>
            <w:pPr>
              <w:rPr>
                <w:rFonts w:hint="eastAsia" w:ascii="宋体" w:hAnsi="宋体" w:cs="宋体"/>
                <w:szCs w:val="21"/>
              </w:rPr>
            </w:pPr>
            <w:r>
              <w:rPr>
                <w:rFonts w:hint="eastAsia" w:ascii="宋体" w:hAnsi="宋体" w:cs="宋体"/>
                <w:szCs w:val="21"/>
              </w:rPr>
              <w:t>检测气体浓度</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干粉灭火器</w:t>
            </w:r>
          </w:p>
        </w:tc>
        <w:tc>
          <w:tcPr>
            <w:tcW w:w="2400" w:type="dxa"/>
            <w:vAlign w:val="center"/>
          </w:tcPr>
          <w:p>
            <w:pPr>
              <w:rPr>
                <w:rFonts w:hint="eastAsia" w:ascii="宋体" w:hAnsi="宋体" w:cs="宋体"/>
                <w:szCs w:val="21"/>
              </w:rPr>
            </w:pPr>
            <w:r>
              <w:rPr>
                <w:rFonts w:hint="eastAsia" w:ascii="宋体" w:hAnsi="宋体" w:cs="宋体"/>
                <w:szCs w:val="21"/>
              </w:rPr>
              <w:t>(MFZ/ABC2、ABC4、ABC6)</w:t>
            </w:r>
          </w:p>
        </w:tc>
        <w:tc>
          <w:tcPr>
            <w:tcW w:w="922" w:type="dxa"/>
            <w:vAlign w:val="center"/>
          </w:tcPr>
          <w:p>
            <w:pPr>
              <w:jc w:val="center"/>
              <w:rPr>
                <w:rFonts w:hint="eastAsia" w:ascii="宋体" w:hAnsi="宋体" w:cs="宋体"/>
                <w:szCs w:val="21"/>
              </w:rPr>
            </w:pPr>
            <w:r>
              <w:rPr>
                <w:rFonts w:hint="eastAsia" w:ascii="宋体" w:hAnsi="宋体" w:cs="宋体"/>
                <w:szCs w:val="21"/>
              </w:rPr>
              <w:t>74个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二氧化碳灭火器</w:t>
            </w:r>
          </w:p>
        </w:tc>
        <w:tc>
          <w:tcPr>
            <w:tcW w:w="2400" w:type="dxa"/>
            <w:vAlign w:val="center"/>
          </w:tcPr>
          <w:p>
            <w:pPr>
              <w:rPr>
                <w:rFonts w:hint="eastAsia" w:ascii="宋体" w:hAnsi="宋体" w:cs="宋体"/>
                <w:szCs w:val="21"/>
              </w:rPr>
            </w:pPr>
            <w:r>
              <w:rPr>
                <w:rFonts w:hint="eastAsia" w:ascii="宋体" w:hAnsi="宋体" w:cs="宋体"/>
                <w:szCs w:val="21"/>
              </w:rPr>
              <w:t>（MT7）</w:t>
            </w:r>
          </w:p>
        </w:tc>
        <w:tc>
          <w:tcPr>
            <w:tcW w:w="922" w:type="dxa"/>
            <w:vAlign w:val="center"/>
          </w:tcPr>
          <w:p>
            <w:pPr>
              <w:jc w:val="center"/>
              <w:rPr>
                <w:rFonts w:hint="eastAsia" w:ascii="宋体" w:hAnsi="宋体" w:cs="宋体"/>
                <w:szCs w:val="21"/>
              </w:rPr>
            </w:pPr>
            <w:r>
              <w:rPr>
                <w:rFonts w:hint="eastAsia" w:ascii="宋体" w:hAnsi="宋体" w:cs="宋体"/>
                <w:szCs w:val="21"/>
              </w:rPr>
              <w:t>14个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抢险救援车</w:t>
            </w:r>
          </w:p>
        </w:tc>
        <w:tc>
          <w:tcPr>
            <w:tcW w:w="2400" w:type="dxa"/>
            <w:vAlign w:val="center"/>
          </w:tcPr>
          <w:p>
            <w:pPr>
              <w:rPr>
                <w:rFonts w:hint="eastAsia" w:ascii="宋体" w:hAnsi="宋体" w:cs="宋体"/>
                <w:szCs w:val="21"/>
              </w:rPr>
            </w:pPr>
            <w:r>
              <w:rPr>
                <w:rFonts w:hint="eastAsia" w:ascii="宋体" w:hAnsi="宋体" w:cs="宋体"/>
                <w:szCs w:val="21"/>
              </w:rPr>
              <w:t>后勤抢险救援车</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室外消防器材</w:t>
            </w:r>
          </w:p>
        </w:tc>
        <w:tc>
          <w:tcPr>
            <w:tcW w:w="2400" w:type="dxa"/>
            <w:vAlign w:val="center"/>
          </w:tcPr>
          <w:p>
            <w:pPr>
              <w:rPr>
                <w:rFonts w:hint="eastAsia" w:ascii="宋体" w:hAnsi="宋体" w:cs="宋体"/>
                <w:szCs w:val="21"/>
              </w:rPr>
            </w:pPr>
            <w:r>
              <w:rPr>
                <w:rFonts w:hint="eastAsia" w:ascii="宋体" w:hAnsi="宋体" w:cs="宋体"/>
                <w:szCs w:val="21"/>
              </w:rPr>
              <w:t>消防带、水枪、消防扳手</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南充川港经开燃气有限公司</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喻文成</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0817-3855870</w:t>
            </w: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 </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南充川港经开燃气有限公司</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喻文成</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0817-3855870</w:t>
            </w: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kern w:val="0"/>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空气呼吸器</w:t>
            </w:r>
          </w:p>
        </w:tc>
        <w:tc>
          <w:tcPr>
            <w:tcW w:w="2400" w:type="dxa"/>
            <w:vAlign w:val="center"/>
          </w:tcPr>
          <w:p>
            <w:pPr>
              <w:rPr>
                <w:rFonts w:hint="eastAsia" w:ascii="宋体" w:hAnsi="宋体" w:cs="宋体"/>
                <w:szCs w:val="21"/>
              </w:rPr>
            </w:pPr>
            <w:r>
              <w:rPr>
                <w:rFonts w:hint="eastAsia" w:ascii="宋体" w:hAnsi="宋体" w:cs="宋体"/>
                <w:szCs w:val="21"/>
              </w:rPr>
              <w:t>RHZKF6.8/30-1</w:t>
            </w:r>
          </w:p>
        </w:tc>
        <w:tc>
          <w:tcPr>
            <w:tcW w:w="922" w:type="dxa"/>
            <w:vAlign w:val="center"/>
          </w:tcPr>
          <w:p>
            <w:pPr>
              <w:jc w:val="center"/>
              <w:rPr>
                <w:rFonts w:hint="eastAsia" w:ascii="宋体" w:hAnsi="宋体" w:cs="宋体"/>
                <w:szCs w:val="21"/>
              </w:rPr>
            </w:pPr>
            <w:r>
              <w:rPr>
                <w:rFonts w:hint="eastAsia" w:ascii="宋体" w:hAnsi="宋体" w:cs="宋体"/>
                <w:szCs w:val="21"/>
              </w:rPr>
              <w:t>3套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防爆移动灯</w:t>
            </w:r>
          </w:p>
        </w:tc>
        <w:tc>
          <w:tcPr>
            <w:tcW w:w="2400" w:type="dxa"/>
            <w:vAlign w:val="center"/>
          </w:tcPr>
          <w:p>
            <w:pPr>
              <w:rPr>
                <w:rFonts w:hint="eastAsia" w:ascii="宋体" w:hAnsi="宋体" w:cs="宋体"/>
                <w:szCs w:val="21"/>
              </w:rPr>
            </w:pPr>
            <w:r>
              <w:rPr>
                <w:rFonts w:hint="eastAsia" w:ascii="宋体" w:hAnsi="宋体" w:cs="宋体"/>
                <w:szCs w:val="21"/>
              </w:rPr>
              <w:t>FW6101/BT</w:t>
            </w:r>
          </w:p>
        </w:tc>
        <w:tc>
          <w:tcPr>
            <w:tcW w:w="922" w:type="dxa"/>
            <w:vAlign w:val="center"/>
          </w:tcPr>
          <w:p>
            <w:pPr>
              <w:jc w:val="center"/>
              <w:rPr>
                <w:rFonts w:hint="eastAsia" w:ascii="宋体" w:hAnsi="宋体" w:cs="宋体"/>
                <w:szCs w:val="21"/>
              </w:rPr>
            </w:pPr>
            <w:r>
              <w:rPr>
                <w:rFonts w:hint="eastAsia" w:ascii="宋体" w:hAnsi="宋体" w:cs="宋体"/>
                <w:szCs w:val="21"/>
              </w:rPr>
              <w:t>6台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全方位自动泛光工作灯</w:t>
            </w:r>
          </w:p>
        </w:tc>
        <w:tc>
          <w:tcPr>
            <w:tcW w:w="2400" w:type="dxa"/>
            <w:vAlign w:val="center"/>
          </w:tcPr>
          <w:p>
            <w:pPr>
              <w:rPr>
                <w:rFonts w:hint="eastAsia" w:ascii="宋体" w:hAnsi="宋体" w:cs="宋体"/>
                <w:szCs w:val="21"/>
              </w:rPr>
            </w:pPr>
            <w:r>
              <w:rPr>
                <w:rFonts w:hint="eastAsia" w:ascii="宋体" w:hAnsi="宋体" w:cs="宋体"/>
                <w:szCs w:val="21"/>
              </w:rPr>
              <w:t>SFW6110C</w:t>
            </w:r>
          </w:p>
        </w:tc>
        <w:tc>
          <w:tcPr>
            <w:tcW w:w="922" w:type="dxa"/>
            <w:vAlign w:val="center"/>
          </w:tcPr>
          <w:p>
            <w:pPr>
              <w:jc w:val="center"/>
              <w:rPr>
                <w:rFonts w:hint="eastAsia" w:ascii="宋体" w:hAnsi="宋体" w:cs="宋体"/>
                <w:szCs w:val="21"/>
              </w:rPr>
            </w:pPr>
            <w:r>
              <w:rPr>
                <w:rFonts w:hint="eastAsia" w:ascii="宋体" w:hAnsi="宋体" w:cs="宋体"/>
                <w:szCs w:val="21"/>
              </w:rPr>
              <w:t>2台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发电机组</w:t>
            </w:r>
          </w:p>
        </w:tc>
        <w:tc>
          <w:tcPr>
            <w:tcW w:w="2400" w:type="dxa"/>
            <w:vAlign w:val="center"/>
          </w:tcPr>
          <w:p>
            <w:pPr>
              <w:rPr>
                <w:rFonts w:hint="eastAsia" w:ascii="宋体" w:hAnsi="宋体" w:cs="宋体"/>
                <w:szCs w:val="21"/>
              </w:rPr>
            </w:pPr>
            <w:r>
              <w:rPr>
                <w:rFonts w:hint="eastAsia" w:ascii="宋体" w:hAnsi="宋体" w:cs="宋体"/>
                <w:szCs w:val="21"/>
              </w:rPr>
              <w:t>GF6A-II（5000W）</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发电机</w:t>
            </w:r>
          </w:p>
        </w:tc>
        <w:tc>
          <w:tcPr>
            <w:tcW w:w="2400" w:type="dxa"/>
            <w:vAlign w:val="center"/>
          </w:tcPr>
          <w:p>
            <w:pPr>
              <w:rPr>
                <w:rFonts w:hint="eastAsia" w:ascii="宋体" w:hAnsi="宋体" w:cs="宋体"/>
                <w:szCs w:val="21"/>
              </w:rPr>
            </w:pPr>
            <w:r>
              <w:rPr>
                <w:rFonts w:hint="eastAsia" w:ascii="宋体" w:hAnsi="宋体" w:cs="宋体"/>
                <w:szCs w:val="21"/>
              </w:rPr>
              <w:t>SH3900EX（3000W）</w:t>
            </w:r>
          </w:p>
        </w:tc>
        <w:tc>
          <w:tcPr>
            <w:tcW w:w="922" w:type="dxa"/>
            <w:vAlign w:val="center"/>
          </w:tcPr>
          <w:p>
            <w:pPr>
              <w:jc w:val="center"/>
              <w:rPr>
                <w:rFonts w:hint="eastAsia" w:ascii="宋体" w:hAnsi="宋体" w:cs="宋体"/>
                <w:szCs w:val="21"/>
              </w:rPr>
            </w:pPr>
            <w:r>
              <w:rPr>
                <w:rFonts w:hint="eastAsia" w:ascii="宋体" w:hAnsi="宋体" w:cs="宋体"/>
                <w:szCs w:val="21"/>
              </w:rPr>
              <w:t>3台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热熔焊机</w:t>
            </w:r>
          </w:p>
        </w:tc>
        <w:tc>
          <w:tcPr>
            <w:tcW w:w="2400" w:type="dxa"/>
            <w:vAlign w:val="center"/>
          </w:tcPr>
          <w:p>
            <w:pPr>
              <w:rPr>
                <w:rFonts w:hint="eastAsia" w:ascii="宋体" w:hAnsi="宋体" w:cs="宋体"/>
                <w:szCs w:val="21"/>
              </w:rPr>
            </w:pPr>
            <w:r>
              <w:rPr>
                <w:rFonts w:hint="eastAsia" w:ascii="宋体" w:hAnsi="宋体" w:cs="宋体"/>
                <w:szCs w:val="21"/>
              </w:rPr>
              <w:t>sho250/110</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救生衣</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救生圈</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潜水泵</w:t>
            </w:r>
          </w:p>
        </w:tc>
        <w:tc>
          <w:tcPr>
            <w:tcW w:w="2400" w:type="dxa"/>
            <w:vAlign w:val="center"/>
          </w:tcPr>
          <w:p>
            <w:pPr>
              <w:rPr>
                <w:rFonts w:hint="eastAsia" w:ascii="宋体" w:hAnsi="宋体" w:cs="宋体"/>
                <w:szCs w:val="21"/>
              </w:rPr>
            </w:pPr>
            <w:r>
              <w:rPr>
                <w:rFonts w:hint="eastAsia" w:ascii="宋体" w:hAnsi="宋体" w:cs="宋体"/>
                <w:szCs w:val="21"/>
              </w:rPr>
              <w:t>WQBD10-16-0.80KW</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干粉灭火器</w:t>
            </w:r>
          </w:p>
        </w:tc>
        <w:tc>
          <w:tcPr>
            <w:tcW w:w="2400" w:type="dxa"/>
            <w:vAlign w:val="center"/>
          </w:tcPr>
          <w:p>
            <w:pPr>
              <w:rPr>
                <w:rFonts w:hint="eastAsia" w:ascii="宋体" w:hAnsi="宋体" w:cs="宋体"/>
                <w:szCs w:val="21"/>
              </w:rPr>
            </w:pPr>
            <w:r>
              <w:rPr>
                <w:rFonts w:hint="eastAsia" w:ascii="宋体" w:hAnsi="宋体" w:cs="宋体"/>
                <w:szCs w:val="21"/>
              </w:rPr>
              <w:t>ABCMFZ8型</w:t>
            </w:r>
          </w:p>
        </w:tc>
        <w:tc>
          <w:tcPr>
            <w:tcW w:w="922" w:type="dxa"/>
            <w:vAlign w:val="center"/>
          </w:tcPr>
          <w:p>
            <w:pPr>
              <w:jc w:val="center"/>
              <w:rPr>
                <w:rFonts w:hint="eastAsia" w:ascii="宋体" w:hAnsi="宋体" w:cs="宋体"/>
                <w:szCs w:val="21"/>
              </w:rPr>
            </w:pPr>
            <w:r>
              <w:rPr>
                <w:rFonts w:hint="eastAsia" w:ascii="宋体" w:hAnsi="宋体" w:cs="宋体"/>
                <w:szCs w:val="21"/>
              </w:rPr>
              <w:t>10具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隔爆型防爆轴流风机</w:t>
            </w:r>
          </w:p>
        </w:tc>
        <w:tc>
          <w:tcPr>
            <w:tcW w:w="2400" w:type="dxa"/>
            <w:vAlign w:val="center"/>
          </w:tcPr>
          <w:p>
            <w:pPr>
              <w:rPr>
                <w:rFonts w:hint="eastAsia" w:ascii="宋体" w:hAnsi="宋体" w:cs="宋体"/>
                <w:szCs w:val="21"/>
              </w:rPr>
            </w:pPr>
            <w:r>
              <w:rPr>
                <w:rFonts w:hint="eastAsia" w:ascii="宋体" w:hAnsi="宋体" w:cs="宋体"/>
                <w:szCs w:val="21"/>
              </w:rPr>
              <w:t>CBF-40O.370W</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电熔焊机</w:t>
            </w:r>
          </w:p>
        </w:tc>
        <w:tc>
          <w:tcPr>
            <w:tcW w:w="2400" w:type="dxa"/>
            <w:vAlign w:val="center"/>
          </w:tcPr>
          <w:p>
            <w:pPr>
              <w:rPr>
                <w:rFonts w:hint="eastAsia" w:ascii="宋体" w:hAnsi="宋体" w:cs="宋体"/>
                <w:szCs w:val="21"/>
              </w:rPr>
            </w:pPr>
            <w:r>
              <w:rPr>
                <w:rFonts w:hint="eastAsia" w:ascii="宋体" w:hAnsi="宋体" w:cs="宋体"/>
                <w:szCs w:val="21"/>
              </w:rPr>
              <w:t>DRFQ-全自动型</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防爆管钳</w:t>
            </w:r>
          </w:p>
        </w:tc>
        <w:tc>
          <w:tcPr>
            <w:tcW w:w="2400" w:type="dxa"/>
            <w:vAlign w:val="center"/>
          </w:tcPr>
          <w:p>
            <w:pPr>
              <w:rPr>
                <w:rFonts w:hint="eastAsia" w:ascii="宋体" w:hAnsi="宋体" w:cs="宋体"/>
                <w:szCs w:val="21"/>
              </w:rPr>
            </w:pPr>
            <w:r>
              <w:rPr>
                <w:rFonts w:hint="eastAsia" w:ascii="宋体" w:hAnsi="宋体" w:cs="宋体"/>
                <w:szCs w:val="21"/>
              </w:rPr>
              <w:t>600mm、450mm、350mm</w:t>
            </w:r>
          </w:p>
        </w:tc>
        <w:tc>
          <w:tcPr>
            <w:tcW w:w="922" w:type="dxa"/>
            <w:vAlign w:val="center"/>
          </w:tcPr>
          <w:p>
            <w:pPr>
              <w:jc w:val="center"/>
              <w:rPr>
                <w:rFonts w:hint="eastAsia" w:ascii="宋体" w:hAnsi="宋体" w:cs="宋体"/>
                <w:szCs w:val="21"/>
              </w:rPr>
            </w:pPr>
            <w:r>
              <w:rPr>
                <w:rFonts w:hint="eastAsia" w:ascii="宋体" w:hAnsi="宋体" w:cs="宋体"/>
                <w:szCs w:val="21"/>
              </w:rPr>
              <w:t>3把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防爆双头梅花扳手</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7把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防爆双头呆扳手</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7把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防爆活动扳手</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防爆平口手钳</w:t>
            </w:r>
          </w:p>
        </w:tc>
        <w:tc>
          <w:tcPr>
            <w:tcW w:w="2400" w:type="dxa"/>
            <w:vAlign w:val="center"/>
          </w:tcPr>
          <w:p>
            <w:pPr>
              <w:rPr>
                <w:rFonts w:hint="eastAsia" w:ascii="宋体" w:hAnsi="宋体" w:cs="宋体"/>
                <w:szCs w:val="21"/>
              </w:rPr>
            </w:pPr>
            <w:r>
              <w:rPr>
                <w:rFonts w:hint="eastAsia" w:ascii="宋体" w:hAnsi="宋体" w:cs="宋体"/>
                <w:szCs w:val="21"/>
              </w:rPr>
              <w:t>200mm</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防爆尖咀钳</w:t>
            </w:r>
          </w:p>
        </w:tc>
        <w:tc>
          <w:tcPr>
            <w:tcW w:w="2400" w:type="dxa"/>
            <w:vAlign w:val="center"/>
          </w:tcPr>
          <w:p>
            <w:pPr>
              <w:rPr>
                <w:rFonts w:hint="eastAsia" w:ascii="宋体" w:hAnsi="宋体" w:cs="宋体"/>
                <w:szCs w:val="21"/>
              </w:rPr>
            </w:pPr>
            <w:r>
              <w:rPr>
                <w:rFonts w:hint="eastAsia" w:ascii="宋体" w:hAnsi="宋体" w:cs="宋体"/>
                <w:szCs w:val="21"/>
              </w:rPr>
              <w:t>150mm</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防爆平口起子</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防爆梅花起子</w:t>
            </w:r>
          </w:p>
        </w:tc>
        <w:tc>
          <w:tcPr>
            <w:tcW w:w="2400" w:type="dxa"/>
            <w:vAlign w:val="center"/>
          </w:tcPr>
          <w:p>
            <w:pPr>
              <w:rPr>
                <w:rFonts w:hint="eastAsia" w:ascii="宋体" w:hAnsi="宋体" w:cs="宋体"/>
                <w:szCs w:val="21"/>
              </w:rPr>
            </w:pPr>
            <w:r>
              <w:rPr>
                <w:rFonts w:hint="eastAsia" w:ascii="宋体" w:hAnsi="宋体" w:cs="宋体"/>
                <w:szCs w:val="21"/>
              </w:rPr>
              <w:t>8*200mm</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防爆榔头</w:t>
            </w:r>
          </w:p>
        </w:tc>
        <w:tc>
          <w:tcPr>
            <w:tcW w:w="2400" w:type="dxa"/>
            <w:vAlign w:val="center"/>
          </w:tcPr>
          <w:p>
            <w:pPr>
              <w:rPr>
                <w:rFonts w:hint="eastAsia" w:ascii="宋体" w:hAnsi="宋体" w:cs="宋体"/>
                <w:szCs w:val="21"/>
              </w:rPr>
            </w:pPr>
            <w:r>
              <w:rPr>
                <w:rFonts w:hint="eastAsia" w:ascii="宋体" w:hAnsi="宋体" w:cs="宋体"/>
                <w:szCs w:val="21"/>
              </w:rPr>
              <w:t>2.5磅</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防爆錾子</w:t>
            </w:r>
          </w:p>
        </w:tc>
        <w:tc>
          <w:tcPr>
            <w:tcW w:w="2400" w:type="dxa"/>
            <w:vAlign w:val="center"/>
          </w:tcPr>
          <w:p>
            <w:pPr>
              <w:rPr>
                <w:rFonts w:hint="eastAsia" w:ascii="宋体" w:hAnsi="宋体" w:cs="宋体"/>
                <w:szCs w:val="21"/>
              </w:rPr>
            </w:pPr>
            <w:r>
              <w:rPr>
                <w:rFonts w:hint="eastAsia" w:ascii="宋体" w:hAnsi="宋体" w:cs="宋体"/>
                <w:szCs w:val="21"/>
              </w:rPr>
              <w:t>20*200</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反光背心</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10件</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防静电手套</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50双</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高空安全带</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防护眼镜</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5副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生命救助急救包</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手提喇叭</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雨衣、雨靴</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7套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泵吸式多气体检测仪</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四氢噻吩浓度检测仪</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防爆对讲机</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6台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手动隔膜抽吸泵</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石棉垫</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橡胶垫</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塑料薄膜</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帐篷</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电动锯</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防爆斧头</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防爆钢钎</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3把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防爆活动扳手</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防爆割刀</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防爆錾子</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防爆榔头</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防爆电潜泵</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防爆轴流风机</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麻袋</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20个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安全绳</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5根</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吸油毡</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100张</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拉线器</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rPr>
                <w:rFonts w:hint="eastAsia" w:ascii="宋体" w:hAnsi="宋体" w:cs="宋体"/>
                <w:szCs w:val="21"/>
              </w:rPr>
            </w:pPr>
            <w:r>
              <w:rPr>
                <w:rFonts w:hint="eastAsia" w:ascii="宋体" w:hAnsi="宋体" w:cs="宋体"/>
                <w:szCs w:val="21"/>
              </w:rPr>
              <w:t>应急抢险车辆</w:t>
            </w:r>
          </w:p>
        </w:tc>
        <w:tc>
          <w:tcPr>
            <w:tcW w:w="2400"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南充帝益燃气有限公司</w:t>
            </w: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罗军</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13698233196</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13990731118</w:t>
            </w:r>
          </w:p>
        </w:tc>
        <w:tc>
          <w:tcPr>
            <w:tcW w:w="2684" w:type="dxa"/>
            <w:vAlign w:val="center"/>
          </w:tcPr>
          <w:p>
            <w:pPr>
              <w:jc w:val="left"/>
              <w:rPr>
                <w:rFonts w:hint="eastAsia" w:ascii="宋体" w:hAnsi="宋体" w:cs="宋体"/>
                <w:szCs w:val="21"/>
              </w:rPr>
            </w:pPr>
            <w:r>
              <w:rPr>
                <w:rFonts w:hint="eastAsia" w:ascii="宋体" w:hAnsi="宋体" w:cs="宋体"/>
                <w:szCs w:val="21"/>
              </w:rPr>
              <w:t>消防呼叫器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消防轻型安全绳</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4根</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灭火器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16具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消防防护靴</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4双</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防毒面具</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灭火消防服</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消防斧</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消防安全腰带</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消防枪</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消防水带</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灭火防护手套</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灭火毯</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防爆手电筒</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消防栓</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南充联成化学工业有限公司</w:t>
            </w: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武  江</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0817-2269456</w:t>
            </w:r>
          </w:p>
        </w:tc>
        <w:tc>
          <w:tcPr>
            <w:tcW w:w="2684" w:type="dxa"/>
            <w:vAlign w:val="center"/>
          </w:tcPr>
          <w:p>
            <w:pPr>
              <w:jc w:val="left"/>
              <w:rPr>
                <w:rFonts w:hint="eastAsia" w:ascii="宋体" w:hAnsi="宋体" w:cs="宋体"/>
                <w:szCs w:val="21"/>
              </w:rPr>
            </w:pPr>
            <w:r>
              <w:rPr>
                <w:rFonts w:hint="eastAsia" w:ascii="宋体" w:hAnsi="宋体" w:cs="宋体"/>
                <w:szCs w:val="21"/>
              </w:rPr>
              <w:t>急救箱</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8套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安全绳</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担架</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安全帽</w:t>
            </w:r>
          </w:p>
        </w:tc>
        <w:tc>
          <w:tcPr>
            <w:tcW w:w="2400" w:type="dxa"/>
            <w:vAlign w:val="center"/>
          </w:tcPr>
          <w:p>
            <w:pPr>
              <w:jc w:val="left"/>
              <w:rPr>
                <w:rFonts w:hint="eastAsia" w:ascii="宋体" w:hAnsi="宋体" w:cs="宋体"/>
                <w:szCs w:val="21"/>
              </w:rPr>
            </w:pPr>
            <w:r>
              <w:rPr>
                <w:rFonts w:hint="eastAsia" w:ascii="宋体" w:hAnsi="宋体" w:cs="宋体"/>
                <w:szCs w:val="21"/>
              </w:rPr>
              <w:t>MSA V-Gand 型</w:t>
            </w:r>
          </w:p>
        </w:tc>
        <w:tc>
          <w:tcPr>
            <w:tcW w:w="922" w:type="dxa"/>
            <w:vAlign w:val="center"/>
          </w:tcPr>
          <w:p>
            <w:pPr>
              <w:jc w:val="center"/>
              <w:rPr>
                <w:rFonts w:hint="eastAsia" w:ascii="宋体" w:hAnsi="宋体" w:cs="宋体"/>
                <w:szCs w:val="21"/>
              </w:rPr>
            </w:pPr>
            <w:r>
              <w:rPr>
                <w:rFonts w:hint="eastAsia" w:ascii="宋体" w:hAnsi="宋体" w:cs="宋体"/>
                <w:szCs w:val="21"/>
              </w:rPr>
              <w:t>50顶</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过滤式防毒面具及滤罐</w:t>
            </w:r>
          </w:p>
        </w:tc>
        <w:tc>
          <w:tcPr>
            <w:tcW w:w="2400" w:type="dxa"/>
            <w:vAlign w:val="center"/>
          </w:tcPr>
          <w:p>
            <w:pPr>
              <w:jc w:val="left"/>
              <w:rPr>
                <w:rFonts w:hint="eastAsia" w:ascii="宋体" w:hAnsi="宋体" w:cs="宋体"/>
                <w:szCs w:val="21"/>
              </w:rPr>
            </w:pPr>
            <w:r>
              <w:rPr>
                <w:rFonts w:hint="eastAsia" w:ascii="宋体" w:hAnsi="宋体" w:cs="宋体"/>
                <w:szCs w:val="21"/>
              </w:rPr>
              <w:t>全面罩中型</w:t>
            </w:r>
          </w:p>
        </w:tc>
        <w:tc>
          <w:tcPr>
            <w:tcW w:w="922" w:type="dxa"/>
            <w:vAlign w:val="center"/>
          </w:tcPr>
          <w:p>
            <w:pPr>
              <w:jc w:val="center"/>
              <w:rPr>
                <w:rFonts w:hint="eastAsia" w:ascii="宋体" w:hAnsi="宋体" w:cs="宋体"/>
                <w:szCs w:val="21"/>
              </w:rPr>
            </w:pPr>
            <w:r>
              <w:rPr>
                <w:rFonts w:hint="eastAsia" w:ascii="宋体" w:hAnsi="宋体" w:cs="宋体"/>
                <w:szCs w:val="21"/>
              </w:rPr>
              <w:t>10套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正压式空气呼吸器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化学防护服</w:t>
            </w:r>
          </w:p>
        </w:tc>
        <w:tc>
          <w:tcPr>
            <w:tcW w:w="2400" w:type="dxa"/>
            <w:vAlign w:val="center"/>
          </w:tcPr>
          <w:p>
            <w:pPr>
              <w:jc w:val="left"/>
              <w:rPr>
                <w:rFonts w:hint="eastAsia" w:ascii="宋体" w:hAnsi="宋体" w:cs="宋体"/>
                <w:szCs w:val="21"/>
              </w:rPr>
            </w:pPr>
            <w:r>
              <w:rPr>
                <w:rFonts w:hint="eastAsia" w:ascii="宋体" w:hAnsi="宋体" w:cs="宋体"/>
                <w:szCs w:val="21"/>
              </w:rPr>
              <w:t>耐酸碱</w:t>
            </w:r>
          </w:p>
        </w:tc>
        <w:tc>
          <w:tcPr>
            <w:tcW w:w="922" w:type="dxa"/>
            <w:vAlign w:val="center"/>
          </w:tcPr>
          <w:p>
            <w:pPr>
              <w:jc w:val="center"/>
              <w:rPr>
                <w:rFonts w:hint="eastAsia" w:ascii="宋体" w:hAnsi="宋体" w:cs="宋体"/>
                <w:szCs w:val="21"/>
              </w:rPr>
            </w:pPr>
            <w:r>
              <w:rPr>
                <w:rFonts w:hint="eastAsia" w:ascii="宋体" w:hAnsi="宋体" w:cs="宋体"/>
                <w:szCs w:val="21"/>
              </w:rPr>
              <w:t>20套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防噪声耳塞</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200副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防护用具</w:t>
            </w:r>
          </w:p>
        </w:tc>
        <w:tc>
          <w:tcPr>
            <w:tcW w:w="2400" w:type="dxa"/>
            <w:vAlign w:val="center"/>
          </w:tcPr>
          <w:p>
            <w:pPr>
              <w:jc w:val="left"/>
              <w:rPr>
                <w:rFonts w:hint="eastAsia" w:ascii="宋体" w:hAnsi="宋体" w:cs="宋体"/>
                <w:szCs w:val="21"/>
              </w:rPr>
            </w:pPr>
            <w:r>
              <w:rPr>
                <w:rFonts w:hint="eastAsia" w:ascii="宋体" w:hAnsi="宋体" w:cs="宋体"/>
                <w:szCs w:val="21"/>
              </w:rPr>
              <w:t>手套、靴、口罩</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化学防护眼镜</w:t>
            </w:r>
          </w:p>
        </w:tc>
        <w:tc>
          <w:tcPr>
            <w:tcW w:w="2400" w:type="dxa"/>
            <w:vAlign w:val="center"/>
          </w:tcPr>
          <w:p>
            <w:pPr>
              <w:jc w:val="left"/>
              <w:rPr>
                <w:rFonts w:hint="eastAsia" w:ascii="宋体" w:hAnsi="宋体" w:cs="宋体"/>
                <w:szCs w:val="21"/>
              </w:rPr>
            </w:pPr>
            <w:r>
              <w:rPr>
                <w:rFonts w:hint="eastAsia" w:ascii="宋体" w:hAnsi="宋体" w:cs="宋体"/>
                <w:szCs w:val="21"/>
              </w:rPr>
              <w:t>密闭型</w:t>
            </w:r>
          </w:p>
        </w:tc>
        <w:tc>
          <w:tcPr>
            <w:tcW w:w="922" w:type="dxa"/>
            <w:vAlign w:val="center"/>
          </w:tcPr>
          <w:p>
            <w:pPr>
              <w:jc w:val="center"/>
              <w:rPr>
                <w:rFonts w:hint="eastAsia" w:ascii="宋体" w:hAnsi="宋体" w:cs="宋体"/>
                <w:szCs w:val="21"/>
              </w:rPr>
            </w:pPr>
            <w:r>
              <w:rPr>
                <w:rFonts w:hint="eastAsia" w:ascii="宋体" w:hAnsi="宋体" w:cs="宋体"/>
                <w:szCs w:val="21"/>
              </w:rPr>
              <w:t>150副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半面罩呼吸器</w:t>
            </w:r>
          </w:p>
        </w:tc>
        <w:tc>
          <w:tcPr>
            <w:tcW w:w="2400" w:type="dxa"/>
            <w:vAlign w:val="center"/>
          </w:tcPr>
          <w:p>
            <w:pPr>
              <w:jc w:val="left"/>
              <w:rPr>
                <w:rFonts w:hint="eastAsia" w:ascii="宋体" w:hAnsi="宋体" w:cs="宋体"/>
                <w:szCs w:val="21"/>
              </w:rPr>
            </w:pPr>
            <w:r>
              <w:rPr>
                <w:rFonts w:hint="eastAsia" w:ascii="宋体" w:hAnsi="宋体" w:cs="宋体"/>
                <w:szCs w:val="21"/>
              </w:rPr>
              <w:t>3M 3200型</w:t>
            </w:r>
          </w:p>
        </w:tc>
        <w:tc>
          <w:tcPr>
            <w:tcW w:w="922" w:type="dxa"/>
            <w:vAlign w:val="center"/>
          </w:tcPr>
          <w:p>
            <w:pPr>
              <w:jc w:val="center"/>
              <w:rPr>
                <w:rFonts w:hint="eastAsia" w:ascii="宋体" w:hAnsi="宋体" w:cs="宋体"/>
                <w:szCs w:val="21"/>
              </w:rPr>
            </w:pPr>
            <w:r>
              <w:rPr>
                <w:rFonts w:hint="eastAsia" w:ascii="宋体" w:hAnsi="宋体" w:cs="宋体"/>
                <w:szCs w:val="21"/>
              </w:rPr>
              <w:t>50套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安全带</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18根</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手提式干粉灭火器</w:t>
            </w:r>
          </w:p>
        </w:tc>
        <w:tc>
          <w:tcPr>
            <w:tcW w:w="2400" w:type="dxa"/>
            <w:vAlign w:val="center"/>
          </w:tcPr>
          <w:p>
            <w:pPr>
              <w:jc w:val="left"/>
              <w:rPr>
                <w:rFonts w:hint="eastAsia" w:ascii="宋体" w:hAnsi="宋体" w:cs="宋体"/>
                <w:szCs w:val="21"/>
              </w:rPr>
            </w:pPr>
            <w:r>
              <w:rPr>
                <w:rFonts w:hint="eastAsia" w:ascii="宋体" w:hAnsi="宋体" w:cs="宋体"/>
                <w:szCs w:val="21"/>
              </w:rPr>
              <w:t>4kg、8kg</w:t>
            </w:r>
          </w:p>
        </w:tc>
        <w:tc>
          <w:tcPr>
            <w:tcW w:w="922" w:type="dxa"/>
            <w:vAlign w:val="center"/>
          </w:tcPr>
          <w:p>
            <w:pPr>
              <w:jc w:val="center"/>
              <w:rPr>
                <w:rFonts w:hint="eastAsia" w:ascii="宋体" w:hAnsi="宋体" w:cs="宋体"/>
                <w:szCs w:val="21"/>
              </w:rPr>
            </w:pPr>
            <w:r>
              <w:rPr>
                <w:rFonts w:hint="eastAsia" w:ascii="宋体" w:hAnsi="宋体" w:cs="宋体"/>
                <w:szCs w:val="21"/>
              </w:rPr>
              <w:t>210具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推车式干粉灭火器</w:t>
            </w:r>
          </w:p>
        </w:tc>
        <w:tc>
          <w:tcPr>
            <w:tcW w:w="2400" w:type="dxa"/>
            <w:vAlign w:val="center"/>
          </w:tcPr>
          <w:p>
            <w:pPr>
              <w:jc w:val="left"/>
              <w:rPr>
                <w:rFonts w:hint="eastAsia" w:ascii="宋体" w:hAnsi="宋体" w:cs="宋体"/>
                <w:szCs w:val="21"/>
              </w:rPr>
            </w:pPr>
            <w:r>
              <w:rPr>
                <w:rFonts w:hint="eastAsia" w:ascii="宋体" w:hAnsi="宋体" w:cs="宋体"/>
                <w:szCs w:val="21"/>
              </w:rPr>
              <w:t>35kg</w:t>
            </w:r>
          </w:p>
        </w:tc>
        <w:tc>
          <w:tcPr>
            <w:tcW w:w="922" w:type="dxa"/>
            <w:vAlign w:val="center"/>
          </w:tcPr>
          <w:p>
            <w:pPr>
              <w:jc w:val="center"/>
              <w:rPr>
                <w:rFonts w:hint="eastAsia" w:ascii="宋体" w:hAnsi="宋体" w:cs="宋体"/>
                <w:szCs w:val="21"/>
              </w:rPr>
            </w:pPr>
            <w:r>
              <w:rPr>
                <w:rFonts w:hint="eastAsia" w:ascii="宋体" w:hAnsi="宋体" w:cs="宋体"/>
                <w:szCs w:val="21"/>
              </w:rPr>
              <w:t>8具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手提式二氧化碳灭火器</w:t>
            </w:r>
          </w:p>
        </w:tc>
        <w:tc>
          <w:tcPr>
            <w:tcW w:w="2400" w:type="dxa"/>
            <w:vAlign w:val="center"/>
          </w:tcPr>
          <w:p>
            <w:pPr>
              <w:jc w:val="left"/>
              <w:rPr>
                <w:rFonts w:hint="eastAsia" w:ascii="宋体" w:hAnsi="宋体" w:cs="宋体"/>
                <w:szCs w:val="21"/>
              </w:rPr>
            </w:pPr>
            <w:r>
              <w:rPr>
                <w:rFonts w:hint="eastAsia" w:ascii="宋体" w:hAnsi="宋体" w:cs="宋体"/>
                <w:szCs w:val="21"/>
              </w:rPr>
              <w:t>5kg</w:t>
            </w:r>
          </w:p>
        </w:tc>
        <w:tc>
          <w:tcPr>
            <w:tcW w:w="922" w:type="dxa"/>
            <w:vAlign w:val="center"/>
          </w:tcPr>
          <w:p>
            <w:pPr>
              <w:jc w:val="center"/>
              <w:rPr>
                <w:rFonts w:hint="eastAsia" w:ascii="宋体" w:hAnsi="宋体" w:cs="宋体"/>
                <w:szCs w:val="21"/>
              </w:rPr>
            </w:pPr>
            <w:r>
              <w:rPr>
                <w:rFonts w:hint="eastAsia" w:ascii="宋体" w:hAnsi="宋体" w:cs="宋体"/>
                <w:szCs w:val="21"/>
              </w:rPr>
              <w:t>46具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南充绿茵再生资源有限公司</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李冬明</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15892798089</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18989185756</w:t>
            </w:r>
          </w:p>
        </w:tc>
        <w:tc>
          <w:tcPr>
            <w:tcW w:w="2684" w:type="dxa"/>
            <w:vAlign w:val="center"/>
          </w:tcPr>
          <w:p>
            <w:pPr>
              <w:jc w:val="left"/>
              <w:rPr>
                <w:rFonts w:hint="eastAsia" w:ascii="宋体" w:hAnsi="宋体" w:cs="宋体"/>
                <w:szCs w:val="21"/>
              </w:rPr>
            </w:pPr>
            <w:r>
              <w:rPr>
                <w:rFonts w:hint="eastAsia" w:ascii="宋体" w:hAnsi="宋体" w:cs="宋体"/>
                <w:szCs w:val="21"/>
              </w:rPr>
              <w:t>急救救护箱</w:t>
            </w:r>
          </w:p>
        </w:tc>
        <w:tc>
          <w:tcPr>
            <w:tcW w:w="2400" w:type="dxa"/>
            <w:vAlign w:val="center"/>
          </w:tcPr>
          <w:p>
            <w:pPr>
              <w:jc w:val="left"/>
              <w:rPr>
                <w:rFonts w:hint="eastAsia" w:ascii="宋体" w:hAnsi="宋体" w:cs="宋体"/>
                <w:szCs w:val="21"/>
              </w:rPr>
            </w:pPr>
            <w:r>
              <w:rPr>
                <w:rFonts w:hint="eastAsia" w:ascii="宋体" w:hAnsi="宋体" w:cs="宋体"/>
                <w:szCs w:val="21"/>
              </w:rPr>
              <w:t>铝箱式</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消防带</w:t>
            </w:r>
          </w:p>
        </w:tc>
        <w:tc>
          <w:tcPr>
            <w:tcW w:w="2400" w:type="dxa"/>
            <w:vAlign w:val="center"/>
          </w:tcPr>
          <w:p>
            <w:pPr>
              <w:jc w:val="left"/>
              <w:rPr>
                <w:rFonts w:hint="eastAsia" w:ascii="宋体" w:hAnsi="宋体" w:cs="宋体"/>
                <w:szCs w:val="21"/>
              </w:rPr>
            </w:pPr>
            <w:r>
              <w:rPr>
                <w:rFonts w:hint="eastAsia" w:ascii="宋体" w:hAnsi="宋体" w:cs="宋体"/>
                <w:szCs w:val="21"/>
              </w:rPr>
              <w:t>湿式</w:t>
            </w:r>
          </w:p>
        </w:tc>
        <w:tc>
          <w:tcPr>
            <w:tcW w:w="922" w:type="dxa"/>
            <w:vAlign w:val="center"/>
          </w:tcPr>
          <w:p>
            <w:pPr>
              <w:jc w:val="center"/>
              <w:rPr>
                <w:rFonts w:hint="eastAsia" w:ascii="宋体" w:hAnsi="宋体" w:cs="宋体"/>
                <w:szCs w:val="21"/>
              </w:rPr>
            </w:pPr>
            <w:r>
              <w:rPr>
                <w:rFonts w:hint="eastAsia" w:ascii="宋体" w:hAnsi="宋体" w:cs="宋体"/>
                <w:szCs w:val="21"/>
              </w:rPr>
              <w:t>6条</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消防水枪</w:t>
            </w:r>
          </w:p>
        </w:tc>
        <w:tc>
          <w:tcPr>
            <w:tcW w:w="2400" w:type="dxa"/>
            <w:vAlign w:val="center"/>
          </w:tcPr>
          <w:p>
            <w:pPr>
              <w:jc w:val="left"/>
              <w:rPr>
                <w:rFonts w:hint="eastAsia" w:ascii="宋体" w:hAnsi="宋体" w:cs="宋体"/>
                <w:szCs w:val="21"/>
              </w:rPr>
            </w:pPr>
            <w:r>
              <w:rPr>
                <w:rFonts w:hint="eastAsia" w:ascii="宋体" w:hAnsi="宋体" w:cs="宋体"/>
                <w:szCs w:val="21"/>
              </w:rPr>
              <w:t>湿式</w:t>
            </w:r>
          </w:p>
        </w:tc>
        <w:tc>
          <w:tcPr>
            <w:tcW w:w="922" w:type="dxa"/>
            <w:vAlign w:val="center"/>
          </w:tcPr>
          <w:p>
            <w:pPr>
              <w:jc w:val="center"/>
              <w:rPr>
                <w:rFonts w:hint="eastAsia" w:ascii="宋体" w:hAnsi="宋体" w:cs="宋体"/>
                <w:szCs w:val="21"/>
              </w:rPr>
            </w:pPr>
            <w:r>
              <w:rPr>
                <w:rFonts w:hint="eastAsia" w:ascii="宋体" w:hAnsi="宋体" w:cs="宋体"/>
                <w:szCs w:val="21"/>
              </w:rPr>
              <w:t>6个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干粉灭火器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6具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消防灭火器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12具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南充石达化工有限公司</w:t>
            </w: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范晓松</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18990794087</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0817-2600123 </w:t>
            </w:r>
          </w:p>
        </w:tc>
        <w:tc>
          <w:tcPr>
            <w:tcW w:w="2684" w:type="dxa"/>
            <w:vAlign w:val="center"/>
          </w:tcPr>
          <w:p>
            <w:pPr>
              <w:jc w:val="left"/>
              <w:rPr>
                <w:rFonts w:hint="eastAsia" w:ascii="宋体" w:hAnsi="宋体" w:cs="宋体"/>
                <w:szCs w:val="21"/>
              </w:rPr>
            </w:pPr>
            <w:r>
              <w:rPr>
                <w:rFonts w:hint="eastAsia" w:ascii="宋体" w:hAnsi="宋体" w:cs="宋体"/>
                <w:szCs w:val="21"/>
              </w:rPr>
              <w:t>空气呼吸器</w:t>
            </w:r>
          </w:p>
        </w:tc>
        <w:tc>
          <w:tcPr>
            <w:tcW w:w="2400" w:type="dxa"/>
            <w:vAlign w:val="center"/>
          </w:tcPr>
          <w:p>
            <w:pPr>
              <w:jc w:val="left"/>
              <w:rPr>
                <w:rFonts w:hint="eastAsia" w:ascii="宋体" w:hAnsi="宋体" w:cs="宋体"/>
                <w:szCs w:val="21"/>
              </w:rPr>
            </w:pPr>
            <w:r>
              <w:rPr>
                <w:rFonts w:hint="eastAsia" w:ascii="宋体" w:hAnsi="宋体" w:cs="宋体"/>
                <w:szCs w:val="21"/>
              </w:rPr>
              <w:t>正压式</w:t>
            </w:r>
          </w:p>
        </w:tc>
        <w:tc>
          <w:tcPr>
            <w:tcW w:w="922" w:type="dxa"/>
            <w:vAlign w:val="center"/>
          </w:tcPr>
          <w:p>
            <w:pPr>
              <w:jc w:val="center"/>
              <w:rPr>
                <w:rFonts w:hint="eastAsia" w:ascii="宋体" w:hAnsi="宋体" w:cs="宋体"/>
                <w:szCs w:val="21"/>
              </w:rPr>
            </w:pPr>
            <w:r>
              <w:rPr>
                <w:rFonts w:hint="eastAsia" w:ascii="宋体" w:hAnsi="宋体" w:cs="宋体"/>
                <w:szCs w:val="21"/>
              </w:rPr>
              <w:t>3具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防毒面罩</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滤毒盒</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20个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隔热服</w:t>
            </w:r>
          </w:p>
        </w:tc>
        <w:tc>
          <w:tcPr>
            <w:tcW w:w="2400" w:type="dxa"/>
            <w:vAlign w:val="center"/>
          </w:tcPr>
          <w:p>
            <w:pPr>
              <w:jc w:val="left"/>
              <w:rPr>
                <w:rFonts w:hint="eastAsia" w:ascii="宋体" w:hAnsi="宋体" w:cs="宋体"/>
                <w:szCs w:val="21"/>
              </w:rPr>
            </w:pPr>
            <w:r>
              <w:rPr>
                <w:rFonts w:hint="eastAsia" w:ascii="宋体" w:hAnsi="宋体" w:cs="宋体"/>
                <w:szCs w:val="21"/>
              </w:rPr>
              <w:t>DTXF-93-1</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隔热鞋</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2双</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护目镜</w:t>
            </w:r>
          </w:p>
        </w:tc>
        <w:tc>
          <w:tcPr>
            <w:tcW w:w="2400" w:type="dxa"/>
            <w:vAlign w:val="center"/>
          </w:tcPr>
          <w:p>
            <w:pPr>
              <w:jc w:val="left"/>
              <w:rPr>
                <w:rFonts w:hint="eastAsia" w:ascii="宋体" w:hAnsi="宋体" w:cs="宋体"/>
                <w:szCs w:val="21"/>
              </w:rPr>
            </w:pPr>
            <w:r>
              <w:rPr>
                <w:rFonts w:hint="eastAsia" w:ascii="宋体" w:hAnsi="宋体" w:cs="宋体"/>
                <w:szCs w:val="21"/>
              </w:rPr>
              <w:t>1621AF</w:t>
            </w:r>
          </w:p>
        </w:tc>
        <w:tc>
          <w:tcPr>
            <w:tcW w:w="922" w:type="dxa"/>
            <w:vAlign w:val="center"/>
          </w:tcPr>
          <w:p>
            <w:pPr>
              <w:jc w:val="center"/>
              <w:rPr>
                <w:rFonts w:hint="eastAsia" w:ascii="宋体" w:hAnsi="宋体" w:cs="宋体"/>
                <w:szCs w:val="21"/>
              </w:rPr>
            </w:pPr>
            <w:r>
              <w:rPr>
                <w:rFonts w:hint="eastAsia" w:ascii="宋体" w:hAnsi="宋体" w:cs="宋体"/>
                <w:szCs w:val="21"/>
              </w:rPr>
              <w:t>10个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防护服</w:t>
            </w:r>
          </w:p>
        </w:tc>
        <w:tc>
          <w:tcPr>
            <w:tcW w:w="2400" w:type="dxa"/>
            <w:vAlign w:val="center"/>
          </w:tcPr>
          <w:p>
            <w:pPr>
              <w:jc w:val="left"/>
              <w:rPr>
                <w:rFonts w:hint="eastAsia" w:ascii="宋体" w:hAnsi="宋体" w:cs="宋体"/>
                <w:szCs w:val="21"/>
              </w:rPr>
            </w:pPr>
            <w:r>
              <w:rPr>
                <w:rFonts w:hint="eastAsia" w:ascii="宋体" w:hAnsi="宋体" w:cs="宋体"/>
                <w:szCs w:val="21"/>
              </w:rPr>
              <w:t>MC400</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担架</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2架</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消防通勤车</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szCs w:val="21"/>
              </w:rPr>
              <w:t>急救箱</w:t>
            </w:r>
          </w:p>
        </w:tc>
        <w:tc>
          <w:tcPr>
            <w:tcW w:w="2400" w:type="dxa"/>
            <w:vAlign w:val="center"/>
          </w:tcPr>
          <w:p>
            <w:pPr>
              <w:jc w:val="left"/>
              <w:rPr>
                <w:rFonts w:hint="eastAsia" w:ascii="宋体" w:hAnsi="宋体" w:cs="宋体"/>
                <w:szCs w:val="21"/>
              </w:rPr>
            </w:pPr>
            <w:r>
              <w:rPr>
                <w:rFonts w:hint="eastAsia" w:ascii="宋体" w:hAnsi="宋体" w:cs="宋体"/>
                <w:szCs w:val="21"/>
              </w:rPr>
              <w:t>中号</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中航工业南充可再生能源有限公司</w:t>
            </w:r>
          </w:p>
          <w:p>
            <w:pPr>
              <w:pStyle w:val="16"/>
              <w:spacing w:line="400" w:lineRule="exact"/>
              <w:jc w:val="center"/>
              <w:rPr>
                <w:rFonts w:hint="eastAsia" w:ascii="宋体" w:hAnsi="宋体" w:eastAsia="宋体" w:cs="宋体"/>
                <w:sz w:val="21"/>
                <w:szCs w:val="21"/>
                <w:lang w:val="en-US" w:eastAsia="zh-CN"/>
              </w:rPr>
            </w:pP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朱成春18121921621</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0817-3668268 </w:t>
            </w:r>
          </w:p>
        </w:tc>
        <w:tc>
          <w:tcPr>
            <w:tcW w:w="2684" w:type="dxa"/>
            <w:vAlign w:val="center"/>
          </w:tcPr>
          <w:p>
            <w:pPr>
              <w:jc w:val="left"/>
              <w:rPr>
                <w:rFonts w:hint="eastAsia" w:ascii="宋体" w:hAnsi="宋体" w:cs="宋体"/>
                <w:szCs w:val="21"/>
              </w:rPr>
            </w:pPr>
            <w:r>
              <w:rPr>
                <w:rFonts w:hint="eastAsia" w:ascii="宋体" w:hAnsi="宋体" w:cs="宋体"/>
                <w:w w:val="105"/>
                <w:szCs w:val="21"/>
              </w:rPr>
              <w:t>医疗救护仪器</w:t>
            </w:r>
          </w:p>
        </w:tc>
        <w:tc>
          <w:tcPr>
            <w:tcW w:w="2400" w:type="dxa"/>
            <w:vAlign w:val="center"/>
          </w:tcPr>
          <w:p>
            <w:pPr>
              <w:jc w:val="left"/>
              <w:rPr>
                <w:rFonts w:hint="eastAsia" w:ascii="宋体" w:hAnsi="宋体" w:cs="宋体"/>
                <w:szCs w:val="21"/>
              </w:rPr>
            </w:pPr>
            <w:r>
              <w:rPr>
                <w:rFonts w:hint="eastAsia" w:ascii="宋体" w:hAnsi="宋体" w:cs="宋体"/>
                <w:w w:val="105"/>
                <w:szCs w:val="21"/>
              </w:rPr>
              <w:t>担架、急救箱、应急药品</w:t>
            </w:r>
          </w:p>
        </w:tc>
        <w:tc>
          <w:tcPr>
            <w:tcW w:w="922" w:type="dxa"/>
            <w:vAlign w:val="center"/>
          </w:tcPr>
          <w:p>
            <w:pPr>
              <w:jc w:val="center"/>
              <w:rPr>
                <w:rFonts w:hint="eastAsia" w:ascii="宋体" w:hAnsi="宋体" w:cs="宋体"/>
                <w:szCs w:val="21"/>
              </w:rPr>
            </w:pPr>
            <w:r>
              <w:rPr>
                <w:rFonts w:hint="eastAsia" w:ascii="宋体" w:hAnsi="宋体" w:cs="宋体"/>
                <w:w w:val="105"/>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个人防护装备器材</w:t>
            </w:r>
          </w:p>
        </w:tc>
        <w:tc>
          <w:tcPr>
            <w:tcW w:w="2400" w:type="dxa"/>
            <w:vAlign w:val="center"/>
          </w:tcPr>
          <w:p>
            <w:pPr>
              <w:jc w:val="left"/>
              <w:rPr>
                <w:rFonts w:hint="eastAsia" w:ascii="宋体" w:hAnsi="宋体" w:cs="宋体"/>
                <w:szCs w:val="21"/>
              </w:rPr>
            </w:pPr>
            <w:r>
              <w:rPr>
                <w:rFonts w:hint="eastAsia" w:ascii="宋体" w:hAnsi="宋体" w:cs="宋体"/>
                <w:w w:val="105"/>
                <w:szCs w:val="21"/>
              </w:rPr>
              <w:t>耐酸碱手套、防酸服、护目镜</w:t>
            </w:r>
          </w:p>
        </w:tc>
        <w:tc>
          <w:tcPr>
            <w:tcW w:w="922" w:type="dxa"/>
            <w:vAlign w:val="center"/>
          </w:tcPr>
          <w:p>
            <w:pPr>
              <w:jc w:val="center"/>
              <w:rPr>
                <w:rFonts w:hint="eastAsia" w:ascii="宋体" w:hAnsi="宋体" w:cs="宋体"/>
                <w:szCs w:val="21"/>
              </w:rPr>
            </w:pPr>
            <w:r>
              <w:rPr>
                <w:rFonts w:hint="eastAsia" w:ascii="宋体" w:hAnsi="宋体" w:cs="宋体"/>
                <w:w w:val="105"/>
                <w:szCs w:val="21"/>
              </w:rPr>
              <w:t>10套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消防护具</w:t>
            </w:r>
          </w:p>
        </w:tc>
        <w:tc>
          <w:tcPr>
            <w:tcW w:w="2400" w:type="dxa"/>
            <w:vAlign w:val="center"/>
          </w:tcPr>
          <w:p>
            <w:pPr>
              <w:jc w:val="left"/>
              <w:rPr>
                <w:rFonts w:hint="eastAsia" w:ascii="宋体" w:hAnsi="宋体" w:cs="宋体"/>
                <w:szCs w:val="21"/>
              </w:rPr>
            </w:pPr>
            <w:r>
              <w:rPr>
                <w:rFonts w:hint="eastAsia" w:ascii="宋体" w:hAnsi="宋体" w:cs="宋体"/>
                <w:w w:val="105"/>
                <w:szCs w:val="21"/>
              </w:rPr>
              <w:t>消防胶靴、消防战训服、消防面具、消防手套</w:t>
            </w:r>
          </w:p>
        </w:tc>
        <w:tc>
          <w:tcPr>
            <w:tcW w:w="922" w:type="dxa"/>
            <w:vAlign w:val="center"/>
          </w:tcPr>
          <w:p>
            <w:pPr>
              <w:jc w:val="center"/>
              <w:rPr>
                <w:rFonts w:hint="eastAsia" w:ascii="宋体" w:hAnsi="宋体" w:cs="宋体"/>
                <w:szCs w:val="21"/>
              </w:rPr>
            </w:pPr>
            <w:r>
              <w:rPr>
                <w:rFonts w:hint="eastAsia" w:ascii="宋体" w:hAnsi="宋体" w:cs="宋体"/>
                <w:w w:val="105"/>
                <w:szCs w:val="21"/>
              </w:rPr>
              <w:t>3套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Z-Y坠落悬挂安全带</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10根</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RHZKF正压式消防空气呼吸器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3</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消防安全绳</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3</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LED-7045手提式应急照明灯</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3</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消防工具</w:t>
            </w:r>
          </w:p>
        </w:tc>
        <w:tc>
          <w:tcPr>
            <w:tcW w:w="2400" w:type="dxa"/>
            <w:vAlign w:val="center"/>
          </w:tcPr>
          <w:p>
            <w:pPr>
              <w:jc w:val="left"/>
              <w:rPr>
                <w:rFonts w:hint="eastAsia" w:ascii="宋体" w:hAnsi="宋体" w:cs="宋体"/>
                <w:szCs w:val="21"/>
              </w:rPr>
            </w:pPr>
            <w:r>
              <w:rPr>
                <w:rFonts w:hint="eastAsia" w:ascii="宋体" w:hAnsi="宋体" w:cs="宋体"/>
                <w:w w:val="105"/>
                <w:szCs w:val="21"/>
              </w:rPr>
              <w:t>消防锤、消防扳手、消防撬棍、消防斧</w:t>
            </w:r>
          </w:p>
        </w:tc>
        <w:tc>
          <w:tcPr>
            <w:tcW w:w="922" w:type="dxa"/>
            <w:vAlign w:val="center"/>
          </w:tcPr>
          <w:p>
            <w:pPr>
              <w:jc w:val="center"/>
              <w:rPr>
                <w:rFonts w:hint="eastAsia" w:ascii="宋体" w:hAnsi="宋体" w:cs="宋体"/>
                <w:szCs w:val="21"/>
              </w:rPr>
            </w:pPr>
            <w:r>
              <w:rPr>
                <w:rFonts w:hint="eastAsia" w:ascii="宋体" w:hAnsi="宋体" w:cs="宋体"/>
                <w:w w:val="105"/>
                <w:szCs w:val="21"/>
              </w:rPr>
              <w:t>24</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防爆强光LED手电筒</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4</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防汛器材</w:t>
            </w:r>
          </w:p>
        </w:tc>
        <w:tc>
          <w:tcPr>
            <w:tcW w:w="2400" w:type="dxa"/>
            <w:vAlign w:val="center"/>
          </w:tcPr>
          <w:p>
            <w:pPr>
              <w:jc w:val="left"/>
              <w:rPr>
                <w:rFonts w:hint="eastAsia" w:ascii="宋体" w:hAnsi="宋体" w:cs="宋体"/>
                <w:szCs w:val="21"/>
              </w:rPr>
            </w:pPr>
            <w:r>
              <w:rPr>
                <w:rFonts w:hint="eastAsia" w:ascii="宋体" w:hAnsi="宋体" w:cs="宋体"/>
                <w:w w:val="105"/>
                <w:szCs w:val="21"/>
              </w:rPr>
              <w:t>防汛沙袋衣</w:t>
            </w:r>
          </w:p>
        </w:tc>
        <w:tc>
          <w:tcPr>
            <w:tcW w:w="922" w:type="dxa"/>
            <w:vAlign w:val="center"/>
          </w:tcPr>
          <w:p>
            <w:pPr>
              <w:jc w:val="center"/>
              <w:rPr>
                <w:rFonts w:hint="eastAsia" w:ascii="宋体" w:hAnsi="宋体" w:cs="宋体"/>
                <w:szCs w:val="21"/>
              </w:rPr>
            </w:pPr>
            <w:r>
              <w:rPr>
                <w:rFonts w:hint="eastAsia" w:ascii="宋体" w:hAnsi="宋体" w:cs="宋体"/>
                <w:w w:val="105"/>
                <w:szCs w:val="21"/>
              </w:rPr>
              <w:t>100</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防汛器材</w:t>
            </w:r>
          </w:p>
        </w:tc>
        <w:tc>
          <w:tcPr>
            <w:tcW w:w="2400" w:type="dxa"/>
            <w:vAlign w:val="center"/>
          </w:tcPr>
          <w:p>
            <w:pPr>
              <w:jc w:val="left"/>
              <w:rPr>
                <w:rFonts w:hint="eastAsia" w:ascii="宋体" w:hAnsi="宋体" w:cs="宋体"/>
                <w:szCs w:val="21"/>
              </w:rPr>
            </w:pPr>
            <w:r>
              <w:rPr>
                <w:rFonts w:hint="eastAsia" w:ascii="宋体" w:hAnsi="宋体" w:cs="宋体"/>
                <w:w w:val="105"/>
                <w:szCs w:val="21"/>
              </w:rPr>
              <w:t>防汛铁锹、防汛专用电筒、防汛雨衣、防汛雨靴、防汛救生</w:t>
            </w:r>
          </w:p>
        </w:tc>
        <w:tc>
          <w:tcPr>
            <w:tcW w:w="922" w:type="dxa"/>
            <w:vAlign w:val="center"/>
          </w:tcPr>
          <w:p>
            <w:pPr>
              <w:jc w:val="center"/>
              <w:rPr>
                <w:rFonts w:hint="eastAsia" w:ascii="宋体" w:hAnsi="宋体" w:cs="宋体"/>
                <w:szCs w:val="21"/>
              </w:rPr>
            </w:pPr>
            <w:r>
              <w:rPr>
                <w:rFonts w:hint="eastAsia" w:ascii="宋体" w:hAnsi="宋体" w:cs="宋体"/>
                <w:w w:val="105"/>
                <w:szCs w:val="21"/>
              </w:rPr>
              <w:t>4套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通信器材</w:t>
            </w:r>
          </w:p>
        </w:tc>
        <w:tc>
          <w:tcPr>
            <w:tcW w:w="2400" w:type="dxa"/>
            <w:vAlign w:val="center"/>
          </w:tcPr>
          <w:p>
            <w:pPr>
              <w:jc w:val="left"/>
              <w:rPr>
                <w:rFonts w:hint="eastAsia" w:ascii="宋体" w:hAnsi="宋体" w:cs="宋体"/>
                <w:szCs w:val="21"/>
              </w:rPr>
            </w:pPr>
            <w:r>
              <w:rPr>
                <w:rFonts w:hint="eastAsia" w:ascii="宋体" w:hAnsi="宋体" w:cs="宋体"/>
                <w:w w:val="105"/>
                <w:szCs w:val="21"/>
              </w:rPr>
              <w:t>便携式喇叭、对讲机</w:t>
            </w:r>
          </w:p>
        </w:tc>
        <w:tc>
          <w:tcPr>
            <w:tcW w:w="922" w:type="dxa"/>
            <w:vAlign w:val="center"/>
          </w:tcPr>
          <w:p>
            <w:pPr>
              <w:jc w:val="center"/>
              <w:rPr>
                <w:rFonts w:hint="eastAsia" w:ascii="宋体" w:hAnsi="宋体" w:cs="宋体"/>
                <w:szCs w:val="21"/>
              </w:rPr>
            </w:pPr>
            <w:r>
              <w:rPr>
                <w:rFonts w:hint="eastAsia" w:ascii="宋体" w:hAnsi="宋体" w:cs="宋体"/>
                <w:w w:val="105"/>
                <w:szCs w:val="21"/>
              </w:rPr>
              <w:t>10套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应急监测设备</w:t>
            </w:r>
          </w:p>
        </w:tc>
        <w:tc>
          <w:tcPr>
            <w:tcW w:w="2400" w:type="dxa"/>
            <w:vAlign w:val="center"/>
          </w:tcPr>
          <w:p>
            <w:pPr>
              <w:jc w:val="left"/>
              <w:rPr>
                <w:rFonts w:hint="eastAsia" w:ascii="宋体" w:hAnsi="宋体" w:cs="宋体"/>
                <w:szCs w:val="21"/>
              </w:rPr>
            </w:pPr>
            <w:r>
              <w:rPr>
                <w:rFonts w:hint="eastAsia" w:ascii="宋体" w:hAnsi="宋体" w:cs="宋体"/>
                <w:w w:val="105"/>
                <w:szCs w:val="21"/>
              </w:rPr>
              <w:t>可燃气体检测仪</w:t>
            </w:r>
          </w:p>
        </w:tc>
        <w:tc>
          <w:tcPr>
            <w:tcW w:w="922" w:type="dxa"/>
            <w:vAlign w:val="center"/>
          </w:tcPr>
          <w:p>
            <w:pPr>
              <w:jc w:val="center"/>
              <w:rPr>
                <w:rFonts w:hint="eastAsia" w:ascii="宋体" w:hAnsi="宋体" w:cs="宋体"/>
                <w:szCs w:val="21"/>
              </w:rPr>
            </w:pPr>
            <w:r>
              <w:rPr>
                <w:rFonts w:hint="eastAsia" w:ascii="宋体" w:hAnsi="宋体" w:cs="宋体"/>
                <w:w w:val="105"/>
                <w:szCs w:val="21"/>
              </w:rPr>
              <w:t>2套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szCs w:val="21"/>
              </w:rPr>
            </w:pPr>
            <w:r>
              <w:rPr>
                <w:rFonts w:hint="eastAsia" w:ascii="宋体" w:hAnsi="宋体" w:cs="宋体"/>
                <w:w w:val="105"/>
                <w:szCs w:val="21"/>
              </w:rPr>
              <w:t>应急交通工具</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1辆</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restart"/>
            <w:vAlign w:val="center"/>
          </w:tcPr>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中机国能（南充）热电有限公司</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杨进</w:t>
            </w:r>
          </w:p>
          <w:p>
            <w:pPr>
              <w:pStyle w:val="16"/>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0817-3855382</w:t>
            </w: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灭火器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10具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消防工具</w:t>
            </w:r>
          </w:p>
        </w:tc>
        <w:tc>
          <w:tcPr>
            <w:tcW w:w="2400" w:type="dxa"/>
            <w:vAlign w:val="center"/>
          </w:tcPr>
          <w:p>
            <w:pPr>
              <w:jc w:val="left"/>
              <w:rPr>
                <w:rFonts w:hint="eastAsia" w:ascii="宋体" w:hAnsi="宋体" w:cs="宋体"/>
                <w:szCs w:val="21"/>
              </w:rPr>
            </w:pPr>
            <w:r>
              <w:rPr>
                <w:rFonts w:hint="eastAsia" w:ascii="宋体" w:hAnsi="宋体" w:cs="宋体"/>
                <w:w w:val="105"/>
                <w:szCs w:val="21"/>
              </w:rPr>
              <w:t>消防斧、消防铲</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4把</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消防水带</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6条</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消防水枪</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6个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防毒半面罩</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2副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防毒全面罩</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2副</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担架</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1架</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医药急救品</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3套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应急扩音器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应急照明</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自救式呼吸器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4个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潜水泵</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1台</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消防正压呼吸器</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防酸碱腐蚀服</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1套</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安全警示带</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5卷</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雨鞋</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5双</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5" w:type="dxa"/>
            <w:vMerge w:val="continue"/>
            <w:vAlign w:val="top"/>
          </w:tcPr>
          <w:p>
            <w:pPr>
              <w:pStyle w:val="16"/>
              <w:spacing w:line="400" w:lineRule="exact"/>
              <w:jc w:val="center"/>
              <w:rPr>
                <w:rFonts w:hint="eastAsia" w:ascii="宋体" w:hAnsi="宋体" w:eastAsia="宋体" w:cs="宋体"/>
                <w:sz w:val="21"/>
                <w:szCs w:val="21"/>
                <w:lang w:val="en-US" w:eastAsia="zh-CN"/>
              </w:rPr>
            </w:pPr>
          </w:p>
        </w:tc>
        <w:tc>
          <w:tcPr>
            <w:tcW w:w="2684" w:type="dxa"/>
            <w:vAlign w:val="center"/>
          </w:tcPr>
          <w:p>
            <w:pPr>
              <w:jc w:val="left"/>
              <w:rPr>
                <w:rFonts w:hint="eastAsia" w:ascii="宋体" w:hAnsi="宋体" w:cs="宋体"/>
                <w:w w:val="105"/>
                <w:szCs w:val="21"/>
              </w:rPr>
            </w:pPr>
            <w:r>
              <w:rPr>
                <w:rFonts w:hint="eastAsia" w:ascii="宋体" w:hAnsi="宋体" w:cs="宋体"/>
                <w:w w:val="105"/>
                <w:szCs w:val="21"/>
              </w:rPr>
              <w:t>应急手电筒</w:t>
            </w:r>
          </w:p>
        </w:tc>
        <w:tc>
          <w:tcPr>
            <w:tcW w:w="2400"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3个</w:t>
            </w:r>
          </w:p>
        </w:tc>
        <w:tc>
          <w:tcPr>
            <w:tcW w:w="921" w:type="dxa"/>
            <w:vAlign w:val="top"/>
          </w:tcPr>
          <w:p>
            <w:pPr>
              <w:pStyle w:val="16"/>
              <w:spacing w:line="400" w:lineRule="exact"/>
              <w:jc w:val="center"/>
              <w:rPr>
                <w:rFonts w:hint="eastAsia" w:ascii="宋体" w:hAnsi="宋体" w:eastAsia="宋体" w:cs="宋体"/>
                <w:sz w:val="21"/>
                <w:szCs w:val="21"/>
                <w:lang w:val="en-US" w:eastAsia="zh-CN"/>
              </w:rPr>
            </w:pPr>
          </w:p>
        </w:tc>
      </w:tr>
    </w:tbl>
    <w:p>
      <w:pPr>
        <w:pStyle w:val="27"/>
        <w:spacing w:line="360" w:lineRule="auto"/>
        <w:rPr>
          <w:rFonts w:ascii="Times New Roman" w:hAnsi="Times New Roman" w:eastAsia="黑体"/>
          <w:b/>
          <w:bCs/>
          <w:sz w:val="24"/>
          <w:szCs w:val="24"/>
        </w:rPr>
      </w:pPr>
      <w:bookmarkStart w:id="161" w:name="_Toc375558248"/>
      <w:bookmarkStart w:id="162" w:name="_Toc26906"/>
      <w:bookmarkStart w:id="163" w:name="_Toc368043629"/>
    </w:p>
    <w:bookmarkEnd w:id="161"/>
    <w:bookmarkEnd w:id="162"/>
    <w:bookmarkEnd w:id="163"/>
    <w:p>
      <w:pPr>
        <w:pStyle w:val="4"/>
        <w:autoSpaceDN w:val="0"/>
        <w:spacing w:before="0" w:after="0" w:line="360" w:lineRule="auto"/>
        <w:jc w:val="left"/>
        <w:rPr>
          <w:rFonts w:hint="eastAsia" w:ascii="宋体" w:hAnsi="宋体" w:eastAsia="宋体" w:cs="宋体"/>
          <w:sz w:val="28"/>
          <w:szCs w:val="28"/>
        </w:rPr>
      </w:pPr>
      <w:bookmarkStart w:id="164" w:name="_Toc184009563"/>
      <w:bookmarkStart w:id="165" w:name="_Toc438205789"/>
      <w:bookmarkStart w:id="166" w:name="_Toc31717"/>
      <w:r>
        <w:rPr>
          <w:rFonts w:hint="eastAsia" w:ascii="宋体" w:hAnsi="宋体" w:eastAsia="宋体" w:cs="宋体"/>
          <w:sz w:val="28"/>
          <w:szCs w:val="28"/>
        </w:rPr>
        <w:t>4.10安全生产管理</w:t>
      </w:r>
      <w:bookmarkEnd w:id="164"/>
      <w:bookmarkEnd w:id="165"/>
      <w:r>
        <w:rPr>
          <w:rFonts w:hint="eastAsia" w:ascii="宋体" w:hAnsi="宋体" w:eastAsia="宋体" w:cs="宋体"/>
          <w:sz w:val="28"/>
          <w:szCs w:val="28"/>
        </w:rPr>
        <w:t>措施</w:t>
      </w:r>
      <w:bookmarkEnd w:id="166"/>
    </w:p>
    <w:p>
      <w:pPr>
        <w:pStyle w:val="16"/>
        <w:spacing w:before="122" w:line="364" w:lineRule="auto"/>
        <w:ind w:right="403" w:firstLine="559"/>
        <w:rPr>
          <w:rFonts w:hint="eastAsia" w:ascii="宋体" w:hAnsi="宋体" w:eastAsia="宋体" w:cs="宋体"/>
          <w:sz w:val="28"/>
          <w:szCs w:val="28"/>
        </w:rPr>
      </w:pPr>
      <w:bookmarkStart w:id="167" w:name="_Toc184009566"/>
      <w:bookmarkStart w:id="168" w:name="_Toc438205795"/>
      <w:r>
        <w:rPr>
          <w:rFonts w:hint="eastAsia" w:ascii="宋体" w:hAnsi="宋体" w:eastAsia="宋体" w:cs="宋体"/>
          <w:sz w:val="28"/>
          <w:szCs w:val="28"/>
        </w:rPr>
        <w:t>1、加强对铁路专用线的监管，不得让无关人员进入，监管员工必须严格执行各种安全管理制度，安全操作技术规程。</w:t>
      </w:r>
    </w:p>
    <w:p>
      <w:pPr>
        <w:pStyle w:val="16"/>
        <w:spacing w:line="364" w:lineRule="auto"/>
        <w:ind w:right="403" w:firstLine="559"/>
        <w:rPr>
          <w:rFonts w:hint="eastAsia" w:ascii="宋体" w:hAnsi="宋体" w:eastAsia="宋体" w:cs="宋体"/>
          <w:sz w:val="28"/>
          <w:szCs w:val="28"/>
        </w:rPr>
      </w:pPr>
      <w:r>
        <w:rPr>
          <w:rFonts w:hint="eastAsia" w:ascii="宋体" w:hAnsi="宋体" w:eastAsia="宋体" w:cs="宋体"/>
          <w:sz w:val="28"/>
          <w:szCs w:val="28"/>
        </w:rPr>
        <w:t>2、定期开展安全知识教育，安全技术培训和组织消防训练，提高员工安全意识、工作责任心，使其熟练掌握消防知识和器材的使用。</w:t>
      </w:r>
    </w:p>
    <w:p>
      <w:pPr>
        <w:pStyle w:val="16"/>
        <w:spacing w:before="122" w:line="364" w:lineRule="auto"/>
        <w:ind w:right="403" w:firstLine="559"/>
        <w:rPr>
          <w:rFonts w:hint="eastAsia" w:ascii="宋体" w:hAnsi="宋体" w:eastAsia="宋体" w:cs="宋体"/>
          <w:sz w:val="28"/>
          <w:szCs w:val="28"/>
        </w:rPr>
      </w:pPr>
      <w:r>
        <w:rPr>
          <w:rFonts w:hint="eastAsia" w:ascii="宋体" w:hAnsi="宋体" w:eastAsia="宋体" w:cs="宋体"/>
          <w:sz w:val="28"/>
          <w:szCs w:val="28"/>
        </w:rPr>
        <w:t>3、经常组织进行安全检查，查出事故隐患，采取预防措施，防止事故发生。</w:t>
      </w:r>
    </w:p>
    <w:p>
      <w:pPr>
        <w:pStyle w:val="16"/>
        <w:spacing w:before="122" w:line="364" w:lineRule="auto"/>
        <w:ind w:right="403" w:firstLine="559"/>
        <w:rPr>
          <w:rFonts w:hint="eastAsia" w:ascii="宋体" w:hAnsi="宋体" w:eastAsia="宋体" w:cs="宋体"/>
          <w:sz w:val="28"/>
          <w:szCs w:val="28"/>
        </w:rPr>
      </w:pPr>
      <w:r>
        <w:rPr>
          <w:rFonts w:hint="eastAsia" w:ascii="宋体" w:hAnsi="宋体" w:eastAsia="宋体" w:cs="宋体"/>
          <w:sz w:val="28"/>
          <w:szCs w:val="28"/>
        </w:rPr>
        <w:t>4、新员工必须经过专门的安全培训，考试合格方能上岗作业。换岗、复岗的人员必须经过再次培训，考试合格方能上岗作业。</w:t>
      </w:r>
    </w:p>
    <w:p>
      <w:pPr>
        <w:pStyle w:val="16"/>
        <w:spacing w:before="122" w:line="364" w:lineRule="auto"/>
        <w:ind w:right="403" w:firstLine="559"/>
        <w:rPr>
          <w:rFonts w:hint="eastAsia" w:ascii="宋体" w:hAnsi="宋体" w:eastAsia="宋体" w:cs="宋体"/>
          <w:sz w:val="28"/>
          <w:szCs w:val="28"/>
        </w:rPr>
      </w:pPr>
      <w:r>
        <w:rPr>
          <w:rFonts w:hint="eastAsia" w:ascii="宋体" w:hAnsi="宋体" w:eastAsia="宋体" w:cs="宋体"/>
          <w:sz w:val="28"/>
          <w:szCs w:val="28"/>
        </w:rPr>
        <w:t>5、经常组织员工进行技术再培训，不断提高工作人员的技术水平，减少或杜绝操作事故的发生。</w:t>
      </w:r>
    </w:p>
    <w:p>
      <w:pPr>
        <w:pStyle w:val="16"/>
        <w:spacing w:before="122" w:line="364" w:lineRule="auto"/>
        <w:ind w:right="403" w:firstLine="559"/>
        <w:rPr>
          <w:rFonts w:hint="eastAsia" w:ascii="宋体" w:hAnsi="宋体" w:eastAsia="宋体" w:cs="宋体"/>
          <w:sz w:val="28"/>
          <w:szCs w:val="28"/>
        </w:rPr>
      </w:pPr>
      <w:r>
        <w:rPr>
          <w:rFonts w:hint="eastAsia" w:ascii="宋体" w:hAnsi="宋体" w:eastAsia="宋体" w:cs="宋体"/>
          <w:sz w:val="28"/>
          <w:szCs w:val="28"/>
        </w:rPr>
        <w:t>6、监督、教育从业人员按照使用规则佩戴、使用劳动保护用品，提高作业人员的安全意识，尽量避免作业过程中受伤害。</w:t>
      </w:r>
    </w:p>
    <w:p>
      <w:pPr>
        <w:pStyle w:val="16"/>
        <w:spacing w:before="122" w:line="364" w:lineRule="auto"/>
        <w:ind w:right="403" w:firstLine="559"/>
        <w:rPr>
          <w:rFonts w:hint="eastAsia" w:ascii="宋体" w:hAnsi="宋体" w:eastAsia="宋体" w:cs="宋体"/>
          <w:sz w:val="28"/>
          <w:szCs w:val="28"/>
        </w:rPr>
      </w:pPr>
      <w:r>
        <w:rPr>
          <w:rFonts w:hint="eastAsia" w:ascii="宋体" w:hAnsi="宋体" w:eastAsia="宋体" w:cs="宋体"/>
          <w:sz w:val="28"/>
          <w:szCs w:val="28"/>
        </w:rPr>
        <w:t>7、保证消防器材足量配置，定期组织对消防设施和消防器材进行检查， 特别是消防管道、消防泵等设施，应定期进行维护保养工作，保证其有效性。保证消防通道随时畅通，不得任何设施堵塞消防通道。</w:t>
      </w:r>
    </w:p>
    <w:p>
      <w:pPr>
        <w:pStyle w:val="16"/>
        <w:spacing w:before="122" w:line="364" w:lineRule="auto"/>
        <w:ind w:right="403" w:firstLine="559"/>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、南充经济开发区投资集团有限公司应会同四川晟达化学新材料有限责任公司以及南充联成化学工业有限公司按照制定的应急预案进行演练， 根据演练情况，结合实际，对预案进行必要的修改，逐步完善应急预案。</w:t>
      </w:r>
    </w:p>
    <w:bookmarkEnd w:id="167"/>
    <w:bookmarkEnd w:id="168"/>
    <w:p>
      <w:pPr>
        <w:spacing w:line="360" w:lineRule="auto"/>
        <w:jc w:val="center"/>
        <w:outlineLvl w:val="0"/>
        <w:rPr>
          <w:rFonts w:hint="eastAsia" w:ascii="宋体" w:hAnsi="宋体" w:cs="宋体"/>
          <w:b/>
          <w:sz w:val="28"/>
          <w:szCs w:val="28"/>
        </w:rPr>
      </w:pPr>
    </w:p>
    <w:p>
      <w:pPr>
        <w:spacing w:line="360" w:lineRule="auto"/>
        <w:jc w:val="center"/>
        <w:outlineLvl w:val="0"/>
        <w:rPr>
          <w:rFonts w:hint="eastAsia" w:ascii="宋体" w:hAnsi="宋体" w:cs="宋体"/>
          <w:b/>
          <w:sz w:val="28"/>
          <w:szCs w:val="28"/>
        </w:rPr>
      </w:pPr>
    </w:p>
    <w:p>
      <w:pPr>
        <w:pStyle w:val="24"/>
        <w:rPr>
          <w:rFonts w:hint="eastAsia"/>
        </w:rPr>
      </w:pPr>
    </w:p>
    <w:p>
      <w:pPr>
        <w:spacing w:line="360" w:lineRule="auto"/>
        <w:jc w:val="center"/>
        <w:outlineLvl w:val="0"/>
        <w:rPr>
          <w:rFonts w:eastAsia="黑体"/>
          <w:b/>
          <w:sz w:val="32"/>
          <w:szCs w:val="32"/>
        </w:rPr>
      </w:pPr>
    </w:p>
    <w:p>
      <w:pPr>
        <w:spacing w:line="360" w:lineRule="auto"/>
        <w:jc w:val="center"/>
        <w:outlineLvl w:val="0"/>
        <w:rPr>
          <w:rFonts w:eastAsia="黑体"/>
          <w:b/>
          <w:sz w:val="32"/>
          <w:szCs w:val="32"/>
        </w:rPr>
      </w:pPr>
    </w:p>
    <w:p>
      <w:pPr>
        <w:spacing w:line="360" w:lineRule="auto"/>
        <w:jc w:val="center"/>
        <w:outlineLvl w:val="0"/>
        <w:rPr>
          <w:rFonts w:eastAsia="黑体"/>
          <w:b/>
          <w:sz w:val="32"/>
          <w:szCs w:val="32"/>
        </w:rPr>
      </w:pPr>
    </w:p>
    <w:p>
      <w:pPr>
        <w:spacing w:line="360" w:lineRule="auto"/>
        <w:jc w:val="center"/>
        <w:outlineLvl w:val="0"/>
        <w:rPr>
          <w:rFonts w:eastAsia="黑体"/>
          <w:b/>
          <w:sz w:val="32"/>
          <w:szCs w:val="32"/>
        </w:rPr>
      </w:pPr>
    </w:p>
    <w:p>
      <w:pPr>
        <w:spacing w:line="360" w:lineRule="auto"/>
        <w:jc w:val="center"/>
        <w:outlineLvl w:val="0"/>
        <w:rPr>
          <w:rFonts w:eastAsia="黑体"/>
          <w:b/>
          <w:sz w:val="32"/>
          <w:szCs w:val="32"/>
        </w:rPr>
      </w:pPr>
    </w:p>
    <w:p>
      <w:pPr>
        <w:pStyle w:val="24"/>
        <w:ind w:left="0" w:leftChars="0" w:firstLine="0" w:firstLineChars="0"/>
        <w:rPr>
          <w:rFonts w:eastAsia="黑体"/>
          <w:b/>
          <w:sz w:val="32"/>
          <w:szCs w:val="32"/>
        </w:rPr>
      </w:pPr>
    </w:p>
    <w:p>
      <w:pPr>
        <w:spacing w:line="360" w:lineRule="auto"/>
        <w:jc w:val="center"/>
        <w:outlineLvl w:val="0"/>
        <w:rPr>
          <w:rFonts w:eastAsia="黑体"/>
          <w:b/>
          <w:sz w:val="32"/>
          <w:szCs w:val="32"/>
        </w:rPr>
      </w:pPr>
    </w:p>
    <w:p>
      <w:pPr>
        <w:spacing w:line="360" w:lineRule="auto"/>
        <w:jc w:val="center"/>
        <w:outlineLvl w:val="0"/>
        <w:rPr>
          <w:rFonts w:eastAsia="黑体"/>
          <w:b/>
          <w:sz w:val="32"/>
          <w:szCs w:val="32"/>
        </w:rPr>
      </w:pPr>
      <w:bookmarkStart w:id="169" w:name="_Toc20163"/>
      <w:r>
        <w:rPr>
          <w:rFonts w:eastAsia="黑体"/>
          <w:b/>
          <w:sz w:val="32"/>
          <w:szCs w:val="32"/>
        </w:rPr>
        <w:t>5 评估结论与建议</w:t>
      </w:r>
      <w:bookmarkEnd w:id="169"/>
    </w:p>
    <w:p>
      <w:pPr>
        <w:pStyle w:val="4"/>
        <w:autoSpaceDN w:val="0"/>
        <w:spacing w:before="0" w:after="0" w:line="360" w:lineRule="auto"/>
        <w:jc w:val="left"/>
        <w:rPr>
          <w:rFonts w:hint="eastAsia" w:ascii="黑体" w:hAnsi="黑体" w:cs="黑体"/>
          <w:sz w:val="28"/>
          <w:szCs w:val="28"/>
        </w:rPr>
      </w:pPr>
      <w:bookmarkStart w:id="170" w:name="_Toc29797"/>
      <w:r>
        <w:rPr>
          <w:rFonts w:hint="eastAsia" w:ascii="黑体" w:hAnsi="黑体" w:cs="黑体"/>
          <w:sz w:val="28"/>
          <w:szCs w:val="28"/>
        </w:rPr>
        <w:t>5.1 结论</w:t>
      </w:r>
      <w:bookmarkEnd w:id="170"/>
    </w:p>
    <w:p>
      <w:pPr>
        <w:spacing w:line="360" w:lineRule="auto"/>
        <w:ind w:firstLine="512" w:firstLineChars="200"/>
        <w:rPr>
          <w:rFonts w:hint="eastAsia"/>
          <w:sz w:val="28"/>
          <w:szCs w:val="28"/>
        </w:rPr>
      </w:pPr>
      <w:r>
        <w:rPr>
          <w:rFonts w:hint="eastAsia" w:ascii="宋体" w:hAnsi="宋体" w:cs="宋体"/>
          <w:spacing w:val="-12"/>
          <w:sz w:val="28"/>
          <w:szCs w:val="28"/>
        </w:rPr>
        <w:t>通过对本项目专用线运行线路、装卸区等方面进行辨识分析，本专用</w:t>
      </w:r>
      <w:r>
        <w:rPr>
          <w:rFonts w:hint="eastAsia" w:ascii="宋体" w:hAnsi="宋体" w:cs="宋体"/>
          <w:spacing w:val="-25"/>
          <w:sz w:val="28"/>
          <w:szCs w:val="28"/>
        </w:rPr>
        <w:t xml:space="preserve">线列车与调车过程中主要危险有害因素是冲突、脱轨、挤道岔、相撞、溜逸， </w:t>
      </w:r>
      <w:r>
        <w:rPr>
          <w:rFonts w:hint="eastAsia" w:ascii="宋体" w:hAnsi="宋体" w:cs="宋体"/>
          <w:spacing w:val="-18"/>
          <w:sz w:val="28"/>
          <w:szCs w:val="28"/>
        </w:rPr>
        <w:t>装卸过程危害有害因素有火灾、其他爆炸、物体打击、高处坠落、中毒和窒</w:t>
      </w:r>
      <w:r>
        <w:rPr>
          <w:rFonts w:hint="eastAsia" w:ascii="宋体" w:hAnsi="宋体" w:cs="宋体"/>
          <w:spacing w:val="-25"/>
          <w:sz w:val="28"/>
          <w:szCs w:val="28"/>
        </w:rPr>
        <w:t>息、触电、机械伤害、灼烫、其他危害</w:t>
      </w:r>
      <w:r>
        <w:rPr>
          <w:rFonts w:hint="eastAsia" w:ascii="宋体" w:hAnsi="宋体" w:cs="宋体"/>
          <w:spacing w:val="-3"/>
          <w:sz w:val="28"/>
          <w:szCs w:val="28"/>
        </w:rPr>
        <w:t>（</w:t>
      </w:r>
      <w:r>
        <w:rPr>
          <w:rFonts w:hint="eastAsia" w:ascii="宋体" w:hAnsi="宋体" w:cs="宋体"/>
          <w:sz w:val="28"/>
          <w:szCs w:val="28"/>
        </w:rPr>
        <w:t>噪声</w:t>
      </w:r>
      <w:r>
        <w:rPr>
          <w:rFonts w:hint="eastAsia" w:ascii="宋体" w:hAnsi="宋体" w:cs="宋体"/>
          <w:spacing w:val="-65"/>
          <w:sz w:val="28"/>
          <w:szCs w:val="28"/>
        </w:rPr>
        <w:t>）</w:t>
      </w:r>
      <w:r>
        <w:rPr>
          <w:rFonts w:hint="eastAsia" w:ascii="宋体" w:hAnsi="宋体" w:cs="宋体"/>
          <w:spacing w:val="-10"/>
          <w:sz w:val="28"/>
          <w:szCs w:val="28"/>
        </w:rPr>
        <w:t>等。</w:t>
      </w:r>
    </w:p>
    <w:p>
      <w:pPr>
        <w:spacing w:line="360" w:lineRule="auto"/>
        <w:ind w:firstLine="560" w:firstLineChars="200"/>
        <w:rPr>
          <w:sz w:val="28"/>
          <w:szCs w:val="28"/>
        </w:rPr>
      </w:pPr>
      <w:r>
        <w:rPr>
          <w:rFonts w:hint="eastAsia"/>
          <w:sz w:val="28"/>
          <w:szCs w:val="28"/>
        </w:rPr>
        <w:t>城投公司所属危化品专用线有专业机构进行维保、巡视等工作，专用线</w:t>
      </w:r>
      <w:r>
        <w:rPr>
          <w:sz w:val="28"/>
          <w:szCs w:val="28"/>
        </w:rPr>
        <w:t>处在动态监控中，</w:t>
      </w:r>
      <w:r>
        <w:rPr>
          <w:rFonts w:hint="eastAsia"/>
          <w:sz w:val="28"/>
          <w:szCs w:val="28"/>
        </w:rPr>
        <w:t>城投公司按照法规要求开展了专用线安全评价，不定期聘请专家开展日常安全检查或安全诊断，</w:t>
      </w:r>
      <w:r>
        <w:rPr>
          <w:sz w:val="28"/>
          <w:szCs w:val="28"/>
        </w:rPr>
        <w:t>生产过程中发现</w:t>
      </w:r>
      <w:r>
        <w:rPr>
          <w:rFonts w:hint="eastAsia"/>
          <w:sz w:val="28"/>
          <w:szCs w:val="28"/>
        </w:rPr>
        <w:t>的</w:t>
      </w:r>
      <w:r>
        <w:rPr>
          <w:sz w:val="28"/>
          <w:szCs w:val="28"/>
        </w:rPr>
        <w:t>隐患问题，能够及时得到整改</w:t>
      </w:r>
      <w:r>
        <w:rPr>
          <w:rFonts w:hint="eastAsia"/>
          <w:sz w:val="28"/>
          <w:szCs w:val="28"/>
        </w:rPr>
        <w:t>；及时督促各企业</w:t>
      </w:r>
      <w:r>
        <w:rPr>
          <w:sz w:val="28"/>
          <w:szCs w:val="28"/>
        </w:rPr>
        <w:t>加强员工</w:t>
      </w:r>
      <w:r>
        <w:rPr>
          <w:rFonts w:hint="eastAsia"/>
          <w:sz w:val="28"/>
          <w:szCs w:val="28"/>
        </w:rPr>
        <w:t>安全</w:t>
      </w:r>
      <w:r>
        <w:rPr>
          <w:sz w:val="28"/>
          <w:szCs w:val="28"/>
        </w:rPr>
        <w:t>教育，</w:t>
      </w:r>
      <w:r>
        <w:rPr>
          <w:rFonts w:hint="eastAsia"/>
          <w:sz w:val="28"/>
          <w:szCs w:val="28"/>
        </w:rPr>
        <w:t>加强违章查处，严守操作规程，严格值班值守，</w:t>
      </w:r>
      <w:r>
        <w:rPr>
          <w:sz w:val="28"/>
          <w:szCs w:val="28"/>
        </w:rPr>
        <w:t>就能够做到事故可防可控。</w:t>
      </w:r>
      <w:r>
        <w:rPr>
          <w:rFonts w:hint="eastAsia"/>
          <w:sz w:val="28"/>
          <w:szCs w:val="28"/>
        </w:rPr>
        <w:t>使用铁路专用线的重点企业编制的</w:t>
      </w:r>
      <w:r>
        <w:rPr>
          <w:sz w:val="28"/>
          <w:szCs w:val="28"/>
        </w:rPr>
        <w:t>《生产安全事故应急救援预案》内容具有可操作性，对事故应急总的处置方案和具体岗位的应急操作流程进行了详细规定，通过</w:t>
      </w:r>
      <w:r>
        <w:rPr>
          <w:rFonts w:hint="eastAsia"/>
          <w:sz w:val="28"/>
          <w:szCs w:val="28"/>
        </w:rPr>
        <w:t>加强日常演练、加强安全教育培训、加强应急队伍建设、加强应急救援装备的补充保养，能满足专用线突发情况下的处置能力。</w:t>
      </w:r>
      <w:r>
        <w:rPr>
          <w:sz w:val="28"/>
          <w:szCs w:val="28"/>
        </w:rPr>
        <w:t xml:space="preserve"> </w:t>
      </w:r>
    </w:p>
    <w:p>
      <w:pPr>
        <w:pStyle w:val="4"/>
        <w:autoSpaceDN w:val="0"/>
        <w:spacing w:before="0" w:after="0" w:line="360" w:lineRule="auto"/>
        <w:jc w:val="left"/>
        <w:rPr>
          <w:rFonts w:hint="eastAsia" w:ascii="黑体" w:hAnsi="黑体" w:cs="黑体"/>
          <w:sz w:val="28"/>
          <w:szCs w:val="28"/>
        </w:rPr>
      </w:pPr>
      <w:bookmarkStart w:id="171" w:name="_Toc28412"/>
      <w:r>
        <w:rPr>
          <w:rFonts w:hint="eastAsia" w:ascii="黑体" w:hAnsi="黑体" w:cs="黑体"/>
          <w:sz w:val="28"/>
          <w:szCs w:val="28"/>
        </w:rPr>
        <w:t>5.2 建议</w:t>
      </w:r>
      <w:bookmarkEnd w:id="171"/>
    </w:p>
    <w:p>
      <w:pPr>
        <w:spacing w:line="360" w:lineRule="auto"/>
        <w:ind w:firstLine="560" w:firstLineChars="200"/>
        <w:rPr>
          <w:rFonts w:hint="eastAsia"/>
          <w:sz w:val="28"/>
          <w:szCs w:val="28"/>
        </w:rPr>
      </w:pPr>
      <w:r>
        <w:rPr>
          <w:sz w:val="28"/>
          <w:szCs w:val="28"/>
        </w:rPr>
        <w:t>（1）应加强对现有</w:t>
      </w:r>
      <w:r>
        <w:rPr>
          <w:rFonts w:hint="eastAsia"/>
          <w:sz w:val="28"/>
          <w:szCs w:val="28"/>
        </w:rPr>
        <w:t>设施设备</w:t>
      </w:r>
      <w:r>
        <w:rPr>
          <w:sz w:val="28"/>
          <w:szCs w:val="28"/>
        </w:rPr>
        <w:t>及消防装置的维护检查，确保</w:t>
      </w:r>
      <w:r>
        <w:rPr>
          <w:rFonts w:hint="eastAsia"/>
          <w:sz w:val="28"/>
          <w:szCs w:val="28"/>
        </w:rPr>
        <w:t>工艺</w:t>
      </w:r>
      <w:r>
        <w:rPr>
          <w:sz w:val="28"/>
          <w:szCs w:val="28"/>
        </w:rPr>
        <w:t>设施</w:t>
      </w:r>
      <w:r>
        <w:rPr>
          <w:rFonts w:hint="eastAsia"/>
          <w:sz w:val="28"/>
          <w:szCs w:val="28"/>
        </w:rPr>
        <w:t>设备</w:t>
      </w:r>
      <w:r>
        <w:rPr>
          <w:sz w:val="28"/>
          <w:szCs w:val="28"/>
        </w:rPr>
        <w:t>及消防</w:t>
      </w:r>
      <w:r>
        <w:rPr>
          <w:rFonts w:hint="eastAsia"/>
          <w:sz w:val="28"/>
          <w:szCs w:val="28"/>
        </w:rPr>
        <w:t>装置</w:t>
      </w:r>
      <w:r>
        <w:rPr>
          <w:sz w:val="28"/>
          <w:szCs w:val="28"/>
        </w:rPr>
        <w:t>的可靠性</w:t>
      </w:r>
      <w:r>
        <w:rPr>
          <w:rFonts w:hint="eastAsia"/>
          <w:sz w:val="28"/>
          <w:szCs w:val="28"/>
        </w:rPr>
        <w:t>，及时</w:t>
      </w:r>
      <w:r>
        <w:rPr>
          <w:sz w:val="28"/>
          <w:szCs w:val="28"/>
        </w:rPr>
        <w:t>对损坏、失效的消防设备设施要作到及时修复和更换</w:t>
      </w:r>
      <w:r>
        <w:rPr>
          <w:rFonts w:hint="eastAsia"/>
          <w:sz w:val="28"/>
          <w:szCs w:val="28"/>
        </w:rPr>
        <w:t>，对查出的工艺设备隐患、建筑隐患、防雷隐患、电气隐患等要及时整改。</w:t>
      </w:r>
    </w:p>
    <w:p>
      <w:pPr>
        <w:spacing w:line="360" w:lineRule="auto"/>
        <w:ind w:firstLine="560" w:firstLineChars="200"/>
        <w:rPr>
          <w:rFonts w:hint="eastAsia"/>
          <w:sz w:val="28"/>
          <w:szCs w:val="28"/>
        </w:rPr>
      </w:pPr>
      <w:r>
        <w:rPr>
          <w:sz w:val="28"/>
          <w:szCs w:val="28"/>
        </w:rPr>
        <w:t>（2）应</w:t>
      </w:r>
      <w:r>
        <w:rPr>
          <w:rFonts w:hint="eastAsia"/>
          <w:sz w:val="28"/>
          <w:szCs w:val="28"/>
        </w:rPr>
        <w:t>定期对</w:t>
      </w:r>
      <w:r>
        <w:rPr>
          <w:sz w:val="28"/>
          <w:szCs w:val="28"/>
        </w:rPr>
        <w:t>应急</w:t>
      </w:r>
      <w:r>
        <w:rPr>
          <w:rFonts w:hint="eastAsia"/>
          <w:sz w:val="28"/>
          <w:szCs w:val="28"/>
        </w:rPr>
        <w:t>物资进行维护保养和补充，不定期更新、配置必要的应急物资，应急物资的配备和存放要便于应急时的取用，增加突发事件的应对能力，</w:t>
      </w:r>
      <w:r>
        <w:rPr>
          <w:sz w:val="28"/>
          <w:szCs w:val="28"/>
        </w:rPr>
        <w:t>确保事故发生或作业人员发生人身伤害时，能够及时采取有效救援措施，减轻伤害程度，控制事故的发展。</w:t>
      </w:r>
    </w:p>
    <w:p>
      <w:pPr>
        <w:spacing w:line="360" w:lineRule="auto"/>
        <w:ind w:firstLine="560" w:firstLineChars="200"/>
        <w:rPr>
          <w:sz w:val="28"/>
          <w:szCs w:val="28"/>
        </w:rPr>
      </w:pPr>
      <w:r>
        <w:rPr>
          <w:rFonts w:hint="eastAsia"/>
          <w:sz w:val="28"/>
          <w:szCs w:val="28"/>
        </w:rPr>
        <w:t>（3）应不定期组织开展突发事件应急演练，定期与企业开展各类应急联合演练，锻炼突发事件应对能力。</w:t>
      </w:r>
    </w:p>
    <w:sectPr>
      <w:headerReference r:id="rId4" w:type="default"/>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方正书宋简体">
    <w:altName w:val="宋体"/>
    <w:panose1 w:val="02010601030101010101"/>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dobeHeitiStd-Regular">
    <w:altName w:val="黑体"/>
    <w:panose1 w:val="00000000000000000000"/>
    <w:charset w:val="86"/>
    <w:family w:val="auto"/>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華康中楷體">
    <w:altName w:val="MingLiU"/>
    <w:panose1 w:val="00000000000000000000"/>
    <w:charset w:val="88"/>
    <w:family w:val="modern"/>
    <w:pitch w:val="default"/>
    <w:sig w:usb0="00000000" w:usb1="00000000" w:usb2="00000010" w:usb3="00000000" w:csb0="0010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Univers Condensed">
    <w:altName w:val="Courier New"/>
    <w:panose1 w:val="00000000000000000000"/>
    <w:charset w:val="00"/>
    <w:family w:val="swiss"/>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PMingLiU_x0004_falt">
    <w:altName w:val="PMingLiU"/>
    <w:panose1 w:val="02020300000000000000"/>
    <w:charset w:val="88"/>
    <w:family w:val="roman"/>
    <w:pitch w:val="default"/>
    <w:sig w:usb0="00000000" w:usb1="00000000" w:usb2="00000010" w:usb3="00000000" w:csb0="00100000" w:csb1="00000000"/>
  </w:font>
  <w:font w:name="TimesNewRomanPSMT">
    <w:altName w:val="Times New Roman"/>
    <w:panose1 w:val="00000000000000000000"/>
    <w:charset w:val="00"/>
    <w:family w:val="roman"/>
    <w:pitch w:val="default"/>
    <w:sig w:usb0="00000000" w:usb1="00000000" w:usb2="00000000" w:usb3="00000000" w:csb0="00000001" w:csb1="00000000"/>
  </w:font>
  <w:font w:name="Dialog">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auto"/>
    <w:pitch w:val="default"/>
    <w:sig w:usb0="A00002FF" w:usb1="28CFFCFA" w:usb2="00000016" w:usb3="00000000" w:csb0="001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fldChar w:fldCharType="begin"/>
    </w:r>
    <w:r>
      <w:rPr>
        <w:rStyle w:val="48"/>
      </w:rPr>
      <w:instrText xml:space="preserve"> PAGE </w:instrText>
    </w:r>
    <w:r>
      <w:fldChar w:fldCharType="separate"/>
    </w:r>
    <w:r>
      <w:rPr>
        <w:rStyle w:val="48"/>
      </w:rPr>
      <w:t>54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rPr>
        <w:rStyle w:val="48"/>
      </w:rPr>
      <w:instrText xml:space="preserve"> PAGE </w:instrText>
    </w:r>
    <w:r>
      <w:fldChar w:fldCharType="separate"/>
    </w:r>
    <w:r>
      <w:rPr>
        <w:rStyle w:val="48"/>
      </w:rPr>
      <w:t>73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b/>
        <w:sz w:val="21"/>
        <w:szCs w:val="21"/>
      </w:rPr>
    </w:pPr>
    <w:r>
      <w:rPr>
        <w:rFonts w:hint="eastAsia" w:ascii="宋体" w:hAnsi="宋体"/>
        <w:b/>
        <w:sz w:val="21"/>
        <w:szCs w:val="21"/>
      </w:rPr>
      <w:t>南充经开城镇投资建设有限责任公司事故风险评估报告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B4E4D3"/>
    <w:multiLevelType w:val="singleLevel"/>
    <w:tmpl w:val="8CB4E4D3"/>
    <w:lvl w:ilvl="0" w:tentative="0">
      <w:start w:val="1"/>
      <w:numFmt w:val="decimal"/>
      <w:suff w:val="nothing"/>
      <w:lvlText w:val="%1）"/>
      <w:lvlJc w:val="left"/>
    </w:lvl>
  </w:abstractNum>
  <w:abstractNum w:abstractNumId="1">
    <w:nsid w:val="D7D140E4"/>
    <w:multiLevelType w:val="multilevel"/>
    <w:tmpl w:val="D7D140E4"/>
    <w:lvl w:ilvl="0" w:tentative="0">
      <w:start w:val="1"/>
      <w:numFmt w:val="decimal"/>
      <w:lvlText w:val="（%1）"/>
      <w:lvlJc w:val="left"/>
      <w:pPr>
        <w:ind w:left="138" w:hanging="705"/>
      </w:pPr>
      <w:rPr>
        <w:rFonts w:hint="default" w:ascii="宋体" w:hAnsi="宋体" w:eastAsia="宋体" w:cs="宋体"/>
        <w:spacing w:val="-3"/>
        <w:w w:val="100"/>
        <w:sz w:val="26"/>
        <w:szCs w:val="26"/>
        <w:lang w:val="zh-CN" w:eastAsia="zh-CN" w:bidi="zh-CN"/>
      </w:rPr>
    </w:lvl>
    <w:lvl w:ilvl="1" w:tentative="0">
      <w:start w:val="0"/>
      <w:numFmt w:val="bullet"/>
      <w:lvlText w:val="•"/>
      <w:lvlJc w:val="left"/>
      <w:pPr>
        <w:ind w:left="1092" w:hanging="705"/>
      </w:pPr>
      <w:rPr>
        <w:rFonts w:hint="default"/>
        <w:lang w:val="zh-CN" w:eastAsia="zh-CN" w:bidi="zh-CN"/>
      </w:rPr>
    </w:lvl>
    <w:lvl w:ilvl="2" w:tentative="0">
      <w:start w:val="0"/>
      <w:numFmt w:val="bullet"/>
      <w:lvlText w:val="•"/>
      <w:lvlJc w:val="left"/>
      <w:pPr>
        <w:ind w:left="2045" w:hanging="705"/>
      </w:pPr>
      <w:rPr>
        <w:rFonts w:hint="default"/>
        <w:lang w:val="zh-CN" w:eastAsia="zh-CN" w:bidi="zh-CN"/>
      </w:rPr>
    </w:lvl>
    <w:lvl w:ilvl="3" w:tentative="0">
      <w:start w:val="0"/>
      <w:numFmt w:val="bullet"/>
      <w:lvlText w:val="•"/>
      <w:lvlJc w:val="left"/>
      <w:pPr>
        <w:ind w:left="2997" w:hanging="705"/>
      </w:pPr>
      <w:rPr>
        <w:rFonts w:hint="default"/>
        <w:lang w:val="zh-CN" w:eastAsia="zh-CN" w:bidi="zh-CN"/>
      </w:rPr>
    </w:lvl>
    <w:lvl w:ilvl="4" w:tentative="0">
      <w:start w:val="0"/>
      <w:numFmt w:val="bullet"/>
      <w:lvlText w:val="•"/>
      <w:lvlJc w:val="left"/>
      <w:pPr>
        <w:ind w:left="3950" w:hanging="705"/>
      </w:pPr>
      <w:rPr>
        <w:rFonts w:hint="default"/>
        <w:lang w:val="zh-CN" w:eastAsia="zh-CN" w:bidi="zh-CN"/>
      </w:rPr>
    </w:lvl>
    <w:lvl w:ilvl="5" w:tentative="0">
      <w:start w:val="0"/>
      <w:numFmt w:val="bullet"/>
      <w:lvlText w:val="•"/>
      <w:lvlJc w:val="left"/>
      <w:pPr>
        <w:ind w:left="4903" w:hanging="705"/>
      </w:pPr>
      <w:rPr>
        <w:rFonts w:hint="default"/>
        <w:lang w:val="zh-CN" w:eastAsia="zh-CN" w:bidi="zh-CN"/>
      </w:rPr>
    </w:lvl>
    <w:lvl w:ilvl="6" w:tentative="0">
      <w:start w:val="0"/>
      <w:numFmt w:val="bullet"/>
      <w:lvlText w:val="•"/>
      <w:lvlJc w:val="left"/>
      <w:pPr>
        <w:ind w:left="5855" w:hanging="705"/>
      </w:pPr>
      <w:rPr>
        <w:rFonts w:hint="default"/>
        <w:lang w:val="zh-CN" w:eastAsia="zh-CN" w:bidi="zh-CN"/>
      </w:rPr>
    </w:lvl>
    <w:lvl w:ilvl="7" w:tentative="0">
      <w:start w:val="0"/>
      <w:numFmt w:val="bullet"/>
      <w:lvlText w:val="•"/>
      <w:lvlJc w:val="left"/>
      <w:pPr>
        <w:ind w:left="6808" w:hanging="705"/>
      </w:pPr>
      <w:rPr>
        <w:rFonts w:hint="default"/>
        <w:lang w:val="zh-CN" w:eastAsia="zh-CN" w:bidi="zh-CN"/>
      </w:rPr>
    </w:lvl>
    <w:lvl w:ilvl="8" w:tentative="0">
      <w:start w:val="0"/>
      <w:numFmt w:val="bullet"/>
      <w:lvlText w:val="•"/>
      <w:lvlJc w:val="left"/>
      <w:pPr>
        <w:ind w:left="7761" w:hanging="705"/>
      </w:pPr>
      <w:rPr>
        <w:rFonts w:hint="default"/>
        <w:lang w:val="zh-CN" w:eastAsia="zh-CN" w:bidi="zh-CN"/>
      </w:rPr>
    </w:lvl>
  </w:abstractNum>
  <w:abstractNum w:abstractNumId="2">
    <w:nsid w:val="0000001A"/>
    <w:multiLevelType w:val="singleLevel"/>
    <w:tmpl w:val="0000001A"/>
    <w:lvl w:ilvl="0" w:tentative="0">
      <w:start w:val="4"/>
      <w:numFmt w:val="decimal"/>
      <w:pStyle w:val="123"/>
      <w:lvlText w:val="(%1)"/>
      <w:lvlJc w:val="left"/>
      <w:pPr>
        <w:tabs>
          <w:tab w:val="left" w:pos="1300"/>
        </w:tabs>
        <w:ind w:left="1300" w:hanging="495"/>
      </w:pPr>
      <w:rPr>
        <w:rFonts w:hint="default"/>
      </w:rPr>
    </w:lvl>
  </w:abstractNum>
  <w:abstractNum w:abstractNumId="3">
    <w:nsid w:val="0709FD3E"/>
    <w:multiLevelType w:val="multilevel"/>
    <w:tmpl w:val="0709FD3E"/>
    <w:lvl w:ilvl="0" w:tentative="0">
      <w:start w:val="1"/>
      <w:numFmt w:val="decimal"/>
      <w:lvlText w:val="（%1）"/>
      <w:lvlJc w:val="left"/>
      <w:pPr>
        <w:ind w:left="138" w:hanging="705"/>
      </w:pPr>
      <w:rPr>
        <w:rFonts w:hint="default" w:ascii="宋体" w:hAnsi="宋体" w:eastAsia="宋体" w:cs="宋体"/>
        <w:spacing w:val="-3"/>
        <w:w w:val="100"/>
        <w:sz w:val="26"/>
        <w:szCs w:val="26"/>
        <w:lang w:val="zh-CN" w:eastAsia="zh-CN" w:bidi="zh-CN"/>
      </w:rPr>
    </w:lvl>
    <w:lvl w:ilvl="1" w:tentative="0">
      <w:start w:val="0"/>
      <w:numFmt w:val="bullet"/>
      <w:lvlText w:val="•"/>
      <w:lvlJc w:val="left"/>
      <w:pPr>
        <w:ind w:left="1092" w:hanging="705"/>
      </w:pPr>
      <w:rPr>
        <w:rFonts w:hint="default"/>
        <w:lang w:val="zh-CN" w:eastAsia="zh-CN" w:bidi="zh-CN"/>
      </w:rPr>
    </w:lvl>
    <w:lvl w:ilvl="2" w:tentative="0">
      <w:start w:val="0"/>
      <w:numFmt w:val="bullet"/>
      <w:lvlText w:val="•"/>
      <w:lvlJc w:val="left"/>
      <w:pPr>
        <w:ind w:left="2045" w:hanging="705"/>
      </w:pPr>
      <w:rPr>
        <w:rFonts w:hint="default"/>
        <w:lang w:val="zh-CN" w:eastAsia="zh-CN" w:bidi="zh-CN"/>
      </w:rPr>
    </w:lvl>
    <w:lvl w:ilvl="3" w:tentative="0">
      <w:start w:val="0"/>
      <w:numFmt w:val="bullet"/>
      <w:lvlText w:val="•"/>
      <w:lvlJc w:val="left"/>
      <w:pPr>
        <w:ind w:left="2997" w:hanging="705"/>
      </w:pPr>
      <w:rPr>
        <w:rFonts w:hint="default"/>
        <w:lang w:val="zh-CN" w:eastAsia="zh-CN" w:bidi="zh-CN"/>
      </w:rPr>
    </w:lvl>
    <w:lvl w:ilvl="4" w:tentative="0">
      <w:start w:val="0"/>
      <w:numFmt w:val="bullet"/>
      <w:lvlText w:val="•"/>
      <w:lvlJc w:val="left"/>
      <w:pPr>
        <w:ind w:left="3950" w:hanging="705"/>
      </w:pPr>
      <w:rPr>
        <w:rFonts w:hint="default"/>
        <w:lang w:val="zh-CN" w:eastAsia="zh-CN" w:bidi="zh-CN"/>
      </w:rPr>
    </w:lvl>
    <w:lvl w:ilvl="5" w:tentative="0">
      <w:start w:val="0"/>
      <w:numFmt w:val="bullet"/>
      <w:lvlText w:val="•"/>
      <w:lvlJc w:val="left"/>
      <w:pPr>
        <w:ind w:left="4903" w:hanging="705"/>
      </w:pPr>
      <w:rPr>
        <w:rFonts w:hint="default"/>
        <w:lang w:val="zh-CN" w:eastAsia="zh-CN" w:bidi="zh-CN"/>
      </w:rPr>
    </w:lvl>
    <w:lvl w:ilvl="6" w:tentative="0">
      <w:start w:val="0"/>
      <w:numFmt w:val="bullet"/>
      <w:lvlText w:val="•"/>
      <w:lvlJc w:val="left"/>
      <w:pPr>
        <w:ind w:left="5855" w:hanging="705"/>
      </w:pPr>
      <w:rPr>
        <w:rFonts w:hint="default"/>
        <w:lang w:val="zh-CN" w:eastAsia="zh-CN" w:bidi="zh-CN"/>
      </w:rPr>
    </w:lvl>
    <w:lvl w:ilvl="7" w:tentative="0">
      <w:start w:val="0"/>
      <w:numFmt w:val="bullet"/>
      <w:lvlText w:val="•"/>
      <w:lvlJc w:val="left"/>
      <w:pPr>
        <w:ind w:left="6808" w:hanging="705"/>
      </w:pPr>
      <w:rPr>
        <w:rFonts w:hint="default"/>
        <w:lang w:val="zh-CN" w:eastAsia="zh-CN" w:bidi="zh-CN"/>
      </w:rPr>
    </w:lvl>
    <w:lvl w:ilvl="8" w:tentative="0">
      <w:start w:val="0"/>
      <w:numFmt w:val="bullet"/>
      <w:lvlText w:val="•"/>
      <w:lvlJc w:val="left"/>
      <w:pPr>
        <w:ind w:left="7761" w:hanging="705"/>
      </w:pPr>
      <w:rPr>
        <w:rFonts w:hint="default"/>
        <w:lang w:val="zh-CN" w:eastAsia="zh-CN" w:bidi="zh-CN"/>
      </w:rPr>
    </w:lvl>
  </w:abstractNum>
  <w:abstractNum w:abstractNumId="4">
    <w:nsid w:val="1502CC6A"/>
    <w:multiLevelType w:val="singleLevel"/>
    <w:tmpl w:val="1502CC6A"/>
    <w:lvl w:ilvl="0" w:tentative="0">
      <w:start w:val="4"/>
      <w:numFmt w:val="decimal"/>
      <w:suff w:val="nothing"/>
      <w:lvlText w:val="%1、"/>
      <w:lvlJc w:val="left"/>
    </w:lvl>
  </w:abstractNum>
  <w:abstractNum w:abstractNumId="5">
    <w:nsid w:val="1ACDE60F"/>
    <w:multiLevelType w:val="multilevel"/>
    <w:tmpl w:val="1ACDE60F"/>
    <w:lvl w:ilvl="0" w:tentative="0">
      <w:start w:val="1"/>
      <w:numFmt w:val="decimal"/>
      <w:lvlText w:val="（%1）"/>
      <w:lvlJc w:val="left"/>
      <w:pPr>
        <w:ind w:left="138" w:hanging="702"/>
      </w:pPr>
      <w:rPr>
        <w:rFonts w:hint="default" w:ascii="宋体" w:hAnsi="宋体" w:eastAsia="宋体" w:cs="宋体"/>
        <w:spacing w:val="-15"/>
        <w:w w:val="100"/>
        <w:sz w:val="26"/>
        <w:szCs w:val="26"/>
        <w:lang w:val="zh-CN" w:eastAsia="zh-CN" w:bidi="zh-CN"/>
      </w:rPr>
    </w:lvl>
    <w:lvl w:ilvl="1" w:tentative="0">
      <w:start w:val="0"/>
      <w:numFmt w:val="bullet"/>
      <w:lvlText w:val="•"/>
      <w:lvlJc w:val="left"/>
      <w:pPr>
        <w:ind w:left="1092" w:hanging="702"/>
      </w:pPr>
      <w:rPr>
        <w:rFonts w:hint="default"/>
        <w:lang w:val="zh-CN" w:eastAsia="zh-CN" w:bidi="zh-CN"/>
      </w:rPr>
    </w:lvl>
    <w:lvl w:ilvl="2" w:tentative="0">
      <w:start w:val="0"/>
      <w:numFmt w:val="bullet"/>
      <w:lvlText w:val="•"/>
      <w:lvlJc w:val="left"/>
      <w:pPr>
        <w:ind w:left="2045" w:hanging="702"/>
      </w:pPr>
      <w:rPr>
        <w:rFonts w:hint="default"/>
        <w:lang w:val="zh-CN" w:eastAsia="zh-CN" w:bidi="zh-CN"/>
      </w:rPr>
    </w:lvl>
    <w:lvl w:ilvl="3" w:tentative="0">
      <w:start w:val="0"/>
      <w:numFmt w:val="bullet"/>
      <w:lvlText w:val="•"/>
      <w:lvlJc w:val="left"/>
      <w:pPr>
        <w:ind w:left="2997" w:hanging="702"/>
      </w:pPr>
      <w:rPr>
        <w:rFonts w:hint="default"/>
        <w:lang w:val="zh-CN" w:eastAsia="zh-CN" w:bidi="zh-CN"/>
      </w:rPr>
    </w:lvl>
    <w:lvl w:ilvl="4" w:tentative="0">
      <w:start w:val="0"/>
      <w:numFmt w:val="bullet"/>
      <w:lvlText w:val="•"/>
      <w:lvlJc w:val="left"/>
      <w:pPr>
        <w:ind w:left="3950" w:hanging="702"/>
      </w:pPr>
      <w:rPr>
        <w:rFonts w:hint="default"/>
        <w:lang w:val="zh-CN" w:eastAsia="zh-CN" w:bidi="zh-CN"/>
      </w:rPr>
    </w:lvl>
    <w:lvl w:ilvl="5" w:tentative="0">
      <w:start w:val="0"/>
      <w:numFmt w:val="bullet"/>
      <w:lvlText w:val="•"/>
      <w:lvlJc w:val="left"/>
      <w:pPr>
        <w:ind w:left="4903" w:hanging="702"/>
      </w:pPr>
      <w:rPr>
        <w:rFonts w:hint="default"/>
        <w:lang w:val="zh-CN" w:eastAsia="zh-CN" w:bidi="zh-CN"/>
      </w:rPr>
    </w:lvl>
    <w:lvl w:ilvl="6" w:tentative="0">
      <w:start w:val="0"/>
      <w:numFmt w:val="bullet"/>
      <w:lvlText w:val="•"/>
      <w:lvlJc w:val="left"/>
      <w:pPr>
        <w:ind w:left="5855" w:hanging="702"/>
      </w:pPr>
      <w:rPr>
        <w:rFonts w:hint="default"/>
        <w:lang w:val="zh-CN" w:eastAsia="zh-CN" w:bidi="zh-CN"/>
      </w:rPr>
    </w:lvl>
    <w:lvl w:ilvl="7" w:tentative="0">
      <w:start w:val="0"/>
      <w:numFmt w:val="bullet"/>
      <w:lvlText w:val="•"/>
      <w:lvlJc w:val="left"/>
      <w:pPr>
        <w:ind w:left="6808" w:hanging="702"/>
      </w:pPr>
      <w:rPr>
        <w:rFonts w:hint="default"/>
        <w:lang w:val="zh-CN" w:eastAsia="zh-CN" w:bidi="zh-CN"/>
      </w:rPr>
    </w:lvl>
    <w:lvl w:ilvl="8" w:tentative="0">
      <w:start w:val="0"/>
      <w:numFmt w:val="bullet"/>
      <w:lvlText w:val="•"/>
      <w:lvlJc w:val="left"/>
      <w:pPr>
        <w:ind w:left="7761" w:hanging="702"/>
      </w:pPr>
      <w:rPr>
        <w:rFonts w:hint="default"/>
        <w:lang w:val="zh-CN" w:eastAsia="zh-CN" w:bidi="zh-CN"/>
      </w:rPr>
    </w:lvl>
  </w:abstractNum>
  <w:abstractNum w:abstractNumId="6">
    <w:nsid w:val="2AE5F563"/>
    <w:multiLevelType w:val="singleLevel"/>
    <w:tmpl w:val="2AE5F563"/>
    <w:lvl w:ilvl="0" w:tentative="0">
      <w:start w:val="2"/>
      <w:numFmt w:val="decimal"/>
      <w:suff w:val="nothing"/>
      <w:lvlText w:val="%1、"/>
      <w:lvlJc w:val="left"/>
    </w:lvl>
  </w:abstractNum>
  <w:abstractNum w:abstractNumId="7">
    <w:nsid w:val="32A7AF2D"/>
    <w:multiLevelType w:val="multilevel"/>
    <w:tmpl w:val="32A7AF2D"/>
    <w:lvl w:ilvl="0" w:tentative="0">
      <w:start w:val="1"/>
      <w:numFmt w:val="decimal"/>
      <w:lvlText w:val="（%1）"/>
      <w:lvlJc w:val="left"/>
      <w:pPr>
        <w:ind w:left="138" w:hanging="702"/>
      </w:pPr>
      <w:rPr>
        <w:rFonts w:hint="default" w:ascii="宋体" w:hAnsi="宋体" w:eastAsia="宋体" w:cs="宋体"/>
        <w:spacing w:val="-15"/>
        <w:w w:val="100"/>
        <w:sz w:val="26"/>
        <w:szCs w:val="26"/>
        <w:lang w:val="zh-CN" w:eastAsia="zh-CN" w:bidi="zh-CN"/>
      </w:rPr>
    </w:lvl>
    <w:lvl w:ilvl="1" w:tentative="0">
      <w:start w:val="0"/>
      <w:numFmt w:val="bullet"/>
      <w:lvlText w:val="•"/>
      <w:lvlJc w:val="left"/>
      <w:pPr>
        <w:ind w:left="1092" w:hanging="702"/>
      </w:pPr>
      <w:rPr>
        <w:rFonts w:hint="default"/>
        <w:lang w:val="zh-CN" w:eastAsia="zh-CN" w:bidi="zh-CN"/>
      </w:rPr>
    </w:lvl>
    <w:lvl w:ilvl="2" w:tentative="0">
      <w:start w:val="0"/>
      <w:numFmt w:val="bullet"/>
      <w:lvlText w:val="•"/>
      <w:lvlJc w:val="left"/>
      <w:pPr>
        <w:ind w:left="2045" w:hanging="702"/>
      </w:pPr>
      <w:rPr>
        <w:rFonts w:hint="default"/>
        <w:lang w:val="zh-CN" w:eastAsia="zh-CN" w:bidi="zh-CN"/>
      </w:rPr>
    </w:lvl>
    <w:lvl w:ilvl="3" w:tentative="0">
      <w:start w:val="0"/>
      <w:numFmt w:val="bullet"/>
      <w:lvlText w:val="•"/>
      <w:lvlJc w:val="left"/>
      <w:pPr>
        <w:ind w:left="2997" w:hanging="702"/>
      </w:pPr>
      <w:rPr>
        <w:rFonts w:hint="default"/>
        <w:lang w:val="zh-CN" w:eastAsia="zh-CN" w:bidi="zh-CN"/>
      </w:rPr>
    </w:lvl>
    <w:lvl w:ilvl="4" w:tentative="0">
      <w:start w:val="0"/>
      <w:numFmt w:val="bullet"/>
      <w:lvlText w:val="•"/>
      <w:lvlJc w:val="left"/>
      <w:pPr>
        <w:ind w:left="3950" w:hanging="702"/>
      </w:pPr>
      <w:rPr>
        <w:rFonts w:hint="default"/>
        <w:lang w:val="zh-CN" w:eastAsia="zh-CN" w:bidi="zh-CN"/>
      </w:rPr>
    </w:lvl>
    <w:lvl w:ilvl="5" w:tentative="0">
      <w:start w:val="0"/>
      <w:numFmt w:val="bullet"/>
      <w:lvlText w:val="•"/>
      <w:lvlJc w:val="left"/>
      <w:pPr>
        <w:ind w:left="4903" w:hanging="702"/>
      </w:pPr>
      <w:rPr>
        <w:rFonts w:hint="default"/>
        <w:lang w:val="zh-CN" w:eastAsia="zh-CN" w:bidi="zh-CN"/>
      </w:rPr>
    </w:lvl>
    <w:lvl w:ilvl="6" w:tentative="0">
      <w:start w:val="0"/>
      <w:numFmt w:val="bullet"/>
      <w:lvlText w:val="•"/>
      <w:lvlJc w:val="left"/>
      <w:pPr>
        <w:ind w:left="5855" w:hanging="702"/>
      </w:pPr>
      <w:rPr>
        <w:rFonts w:hint="default"/>
        <w:lang w:val="zh-CN" w:eastAsia="zh-CN" w:bidi="zh-CN"/>
      </w:rPr>
    </w:lvl>
    <w:lvl w:ilvl="7" w:tentative="0">
      <w:start w:val="0"/>
      <w:numFmt w:val="bullet"/>
      <w:lvlText w:val="•"/>
      <w:lvlJc w:val="left"/>
      <w:pPr>
        <w:ind w:left="6808" w:hanging="702"/>
      </w:pPr>
      <w:rPr>
        <w:rFonts w:hint="default"/>
        <w:lang w:val="zh-CN" w:eastAsia="zh-CN" w:bidi="zh-CN"/>
      </w:rPr>
    </w:lvl>
    <w:lvl w:ilvl="8" w:tentative="0">
      <w:start w:val="0"/>
      <w:numFmt w:val="bullet"/>
      <w:lvlText w:val="•"/>
      <w:lvlJc w:val="left"/>
      <w:pPr>
        <w:ind w:left="7761" w:hanging="702"/>
      </w:pPr>
      <w:rPr>
        <w:rFonts w:hint="default"/>
        <w:lang w:val="zh-CN" w:eastAsia="zh-CN" w:bidi="zh-CN"/>
      </w:rPr>
    </w:lvl>
  </w:abstractNum>
  <w:abstractNum w:abstractNumId="8">
    <w:nsid w:val="3B1DD8A8"/>
    <w:multiLevelType w:val="singleLevel"/>
    <w:tmpl w:val="3B1DD8A8"/>
    <w:lvl w:ilvl="0" w:tentative="0">
      <w:start w:val="3"/>
      <w:numFmt w:val="decimal"/>
      <w:suff w:val="nothing"/>
      <w:lvlText w:val="%1）"/>
      <w:lvlJc w:val="left"/>
    </w:lvl>
  </w:abstractNum>
  <w:abstractNum w:abstractNumId="9">
    <w:nsid w:val="6C3501A3"/>
    <w:multiLevelType w:val="multilevel"/>
    <w:tmpl w:val="6C3501A3"/>
    <w:lvl w:ilvl="0" w:tentative="0">
      <w:start w:val="1"/>
      <w:numFmt w:val="decimal"/>
      <w:pStyle w:val="118"/>
      <w:lvlText w:val="%1."/>
      <w:lvlJc w:val="left"/>
      <w:pPr>
        <w:tabs>
          <w:tab w:val="left" w:pos="840"/>
        </w:tabs>
        <w:ind w:left="84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4C28B35"/>
    <w:multiLevelType w:val="multilevel"/>
    <w:tmpl w:val="74C28B35"/>
    <w:lvl w:ilvl="0" w:tentative="0">
      <w:start w:val="1"/>
      <w:numFmt w:val="decimal"/>
      <w:lvlText w:val="（%1）"/>
      <w:lvlJc w:val="left"/>
      <w:pPr>
        <w:ind w:left="138" w:hanging="711"/>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711"/>
      </w:pPr>
      <w:rPr>
        <w:rFonts w:hint="default"/>
        <w:lang w:val="zh-CN" w:eastAsia="zh-CN" w:bidi="zh-CN"/>
      </w:rPr>
    </w:lvl>
    <w:lvl w:ilvl="2" w:tentative="0">
      <w:start w:val="0"/>
      <w:numFmt w:val="bullet"/>
      <w:lvlText w:val="•"/>
      <w:lvlJc w:val="left"/>
      <w:pPr>
        <w:ind w:left="2045" w:hanging="711"/>
      </w:pPr>
      <w:rPr>
        <w:rFonts w:hint="default"/>
        <w:lang w:val="zh-CN" w:eastAsia="zh-CN" w:bidi="zh-CN"/>
      </w:rPr>
    </w:lvl>
    <w:lvl w:ilvl="3" w:tentative="0">
      <w:start w:val="0"/>
      <w:numFmt w:val="bullet"/>
      <w:lvlText w:val="•"/>
      <w:lvlJc w:val="left"/>
      <w:pPr>
        <w:ind w:left="2997" w:hanging="711"/>
      </w:pPr>
      <w:rPr>
        <w:rFonts w:hint="default"/>
        <w:lang w:val="zh-CN" w:eastAsia="zh-CN" w:bidi="zh-CN"/>
      </w:rPr>
    </w:lvl>
    <w:lvl w:ilvl="4" w:tentative="0">
      <w:start w:val="0"/>
      <w:numFmt w:val="bullet"/>
      <w:lvlText w:val="•"/>
      <w:lvlJc w:val="left"/>
      <w:pPr>
        <w:ind w:left="3950" w:hanging="711"/>
      </w:pPr>
      <w:rPr>
        <w:rFonts w:hint="default"/>
        <w:lang w:val="zh-CN" w:eastAsia="zh-CN" w:bidi="zh-CN"/>
      </w:rPr>
    </w:lvl>
    <w:lvl w:ilvl="5" w:tentative="0">
      <w:start w:val="0"/>
      <w:numFmt w:val="bullet"/>
      <w:lvlText w:val="•"/>
      <w:lvlJc w:val="left"/>
      <w:pPr>
        <w:ind w:left="4903" w:hanging="711"/>
      </w:pPr>
      <w:rPr>
        <w:rFonts w:hint="default"/>
        <w:lang w:val="zh-CN" w:eastAsia="zh-CN" w:bidi="zh-CN"/>
      </w:rPr>
    </w:lvl>
    <w:lvl w:ilvl="6" w:tentative="0">
      <w:start w:val="0"/>
      <w:numFmt w:val="bullet"/>
      <w:lvlText w:val="•"/>
      <w:lvlJc w:val="left"/>
      <w:pPr>
        <w:ind w:left="5855" w:hanging="711"/>
      </w:pPr>
      <w:rPr>
        <w:rFonts w:hint="default"/>
        <w:lang w:val="zh-CN" w:eastAsia="zh-CN" w:bidi="zh-CN"/>
      </w:rPr>
    </w:lvl>
    <w:lvl w:ilvl="7" w:tentative="0">
      <w:start w:val="0"/>
      <w:numFmt w:val="bullet"/>
      <w:lvlText w:val="•"/>
      <w:lvlJc w:val="left"/>
      <w:pPr>
        <w:ind w:left="6808" w:hanging="711"/>
      </w:pPr>
      <w:rPr>
        <w:rFonts w:hint="default"/>
        <w:lang w:val="zh-CN" w:eastAsia="zh-CN" w:bidi="zh-CN"/>
      </w:rPr>
    </w:lvl>
    <w:lvl w:ilvl="8" w:tentative="0">
      <w:start w:val="0"/>
      <w:numFmt w:val="bullet"/>
      <w:lvlText w:val="•"/>
      <w:lvlJc w:val="left"/>
      <w:pPr>
        <w:ind w:left="7761" w:hanging="711"/>
      </w:pPr>
      <w:rPr>
        <w:rFonts w:hint="default"/>
        <w:lang w:val="zh-CN" w:eastAsia="zh-CN" w:bidi="zh-CN"/>
      </w:rPr>
    </w:lvl>
  </w:abstractNum>
  <w:num w:numId="1">
    <w:abstractNumId w:val="9"/>
  </w:num>
  <w:num w:numId="2">
    <w:abstractNumId w:val="2"/>
  </w:num>
  <w:num w:numId="3">
    <w:abstractNumId w:val="0"/>
  </w:num>
  <w:num w:numId="4">
    <w:abstractNumId w:val="8"/>
  </w:num>
  <w:num w:numId="5">
    <w:abstractNumId w:val="4"/>
  </w:num>
  <w:num w:numId="6">
    <w:abstractNumId w:val="6"/>
  </w:num>
  <w:num w:numId="7">
    <w:abstractNumId w:val="5"/>
  </w:num>
  <w:num w:numId="8">
    <w:abstractNumId w:val="10"/>
  </w:num>
  <w:num w:numId="9">
    <w:abstractNumId w:val="3"/>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B21"/>
    <w:rsid w:val="000005B9"/>
    <w:rsid w:val="000013EC"/>
    <w:rsid w:val="00004CEF"/>
    <w:rsid w:val="000063D0"/>
    <w:rsid w:val="000116DF"/>
    <w:rsid w:val="00017319"/>
    <w:rsid w:val="00017C72"/>
    <w:rsid w:val="000225CE"/>
    <w:rsid w:val="00035FF6"/>
    <w:rsid w:val="000420E3"/>
    <w:rsid w:val="00055139"/>
    <w:rsid w:val="000551CA"/>
    <w:rsid w:val="000618BB"/>
    <w:rsid w:val="000638CD"/>
    <w:rsid w:val="00077E4E"/>
    <w:rsid w:val="00080434"/>
    <w:rsid w:val="00090C79"/>
    <w:rsid w:val="00092F8B"/>
    <w:rsid w:val="000A3043"/>
    <w:rsid w:val="000A35A1"/>
    <w:rsid w:val="000B062D"/>
    <w:rsid w:val="000B5F84"/>
    <w:rsid w:val="000B7E10"/>
    <w:rsid w:val="000D1EDE"/>
    <w:rsid w:val="000F6667"/>
    <w:rsid w:val="00104C27"/>
    <w:rsid w:val="001051DE"/>
    <w:rsid w:val="001121D6"/>
    <w:rsid w:val="00120392"/>
    <w:rsid w:val="00126410"/>
    <w:rsid w:val="00132F3C"/>
    <w:rsid w:val="00142F45"/>
    <w:rsid w:val="001453BE"/>
    <w:rsid w:val="001467B2"/>
    <w:rsid w:val="00147C8A"/>
    <w:rsid w:val="001519D9"/>
    <w:rsid w:val="0016386E"/>
    <w:rsid w:val="00167F1A"/>
    <w:rsid w:val="00180866"/>
    <w:rsid w:val="00192844"/>
    <w:rsid w:val="001A0BA0"/>
    <w:rsid w:val="001A4254"/>
    <w:rsid w:val="001A4EBE"/>
    <w:rsid w:val="001A5D58"/>
    <w:rsid w:val="001A7790"/>
    <w:rsid w:val="001B4B32"/>
    <w:rsid w:val="001C6E37"/>
    <w:rsid w:val="001E4AD9"/>
    <w:rsid w:val="001F52D9"/>
    <w:rsid w:val="00202765"/>
    <w:rsid w:val="002067F1"/>
    <w:rsid w:val="00224363"/>
    <w:rsid w:val="0023030B"/>
    <w:rsid w:val="00230A45"/>
    <w:rsid w:val="00232EAD"/>
    <w:rsid w:val="00233902"/>
    <w:rsid w:val="002514BE"/>
    <w:rsid w:val="002534CF"/>
    <w:rsid w:val="00255D4B"/>
    <w:rsid w:val="00260626"/>
    <w:rsid w:val="0027001C"/>
    <w:rsid w:val="00270699"/>
    <w:rsid w:val="002740DA"/>
    <w:rsid w:val="00274F61"/>
    <w:rsid w:val="00284B50"/>
    <w:rsid w:val="00284E5C"/>
    <w:rsid w:val="00286258"/>
    <w:rsid w:val="00287E03"/>
    <w:rsid w:val="002A0572"/>
    <w:rsid w:val="002E29CC"/>
    <w:rsid w:val="002F723F"/>
    <w:rsid w:val="003049F6"/>
    <w:rsid w:val="003077C1"/>
    <w:rsid w:val="00314288"/>
    <w:rsid w:val="00314D1C"/>
    <w:rsid w:val="003345BB"/>
    <w:rsid w:val="00337FD9"/>
    <w:rsid w:val="0034118F"/>
    <w:rsid w:val="00351AF3"/>
    <w:rsid w:val="00353227"/>
    <w:rsid w:val="00365231"/>
    <w:rsid w:val="00392C69"/>
    <w:rsid w:val="00394CE5"/>
    <w:rsid w:val="00397D62"/>
    <w:rsid w:val="003A0A62"/>
    <w:rsid w:val="003A0AA6"/>
    <w:rsid w:val="003A5739"/>
    <w:rsid w:val="003B34BE"/>
    <w:rsid w:val="003B48B8"/>
    <w:rsid w:val="003B4B4A"/>
    <w:rsid w:val="003C23D3"/>
    <w:rsid w:val="003E2770"/>
    <w:rsid w:val="003F3C6F"/>
    <w:rsid w:val="00407B69"/>
    <w:rsid w:val="0041045E"/>
    <w:rsid w:val="00426244"/>
    <w:rsid w:val="004403DF"/>
    <w:rsid w:val="00446041"/>
    <w:rsid w:val="00450A20"/>
    <w:rsid w:val="00454298"/>
    <w:rsid w:val="00463A6B"/>
    <w:rsid w:val="00467D9C"/>
    <w:rsid w:val="004772B5"/>
    <w:rsid w:val="00484486"/>
    <w:rsid w:val="00490A51"/>
    <w:rsid w:val="004A7499"/>
    <w:rsid w:val="004A75A2"/>
    <w:rsid w:val="004B1E57"/>
    <w:rsid w:val="004C724D"/>
    <w:rsid w:val="004C7921"/>
    <w:rsid w:val="004D1D2B"/>
    <w:rsid w:val="004F14B2"/>
    <w:rsid w:val="004F4D72"/>
    <w:rsid w:val="004F520D"/>
    <w:rsid w:val="004F53E4"/>
    <w:rsid w:val="004F687F"/>
    <w:rsid w:val="005015D1"/>
    <w:rsid w:val="00502AA9"/>
    <w:rsid w:val="00503CC5"/>
    <w:rsid w:val="00503CF4"/>
    <w:rsid w:val="00506600"/>
    <w:rsid w:val="00506FEE"/>
    <w:rsid w:val="00517D56"/>
    <w:rsid w:val="0052059C"/>
    <w:rsid w:val="005221C8"/>
    <w:rsid w:val="00527091"/>
    <w:rsid w:val="00530E87"/>
    <w:rsid w:val="0056062D"/>
    <w:rsid w:val="00561592"/>
    <w:rsid w:val="00565E8C"/>
    <w:rsid w:val="0057585F"/>
    <w:rsid w:val="005765AA"/>
    <w:rsid w:val="0057718E"/>
    <w:rsid w:val="005840F8"/>
    <w:rsid w:val="00586C3C"/>
    <w:rsid w:val="005965A9"/>
    <w:rsid w:val="005B06F4"/>
    <w:rsid w:val="005C0EB0"/>
    <w:rsid w:val="005D12D3"/>
    <w:rsid w:val="005D2227"/>
    <w:rsid w:val="005D5B25"/>
    <w:rsid w:val="005D657D"/>
    <w:rsid w:val="005F310C"/>
    <w:rsid w:val="00607248"/>
    <w:rsid w:val="006127F3"/>
    <w:rsid w:val="0061388D"/>
    <w:rsid w:val="00616871"/>
    <w:rsid w:val="006203F8"/>
    <w:rsid w:val="00623B47"/>
    <w:rsid w:val="00625A88"/>
    <w:rsid w:val="00625F86"/>
    <w:rsid w:val="0064119A"/>
    <w:rsid w:val="00641A45"/>
    <w:rsid w:val="00643075"/>
    <w:rsid w:val="00643164"/>
    <w:rsid w:val="00644063"/>
    <w:rsid w:val="00646382"/>
    <w:rsid w:val="00647D65"/>
    <w:rsid w:val="00652B56"/>
    <w:rsid w:val="00671073"/>
    <w:rsid w:val="00686AC6"/>
    <w:rsid w:val="00686BB0"/>
    <w:rsid w:val="006B070C"/>
    <w:rsid w:val="006C21ED"/>
    <w:rsid w:val="006D42C7"/>
    <w:rsid w:val="006D7921"/>
    <w:rsid w:val="006E52BC"/>
    <w:rsid w:val="006F2C71"/>
    <w:rsid w:val="006F3FC9"/>
    <w:rsid w:val="00703898"/>
    <w:rsid w:val="007072BD"/>
    <w:rsid w:val="00707AB4"/>
    <w:rsid w:val="0071333A"/>
    <w:rsid w:val="00713F20"/>
    <w:rsid w:val="00716350"/>
    <w:rsid w:val="00723060"/>
    <w:rsid w:val="00725D30"/>
    <w:rsid w:val="007261AC"/>
    <w:rsid w:val="0073032B"/>
    <w:rsid w:val="00730940"/>
    <w:rsid w:val="00740109"/>
    <w:rsid w:val="00754097"/>
    <w:rsid w:val="00761155"/>
    <w:rsid w:val="00762228"/>
    <w:rsid w:val="00762567"/>
    <w:rsid w:val="00765B06"/>
    <w:rsid w:val="00767DE3"/>
    <w:rsid w:val="007720C7"/>
    <w:rsid w:val="007777B3"/>
    <w:rsid w:val="0079240F"/>
    <w:rsid w:val="007975C5"/>
    <w:rsid w:val="007A03AE"/>
    <w:rsid w:val="007A1467"/>
    <w:rsid w:val="007A41BA"/>
    <w:rsid w:val="007B0E3E"/>
    <w:rsid w:val="007B1F10"/>
    <w:rsid w:val="007B408D"/>
    <w:rsid w:val="007C002A"/>
    <w:rsid w:val="007C6EC9"/>
    <w:rsid w:val="007D2AE2"/>
    <w:rsid w:val="007E33AC"/>
    <w:rsid w:val="007F64B0"/>
    <w:rsid w:val="0080635C"/>
    <w:rsid w:val="00811C10"/>
    <w:rsid w:val="00821FA4"/>
    <w:rsid w:val="00830A42"/>
    <w:rsid w:val="00831A15"/>
    <w:rsid w:val="00835ED9"/>
    <w:rsid w:val="008365D2"/>
    <w:rsid w:val="00841F61"/>
    <w:rsid w:val="00845227"/>
    <w:rsid w:val="00851011"/>
    <w:rsid w:val="008529B6"/>
    <w:rsid w:val="00862C88"/>
    <w:rsid w:val="0087570D"/>
    <w:rsid w:val="00876332"/>
    <w:rsid w:val="00880559"/>
    <w:rsid w:val="00880B83"/>
    <w:rsid w:val="00886923"/>
    <w:rsid w:val="008942B8"/>
    <w:rsid w:val="00896AA5"/>
    <w:rsid w:val="008B61A8"/>
    <w:rsid w:val="008C58D5"/>
    <w:rsid w:val="008C731B"/>
    <w:rsid w:val="008C7B2B"/>
    <w:rsid w:val="008D3268"/>
    <w:rsid w:val="008D4B70"/>
    <w:rsid w:val="008D57AF"/>
    <w:rsid w:val="008E2B74"/>
    <w:rsid w:val="008F0F86"/>
    <w:rsid w:val="00902955"/>
    <w:rsid w:val="009176C8"/>
    <w:rsid w:val="00920FFF"/>
    <w:rsid w:val="00925D8A"/>
    <w:rsid w:val="00926139"/>
    <w:rsid w:val="009264C2"/>
    <w:rsid w:val="0094258A"/>
    <w:rsid w:val="00946900"/>
    <w:rsid w:val="00961CC1"/>
    <w:rsid w:val="00962C04"/>
    <w:rsid w:val="00971C40"/>
    <w:rsid w:val="00972BA9"/>
    <w:rsid w:val="0097625D"/>
    <w:rsid w:val="00982732"/>
    <w:rsid w:val="00982EC3"/>
    <w:rsid w:val="00987249"/>
    <w:rsid w:val="00996B4C"/>
    <w:rsid w:val="00997DF9"/>
    <w:rsid w:val="009A0B21"/>
    <w:rsid w:val="009A1D4A"/>
    <w:rsid w:val="009A606E"/>
    <w:rsid w:val="009B0547"/>
    <w:rsid w:val="009B4881"/>
    <w:rsid w:val="009C1ECF"/>
    <w:rsid w:val="009E736E"/>
    <w:rsid w:val="009F761E"/>
    <w:rsid w:val="00A00749"/>
    <w:rsid w:val="00A14993"/>
    <w:rsid w:val="00A207A5"/>
    <w:rsid w:val="00A21B83"/>
    <w:rsid w:val="00A31BAF"/>
    <w:rsid w:val="00A37A0F"/>
    <w:rsid w:val="00A4050C"/>
    <w:rsid w:val="00A5360D"/>
    <w:rsid w:val="00A640C1"/>
    <w:rsid w:val="00A6616B"/>
    <w:rsid w:val="00AA31DE"/>
    <w:rsid w:val="00AC76AC"/>
    <w:rsid w:val="00AE4DAA"/>
    <w:rsid w:val="00AF50CB"/>
    <w:rsid w:val="00AF5776"/>
    <w:rsid w:val="00B040FB"/>
    <w:rsid w:val="00B12935"/>
    <w:rsid w:val="00B15B5B"/>
    <w:rsid w:val="00B249AC"/>
    <w:rsid w:val="00B27F58"/>
    <w:rsid w:val="00B30391"/>
    <w:rsid w:val="00B467E1"/>
    <w:rsid w:val="00B47125"/>
    <w:rsid w:val="00B527B3"/>
    <w:rsid w:val="00B556FD"/>
    <w:rsid w:val="00B70D22"/>
    <w:rsid w:val="00B7762C"/>
    <w:rsid w:val="00B77881"/>
    <w:rsid w:val="00B80817"/>
    <w:rsid w:val="00B87258"/>
    <w:rsid w:val="00B93D98"/>
    <w:rsid w:val="00B95ADA"/>
    <w:rsid w:val="00B9650F"/>
    <w:rsid w:val="00B96EBA"/>
    <w:rsid w:val="00BA1EC4"/>
    <w:rsid w:val="00BA2B99"/>
    <w:rsid w:val="00BA2E25"/>
    <w:rsid w:val="00BB0A99"/>
    <w:rsid w:val="00BB0CD4"/>
    <w:rsid w:val="00BB0D0E"/>
    <w:rsid w:val="00BB0EDC"/>
    <w:rsid w:val="00BB6049"/>
    <w:rsid w:val="00BB771D"/>
    <w:rsid w:val="00BC27EB"/>
    <w:rsid w:val="00BD0EE5"/>
    <w:rsid w:val="00BD2811"/>
    <w:rsid w:val="00BD714A"/>
    <w:rsid w:val="00BE1881"/>
    <w:rsid w:val="00C05C28"/>
    <w:rsid w:val="00C163CD"/>
    <w:rsid w:val="00C26074"/>
    <w:rsid w:val="00C37AC2"/>
    <w:rsid w:val="00C578FC"/>
    <w:rsid w:val="00C60344"/>
    <w:rsid w:val="00C62B36"/>
    <w:rsid w:val="00C7408C"/>
    <w:rsid w:val="00C80CDB"/>
    <w:rsid w:val="00C83984"/>
    <w:rsid w:val="00C877F6"/>
    <w:rsid w:val="00C900E3"/>
    <w:rsid w:val="00CA7D9D"/>
    <w:rsid w:val="00CB00C9"/>
    <w:rsid w:val="00CB36AF"/>
    <w:rsid w:val="00CB4993"/>
    <w:rsid w:val="00CB7905"/>
    <w:rsid w:val="00CC37BC"/>
    <w:rsid w:val="00CE4E06"/>
    <w:rsid w:val="00CE6858"/>
    <w:rsid w:val="00CE79A0"/>
    <w:rsid w:val="00D03791"/>
    <w:rsid w:val="00D068CA"/>
    <w:rsid w:val="00D26923"/>
    <w:rsid w:val="00D41E74"/>
    <w:rsid w:val="00D47337"/>
    <w:rsid w:val="00D504E0"/>
    <w:rsid w:val="00D57FEE"/>
    <w:rsid w:val="00D73D06"/>
    <w:rsid w:val="00DA4470"/>
    <w:rsid w:val="00DA5BF8"/>
    <w:rsid w:val="00DB0C9A"/>
    <w:rsid w:val="00DB7003"/>
    <w:rsid w:val="00DC0B0D"/>
    <w:rsid w:val="00DD4773"/>
    <w:rsid w:val="00DD7AD6"/>
    <w:rsid w:val="00DE1831"/>
    <w:rsid w:val="00DE18AB"/>
    <w:rsid w:val="00DE33E2"/>
    <w:rsid w:val="00DE394C"/>
    <w:rsid w:val="00DF0A7A"/>
    <w:rsid w:val="00E010D1"/>
    <w:rsid w:val="00E03734"/>
    <w:rsid w:val="00E06EBD"/>
    <w:rsid w:val="00E115B1"/>
    <w:rsid w:val="00E119E0"/>
    <w:rsid w:val="00E11E55"/>
    <w:rsid w:val="00E2565C"/>
    <w:rsid w:val="00E25FA8"/>
    <w:rsid w:val="00E2722E"/>
    <w:rsid w:val="00E333FB"/>
    <w:rsid w:val="00E36D7D"/>
    <w:rsid w:val="00E408AD"/>
    <w:rsid w:val="00E416A3"/>
    <w:rsid w:val="00E8103B"/>
    <w:rsid w:val="00E82994"/>
    <w:rsid w:val="00E829FF"/>
    <w:rsid w:val="00E90381"/>
    <w:rsid w:val="00E90F70"/>
    <w:rsid w:val="00E92FF6"/>
    <w:rsid w:val="00EA09A8"/>
    <w:rsid w:val="00EB079A"/>
    <w:rsid w:val="00EC20C0"/>
    <w:rsid w:val="00EC42B9"/>
    <w:rsid w:val="00EE1712"/>
    <w:rsid w:val="00EE2529"/>
    <w:rsid w:val="00EF75C6"/>
    <w:rsid w:val="00F06419"/>
    <w:rsid w:val="00F06690"/>
    <w:rsid w:val="00F15E35"/>
    <w:rsid w:val="00F31D42"/>
    <w:rsid w:val="00F368D9"/>
    <w:rsid w:val="00F37387"/>
    <w:rsid w:val="00F41245"/>
    <w:rsid w:val="00F44265"/>
    <w:rsid w:val="00F515F4"/>
    <w:rsid w:val="00F51FB1"/>
    <w:rsid w:val="00F53DC8"/>
    <w:rsid w:val="00F545A5"/>
    <w:rsid w:val="00F56BD5"/>
    <w:rsid w:val="00F759A5"/>
    <w:rsid w:val="00F81D58"/>
    <w:rsid w:val="00F8485F"/>
    <w:rsid w:val="00F86504"/>
    <w:rsid w:val="00F976AF"/>
    <w:rsid w:val="00FB20FA"/>
    <w:rsid w:val="00FC1519"/>
    <w:rsid w:val="00FC376F"/>
    <w:rsid w:val="00FC3BBA"/>
    <w:rsid w:val="00FD5879"/>
    <w:rsid w:val="00FE40B6"/>
    <w:rsid w:val="00FE69AD"/>
    <w:rsid w:val="00FF3B6A"/>
    <w:rsid w:val="015A0920"/>
    <w:rsid w:val="02807116"/>
    <w:rsid w:val="052074C0"/>
    <w:rsid w:val="05223717"/>
    <w:rsid w:val="05770A52"/>
    <w:rsid w:val="05CA0A66"/>
    <w:rsid w:val="05CE45C3"/>
    <w:rsid w:val="068D6D50"/>
    <w:rsid w:val="092D7766"/>
    <w:rsid w:val="0C750F87"/>
    <w:rsid w:val="0CD470D9"/>
    <w:rsid w:val="0D5F3090"/>
    <w:rsid w:val="0E0A5E13"/>
    <w:rsid w:val="0E4A4EE1"/>
    <w:rsid w:val="0FC46BAA"/>
    <w:rsid w:val="10F35A43"/>
    <w:rsid w:val="11675729"/>
    <w:rsid w:val="12DE60E5"/>
    <w:rsid w:val="13CB4F46"/>
    <w:rsid w:val="16547857"/>
    <w:rsid w:val="16BD716D"/>
    <w:rsid w:val="16C466BF"/>
    <w:rsid w:val="171209E8"/>
    <w:rsid w:val="17CF20EF"/>
    <w:rsid w:val="17CF5680"/>
    <w:rsid w:val="18C35A05"/>
    <w:rsid w:val="18FA108C"/>
    <w:rsid w:val="19D93000"/>
    <w:rsid w:val="1ABC71C8"/>
    <w:rsid w:val="1CA25107"/>
    <w:rsid w:val="1CD65BB2"/>
    <w:rsid w:val="1E0E430E"/>
    <w:rsid w:val="1E31400D"/>
    <w:rsid w:val="1EBE27A0"/>
    <w:rsid w:val="1F6C7A2E"/>
    <w:rsid w:val="22553D54"/>
    <w:rsid w:val="23712B63"/>
    <w:rsid w:val="23A16406"/>
    <w:rsid w:val="246D31A7"/>
    <w:rsid w:val="253B5FF1"/>
    <w:rsid w:val="25F95287"/>
    <w:rsid w:val="264E34F7"/>
    <w:rsid w:val="26E41929"/>
    <w:rsid w:val="2A071179"/>
    <w:rsid w:val="2A7705B6"/>
    <w:rsid w:val="2B3A6D5E"/>
    <w:rsid w:val="2B867794"/>
    <w:rsid w:val="2BF34C82"/>
    <w:rsid w:val="2CCE44F2"/>
    <w:rsid w:val="2D9A645C"/>
    <w:rsid w:val="2F022463"/>
    <w:rsid w:val="30124E0F"/>
    <w:rsid w:val="306D5DB7"/>
    <w:rsid w:val="334B7152"/>
    <w:rsid w:val="34587FBD"/>
    <w:rsid w:val="34A46464"/>
    <w:rsid w:val="376C6E21"/>
    <w:rsid w:val="378271E1"/>
    <w:rsid w:val="37AC5912"/>
    <w:rsid w:val="38F71C9F"/>
    <w:rsid w:val="39E87AF9"/>
    <w:rsid w:val="3A9A66B6"/>
    <w:rsid w:val="3BC26EFC"/>
    <w:rsid w:val="3D277D66"/>
    <w:rsid w:val="3D5E78E3"/>
    <w:rsid w:val="3D9A7332"/>
    <w:rsid w:val="3DC838C2"/>
    <w:rsid w:val="3E0A05E7"/>
    <w:rsid w:val="40175A9F"/>
    <w:rsid w:val="401E0998"/>
    <w:rsid w:val="427C78B4"/>
    <w:rsid w:val="428C4BF7"/>
    <w:rsid w:val="4465633D"/>
    <w:rsid w:val="44EA697C"/>
    <w:rsid w:val="450A1EFA"/>
    <w:rsid w:val="46664D92"/>
    <w:rsid w:val="47022B3D"/>
    <w:rsid w:val="47E92F1F"/>
    <w:rsid w:val="48127EA4"/>
    <w:rsid w:val="48333886"/>
    <w:rsid w:val="490E6720"/>
    <w:rsid w:val="4A134F4E"/>
    <w:rsid w:val="4A241AD7"/>
    <w:rsid w:val="4BEC5A41"/>
    <w:rsid w:val="4C28460E"/>
    <w:rsid w:val="4D4E3E23"/>
    <w:rsid w:val="4D8B6873"/>
    <w:rsid w:val="4F2B4EB8"/>
    <w:rsid w:val="51AB71A4"/>
    <w:rsid w:val="51BC3917"/>
    <w:rsid w:val="52702A25"/>
    <w:rsid w:val="52F23A9D"/>
    <w:rsid w:val="53824AAE"/>
    <w:rsid w:val="548D168A"/>
    <w:rsid w:val="563C17C0"/>
    <w:rsid w:val="574F59D6"/>
    <w:rsid w:val="57770CFA"/>
    <w:rsid w:val="59B462E3"/>
    <w:rsid w:val="5A4252BB"/>
    <w:rsid w:val="5B1A6A91"/>
    <w:rsid w:val="5BC879A3"/>
    <w:rsid w:val="5C717D22"/>
    <w:rsid w:val="5CDD08D0"/>
    <w:rsid w:val="5DCA6511"/>
    <w:rsid w:val="5DD82222"/>
    <w:rsid w:val="6064255D"/>
    <w:rsid w:val="60C33157"/>
    <w:rsid w:val="621C7D8A"/>
    <w:rsid w:val="63911874"/>
    <w:rsid w:val="65DC508E"/>
    <w:rsid w:val="66BB7069"/>
    <w:rsid w:val="67E1763A"/>
    <w:rsid w:val="69CE0F10"/>
    <w:rsid w:val="6A150E98"/>
    <w:rsid w:val="6C431758"/>
    <w:rsid w:val="6CE763DE"/>
    <w:rsid w:val="6D2E7120"/>
    <w:rsid w:val="6D696D9A"/>
    <w:rsid w:val="6DD53836"/>
    <w:rsid w:val="6F6C11AE"/>
    <w:rsid w:val="6F752554"/>
    <w:rsid w:val="708A3D8E"/>
    <w:rsid w:val="719E21C6"/>
    <w:rsid w:val="73F04C5D"/>
    <w:rsid w:val="74497FB3"/>
    <w:rsid w:val="74E978BF"/>
    <w:rsid w:val="756A2445"/>
    <w:rsid w:val="76432354"/>
    <w:rsid w:val="7A1E2FEF"/>
    <w:rsid w:val="7A281822"/>
    <w:rsid w:val="7BD57B55"/>
    <w:rsid w:val="7D8A1361"/>
    <w:rsid w:val="7FDA5A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6"/>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4">
    <w:name w:val="heading 2"/>
    <w:basedOn w:val="1"/>
    <w:next w:val="1"/>
    <w:link w:val="168"/>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71"/>
    <w:qFormat/>
    <w:uiPriority w:val="0"/>
    <w:pPr>
      <w:keepNext/>
      <w:keepLines/>
      <w:widowControl/>
      <w:spacing w:before="260" w:after="260" w:line="416" w:lineRule="auto"/>
      <w:jc w:val="left"/>
      <w:outlineLvl w:val="2"/>
    </w:pPr>
    <w:rPr>
      <w:b/>
      <w:bCs/>
      <w:sz w:val="32"/>
      <w:szCs w:val="32"/>
    </w:rPr>
  </w:style>
  <w:style w:type="paragraph" w:styleId="6">
    <w:name w:val="heading 4"/>
    <w:basedOn w:val="1"/>
    <w:next w:val="1"/>
    <w:link w:val="200"/>
    <w:qFormat/>
    <w:uiPriority w:val="0"/>
    <w:pPr>
      <w:keepNext/>
      <w:keepLines/>
      <w:widowControl/>
      <w:spacing w:before="280" w:after="290" w:line="376" w:lineRule="auto"/>
      <w:jc w:val="left"/>
      <w:outlineLvl w:val="3"/>
    </w:pPr>
    <w:rPr>
      <w:rFonts w:ascii="Arial" w:hAnsi="Arial" w:eastAsia="黑体"/>
      <w:b/>
      <w:bCs/>
      <w:sz w:val="28"/>
      <w:szCs w:val="28"/>
    </w:rPr>
  </w:style>
  <w:style w:type="paragraph" w:styleId="7">
    <w:name w:val="heading 5"/>
    <w:basedOn w:val="1"/>
    <w:next w:val="1"/>
    <w:link w:val="181"/>
    <w:qFormat/>
    <w:uiPriority w:val="0"/>
    <w:pPr>
      <w:keepNext/>
      <w:keepLines/>
      <w:widowControl/>
      <w:spacing w:before="280" w:after="290" w:line="376" w:lineRule="auto"/>
      <w:jc w:val="left"/>
      <w:outlineLvl w:val="4"/>
    </w:pPr>
    <w:rPr>
      <w:b/>
      <w:bCs/>
      <w:sz w:val="28"/>
      <w:szCs w:val="28"/>
    </w:rPr>
  </w:style>
  <w:style w:type="paragraph" w:styleId="8">
    <w:name w:val="heading 6"/>
    <w:basedOn w:val="1"/>
    <w:next w:val="1"/>
    <w:link w:val="199"/>
    <w:qFormat/>
    <w:uiPriority w:val="0"/>
    <w:pPr>
      <w:widowControl/>
      <w:spacing w:before="240" w:after="60"/>
      <w:jc w:val="left"/>
      <w:outlineLvl w:val="5"/>
    </w:pPr>
    <w:rPr>
      <w:rFonts w:ascii="Calibri" w:hAnsi="Calibri" w:cs="宋体"/>
      <w:b/>
      <w:bCs/>
      <w:kern w:val="0"/>
      <w:sz w:val="20"/>
      <w:szCs w:val="20"/>
    </w:rPr>
  </w:style>
  <w:style w:type="paragraph" w:styleId="9">
    <w:name w:val="heading 7"/>
    <w:basedOn w:val="1"/>
    <w:next w:val="1"/>
    <w:link w:val="125"/>
    <w:qFormat/>
    <w:uiPriority w:val="0"/>
    <w:pPr>
      <w:widowControl/>
      <w:spacing w:before="240" w:after="60"/>
      <w:jc w:val="left"/>
      <w:outlineLvl w:val="6"/>
    </w:pPr>
    <w:rPr>
      <w:rFonts w:ascii="Calibri" w:hAnsi="Calibri" w:cs="宋体"/>
      <w:kern w:val="0"/>
      <w:sz w:val="24"/>
    </w:rPr>
  </w:style>
  <w:style w:type="paragraph" w:styleId="10">
    <w:name w:val="heading 8"/>
    <w:basedOn w:val="1"/>
    <w:next w:val="1"/>
    <w:link w:val="142"/>
    <w:qFormat/>
    <w:uiPriority w:val="0"/>
    <w:pPr>
      <w:widowControl/>
      <w:spacing w:before="240" w:after="60"/>
      <w:jc w:val="left"/>
      <w:outlineLvl w:val="7"/>
    </w:pPr>
    <w:rPr>
      <w:rFonts w:ascii="Calibri" w:hAnsi="Calibri" w:cs="宋体"/>
      <w:i/>
      <w:iCs/>
      <w:kern w:val="0"/>
      <w:sz w:val="24"/>
    </w:rPr>
  </w:style>
  <w:style w:type="paragraph" w:styleId="11">
    <w:name w:val="heading 9"/>
    <w:basedOn w:val="1"/>
    <w:next w:val="1"/>
    <w:link w:val="126"/>
    <w:qFormat/>
    <w:uiPriority w:val="0"/>
    <w:pPr>
      <w:widowControl/>
      <w:spacing w:before="240" w:after="60"/>
      <w:jc w:val="left"/>
      <w:outlineLvl w:val="8"/>
    </w:pPr>
    <w:rPr>
      <w:rFonts w:ascii="Cambria" w:hAnsi="Cambria" w:cs="宋体"/>
      <w:kern w:val="0"/>
      <w:sz w:val="20"/>
      <w:szCs w:val="20"/>
    </w:rPr>
  </w:style>
  <w:style w:type="character" w:default="1" w:styleId="46">
    <w:name w:val="Default Paragraph Font"/>
    <w:semiHidden/>
    <w:qFormat/>
    <w:uiPriority w:val="0"/>
  </w:style>
  <w:style w:type="table" w:default="1" w:styleId="54">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1"/>
    <w:qFormat/>
    <w:uiPriority w:val="0"/>
    <w:pPr>
      <w:spacing w:after="120"/>
      <w:ind w:left="420" w:leftChars="200" w:firstLine="420" w:firstLineChars="200"/>
    </w:pPr>
  </w:style>
  <w:style w:type="paragraph" w:styleId="12">
    <w:name w:val="annotation subject"/>
    <w:basedOn w:val="13"/>
    <w:next w:val="13"/>
    <w:qFormat/>
    <w:uiPriority w:val="0"/>
    <w:rPr>
      <w:b/>
      <w:bCs/>
    </w:rPr>
  </w:style>
  <w:style w:type="paragraph" w:styleId="13">
    <w:name w:val="annotation text"/>
    <w:basedOn w:val="1"/>
    <w:link w:val="189"/>
    <w:qFormat/>
    <w:uiPriority w:val="0"/>
    <w:pPr>
      <w:jc w:val="left"/>
    </w:pPr>
  </w:style>
  <w:style w:type="paragraph" w:styleId="14">
    <w:name w:val="toc 7"/>
    <w:basedOn w:val="1"/>
    <w:next w:val="1"/>
    <w:unhideWhenUsed/>
    <w:qFormat/>
    <w:uiPriority w:val="39"/>
    <w:pPr>
      <w:ind w:left="2520" w:leftChars="1200"/>
    </w:pPr>
    <w:rPr>
      <w:rFonts w:ascii="Calibri" w:hAnsi="Calibri"/>
      <w:szCs w:val="22"/>
    </w:rPr>
  </w:style>
  <w:style w:type="paragraph" w:styleId="15">
    <w:name w:val="Body Text First Indent"/>
    <w:basedOn w:val="16"/>
    <w:link w:val="161"/>
    <w:qFormat/>
    <w:uiPriority w:val="0"/>
    <w:pPr>
      <w:spacing w:after="120"/>
      <w:ind w:firstLine="420" w:firstLineChars="100"/>
    </w:pPr>
    <w:rPr>
      <w:sz w:val="21"/>
    </w:rPr>
  </w:style>
  <w:style w:type="paragraph" w:styleId="16">
    <w:name w:val="Body Text"/>
    <w:basedOn w:val="1"/>
    <w:link w:val="184"/>
    <w:qFormat/>
    <w:uiPriority w:val="0"/>
    <w:rPr>
      <w:rFonts w:ascii="仿宋_GB2312" w:eastAsia="仿宋_GB2312"/>
      <w:sz w:val="30"/>
    </w:rPr>
  </w:style>
  <w:style w:type="paragraph" w:styleId="17">
    <w:name w:val="macro"/>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8">
    <w:name w:val="Normal Indent"/>
    <w:basedOn w:val="1"/>
    <w:link w:val="185"/>
    <w:qFormat/>
    <w:uiPriority w:val="0"/>
    <w:pPr>
      <w:ind w:firstLine="420" w:firstLineChars="200"/>
    </w:pPr>
    <w:rPr>
      <w:rFonts w:ascii="宋体"/>
      <w:kern w:val="28"/>
      <w:sz w:val="28"/>
    </w:rPr>
  </w:style>
  <w:style w:type="paragraph" w:styleId="19">
    <w:name w:val="caption"/>
    <w:basedOn w:val="1"/>
    <w:next w:val="1"/>
    <w:qFormat/>
    <w:uiPriority w:val="0"/>
    <w:pPr>
      <w:widowControl/>
      <w:spacing w:before="152" w:after="160"/>
      <w:jc w:val="left"/>
    </w:pPr>
    <w:rPr>
      <w:rFonts w:ascii="Arial" w:hAnsi="Arial" w:eastAsia="黑体" w:cs="Arial"/>
      <w:kern w:val="0"/>
      <w:sz w:val="20"/>
      <w:szCs w:val="20"/>
    </w:rPr>
  </w:style>
  <w:style w:type="paragraph" w:styleId="20">
    <w:name w:val="Document Map"/>
    <w:basedOn w:val="1"/>
    <w:link w:val="186"/>
    <w:qFormat/>
    <w:uiPriority w:val="0"/>
    <w:pPr>
      <w:shd w:val="clear" w:color="auto" w:fill="000080"/>
    </w:pPr>
  </w:style>
  <w:style w:type="paragraph" w:styleId="21">
    <w:name w:val="Salutation"/>
    <w:basedOn w:val="1"/>
    <w:next w:val="1"/>
    <w:qFormat/>
    <w:uiPriority w:val="0"/>
    <w:rPr>
      <w:sz w:val="24"/>
    </w:rPr>
  </w:style>
  <w:style w:type="paragraph" w:styleId="22">
    <w:name w:val="Body Text 3"/>
    <w:basedOn w:val="1"/>
    <w:link w:val="140"/>
    <w:qFormat/>
    <w:uiPriority w:val="0"/>
    <w:pPr>
      <w:spacing w:after="120"/>
    </w:pPr>
    <w:rPr>
      <w:sz w:val="16"/>
      <w:szCs w:val="16"/>
    </w:rPr>
  </w:style>
  <w:style w:type="paragraph" w:styleId="23">
    <w:name w:val="Body Text Indent"/>
    <w:basedOn w:val="1"/>
    <w:link w:val="141"/>
    <w:qFormat/>
    <w:uiPriority w:val="0"/>
    <w:pPr>
      <w:widowControl/>
      <w:adjustRightInd w:val="0"/>
      <w:snapToGrid w:val="0"/>
      <w:spacing w:before="156" w:beforeLines="50" w:line="360" w:lineRule="auto"/>
      <w:ind w:firstLine="560" w:firstLineChars="200"/>
      <w:jc w:val="left"/>
    </w:pPr>
    <w:rPr>
      <w:rFonts w:ascii="宋体" w:hAnsi="宋体"/>
      <w:sz w:val="28"/>
      <w:szCs w:val="28"/>
    </w:rPr>
  </w:style>
  <w:style w:type="paragraph" w:styleId="24">
    <w:name w:val="Block Text"/>
    <w:basedOn w:val="1"/>
    <w:qFormat/>
    <w:uiPriority w:val="99"/>
    <w:pPr>
      <w:widowControl/>
      <w:spacing w:before="78" w:beforeLines="25" w:after="78" w:afterLines="25" w:line="380" w:lineRule="exact"/>
      <w:ind w:left="-241" w:right="-154" w:firstLine="560"/>
      <w:jc w:val="left"/>
    </w:pPr>
    <w:rPr>
      <w:rFonts w:hAnsi="宋体" w:cs="宋体"/>
      <w:kern w:val="0"/>
      <w:sz w:val="22"/>
      <w:szCs w:val="24"/>
    </w:rPr>
  </w:style>
  <w:style w:type="paragraph" w:styleId="25">
    <w:name w:val="toc 5"/>
    <w:basedOn w:val="1"/>
    <w:next w:val="1"/>
    <w:unhideWhenUsed/>
    <w:qFormat/>
    <w:uiPriority w:val="39"/>
    <w:pPr>
      <w:ind w:left="1680" w:leftChars="800"/>
    </w:pPr>
    <w:rPr>
      <w:rFonts w:ascii="Calibri" w:hAnsi="Calibri"/>
      <w:szCs w:val="22"/>
    </w:rPr>
  </w:style>
  <w:style w:type="paragraph" w:styleId="26">
    <w:name w:val="toc 3"/>
    <w:basedOn w:val="1"/>
    <w:next w:val="1"/>
    <w:qFormat/>
    <w:uiPriority w:val="39"/>
    <w:pPr>
      <w:widowControl/>
      <w:ind w:left="840" w:leftChars="400"/>
      <w:jc w:val="left"/>
    </w:pPr>
  </w:style>
  <w:style w:type="paragraph" w:styleId="27">
    <w:name w:val="Plain Text"/>
    <w:basedOn w:val="1"/>
    <w:link w:val="169"/>
    <w:qFormat/>
    <w:uiPriority w:val="0"/>
    <w:rPr>
      <w:rFonts w:ascii="宋体" w:hAnsi="Courier New"/>
      <w:sz w:val="28"/>
      <w:szCs w:val="20"/>
    </w:rPr>
  </w:style>
  <w:style w:type="paragraph" w:styleId="28">
    <w:name w:val="toc 8"/>
    <w:basedOn w:val="1"/>
    <w:next w:val="1"/>
    <w:unhideWhenUsed/>
    <w:qFormat/>
    <w:uiPriority w:val="39"/>
    <w:pPr>
      <w:ind w:left="2940" w:leftChars="1400"/>
    </w:pPr>
    <w:rPr>
      <w:rFonts w:ascii="Calibri" w:hAnsi="Calibri"/>
      <w:szCs w:val="22"/>
    </w:rPr>
  </w:style>
  <w:style w:type="paragraph" w:styleId="29">
    <w:name w:val="Date"/>
    <w:basedOn w:val="1"/>
    <w:next w:val="1"/>
    <w:link w:val="208"/>
    <w:qFormat/>
    <w:uiPriority w:val="0"/>
    <w:pPr>
      <w:widowControl/>
      <w:ind w:left="100" w:leftChars="2500"/>
      <w:jc w:val="left"/>
    </w:pPr>
  </w:style>
  <w:style w:type="paragraph" w:styleId="30">
    <w:name w:val="Body Text Indent 2"/>
    <w:basedOn w:val="1"/>
    <w:link w:val="198"/>
    <w:qFormat/>
    <w:uiPriority w:val="0"/>
    <w:pPr>
      <w:widowControl/>
      <w:spacing w:after="120" w:line="480" w:lineRule="auto"/>
      <w:ind w:left="420" w:leftChars="200"/>
      <w:jc w:val="left"/>
    </w:pPr>
  </w:style>
  <w:style w:type="paragraph" w:styleId="31">
    <w:name w:val="Balloon Text"/>
    <w:basedOn w:val="1"/>
    <w:link w:val="194"/>
    <w:qFormat/>
    <w:uiPriority w:val="99"/>
    <w:pPr>
      <w:widowControl/>
      <w:jc w:val="left"/>
    </w:pPr>
    <w:rPr>
      <w:sz w:val="18"/>
      <w:szCs w:val="18"/>
    </w:rPr>
  </w:style>
  <w:style w:type="paragraph" w:styleId="32">
    <w:name w:val="footer"/>
    <w:basedOn w:val="1"/>
    <w:link w:val="143"/>
    <w:qFormat/>
    <w:uiPriority w:val="0"/>
    <w:pPr>
      <w:tabs>
        <w:tab w:val="center" w:pos="4153"/>
        <w:tab w:val="right" w:pos="8306"/>
      </w:tabs>
      <w:snapToGrid w:val="0"/>
      <w:jc w:val="left"/>
    </w:pPr>
    <w:rPr>
      <w:sz w:val="18"/>
      <w:szCs w:val="18"/>
    </w:rPr>
  </w:style>
  <w:style w:type="paragraph" w:styleId="33">
    <w:name w:val="header"/>
    <w:basedOn w:val="1"/>
    <w:link w:val="196"/>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style>
  <w:style w:type="paragraph" w:styleId="35">
    <w:name w:val="toc 4"/>
    <w:basedOn w:val="1"/>
    <w:next w:val="1"/>
    <w:qFormat/>
    <w:uiPriority w:val="39"/>
    <w:pPr>
      <w:ind w:left="1260" w:leftChars="600"/>
    </w:pPr>
  </w:style>
  <w:style w:type="paragraph" w:styleId="36">
    <w:name w:val="Subtitle"/>
    <w:basedOn w:val="1"/>
    <w:next w:val="1"/>
    <w:link w:val="129"/>
    <w:qFormat/>
    <w:uiPriority w:val="0"/>
    <w:pPr>
      <w:widowControl/>
      <w:adjustRightInd w:val="0"/>
      <w:snapToGrid w:val="0"/>
      <w:spacing w:line="360" w:lineRule="auto"/>
      <w:ind w:firstLine="482" w:firstLineChars="200"/>
      <w:outlineLvl w:val="1"/>
    </w:pPr>
    <w:rPr>
      <w:rFonts w:ascii="宋体" w:hAnsi="宋体"/>
      <w:b/>
      <w:kern w:val="0"/>
      <w:sz w:val="24"/>
    </w:rPr>
  </w:style>
  <w:style w:type="paragraph" w:styleId="37">
    <w:name w:val="toc 6"/>
    <w:basedOn w:val="1"/>
    <w:next w:val="1"/>
    <w:unhideWhenUsed/>
    <w:qFormat/>
    <w:uiPriority w:val="39"/>
    <w:pPr>
      <w:ind w:left="2100" w:leftChars="1000"/>
    </w:pPr>
    <w:rPr>
      <w:rFonts w:ascii="Calibri" w:hAnsi="Calibri"/>
      <w:szCs w:val="22"/>
    </w:rPr>
  </w:style>
  <w:style w:type="paragraph" w:styleId="38">
    <w:name w:val="Body Text Indent 3"/>
    <w:basedOn w:val="1"/>
    <w:link w:val="128"/>
    <w:qFormat/>
    <w:uiPriority w:val="0"/>
    <w:pPr>
      <w:spacing w:line="560" w:lineRule="exact"/>
      <w:ind w:firstLine="630" w:firstLineChars="225"/>
    </w:pPr>
    <w:rPr>
      <w:rFonts w:ascii="宋体" w:hAnsi="宋体"/>
      <w:sz w:val="28"/>
    </w:rPr>
  </w:style>
  <w:style w:type="paragraph" w:styleId="39">
    <w:name w:val="table of figures"/>
    <w:basedOn w:val="1"/>
    <w:next w:val="1"/>
    <w:qFormat/>
    <w:uiPriority w:val="0"/>
    <w:pPr>
      <w:ind w:leftChars="200" w:hanging="200" w:hangingChars="200"/>
    </w:pPr>
  </w:style>
  <w:style w:type="paragraph" w:styleId="40">
    <w:name w:val="toc 2"/>
    <w:basedOn w:val="1"/>
    <w:next w:val="1"/>
    <w:qFormat/>
    <w:uiPriority w:val="39"/>
    <w:pPr>
      <w:ind w:left="420" w:leftChars="200"/>
    </w:pPr>
  </w:style>
  <w:style w:type="paragraph" w:styleId="41">
    <w:name w:val="toc 9"/>
    <w:basedOn w:val="1"/>
    <w:next w:val="1"/>
    <w:unhideWhenUsed/>
    <w:qFormat/>
    <w:uiPriority w:val="39"/>
    <w:pPr>
      <w:ind w:left="3360" w:leftChars="1600"/>
    </w:pPr>
    <w:rPr>
      <w:rFonts w:ascii="Calibri" w:hAnsi="Calibri"/>
      <w:szCs w:val="22"/>
    </w:rPr>
  </w:style>
  <w:style w:type="paragraph" w:styleId="42">
    <w:name w:val="Body Text 2"/>
    <w:basedOn w:val="1"/>
    <w:link w:val="134"/>
    <w:qFormat/>
    <w:uiPriority w:val="0"/>
    <w:pPr>
      <w:spacing w:after="120" w:line="480" w:lineRule="auto"/>
    </w:p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link w:val="165"/>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45">
    <w:name w:val="Title"/>
    <w:basedOn w:val="1"/>
    <w:next w:val="1"/>
    <w:link w:val="147"/>
    <w:qFormat/>
    <w:uiPriority w:val="0"/>
    <w:pPr>
      <w:widowControl/>
      <w:spacing w:before="240" w:after="60"/>
      <w:jc w:val="center"/>
      <w:outlineLvl w:val="0"/>
    </w:pPr>
    <w:rPr>
      <w:rFonts w:ascii="Cambria" w:hAnsi="Cambria"/>
      <w:b/>
      <w:bCs/>
      <w:sz w:val="32"/>
      <w:szCs w:val="32"/>
    </w:r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606420"/>
      <w:u w:val="single"/>
    </w:rPr>
  </w:style>
  <w:style w:type="character" w:styleId="50">
    <w:name w:val="Emphasis"/>
    <w:qFormat/>
    <w:uiPriority w:val="0"/>
    <w:rPr>
      <w:rFonts w:ascii="Calibri" w:hAnsi="Calibri"/>
      <w:b/>
      <w:i/>
      <w:iCs/>
    </w:rPr>
  </w:style>
  <w:style w:type="character" w:styleId="51">
    <w:name w:val="HTML Typewriter"/>
    <w:qFormat/>
    <w:uiPriority w:val="0"/>
    <w:rPr>
      <w:rFonts w:ascii="宋体" w:hAnsi="宋体" w:eastAsia="宋体" w:cs="宋体"/>
      <w:sz w:val="24"/>
      <w:szCs w:val="24"/>
    </w:rPr>
  </w:style>
  <w:style w:type="character" w:styleId="52">
    <w:name w:val="Hyperlink"/>
    <w:qFormat/>
    <w:uiPriority w:val="99"/>
    <w:rPr>
      <w:color w:val="0000FF"/>
      <w:u w:val="single"/>
    </w:rPr>
  </w:style>
  <w:style w:type="character" w:styleId="53">
    <w:name w:val="annotation reference"/>
    <w:qFormat/>
    <w:uiPriority w:val="99"/>
    <w:rPr>
      <w:sz w:val="21"/>
      <w:szCs w:val="21"/>
    </w:rPr>
  </w:style>
  <w:style w:type="table" w:styleId="55">
    <w:name w:val="Table Grid"/>
    <w:basedOn w:val="5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6">
    <w:name w:val="四级条标题"/>
    <w:basedOn w:val="57"/>
    <w:next w:val="1"/>
    <w:qFormat/>
    <w:uiPriority w:val="0"/>
    <w:pPr>
      <w:tabs>
        <w:tab w:val="left" w:pos="360"/>
      </w:tabs>
      <w:ind w:left="0"/>
      <w:outlineLvl w:val="5"/>
    </w:pPr>
  </w:style>
  <w:style w:type="paragraph" w:customStyle="1" w:styleId="57">
    <w:name w:val="三级条标题"/>
    <w:basedOn w:val="58"/>
    <w:next w:val="1"/>
    <w:qFormat/>
    <w:uiPriority w:val="0"/>
    <w:pPr>
      <w:tabs>
        <w:tab w:val="left" w:pos="360"/>
      </w:tabs>
      <w:ind w:left="840"/>
      <w:outlineLvl w:val="4"/>
    </w:pPr>
  </w:style>
  <w:style w:type="paragraph" w:customStyle="1" w:styleId="58">
    <w:name w:val="二级条标题"/>
    <w:basedOn w:val="59"/>
    <w:next w:val="1"/>
    <w:qFormat/>
    <w:uiPriority w:val="0"/>
    <w:pPr>
      <w:numPr>
        <w:ilvl w:val="0"/>
        <w:numId w:val="0"/>
      </w:numPr>
      <w:tabs>
        <w:tab w:val="left" w:pos="360"/>
      </w:tabs>
      <w:ind w:left="735"/>
      <w:outlineLvl w:val="3"/>
    </w:pPr>
  </w:style>
  <w:style w:type="paragraph" w:customStyle="1" w:styleId="59">
    <w:name w:val="一级条标题"/>
    <w:basedOn w:val="60"/>
    <w:next w:val="1"/>
    <w:qFormat/>
    <w:uiPriority w:val="0"/>
    <w:pPr>
      <w:tabs>
        <w:tab w:val="left" w:pos="360"/>
      </w:tabs>
      <w:spacing w:before="0" w:beforeLines="0" w:after="0" w:afterLines="0"/>
      <w:ind w:left="525"/>
      <w:outlineLvl w:val="2"/>
    </w:pPr>
  </w:style>
  <w:style w:type="paragraph" w:customStyle="1" w:styleId="60">
    <w:name w:val="章标题"/>
    <w:next w:val="1"/>
    <w:qFormat/>
    <w:uiPriority w:val="0"/>
    <w:pPr>
      <w:tabs>
        <w:tab w:val="left" w:pos="360"/>
      </w:tabs>
      <w:spacing w:before="156" w:beforeLines="50" w:after="156" w:afterLines="50"/>
      <w:ind w:left="840"/>
      <w:jc w:val="both"/>
      <w:outlineLvl w:val="1"/>
    </w:pPr>
    <w:rPr>
      <w:rFonts w:ascii="黑体" w:hAnsi="Times New Roman" w:eastAsia="黑体" w:cs="Times New Roman"/>
      <w:sz w:val="21"/>
      <w:lang w:val="en-US" w:eastAsia="zh-CN" w:bidi="ar-SA"/>
    </w:rPr>
  </w:style>
  <w:style w:type="paragraph" w:customStyle="1" w:styleId="61">
    <w:name w:val="Heading #3|1"/>
    <w:basedOn w:val="1"/>
    <w:qFormat/>
    <w:uiPriority w:val="0"/>
    <w:pPr>
      <w:widowControl w:val="0"/>
      <w:shd w:val="clear" w:color="auto" w:fill="auto"/>
      <w:spacing w:after="460"/>
      <w:jc w:val="center"/>
      <w:outlineLvl w:val="2"/>
    </w:pPr>
    <w:rPr>
      <w:rFonts w:ascii="宋体" w:hAnsi="宋体" w:eastAsia="宋体" w:cs="宋体"/>
      <w:sz w:val="40"/>
      <w:szCs w:val="40"/>
      <w:u w:val="none"/>
      <w:shd w:val="clear" w:color="auto" w:fill="auto"/>
      <w:lang w:val="zh-TW" w:eastAsia="zh-TW" w:bidi="zh-TW"/>
    </w:rPr>
  </w:style>
  <w:style w:type="paragraph" w:customStyle="1" w:styleId="62">
    <w:name w:val="安评小4表格正文左对齐"/>
    <w:qFormat/>
    <w:uiPriority w:val="0"/>
    <w:pPr>
      <w:widowControl w:val="0"/>
      <w:adjustRightInd w:val="0"/>
      <w:snapToGrid w:val="0"/>
      <w:spacing w:line="440" w:lineRule="exact"/>
    </w:pPr>
    <w:rPr>
      <w:rFonts w:ascii="Times New Roman" w:hAnsi="Times New Roman" w:eastAsia="宋体" w:cs="宋体"/>
      <w:snapToGrid w:val="0"/>
      <w:sz w:val="24"/>
      <w:szCs w:val="24"/>
      <w:lang w:val="en-US" w:eastAsia="zh-CN" w:bidi="ar-SA"/>
    </w:rPr>
  </w:style>
  <w:style w:type="paragraph" w:styleId="63">
    <w:name w:val="Intense Quote"/>
    <w:basedOn w:val="1"/>
    <w:next w:val="1"/>
    <w:link w:val="175"/>
    <w:qFormat/>
    <w:uiPriority w:val="0"/>
    <w:pPr>
      <w:widowControl/>
      <w:ind w:left="720" w:right="720"/>
      <w:jc w:val="left"/>
    </w:pPr>
    <w:rPr>
      <w:rFonts w:ascii="Calibri" w:hAnsi="Calibri" w:cs="宋体"/>
      <w:b/>
      <w:i/>
      <w:kern w:val="0"/>
      <w:sz w:val="24"/>
      <w:szCs w:val="20"/>
    </w:rPr>
  </w:style>
  <w:style w:type="paragraph" w:customStyle="1" w:styleId="64">
    <w:name w:val="首行缩进2个字符"/>
    <w:basedOn w:val="1"/>
    <w:uiPriority w:val="0"/>
    <w:pPr>
      <w:widowControl/>
      <w:spacing w:line="360" w:lineRule="auto"/>
      <w:ind w:firstLine="200" w:firstLineChars="200"/>
      <w:jc w:val="left"/>
    </w:pPr>
    <w:rPr>
      <w:rFonts w:ascii="宋体"/>
      <w:kern w:val="28"/>
      <w:sz w:val="28"/>
      <w:szCs w:val="28"/>
    </w:rPr>
  </w:style>
  <w:style w:type="paragraph" w:customStyle="1" w:styleId="65">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66">
    <w:name w:val="样式1"/>
    <w:basedOn w:val="6"/>
    <w:qFormat/>
    <w:uiPriority w:val="0"/>
    <w:pPr>
      <w:widowControl w:val="0"/>
      <w:jc w:val="both"/>
    </w:pPr>
  </w:style>
  <w:style w:type="paragraph" w:customStyle="1" w:styleId="67">
    <w:name w:val="样式2"/>
    <w:basedOn w:val="1"/>
    <w:link w:val="197"/>
    <w:qFormat/>
    <w:uiPriority w:val="0"/>
    <w:pPr>
      <w:spacing w:line="288" w:lineRule="auto"/>
      <w:ind w:firstLine="420" w:firstLineChars="200"/>
    </w:pPr>
    <w:rPr>
      <w:rFonts w:ascii="方正书宋简体" w:eastAsia="方正书宋简体"/>
      <w:szCs w:val="21"/>
      <w:lang w:val="zh-CN"/>
    </w:rPr>
  </w:style>
  <w:style w:type="paragraph" w:customStyle="1" w:styleId="68">
    <w:name w:val="郭表格标题"/>
    <w:basedOn w:val="1"/>
    <w:link w:val="187"/>
    <w:qFormat/>
    <w:uiPriority w:val="0"/>
    <w:pPr>
      <w:spacing w:line="360" w:lineRule="auto"/>
      <w:jc w:val="center"/>
    </w:pPr>
    <w:rPr>
      <w:b/>
      <w:szCs w:val="21"/>
    </w:rPr>
  </w:style>
  <w:style w:type="paragraph" w:customStyle="1" w:styleId="69">
    <w:name w:val="Char"/>
    <w:basedOn w:val="1"/>
    <w:qFormat/>
    <w:uiPriority w:val="0"/>
    <w:pPr>
      <w:ind w:firstLine="200" w:firstLineChars="200"/>
    </w:pPr>
    <w:rPr>
      <w:sz w:val="28"/>
      <w:szCs w:val="28"/>
    </w:rPr>
  </w:style>
  <w:style w:type="paragraph" w:customStyle="1" w:styleId="70">
    <w:name w:val="样式 标题 2"/>
    <w:basedOn w:val="4"/>
    <w:link w:val="135"/>
    <w:qFormat/>
    <w:uiPriority w:val="0"/>
    <w:pPr>
      <w:spacing w:before="0" w:after="0" w:line="480" w:lineRule="auto"/>
      <w:jc w:val="center"/>
    </w:pPr>
    <w:rPr>
      <w:rFonts w:eastAsia="楷体_GB2312"/>
      <w:kern w:val="32"/>
      <w:szCs w:val="20"/>
    </w:rPr>
  </w:style>
  <w:style w:type="paragraph" w:customStyle="1" w:styleId="71">
    <w:name w:val="Heading #4|1"/>
    <w:basedOn w:val="1"/>
    <w:link w:val="131"/>
    <w:qFormat/>
    <w:uiPriority w:val="0"/>
    <w:pPr>
      <w:spacing w:after="360"/>
      <w:ind w:firstLine="600"/>
      <w:jc w:val="left"/>
      <w:outlineLvl w:val="3"/>
    </w:pPr>
    <w:rPr>
      <w:rFonts w:ascii="宋体" w:hAnsi="宋体" w:eastAsia="Times New Roman"/>
      <w:kern w:val="0"/>
      <w:sz w:val="30"/>
      <w:szCs w:val="30"/>
      <w:lang w:val="zh-TW" w:eastAsia="zh-TW"/>
    </w:rPr>
  </w:style>
  <w:style w:type="paragraph" w:customStyle="1" w:styleId="72">
    <w:name w:val="Char1"/>
    <w:basedOn w:val="1"/>
    <w:qFormat/>
    <w:uiPriority w:val="0"/>
    <w:rPr>
      <w:sz w:val="24"/>
    </w:rPr>
  </w:style>
  <w:style w:type="paragraph" w:customStyle="1" w:styleId="73">
    <w:name w:val=" Char Char Char Char Char Char Char Char Char"/>
    <w:basedOn w:val="1"/>
    <w:next w:val="17"/>
    <w:uiPriority w:val="0"/>
    <w:rPr>
      <w:sz w:val="28"/>
      <w:szCs w:val="28"/>
    </w:rPr>
  </w:style>
  <w:style w:type="paragraph" w:customStyle="1" w:styleId="74">
    <w:name w:val="Body text|2"/>
    <w:basedOn w:val="1"/>
    <w:qFormat/>
    <w:uiPriority w:val="0"/>
    <w:pPr>
      <w:widowControl w:val="0"/>
      <w:shd w:val="clear" w:color="auto" w:fill="auto"/>
      <w:spacing w:after="380" w:line="331" w:lineRule="auto"/>
      <w:ind w:left="3090" w:right="100" w:firstLine="310"/>
    </w:pPr>
    <w:rPr>
      <w:sz w:val="26"/>
      <w:szCs w:val="26"/>
      <w:u w:val="none"/>
      <w:shd w:val="clear" w:color="auto" w:fill="auto"/>
      <w:lang w:val="zh-TW" w:eastAsia="zh-TW" w:bidi="zh-TW"/>
    </w:rPr>
  </w:style>
  <w:style w:type="paragraph" w:customStyle="1" w:styleId="75">
    <w:name w:val="Table caption|1"/>
    <w:basedOn w:val="1"/>
    <w:link w:val="156"/>
    <w:qFormat/>
    <w:uiPriority w:val="0"/>
    <w:pPr>
      <w:jc w:val="center"/>
    </w:pPr>
    <w:rPr>
      <w:rFonts w:ascii="宋体" w:hAnsi="宋体" w:eastAsia="Times New Roman"/>
      <w:kern w:val="0"/>
      <w:sz w:val="20"/>
      <w:szCs w:val="20"/>
      <w:lang w:val="zh-TW" w:eastAsia="zh-TW"/>
    </w:rPr>
  </w:style>
  <w:style w:type="paragraph" w:customStyle="1" w:styleId="76">
    <w:name w:val="样式 正文+首行缩进 Para Char Char Char Char"/>
    <w:basedOn w:val="1"/>
    <w:next w:val="1"/>
    <w:qFormat/>
    <w:uiPriority w:val="0"/>
    <w:pPr>
      <w:spacing w:before="150" w:after="50" w:line="360" w:lineRule="auto"/>
    </w:pPr>
    <w:rPr>
      <w:rFonts w:cs="AdobeHeitiStd-Regular"/>
      <w:kern w:val="0"/>
      <w:sz w:val="28"/>
      <w:szCs w:val="32"/>
    </w:rPr>
  </w:style>
  <w:style w:type="paragraph" w:customStyle="1" w:styleId="77">
    <w:name w:val=" Char Char Char Char Char Char"/>
    <w:basedOn w:val="1"/>
    <w:next w:val="17"/>
    <w:uiPriority w:val="0"/>
    <w:rPr>
      <w:sz w:val="28"/>
      <w:szCs w:val="28"/>
    </w:rPr>
  </w:style>
  <w:style w:type="paragraph" w:customStyle="1" w:styleId="78">
    <w:name w:val="列出段落1"/>
    <w:basedOn w:val="1"/>
    <w:qFormat/>
    <w:uiPriority w:val="0"/>
    <w:pPr>
      <w:ind w:firstLine="420" w:firstLineChars="200"/>
    </w:pPr>
    <w:rPr>
      <w:szCs w:val="21"/>
    </w:rPr>
  </w:style>
  <w:style w:type="paragraph" w:customStyle="1" w:styleId="79">
    <w:name w:val="郭表格"/>
    <w:basedOn w:val="1"/>
    <w:link w:val="158"/>
    <w:qFormat/>
    <w:uiPriority w:val="0"/>
    <w:pPr>
      <w:jc w:val="center"/>
    </w:pPr>
    <w:rPr>
      <w:kern w:val="0"/>
      <w:szCs w:val="21"/>
    </w:rPr>
  </w:style>
  <w:style w:type="paragraph" w:customStyle="1" w:styleId="8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_Style 80"/>
    <w:basedOn w:val="3"/>
    <w:next w:val="1"/>
    <w:qFormat/>
    <w:uiPriority w:val="0"/>
    <w:pPr>
      <w:keepNext/>
      <w:keepLines/>
      <w:adjustRightInd/>
      <w:snapToGrid/>
      <w:spacing w:before="240" w:line="259" w:lineRule="auto"/>
      <w:jc w:val="left"/>
      <w:outlineLvl w:val="9"/>
    </w:pPr>
    <w:rPr>
      <w:rFonts w:ascii="Calibri Light" w:hAnsi="Calibri Light" w:eastAsia="宋体"/>
      <w:b w:val="0"/>
      <w:color w:val="2E74B5"/>
      <w:sz w:val="32"/>
      <w:szCs w:val="32"/>
    </w:rPr>
  </w:style>
  <w:style w:type="paragraph" w:customStyle="1" w:styleId="82">
    <w:name w:val="Char Char Char Char Char Char Char Char Char"/>
    <w:basedOn w:val="1"/>
    <w:next w:val="17"/>
    <w:qFormat/>
    <w:uiPriority w:val="0"/>
    <w:rPr>
      <w:sz w:val="28"/>
      <w:szCs w:val="28"/>
    </w:rPr>
  </w:style>
  <w:style w:type="paragraph" w:customStyle="1" w:styleId="83">
    <w:name w:val="样式4"/>
    <w:basedOn w:val="39"/>
    <w:qFormat/>
    <w:uiPriority w:val="0"/>
    <w:pPr>
      <w:spacing w:line="360" w:lineRule="auto"/>
      <w:ind w:leftChars="0" w:firstLine="0" w:firstLineChars="0"/>
      <w:jc w:val="center"/>
    </w:pPr>
  </w:style>
  <w:style w:type="paragraph" w:customStyle="1" w:styleId="84">
    <w:name w:val="內文1"/>
    <w:basedOn w:val="1"/>
    <w:qFormat/>
    <w:uiPriority w:val="0"/>
    <w:pPr>
      <w:adjustRightInd w:val="0"/>
      <w:spacing w:before="40" w:after="40" w:line="320" w:lineRule="atLeast"/>
      <w:jc w:val="center"/>
      <w:textAlignment w:val="baseline"/>
    </w:pPr>
    <w:rPr>
      <w:rFonts w:eastAsia="華康中楷體"/>
      <w:kern w:val="0"/>
      <w:sz w:val="28"/>
      <w:szCs w:val="20"/>
      <w:lang w:eastAsia="zh-TW"/>
    </w:rPr>
  </w:style>
  <w:style w:type="paragraph" w:customStyle="1" w:styleId="85">
    <w:name w:val="纯文本2"/>
    <w:basedOn w:val="1"/>
    <w:qFormat/>
    <w:uiPriority w:val="0"/>
    <w:pPr>
      <w:adjustRightInd w:val="0"/>
      <w:textAlignment w:val="baseline"/>
    </w:pPr>
    <w:rPr>
      <w:rFonts w:ascii="宋体" w:hAnsi="Courier New"/>
      <w:szCs w:val="20"/>
    </w:rPr>
  </w:style>
  <w:style w:type="paragraph" w:customStyle="1" w:styleId="86">
    <w:name w:val=" Char Char Char Char Char Char Char Char Char Char Char"/>
    <w:basedOn w:val="1"/>
    <w:uiPriority w:val="0"/>
    <w:rPr>
      <w:szCs w:val="20"/>
    </w:rPr>
  </w:style>
  <w:style w:type="paragraph" w:customStyle="1" w:styleId="87">
    <w:name w:val="默认段落字体 Para Char Char Char Char"/>
    <w:basedOn w:val="1"/>
    <w:qFormat/>
    <w:uiPriority w:val="0"/>
    <w:pPr>
      <w:widowControl/>
      <w:jc w:val="left"/>
    </w:pPr>
  </w:style>
  <w:style w:type="paragraph" w:customStyle="1" w:styleId="88">
    <w:name w:val="Table Paragraph"/>
    <w:basedOn w:val="1"/>
    <w:qFormat/>
    <w:uiPriority w:val="1"/>
    <w:rPr>
      <w:rFonts w:ascii="宋体" w:hAnsi="宋体" w:eastAsia="宋体" w:cs="宋体"/>
      <w:lang w:val="zh-CN" w:eastAsia="zh-CN" w:bidi="zh-CN"/>
    </w:rPr>
  </w:style>
  <w:style w:type="paragraph" w:customStyle="1" w:styleId="89">
    <w:name w:val="4"/>
    <w:basedOn w:val="1"/>
    <w:uiPriority w:val="0"/>
    <w:pPr>
      <w:spacing w:line="360" w:lineRule="auto"/>
      <w:ind w:firstLine="200" w:firstLineChars="200"/>
    </w:pPr>
  </w:style>
  <w:style w:type="paragraph" w:customStyle="1" w:styleId="90">
    <w:name w:val="正文缩2"/>
    <w:basedOn w:val="1"/>
    <w:link w:val="193"/>
    <w:uiPriority w:val="0"/>
    <w:pPr>
      <w:widowControl/>
      <w:spacing w:line="360" w:lineRule="auto"/>
      <w:ind w:firstLine="560" w:firstLineChars="200"/>
      <w:jc w:val="left"/>
    </w:pPr>
    <w:rPr>
      <w:rFonts w:ascii="Calibri" w:hAnsi="Calibri"/>
      <w:sz w:val="28"/>
      <w:szCs w:val="20"/>
    </w:rPr>
  </w:style>
  <w:style w:type="paragraph" w:customStyle="1" w:styleId="91">
    <w:name w:val="缩进正文"/>
    <w:basedOn w:val="23"/>
    <w:uiPriority w:val="0"/>
    <w:pPr>
      <w:spacing w:before="0" w:beforeLines="0" w:line="300" w:lineRule="auto"/>
      <w:ind w:firstLine="200" w:firstLineChars="0"/>
    </w:pPr>
    <w:rPr>
      <w:rFonts w:hAnsi="Times New Roman" w:cs="宋体"/>
      <w:kern w:val="0"/>
      <w:szCs w:val="20"/>
    </w:rPr>
  </w:style>
  <w:style w:type="paragraph" w:customStyle="1" w:styleId="92">
    <w:name w:val="char"/>
    <w:basedOn w:val="1"/>
    <w:uiPriority w:val="0"/>
    <w:pPr>
      <w:widowControl/>
      <w:spacing w:after="160"/>
      <w:jc w:val="left"/>
    </w:pPr>
  </w:style>
  <w:style w:type="paragraph" w:customStyle="1" w:styleId="93">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4">
    <w:name w:val=" Char Char Char Char"/>
    <w:basedOn w:val="1"/>
    <w:next w:val="17"/>
    <w:uiPriority w:val="0"/>
    <w:rPr>
      <w:sz w:val="28"/>
      <w:szCs w:val="28"/>
    </w:rPr>
  </w:style>
  <w:style w:type="paragraph" w:customStyle="1" w:styleId="95">
    <w:name w:val="xl3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96">
    <w:name w:val="_Style 107"/>
    <w:basedOn w:val="1"/>
    <w:qFormat/>
    <w:uiPriority w:val="0"/>
    <w:pPr>
      <w:snapToGrid w:val="0"/>
      <w:spacing w:line="360" w:lineRule="auto"/>
    </w:pPr>
  </w:style>
  <w:style w:type="paragraph" w:customStyle="1" w:styleId="97">
    <w:name w:val="BIG BOLD"/>
    <w:basedOn w:val="1"/>
    <w:qFormat/>
    <w:uiPriority w:val="0"/>
    <w:pPr>
      <w:tabs>
        <w:tab w:val="left" w:leader="underscore" w:pos="1134"/>
      </w:tabs>
    </w:pPr>
    <w:rPr>
      <w:szCs w:val="20"/>
    </w:rPr>
  </w:style>
  <w:style w:type="paragraph" w:customStyle="1" w:styleId="98">
    <w:name w:val="表格"/>
    <w:basedOn w:val="1"/>
    <w:link w:val="132"/>
    <w:qFormat/>
    <w:uiPriority w:val="0"/>
    <w:pPr>
      <w:spacing w:before="50" w:after="50"/>
      <w:jc w:val="center"/>
    </w:pPr>
    <w:rPr>
      <w:rFonts w:ascii="宋体"/>
      <w:szCs w:val="20"/>
    </w:rPr>
  </w:style>
  <w:style w:type="paragraph" w:customStyle="1" w:styleId="99">
    <w:name w:val="正文自己"/>
    <w:basedOn w:val="1"/>
    <w:qFormat/>
    <w:uiPriority w:val="0"/>
    <w:pPr>
      <w:spacing w:line="560" w:lineRule="exact"/>
      <w:ind w:firstLine="629"/>
    </w:pPr>
    <w:rPr>
      <w:bCs/>
      <w:sz w:val="28"/>
    </w:rPr>
  </w:style>
  <w:style w:type="paragraph" w:customStyle="1" w:styleId="100">
    <w:name w:val="Body text|3"/>
    <w:basedOn w:val="1"/>
    <w:qFormat/>
    <w:uiPriority w:val="0"/>
    <w:pPr>
      <w:widowControl w:val="0"/>
      <w:shd w:val="clear" w:color="auto" w:fill="auto"/>
      <w:spacing w:after="40" w:line="621" w:lineRule="exact"/>
      <w:ind w:firstLine="660"/>
    </w:pPr>
    <w:rPr>
      <w:rFonts w:ascii="宋体" w:hAnsi="宋体" w:eastAsia="宋体" w:cs="宋体"/>
      <w:sz w:val="30"/>
      <w:szCs w:val="30"/>
      <w:u w:val="none"/>
      <w:shd w:val="clear" w:color="auto" w:fill="auto"/>
      <w:lang w:val="zh-TW" w:eastAsia="zh-TW" w:bidi="zh-TW"/>
    </w:rPr>
  </w:style>
  <w:style w:type="paragraph" w:customStyle="1" w:styleId="101">
    <w:name w:val="Char Char Char Char Char1"/>
    <w:basedOn w:val="1"/>
    <w:qFormat/>
    <w:uiPriority w:val="0"/>
    <w:rPr>
      <w:szCs w:val="21"/>
    </w:rPr>
  </w:style>
  <w:style w:type="paragraph" w:customStyle="1" w:styleId="102">
    <w:name w:val="default paragraph font Char"/>
    <w:basedOn w:val="1"/>
    <w:qFormat/>
    <w:uiPriority w:val="0"/>
    <w:pPr>
      <w:spacing w:line="240" w:lineRule="atLeast"/>
      <w:ind w:left="420" w:firstLine="420"/>
    </w:pPr>
    <w:rPr>
      <w:kern w:val="0"/>
      <w:szCs w:val="21"/>
    </w:rPr>
  </w:style>
  <w:style w:type="paragraph" w:customStyle="1" w:styleId="103">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104">
    <w:name w:val="Char Char Char1 Char Char Char Char"/>
    <w:basedOn w:val="1"/>
    <w:uiPriority w:val="0"/>
    <w:pPr>
      <w:widowControl/>
      <w:spacing w:after="160" w:line="240" w:lineRule="exact"/>
      <w:jc w:val="left"/>
    </w:pPr>
    <w:rPr>
      <w:rFonts w:ascii="Verdana" w:hAnsi="Verdana" w:cs="Verdana"/>
      <w:kern w:val="0"/>
      <w:sz w:val="20"/>
      <w:szCs w:val="20"/>
      <w:lang w:eastAsia="en-US"/>
    </w:rPr>
  </w:style>
  <w:style w:type="paragraph" w:customStyle="1" w:styleId="105">
    <w:name w:val="默认段落字体 Para Char Char Char Char Char Char Char Char Char1 Char Char Char Char Char Char Char"/>
    <w:basedOn w:val="20"/>
    <w:qFormat/>
    <w:uiPriority w:val="0"/>
    <w:rPr>
      <w:rFonts w:ascii="Tahoma" w:hAnsi="Tahoma" w:cs="Tahoma"/>
      <w:sz w:val="28"/>
    </w:rPr>
  </w:style>
  <w:style w:type="paragraph" w:customStyle="1" w:styleId="106">
    <w:name w:val="Char7"/>
    <w:basedOn w:val="1"/>
    <w:qFormat/>
    <w:uiPriority w:val="0"/>
  </w:style>
  <w:style w:type="paragraph" w:customStyle="1" w:styleId="107">
    <w:name w:val="安评小4表格正文居中"/>
    <w:qFormat/>
    <w:uiPriority w:val="0"/>
    <w:pPr>
      <w:widowControl w:val="0"/>
      <w:adjustRightInd w:val="0"/>
      <w:snapToGrid w:val="0"/>
      <w:spacing w:line="440" w:lineRule="exact"/>
      <w:jc w:val="center"/>
    </w:pPr>
    <w:rPr>
      <w:rFonts w:ascii="宋体" w:hAnsi="Times New Roman" w:eastAsia="宋体" w:cs="Times New Roman"/>
      <w:bCs/>
      <w:snapToGrid w:val="0"/>
      <w:sz w:val="24"/>
      <w:szCs w:val="21"/>
      <w:lang w:val="en-US" w:eastAsia="zh-CN" w:bidi="ar-SA"/>
    </w:rPr>
  </w:style>
  <w:style w:type="paragraph" w:customStyle="1" w:styleId="108">
    <w:name w:val="表内容中"/>
    <w:basedOn w:val="29"/>
    <w:qFormat/>
    <w:uiPriority w:val="0"/>
    <w:pPr>
      <w:widowControl w:val="0"/>
      <w:adjustRightInd w:val="0"/>
      <w:snapToGrid w:val="0"/>
      <w:spacing w:line="360" w:lineRule="exact"/>
      <w:ind w:left="0" w:leftChars="0"/>
      <w:jc w:val="center"/>
    </w:pPr>
    <w:rPr>
      <w:rFonts w:ascii="Arial" w:hAnsi="Arial"/>
      <w:color w:val="000000"/>
      <w:kern w:val="16"/>
      <w:szCs w:val="20"/>
    </w:rPr>
  </w:style>
  <w:style w:type="paragraph" w:customStyle="1" w:styleId="109">
    <w:name w:val="Char2"/>
    <w:basedOn w:val="1"/>
    <w:uiPriority w:val="0"/>
    <w:pPr>
      <w:numPr>
        <w:ilvl w:val="0"/>
        <w:numId w:val="1"/>
      </w:numPr>
      <w:tabs>
        <w:tab w:val="left" w:pos="920"/>
      </w:tabs>
      <w:ind w:firstLine="0"/>
    </w:pPr>
    <w:rPr>
      <w:szCs w:val="20"/>
    </w:rPr>
  </w:style>
  <w:style w:type="paragraph" w:customStyle="1" w:styleId="110">
    <w:name w:val="scoring"/>
    <w:basedOn w:val="1"/>
    <w:qFormat/>
    <w:uiPriority w:val="0"/>
    <w:pPr>
      <w:widowControl/>
      <w:ind w:left="1267" w:right="2520" w:hanging="979"/>
      <w:jc w:val="left"/>
    </w:pPr>
    <w:rPr>
      <w:rFonts w:ascii="Univers Condensed" w:hAnsi="Univers Condensed" w:eastAsia="Times New Roman"/>
      <w:b/>
      <w:kern w:val="0"/>
      <w:sz w:val="20"/>
      <w:szCs w:val="20"/>
      <w:lang w:val="en-GB" w:eastAsia="en-US"/>
    </w:rPr>
  </w:style>
  <w:style w:type="paragraph" w:customStyle="1" w:styleId="111">
    <w:name w:val="2"/>
    <w:basedOn w:val="1"/>
    <w:uiPriority w:val="0"/>
    <w:pPr>
      <w:tabs>
        <w:tab w:val="left" w:pos="540"/>
      </w:tabs>
      <w:spacing w:line="440" w:lineRule="exact"/>
    </w:pPr>
    <w:rPr>
      <w:kern w:val="0"/>
      <w:szCs w:val="32"/>
    </w:rPr>
  </w:style>
  <w:style w:type="paragraph" w:styleId="112">
    <w:name w:val="List Paragraph"/>
    <w:basedOn w:val="1"/>
    <w:qFormat/>
    <w:uiPriority w:val="34"/>
    <w:pPr>
      <w:widowControl/>
      <w:ind w:left="720"/>
      <w:contextualSpacing/>
      <w:jc w:val="left"/>
    </w:pPr>
    <w:rPr>
      <w:rFonts w:ascii="Calibri" w:hAnsi="Calibri" w:cs="宋体"/>
      <w:kern w:val="0"/>
      <w:sz w:val="24"/>
      <w:lang w:eastAsia="en-US" w:bidi="en-US"/>
    </w:rPr>
  </w:style>
  <w:style w:type="paragraph" w:customStyle="1" w:styleId="113">
    <w:name w:val="xl34"/>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14">
    <w:name w:val="Body text|1"/>
    <w:basedOn w:val="1"/>
    <w:link w:val="179"/>
    <w:uiPriority w:val="0"/>
    <w:pPr>
      <w:spacing w:line="449" w:lineRule="auto"/>
      <w:ind w:firstLine="400"/>
      <w:jc w:val="left"/>
    </w:pPr>
    <w:rPr>
      <w:rFonts w:ascii="宋体" w:hAnsi="宋体" w:eastAsia="Times New Roman"/>
      <w:kern w:val="0"/>
      <w:sz w:val="26"/>
      <w:szCs w:val="26"/>
      <w:lang w:val="zh-TW" w:eastAsia="zh-TW"/>
    </w:rPr>
  </w:style>
  <w:style w:type="paragraph" w:customStyle="1" w:styleId="115">
    <w:name w:val="Other|1"/>
    <w:basedOn w:val="1"/>
    <w:link w:val="155"/>
    <w:uiPriority w:val="0"/>
    <w:pPr>
      <w:spacing w:line="449" w:lineRule="auto"/>
      <w:ind w:firstLine="400"/>
      <w:jc w:val="left"/>
    </w:pPr>
    <w:rPr>
      <w:rFonts w:ascii="宋体" w:hAnsi="宋体" w:eastAsia="Times New Roman"/>
      <w:kern w:val="0"/>
      <w:sz w:val="26"/>
      <w:szCs w:val="26"/>
      <w:lang w:val="zh-TW" w:eastAsia="zh-TW"/>
    </w:rPr>
  </w:style>
  <w:style w:type="paragraph" w:customStyle="1" w:styleId="116">
    <w:name w:val="Char Char Char Char Char Char Char Char Char Char Char"/>
    <w:basedOn w:val="1"/>
    <w:qFormat/>
    <w:uiPriority w:val="0"/>
  </w:style>
  <w:style w:type="paragraph" w:customStyle="1" w:styleId="117">
    <w:name w:val="正文（修改）"/>
    <w:basedOn w:val="1"/>
    <w:uiPriority w:val="0"/>
    <w:pPr>
      <w:snapToGrid w:val="0"/>
      <w:spacing w:line="360" w:lineRule="auto"/>
      <w:ind w:firstLine="200" w:firstLineChars="200"/>
    </w:pPr>
    <w:rPr>
      <w:rFonts w:cs="宋体"/>
      <w:kern w:val="0"/>
      <w:sz w:val="24"/>
      <w:szCs w:val="28"/>
    </w:rPr>
  </w:style>
  <w:style w:type="paragraph" w:customStyle="1" w:styleId="118">
    <w:name w:val="标题4"/>
    <w:basedOn w:val="1"/>
    <w:next w:val="1"/>
    <w:uiPriority w:val="0"/>
    <w:pPr>
      <w:numPr>
        <w:ilvl w:val="0"/>
        <w:numId w:val="1"/>
      </w:numPr>
      <w:tabs>
        <w:tab w:val="left" w:pos="360"/>
      </w:tabs>
      <w:snapToGrid w:val="0"/>
      <w:spacing w:line="360" w:lineRule="auto"/>
      <w:ind w:left="0" w:firstLine="0"/>
    </w:pPr>
    <w:rPr>
      <w:sz w:val="28"/>
      <w:szCs w:val="20"/>
    </w:rPr>
  </w:style>
  <w:style w:type="paragraph" w:customStyle="1" w:styleId="119">
    <w:name w:val="标题3"/>
    <w:basedOn w:val="5"/>
    <w:uiPriority w:val="0"/>
    <w:pPr>
      <w:keepNext w:val="0"/>
      <w:keepLines w:val="0"/>
      <w:widowControl w:val="0"/>
      <w:spacing w:before="163" w:beforeLines="50" w:after="0" w:line="300" w:lineRule="auto"/>
      <w:ind w:firstLine="656" w:firstLineChars="200"/>
      <w:jc w:val="both"/>
      <w:outlineLvl w:val="9"/>
    </w:pPr>
    <w:rPr>
      <w:rFonts w:ascii="宋体"/>
      <w:b w:val="0"/>
      <w:bCs w:val="0"/>
      <w:spacing w:val="24"/>
      <w:sz w:val="28"/>
      <w:szCs w:val="20"/>
    </w:rPr>
  </w:style>
  <w:style w:type="paragraph" w:styleId="120">
    <w:name w:val="Quote"/>
    <w:basedOn w:val="1"/>
    <w:next w:val="1"/>
    <w:link w:val="150"/>
    <w:qFormat/>
    <w:uiPriority w:val="0"/>
    <w:pPr>
      <w:widowControl/>
      <w:jc w:val="left"/>
    </w:pPr>
    <w:rPr>
      <w:rFonts w:ascii="Calibri" w:hAnsi="Calibri" w:cs="宋体"/>
      <w:i/>
      <w:kern w:val="0"/>
      <w:sz w:val="24"/>
    </w:rPr>
  </w:style>
  <w:style w:type="paragraph" w:customStyle="1" w:styleId="121">
    <w:name w:val="List Paragraph1"/>
    <w:basedOn w:val="1"/>
    <w:qFormat/>
    <w:uiPriority w:val="34"/>
    <w:pPr>
      <w:ind w:firstLine="420" w:firstLineChars="200"/>
    </w:pPr>
  </w:style>
  <w:style w:type="paragraph" w:customStyle="1" w:styleId="12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3">
    <w:name w:val="段落编号"/>
    <w:basedOn w:val="30"/>
    <w:qFormat/>
    <w:uiPriority w:val="0"/>
    <w:pPr>
      <w:widowControl w:val="0"/>
      <w:numPr>
        <w:ilvl w:val="0"/>
        <w:numId w:val="2"/>
      </w:numPr>
      <w:adjustRightInd w:val="0"/>
      <w:spacing w:before="60" w:after="60" w:line="500" w:lineRule="exact"/>
      <w:ind w:leftChars="0"/>
      <w:jc w:val="both"/>
      <w:textAlignment w:val="baseline"/>
    </w:pPr>
    <w:rPr>
      <w:spacing w:val="6"/>
      <w:kern w:val="0"/>
      <w:sz w:val="28"/>
      <w:szCs w:val="20"/>
    </w:rPr>
  </w:style>
  <w:style w:type="paragraph" w:styleId="124">
    <w:name w:val="No Spacing"/>
    <w:basedOn w:val="1"/>
    <w:qFormat/>
    <w:uiPriority w:val="0"/>
    <w:pPr>
      <w:widowControl/>
      <w:jc w:val="left"/>
    </w:pPr>
    <w:rPr>
      <w:rFonts w:ascii="Calibri" w:hAnsi="Calibri" w:cs="宋体"/>
      <w:kern w:val="0"/>
      <w:sz w:val="24"/>
      <w:szCs w:val="32"/>
      <w:lang w:eastAsia="en-US" w:bidi="en-US"/>
    </w:rPr>
  </w:style>
  <w:style w:type="character" w:customStyle="1" w:styleId="125">
    <w:name w:val="标题 7 Char"/>
    <w:link w:val="9"/>
    <w:uiPriority w:val="0"/>
    <w:rPr>
      <w:rFonts w:ascii="Calibri" w:hAnsi="Calibri" w:eastAsia="宋体" w:cs="宋体"/>
      <w:sz w:val="24"/>
      <w:szCs w:val="24"/>
      <w:lang w:bidi="ar-SA"/>
    </w:rPr>
  </w:style>
  <w:style w:type="character" w:customStyle="1" w:styleId="126">
    <w:name w:val="标题 9 Char"/>
    <w:link w:val="11"/>
    <w:uiPriority w:val="0"/>
    <w:rPr>
      <w:rFonts w:ascii="Cambria" w:hAnsi="Cambria" w:eastAsia="宋体" w:cs="宋体"/>
      <w:lang w:bidi="ar-SA"/>
    </w:rPr>
  </w:style>
  <w:style w:type="character" w:customStyle="1" w:styleId="127">
    <w:name w:val=" Char Char5"/>
    <w:uiPriority w:val="0"/>
    <w:rPr>
      <w:kern w:val="2"/>
      <w:sz w:val="18"/>
      <w:szCs w:val="18"/>
    </w:rPr>
  </w:style>
  <w:style w:type="character" w:customStyle="1" w:styleId="128">
    <w:name w:val="正文文本缩进 3 Char"/>
    <w:basedOn w:val="46"/>
    <w:link w:val="38"/>
    <w:locked/>
    <w:uiPriority w:val="0"/>
    <w:rPr>
      <w:rFonts w:ascii="宋体" w:hAnsi="宋体" w:eastAsia="宋体"/>
      <w:kern w:val="2"/>
      <w:sz w:val="28"/>
      <w:szCs w:val="24"/>
      <w:lang w:val="en-US" w:eastAsia="zh-CN" w:bidi="ar-SA"/>
    </w:rPr>
  </w:style>
  <w:style w:type="character" w:customStyle="1" w:styleId="129">
    <w:name w:val="副标题 Char"/>
    <w:link w:val="36"/>
    <w:uiPriority w:val="0"/>
    <w:rPr>
      <w:rFonts w:ascii="宋体" w:hAnsi="宋体" w:eastAsia="宋体"/>
      <w:b/>
      <w:sz w:val="24"/>
      <w:szCs w:val="24"/>
      <w:lang w:val="en-US" w:eastAsia="zh-CN" w:bidi="ar-SA"/>
    </w:rPr>
  </w:style>
  <w:style w:type="character" w:customStyle="1" w:styleId="130">
    <w:name w:val="_Style 129"/>
    <w:qFormat/>
    <w:uiPriority w:val="0"/>
    <w:rPr>
      <w:b/>
      <w:i/>
      <w:sz w:val="24"/>
      <w:szCs w:val="24"/>
      <w:u w:val="single"/>
    </w:rPr>
  </w:style>
  <w:style w:type="character" w:customStyle="1" w:styleId="131">
    <w:name w:val="Heading #4|1_"/>
    <w:basedOn w:val="46"/>
    <w:link w:val="71"/>
    <w:locked/>
    <w:uiPriority w:val="0"/>
    <w:rPr>
      <w:rFonts w:ascii="宋体" w:hAnsi="宋体"/>
      <w:sz w:val="30"/>
      <w:szCs w:val="30"/>
      <w:lang w:val="zh-TW" w:eastAsia="zh-TW" w:bidi="ar-SA"/>
    </w:rPr>
  </w:style>
  <w:style w:type="character" w:customStyle="1" w:styleId="132">
    <w:name w:val="表格 Char"/>
    <w:link w:val="98"/>
    <w:uiPriority w:val="0"/>
    <w:rPr>
      <w:rFonts w:ascii="宋体" w:eastAsia="宋体"/>
      <w:kern w:val="2"/>
      <w:sz w:val="21"/>
      <w:lang w:val="en-US" w:eastAsia="zh-CN" w:bidi="ar-SA"/>
    </w:rPr>
  </w:style>
  <w:style w:type="character" w:customStyle="1" w:styleId="133">
    <w:name w:val="headline-content2"/>
    <w:basedOn w:val="46"/>
    <w:qFormat/>
    <w:uiPriority w:val="0"/>
  </w:style>
  <w:style w:type="character" w:customStyle="1" w:styleId="134">
    <w:name w:val="正文文本 2 Char"/>
    <w:basedOn w:val="46"/>
    <w:link w:val="42"/>
    <w:semiHidden/>
    <w:locked/>
    <w:uiPriority w:val="0"/>
    <w:rPr>
      <w:rFonts w:ascii="Calibri" w:hAnsi="Calibri" w:eastAsia="宋体"/>
      <w:kern w:val="2"/>
      <w:sz w:val="21"/>
      <w:szCs w:val="24"/>
      <w:lang w:val="en-US" w:eastAsia="zh-CN" w:bidi="ar-SA"/>
    </w:rPr>
  </w:style>
  <w:style w:type="character" w:customStyle="1" w:styleId="135">
    <w:name w:val="样式 标题 2 Char Char"/>
    <w:link w:val="70"/>
    <w:qFormat/>
    <w:uiPriority w:val="0"/>
    <w:rPr>
      <w:rFonts w:ascii="Arial" w:hAnsi="Arial" w:eastAsia="楷体_GB2312" w:cs="宋体"/>
      <w:b/>
      <w:bCs/>
      <w:kern w:val="32"/>
      <w:sz w:val="32"/>
    </w:rPr>
  </w:style>
  <w:style w:type="character" w:customStyle="1" w:styleId="136">
    <w:name w:val="Char Char1"/>
    <w:qFormat/>
    <w:uiPriority w:val="0"/>
    <w:rPr>
      <w:rFonts w:ascii="宋体" w:hAnsi="Courier New" w:eastAsia="宋体"/>
      <w:kern w:val="2"/>
      <w:sz w:val="28"/>
      <w:lang w:val="en-US" w:eastAsia="zh-CN" w:bidi="ar-SA"/>
    </w:rPr>
  </w:style>
  <w:style w:type="character" w:customStyle="1" w:styleId="137">
    <w:name w:val="fontstyle21"/>
    <w:uiPriority w:val="0"/>
    <w:rPr>
      <w:rFonts w:hint="default" w:ascii="楷体" w:hAnsi="楷体"/>
      <w:color w:val="000000"/>
      <w:sz w:val="32"/>
      <w:szCs w:val="32"/>
    </w:rPr>
  </w:style>
  <w:style w:type="character" w:customStyle="1" w:styleId="138">
    <w:name w:val="style131"/>
    <w:uiPriority w:val="0"/>
    <w:rPr>
      <w:color w:val="333333"/>
      <w:sz w:val="21"/>
      <w:szCs w:val="21"/>
    </w:rPr>
  </w:style>
  <w:style w:type="character" w:customStyle="1" w:styleId="139">
    <w:name w:val="zw1"/>
    <w:qFormat/>
    <w:uiPriority w:val="0"/>
    <w:rPr>
      <w:rFonts w:hint="eastAsia" w:ascii="宋体" w:hAnsi="宋体" w:eastAsia="宋体"/>
      <w:sz w:val="22"/>
      <w:szCs w:val="22"/>
    </w:rPr>
  </w:style>
  <w:style w:type="character" w:customStyle="1" w:styleId="140">
    <w:name w:val="正文文本 3 Char"/>
    <w:link w:val="22"/>
    <w:uiPriority w:val="0"/>
    <w:rPr>
      <w:kern w:val="2"/>
      <w:sz w:val="16"/>
      <w:szCs w:val="16"/>
    </w:rPr>
  </w:style>
  <w:style w:type="character" w:customStyle="1" w:styleId="141">
    <w:name w:val="正文文本缩进 Char"/>
    <w:link w:val="23"/>
    <w:uiPriority w:val="0"/>
    <w:rPr>
      <w:rFonts w:ascii="宋体" w:hAnsi="宋体" w:eastAsia="宋体"/>
      <w:kern w:val="2"/>
      <w:sz w:val="28"/>
      <w:szCs w:val="28"/>
      <w:lang w:val="en-US" w:eastAsia="zh-CN" w:bidi="ar-SA"/>
    </w:rPr>
  </w:style>
  <w:style w:type="character" w:customStyle="1" w:styleId="142">
    <w:name w:val="标题 8 Char"/>
    <w:link w:val="10"/>
    <w:uiPriority w:val="0"/>
    <w:rPr>
      <w:rFonts w:ascii="Calibri" w:hAnsi="Calibri" w:eastAsia="宋体" w:cs="宋体"/>
      <w:i/>
      <w:iCs/>
      <w:sz w:val="24"/>
      <w:szCs w:val="24"/>
      <w:lang w:bidi="ar-SA"/>
    </w:rPr>
  </w:style>
  <w:style w:type="character" w:customStyle="1" w:styleId="143">
    <w:name w:val="页脚 Char"/>
    <w:link w:val="32"/>
    <w:qFormat/>
    <w:uiPriority w:val="0"/>
    <w:rPr>
      <w:rFonts w:eastAsia="宋体"/>
      <w:kern w:val="2"/>
      <w:sz w:val="18"/>
      <w:szCs w:val="18"/>
      <w:lang w:val="en-US" w:eastAsia="zh-CN" w:bidi="ar-SA"/>
    </w:rPr>
  </w:style>
  <w:style w:type="character" w:customStyle="1" w:styleId="144">
    <w:name w:val="Heading 1 Char"/>
    <w:basedOn w:val="46"/>
    <w:locked/>
    <w:uiPriority w:val="0"/>
    <w:rPr>
      <w:rFonts w:ascii="Times New Roman" w:hAnsi="Times New Roman" w:eastAsia="宋体" w:cs="Times New Roman"/>
      <w:b/>
      <w:bCs/>
      <w:kern w:val="44"/>
      <w:sz w:val="44"/>
      <w:szCs w:val="44"/>
    </w:rPr>
  </w:style>
  <w:style w:type="character" w:customStyle="1" w:styleId="145">
    <w:name w:val="Body Text Indent 2 Char"/>
    <w:basedOn w:val="46"/>
    <w:locked/>
    <w:uiPriority w:val="0"/>
    <w:rPr>
      <w:rFonts w:ascii="Times New Roman" w:hAnsi="Times New Roman" w:eastAsia="宋体" w:cs="Times New Roman"/>
      <w:sz w:val="24"/>
      <w:szCs w:val="24"/>
    </w:rPr>
  </w:style>
  <w:style w:type="character" w:customStyle="1" w:styleId="146">
    <w:name w:val="Heading 5 Char"/>
    <w:basedOn w:val="46"/>
    <w:locked/>
    <w:uiPriority w:val="0"/>
    <w:rPr>
      <w:rFonts w:ascii="Times New Roman" w:hAnsi="Times New Roman" w:eastAsia="宋体" w:cs="Times New Roman"/>
      <w:b/>
      <w:bCs/>
      <w:sz w:val="28"/>
      <w:szCs w:val="28"/>
    </w:rPr>
  </w:style>
  <w:style w:type="character" w:customStyle="1" w:styleId="147">
    <w:name w:val="标题 Char"/>
    <w:link w:val="45"/>
    <w:uiPriority w:val="0"/>
    <w:rPr>
      <w:rFonts w:ascii="Cambria" w:hAnsi="Cambria" w:eastAsia="宋体"/>
      <w:b/>
      <w:bCs/>
      <w:kern w:val="2"/>
      <w:sz w:val="32"/>
      <w:szCs w:val="32"/>
      <w:lang w:val="en-US" w:eastAsia="zh-CN" w:bidi="ar-SA"/>
    </w:rPr>
  </w:style>
  <w:style w:type="character" w:customStyle="1" w:styleId="148">
    <w:name w:val="wenzhang1"/>
    <w:uiPriority w:val="0"/>
    <w:rPr>
      <w:sz w:val="18"/>
      <w:szCs w:val="18"/>
      <w:u w:val="none"/>
    </w:rPr>
  </w:style>
  <w:style w:type="character" w:customStyle="1" w:styleId="149">
    <w:name w:val="Part Char"/>
    <w:uiPriority w:val="0"/>
    <w:rPr>
      <w:rFonts w:ascii="Cambria" w:hAnsi="Cambria"/>
      <w:b/>
      <w:bCs/>
      <w:kern w:val="32"/>
      <w:sz w:val="32"/>
      <w:szCs w:val="32"/>
    </w:rPr>
  </w:style>
  <w:style w:type="character" w:customStyle="1" w:styleId="150">
    <w:name w:val="引用 Char"/>
    <w:link w:val="120"/>
    <w:uiPriority w:val="0"/>
    <w:rPr>
      <w:rFonts w:ascii="Calibri" w:hAnsi="Calibri" w:eastAsia="宋体" w:cs="宋体"/>
      <w:i/>
      <w:sz w:val="24"/>
      <w:szCs w:val="24"/>
      <w:lang w:bidi="ar-SA"/>
    </w:rPr>
  </w:style>
  <w:style w:type="character" w:customStyle="1" w:styleId="151">
    <w:name w:val="Body Text First Indent Char"/>
    <w:basedOn w:val="152"/>
    <w:locked/>
    <w:uiPriority w:val="0"/>
    <w:rPr>
      <w:rFonts w:eastAsia="PMingLiU_x0004_falt"/>
      <w:lang w:eastAsia="zh-TW"/>
    </w:rPr>
  </w:style>
  <w:style w:type="character" w:customStyle="1" w:styleId="152">
    <w:name w:val="Body Text Char"/>
    <w:basedOn w:val="46"/>
    <w:locked/>
    <w:uiPriority w:val="0"/>
    <w:rPr>
      <w:rFonts w:ascii="Times New Roman" w:hAnsi="Times New Roman" w:eastAsia="宋体" w:cs="Times New Roman"/>
      <w:sz w:val="24"/>
      <w:szCs w:val="24"/>
    </w:rPr>
  </w:style>
  <w:style w:type="character" w:customStyle="1" w:styleId="153">
    <w:name w:val="_Style 152"/>
    <w:qFormat/>
    <w:uiPriority w:val="0"/>
    <w:rPr>
      <w:rFonts w:ascii="Cambria" w:hAnsi="Cambria" w:eastAsia="宋体"/>
      <w:b/>
      <w:i/>
      <w:sz w:val="24"/>
      <w:szCs w:val="24"/>
    </w:rPr>
  </w:style>
  <w:style w:type="character" w:customStyle="1" w:styleId="154">
    <w:name w:val="fontstyle41"/>
    <w:uiPriority w:val="0"/>
    <w:rPr>
      <w:rFonts w:hint="eastAsia" w:ascii="宋体" w:hAnsi="宋体" w:eastAsia="宋体"/>
      <w:color w:val="000000"/>
      <w:sz w:val="28"/>
      <w:szCs w:val="28"/>
    </w:rPr>
  </w:style>
  <w:style w:type="character" w:customStyle="1" w:styleId="155">
    <w:name w:val="Other|1_"/>
    <w:basedOn w:val="46"/>
    <w:link w:val="115"/>
    <w:locked/>
    <w:uiPriority w:val="0"/>
    <w:rPr>
      <w:rFonts w:ascii="宋体" w:hAnsi="宋体"/>
      <w:sz w:val="26"/>
      <w:szCs w:val="26"/>
      <w:lang w:val="zh-TW" w:eastAsia="zh-TW" w:bidi="ar-SA"/>
    </w:rPr>
  </w:style>
  <w:style w:type="character" w:customStyle="1" w:styleId="156">
    <w:name w:val="Table caption|1_"/>
    <w:basedOn w:val="46"/>
    <w:link w:val="75"/>
    <w:locked/>
    <w:uiPriority w:val="0"/>
    <w:rPr>
      <w:rFonts w:ascii="宋体" w:hAnsi="宋体"/>
      <w:lang w:val="zh-TW" w:eastAsia="zh-TW" w:bidi="ar-SA"/>
    </w:rPr>
  </w:style>
  <w:style w:type="character" w:customStyle="1" w:styleId="157">
    <w:name w:val="bt11"/>
    <w:qFormat/>
    <w:uiPriority w:val="0"/>
    <w:rPr>
      <w:rFonts w:hint="eastAsia" w:ascii="黑体" w:eastAsia="黑体"/>
      <w:color w:val="000000"/>
      <w:sz w:val="28"/>
      <w:szCs w:val="28"/>
    </w:rPr>
  </w:style>
  <w:style w:type="character" w:customStyle="1" w:styleId="158">
    <w:name w:val="郭表格 Char Char"/>
    <w:link w:val="79"/>
    <w:qFormat/>
    <w:uiPriority w:val="0"/>
    <w:rPr>
      <w:sz w:val="21"/>
      <w:szCs w:val="21"/>
    </w:rPr>
  </w:style>
  <w:style w:type="character" w:customStyle="1" w:styleId="159">
    <w:name w:val=" Char Char Char"/>
    <w:uiPriority w:val="0"/>
    <w:rPr>
      <w:rFonts w:ascii="Tahoma" w:hAnsi="Tahoma" w:eastAsia="宋体"/>
      <w:kern w:val="2"/>
      <w:sz w:val="24"/>
      <w:szCs w:val="24"/>
      <w:lang w:val="en-US" w:eastAsia="zh-CN" w:bidi="ar-SA"/>
    </w:rPr>
  </w:style>
  <w:style w:type="character" w:customStyle="1" w:styleId="160">
    <w:name w:val="fontstyle31"/>
    <w:uiPriority w:val="0"/>
    <w:rPr>
      <w:rFonts w:hint="eastAsia" w:ascii="黑体" w:hAnsi="黑体" w:eastAsia="黑体"/>
      <w:color w:val="000000"/>
      <w:sz w:val="28"/>
      <w:szCs w:val="28"/>
    </w:rPr>
  </w:style>
  <w:style w:type="character" w:customStyle="1" w:styleId="161">
    <w:name w:val="正文首行缩进 Char"/>
    <w:link w:val="15"/>
    <w:uiPriority w:val="0"/>
    <w:rPr>
      <w:rFonts w:ascii="仿宋_GB2312" w:eastAsia="仿宋_GB2312"/>
      <w:kern w:val="2"/>
      <w:sz w:val="21"/>
      <w:szCs w:val="24"/>
    </w:rPr>
  </w:style>
  <w:style w:type="character" w:customStyle="1" w:styleId="162">
    <w:name w:val="Heading 7 Char"/>
    <w:basedOn w:val="46"/>
    <w:locked/>
    <w:uiPriority w:val="0"/>
    <w:rPr>
      <w:rFonts w:ascii="Times New Roman" w:hAnsi="Times New Roman" w:eastAsia="宋体" w:cs="Times New Roman"/>
      <w:b/>
      <w:bCs/>
      <w:sz w:val="24"/>
      <w:szCs w:val="24"/>
    </w:rPr>
  </w:style>
  <w:style w:type="character" w:customStyle="1" w:styleId="163">
    <w:name w:val="nava12"/>
    <w:uiPriority w:val="0"/>
    <w:rPr>
      <w:color w:val="333333"/>
      <w:sz w:val="24"/>
      <w:szCs w:val="24"/>
      <w:u w:val="none"/>
    </w:rPr>
  </w:style>
  <w:style w:type="character" w:customStyle="1" w:styleId="164">
    <w:name w:val="blacka121"/>
    <w:qFormat/>
    <w:uiPriority w:val="0"/>
    <w:rPr>
      <w:color w:val="000000"/>
      <w:sz w:val="18"/>
      <w:szCs w:val="18"/>
      <w:u w:val="none"/>
    </w:rPr>
  </w:style>
  <w:style w:type="character" w:customStyle="1" w:styleId="165">
    <w:name w:val="普通(网站) Char"/>
    <w:link w:val="44"/>
    <w:uiPriority w:val="0"/>
    <w:rPr>
      <w:rFonts w:ascii="Arial Unicode MS" w:hAnsi="Arial Unicode MS" w:eastAsia="Arial Unicode MS" w:cs="Arial Unicode MS"/>
      <w:sz w:val="24"/>
      <w:szCs w:val="24"/>
      <w:lang w:val="en-US" w:eastAsia="zh-CN" w:bidi="ar-SA"/>
    </w:rPr>
  </w:style>
  <w:style w:type="character" w:customStyle="1" w:styleId="166">
    <w:name w:val="标题 1 Char1"/>
    <w:link w:val="3"/>
    <w:uiPriority w:val="0"/>
    <w:rPr>
      <w:rFonts w:ascii="黑体" w:eastAsia="黑体"/>
      <w:b/>
      <w:sz w:val="28"/>
      <w:szCs w:val="28"/>
      <w:lang w:val="en-US" w:eastAsia="zh-CN" w:bidi="ar-SA"/>
    </w:rPr>
  </w:style>
  <w:style w:type="character" w:customStyle="1" w:styleId="167">
    <w:name w:val="search_content1"/>
    <w:qFormat/>
    <w:uiPriority w:val="0"/>
    <w:rPr>
      <w:sz w:val="16"/>
      <w:szCs w:val="16"/>
    </w:rPr>
  </w:style>
  <w:style w:type="character" w:customStyle="1" w:styleId="168">
    <w:name w:val="标题 2 Char"/>
    <w:link w:val="4"/>
    <w:qFormat/>
    <w:uiPriority w:val="0"/>
    <w:rPr>
      <w:rFonts w:ascii="Arial" w:hAnsi="Arial" w:eastAsia="黑体"/>
      <w:b/>
      <w:bCs/>
      <w:kern w:val="2"/>
      <w:sz w:val="32"/>
      <w:szCs w:val="32"/>
      <w:lang w:val="en-US" w:eastAsia="zh-CN" w:bidi="ar-SA"/>
    </w:rPr>
  </w:style>
  <w:style w:type="character" w:customStyle="1" w:styleId="169">
    <w:name w:val="纯文本 Char"/>
    <w:link w:val="27"/>
    <w:qFormat/>
    <w:uiPriority w:val="0"/>
    <w:rPr>
      <w:rFonts w:ascii="宋体" w:hAnsi="Courier New" w:eastAsia="宋体"/>
      <w:kern w:val="2"/>
      <w:sz w:val="28"/>
      <w:lang w:val="en-US" w:eastAsia="zh-CN" w:bidi="ar-SA"/>
    </w:rPr>
  </w:style>
  <w:style w:type="character" w:customStyle="1" w:styleId="170">
    <w:name w:val="title"/>
    <w:basedOn w:val="46"/>
    <w:uiPriority w:val="0"/>
  </w:style>
  <w:style w:type="character" w:customStyle="1" w:styleId="171">
    <w:name w:val="标题 3 Char"/>
    <w:link w:val="5"/>
    <w:qFormat/>
    <w:uiPriority w:val="0"/>
    <w:rPr>
      <w:rFonts w:eastAsia="宋体"/>
      <w:b/>
      <w:bCs/>
      <w:kern w:val="2"/>
      <w:sz w:val="32"/>
      <w:szCs w:val="32"/>
      <w:lang w:val="en-US" w:eastAsia="zh-CN" w:bidi="ar-SA"/>
    </w:rPr>
  </w:style>
  <w:style w:type="character" w:customStyle="1" w:styleId="172">
    <w:name w:val="正文1"/>
    <w:qFormat/>
    <w:uiPriority w:val="0"/>
    <w:rPr>
      <w:rFonts w:hint="eastAsia" w:ascii="宋体" w:hAnsi="宋体" w:eastAsia="宋体"/>
      <w:sz w:val="22"/>
      <w:szCs w:val="22"/>
    </w:rPr>
  </w:style>
  <w:style w:type="character" w:customStyle="1" w:styleId="173">
    <w:name w:val="Heading 9 Char"/>
    <w:basedOn w:val="46"/>
    <w:locked/>
    <w:uiPriority w:val="0"/>
    <w:rPr>
      <w:rFonts w:ascii="Arial" w:hAnsi="Arial" w:eastAsia="黑体" w:cs="Times New Roman"/>
      <w:sz w:val="21"/>
      <w:szCs w:val="21"/>
    </w:rPr>
  </w:style>
  <w:style w:type="character" w:customStyle="1" w:styleId="174">
    <w:name w:val="Heading 8 Char"/>
    <w:basedOn w:val="46"/>
    <w:locked/>
    <w:uiPriority w:val="0"/>
    <w:rPr>
      <w:rFonts w:ascii="Arial" w:hAnsi="Arial" w:eastAsia="黑体" w:cs="Times New Roman"/>
      <w:sz w:val="24"/>
      <w:szCs w:val="24"/>
    </w:rPr>
  </w:style>
  <w:style w:type="character" w:customStyle="1" w:styleId="175">
    <w:name w:val="明显引用 Char"/>
    <w:link w:val="63"/>
    <w:uiPriority w:val="0"/>
    <w:rPr>
      <w:rFonts w:ascii="Calibri" w:hAnsi="Calibri" w:eastAsia="宋体" w:cs="宋体"/>
      <w:b/>
      <w:i/>
      <w:sz w:val="24"/>
      <w:lang w:bidi="ar-SA"/>
    </w:rPr>
  </w:style>
  <w:style w:type="character" w:customStyle="1" w:styleId="176">
    <w:name w:val="标题 2 Char Char"/>
    <w:qFormat/>
    <w:uiPriority w:val="0"/>
    <w:rPr>
      <w:rFonts w:ascii="Arial" w:hAnsi="Arial" w:eastAsia="黑体"/>
      <w:b/>
      <w:bCs/>
      <w:kern w:val="2"/>
      <w:sz w:val="32"/>
      <w:szCs w:val="32"/>
      <w:lang w:val="en-US" w:eastAsia="zh-CN" w:bidi="ar-SA"/>
    </w:rPr>
  </w:style>
  <w:style w:type="character" w:customStyle="1" w:styleId="177">
    <w:name w:val="Heading 4 Char"/>
    <w:basedOn w:val="46"/>
    <w:locked/>
    <w:uiPriority w:val="0"/>
    <w:rPr>
      <w:rFonts w:ascii="Arial" w:hAnsi="Arial" w:eastAsia="黑体" w:cs="Times New Roman"/>
      <w:b/>
      <w:bCs/>
      <w:sz w:val="28"/>
      <w:szCs w:val="28"/>
    </w:rPr>
  </w:style>
  <w:style w:type="character" w:customStyle="1" w:styleId="178">
    <w:name w:val="fontstyle01"/>
    <w:uiPriority w:val="0"/>
    <w:rPr>
      <w:rFonts w:hint="default" w:ascii="TimesNewRomanPSMT" w:hAnsi="TimesNewRomanPSMT"/>
      <w:color w:val="000000"/>
      <w:sz w:val="32"/>
      <w:szCs w:val="32"/>
    </w:rPr>
  </w:style>
  <w:style w:type="character" w:customStyle="1" w:styleId="179">
    <w:name w:val="Body text|1_"/>
    <w:basedOn w:val="46"/>
    <w:link w:val="114"/>
    <w:locked/>
    <w:uiPriority w:val="0"/>
    <w:rPr>
      <w:rFonts w:ascii="宋体" w:hAnsi="宋体"/>
      <w:sz w:val="26"/>
      <w:szCs w:val="26"/>
      <w:lang w:val="zh-TW" w:eastAsia="zh-TW" w:bidi="ar-SA"/>
    </w:rPr>
  </w:style>
  <w:style w:type="character" w:customStyle="1" w:styleId="180">
    <w:name w:val="标题 3 Char2"/>
    <w:qFormat/>
    <w:uiPriority w:val="0"/>
    <w:rPr>
      <w:rFonts w:eastAsia="宋体"/>
      <w:b/>
      <w:bCs/>
      <w:kern w:val="2"/>
      <w:sz w:val="32"/>
      <w:szCs w:val="32"/>
      <w:lang w:val="en-US" w:eastAsia="zh-CN" w:bidi="ar-SA"/>
    </w:rPr>
  </w:style>
  <w:style w:type="character" w:customStyle="1" w:styleId="181">
    <w:name w:val="标题 5 Char"/>
    <w:link w:val="7"/>
    <w:uiPriority w:val="0"/>
    <w:rPr>
      <w:rFonts w:eastAsia="宋体"/>
      <w:b/>
      <w:bCs/>
      <w:kern w:val="2"/>
      <w:sz w:val="28"/>
      <w:szCs w:val="28"/>
      <w:lang w:val="en-US" w:eastAsia="zh-CN" w:bidi="ar-SA"/>
    </w:rPr>
  </w:style>
  <w:style w:type="character" w:customStyle="1" w:styleId="182">
    <w:name w:val="tpc_content1"/>
    <w:qFormat/>
    <w:uiPriority w:val="0"/>
    <w:rPr>
      <w:rFonts w:ascii="Tahoma" w:hAnsi="Tahoma" w:cs="Tahoma"/>
      <w:sz w:val="20"/>
      <w:szCs w:val="20"/>
    </w:rPr>
  </w:style>
  <w:style w:type="character" w:customStyle="1" w:styleId="183">
    <w:name w:val="_Style 182"/>
    <w:qFormat/>
    <w:uiPriority w:val="0"/>
    <w:rPr>
      <w:b/>
      <w:sz w:val="24"/>
      <w:u w:val="single"/>
    </w:rPr>
  </w:style>
  <w:style w:type="character" w:customStyle="1" w:styleId="184">
    <w:name w:val="正文文本 Char"/>
    <w:link w:val="16"/>
    <w:qFormat/>
    <w:uiPriority w:val="0"/>
    <w:rPr>
      <w:rFonts w:ascii="仿宋_GB2312" w:eastAsia="仿宋_GB2312"/>
      <w:kern w:val="2"/>
      <w:sz w:val="30"/>
      <w:szCs w:val="24"/>
    </w:rPr>
  </w:style>
  <w:style w:type="character" w:customStyle="1" w:styleId="185">
    <w:name w:val="正文缩进 Char"/>
    <w:link w:val="18"/>
    <w:uiPriority w:val="0"/>
    <w:rPr>
      <w:rFonts w:ascii="宋体" w:eastAsia="宋体"/>
      <w:kern w:val="28"/>
      <w:sz w:val="28"/>
      <w:szCs w:val="24"/>
      <w:lang w:val="en-US" w:eastAsia="zh-CN" w:bidi="ar-SA"/>
    </w:rPr>
  </w:style>
  <w:style w:type="character" w:customStyle="1" w:styleId="186">
    <w:name w:val="文档结构图 Char"/>
    <w:basedOn w:val="46"/>
    <w:link w:val="20"/>
    <w:semiHidden/>
    <w:locked/>
    <w:uiPriority w:val="0"/>
    <w:rPr>
      <w:rFonts w:ascii="Calibri" w:hAnsi="Calibri" w:eastAsia="宋体"/>
      <w:kern w:val="2"/>
      <w:sz w:val="21"/>
      <w:szCs w:val="24"/>
      <w:lang w:val="en-US" w:eastAsia="zh-CN" w:bidi="ar-SA"/>
    </w:rPr>
  </w:style>
  <w:style w:type="character" w:customStyle="1" w:styleId="187">
    <w:name w:val="郭表格标题 Char Char"/>
    <w:link w:val="68"/>
    <w:qFormat/>
    <w:uiPriority w:val="0"/>
    <w:rPr>
      <w:b/>
      <w:kern w:val="2"/>
      <w:sz w:val="21"/>
      <w:szCs w:val="21"/>
    </w:rPr>
  </w:style>
  <w:style w:type="character" w:customStyle="1" w:styleId="188">
    <w:name w:val="标题 1 Char"/>
    <w:qFormat/>
    <w:uiPriority w:val="0"/>
    <w:rPr>
      <w:b/>
      <w:bCs/>
      <w:kern w:val="44"/>
      <w:sz w:val="44"/>
      <w:szCs w:val="44"/>
    </w:rPr>
  </w:style>
  <w:style w:type="character" w:customStyle="1" w:styleId="189">
    <w:name w:val="批注文字 Char"/>
    <w:link w:val="13"/>
    <w:uiPriority w:val="0"/>
    <w:rPr>
      <w:rFonts w:eastAsia="宋体"/>
      <w:kern w:val="2"/>
      <w:sz w:val="21"/>
      <w:szCs w:val="24"/>
      <w:lang w:val="en-US" w:eastAsia="zh-CN" w:bidi="ar-SA"/>
    </w:rPr>
  </w:style>
  <w:style w:type="character" w:customStyle="1" w:styleId="190">
    <w:name w:val="Footer Char"/>
    <w:basedOn w:val="46"/>
    <w:locked/>
    <w:uiPriority w:val="0"/>
    <w:rPr>
      <w:rFonts w:cs="Times New Roman"/>
      <w:sz w:val="18"/>
      <w:szCs w:val="18"/>
    </w:rPr>
  </w:style>
  <w:style w:type="character" w:customStyle="1" w:styleId="191">
    <w:name w:val="bt21"/>
    <w:qFormat/>
    <w:uiPriority w:val="0"/>
    <w:rPr>
      <w:rFonts w:hint="eastAsia" w:ascii="黑体" w:eastAsia="黑体"/>
      <w:sz w:val="22"/>
      <w:szCs w:val="22"/>
    </w:rPr>
  </w:style>
  <w:style w:type="character" w:customStyle="1" w:styleId="192">
    <w:name w:val="font51"/>
    <w:qFormat/>
    <w:uiPriority w:val="0"/>
    <w:rPr>
      <w:rFonts w:hint="eastAsia" w:ascii="宋体" w:hAnsi="宋体" w:eastAsia="宋体" w:cs="宋体"/>
      <w:color w:val="000000"/>
      <w:sz w:val="20"/>
      <w:szCs w:val="20"/>
      <w:u w:val="none"/>
    </w:rPr>
  </w:style>
  <w:style w:type="character" w:customStyle="1" w:styleId="193">
    <w:name w:val="正文缩2 Char Char"/>
    <w:link w:val="90"/>
    <w:uiPriority w:val="0"/>
    <w:rPr>
      <w:rFonts w:ascii="Calibri" w:hAnsi="Calibri" w:eastAsia="宋体"/>
      <w:kern w:val="2"/>
      <w:sz w:val="28"/>
      <w:lang w:bidi="ar-SA"/>
    </w:rPr>
  </w:style>
  <w:style w:type="character" w:customStyle="1" w:styleId="194">
    <w:name w:val="批注框文本 Char"/>
    <w:link w:val="31"/>
    <w:qFormat/>
    <w:uiPriority w:val="99"/>
    <w:rPr>
      <w:rFonts w:eastAsia="宋体"/>
      <w:kern w:val="2"/>
      <w:sz w:val="18"/>
      <w:szCs w:val="18"/>
      <w:lang w:val="en-US" w:eastAsia="zh-CN" w:bidi="ar-SA"/>
    </w:rPr>
  </w:style>
  <w:style w:type="character" w:customStyle="1" w:styleId="195">
    <w:name w:val="font21"/>
    <w:qFormat/>
    <w:uiPriority w:val="0"/>
    <w:rPr>
      <w:rFonts w:hint="default" w:ascii="Dialog" w:hAnsi="Dialog" w:eastAsia="Dialog" w:cs="Dialog"/>
      <w:color w:val="000000"/>
      <w:sz w:val="20"/>
      <w:szCs w:val="20"/>
      <w:u w:val="none"/>
    </w:rPr>
  </w:style>
  <w:style w:type="character" w:customStyle="1" w:styleId="196">
    <w:name w:val="页眉 Char"/>
    <w:basedOn w:val="46"/>
    <w:link w:val="33"/>
    <w:locked/>
    <w:uiPriority w:val="0"/>
    <w:rPr>
      <w:rFonts w:ascii="Calibri" w:hAnsi="Calibri" w:eastAsia="宋体"/>
      <w:kern w:val="2"/>
      <w:sz w:val="18"/>
      <w:szCs w:val="18"/>
      <w:lang w:val="en-US" w:eastAsia="zh-CN" w:bidi="ar-SA"/>
    </w:rPr>
  </w:style>
  <w:style w:type="character" w:customStyle="1" w:styleId="197">
    <w:name w:val="样式2 Char"/>
    <w:link w:val="67"/>
    <w:uiPriority w:val="0"/>
    <w:rPr>
      <w:rFonts w:ascii="方正书宋简体" w:eastAsia="方正书宋简体"/>
      <w:kern w:val="2"/>
      <w:sz w:val="21"/>
      <w:szCs w:val="21"/>
      <w:lang w:val="zh-CN" w:eastAsia="zh-CN" w:bidi="ar-SA"/>
    </w:rPr>
  </w:style>
  <w:style w:type="character" w:customStyle="1" w:styleId="198">
    <w:name w:val="正文文本缩进 2 Char"/>
    <w:link w:val="30"/>
    <w:uiPriority w:val="0"/>
    <w:rPr>
      <w:rFonts w:eastAsia="宋体"/>
      <w:kern w:val="2"/>
      <w:sz w:val="21"/>
      <w:szCs w:val="24"/>
      <w:lang w:val="en-US" w:eastAsia="zh-CN" w:bidi="ar-SA"/>
    </w:rPr>
  </w:style>
  <w:style w:type="character" w:customStyle="1" w:styleId="199">
    <w:name w:val="标题 6 Char"/>
    <w:basedOn w:val="46"/>
    <w:link w:val="8"/>
    <w:locked/>
    <w:uiPriority w:val="0"/>
    <w:rPr>
      <w:rFonts w:ascii="Calibri" w:hAnsi="Calibri" w:eastAsia="宋体" w:cs="宋体"/>
      <w:b/>
      <w:bCs/>
      <w:lang w:val="en-US" w:eastAsia="zh-CN" w:bidi="ar-SA"/>
    </w:rPr>
  </w:style>
  <w:style w:type="character" w:customStyle="1" w:styleId="200">
    <w:name w:val="标题 4 Char"/>
    <w:link w:val="6"/>
    <w:uiPriority w:val="0"/>
    <w:rPr>
      <w:rFonts w:ascii="Arial" w:hAnsi="Arial" w:eastAsia="黑体"/>
      <w:b/>
      <w:bCs/>
      <w:kern w:val="2"/>
      <w:sz w:val="28"/>
      <w:szCs w:val="28"/>
      <w:lang w:val="en-US" w:eastAsia="zh-CN" w:bidi="ar-SA"/>
    </w:rPr>
  </w:style>
  <w:style w:type="character" w:customStyle="1" w:styleId="201">
    <w:name w:val="标题 3 Char1"/>
    <w:qFormat/>
    <w:uiPriority w:val="0"/>
    <w:rPr>
      <w:rFonts w:ascii="Tahoma" w:hAnsi="Tahoma" w:eastAsia="宋体" w:cs="Tahoma"/>
      <w:b/>
      <w:bCs/>
      <w:kern w:val="2"/>
      <w:sz w:val="32"/>
      <w:szCs w:val="32"/>
      <w:lang w:val="en-US" w:eastAsia="zh-CN" w:bidi="ar-SA"/>
    </w:rPr>
  </w:style>
  <w:style w:type="character" w:customStyle="1" w:styleId="202">
    <w:name w:val="_Style 201"/>
    <w:qFormat/>
    <w:uiPriority w:val="0"/>
    <w:rPr>
      <w:sz w:val="24"/>
      <w:szCs w:val="24"/>
      <w:u w:val="single"/>
    </w:rPr>
  </w:style>
  <w:style w:type="character" w:customStyle="1" w:styleId="203">
    <w:name w:val="标题 2 Char1"/>
    <w:qFormat/>
    <w:uiPriority w:val="0"/>
    <w:rPr>
      <w:rFonts w:ascii="Arial" w:hAnsi="Arial" w:eastAsia="黑体" w:cs="Tahoma"/>
      <w:b/>
      <w:bCs/>
      <w:kern w:val="2"/>
      <w:sz w:val="32"/>
      <w:szCs w:val="32"/>
      <w:lang w:val="en-US" w:eastAsia="zh-CN" w:bidi="ar-SA"/>
    </w:rPr>
  </w:style>
  <w:style w:type="character" w:customStyle="1" w:styleId="204">
    <w:name w:val="Body Text Indent Char"/>
    <w:basedOn w:val="46"/>
    <w:locked/>
    <w:uiPriority w:val="0"/>
    <w:rPr>
      <w:rFonts w:ascii="Times New Roman" w:hAnsi="Times New Roman" w:eastAsia="宋体" w:cs="Times New Roman"/>
      <w:sz w:val="24"/>
      <w:szCs w:val="24"/>
    </w:rPr>
  </w:style>
  <w:style w:type="character" w:customStyle="1" w:styleId="205">
    <w:name w:val="Heading 2 Char"/>
    <w:basedOn w:val="46"/>
    <w:locked/>
    <w:uiPriority w:val="0"/>
    <w:rPr>
      <w:rFonts w:ascii="Arial" w:hAnsi="Arial" w:eastAsia="黑体" w:cs="Times New Roman"/>
      <w:b/>
      <w:bCs/>
      <w:sz w:val="32"/>
      <w:szCs w:val="32"/>
    </w:rPr>
  </w:style>
  <w:style w:type="character" w:customStyle="1" w:styleId="206">
    <w:name w:val="_Style 205"/>
    <w:qFormat/>
    <w:uiPriority w:val="0"/>
    <w:rPr>
      <w:i/>
      <w:color w:val="5A5A5A"/>
    </w:rPr>
  </w:style>
  <w:style w:type="character" w:customStyle="1" w:styleId="207">
    <w:name w:val="apple-converted-space"/>
    <w:basedOn w:val="46"/>
    <w:uiPriority w:val="0"/>
  </w:style>
  <w:style w:type="character" w:customStyle="1" w:styleId="208">
    <w:name w:val="日期 Char"/>
    <w:basedOn w:val="46"/>
    <w:link w:val="29"/>
    <w:locked/>
    <w:uiPriority w:val="0"/>
    <w:rPr>
      <w:rFonts w:ascii="Calibri" w:hAnsi="Calibri" w:eastAsia="宋体"/>
      <w:kern w:val="2"/>
      <w:sz w:val="21"/>
      <w:szCs w:val="24"/>
      <w:lang w:val="en-US" w:eastAsia="zh-CN" w:bidi="ar-SA"/>
    </w:rPr>
  </w:style>
  <w:style w:type="character" w:customStyle="1" w:styleId="209">
    <w:name w:val="fontstyle51"/>
    <w:uiPriority w:val="0"/>
    <w:rPr>
      <w:rFonts w:hint="default" w:ascii="楷体" w:hAnsi="楷体"/>
      <w:color w:val="000000"/>
      <w:sz w:val="32"/>
      <w:szCs w:val="32"/>
    </w:rPr>
  </w:style>
  <w:style w:type="character" w:customStyle="1" w:styleId="210">
    <w:name w:val="apple-style-span"/>
    <w:basedOn w:val="46"/>
    <w:qFormat/>
    <w:uiPriority w:val="0"/>
  </w:style>
  <w:style w:type="character" w:customStyle="1" w:styleId="211">
    <w:name w:val="fontstyle11"/>
    <w:uiPriority w:val="0"/>
    <w:rPr>
      <w:rFonts w:hint="eastAsia" w:ascii="黑体" w:hAnsi="黑体" w:eastAsia="黑体"/>
      <w:color w:val="000000"/>
      <w:sz w:val="28"/>
      <w:szCs w:val="28"/>
    </w:rPr>
  </w:style>
  <w:style w:type="character" w:customStyle="1" w:styleId="212">
    <w:name w:val="Heading 3 Char"/>
    <w:basedOn w:val="46"/>
    <w:locked/>
    <w:uiPriority w:val="0"/>
    <w:rPr>
      <w:rFonts w:ascii="Times New Roman" w:hAnsi="Times New Roman" w:eastAsia="宋体" w:cs="Times New Roman"/>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73</Pages>
  <Words>6408</Words>
  <Characters>36529</Characters>
  <Lines>304</Lines>
  <Paragraphs>85</Paragraphs>
  <TotalTime>6</TotalTime>
  <ScaleCrop>false</ScaleCrop>
  <LinksUpToDate>false</LinksUpToDate>
  <CharactersWithSpaces>42852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2020-05-19T04:16:00Z</dcterms:created>
  <dc:creator>Administrator</dc:creator>
  <cp:lastModifiedBy>Administrator</cp:lastModifiedBy>
  <dcterms:modified xsi:type="dcterms:W3CDTF">2020-06-10T02:46:58Z</dcterms:modified>
  <dc:title>达州市泰恒通新能源有限公司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