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099" w:type="dxa"/>
            <w:gridSpan w:val="2"/>
            <w:noWrap w:val="0"/>
            <w:vAlign w:val="center"/>
          </w:tcPr>
          <w:p>
            <w:pPr>
              <w:jc w:val="center"/>
              <w:outlineLvl w:val="1"/>
              <w:rPr>
                <w:rFonts w:hint="default" w:eastAsia="宋体"/>
                <w:vertAlign w:val="baseline"/>
                <w:lang w:val="en-US" w:eastAsia="zh-CN"/>
              </w:rPr>
            </w:pPr>
            <w:bookmarkStart w:id="0" w:name="_Toc32236"/>
            <w:r>
              <w:rPr>
                <w:rFonts w:hint="eastAsia" w:ascii="仿宋" w:hAnsi="仿宋" w:eastAsia="仿宋" w:cs="仿宋"/>
                <w:b/>
                <w:i w:val="0"/>
                <w:color w:val="000000"/>
                <w:kern w:val="0"/>
                <w:sz w:val="36"/>
                <w:szCs w:val="36"/>
                <w:u w:val="none"/>
                <w:lang w:val="en-US" w:eastAsia="zh-CN" w:bidi="ar"/>
              </w:rPr>
              <w:t>（四）粮食进出仓作业关键操作清单及操作要求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927" w:type="dxa"/>
            <w:noWrap w:val="0"/>
            <w:textDirection w:val="tbRlV"/>
            <w:vAlign w:val="center"/>
          </w:tcPr>
          <w:p>
            <w:pPr>
              <w:ind w:left="113" w:right="113"/>
              <w:jc w:val="center"/>
              <w:rPr>
                <w:rFonts w:hint="default" w:eastAsia="宋体"/>
                <w:sz w:val="28"/>
                <w:szCs w:val="28"/>
                <w:vertAlign w:val="baseline"/>
                <w:lang w:val="en-US" w:eastAsia="zh-CN"/>
              </w:rPr>
            </w:pPr>
            <w:r>
              <w:rPr>
                <w:rFonts w:hint="eastAsia"/>
                <w:b/>
                <w:bCs/>
                <w:sz w:val="28"/>
                <w:szCs w:val="28"/>
                <w:vertAlign w:val="baseline"/>
                <w:lang w:val="en-US" w:eastAsia="zh-CN"/>
              </w:rPr>
              <w:t>关键操作清单</w:t>
            </w:r>
          </w:p>
        </w:tc>
        <w:tc>
          <w:tcPr>
            <w:tcW w:w="13172" w:type="dxa"/>
            <w:noWrap w:val="0"/>
            <w:vAlign w:val="center"/>
          </w:tcPr>
          <w:p>
            <w:pPr>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1、空仓消毒、熏蒸用药要按规操作。</w:t>
            </w:r>
          </w:p>
          <w:p>
            <w:pPr>
              <w:numPr>
                <w:ilvl w:val="0"/>
                <w:numId w:val="0"/>
              </w:numPr>
              <w:jc w:val="both"/>
              <w:rPr>
                <w:rFonts w:hint="eastAsia" w:ascii="仿宋" w:hAnsi="仿宋" w:eastAsia="仿宋" w:cs="仿宋"/>
                <w:sz w:val="28"/>
                <w:szCs w:val="28"/>
                <w:vertAlign w:val="baseline"/>
                <w:lang w:val="en-US" w:eastAsia="zh-CN"/>
              </w:rPr>
            </w:pPr>
            <w:r>
              <w:rPr>
                <w:rFonts w:hint="eastAsia"/>
                <w:sz w:val="28"/>
                <w:szCs w:val="28"/>
                <w:vertAlign w:val="baseline"/>
                <w:lang w:val="en-US" w:eastAsia="zh-CN"/>
              </w:rPr>
              <w:t xml:space="preserve">  </w:t>
            </w:r>
            <w:r>
              <w:rPr>
                <w:rFonts w:hint="eastAsia" w:ascii="仿宋" w:hAnsi="仿宋" w:eastAsia="仿宋" w:cs="仿宋"/>
                <w:sz w:val="28"/>
                <w:szCs w:val="28"/>
                <w:vertAlign w:val="baseline"/>
                <w:lang w:val="en-US" w:eastAsia="zh-CN"/>
              </w:rPr>
              <w:t>2、出仓前粮食熏蒸、防护剂使用应超过防护期。</w:t>
            </w:r>
          </w:p>
          <w:p>
            <w:pPr>
              <w:numPr>
                <w:ilvl w:val="0"/>
                <w:numId w:val="0"/>
              </w:num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3、作业前组织装卸人员召开班前安全培训，进行安全交底，由现场安全监管人员确认作业人员采取安全措施后方可确认作业开始。</w:t>
            </w:r>
          </w:p>
          <w:p>
            <w:pPr>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4、出仓作业，严禁人员进入仓内粮堆，防粮堆垮塌埋人，开启挡粮门，需2人以上身系安全绳，在外侧从上往下依次拆除。</w:t>
            </w:r>
          </w:p>
          <w:p>
            <w:pPr>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5、处理粮堆结拱、挂壁时，至少2人身系安全绳，安全绳在仓外有良好固定，从上至下，用长杆清除，严禁从下至上操作，防埋人。</w:t>
            </w:r>
          </w:p>
          <w:p>
            <w:pPr>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6、机械设备使用前要检查电缆线的完好性，使用中做好机械设备的固定及电缆线防碾压措施，机械设备故障时，严禁“带病”运行，需断开电源由专业人员维修。</w:t>
            </w:r>
          </w:p>
          <w:p>
            <w:pPr>
              <w:numPr>
                <w:ilvl w:val="0"/>
                <w:numId w:val="0"/>
              </w:num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7、车辆移动时确保人和机械设备与车辆有足够的安全距离，且人员不在车辆视线盲区，车辆停稳后，方可上下，严禁从输送设备上下人。</w:t>
            </w:r>
          </w:p>
          <w:p>
            <w:pPr>
              <w:numPr>
                <w:ilvl w:val="0"/>
                <w:numId w:val="0"/>
              </w:num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8、车辆卸粮作业，开启侧栏门要注意保持安全距离。</w:t>
            </w:r>
          </w:p>
          <w:p>
            <w:pPr>
              <w:numPr>
                <w:ilvl w:val="0"/>
                <w:numId w:val="0"/>
              </w:num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9、包粮卸车作业要从上往下，严禁从底部或中部开始作业，防滑包及人员跌落。</w:t>
            </w:r>
          </w:p>
          <w:p>
            <w:pPr>
              <w:numPr>
                <w:ilvl w:val="0"/>
                <w:numId w:val="0"/>
              </w:num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10、在高处作业时，要有保护措施，严禁单人作业。</w:t>
            </w:r>
          </w:p>
          <w:p>
            <w:pPr>
              <w:numPr>
                <w:ilvl w:val="0"/>
                <w:numId w:val="0"/>
              </w:numPr>
              <w:ind w:firstLine="280" w:firstLineChars="10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11、移动机械设备前，须下降至安全高度并断电，机械设备下严禁站人。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27" w:type="dxa"/>
            <w:noWrap w:val="0"/>
            <w:textDirection w:val="tbRlV"/>
            <w:vAlign w:val="center"/>
          </w:tcPr>
          <w:p>
            <w:pPr>
              <w:ind w:left="113" w:right="113"/>
              <w:jc w:val="center"/>
              <w:rPr>
                <w:rFonts w:hint="default" w:eastAsia="宋体"/>
                <w:sz w:val="28"/>
                <w:szCs w:val="28"/>
                <w:vertAlign w:val="baseline"/>
                <w:lang w:val="en-US" w:eastAsia="zh-CN"/>
              </w:rPr>
            </w:pPr>
            <w:r>
              <w:rPr>
                <w:rFonts w:hint="eastAsia"/>
                <w:b/>
                <w:bCs/>
                <w:sz w:val="28"/>
                <w:szCs w:val="28"/>
                <w:vertAlign w:val="baseline"/>
                <w:lang w:val="en-US" w:eastAsia="zh-CN"/>
              </w:rPr>
              <w:t>操作要求</w:t>
            </w:r>
          </w:p>
        </w:tc>
        <w:tc>
          <w:tcPr>
            <w:tcW w:w="13172" w:type="dxa"/>
            <w:noWrap w:val="0"/>
            <w:vAlign w:val="center"/>
          </w:tcPr>
          <w:p>
            <w:pPr>
              <w:numPr>
                <w:ilvl w:val="0"/>
                <w:numId w:val="0"/>
              </w:numPr>
              <w:ind w:firstLine="280" w:firstLineChars="10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1、召开班前安全会议，进行安全交底。 </w:t>
            </w:r>
          </w:p>
          <w:p>
            <w:pPr>
              <w:numPr>
                <w:ilvl w:val="0"/>
                <w:numId w:val="0"/>
              </w:numPr>
              <w:ind w:firstLine="280" w:firstLineChars="10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2、现场监管人员督促作业人员采取有效安全措施后方可确认作业开始。</w:t>
            </w:r>
          </w:p>
          <w:p>
            <w:pPr>
              <w:numPr>
                <w:ilvl w:val="0"/>
                <w:numId w:val="0"/>
              </w:numPr>
              <w:ind w:leftChars="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  3、开启挡粮门或粮食堵塞或高处作业时，至少2人采取足够的安全措施后方可操作。  </w:t>
            </w:r>
          </w:p>
          <w:p>
            <w:pPr>
              <w:numPr>
                <w:ilvl w:val="0"/>
                <w:numId w:val="0"/>
              </w:numPr>
              <w:ind w:leftChars="0"/>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  4、检查机械设备电缆线的完好性，做好防碾压措施。</w:t>
            </w:r>
          </w:p>
          <w:p>
            <w:pPr>
              <w:numPr>
                <w:ilvl w:val="0"/>
                <w:numId w:val="0"/>
              </w:numPr>
              <w:ind w:leftChars="0" w:firstLine="280" w:firstLineChars="10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5、车辆移动时，确保与人和机械设备等始终保持足够的安全距离，且人员不在视线盲区。</w:t>
            </w:r>
          </w:p>
          <w:p>
            <w:pPr>
              <w:numPr>
                <w:ilvl w:val="0"/>
                <w:numId w:val="0"/>
              </w:numPr>
              <w:ind w:leftChars="0"/>
              <w:jc w:val="both"/>
              <w:rPr>
                <w:rFonts w:hint="default"/>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  6、输送设备上禁止上下人，设备下禁止穿越。</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Hei">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jU1ODE0MTg5MzFjYjQ4MmQ3OWNmNjcxZThmODkifQ=="/>
  </w:docVars>
  <w:rsids>
    <w:rsidRoot w:val="35217130"/>
    <w:rsid w:val="35217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Sim Hei" w:hAnsi="Times New Roman" w:eastAsia="Sim Hei" w:cs="Sim Hei"/>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2023-07-26T07:42:00Z</dcterms:created>
  <dc:creator>气定神闲</dc:creator>
  <cp:lastModifiedBy>气定神闲</cp:lastModifiedBy>
  <dcterms:modified xsi:type="dcterms:W3CDTF">2023-07-26T07:42:49Z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7384FACB507F4EBAAEDD8D628510DAD4_11</vt:lpwstr>
  </property>
</Properties>
</file>