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150"/>
        <w:gridCol w:w="1575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作业名称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600" w:lineRule="exact"/>
              <w:ind w:firstLine="420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塔式起重机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 w:bidi="ar-SA"/>
              </w:rPr>
              <w:t>司机岗位操作清单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作业对象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塔式起重机司机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危险等级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一般/较大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主要危害因素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1.人的因素：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（1）身体健康状况异常：患有高血压、心脏病、癫痫病以及不适于高处作业的禁忌症等；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（2）冒险心理：酒后作业、疲劳作业、冒险蛮干；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（3）操作错误：违章作业，未按操作规程施工；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2.防护缺陷：未正确使用个人劳动防护用品，未正确佩戴安全帽；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3.坠落伤害：超载运行，制动、限速部件失灵。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易发事故类型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高处坠落、坍塌、触电、火灾。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岗位操作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注意事项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1.塔式起重机司机必须经省级建设行政主管部门考核合格，取得建筑施工特种作业人员操作证书，方可上岗；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开机前应认真检查钢丝绳、吊钩、吊具有无严重磨损、裂纹和损坏现象，传动连接部位螺栓是否松动，设备各电器元件是否良好，线路连接是否安全可靠，传动部分润滑部位是否正常，并进行空运转，待一切正常后方可使用。行走式塔式起重机作业前，检查轨道应平直、无沉陷，轨道螺栓无松动，排除轨道上的障碍物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3.工作时应服从指挥，坚持岗位，集中精力，精心操作，严禁吊钩有重物时离开驾驶室，操作中做到二慢一快，即：起吊、下落慢，中间快；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4.下降吊钩或起吊物件时，如遇信号不明，发现下面有人或吊钩前面有障碍物时应立即发出信号，服从指挥人员信号指挥；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5.吊运重物应高于前进方向所有障碍物2m；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6.塔机操作应遵守下列规定：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（一）吊运物件时，平衡重必须移动至规定位置；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（二）在顶升中，必须有专人指挥。看管电源、操纵液压系统和紧固螺栓。顶升时必须放松电缆，放松长度应略大于总的顶升高度，并固定好电缆卷筒；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（三）顶升时，应把载重小车和平衡重移近塔帽，并将旋转部分刹住，严禁塔机旋转；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7.操作时发现塔机工作不正常、安全装置失灵应立即停止操作，切断电源，汇报主管部门组织检修，待正常后方可使用。在高处修理必须挂好安全带；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8.下班前将吊钩提升到离臂杆顶端2～3m处，松开回旋机构制动装置，使其顺风源自由转动；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9.下班前各操作控制应扳回零位，切断电源，离开驾驶室并锁好门。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劳动防护用品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安全帽、劳保鞋、工具包。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应急处置措施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1.事故发生时，立刻向现场负责人报告事故并立即抢救伤员；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2.对危险区域人员应紧急疏散、严禁围观，防止二次事故发生；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3.如遇骨折等严重情况，为了避免二次伤害，严禁挪动伤者，听从项目部应急小组人员安排，及时妥善就医；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4.受伤昏迷的，可采取急救措施，待专业医生救治。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电话报告： 现场负责人：张X   139XXXXXXXX      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急救电话：应急预案中规定的医院联系电话</w:t>
            </w:r>
          </w:p>
          <w:p>
            <w:pPr>
              <w:spacing w:line="360" w:lineRule="exact"/>
              <w:rPr>
                <w:rFonts w:hint="eastAsia" w:ascii="宋体" w:cs="微软雅黑"/>
                <w:b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送医路线：应急预案中规定的送医路线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768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2023-07-15T08:34:59Z</dcterms:created>
  <dc:creator>Administrator</dc:creator>
  <cp:lastModifiedBy>肖维</cp:lastModifiedBy>
  <dcterms:modified xsi:type="dcterms:W3CDTF">2023-07-15T08:35:47Z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C3017FD7053D467895CBF6E7013D8415_12</vt:lpwstr>
  </property>
</Properties>
</file>