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64" w:tblpY="153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3150"/>
        <w:gridCol w:w="1575"/>
        <w:gridCol w:w="22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5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32"/>
                <w:szCs w:val="32"/>
                <w:lang w:bidi="ar-SA"/>
              </w:rPr>
              <w:t>作业名称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bidi="ar-SA"/>
              </w:rPr>
              <w:t>施工升降机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lang w:val="en-US" w:eastAsia="zh-CN" w:bidi="ar-SA"/>
              </w:rPr>
              <w:t>岗位操作清单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5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32"/>
                <w:szCs w:val="32"/>
                <w:lang w:bidi="ar-SA"/>
              </w:rPr>
              <w:t>作业对象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施工升降机司机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危险等级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一般/较大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15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 w:cs="宋体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32"/>
                <w:szCs w:val="32"/>
                <w:lang w:bidi="ar-SA"/>
              </w:rPr>
              <w:t>主要危害因素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1.人的因素：</w:t>
            </w:r>
          </w:p>
          <w:p>
            <w:pPr>
              <w:spacing w:line="360" w:lineRule="exact"/>
              <w:ind w:left="480" w:hanging="480" w:hangingChars="2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（1）身体健康状况异常：患有高血压、心脏病、癫痫病以及不适于高处作业的禁忌症等；</w:t>
            </w:r>
            <w:bookmarkStart w:id="0" w:name="_GoBack"/>
            <w:bookmarkEnd w:id="0"/>
          </w:p>
          <w:p>
            <w:pPr>
              <w:spacing w:line="360" w:lineRule="exact"/>
              <w:ind w:left="480" w:hanging="480" w:hangingChars="2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（2）冒险心理：酒后作业、疲劳作业、冒险蛮干；</w:t>
            </w:r>
          </w:p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（3）操作错误：违章作业，未按操作规程施工；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2.防护缺陷：未正确使用个人劳动防护用品，未正确佩戴安全帽；</w:t>
            </w: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3.坠落伤害：超载运行，制动、限速部件失灵。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32"/>
                <w:szCs w:val="32"/>
                <w:lang w:bidi="ar-SA"/>
              </w:rPr>
              <w:t>易发事故类型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高处坠落、坍塌、触电、火灾。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215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 w:cs="宋体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32"/>
                <w:szCs w:val="32"/>
                <w:lang w:bidi="ar-SA"/>
              </w:rPr>
              <w:t>岗位操作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 w:cs="宋体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32"/>
                <w:szCs w:val="32"/>
                <w:lang w:bidi="ar-SA"/>
              </w:rPr>
              <w:t>注意事项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1.施工升降机司机必须经省级建设行政主管部门考核合格，取得建筑施工特种作业人员操作证书，方可上岗；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2.接班第一次开车，应满载将吊笼开至离地面1m处，停车检查吊笼是否自动下滑现象，如发生下滑现象，必须调整电磁制动器的间隙；</w:t>
            </w:r>
          </w:p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3.司机开车时要集中精神，严禁与他人闲谈；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4.严禁超载运行，载重或载人应符合说明书要求；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5.随时注意信号，观察运转状况，发现异常必须立即停车，待故障排除后方能开车；</w:t>
            </w:r>
          </w:p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6.严禁装载超过吊笼宽度和高度物品和材料；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7.视野很差、大雾、雷雨天气和危险条件时，严禁开车；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8.合闸总启动后司机不准离开吊笼，只有在取走电锁钥匙后，方能离开吊笼；</w:t>
            </w:r>
          </w:p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9.制动、限速部件发现异常或失灵时严禁开车；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10.大风条件下应注意安全，当风力达到6级以上时，不准开车，并将吊笼降到最低层；</w:t>
            </w:r>
          </w:p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11.卸料平台安全门未关好，不得开动吊笼；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12.下班后必须打扫吊笼，做好当班记录，拉开开关，锁好控制箱和底笼门，填写运行记录，做好交接班；</w:t>
            </w:r>
          </w:p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13.严禁非司机开车。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15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32"/>
                <w:szCs w:val="32"/>
                <w:lang w:bidi="ar-SA"/>
              </w:rPr>
              <w:t>劳动防护用品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cs="微软雅黑"/>
                <w:b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安全帽、劳保鞋、工具包。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5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32"/>
                <w:szCs w:val="32"/>
                <w:lang w:bidi="ar-SA"/>
              </w:rPr>
              <w:t>应急处置措施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1.事故发生时，立刻向现场负责人报告事故并立即抢救伤员；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2.对危险区域人员应紧急疏散、严禁围观，防止二次事故发生；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3.如遇骨折等严重情况，为了避免二次伤害，严禁挪动伤者，听从项目部应急小组人员安排，及时妥善就医；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4.受伤昏迷的，可采取急救措施，待专业医生救治。</w:t>
            </w:r>
          </w:p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 xml:space="preserve">电话报告： 现场负责人：张X   139XXXXXXXX      </w:t>
            </w:r>
          </w:p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急救电话：应急预案中规定的医院联系电话</w:t>
            </w:r>
          </w:p>
          <w:p>
            <w:pPr>
              <w:spacing w:line="360" w:lineRule="exact"/>
              <w:rPr>
                <w:rFonts w:hint="eastAsia" w:ascii="宋体" w:cs="微软雅黑"/>
                <w:b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送医路线：应急预案中规定的送医路线</w:t>
            </w:r>
          </w:p>
        </w:tc>
      </w:tr>
    </w:tbl>
    <w:p/>
    <w:sectPr>
      <w:pgSz w:w="11906" w:h="16838"/>
      <w:pgMar w:top="646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jY3OTVlZDY0MTM5MmUzNDRjMGE2YmMzMjNhYzEifQ=="/>
  </w:docVars>
  <w:rsids>
    <w:rsidRoot w:val="00000000"/>
    <w:rsid w:val="7990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2023-07-15T08:24:39Z</dcterms:created>
  <dc:creator>Administrator</dc:creator>
  <cp:lastModifiedBy>肖维</cp:lastModifiedBy>
  <dcterms:modified xsi:type="dcterms:W3CDTF">2023-07-15T08:25:32Z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88157FEF35444091B16CA65518891A47_12</vt:lpwstr>
  </property>
</Properties>
</file>