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D00EFC">
      <w:pPr>
        <w:jc w:val="center"/>
        <w:rPr>
          <w:rFonts w:ascii="宋体" w:hAnsi="宋体" w:eastAsia="宋体" w:cs="宋体"/>
          <w:b/>
          <w:bCs/>
        </w:rPr>
      </w:pPr>
    </w:p>
    <w:p w14:paraId="1D797EEC">
      <w:pPr>
        <w:jc w:val="center"/>
        <w:rPr>
          <w:rFonts w:ascii="宋体" w:hAnsi="宋体" w:eastAsia="宋体" w:cs="宋体"/>
          <w:b/>
          <w:bCs/>
        </w:rPr>
      </w:pPr>
    </w:p>
    <w:p w14:paraId="4012D7E1">
      <w:pPr>
        <w:rPr>
          <w:rFonts w:ascii="宋体" w:hAnsi="宋体" w:eastAsia="宋体" w:cs="宋体"/>
        </w:rPr>
      </w:pPr>
    </w:p>
    <w:p w14:paraId="6EBEB7CD">
      <w:pPr>
        <w:rPr>
          <w:rFonts w:ascii="黑体" w:hAnsi="黑体" w:eastAsia="黑体" w:cs="宋体"/>
          <w:sz w:val="40"/>
          <w:szCs w:val="36"/>
        </w:rPr>
      </w:pPr>
    </w:p>
    <w:p w14:paraId="4257ABE7">
      <w:pPr>
        <w:jc w:val="center"/>
        <w:rPr>
          <w:rFonts w:ascii="黑体" w:hAnsi="黑体" w:eastAsia="黑体" w:cs="宋体"/>
          <w:b/>
          <w:bCs/>
          <w:sz w:val="40"/>
          <w:szCs w:val="36"/>
        </w:rPr>
      </w:pPr>
    </w:p>
    <w:p w14:paraId="27D0A6D8">
      <w:pPr>
        <w:jc w:val="center"/>
        <w:rPr>
          <w:rFonts w:ascii="黑体" w:hAnsi="黑体" w:eastAsia="黑体" w:cs="宋体"/>
          <w:b/>
          <w:bCs/>
          <w:sz w:val="40"/>
          <w:szCs w:val="36"/>
        </w:rPr>
      </w:pPr>
      <w:r>
        <w:rPr>
          <w:rFonts w:ascii="黑体" w:hAnsi="黑体" w:eastAsia="黑体" w:cs="宋体"/>
          <w:b/>
          <w:bCs/>
          <w:sz w:val="40"/>
          <w:szCs w:val="36"/>
        </w:rPr>
        <w:tab/>
      </w:r>
      <w:r>
        <w:rPr>
          <w:rFonts w:hint="eastAsia" w:ascii="黑体" w:hAnsi="黑体" w:eastAsia="黑体" w:cs="宋体"/>
          <w:b/>
          <w:bCs/>
          <w:sz w:val="40"/>
          <w:szCs w:val="36"/>
        </w:rPr>
        <w:t>阆中双瑞能源有限公司</w:t>
      </w:r>
    </w:p>
    <w:p w14:paraId="524F27B6">
      <w:pPr>
        <w:tabs>
          <w:tab w:val="left" w:pos="6284"/>
        </w:tabs>
        <w:jc w:val="center"/>
        <w:rPr>
          <w:rFonts w:ascii="黑体" w:hAnsi="黑体" w:eastAsia="黑体" w:cs="宋体"/>
          <w:b/>
          <w:bCs/>
          <w:sz w:val="40"/>
          <w:szCs w:val="36"/>
        </w:rPr>
      </w:pPr>
      <w:r>
        <w:rPr>
          <w:rFonts w:hint="eastAsia" w:ascii="黑体" w:hAnsi="黑体" w:eastAsia="黑体" w:cs="宋体"/>
          <w:b/>
          <w:bCs/>
          <w:sz w:val="40"/>
          <w:szCs w:val="36"/>
        </w:rPr>
        <w:t xml:space="preserve"> </w:t>
      </w:r>
      <w:r>
        <w:rPr>
          <w:rFonts w:ascii="黑体" w:hAnsi="黑体" w:eastAsia="黑体" w:cs="宋体"/>
          <w:b/>
          <w:bCs/>
          <w:sz w:val="40"/>
          <w:szCs w:val="36"/>
        </w:rPr>
        <w:t xml:space="preserve"> </w:t>
      </w:r>
      <w:r>
        <w:rPr>
          <w:rFonts w:hint="eastAsia" w:ascii="黑体" w:hAnsi="黑体" w:eastAsia="黑体" w:cs="宋体"/>
          <w:b/>
          <w:bCs/>
          <w:sz w:val="40"/>
          <w:szCs w:val="36"/>
        </w:rPr>
        <w:t>生产运行部安全风险辨识表（SCL）</w:t>
      </w:r>
    </w:p>
    <w:p w14:paraId="17C4D7CA">
      <w:pPr>
        <w:tabs>
          <w:tab w:val="left" w:pos="6284"/>
        </w:tabs>
        <w:jc w:val="center"/>
        <w:rPr>
          <w:rFonts w:ascii="黑体" w:hAnsi="黑体" w:eastAsia="黑体" w:cs="宋体"/>
          <w:b/>
          <w:bCs/>
          <w:sz w:val="40"/>
          <w:szCs w:val="36"/>
        </w:rPr>
      </w:pPr>
    </w:p>
    <w:p w14:paraId="529AD945">
      <w:pPr>
        <w:tabs>
          <w:tab w:val="left" w:pos="6284"/>
        </w:tabs>
        <w:jc w:val="center"/>
        <w:rPr>
          <w:rFonts w:ascii="黑体" w:hAnsi="黑体" w:eastAsia="黑体" w:cs="宋体"/>
          <w:b/>
          <w:bCs/>
          <w:sz w:val="40"/>
          <w:szCs w:val="36"/>
        </w:rPr>
      </w:pPr>
    </w:p>
    <w:p w14:paraId="079187C1">
      <w:pPr>
        <w:tabs>
          <w:tab w:val="left" w:pos="6284"/>
        </w:tabs>
        <w:jc w:val="center"/>
        <w:rPr>
          <w:rFonts w:ascii="黑体" w:hAnsi="黑体" w:eastAsia="黑体" w:cs="宋体"/>
          <w:b/>
          <w:bCs/>
          <w:sz w:val="40"/>
          <w:szCs w:val="36"/>
        </w:rPr>
      </w:pPr>
      <w:r>
        <w:rPr>
          <w:rFonts w:hint="eastAsia" w:ascii="黑体" w:hAnsi="黑体" w:eastAsia="黑体" w:cs="宋体"/>
          <w:b/>
          <w:bCs/>
          <w:sz w:val="40"/>
          <w:szCs w:val="36"/>
        </w:rPr>
        <w:t>2</w:t>
      </w:r>
      <w:r>
        <w:rPr>
          <w:rFonts w:ascii="黑体" w:hAnsi="黑体" w:eastAsia="黑体" w:cs="宋体"/>
          <w:b/>
          <w:bCs/>
          <w:sz w:val="40"/>
          <w:szCs w:val="36"/>
        </w:rPr>
        <w:t>02</w:t>
      </w:r>
      <w:r>
        <w:rPr>
          <w:rFonts w:hint="eastAsia" w:ascii="黑体" w:hAnsi="黑体" w:eastAsia="黑体" w:cs="宋体"/>
          <w:b/>
          <w:bCs/>
          <w:sz w:val="40"/>
          <w:szCs w:val="36"/>
          <w:lang w:val="en-US" w:eastAsia="zh-CN"/>
        </w:rPr>
        <w:t>5</w:t>
      </w:r>
      <w:r>
        <w:rPr>
          <w:rFonts w:hint="eastAsia" w:ascii="黑体" w:hAnsi="黑体" w:eastAsia="黑体" w:cs="宋体"/>
          <w:b/>
          <w:bCs/>
          <w:sz w:val="40"/>
          <w:szCs w:val="36"/>
        </w:rPr>
        <w:t>年</w:t>
      </w:r>
      <w:r>
        <w:rPr>
          <w:rFonts w:ascii="黑体" w:hAnsi="黑体" w:eastAsia="黑体" w:cs="宋体"/>
          <w:b/>
          <w:bCs/>
          <w:sz w:val="40"/>
          <w:szCs w:val="36"/>
        </w:rPr>
        <w:t>1</w:t>
      </w:r>
      <w:r>
        <w:rPr>
          <w:rFonts w:hint="eastAsia" w:ascii="黑体" w:hAnsi="黑体" w:eastAsia="黑体" w:cs="宋体"/>
          <w:b/>
          <w:bCs/>
          <w:sz w:val="40"/>
          <w:szCs w:val="36"/>
        </w:rPr>
        <w:t>月</w:t>
      </w:r>
    </w:p>
    <w:p w14:paraId="6EE2E059">
      <w:pPr>
        <w:jc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br w:type="page"/>
      </w:r>
    </w:p>
    <w:p w14:paraId="5104B383">
      <w:pPr>
        <w:jc w:val="center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阆中双瑞能源有限公司</w:t>
      </w:r>
    </w:p>
    <w:p w14:paraId="3B144920">
      <w:pPr>
        <w:jc w:val="center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生产运行部安全风险辨识表（SCL）</w:t>
      </w:r>
    </w:p>
    <w:p w14:paraId="6A79349F">
      <w:pPr>
        <w:rPr>
          <w:rFonts w:ascii="宋体" w:hAnsi="宋体" w:eastAsia="宋体" w:cs="宋体"/>
          <w:b/>
          <w:bCs/>
        </w:rPr>
      </w:pPr>
    </w:p>
    <w:p w14:paraId="1F1DD8C9">
      <w:pPr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填写备注：</w:t>
      </w:r>
    </w:p>
    <w:tbl>
      <w:tblPr>
        <w:tblStyle w:val="4"/>
        <w:tblpPr w:leftFromText="180" w:rightFromText="180" w:vertAnchor="page" w:horzAnchor="margin" w:tblpY="2504"/>
        <w:tblW w:w="1407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1807"/>
        <w:gridCol w:w="1557"/>
        <w:gridCol w:w="2333"/>
        <w:gridCol w:w="3112"/>
        <w:gridCol w:w="545"/>
        <w:gridCol w:w="545"/>
        <w:gridCol w:w="545"/>
        <w:gridCol w:w="545"/>
        <w:gridCol w:w="546"/>
        <w:gridCol w:w="907"/>
        <w:gridCol w:w="1070"/>
      </w:tblGrid>
      <w:tr w14:paraId="183A4B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5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348ABFC0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序</w:t>
            </w:r>
          </w:p>
          <w:p w14:paraId="6B1F0181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号</w:t>
            </w:r>
          </w:p>
        </w:tc>
        <w:tc>
          <w:tcPr>
            <w:tcW w:w="1807" w:type="dxa"/>
            <w:vMerge w:val="restart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57F74647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项目</w:t>
            </w:r>
          </w:p>
        </w:tc>
        <w:tc>
          <w:tcPr>
            <w:tcW w:w="1557" w:type="dxa"/>
            <w:vMerge w:val="restart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60587FE5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标准</w:t>
            </w:r>
          </w:p>
        </w:tc>
        <w:tc>
          <w:tcPr>
            <w:tcW w:w="2333" w:type="dxa"/>
            <w:vMerge w:val="restart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712DEB97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不符合标准</w:t>
            </w:r>
          </w:p>
          <w:p w14:paraId="189D96E7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情况及后果</w:t>
            </w:r>
          </w:p>
        </w:tc>
        <w:tc>
          <w:tcPr>
            <w:tcW w:w="3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730C216E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现有控制措施</w:t>
            </w:r>
          </w:p>
        </w:tc>
        <w:tc>
          <w:tcPr>
            <w:tcW w:w="272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7F0D6410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风险评价</w:t>
            </w:r>
          </w:p>
        </w:tc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32AD41E8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风险</w:t>
            </w:r>
          </w:p>
          <w:p w14:paraId="2ADD5460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分级</w:t>
            </w:r>
          </w:p>
        </w:tc>
        <w:tc>
          <w:tcPr>
            <w:tcW w:w="1070" w:type="dxa"/>
            <w:vMerge w:val="restart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657BCF8C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备注</w:t>
            </w:r>
          </w:p>
        </w:tc>
      </w:tr>
      <w:tr w14:paraId="4970AC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5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37290C6">
            <w:pPr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  <w:tc>
          <w:tcPr>
            <w:tcW w:w="1807" w:type="dxa"/>
            <w:vMerge w:val="continue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749E70FF">
            <w:pPr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  <w:tc>
          <w:tcPr>
            <w:tcW w:w="1557" w:type="dxa"/>
            <w:vMerge w:val="continue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657F3FFE">
            <w:pPr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  <w:tc>
          <w:tcPr>
            <w:tcW w:w="2333" w:type="dxa"/>
            <w:vMerge w:val="continue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4DEB5DC1">
            <w:pPr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  <w:tc>
          <w:tcPr>
            <w:tcW w:w="311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08FFA9F3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工程技术措施、管理措施、培训教育措施、个体防护措施、应急处置措施等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01D68493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可能性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57B2FEF0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严重性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56118096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频次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5DF0FFA1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风险值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18EEF522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评价级别</w:t>
            </w:r>
          </w:p>
        </w:tc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D4B7ED2">
            <w:pPr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  <w:tc>
          <w:tcPr>
            <w:tcW w:w="1070" w:type="dxa"/>
            <w:vMerge w:val="continue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444F1ACB">
            <w:pPr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</w:tr>
      <w:tr w14:paraId="43596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7" w:hRule="atLeast"/>
        </w:trPr>
        <w:tc>
          <w:tcPr>
            <w:tcW w:w="56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26E98378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1</w:t>
            </w:r>
          </w:p>
        </w:tc>
        <w:tc>
          <w:tcPr>
            <w:tcW w:w="18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02F20874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4C71CCDE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  <w:tc>
          <w:tcPr>
            <w:tcW w:w="23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661B73BE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  <w:tc>
          <w:tcPr>
            <w:tcW w:w="311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1996B95E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5ADBCFEC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7C2B2233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7F1D00CF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758F647A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084DCC1C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06DB41C8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7AB75539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</w:tr>
    </w:tbl>
    <w:p w14:paraId="36062765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注：</w:t>
      </w:r>
      <w:r>
        <w:rPr>
          <w:rFonts w:ascii="宋体" w:hAnsi="宋体" w:eastAsia="宋体" w:cs="宋体"/>
        </w:rPr>
        <w:t>1.</w:t>
      </w:r>
      <w:r>
        <w:rPr>
          <w:rFonts w:hint="eastAsia" w:ascii="宋体" w:hAnsi="宋体" w:eastAsia="宋体" w:cs="宋体"/>
        </w:rPr>
        <w:t>分析人为岗位人员，审核人为所在班组负责人，审定人为部门负责人。</w:t>
      </w:r>
    </w:p>
    <w:p w14:paraId="7FB5F62F">
      <w:pPr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2.</w:t>
      </w:r>
      <w:r>
        <w:rPr>
          <w:rFonts w:hint="eastAsia" w:ascii="宋体" w:hAnsi="宋体" w:eastAsia="宋体" w:cs="宋体"/>
        </w:rPr>
        <w:t>当选用风险矩阵分析法（</w:t>
      </w:r>
      <w:r>
        <w:rPr>
          <w:rFonts w:ascii="宋体" w:hAnsi="宋体" w:eastAsia="宋体" w:cs="宋体"/>
        </w:rPr>
        <w:t>LS</w:t>
      </w:r>
      <w:r>
        <w:rPr>
          <w:rFonts w:hint="eastAsia" w:ascii="宋体" w:hAnsi="宋体" w:eastAsia="宋体" w:cs="宋体"/>
        </w:rPr>
        <w:t>）法时可不填写频次。</w:t>
      </w:r>
    </w:p>
    <w:p w14:paraId="294BE7C4">
      <w:pPr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3.</w:t>
      </w:r>
      <w:r>
        <w:rPr>
          <w:rFonts w:hint="eastAsia" w:ascii="宋体" w:hAnsi="宋体" w:eastAsia="宋体" w:cs="宋体"/>
        </w:rPr>
        <w:t>现有管控措施结合企业实际情况按五种措施分类填写，内容必须详细和具体。</w:t>
      </w:r>
    </w:p>
    <w:p w14:paraId="0F483259">
      <w:pPr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4.</w:t>
      </w:r>
      <w:r>
        <w:rPr>
          <w:rFonts w:hint="eastAsia" w:ascii="宋体" w:hAnsi="宋体" w:eastAsia="宋体" w:cs="宋体"/>
        </w:rPr>
        <w:t>可能发生的事故类型应结合化工行业特点，依据</w:t>
      </w:r>
      <w:r>
        <w:rPr>
          <w:rFonts w:ascii="宋体" w:hAnsi="宋体" w:eastAsia="宋体" w:cs="宋体"/>
        </w:rPr>
        <w:t>GB6441</w:t>
      </w:r>
      <w:r>
        <w:rPr>
          <w:rFonts w:hint="eastAsia" w:ascii="宋体" w:hAnsi="宋体" w:eastAsia="宋体" w:cs="宋体"/>
        </w:rPr>
        <w:t>填写，包括物体打击、车辆伤害、机械伤害、起重伤害、触电、淹溺、灼烫、火灾、高处坠落、坍塌、锅炉爆炸、容器爆炸、其它爆炸、中毒和窒息，以及其它伤害等；</w:t>
      </w:r>
    </w:p>
    <w:p w14:paraId="3E215494">
      <w:pPr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5.</w:t>
      </w:r>
      <w:r>
        <w:rPr>
          <w:rFonts w:hint="eastAsia" w:ascii="宋体" w:hAnsi="宋体" w:eastAsia="宋体" w:cs="宋体"/>
        </w:rPr>
        <w:t>评价级别是运用风险评价方法确定的风险等级。</w:t>
      </w:r>
    </w:p>
    <w:p w14:paraId="61CE2DFD">
      <w:pPr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6.</w:t>
      </w:r>
      <w:r>
        <w:rPr>
          <w:rFonts w:hint="eastAsia" w:ascii="宋体" w:hAnsi="宋体" w:eastAsia="宋体" w:cs="宋体"/>
        </w:rPr>
        <w:t>风险分级是指重大风险、较大风险、一般风险和低风险，分别用“红、橙、黄、蓝”标识。</w:t>
      </w:r>
    </w:p>
    <w:p w14:paraId="37AA58FD">
      <w:pPr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7.</w:t>
      </w:r>
      <w:r>
        <w:rPr>
          <w:rFonts w:hint="eastAsia" w:ascii="宋体" w:hAnsi="宋体" w:eastAsia="宋体" w:cs="宋体"/>
        </w:rPr>
        <w:t>管控层级是指根据公司机构设置情况确定的管控层级，一般分为公司级、部室级、班组岗位级。</w:t>
      </w:r>
    </w:p>
    <w:p w14:paraId="4570A90B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8</w:t>
      </w:r>
      <w:r>
        <w:rPr>
          <w:rFonts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判定标准采用《</w:t>
      </w:r>
      <w:r>
        <w:rPr>
          <w:rFonts w:hint="eastAsia" w:ascii="宋体" w:hAnsi="宋体" w:eastAsia="宋体" w:cs="宋体"/>
          <w:lang w:val="en-US" w:eastAsia="zh-CN"/>
        </w:rPr>
        <w:t>HSE</w:t>
      </w:r>
      <w:r>
        <w:rPr>
          <w:rFonts w:hint="eastAsia" w:ascii="宋体" w:hAnsi="宋体" w:eastAsia="宋体" w:cs="宋体"/>
        </w:rPr>
        <w:t>管理制度》（2</w:t>
      </w:r>
      <w:r>
        <w:rPr>
          <w:rFonts w:ascii="宋体" w:hAnsi="宋体" w:eastAsia="宋体" w:cs="宋体"/>
        </w:rPr>
        <w:t>02</w:t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</w:rPr>
        <w:t>版）中《风险管理规定》。</w:t>
      </w:r>
      <w:r>
        <w:rPr>
          <w:rFonts w:ascii="宋体" w:hAnsi="宋体" w:eastAsia="宋体" w:cs="宋体"/>
        </w:rPr>
        <w:br w:type="page"/>
      </w:r>
    </w:p>
    <w:p w14:paraId="2367EFE2">
      <w:pPr>
        <w:jc w:val="center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阆中双瑞能源有限公司</w:t>
      </w:r>
    </w:p>
    <w:p w14:paraId="12EDDB1A">
      <w:pPr>
        <w:jc w:val="center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生产运行部安全风险辨识表（SCL）</w:t>
      </w:r>
    </w:p>
    <w:tbl>
      <w:tblPr>
        <w:tblStyle w:val="4"/>
        <w:tblpPr w:leftFromText="180" w:rightFromText="180" w:vertAnchor="page" w:horzAnchor="margin" w:tblpY="2504"/>
        <w:tblW w:w="1403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9"/>
        <w:gridCol w:w="1029"/>
        <w:gridCol w:w="2501"/>
        <w:gridCol w:w="1765"/>
        <w:gridCol w:w="4140"/>
        <w:gridCol w:w="565"/>
        <w:gridCol w:w="565"/>
        <w:gridCol w:w="565"/>
        <w:gridCol w:w="566"/>
        <w:gridCol w:w="72"/>
        <w:gridCol w:w="869"/>
        <w:gridCol w:w="13"/>
        <w:gridCol w:w="1030"/>
        <w:gridCol w:w="67"/>
      </w:tblGrid>
      <w:tr w14:paraId="54D99E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7" w:type="dxa"/>
          <w:trHeight w:val="409" w:hRule="atLeast"/>
        </w:trPr>
        <w:tc>
          <w:tcPr>
            <w:tcW w:w="2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77F6B6DF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序</w:t>
            </w:r>
          </w:p>
          <w:p w14:paraId="58F7F8BD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号</w:t>
            </w:r>
          </w:p>
        </w:tc>
        <w:tc>
          <w:tcPr>
            <w:tcW w:w="1029" w:type="dxa"/>
            <w:vMerge w:val="restart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26BE6E34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项目</w:t>
            </w:r>
          </w:p>
        </w:tc>
        <w:tc>
          <w:tcPr>
            <w:tcW w:w="2501" w:type="dxa"/>
            <w:vMerge w:val="restart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3C9BF0BA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标准</w:t>
            </w:r>
          </w:p>
        </w:tc>
        <w:tc>
          <w:tcPr>
            <w:tcW w:w="1765" w:type="dxa"/>
            <w:vMerge w:val="restart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09B9962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不符合标准</w:t>
            </w:r>
          </w:p>
          <w:p w14:paraId="05EC9D40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情况及后果</w:t>
            </w:r>
          </w:p>
        </w:tc>
        <w:tc>
          <w:tcPr>
            <w:tcW w:w="4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7B585AF4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现有控制措施</w:t>
            </w:r>
          </w:p>
        </w:tc>
        <w:tc>
          <w:tcPr>
            <w:tcW w:w="23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3834F887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风险评价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52C1F742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风险</w:t>
            </w:r>
          </w:p>
          <w:p w14:paraId="73EA3B0D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分级</w:t>
            </w: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226F2128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备注</w:t>
            </w:r>
          </w:p>
        </w:tc>
      </w:tr>
      <w:tr w14:paraId="7F77BD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2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C2E2B6F">
            <w:pPr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  <w:tc>
          <w:tcPr>
            <w:tcW w:w="1029" w:type="dxa"/>
            <w:vMerge w:val="continue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62301374">
            <w:pPr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  <w:tc>
          <w:tcPr>
            <w:tcW w:w="2501" w:type="dxa"/>
            <w:vMerge w:val="continue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5E9D89A0">
            <w:pPr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  <w:tc>
          <w:tcPr>
            <w:tcW w:w="1765" w:type="dxa"/>
            <w:vMerge w:val="continue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209B6A6B">
            <w:pPr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7F81F5F6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工程技术措施、管理措施、培训教育措施、个体防护措施、应急处置措施等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5CA1F08B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可能性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17657060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严重性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07E14D58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风险值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64039465">
            <w:pPr>
              <w:spacing w:line="0" w:lineRule="atLeas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评价级别</w:t>
            </w:r>
          </w:p>
        </w:tc>
        <w:tc>
          <w:tcPr>
            <w:tcW w:w="9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8D96ABC">
            <w:pPr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58EB5C04">
            <w:pPr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</w:tr>
      <w:tr w14:paraId="112919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4" w:hRule="atLeast"/>
        </w:trPr>
        <w:tc>
          <w:tcPr>
            <w:tcW w:w="2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16D8C02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07F30014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LNG储存单元</w:t>
            </w:r>
          </w:p>
        </w:tc>
        <w:tc>
          <w:tcPr>
            <w:tcW w:w="25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7B6F469">
            <w:pPr>
              <w:spacing w:line="240" w:lineRule="exact"/>
              <w:jc w:val="both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1、液位：2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000-19000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mm；</w:t>
            </w:r>
          </w:p>
          <w:p w14:paraId="5EDC344F">
            <w:pPr>
              <w:spacing w:line="240" w:lineRule="exact"/>
              <w:jc w:val="both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2、压力：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6-18KP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a</w:t>
            </w:r>
          </w:p>
        </w:tc>
        <w:tc>
          <w:tcPr>
            <w:tcW w:w="1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714DA819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超液位时，造成</w:t>
            </w:r>
          </w:p>
          <w:p w14:paraId="26BF6725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1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物料损失</w:t>
            </w:r>
          </w:p>
          <w:p w14:paraId="338A9B08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2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可燃气体外泄</w:t>
            </w:r>
          </w:p>
          <w:p w14:paraId="43B77DB9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3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储罐破裂</w:t>
            </w:r>
          </w:p>
          <w:p w14:paraId="5982097E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压力高时，造成</w:t>
            </w:r>
          </w:p>
          <w:p w14:paraId="73103473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1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安全阀启跳</w:t>
            </w:r>
          </w:p>
          <w:p w14:paraId="10568899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2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储罐破裂</w:t>
            </w:r>
          </w:p>
          <w:p w14:paraId="05F98F70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3.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LNG泄漏</w:t>
            </w:r>
          </w:p>
          <w:p w14:paraId="272C6F83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4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冻伤、起火、爆炸</w:t>
            </w:r>
          </w:p>
        </w:tc>
        <w:tc>
          <w:tcPr>
            <w:tcW w:w="4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57E84C94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1.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严格执行安全技术操作规程，控制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LNG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储罐液位在工艺指标范围内；</w:t>
            </w:r>
          </w:p>
          <w:p w14:paraId="7F5211AE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2.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定期检测设备设施、管道及调校安全附件；</w:t>
            </w:r>
          </w:p>
          <w:p w14:paraId="6E1D03D2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3.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严格按《重大危险源管理制度》、《消防管理规定》等规定要求频次检查、巡查；</w:t>
            </w:r>
          </w:p>
          <w:p w14:paraId="77C5C25F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4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定期检查紧急切断装置、视频监控系统、可燃气体检测系统、火焰探测系统的工作状态，保持全天候正常投用。</w:t>
            </w: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7ED809BB">
            <w:pPr>
              <w:spacing w:line="240" w:lineRule="exact"/>
              <w:jc w:val="center"/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eastAsia="zh-CN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0819DA4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5</w:t>
            </w: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7611C794">
            <w:pPr>
              <w:spacing w:line="240" w:lineRule="exact"/>
              <w:jc w:val="center"/>
              <w:rPr>
                <w:rFonts w:hint="default" w:ascii="方正书宋简体" w:hAnsi="方正书宋简体" w:eastAsia="方正书宋简体" w:cs="方正书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63C1DC62">
            <w:pPr>
              <w:spacing w:line="240" w:lineRule="exact"/>
              <w:jc w:val="center"/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eastAsia="zh-CN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eastAsia="zh-CN"/>
              </w:rPr>
              <w:t>二级</w:t>
            </w:r>
          </w:p>
        </w:tc>
        <w:tc>
          <w:tcPr>
            <w:tcW w:w="9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79D41FBD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较大风险</w:t>
            </w:r>
          </w:p>
        </w:tc>
        <w:tc>
          <w:tcPr>
            <w:tcW w:w="11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2FCDD266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</w:tr>
      <w:tr w14:paraId="0A2E4A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4" w:hRule="atLeast"/>
        </w:trPr>
        <w:tc>
          <w:tcPr>
            <w:tcW w:w="2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79EE549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2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7B9985CA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冷剂罐区</w:t>
            </w:r>
          </w:p>
        </w:tc>
        <w:tc>
          <w:tcPr>
            <w:tcW w:w="25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2D9E1BA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1.15%&lt;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乙烯储罐液位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&lt;75%</w:t>
            </w:r>
          </w:p>
          <w:p w14:paraId="1208356B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2.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乙烯储罐压力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&lt;1.50MPa</w:t>
            </w:r>
          </w:p>
          <w:p w14:paraId="346698FE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3.15%&lt;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丙烷储罐液位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&lt;85%</w:t>
            </w:r>
          </w:p>
          <w:p w14:paraId="33794440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4.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丙烷储罐压力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&lt;1.72MPa</w:t>
            </w:r>
          </w:p>
          <w:p w14:paraId="1C70D1F9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5.15%&lt;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异戊烷储罐液位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&lt;80%</w:t>
            </w:r>
          </w:p>
          <w:p w14:paraId="4E82DC13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6.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异戊烷储罐压力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&lt;0.69MPa</w:t>
            </w:r>
          </w:p>
          <w:p w14:paraId="6E9A9A8B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7.V-401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储罐压力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&lt;4.48MPa</w:t>
            </w:r>
          </w:p>
        </w:tc>
        <w:tc>
          <w:tcPr>
            <w:tcW w:w="1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4D50E6D6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超液位时，造成</w:t>
            </w:r>
          </w:p>
          <w:p w14:paraId="75DCE291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1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物料损失</w:t>
            </w:r>
          </w:p>
          <w:p w14:paraId="299BBAD0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2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可燃气体外泄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 xml:space="preserve"> </w:t>
            </w:r>
          </w:p>
          <w:p w14:paraId="3CEAC4DC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压力高时，造成</w:t>
            </w:r>
          </w:p>
          <w:p w14:paraId="3BE74993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1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安全阀启跳</w:t>
            </w:r>
          </w:p>
          <w:p w14:paraId="06AB0674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2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储罐破裂</w:t>
            </w:r>
          </w:p>
          <w:p w14:paraId="1570EB30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3.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冷剂泄漏</w:t>
            </w:r>
          </w:p>
          <w:p w14:paraId="7F42CEDD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4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冻伤、起火、爆炸</w:t>
            </w:r>
          </w:p>
        </w:tc>
        <w:tc>
          <w:tcPr>
            <w:tcW w:w="4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2163C637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1.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严格执行安全技术操作规程，控制冷剂储罐压力在工艺指标范围内；</w:t>
            </w:r>
          </w:p>
          <w:p w14:paraId="2CCA1273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2.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定期检测设备设施、管道及调校安全附件；</w:t>
            </w:r>
          </w:p>
          <w:p w14:paraId="2F0DD984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3.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严格按《重大危险源管理制度》、《消防管理规定》等规定要求频次检查、巡查；</w:t>
            </w:r>
          </w:p>
          <w:p w14:paraId="0C601EDD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4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定期检查紧急切断装置、视频监控系统、可燃气体检测系统、火焰探测系统的工作状态，保持全天候正常投用。</w:t>
            </w: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5A37D755">
            <w:pPr>
              <w:spacing w:line="240" w:lineRule="exact"/>
              <w:jc w:val="center"/>
              <w:rPr>
                <w:rFonts w:hint="eastAsia" w:ascii="方正书宋简体" w:hAnsi="方正书宋简体" w:eastAsia="方正书宋简体" w:cs="方正书宋简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30B0A35B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5</w:t>
            </w: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24C1553D">
            <w:pPr>
              <w:spacing w:line="240" w:lineRule="exact"/>
              <w:jc w:val="center"/>
              <w:rPr>
                <w:rFonts w:hint="default" w:ascii="方正书宋简体" w:hAnsi="方正书宋简体" w:eastAsia="方正书宋简体" w:cs="方正书宋简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524DBDE2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eastAsia="zh-CN"/>
              </w:rPr>
              <w:t>二级</w:t>
            </w:r>
          </w:p>
        </w:tc>
        <w:tc>
          <w:tcPr>
            <w:tcW w:w="9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6C15DA7D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较大风险</w:t>
            </w:r>
          </w:p>
        </w:tc>
        <w:tc>
          <w:tcPr>
            <w:tcW w:w="11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5F9B82AA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</w:tr>
      <w:tr w14:paraId="6AD022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2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11817295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3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3EBA1513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主装置区液化单元（9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81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）</w:t>
            </w:r>
          </w:p>
        </w:tc>
        <w:tc>
          <w:tcPr>
            <w:tcW w:w="25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0F144E2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各压力容器、管道和设备参数按照工艺指标、工艺参数一览表、设计参数以及设备厂家资料执行</w:t>
            </w:r>
          </w:p>
        </w:tc>
        <w:tc>
          <w:tcPr>
            <w:tcW w:w="1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4196D983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超液位时，造成：</w:t>
            </w:r>
          </w:p>
          <w:p w14:paraId="26727C4F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1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系统停车</w:t>
            </w:r>
          </w:p>
          <w:p w14:paraId="3603ABC5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2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可燃物外泄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 xml:space="preserve"> </w:t>
            </w:r>
          </w:p>
          <w:p w14:paraId="505182AD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压力高时，造成：</w:t>
            </w:r>
          </w:p>
          <w:p w14:paraId="0F74F7DA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1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安全阀启跳</w:t>
            </w:r>
          </w:p>
          <w:p w14:paraId="6B911345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2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压力容器破裂</w:t>
            </w:r>
          </w:p>
          <w:p w14:paraId="26EE9484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3.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可燃、有毒物泄漏</w:t>
            </w:r>
          </w:p>
          <w:p w14:paraId="7A27070A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4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冻伤、起火、爆炸</w:t>
            </w:r>
          </w:p>
          <w:p w14:paraId="13E150CC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温度超高或过低时造成：</w:t>
            </w:r>
          </w:p>
          <w:p w14:paraId="49C97AE2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1.管道、容器破裂。</w:t>
            </w:r>
          </w:p>
          <w:p w14:paraId="56AB5B8C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2.系统性停车</w:t>
            </w:r>
          </w:p>
        </w:tc>
        <w:tc>
          <w:tcPr>
            <w:tcW w:w="4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5A483A7C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1.严格执行安全技术操作规程，严格控制工艺指标；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br w:type="textWrapping"/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2.定期检测设备设施、管道及调校安全附件；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br w:type="textWrapping"/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3.严格执行《巡回检查制度》及时发现并消除隐患；</w:t>
            </w:r>
          </w:p>
          <w:p w14:paraId="084EBEEB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 xml:space="preserve">4.现场监测、监控系统完好。现场作业正确佩戴劳动防护用品。                                                                      </w:t>
            </w: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2798DD25">
            <w:pPr>
              <w:spacing w:line="240" w:lineRule="exact"/>
              <w:jc w:val="center"/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eastAsia="zh-CN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35411819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5</w:t>
            </w: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0F70A097">
            <w:pPr>
              <w:spacing w:line="240" w:lineRule="exact"/>
              <w:jc w:val="center"/>
              <w:rPr>
                <w:rFonts w:hint="default" w:ascii="方正书宋简体" w:hAnsi="方正书宋简体" w:eastAsia="方正书宋简体" w:cs="方正书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67019246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eastAsia="zh-CN"/>
              </w:rPr>
              <w:t>二级</w:t>
            </w:r>
          </w:p>
        </w:tc>
        <w:tc>
          <w:tcPr>
            <w:tcW w:w="9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09D87814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val="en-US" w:eastAsia="zh-CN"/>
              </w:rPr>
              <w:t>一般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风险</w:t>
            </w:r>
          </w:p>
        </w:tc>
        <w:tc>
          <w:tcPr>
            <w:tcW w:w="11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48881EA5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</w:tr>
      <w:tr w14:paraId="11A016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2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583BC490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4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16D6B848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主装置区净化单元（9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81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）</w:t>
            </w:r>
          </w:p>
        </w:tc>
        <w:tc>
          <w:tcPr>
            <w:tcW w:w="25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55C204DF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各压力容器、管道和设备参数按照工艺指标、工艺参数一览表、设计参数以及设备厂家资料执行</w:t>
            </w:r>
          </w:p>
        </w:tc>
        <w:tc>
          <w:tcPr>
            <w:tcW w:w="1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4E6CE917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超液位时，造成：</w:t>
            </w:r>
          </w:p>
          <w:p w14:paraId="5F4438BE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1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系统停车</w:t>
            </w:r>
          </w:p>
          <w:p w14:paraId="2195FB29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2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可燃物外泄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 xml:space="preserve"> </w:t>
            </w:r>
          </w:p>
          <w:p w14:paraId="6F45EE90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压力高时，造成：</w:t>
            </w:r>
          </w:p>
          <w:p w14:paraId="0DCEE952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1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安全阀启跳</w:t>
            </w:r>
          </w:p>
          <w:p w14:paraId="5B88B96F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2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压力容器破裂</w:t>
            </w:r>
          </w:p>
          <w:p w14:paraId="30B9C489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3.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可燃、有毒物泄漏</w:t>
            </w:r>
          </w:p>
          <w:p w14:paraId="68F9AF5D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4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冻伤、起火、爆炸</w:t>
            </w:r>
          </w:p>
          <w:p w14:paraId="241122E3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温度超高或过低时造成：</w:t>
            </w:r>
          </w:p>
          <w:p w14:paraId="7D29955D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1.管道、容器破裂。</w:t>
            </w:r>
          </w:p>
          <w:p w14:paraId="2D6B877F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2.系统性停车</w:t>
            </w:r>
          </w:p>
          <w:p w14:paraId="480C05D3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3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烫伤等</w:t>
            </w:r>
          </w:p>
        </w:tc>
        <w:tc>
          <w:tcPr>
            <w:tcW w:w="4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025F3F73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1.严格执行安全技术操作规程，严格控制工艺指标；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br w:type="textWrapping"/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2.定期检测设备设施、管道及调校安全附件；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br w:type="textWrapping"/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3.严格执行《巡回检查制度》及时发现并消除隐患；</w:t>
            </w:r>
          </w:p>
          <w:p w14:paraId="67935930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 xml:space="preserve">4.现场监测、监控系统完好。现场作业正确佩戴劳动防护用品。                                                                      </w:t>
            </w: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6AEC7099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2</w:t>
            </w: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6E587CEF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5</w:t>
            </w:r>
            <w:bookmarkStart w:id="0" w:name="_GoBack"/>
            <w:bookmarkEnd w:id="0"/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1D61BAEA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10</w:t>
            </w:r>
          </w:p>
        </w:tc>
        <w:tc>
          <w:tcPr>
            <w:tcW w:w="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60BFAA64">
            <w:pPr>
              <w:spacing w:line="240" w:lineRule="exact"/>
              <w:jc w:val="center"/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eastAsia="zh-CN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eastAsia="zh-CN"/>
              </w:rPr>
              <w:t>三级</w:t>
            </w:r>
          </w:p>
        </w:tc>
        <w:tc>
          <w:tcPr>
            <w:tcW w:w="9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9543A36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一般风险</w:t>
            </w:r>
          </w:p>
        </w:tc>
        <w:tc>
          <w:tcPr>
            <w:tcW w:w="11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5167659E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</w:tr>
      <w:tr w14:paraId="64DC11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2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29B844B2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5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276724CC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压缩机厂房（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614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）</w:t>
            </w:r>
          </w:p>
        </w:tc>
        <w:tc>
          <w:tcPr>
            <w:tcW w:w="25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2F8DE04B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各压力容器、管道和设备参数按照工艺指标、工艺参数一览表、设计参数以及设备厂家资料执行</w:t>
            </w:r>
          </w:p>
        </w:tc>
        <w:tc>
          <w:tcPr>
            <w:tcW w:w="1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4FF79474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超液位时，造成：</w:t>
            </w:r>
          </w:p>
          <w:p w14:paraId="05EFEB58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1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系统停车</w:t>
            </w:r>
          </w:p>
          <w:p w14:paraId="5E7EDA5E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2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可燃物外泄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 xml:space="preserve"> </w:t>
            </w:r>
          </w:p>
          <w:p w14:paraId="1681009B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压力高时，造成：</w:t>
            </w:r>
          </w:p>
          <w:p w14:paraId="74B5218F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1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安全阀启跳</w:t>
            </w:r>
          </w:p>
          <w:p w14:paraId="4A162B7B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2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压力容器破裂</w:t>
            </w:r>
          </w:p>
          <w:p w14:paraId="30D67C7D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3.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可燃、有毒物泄漏</w:t>
            </w:r>
          </w:p>
          <w:p w14:paraId="0B719F47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4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冻伤、起火、爆炸</w:t>
            </w:r>
          </w:p>
          <w:p w14:paraId="21F0E24F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温度超高或过低时造成：</w:t>
            </w:r>
          </w:p>
          <w:p w14:paraId="68C9FD24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1.管道、容器破裂。</w:t>
            </w:r>
          </w:p>
          <w:p w14:paraId="03D3E541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2.设备损坏或系统性停车</w:t>
            </w:r>
          </w:p>
        </w:tc>
        <w:tc>
          <w:tcPr>
            <w:tcW w:w="4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3AFF62EE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1.严格执行安全技术操作规程，严格控制工艺指标；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br w:type="textWrapping"/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2.定期检测设备设施、管道及调校安全附件；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br w:type="textWrapping"/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3.严格执行《巡回检查制度》及时发现并消除隐患；</w:t>
            </w:r>
          </w:p>
          <w:p w14:paraId="645FE885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 xml:space="preserve">4.现场监测、监控系统完好。现场作业正确佩戴劳动防护用品。                                                                      </w:t>
            </w: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12969C70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2</w:t>
            </w: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C01BAC5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5</w:t>
            </w: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78F51C08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10</w:t>
            </w:r>
          </w:p>
        </w:tc>
        <w:tc>
          <w:tcPr>
            <w:tcW w:w="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384B08D1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eastAsia="zh-CN"/>
              </w:rPr>
              <w:t>三级</w:t>
            </w:r>
          </w:p>
        </w:tc>
        <w:tc>
          <w:tcPr>
            <w:tcW w:w="9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77BA0A01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一般风险</w:t>
            </w:r>
          </w:p>
        </w:tc>
        <w:tc>
          <w:tcPr>
            <w:tcW w:w="11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3B2A067F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</w:tr>
      <w:tr w14:paraId="318DAF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9" w:hRule="atLeast"/>
        </w:trPr>
        <w:tc>
          <w:tcPr>
            <w:tcW w:w="2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0BF28361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6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015F4272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公用工程（1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08/402/404/460/150/215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/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983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）</w:t>
            </w:r>
          </w:p>
        </w:tc>
        <w:tc>
          <w:tcPr>
            <w:tcW w:w="25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6B6E7D1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各压力容器、管道和设备参数按照工艺指标、工艺参数一览表、设计参数以及设备厂家资料执行</w:t>
            </w:r>
          </w:p>
        </w:tc>
        <w:tc>
          <w:tcPr>
            <w:tcW w:w="1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340351A1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 xml:space="preserve"> 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压力高时，造成：</w:t>
            </w:r>
          </w:p>
          <w:p w14:paraId="7BECDACE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1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安全阀启跳</w:t>
            </w:r>
          </w:p>
          <w:p w14:paraId="6C41F605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2</w:t>
            </w: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压力容器破裂</w:t>
            </w:r>
          </w:p>
          <w:p w14:paraId="78D76041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 xml:space="preserve">3. 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冻伤、起火、爆炸</w:t>
            </w:r>
          </w:p>
          <w:p w14:paraId="51C449EB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温度超高或过低时造成：</w:t>
            </w:r>
          </w:p>
          <w:p w14:paraId="75D74483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1.管道、容器破裂。</w:t>
            </w:r>
          </w:p>
          <w:p w14:paraId="6C6D060E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2.系统性停车</w:t>
            </w:r>
          </w:p>
          <w:p w14:paraId="010BC1A6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机械伤害、化学灼伤等</w:t>
            </w:r>
          </w:p>
        </w:tc>
        <w:tc>
          <w:tcPr>
            <w:tcW w:w="4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25817766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1.严格执行安全技术操作规程，严格控制工艺指标；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br w:type="textWrapping"/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2.定期检测设备设施、管道及调校安全附件；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br w:type="textWrapping"/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3.严格执行《巡回检查制度》及时发现并消除隐患；</w:t>
            </w:r>
          </w:p>
          <w:p w14:paraId="18F3A8F0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4.现场监测、监控系统完好。现场作业正确佩戴劳动防护用品。</w:t>
            </w: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3A07FCB8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2</w:t>
            </w: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5A042AB2">
            <w:pPr>
              <w:spacing w:line="240" w:lineRule="exact"/>
              <w:jc w:val="center"/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eastAsia="zh-CN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0FD1628B">
            <w:pPr>
              <w:spacing w:line="240" w:lineRule="exact"/>
              <w:jc w:val="center"/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eastAsia="zh-CN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3E5513F8">
            <w:pPr>
              <w:spacing w:line="240" w:lineRule="exact"/>
              <w:jc w:val="center"/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eastAsia="zh-CN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3779E14B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低风险</w:t>
            </w:r>
          </w:p>
        </w:tc>
        <w:tc>
          <w:tcPr>
            <w:tcW w:w="11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316066B4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</w:tr>
      <w:tr w14:paraId="1F3FD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9" w:hRule="atLeast"/>
        </w:trPr>
        <w:tc>
          <w:tcPr>
            <w:tcW w:w="2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71C7D72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7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385928C8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分析室（药品间、设备室等</w:t>
            </w:r>
          </w:p>
        </w:tc>
        <w:tc>
          <w:tcPr>
            <w:tcW w:w="25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5C118B1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参照操作规程、设备参数、设计参数以及设备厂家资料执行</w:t>
            </w:r>
          </w:p>
        </w:tc>
        <w:tc>
          <w:tcPr>
            <w:tcW w:w="1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76EA7E7C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可燃物泄漏时：火灾、爆炸</w:t>
            </w:r>
          </w:p>
          <w:p w14:paraId="5BBFAECC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有毒物泄漏时：皮肤灼伤、中毒</w:t>
            </w:r>
          </w:p>
          <w:p w14:paraId="7FD61335">
            <w:pPr>
              <w:spacing w:line="240" w:lineRule="exact"/>
              <w:ind w:right="-17" w:rightChars="-8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窒息等其它伤害</w:t>
            </w:r>
          </w:p>
        </w:tc>
        <w:tc>
          <w:tcPr>
            <w:tcW w:w="4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1F17A17C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1.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严格执行安全技术操作规程；</w:t>
            </w:r>
          </w:p>
          <w:p w14:paraId="4DC573B8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2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.现场作业正确佩戴劳动防护用品；</w:t>
            </w:r>
          </w:p>
          <w:p w14:paraId="342DBC8C">
            <w:pPr>
              <w:spacing w:line="240" w:lineRule="exact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3</w:t>
            </w: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.及时检查气体检测仪。</w:t>
            </w: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18E2F372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ascii="方正书宋简体" w:hAnsi="方正书宋简体" w:eastAsia="方正书宋简体" w:cs="方正书宋简体"/>
                <w:sz w:val="18"/>
                <w:szCs w:val="18"/>
              </w:rPr>
              <w:t>2</w:t>
            </w: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35F5B62F">
            <w:pPr>
              <w:spacing w:line="240" w:lineRule="exact"/>
              <w:jc w:val="center"/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eastAsia="zh-CN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6FFF6F1C">
            <w:pPr>
              <w:spacing w:line="240" w:lineRule="exact"/>
              <w:jc w:val="center"/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eastAsia="zh-CN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1F628AC2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7C70CC34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  <w:r>
              <w:rPr>
                <w:rFonts w:hint="eastAsia" w:ascii="方正书宋简体" w:hAnsi="方正书宋简体" w:eastAsia="方正书宋简体" w:cs="方正书宋简体"/>
                <w:sz w:val="18"/>
                <w:szCs w:val="18"/>
              </w:rPr>
              <w:t>低风险</w:t>
            </w:r>
          </w:p>
        </w:tc>
        <w:tc>
          <w:tcPr>
            <w:tcW w:w="11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14:paraId="4D079889">
            <w:pPr>
              <w:spacing w:line="240" w:lineRule="exact"/>
              <w:jc w:val="center"/>
              <w:rPr>
                <w:rFonts w:ascii="方正书宋简体" w:hAnsi="方正书宋简体" w:eastAsia="方正书宋简体" w:cs="方正书宋简体"/>
                <w:sz w:val="18"/>
                <w:szCs w:val="18"/>
              </w:rPr>
            </w:pPr>
          </w:p>
        </w:tc>
      </w:tr>
    </w:tbl>
    <w:p w14:paraId="19465154">
      <w:pPr>
        <w:spacing w:line="240" w:lineRule="exact"/>
        <w:rPr>
          <w:rFonts w:ascii="方正书宋简体" w:hAnsi="方正书宋简体" w:eastAsia="方正书宋简体" w:cs="方正书宋简体"/>
          <w:sz w:val="18"/>
          <w:szCs w:val="18"/>
        </w:rPr>
      </w:pPr>
    </w:p>
    <w:p w14:paraId="5EDEF956">
      <w:pPr>
        <w:spacing w:line="240" w:lineRule="exact"/>
        <w:rPr>
          <w:rFonts w:ascii="方正书宋简体" w:hAnsi="方正书宋简体" w:eastAsia="方正书宋简体" w:cs="方正书宋简体"/>
          <w:sz w:val="18"/>
          <w:szCs w:val="18"/>
        </w:rPr>
      </w:pPr>
    </w:p>
    <w:p w14:paraId="4B43C484">
      <w:pPr>
        <w:spacing w:line="240" w:lineRule="exact"/>
        <w:rPr>
          <w:rFonts w:hint="eastAsia" w:ascii="方正书宋简体" w:hAnsi="方正书宋简体" w:eastAsia="方正书宋简体" w:cs="方正书宋简体"/>
          <w:sz w:val="18"/>
          <w:szCs w:val="18"/>
        </w:rPr>
      </w:pPr>
    </w:p>
    <w:p w14:paraId="35C36D87">
      <w:pPr>
        <w:spacing w:line="240" w:lineRule="exact"/>
        <w:rPr>
          <w:rFonts w:ascii="方正书宋简体" w:hAnsi="方正书宋简体" w:eastAsia="方正书宋简体" w:cs="方正书宋简体"/>
          <w:sz w:val="18"/>
          <w:szCs w:val="18"/>
        </w:rPr>
      </w:pPr>
    </w:p>
    <w:p w14:paraId="3E94D88A">
      <w:pPr>
        <w:spacing w:line="240" w:lineRule="exact"/>
        <w:rPr>
          <w:rFonts w:ascii="方正书宋简体" w:hAnsi="方正书宋简体" w:eastAsia="方正书宋简体" w:cs="方正书宋简体"/>
          <w:sz w:val="18"/>
          <w:szCs w:val="18"/>
        </w:rPr>
      </w:pPr>
      <w:r>
        <w:rPr>
          <w:rFonts w:hint="eastAsia" w:ascii="方正书宋简体" w:hAnsi="方正书宋简体" w:eastAsia="方正书宋简体" w:cs="方正书宋简体"/>
          <w:sz w:val="18"/>
          <w:szCs w:val="18"/>
        </w:rPr>
        <w:t xml:space="preserve">分析人：  </w:t>
      </w:r>
      <w:r>
        <w:rPr>
          <w:rFonts w:ascii="方正书宋简体" w:hAnsi="方正书宋简体" w:eastAsia="方正书宋简体" w:cs="方正书宋简体"/>
          <w:sz w:val="18"/>
          <w:szCs w:val="18"/>
        </w:rPr>
        <w:t xml:space="preserve">        </w:t>
      </w:r>
    </w:p>
    <w:p w14:paraId="751DDD87">
      <w:pPr>
        <w:spacing w:line="240" w:lineRule="exact"/>
        <w:rPr>
          <w:rFonts w:ascii="方正书宋简体" w:hAnsi="方正书宋简体" w:eastAsia="方正书宋简体" w:cs="方正书宋简体"/>
          <w:sz w:val="18"/>
          <w:szCs w:val="18"/>
        </w:rPr>
      </w:pPr>
    </w:p>
    <w:p w14:paraId="1F3D05CE">
      <w:pPr>
        <w:spacing w:line="240" w:lineRule="exact"/>
        <w:rPr>
          <w:rFonts w:ascii="方正书宋简体" w:hAnsi="方正书宋简体" w:eastAsia="方正书宋简体" w:cs="方正书宋简体"/>
          <w:sz w:val="18"/>
          <w:szCs w:val="18"/>
        </w:rPr>
      </w:pPr>
    </w:p>
    <w:p w14:paraId="6A9A31C4">
      <w:pPr>
        <w:spacing w:line="240" w:lineRule="exact"/>
        <w:rPr>
          <w:rFonts w:ascii="方正书宋简体" w:hAnsi="方正书宋简体" w:eastAsia="方正书宋简体" w:cs="方正书宋简体"/>
          <w:sz w:val="18"/>
          <w:szCs w:val="18"/>
        </w:rPr>
      </w:pPr>
      <w:r>
        <w:rPr>
          <w:rFonts w:hint="eastAsia" w:ascii="方正书宋简体" w:hAnsi="方正书宋简体" w:eastAsia="方正书宋简体" w:cs="方正书宋简体"/>
          <w:sz w:val="18"/>
          <w:szCs w:val="18"/>
        </w:rPr>
        <w:t>审核人：</w:t>
      </w:r>
    </w:p>
    <w:p w14:paraId="7D8566B2">
      <w:pPr>
        <w:spacing w:line="240" w:lineRule="exact"/>
        <w:rPr>
          <w:rFonts w:ascii="方正书宋简体" w:hAnsi="方正书宋简体" w:eastAsia="方正书宋简体" w:cs="方正书宋简体"/>
          <w:sz w:val="18"/>
          <w:szCs w:val="18"/>
        </w:rPr>
      </w:pPr>
    </w:p>
    <w:p w14:paraId="3D578686">
      <w:pPr>
        <w:spacing w:line="240" w:lineRule="exact"/>
        <w:rPr>
          <w:rFonts w:ascii="方正书宋简体" w:hAnsi="方正书宋简体" w:eastAsia="方正书宋简体" w:cs="方正书宋简体"/>
          <w:sz w:val="18"/>
          <w:szCs w:val="18"/>
        </w:rPr>
      </w:pPr>
    </w:p>
    <w:p w14:paraId="5C9975CF">
      <w:pPr>
        <w:spacing w:line="240" w:lineRule="exact"/>
        <w:rPr>
          <w:rFonts w:ascii="方正书宋简体" w:hAnsi="方正书宋简体" w:eastAsia="方正书宋简体" w:cs="方正书宋简体"/>
          <w:sz w:val="18"/>
          <w:szCs w:val="18"/>
        </w:rPr>
      </w:pPr>
      <w:r>
        <w:rPr>
          <w:rFonts w:hint="eastAsia" w:ascii="方正书宋简体" w:hAnsi="方正书宋简体" w:eastAsia="方正书宋简体" w:cs="方正书宋简体"/>
          <w:sz w:val="18"/>
          <w:szCs w:val="18"/>
        </w:rPr>
        <w:t xml:space="preserve">审定人：   </w:t>
      </w:r>
      <w:r>
        <w:rPr>
          <w:rFonts w:ascii="方正书宋简体" w:hAnsi="方正书宋简体" w:eastAsia="方正书宋简体" w:cs="方正书宋简体"/>
          <w:sz w:val="18"/>
          <w:szCs w:val="18"/>
        </w:rPr>
        <w:t xml:space="preserve">                                                                                                    </w:t>
      </w:r>
      <w:r>
        <w:rPr>
          <w:rFonts w:hint="eastAsia" w:ascii="方正书宋简体" w:hAnsi="方正书宋简体" w:eastAsia="方正书宋简体" w:cs="方正书宋简体"/>
          <w:sz w:val="18"/>
          <w:szCs w:val="18"/>
        </w:rPr>
        <w:t xml:space="preserve">日期：   </w:t>
      </w:r>
      <w:r>
        <w:rPr>
          <w:rFonts w:ascii="方正书宋简体" w:hAnsi="方正书宋简体" w:eastAsia="方正书宋简体" w:cs="方正书宋简体"/>
          <w:sz w:val="18"/>
          <w:szCs w:val="18"/>
        </w:rPr>
        <w:t xml:space="preserve">                                </w:t>
      </w:r>
      <w:r>
        <w:rPr>
          <w:rFonts w:hint="eastAsia" w:ascii="方正书宋简体" w:hAnsi="方正书宋简体" w:eastAsia="方正书宋简体" w:cs="方正书宋简体"/>
          <w:sz w:val="18"/>
          <w:szCs w:val="18"/>
        </w:rPr>
        <w:t xml:space="preserve">  </w:t>
      </w:r>
      <w:r>
        <w:rPr>
          <w:rFonts w:ascii="方正书宋简体" w:hAnsi="方正书宋简体" w:eastAsia="方正书宋简体" w:cs="方正书宋简体"/>
          <w:sz w:val="18"/>
          <w:szCs w:val="18"/>
        </w:rPr>
        <w:t xml:space="preserve">   </w:t>
      </w:r>
      <w:r>
        <w:rPr>
          <w:rFonts w:hint="eastAsia" w:ascii="方正书宋简体" w:hAnsi="方正书宋简体" w:eastAsia="方正书宋简体" w:cs="方正书宋简体"/>
          <w:sz w:val="18"/>
          <w:szCs w:val="18"/>
        </w:rPr>
        <w:t xml:space="preserve">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3Y2YxZGZlODhjYzkwZjAyMjU4ZDhkMTUzMTlkY2YifQ=="/>
  </w:docVars>
  <w:rsids>
    <w:rsidRoot w:val="000A2AD2"/>
    <w:rsid w:val="00086D25"/>
    <w:rsid w:val="000A00AC"/>
    <w:rsid w:val="000A2AD2"/>
    <w:rsid w:val="00115B61"/>
    <w:rsid w:val="001621A0"/>
    <w:rsid w:val="00181AD4"/>
    <w:rsid w:val="00190DFC"/>
    <w:rsid w:val="001E23BE"/>
    <w:rsid w:val="0020621B"/>
    <w:rsid w:val="002433AC"/>
    <w:rsid w:val="00285077"/>
    <w:rsid w:val="002E3720"/>
    <w:rsid w:val="00341000"/>
    <w:rsid w:val="0038175A"/>
    <w:rsid w:val="003F06EC"/>
    <w:rsid w:val="00425AED"/>
    <w:rsid w:val="004737A3"/>
    <w:rsid w:val="0048486F"/>
    <w:rsid w:val="00492366"/>
    <w:rsid w:val="004B7AA2"/>
    <w:rsid w:val="004D7A15"/>
    <w:rsid w:val="0070621B"/>
    <w:rsid w:val="00770C16"/>
    <w:rsid w:val="007C6DF3"/>
    <w:rsid w:val="00822DBD"/>
    <w:rsid w:val="00854062"/>
    <w:rsid w:val="00894ADC"/>
    <w:rsid w:val="008B7CC5"/>
    <w:rsid w:val="00900DDF"/>
    <w:rsid w:val="00922A26"/>
    <w:rsid w:val="00922BA2"/>
    <w:rsid w:val="00926012"/>
    <w:rsid w:val="00976DC4"/>
    <w:rsid w:val="00AB18C4"/>
    <w:rsid w:val="00AD186B"/>
    <w:rsid w:val="00AE24E5"/>
    <w:rsid w:val="00B5104D"/>
    <w:rsid w:val="00C31285"/>
    <w:rsid w:val="00C50CF8"/>
    <w:rsid w:val="00D31498"/>
    <w:rsid w:val="00D32CA8"/>
    <w:rsid w:val="00D44C18"/>
    <w:rsid w:val="00D45067"/>
    <w:rsid w:val="00F41693"/>
    <w:rsid w:val="00FC3C96"/>
    <w:rsid w:val="00FE070E"/>
    <w:rsid w:val="099E1F14"/>
    <w:rsid w:val="0AF50259"/>
    <w:rsid w:val="0CE6064E"/>
    <w:rsid w:val="45BC1CF7"/>
    <w:rsid w:val="4BD50ABE"/>
    <w:rsid w:val="52090F98"/>
    <w:rsid w:val="56D1234F"/>
    <w:rsid w:val="599049E9"/>
    <w:rsid w:val="66BE0F78"/>
    <w:rsid w:val="6FC84939"/>
    <w:rsid w:val="74360DBE"/>
    <w:rsid w:val="79D1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Calibri" w:cs="Times New Roman"/>
      <w:kern w:val="0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2941</Words>
  <Characters>3239</Characters>
  <Lines>28</Lines>
  <Paragraphs>7</Paragraphs>
  <TotalTime>7</TotalTime>
  <ScaleCrop>false</ScaleCrop>
  <LinksUpToDate>false</LinksUpToDate>
  <CharactersWithSpaces>3617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2023-01-30T03:21:00Z</dcterms:created>
  <dc:creator>母龙心</dc:creator>
  <cp:lastModifiedBy>Admin</cp:lastModifiedBy>
  <cp:lastPrinted>2021-05-26T03:33:00Z</cp:lastPrinted>
  <dcterms:modified xsi:type="dcterms:W3CDTF">2025-01-20T07:47:22Z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B5F2AA8487DE496F9B042D4BB5ECFF89</vt:lpwstr>
  </property>
  <property fmtid="{D5CDD505-2E9C-101B-9397-08002B2CF9AE}" pid="4" name="KSOTemplateDocerSaveRecord">
    <vt:lpwstr>eyJoZGlkIjoiMGMxMDhlNDg3NmU5YTljMWFiZWVlMTdjMTAxNzM3ZDciLCJ1c2VySWQiOiIyMTIxODc5NzYifQ==</vt:lpwstr>
  </property>
</Properties>
</file>