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  <w:lang w:eastAsia="zh-CN"/>
        </w:rPr>
        <w:t>一季度安委会暨春运安全部署会</w:t>
      </w:r>
    </w:p>
    <w:p>
      <w:pPr>
        <w:jc w:val="center"/>
        <w:rPr>
          <w:rFonts w:hint="eastAsia"/>
          <w:b/>
          <w:bCs/>
          <w:sz w:val="44"/>
          <w:szCs w:val="44"/>
          <w:lang w:eastAsia="zh-CN"/>
        </w:rPr>
      </w:pPr>
    </w:p>
    <w:p>
      <w:pPr>
        <w:jc w:val="both"/>
        <w:rPr>
          <w:rFonts w:hint="eastAsia"/>
          <w:b/>
          <w:bCs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  <w:lang w:eastAsia="zh-CN"/>
        </w:rPr>
        <w:t>程兵：</w:t>
      </w:r>
    </w:p>
    <w:p>
      <w:pPr>
        <w:ind w:firstLine="880"/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一、组织学习相关文件</w:t>
      </w:r>
    </w:p>
    <w:p>
      <w:pPr>
        <w:ind w:firstLine="880"/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二、对2022年四季度安全工作进行小结</w:t>
      </w:r>
    </w:p>
    <w:p>
      <w:pPr>
        <w:ind w:firstLine="880"/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三、对一季度及春运安全工作进行安排</w:t>
      </w:r>
    </w:p>
    <w:p>
      <w:pPr>
        <w:ind w:firstLine="880"/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郑华强：</w:t>
      </w:r>
    </w:p>
    <w:p>
      <w:pPr>
        <w:numPr>
          <w:numId w:val="0"/>
        </w:numPr>
        <w:ind w:firstLine="723" w:firstLineChars="200"/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一、传达上级会议精神</w:t>
      </w:r>
    </w:p>
    <w:p>
      <w:pPr>
        <w:numPr>
          <w:numId w:val="0"/>
        </w:numPr>
        <w:ind w:firstLine="720"/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二、对一季度及春运安全工作进行强调要求</w:t>
      </w:r>
    </w:p>
    <w:p>
      <w:pPr>
        <w:numPr>
          <w:numId w:val="0"/>
        </w:numPr>
        <w:ind w:firstLine="720"/>
        <w:jc w:val="both"/>
        <w:rPr>
          <w:rFonts w:hint="default"/>
          <w:b/>
          <w:bCs/>
          <w:sz w:val="36"/>
          <w:szCs w:val="36"/>
          <w:lang w:val="en-US" w:eastAsia="zh-CN"/>
        </w:rPr>
      </w:pPr>
    </w:p>
    <w:p>
      <w:pPr>
        <w:numPr>
          <w:numId w:val="0"/>
        </w:numPr>
        <w:ind w:firstLine="720"/>
        <w:jc w:val="both"/>
        <w:rPr>
          <w:rFonts w:hint="default"/>
          <w:b/>
          <w:bCs/>
          <w:sz w:val="36"/>
          <w:szCs w:val="36"/>
          <w:lang w:val="en-US" w:eastAsia="zh-CN"/>
        </w:rPr>
      </w:pPr>
    </w:p>
    <w:p>
      <w:pPr>
        <w:numPr>
          <w:numId w:val="0"/>
        </w:numPr>
        <w:ind w:firstLine="720"/>
        <w:jc w:val="both"/>
        <w:rPr>
          <w:rFonts w:hint="default"/>
          <w:b/>
          <w:bCs/>
          <w:sz w:val="36"/>
          <w:szCs w:val="36"/>
          <w:lang w:val="en-US" w:eastAsia="zh-CN"/>
        </w:rPr>
      </w:pPr>
    </w:p>
    <w:p>
      <w:pPr>
        <w:numPr>
          <w:numId w:val="0"/>
        </w:numPr>
        <w:ind w:firstLine="720"/>
        <w:jc w:val="both"/>
        <w:rPr>
          <w:rFonts w:hint="default"/>
          <w:b/>
          <w:bCs/>
          <w:sz w:val="36"/>
          <w:szCs w:val="36"/>
          <w:lang w:val="en-US" w:eastAsia="zh-CN"/>
        </w:rPr>
      </w:pPr>
    </w:p>
    <w:p>
      <w:pPr>
        <w:numPr>
          <w:numId w:val="0"/>
        </w:numPr>
        <w:ind w:firstLine="720"/>
        <w:jc w:val="both"/>
        <w:rPr>
          <w:rFonts w:hint="default"/>
          <w:b/>
          <w:bCs/>
          <w:sz w:val="36"/>
          <w:szCs w:val="36"/>
          <w:lang w:val="en-US" w:eastAsia="zh-CN"/>
        </w:rPr>
      </w:pPr>
    </w:p>
    <w:p>
      <w:pPr>
        <w:numPr>
          <w:numId w:val="0"/>
        </w:numPr>
        <w:ind w:firstLine="720"/>
        <w:jc w:val="both"/>
        <w:rPr>
          <w:rFonts w:hint="default"/>
          <w:b/>
          <w:bCs/>
          <w:sz w:val="36"/>
          <w:szCs w:val="36"/>
          <w:lang w:val="en-US" w:eastAsia="zh-CN"/>
        </w:rPr>
      </w:pPr>
    </w:p>
    <w:p>
      <w:pPr>
        <w:numPr>
          <w:numId w:val="0"/>
        </w:numPr>
        <w:ind w:firstLine="720"/>
        <w:jc w:val="both"/>
        <w:rPr>
          <w:rFonts w:hint="default"/>
          <w:b/>
          <w:bCs/>
          <w:sz w:val="36"/>
          <w:szCs w:val="36"/>
          <w:lang w:val="en-US" w:eastAsia="zh-CN"/>
        </w:rPr>
      </w:pPr>
    </w:p>
    <w:p>
      <w:pPr>
        <w:numPr>
          <w:numId w:val="0"/>
        </w:numPr>
        <w:ind w:firstLine="720"/>
        <w:jc w:val="both"/>
        <w:rPr>
          <w:rFonts w:hint="default"/>
          <w:b/>
          <w:bCs/>
          <w:sz w:val="36"/>
          <w:szCs w:val="36"/>
          <w:lang w:val="en-US" w:eastAsia="zh-CN"/>
        </w:rPr>
      </w:pPr>
    </w:p>
    <w:p>
      <w:pPr>
        <w:numPr>
          <w:numId w:val="0"/>
        </w:numPr>
        <w:ind w:firstLine="720"/>
        <w:jc w:val="both"/>
        <w:rPr>
          <w:rFonts w:hint="default"/>
          <w:b/>
          <w:bCs/>
          <w:sz w:val="36"/>
          <w:szCs w:val="36"/>
          <w:lang w:val="en-US" w:eastAsia="zh-CN"/>
        </w:rPr>
      </w:pPr>
    </w:p>
    <w:p>
      <w:pPr>
        <w:numPr>
          <w:numId w:val="0"/>
        </w:numPr>
        <w:ind w:firstLine="720"/>
        <w:jc w:val="both"/>
        <w:rPr>
          <w:rFonts w:hint="default"/>
          <w:b/>
          <w:bCs/>
          <w:sz w:val="36"/>
          <w:szCs w:val="36"/>
          <w:lang w:val="en-US" w:eastAsia="zh-CN"/>
        </w:rPr>
      </w:pPr>
    </w:p>
    <w:p>
      <w:pPr>
        <w:numPr>
          <w:numId w:val="0"/>
        </w:numPr>
        <w:ind w:firstLine="720"/>
        <w:jc w:val="both"/>
        <w:rPr>
          <w:rFonts w:hint="default"/>
          <w:b/>
          <w:bCs/>
          <w:sz w:val="36"/>
          <w:szCs w:val="36"/>
          <w:lang w:val="en-US" w:eastAsia="zh-CN"/>
        </w:rPr>
      </w:pPr>
    </w:p>
    <w:p>
      <w:pPr>
        <w:numPr>
          <w:numId w:val="0"/>
        </w:numPr>
        <w:ind w:firstLine="720"/>
        <w:jc w:val="both"/>
        <w:rPr>
          <w:rFonts w:hint="default"/>
          <w:b/>
          <w:bCs/>
          <w:sz w:val="36"/>
          <w:szCs w:val="36"/>
          <w:lang w:val="en-US" w:eastAsia="zh-CN"/>
        </w:rPr>
      </w:pPr>
    </w:p>
    <w:p>
      <w:pPr>
        <w:numPr>
          <w:numId w:val="0"/>
        </w:numPr>
        <w:ind w:firstLine="2650" w:firstLineChars="600"/>
        <w:jc w:val="both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学习相关文件</w:t>
      </w:r>
    </w:p>
    <w:p>
      <w:pPr>
        <w:numPr>
          <w:numId w:val="0"/>
        </w:numPr>
        <w:jc w:val="both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</w:p>
    <w:p>
      <w:pPr>
        <w:numPr>
          <w:numId w:val="0"/>
        </w:numPr>
        <w:jc w:val="both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5232400" cy="2950845"/>
            <wp:effectExtent l="0" t="0" r="6350" b="1905"/>
            <wp:docPr id="1" name="图片 1" descr="IMG_20230109_090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30109_0908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5232400" cy="2950845"/>
            <wp:effectExtent l="0" t="0" r="6350" b="1905"/>
            <wp:docPr id="3" name="图片 3" descr="IMG_20230109_090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30109_09084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8745220" cy="4932045"/>
            <wp:effectExtent l="0" t="0" r="1905" b="17780"/>
            <wp:docPr id="2" name="图片 2" descr="IMG_20230109_090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30109_0908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45220" cy="493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5232400" cy="2950845"/>
            <wp:effectExtent l="0" t="0" r="6350" b="1905"/>
            <wp:docPr id="4" name="图片 4" descr="IMG_20230109_090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30109_0908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5232400" cy="2950845"/>
            <wp:effectExtent l="0" t="0" r="6350" b="1905"/>
            <wp:docPr id="5" name="图片 5" descr="IMG_20230109_090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30109_0908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5232400" cy="2950845"/>
            <wp:effectExtent l="0" t="0" r="6350" b="1905"/>
            <wp:docPr id="6" name="图片 6" descr="IMG_20230109_090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30109_0909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2650" w:firstLineChars="600"/>
        <w:jc w:val="both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</w:p>
    <w:p>
      <w:pPr>
        <w:numPr>
          <w:numId w:val="0"/>
        </w:numPr>
        <w:ind w:firstLine="2650" w:firstLineChars="600"/>
        <w:jc w:val="both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</w:p>
    <w:p>
      <w:pPr>
        <w:numPr>
          <w:numId w:val="0"/>
        </w:numPr>
        <w:jc w:val="both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bookmarkStart w:id="0" w:name="_GoBack"/>
      <w:bookmarkEnd w:id="0"/>
    </w:p>
    <w:p>
      <w:pPr>
        <w:numPr>
          <w:numId w:val="0"/>
        </w:numPr>
        <w:ind w:firstLine="2650" w:firstLineChars="600"/>
        <w:jc w:val="both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</w:p>
    <w:p>
      <w:pPr>
        <w:numPr>
          <w:numId w:val="0"/>
        </w:numPr>
        <w:ind w:firstLine="2650" w:firstLineChars="600"/>
        <w:jc w:val="both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会议精神传达</w:t>
      </w:r>
    </w:p>
    <w:p>
      <w:pPr>
        <w:spacing w:line="600" w:lineRule="exact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numPr>
          <w:numId w:val="0"/>
        </w:numPr>
        <w:spacing w:line="600" w:lineRule="exact"/>
        <w:ind w:firstLine="643" w:firstLineChars="200"/>
        <w:jc w:val="both"/>
        <w:rPr>
          <w:rFonts w:hint="eastAsia" w:ascii="楷体" w:hAnsi="楷体" w:eastAsia="楷体" w:cs="楷体"/>
          <w:b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（一）传达</w:t>
      </w:r>
      <w:r>
        <w:rPr>
          <w:rFonts w:hint="eastAsia" w:ascii="楷体" w:hAnsi="楷体" w:eastAsia="楷体" w:cs="楷体"/>
          <w:b/>
          <w:sz w:val="32"/>
          <w:szCs w:val="32"/>
        </w:rPr>
        <w:t>国务院联防联控机制春运工作专班2023年春运工作电视电话会议</w:t>
      </w:r>
      <w:r>
        <w:rPr>
          <w:rFonts w:hint="eastAsia" w:ascii="楷体" w:hAnsi="楷体" w:eastAsia="楷体" w:cs="楷体"/>
          <w:b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1月4日</w:t>
      </w:r>
      <w:r>
        <w:rPr>
          <w:rFonts w:hint="eastAsia" w:ascii="楷体" w:hAnsi="楷体" w:eastAsia="楷体" w:cs="楷体"/>
          <w:b/>
          <w:sz w:val="32"/>
          <w:szCs w:val="32"/>
          <w:lang w:eastAsia="zh-CN"/>
        </w:rPr>
        <w:t>）</w:t>
      </w:r>
    </w:p>
    <w:p>
      <w:pPr>
        <w:numPr>
          <w:numId w:val="0"/>
        </w:numPr>
        <w:spacing w:line="600" w:lineRule="exact"/>
        <w:ind w:firstLine="642"/>
        <w:jc w:val="both"/>
        <w:rPr>
          <w:rFonts w:hint="eastAsia" w:ascii="楷体" w:hAnsi="楷体" w:eastAsia="楷体" w:cs="楷体"/>
          <w:b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sz w:val="32"/>
          <w:szCs w:val="32"/>
          <w:lang w:val="en-US" w:eastAsia="zh-CN"/>
        </w:rPr>
        <w:t>（二）传达全省春运工作会议精神（</w:t>
      </w:r>
      <w:r>
        <w:rPr>
          <w:rFonts w:hint="eastAsia" w:ascii="楷体" w:hAnsi="楷体" w:eastAsia="楷体" w:cs="楷体"/>
          <w:b/>
          <w:sz w:val="32"/>
          <w:szCs w:val="32"/>
          <w:lang w:val="en-US" w:eastAsia="zh-CN"/>
        </w:rPr>
        <w:t>1月6日</w:t>
      </w:r>
      <w:r>
        <w:rPr>
          <w:rFonts w:hint="eastAsia" w:ascii="楷体" w:hAnsi="楷体" w:eastAsia="楷体" w:cs="楷体"/>
          <w:b/>
          <w:sz w:val="32"/>
          <w:szCs w:val="32"/>
          <w:lang w:val="en-US" w:eastAsia="zh-CN"/>
        </w:rPr>
        <w:t>）</w:t>
      </w:r>
    </w:p>
    <w:p>
      <w:pPr>
        <w:numPr>
          <w:numId w:val="0"/>
        </w:numPr>
        <w:spacing w:line="600" w:lineRule="exact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sz w:val="32"/>
          <w:szCs w:val="32"/>
          <w:lang w:val="en-US" w:eastAsia="zh-CN"/>
        </w:rPr>
        <w:t xml:space="preserve">    （三）传达集团公司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color="auto"/>
        </w:rPr>
        <w:t>2023年春运工作暨安委会第一次全体成员会议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color="auto"/>
          <w:lang w:eastAsia="zh-CN"/>
        </w:rPr>
        <w:t>（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1月5日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color="auto"/>
          <w:lang w:eastAsia="zh-CN"/>
        </w:rPr>
        <w:t>）</w:t>
      </w:r>
    </w:p>
    <w:p>
      <w:pPr>
        <w:numPr>
          <w:numId w:val="0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小标宋简体">
    <w:altName w:val="黑体"/>
    <w:panose1 w:val="02000000000000000000"/>
    <w:charset w:val="86"/>
    <w:family w:val="script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E1Mzk1NzA2NTZjZTdlNGM1MzBlMTJkOTIxOTQ3MWUifQ=="/>
  </w:docVars>
  <w:rsids>
    <w:rsidRoot w:val="3F2A770F"/>
    <w:rsid w:val="2AA333D6"/>
    <w:rsid w:val="3F2A7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93</Words>
  <Characters>96</Characters>
  <Lines>0</Lines>
  <Paragraphs>0</Paragraphs>
  <TotalTime>1</TotalTime>
  <ScaleCrop>false</ScaleCrop>
  <LinksUpToDate>false</LinksUpToDate>
  <CharactersWithSpaces>100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2023-01-09T00:51:00Z</dcterms:created>
  <dc:creator>高山流水</dc:creator>
  <cp:lastModifiedBy>高山流水</cp:lastModifiedBy>
  <dcterms:modified xsi:type="dcterms:W3CDTF">2023-01-09T01:12:32Z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B13C41CA501143C3BA38A7EC39F19B93</vt:lpwstr>
  </property>
</Properties>
</file>