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right="2548"/>
        <w:rPr>
          <w:rFonts w:ascii="黑体" w:hAnsi="黑体" w:eastAsia="黑体"/>
          <w:sz w:val="72"/>
          <w:szCs w:val="72"/>
        </w:rPr>
      </w:pPr>
    </w:p>
    <w:p>
      <w:pPr>
        <w:spacing w:before="156" w:beforeLines="50" w:after="156" w:afterLines="50" w:line="360" w:lineRule="auto"/>
        <w:rPr>
          <w:rFonts w:ascii="黑体" w:hAnsi="黑体" w:eastAsia="黑体"/>
          <w:sz w:val="72"/>
          <w:szCs w:val="72"/>
        </w:rPr>
      </w:pPr>
      <w:r>
        <w:rPr>
          <w:rFonts w:ascii="黑体" w:hAnsi="黑体" w:eastAsia="黑体"/>
          <w:sz w:val="72"/>
          <w:szCs w:val="72"/>
        </w:rPr>
        <w:drawing>
          <wp:anchor distT="0" distB="0" distL="114300" distR="114300" simplePos="0" relativeHeight="251659264" behindDoc="0" locked="0" layoutInCell="1" allowOverlap="1">
            <wp:simplePos x="0" y="0"/>
            <wp:positionH relativeFrom="column">
              <wp:posOffset>4458970</wp:posOffset>
            </wp:positionH>
            <wp:positionV relativeFrom="paragraph">
              <wp:posOffset>57150</wp:posOffset>
            </wp:positionV>
            <wp:extent cx="828675" cy="828675"/>
            <wp:effectExtent l="19050" t="0" r="9525" b="0"/>
            <wp:wrapSquare wrapText="bothSides"/>
            <wp:docPr id="11" name="图片 11" descr="28e73b18b0c112a28014918ee50b6a38_222_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8e73b18b0c112a28014918ee50b6a38_222_222"/>
                    <pic:cNvPicPr>
                      <a:picLocks noChangeAspect="1"/>
                    </pic:cNvPicPr>
                  </pic:nvPicPr>
                  <pic:blipFill>
                    <a:blip r:embed="rId5" cstate="print">
                      <a:lum bright="10000"/>
                      <a:extLst>
                        <a:ext uri="{28A0092B-C50C-407E-A947-70E740481C1C}">
                          <a14:useLocalDpi xmlns:a14="http://schemas.microsoft.com/office/drawing/2010/main" val="0"/>
                        </a:ext>
                      </a:extLst>
                    </a:blip>
                    <a:srcRect/>
                    <a:stretch>
                      <a:fillRect/>
                    </a:stretch>
                  </pic:blipFill>
                  <pic:spPr>
                    <a:xfrm>
                      <a:off x="0" y="0"/>
                      <a:ext cx="828675" cy="828675"/>
                    </a:xfrm>
                    <a:prstGeom prst="rect">
                      <a:avLst/>
                    </a:prstGeom>
                    <a:noFill/>
                    <a:ln>
                      <a:noFill/>
                    </a:ln>
                  </pic:spPr>
                </pic:pic>
              </a:graphicData>
            </a:graphic>
          </wp:anchor>
        </w:drawing>
      </w:r>
    </w:p>
    <w:p>
      <w:pPr>
        <w:tabs>
          <w:tab w:val="left" w:pos="5355"/>
        </w:tabs>
        <w:spacing w:before="156" w:beforeLines="50" w:after="156" w:afterLines="50" w:line="360" w:lineRule="auto"/>
        <w:rPr>
          <w:rFonts w:ascii="黑体" w:hAnsi="黑体" w:eastAsia="黑体"/>
          <w:spacing w:val="30"/>
          <w:sz w:val="72"/>
          <w:szCs w:val="72"/>
        </w:rPr>
      </w:pPr>
      <w:r>
        <w:rPr>
          <w:rFonts w:ascii="黑体" w:hAnsi="黑体" w:eastAsia="黑体"/>
          <w:spacing w:val="30"/>
          <w:sz w:val="72"/>
          <w:szCs w:val="72"/>
        </w:rPr>
        <w:tab/>
      </w:r>
    </w:p>
    <w:p>
      <w:pPr>
        <w:spacing w:before="156" w:beforeLines="50" w:after="156" w:afterLines="50" w:line="360" w:lineRule="auto"/>
        <w:rPr>
          <w:rFonts w:ascii="黑体" w:hAnsi="黑体" w:eastAsia="黑体"/>
          <w:spacing w:val="30"/>
          <w:sz w:val="72"/>
          <w:szCs w:val="72"/>
        </w:rPr>
      </w:pPr>
    </w:p>
    <w:p>
      <w:pPr>
        <w:spacing w:before="156" w:beforeLines="50" w:after="156" w:afterLines="50" w:line="360" w:lineRule="auto"/>
        <w:jc w:val="center"/>
        <w:rPr>
          <w:rFonts w:ascii="黑体" w:hAnsi="黑体" w:eastAsia="黑体"/>
          <w:spacing w:val="30"/>
          <w:sz w:val="72"/>
          <w:szCs w:val="72"/>
        </w:rPr>
      </w:pPr>
      <w:r>
        <w:rPr>
          <w:rFonts w:hint="eastAsia" w:ascii="黑体" w:hAnsi="黑体" w:eastAsia="黑体"/>
          <w:spacing w:val="30"/>
          <w:sz w:val="72"/>
          <w:szCs w:val="72"/>
        </w:rPr>
        <w:t>燕京啤酒</w:t>
      </w:r>
    </w:p>
    <w:p>
      <w:pPr>
        <w:spacing w:before="156" w:beforeLines="50" w:after="156" w:afterLines="50" w:line="360" w:lineRule="auto"/>
        <w:jc w:val="center"/>
        <w:rPr>
          <w:rFonts w:ascii="黑体" w:hAnsi="黑体" w:eastAsia="黑体"/>
          <w:w w:val="85"/>
          <w:sz w:val="72"/>
          <w:szCs w:val="72"/>
        </w:rPr>
      </w:pPr>
      <w:r>
        <w:rPr>
          <w:rFonts w:hint="eastAsia" w:ascii="黑体" w:hAnsi="黑体" w:eastAsia="黑体"/>
          <w:w w:val="85"/>
          <w:sz w:val="72"/>
          <w:szCs w:val="72"/>
          <w:lang w:eastAsia="zh-CN"/>
        </w:rPr>
        <w:t>202</w:t>
      </w:r>
      <w:r>
        <w:rPr>
          <w:rFonts w:hint="eastAsia" w:ascii="黑体" w:hAnsi="黑体" w:eastAsia="黑体"/>
          <w:w w:val="85"/>
          <w:sz w:val="72"/>
          <w:szCs w:val="72"/>
          <w:lang w:val="en-US" w:eastAsia="zh-CN"/>
        </w:rPr>
        <w:t>3</w:t>
      </w:r>
      <w:r>
        <w:rPr>
          <w:rFonts w:hint="eastAsia" w:ascii="黑体" w:hAnsi="黑体" w:eastAsia="黑体"/>
          <w:w w:val="85"/>
          <w:sz w:val="72"/>
          <w:szCs w:val="72"/>
        </w:rPr>
        <w:t>年度安全生产目标责任书</w:t>
      </w:r>
    </w:p>
    <w:p>
      <w:pPr>
        <w:spacing w:before="156" w:beforeLines="50" w:after="156" w:afterLines="50" w:line="360" w:lineRule="auto"/>
        <w:jc w:val="center"/>
        <w:rPr>
          <w:rFonts w:ascii="黑体" w:hAnsi="黑体" w:eastAsia="黑体"/>
          <w:spacing w:val="30"/>
          <w:sz w:val="48"/>
          <w:szCs w:val="48"/>
        </w:rPr>
      </w:pPr>
      <w:r>
        <w:rPr>
          <w:rFonts w:hint="eastAsia" w:ascii="黑体" w:hAnsi="黑体" w:eastAsia="黑体"/>
          <w:spacing w:val="30"/>
          <w:sz w:val="48"/>
          <w:szCs w:val="48"/>
        </w:rPr>
        <w:t>（</w:t>
      </w:r>
      <w:r>
        <w:rPr>
          <w:rFonts w:hint="eastAsia" w:ascii="黑体" w:hAnsi="黑体" w:eastAsia="黑体"/>
          <w:spacing w:val="30"/>
          <w:sz w:val="48"/>
          <w:szCs w:val="48"/>
          <w:lang w:val="en-US" w:eastAsia="zh-CN"/>
        </w:rPr>
        <w:t>四川燕京</w:t>
      </w:r>
      <w:r>
        <w:rPr>
          <w:rFonts w:hint="eastAsia" w:ascii="黑体" w:hAnsi="黑体" w:eastAsia="黑体"/>
          <w:spacing w:val="30"/>
          <w:sz w:val="48"/>
          <w:szCs w:val="48"/>
        </w:rPr>
        <w:t>）</w:t>
      </w:r>
    </w:p>
    <w:p>
      <w:pPr>
        <w:spacing w:before="156" w:beforeLines="50" w:after="156" w:afterLines="50" w:line="360" w:lineRule="auto"/>
        <w:jc w:val="center"/>
        <w:rPr>
          <w:rFonts w:ascii="黑体" w:hAnsi="黑体" w:eastAsia="黑体"/>
          <w:spacing w:val="30"/>
          <w:sz w:val="72"/>
          <w:szCs w:val="72"/>
        </w:rPr>
      </w:pPr>
    </w:p>
    <w:p>
      <w:pPr>
        <w:spacing w:before="156" w:beforeLines="50" w:after="156" w:afterLines="50" w:line="360" w:lineRule="auto"/>
        <w:jc w:val="center"/>
        <w:rPr>
          <w:rFonts w:ascii="黑体" w:hAnsi="黑体" w:eastAsia="黑体"/>
          <w:spacing w:val="30"/>
          <w:sz w:val="72"/>
          <w:szCs w:val="72"/>
        </w:rPr>
      </w:pPr>
    </w:p>
    <w:p>
      <w:pPr>
        <w:spacing w:before="156" w:beforeLines="50" w:after="156" w:afterLines="50" w:line="360" w:lineRule="auto"/>
        <w:jc w:val="center"/>
        <w:rPr>
          <w:rFonts w:ascii="黑体" w:hAnsi="黑体" w:eastAsia="黑体"/>
          <w:spacing w:val="30"/>
          <w:sz w:val="72"/>
          <w:szCs w:val="72"/>
        </w:rPr>
      </w:pPr>
    </w:p>
    <w:p>
      <w:pPr>
        <w:spacing w:before="156" w:beforeLines="50" w:after="156" w:afterLines="50" w:line="360" w:lineRule="auto"/>
        <w:jc w:val="center"/>
        <w:rPr>
          <w:rFonts w:ascii="黑体" w:hAnsi="黑体" w:eastAsia="黑体"/>
          <w:spacing w:val="30"/>
          <w:sz w:val="72"/>
          <w:szCs w:val="72"/>
        </w:rPr>
      </w:pPr>
    </w:p>
    <w:p>
      <w:pPr>
        <w:spacing w:before="312" w:beforeLines="100" w:after="312" w:afterLines="100" w:line="360" w:lineRule="auto"/>
        <w:jc w:val="center"/>
        <w:rPr>
          <w:rFonts w:ascii="黑体" w:hAnsi="黑体" w:eastAsia="黑体"/>
          <w:sz w:val="48"/>
          <w:szCs w:val="48"/>
        </w:rPr>
      </w:pPr>
    </w:p>
    <w:p>
      <w:pPr>
        <w:spacing w:before="312" w:beforeLines="100" w:after="312" w:afterLines="100" w:line="360" w:lineRule="auto"/>
        <w:jc w:val="center"/>
        <w:rPr>
          <w:rFonts w:hint="eastAsia" w:ascii="黑体" w:hAnsi="黑体" w:eastAsia="黑体"/>
          <w:spacing w:val="30"/>
          <w:sz w:val="44"/>
          <w:szCs w:val="44"/>
        </w:rPr>
      </w:pPr>
      <w:r>
        <w:rPr>
          <w:rFonts w:hint="eastAsia" w:ascii="黑体" w:hAnsi="黑体" w:eastAsia="黑体"/>
          <w:sz w:val="48"/>
          <w:szCs w:val="48"/>
          <w:lang w:eastAsia="zh-CN"/>
        </w:rPr>
        <w:t>2022</w:t>
      </w:r>
      <w:r>
        <w:rPr>
          <w:rFonts w:hint="eastAsia" w:ascii="黑体" w:hAnsi="黑体" w:eastAsia="黑体"/>
          <w:sz w:val="48"/>
          <w:szCs w:val="48"/>
        </w:rPr>
        <w:t>年1</w:t>
      </w:r>
      <w:r>
        <w:rPr>
          <w:rFonts w:hint="eastAsia" w:ascii="黑体" w:hAnsi="黑体" w:eastAsia="黑体"/>
          <w:sz w:val="48"/>
          <w:szCs w:val="48"/>
          <w:lang w:val="en-US" w:eastAsia="zh-CN"/>
        </w:rPr>
        <w:t>2</w:t>
      </w:r>
      <w:r>
        <w:rPr>
          <w:rFonts w:hint="eastAsia" w:ascii="黑体" w:hAnsi="黑体" w:eastAsia="黑体"/>
          <w:sz w:val="48"/>
          <w:szCs w:val="48"/>
        </w:rPr>
        <w:t>月</w:t>
      </w:r>
    </w:p>
    <w:p>
      <w:pPr>
        <w:adjustRightInd w:val="0"/>
        <w:snapToGrid w:val="0"/>
        <w:jc w:val="center"/>
        <w:rPr>
          <w:rFonts w:ascii="黑体" w:hAnsi="黑体" w:eastAsia="黑体"/>
          <w:spacing w:val="30"/>
          <w:sz w:val="44"/>
          <w:szCs w:val="44"/>
        </w:rPr>
      </w:pPr>
      <w:r>
        <w:rPr>
          <w:rFonts w:hint="eastAsia" w:ascii="黑体" w:hAnsi="黑体" w:eastAsia="黑体"/>
          <w:spacing w:val="30"/>
          <w:sz w:val="44"/>
          <w:szCs w:val="44"/>
        </w:rPr>
        <w:t>燕京啤酒</w:t>
      </w:r>
      <w:r>
        <w:rPr>
          <w:rFonts w:hint="eastAsia" w:ascii="黑体" w:hAnsi="黑体" w:eastAsia="黑体"/>
          <w:spacing w:val="30"/>
          <w:sz w:val="44"/>
          <w:szCs w:val="44"/>
          <w:lang w:eastAsia="zh-CN"/>
        </w:rPr>
        <w:t>202</w:t>
      </w:r>
      <w:r>
        <w:rPr>
          <w:rFonts w:hint="eastAsia" w:ascii="黑体" w:hAnsi="黑体" w:eastAsia="黑体"/>
          <w:spacing w:val="30"/>
          <w:sz w:val="44"/>
          <w:szCs w:val="44"/>
          <w:lang w:val="en-US" w:eastAsia="zh-CN"/>
        </w:rPr>
        <w:t>3</w:t>
      </w:r>
      <w:r>
        <w:rPr>
          <w:rFonts w:hint="eastAsia" w:ascii="黑体" w:hAnsi="黑体" w:eastAsia="黑体"/>
          <w:spacing w:val="30"/>
          <w:sz w:val="44"/>
          <w:szCs w:val="44"/>
        </w:rPr>
        <w:t>年安全生产</w:t>
      </w:r>
      <w:r>
        <w:rPr>
          <w:rFonts w:hint="eastAsia" w:ascii="黑体" w:hAnsi="黑体" w:eastAsia="黑体"/>
          <w:spacing w:val="30"/>
          <w:sz w:val="44"/>
          <w:szCs w:val="44"/>
          <w:lang w:val="en-US" w:eastAsia="zh-CN"/>
        </w:rPr>
        <w:t>目标</w:t>
      </w:r>
      <w:r>
        <w:rPr>
          <w:rFonts w:hint="eastAsia" w:ascii="黑体" w:hAnsi="黑体" w:eastAsia="黑体"/>
          <w:spacing w:val="30"/>
          <w:sz w:val="44"/>
          <w:szCs w:val="44"/>
        </w:rPr>
        <w:t>责任书</w:t>
      </w:r>
    </w:p>
    <w:p>
      <w:pPr>
        <w:adjustRightInd w:val="0"/>
        <w:snapToGrid w:val="0"/>
        <w:jc w:val="center"/>
        <w:rPr>
          <w:rFonts w:ascii="黑体" w:hAnsi="黑体" w:eastAsia="黑体"/>
          <w:spacing w:val="30"/>
          <w:sz w:val="28"/>
          <w:szCs w:val="28"/>
        </w:rPr>
      </w:pPr>
      <w:r>
        <w:rPr>
          <w:rFonts w:hint="eastAsia" w:ascii="黑体" w:hAnsi="黑体" w:eastAsia="黑体"/>
          <w:spacing w:val="30"/>
          <w:sz w:val="28"/>
          <w:szCs w:val="28"/>
        </w:rPr>
        <w:t>（</w:t>
      </w:r>
      <w:r>
        <w:rPr>
          <w:rFonts w:hint="eastAsia" w:ascii="黑体" w:hAnsi="黑体" w:eastAsia="黑体"/>
          <w:spacing w:val="30"/>
          <w:sz w:val="28"/>
          <w:szCs w:val="28"/>
          <w:lang w:val="en-US" w:eastAsia="zh-CN"/>
        </w:rPr>
        <w:t>四川</w:t>
      </w:r>
      <w:r>
        <w:rPr>
          <w:rFonts w:hint="eastAsia" w:ascii="黑体" w:hAnsi="黑体" w:eastAsia="黑体"/>
          <w:spacing w:val="30"/>
          <w:sz w:val="28"/>
          <w:szCs w:val="28"/>
          <w:lang w:eastAsia="zh-CN"/>
        </w:rPr>
        <w:t>燕京</w:t>
      </w:r>
      <w:r>
        <w:rPr>
          <w:rFonts w:hint="eastAsia" w:ascii="黑体" w:hAnsi="黑体" w:eastAsia="黑体"/>
          <w:spacing w:val="30"/>
          <w:sz w:val="28"/>
          <w:szCs w:val="28"/>
        </w:rPr>
        <w:t>）</w:t>
      </w:r>
    </w:p>
    <w:p>
      <w:pPr>
        <w:adjustRightInd w:val="0"/>
        <w:snapToGrid w:val="0"/>
        <w:jc w:val="center"/>
        <w:rPr>
          <w:rFonts w:ascii="黑体" w:hAnsi="黑体" w:eastAsia="黑体"/>
          <w:spacing w:val="30"/>
          <w:sz w:val="28"/>
          <w:szCs w:val="28"/>
        </w:rPr>
      </w:pPr>
    </w:p>
    <w:p>
      <w:pPr>
        <w:snapToGrid w:val="0"/>
        <w:spacing w:before="156" w:beforeLines="50" w:after="156" w:afterLines="50" w:line="400" w:lineRule="exact"/>
        <w:ind w:firstLine="600" w:firstLineChars="200"/>
        <w:jc w:val="left"/>
        <w:rPr>
          <w:rFonts w:asciiTheme="minorEastAsia" w:hAnsiTheme="minorEastAsia"/>
          <w:sz w:val="30"/>
          <w:szCs w:val="30"/>
        </w:rPr>
      </w:pPr>
      <w:r>
        <w:rPr>
          <w:rFonts w:hint="eastAsia" w:asciiTheme="minorEastAsia" w:hAnsiTheme="minorEastAsia"/>
          <w:sz w:val="30"/>
          <w:szCs w:val="30"/>
        </w:rPr>
        <w:t>为贯彻落实“安全第一、预防为主、综合治理”安全工作方针，践行“党政同责、一岗双责、失职追责、管业务必管安全、管生产经营必管安全”</w:t>
      </w:r>
      <w:r>
        <w:rPr>
          <w:rFonts w:hint="eastAsia" w:asciiTheme="minorEastAsia" w:hAnsiTheme="minorEastAsia"/>
          <w:sz w:val="30"/>
          <w:szCs w:val="30"/>
          <w:lang w:val="en-US" w:eastAsia="zh-CN"/>
        </w:rPr>
        <w:t>的</w:t>
      </w:r>
      <w:r>
        <w:rPr>
          <w:rFonts w:hint="eastAsia" w:asciiTheme="minorEastAsia" w:hAnsiTheme="minorEastAsia"/>
          <w:sz w:val="30"/>
          <w:szCs w:val="30"/>
        </w:rPr>
        <w:t>安全工作要求，落实安全生产责任制，切实加强安全生产管理工作，特签订</w:t>
      </w:r>
      <w:r>
        <w:rPr>
          <w:rFonts w:hint="eastAsia" w:asciiTheme="minorEastAsia" w:hAnsiTheme="minorEastAsia"/>
          <w:sz w:val="30"/>
          <w:szCs w:val="30"/>
          <w:lang w:eastAsia="zh-CN"/>
        </w:rPr>
        <w:t>202</w:t>
      </w:r>
      <w:r>
        <w:rPr>
          <w:rFonts w:hint="eastAsia" w:asciiTheme="minorEastAsia" w:hAnsiTheme="minorEastAsia"/>
          <w:sz w:val="30"/>
          <w:szCs w:val="30"/>
          <w:lang w:val="en-US" w:eastAsia="zh-CN"/>
        </w:rPr>
        <w:t>3</w:t>
      </w:r>
      <w:r>
        <w:rPr>
          <w:rFonts w:hint="eastAsia" w:asciiTheme="minorEastAsia" w:hAnsiTheme="minorEastAsia"/>
          <w:sz w:val="30"/>
          <w:szCs w:val="30"/>
        </w:rPr>
        <w:t>年度安全生产目标责任书。</w:t>
      </w:r>
    </w:p>
    <w:p>
      <w:pPr>
        <w:spacing w:before="156" w:beforeLines="50" w:after="156" w:afterLines="50" w:line="400" w:lineRule="exact"/>
        <w:ind w:left="416" w:leftChars="198" w:firstLine="4" w:firstLineChars="0"/>
        <w:jc w:val="left"/>
        <w:rPr>
          <w:rFonts w:ascii="黑体" w:hAnsi="黑体" w:eastAsia="黑体"/>
          <w:sz w:val="30"/>
          <w:szCs w:val="30"/>
        </w:rPr>
      </w:pPr>
      <w:r>
        <w:rPr>
          <w:rFonts w:hint="eastAsia" w:ascii="黑体" w:hAnsi="黑体" w:eastAsia="黑体"/>
          <w:sz w:val="30"/>
          <w:szCs w:val="30"/>
        </w:rPr>
        <w:t>一、安全生产目标</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重大火灾、爆炸泄漏、环境污染、责任交通事故为0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死亡事故为0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职业病发生率为0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食物、急性中毒事故为0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外来人员、车辆安全事故发生数为0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工伤事故发生率≤0.</w:t>
      </w:r>
      <w:r>
        <w:rPr>
          <w:rFonts w:hint="eastAsia" w:asciiTheme="minorEastAsia" w:hAnsiTheme="minorEastAsia"/>
          <w:sz w:val="30"/>
          <w:szCs w:val="30"/>
          <w:lang w:val="en-US" w:eastAsia="zh-CN"/>
        </w:rPr>
        <w:t>7</w:t>
      </w:r>
      <w:r>
        <w:rPr>
          <w:rFonts w:hint="eastAsia" w:asciiTheme="minorEastAsia" w:hAnsiTheme="minorEastAsia"/>
          <w:sz w:val="30"/>
          <w:szCs w:val="30"/>
        </w:rPr>
        <w:t>%</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重伤事故发生率≤0.</w:t>
      </w:r>
      <w:r>
        <w:rPr>
          <w:rFonts w:hint="eastAsia" w:asciiTheme="minorEastAsia" w:hAnsiTheme="minorEastAsia"/>
          <w:sz w:val="30"/>
          <w:szCs w:val="30"/>
          <w:lang w:val="en-US" w:eastAsia="zh-CN"/>
        </w:rPr>
        <w:t>08</w:t>
      </w:r>
      <w:r>
        <w:rPr>
          <w:rFonts w:hint="eastAsia" w:asciiTheme="minorEastAsia" w:hAnsiTheme="minorEastAsia"/>
          <w:sz w:val="30"/>
          <w:szCs w:val="30"/>
        </w:rPr>
        <w:t>%</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事故直接经济损失10万元以上的责任事故≤0.07%</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asciiTheme="minorEastAsia" w:hAnsiTheme="minorEastAsia"/>
          <w:sz w:val="30"/>
          <w:szCs w:val="30"/>
        </w:rPr>
      </w:pPr>
      <w:r>
        <w:rPr>
          <w:rFonts w:hint="eastAsia" w:asciiTheme="minorEastAsia" w:hAnsiTheme="minorEastAsia"/>
          <w:sz w:val="30"/>
          <w:szCs w:val="30"/>
        </w:rPr>
        <w:t>火灾事故直接经济损失50万元以上的责任事故控制在0起内（属于刑事立案）</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业务范围内安全生产标准化自评无否决项</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业务范围内安全生产标准化自评分≥85分</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管理人员、相关安全教育培训率100%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新职工三级教育培训率100%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安全教育培训覆盖率100%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转岗、复岗、“四新”人员安全教育培训率100%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安全生产责任书签订率100%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危险作业审批许可率100%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安全检查覆盖率100%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安全检查检查次数≥12次</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隐患整改及时率100%、一般隐患整改率100%、重大隐患整改措施率100%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工作场所职业危害因素治理率100%、接触职业危害因素的职工体检率100%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劳动防护用品配备使用合格率100%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消防设备、器材完好率95%</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特种工特种设备操作人员持证率100%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排油烟管道定期清理率100%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监视和测量设备周检率97%</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特种设备定期检验率100%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燃气设备定期检测率100%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防雷装置、消防设施、电气防火、设备设施定期检测率100%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公司所有机动车和驾驶员年审、年检和定期检测率100%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车辆维护保养率100%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公车驾驶人员交通违法率≤5%</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安全生产费用提取保证率100%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安全应急资金保证率为100%</w:t>
      </w:r>
    </w:p>
    <w:p>
      <w:pPr>
        <w:pStyle w:val="16"/>
        <w:keepNext w:val="0"/>
        <w:keepLines w:val="0"/>
        <w:pageBreakBefore w:val="0"/>
        <w:widowControl w:val="0"/>
        <w:numPr>
          <w:ilvl w:val="0"/>
          <w:numId w:val="1"/>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奖惩兑现率100%</w:t>
      </w:r>
    </w:p>
    <w:p>
      <w:pPr>
        <w:snapToGrid w:val="0"/>
        <w:spacing w:before="156" w:beforeLines="50" w:after="156" w:afterLines="50" w:line="400" w:lineRule="exact"/>
        <w:ind w:left="560"/>
        <w:jc w:val="left"/>
        <w:rPr>
          <w:rFonts w:asciiTheme="minorEastAsia" w:hAnsiTheme="minorEastAsia"/>
          <w:sz w:val="30"/>
          <w:szCs w:val="30"/>
        </w:rPr>
      </w:pPr>
      <w:r>
        <w:rPr>
          <w:rFonts w:hint="eastAsia" w:asciiTheme="minorEastAsia" w:hAnsiTheme="minorEastAsia"/>
          <w:sz w:val="30"/>
          <w:szCs w:val="30"/>
        </w:rPr>
        <w:t>其中，第1、2、3、4项指标为否定性指标。</w:t>
      </w:r>
    </w:p>
    <w:p>
      <w:pPr>
        <w:spacing w:before="156" w:beforeLines="50" w:after="156" w:afterLines="50" w:line="400" w:lineRule="exact"/>
        <w:ind w:left="416" w:leftChars="198" w:firstLine="4" w:firstLineChars="0"/>
        <w:jc w:val="left"/>
        <w:rPr>
          <w:rFonts w:ascii="黑体" w:hAnsi="黑体" w:eastAsia="黑体"/>
          <w:sz w:val="30"/>
          <w:szCs w:val="30"/>
        </w:rPr>
      </w:pPr>
      <w:r>
        <w:rPr>
          <w:rFonts w:hint="eastAsia" w:ascii="黑体" w:hAnsi="黑体" w:eastAsia="黑体"/>
          <w:sz w:val="30"/>
          <w:szCs w:val="30"/>
        </w:rPr>
        <w:t>二、安全生产职责</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严格贯彻、执行国家、地方有关安全生产的方针政策和法律法规、标准，以及公司各项安全生产规章制度和要求；</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严格贯彻、执行</w:t>
      </w:r>
      <w:r>
        <w:rPr>
          <w:rFonts w:hint="eastAsia" w:asciiTheme="minorEastAsia" w:hAnsiTheme="minorEastAsia"/>
          <w:sz w:val="30"/>
          <w:szCs w:val="30"/>
          <w:lang w:val="en-US" w:eastAsia="zh-CN"/>
        </w:rPr>
        <w:t>习主席对党政干部的要求，落实</w:t>
      </w:r>
      <w:r>
        <w:rPr>
          <w:rFonts w:hint="eastAsia" w:asciiTheme="minorEastAsia" w:hAnsiTheme="minorEastAsia"/>
          <w:sz w:val="30"/>
          <w:szCs w:val="30"/>
        </w:rPr>
        <w:t>“党政同责、一岗双责</w:t>
      </w:r>
      <w:r>
        <w:rPr>
          <w:rFonts w:hint="eastAsia" w:asciiTheme="minorEastAsia" w:hAnsiTheme="minorEastAsia"/>
          <w:sz w:val="30"/>
          <w:szCs w:val="30"/>
          <w:lang w:eastAsia="zh-CN"/>
        </w:rPr>
        <w:t>、</w:t>
      </w:r>
      <w:r>
        <w:rPr>
          <w:rFonts w:hint="eastAsia" w:asciiTheme="minorEastAsia" w:hAnsiTheme="minorEastAsia"/>
          <w:sz w:val="30"/>
          <w:szCs w:val="30"/>
          <w:lang w:val="en-US" w:eastAsia="zh-CN"/>
        </w:rPr>
        <w:t>齐抓共管、失职追责</w:t>
      </w:r>
      <w:r>
        <w:rPr>
          <w:rFonts w:hint="eastAsia" w:asciiTheme="minorEastAsia" w:hAnsiTheme="minorEastAsia"/>
          <w:sz w:val="30"/>
          <w:szCs w:val="30"/>
        </w:rPr>
        <w:t>”规定的所有职责；</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bookmarkStart w:id="0" w:name="_GoBack"/>
      <w:bookmarkEnd w:id="0"/>
      <w:r>
        <w:rPr>
          <w:rFonts w:hint="eastAsia" w:asciiTheme="minorEastAsia" w:hAnsiTheme="minorEastAsia"/>
          <w:sz w:val="30"/>
          <w:szCs w:val="30"/>
        </w:rPr>
        <w:t>监督</w:t>
      </w:r>
      <w:r>
        <w:rPr>
          <w:rFonts w:hint="eastAsia" w:asciiTheme="minorEastAsia" w:hAnsiTheme="minorEastAsia"/>
          <w:sz w:val="30"/>
          <w:szCs w:val="30"/>
          <w:lang w:eastAsia="zh-CN"/>
        </w:rPr>
        <w:t>、</w:t>
      </w:r>
      <w:r>
        <w:rPr>
          <w:rFonts w:hint="eastAsia" w:asciiTheme="minorEastAsia" w:hAnsiTheme="minorEastAsia"/>
          <w:sz w:val="30"/>
          <w:szCs w:val="30"/>
          <w:lang w:val="en-US" w:eastAsia="zh-CN"/>
        </w:rPr>
        <w:t>督促</w:t>
      </w:r>
      <w:r>
        <w:rPr>
          <w:rFonts w:hint="eastAsia" w:asciiTheme="minorEastAsia" w:hAnsiTheme="minorEastAsia"/>
          <w:sz w:val="30"/>
          <w:szCs w:val="30"/>
        </w:rPr>
        <w:t>领导班子其他成员抓好分管范围内的安全生产工作；</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建立健全并落实公司全员安全生产责任制</w:t>
      </w:r>
      <w:r>
        <w:rPr>
          <w:rFonts w:hint="eastAsia" w:asciiTheme="minorEastAsia" w:hAnsiTheme="minorEastAsia"/>
          <w:sz w:val="30"/>
          <w:szCs w:val="30"/>
        </w:rPr>
        <w:t>；</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组织制定并实施公司安全生产规章制度和操作规程；</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组织制定并实施本单位安全生产教育和培训计划；</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组织制定并实施公司的安全生产事故应急救援预案；</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组织建立并落实安全风险分级管控和隐患排查治理双重预防工作机制；</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加强安全标准化建设，持续推进各项工作的落实。</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督促、检查公司的安全生产工作，及时消除生产安全事故隐患，</w:t>
      </w:r>
      <w:r>
        <w:rPr>
          <w:rFonts w:hint="eastAsia" w:asciiTheme="minorEastAsia" w:hAnsiTheme="minorEastAsia"/>
          <w:sz w:val="30"/>
          <w:szCs w:val="30"/>
        </w:rPr>
        <w:t>对重大隐患的整改进行督办</w:t>
      </w:r>
      <w:r>
        <w:rPr>
          <w:rFonts w:hint="eastAsia" w:asciiTheme="minorEastAsia" w:hAnsiTheme="minorEastAsia"/>
          <w:sz w:val="30"/>
          <w:szCs w:val="30"/>
          <w:lang w:val="en-US" w:eastAsia="zh-CN"/>
        </w:rPr>
        <w:t>；</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对</w:t>
      </w:r>
      <w:r>
        <w:rPr>
          <w:rFonts w:hint="eastAsia" w:asciiTheme="minorEastAsia" w:hAnsiTheme="minorEastAsia"/>
          <w:sz w:val="30"/>
          <w:szCs w:val="30"/>
        </w:rPr>
        <w:t>公司安全生产费用的提取和使用计划以及计划外安全投入进行审批</w:t>
      </w:r>
      <w:r>
        <w:rPr>
          <w:rFonts w:hint="eastAsia" w:asciiTheme="minorEastAsia" w:hAnsiTheme="minorEastAsia"/>
          <w:sz w:val="30"/>
          <w:szCs w:val="30"/>
          <w:lang w:eastAsia="zh-CN"/>
        </w:rPr>
        <w:t>，</w:t>
      </w:r>
      <w:r>
        <w:rPr>
          <w:rFonts w:hint="eastAsia" w:asciiTheme="minorEastAsia" w:hAnsiTheme="minorEastAsia"/>
          <w:sz w:val="30"/>
          <w:szCs w:val="30"/>
          <w:lang w:val="en-US" w:eastAsia="zh-CN"/>
        </w:rPr>
        <w:t>保证公司安全生产投入的有效实施；</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及时、如实报告生产安全事故；</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每年向职工代表大会报告公司的安全生产情况；</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对公司安全生产方针、长远目标进行审批；</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对公司年度安全生产目标和年度安全工作计划进行审批；</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对公司安全生产绩效考核结果进行审</w:t>
      </w:r>
      <w:r>
        <w:rPr>
          <w:rFonts w:hint="eastAsia" w:asciiTheme="minorEastAsia" w:hAnsiTheme="minorEastAsia"/>
          <w:sz w:val="30"/>
          <w:szCs w:val="30"/>
          <w:lang w:val="en-US" w:eastAsia="zh-CN"/>
        </w:rPr>
        <w:t>批；</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每季度至少</w:t>
      </w:r>
      <w:r>
        <w:rPr>
          <w:rFonts w:hint="eastAsia" w:asciiTheme="minorEastAsia" w:hAnsiTheme="minorEastAsia"/>
          <w:sz w:val="30"/>
          <w:szCs w:val="30"/>
        </w:rPr>
        <w:t>主持召开</w:t>
      </w:r>
      <w:r>
        <w:rPr>
          <w:rFonts w:hint="eastAsia" w:asciiTheme="minorEastAsia" w:hAnsiTheme="minorEastAsia"/>
          <w:sz w:val="30"/>
          <w:szCs w:val="30"/>
          <w:lang w:val="en-US" w:eastAsia="zh-CN"/>
        </w:rPr>
        <w:t>一次</w:t>
      </w:r>
      <w:r>
        <w:rPr>
          <w:rFonts w:hint="eastAsia" w:asciiTheme="minorEastAsia" w:hAnsiTheme="minorEastAsia"/>
          <w:sz w:val="30"/>
          <w:szCs w:val="30"/>
        </w:rPr>
        <w:t>公司级安全生产办公会议，听取安全工作汇报，</w:t>
      </w:r>
      <w:r>
        <w:rPr>
          <w:rFonts w:hint="eastAsia" w:asciiTheme="minorEastAsia" w:hAnsiTheme="minorEastAsia"/>
          <w:sz w:val="30"/>
          <w:szCs w:val="30"/>
          <w:lang w:val="en-US" w:eastAsia="zh-CN"/>
        </w:rPr>
        <w:t>研究安全生产工作，</w:t>
      </w:r>
      <w:r>
        <w:rPr>
          <w:rFonts w:hint="eastAsia" w:asciiTheme="minorEastAsia" w:hAnsiTheme="minorEastAsia"/>
          <w:sz w:val="30"/>
          <w:szCs w:val="30"/>
        </w:rPr>
        <w:t>并对安全工作做出部署或指示；</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组织建立公司应急救援体系和应急救援组织结构，监督检查应急体系的有效运作；</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组织参与安全事故调查和处理工作，对事故调查处理报告进行审批；</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对公司的职业健康管理工作全面负责；</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lang w:val="en-US" w:eastAsia="zh-CN"/>
        </w:rPr>
        <w:t>接受安全生产教育和培训，掌握本职工作所需要的安全生产知识；</w:t>
      </w:r>
    </w:p>
    <w:p>
      <w:pPr>
        <w:pStyle w:val="16"/>
        <w:keepNext w:val="0"/>
        <w:keepLines w:val="0"/>
        <w:pageBreakBefore w:val="0"/>
        <w:widowControl w:val="0"/>
        <w:numPr>
          <w:ilvl w:val="0"/>
          <w:numId w:val="2"/>
        </w:numPr>
        <w:kinsoku/>
        <w:wordWrap/>
        <w:overflowPunct/>
        <w:topLinePunct w:val="0"/>
        <w:autoSpaceDE/>
        <w:autoSpaceDN/>
        <w:bidi w:val="0"/>
        <w:adjustRightInd/>
        <w:snapToGrid w:val="0"/>
        <w:spacing w:before="156" w:beforeLines="50" w:after="156" w:afterLines="50" w:line="400" w:lineRule="exact"/>
        <w:ind w:left="561" w:firstLine="0" w:firstLineChars="0"/>
        <w:jc w:val="left"/>
        <w:textAlignment w:val="auto"/>
        <w:rPr>
          <w:rFonts w:hint="eastAsia" w:asciiTheme="minorEastAsia" w:hAnsiTheme="minorEastAsia"/>
          <w:sz w:val="30"/>
          <w:szCs w:val="30"/>
        </w:rPr>
      </w:pPr>
      <w:r>
        <w:rPr>
          <w:rFonts w:hint="eastAsia" w:asciiTheme="minorEastAsia" w:hAnsiTheme="minorEastAsia"/>
          <w:sz w:val="30"/>
          <w:szCs w:val="30"/>
        </w:rPr>
        <w:t>法律、法规规定的其他安全生产职责。</w:t>
      </w:r>
    </w:p>
    <w:p>
      <w:pPr>
        <w:spacing w:before="156" w:beforeLines="50" w:after="156" w:afterLines="50" w:line="400" w:lineRule="exact"/>
        <w:ind w:left="416" w:leftChars="198" w:firstLine="4" w:firstLineChars="0"/>
        <w:jc w:val="left"/>
        <w:rPr>
          <w:rFonts w:hint="eastAsia" w:ascii="黑体" w:hAnsi="黑体" w:eastAsia="黑体"/>
          <w:sz w:val="30"/>
          <w:szCs w:val="30"/>
        </w:rPr>
      </w:pPr>
      <w:r>
        <w:rPr>
          <w:rFonts w:hint="eastAsia" w:ascii="黑体" w:hAnsi="黑体" w:eastAsia="黑体"/>
          <w:sz w:val="30"/>
          <w:szCs w:val="30"/>
          <w:lang w:val="en-US" w:eastAsia="zh-CN"/>
        </w:rPr>
        <w:t>三、</w:t>
      </w:r>
      <w:r>
        <w:rPr>
          <w:rFonts w:hint="eastAsia" w:ascii="黑体" w:hAnsi="黑体" w:eastAsia="黑体"/>
          <w:sz w:val="30"/>
          <w:szCs w:val="30"/>
        </w:rPr>
        <w:t>考核奖惩</w:t>
      </w:r>
    </w:p>
    <w:p>
      <w:pPr>
        <w:snapToGrid w:val="0"/>
        <w:spacing w:before="156" w:beforeLines="50" w:after="156" w:afterLines="50" w:line="400" w:lineRule="exact"/>
        <w:ind w:left="420" w:leftChars="200" w:firstLine="560" w:firstLineChars="200"/>
        <w:jc w:val="left"/>
        <w:rPr>
          <w:rFonts w:asciiTheme="minorEastAsia" w:hAnsiTheme="minorEastAsia"/>
          <w:sz w:val="28"/>
          <w:szCs w:val="28"/>
        </w:rPr>
      </w:pPr>
      <w:r>
        <w:rPr>
          <w:rFonts w:hint="eastAsia" w:asciiTheme="minorEastAsia" w:hAnsiTheme="minorEastAsia"/>
          <w:sz w:val="28"/>
          <w:szCs w:val="28"/>
        </w:rPr>
        <w:t>按照《</w:t>
      </w:r>
      <w:r>
        <w:rPr>
          <w:rFonts w:hint="eastAsia" w:asciiTheme="minorEastAsia" w:hAnsiTheme="minorEastAsia"/>
          <w:sz w:val="28"/>
          <w:szCs w:val="28"/>
          <w:lang w:val="en-US" w:eastAsia="zh-CN"/>
        </w:rPr>
        <w:t>安全生产职责考核细则</w:t>
      </w:r>
      <w:r>
        <w:rPr>
          <w:rFonts w:hint="eastAsia" w:asciiTheme="minorEastAsia" w:hAnsiTheme="minorEastAsia"/>
          <w:sz w:val="28"/>
          <w:szCs w:val="28"/>
        </w:rPr>
        <w:t>》要求定期进行考核。若发布新的考核管理标准，按照新的考核标准执行。</w:t>
      </w:r>
    </w:p>
    <w:p>
      <w:pPr>
        <w:spacing w:before="156" w:beforeLines="50" w:after="156" w:afterLines="50" w:line="400" w:lineRule="exact"/>
        <w:ind w:left="416" w:leftChars="198" w:firstLine="4" w:firstLineChars="0"/>
        <w:jc w:val="left"/>
        <w:rPr>
          <w:rFonts w:ascii="黑体" w:hAnsi="黑体" w:eastAsia="黑体"/>
          <w:sz w:val="30"/>
          <w:szCs w:val="30"/>
        </w:rPr>
      </w:pPr>
      <w:r>
        <w:rPr>
          <w:rFonts w:hint="eastAsia" w:ascii="黑体" w:hAnsi="黑体" w:eastAsia="黑体"/>
          <w:sz w:val="30"/>
          <w:szCs w:val="30"/>
        </w:rPr>
        <w:t>四、附则</w:t>
      </w:r>
    </w:p>
    <w:p>
      <w:pPr>
        <w:pStyle w:val="16"/>
        <w:numPr>
          <w:ilvl w:val="0"/>
          <w:numId w:val="3"/>
        </w:numPr>
        <w:snapToGrid w:val="0"/>
        <w:spacing w:before="156" w:beforeLines="50" w:after="156" w:afterLines="50" w:line="400" w:lineRule="exact"/>
        <w:ind w:firstLineChars="0"/>
        <w:jc w:val="left"/>
        <w:rPr>
          <w:rFonts w:asciiTheme="minorEastAsia" w:hAnsiTheme="minorEastAsia"/>
          <w:sz w:val="30"/>
          <w:szCs w:val="30"/>
        </w:rPr>
      </w:pPr>
      <w:r>
        <w:rPr>
          <w:rFonts w:hint="eastAsia" w:asciiTheme="minorEastAsia" w:hAnsiTheme="minorEastAsia"/>
          <w:sz w:val="30"/>
          <w:szCs w:val="30"/>
        </w:rPr>
        <w:t>本责任书有效期限至下一年度责任书签订之日；</w:t>
      </w:r>
    </w:p>
    <w:p>
      <w:pPr>
        <w:pStyle w:val="16"/>
        <w:numPr>
          <w:ilvl w:val="0"/>
          <w:numId w:val="3"/>
        </w:numPr>
        <w:snapToGrid w:val="0"/>
        <w:spacing w:before="156" w:beforeLines="50" w:after="156" w:afterLines="50" w:line="400" w:lineRule="exact"/>
        <w:ind w:firstLineChars="0"/>
        <w:jc w:val="left"/>
        <w:rPr>
          <w:rFonts w:asciiTheme="minorEastAsia" w:hAnsiTheme="minorEastAsia"/>
          <w:sz w:val="30"/>
          <w:szCs w:val="30"/>
        </w:rPr>
      </w:pPr>
      <w:r>
        <w:rPr>
          <w:rFonts w:hint="eastAsia" w:asciiTheme="minorEastAsia" w:hAnsiTheme="minorEastAsia"/>
          <w:sz w:val="30"/>
          <w:szCs w:val="30"/>
        </w:rPr>
        <w:t>本责任书一式两份，由签字双方各执一份；</w:t>
      </w:r>
    </w:p>
    <w:p>
      <w:pPr>
        <w:pStyle w:val="16"/>
        <w:numPr>
          <w:ilvl w:val="0"/>
          <w:numId w:val="3"/>
        </w:numPr>
        <w:snapToGrid w:val="0"/>
        <w:spacing w:before="156" w:beforeLines="50" w:after="156" w:afterLines="50" w:line="400" w:lineRule="exact"/>
        <w:ind w:firstLineChars="0"/>
        <w:jc w:val="left"/>
        <w:rPr>
          <w:rFonts w:asciiTheme="minorEastAsia" w:hAnsiTheme="minorEastAsia"/>
          <w:sz w:val="30"/>
          <w:szCs w:val="30"/>
        </w:rPr>
      </w:pPr>
      <w:r>
        <w:rPr>
          <w:rFonts w:hint="eastAsia" w:asciiTheme="minorEastAsia" w:hAnsiTheme="minorEastAsia"/>
          <w:sz w:val="30"/>
          <w:szCs w:val="30"/>
        </w:rPr>
        <w:t>本责任书有效期限内，责任人发生变更，继任者自然承担本岗位安全生产工作；</w:t>
      </w:r>
    </w:p>
    <w:p>
      <w:pPr>
        <w:pStyle w:val="16"/>
        <w:numPr>
          <w:ilvl w:val="0"/>
          <w:numId w:val="3"/>
        </w:numPr>
        <w:snapToGrid w:val="0"/>
        <w:spacing w:before="156" w:beforeLines="50" w:after="156" w:afterLines="50" w:line="400" w:lineRule="exact"/>
        <w:ind w:firstLineChars="0"/>
        <w:jc w:val="left"/>
        <w:rPr>
          <w:rFonts w:asciiTheme="minorEastAsia" w:hAnsiTheme="minorEastAsia"/>
          <w:sz w:val="30"/>
          <w:szCs w:val="30"/>
        </w:rPr>
      </w:pPr>
      <w:r>
        <w:rPr>
          <w:rFonts w:hint="eastAsia" w:asciiTheme="minorEastAsia" w:hAnsiTheme="minorEastAsia"/>
          <w:sz w:val="30"/>
          <w:szCs w:val="30"/>
        </w:rPr>
        <w:t>本责任书与法律法规、公司规章相抵触时，以法律法规、公司规章为准。</w:t>
      </w:r>
    </w:p>
    <w:p>
      <w:pPr>
        <w:spacing w:before="156" w:beforeLines="50" w:after="156" w:afterLines="50" w:line="400" w:lineRule="exact"/>
        <w:jc w:val="left"/>
        <w:rPr>
          <w:rFonts w:asciiTheme="minorEastAsia" w:hAnsiTheme="minorEastAsia"/>
          <w:sz w:val="30"/>
          <w:szCs w:val="30"/>
        </w:rPr>
      </w:pPr>
    </w:p>
    <w:p>
      <w:pPr>
        <w:spacing w:before="156" w:beforeLines="50" w:after="156" w:afterLines="50" w:line="400" w:lineRule="exact"/>
        <w:jc w:val="left"/>
        <w:rPr>
          <w:rFonts w:asciiTheme="minorEastAsia" w:hAnsiTheme="minorEastAsia"/>
          <w:sz w:val="30"/>
          <w:szCs w:val="30"/>
        </w:rPr>
      </w:pPr>
    </w:p>
    <w:p>
      <w:pPr>
        <w:tabs>
          <w:tab w:val="left" w:pos="5875"/>
        </w:tabs>
        <w:spacing w:before="156" w:beforeLines="50" w:after="156" w:afterLines="50" w:line="400" w:lineRule="exact"/>
        <w:ind w:firstLine="600" w:firstLineChars="200"/>
        <w:jc w:val="left"/>
        <w:rPr>
          <w:rFonts w:asciiTheme="minorEastAsia" w:hAnsiTheme="minorEastAsia"/>
          <w:sz w:val="30"/>
          <w:szCs w:val="30"/>
        </w:rPr>
      </w:pPr>
      <w:r>
        <w:rPr>
          <w:rFonts w:hint="eastAsia" w:asciiTheme="minorEastAsia" w:hAnsiTheme="minorEastAsia"/>
          <w:sz w:val="30"/>
          <w:szCs w:val="30"/>
        </w:rPr>
        <w:t>北京燕京啤酒</w:t>
      </w:r>
      <w:r>
        <w:rPr>
          <w:rFonts w:hint="eastAsia" w:asciiTheme="minorEastAsia" w:hAnsiTheme="minorEastAsia"/>
          <w:sz w:val="30"/>
          <w:szCs w:val="30"/>
          <w:lang w:val="en-US" w:eastAsia="zh-CN"/>
        </w:rPr>
        <w:t>股份</w:t>
      </w:r>
      <w:r>
        <w:rPr>
          <w:rFonts w:hint="eastAsia" w:asciiTheme="minorEastAsia" w:hAnsiTheme="minorEastAsia"/>
          <w:sz w:val="30"/>
          <w:szCs w:val="30"/>
        </w:rPr>
        <w:t xml:space="preserve">有限公司 </w:t>
      </w:r>
      <w:r>
        <w:rPr>
          <w:rFonts w:hint="eastAsia" w:asciiTheme="minorEastAsia" w:hAnsiTheme="minorEastAsia"/>
          <w:sz w:val="30"/>
          <w:szCs w:val="30"/>
          <w:lang w:val="en-US" w:eastAsia="zh-CN"/>
        </w:rPr>
        <w:t xml:space="preserve">          四川燕京啤酒</w:t>
      </w:r>
      <w:r>
        <w:rPr>
          <w:rFonts w:hint="eastAsia" w:asciiTheme="minorEastAsia" w:hAnsiTheme="minorEastAsia"/>
          <w:sz w:val="30"/>
          <w:szCs w:val="30"/>
        </w:rPr>
        <w:t>有限公司</w:t>
      </w:r>
    </w:p>
    <w:p>
      <w:pPr>
        <w:spacing w:before="156" w:beforeLines="50" w:after="156" w:afterLines="50" w:line="400" w:lineRule="exact"/>
        <w:ind w:firstLine="900" w:firstLineChars="300"/>
        <w:jc w:val="left"/>
        <w:rPr>
          <w:rFonts w:asciiTheme="minorEastAsia" w:hAnsiTheme="minorEastAsia"/>
          <w:sz w:val="30"/>
          <w:szCs w:val="30"/>
        </w:rPr>
      </w:pPr>
      <w:r>
        <w:rPr>
          <w:rFonts w:hint="eastAsia" w:asciiTheme="minorEastAsia" w:hAnsiTheme="minorEastAsia"/>
          <w:sz w:val="30"/>
          <w:szCs w:val="30"/>
          <w:lang w:val="en-US" w:eastAsia="zh-CN"/>
        </w:rPr>
        <w:t>主要</w:t>
      </w:r>
      <w:r>
        <w:rPr>
          <w:rFonts w:hint="eastAsia" w:asciiTheme="minorEastAsia" w:hAnsiTheme="minorEastAsia"/>
          <w:sz w:val="30"/>
          <w:szCs w:val="30"/>
        </w:rPr>
        <w:t xml:space="preserve">负责人（签字） </w:t>
      </w:r>
      <w:r>
        <w:rPr>
          <w:rFonts w:asciiTheme="minorEastAsia" w:hAnsiTheme="minorEastAsia"/>
          <w:sz w:val="30"/>
          <w:szCs w:val="30"/>
        </w:rPr>
        <w:t xml:space="preserve">              </w:t>
      </w:r>
      <w:r>
        <w:rPr>
          <w:rFonts w:hint="eastAsia" w:asciiTheme="minorEastAsia" w:hAnsiTheme="minorEastAsia"/>
          <w:sz w:val="30"/>
          <w:szCs w:val="30"/>
          <w:lang w:val="en-US" w:eastAsia="zh-CN"/>
        </w:rPr>
        <w:t xml:space="preserve">  主要</w:t>
      </w:r>
      <w:r>
        <w:rPr>
          <w:rFonts w:hint="eastAsia" w:asciiTheme="minorEastAsia" w:hAnsiTheme="minorEastAsia"/>
          <w:sz w:val="30"/>
          <w:szCs w:val="30"/>
        </w:rPr>
        <w:t>负责人（签字）</w:t>
      </w:r>
    </w:p>
    <w:p>
      <w:pPr>
        <w:spacing w:before="156" w:beforeLines="50" w:after="156" w:afterLines="50" w:line="400" w:lineRule="exact"/>
        <w:ind w:firstLine="600" w:firstLineChars="200"/>
        <w:jc w:val="left"/>
        <w:rPr>
          <w:rFonts w:asciiTheme="minorEastAsia" w:hAnsiTheme="minorEastAsia"/>
          <w:sz w:val="30"/>
          <w:szCs w:val="30"/>
        </w:rPr>
      </w:pPr>
    </w:p>
    <w:p>
      <w:pPr>
        <w:spacing w:before="156" w:beforeLines="50" w:after="156" w:afterLines="50" w:line="400" w:lineRule="exact"/>
        <w:ind w:firstLine="600" w:firstLineChars="200"/>
        <w:jc w:val="left"/>
        <w:rPr>
          <w:rFonts w:asciiTheme="minorEastAsia" w:hAnsiTheme="minorEastAsia"/>
          <w:sz w:val="30"/>
          <w:szCs w:val="30"/>
        </w:rPr>
      </w:pPr>
    </w:p>
    <w:p>
      <w:pPr>
        <w:spacing w:before="156" w:beforeLines="50" w:after="156" w:afterLines="50" w:line="400" w:lineRule="exact"/>
        <w:ind w:firstLine="600" w:firstLineChars="200"/>
        <w:jc w:val="left"/>
        <w:rPr>
          <w:rFonts w:asciiTheme="minorEastAsia" w:hAnsiTheme="minorEastAsia"/>
          <w:sz w:val="30"/>
          <w:szCs w:val="30"/>
        </w:rPr>
      </w:pPr>
    </w:p>
    <w:p>
      <w:pPr>
        <w:spacing w:before="156" w:beforeLines="50" w:after="156" w:afterLines="50" w:line="400" w:lineRule="exact"/>
        <w:ind w:firstLine="600" w:firstLineChars="200"/>
        <w:jc w:val="left"/>
        <w:rPr>
          <w:rFonts w:asciiTheme="minorEastAsia" w:hAnsiTheme="minorEastAsia"/>
          <w:sz w:val="30"/>
          <w:szCs w:val="30"/>
        </w:rPr>
      </w:pPr>
    </w:p>
    <w:p>
      <w:pPr>
        <w:spacing w:before="156" w:beforeLines="50" w:after="156" w:afterLines="50" w:line="400" w:lineRule="exact"/>
        <w:ind w:firstLine="600" w:firstLineChars="200"/>
        <w:jc w:val="left"/>
        <w:rPr>
          <w:rFonts w:asciiTheme="minorEastAsia" w:hAnsiTheme="minorEastAsia"/>
          <w:sz w:val="30"/>
          <w:szCs w:val="30"/>
        </w:rPr>
      </w:pPr>
    </w:p>
    <w:p>
      <w:pPr>
        <w:spacing w:before="156" w:beforeLines="50" w:after="156" w:afterLines="50" w:line="400" w:lineRule="exact"/>
        <w:rPr>
          <w:rFonts w:hint="eastAsia" w:ascii="黑体" w:hAnsi="黑体" w:eastAsia="黑体"/>
          <w:sz w:val="30"/>
          <w:szCs w:val="30"/>
        </w:rPr>
      </w:pPr>
      <w:r>
        <w:rPr>
          <w:rFonts w:hint="eastAsia" w:ascii="黑体" w:hAnsi="黑体" w:eastAsia="黑体"/>
          <w:sz w:val="30"/>
          <w:szCs w:val="30"/>
        </w:rPr>
        <w:t xml:space="preserve"> </w:t>
      </w:r>
      <w:r>
        <w:rPr>
          <w:rFonts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Times New Roman" w:hAnsi="Times New Roman" w:eastAsia="黑体" w:cs="Times New Roman"/>
          <w:sz w:val="30"/>
          <w:szCs w:val="30"/>
          <w:lang w:eastAsia="zh-CN"/>
        </w:rPr>
        <w:t>2022</w:t>
      </w:r>
      <w:r>
        <w:rPr>
          <w:rFonts w:hint="eastAsia" w:asciiTheme="minorEastAsia" w:hAnsiTheme="minorEastAsia"/>
          <w:sz w:val="30"/>
          <w:szCs w:val="30"/>
        </w:rPr>
        <w:t xml:space="preserve">年 </w:t>
      </w:r>
      <w:r>
        <w:rPr>
          <w:rFonts w:asciiTheme="minorEastAsia" w:hAnsiTheme="minorEastAsia"/>
          <w:sz w:val="30"/>
          <w:szCs w:val="30"/>
        </w:rPr>
        <w:t xml:space="preserve">  </w:t>
      </w:r>
      <w:r>
        <w:rPr>
          <w:rFonts w:hint="eastAsia" w:asciiTheme="minorEastAsia" w:hAnsiTheme="minorEastAsia"/>
          <w:sz w:val="30"/>
          <w:szCs w:val="30"/>
        </w:rPr>
        <w:t xml:space="preserve">月 </w:t>
      </w:r>
      <w:r>
        <w:rPr>
          <w:rFonts w:asciiTheme="minorEastAsia" w:hAnsiTheme="minorEastAsia"/>
          <w:sz w:val="30"/>
          <w:szCs w:val="30"/>
        </w:rPr>
        <w:t xml:space="preserve">  </w:t>
      </w:r>
      <w:r>
        <w:rPr>
          <w:rFonts w:hint="eastAsia" w:asciiTheme="minorEastAsia" w:hAnsiTheme="minorEastAsia"/>
          <w:sz w:val="30"/>
          <w:szCs w:val="30"/>
        </w:rPr>
        <w:t xml:space="preserve">日 </w:t>
      </w:r>
      <w:r>
        <w:rPr>
          <w:rFonts w:asciiTheme="minorEastAsia" w:hAnsiTheme="minorEastAsia"/>
          <w:sz w:val="30"/>
          <w:szCs w:val="30"/>
        </w:rPr>
        <w:t xml:space="preserve">                </w:t>
      </w:r>
      <w:r>
        <w:rPr>
          <w:rFonts w:hint="eastAsia" w:asciiTheme="minorEastAsia" w:hAnsiTheme="minorEastAsia"/>
          <w:sz w:val="30"/>
          <w:szCs w:val="30"/>
          <w:lang w:val="en-US" w:eastAsia="zh-CN"/>
        </w:rPr>
        <w:t xml:space="preserve">   </w:t>
      </w:r>
      <w:r>
        <w:rPr>
          <w:rFonts w:hint="eastAsia" w:ascii="Times New Roman" w:hAnsi="Times New Roman" w:eastAsia="黑体" w:cs="Times New Roman"/>
          <w:sz w:val="30"/>
          <w:szCs w:val="30"/>
          <w:lang w:eastAsia="zh-CN"/>
        </w:rPr>
        <w:t>2022</w:t>
      </w:r>
      <w:r>
        <w:rPr>
          <w:rFonts w:hint="eastAsia" w:asciiTheme="minorEastAsia" w:hAnsiTheme="minorEastAsia"/>
          <w:sz w:val="30"/>
          <w:szCs w:val="30"/>
        </w:rPr>
        <w:t xml:space="preserve">年 </w:t>
      </w:r>
      <w:r>
        <w:rPr>
          <w:rFonts w:asciiTheme="minorEastAsia" w:hAnsiTheme="minorEastAsia"/>
          <w:sz w:val="30"/>
          <w:szCs w:val="30"/>
        </w:rPr>
        <w:t xml:space="preserve">  </w:t>
      </w:r>
      <w:r>
        <w:rPr>
          <w:rFonts w:hint="eastAsia" w:asciiTheme="minorEastAsia" w:hAnsiTheme="minorEastAsia"/>
          <w:sz w:val="30"/>
          <w:szCs w:val="30"/>
        </w:rPr>
        <w:t xml:space="preserve">月 </w:t>
      </w:r>
      <w:r>
        <w:rPr>
          <w:rFonts w:asciiTheme="minorEastAsia" w:hAnsiTheme="minorEastAsia"/>
          <w:sz w:val="30"/>
          <w:szCs w:val="30"/>
        </w:rPr>
        <w:t xml:space="preserve">  </w:t>
      </w:r>
      <w:r>
        <w:rPr>
          <w:rFonts w:hint="eastAsia" w:asciiTheme="minorEastAsia" w:hAnsiTheme="minorEastAsia"/>
          <w:sz w:val="30"/>
          <w:szCs w:val="30"/>
        </w:rPr>
        <w:t>日</w:t>
      </w:r>
    </w:p>
    <w:sectPr>
      <w:headerReference r:id="rId3" w:type="default"/>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43A81"/>
    <w:multiLevelType w:val="multilevel"/>
    <w:tmpl w:val="0C443A81"/>
    <w:lvl w:ilvl="0" w:tentative="0">
      <w:start w:val="1"/>
      <w:numFmt w:val="decimal"/>
      <w:lvlText w:val="%1."/>
      <w:lvlJc w:val="left"/>
      <w:pPr>
        <w:ind w:left="9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A6E2A1"/>
    <w:multiLevelType w:val="multilevel"/>
    <w:tmpl w:val="54A6E2A1"/>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E7A280F"/>
    <w:multiLevelType w:val="multilevel"/>
    <w:tmpl w:val="5E7A280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wYzliODFkMDMzZjA2YTUxZDRjMGY5NzY4MTMyZjYifQ=="/>
  </w:docVars>
  <w:rsids>
    <w:rsidRoot w:val="00352A60"/>
    <w:rsid w:val="00004481"/>
    <w:rsid w:val="00033F0A"/>
    <w:rsid w:val="000636CF"/>
    <w:rsid w:val="00072BFE"/>
    <w:rsid w:val="00092B1F"/>
    <w:rsid w:val="000932D3"/>
    <w:rsid w:val="000A1AD1"/>
    <w:rsid w:val="000C3749"/>
    <w:rsid w:val="000D252B"/>
    <w:rsid w:val="000E789B"/>
    <w:rsid w:val="00107ACB"/>
    <w:rsid w:val="00110F02"/>
    <w:rsid w:val="001921D4"/>
    <w:rsid w:val="001C1838"/>
    <w:rsid w:val="001F1DF5"/>
    <w:rsid w:val="001F5EB3"/>
    <w:rsid w:val="002079F7"/>
    <w:rsid w:val="002521E4"/>
    <w:rsid w:val="00257D67"/>
    <w:rsid w:val="00273A11"/>
    <w:rsid w:val="002B346D"/>
    <w:rsid w:val="002C151E"/>
    <w:rsid w:val="0032136D"/>
    <w:rsid w:val="00327F47"/>
    <w:rsid w:val="00335AAC"/>
    <w:rsid w:val="00352A60"/>
    <w:rsid w:val="00386439"/>
    <w:rsid w:val="003B235D"/>
    <w:rsid w:val="003B749F"/>
    <w:rsid w:val="003C4C76"/>
    <w:rsid w:val="003E2D2C"/>
    <w:rsid w:val="00493B42"/>
    <w:rsid w:val="00494C65"/>
    <w:rsid w:val="004D62E1"/>
    <w:rsid w:val="00517B9D"/>
    <w:rsid w:val="005655C0"/>
    <w:rsid w:val="005C5AFD"/>
    <w:rsid w:val="005D0C50"/>
    <w:rsid w:val="005F7513"/>
    <w:rsid w:val="005F771E"/>
    <w:rsid w:val="0061442F"/>
    <w:rsid w:val="006304DA"/>
    <w:rsid w:val="00631D89"/>
    <w:rsid w:val="00654CA4"/>
    <w:rsid w:val="006B5F74"/>
    <w:rsid w:val="006B7921"/>
    <w:rsid w:val="006C38EB"/>
    <w:rsid w:val="006D5E16"/>
    <w:rsid w:val="006E2DC8"/>
    <w:rsid w:val="006F0900"/>
    <w:rsid w:val="006F544A"/>
    <w:rsid w:val="00730A02"/>
    <w:rsid w:val="0075485C"/>
    <w:rsid w:val="007C047B"/>
    <w:rsid w:val="007C78E7"/>
    <w:rsid w:val="0082333C"/>
    <w:rsid w:val="008242E0"/>
    <w:rsid w:val="008309FC"/>
    <w:rsid w:val="00871822"/>
    <w:rsid w:val="00882993"/>
    <w:rsid w:val="008905F3"/>
    <w:rsid w:val="008B6EEA"/>
    <w:rsid w:val="0090119F"/>
    <w:rsid w:val="00917C6B"/>
    <w:rsid w:val="00973D9E"/>
    <w:rsid w:val="00984051"/>
    <w:rsid w:val="009D1C1B"/>
    <w:rsid w:val="009D6700"/>
    <w:rsid w:val="009E041D"/>
    <w:rsid w:val="009E4F40"/>
    <w:rsid w:val="00A21C33"/>
    <w:rsid w:val="00A43256"/>
    <w:rsid w:val="00A5211B"/>
    <w:rsid w:val="00B24C8E"/>
    <w:rsid w:val="00B74E48"/>
    <w:rsid w:val="00B878C2"/>
    <w:rsid w:val="00B93AC4"/>
    <w:rsid w:val="00BA47C8"/>
    <w:rsid w:val="00BA7F47"/>
    <w:rsid w:val="00BB2D76"/>
    <w:rsid w:val="00BC298E"/>
    <w:rsid w:val="00C84928"/>
    <w:rsid w:val="00CB16BE"/>
    <w:rsid w:val="00CB2B2B"/>
    <w:rsid w:val="00CB38F3"/>
    <w:rsid w:val="00CB6B91"/>
    <w:rsid w:val="00CC1F2C"/>
    <w:rsid w:val="00D10A05"/>
    <w:rsid w:val="00D30A78"/>
    <w:rsid w:val="00D42A33"/>
    <w:rsid w:val="00D45BEB"/>
    <w:rsid w:val="00D7331D"/>
    <w:rsid w:val="00D97767"/>
    <w:rsid w:val="00DB02F8"/>
    <w:rsid w:val="00DD0C31"/>
    <w:rsid w:val="00DF0AE0"/>
    <w:rsid w:val="00E14127"/>
    <w:rsid w:val="00E212E8"/>
    <w:rsid w:val="00E50568"/>
    <w:rsid w:val="00EA6FDC"/>
    <w:rsid w:val="00EE338D"/>
    <w:rsid w:val="00F07088"/>
    <w:rsid w:val="00FC21AA"/>
    <w:rsid w:val="00FC3B54"/>
    <w:rsid w:val="00FD71A3"/>
    <w:rsid w:val="00FF3965"/>
    <w:rsid w:val="03AD3660"/>
    <w:rsid w:val="0B8B178C"/>
    <w:rsid w:val="15AD1912"/>
    <w:rsid w:val="18263DC5"/>
    <w:rsid w:val="188C026F"/>
    <w:rsid w:val="1C6A0344"/>
    <w:rsid w:val="1F2D7708"/>
    <w:rsid w:val="23E23305"/>
    <w:rsid w:val="25CE6195"/>
    <w:rsid w:val="34AD08CD"/>
    <w:rsid w:val="3AE10AA3"/>
    <w:rsid w:val="4460487B"/>
    <w:rsid w:val="5041516F"/>
    <w:rsid w:val="6D651356"/>
    <w:rsid w:val="71CA5F2B"/>
    <w:rsid w:val="735732DC"/>
    <w:rsid w:val="78111BBB"/>
    <w:rsid w:val="7AD20ECC"/>
    <w:rsid w:val="7C97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日期 字符"/>
    <w:basedOn w:val="10"/>
    <w:link w:val="3"/>
    <w:semiHidden/>
    <w:qFormat/>
    <w:uiPriority w:val="99"/>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customStyle="1" w:styleId="15">
    <w:name w:val="_Style 1"/>
    <w:basedOn w:val="1"/>
    <w:qFormat/>
    <w:uiPriority w:val="34"/>
    <w:pPr>
      <w:widowControl/>
      <w:spacing w:beforeLines="50" w:afterLines="50"/>
      <w:ind w:left="720" w:firstLine="200" w:firstLineChars="200"/>
      <w:contextualSpacing/>
      <w:jc w:val="left"/>
    </w:pPr>
    <w:rPr>
      <w:rFonts w:ascii="Calibri" w:hAnsi="Calibri" w:eastAsia="仿宋"/>
      <w:kern w:val="0"/>
      <w:sz w:val="28"/>
      <w:szCs w:val="24"/>
    </w:rPr>
  </w:style>
  <w:style w:type="paragraph" w:styleId="16">
    <w:name w:val="List Paragraph"/>
    <w:basedOn w:val="1"/>
    <w:qFormat/>
    <w:uiPriority w:val="34"/>
    <w:pPr>
      <w:ind w:firstLine="420" w:firstLineChars="200"/>
    </w:pPr>
  </w:style>
  <w:style w:type="character" w:customStyle="1" w:styleId="17">
    <w:name w:val="批注文字 字符"/>
    <w:basedOn w:val="10"/>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F51B2-AFDD-4BEF-83D5-D536A8982277}">
  <ds:schemaRefs/>
</ds:datastoreItem>
</file>

<file path=docProps/app.xml><?xml version="1.0" encoding="utf-8"?>
<Properties xmlns="http://schemas.openxmlformats.org/officeDocument/2006/extended-properties" xmlns:vt="http://schemas.openxmlformats.org/officeDocument/2006/docPropsVTypes">
  <Template>Normal</Template>
  <Pages>4</Pages>
  <Words>1549</Words>
  <Characters>1657</Characters>
  <Lines>14</Lines>
  <Paragraphs>4</Paragraphs>
  <TotalTime>0</TotalTime>
  <ScaleCrop>false</ScaleCrop>
  <LinksUpToDate>false</LinksUpToDate>
  <CharactersWithSpaces>1722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2021-01-05T00:41:00Z</dcterms:created>
  <dc:creator>BG</dc:creator>
  <cp:lastModifiedBy>郑磊</cp:lastModifiedBy>
  <cp:lastPrinted>2021-12-01T06:09:00Z</cp:lastPrinted>
  <dcterms:modified xsi:type="dcterms:W3CDTF">2022-12-15T02:40:23Z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256D8888654A4527948E92B6B7B4DB7B</vt:lpwstr>
  </property>
</Properties>
</file>