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2800" w:firstLineChars="10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员工电瓶车停放管理制度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为加强酒店电瓶车管理，确保酒店员工财产安全，杜绝车辆乱停乱放现象营造良好的酒店形象，特制订本规定。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二、适用范围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本规定适用于员工自行车、电瓶车、摩托车、三轮车。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三、停放规定:严格执行，不得违反。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所有车辆进出从A栋区域进出，严禁驶入卡丁车跑道、酒店停车场等公区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2、所有车辆停放在停车位内，不得占用进出口通道，严禁乱停乱放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3、停车区域保存清洁，不得乱丢杂物，保洁人员定期保洁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4、车辆充电时长不得超出480分钟。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四、违反下列规定之一的，自行负责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1、严禁车辆停放在停车区域以外，导致车辆损坏或丢失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2、自觉锁好车龙头，因未锁车龙头导致车辆损坏或丢失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3、自觉设置报警设施，因未设置报警设施导致车辆损坏或丢失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4、车辆充电完毕后及时拔掉电源，收好充电器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5车内严禁存放贵重物品，贵重物品损坏或丢失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6、</w:t>
      </w:r>
      <w:r>
        <w:rPr>
          <w:rFonts w:hint="eastAsia"/>
          <w:sz w:val="24"/>
          <w:szCs w:val="24"/>
        </w:rPr>
        <w:t>自觉检查车况，因车辆自身情况导致事故，损坏公共及他人财物照价赔偿</w:t>
      </w:r>
      <w:r>
        <w:rPr>
          <w:rFonts w:hint="eastAsia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安全部不定时检查车辆摆放情况，对违反规定的员工按规章制度进行违规处罚。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7440" w:firstLineChars="3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安</w:t>
      </w:r>
      <w:r>
        <w:rPr>
          <w:rFonts w:hint="eastAsia"/>
          <w:sz w:val="24"/>
          <w:szCs w:val="24"/>
          <w:lang w:eastAsia="zh-CN"/>
        </w:rPr>
        <w:t>保</w:t>
      </w:r>
      <w:r>
        <w:rPr>
          <w:rFonts w:hint="eastAsia"/>
          <w:sz w:val="24"/>
          <w:szCs w:val="24"/>
        </w:rPr>
        <w:t>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6960" w:firstLineChars="29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2019年9月2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日</w:t>
      </w:r>
    </w:p>
    <w:sectPr>
      <w:headerReference r:id="rId3" w:type="default"/>
      <w:pgSz w:w="11906" w:h="16838"/>
      <w:pgMar w:top="1440" w:right="1066" w:bottom="1440" w:left="14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820"/>
        <w:tab w:val="clear" w:pos="8306"/>
      </w:tabs>
      <w:ind w:left="-619" w:leftChars="-295" w:right="-512" w:rightChars="-244" w:firstLine="0" w:firstLineChars="0"/>
      <w:rPr>
        <w:rFonts w:ascii="仿宋_GB2312" w:hAnsi="仿宋_GB2312" w:eastAsia="仿宋_GB2312"/>
        <w:sz w:val="21"/>
        <w:szCs w:val="21"/>
        <w:u w:val="single"/>
      </w:rPr>
    </w:pPr>
    <w:r>
      <w:rPr>
        <w:rFonts w:ascii="楷体_GB2312" w:eastAsia="楷体_GB2312"/>
        <w:sz w:val="21"/>
        <w:szCs w:val="21"/>
      </w:rPr>
      <w:drawing>
        <wp:inline distT="0" distB="0" distL="114300" distR="114300">
          <wp:extent cx="561340" cy="480695"/>
          <wp:effectExtent l="0" t="0" r="10160" b="14605"/>
          <wp:docPr id="1" name="图片 1" descr="X(4]V)QF4J(M~$RVY7)%6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X(4]V)QF4J(M~$RVY7)%6ET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340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楷体_GB2312" w:eastAsia="楷体_GB2312"/>
        <w:sz w:val="21"/>
        <w:szCs w:val="21"/>
      </w:rPr>
      <w:t xml:space="preserve">                     </w:t>
    </w:r>
    <w:r>
      <w:rPr>
        <w:rFonts w:hint="eastAsia" w:ascii="楷体_GB2312" w:eastAsia="楷体_GB2312"/>
        <w:sz w:val="30"/>
        <w:szCs w:val="30"/>
      </w:rPr>
      <w:t xml:space="preserve">       </w:t>
    </w:r>
    <w:r>
      <w:rPr>
        <w:rFonts w:hint="eastAsia" w:ascii="楷体_GB2312" w:eastAsia="楷体_GB2312"/>
        <w:sz w:val="36"/>
        <w:szCs w:val="36"/>
      </w:rPr>
      <w:t>云玺大酒店</w:t>
    </w:r>
  </w:p>
  <w:p>
    <w:pPr>
      <w:pStyle w:val="3"/>
      <w:pBdr>
        <w:bottom w:val="none" w:color="auto" w:sz="0" w:space="0"/>
      </w:pBdr>
      <w:ind w:firstLine="743"/>
      <w:rPr>
        <w:w w:val="110"/>
        <w:sz w:val="21"/>
        <w:szCs w:val="21"/>
      </w:rPr>
    </w:pPr>
    <w:r>
      <w:rPr>
        <w:rFonts w:hint="eastAsia"/>
        <w:w w:val="110"/>
        <w:sz w:val="21"/>
        <w:szCs w:val="21"/>
      </w:rPr>
      <w:t xml:space="preserve">                           Yun xi Hotel</w:t>
    </w:r>
  </w:p>
  <w:p>
    <w:pPr>
      <w:pStyle w:val="3"/>
      <w:tabs>
        <w:tab w:val="right" w:pos="9040"/>
        <w:tab w:val="clear" w:pos="8306"/>
      </w:tabs>
      <w:ind w:left="218" w:leftChars="104" w:firstLine="198" w:firstLineChars="1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68B221"/>
    <w:multiLevelType w:val="singleLevel"/>
    <w:tmpl w:val="DD68B221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C75BC2"/>
    <w:rsid w:val="405A0059"/>
    <w:rsid w:val="43710741"/>
    <w:rsid w:val="5B6E21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Running Yan</cp:lastModifiedBy>
  <dcterms:modified xsi:type="dcterms:W3CDTF">2021-10-14T05:31:51Z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