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Lines="0" w:beforeAutospacing="0" w:afterLines="0" w:afterAutospacing="0" w:line="360" w:lineRule="auto"/>
        <w:ind w:firstLine="1285" w:firstLineChars="400"/>
        <w:jc w:val="both"/>
        <w:rPr>
          <w:rFonts w:hint="eastAsia" w:asciiTheme="minorEastAsia" w:hAnsiTheme="minorEastAsia" w:eastAsiaTheme="minorEastAsia" w:cstheme="minorEastAsia"/>
          <w:b/>
          <w:bCs/>
          <w:sz w:val="32"/>
          <w:szCs w:val="32"/>
          <w:lang w:val="en-US" w:eastAsia="zh-CN"/>
        </w:rPr>
      </w:pPr>
      <w:bookmarkStart w:id="0" w:name="_Toc10575"/>
      <w:bookmarkStart w:id="1" w:name="_Toc11989"/>
      <w:bookmarkStart w:id="2" w:name="_Toc29464"/>
      <w:bookmarkStart w:id="3" w:name="_Toc20961"/>
      <w:r>
        <w:rPr>
          <w:rFonts w:hint="eastAsia" w:asciiTheme="minorEastAsia" w:hAnsiTheme="minorEastAsia" w:eastAsiaTheme="minorEastAsia" w:cstheme="minorEastAsia"/>
          <w:b/>
          <w:bCs/>
          <w:sz w:val="32"/>
          <w:szCs w:val="32"/>
          <w:lang w:val="en-US" w:eastAsia="zh-CN"/>
        </w:rPr>
        <w:t>有限空间作业中毒窒息事故专项应急预案</w:t>
      </w:r>
      <w:bookmarkEnd w:id="0"/>
      <w:bookmarkEnd w:id="1"/>
      <w:bookmarkEnd w:id="2"/>
      <w:bookmarkEnd w:id="3"/>
    </w:p>
    <w:p>
      <w:pPr>
        <w:pStyle w:val="4"/>
        <w:spacing w:before="0" w:after="0" w:line="360" w:lineRule="auto"/>
        <w:rPr>
          <w:rFonts w:hint="eastAsia" w:asciiTheme="minorEastAsia" w:hAnsiTheme="minorEastAsia" w:eastAsiaTheme="minorEastAsia" w:cstheme="minorEastAsia"/>
          <w:b/>
          <w:sz w:val="21"/>
          <w:szCs w:val="21"/>
          <w:lang w:val="en-US" w:eastAsia="zh-CN"/>
        </w:rPr>
      </w:pPr>
      <w:bookmarkStart w:id="4" w:name="_Toc24723"/>
      <w:bookmarkStart w:id="5" w:name="_Toc24124"/>
      <w:bookmarkStart w:id="6" w:name="_Toc7961"/>
      <w:bookmarkStart w:id="7" w:name="_Toc6227"/>
      <w:bookmarkStart w:id="8" w:name="_Toc22612"/>
      <w:r>
        <w:rPr>
          <w:rFonts w:hint="eastAsia" w:asciiTheme="minorEastAsia" w:hAnsiTheme="minorEastAsia" w:eastAsiaTheme="minorEastAsia" w:cstheme="minorEastAsia"/>
          <w:b/>
          <w:sz w:val="21"/>
          <w:szCs w:val="21"/>
          <w:lang w:val="en-US" w:eastAsia="zh-CN"/>
        </w:rPr>
        <w:t xml:space="preserve">1 </w:t>
      </w:r>
      <w:bookmarkEnd w:id="4"/>
      <w:r>
        <w:rPr>
          <w:rFonts w:hint="eastAsia" w:asciiTheme="minorEastAsia" w:hAnsiTheme="minorEastAsia" w:eastAsiaTheme="minorEastAsia" w:cstheme="minorEastAsia"/>
          <w:b/>
          <w:sz w:val="21"/>
          <w:szCs w:val="21"/>
          <w:lang w:val="en-US" w:eastAsia="zh-CN"/>
        </w:rPr>
        <w:t>适用范围</w:t>
      </w:r>
      <w:bookmarkEnd w:id="5"/>
      <w:bookmarkEnd w:id="6"/>
      <w:bookmarkEnd w:id="7"/>
      <w:bookmarkEnd w:id="8"/>
    </w:p>
    <w:p>
      <w:pPr>
        <w:pageBreakBefore w:val="0"/>
        <w:widowControl w:val="0"/>
        <w:kinsoku/>
        <w:wordWrap/>
        <w:overflowPunct/>
        <w:topLinePunct w:val="0"/>
        <w:autoSpaceDE/>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《有限空间作业中毒窒息事故专项应急预案》适用对本公司锅炉、储罐、污水处理池等有限空间作业进行检维修作业时，发生的中毒窒息事故应急处置。</w:t>
      </w:r>
    </w:p>
    <w:p>
      <w:pPr>
        <w:pStyle w:val="4"/>
        <w:spacing w:before="0" w:after="0" w:line="360" w:lineRule="auto"/>
        <w:rPr>
          <w:rFonts w:hint="eastAsia" w:asciiTheme="minorEastAsia" w:hAnsiTheme="minorEastAsia" w:eastAsiaTheme="minorEastAsia" w:cstheme="minorEastAsia"/>
          <w:b/>
          <w:sz w:val="21"/>
          <w:szCs w:val="21"/>
          <w:lang w:val="en-US" w:eastAsia="zh-CN"/>
        </w:rPr>
      </w:pPr>
      <w:bookmarkStart w:id="9" w:name="_Toc29106"/>
      <w:bookmarkStart w:id="10" w:name="_Toc17498"/>
      <w:bookmarkStart w:id="11" w:name="_Toc15831"/>
      <w:bookmarkStart w:id="12" w:name="_Toc26196"/>
      <w:bookmarkStart w:id="13" w:name="_Toc14897"/>
      <w:r>
        <w:rPr>
          <w:rFonts w:hint="eastAsia" w:asciiTheme="minorEastAsia" w:hAnsiTheme="minorEastAsia" w:eastAsiaTheme="minorEastAsia" w:cstheme="minorEastAsia"/>
          <w:b/>
          <w:sz w:val="21"/>
          <w:szCs w:val="21"/>
          <w:lang w:val="en-US" w:eastAsia="zh-CN"/>
        </w:rPr>
        <w:t>2 应急组织机构及职责</w:t>
      </w:r>
      <w:bookmarkEnd w:id="9"/>
      <w:bookmarkEnd w:id="10"/>
      <w:bookmarkEnd w:id="11"/>
      <w:bookmarkEnd w:id="12"/>
      <w:bookmarkEnd w:id="13"/>
    </w:p>
    <w:p>
      <w:pPr>
        <w:bidi w:val="0"/>
        <w:jc w:val="center"/>
        <w:rPr>
          <w:rFonts w:hint="eastAsia" w:asciiTheme="minorEastAsia" w:hAnsiTheme="minorEastAsia" w:eastAsiaTheme="minorEastAsia" w:cstheme="minorEastAsia"/>
          <w:b/>
          <w:bCs/>
          <w:sz w:val="21"/>
          <w:szCs w:val="21"/>
          <w:lang w:val="en-US" w:eastAsia="zh-CN"/>
        </w:rPr>
      </w:pPr>
      <w:bookmarkStart w:id="14" w:name="_Toc26795"/>
      <w:r>
        <w:rPr>
          <w:rFonts w:hint="eastAsia" w:asciiTheme="minorEastAsia" w:hAnsiTheme="minorEastAsia" w:eastAsiaTheme="minorEastAsia" w:cstheme="minorEastAsia"/>
          <w:b/>
          <w:bCs/>
          <w:sz w:val="21"/>
          <w:szCs w:val="21"/>
          <w:lang w:val="en-US" w:eastAsia="zh-CN"/>
        </w:rPr>
        <w:t>应急组织机构及职责表</w:t>
      </w:r>
    </w:p>
    <w:tbl>
      <w:tblPr>
        <w:tblStyle w:val="10"/>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959"/>
        <w:gridCol w:w="5"/>
        <w:gridCol w:w="1050"/>
        <w:gridCol w:w="5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60" w:type="dxa"/>
            <w:noWrap w:val="0"/>
            <w:vAlign w:val="top"/>
          </w:tcPr>
          <w:p>
            <w:pPr>
              <w:pStyle w:val="7"/>
              <w:keepNext w:val="0"/>
              <w:keepLines w:val="0"/>
              <w:pageBreakBefore w:val="0"/>
              <w:widowControl w:val="0"/>
              <w:kinsoku/>
              <w:wordWrap/>
              <w:overflowPunct/>
              <w:topLinePunct w:val="0"/>
              <w:autoSpaceDE/>
              <w:autoSpaceDN/>
              <w:bidi w:val="0"/>
              <w:adjustRightInd/>
              <w:snapToGrid/>
              <w:spacing w:after="0" w:line="380" w:lineRule="exact"/>
              <w:ind w:left="0" w:leftChars="0" w:firstLine="0" w:firstLineChars="0"/>
              <w:jc w:val="center"/>
              <w:textAlignment w:val="auto"/>
              <w:rPr>
                <w:rFonts w:hint="eastAsia"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eastAsiaTheme="minorEastAsia" w:cstheme="minorEastAsia"/>
                <w:b/>
                <w:bCs/>
                <w:color w:val="000000"/>
                <w:sz w:val="21"/>
                <w:szCs w:val="21"/>
                <w:vertAlign w:val="baseline"/>
                <w:lang w:val="en-US" w:eastAsia="zh-CN"/>
              </w:rPr>
              <w:t>组织机构</w:t>
            </w:r>
          </w:p>
          <w:p>
            <w:pPr>
              <w:pStyle w:val="7"/>
              <w:keepNext w:val="0"/>
              <w:keepLines w:val="0"/>
              <w:pageBreakBefore w:val="0"/>
              <w:widowControl w:val="0"/>
              <w:kinsoku/>
              <w:wordWrap/>
              <w:overflowPunct/>
              <w:topLinePunct w:val="0"/>
              <w:autoSpaceDE/>
              <w:autoSpaceDN/>
              <w:bidi w:val="0"/>
              <w:adjustRightInd/>
              <w:snapToGrid/>
              <w:spacing w:after="0" w:line="380" w:lineRule="exact"/>
              <w:ind w:left="0" w:leftChars="0" w:firstLine="0" w:firstLineChars="0"/>
              <w:jc w:val="center"/>
              <w:textAlignment w:val="auto"/>
              <w:rPr>
                <w:rFonts w:hint="eastAsia"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eastAsiaTheme="minorEastAsia" w:cstheme="minorEastAsia"/>
                <w:b/>
                <w:bCs/>
                <w:color w:val="000000"/>
                <w:sz w:val="21"/>
                <w:szCs w:val="21"/>
                <w:vertAlign w:val="baseline"/>
                <w:lang w:val="en-US" w:eastAsia="zh-CN"/>
              </w:rPr>
              <w:t>名  称</w:t>
            </w:r>
          </w:p>
        </w:tc>
        <w:tc>
          <w:tcPr>
            <w:tcW w:w="2014" w:type="dxa"/>
            <w:gridSpan w:val="3"/>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380" w:lineRule="exact"/>
              <w:jc w:val="center"/>
              <w:textAlignment w:val="auto"/>
              <w:rPr>
                <w:rFonts w:hint="eastAsia"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eastAsiaTheme="minorEastAsia" w:cstheme="minorEastAsia"/>
                <w:b/>
                <w:bCs/>
                <w:color w:val="000000"/>
                <w:sz w:val="21"/>
                <w:szCs w:val="21"/>
                <w:vertAlign w:val="baseline"/>
                <w:lang w:val="en-US" w:eastAsia="zh-CN"/>
              </w:rPr>
              <w:t>组成人员</w:t>
            </w:r>
          </w:p>
        </w:tc>
        <w:tc>
          <w:tcPr>
            <w:tcW w:w="5726"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380" w:lineRule="exact"/>
              <w:jc w:val="center"/>
              <w:textAlignment w:val="auto"/>
              <w:rPr>
                <w:rFonts w:hint="eastAsia" w:asciiTheme="minorEastAsia" w:hAnsiTheme="minorEastAsia" w:eastAsiaTheme="minorEastAsia" w:cstheme="minorEastAsia"/>
                <w:b/>
                <w:bCs/>
                <w:color w:val="000000"/>
                <w:sz w:val="21"/>
                <w:szCs w:val="21"/>
                <w:vertAlign w:val="baseline"/>
              </w:rPr>
            </w:pPr>
            <w:r>
              <w:rPr>
                <w:rFonts w:hint="eastAsia" w:asciiTheme="minorEastAsia" w:hAnsiTheme="minorEastAsia" w:eastAsiaTheme="minorEastAsia" w:cstheme="minorEastAsia"/>
                <w:b/>
                <w:bCs/>
                <w:color w:val="000000"/>
                <w:sz w:val="21"/>
                <w:szCs w:val="21"/>
                <w:vertAlign w:val="baseline"/>
                <w:lang w:val="en-US" w:eastAsia="zh-CN"/>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0" w:type="dxa"/>
            <w:vMerge w:val="restart"/>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center"/>
              <w:textAlignment w:val="auto"/>
              <w:rPr>
                <w:rFonts w:hint="eastAsia" w:asciiTheme="minorEastAsia" w:hAnsiTheme="minorEastAsia" w:eastAsiaTheme="minorEastAsia" w:cstheme="minorEastAsia"/>
                <w:b w:val="0"/>
                <w:bCs w:val="0"/>
                <w:color w:val="000000"/>
                <w:sz w:val="21"/>
                <w:szCs w:val="21"/>
                <w:vertAlign w:val="baseline"/>
                <w:lang w:val="en-US" w:eastAsia="zh-CN"/>
              </w:rPr>
            </w:pPr>
            <w:r>
              <w:rPr>
                <w:rFonts w:hint="eastAsia" w:asciiTheme="minorEastAsia" w:hAnsiTheme="minorEastAsia" w:eastAsiaTheme="minorEastAsia" w:cstheme="minorEastAsia"/>
                <w:b w:val="0"/>
                <w:bCs w:val="0"/>
                <w:color w:val="000000"/>
                <w:sz w:val="21"/>
                <w:szCs w:val="21"/>
                <w:vertAlign w:val="baseline"/>
                <w:lang w:val="en-US" w:eastAsia="zh-CN"/>
              </w:rPr>
              <w:t>应急领导</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center"/>
              <w:textAlignment w:val="auto"/>
              <w:rPr>
                <w:rFonts w:hint="eastAsia"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eastAsiaTheme="minorEastAsia" w:cstheme="minorEastAsia"/>
                <w:b w:val="0"/>
                <w:bCs w:val="0"/>
                <w:color w:val="000000"/>
                <w:sz w:val="21"/>
                <w:szCs w:val="21"/>
                <w:vertAlign w:val="baseline"/>
                <w:lang w:val="en-US" w:eastAsia="zh-CN"/>
              </w:rPr>
              <w:t>小组</w:t>
            </w:r>
          </w:p>
        </w:tc>
        <w:tc>
          <w:tcPr>
            <w:tcW w:w="959"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  长</w:t>
            </w:r>
          </w:p>
        </w:tc>
        <w:tc>
          <w:tcPr>
            <w:tcW w:w="1055"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王  杰</w:t>
            </w:r>
          </w:p>
        </w:tc>
        <w:tc>
          <w:tcPr>
            <w:tcW w:w="5726"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（1）组织制订本公司事故应急救援预案。</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（2）负责人员、资源配备，应急队伍的调动。</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（3）确定现场指挥人员。</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（4）协调事故现场有关工作。</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（5）批准本预案的启动与终止。</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（6）事故信息的上报工作。</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（7）负责保护事故现场及相关物证、资料。</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（8）组织应急预案的演练。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bCs/>
                <w:color w:val="000000"/>
                <w:sz w:val="21"/>
                <w:szCs w:val="21"/>
                <w:vertAlign w:val="baseline"/>
              </w:rPr>
            </w:pPr>
            <w:r>
              <w:rPr>
                <w:rFonts w:hint="eastAsia" w:asciiTheme="minorEastAsia" w:hAnsiTheme="minorEastAsia" w:eastAsiaTheme="minorEastAsia" w:cstheme="minorEastAsia"/>
                <w:b w:val="0"/>
                <w:bCs w:val="0"/>
                <w:color w:val="000000"/>
                <w:sz w:val="21"/>
                <w:szCs w:val="21"/>
                <w:lang w:val="en-US" w:eastAsia="zh-CN"/>
              </w:rPr>
              <w:t>（9）接受政府的指令和调动。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center"/>
              <w:textAlignment w:val="auto"/>
              <w:rPr>
                <w:rFonts w:hint="eastAsia" w:asciiTheme="minorEastAsia" w:hAnsiTheme="minorEastAsia" w:eastAsiaTheme="minorEastAsia" w:cstheme="minorEastAsia"/>
                <w:b w:val="0"/>
                <w:bCs w:val="0"/>
                <w:color w:val="000000"/>
                <w:sz w:val="21"/>
                <w:szCs w:val="21"/>
                <w:vertAlign w:val="baseline"/>
                <w:lang w:val="en-US" w:eastAsia="zh-CN"/>
              </w:rPr>
            </w:pPr>
          </w:p>
        </w:tc>
        <w:tc>
          <w:tcPr>
            <w:tcW w:w="959"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副组长</w:t>
            </w:r>
          </w:p>
        </w:tc>
        <w:tc>
          <w:tcPr>
            <w:tcW w:w="1055"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鲁小敏</w:t>
            </w:r>
          </w:p>
        </w:tc>
        <w:tc>
          <w:tcPr>
            <w:tcW w:w="572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center"/>
              <w:textAlignment w:val="auto"/>
              <w:rPr>
                <w:rFonts w:hint="eastAsia" w:asciiTheme="minorEastAsia" w:hAnsiTheme="minorEastAsia" w:eastAsiaTheme="minorEastAsia" w:cstheme="minorEastAsia"/>
                <w:b w:val="0"/>
                <w:bCs w:val="0"/>
                <w:color w:val="000000"/>
                <w:sz w:val="21"/>
                <w:szCs w:val="21"/>
                <w:vertAlign w:val="baseline"/>
                <w:lang w:val="en-US" w:eastAsia="zh-CN"/>
              </w:rPr>
            </w:pPr>
          </w:p>
        </w:tc>
        <w:tc>
          <w:tcPr>
            <w:tcW w:w="959"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  员</w:t>
            </w:r>
          </w:p>
        </w:tc>
        <w:tc>
          <w:tcPr>
            <w:tcW w:w="1055"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朱  锋</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何剑波</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洪国良</w:t>
            </w:r>
          </w:p>
        </w:tc>
        <w:tc>
          <w:tcPr>
            <w:tcW w:w="5726"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color w:val="00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vMerge w:val="restart"/>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center"/>
              <w:textAlignment w:val="auto"/>
              <w:rPr>
                <w:rFonts w:hint="eastAsia" w:asciiTheme="minorEastAsia" w:hAnsiTheme="minorEastAsia" w:eastAsiaTheme="minorEastAsia" w:cstheme="minorEastAsia"/>
                <w:b w:val="0"/>
                <w:bCs w:val="0"/>
                <w:color w:val="000000"/>
                <w:sz w:val="21"/>
                <w:szCs w:val="21"/>
                <w:vertAlign w:val="baseline"/>
                <w:lang w:val="en-US" w:eastAsia="zh-CN"/>
              </w:rPr>
            </w:pPr>
            <w:r>
              <w:rPr>
                <w:rFonts w:hint="eastAsia" w:asciiTheme="minorEastAsia" w:hAnsiTheme="minorEastAsia" w:eastAsiaTheme="minorEastAsia" w:cstheme="minorEastAsia"/>
                <w:b w:val="0"/>
                <w:bCs w:val="0"/>
                <w:color w:val="000000"/>
                <w:sz w:val="21"/>
                <w:szCs w:val="21"/>
                <w:vertAlign w:val="baseline"/>
                <w:lang w:val="en-US" w:eastAsia="zh-CN"/>
              </w:rPr>
              <w:t>应急指挥部</w:t>
            </w:r>
          </w:p>
        </w:tc>
        <w:tc>
          <w:tcPr>
            <w:tcW w:w="2014"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kern w:val="2"/>
                <w:sz w:val="21"/>
                <w:szCs w:val="21"/>
                <w:lang w:val="en-US" w:eastAsia="zh-CN" w:bidi="ar-SA"/>
              </w:rPr>
            </w:pPr>
          </w:p>
        </w:tc>
        <w:tc>
          <w:tcPr>
            <w:tcW w:w="5726" w:type="dxa"/>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（1）根据事故应急领导小组指令，负责现场应急指挥工作，针对事态发展制定和调整现场应急抢险方案，防止次生灾害或二次事故发生。</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（2）如地方政府启动应急预案，配合和协调地方政府应急救援工作。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（3）收集现场信息，核实现场情况，保证现场与总部之间信息传递的真实、及时与畅通。</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（4）负责整合调配现场应急资源。</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（5）及时向应急领导小组办公室和地方政府汇报应急处置情况。</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（6）按应急领导小组授权，负责现场有关的新闻发布工作。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（7）收集、整理应急处置过程有关资料。</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（8）核实应急终止条件并向当地政府、单位应急领导小组请示应急终止。</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（9）向应急领导小组办公室提交现场应急工作总结报告。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center"/>
              <w:textAlignment w:val="auto"/>
              <w:rPr>
                <w:rFonts w:hint="eastAsia" w:asciiTheme="minorEastAsia" w:hAnsiTheme="minorEastAsia" w:eastAsiaTheme="minorEastAsia" w:cstheme="minorEastAsia"/>
                <w:b w:val="0"/>
                <w:bCs w:val="0"/>
                <w:color w:val="000000"/>
                <w:sz w:val="21"/>
                <w:szCs w:val="21"/>
                <w:vertAlign w:val="baseline"/>
                <w:lang w:val="en-US" w:eastAsia="zh-CN"/>
              </w:rPr>
            </w:pPr>
          </w:p>
        </w:tc>
        <w:tc>
          <w:tcPr>
            <w:tcW w:w="959"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总指挥</w:t>
            </w:r>
          </w:p>
        </w:tc>
        <w:tc>
          <w:tcPr>
            <w:tcW w:w="105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王  杰</w:t>
            </w:r>
          </w:p>
        </w:tc>
        <w:tc>
          <w:tcPr>
            <w:tcW w:w="5726" w:type="dxa"/>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（1）负责人员、资源配置、应急队伍的调动；</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（2）确定现场指挥人员；</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（3）协调事故现场有关工作； </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（4）持续进行危险评估和重新定级；</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（5）授权在事故状态下各级人员的职责； </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（6）事故信息的上报工作；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（7）接受政府的指令和调动。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center"/>
              <w:textAlignment w:val="auto"/>
              <w:rPr>
                <w:rFonts w:hint="eastAsia" w:asciiTheme="minorEastAsia" w:hAnsiTheme="minorEastAsia" w:eastAsiaTheme="minorEastAsia" w:cstheme="minorEastAsia"/>
                <w:b w:val="0"/>
                <w:bCs w:val="0"/>
                <w:color w:val="000000"/>
                <w:sz w:val="21"/>
                <w:szCs w:val="21"/>
                <w:vertAlign w:val="baseline"/>
                <w:lang w:val="en-US" w:eastAsia="zh-CN"/>
              </w:rPr>
            </w:pPr>
          </w:p>
        </w:tc>
        <w:tc>
          <w:tcPr>
            <w:tcW w:w="959"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副总指挥</w:t>
            </w:r>
          </w:p>
        </w:tc>
        <w:tc>
          <w:tcPr>
            <w:tcW w:w="105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鲁小敏</w:t>
            </w:r>
          </w:p>
        </w:tc>
        <w:tc>
          <w:tcPr>
            <w:tcW w:w="5726" w:type="dxa"/>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（1）协助总指挥开展应急救援工作；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（2）指挥协调现场的抢险救灾工作；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（3）核实现场人员伤亡和损失情况，及时向总指挥汇报抢险救援工作及事故应急处理的进展情况；</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（4）总指挥不在时代替总指挥负责指挥救援；</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（5）及时落实总指挥关于应急处理的指示；</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（6）组织应急预案的定期修订及演练。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60" w:type="dxa"/>
            <w:vMerge w:val="restart"/>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抢险救援组</w:t>
            </w: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组长</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王舒林</w:t>
            </w:r>
          </w:p>
        </w:tc>
        <w:tc>
          <w:tcPr>
            <w:tcW w:w="5726" w:type="dxa"/>
            <w:vMerge w:val="restart"/>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（1）在现场指挥部的指挥下，按制定的应急救援方案及防护措施，确保救护人员和受伤人员安全，实施现场事故抢险救援工作；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（2）负责将抢险救援进展情况、事故发展和演变趋势等及时反馈现场情况，以便制定相应的救援方案和措施；</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（3）负责对事故现场险情进行监测监护，为现场救援人员、受伤人员提供险情预报及安全保障；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（4）负责灭火消防工作。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成员</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王  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董  勇</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陈  斌</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叶阳超</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罗建超</w:t>
            </w:r>
          </w:p>
        </w:tc>
        <w:tc>
          <w:tcPr>
            <w:tcW w:w="5726" w:type="dxa"/>
            <w:vMerge w:val="continue"/>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460" w:type="dxa"/>
            <w:vMerge w:val="restart"/>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疏散警戒组</w:t>
            </w: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组长</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王开伟</w:t>
            </w:r>
          </w:p>
        </w:tc>
        <w:tc>
          <w:tcPr>
            <w:tcW w:w="5726" w:type="dxa"/>
            <w:vMerge w:val="restart"/>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（1）负责事故现场及公司区警戒、治安保卫、疏散、道路管制工作，确保事故现场不遭破坏；</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（2）确保现场的治安秩序；</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（3）应急领导小组交办的其它事项。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成员</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朱召彦</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蒲芝俐</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冯大林</w:t>
            </w:r>
          </w:p>
        </w:tc>
        <w:tc>
          <w:tcPr>
            <w:tcW w:w="5726" w:type="dxa"/>
            <w:vMerge w:val="continue"/>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460" w:type="dxa"/>
            <w:vMerge w:val="restart"/>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后勤保障组</w:t>
            </w: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组长</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禹怀平</w:t>
            </w:r>
          </w:p>
        </w:tc>
        <w:tc>
          <w:tcPr>
            <w:tcW w:w="5726" w:type="dxa"/>
            <w:vMerge w:val="restart"/>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（1）主要负责落实现场应急救援物资、急救药品、器械的应急储备；资金、供水及生活等方面的保障及保障措施；</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（2）负责保障交通运输畅通无阻，为处置事故的应急物资、应急资金、应急增援、应急救治、生活等提供可靠保障；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（3）对受伤人员及时有效进行现场急救，必要时及时与阆中市人民医院联系，并迅速送往医院； </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（4）负责保障抢险救援现场的电力供应，网电电源终断后，自备电源迅速供电。</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（5）负责应急救援指挥部交办的其它任务。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成员</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任雪梅</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王天友</w:t>
            </w:r>
          </w:p>
        </w:tc>
        <w:tc>
          <w:tcPr>
            <w:tcW w:w="5726" w:type="dxa"/>
            <w:vMerge w:val="continue"/>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460" w:type="dxa"/>
            <w:vMerge w:val="restart"/>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通讯联络组</w:t>
            </w: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组长</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周雪琴</w:t>
            </w:r>
          </w:p>
        </w:tc>
        <w:tc>
          <w:tcPr>
            <w:tcW w:w="5726" w:type="dxa"/>
            <w:vMerge w:val="restart"/>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（1）负责在事故发生后，全力确保救援、生产、调度电话的畅通；</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（2）应急领导小组交办的其它事项。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成员</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李秋林</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董泽婷</w:t>
            </w:r>
          </w:p>
        </w:tc>
        <w:tc>
          <w:tcPr>
            <w:tcW w:w="5726" w:type="dxa"/>
            <w:vMerge w:val="continue"/>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60" w:type="dxa"/>
            <w:vMerge w:val="restart"/>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善后处理组</w:t>
            </w: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组长</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何金玉</w:t>
            </w:r>
          </w:p>
        </w:tc>
        <w:tc>
          <w:tcPr>
            <w:tcW w:w="5726" w:type="dxa"/>
            <w:vMerge w:val="restart"/>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（1）核实伤亡人员数量、姓名、身份等基本情况，并及时报告；</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（2）负责受灾人员的安置，伤员及家属的安抚、抚恤、赔偿等善后处理工作；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（3）对事故造成的财产损失进行清点、核算；</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（4）负责配合地方主管部门、工会、保险、劳动开展相关工作。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0" w:hRule="atLeast"/>
        </w:trPr>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成员</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张  晶</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甘利华</w:t>
            </w:r>
          </w:p>
        </w:tc>
        <w:tc>
          <w:tcPr>
            <w:tcW w:w="5726" w:type="dxa"/>
            <w:vMerge w:val="continue"/>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460" w:type="dxa"/>
            <w:vMerge w:val="restart"/>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事故调查组</w:t>
            </w: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组长</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朱  锋</w:t>
            </w:r>
          </w:p>
        </w:tc>
        <w:tc>
          <w:tcPr>
            <w:tcW w:w="5726" w:type="dxa"/>
            <w:vMerge w:val="restart"/>
            <w:noWrap w:val="0"/>
            <w:vAlign w:val="top"/>
          </w:tcPr>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（1）负责事故现场调查取证、事故分析工作；</w:t>
            </w:r>
          </w:p>
          <w:p>
            <w:pPr>
              <w:pStyle w:val="7"/>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（2）负责对外事故报送和联系工作。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460" w:type="dxa"/>
            <w:vMerge w:val="continue"/>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c>
          <w:tcPr>
            <w:tcW w:w="964" w:type="dxa"/>
            <w:gridSpan w:val="2"/>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成员</w:t>
            </w:r>
          </w:p>
        </w:tc>
        <w:tc>
          <w:tcPr>
            <w:tcW w:w="1050" w:type="dxa"/>
            <w:noWrap w:val="0"/>
            <w:vAlign w:val="center"/>
          </w:tcPr>
          <w:p>
            <w:pPr>
              <w:pStyle w:val="7"/>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鲁小敏</w:t>
            </w:r>
          </w:p>
          <w:p>
            <w:pPr>
              <w:pStyle w:val="7"/>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周雪琴</w:t>
            </w:r>
          </w:p>
        </w:tc>
        <w:tc>
          <w:tcPr>
            <w:tcW w:w="5726" w:type="dxa"/>
            <w:vMerge w:val="continue"/>
            <w:noWrap w:val="0"/>
            <w:vAlign w:val="top"/>
          </w:tcPr>
          <w:p>
            <w:pPr>
              <w:pStyle w:val="7"/>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jc w:val="both"/>
              <w:textAlignment w:val="auto"/>
              <w:rPr>
                <w:rFonts w:hint="eastAsia" w:asciiTheme="minorEastAsia" w:hAnsiTheme="minorEastAsia" w:eastAsiaTheme="minorEastAsia" w:cstheme="minorEastAsia"/>
                <w:sz w:val="21"/>
                <w:szCs w:val="21"/>
                <w:lang w:val="en-US" w:eastAsia="zh-CN"/>
              </w:rPr>
            </w:pPr>
          </w:p>
        </w:tc>
      </w:tr>
    </w:tbl>
    <w:p>
      <w:pPr>
        <w:bidi w:val="0"/>
        <w:rPr>
          <w:rFonts w:hint="eastAsia" w:asciiTheme="minorEastAsia" w:hAnsiTheme="minorEastAsia" w:eastAsiaTheme="minorEastAsia" w:cstheme="minorEastAsia"/>
          <w:sz w:val="21"/>
          <w:szCs w:val="21"/>
          <w:lang w:val="en-US" w:eastAsia="zh-CN"/>
        </w:rPr>
      </w:pPr>
    </w:p>
    <w:p>
      <w:pPr>
        <w:pStyle w:val="4"/>
        <w:spacing w:before="0" w:after="0" w:line="360" w:lineRule="auto"/>
        <w:rPr>
          <w:rFonts w:hint="eastAsia" w:asciiTheme="minorEastAsia" w:hAnsiTheme="minorEastAsia" w:eastAsiaTheme="minorEastAsia" w:cstheme="minorEastAsia"/>
          <w:b/>
          <w:sz w:val="21"/>
          <w:szCs w:val="21"/>
          <w:lang w:val="en-US" w:eastAsia="zh-CN"/>
        </w:rPr>
      </w:pPr>
      <w:bookmarkStart w:id="15" w:name="_Toc31494"/>
      <w:bookmarkStart w:id="16" w:name="_Toc2757"/>
      <w:bookmarkStart w:id="17" w:name="_Toc426"/>
      <w:bookmarkStart w:id="18" w:name="_Toc14912"/>
      <w:r>
        <w:rPr>
          <w:rFonts w:hint="eastAsia" w:asciiTheme="minorEastAsia" w:hAnsiTheme="minorEastAsia" w:eastAsiaTheme="minorEastAsia" w:cstheme="minorEastAsia"/>
          <w:b/>
          <w:sz w:val="21"/>
          <w:szCs w:val="21"/>
          <w:lang w:val="en-US" w:eastAsia="zh-CN"/>
        </w:rPr>
        <w:t xml:space="preserve">3 </w:t>
      </w:r>
      <w:bookmarkEnd w:id="14"/>
      <w:r>
        <w:rPr>
          <w:rFonts w:hint="eastAsia" w:asciiTheme="minorEastAsia" w:hAnsiTheme="minorEastAsia" w:eastAsiaTheme="minorEastAsia" w:cstheme="minorEastAsia"/>
          <w:b/>
          <w:sz w:val="21"/>
          <w:szCs w:val="21"/>
          <w:lang w:val="en-US" w:eastAsia="zh-CN"/>
        </w:rPr>
        <w:t>响应启动</w:t>
      </w:r>
      <w:bookmarkEnd w:id="15"/>
      <w:bookmarkEnd w:id="16"/>
      <w:bookmarkEnd w:id="17"/>
      <w:bookmarkEnd w:id="18"/>
    </w:p>
    <w:p>
      <w:pPr>
        <w:pStyle w:val="5"/>
        <w:spacing w:before="0" w:after="0" w:line="360" w:lineRule="auto"/>
        <w:rPr>
          <w:rFonts w:hint="eastAsia" w:asciiTheme="minorEastAsia" w:hAnsiTheme="minorEastAsia" w:eastAsiaTheme="minorEastAsia" w:cstheme="minorEastAsia"/>
          <w:sz w:val="21"/>
          <w:szCs w:val="21"/>
          <w:lang w:val="en-US" w:eastAsia="zh-CN"/>
        </w:rPr>
      </w:pPr>
      <w:bookmarkStart w:id="19" w:name="_Toc2573"/>
      <w:bookmarkStart w:id="20" w:name="_Toc24271"/>
      <w:bookmarkStart w:id="21" w:name="_Toc18940"/>
      <w:bookmarkStart w:id="22" w:name="_Toc16126"/>
      <w:bookmarkStart w:id="23" w:name="_Toc17575"/>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1信息报告</w:t>
      </w:r>
      <w:bookmarkEnd w:id="19"/>
      <w:bookmarkEnd w:id="20"/>
      <w:bookmarkEnd w:id="21"/>
      <w:bookmarkEnd w:id="22"/>
      <w:bookmarkEnd w:id="23"/>
    </w:p>
    <w:p>
      <w:pPr>
        <w:numPr>
          <w:ilvl w:val="0"/>
          <w:numId w:val="1"/>
        </w:numPr>
        <w:spacing w:line="360" w:lineRule="auto"/>
        <w:ind w:firstLine="420" w:firstLineChars="200"/>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作业现场第一发现人发现有限空间中毒窒息事故后，应第一时间采取大声呼救的方式向现场人员和车间负责人报警，车间负责人在组织现场救援的同时，应即报告公司安全办公室。</w:t>
      </w:r>
    </w:p>
    <w:p>
      <w:pPr>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（2）安全办公室</w:t>
      </w:r>
      <w:r>
        <w:rPr>
          <w:rFonts w:hint="eastAsia" w:asciiTheme="minorEastAsia" w:hAnsiTheme="minorEastAsia" w:eastAsiaTheme="minorEastAsia" w:cstheme="minorEastAsia"/>
          <w:color w:val="000000"/>
          <w:sz w:val="21"/>
          <w:szCs w:val="21"/>
        </w:rPr>
        <w:t>对事故进行确认后，需要启动公司应急预案，由</w:t>
      </w:r>
      <w:r>
        <w:rPr>
          <w:rFonts w:hint="eastAsia" w:asciiTheme="minorEastAsia" w:hAnsiTheme="minorEastAsia" w:eastAsiaTheme="minorEastAsia" w:cstheme="minorEastAsia"/>
          <w:color w:val="000000"/>
          <w:sz w:val="21"/>
          <w:szCs w:val="21"/>
          <w:lang w:val="en-US" w:eastAsia="zh-CN"/>
        </w:rPr>
        <w:t>安全办公室</w:t>
      </w:r>
      <w:r>
        <w:rPr>
          <w:rFonts w:hint="eastAsia" w:asciiTheme="minorEastAsia" w:hAnsiTheme="minorEastAsia" w:eastAsiaTheme="minorEastAsia" w:cstheme="minorEastAsia"/>
          <w:color w:val="000000"/>
          <w:sz w:val="21"/>
          <w:szCs w:val="21"/>
        </w:rPr>
        <w:t>向公司相关领导和部门报告，报告内容包括：</w:t>
      </w:r>
    </w:p>
    <w:p>
      <w:pPr>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1）事故发生概况；</w:t>
      </w:r>
    </w:p>
    <w:p>
      <w:pPr>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2）事故发生的时间、地点以及事故现场情况；</w:t>
      </w:r>
    </w:p>
    <w:p>
      <w:pPr>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3）事故的简要经过；</w:t>
      </w:r>
    </w:p>
    <w:p>
      <w:pPr>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4）事故已经造成或者可能造成的伤亡人数和初步估计的直接经济损失；</w:t>
      </w:r>
    </w:p>
    <w:p>
      <w:pPr>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5）已经采取的措施；</w:t>
      </w:r>
    </w:p>
    <w:p>
      <w:pPr>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6）其他应当报告的情况。</w:t>
      </w:r>
    </w:p>
    <w:p>
      <w:pPr>
        <w:pStyle w:val="5"/>
        <w:spacing w:before="0" w:after="0" w:line="360" w:lineRule="auto"/>
        <w:rPr>
          <w:rFonts w:hint="eastAsia" w:asciiTheme="minorEastAsia" w:hAnsiTheme="minorEastAsia" w:eastAsiaTheme="minorEastAsia" w:cstheme="minorEastAsia"/>
          <w:sz w:val="21"/>
          <w:szCs w:val="21"/>
          <w:lang w:val="en-US" w:eastAsia="zh-CN"/>
        </w:rPr>
      </w:pPr>
      <w:bookmarkStart w:id="24" w:name="_Toc27062"/>
      <w:bookmarkStart w:id="25" w:name="_Toc8539"/>
      <w:bookmarkStart w:id="26" w:name="_Toc6612"/>
      <w:bookmarkStart w:id="27" w:name="_Toc1307"/>
      <w:bookmarkStart w:id="28" w:name="_Toc22295"/>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2响应程序</w:t>
      </w:r>
      <w:bookmarkEnd w:id="24"/>
      <w:bookmarkEnd w:id="25"/>
      <w:bookmarkEnd w:id="26"/>
      <w:bookmarkEnd w:id="27"/>
      <w:bookmarkEnd w:id="28"/>
    </w:p>
    <w:p>
      <w:pPr>
        <w:numPr>
          <w:ilvl w:val="0"/>
          <w:numId w:val="2"/>
        </w:num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val="en-US" w:eastAsia="zh-CN"/>
        </w:rPr>
        <w:t>公司发生的处于可控状态下的有限空间中毒窒息事故，</w:t>
      </w:r>
      <w:r>
        <w:rPr>
          <w:rFonts w:hint="eastAsia" w:asciiTheme="minorEastAsia" w:hAnsiTheme="minorEastAsia" w:eastAsiaTheme="minorEastAsia" w:cstheme="minorEastAsia"/>
          <w:sz w:val="21"/>
          <w:szCs w:val="21"/>
        </w:rPr>
        <w:t>应急指挥</w:t>
      </w:r>
      <w:r>
        <w:rPr>
          <w:rFonts w:hint="eastAsia" w:asciiTheme="minorEastAsia" w:hAnsiTheme="minorEastAsia" w:eastAsiaTheme="minorEastAsia" w:cstheme="minorEastAsia"/>
          <w:sz w:val="21"/>
          <w:szCs w:val="21"/>
          <w:lang w:val="en-US" w:eastAsia="zh-CN"/>
        </w:rPr>
        <w:t>部立即</w:t>
      </w:r>
      <w:r>
        <w:rPr>
          <w:rFonts w:hint="eastAsia" w:asciiTheme="minorEastAsia" w:hAnsiTheme="minorEastAsia" w:eastAsiaTheme="minorEastAsia" w:cstheme="minorEastAsia"/>
          <w:sz w:val="21"/>
          <w:szCs w:val="21"/>
        </w:rPr>
        <w:t>启动公司</w:t>
      </w:r>
      <w:r>
        <w:rPr>
          <w:rFonts w:hint="eastAsia" w:asciiTheme="minorEastAsia" w:hAnsiTheme="minorEastAsia" w:eastAsiaTheme="minorEastAsia" w:cstheme="minorEastAsia"/>
          <w:sz w:val="21"/>
          <w:szCs w:val="21"/>
          <w:lang w:val="en-US" w:eastAsia="zh-CN"/>
        </w:rPr>
        <w:t>综合应急预案和有限空间中毒窒息专项应急预案</w:t>
      </w:r>
      <w:r>
        <w:rPr>
          <w:rFonts w:hint="eastAsia" w:asciiTheme="minorEastAsia" w:hAnsiTheme="minorEastAsia" w:eastAsiaTheme="minorEastAsia" w:cstheme="minorEastAsia"/>
          <w:sz w:val="21"/>
          <w:szCs w:val="21"/>
        </w:rPr>
        <w:t>，应急指挥部成员进入应急指挥岗位，各应急行动小组负责人集结应急队伍，带领本组成员按以下程序开展应急行动：</w:t>
      </w:r>
    </w:p>
    <w:p>
      <w:pPr>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中毒窒息事故</w:t>
      </w:r>
      <w:r>
        <w:rPr>
          <w:rFonts w:hint="eastAsia" w:asciiTheme="minorEastAsia" w:hAnsiTheme="minorEastAsia" w:eastAsiaTheme="minorEastAsia" w:cstheme="minorEastAsia"/>
          <w:b/>
          <w:bCs/>
          <w:sz w:val="21"/>
          <w:szCs w:val="21"/>
        </w:rPr>
        <w:t>响应程序表</w:t>
      </w:r>
    </w:p>
    <w:tbl>
      <w:tblPr>
        <w:tblStyle w:val="9"/>
        <w:tblW w:w="892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5"/>
        <w:gridCol w:w="4540"/>
        <w:gridCol w:w="268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执行部门/人</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行    动</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  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总指挥</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下达启动</w:t>
            </w:r>
            <w:r>
              <w:rPr>
                <w:rFonts w:hint="eastAsia" w:asciiTheme="minorEastAsia" w:hAnsiTheme="minorEastAsia" w:eastAsiaTheme="minorEastAsia" w:cstheme="minorEastAsia"/>
                <w:sz w:val="21"/>
                <w:szCs w:val="21"/>
                <w:lang w:val="en-US" w:eastAsia="zh-CN"/>
              </w:rPr>
              <w:t>中毒窒息</w:t>
            </w:r>
            <w:r>
              <w:rPr>
                <w:rFonts w:hint="eastAsia" w:asciiTheme="minorEastAsia" w:hAnsiTheme="minorEastAsia" w:eastAsiaTheme="minorEastAsia" w:cstheme="minorEastAsia"/>
                <w:sz w:val="21"/>
                <w:szCs w:val="21"/>
              </w:rPr>
              <w:t>事故或灾害应急响应命令，迅速召集应急指挥部成员进入岗位，命令应急行动人员到指定地点集结，领导应急指挥部按照预案开展应急工作。</w:t>
            </w:r>
          </w:p>
        </w:tc>
        <w:tc>
          <w:tcPr>
            <w:tcW w:w="2687" w:type="dxa"/>
            <w:noWrap w:val="0"/>
            <w:vAlign w:val="center"/>
          </w:tcPr>
          <w:p>
            <w:pPr>
              <w:keepNext w:val="0"/>
              <w:keepLines w:val="0"/>
              <w:pageBreakBefore w:val="0"/>
              <w:widowControl w:val="0"/>
              <w:numPr>
                <w:ilvl w:val="0"/>
                <w:numId w:val="3"/>
              </w:numPr>
              <w:tabs>
                <w:tab w:val="left" w:pos="-105"/>
                <w:tab w:val="clear" w:pos="360"/>
              </w:tabs>
              <w:kinsoku/>
              <w:wordWrap/>
              <w:overflowPunct/>
              <w:topLinePunct w:val="0"/>
              <w:autoSpaceDE/>
              <w:autoSpaceDN/>
              <w:bidi w:val="0"/>
              <w:adjustRightInd/>
              <w:snapToGrid/>
              <w:spacing w:line="360" w:lineRule="exact"/>
              <w:ind w:left="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向指挥部成员通报事件情况，明确工作任务；判断所需应急资源。</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应急指挥部成员</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接到警报后，采取最迅速的方式赶到总指挥指定的集结地点，进入指挥岗位。</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按应急指挥部成员的分工职责开展工作。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通讯联络组</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实时了解现场应急情况，随时报告总指挥；随时将总指挥的应急指令传达到应急行动人员；根据总指挥的指令与政府或有关部门沟通。 </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互通信息准确、及时，做好记录，保证总指挥随时了解事故现场实时情况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警戒疏散组</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zh-CN"/>
              </w:rPr>
              <w:t>组织清理紧急撤离通道上的障碍物，做好人员疏散准备。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2、划定</w:t>
            </w:r>
            <w:r>
              <w:rPr>
                <w:rFonts w:hint="eastAsia" w:asciiTheme="minorEastAsia" w:hAnsiTheme="minorEastAsia" w:eastAsiaTheme="minorEastAsia" w:cstheme="minorEastAsia"/>
                <w:sz w:val="21"/>
                <w:szCs w:val="21"/>
                <w:lang w:val="en-US" w:eastAsia="zh-CN"/>
              </w:rPr>
              <w:t>警戒</w:t>
            </w:r>
            <w:r>
              <w:rPr>
                <w:rFonts w:hint="eastAsia" w:asciiTheme="minorEastAsia" w:hAnsiTheme="minorEastAsia" w:eastAsiaTheme="minorEastAsia" w:cstheme="minorEastAsia"/>
                <w:sz w:val="21"/>
                <w:szCs w:val="21"/>
              </w:rPr>
              <w:t>区，禁止无关人员、车辆进入事故或受灾现场，或在事故或受灾现场周围逗留。</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1、准备好医疗急救物品。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2、根据事故性质和影响范围确定某某区位置和范围。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后勤保障组</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为应急人员提供应急器材、交通工具，根据指挥部的指令，组织应急物资供应。</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做好应急人员的后勤保障工作。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抢险救援组</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1、利用周边</w:t>
            </w:r>
            <w:r>
              <w:rPr>
                <w:rFonts w:hint="eastAsia" w:asciiTheme="minorEastAsia" w:hAnsiTheme="minorEastAsia" w:eastAsiaTheme="minorEastAsia" w:cstheme="minorEastAsia"/>
                <w:sz w:val="21"/>
                <w:szCs w:val="21"/>
                <w:lang w:val="en-US" w:eastAsia="zh-CN"/>
              </w:rPr>
              <w:t>应急救援、</w:t>
            </w:r>
            <w:r>
              <w:rPr>
                <w:rFonts w:hint="eastAsia" w:asciiTheme="minorEastAsia" w:hAnsiTheme="minorEastAsia" w:eastAsiaTheme="minorEastAsia" w:cstheme="minorEastAsia"/>
                <w:sz w:val="21"/>
                <w:szCs w:val="21"/>
              </w:rPr>
              <w:t>消防设备设施做好抢救工作。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2、及时对出现损坏的设备以及影响救援的设备的修复。</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佩戴呼吸器具</w:t>
            </w:r>
            <w:r>
              <w:rPr>
                <w:rFonts w:hint="eastAsia" w:asciiTheme="minorEastAsia" w:hAnsiTheme="minorEastAsia" w:eastAsiaTheme="minorEastAsia" w:cstheme="minorEastAsia"/>
                <w:sz w:val="21"/>
                <w:szCs w:val="21"/>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2、防止出现次生伤害或事故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现场指挥</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根据指挥部制订的应急行动方案指挥现场应急行动，督导各应急行动组履行应急职责。</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按规定佩戴防护器具，保证自身安全。</w:t>
            </w:r>
            <w:r>
              <w:rPr>
                <w:rFonts w:hint="eastAsia" w:asciiTheme="minorEastAsia" w:hAnsiTheme="minorEastAsia" w:eastAsiaTheme="minorEastAsia" w:cstheme="minorEastAsia"/>
                <w:sz w:val="21"/>
                <w:szCs w:val="21"/>
              </w:rPr>
              <w:t>行动过程与指挥部保持联系，重大决定要先向总指挥汇报。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不断关注事故或灾害发展趋势,当超出企业应急能力时,应及时报告总指挥,提请启动扩大应急程序。. </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如事故或灾害的可控性不稳定，提前报告，扩大应急。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根据现场情况作出判断，如有必要，启动应急避险程序，撤离现场非应急人员。</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必须在充分分析现场情况的基础上做出判断和评估。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16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总指挥</w:t>
            </w: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当事故或灾害的危害消除，宣布应急终止。 </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确认事故不会反复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16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p>
        </w:tc>
        <w:tc>
          <w:tcPr>
            <w:tcW w:w="45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及时向上级部门汇报事故相关情况</w:t>
            </w:r>
          </w:p>
        </w:tc>
        <w:tc>
          <w:tcPr>
            <w:tcW w:w="268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实事求是，利于事故处理。</w:t>
            </w:r>
          </w:p>
        </w:tc>
      </w:tr>
    </w:tbl>
    <w:p>
      <w:pPr>
        <w:numPr>
          <w:ilvl w:val="0"/>
          <w:numId w:val="0"/>
        </w:numPr>
        <w:spacing w:line="6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发生的</w:t>
      </w:r>
      <w:r>
        <w:rPr>
          <w:rFonts w:hint="eastAsia" w:asciiTheme="minorEastAsia" w:hAnsiTheme="minorEastAsia" w:eastAsiaTheme="minorEastAsia" w:cstheme="minorEastAsia"/>
          <w:sz w:val="21"/>
          <w:szCs w:val="21"/>
          <w:lang w:val="en-US" w:eastAsia="zh-CN"/>
        </w:rPr>
        <w:t>有限空间中毒窒息</w:t>
      </w:r>
      <w:r>
        <w:rPr>
          <w:rFonts w:hint="eastAsia" w:asciiTheme="minorEastAsia" w:hAnsiTheme="minorEastAsia" w:eastAsiaTheme="minorEastAsia" w:cstheme="minorEastAsia"/>
          <w:sz w:val="21"/>
          <w:szCs w:val="21"/>
        </w:rPr>
        <w:t>事故</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以公司应急能力无法有效控制</w:t>
      </w:r>
      <w:r>
        <w:rPr>
          <w:rFonts w:hint="eastAsia" w:asciiTheme="minorEastAsia" w:hAnsiTheme="minorEastAsia" w:eastAsiaTheme="minorEastAsia" w:cstheme="minorEastAsia"/>
          <w:sz w:val="21"/>
          <w:szCs w:val="21"/>
          <w:lang w:val="en-US" w:eastAsia="zh-CN"/>
        </w:rPr>
        <w:t>时</w:t>
      </w:r>
      <w:r>
        <w:rPr>
          <w:rFonts w:hint="eastAsia" w:asciiTheme="minorEastAsia" w:hAnsiTheme="minorEastAsia" w:eastAsiaTheme="minorEastAsia" w:cstheme="minorEastAsia"/>
          <w:sz w:val="21"/>
          <w:szCs w:val="21"/>
        </w:rPr>
        <w:t>，公司应急指挥部在组织应急救援的同时，应立即拨打119、110、120请求救援，同时报请地方政府启动上级应急预案予以支援。</w:t>
      </w:r>
    </w:p>
    <w:p>
      <w:pPr>
        <w:pStyle w:val="5"/>
        <w:spacing w:before="0" w:after="0" w:line="360" w:lineRule="auto"/>
        <w:rPr>
          <w:rFonts w:hint="eastAsia" w:asciiTheme="minorEastAsia" w:hAnsiTheme="minorEastAsia" w:eastAsiaTheme="minorEastAsia" w:cstheme="minorEastAsia"/>
          <w:sz w:val="21"/>
          <w:szCs w:val="21"/>
          <w:lang w:val="en-US" w:eastAsia="zh-CN"/>
        </w:rPr>
      </w:pPr>
      <w:bookmarkStart w:id="29" w:name="_Toc16682"/>
      <w:bookmarkStart w:id="30" w:name="_Toc21885"/>
      <w:bookmarkStart w:id="31" w:name="_Toc17235"/>
      <w:bookmarkStart w:id="32" w:name="_Toc20206"/>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3信息公开</w:t>
      </w:r>
      <w:bookmarkEnd w:id="29"/>
      <w:bookmarkEnd w:id="30"/>
      <w:bookmarkEnd w:id="31"/>
      <w:bookmarkEnd w:id="32"/>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需要对外新闻发布工作由总指挥将发布材料报请当地政府主管部门，由政府主管部门向媒体发布</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禁止</w:t>
      </w:r>
      <w:r>
        <w:rPr>
          <w:rFonts w:hint="eastAsia" w:asciiTheme="minorEastAsia" w:hAnsiTheme="minorEastAsia" w:eastAsiaTheme="minorEastAsia" w:cstheme="minorEastAsia"/>
          <w:sz w:val="21"/>
          <w:szCs w:val="21"/>
          <w:lang w:val="en-US" w:eastAsia="zh-CN"/>
        </w:rPr>
        <w:t>公司</w:t>
      </w:r>
      <w:r>
        <w:rPr>
          <w:rFonts w:hint="eastAsia" w:asciiTheme="minorEastAsia" w:hAnsiTheme="minorEastAsia" w:eastAsiaTheme="minorEastAsia" w:cstheme="minorEastAsia"/>
          <w:sz w:val="21"/>
          <w:szCs w:val="21"/>
        </w:rPr>
        <w:t>任何个人擅自发布、散布有关事故信息，以保证信息的真实性。</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供新闻发布内容要符合事故发生、救援等的实际情况，要做到简洁、明了、准确、及时，采取新闻发言的规范性格式。</w:t>
      </w:r>
    </w:p>
    <w:p>
      <w:pPr>
        <w:pStyle w:val="6"/>
        <w:ind w:firstLine="5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信息内容包括：事故单位基本情况，事故性质，事故伤亡情况，应急救援进展等。</w:t>
      </w:r>
    </w:p>
    <w:p>
      <w:pPr>
        <w:pStyle w:val="4"/>
        <w:spacing w:before="0" w:after="0" w:line="360" w:lineRule="auto"/>
        <w:rPr>
          <w:rFonts w:hint="eastAsia" w:asciiTheme="minorEastAsia" w:hAnsiTheme="minorEastAsia" w:eastAsiaTheme="minorEastAsia" w:cstheme="minorEastAsia"/>
          <w:b/>
          <w:sz w:val="21"/>
          <w:szCs w:val="21"/>
          <w:lang w:val="en-US" w:eastAsia="zh-CN"/>
        </w:rPr>
      </w:pPr>
      <w:bookmarkStart w:id="33" w:name="_Toc5499"/>
      <w:bookmarkStart w:id="34" w:name="_Toc371"/>
      <w:bookmarkStart w:id="35" w:name="_Toc24692"/>
      <w:bookmarkStart w:id="36" w:name="_Toc19381"/>
      <w:bookmarkStart w:id="37" w:name="_Toc21607"/>
      <w:r>
        <w:rPr>
          <w:rFonts w:hint="eastAsia" w:asciiTheme="minorEastAsia" w:hAnsiTheme="minorEastAsia" w:eastAsiaTheme="minorEastAsia" w:cstheme="minorEastAsia"/>
          <w:b/>
          <w:sz w:val="21"/>
          <w:szCs w:val="21"/>
          <w:lang w:val="en-US" w:eastAsia="zh-CN"/>
        </w:rPr>
        <w:t>4 处置措施</w:t>
      </w:r>
      <w:bookmarkEnd w:id="33"/>
      <w:bookmarkEnd w:id="34"/>
      <w:bookmarkEnd w:id="35"/>
      <w:bookmarkEnd w:id="36"/>
      <w:bookmarkEnd w:id="37"/>
    </w:p>
    <w:p>
      <w:pPr>
        <w:spacing w:line="6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应急指挥</w:t>
      </w:r>
      <w:r>
        <w:rPr>
          <w:rFonts w:hint="eastAsia" w:asciiTheme="minorEastAsia" w:hAnsiTheme="minorEastAsia" w:eastAsiaTheme="minorEastAsia" w:cstheme="minorEastAsia"/>
          <w:sz w:val="21"/>
          <w:szCs w:val="21"/>
          <w:lang w:val="en-US" w:eastAsia="zh-CN"/>
        </w:rPr>
        <w:t>部</w:t>
      </w:r>
      <w:r>
        <w:rPr>
          <w:rFonts w:hint="eastAsia" w:asciiTheme="minorEastAsia" w:hAnsiTheme="minorEastAsia" w:eastAsiaTheme="minorEastAsia" w:cstheme="minorEastAsia"/>
          <w:sz w:val="21"/>
          <w:szCs w:val="21"/>
        </w:rPr>
        <w:t>在接到报告后，应根据事故类型、状态及危害程度做出相应的判断，及时安排人员应急避险，立即召集应急救援队伍做初期的救援、救治、排险，控制事故的进一步扩大；同时如感到无法控制必须立刻请示上一级领导，启动上一级应急预案。</w:t>
      </w:r>
    </w:p>
    <w:p>
      <w:pPr>
        <w:spacing w:line="6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各应急工作小组各司其职，小组成员按相应的要求检查并佩戴好防护装备，检查并携带救援用具，全力做好各自职责内的工作。 </w:t>
      </w:r>
    </w:p>
    <w:p>
      <w:pPr>
        <w:spacing w:line="6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现场应急指挥部根据事故类型、状态和危害程度制定出快速有效的方案，安排、调配相应的应急资源。 </w:t>
      </w:r>
    </w:p>
    <w:p>
      <w:pPr>
        <w:spacing w:line="6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抢险救援</w:t>
      </w:r>
      <w:r>
        <w:rPr>
          <w:rFonts w:hint="eastAsia" w:asciiTheme="minorEastAsia" w:hAnsiTheme="minorEastAsia" w:eastAsiaTheme="minorEastAsia" w:cstheme="minorEastAsia"/>
          <w:sz w:val="21"/>
          <w:szCs w:val="21"/>
        </w:rPr>
        <w:t>组到达现场后，采取事故现场紧急防护措施，在保证救援人员安全的前提下救出人员，及时控制危险源，排除事故现场险情。对伤亡人员进行及时、准确的救治和处理。及时向现场指挥、副指挥汇报情况。当作业环境条件可能发生变化时，应视为进入新的有限空间，应采取必要时的检测、个体防护等安全措施。如果事故已经无法控制，可能会造成人员伤亡时，必须安排现场所有人员迅速撤离。</w:t>
      </w:r>
    </w:p>
    <w:p>
      <w:pPr>
        <w:spacing w:line="6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警戒</w:t>
      </w:r>
      <w:r>
        <w:rPr>
          <w:rFonts w:hint="eastAsia" w:asciiTheme="minorEastAsia" w:hAnsiTheme="minorEastAsia" w:eastAsiaTheme="minorEastAsia" w:cstheme="minorEastAsia"/>
          <w:sz w:val="21"/>
          <w:szCs w:val="21"/>
          <w:lang w:val="en-US" w:eastAsia="zh-CN"/>
        </w:rPr>
        <w:t>疏散</w:t>
      </w:r>
      <w:r>
        <w:rPr>
          <w:rFonts w:hint="eastAsia" w:asciiTheme="minorEastAsia" w:hAnsiTheme="minorEastAsia" w:eastAsiaTheme="minorEastAsia" w:cstheme="minorEastAsia"/>
          <w:sz w:val="21"/>
          <w:szCs w:val="21"/>
        </w:rPr>
        <w:t>组到达现场后，在警戒隔离区边界设置警示标志，并设专人负责警戒。组织事故现场人员疏散，对通往事故现场的道路实行交通管制，严禁无关车辆进入等。合理设置出入口，除应急救援人员外，严禁无关人员进入。</w:t>
      </w:r>
    </w:p>
    <w:p>
      <w:pPr>
        <w:spacing w:line="6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受伤人员救出转移至上风向或侧上风向空气无污染区域后，立即实施现场救护。对已患缺氧症的作业人员应立即给予现场急救，有条件时用苏生器给吸氧；对已停止呼吸人员，应在现场立即实施心肺复苏急救，如现场有苏生器，立即做人工呼吸并使用苏生器，同时通知附近医院赶到现场抢救。救护组人员到达现场及时接替现场抢救人员对受伤人员进行现场急救。中毒、窒息人员未恢复知觉前，不得用急救车送往较远的医院急救，就近送往医院抢救时，途中应采取有效的急救措施，并应有医务人员护送。</w:t>
      </w:r>
    </w:p>
    <w:p>
      <w:pPr>
        <w:spacing w:line="6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后勤保障组检查清点所需的保障物资，如保障物资不足，及时上报现场指挥，准备保障物资，听候现场指挥的命令。</w:t>
      </w:r>
    </w:p>
    <w:p>
      <w:pPr>
        <w:pStyle w:val="4"/>
        <w:spacing w:before="0" w:after="0" w:line="360" w:lineRule="auto"/>
        <w:rPr>
          <w:rFonts w:hint="eastAsia" w:asciiTheme="minorEastAsia" w:hAnsiTheme="minorEastAsia" w:eastAsiaTheme="minorEastAsia" w:cstheme="minorEastAsia"/>
          <w:b/>
          <w:sz w:val="21"/>
          <w:szCs w:val="21"/>
          <w:lang w:val="en-US" w:eastAsia="zh-CN"/>
        </w:rPr>
      </w:pPr>
      <w:bookmarkStart w:id="38" w:name="_Toc17959"/>
      <w:bookmarkStart w:id="39" w:name="_Toc31340"/>
      <w:bookmarkStart w:id="40" w:name="_Toc14700"/>
      <w:bookmarkStart w:id="41" w:name="_Toc17758"/>
      <w:r>
        <w:rPr>
          <w:rFonts w:hint="eastAsia" w:asciiTheme="minorEastAsia" w:hAnsiTheme="minorEastAsia" w:eastAsiaTheme="minorEastAsia" w:cstheme="minorEastAsia"/>
          <w:b/>
          <w:sz w:val="21"/>
          <w:szCs w:val="21"/>
          <w:lang w:val="en-US" w:eastAsia="zh-CN"/>
        </w:rPr>
        <w:t>5 应急保障</w:t>
      </w:r>
      <w:bookmarkEnd w:id="38"/>
      <w:bookmarkEnd w:id="39"/>
      <w:bookmarkEnd w:id="40"/>
      <w:bookmarkEnd w:id="41"/>
    </w:p>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Theme="minorEastAsia" w:hAnsiTheme="minorEastAsia" w:eastAsiaTheme="minorEastAsia" w:cstheme="minorEastAsia"/>
          <w:b/>
          <w:sz w:val="21"/>
          <w:szCs w:val="21"/>
          <w:lang w:val="en-US" w:eastAsia="zh-CN"/>
        </w:rPr>
      </w:pPr>
      <w:bookmarkStart w:id="42" w:name="_Toc12193"/>
      <w:bookmarkStart w:id="43" w:name="_Toc18770"/>
      <w:bookmarkStart w:id="44" w:name="_Toc12569"/>
      <w:bookmarkStart w:id="45" w:name="_Toc11778"/>
      <w:r>
        <w:rPr>
          <w:rFonts w:hint="eastAsia" w:asciiTheme="minorEastAsia" w:hAnsiTheme="minorEastAsia" w:eastAsiaTheme="minorEastAsia" w:cstheme="minorEastAsia"/>
          <w:b/>
          <w:sz w:val="21"/>
          <w:szCs w:val="21"/>
          <w:lang w:val="en-US" w:eastAsia="zh-CN"/>
        </w:rPr>
        <w:t>5.1应急物资配备</w:t>
      </w:r>
      <w:bookmarkEnd w:id="42"/>
      <w:bookmarkEnd w:id="43"/>
      <w:bookmarkEnd w:id="44"/>
      <w:bookmarkEnd w:id="45"/>
    </w:p>
    <w:p>
      <w:pP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按照要求配备应急抢险所需的通信工具、安全设施、消防器材等应急资源，并定期检查维护，确保急需。</w:t>
      </w:r>
    </w:p>
    <w:tbl>
      <w:tblPr>
        <w:tblStyle w:val="9"/>
        <w:tblW w:w="9189" w:type="dxa"/>
        <w:tblInd w:w="-135" w:type="dxa"/>
        <w:tblLayout w:type="fixed"/>
        <w:tblCellMar>
          <w:top w:w="0" w:type="dxa"/>
          <w:left w:w="0" w:type="dxa"/>
          <w:bottom w:w="0" w:type="dxa"/>
          <w:right w:w="0" w:type="dxa"/>
        </w:tblCellMar>
      </w:tblPr>
      <w:tblGrid>
        <w:gridCol w:w="1029"/>
        <w:gridCol w:w="1980"/>
        <w:gridCol w:w="1990"/>
        <w:gridCol w:w="1560"/>
        <w:gridCol w:w="1330"/>
        <w:gridCol w:w="1300"/>
      </w:tblGrid>
      <w:tr>
        <w:tblPrEx>
          <w:tblCellMar>
            <w:top w:w="0" w:type="dxa"/>
            <w:left w:w="0" w:type="dxa"/>
            <w:bottom w:w="0" w:type="dxa"/>
            <w:right w:w="0" w:type="dxa"/>
          </w:tblCellMar>
        </w:tblPrEx>
        <w:trPr>
          <w:trHeight w:val="29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序号</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名称</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型号</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rPr>
              <w:t>数量</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rPr>
              <w:t>单位</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备注</w:t>
            </w:r>
          </w:p>
        </w:tc>
      </w:tr>
      <w:tr>
        <w:tblPrEx>
          <w:tblCellMar>
            <w:top w:w="0" w:type="dxa"/>
            <w:left w:w="0" w:type="dxa"/>
            <w:bottom w:w="0" w:type="dxa"/>
            <w:right w:w="0" w:type="dxa"/>
          </w:tblCellMar>
        </w:tblPrEx>
        <w:trPr>
          <w:trHeight w:val="282"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eastAsiaTheme="minorEastAsia" w:cstheme="minorEastAsia"/>
                <w:color w:val="000000"/>
                <w:kern w:val="2"/>
                <w:sz w:val="21"/>
                <w:szCs w:val="21"/>
                <w:lang w:eastAsia="zh-CN"/>
              </w:rPr>
              <w:t>干粉灭火器</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eastAsiaTheme="minorEastAsia" w:cstheme="minorEastAsia"/>
                <w:color w:val="000000"/>
                <w:kern w:val="2"/>
                <w:sz w:val="21"/>
                <w:szCs w:val="21"/>
                <w:lang w:val="en-US" w:eastAsia="zh-CN"/>
              </w:rPr>
              <w:t>4公斤</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p>
        </w:tc>
      </w:tr>
      <w:tr>
        <w:tblPrEx>
          <w:tblCellMar>
            <w:top w:w="0" w:type="dxa"/>
            <w:left w:w="0" w:type="dxa"/>
            <w:bottom w:w="0" w:type="dxa"/>
            <w:right w:w="0" w:type="dxa"/>
          </w:tblCellMar>
        </w:tblPrEx>
        <w:trPr>
          <w:trHeight w:val="282"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2</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干粉灭火器</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8公斤</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101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p>
        </w:tc>
      </w:tr>
      <w:tr>
        <w:tblPrEx>
          <w:tblCellMar>
            <w:top w:w="0" w:type="dxa"/>
            <w:left w:w="0" w:type="dxa"/>
            <w:bottom w:w="0" w:type="dxa"/>
            <w:right w:w="0" w:type="dxa"/>
          </w:tblCellMar>
        </w:tblPrEx>
        <w:trPr>
          <w:trHeight w:val="358"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3</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r>
              <w:rPr>
                <w:rFonts w:hint="eastAsia" w:asciiTheme="minorEastAsia" w:hAnsiTheme="minorEastAsia" w:eastAsiaTheme="minorEastAsia" w:cstheme="minorEastAsia"/>
                <w:color w:val="000000"/>
                <w:kern w:val="2"/>
                <w:sz w:val="21"/>
                <w:szCs w:val="21"/>
                <w:lang w:eastAsia="zh-CN"/>
              </w:rPr>
              <w:t>干粉灭火器</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35公斤</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3</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6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4</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水基灭火器</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45公斤</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35"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5</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消防栓</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柜式栓</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89</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70"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6</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消防栓</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地桩栓</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8</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6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7</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安全带</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背带挂勾</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套</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6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8</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安全带</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全身式</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套</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6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9</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安全帽</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6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10</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r>
              <w:rPr>
                <w:rFonts w:hint="eastAsia" w:asciiTheme="minorEastAsia" w:hAnsiTheme="minorEastAsia" w:eastAsiaTheme="minorEastAsia" w:cstheme="minorEastAsia"/>
                <w:color w:val="000000"/>
                <w:kern w:val="2"/>
                <w:sz w:val="21"/>
                <w:szCs w:val="21"/>
                <w:lang w:eastAsia="zh-CN"/>
              </w:rPr>
              <w:t>面包车</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r>
              <w:rPr>
                <w:rFonts w:hint="eastAsia" w:asciiTheme="minorEastAsia" w:hAnsiTheme="minorEastAsia" w:eastAsiaTheme="minorEastAsia" w:cstheme="minorEastAsia"/>
                <w:color w:val="000000"/>
                <w:kern w:val="2"/>
                <w:sz w:val="21"/>
                <w:szCs w:val="21"/>
                <w:lang w:val="en-US" w:eastAsia="zh-CN"/>
              </w:rPr>
              <w:t>7座</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eastAsia="zh-CN"/>
              </w:rPr>
              <w:t>台</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6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11</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r>
              <w:rPr>
                <w:rFonts w:hint="eastAsia" w:asciiTheme="minorEastAsia" w:hAnsiTheme="minorEastAsia" w:eastAsiaTheme="minorEastAsia" w:cstheme="minorEastAsia"/>
                <w:color w:val="000000"/>
                <w:kern w:val="2"/>
                <w:sz w:val="21"/>
                <w:szCs w:val="21"/>
                <w:lang w:eastAsia="zh-CN"/>
              </w:rPr>
              <w:t>小车</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r>
              <w:rPr>
                <w:rFonts w:hint="eastAsia" w:asciiTheme="minorEastAsia" w:hAnsiTheme="minorEastAsia" w:eastAsiaTheme="minorEastAsia" w:cstheme="minorEastAsia"/>
                <w:color w:val="000000"/>
                <w:kern w:val="2"/>
                <w:sz w:val="21"/>
                <w:szCs w:val="21"/>
                <w:lang w:val="en-US" w:eastAsia="zh-CN"/>
              </w:rPr>
              <w:t>5座</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eastAsia="zh-CN"/>
              </w:rPr>
              <w:t>台</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6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rPr>
              <w:t>1</w:t>
            </w:r>
            <w:r>
              <w:rPr>
                <w:rFonts w:hint="eastAsia" w:asciiTheme="minorEastAsia" w:hAnsiTheme="minorEastAsia" w:eastAsiaTheme="minorEastAsia" w:cstheme="minorEastAsia"/>
                <w:color w:val="000000"/>
                <w:kern w:val="2"/>
                <w:sz w:val="21"/>
                <w:szCs w:val="21"/>
                <w:lang w:val="en-US" w:eastAsia="zh-CN"/>
              </w:rPr>
              <w:t>2</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防毒面罩</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9</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66"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rPr>
              <w:t>1</w:t>
            </w:r>
            <w:r>
              <w:rPr>
                <w:rFonts w:hint="eastAsia" w:asciiTheme="minorEastAsia" w:hAnsiTheme="minorEastAsia" w:eastAsiaTheme="minorEastAsia" w:cstheme="minorEastAsia"/>
                <w:color w:val="000000"/>
                <w:kern w:val="2"/>
                <w:sz w:val="21"/>
                <w:szCs w:val="21"/>
                <w:lang w:val="en-US" w:eastAsia="zh-CN"/>
              </w:rPr>
              <w:t>3</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eastAsia="zh-CN"/>
              </w:rPr>
              <w:t>消防池</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360立方</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座</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80"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rPr>
              <w:t>1</w:t>
            </w:r>
            <w:r>
              <w:rPr>
                <w:rFonts w:hint="eastAsia" w:asciiTheme="minorEastAsia" w:hAnsiTheme="minorEastAsia" w:eastAsiaTheme="minorEastAsia" w:cstheme="minorEastAsia"/>
                <w:color w:val="000000"/>
                <w:kern w:val="2"/>
                <w:sz w:val="21"/>
                <w:szCs w:val="21"/>
                <w:lang w:val="en-US" w:eastAsia="zh-CN"/>
              </w:rPr>
              <w:t>4</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消防战斗服</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4</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套</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p>
        </w:tc>
      </w:tr>
      <w:tr>
        <w:tblPrEx>
          <w:tblCellMar>
            <w:top w:w="0" w:type="dxa"/>
            <w:left w:w="0" w:type="dxa"/>
            <w:bottom w:w="0" w:type="dxa"/>
            <w:right w:w="0" w:type="dxa"/>
          </w:tblCellMar>
        </w:tblPrEx>
        <w:trPr>
          <w:trHeight w:val="380"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15</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eastAsiaTheme="minorEastAsia" w:cstheme="minorEastAsia"/>
                <w:color w:val="000000"/>
                <w:sz w:val="21"/>
                <w:szCs w:val="21"/>
                <w:lang w:val="en-US" w:eastAsia="zh-CN"/>
              </w:rPr>
              <w:t>救援梯</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val="en-US" w:eastAsia="zh-CN"/>
              </w:rPr>
              <w:t>台</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val="en-US" w:eastAsia="zh-CN"/>
              </w:rPr>
              <w:t>机修班</w:t>
            </w:r>
          </w:p>
        </w:tc>
      </w:tr>
      <w:tr>
        <w:tblPrEx>
          <w:tblCellMar>
            <w:top w:w="0" w:type="dxa"/>
            <w:left w:w="0" w:type="dxa"/>
            <w:bottom w:w="0" w:type="dxa"/>
            <w:right w:w="0" w:type="dxa"/>
          </w:tblCellMar>
        </w:tblPrEx>
        <w:trPr>
          <w:trHeight w:val="380"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16</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安全绳</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12mm*20M</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根</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污水站</w:t>
            </w:r>
          </w:p>
        </w:tc>
      </w:tr>
      <w:tr>
        <w:tblPrEx>
          <w:tblCellMar>
            <w:top w:w="0" w:type="dxa"/>
            <w:left w:w="0" w:type="dxa"/>
            <w:bottom w:w="0" w:type="dxa"/>
            <w:right w:w="0" w:type="dxa"/>
          </w:tblCellMar>
        </w:tblPrEx>
        <w:trPr>
          <w:trHeight w:val="380"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17</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救生绳</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rPr>
            </w:pPr>
            <w:r>
              <w:rPr>
                <w:rFonts w:hint="eastAsia" w:asciiTheme="minorEastAsia" w:hAnsiTheme="minorEastAsia" w:eastAsiaTheme="minorEastAsia" w:cstheme="minorEastAsia"/>
                <w:color w:val="000000"/>
                <w:kern w:val="2"/>
                <w:sz w:val="21"/>
                <w:szCs w:val="21"/>
                <w:lang w:val="en-US" w:eastAsia="zh-CN"/>
              </w:rPr>
              <w:t>8mm*30M</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根</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eastAsia="zh-CN"/>
              </w:rPr>
            </w:pPr>
            <w:r>
              <w:rPr>
                <w:rFonts w:hint="eastAsia" w:asciiTheme="minorEastAsia" w:hAnsiTheme="minorEastAsia" w:eastAsiaTheme="minorEastAsia" w:cstheme="minorEastAsia"/>
                <w:color w:val="000000"/>
                <w:kern w:val="2"/>
                <w:sz w:val="21"/>
                <w:szCs w:val="21"/>
                <w:lang w:eastAsia="zh-CN"/>
              </w:rPr>
              <w:t>污水站</w:t>
            </w:r>
          </w:p>
        </w:tc>
      </w:tr>
      <w:tr>
        <w:tblPrEx>
          <w:tblCellMar>
            <w:top w:w="0" w:type="dxa"/>
            <w:left w:w="0" w:type="dxa"/>
            <w:bottom w:w="0" w:type="dxa"/>
            <w:right w:w="0" w:type="dxa"/>
          </w:tblCellMar>
        </w:tblPrEx>
        <w:trPr>
          <w:trHeight w:val="380"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18</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呼吸器</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5L</w:t>
            </w: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套</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p>
        </w:tc>
      </w:tr>
      <w:tr>
        <w:tblPrEx>
          <w:tblCellMar>
            <w:top w:w="0" w:type="dxa"/>
            <w:left w:w="0" w:type="dxa"/>
            <w:bottom w:w="0" w:type="dxa"/>
            <w:right w:w="0" w:type="dxa"/>
          </w:tblCellMar>
        </w:tblPrEx>
        <w:trPr>
          <w:trHeight w:val="380"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19</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消防锹</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4</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r>
              <w:rPr>
                <w:rFonts w:hint="eastAsia" w:asciiTheme="minorEastAsia" w:hAnsiTheme="minorEastAsia" w:eastAsiaTheme="minorEastAsia" w:cstheme="minorEastAsia"/>
                <w:color w:val="000000"/>
                <w:kern w:val="2"/>
                <w:sz w:val="21"/>
                <w:szCs w:val="21"/>
                <w:lang w:val="en-US" w:eastAsia="zh-CN"/>
              </w:rPr>
              <w:t>把</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p>
        </w:tc>
      </w:tr>
      <w:tr>
        <w:tblPrEx>
          <w:tblCellMar>
            <w:top w:w="0" w:type="dxa"/>
            <w:left w:w="0" w:type="dxa"/>
            <w:bottom w:w="0" w:type="dxa"/>
            <w:right w:w="0" w:type="dxa"/>
          </w:tblCellMar>
        </w:tblPrEx>
        <w:trPr>
          <w:trHeight w:val="380" w:hRule="atLeast"/>
        </w:trPr>
        <w:tc>
          <w:tcPr>
            <w:tcW w:w="102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rPr>
            </w:pPr>
            <w:bookmarkStart w:id="46" w:name="_Toc11507"/>
            <w:bookmarkStart w:id="47" w:name="_Toc31485"/>
            <w:bookmarkStart w:id="48" w:name="_Toc12739"/>
            <w:bookmarkStart w:id="49" w:name="_Toc16852"/>
            <w:r>
              <w:rPr>
                <w:rFonts w:hint="eastAsia" w:asciiTheme="minorEastAsia" w:hAnsiTheme="minorEastAsia" w:eastAsiaTheme="minorEastAsia" w:cstheme="minorEastAsia"/>
                <w:color w:val="000000"/>
                <w:kern w:val="2"/>
                <w:sz w:val="21"/>
                <w:szCs w:val="21"/>
                <w:lang w:val="en-US" w:eastAsia="zh-CN"/>
              </w:rPr>
              <w:t>20</w:t>
            </w:r>
          </w:p>
        </w:tc>
        <w:tc>
          <w:tcPr>
            <w:tcW w:w="198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sz w:val="21"/>
                <w:szCs w:val="21"/>
                <w:lang w:eastAsia="zh-CN"/>
              </w:rPr>
              <w:t>救生圈</w:t>
            </w:r>
          </w:p>
        </w:tc>
        <w:tc>
          <w:tcPr>
            <w:tcW w:w="199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bidi="ar-SA"/>
              </w:rPr>
            </w:pPr>
          </w:p>
        </w:tc>
        <w:tc>
          <w:tcPr>
            <w:tcW w:w="156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eastAsiaTheme="minorEastAsia" w:cstheme="minorEastAsia"/>
                <w:color w:val="000000"/>
                <w:kern w:val="2"/>
                <w:sz w:val="21"/>
                <w:szCs w:val="21"/>
                <w:lang w:val="en-US" w:eastAsia="zh-CN"/>
              </w:rPr>
              <w:t>1</w:t>
            </w:r>
          </w:p>
        </w:tc>
        <w:tc>
          <w:tcPr>
            <w:tcW w:w="133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eastAsiaTheme="minorEastAsia" w:cstheme="minorEastAsia"/>
                <w:color w:val="000000"/>
                <w:kern w:val="2"/>
                <w:sz w:val="21"/>
                <w:szCs w:val="21"/>
                <w:lang w:eastAsia="zh-CN"/>
              </w:rPr>
              <w:t>个</w:t>
            </w:r>
          </w:p>
        </w:tc>
        <w:tc>
          <w:tcPr>
            <w:tcW w:w="1300" w:type="dxa"/>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pStyle w:val="12"/>
              <w:widowControl w:val="0"/>
              <w:autoSpaceDN w:val="0"/>
              <w:adjustRightInd w:val="0"/>
              <w:snapToGrid w:val="0"/>
              <w:spacing w:before="0" w:beforeAutospacing="0" w:after="0" w:afterAutospacing="0" w:line="360" w:lineRule="exact"/>
              <w:jc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eastAsiaTheme="minorEastAsia" w:cstheme="minorEastAsia"/>
                <w:color w:val="000000"/>
                <w:kern w:val="2"/>
                <w:sz w:val="21"/>
                <w:szCs w:val="21"/>
                <w:lang w:eastAsia="zh-CN"/>
              </w:rPr>
              <w:t>污水站</w:t>
            </w:r>
          </w:p>
        </w:tc>
      </w:tr>
    </w:tbl>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5.2保障要求</w:t>
      </w:r>
      <w:bookmarkEnd w:id="46"/>
      <w:bookmarkEnd w:id="47"/>
      <w:bookmarkEnd w:id="48"/>
      <w:bookmarkEnd w:id="49"/>
    </w:p>
    <w:p>
      <w:pPr>
        <w:autoSpaceDE w:val="0"/>
        <w:autoSpaceDN w:val="0"/>
        <w:adjustRightInd w:val="0"/>
        <w:ind w:firstLine="403" w:firstLineChars="192"/>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1）应急处置所需的物资与装备由应急抢险组负责做好日常准备，并负责管理和维护。</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2）应急指挥部负责建立应急救援物资一览表，明确应急物资的种类、数量、性能、配置地点等，对各类物资及时予以补充和更新，确保应急物资和装备按要求配备到位、数量充足、完好有效。</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3）应急物资和装备根据应急需要配置到各部位，定点存放，并做好明显标识。加强与临近单位的联络沟通，了解其应急物资和装备的种类数量，建立应急物资调剂供应的渠道，以备物资短缺时，可迅速调入。</w:t>
      </w:r>
    </w:p>
    <w:p>
      <w:pPr>
        <w:pStyle w:val="2"/>
        <w:rPr>
          <w:rFonts w:hint="eastAsia" w:asciiTheme="minorEastAsia" w:hAnsiTheme="minorEastAsia" w:eastAsiaTheme="minorEastAsia" w:cstheme="minorEastAsia"/>
          <w:sz w:val="21"/>
          <w:szCs w:val="21"/>
        </w:rPr>
      </w:pPr>
    </w:p>
    <w:p>
      <w:pP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eastAsia="zh-CN"/>
        </w:rPr>
        <w:t>加加食品集团（阆中）有限公司</w:t>
      </w:r>
    </w:p>
    <w:p>
      <w:pPr>
        <w:pStyle w:val="2"/>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2024</w:t>
      </w:r>
      <w:bookmarkStart w:id="50" w:name="_GoBack"/>
      <w:bookmarkEnd w:id="50"/>
      <w:r>
        <w:rPr>
          <w:rFonts w:hint="eastAsia" w:asciiTheme="minorEastAsia" w:hAnsiTheme="minorEastAsia" w:eastAsiaTheme="minorEastAsia" w:cstheme="minorEastAsia"/>
          <w:sz w:val="21"/>
          <w:szCs w:val="21"/>
          <w:lang w:val="en-US" w:eastAsia="zh-CN"/>
        </w:rPr>
        <w:t>年1月9日</w:t>
      </w:r>
    </w:p>
    <w:p>
      <w:pPr>
        <w:rPr>
          <w:rFonts w:hint="eastAsia"/>
          <w:lang w:eastAsia="zh-CN"/>
        </w:rPr>
      </w:pPr>
      <w:r>
        <w:rPr>
          <w:rFonts w:hint="eastAsia"/>
          <w:lang w:eastAsia="zh-CN"/>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260D0"/>
    <w:multiLevelType w:val="singleLevel"/>
    <w:tmpl w:val="BF7260D0"/>
    <w:lvl w:ilvl="0" w:tentative="0">
      <w:start w:val="1"/>
      <w:numFmt w:val="decimal"/>
      <w:suff w:val="nothing"/>
      <w:lvlText w:val="（%1）"/>
      <w:lvlJc w:val="left"/>
    </w:lvl>
  </w:abstractNum>
  <w:abstractNum w:abstractNumId="1">
    <w:nsid w:val="00000028"/>
    <w:multiLevelType w:val="multilevel"/>
    <w:tmpl w:val="0000002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75E6D86"/>
    <w:multiLevelType w:val="singleLevel"/>
    <w:tmpl w:val="575E6D86"/>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hNmJhOTEyMjQwZmUyZjY1Zjg2ZmM2NmEwOGJlYTYifQ=="/>
  </w:docVars>
  <w:rsids>
    <w:rsidRoot w:val="54164915"/>
    <w:rsid w:val="004E6978"/>
    <w:rsid w:val="010E789B"/>
    <w:rsid w:val="013B4905"/>
    <w:rsid w:val="01604DE5"/>
    <w:rsid w:val="02025461"/>
    <w:rsid w:val="021D52D8"/>
    <w:rsid w:val="02321401"/>
    <w:rsid w:val="02761E73"/>
    <w:rsid w:val="02A038CE"/>
    <w:rsid w:val="04274BC4"/>
    <w:rsid w:val="05204670"/>
    <w:rsid w:val="065D157E"/>
    <w:rsid w:val="06976AC0"/>
    <w:rsid w:val="06AF4D37"/>
    <w:rsid w:val="076444C8"/>
    <w:rsid w:val="07A810C4"/>
    <w:rsid w:val="080912DF"/>
    <w:rsid w:val="08142037"/>
    <w:rsid w:val="08841607"/>
    <w:rsid w:val="089A5321"/>
    <w:rsid w:val="08B82A21"/>
    <w:rsid w:val="090221EB"/>
    <w:rsid w:val="09023F99"/>
    <w:rsid w:val="092B4624"/>
    <w:rsid w:val="095B73E7"/>
    <w:rsid w:val="0ABA15C9"/>
    <w:rsid w:val="0AF57E10"/>
    <w:rsid w:val="0AF67A50"/>
    <w:rsid w:val="0BD46372"/>
    <w:rsid w:val="0C395F24"/>
    <w:rsid w:val="0CEE2926"/>
    <w:rsid w:val="0D15073F"/>
    <w:rsid w:val="0D940213"/>
    <w:rsid w:val="0E1653D8"/>
    <w:rsid w:val="0E393169"/>
    <w:rsid w:val="0EE2722A"/>
    <w:rsid w:val="0F274B0E"/>
    <w:rsid w:val="0F36499C"/>
    <w:rsid w:val="0F4B5197"/>
    <w:rsid w:val="114F1038"/>
    <w:rsid w:val="11BC2CB8"/>
    <w:rsid w:val="11CD306C"/>
    <w:rsid w:val="120E23E7"/>
    <w:rsid w:val="125D11F1"/>
    <w:rsid w:val="127028ED"/>
    <w:rsid w:val="134772AD"/>
    <w:rsid w:val="138B385E"/>
    <w:rsid w:val="14667AD2"/>
    <w:rsid w:val="14897BA9"/>
    <w:rsid w:val="149606F6"/>
    <w:rsid w:val="14F70A74"/>
    <w:rsid w:val="17321F94"/>
    <w:rsid w:val="17A80401"/>
    <w:rsid w:val="181948C3"/>
    <w:rsid w:val="1820456C"/>
    <w:rsid w:val="19081E95"/>
    <w:rsid w:val="19153181"/>
    <w:rsid w:val="1ABF7BB9"/>
    <w:rsid w:val="1B3D0426"/>
    <w:rsid w:val="1BDF03CC"/>
    <w:rsid w:val="1C29266E"/>
    <w:rsid w:val="1C367583"/>
    <w:rsid w:val="1C8F69D0"/>
    <w:rsid w:val="1D2174B8"/>
    <w:rsid w:val="1D51593E"/>
    <w:rsid w:val="1D6256CF"/>
    <w:rsid w:val="1E031EA9"/>
    <w:rsid w:val="1ED130C0"/>
    <w:rsid w:val="1EDD4E34"/>
    <w:rsid w:val="1EED6851"/>
    <w:rsid w:val="1EF42D4E"/>
    <w:rsid w:val="1F2B3E77"/>
    <w:rsid w:val="1F317FE8"/>
    <w:rsid w:val="1F4E188E"/>
    <w:rsid w:val="1FBA6EF1"/>
    <w:rsid w:val="20140264"/>
    <w:rsid w:val="203632A8"/>
    <w:rsid w:val="20566C4C"/>
    <w:rsid w:val="20842169"/>
    <w:rsid w:val="20E50864"/>
    <w:rsid w:val="212C5BFF"/>
    <w:rsid w:val="21F4671D"/>
    <w:rsid w:val="224E09FF"/>
    <w:rsid w:val="227D1B19"/>
    <w:rsid w:val="22D9113D"/>
    <w:rsid w:val="230719B2"/>
    <w:rsid w:val="23494670"/>
    <w:rsid w:val="23B3711E"/>
    <w:rsid w:val="245B0B4A"/>
    <w:rsid w:val="24D740D4"/>
    <w:rsid w:val="257A33DD"/>
    <w:rsid w:val="25C115B0"/>
    <w:rsid w:val="25FF7AA8"/>
    <w:rsid w:val="268A5F65"/>
    <w:rsid w:val="26993D37"/>
    <w:rsid w:val="26B371DC"/>
    <w:rsid w:val="275E625A"/>
    <w:rsid w:val="285D5120"/>
    <w:rsid w:val="287137F1"/>
    <w:rsid w:val="28853924"/>
    <w:rsid w:val="28976D6B"/>
    <w:rsid w:val="29204B28"/>
    <w:rsid w:val="293F71D7"/>
    <w:rsid w:val="299649D7"/>
    <w:rsid w:val="29F07BA8"/>
    <w:rsid w:val="2A107650"/>
    <w:rsid w:val="2AA95DF0"/>
    <w:rsid w:val="2AE9699D"/>
    <w:rsid w:val="2B0E322E"/>
    <w:rsid w:val="2B54647E"/>
    <w:rsid w:val="2BD14746"/>
    <w:rsid w:val="2BD77332"/>
    <w:rsid w:val="2C2F0649"/>
    <w:rsid w:val="2CAF3171"/>
    <w:rsid w:val="2D1F2BBB"/>
    <w:rsid w:val="2DBA3874"/>
    <w:rsid w:val="2DDF7566"/>
    <w:rsid w:val="2E8B0491"/>
    <w:rsid w:val="2E936657"/>
    <w:rsid w:val="2F097C4A"/>
    <w:rsid w:val="2FB05B5C"/>
    <w:rsid w:val="302D0B44"/>
    <w:rsid w:val="304803BF"/>
    <w:rsid w:val="30874C00"/>
    <w:rsid w:val="308C66BA"/>
    <w:rsid w:val="30E847D1"/>
    <w:rsid w:val="31046251"/>
    <w:rsid w:val="31B5579D"/>
    <w:rsid w:val="31C538CE"/>
    <w:rsid w:val="3287365F"/>
    <w:rsid w:val="337F7464"/>
    <w:rsid w:val="33F53747"/>
    <w:rsid w:val="34207846"/>
    <w:rsid w:val="34DF5E1C"/>
    <w:rsid w:val="34E23798"/>
    <w:rsid w:val="34F306FD"/>
    <w:rsid w:val="357339A5"/>
    <w:rsid w:val="35A24988"/>
    <w:rsid w:val="35D00DF7"/>
    <w:rsid w:val="36215B28"/>
    <w:rsid w:val="36BB5604"/>
    <w:rsid w:val="36F62AE0"/>
    <w:rsid w:val="374A3181"/>
    <w:rsid w:val="375807A0"/>
    <w:rsid w:val="375B1879"/>
    <w:rsid w:val="37637C6C"/>
    <w:rsid w:val="383E2B2F"/>
    <w:rsid w:val="384E1094"/>
    <w:rsid w:val="38553031"/>
    <w:rsid w:val="38AA20D2"/>
    <w:rsid w:val="394D3D3A"/>
    <w:rsid w:val="395F7FCE"/>
    <w:rsid w:val="39C24EFB"/>
    <w:rsid w:val="39D92616"/>
    <w:rsid w:val="3B442D9A"/>
    <w:rsid w:val="3BBE30BC"/>
    <w:rsid w:val="3C28373B"/>
    <w:rsid w:val="3CE87CDF"/>
    <w:rsid w:val="3D806890"/>
    <w:rsid w:val="3DB334D8"/>
    <w:rsid w:val="3E034145"/>
    <w:rsid w:val="3E53644A"/>
    <w:rsid w:val="3E907376"/>
    <w:rsid w:val="3E9D608A"/>
    <w:rsid w:val="3EC314F9"/>
    <w:rsid w:val="3EDB2CE7"/>
    <w:rsid w:val="3F1E689B"/>
    <w:rsid w:val="3F796520"/>
    <w:rsid w:val="3F964E60"/>
    <w:rsid w:val="3FBD3642"/>
    <w:rsid w:val="402F0F9F"/>
    <w:rsid w:val="40DA71BF"/>
    <w:rsid w:val="416039A0"/>
    <w:rsid w:val="41673229"/>
    <w:rsid w:val="41C2280B"/>
    <w:rsid w:val="42A420AB"/>
    <w:rsid w:val="42F8103D"/>
    <w:rsid w:val="432A5FEB"/>
    <w:rsid w:val="43E161CC"/>
    <w:rsid w:val="4464552C"/>
    <w:rsid w:val="44FB0DBE"/>
    <w:rsid w:val="45D77E47"/>
    <w:rsid w:val="469B4471"/>
    <w:rsid w:val="46FE56A5"/>
    <w:rsid w:val="471D7D3F"/>
    <w:rsid w:val="47A143A2"/>
    <w:rsid w:val="48272243"/>
    <w:rsid w:val="48763A80"/>
    <w:rsid w:val="4914609A"/>
    <w:rsid w:val="492B6619"/>
    <w:rsid w:val="494F2190"/>
    <w:rsid w:val="49725D68"/>
    <w:rsid w:val="49A13FFC"/>
    <w:rsid w:val="4A110F4B"/>
    <w:rsid w:val="4A6D095A"/>
    <w:rsid w:val="4AB63BB5"/>
    <w:rsid w:val="4B334A3B"/>
    <w:rsid w:val="4B614574"/>
    <w:rsid w:val="4B615D8B"/>
    <w:rsid w:val="4B843ED7"/>
    <w:rsid w:val="4BDA44D0"/>
    <w:rsid w:val="4BEA4569"/>
    <w:rsid w:val="4C036EFA"/>
    <w:rsid w:val="4C110BFB"/>
    <w:rsid w:val="4C612351"/>
    <w:rsid w:val="4C772DC8"/>
    <w:rsid w:val="4CC1127B"/>
    <w:rsid w:val="4E0A7B76"/>
    <w:rsid w:val="4E121B55"/>
    <w:rsid w:val="4E45417E"/>
    <w:rsid w:val="4EFB354F"/>
    <w:rsid w:val="4F5A4D43"/>
    <w:rsid w:val="4FB70FBB"/>
    <w:rsid w:val="4FBC446F"/>
    <w:rsid w:val="4FFC5101"/>
    <w:rsid w:val="508554C2"/>
    <w:rsid w:val="538A6632"/>
    <w:rsid w:val="53D94B56"/>
    <w:rsid w:val="53DE1566"/>
    <w:rsid w:val="53E31247"/>
    <w:rsid w:val="54164915"/>
    <w:rsid w:val="54190F1B"/>
    <w:rsid w:val="543C42D5"/>
    <w:rsid w:val="543D36A4"/>
    <w:rsid w:val="544D38E7"/>
    <w:rsid w:val="5563538C"/>
    <w:rsid w:val="55725ADA"/>
    <w:rsid w:val="55C37BD9"/>
    <w:rsid w:val="569769A5"/>
    <w:rsid w:val="57585AD0"/>
    <w:rsid w:val="597D3DE1"/>
    <w:rsid w:val="59B766CA"/>
    <w:rsid w:val="5ADB1F0B"/>
    <w:rsid w:val="5B110141"/>
    <w:rsid w:val="5BAB5F91"/>
    <w:rsid w:val="5C6762D8"/>
    <w:rsid w:val="5FEB25B8"/>
    <w:rsid w:val="60194FC5"/>
    <w:rsid w:val="604A2C14"/>
    <w:rsid w:val="604B5F3A"/>
    <w:rsid w:val="60B17CEE"/>
    <w:rsid w:val="61482192"/>
    <w:rsid w:val="61821950"/>
    <w:rsid w:val="61962486"/>
    <w:rsid w:val="6292105F"/>
    <w:rsid w:val="63736D55"/>
    <w:rsid w:val="63E63410"/>
    <w:rsid w:val="63F443DA"/>
    <w:rsid w:val="647C74D8"/>
    <w:rsid w:val="64E51F01"/>
    <w:rsid w:val="657A2F51"/>
    <w:rsid w:val="658C1E62"/>
    <w:rsid w:val="66065FEC"/>
    <w:rsid w:val="666242BA"/>
    <w:rsid w:val="68122288"/>
    <w:rsid w:val="6969711F"/>
    <w:rsid w:val="69824596"/>
    <w:rsid w:val="69DF3FE9"/>
    <w:rsid w:val="6AC869F3"/>
    <w:rsid w:val="6B5D66AE"/>
    <w:rsid w:val="6C6756AC"/>
    <w:rsid w:val="6C6C1091"/>
    <w:rsid w:val="6CA0695A"/>
    <w:rsid w:val="6CA30D7B"/>
    <w:rsid w:val="6CB247D7"/>
    <w:rsid w:val="6D885538"/>
    <w:rsid w:val="6DA733BC"/>
    <w:rsid w:val="6EB04549"/>
    <w:rsid w:val="6FCC3E02"/>
    <w:rsid w:val="70BD0856"/>
    <w:rsid w:val="72F043C8"/>
    <w:rsid w:val="730778A3"/>
    <w:rsid w:val="731035E2"/>
    <w:rsid w:val="731D7AC4"/>
    <w:rsid w:val="7365771E"/>
    <w:rsid w:val="743355C1"/>
    <w:rsid w:val="74336B8A"/>
    <w:rsid w:val="744F6DB0"/>
    <w:rsid w:val="747D0558"/>
    <w:rsid w:val="75852858"/>
    <w:rsid w:val="758A182D"/>
    <w:rsid w:val="76853213"/>
    <w:rsid w:val="77932D53"/>
    <w:rsid w:val="77ED3C3B"/>
    <w:rsid w:val="77F5426A"/>
    <w:rsid w:val="782B2B98"/>
    <w:rsid w:val="788F59EB"/>
    <w:rsid w:val="794D70B4"/>
    <w:rsid w:val="79554E68"/>
    <w:rsid w:val="79607D0D"/>
    <w:rsid w:val="796970CE"/>
    <w:rsid w:val="79A31699"/>
    <w:rsid w:val="7A635363"/>
    <w:rsid w:val="7C425E6A"/>
    <w:rsid w:val="7C91037D"/>
    <w:rsid w:val="7CA02556"/>
    <w:rsid w:val="7CD0550F"/>
    <w:rsid w:val="7D0B0987"/>
    <w:rsid w:val="7DC473ED"/>
    <w:rsid w:val="7DDA0248"/>
    <w:rsid w:val="7E444988"/>
    <w:rsid w:val="7EDD3FBC"/>
    <w:rsid w:val="7F501171"/>
    <w:rsid w:val="7FDC0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qFormat/>
    <w:uiPriority w:val="0"/>
    <w:pPr>
      <w:keepNext/>
      <w:keepLines/>
      <w:spacing w:before="340" w:beforeLines="0" w:beforeAutospacing="0" w:after="330" w:afterLines="0" w:afterAutospacing="0" w:line="576" w:lineRule="auto"/>
      <w:outlineLvl w:val="0"/>
    </w:pPr>
    <w:rPr>
      <w:b w:val="0"/>
      <w:kern w:val="44"/>
      <w:sz w:val="44"/>
    </w:rPr>
  </w:style>
  <w:style w:type="paragraph" w:styleId="4">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unhideWhenUsed/>
    <w:qFormat/>
    <w:uiPriority w:val="99"/>
    <w:pPr>
      <w:ind w:firstLine="420" w:firstLineChars="200"/>
      <w:jc w:val="left"/>
    </w:pPr>
    <w:rPr>
      <w:rFonts w:eastAsia="宋体"/>
    </w:rPr>
  </w:style>
  <w:style w:type="paragraph" w:styleId="6">
    <w:name w:val="Normal Indent"/>
    <w:basedOn w:val="1"/>
    <w:qFormat/>
    <w:uiPriority w:val="0"/>
    <w:pPr>
      <w:ind w:firstLine="420" w:firstLineChars="200"/>
    </w:pPr>
    <w:rPr>
      <w:rFonts w:ascii="宋体"/>
      <w:kern w:val="28"/>
      <w:sz w:val="28"/>
    </w:rPr>
  </w:style>
  <w:style w:type="paragraph" w:styleId="7">
    <w:name w:val="Body Text Indent"/>
    <w:basedOn w:val="1"/>
    <w:qFormat/>
    <w:uiPriority w:val="0"/>
    <w:pPr>
      <w:spacing w:after="120"/>
      <w:ind w:left="420" w:leftChars="200"/>
    </w:pPr>
  </w:style>
  <w:style w:type="paragraph" w:styleId="8">
    <w:name w:val="toc 3"/>
    <w:basedOn w:val="1"/>
    <w:next w:val="1"/>
    <w:qFormat/>
    <w:uiPriority w:val="0"/>
    <w:pPr>
      <w:ind w:left="840" w:leftChars="400"/>
    </w:p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reader-word-layer"/>
    <w:basedOn w:val="1"/>
    <w:next w:val="8"/>
    <w:qFormat/>
    <w:uiPriority w:val="0"/>
    <w:pPr>
      <w:widowControl/>
      <w:spacing w:before="100" w:beforeAutospacing="1" w:after="100" w:afterAutospacing="1"/>
      <w:jc w:val="left"/>
    </w:pPr>
    <w:rPr>
      <w:rFonts w:asci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4263</Words>
  <Characters>4314</Characters>
  <Lines>0</Lines>
  <Paragraphs>0</Paragraphs>
  <TotalTime>3</TotalTime>
  <ScaleCrop>false</ScaleCrop>
  <LinksUpToDate>false</LinksUpToDate>
  <CharactersWithSpaces>4383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2021-06-21T01:06:00Z</dcterms:created>
  <dc:creator>hjb</dc:creator>
  <cp:lastModifiedBy>舍予木木</cp:lastModifiedBy>
  <cp:lastPrinted>2021-06-21T01:26:00Z</cp:lastPrinted>
  <dcterms:modified xsi:type="dcterms:W3CDTF">2024-04-15T09:14:24Z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6B3EE6E90A90474583EF9C1E5CC3AB67</vt:lpwstr>
  </property>
</Properties>
</file>