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after="150" w:line="330" w:lineRule="atLeast"/>
        <w:jc w:val="center"/>
        <w:rPr>
          <w:b/>
          <w:color w:val="000000"/>
          <w:sz w:val="32"/>
          <w:szCs w:val="32"/>
        </w:rPr>
      </w:pPr>
      <w:r>
        <w:rPr>
          <w:b/>
          <w:color w:val="000000"/>
          <w:sz w:val="32"/>
          <w:szCs w:val="32"/>
        </w:rPr>
        <w:t>安全生产费用提取、使用管理制度</w:t>
      </w:r>
    </w:p>
    <w:p>
      <w:pPr>
        <w:pStyle w:val="4"/>
        <w:spacing w:after="150" w:line="330" w:lineRule="atLeast"/>
        <w:jc w:val="center"/>
        <w:rPr>
          <w:rFonts w:ascii="黑体" w:eastAsia="黑体"/>
          <w:color w:val="000000"/>
          <w:sz w:val="28"/>
          <w:szCs w:val="28"/>
        </w:rPr>
      </w:pPr>
      <w:r>
        <w:rPr>
          <w:rFonts w:hint="eastAsia" w:ascii="黑体" w:eastAsia="黑体"/>
          <w:color w:val="000000"/>
          <w:sz w:val="28"/>
          <w:szCs w:val="28"/>
        </w:rPr>
        <w:t>第一章  总则</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第一条 目的</w:t>
      </w:r>
    </w:p>
    <w:p>
      <w:pPr>
        <w:pStyle w:val="4"/>
        <w:spacing w:line="560" w:lineRule="exact"/>
        <w:ind w:firstLine="360" w:firstLineChars="150"/>
        <w:rPr>
          <w:rFonts w:asciiTheme="minorEastAsia" w:hAnsiTheme="minorEastAsia" w:eastAsiaTheme="minorEastAsia"/>
          <w:color w:val="000000"/>
        </w:rPr>
      </w:pPr>
      <w:r>
        <w:rPr>
          <w:rFonts w:hint="eastAsia" w:asciiTheme="minorEastAsia" w:hAnsiTheme="minorEastAsia" w:eastAsiaTheme="minorEastAsia"/>
          <w:color w:val="000000"/>
        </w:rPr>
        <w:t>为加强公司安全生产费用管理，建立公司安全生产投入长效机制，特制定本制度。</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第二条  适用范围</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 xml:space="preserve">    本办法适用于公司的安全生产费用的提取和使用。</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第三条  引用法规及相关文件</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 xml:space="preserve">  《中华人民共和国安全生产法》 </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 xml:space="preserve">  《中华人民共和国职业病防治法》</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 xml:space="preserve">  《中华人民共和国消防法》</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 xml:space="preserve">  《国务院关于进一步加强安全生产工作的决定》 </w:t>
      </w:r>
    </w:p>
    <w:p>
      <w:pPr>
        <w:pStyle w:val="4"/>
        <w:spacing w:line="560" w:lineRule="exact"/>
        <w:ind w:firstLine="240" w:firstLineChars="100"/>
        <w:rPr>
          <w:rFonts w:asciiTheme="minorEastAsia" w:hAnsiTheme="minorEastAsia" w:eastAsiaTheme="minorEastAsia"/>
          <w:color w:val="000000"/>
        </w:rPr>
      </w:pPr>
      <w:r>
        <w:rPr>
          <w:rFonts w:hint="eastAsia" w:asciiTheme="minorEastAsia" w:hAnsiTheme="minorEastAsia" w:eastAsiaTheme="minorEastAsia"/>
          <w:color w:val="000000"/>
        </w:rPr>
        <w:t>《企业安全生产费用提取和使用管理办法》</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第四条  术语</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安全生产费用：是指企业按照规定标准提取，在成本中列支，专门用于完善和改进企业安全生产条件的资金。</w:t>
      </w:r>
    </w:p>
    <w:p>
      <w:pPr>
        <w:pStyle w:val="4"/>
        <w:spacing w:line="560" w:lineRule="exact"/>
        <w:jc w:val="center"/>
        <w:rPr>
          <w:rFonts w:asciiTheme="minorEastAsia" w:hAnsiTheme="minorEastAsia" w:eastAsiaTheme="minorEastAsia"/>
          <w:color w:val="000000"/>
        </w:rPr>
      </w:pPr>
      <w:r>
        <w:rPr>
          <w:rFonts w:hint="eastAsia" w:ascii="黑体" w:eastAsia="黑体"/>
          <w:color w:val="000000"/>
        </w:rPr>
        <w:t>第二章  管理职责</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第五条 本制度由财务</w:t>
      </w:r>
      <w:r>
        <w:rPr>
          <w:rFonts w:hint="eastAsia" w:asciiTheme="minorEastAsia" w:hAnsiTheme="minorEastAsia" w:eastAsiaTheme="minorEastAsia"/>
          <w:color w:val="000000"/>
          <w:lang w:eastAsia="zh-CN"/>
        </w:rPr>
        <w:t>室</w:t>
      </w:r>
      <w:r>
        <w:rPr>
          <w:rFonts w:hint="eastAsia" w:asciiTheme="minorEastAsia" w:hAnsiTheme="minorEastAsia" w:eastAsiaTheme="minorEastAsia"/>
          <w:color w:val="000000"/>
        </w:rPr>
        <w:t>负责落实，安</w:t>
      </w:r>
      <w:r>
        <w:rPr>
          <w:rFonts w:hint="eastAsia" w:asciiTheme="minorEastAsia" w:hAnsiTheme="minorEastAsia" w:eastAsiaTheme="minorEastAsia"/>
          <w:color w:val="000000"/>
          <w:lang w:eastAsia="zh-CN"/>
        </w:rPr>
        <w:t>全管理</w:t>
      </w:r>
      <w:r>
        <w:rPr>
          <w:rFonts w:hint="eastAsia" w:asciiTheme="minorEastAsia" w:hAnsiTheme="minorEastAsia" w:eastAsiaTheme="minorEastAsia"/>
          <w:color w:val="000000"/>
        </w:rPr>
        <w:t>办公室（下称：安</w:t>
      </w:r>
      <w:r>
        <w:rPr>
          <w:rFonts w:hint="eastAsia" w:asciiTheme="minorEastAsia" w:hAnsiTheme="minorEastAsia" w:eastAsiaTheme="minorEastAsia"/>
          <w:color w:val="000000"/>
          <w:lang w:eastAsia="zh-CN"/>
        </w:rPr>
        <w:t>全</w:t>
      </w:r>
      <w:r>
        <w:rPr>
          <w:rFonts w:hint="eastAsia" w:asciiTheme="minorEastAsia" w:hAnsiTheme="minorEastAsia" w:eastAsiaTheme="minorEastAsia"/>
          <w:color w:val="000000"/>
        </w:rPr>
        <w:t>办）监督其规范使用。</w:t>
      </w:r>
    </w:p>
    <w:p>
      <w:pPr>
        <w:pStyle w:val="4"/>
        <w:spacing w:line="560" w:lineRule="exact"/>
        <w:jc w:val="center"/>
        <w:rPr>
          <w:rFonts w:ascii="黑体" w:eastAsia="黑体"/>
          <w:color w:val="000000"/>
        </w:rPr>
      </w:pPr>
      <w:r>
        <w:rPr>
          <w:rFonts w:hint="eastAsia" w:ascii="黑体" w:eastAsia="黑体"/>
          <w:color w:val="000000"/>
        </w:rPr>
        <w:t>第三章  实施程序</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第六条  公司安全生产费用管理按照“公司提取、</w:t>
      </w:r>
      <w:r>
        <w:rPr>
          <w:rFonts w:hint="eastAsia" w:asciiTheme="minorEastAsia" w:hAnsiTheme="minorEastAsia" w:eastAsiaTheme="minorEastAsia"/>
          <w:color w:val="000000"/>
          <w:lang w:eastAsia="zh-CN"/>
        </w:rPr>
        <w:t>安全办</w:t>
      </w:r>
      <w:r>
        <w:rPr>
          <w:rFonts w:hint="eastAsia" w:asciiTheme="minorEastAsia" w:hAnsiTheme="minorEastAsia" w:eastAsiaTheme="minorEastAsia"/>
          <w:color w:val="000000"/>
        </w:rPr>
        <w:t>监管、确保需要、规范使用”的原则进行。</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 xml:space="preserve">第七条  </w:t>
      </w:r>
      <w:r>
        <w:rPr>
          <w:rFonts w:hint="eastAsia" w:asciiTheme="minorEastAsia" w:hAnsiTheme="minorEastAsia" w:eastAsiaTheme="minorEastAsia"/>
          <w:color w:val="000000"/>
          <w:lang w:eastAsia="zh-CN"/>
        </w:rPr>
        <w:t>安全办</w:t>
      </w:r>
      <w:r>
        <w:rPr>
          <w:rFonts w:hint="eastAsia" w:asciiTheme="minorEastAsia" w:hAnsiTheme="minorEastAsia" w:eastAsiaTheme="minorEastAsia"/>
          <w:color w:val="000000"/>
        </w:rPr>
        <w:t>根据安全生产费用的规定使用范围、公司安全生产情况、相关部门安全项目投资计划及年度安全生产费用提取预算额。</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第八条  年度安全生产费用投入计划报送主管副经理、公司总经理审批。</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第九条  公司财务</w:t>
      </w:r>
      <w:r>
        <w:rPr>
          <w:rFonts w:hint="eastAsia" w:asciiTheme="minorEastAsia" w:hAnsiTheme="minorEastAsia" w:eastAsiaTheme="minorEastAsia"/>
          <w:color w:val="000000"/>
          <w:lang w:eastAsia="zh-CN"/>
        </w:rPr>
        <w:t>室</w:t>
      </w:r>
      <w:r>
        <w:rPr>
          <w:rFonts w:hint="eastAsia" w:asciiTheme="minorEastAsia" w:hAnsiTheme="minorEastAsia" w:eastAsiaTheme="minorEastAsia"/>
          <w:color w:val="000000"/>
        </w:rPr>
        <w:t>按照国家有关规定及公司计划提取安全生产资金，纳入年度财务预决算，实行专款专用。并建立健全安全生产费用台帐。</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第十条  安全生产费用的使用，各相关部门应填写安全生产费用月度预算计划，由公司</w:t>
      </w:r>
      <w:r>
        <w:rPr>
          <w:rFonts w:hint="eastAsia" w:asciiTheme="minorEastAsia" w:hAnsiTheme="minorEastAsia" w:eastAsiaTheme="minorEastAsia"/>
          <w:color w:val="000000"/>
          <w:lang w:eastAsia="zh-CN"/>
        </w:rPr>
        <w:t>安全办</w:t>
      </w:r>
      <w:r>
        <w:rPr>
          <w:rFonts w:hint="eastAsia" w:asciiTheme="minorEastAsia" w:hAnsiTheme="minorEastAsia" w:eastAsiaTheme="minorEastAsia"/>
          <w:color w:val="000000"/>
        </w:rPr>
        <w:t>审核，财务科确认，经相关领导审批后纳入公司月度资金预算计划，方可使用。</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第十一条  财务</w:t>
      </w:r>
      <w:r>
        <w:rPr>
          <w:rFonts w:hint="eastAsia" w:asciiTheme="minorEastAsia" w:hAnsiTheme="minorEastAsia" w:eastAsiaTheme="minorEastAsia"/>
          <w:color w:val="000000"/>
          <w:lang w:eastAsia="zh-CN"/>
        </w:rPr>
        <w:t>室</w:t>
      </w:r>
      <w:r>
        <w:rPr>
          <w:rFonts w:hint="eastAsia" w:asciiTheme="minorEastAsia" w:hAnsiTheme="minorEastAsia" w:eastAsiaTheme="minorEastAsia"/>
          <w:color w:val="000000"/>
        </w:rPr>
        <w:t>建立“安全费用”科目，按时入帐，并建立《安全生产费用使用台帐》，每月进行记录。</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第十二条  安全生产费用的提取，按照本单位上年度实际销售收入为计提依据，采取超额实报方式，按照以下标准提取。</w:t>
      </w:r>
    </w:p>
    <w:p>
      <w:pPr>
        <w:pStyle w:val="4"/>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安全生产费用计提标准一览表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2892"/>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68"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序号</w:t>
            </w:r>
          </w:p>
        </w:tc>
        <w:tc>
          <w:tcPr>
            <w:tcW w:w="2892"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全年实际销售收入</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提取标准</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1</w:t>
            </w:r>
          </w:p>
        </w:tc>
        <w:tc>
          <w:tcPr>
            <w:tcW w:w="2892"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1000万元（含）以下</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1%</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2</w:t>
            </w:r>
          </w:p>
        </w:tc>
        <w:tc>
          <w:tcPr>
            <w:tcW w:w="2892"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1000万元至10000万元（含）部分</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0.5%</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3</w:t>
            </w:r>
          </w:p>
        </w:tc>
        <w:tc>
          <w:tcPr>
            <w:tcW w:w="2892"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10000万元至100000万元（含）部分</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0.2%</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4</w:t>
            </w:r>
          </w:p>
        </w:tc>
        <w:tc>
          <w:tcPr>
            <w:tcW w:w="2892"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100000万元以上部分</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r>
              <w:rPr>
                <w:rFonts w:hint="eastAsia" w:asciiTheme="minorEastAsia" w:hAnsiTheme="minorEastAsia" w:eastAsiaTheme="minorEastAsia"/>
                <w:color w:val="000000"/>
              </w:rPr>
              <w:t>0.1%</w:t>
            </w:r>
          </w:p>
        </w:tc>
        <w:tc>
          <w:tcPr>
            <w:tcW w:w="2131" w:type="dxa"/>
            <w:vAlign w:val="center"/>
          </w:tcPr>
          <w:p>
            <w:pPr>
              <w:pStyle w:val="4"/>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560" w:lineRule="exact"/>
              <w:jc w:val="center"/>
              <w:rPr>
                <w:rFonts w:asciiTheme="minorEastAsia" w:hAnsiTheme="minorEastAsia" w:eastAsiaTheme="minorEastAsia"/>
                <w:color w:val="000000"/>
              </w:rPr>
            </w:pPr>
          </w:p>
        </w:tc>
      </w:tr>
    </w:tbl>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第十三条  安全生产费用应按照以下规定范围使用：</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1、车间、库房等作业场所监控、检测、通风、防晒、调温、防火、灭火、防爆、泻压、防毒、消毒、中和、防潮、防雷、防静电、防腐、防渗漏、防护围堤 或者隔离操作等安全防护设备、设施的完善、维修和改善支付。</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2、配备必要的应急救援器材、设备和现场作业人员安全防护物品支出。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3、安全生产检查与安全评价、评估支出。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4、重大危险源监控、重大事故隐患的评估、事故隐患的整改支出。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5、安全标志、告知牌、安全生产宣传画、横幅等安全生产宣传支出。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6、安全培训教材、资料、课时费等安全教育培训支出。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7、应急救援演练支出。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8、安全生产知识竞赛、安全生产评比等安全生产活动支出。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9、特种设备及其附件定期检测支出。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10、防暑降温费、接触职业危害因素人员保健费和职业健康体检支出。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11、安全生产技术措施项目整改支出；</w:t>
      </w:r>
    </w:p>
    <w:p>
      <w:pPr>
        <w:pStyle w:val="4"/>
        <w:spacing w:line="560" w:lineRule="exact"/>
        <w:ind w:firstLine="480" w:firstLineChars="200"/>
        <w:rPr>
          <w:rFonts w:asciiTheme="minorEastAsia" w:hAnsiTheme="minorEastAsia" w:eastAsiaTheme="minorEastAsia"/>
          <w:color w:val="000000"/>
        </w:rPr>
      </w:pPr>
      <w:r>
        <w:rPr>
          <w:rFonts w:hint="eastAsia" w:asciiTheme="minorEastAsia" w:hAnsiTheme="minorEastAsia" w:eastAsiaTheme="minorEastAsia"/>
          <w:color w:val="000000"/>
        </w:rPr>
        <w:t>12、其他与安全生产直接相关的支出。</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第十四条  公司在本办法第十三条规定的使用范围内，应将安全生产费用优先用于满足安全生产监督管理部门对企业安全生产提出的整改措施或达到安全生产标准要求的所需支出。</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第十五条  年度结余转下年度使用，当年计提安全费用不足的、超出部分按正常成本费用渠道列支。</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第十六条  安全生产费用形成的资产，应当纳入相关资产进行管理。</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第十七条  公司为职工提供的工伤保险、医疗保险所需费用，不在安全生产费用中列支。</w:t>
      </w:r>
    </w:p>
    <w:p>
      <w:pPr>
        <w:pStyle w:val="4"/>
        <w:spacing w:line="560" w:lineRule="exact"/>
        <w:jc w:val="center"/>
        <w:rPr>
          <w:rFonts w:ascii="黑体" w:eastAsia="黑体"/>
          <w:color w:val="000000"/>
        </w:rPr>
      </w:pPr>
      <w:r>
        <w:rPr>
          <w:rFonts w:hint="eastAsia" w:ascii="黑体" w:eastAsia="黑体"/>
          <w:color w:val="000000"/>
        </w:rPr>
        <w:t>第四章  附则</w:t>
      </w:r>
    </w:p>
    <w:p>
      <w:pPr>
        <w:pStyle w:val="4"/>
        <w:spacing w:line="560" w:lineRule="exact"/>
        <w:rPr>
          <w:rFonts w:asciiTheme="minorEastAsia" w:hAnsiTheme="minorEastAsia" w:eastAsiaTheme="minorEastAsia"/>
          <w:color w:val="000000"/>
        </w:rPr>
      </w:pPr>
      <w:r>
        <w:rPr>
          <w:rFonts w:hint="eastAsia" w:asciiTheme="minorEastAsia" w:hAnsiTheme="minorEastAsia" w:eastAsiaTheme="minorEastAsia"/>
          <w:color w:val="000000"/>
        </w:rPr>
        <w:t>第十八条  本制度由</w:t>
      </w:r>
      <w:r>
        <w:rPr>
          <w:rFonts w:hint="eastAsia" w:asciiTheme="minorEastAsia" w:hAnsiTheme="minorEastAsia" w:eastAsiaTheme="minorEastAsia"/>
          <w:color w:val="000000" w:themeColor="text1"/>
          <w14:textFill>
            <w14:solidFill>
              <w14:schemeClr w14:val="tx1"/>
            </w14:solidFill>
          </w14:textFill>
        </w:rPr>
        <w:t>财务</w:t>
      </w:r>
      <w:r>
        <w:rPr>
          <w:rFonts w:hint="eastAsia" w:asciiTheme="minorEastAsia" w:hAnsiTheme="minorEastAsia" w:eastAsiaTheme="minorEastAsia"/>
          <w:color w:val="000000" w:themeColor="text1"/>
          <w:lang w:eastAsia="zh-CN"/>
          <w14:textFill>
            <w14:solidFill>
              <w14:schemeClr w14:val="tx1"/>
            </w14:solidFill>
          </w14:textFill>
        </w:rPr>
        <w:t>室</w:t>
      </w:r>
      <w:r>
        <w:rPr>
          <w:rFonts w:hint="eastAsia"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color w:val="000000" w:themeColor="text1"/>
          <w:lang w:eastAsia="zh-CN"/>
          <w14:textFill>
            <w14:solidFill>
              <w14:schemeClr w14:val="tx1"/>
            </w14:solidFill>
          </w14:textFill>
        </w:rPr>
        <w:t>安全管理办公室</w:t>
      </w:r>
      <w:r>
        <w:rPr>
          <w:rFonts w:hint="eastAsia" w:asciiTheme="minorEastAsia" w:hAnsiTheme="minorEastAsia" w:eastAsiaTheme="minorEastAsia"/>
          <w:color w:val="000000"/>
        </w:rPr>
        <w:t>负责解释。</w:t>
      </w:r>
    </w:p>
    <w:p>
      <w:pPr>
        <w:pStyle w:val="4"/>
        <w:spacing w:line="560" w:lineRule="exact"/>
        <w:rPr>
          <w:rFonts w:asciiTheme="minorEastAsia" w:hAnsiTheme="minorEastAsia" w:eastAsiaTheme="minorEastAsia"/>
        </w:rPr>
      </w:pPr>
      <w:r>
        <w:rPr>
          <w:rFonts w:hint="eastAsia" w:asciiTheme="minorEastAsia" w:hAnsiTheme="minorEastAsia" w:eastAsiaTheme="minorEastAsia"/>
          <w:color w:val="000000"/>
        </w:rPr>
        <w:t>第十九条</w:t>
      </w:r>
      <w:r>
        <w:rPr>
          <w:rFonts w:hint="eastAsia" w:asciiTheme="minorEastAsia" w:hAnsiTheme="minorEastAsia" w:eastAsiaTheme="minorEastAsia"/>
        </w:rPr>
        <w:t xml:space="preserve">  本制度至下发之日起执行。</w:t>
      </w:r>
      <w:bookmarkStart w:id="0" w:name="_GoBack"/>
      <w:bookmarkEnd w:id="0"/>
    </w:p>
    <w:p>
      <w:pPr>
        <w:spacing w:line="560" w:lineRule="exact"/>
        <w:rPr>
          <w:sz w:val="24"/>
          <w:szCs w:val="24"/>
        </w:rPr>
      </w:pPr>
    </w:p>
    <w:p>
      <w:pPr>
        <w:spacing w:line="560" w:lineRule="exact"/>
        <w:ind w:firstLine="4320" w:firstLineChars="1800"/>
        <w:rPr>
          <w:rFonts w:hint="eastAsia"/>
          <w:sz w:val="24"/>
          <w:szCs w:val="24"/>
          <w:lang w:val="en-US" w:eastAsia="zh-CN"/>
        </w:rPr>
      </w:pPr>
      <w:r>
        <w:rPr>
          <w:rFonts w:hint="eastAsia"/>
          <w:sz w:val="24"/>
          <w:szCs w:val="24"/>
          <w:lang w:val="en-US" w:eastAsia="zh-CN"/>
        </w:rPr>
        <w:t>加加食品集团（阆中）有限公司</w:t>
      </w:r>
    </w:p>
    <w:p>
      <w:pPr>
        <w:spacing w:line="560" w:lineRule="exact"/>
        <w:ind w:firstLine="5040" w:firstLineChars="2100"/>
        <w:rPr>
          <w:rFonts w:hint="default"/>
          <w:sz w:val="24"/>
          <w:szCs w:val="24"/>
          <w:lang w:val="en-US" w:eastAsia="zh-CN"/>
        </w:rPr>
      </w:pPr>
      <w:r>
        <w:rPr>
          <w:rFonts w:hint="eastAsia"/>
          <w:sz w:val="24"/>
          <w:szCs w:val="24"/>
          <w:lang w:val="en-US" w:eastAsia="zh-CN"/>
        </w:rPr>
        <w:t>2023年1月9日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gwNjJjZjllYThmM2ZiOGZkODI0M2E2MDZhYThmZjEifQ=="/>
  </w:docVars>
  <w:rsids>
    <w:rsidRoot w:val="007873A6"/>
    <w:rsid w:val="0002476C"/>
    <w:rsid w:val="00125587"/>
    <w:rsid w:val="00317C40"/>
    <w:rsid w:val="00411B39"/>
    <w:rsid w:val="007873A6"/>
    <w:rsid w:val="00932C6E"/>
    <w:rsid w:val="016320EC"/>
    <w:rsid w:val="047D5273"/>
    <w:rsid w:val="0C710F12"/>
    <w:rsid w:val="181635BD"/>
    <w:rsid w:val="1A862C7C"/>
    <w:rsid w:val="23F6750F"/>
    <w:rsid w:val="288B2B37"/>
    <w:rsid w:val="2B8F4574"/>
    <w:rsid w:val="2D3A16A4"/>
    <w:rsid w:val="2FAF1ED5"/>
    <w:rsid w:val="2FB4573E"/>
    <w:rsid w:val="350A28A2"/>
    <w:rsid w:val="467632F5"/>
    <w:rsid w:val="499A75ED"/>
    <w:rsid w:val="4D184E68"/>
    <w:rsid w:val="50D94BAC"/>
    <w:rsid w:val="56DA32EE"/>
    <w:rsid w:val="581A7F84"/>
    <w:rsid w:val="5C2633B7"/>
    <w:rsid w:val="5E836663"/>
    <w:rsid w:val="69167EA8"/>
    <w:rsid w:val="6F173018"/>
    <w:rsid w:val="74F160B9"/>
    <w:rsid w:val="7BDA7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7">
    <w:name w:val="HTML 预设格式 Char"/>
    <w:basedOn w:val="6"/>
    <w:link w:val="4"/>
    <w:qFormat/>
    <w:uiPriority w:val="0"/>
    <w:rPr>
      <w:rFonts w:ascii="Arial" w:hAnsi="Arial" w:eastAsia="宋体" w:cs="Arial"/>
      <w:kern w:val="0"/>
      <w:sz w:val="24"/>
      <w:szCs w:val="24"/>
    </w:rPr>
  </w:style>
  <w:style w:type="character" w:customStyle="1" w:styleId="8">
    <w:name w:val="页眉 Char"/>
    <w:basedOn w:val="6"/>
    <w:link w:val="3"/>
    <w:semiHidden/>
    <w:qFormat/>
    <w:uiPriority w:val="99"/>
    <w:rPr>
      <w:rFonts w:ascii="Calibri" w:hAnsi="Calibri" w:eastAsia="宋体" w:cs="Times New Roman"/>
      <w:sz w:val="18"/>
      <w:szCs w:val="18"/>
    </w:rPr>
  </w:style>
  <w:style w:type="character" w:customStyle="1" w:styleId="9">
    <w:name w:val="页脚 Char"/>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1359</Words>
  <Characters>1399</Characters>
  <Lines>12</Lines>
  <Paragraphs>3</Paragraphs>
  <TotalTime>2</TotalTime>
  <ScaleCrop>false</ScaleCrop>
  <LinksUpToDate>false</LinksUpToDate>
  <CharactersWithSpaces>1458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2016-11-24T09:21:00Z</dcterms:created>
  <dc:creator>lenovo</dc:creator>
  <cp:lastModifiedBy>Administrator</cp:lastModifiedBy>
  <dcterms:modified xsi:type="dcterms:W3CDTF">2023-01-09T00:46:00Z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4B1962559014429B9EBB1ABEA4FF7AA3</vt:lpwstr>
  </property>
</Properties>
</file>