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西充县仁思压缩天然气有限责任公司</w:t>
      </w:r>
    </w:p>
    <w:p>
      <w:pPr>
        <w:bidi w:val="0"/>
        <w:jc w:val="center"/>
        <w:outlineLvl w:val="9"/>
        <w:rPr>
          <w:rFonts w:hint="eastAsia" w:ascii="黑体" w:hAnsi="黑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特种设备隐患排查治理清单（</w:t>
      </w:r>
      <w:r>
        <w:rPr>
          <w:rFonts w:hint="eastAsia"/>
          <w:sz w:val="32"/>
          <w:szCs w:val="32"/>
          <w:lang w:val="en-US" w:eastAsia="zh-CN"/>
        </w:rPr>
        <w:t>压力容器</w:t>
      </w:r>
      <w:r>
        <w:rPr>
          <w:rFonts w:hint="eastAsia" w:ascii="黑体" w:hAnsi="黑体" w:eastAsia="黑体" w:cs="Times New Roman"/>
          <w:sz w:val="36"/>
          <w:szCs w:val="36"/>
          <w:lang w:val="en-US" w:eastAsia="zh-CN"/>
        </w:rPr>
        <w:t>）</w:t>
      </w:r>
    </w:p>
    <w:tbl>
      <w:tblPr>
        <w:tblStyle w:val="3"/>
        <w:tblW w:w="14227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61"/>
        <w:gridCol w:w="742"/>
        <w:gridCol w:w="926"/>
        <w:gridCol w:w="2556"/>
        <w:gridCol w:w="706"/>
        <w:gridCol w:w="4850"/>
        <w:gridCol w:w="1056"/>
        <w:gridCol w:w="2158"/>
        <w:gridCol w:w="77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Header/>
          <w:jc w:val="center"/>
        </w:trPr>
        <w:tc>
          <w:tcPr>
            <w:tcW w:w="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序号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类别</w:t>
            </w:r>
          </w:p>
        </w:tc>
        <w:tc>
          <w:tcPr>
            <w:tcW w:w="9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项目</w:t>
            </w:r>
          </w:p>
        </w:tc>
        <w:tc>
          <w:tcPr>
            <w:tcW w:w="2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排查标准</w:t>
            </w:r>
          </w:p>
        </w:tc>
        <w:tc>
          <w:tcPr>
            <w:tcW w:w="7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事故隐</w:t>
            </w:r>
          </w:p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患分级</w:t>
            </w:r>
          </w:p>
        </w:tc>
        <w:tc>
          <w:tcPr>
            <w:tcW w:w="4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排查频次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排查方法</w:t>
            </w:r>
          </w:p>
        </w:tc>
        <w:tc>
          <w:tcPr>
            <w:tcW w:w="21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整改措施</w:t>
            </w:r>
          </w:p>
        </w:tc>
        <w:tc>
          <w:tcPr>
            <w:tcW w:w="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outlineLvl w:val="9"/>
              <w:rPr>
                <w:rFonts w:ascii="黑体" w:hAnsi="黑体" w:eastAsia="黑体"/>
                <w:b w:val="0"/>
                <w:bCs w:val="0"/>
                <w:color w:val="000000"/>
                <w:sz w:val="24"/>
                <w:szCs w:val="21"/>
              </w:rPr>
            </w:pPr>
            <w:r>
              <w:rPr>
                <w:rFonts w:hint="eastAsia" w:ascii="黑体" w:hAnsi="黑体" w:eastAsia="黑体"/>
                <w:b w:val="0"/>
                <w:bCs w:val="0"/>
                <w:color w:val="000000"/>
                <w:sz w:val="24"/>
                <w:szCs w:val="21"/>
              </w:rPr>
              <w:t>责任部门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1" w:hRule="atLeast"/>
          <w:jc w:val="center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压力容器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运行异常情况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容器在运行时出现工作压力、工作温度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超过规定值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严重</w:t>
            </w:r>
          </w:p>
        </w:tc>
        <w:tc>
          <w:tcPr>
            <w:tcW w:w="4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每月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1.查看压力容器技术档案；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2.查看操作使用运行记录。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1.当不能得到有效控制时应按容器事故应急预案进行处理；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2.根据操作规程找出原因；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3.加强巡回检查。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安全部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0" w:hRule="atLeast"/>
          <w:jc w:val="center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压力容器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主要受压元件变形及裂缝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容器在运行时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不应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出现超温、超压，致使主要受压元件出现下列危及安全的现象：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⑴主要受压元件母材异常变形、发生裂缝；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⑵焊接接头发生裂缝失效等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严重</w:t>
            </w:r>
          </w:p>
        </w:tc>
        <w:tc>
          <w:tcPr>
            <w:tcW w:w="4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每月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1.查看压力容器技术档案；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2.查看操作使用运行记录；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3.现场查看。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1.立即停用；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2.对压力容器失效的主要受压元件进行检验，安全评估；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3.对压力容器有修复价值的主要受压元件进行修理。修复后进行检验合格才能继续使用；</w:t>
            </w:r>
          </w:p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4.对没有修复价值的压力容器应报废更新。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安全部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压力容器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本体材质劣化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容器本体外表面无腐蚀，紧固件、阀门等零部件无腐蚀破坏现象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一般</w:t>
            </w:r>
          </w:p>
        </w:tc>
        <w:tc>
          <w:tcPr>
            <w:tcW w:w="4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每月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查看容器本体外表面。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加强防腐处理。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安全部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压力容器</w:t>
            </w:r>
          </w:p>
        </w:tc>
        <w:tc>
          <w:tcPr>
            <w:tcW w:w="9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outlineLvl w:val="9"/>
              <w:rPr>
                <w:rFonts w:hint="default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安全阀</w:t>
            </w:r>
          </w:p>
        </w:tc>
        <w:tc>
          <w:tcPr>
            <w:tcW w:w="25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1.安全阀选型正确，安装位置正确，在校验有效期内使用；</w:t>
            </w:r>
          </w:p>
          <w:p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2.弹簧式安全阀的铅封装置完好；</w:t>
            </w:r>
          </w:p>
          <w:p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3.如果容器与安全阀之间加装了截止阀，截止阀处于全开位置，铅封完好；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4.安全阀无泄漏，放空管通畅，防雨帽完好。</w:t>
            </w:r>
          </w:p>
        </w:tc>
        <w:tc>
          <w:tcPr>
            <w:tcW w:w="7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一般</w:t>
            </w:r>
          </w:p>
        </w:tc>
        <w:tc>
          <w:tcPr>
            <w:tcW w:w="4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firstLine="4400" w:firstLineChars="2200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每季</w:t>
            </w:r>
          </w:p>
        </w:tc>
        <w:tc>
          <w:tcPr>
            <w:tcW w:w="1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1.查看安全阀技术档案；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2.查看安全阀检修，校验报告。</w:t>
            </w:r>
          </w:p>
        </w:tc>
        <w:tc>
          <w:tcPr>
            <w:tcW w:w="21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1.更换选型错误的安全阀；</w:t>
            </w:r>
          </w:p>
          <w:p>
            <w:pPr>
              <w:rPr>
                <w:rFonts w:hint="eastAsia"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2.及时修理、重新校验失灵、损坏、过期的安全阀；</w:t>
            </w:r>
          </w:p>
          <w:p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</w:rPr>
              <w:t>3.及时维修损坏的铅封。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outlineLvl w:val="9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安全部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MjY4OGEwNmVmMWE3M2UxMzA0MWRlYWZlMjZmOTgifQ=="/>
  </w:docVars>
  <w:rsids>
    <w:rsidRoot w:val="7FFF3049"/>
    <w:rsid w:val="35D06A92"/>
    <w:rsid w:val="51DE44BA"/>
    <w:rsid w:val="7F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pPr>
      <w:spacing w:line="540" w:lineRule="exact"/>
    </w:pPr>
    <w:rPr>
      <w:rFonts w:ascii="Times New Roman" w:hAnsi="Times New Roman" w:eastAsia="仿宋_GB2312" w:cs="Times New Roman"/>
      <w:spacing w:val="-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2023-03-02T15:59:00Z</dcterms:created>
  <dc:creator>WPS_1513130633</dc:creator>
  <cp:lastModifiedBy>逆战</cp:lastModifiedBy>
  <cp:lastPrinted>2023-10-17T06:32:11Z</cp:lastPrinted>
  <dcterms:modified xsi:type="dcterms:W3CDTF">2023-10-17T06:32:20Z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D0C48B2F44F54B506857006417C4413B</vt:lpwstr>
  </property>
</Properties>
</file>