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312" w:beforeLines="100" w:line="560" w:lineRule="exact"/>
        <w:ind w:right="-120" w:rightChars="-50" w:firstLine="0" w:firstLineChars="0"/>
        <w:jc w:val="center"/>
        <w:rPr>
          <w:rFonts w:hint="eastAsia" w:eastAsia="方正小标宋简体"/>
          <w:sz w:val="44"/>
          <w:lang w:eastAsia="zh-CN"/>
        </w:rPr>
      </w:pPr>
      <w:r>
        <w:rPr>
          <w:rFonts w:hint="eastAsia" w:eastAsia="方正小标宋简体"/>
          <w:sz w:val="44"/>
          <w:lang w:val="en-US" w:eastAsia="zh-CN"/>
        </w:rPr>
        <w:t>四川泛亚爆破工程有限公司技术</w:t>
      </w:r>
      <w:r>
        <w:rPr>
          <w:rFonts w:hint="eastAsia" w:eastAsia="方正小标宋简体"/>
          <w:sz w:val="44"/>
          <w:lang w:eastAsia="zh-CN"/>
        </w:rPr>
        <w:t>标准</w:t>
      </w:r>
    </w:p>
    <w:p>
      <w:pPr>
        <w:jc w:val="center"/>
        <w:rPr>
          <w:rFonts w:hint="eastAsia" w:eastAsia="方正小标宋简体"/>
          <w:sz w:val="44"/>
        </w:rPr>
      </w:pPr>
      <w:r>
        <w:rPr>
          <w:rFonts w:hint="default"/>
          <w:sz w:val="44"/>
        </w:rPr>
        <mc:AlternateContent>
          <mc:Choice Requires="wps">
            <w:drawing>
              <wp:anchor distT="0" distB="0" distL="114300" distR="114300" simplePos="0" relativeHeight="251660288" behindDoc="0" locked="0" layoutInCell="1" allowOverlap="1">
                <wp:simplePos x="0" y="0"/>
                <wp:positionH relativeFrom="column">
                  <wp:posOffset>-18415</wp:posOffset>
                </wp:positionH>
                <wp:positionV relativeFrom="paragraph">
                  <wp:posOffset>88900</wp:posOffset>
                </wp:positionV>
                <wp:extent cx="5873750" cy="635"/>
                <wp:effectExtent l="0" t="0" r="0" b="0"/>
                <wp:wrapNone/>
                <wp:docPr id="5" name="直接连接符 5"/>
                <wp:cNvGraphicFramePr/>
                <a:graphic xmlns:a="http://schemas.openxmlformats.org/drawingml/2006/main">
                  <a:graphicData uri="http://schemas.microsoft.com/office/word/2010/wordprocessingShape">
                    <wps:wsp>
                      <wps:cNvCnPr/>
                      <wps:spPr>
                        <a:xfrm>
                          <a:off x="0" y="0"/>
                          <a:ext cx="5873750"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45pt;margin-top:7pt;height:0.05pt;width:462.5pt;z-index:251660288;mso-width-relative:page;mso-height-relative:page;" filled="f" stroked="t" coordsize="21600,21600" o:gfxdata="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H4EorjVAAAACAEAAA8AAAAAAAAAAQAgAAAAIgAAAGRycy9kb3ducmV2LnhtbFBL&#10;AQIUABQAAAAIAIdO4kBBL7wL+QEAAOYDAAAOAAAAAAAAAAEAIAAAACQBAABkcnMvZTJvRG9jLnht&#10;bFBLBQYAAAAABgAGAFkBAACPBQAAAAA=&#10;">
                <v:fill on="f" focussize="0,0"/>
                <v:stroke color="#000000" joinstyle="round"/>
                <v:imagedata o:title=""/>
                <o:lock v:ext="edit" aspectratio="f"/>
              </v:line>
            </w:pict>
          </mc:Fallback>
        </mc:AlternateContent>
      </w:r>
    </w:p>
    <w:p>
      <w:pPr>
        <w:ind w:firstLine="411" w:firstLineChars="147"/>
        <w:jc w:val="center"/>
        <w:rPr>
          <w:rFonts w:hint="eastAsia" w:ascii="宋体" w:hAnsi="宋体"/>
          <w:sz w:val="28"/>
        </w:rPr>
      </w:pPr>
    </w:p>
    <w:p>
      <w:pPr>
        <w:ind w:firstLine="0" w:firstLineChars="0"/>
        <w:rPr>
          <w:rFonts w:hint="eastAsia"/>
          <w:sz w:val="24"/>
        </w:rPr>
      </w:pPr>
    </w:p>
    <w:p>
      <w:pPr>
        <w:ind w:firstLine="0" w:firstLineChars="0"/>
        <w:rPr>
          <w:rFonts w:hint="eastAsia"/>
          <w:sz w:val="24"/>
        </w:rPr>
      </w:pPr>
    </w:p>
    <w:p>
      <w:pPr>
        <w:ind w:firstLine="0" w:firstLineChars="0"/>
        <w:rPr>
          <w:rFonts w:hint="eastAsia"/>
          <w:sz w:val="24"/>
        </w:rPr>
      </w:pPr>
    </w:p>
    <w:p>
      <w:pPr>
        <w:spacing w:line="240" w:lineRule="auto"/>
        <w:ind w:firstLine="0" w:firstLineChars="0"/>
        <w:jc w:val="center"/>
        <w:rPr>
          <w:rFonts w:hint="eastAsia"/>
          <w:b/>
          <w:sz w:val="56"/>
          <w:lang w:eastAsia="zh-CN"/>
        </w:rPr>
      </w:pPr>
    </w:p>
    <w:p>
      <w:pPr>
        <w:spacing w:line="240" w:lineRule="auto"/>
        <w:ind w:firstLine="0" w:firstLineChars="0"/>
        <w:jc w:val="center"/>
        <w:rPr>
          <w:rFonts w:hint="eastAsia"/>
          <w:b/>
          <w:sz w:val="56"/>
          <w:lang w:eastAsia="zh-CN"/>
        </w:rPr>
      </w:pPr>
    </w:p>
    <w:p>
      <w:pPr>
        <w:spacing w:line="240" w:lineRule="auto"/>
        <w:ind w:firstLine="0" w:firstLineChars="0"/>
        <w:jc w:val="center"/>
        <w:rPr>
          <w:rFonts w:hint="eastAsia"/>
          <w:b/>
          <w:sz w:val="56"/>
          <w:lang w:eastAsia="zh-CN"/>
        </w:rPr>
      </w:pPr>
    </w:p>
    <w:p>
      <w:pPr>
        <w:spacing w:line="240" w:lineRule="auto"/>
        <w:ind w:firstLine="0" w:firstLineChars="0"/>
        <w:jc w:val="center"/>
        <w:rPr>
          <w:rFonts w:hint="eastAsia"/>
          <w:b/>
          <w:sz w:val="56"/>
          <w:lang w:val="en-US" w:eastAsia="zh-CN"/>
        </w:rPr>
      </w:pPr>
      <w:r>
        <w:rPr>
          <w:rFonts w:hint="eastAsia"/>
          <w:b/>
          <w:sz w:val="56"/>
          <w:lang w:val="en-US" w:eastAsia="zh-CN"/>
        </w:rPr>
        <w:t>民用爆炸物品储存库设施</w:t>
      </w:r>
    </w:p>
    <w:p>
      <w:pPr>
        <w:spacing w:line="240" w:lineRule="auto"/>
        <w:ind w:firstLine="0" w:firstLineChars="0"/>
        <w:jc w:val="center"/>
        <w:rPr>
          <w:rFonts w:hint="eastAsia"/>
          <w:b/>
          <w:sz w:val="56"/>
        </w:rPr>
      </w:pPr>
      <w:r>
        <w:rPr>
          <w:rFonts w:hint="eastAsia"/>
          <w:b/>
          <w:sz w:val="56"/>
          <w:lang w:eastAsia="zh-CN"/>
        </w:rPr>
        <w:t>安全技术操作规程</w:t>
      </w:r>
    </w:p>
    <w:p>
      <w:pPr>
        <w:spacing w:before="120"/>
        <w:jc w:val="center"/>
        <w:rPr>
          <w:rFonts w:hint="eastAsia" w:eastAsia="方正小标宋简体"/>
          <w:sz w:val="20"/>
        </w:rPr>
      </w:pPr>
    </w:p>
    <w:p>
      <w:pPr>
        <w:rPr>
          <w:rFonts w:hint="eastAsia" w:ascii="宋体" w:hAnsi="宋体"/>
          <w:sz w:val="28"/>
          <w:lang w:val="de-DE"/>
        </w:rPr>
      </w:pPr>
    </w:p>
    <w:p>
      <w:pPr>
        <w:rPr>
          <w:rFonts w:hint="eastAsia" w:ascii="宋体" w:hAnsi="宋体"/>
          <w:sz w:val="28"/>
          <w:lang w:val="de-DE"/>
        </w:rPr>
      </w:pPr>
    </w:p>
    <w:p>
      <w:pPr>
        <w:rPr>
          <w:rFonts w:hint="eastAsia" w:ascii="宋体" w:hAnsi="宋体"/>
          <w:sz w:val="28"/>
          <w:lang w:val="de-DE"/>
        </w:rPr>
      </w:pPr>
    </w:p>
    <w:p>
      <w:pPr>
        <w:rPr>
          <w:rFonts w:hint="eastAsia" w:ascii="宋体" w:hAnsi="宋体"/>
          <w:sz w:val="28"/>
          <w:lang w:val="de-DE"/>
        </w:rPr>
      </w:pPr>
    </w:p>
    <w:p>
      <w:pPr>
        <w:rPr>
          <w:rFonts w:hint="eastAsia" w:ascii="宋体" w:hAnsi="宋体"/>
          <w:sz w:val="28"/>
          <w:lang w:val="de-DE"/>
        </w:rPr>
      </w:pPr>
    </w:p>
    <w:p>
      <w:pPr>
        <w:rPr>
          <w:rFonts w:hint="eastAsia" w:ascii="宋体" w:hAnsi="宋体"/>
          <w:sz w:val="28"/>
          <w:lang w:val="de-DE"/>
        </w:rPr>
      </w:pPr>
    </w:p>
    <w:p>
      <w:pPr>
        <w:rPr>
          <w:rFonts w:hint="eastAsia" w:ascii="宋体" w:hAnsi="宋体"/>
          <w:sz w:val="28"/>
        </w:rPr>
      </w:pPr>
    </w:p>
    <w:p>
      <w:pPr>
        <w:spacing w:before="480"/>
        <w:ind w:firstLine="0" w:firstLineChars="0"/>
        <w:jc w:val="center"/>
        <w:rPr>
          <w:rFonts w:hint="eastAsia" w:ascii="楷体" w:hAnsi="楷体" w:eastAsia="楷体"/>
          <w:caps/>
          <w:sz w:val="36"/>
          <w:lang w:eastAsia="zh-CN"/>
        </w:rPr>
      </w:pPr>
      <w:r>
        <w:rPr>
          <w:rFonts w:hint="eastAsia" w:ascii="楷体" w:hAnsi="楷体" w:eastAsia="楷体"/>
          <w:caps/>
          <w:sz w:val="36"/>
          <w:lang w:eastAsia="zh-CN"/>
        </w:rPr>
        <w:t>四川泛亚爆破工程有限公司</w:t>
      </w:r>
    </w:p>
    <w:p>
      <w:pPr>
        <w:spacing w:before="480"/>
        <w:ind w:firstLine="0" w:firstLineChars="0"/>
        <w:jc w:val="center"/>
        <w:rPr>
          <w:rFonts w:hint="eastAsia" w:ascii="楷体" w:hAnsi="楷体" w:eastAsia="楷体"/>
          <w:caps/>
          <w:sz w:val="36"/>
        </w:rPr>
      </w:pPr>
      <w:r>
        <w:rPr>
          <w:rFonts w:hint="eastAsia" w:ascii="楷体" w:hAnsi="楷体" w:eastAsia="楷体"/>
          <w:caps/>
          <w:sz w:val="36"/>
        </w:rPr>
        <w:t>202</w:t>
      </w:r>
      <w:r>
        <w:rPr>
          <w:rFonts w:hint="eastAsia" w:ascii="楷体" w:hAnsi="楷体" w:eastAsia="楷体"/>
          <w:caps/>
          <w:sz w:val="36"/>
          <w:lang w:val="en-US" w:eastAsia="zh-CN"/>
        </w:rPr>
        <w:t>2</w:t>
      </w:r>
      <w:r>
        <w:rPr>
          <w:rFonts w:hint="eastAsia" w:ascii="楷体" w:hAnsi="楷体" w:eastAsia="楷体"/>
          <w:caps/>
          <w:sz w:val="36"/>
        </w:rPr>
        <w:t>年</w:t>
      </w:r>
      <w:r>
        <w:rPr>
          <w:rFonts w:hint="eastAsia" w:ascii="楷体" w:hAnsi="楷体" w:eastAsia="楷体"/>
          <w:caps/>
          <w:sz w:val="36"/>
          <w:lang w:val="en-US" w:eastAsia="zh-CN"/>
        </w:rPr>
        <w:t>1</w:t>
      </w:r>
      <w:r>
        <w:rPr>
          <w:rFonts w:hint="eastAsia" w:ascii="楷体" w:hAnsi="楷体" w:eastAsia="楷体"/>
          <w:caps/>
          <w:sz w:val="36"/>
        </w:rPr>
        <w:t>月</w:t>
      </w:r>
    </w:p>
    <w:p>
      <w:pPr>
        <w:spacing w:before="163" w:after="163" w:line="360" w:lineRule="auto"/>
        <w:ind w:firstLine="0" w:firstLineChars="0"/>
        <w:jc w:val="center"/>
        <w:rPr>
          <w:rFonts w:hint="eastAsia" w:ascii="宋体" w:hAnsi="宋体"/>
          <w:b/>
          <w:sz w:val="44"/>
          <w:lang w:val="zh-CN"/>
        </w:rPr>
        <w:sectPr>
          <w:footerReference r:id="rId5" w:type="default"/>
          <w:pgSz w:w="11911" w:h="16838"/>
          <w:pgMar w:top="1417" w:right="1417" w:bottom="1417" w:left="1417" w:header="720" w:footer="720" w:gutter="0"/>
          <w:lnNumType w:countBy="0" w:distance="360"/>
          <w:pgNumType w:start="1"/>
          <w:cols w:space="720" w:num="1"/>
          <w:docGrid w:linePitch="333" w:charSpace="0"/>
        </w:sectPr>
      </w:pPr>
    </w:p>
    <w:p>
      <w:pPr>
        <w:ind w:left="7560" w:hanging="9758" w:hangingChars="2700"/>
        <w:rPr>
          <w:rFonts w:hint="eastAsia" w:ascii="宋体" w:hAnsi="宋体"/>
          <w:b/>
          <w:kern w:val="0"/>
          <w:sz w:val="36"/>
          <w:szCs w:val="32"/>
        </w:rPr>
      </w:pPr>
      <w:bookmarkStart w:id="0" w:name="_Hlk27424968"/>
    </w:p>
    <w:p>
      <w:pPr>
        <w:ind w:left="7560" w:hanging="10842" w:hangingChars="2700"/>
        <w:jc w:val="center"/>
        <w:rPr>
          <w:rFonts w:hint="eastAsia" w:ascii="宋体" w:hAnsi="宋体" w:eastAsia="仿宋"/>
          <w:b/>
          <w:kern w:val="0"/>
          <w:sz w:val="40"/>
          <w:szCs w:val="36"/>
          <w:lang w:eastAsia="zh-CN"/>
        </w:rPr>
      </w:pPr>
      <w:r>
        <w:rPr>
          <w:rFonts w:hint="eastAsia" w:ascii="宋体" w:hAnsi="宋体"/>
          <w:b/>
          <w:kern w:val="0"/>
          <w:sz w:val="40"/>
          <w:szCs w:val="36"/>
          <w:lang w:eastAsia="zh-CN"/>
        </w:rPr>
        <w:t>四川泛亚爆破工程有限公司</w:t>
      </w:r>
    </w:p>
    <w:p>
      <w:pPr>
        <w:ind w:left="7560" w:hanging="7560" w:hangingChars="2700"/>
        <w:rPr>
          <w:rFonts w:ascii="宋体" w:hAnsi="宋体"/>
          <w:sz w:val="28"/>
          <w:szCs w:val="28"/>
        </w:rPr>
      </w:pPr>
    </w:p>
    <w:p>
      <w:pPr>
        <w:rPr>
          <w:rFonts w:ascii="宋体" w:hAnsi="宋体"/>
          <w:sz w:val="28"/>
          <w:szCs w:val="28"/>
          <w:lang w:val="de-DE"/>
        </w:rPr>
      </w:pPr>
    </w:p>
    <w:p>
      <w:pPr>
        <w:rPr>
          <w:rFonts w:ascii="宋体" w:hAnsi="宋体"/>
          <w:sz w:val="28"/>
          <w:szCs w:val="28"/>
          <w:lang w:val="de-DE"/>
        </w:rPr>
      </w:pPr>
    </w:p>
    <w:p>
      <w:pPr>
        <w:spacing w:line="240" w:lineRule="auto"/>
        <w:ind w:firstLine="0" w:firstLineChars="0"/>
        <w:jc w:val="center"/>
        <w:rPr>
          <w:rFonts w:hint="eastAsia"/>
          <w:b/>
          <w:sz w:val="56"/>
          <w:lang w:val="en-US" w:eastAsia="zh-CN"/>
        </w:rPr>
      </w:pPr>
      <w:r>
        <w:rPr>
          <w:rFonts w:hint="eastAsia"/>
          <w:b/>
          <w:sz w:val="56"/>
          <w:lang w:val="en-US" w:eastAsia="zh-CN"/>
        </w:rPr>
        <w:t>民用爆炸物品储存库设施</w:t>
      </w:r>
    </w:p>
    <w:p>
      <w:pPr>
        <w:spacing w:line="240" w:lineRule="auto"/>
        <w:ind w:left="0" w:leftChars="0" w:firstLine="0" w:firstLineChars="0"/>
        <w:jc w:val="center"/>
        <w:rPr>
          <w:rFonts w:ascii="宋体" w:hAnsi="宋体"/>
          <w:b/>
          <w:sz w:val="56"/>
          <w:szCs w:val="52"/>
        </w:rPr>
      </w:pPr>
      <w:r>
        <w:rPr>
          <w:rFonts w:hint="eastAsia"/>
          <w:b/>
          <w:sz w:val="56"/>
          <w:lang w:eastAsia="zh-CN"/>
        </w:rPr>
        <w:t>安全技术操作规程</w:t>
      </w:r>
    </w:p>
    <w:p>
      <w:pPr>
        <w:spacing w:line="240" w:lineRule="auto"/>
        <w:ind w:left="0" w:leftChars="0" w:firstLine="0" w:firstLineChars="0"/>
        <w:jc w:val="center"/>
        <w:rPr>
          <w:rFonts w:ascii="宋体" w:hAnsi="宋体"/>
          <w:sz w:val="32"/>
          <w:szCs w:val="28"/>
        </w:rPr>
      </w:pPr>
      <w:r>
        <w:rPr>
          <w:rFonts w:ascii="宋体" w:hAnsi="宋体"/>
          <w:b/>
          <w:sz w:val="56"/>
          <w:szCs w:val="52"/>
        </w:rPr>
        <w:t>审批页</w:t>
      </w:r>
    </w:p>
    <w:p>
      <w:pPr>
        <w:rPr>
          <w:rFonts w:ascii="宋体" w:hAnsi="宋体"/>
          <w:sz w:val="28"/>
          <w:szCs w:val="28"/>
        </w:rPr>
      </w:pPr>
    </w:p>
    <w:p>
      <w:pPr>
        <w:rPr>
          <w:rFonts w:ascii="宋体" w:hAnsi="宋体"/>
          <w:sz w:val="32"/>
          <w:szCs w:val="32"/>
        </w:rPr>
      </w:pPr>
    </w:p>
    <w:p>
      <w:pPr>
        <w:jc w:val="center"/>
        <w:rPr>
          <w:rFonts w:ascii="宋体" w:hAnsi="宋体"/>
          <w:b/>
          <w:sz w:val="32"/>
          <w:szCs w:val="32"/>
        </w:rPr>
      </w:pPr>
      <w:r>
        <w:rPr>
          <w:rFonts w:hint="eastAsia" w:ascii="宋体" w:hAnsi="宋体"/>
          <w:b/>
          <w:sz w:val="32"/>
          <w:szCs w:val="32"/>
        </w:rPr>
        <w:t xml:space="preserve">版 本 号:   </w:t>
      </w:r>
      <w:r>
        <w:rPr>
          <w:rFonts w:ascii="宋体" w:hAnsi="宋体"/>
          <w:b/>
          <w:sz w:val="32"/>
          <w:szCs w:val="32"/>
        </w:rPr>
        <w:t xml:space="preserve"> </w:t>
      </w:r>
      <w:r>
        <w:rPr>
          <w:rFonts w:hint="eastAsia" w:ascii="宋体" w:hAnsi="宋体"/>
          <w:b/>
          <w:sz w:val="32"/>
          <w:szCs w:val="32"/>
        </w:rPr>
        <w:t xml:space="preserve">   </w:t>
      </w:r>
      <w:r>
        <w:rPr>
          <w:rFonts w:hint="eastAsia" w:ascii="宋体" w:hAnsi="宋体"/>
          <w:b/>
          <w:sz w:val="32"/>
          <w:szCs w:val="32"/>
          <w:u w:val="single"/>
        </w:rPr>
        <w:t>A</w:t>
      </w:r>
    </w:p>
    <w:p>
      <w:pPr>
        <w:jc w:val="center"/>
        <w:rPr>
          <w:rFonts w:hint="eastAsia" w:ascii="宋体" w:hAnsi="宋体" w:eastAsia="仿宋"/>
          <w:b/>
          <w:sz w:val="32"/>
          <w:szCs w:val="32"/>
          <w:lang w:eastAsia="zh-CN"/>
        </w:rPr>
      </w:pPr>
      <w:r>
        <w:rPr>
          <w:rFonts w:hint="eastAsia" w:ascii="宋体" w:hAnsi="宋体"/>
          <w:b/>
          <w:sz w:val="32"/>
          <w:szCs w:val="32"/>
        </w:rPr>
        <w:t xml:space="preserve">修 订 号:   </w:t>
      </w:r>
      <w:r>
        <w:rPr>
          <w:rFonts w:ascii="宋体" w:hAnsi="宋体"/>
          <w:b/>
          <w:sz w:val="32"/>
          <w:szCs w:val="32"/>
        </w:rPr>
        <w:t xml:space="preserve"> </w:t>
      </w:r>
      <w:r>
        <w:rPr>
          <w:rFonts w:hint="eastAsia" w:ascii="宋体" w:hAnsi="宋体"/>
          <w:b/>
          <w:sz w:val="32"/>
          <w:szCs w:val="32"/>
        </w:rPr>
        <w:t xml:space="preserve">   </w:t>
      </w:r>
      <w:r>
        <w:rPr>
          <w:rFonts w:hint="eastAsia" w:ascii="宋体" w:hAnsi="宋体"/>
          <w:b/>
          <w:sz w:val="32"/>
          <w:szCs w:val="32"/>
          <w:u w:val="single"/>
          <w:lang w:val="en-US" w:eastAsia="zh-CN"/>
        </w:rPr>
        <w:t>5</w:t>
      </w:r>
    </w:p>
    <w:p>
      <w:pPr>
        <w:jc w:val="center"/>
        <w:rPr>
          <w:rFonts w:ascii="宋体" w:hAnsi="宋体"/>
          <w:b/>
          <w:sz w:val="32"/>
          <w:szCs w:val="32"/>
        </w:rPr>
      </w:pPr>
      <w:r>
        <w:rPr>
          <w:rFonts w:hint="eastAsia" w:ascii="宋体" w:hAnsi="宋体"/>
          <w:b/>
          <w:sz w:val="32"/>
          <w:szCs w:val="32"/>
        </w:rPr>
        <w:t xml:space="preserve">受控状态:    </w:t>
      </w:r>
      <w:r>
        <w:rPr>
          <w:rFonts w:hint="eastAsia" w:ascii="宋体" w:hAnsi="宋体"/>
          <w:b/>
          <w:sz w:val="32"/>
          <w:szCs w:val="32"/>
          <w:u w:val="single"/>
        </w:rPr>
        <w:t>受控</w:t>
      </w:r>
    </w:p>
    <w:p>
      <w:pPr>
        <w:jc w:val="center"/>
        <w:rPr>
          <w:rFonts w:ascii="宋体" w:hAnsi="宋体"/>
          <w:b/>
          <w:sz w:val="32"/>
          <w:szCs w:val="32"/>
        </w:rPr>
      </w:pPr>
      <w:r>
        <w:rPr>
          <w:rFonts w:hint="eastAsia" w:ascii="宋体" w:hAnsi="宋体"/>
          <w:b/>
          <w:sz w:val="32"/>
          <w:szCs w:val="32"/>
        </w:rPr>
        <w:t xml:space="preserve">分 发 号:   </w:t>
      </w:r>
      <w:r>
        <w:rPr>
          <w:rFonts w:ascii="宋体" w:hAnsi="宋体"/>
          <w:b/>
          <w:sz w:val="32"/>
          <w:szCs w:val="32"/>
        </w:rPr>
        <w:t xml:space="preserve"> </w:t>
      </w:r>
      <w:r>
        <w:rPr>
          <w:rFonts w:hint="eastAsia" w:ascii="宋体" w:hAnsi="宋体"/>
          <w:b/>
          <w:sz w:val="32"/>
          <w:szCs w:val="32"/>
        </w:rPr>
        <w:t xml:space="preserve">   </w:t>
      </w:r>
      <w:r>
        <w:rPr>
          <w:rFonts w:hint="eastAsia" w:ascii="宋体" w:hAnsi="宋体"/>
          <w:b/>
          <w:sz w:val="32"/>
          <w:szCs w:val="32"/>
          <w:u w:val="single"/>
        </w:rPr>
        <w:t>4</w:t>
      </w:r>
    </w:p>
    <w:p>
      <w:pPr>
        <w:ind w:firstLine="1446" w:firstLineChars="450"/>
        <w:rPr>
          <w:rFonts w:ascii="宋体" w:hAnsi="宋体"/>
          <w:b/>
          <w:sz w:val="32"/>
          <w:szCs w:val="32"/>
        </w:rPr>
      </w:pPr>
    </w:p>
    <w:p>
      <w:pPr>
        <w:rPr>
          <w:rFonts w:ascii="宋体" w:hAnsi="宋体"/>
          <w:b/>
          <w:sz w:val="32"/>
          <w:szCs w:val="32"/>
        </w:rPr>
      </w:pPr>
    </w:p>
    <w:p>
      <w:pPr>
        <w:rPr>
          <w:rFonts w:ascii="宋体" w:hAnsi="宋体"/>
          <w:b/>
          <w:sz w:val="32"/>
          <w:szCs w:val="32"/>
        </w:rPr>
      </w:pPr>
    </w:p>
    <w:p>
      <w:pPr>
        <w:jc w:val="center"/>
        <w:rPr>
          <w:rFonts w:hint="eastAsia" w:ascii="宋体" w:hAnsi="宋体"/>
          <w:b/>
          <w:sz w:val="32"/>
          <w:szCs w:val="32"/>
        </w:rPr>
      </w:pPr>
      <w:r>
        <w:rPr>
          <w:rFonts w:hint="eastAsia" w:ascii="宋体" w:hAnsi="宋体"/>
          <w:b/>
          <w:sz w:val="32"/>
          <w:szCs w:val="32"/>
        </w:rPr>
        <w:t>修    订:                 日期: 202</w:t>
      </w:r>
      <w:r>
        <w:rPr>
          <w:rFonts w:hint="eastAsia" w:ascii="宋体" w:hAnsi="宋体"/>
          <w:b/>
          <w:sz w:val="32"/>
          <w:szCs w:val="32"/>
          <w:lang w:val="en-US" w:eastAsia="zh-CN"/>
        </w:rPr>
        <w:t>2</w:t>
      </w:r>
      <w:r>
        <w:rPr>
          <w:rFonts w:hint="eastAsia" w:ascii="宋体" w:hAnsi="宋体"/>
          <w:b/>
          <w:sz w:val="32"/>
          <w:szCs w:val="32"/>
        </w:rPr>
        <w:t>年</w:t>
      </w:r>
      <w:r>
        <w:rPr>
          <w:rFonts w:hint="eastAsia" w:ascii="宋体" w:hAnsi="宋体"/>
          <w:b/>
          <w:sz w:val="32"/>
          <w:szCs w:val="32"/>
          <w:lang w:val="en-US" w:eastAsia="zh-CN"/>
        </w:rPr>
        <w:t>1</w:t>
      </w:r>
      <w:r>
        <w:rPr>
          <w:rFonts w:hint="eastAsia" w:ascii="宋体" w:hAnsi="宋体"/>
          <w:b/>
          <w:sz w:val="32"/>
          <w:szCs w:val="32"/>
        </w:rPr>
        <w:t>月</w:t>
      </w:r>
      <w:r>
        <w:rPr>
          <w:rFonts w:hint="eastAsia" w:ascii="宋体" w:hAnsi="宋体"/>
          <w:b/>
          <w:sz w:val="32"/>
          <w:szCs w:val="32"/>
          <w:lang w:val="en-US" w:eastAsia="zh-CN"/>
        </w:rPr>
        <w:t>10</w:t>
      </w:r>
      <w:r>
        <w:rPr>
          <w:rFonts w:hint="eastAsia" w:ascii="宋体" w:hAnsi="宋体"/>
          <w:b/>
          <w:sz w:val="32"/>
          <w:szCs w:val="32"/>
        </w:rPr>
        <w:t>日</w:t>
      </w:r>
    </w:p>
    <w:p>
      <w:pPr>
        <w:jc w:val="center"/>
        <w:rPr>
          <w:rFonts w:hint="eastAsia" w:ascii="宋体" w:hAnsi="宋体"/>
          <w:b/>
          <w:sz w:val="22"/>
          <w:szCs w:val="22"/>
        </w:rPr>
      </w:pPr>
    </w:p>
    <w:p>
      <w:pPr>
        <w:tabs>
          <w:tab w:val="left" w:pos="2313"/>
        </w:tabs>
        <w:jc w:val="center"/>
        <w:rPr>
          <w:rFonts w:hint="eastAsia" w:ascii="宋体" w:hAnsi="宋体"/>
          <w:b/>
          <w:sz w:val="32"/>
          <w:szCs w:val="32"/>
        </w:rPr>
      </w:pPr>
      <w:r>
        <w:rPr>
          <w:rFonts w:hint="eastAsia" w:ascii="宋体" w:hAnsi="宋体"/>
          <w:b/>
          <w:sz w:val="32"/>
          <w:szCs w:val="32"/>
        </w:rPr>
        <w:t>审    核:                 日期: 202</w:t>
      </w:r>
      <w:r>
        <w:rPr>
          <w:rFonts w:hint="eastAsia" w:ascii="宋体" w:hAnsi="宋体"/>
          <w:b/>
          <w:sz w:val="32"/>
          <w:szCs w:val="32"/>
          <w:lang w:val="en-US" w:eastAsia="zh-CN"/>
        </w:rPr>
        <w:t>2</w:t>
      </w:r>
      <w:r>
        <w:rPr>
          <w:rFonts w:hint="eastAsia" w:ascii="宋体" w:hAnsi="宋体"/>
          <w:b/>
          <w:sz w:val="32"/>
          <w:szCs w:val="32"/>
        </w:rPr>
        <w:t>年</w:t>
      </w:r>
      <w:r>
        <w:rPr>
          <w:rFonts w:hint="eastAsia" w:ascii="宋体" w:hAnsi="宋体"/>
          <w:b/>
          <w:sz w:val="32"/>
          <w:szCs w:val="32"/>
          <w:lang w:val="en-US" w:eastAsia="zh-CN"/>
        </w:rPr>
        <w:t>1</w:t>
      </w:r>
      <w:r>
        <w:rPr>
          <w:rFonts w:hint="eastAsia" w:ascii="宋体" w:hAnsi="宋体"/>
          <w:b/>
          <w:sz w:val="32"/>
          <w:szCs w:val="32"/>
        </w:rPr>
        <w:t>月</w:t>
      </w:r>
      <w:r>
        <w:rPr>
          <w:rFonts w:hint="eastAsia" w:ascii="宋体" w:hAnsi="宋体"/>
          <w:b/>
          <w:sz w:val="32"/>
          <w:szCs w:val="32"/>
          <w:lang w:val="en-US" w:eastAsia="zh-CN"/>
        </w:rPr>
        <w:t>10</w:t>
      </w:r>
      <w:r>
        <w:rPr>
          <w:rFonts w:hint="eastAsia" w:ascii="宋体" w:hAnsi="宋体"/>
          <w:b/>
          <w:sz w:val="32"/>
          <w:szCs w:val="32"/>
        </w:rPr>
        <w:t>日</w:t>
      </w:r>
    </w:p>
    <w:p>
      <w:pPr>
        <w:tabs>
          <w:tab w:val="left" w:pos="2313"/>
        </w:tabs>
        <w:jc w:val="center"/>
        <w:rPr>
          <w:rFonts w:hint="eastAsia" w:ascii="宋体" w:hAnsi="宋体"/>
          <w:b/>
          <w:sz w:val="32"/>
          <w:szCs w:val="32"/>
        </w:rPr>
      </w:pPr>
    </w:p>
    <w:p>
      <w:pPr>
        <w:tabs>
          <w:tab w:val="left" w:pos="2313"/>
        </w:tabs>
        <w:jc w:val="center"/>
        <w:rPr>
          <w:rFonts w:ascii="宋体" w:hAnsi="宋体"/>
          <w:b/>
          <w:sz w:val="32"/>
          <w:szCs w:val="32"/>
        </w:rPr>
      </w:pPr>
      <w:r>
        <w:rPr>
          <w:rFonts w:hint="eastAsia" w:ascii="宋体" w:hAnsi="宋体"/>
          <w:b/>
          <w:sz w:val="32"/>
          <w:szCs w:val="32"/>
        </w:rPr>
        <w:t>批    准:                 日期: 202</w:t>
      </w:r>
      <w:r>
        <w:rPr>
          <w:rFonts w:hint="eastAsia" w:ascii="宋体" w:hAnsi="宋体"/>
          <w:b/>
          <w:sz w:val="32"/>
          <w:szCs w:val="32"/>
          <w:lang w:val="en-US" w:eastAsia="zh-CN"/>
        </w:rPr>
        <w:t>2</w:t>
      </w:r>
      <w:r>
        <w:rPr>
          <w:rFonts w:hint="eastAsia" w:ascii="宋体" w:hAnsi="宋体"/>
          <w:b/>
          <w:sz w:val="32"/>
          <w:szCs w:val="32"/>
        </w:rPr>
        <w:t>年</w:t>
      </w:r>
      <w:r>
        <w:rPr>
          <w:rFonts w:hint="eastAsia" w:ascii="宋体" w:hAnsi="宋体"/>
          <w:b/>
          <w:sz w:val="32"/>
          <w:szCs w:val="32"/>
          <w:lang w:val="en-US" w:eastAsia="zh-CN"/>
        </w:rPr>
        <w:t>1</w:t>
      </w:r>
      <w:r>
        <w:rPr>
          <w:rFonts w:hint="eastAsia" w:ascii="宋体" w:hAnsi="宋体"/>
          <w:b/>
          <w:sz w:val="32"/>
          <w:szCs w:val="32"/>
        </w:rPr>
        <w:t>月</w:t>
      </w:r>
      <w:r>
        <w:rPr>
          <w:rFonts w:ascii="宋体" w:hAnsi="宋体"/>
          <w:b/>
          <w:sz w:val="32"/>
          <w:szCs w:val="32"/>
        </w:rPr>
        <w:t xml:space="preserve"> </w:t>
      </w:r>
      <w:r>
        <w:rPr>
          <w:rFonts w:hint="eastAsia" w:ascii="宋体" w:hAnsi="宋体"/>
          <w:b/>
          <w:sz w:val="32"/>
          <w:szCs w:val="32"/>
          <w:lang w:val="en-US" w:eastAsia="zh-CN"/>
        </w:rPr>
        <w:t>10</w:t>
      </w:r>
      <w:r>
        <w:rPr>
          <w:rFonts w:hint="eastAsia" w:ascii="宋体" w:hAnsi="宋体"/>
          <w:b/>
          <w:sz w:val="32"/>
          <w:szCs w:val="32"/>
        </w:rPr>
        <w:t>日</w:t>
      </w:r>
    </w:p>
    <w:p>
      <w:pPr>
        <w:rPr>
          <w:rFonts w:ascii="宋体" w:hAnsi="宋体"/>
          <w:b/>
          <w:sz w:val="28"/>
          <w:szCs w:val="28"/>
        </w:rPr>
      </w:pPr>
    </w:p>
    <w:p>
      <w:pPr>
        <w:rPr>
          <w:rFonts w:ascii="宋体" w:hAnsi="宋体"/>
          <w:b/>
          <w:sz w:val="28"/>
          <w:szCs w:val="28"/>
        </w:rPr>
      </w:pPr>
    </w:p>
    <w:p>
      <w:pPr>
        <w:rPr>
          <w:rFonts w:ascii="宋体" w:hAnsi="宋体"/>
          <w:b/>
          <w:sz w:val="28"/>
          <w:szCs w:val="28"/>
        </w:rPr>
      </w:pPr>
    </w:p>
    <w:p>
      <w:pPr>
        <w:rPr>
          <w:rFonts w:ascii="宋体" w:hAnsi="宋体"/>
          <w:b/>
          <w:sz w:val="28"/>
          <w:szCs w:val="28"/>
        </w:rPr>
      </w:pPr>
    </w:p>
    <w:p>
      <w:pPr>
        <w:rPr>
          <w:rFonts w:ascii="宋体" w:hAnsi="宋体"/>
          <w:b/>
          <w:sz w:val="28"/>
          <w:szCs w:val="28"/>
        </w:rPr>
      </w:pPr>
    </w:p>
    <w:p>
      <w:pPr>
        <w:ind w:left="0" w:leftChars="0" w:firstLine="0" w:firstLineChars="0"/>
        <w:rPr>
          <w:rFonts w:ascii="宋体" w:hAnsi="宋体"/>
          <w:b/>
          <w:kern w:val="0"/>
          <w:sz w:val="28"/>
          <w:szCs w:val="28"/>
        </w:rPr>
      </w:pPr>
      <w:r>
        <mc:AlternateContent>
          <mc:Choice Requires="wps">
            <w:drawing>
              <wp:anchor distT="0" distB="0" distL="114935" distR="114935" simplePos="0" relativeHeight="251661312" behindDoc="0" locked="0" layoutInCell="1" allowOverlap="1">
                <wp:simplePos x="0" y="0"/>
                <wp:positionH relativeFrom="column">
                  <wp:posOffset>4445</wp:posOffset>
                </wp:positionH>
                <wp:positionV relativeFrom="paragraph">
                  <wp:posOffset>324485</wp:posOffset>
                </wp:positionV>
                <wp:extent cx="5648325" cy="0"/>
                <wp:effectExtent l="0" t="13970" r="9525" b="24130"/>
                <wp:wrapNone/>
                <wp:docPr id="11" name="直接连接符 11"/>
                <wp:cNvGraphicFramePr/>
                <a:graphic xmlns:a="http://schemas.openxmlformats.org/drawingml/2006/main">
                  <a:graphicData uri="http://schemas.microsoft.com/office/word/2010/wordprocessingShape">
                    <wps:wsp>
                      <wps:cNvCnPr>
                        <a:cxnSpLocks noChangeShapeType="1"/>
                      </wps:cNvCnPr>
                      <wps:spPr bwMode="auto">
                        <a:xfrm>
                          <a:off x="0" y="0"/>
                          <a:ext cx="5648325" cy="0"/>
                        </a:xfrm>
                        <a:prstGeom prst="line">
                          <a:avLst/>
                        </a:prstGeom>
                        <a:noFill/>
                        <a:ln w="28575">
                          <a:solidFill>
                            <a:srgbClr val="000000"/>
                          </a:solidFill>
                          <a:round/>
                        </a:ln>
                      </wps:spPr>
                      <wps:bodyPr/>
                    </wps:wsp>
                  </a:graphicData>
                </a:graphic>
              </wp:anchor>
            </w:drawing>
          </mc:Choice>
          <mc:Fallback>
            <w:pict>
              <v:line id="_x0000_s1026" o:spid="_x0000_s1026" o:spt="20" style="position:absolute;left:0pt;margin-left:0.35pt;margin-top:25.55pt;height:0pt;width:444.75pt;z-index:251661312;mso-width-relative:page;mso-height-relative:page;" filled="f" stroked="t" coordsize="21600,21600" o:gfxdata="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9ptcxNMAAAAGAQAA&#10;DwAAAAAAAAABACAAAAAiAAAAZHJzL2Rvd25yZXYueG1sUEsBAhQAFAAAAAgAh07iQMVbMNnlAQAA&#10;rQMAAA4AAAAAAAAAAQAgAAAAIgEAAGRycy9lMm9Eb2MueG1sUEsFBgAAAAAGAAYAWQEAAHkFAAAA&#10;AA==&#10;">
                <v:fill on="f" focussize="0,0"/>
                <v:stroke weight="2.25pt" color="#000000" joinstyle="round"/>
                <v:imagedata o:title=""/>
                <o:lock v:ext="edit" aspectratio="f"/>
              </v:line>
            </w:pict>
          </mc:Fallback>
        </mc:AlternateContent>
      </w:r>
      <w:r>
        <w:rPr>
          <w:rFonts w:hint="eastAsia" w:ascii="宋体" w:hAnsi="宋体"/>
          <w:b/>
          <w:sz w:val="28"/>
          <w:szCs w:val="28"/>
        </w:rPr>
        <w:t>202</w:t>
      </w:r>
      <w:r>
        <w:rPr>
          <w:rFonts w:hint="eastAsia" w:ascii="宋体" w:hAnsi="宋体"/>
          <w:b/>
          <w:sz w:val="28"/>
          <w:szCs w:val="28"/>
          <w:lang w:val="en-US" w:eastAsia="zh-CN"/>
        </w:rPr>
        <w:t>2</w:t>
      </w:r>
      <w:r>
        <w:rPr>
          <w:rFonts w:hint="eastAsia" w:ascii="宋体" w:hAnsi="宋体"/>
          <w:b/>
          <w:sz w:val="28"/>
          <w:szCs w:val="28"/>
        </w:rPr>
        <w:t>年</w:t>
      </w:r>
      <w:r>
        <w:rPr>
          <w:rFonts w:hint="eastAsia" w:ascii="宋体" w:hAnsi="宋体"/>
          <w:b/>
          <w:sz w:val="28"/>
          <w:szCs w:val="28"/>
          <w:lang w:val="en-US" w:eastAsia="zh-CN"/>
        </w:rPr>
        <w:t>1</w:t>
      </w:r>
      <w:r>
        <w:rPr>
          <w:rFonts w:hint="eastAsia" w:ascii="宋体" w:hAnsi="宋体"/>
          <w:b/>
          <w:sz w:val="28"/>
          <w:szCs w:val="28"/>
        </w:rPr>
        <w:t>月</w:t>
      </w:r>
      <w:r>
        <w:rPr>
          <w:rFonts w:hint="eastAsia" w:ascii="宋体" w:hAnsi="宋体"/>
          <w:b/>
          <w:sz w:val="28"/>
          <w:szCs w:val="28"/>
          <w:lang w:val="en-US" w:eastAsia="zh-CN"/>
        </w:rPr>
        <w:t>10</w:t>
      </w:r>
      <w:r>
        <w:rPr>
          <w:rFonts w:hint="eastAsia" w:ascii="宋体" w:hAnsi="宋体"/>
          <w:b/>
          <w:sz w:val="28"/>
          <w:szCs w:val="28"/>
        </w:rPr>
        <w:t>日</w:t>
      </w:r>
      <w:r>
        <w:rPr>
          <w:rFonts w:hint="eastAsia" w:ascii="宋体" w:hAnsi="宋体"/>
          <w:b/>
          <w:kern w:val="0"/>
          <w:sz w:val="28"/>
          <w:szCs w:val="28"/>
        </w:rPr>
        <w:t xml:space="preserve">修订                        </w:t>
      </w:r>
      <w:r>
        <w:rPr>
          <w:rFonts w:hint="eastAsia" w:ascii="宋体" w:hAnsi="宋体"/>
          <w:b/>
          <w:sz w:val="28"/>
          <w:szCs w:val="28"/>
        </w:rPr>
        <w:t>202</w:t>
      </w:r>
      <w:r>
        <w:rPr>
          <w:rFonts w:hint="eastAsia" w:ascii="宋体" w:hAnsi="宋体"/>
          <w:b/>
          <w:sz w:val="28"/>
          <w:szCs w:val="28"/>
          <w:lang w:val="en-US" w:eastAsia="zh-CN"/>
        </w:rPr>
        <w:t>2</w:t>
      </w:r>
      <w:r>
        <w:rPr>
          <w:rFonts w:hint="eastAsia" w:ascii="宋体" w:hAnsi="宋体"/>
          <w:b/>
          <w:sz w:val="28"/>
          <w:szCs w:val="28"/>
        </w:rPr>
        <w:t>年</w:t>
      </w:r>
      <w:r>
        <w:rPr>
          <w:rFonts w:hint="eastAsia" w:ascii="宋体" w:hAnsi="宋体"/>
          <w:b/>
          <w:sz w:val="28"/>
          <w:szCs w:val="28"/>
          <w:lang w:val="en-US" w:eastAsia="zh-CN"/>
        </w:rPr>
        <w:t>1</w:t>
      </w:r>
      <w:r>
        <w:rPr>
          <w:rFonts w:hint="eastAsia" w:ascii="宋体" w:hAnsi="宋体"/>
          <w:b/>
          <w:sz w:val="28"/>
          <w:szCs w:val="28"/>
        </w:rPr>
        <w:t>月</w:t>
      </w:r>
      <w:r>
        <w:rPr>
          <w:rFonts w:hint="eastAsia" w:ascii="宋体" w:hAnsi="宋体"/>
          <w:b/>
          <w:sz w:val="28"/>
          <w:szCs w:val="28"/>
          <w:lang w:val="en-US" w:eastAsia="zh-CN"/>
        </w:rPr>
        <w:t>10</w:t>
      </w:r>
      <w:r>
        <w:rPr>
          <w:rFonts w:hint="eastAsia" w:ascii="宋体" w:hAnsi="宋体"/>
          <w:b/>
          <w:sz w:val="28"/>
          <w:szCs w:val="28"/>
        </w:rPr>
        <w:t>日</w:t>
      </w:r>
      <w:r>
        <w:rPr>
          <w:rFonts w:hint="eastAsia" w:ascii="宋体" w:hAnsi="宋体"/>
          <w:b/>
          <w:kern w:val="0"/>
          <w:sz w:val="28"/>
          <w:szCs w:val="28"/>
        </w:rPr>
        <w:t>实施</w:t>
      </w:r>
      <w:bookmarkEnd w:id="0"/>
    </w:p>
    <w:p>
      <w:pPr>
        <w:widowControl/>
        <w:jc w:val="left"/>
        <w:rPr>
          <w:rFonts w:ascii="楷体" w:hAnsi="楷体" w:eastAsia="楷体" w:cstheme="majorBidi"/>
          <w:caps/>
          <w:kern w:val="0"/>
          <w:sz w:val="36"/>
          <w:szCs w:val="72"/>
        </w:rPr>
      </w:pPr>
    </w:p>
    <w:p>
      <w:pPr>
        <w:spacing w:before="163" w:after="163" w:line="360" w:lineRule="auto"/>
        <w:ind w:firstLine="0" w:firstLineChars="0"/>
        <w:jc w:val="center"/>
        <w:rPr>
          <w:rFonts w:hint="eastAsia" w:ascii="宋体" w:hAnsi="宋体"/>
          <w:b/>
          <w:sz w:val="44"/>
          <w:lang w:val="zh-CN"/>
        </w:rPr>
        <w:sectPr>
          <w:footerReference r:id="rId6" w:type="default"/>
          <w:pgSz w:w="11911" w:h="16838"/>
          <w:pgMar w:top="1417" w:right="1417" w:bottom="1417" w:left="1417" w:header="720" w:footer="720" w:gutter="0"/>
          <w:lnNumType w:countBy="0" w:distance="360"/>
          <w:pgNumType w:start="1"/>
          <w:cols w:space="720" w:num="1"/>
          <w:docGrid w:linePitch="333" w:charSpace="0"/>
        </w:sectPr>
      </w:pPr>
    </w:p>
    <w:p>
      <w:pPr>
        <w:bidi w:val="0"/>
        <w:jc w:val="left"/>
        <w:rPr>
          <w:rFonts w:hint="eastAsia" w:ascii="Times New Roman" w:hAnsi="Times New Roman" w:eastAsia="宋体" w:cs="Times New Roman"/>
          <w:kern w:val="2"/>
          <w:sz w:val="21"/>
          <w:szCs w:val="24"/>
          <w:lang w:val="en-US" w:eastAsia="zh-CN" w:bidi="ar-SA"/>
        </w:rPr>
      </w:pPr>
    </w:p>
    <w:sdt>
      <w:sdtPr>
        <w:rPr>
          <w:rFonts w:ascii="宋体" w:hAnsi="宋体" w:eastAsia="宋体" w:cs="Times New Roman"/>
          <w:kern w:val="2"/>
          <w:sz w:val="28"/>
          <w:szCs w:val="28"/>
          <w:lang w:val="en-US" w:eastAsia="zh-CN" w:bidi="ar-SA"/>
        </w:rPr>
        <w:id w:val="147483330"/>
        <w15:color w:val="DBDBDB"/>
        <w:docPartObj>
          <w:docPartGallery w:val="Table of Contents"/>
          <w:docPartUnique/>
        </w:docPartObj>
      </w:sdtPr>
      <w:sdtEndPr>
        <w:rPr>
          <w:rFonts w:hint="eastAsia" w:ascii="Times New Roman" w:hAnsi="Times New Roman" w:eastAsia="宋体" w:cs="Times New Roman"/>
          <w:kern w:val="2"/>
          <w:sz w:val="21"/>
          <w:szCs w:val="24"/>
          <w:lang w:val="en-US" w:eastAsia="zh-CN" w:bidi="ar-SA"/>
        </w:rPr>
      </w:sdtEndPr>
      <w:sdtContent>
        <w:p>
          <w:pPr>
            <w:spacing w:before="0" w:beforeLines="0" w:after="0" w:afterLines="0" w:line="240" w:lineRule="auto"/>
            <w:ind w:left="0" w:leftChars="0" w:right="0" w:rightChars="0" w:firstLine="0" w:firstLineChars="0"/>
            <w:jc w:val="center"/>
          </w:pPr>
          <w:r>
            <w:rPr>
              <w:rFonts w:ascii="宋体" w:hAnsi="宋体" w:eastAsia="宋体"/>
              <w:sz w:val="21"/>
            </w:rPr>
            <w:t>目录</w:t>
          </w:r>
        </w:p>
        <w:p>
          <w:pPr>
            <w:pStyle w:val="6"/>
            <w:tabs>
              <w:tab w:val="right" w:leader="dot" w:pos="9638"/>
            </w:tabs>
          </w:pPr>
          <w:r>
            <w:rPr>
              <w:rFonts w:hint="eastAsia" w:ascii="Times New Roman" w:hAnsi="Times New Roman" w:eastAsia="宋体" w:cs="Times New Roman"/>
              <w:kern w:val="2"/>
              <w:sz w:val="21"/>
              <w:szCs w:val="24"/>
              <w:lang w:val="en-US" w:eastAsia="zh-CN" w:bidi="ar-SA"/>
            </w:rPr>
            <w:fldChar w:fldCharType="begin"/>
          </w:r>
          <w:r>
            <w:rPr>
              <w:rFonts w:hint="eastAsia" w:ascii="Times New Roman" w:hAnsi="Times New Roman" w:eastAsia="宋体" w:cs="Times New Roman"/>
              <w:kern w:val="2"/>
              <w:sz w:val="21"/>
              <w:szCs w:val="24"/>
              <w:lang w:val="en-US" w:eastAsia="zh-CN" w:bidi="ar-SA"/>
            </w:rPr>
            <w:instrText xml:space="preserve">TOC \o "1-1" \h \u </w:instrText>
          </w:r>
          <w:r>
            <w:rPr>
              <w:rFonts w:hint="eastAsia" w:ascii="Times New Roman" w:hAnsi="Times New Roman" w:eastAsia="宋体" w:cs="Times New Roman"/>
              <w:kern w:val="2"/>
              <w:sz w:val="21"/>
              <w:szCs w:val="24"/>
              <w:lang w:val="en-US" w:eastAsia="zh-CN" w:bidi="ar-SA"/>
            </w:rPr>
            <w:fldChar w:fldCharType="separate"/>
          </w:r>
          <w:r>
            <w:rPr>
              <w:rFonts w:hint="eastAsia" w:ascii="Times New Roman" w:hAnsi="Times New Roman" w:eastAsia="宋体" w:cs="Times New Roman"/>
              <w:kern w:val="2"/>
              <w:szCs w:val="24"/>
              <w:lang w:val="en-US" w:eastAsia="zh-CN" w:bidi="ar-SA"/>
            </w:rPr>
            <w:fldChar w:fldCharType="begin"/>
          </w:r>
          <w:r>
            <w:rPr>
              <w:rFonts w:hint="eastAsia" w:ascii="Times New Roman" w:hAnsi="Times New Roman" w:eastAsia="宋体" w:cs="Times New Roman"/>
              <w:kern w:val="2"/>
              <w:szCs w:val="24"/>
              <w:lang w:val="en-US" w:eastAsia="zh-CN" w:bidi="ar-SA"/>
            </w:rPr>
            <w:instrText xml:space="preserve"> HYPERLINK \l _Toc7886 </w:instrText>
          </w:r>
          <w:r>
            <w:rPr>
              <w:rFonts w:hint="eastAsia" w:ascii="Times New Roman" w:hAnsi="Times New Roman" w:eastAsia="宋体" w:cs="Times New Roman"/>
              <w:kern w:val="2"/>
              <w:szCs w:val="24"/>
              <w:lang w:val="en-US" w:eastAsia="zh-CN" w:bidi="ar-SA"/>
            </w:rPr>
            <w:fldChar w:fldCharType="separate"/>
          </w:r>
          <w:r>
            <w:rPr>
              <w:rFonts w:hint="eastAsia"/>
            </w:rPr>
            <w:t>1、概述</w:t>
          </w:r>
          <w:r>
            <w:tab/>
          </w:r>
          <w:r>
            <w:fldChar w:fldCharType="begin"/>
          </w:r>
          <w:r>
            <w:instrText xml:space="preserve"> PAGEREF _Toc7886 \h </w:instrText>
          </w:r>
          <w:r>
            <w:fldChar w:fldCharType="separate"/>
          </w:r>
          <w:r>
            <w:t>1</w:t>
          </w:r>
          <w:r>
            <w:fldChar w:fldCharType="end"/>
          </w:r>
          <w:r>
            <w:rPr>
              <w:rFonts w:hint="eastAsia" w:ascii="Times New Roman" w:hAnsi="Times New Roman" w:eastAsia="宋体" w:cs="Times New Roman"/>
              <w:kern w:val="2"/>
              <w:szCs w:val="24"/>
              <w:lang w:val="en-US" w:eastAsia="zh-CN" w:bidi="ar-SA"/>
            </w:rPr>
            <w:fldChar w:fldCharType="end"/>
          </w:r>
        </w:p>
        <w:p>
          <w:pPr>
            <w:pStyle w:val="6"/>
            <w:tabs>
              <w:tab w:val="right" w:leader="dot" w:pos="9638"/>
            </w:tabs>
          </w:pPr>
          <w:r>
            <w:rPr>
              <w:rFonts w:hint="eastAsia" w:ascii="Times New Roman" w:hAnsi="Times New Roman" w:eastAsia="宋体" w:cs="Times New Roman"/>
              <w:kern w:val="2"/>
              <w:szCs w:val="24"/>
              <w:lang w:val="en-US" w:eastAsia="zh-CN" w:bidi="ar-SA"/>
            </w:rPr>
            <w:fldChar w:fldCharType="begin"/>
          </w:r>
          <w:r>
            <w:rPr>
              <w:rFonts w:hint="eastAsia" w:ascii="Times New Roman" w:hAnsi="Times New Roman" w:eastAsia="宋体" w:cs="Times New Roman"/>
              <w:kern w:val="2"/>
              <w:szCs w:val="24"/>
              <w:lang w:val="en-US" w:eastAsia="zh-CN" w:bidi="ar-SA"/>
            </w:rPr>
            <w:instrText xml:space="preserve"> HYPERLINK \l _Toc26990 </w:instrText>
          </w:r>
          <w:r>
            <w:rPr>
              <w:rFonts w:hint="eastAsia" w:ascii="Times New Roman" w:hAnsi="Times New Roman" w:eastAsia="宋体" w:cs="Times New Roman"/>
              <w:kern w:val="2"/>
              <w:szCs w:val="24"/>
              <w:lang w:val="en-US" w:eastAsia="zh-CN" w:bidi="ar-SA"/>
            </w:rPr>
            <w:fldChar w:fldCharType="separate"/>
          </w:r>
          <w:r>
            <w:rPr>
              <w:rFonts w:hint="eastAsia"/>
            </w:rPr>
            <w:t>2、</w:t>
          </w:r>
          <w:r>
            <w:rPr>
              <w:rFonts w:hint="eastAsia"/>
              <w:lang w:val="en-US" w:eastAsia="zh-CN"/>
            </w:rPr>
            <w:t>适用</w:t>
          </w:r>
          <w:r>
            <w:rPr>
              <w:rFonts w:hint="eastAsia"/>
            </w:rPr>
            <w:t>范围</w:t>
          </w:r>
          <w:r>
            <w:tab/>
          </w:r>
          <w:r>
            <w:fldChar w:fldCharType="begin"/>
          </w:r>
          <w:r>
            <w:instrText xml:space="preserve"> PAGEREF _Toc26990 \h </w:instrText>
          </w:r>
          <w:r>
            <w:fldChar w:fldCharType="separate"/>
          </w:r>
          <w:r>
            <w:t>1</w:t>
          </w:r>
          <w:r>
            <w:fldChar w:fldCharType="end"/>
          </w:r>
          <w:r>
            <w:rPr>
              <w:rFonts w:hint="eastAsia" w:ascii="Times New Roman" w:hAnsi="Times New Roman" w:eastAsia="宋体" w:cs="Times New Roman"/>
              <w:kern w:val="2"/>
              <w:szCs w:val="24"/>
              <w:lang w:val="en-US" w:eastAsia="zh-CN" w:bidi="ar-SA"/>
            </w:rPr>
            <w:fldChar w:fldCharType="end"/>
          </w:r>
        </w:p>
        <w:p>
          <w:pPr>
            <w:pStyle w:val="6"/>
            <w:tabs>
              <w:tab w:val="right" w:leader="dot" w:pos="9638"/>
            </w:tabs>
          </w:pPr>
          <w:r>
            <w:rPr>
              <w:rFonts w:hint="eastAsia" w:ascii="Times New Roman" w:hAnsi="Times New Roman" w:eastAsia="宋体" w:cs="Times New Roman"/>
              <w:kern w:val="2"/>
              <w:szCs w:val="24"/>
              <w:lang w:val="en-US" w:eastAsia="zh-CN" w:bidi="ar-SA"/>
            </w:rPr>
            <w:fldChar w:fldCharType="begin"/>
          </w:r>
          <w:r>
            <w:rPr>
              <w:rFonts w:hint="eastAsia" w:ascii="Times New Roman" w:hAnsi="Times New Roman" w:eastAsia="宋体" w:cs="Times New Roman"/>
              <w:kern w:val="2"/>
              <w:szCs w:val="24"/>
              <w:lang w:val="en-US" w:eastAsia="zh-CN" w:bidi="ar-SA"/>
            </w:rPr>
            <w:instrText xml:space="preserve"> HYPERLINK \l _Toc20197 </w:instrText>
          </w:r>
          <w:r>
            <w:rPr>
              <w:rFonts w:hint="eastAsia" w:ascii="Times New Roman" w:hAnsi="Times New Roman" w:eastAsia="宋体" w:cs="Times New Roman"/>
              <w:kern w:val="2"/>
              <w:szCs w:val="24"/>
              <w:lang w:val="en-US" w:eastAsia="zh-CN" w:bidi="ar-SA"/>
            </w:rPr>
            <w:fldChar w:fldCharType="separate"/>
          </w:r>
          <w:r>
            <w:rPr>
              <w:rFonts w:hint="eastAsia"/>
              <w:lang w:val="en-US" w:eastAsia="zh-CN"/>
            </w:rPr>
            <w:t>3、</w:t>
          </w:r>
          <w:r>
            <w:rPr>
              <w:rFonts w:hint="eastAsia"/>
            </w:rPr>
            <w:t>民用爆炸物品装卸安全操作规程</w:t>
          </w:r>
          <w:r>
            <w:tab/>
          </w:r>
          <w:r>
            <w:fldChar w:fldCharType="begin"/>
          </w:r>
          <w:r>
            <w:instrText xml:space="preserve"> PAGEREF _Toc20197 \h </w:instrText>
          </w:r>
          <w:r>
            <w:fldChar w:fldCharType="separate"/>
          </w:r>
          <w:r>
            <w:t>1</w:t>
          </w:r>
          <w:r>
            <w:fldChar w:fldCharType="end"/>
          </w:r>
          <w:r>
            <w:rPr>
              <w:rFonts w:hint="eastAsia" w:ascii="Times New Roman" w:hAnsi="Times New Roman" w:eastAsia="宋体" w:cs="Times New Roman"/>
              <w:kern w:val="2"/>
              <w:szCs w:val="24"/>
              <w:lang w:val="en-US" w:eastAsia="zh-CN" w:bidi="ar-SA"/>
            </w:rPr>
            <w:fldChar w:fldCharType="end"/>
          </w:r>
        </w:p>
        <w:p>
          <w:pPr>
            <w:pStyle w:val="6"/>
            <w:tabs>
              <w:tab w:val="right" w:leader="dot" w:pos="9638"/>
            </w:tabs>
          </w:pPr>
          <w:r>
            <w:rPr>
              <w:rFonts w:hint="eastAsia" w:ascii="Times New Roman" w:hAnsi="Times New Roman" w:eastAsia="宋体" w:cs="Times New Roman"/>
              <w:kern w:val="2"/>
              <w:szCs w:val="24"/>
              <w:lang w:val="en-US" w:eastAsia="zh-CN" w:bidi="ar-SA"/>
            </w:rPr>
            <w:fldChar w:fldCharType="begin"/>
          </w:r>
          <w:r>
            <w:rPr>
              <w:rFonts w:hint="eastAsia" w:ascii="Times New Roman" w:hAnsi="Times New Roman" w:eastAsia="宋体" w:cs="Times New Roman"/>
              <w:kern w:val="2"/>
              <w:szCs w:val="24"/>
              <w:lang w:val="en-US" w:eastAsia="zh-CN" w:bidi="ar-SA"/>
            </w:rPr>
            <w:instrText xml:space="preserve"> HYPERLINK \l _Toc494 </w:instrText>
          </w:r>
          <w:r>
            <w:rPr>
              <w:rFonts w:hint="eastAsia" w:ascii="Times New Roman" w:hAnsi="Times New Roman" w:eastAsia="宋体" w:cs="Times New Roman"/>
              <w:kern w:val="2"/>
              <w:szCs w:val="24"/>
              <w:lang w:val="en-US" w:eastAsia="zh-CN" w:bidi="ar-SA"/>
            </w:rPr>
            <w:fldChar w:fldCharType="separate"/>
          </w:r>
          <w:r>
            <w:rPr>
              <w:rFonts w:hint="eastAsia"/>
              <w:lang w:val="en-US" w:eastAsia="zh-CN"/>
            </w:rPr>
            <w:t>4、技防验证安全技术操作规程</w:t>
          </w:r>
          <w:r>
            <w:tab/>
          </w:r>
          <w:r>
            <w:fldChar w:fldCharType="begin"/>
          </w:r>
          <w:r>
            <w:instrText xml:space="preserve"> PAGEREF _Toc494 \h </w:instrText>
          </w:r>
          <w:r>
            <w:fldChar w:fldCharType="separate"/>
          </w:r>
          <w:r>
            <w:t>3</w:t>
          </w:r>
          <w:r>
            <w:fldChar w:fldCharType="end"/>
          </w:r>
          <w:r>
            <w:rPr>
              <w:rFonts w:hint="eastAsia" w:ascii="Times New Roman" w:hAnsi="Times New Roman" w:eastAsia="宋体" w:cs="Times New Roman"/>
              <w:kern w:val="2"/>
              <w:szCs w:val="24"/>
              <w:lang w:val="en-US" w:eastAsia="zh-CN" w:bidi="ar-SA"/>
            </w:rPr>
            <w:fldChar w:fldCharType="end"/>
          </w:r>
        </w:p>
        <w:p>
          <w:pPr>
            <w:pStyle w:val="6"/>
            <w:tabs>
              <w:tab w:val="right" w:leader="dot" w:pos="9638"/>
            </w:tabs>
          </w:pPr>
          <w:r>
            <w:rPr>
              <w:rFonts w:hint="eastAsia" w:ascii="Times New Roman" w:hAnsi="Times New Roman" w:eastAsia="宋体" w:cs="Times New Roman"/>
              <w:kern w:val="2"/>
              <w:szCs w:val="24"/>
              <w:lang w:val="en-US" w:eastAsia="zh-CN" w:bidi="ar-SA"/>
            </w:rPr>
            <w:fldChar w:fldCharType="begin"/>
          </w:r>
          <w:r>
            <w:rPr>
              <w:rFonts w:hint="eastAsia" w:ascii="Times New Roman" w:hAnsi="Times New Roman" w:eastAsia="宋体" w:cs="Times New Roman"/>
              <w:kern w:val="2"/>
              <w:szCs w:val="24"/>
              <w:lang w:val="en-US" w:eastAsia="zh-CN" w:bidi="ar-SA"/>
            </w:rPr>
            <w:instrText xml:space="preserve"> HYPERLINK \l _Toc25657 </w:instrText>
          </w:r>
          <w:r>
            <w:rPr>
              <w:rFonts w:hint="eastAsia" w:ascii="Times New Roman" w:hAnsi="Times New Roman" w:eastAsia="宋体" w:cs="Times New Roman"/>
              <w:kern w:val="2"/>
              <w:szCs w:val="24"/>
              <w:lang w:val="en-US" w:eastAsia="zh-CN" w:bidi="ar-SA"/>
            </w:rPr>
            <w:fldChar w:fldCharType="separate"/>
          </w:r>
          <w:r>
            <w:rPr>
              <w:rFonts w:hint="eastAsia"/>
              <w:lang w:val="en-US" w:eastAsia="zh-CN"/>
            </w:rPr>
            <w:t>5、雷管分零安全技术操作规程</w:t>
          </w:r>
          <w:r>
            <w:tab/>
          </w:r>
          <w:r>
            <w:fldChar w:fldCharType="begin"/>
          </w:r>
          <w:r>
            <w:instrText xml:space="preserve"> PAGEREF _Toc25657 \h </w:instrText>
          </w:r>
          <w:r>
            <w:fldChar w:fldCharType="separate"/>
          </w:r>
          <w:r>
            <w:t>5</w:t>
          </w:r>
          <w:r>
            <w:fldChar w:fldCharType="end"/>
          </w:r>
          <w:r>
            <w:rPr>
              <w:rFonts w:hint="eastAsia" w:ascii="Times New Roman" w:hAnsi="Times New Roman" w:eastAsia="宋体" w:cs="Times New Roman"/>
              <w:kern w:val="2"/>
              <w:szCs w:val="24"/>
              <w:lang w:val="en-US" w:eastAsia="zh-CN" w:bidi="ar-SA"/>
            </w:rPr>
            <w:fldChar w:fldCharType="end"/>
          </w:r>
        </w:p>
        <w:p>
          <w:pPr>
            <w:pStyle w:val="6"/>
            <w:tabs>
              <w:tab w:val="right" w:leader="dot" w:pos="9638"/>
            </w:tabs>
          </w:pPr>
          <w:r>
            <w:rPr>
              <w:rFonts w:hint="eastAsia" w:ascii="Times New Roman" w:hAnsi="Times New Roman" w:eastAsia="宋体" w:cs="Times New Roman"/>
              <w:kern w:val="2"/>
              <w:szCs w:val="24"/>
              <w:lang w:val="en-US" w:eastAsia="zh-CN" w:bidi="ar-SA"/>
            </w:rPr>
            <w:fldChar w:fldCharType="begin"/>
          </w:r>
          <w:r>
            <w:rPr>
              <w:rFonts w:hint="eastAsia" w:ascii="Times New Roman" w:hAnsi="Times New Roman" w:eastAsia="宋体" w:cs="Times New Roman"/>
              <w:kern w:val="2"/>
              <w:szCs w:val="24"/>
              <w:lang w:val="en-US" w:eastAsia="zh-CN" w:bidi="ar-SA"/>
            </w:rPr>
            <w:instrText xml:space="preserve"> HYPERLINK \l _Toc6675 </w:instrText>
          </w:r>
          <w:r>
            <w:rPr>
              <w:rFonts w:hint="eastAsia" w:ascii="Times New Roman" w:hAnsi="Times New Roman" w:eastAsia="宋体" w:cs="Times New Roman"/>
              <w:kern w:val="2"/>
              <w:szCs w:val="24"/>
              <w:lang w:val="en-US" w:eastAsia="zh-CN" w:bidi="ar-SA"/>
            </w:rPr>
            <w:fldChar w:fldCharType="separate"/>
          </w:r>
          <w:r>
            <w:rPr>
              <w:rFonts w:hint="eastAsia"/>
              <w:lang w:val="en-US" w:eastAsia="zh-CN"/>
            </w:rPr>
            <w:t>6、</w:t>
          </w:r>
          <w:r>
            <w:rPr>
              <w:rFonts w:hint="eastAsia"/>
            </w:rPr>
            <w:t>民用爆炸物品</w:t>
          </w:r>
          <w:r>
            <w:rPr>
              <w:rFonts w:hint="eastAsia"/>
              <w:lang w:eastAsia="zh-CN"/>
            </w:rPr>
            <w:t>出入库</w:t>
          </w:r>
          <w:r>
            <w:rPr>
              <w:rFonts w:hint="eastAsia" w:ascii="仿宋" w:hAnsi="仿宋" w:eastAsia="仿宋" w:cs="仿宋"/>
              <w:bCs/>
              <w:szCs w:val="28"/>
            </w:rPr>
            <w:t>安全</w:t>
          </w:r>
          <w:r>
            <w:rPr>
              <w:rFonts w:hint="eastAsia" w:ascii="仿宋" w:hAnsi="仿宋" w:cs="仿宋"/>
              <w:bCs/>
              <w:szCs w:val="28"/>
              <w:lang w:eastAsia="zh-CN"/>
            </w:rPr>
            <w:t>技术</w:t>
          </w:r>
          <w:r>
            <w:rPr>
              <w:rFonts w:hint="eastAsia" w:ascii="仿宋" w:hAnsi="仿宋" w:eastAsia="仿宋" w:cs="仿宋"/>
              <w:bCs/>
              <w:szCs w:val="28"/>
            </w:rPr>
            <w:t>操作规程</w:t>
          </w:r>
          <w:r>
            <w:tab/>
          </w:r>
          <w:r>
            <w:fldChar w:fldCharType="begin"/>
          </w:r>
          <w:r>
            <w:instrText xml:space="preserve"> PAGEREF _Toc6675 \h </w:instrText>
          </w:r>
          <w:r>
            <w:fldChar w:fldCharType="separate"/>
          </w:r>
          <w:r>
            <w:t>5</w:t>
          </w:r>
          <w:r>
            <w:fldChar w:fldCharType="end"/>
          </w:r>
          <w:r>
            <w:rPr>
              <w:rFonts w:hint="eastAsia" w:ascii="Times New Roman" w:hAnsi="Times New Roman" w:eastAsia="宋体" w:cs="Times New Roman"/>
              <w:kern w:val="2"/>
              <w:szCs w:val="24"/>
              <w:lang w:val="en-US" w:eastAsia="zh-CN" w:bidi="ar-SA"/>
            </w:rPr>
            <w:fldChar w:fldCharType="end"/>
          </w:r>
        </w:p>
        <w:p>
          <w:pPr>
            <w:pStyle w:val="6"/>
            <w:tabs>
              <w:tab w:val="right" w:leader="dot" w:pos="9638"/>
            </w:tabs>
          </w:pPr>
          <w:r>
            <w:rPr>
              <w:rFonts w:hint="eastAsia" w:ascii="Times New Roman" w:hAnsi="Times New Roman" w:eastAsia="宋体" w:cs="Times New Roman"/>
              <w:kern w:val="2"/>
              <w:szCs w:val="24"/>
              <w:lang w:val="en-US" w:eastAsia="zh-CN" w:bidi="ar-SA"/>
            </w:rPr>
            <w:fldChar w:fldCharType="begin"/>
          </w:r>
          <w:r>
            <w:rPr>
              <w:rFonts w:hint="eastAsia" w:ascii="Times New Roman" w:hAnsi="Times New Roman" w:eastAsia="宋体" w:cs="Times New Roman"/>
              <w:kern w:val="2"/>
              <w:szCs w:val="24"/>
              <w:lang w:val="en-US" w:eastAsia="zh-CN" w:bidi="ar-SA"/>
            </w:rPr>
            <w:instrText xml:space="preserve"> HYPERLINK \l _Toc13700 </w:instrText>
          </w:r>
          <w:r>
            <w:rPr>
              <w:rFonts w:hint="eastAsia" w:ascii="Times New Roman" w:hAnsi="Times New Roman" w:eastAsia="宋体" w:cs="Times New Roman"/>
              <w:kern w:val="2"/>
              <w:szCs w:val="24"/>
              <w:lang w:val="en-US" w:eastAsia="zh-CN" w:bidi="ar-SA"/>
            </w:rPr>
            <w:fldChar w:fldCharType="separate"/>
          </w:r>
          <w:r>
            <w:rPr>
              <w:rFonts w:hint="eastAsia"/>
              <w:lang w:val="en-US" w:eastAsia="zh-CN"/>
            </w:rPr>
            <w:t>7、</w:t>
          </w:r>
          <w:r>
            <w:rPr>
              <w:rFonts w:hint="eastAsia"/>
            </w:rPr>
            <w:t>民用爆炸物品</w:t>
          </w:r>
          <w:r>
            <w:rPr>
              <w:rFonts w:hint="eastAsia"/>
              <w:lang w:eastAsia="zh-CN"/>
            </w:rPr>
            <w:t>配送</w:t>
          </w:r>
          <w:r>
            <w:rPr>
              <w:rFonts w:hint="eastAsia" w:ascii="仿宋" w:hAnsi="仿宋" w:eastAsia="仿宋" w:cs="仿宋"/>
              <w:bCs/>
              <w:szCs w:val="28"/>
            </w:rPr>
            <w:t>安全操作规程</w:t>
          </w:r>
          <w:r>
            <w:tab/>
          </w:r>
          <w:r>
            <w:fldChar w:fldCharType="begin"/>
          </w:r>
          <w:r>
            <w:instrText xml:space="preserve"> PAGEREF _Toc13700 \h </w:instrText>
          </w:r>
          <w:r>
            <w:fldChar w:fldCharType="separate"/>
          </w:r>
          <w:r>
            <w:t>6</w:t>
          </w:r>
          <w:r>
            <w:fldChar w:fldCharType="end"/>
          </w:r>
          <w:r>
            <w:rPr>
              <w:rFonts w:hint="eastAsia" w:ascii="Times New Roman" w:hAnsi="Times New Roman" w:eastAsia="宋体" w:cs="Times New Roman"/>
              <w:kern w:val="2"/>
              <w:szCs w:val="24"/>
              <w:lang w:val="en-US" w:eastAsia="zh-CN" w:bidi="ar-SA"/>
            </w:rPr>
            <w:fldChar w:fldCharType="end"/>
          </w:r>
        </w:p>
        <w:p>
          <w:pPr>
            <w:pStyle w:val="6"/>
            <w:tabs>
              <w:tab w:val="right" w:leader="dot" w:pos="9638"/>
            </w:tabs>
          </w:pPr>
          <w:r>
            <w:rPr>
              <w:rFonts w:hint="eastAsia" w:ascii="Times New Roman" w:hAnsi="Times New Roman" w:eastAsia="宋体" w:cs="Times New Roman"/>
              <w:kern w:val="2"/>
              <w:szCs w:val="24"/>
              <w:lang w:val="en-US" w:eastAsia="zh-CN" w:bidi="ar-SA"/>
            </w:rPr>
            <w:fldChar w:fldCharType="begin"/>
          </w:r>
          <w:r>
            <w:rPr>
              <w:rFonts w:hint="eastAsia" w:ascii="Times New Roman" w:hAnsi="Times New Roman" w:eastAsia="宋体" w:cs="Times New Roman"/>
              <w:kern w:val="2"/>
              <w:szCs w:val="24"/>
              <w:lang w:val="en-US" w:eastAsia="zh-CN" w:bidi="ar-SA"/>
            </w:rPr>
            <w:instrText xml:space="preserve"> HYPERLINK \l _Toc29349 </w:instrText>
          </w:r>
          <w:r>
            <w:rPr>
              <w:rFonts w:hint="eastAsia" w:ascii="Times New Roman" w:hAnsi="Times New Roman" w:eastAsia="宋体" w:cs="Times New Roman"/>
              <w:kern w:val="2"/>
              <w:szCs w:val="24"/>
              <w:lang w:val="en-US" w:eastAsia="zh-CN" w:bidi="ar-SA"/>
            </w:rPr>
            <w:fldChar w:fldCharType="separate"/>
          </w:r>
          <w:r>
            <w:rPr>
              <w:rFonts w:hint="eastAsia"/>
              <w:lang w:val="en-US" w:eastAsia="zh-CN"/>
            </w:rPr>
            <w:t>8、</w:t>
          </w:r>
          <w:r>
            <w:rPr>
              <w:rFonts w:hint="eastAsia"/>
            </w:rPr>
            <w:t>消防、技防设施安全技术操作规程</w:t>
          </w:r>
          <w:r>
            <w:tab/>
          </w:r>
          <w:r>
            <w:fldChar w:fldCharType="begin"/>
          </w:r>
          <w:r>
            <w:instrText xml:space="preserve"> PAGEREF _Toc29349 \h </w:instrText>
          </w:r>
          <w:r>
            <w:fldChar w:fldCharType="separate"/>
          </w:r>
          <w:r>
            <w:t>9</w:t>
          </w:r>
          <w:r>
            <w:fldChar w:fldCharType="end"/>
          </w:r>
          <w:r>
            <w:rPr>
              <w:rFonts w:hint="eastAsia" w:ascii="Times New Roman" w:hAnsi="Times New Roman" w:eastAsia="宋体" w:cs="Times New Roman"/>
              <w:kern w:val="2"/>
              <w:szCs w:val="24"/>
              <w:lang w:val="en-US" w:eastAsia="zh-CN" w:bidi="ar-SA"/>
            </w:rPr>
            <w:fldChar w:fldCharType="end"/>
          </w:r>
        </w:p>
        <w:p>
          <w:pPr>
            <w:bidi w:val="0"/>
            <w:jc w:val="left"/>
            <w:rPr>
              <w:rFonts w:hint="eastAsia" w:ascii="Times New Roman" w:hAnsi="Times New Roman" w:eastAsia="宋体" w:cs="Times New Roman"/>
              <w:kern w:val="2"/>
              <w:sz w:val="21"/>
              <w:szCs w:val="24"/>
              <w:lang w:val="en-US" w:eastAsia="zh-CN" w:bidi="ar-SA"/>
            </w:rPr>
            <w:sectPr>
              <w:headerReference r:id="rId9" w:type="first"/>
              <w:footerReference r:id="rId12" w:type="first"/>
              <w:headerReference r:id="rId7" w:type="default"/>
              <w:footerReference r:id="rId10" w:type="default"/>
              <w:headerReference r:id="rId8" w:type="even"/>
              <w:footerReference r:id="rId11" w:type="even"/>
              <w:pgSz w:w="11906" w:h="16838"/>
              <w:pgMar w:top="1191" w:right="1134" w:bottom="1247" w:left="1134" w:header="851" w:footer="992" w:gutter="0"/>
              <w:pgNumType w:start="1"/>
              <w:cols w:space="720" w:num="1"/>
              <w:titlePg/>
              <w:docGrid w:type="lines" w:linePitch="381" w:charSpace="0"/>
            </w:sectPr>
          </w:pPr>
          <w:r>
            <w:rPr>
              <w:rFonts w:hint="eastAsia" w:ascii="Times New Roman" w:hAnsi="Times New Roman" w:eastAsia="宋体" w:cs="Times New Roman"/>
              <w:kern w:val="2"/>
              <w:szCs w:val="24"/>
              <w:lang w:val="en-US" w:eastAsia="zh-CN" w:bidi="ar-SA"/>
            </w:rPr>
            <w:fldChar w:fldCharType="end"/>
          </w:r>
        </w:p>
      </w:sdtContent>
    </w:sdt>
    <w:p>
      <w:pPr>
        <w:spacing w:line="240" w:lineRule="auto"/>
        <w:ind w:firstLine="0" w:firstLineChars="0"/>
        <w:jc w:val="center"/>
        <w:rPr>
          <w:rFonts w:hint="eastAsia"/>
          <w:b/>
          <w:sz w:val="32"/>
          <w:szCs w:val="15"/>
          <w:lang w:val="en-US" w:eastAsia="zh-CN"/>
        </w:rPr>
      </w:pPr>
      <w:bookmarkStart w:id="1" w:name="_Toc9677"/>
      <w:r>
        <w:rPr>
          <w:rFonts w:hint="eastAsia"/>
          <w:b/>
          <w:sz w:val="32"/>
          <w:szCs w:val="15"/>
          <w:lang w:val="en-US" w:eastAsia="zh-CN"/>
        </w:rPr>
        <w:t>民用爆炸物品储运设施</w:t>
      </w:r>
    </w:p>
    <w:p>
      <w:pPr>
        <w:spacing w:line="240" w:lineRule="auto"/>
        <w:ind w:firstLine="0" w:firstLineChars="0"/>
        <w:jc w:val="center"/>
        <w:rPr>
          <w:rFonts w:hint="eastAsia"/>
          <w:b/>
          <w:sz w:val="32"/>
          <w:szCs w:val="15"/>
        </w:rPr>
      </w:pPr>
      <w:r>
        <w:rPr>
          <w:rFonts w:hint="eastAsia"/>
          <w:b/>
          <w:sz w:val="32"/>
          <w:szCs w:val="15"/>
          <w:lang w:eastAsia="zh-CN"/>
        </w:rPr>
        <w:t>安全技术操作规程</w:t>
      </w:r>
    </w:p>
    <w:p>
      <w:pPr>
        <w:pStyle w:val="2"/>
        <w:bidi w:val="0"/>
        <w:rPr>
          <w:rFonts w:hint="eastAsia"/>
        </w:rPr>
      </w:pPr>
      <w:bookmarkStart w:id="2" w:name="_Toc7886"/>
      <w:r>
        <w:rPr>
          <w:rFonts w:hint="eastAsia"/>
        </w:rPr>
        <w:t>1、概述</w:t>
      </w:r>
      <w:bookmarkEnd w:id="1"/>
      <w:bookmarkEnd w:id="2"/>
    </w:p>
    <w:p>
      <w:pPr>
        <w:bidi w:val="0"/>
        <w:rPr>
          <w:rFonts w:hint="eastAsia"/>
        </w:rPr>
      </w:pPr>
      <w:r>
        <w:rPr>
          <w:rFonts w:hint="eastAsia"/>
          <w:lang w:eastAsia="zh-CN"/>
        </w:rPr>
        <w:t>四川泛亚爆破工程 有限公司</w:t>
      </w:r>
      <w:r>
        <w:rPr>
          <w:rFonts w:hint="eastAsia"/>
        </w:rPr>
        <w:t>坚持“安全第一、预防为主、综合治理”的方针</w:t>
      </w:r>
      <w:r>
        <w:rPr>
          <w:rFonts w:hint="eastAsia"/>
          <w:lang w:eastAsia="zh-CN"/>
        </w:rPr>
        <w:t>，</w:t>
      </w:r>
      <w:r>
        <w:rPr>
          <w:rFonts w:hint="eastAsia"/>
        </w:rPr>
        <w:t>严格</w:t>
      </w:r>
      <w:r>
        <w:rPr>
          <w:rFonts w:hint="eastAsia"/>
          <w:lang w:val="en-US" w:eastAsia="zh-CN"/>
        </w:rPr>
        <w:t>按照</w:t>
      </w:r>
      <w:r>
        <w:rPr>
          <w:rFonts w:hint="eastAsia"/>
        </w:rPr>
        <w:t>国家和有关行政主管部门颁发的有关安全生产的法律、法规、标准、规范和规定</w:t>
      </w:r>
      <w:r>
        <w:rPr>
          <w:rFonts w:hint="eastAsia"/>
          <w:lang w:eastAsia="zh-CN"/>
        </w:rPr>
        <w:t>，</w:t>
      </w:r>
      <w:r>
        <w:rPr>
          <w:rFonts w:hint="eastAsia"/>
          <w:lang w:val="en-US" w:eastAsia="zh-CN"/>
        </w:rPr>
        <w:t>制定民用爆炸物品储运设施安全技术操作规程，民用爆炸物品储运设施</w:t>
      </w:r>
      <w:r>
        <w:rPr>
          <w:rFonts w:hint="eastAsia"/>
          <w:lang w:eastAsia="zh-CN"/>
        </w:rPr>
        <w:t>作业人员</w:t>
      </w:r>
      <w:r>
        <w:rPr>
          <w:rFonts w:hint="eastAsia"/>
        </w:rPr>
        <w:t>应严格遵守安全守则、操作规程等以使生产过程得到有效控制来保障安全生产。</w:t>
      </w:r>
    </w:p>
    <w:p>
      <w:pPr>
        <w:pStyle w:val="2"/>
        <w:bidi w:val="0"/>
        <w:rPr>
          <w:rFonts w:hint="eastAsia"/>
        </w:rPr>
      </w:pPr>
      <w:bookmarkStart w:id="3" w:name="_Toc3816"/>
      <w:bookmarkStart w:id="4" w:name="_Toc26990"/>
      <w:r>
        <w:rPr>
          <w:rFonts w:hint="eastAsia"/>
        </w:rPr>
        <w:t>2、</w:t>
      </w:r>
      <w:r>
        <w:rPr>
          <w:rFonts w:hint="eastAsia"/>
          <w:lang w:val="en-US" w:eastAsia="zh-CN"/>
        </w:rPr>
        <w:t>适用</w:t>
      </w:r>
      <w:r>
        <w:rPr>
          <w:rFonts w:hint="eastAsia"/>
        </w:rPr>
        <w:t>范围</w:t>
      </w:r>
      <w:bookmarkEnd w:id="3"/>
      <w:bookmarkEnd w:id="4"/>
    </w:p>
    <w:p>
      <w:pPr>
        <w:bidi w:val="0"/>
        <w:rPr>
          <w:rFonts w:hint="eastAsia"/>
        </w:rPr>
      </w:pPr>
      <w:r>
        <w:rPr>
          <w:rFonts w:hint="eastAsia"/>
        </w:rPr>
        <w:t>本规程规适用于</w:t>
      </w:r>
      <w:r>
        <w:rPr>
          <w:rFonts w:hint="eastAsia"/>
          <w:lang w:eastAsia="zh-CN"/>
        </w:rPr>
        <w:t>四川泛亚爆破工程 有限公司民用爆炸物品储运设施作业</w:t>
      </w:r>
      <w:r>
        <w:rPr>
          <w:rFonts w:hint="eastAsia"/>
          <w:lang w:val="en-US" w:eastAsia="zh-CN"/>
        </w:rPr>
        <w:t>指导</w:t>
      </w:r>
      <w:r>
        <w:rPr>
          <w:rFonts w:hint="eastAsia"/>
        </w:rPr>
        <w:t>。</w:t>
      </w:r>
    </w:p>
    <w:p>
      <w:pPr>
        <w:pStyle w:val="2"/>
        <w:bidi w:val="0"/>
        <w:rPr>
          <w:rFonts w:hint="eastAsia"/>
        </w:rPr>
      </w:pPr>
      <w:bookmarkStart w:id="5" w:name="_Toc20197"/>
      <w:r>
        <w:rPr>
          <w:rFonts w:hint="eastAsia"/>
          <w:lang w:val="en-US" w:eastAsia="zh-CN"/>
        </w:rPr>
        <w:t>3、</w:t>
      </w:r>
      <w:r>
        <w:rPr>
          <w:rFonts w:hint="eastAsia"/>
        </w:rPr>
        <w:t>民用爆炸物品装卸</w:t>
      </w:r>
      <w:r>
        <w:rPr>
          <w:rFonts w:hint="eastAsia"/>
        </w:rPr>
        <w:fldChar w:fldCharType="begin"/>
      </w:r>
      <w:r>
        <w:rPr>
          <w:rFonts w:hint="eastAsia"/>
        </w:rPr>
        <w:instrText xml:space="preserve"> HYPERLINK "http://www.mkaq.org/" \t "_blank" \o "煤矿安全网" </w:instrText>
      </w:r>
      <w:r>
        <w:rPr>
          <w:rFonts w:hint="eastAsia"/>
        </w:rPr>
        <w:fldChar w:fldCharType="separate"/>
      </w:r>
      <w:r>
        <w:rPr>
          <w:rFonts w:hint="eastAsia"/>
        </w:rPr>
        <w:t>安全</w:t>
      </w:r>
      <w:r>
        <w:rPr>
          <w:rFonts w:hint="eastAsia"/>
        </w:rPr>
        <w:fldChar w:fldCharType="end"/>
      </w:r>
      <w:r>
        <w:rPr>
          <w:rFonts w:hint="eastAsia"/>
        </w:rPr>
        <w:fldChar w:fldCharType="begin"/>
      </w:r>
      <w:r>
        <w:rPr>
          <w:rFonts w:hint="eastAsia"/>
        </w:rPr>
        <w:instrText xml:space="preserve"> HYPERLINK "http://www.mkaq.org/czgc/" \t "_blank" \o "煤矿操作规程 安全规程" </w:instrText>
      </w:r>
      <w:r>
        <w:rPr>
          <w:rFonts w:hint="eastAsia"/>
        </w:rPr>
        <w:fldChar w:fldCharType="separate"/>
      </w:r>
      <w:r>
        <w:rPr>
          <w:rFonts w:hint="eastAsia"/>
        </w:rPr>
        <w:t>操作规程</w:t>
      </w:r>
      <w:r>
        <w:rPr>
          <w:rFonts w:hint="eastAsia"/>
        </w:rPr>
        <w:fldChar w:fldCharType="end"/>
      </w:r>
      <w:bookmarkEnd w:id="5"/>
    </w:p>
    <w:p>
      <w:pPr>
        <w:pStyle w:val="3"/>
        <w:bidi w:val="0"/>
        <w:rPr>
          <w:rFonts w:hint="eastAsia"/>
          <w:lang w:val="en-US" w:eastAsia="zh-CN"/>
        </w:rPr>
      </w:pPr>
      <w:r>
        <w:rPr>
          <w:rFonts w:hint="eastAsia"/>
          <w:lang w:val="en-US" w:eastAsia="zh-CN"/>
        </w:rPr>
        <w:t>3.1、检查与准备</w:t>
      </w:r>
    </w:p>
    <w:p>
      <w:pPr>
        <w:bidi w:val="0"/>
        <w:rPr>
          <w:rFonts w:hint="eastAsia"/>
          <w:lang w:val="en-US" w:eastAsia="zh-CN"/>
        </w:rPr>
      </w:pPr>
      <w:r>
        <w:rPr>
          <w:rFonts w:hint="eastAsia"/>
          <w:lang w:val="en-US" w:eastAsia="zh-CN"/>
        </w:rPr>
        <w:t>3.1.1、工作前，排除周围的障碍物，正确穿戴劳保用品。</w:t>
      </w:r>
    </w:p>
    <w:p>
      <w:pPr>
        <w:bidi w:val="0"/>
        <w:rPr>
          <w:rFonts w:hint="eastAsia"/>
          <w:lang w:val="en-US" w:eastAsia="zh-CN"/>
        </w:rPr>
      </w:pPr>
      <w:r>
        <w:rPr>
          <w:rFonts w:hint="eastAsia"/>
          <w:lang w:val="en-US" w:eastAsia="zh-CN"/>
        </w:rPr>
        <w:t>3.1.2、装卸前必须确认转运车停放平稳。</w:t>
      </w:r>
    </w:p>
    <w:p>
      <w:pPr>
        <w:bidi w:val="0"/>
        <w:rPr>
          <w:rFonts w:hint="default"/>
          <w:lang w:val="en-US" w:eastAsia="zh-CN"/>
        </w:rPr>
      </w:pPr>
      <w:r>
        <w:rPr>
          <w:rFonts w:hint="eastAsia"/>
          <w:lang w:val="en-US" w:eastAsia="zh-CN"/>
        </w:rPr>
        <w:t>3.1.3、核对需要装卸的产品规格型号和数量。</w:t>
      </w:r>
    </w:p>
    <w:p>
      <w:pPr>
        <w:pStyle w:val="3"/>
        <w:bidi w:val="0"/>
        <w:rPr>
          <w:rFonts w:hint="eastAsia"/>
          <w:lang w:val="en-US" w:eastAsia="zh-CN"/>
        </w:rPr>
      </w:pPr>
      <w:r>
        <w:rPr>
          <w:rFonts w:hint="eastAsia"/>
          <w:lang w:val="en-US" w:eastAsia="zh-CN"/>
        </w:rPr>
        <w:t>3.2、操作规程</w:t>
      </w:r>
    </w:p>
    <w:p>
      <w:pPr>
        <w:pStyle w:val="4"/>
        <w:bidi w:val="0"/>
        <w:rPr>
          <w:rFonts w:hint="default"/>
          <w:lang w:val="en-US" w:eastAsia="zh-CN"/>
        </w:rPr>
      </w:pPr>
      <w:r>
        <w:rPr>
          <w:rFonts w:hint="eastAsia"/>
          <w:lang w:val="en-US" w:eastAsia="zh-CN"/>
        </w:rPr>
        <w:t>3.2.1、卸货规程</w:t>
      </w:r>
    </w:p>
    <w:p>
      <w:pPr>
        <w:bidi w:val="0"/>
        <w:rPr>
          <w:rFonts w:hint="eastAsia"/>
        </w:rPr>
      </w:pPr>
      <w:r>
        <w:rPr>
          <w:rFonts w:hint="eastAsia"/>
          <w:lang w:val="en-US" w:eastAsia="zh-CN"/>
        </w:rPr>
        <w:t>3.2.1、</w:t>
      </w:r>
      <w:r>
        <w:rPr>
          <w:rFonts w:hint="eastAsia"/>
        </w:rPr>
        <w:t>从事装卸作业的人员应了解所装卸物品的性能和熟悉</w:t>
      </w:r>
      <w:r>
        <w:rPr>
          <w:rFonts w:hint="eastAsia"/>
        </w:rPr>
        <w:fldChar w:fldCharType="begin"/>
      </w:r>
      <w:r>
        <w:rPr>
          <w:rFonts w:hint="eastAsia"/>
        </w:rPr>
        <w:instrText xml:space="preserve"> HYPERLINK "http://www.mkaq.org/" \t "_blank" \o "煤矿安全网" </w:instrText>
      </w:r>
      <w:r>
        <w:rPr>
          <w:rFonts w:hint="eastAsia"/>
        </w:rPr>
        <w:fldChar w:fldCharType="separate"/>
      </w:r>
      <w:r>
        <w:rPr>
          <w:rFonts w:hint="eastAsia" w:ascii="仿宋" w:hAnsi="仿宋" w:eastAsia="仿宋" w:cs="仿宋"/>
          <w:b w:val="0"/>
          <w:bCs w:val="0"/>
          <w:color w:val="auto"/>
          <w:szCs w:val="28"/>
          <w:u w:val="none"/>
        </w:rPr>
        <w:t>安全</w:t>
      </w:r>
      <w:r>
        <w:rPr>
          <w:rFonts w:hint="eastAsia" w:ascii="仿宋" w:hAnsi="仿宋" w:eastAsia="仿宋" w:cs="仿宋"/>
          <w:b w:val="0"/>
          <w:bCs w:val="0"/>
          <w:color w:val="auto"/>
          <w:szCs w:val="28"/>
          <w:u w:val="none"/>
        </w:rPr>
        <w:fldChar w:fldCharType="end"/>
      </w:r>
      <w:r>
        <w:rPr>
          <w:rFonts w:hint="eastAsia"/>
        </w:rPr>
        <w:t>规定，经培训考试合格，持证上岗。装卸人员应遵守仓库的</w:t>
      </w:r>
      <w:r>
        <w:rPr>
          <w:rFonts w:hint="eastAsia"/>
        </w:rPr>
        <w:fldChar w:fldCharType="begin"/>
      </w:r>
      <w:r>
        <w:rPr>
          <w:rFonts w:hint="eastAsia"/>
        </w:rPr>
        <w:instrText xml:space="preserve"> HYPERLINK "http://www.mkaq.org/mkgl/glzd/" \t "_blank" \o "煤矿安全管理制度 煤矿制度" </w:instrText>
      </w:r>
      <w:r>
        <w:rPr>
          <w:rFonts w:hint="eastAsia"/>
        </w:rPr>
        <w:fldChar w:fldCharType="separate"/>
      </w:r>
      <w:r>
        <w:rPr>
          <w:rFonts w:hint="eastAsia" w:ascii="仿宋" w:hAnsi="仿宋" w:eastAsia="仿宋" w:cs="仿宋"/>
          <w:b w:val="0"/>
          <w:bCs w:val="0"/>
          <w:color w:val="auto"/>
          <w:szCs w:val="28"/>
          <w:u w:val="none"/>
        </w:rPr>
        <w:t>管理制度</w:t>
      </w:r>
      <w:r>
        <w:rPr>
          <w:rFonts w:hint="eastAsia" w:ascii="仿宋" w:hAnsi="仿宋" w:eastAsia="仿宋" w:cs="仿宋"/>
          <w:b w:val="0"/>
          <w:bCs w:val="0"/>
          <w:color w:val="auto"/>
          <w:szCs w:val="28"/>
          <w:u w:val="none"/>
        </w:rPr>
        <w:fldChar w:fldCharType="end"/>
      </w:r>
      <w:r>
        <w:rPr>
          <w:rFonts w:hint="eastAsia"/>
        </w:rPr>
        <w:t>，不准穿带有铁钉的或带高跟的鞋和易产生静电的服装进行作业。严禁老弱病残人员从事装卸作业，从事装卸作业的人员要相对固定，听从</w:t>
      </w:r>
      <w:r>
        <w:rPr>
          <w:rFonts w:hint="eastAsia"/>
        </w:rPr>
        <w:fldChar w:fldCharType="begin"/>
      </w:r>
      <w:r>
        <w:rPr>
          <w:rFonts w:hint="eastAsia"/>
        </w:rPr>
        <w:instrText xml:space="preserve"> HYPERLINK "http://www.mkaq.org/mkgl/" \t "_blank" \o "煤矿管理" </w:instrText>
      </w:r>
      <w:r>
        <w:rPr>
          <w:rFonts w:hint="eastAsia"/>
        </w:rPr>
        <w:fldChar w:fldCharType="separate"/>
      </w:r>
      <w:r>
        <w:rPr>
          <w:rFonts w:hint="eastAsia" w:ascii="仿宋" w:hAnsi="仿宋" w:eastAsia="仿宋" w:cs="仿宋"/>
          <w:b w:val="0"/>
          <w:bCs w:val="0"/>
          <w:color w:val="auto"/>
          <w:szCs w:val="28"/>
          <w:u w:val="none"/>
        </w:rPr>
        <w:t>管理</w:t>
      </w:r>
      <w:r>
        <w:rPr>
          <w:rFonts w:hint="eastAsia" w:ascii="仿宋" w:hAnsi="仿宋" w:eastAsia="仿宋" w:cs="仿宋"/>
          <w:b w:val="0"/>
          <w:bCs w:val="0"/>
          <w:color w:val="auto"/>
          <w:szCs w:val="28"/>
          <w:u w:val="none"/>
        </w:rPr>
        <w:fldChar w:fldCharType="end"/>
      </w:r>
      <w:r>
        <w:rPr>
          <w:rFonts w:hint="eastAsia"/>
        </w:rPr>
        <w:t>人员或库管员的指挥。</w:t>
      </w:r>
    </w:p>
    <w:p>
      <w:pPr>
        <w:bidi w:val="0"/>
        <w:rPr>
          <w:rFonts w:hint="eastAsia"/>
        </w:rPr>
      </w:pPr>
      <w:r>
        <w:rPr>
          <w:rFonts w:hint="eastAsia"/>
          <w:lang w:val="en-US" w:eastAsia="zh-CN"/>
        </w:rPr>
        <w:t>3.2.2、</w:t>
      </w:r>
      <w:r>
        <w:rPr>
          <w:rFonts w:hint="eastAsia"/>
        </w:rPr>
        <w:fldChar w:fldCharType="begin"/>
      </w:r>
      <w:r>
        <w:rPr>
          <w:rFonts w:hint="eastAsia"/>
        </w:rPr>
        <w:instrText xml:space="preserve"> HYPERLINK "http://www.mkaq.org/mkgl/" \t "_blank" \o "煤矿管理" </w:instrText>
      </w:r>
      <w:r>
        <w:rPr>
          <w:rFonts w:hint="eastAsia"/>
        </w:rPr>
        <w:fldChar w:fldCharType="separate"/>
      </w:r>
      <w:r>
        <w:rPr>
          <w:rFonts w:hint="eastAsia" w:ascii="仿宋" w:hAnsi="仿宋" w:eastAsia="仿宋" w:cs="仿宋"/>
          <w:b w:val="0"/>
          <w:bCs w:val="0"/>
          <w:color w:val="auto"/>
          <w:szCs w:val="28"/>
          <w:u w:val="none"/>
        </w:rPr>
        <w:t>管理</w:t>
      </w:r>
      <w:r>
        <w:rPr>
          <w:rFonts w:hint="eastAsia" w:ascii="仿宋" w:hAnsi="仿宋" w:eastAsia="仿宋" w:cs="仿宋"/>
          <w:b w:val="0"/>
          <w:bCs w:val="0"/>
          <w:color w:val="auto"/>
          <w:szCs w:val="28"/>
          <w:u w:val="none"/>
        </w:rPr>
        <w:fldChar w:fldCharType="end"/>
      </w:r>
      <w:r>
        <w:rPr>
          <w:rFonts w:hint="eastAsia"/>
        </w:rPr>
        <w:t>人员或库管员应根据装卸物品的种类、数量、装卸场地的条件、气候情况，向作业人员进行工作和</w:t>
      </w:r>
      <w:r>
        <w:rPr>
          <w:rFonts w:hint="eastAsia"/>
        </w:rPr>
        <w:fldChar w:fldCharType="begin"/>
      </w:r>
      <w:r>
        <w:rPr>
          <w:rFonts w:hint="eastAsia"/>
        </w:rPr>
        <w:instrText xml:space="preserve"> HYPERLINK "http://www.mkaq.org/" \t "_blank" \o "煤矿安全网" </w:instrText>
      </w:r>
      <w:r>
        <w:rPr>
          <w:rFonts w:hint="eastAsia"/>
        </w:rPr>
        <w:fldChar w:fldCharType="separate"/>
      </w:r>
      <w:r>
        <w:rPr>
          <w:rFonts w:hint="eastAsia" w:ascii="仿宋" w:hAnsi="仿宋" w:eastAsia="仿宋" w:cs="仿宋"/>
          <w:b w:val="0"/>
          <w:bCs w:val="0"/>
          <w:color w:val="auto"/>
          <w:szCs w:val="28"/>
          <w:u w:val="none"/>
        </w:rPr>
        <w:t>安全</w:t>
      </w:r>
      <w:r>
        <w:rPr>
          <w:rFonts w:hint="eastAsia" w:ascii="仿宋" w:hAnsi="仿宋" w:eastAsia="仿宋" w:cs="仿宋"/>
          <w:b w:val="0"/>
          <w:bCs w:val="0"/>
          <w:color w:val="auto"/>
          <w:szCs w:val="28"/>
          <w:u w:val="none"/>
        </w:rPr>
        <w:fldChar w:fldCharType="end"/>
      </w:r>
      <w:r>
        <w:rPr>
          <w:rFonts w:hint="eastAsia"/>
        </w:rPr>
        <w:t>注意事项的布置和交待，并对整个装卸过程进行指挥和监督。</w:t>
      </w:r>
    </w:p>
    <w:p>
      <w:pPr>
        <w:bidi w:val="0"/>
        <w:rPr>
          <w:rFonts w:hint="eastAsia"/>
        </w:rPr>
      </w:pPr>
      <w:r>
        <w:rPr>
          <w:rFonts w:hint="eastAsia"/>
          <w:lang w:val="en-US" w:eastAsia="zh-CN"/>
        </w:rPr>
        <w:t>3.2.3、</w:t>
      </w:r>
      <w:r>
        <w:rPr>
          <w:rFonts w:hint="eastAsia"/>
        </w:rPr>
        <w:t>装卸作业宜在白天进行，夜间作业应有足够的照明。天气条件恶劣时，如遇雷雨、强风、冰雹时应停止作业。</w:t>
      </w:r>
    </w:p>
    <w:p>
      <w:pPr>
        <w:bidi w:val="0"/>
        <w:rPr>
          <w:rFonts w:hint="eastAsia"/>
        </w:rPr>
      </w:pPr>
      <w:r>
        <w:rPr>
          <w:rFonts w:hint="eastAsia"/>
          <w:lang w:val="en-US" w:eastAsia="zh-CN"/>
        </w:rPr>
        <w:t>3.2.4、</w:t>
      </w:r>
      <w:r>
        <w:rPr>
          <w:rFonts w:hint="eastAsia"/>
        </w:rPr>
        <w:t>人工搬运时一人一次只充许搬运一件，如采用专用手推车转运时一次只允许转运五件，并有防止坠落的</w:t>
      </w:r>
      <w:r>
        <w:rPr>
          <w:rFonts w:hint="eastAsia"/>
        </w:rPr>
        <w:fldChar w:fldCharType="begin"/>
      </w:r>
      <w:r>
        <w:rPr>
          <w:rFonts w:hint="eastAsia"/>
        </w:rPr>
        <w:instrText xml:space="preserve"> HYPERLINK "http://www.mkaq.org/jscs/" \t "_blank" \o "煤矿安全措施" </w:instrText>
      </w:r>
      <w:r>
        <w:rPr>
          <w:rFonts w:hint="eastAsia"/>
        </w:rPr>
        <w:fldChar w:fldCharType="separate"/>
      </w:r>
      <w:r>
        <w:rPr>
          <w:rFonts w:hint="eastAsia" w:ascii="仿宋" w:hAnsi="仿宋" w:eastAsia="仿宋" w:cs="仿宋"/>
          <w:b w:val="0"/>
          <w:bCs w:val="0"/>
          <w:color w:val="auto"/>
          <w:szCs w:val="28"/>
          <w:u w:val="none"/>
        </w:rPr>
        <w:t>措施</w:t>
      </w:r>
      <w:r>
        <w:rPr>
          <w:rFonts w:hint="eastAsia" w:ascii="仿宋" w:hAnsi="仿宋" w:eastAsia="仿宋" w:cs="仿宋"/>
          <w:b w:val="0"/>
          <w:bCs w:val="0"/>
          <w:color w:val="auto"/>
          <w:szCs w:val="28"/>
          <w:u w:val="none"/>
        </w:rPr>
        <w:fldChar w:fldCharType="end"/>
      </w:r>
      <w:r>
        <w:rPr>
          <w:rFonts w:hint="eastAsia"/>
        </w:rPr>
        <w:t>。作业时应注意轻取轻放，稳步行走、防止碰撞或掉箱，严禁拖拽、翻滚、抛送、摔放、撞击、敲打、脚踏、坐卧、震动、倒置包装件，严禁相互在手中直接传递包装件，注意作业过程的防雨、防晒。</w:t>
      </w:r>
    </w:p>
    <w:p>
      <w:pPr>
        <w:bidi w:val="0"/>
        <w:rPr>
          <w:rFonts w:hint="eastAsia"/>
        </w:rPr>
      </w:pPr>
      <w:r>
        <w:rPr>
          <w:rFonts w:hint="eastAsia"/>
          <w:lang w:val="en-US" w:eastAsia="zh-CN"/>
        </w:rPr>
        <w:t>3.2.5、</w:t>
      </w:r>
      <w:r>
        <w:rPr>
          <w:rFonts w:hint="eastAsia"/>
        </w:rPr>
        <w:t>应在距仓库门不小于2.5m处进行装卸作业，严禁车辆抵近库门装卸货物。仓库装卸平台应有防止车辆碰撞的</w:t>
      </w:r>
      <w:r>
        <w:rPr>
          <w:rFonts w:hint="eastAsia"/>
        </w:rPr>
        <w:fldChar w:fldCharType="begin"/>
      </w:r>
      <w:r>
        <w:rPr>
          <w:rFonts w:hint="eastAsia"/>
        </w:rPr>
        <w:instrText xml:space="preserve"> HYPERLINK "http://www.mkaq.org/jscs/" \t "_blank" \o "煤矿安全措施" </w:instrText>
      </w:r>
      <w:r>
        <w:rPr>
          <w:rFonts w:hint="eastAsia"/>
        </w:rPr>
        <w:fldChar w:fldCharType="separate"/>
      </w:r>
      <w:r>
        <w:rPr>
          <w:rFonts w:hint="eastAsia" w:ascii="仿宋" w:hAnsi="仿宋" w:eastAsia="仿宋" w:cs="仿宋"/>
          <w:b w:val="0"/>
          <w:bCs w:val="0"/>
          <w:color w:val="auto"/>
          <w:szCs w:val="28"/>
          <w:u w:val="none"/>
        </w:rPr>
        <w:t>措施</w:t>
      </w:r>
      <w:r>
        <w:rPr>
          <w:rFonts w:hint="eastAsia" w:ascii="仿宋" w:hAnsi="仿宋" w:eastAsia="仿宋" w:cs="仿宋"/>
          <w:b w:val="0"/>
          <w:bCs w:val="0"/>
          <w:color w:val="auto"/>
          <w:szCs w:val="28"/>
          <w:u w:val="none"/>
        </w:rPr>
        <w:fldChar w:fldCharType="end"/>
      </w:r>
      <w:r>
        <w:rPr>
          <w:rFonts w:hint="eastAsia"/>
        </w:rPr>
        <w:t>。</w:t>
      </w:r>
    </w:p>
    <w:p>
      <w:pPr>
        <w:bidi w:val="0"/>
        <w:rPr>
          <w:rFonts w:hint="eastAsia"/>
        </w:rPr>
      </w:pPr>
      <w:r>
        <w:rPr>
          <w:rFonts w:hint="eastAsia"/>
          <w:lang w:val="en-US" w:eastAsia="zh-CN"/>
        </w:rPr>
        <w:t>3.2.6、</w:t>
      </w:r>
      <w:r>
        <w:rPr>
          <w:rFonts w:hint="eastAsia"/>
        </w:rPr>
        <w:t>严禁在同一装卸点装卸相互抵触的爆破器材。互为抵触的爆破器材严禁装入同一车厢内，对于装卸同类爆破器材也应逐车装卸，不得在同一装卸点同时对两车或两车以上进行交叉作业。必须按照 “卸货优先、轻车让重车”的原则安排爆破器材的装卸工作。</w:t>
      </w:r>
    </w:p>
    <w:p>
      <w:pPr>
        <w:bidi w:val="0"/>
        <w:rPr>
          <w:rFonts w:hint="eastAsia"/>
        </w:rPr>
      </w:pPr>
      <w:r>
        <w:rPr>
          <w:rFonts w:hint="eastAsia"/>
        </w:rPr>
        <w:t>当装卸点有车辆正在作业时，待装卸的车辆应停放在距装卸点30m外或在防护土堤的保护范围内。</w:t>
      </w:r>
    </w:p>
    <w:p>
      <w:pPr>
        <w:bidi w:val="0"/>
        <w:rPr>
          <w:rFonts w:hint="eastAsia"/>
        </w:rPr>
      </w:pPr>
      <w:r>
        <w:rPr>
          <w:rFonts w:hint="eastAsia"/>
          <w:lang w:val="en-US" w:eastAsia="zh-CN"/>
        </w:rPr>
        <w:t>3.2.7、</w:t>
      </w:r>
      <w:r>
        <w:rPr>
          <w:rFonts w:hint="eastAsia"/>
        </w:rPr>
        <w:t>如搬运时发现爆破器材的箱体破裂、松开或箱盖脱落不得装运，小心卸下后单独放置以便及时更换包装，对于由于受压而略有变形的纸箱可考虑在装卸时摆放在箱堆的上部。装卸时如发现产品药剂撒出，应立即停止装卸作业，在单位</w:t>
      </w:r>
      <w:r>
        <w:rPr>
          <w:rFonts w:hint="eastAsia"/>
        </w:rPr>
        <w:fldChar w:fldCharType="begin"/>
      </w:r>
      <w:r>
        <w:rPr>
          <w:rFonts w:hint="eastAsia"/>
        </w:rPr>
        <w:instrText xml:space="preserve"> HYPERLINK "http://www.mkaq.org/" \t "_blank" \o "煤矿安全网" </w:instrText>
      </w:r>
      <w:r>
        <w:rPr>
          <w:rFonts w:hint="eastAsia"/>
        </w:rPr>
        <w:fldChar w:fldCharType="separate"/>
      </w:r>
      <w:r>
        <w:rPr>
          <w:rFonts w:hint="eastAsia" w:ascii="仿宋" w:hAnsi="仿宋" w:eastAsia="仿宋" w:cs="仿宋"/>
          <w:b w:val="0"/>
          <w:bCs w:val="0"/>
          <w:color w:val="auto"/>
          <w:szCs w:val="28"/>
          <w:u w:val="none"/>
        </w:rPr>
        <w:t>安全</w:t>
      </w:r>
      <w:r>
        <w:rPr>
          <w:rFonts w:hint="eastAsia" w:ascii="仿宋" w:hAnsi="仿宋" w:eastAsia="仿宋" w:cs="仿宋"/>
          <w:b w:val="0"/>
          <w:bCs w:val="0"/>
          <w:color w:val="auto"/>
          <w:szCs w:val="28"/>
          <w:u w:val="none"/>
        </w:rPr>
        <w:fldChar w:fldCharType="end"/>
      </w:r>
      <w:r>
        <w:rPr>
          <w:rFonts w:hint="eastAsia"/>
        </w:rPr>
        <w:t>员的指导下，将撒药的的箱包移至</w:t>
      </w:r>
      <w:r>
        <w:rPr>
          <w:rFonts w:hint="eastAsia"/>
        </w:rPr>
        <w:fldChar w:fldCharType="begin"/>
      </w:r>
      <w:r>
        <w:rPr>
          <w:rFonts w:hint="eastAsia"/>
        </w:rPr>
        <w:instrText xml:space="preserve"> HYPERLINK "http://www.mkaq.org/" \t "_blank" \o "煤矿安全网" </w:instrText>
      </w:r>
      <w:r>
        <w:rPr>
          <w:rFonts w:hint="eastAsia"/>
        </w:rPr>
        <w:fldChar w:fldCharType="separate"/>
      </w:r>
      <w:r>
        <w:rPr>
          <w:rFonts w:hint="eastAsia" w:ascii="仿宋" w:hAnsi="仿宋" w:eastAsia="仿宋" w:cs="仿宋"/>
          <w:b w:val="0"/>
          <w:bCs w:val="0"/>
          <w:color w:val="auto"/>
          <w:szCs w:val="28"/>
          <w:u w:val="none"/>
        </w:rPr>
        <w:t>安全</w:t>
      </w:r>
      <w:r>
        <w:rPr>
          <w:rFonts w:hint="eastAsia" w:ascii="仿宋" w:hAnsi="仿宋" w:eastAsia="仿宋" w:cs="仿宋"/>
          <w:b w:val="0"/>
          <w:bCs w:val="0"/>
          <w:color w:val="auto"/>
          <w:szCs w:val="28"/>
          <w:u w:val="none"/>
        </w:rPr>
        <w:fldChar w:fldCharType="end"/>
      </w:r>
      <w:r>
        <w:rPr>
          <w:rFonts w:hint="eastAsia"/>
        </w:rPr>
        <w:t>地带，并对撒有药剂的地点进行处理和清扫后，方能恢复作业。</w:t>
      </w:r>
    </w:p>
    <w:p>
      <w:pPr>
        <w:bidi w:val="0"/>
        <w:rPr>
          <w:rFonts w:hint="eastAsia"/>
        </w:rPr>
      </w:pPr>
      <w:r>
        <w:rPr>
          <w:rFonts w:hint="eastAsia"/>
          <w:lang w:val="en-US" w:eastAsia="zh-CN"/>
        </w:rPr>
        <w:t>3.2.8、</w:t>
      </w:r>
      <w:r>
        <w:rPr>
          <w:rFonts w:hint="eastAsia"/>
        </w:rPr>
        <w:t>装车时，爆破器材装量不得超过车辆额定的装载量，不得倒置或侧放包装箱。普通汽车(己采取了防盗、防火</w:t>
      </w:r>
      <w:r>
        <w:rPr>
          <w:rFonts w:hint="eastAsia"/>
        </w:rPr>
        <w:fldChar w:fldCharType="begin"/>
      </w:r>
      <w:r>
        <w:rPr>
          <w:rFonts w:hint="eastAsia"/>
        </w:rPr>
        <w:instrText xml:space="preserve"> HYPERLINK "http://www.mkaq.org/jscs/" \t "_blank" \o "煤矿安全措施" </w:instrText>
      </w:r>
      <w:r>
        <w:rPr>
          <w:rFonts w:hint="eastAsia"/>
        </w:rPr>
        <w:fldChar w:fldCharType="separate"/>
      </w:r>
      <w:r>
        <w:rPr>
          <w:rFonts w:hint="eastAsia" w:ascii="仿宋" w:hAnsi="仿宋" w:eastAsia="仿宋" w:cs="仿宋"/>
          <w:b w:val="0"/>
          <w:bCs w:val="0"/>
          <w:color w:val="auto"/>
          <w:szCs w:val="28"/>
          <w:u w:val="none"/>
        </w:rPr>
        <w:t>措施</w:t>
      </w:r>
      <w:r>
        <w:rPr>
          <w:rFonts w:hint="eastAsia" w:ascii="仿宋" w:hAnsi="仿宋" w:eastAsia="仿宋" w:cs="仿宋"/>
          <w:b w:val="0"/>
          <w:bCs w:val="0"/>
          <w:color w:val="auto"/>
          <w:szCs w:val="28"/>
          <w:u w:val="none"/>
        </w:rPr>
        <w:fldChar w:fldCharType="end"/>
      </w:r>
      <w:r>
        <w:rPr>
          <w:rFonts w:hint="eastAsia"/>
        </w:rPr>
        <w:t>的车辆)装载雷管时，箱堆高度要低于车厢边帮的1/3，炸药纸箱高度不宜超过五个箱高且超出边帮的高度不应超过包装箱高度的三分之一，车厢内不应留有空隙，应采取防止箱体移动产生碰撞的措施。检查无误后盖好蓬布，并将其捆绑牢固，再关锁好后车门;专用运输车装载爆破器材时，考虑到运输</w:t>
      </w:r>
      <w:r>
        <w:rPr>
          <w:rFonts w:hint="eastAsia"/>
        </w:rPr>
        <w:fldChar w:fldCharType="begin"/>
      </w:r>
      <w:r>
        <w:rPr>
          <w:rFonts w:hint="eastAsia"/>
        </w:rPr>
        <w:instrText xml:space="preserve"> HYPERLINK "http://www.mkaq.org/" \t "_blank" \o "煤矿安全网" </w:instrText>
      </w:r>
      <w:r>
        <w:rPr>
          <w:rFonts w:hint="eastAsia"/>
        </w:rPr>
        <w:fldChar w:fldCharType="separate"/>
      </w:r>
      <w:r>
        <w:rPr>
          <w:rFonts w:hint="eastAsia" w:ascii="仿宋" w:hAnsi="仿宋" w:eastAsia="仿宋" w:cs="仿宋"/>
          <w:b w:val="0"/>
          <w:bCs w:val="0"/>
          <w:color w:val="auto"/>
          <w:szCs w:val="28"/>
          <w:u w:val="none"/>
        </w:rPr>
        <w:t>安全</w:t>
      </w:r>
      <w:r>
        <w:rPr>
          <w:rFonts w:hint="eastAsia" w:ascii="仿宋" w:hAnsi="仿宋" w:eastAsia="仿宋" w:cs="仿宋"/>
          <w:b w:val="0"/>
          <w:bCs w:val="0"/>
          <w:color w:val="auto"/>
          <w:szCs w:val="28"/>
          <w:u w:val="none"/>
        </w:rPr>
        <w:fldChar w:fldCharType="end"/>
      </w:r>
      <w:r>
        <w:rPr>
          <w:rFonts w:hint="eastAsia"/>
        </w:rPr>
        <w:t>，不超载，纸箱的承受强度等方面的因素，箱垛高度不应超过1.5m，最好每垛不超过五箱。载货完毕后使用专用捆绑带和挂钩将箱子固定，关锁好车门。</w:t>
      </w:r>
    </w:p>
    <w:p>
      <w:pPr>
        <w:bidi w:val="0"/>
        <w:rPr>
          <w:rFonts w:hint="eastAsia"/>
        </w:rPr>
      </w:pPr>
      <w:r>
        <w:rPr>
          <w:rFonts w:hint="eastAsia"/>
          <w:lang w:val="en-US" w:eastAsia="zh-CN"/>
        </w:rPr>
        <w:t>3.2.9、</w:t>
      </w:r>
      <w:r>
        <w:rPr>
          <w:rFonts w:hint="eastAsia"/>
        </w:rPr>
        <w:t>中途部分卸货后，应立即调整包装件的位置、高度并重新加以固定防止包装件在车箱内的坠落和位移。</w:t>
      </w:r>
    </w:p>
    <w:p>
      <w:pPr>
        <w:bidi w:val="0"/>
        <w:rPr>
          <w:rFonts w:hint="eastAsia"/>
        </w:rPr>
      </w:pPr>
      <w:r>
        <w:rPr>
          <w:rFonts w:hint="eastAsia"/>
          <w:lang w:val="en-US" w:eastAsia="zh-CN"/>
        </w:rPr>
        <w:t>3.2.10、</w:t>
      </w:r>
      <w:r>
        <w:rPr>
          <w:rFonts w:hint="eastAsia"/>
        </w:rPr>
        <w:t>设有雷管防爆罐(箱)的民爆器材专用运输车，在运载炸药时可以同车装载少量雷管，但装载的雷管必须置于密闭的防爆罐(箱)内，其装载的量不允许超过车辆技术说明书的规定。严禁为了增加雷管的装载量而自行改装、增加或取消防爆罐(箱)。</w:t>
      </w:r>
    </w:p>
    <w:p>
      <w:pPr>
        <w:bidi w:val="0"/>
        <w:rPr>
          <w:rFonts w:hint="eastAsia"/>
        </w:rPr>
      </w:pPr>
      <w:r>
        <w:rPr>
          <w:rFonts w:hint="eastAsia"/>
          <w:lang w:val="en-US" w:eastAsia="zh-CN"/>
        </w:rPr>
        <w:t>3.2.11、</w:t>
      </w:r>
      <w:r>
        <w:rPr>
          <w:rFonts w:hint="eastAsia"/>
        </w:rPr>
        <w:t>爆破器材装卸完成后，库管员应和押运员应共同清点发出或收到货物的数量，按规定履行提货或接货手续。</w:t>
      </w:r>
    </w:p>
    <w:p>
      <w:pPr>
        <w:pStyle w:val="2"/>
        <w:bidi w:val="0"/>
        <w:rPr>
          <w:rFonts w:hint="eastAsia"/>
          <w:lang w:val="en-US" w:eastAsia="zh-CN"/>
        </w:rPr>
      </w:pPr>
      <w:bookmarkStart w:id="6" w:name="_Toc494"/>
      <w:r>
        <w:rPr>
          <w:rFonts w:hint="eastAsia"/>
          <w:lang w:val="en-US" w:eastAsia="zh-CN"/>
        </w:rPr>
        <w:t>4、技防验证安全技术操作规程</w:t>
      </w:r>
      <w:bookmarkEnd w:id="6"/>
    </w:p>
    <w:p>
      <w:pPr>
        <w:pStyle w:val="3"/>
        <w:bidi w:val="0"/>
        <w:rPr>
          <w:rFonts w:hint="eastAsia"/>
          <w:lang w:val="en-US" w:eastAsia="zh-CN"/>
        </w:rPr>
      </w:pPr>
      <w:r>
        <w:rPr>
          <w:rFonts w:hint="eastAsia"/>
          <w:lang w:val="en-US" w:eastAsia="zh-CN"/>
        </w:rPr>
        <w:t>4.1目的</w:t>
      </w:r>
    </w:p>
    <w:p>
      <w:pPr>
        <w:bidi w:val="0"/>
        <w:rPr>
          <w:rFonts w:hint="eastAsia"/>
        </w:rPr>
      </w:pPr>
      <w:r>
        <w:rPr>
          <w:rFonts w:hint="eastAsia"/>
        </w:rPr>
        <w:t>确保公司</w:t>
      </w:r>
      <w:r>
        <w:rPr>
          <w:rFonts w:hint="eastAsia"/>
          <w:lang w:val="en-US" w:eastAsia="zh-CN"/>
        </w:rPr>
        <w:t>库房技防设施</w:t>
      </w:r>
      <w:r>
        <w:rPr>
          <w:rFonts w:hint="eastAsia"/>
        </w:rPr>
        <w:t>安全、稳定、准确、可靠的运行，保证</w:t>
      </w:r>
      <w:r>
        <w:rPr>
          <w:rFonts w:hint="eastAsia"/>
          <w:lang w:val="en-US" w:eastAsia="zh-CN"/>
        </w:rPr>
        <w:t>技防设施</w:t>
      </w:r>
      <w:r>
        <w:rPr>
          <w:rFonts w:hint="eastAsia"/>
        </w:rPr>
        <w:t>充分发挥其保障作用，特制定本制度。</w:t>
      </w:r>
    </w:p>
    <w:p>
      <w:pPr>
        <w:pStyle w:val="3"/>
        <w:bidi w:val="0"/>
        <w:rPr>
          <w:rFonts w:hint="eastAsia"/>
        </w:rPr>
      </w:pPr>
      <w:bookmarkStart w:id="7" w:name="_Toc1283"/>
      <w:r>
        <w:rPr>
          <w:rFonts w:hint="eastAsia"/>
          <w:lang w:val="en-US" w:eastAsia="zh-CN"/>
        </w:rPr>
        <w:t>4.2、</w:t>
      </w:r>
      <w:r>
        <w:rPr>
          <w:rFonts w:hint="eastAsia"/>
        </w:rPr>
        <w:t>适用范围</w:t>
      </w:r>
      <w:bookmarkEnd w:id="7"/>
    </w:p>
    <w:p>
      <w:pPr>
        <w:bidi w:val="0"/>
        <w:rPr>
          <w:rFonts w:hint="eastAsia"/>
        </w:rPr>
      </w:pPr>
      <w:r>
        <w:rPr>
          <w:rFonts w:hint="eastAsia"/>
        </w:rPr>
        <w:t>适用于我公司</w:t>
      </w:r>
      <w:r>
        <w:rPr>
          <w:rFonts w:hint="eastAsia"/>
          <w:lang w:val="en-US" w:eastAsia="zh-CN"/>
        </w:rPr>
        <w:t>库房技防设施试验验证</w:t>
      </w:r>
      <w:r>
        <w:rPr>
          <w:rFonts w:hint="eastAsia"/>
        </w:rPr>
        <w:t>。</w:t>
      </w:r>
    </w:p>
    <w:p>
      <w:pPr>
        <w:pStyle w:val="3"/>
        <w:bidi w:val="0"/>
        <w:rPr>
          <w:rFonts w:hint="eastAsia"/>
          <w:lang w:val="en-US" w:eastAsia="zh-CN"/>
        </w:rPr>
      </w:pPr>
      <w:bookmarkStart w:id="8" w:name="_Toc11117"/>
      <w:r>
        <w:rPr>
          <w:rFonts w:hint="eastAsia"/>
          <w:lang w:val="en-US" w:eastAsia="zh-CN"/>
        </w:rPr>
        <w:t>4.3、管理规定</w:t>
      </w:r>
      <w:bookmarkEnd w:id="8"/>
    </w:p>
    <w:p>
      <w:pPr>
        <w:rPr>
          <w:rFonts w:hint="default"/>
          <w:lang w:val="en-US" w:eastAsia="zh-CN"/>
        </w:rPr>
      </w:pPr>
      <w:r>
        <w:rPr>
          <w:rFonts w:hint="eastAsia"/>
          <w:lang w:val="en-US" w:eastAsia="zh-CN"/>
        </w:rPr>
        <w:t>4.1、库房技防设施试验验证</w:t>
      </w:r>
      <w:r>
        <w:rPr>
          <w:rFonts w:hint="default"/>
          <w:lang w:val="en-US" w:eastAsia="zh-CN"/>
        </w:rPr>
        <w:t>每月必须按规程内容进行，校验</w:t>
      </w:r>
      <w:r>
        <w:rPr>
          <w:rFonts w:hint="eastAsia"/>
          <w:lang w:val="en-US" w:eastAsia="zh-CN"/>
        </w:rPr>
        <w:t>次数</w:t>
      </w:r>
      <w:r>
        <w:rPr>
          <w:rFonts w:hint="default"/>
          <w:lang w:val="en-US" w:eastAsia="zh-CN"/>
        </w:rPr>
        <w:t>不得少于每月一次</w:t>
      </w:r>
      <w:r>
        <w:rPr>
          <w:rFonts w:hint="eastAsia"/>
          <w:lang w:val="en-US" w:eastAsia="zh-CN"/>
        </w:rPr>
        <w:t>。</w:t>
      </w:r>
    </w:p>
    <w:p>
      <w:pPr>
        <w:rPr>
          <w:rFonts w:hint="default"/>
          <w:lang w:val="en-US" w:eastAsia="zh-CN"/>
        </w:rPr>
      </w:pPr>
      <w:r>
        <w:rPr>
          <w:rFonts w:hint="eastAsia"/>
          <w:lang w:val="en-US" w:eastAsia="zh-CN"/>
        </w:rPr>
        <w:t>4.2、</w:t>
      </w:r>
      <w:r>
        <w:rPr>
          <w:rFonts w:hint="default"/>
          <w:lang w:val="en-US" w:eastAsia="zh-CN"/>
        </w:rPr>
        <w:t>参与</w:t>
      </w:r>
      <w:r>
        <w:rPr>
          <w:rFonts w:hint="eastAsia"/>
          <w:lang w:val="en-US" w:eastAsia="zh-CN"/>
        </w:rPr>
        <w:t>技防设施验证</w:t>
      </w:r>
      <w:r>
        <w:rPr>
          <w:rFonts w:hint="default"/>
          <w:lang w:val="en-US" w:eastAsia="zh-CN"/>
        </w:rPr>
        <w:t>人员为公司安全副总、</w:t>
      </w:r>
      <w:r>
        <w:rPr>
          <w:rFonts w:hint="eastAsia"/>
          <w:lang w:val="en-US" w:eastAsia="zh-CN"/>
        </w:rPr>
        <w:t>仓储部部门负责人</w:t>
      </w:r>
      <w:r>
        <w:rPr>
          <w:rFonts w:hint="default"/>
          <w:lang w:val="en-US" w:eastAsia="zh-CN"/>
        </w:rPr>
        <w:t>、</w:t>
      </w:r>
      <w:r>
        <w:rPr>
          <w:rFonts w:hint="eastAsia"/>
          <w:lang w:val="en-US" w:eastAsia="zh-CN"/>
        </w:rPr>
        <w:t>操作人员</w:t>
      </w:r>
      <w:r>
        <w:rPr>
          <w:rFonts w:hint="default"/>
          <w:lang w:val="en-US" w:eastAsia="zh-CN"/>
        </w:rPr>
        <w:t>等。</w:t>
      </w:r>
    </w:p>
    <w:p>
      <w:pPr>
        <w:rPr>
          <w:rFonts w:hint="eastAsia"/>
          <w:lang w:val="en-US" w:eastAsia="zh-CN"/>
        </w:rPr>
      </w:pPr>
      <w:r>
        <w:rPr>
          <w:rFonts w:hint="eastAsia"/>
          <w:lang w:val="en-US" w:eastAsia="zh-CN"/>
        </w:rPr>
        <w:t>4.3、验证中如果未出现报警情况，必须上报，待查明故障并排除隐患后方可正常运行。</w:t>
      </w:r>
    </w:p>
    <w:p>
      <w:pPr>
        <w:pStyle w:val="3"/>
        <w:bidi w:val="0"/>
        <w:rPr>
          <w:rFonts w:hint="eastAsia"/>
          <w:lang w:eastAsia="zh-CN"/>
        </w:rPr>
      </w:pPr>
      <w:bookmarkStart w:id="9" w:name="_Toc8792"/>
      <w:r>
        <w:rPr>
          <w:rFonts w:hint="eastAsia"/>
          <w:lang w:val="en-US" w:eastAsia="zh-CN"/>
        </w:rPr>
        <w:t>4.4</w:t>
      </w:r>
      <w:r>
        <w:rPr>
          <w:rFonts w:hint="eastAsia"/>
          <w:lang w:eastAsia="zh-CN"/>
        </w:rPr>
        <w:t>、</w:t>
      </w:r>
      <w:r>
        <w:rPr>
          <w:rFonts w:hint="eastAsia"/>
          <w:lang w:val="en-US" w:eastAsia="zh-CN"/>
        </w:rPr>
        <w:t>验证</w:t>
      </w:r>
      <w:r>
        <w:rPr>
          <w:rFonts w:hint="eastAsia"/>
          <w:lang w:eastAsia="zh-CN"/>
        </w:rPr>
        <w:t>方法及周期</w:t>
      </w:r>
      <w:bookmarkEnd w:id="9"/>
    </w:p>
    <w:tbl>
      <w:tblPr>
        <w:tblStyle w:val="7"/>
        <w:tblW w:w="88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9"/>
        <w:gridCol w:w="1879"/>
        <w:gridCol w:w="3684"/>
        <w:gridCol w:w="27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89" w:type="dxa"/>
            <w:noWrap w:val="0"/>
            <w:vAlign w:val="center"/>
          </w:tcPr>
          <w:p>
            <w:pPr>
              <w:pStyle w:val="11"/>
              <w:bidi w:val="0"/>
              <w:rPr>
                <w:rFonts w:hint="eastAsia"/>
              </w:rPr>
            </w:pPr>
            <w:r>
              <w:rPr>
                <w:rFonts w:hint="eastAsia"/>
              </w:rPr>
              <w:t>序号</w:t>
            </w:r>
          </w:p>
        </w:tc>
        <w:tc>
          <w:tcPr>
            <w:tcW w:w="1879" w:type="dxa"/>
            <w:noWrap w:val="0"/>
            <w:vAlign w:val="center"/>
          </w:tcPr>
          <w:p>
            <w:pPr>
              <w:pStyle w:val="11"/>
              <w:bidi w:val="0"/>
              <w:rPr>
                <w:rFonts w:hint="eastAsia"/>
              </w:rPr>
            </w:pPr>
            <w:r>
              <w:rPr>
                <w:rFonts w:hint="eastAsia"/>
                <w:lang w:val="en-US" w:eastAsia="zh-CN"/>
              </w:rPr>
              <w:t>验证</w:t>
            </w:r>
            <w:r>
              <w:rPr>
                <w:rFonts w:hint="eastAsia"/>
              </w:rPr>
              <w:t>项目</w:t>
            </w:r>
          </w:p>
        </w:tc>
        <w:tc>
          <w:tcPr>
            <w:tcW w:w="3684" w:type="dxa"/>
            <w:noWrap w:val="0"/>
            <w:vAlign w:val="center"/>
          </w:tcPr>
          <w:p>
            <w:pPr>
              <w:pStyle w:val="11"/>
              <w:bidi w:val="0"/>
              <w:rPr>
                <w:rFonts w:hint="eastAsia"/>
              </w:rPr>
            </w:pPr>
            <w:r>
              <w:rPr>
                <w:rFonts w:hint="eastAsia"/>
                <w:lang w:val="en-US" w:eastAsia="zh-CN"/>
              </w:rPr>
              <w:t>验证</w:t>
            </w:r>
            <w:r>
              <w:rPr>
                <w:rFonts w:hint="eastAsia"/>
                <w:lang w:eastAsia="zh-CN"/>
              </w:rPr>
              <w:t>方法</w:t>
            </w:r>
          </w:p>
        </w:tc>
        <w:tc>
          <w:tcPr>
            <w:tcW w:w="2741" w:type="dxa"/>
            <w:noWrap w:val="0"/>
            <w:vAlign w:val="center"/>
          </w:tcPr>
          <w:p>
            <w:pPr>
              <w:pStyle w:val="11"/>
              <w:bidi w:val="0"/>
              <w:rPr>
                <w:rFonts w:hint="eastAsia" w:eastAsia="仿宋"/>
                <w:lang w:eastAsia="zh-CN"/>
              </w:rPr>
            </w:pPr>
            <w:r>
              <w:rPr>
                <w:rFonts w:hint="eastAsia"/>
                <w:lang w:eastAsia="zh-CN"/>
              </w:rPr>
              <w:t>判定标准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3" w:hRule="atLeast"/>
          <w:jc w:val="center"/>
        </w:trPr>
        <w:tc>
          <w:tcPr>
            <w:tcW w:w="589" w:type="dxa"/>
            <w:noWrap w:val="0"/>
            <w:vAlign w:val="center"/>
          </w:tcPr>
          <w:p>
            <w:pPr>
              <w:pStyle w:val="11"/>
              <w:bidi w:val="0"/>
              <w:rPr>
                <w:rFonts w:hint="eastAsia" w:eastAsia="仿宋"/>
                <w:lang w:val="en-US" w:eastAsia="zh-CN"/>
              </w:rPr>
            </w:pPr>
            <w:r>
              <w:rPr>
                <w:rFonts w:hint="eastAsia"/>
                <w:lang w:val="en-US" w:eastAsia="zh-CN"/>
              </w:rPr>
              <w:t>1</w:t>
            </w:r>
          </w:p>
        </w:tc>
        <w:tc>
          <w:tcPr>
            <w:tcW w:w="1879" w:type="dxa"/>
            <w:noWrap w:val="0"/>
            <w:vAlign w:val="center"/>
          </w:tcPr>
          <w:p>
            <w:pPr>
              <w:pStyle w:val="11"/>
              <w:bidi w:val="0"/>
              <w:ind w:firstLine="0" w:firstLineChars="0"/>
              <w:jc w:val="center"/>
            </w:pPr>
            <w:r>
              <w:rPr>
                <w:rFonts w:hint="eastAsia"/>
                <w:lang w:val="en-US" w:eastAsia="zh-CN"/>
              </w:rPr>
              <w:t>周界报警</w:t>
            </w:r>
          </w:p>
        </w:tc>
        <w:tc>
          <w:tcPr>
            <w:tcW w:w="3684" w:type="dxa"/>
            <w:noWrap w:val="0"/>
            <w:vAlign w:val="center"/>
          </w:tcPr>
          <w:p>
            <w:pPr>
              <w:pStyle w:val="11"/>
              <w:bidi w:val="0"/>
              <w:ind w:firstLine="0" w:firstLineChars="0"/>
              <w:jc w:val="both"/>
              <w:rPr>
                <w:rFonts w:hint="default" w:ascii="Times New Roman" w:hAnsi="Times New Roman" w:eastAsia="仿宋" w:cs="Times New Roman"/>
                <w:color w:val="auto"/>
                <w:sz w:val="24"/>
                <w:lang w:val="en-US" w:eastAsia="zh-CN"/>
              </w:rPr>
            </w:pPr>
            <w:r>
              <w:rPr>
                <w:rFonts w:hint="eastAsia" w:cs="Times New Roman"/>
                <w:color w:val="auto"/>
                <w:sz w:val="24"/>
                <w:lang w:val="en-US" w:eastAsia="zh-CN"/>
              </w:rPr>
              <w:t>人为接触报警器</w:t>
            </w:r>
          </w:p>
        </w:tc>
        <w:tc>
          <w:tcPr>
            <w:tcW w:w="2741" w:type="dxa"/>
            <w:noWrap w:val="0"/>
            <w:vAlign w:val="center"/>
          </w:tcPr>
          <w:p>
            <w:pPr>
              <w:pStyle w:val="11"/>
              <w:bidi w:val="0"/>
              <w:ind w:firstLine="0" w:firstLineChars="0"/>
              <w:rPr>
                <w:rFonts w:hint="eastAsia" w:ascii="Times New Roman" w:hAnsi="Times New Roman" w:eastAsia="仿宋" w:cs="Times New Roman"/>
                <w:color w:val="auto"/>
                <w:sz w:val="24"/>
                <w:lang w:val="en-US" w:eastAsia="zh-CN"/>
              </w:rPr>
            </w:pPr>
            <w:r>
              <w:rPr>
                <w:rFonts w:hint="eastAsia" w:cs="Times New Roman"/>
                <w:color w:val="auto"/>
                <w:sz w:val="24"/>
                <w:lang w:val="en-US" w:eastAsia="zh-CN"/>
              </w:rPr>
              <w:t>报警器报警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3" w:hRule="atLeast"/>
          <w:jc w:val="center"/>
        </w:trPr>
        <w:tc>
          <w:tcPr>
            <w:tcW w:w="589" w:type="dxa"/>
          </w:tcPr>
          <w:p>
            <w:pPr>
              <w:pStyle w:val="11"/>
              <w:bidi w:val="0"/>
              <w:rPr>
                <w:rFonts w:hint="default" w:eastAsia="仿宋"/>
                <w:lang w:val="en-US" w:eastAsia="zh-CN"/>
              </w:rPr>
            </w:pPr>
            <w:r>
              <w:rPr>
                <w:rFonts w:hint="eastAsia"/>
                <w:lang w:val="en-US" w:eastAsia="zh-CN"/>
              </w:rPr>
              <w:t>2</w:t>
            </w:r>
          </w:p>
        </w:tc>
        <w:tc>
          <w:tcPr>
            <w:tcW w:w="1879" w:type="dxa"/>
            <w:vAlign w:val="center"/>
          </w:tcPr>
          <w:p>
            <w:pPr>
              <w:pStyle w:val="11"/>
              <w:bidi w:val="0"/>
              <w:ind w:firstLine="0" w:firstLineChars="0"/>
              <w:jc w:val="center"/>
            </w:pPr>
            <w:r>
              <w:rPr>
                <w:rFonts w:hint="eastAsia" w:cs="Times New Roman"/>
                <w:color w:val="auto"/>
                <w:sz w:val="24"/>
                <w:lang w:val="en-US" w:eastAsia="zh-CN"/>
              </w:rPr>
              <w:t>防入侵报警</w:t>
            </w:r>
          </w:p>
        </w:tc>
        <w:tc>
          <w:tcPr>
            <w:tcW w:w="3684" w:type="dxa"/>
          </w:tcPr>
          <w:p>
            <w:pPr>
              <w:pStyle w:val="11"/>
              <w:bidi w:val="0"/>
              <w:ind w:firstLine="0" w:firstLineChars="0"/>
              <w:jc w:val="both"/>
              <w:rPr>
                <w:rFonts w:hint="default" w:ascii="Times New Roman" w:hAnsi="Times New Roman" w:eastAsia="仿宋" w:cs="Times New Roman"/>
                <w:color w:val="auto"/>
                <w:sz w:val="24"/>
                <w:lang w:val="en-US" w:eastAsia="zh-CN"/>
              </w:rPr>
            </w:pPr>
            <w:r>
              <w:rPr>
                <w:rFonts w:hint="eastAsia" w:cs="Times New Roman"/>
                <w:color w:val="auto"/>
                <w:sz w:val="24"/>
                <w:lang w:val="en-US" w:eastAsia="zh-CN"/>
              </w:rPr>
              <w:t>人为触发防入侵报警</w:t>
            </w:r>
          </w:p>
        </w:tc>
        <w:tc>
          <w:tcPr>
            <w:tcW w:w="2741" w:type="dxa"/>
          </w:tcPr>
          <w:p>
            <w:pPr>
              <w:pStyle w:val="11"/>
              <w:bidi w:val="0"/>
              <w:ind w:firstLine="0" w:firstLineChars="0"/>
              <w:rPr>
                <w:rFonts w:hint="eastAsia" w:ascii="Times New Roman" w:hAnsi="Times New Roman" w:eastAsia="仿宋" w:cs="Times New Roman"/>
                <w:color w:val="auto"/>
                <w:sz w:val="24"/>
                <w:lang w:val="en-US" w:eastAsia="zh-CN"/>
              </w:rPr>
            </w:pPr>
            <w:r>
              <w:rPr>
                <w:rFonts w:hint="eastAsia" w:cs="Times New Roman"/>
                <w:color w:val="auto"/>
                <w:sz w:val="24"/>
                <w:lang w:val="en-US" w:eastAsia="zh-CN"/>
              </w:rPr>
              <w:t>报警器报警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3" w:hRule="atLeast"/>
          <w:jc w:val="center"/>
        </w:trPr>
        <w:tc>
          <w:tcPr>
            <w:tcW w:w="589" w:type="dxa"/>
          </w:tcPr>
          <w:p>
            <w:pPr>
              <w:pStyle w:val="11"/>
              <w:bidi w:val="0"/>
              <w:rPr>
                <w:rFonts w:hint="default" w:eastAsia="仿宋"/>
                <w:lang w:val="en-US" w:eastAsia="zh-CN"/>
              </w:rPr>
            </w:pPr>
            <w:r>
              <w:rPr>
                <w:rFonts w:hint="eastAsia"/>
                <w:lang w:val="en-US" w:eastAsia="zh-CN"/>
              </w:rPr>
              <w:t>3</w:t>
            </w:r>
          </w:p>
        </w:tc>
        <w:tc>
          <w:tcPr>
            <w:tcW w:w="1879" w:type="dxa"/>
            <w:vAlign w:val="center"/>
          </w:tcPr>
          <w:p>
            <w:pPr>
              <w:pStyle w:val="11"/>
              <w:bidi w:val="0"/>
              <w:ind w:firstLine="0" w:firstLineChars="0"/>
              <w:jc w:val="center"/>
              <w:rPr>
                <w:rFonts w:hint="default" w:cs="Times New Roman"/>
                <w:color w:val="auto"/>
                <w:sz w:val="24"/>
                <w:lang w:val="en-US" w:eastAsia="zh-CN"/>
              </w:rPr>
            </w:pPr>
            <w:r>
              <w:rPr>
                <w:rFonts w:hint="eastAsia" w:cs="Times New Roman"/>
                <w:color w:val="auto"/>
                <w:sz w:val="24"/>
                <w:lang w:val="en-US" w:eastAsia="zh-CN"/>
              </w:rPr>
              <w:t>巡更</w:t>
            </w:r>
          </w:p>
        </w:tc>
        <w:tc>
          <w:tcPr>
            <w:tcW w:w="3684" w:type="dxa"/>
          </w:tcPr>
          <w:p>
            <w:pPr>
              <w:pStyle w:val="11"/>
              <w:bidi w:val="0"/>
              <w:ind w:firstLine="0" w:firstLineChars="0"/>
              <w:jc w:val="both"/>
              <w:rPr>
                <w:rFonts w:hint="default" w:ascii="Times New Roman" w:hAnsi="Times New Roman" w:eastAsia="仿宋" w:cs="Times New Roman"/>
                <w:color w:val="auto"/>
                <w:sz w:val="24"/>
                <w:lang w:val="en-US" w:eastAsia="zh-CN"/>
              </w:rPr>
            </w:pPr>
            <w:r>
              <w:rPr>
                <w:rFonts w:hint="eastAsia" w:cs="Times New Roman"/>
                <w:color w:val="auto"/>
                <w:sz w:val="24"/>
                <w:lang w:val="en-US" w:eastAsia="zh-CN"/>
              </w:rPr>
              <w:t>导入巡更记录</w:t>
            </w:r>
          </w:p>
        </w:tc>
        <w:tc>
          <w:tcPr>
            <w:tcW w:w="2741" w:type="dxa"/>
          </w:tcPr>
          <w:p>
            <w:pPr>
              <w:pStyle w:val="11"/>
              <w:bidi w:val="0"/>
              <w:ind w:firstLine="0" w:firstLineChars="0"/>
              <w:rPr>
                <w:rFonts w:hint="default" w:ascii="Times New Roman" w:hAnsi="Times New Roman" w:eastAsia="仿宋" w:cs="Times New Roman"/>
                <w:color w:val="auto"/>
                <w:sz w:val="24"/>
                <w:lang w:val="en-US" w:eastAsia="zh-CN"/>
              </w:rPr>
            </w:pPr>
            <w:r>
              <w:rPr>
                <w:rFonts w:hint="eastAsia" w:cs="Times New Roman"/>
                <w:color w:val="auto"/>
                <w:sz w:val="24"/>
                <w:lang w:val="en-US" w:eastAsia="zh-CN"/>
              </w:rPr>
              <w:t>符合巡更相关要求</w:t>
            </w:r>
          </w:p>
        </w:tc>
      </w:tr>
    </w:tbl>
    <w:p>
      <w:pPr>
        <w:rPr>
          <w:rFonts w:hint="default"/>
          <w:lang w:val="en-US" w:eastAsia="zh-CN"/>
        </w:rPr>
        <w:sectPr>
          <w:footerReference r:id="rId13" w:type="default"/>
          <w:pgSz w:w="11906" w:h="16838"/>
          <w:pgMar w:top="1440" w:right="1800" w:bottom="1440" w:left="1800" w:header="851" w:footer="992" w:gutter="0"/>
          <w:pgNumType w:start="1"/>
          <w:cols w:space="425" w:num="1"/>
          <w:docGrid w:type="lines" w:linePitch="312" w:charSpace="0"/>
        </w:sectPr>
      </w:pPr>
    </w:p>
    <w:p>
      <w:pPr>
        <w:pStyle w:val="3"/>
        <w:tabs>
          <w:tab w:val="right" w:leader="dot" w:pos="8721"/>
        </w:tabs>
        <w:bidi w:val="0"/>
        <w:rPr>
          <w:rFonts w:hint="eastAsia"/>
          <w:lang w:val="en-US" w:eastAsia="zh-CN"/>
        </w:rPr>
      </w:pPr>
      <w:r>
        <w:rPr>
          <w:rFonts w:hint="eastAsia"/>
          <w:lang w:val="en-US" w:eastAsia="zh-CN"/>
        </w:rPr>
        <w:t>技防验证记录表</w:t>
      </w:r>
    </w:p>
    <w:tbl>
      <w:tblPr>
        <w:tblStyle w:val="7"/>
        <w:tblW w:w="142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8"/>
        <w:gridCol w:w="1717"/>
        <w:gridCol w:w="3368"/>
        <w:gridCol w:w="3178"/>
        <w:gridCol w:w="1984"/>
        <w:gridCol w:w="1741"/>
        <w:gridCol w:w="16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38" w:type="dxa"/>
            <w:noWrap w:val="0"/>
            <w:vAlign w:val="center"/>
          </w:tcPr>
          <w:p>
            <w:pPr>
              <w:pStyle w:val="11"/>
              <w:bidi w:val="0"/>
              <w:rPr>
                <w:rFonts w:hint="eastAsia"/>
              </w:rPr>
            </w:pPr>
            <w:r>
              <w:rPr>
                <w:rFonts w:hint="eastAsia"/>
              </w:rPr>
              <w:t>序号</w:t>
            </w:r>
          </w:p>
        </w:tc>
        <w:tc>
          <w:tcPr>
            <w:tcW w:w="1717" w:type="dxa"/>
            <w:noWrap w:val="0"/>
            <w:vAlign w:val="center"/>
          </w:tcPr>
          <w:p>
            <w:pPr>
              <w:pStyle w:val="11"/>
              <w:bidi w:val="0"/>
              <w:rPr>
                <w:rFonts w:hint="eastAsia"/>
              </w:rPr>
            </w:pPr>
            <w:r>
              <w:rPr>
                <w:rFonts w:hint="eastAsia"/>
              </w:rPr>
              <w:t>试验项目</w:t>
            </w:r>
          </w:p>
        </w:tc>
        <w:tc>
          <w:tcPr>
            <w:tcW w:w="3368" w:type="dxa"/>
            <w:noWrap w:val="0"/>
            <w:vAlign w:val="center"/>
          </w:tcPr>
          <w:p>
            <w:pPr>
              <w:pStyle w:val="11"/>
              <w:bidi w:val="0"/>
              <w:rPr>
                <w:rFonts w:hint="eastAsia"/>
              </w:rPr>
            </w:pPr>
            <w:r>
              <w:rPr>
                <w:rFonts w:hint="eastAsia"/>
                <w:lang w:eastAsia="zh-CN"/>
              </w:rPr>
              <w:t>试验方法</w:t>
            </w:r>
          </w:p>
        </w:tc>
        <w:tc>
          <w:tcPr>
            <w:tcW w:w="3178" w:type="dxa"/>
            <w:noWrap w:val="0"/>
            <w:vAlign w:val="center"/>
          </w:tcPr>
          <w:p>
            <w:pPr>
              <w:pStyle w:val="11"/>
              <w:bidi w:val="0"/>
              <w:rPr>
                <w:rFonts w:hint="eastAsia" w:eastAsia="仿宋"/>
                <w:lang w:eastAsia="zh-CN"/>
              </w:rPr>
            </w:pPr>
            <w:r>
              <w:rPr>
                <w:rFonts w:hint="eastAsia"/>
                <w:lang w:eastAsia="zh-CN"/>
              </w:rPr>
              <w:t>判定标准</w:t>
            </w:r>
          </w:p>
        </w:tc>
        <w:tc>
          <w:tcPr>
            <w:tcW w:w="3725" w:type="dxa"/>
            <w:gridSpan w:val="2"/>
            <w:noWrap w:val="0"/>
            <w:vAlign w:val="center"/>
          </w:tcPr>
          <w:p>
            <w:pPr>
              <w:pStyle w:val="11"/>
              <w:bidi w:val="0"/>
              <w:ind w:firstLine="0" w:firstLineChars="0"/>
              <w:rPr>
                <w:rFonts w:hint="eastAsia" w:ascii="Times New Roman" w:hAnsi="Times New Roman" w:eastAsia="仿宋" w:cs="Times New Roman"/>
                <w:color w:val="auto"/>
                <w:sz w:val="24"/>
                <w:lang w:eastAsia="zh-CN"/>
              </w:rPr>
            </w:pPr>
            <w:r>
              <w:rPr>
                <w:rFonts w:hint="eastAsia"/>
                <w:color w:val="auto"/>
                <w:lang w:eastAsia="zh-CN"/>
              </w:rPr>
              <w:t>试验结果</w:t>
            </w:r>
          </w:p>
        </w:tc>
        <w:tc>
          <w:tcPr>
            <w:tcW w:w="1692" w:type="dxa"/>
            <w:noWrap w:val="0"/>
            <w:vAlign w:val="center"/>
          </w:tcPr>
          <w:p>
            <w:pPr>
              <w:pStyle w:val="11"/>
              <w:bidi w:val="0"/>
              <w:ind w:firstLine="0" w:firstLineChars="0"/>
              <w:rPr>
                <w:rFonts w:hint="eastAsia" w:ascii="Times New Roman" w:hAnsi="Times New Roman" w:eastAsia="仿宋" w:cs="Times New Roman"/>
                <w:color w:val="auto"/>
                <w:sz w:val="24"/>
                <w:lang w:eastAsia="zh-CN"/>
              </w:rPr>
            </w:pPr>
            <w:r>
              <w:rPr>
                <w:rFonts w:hint="eastAsia"/>
              </w:rPr>
              <w:t>结论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538" w:type="dxa"/>
            <w:noWrap w:val="0"/>
            <w:vAlign w:val="center"/>
          </w:tcPr>
          <w:p>
            <w:pPr>
              <w:pStyle w:val="11"/>
              <w:bidi w:val="0"/>
              <w:ind w:firstLine="0" w:firstLineChars="0"/>
              <w:rPr>
                <w:rFonts w:hint="eastAsia"/>
                <w:lang w:val="en-US" w:eastAsia="zh-CN"/>
              </w:rPr>
            </w:pPr>
            <w:r>
              <w:rPr>
                <w:rFonts w:hint="eastAsia"/>
                <w:lang w:val="en-US" w:eastAsia="zh-CN"/>
              </w:rPr>
              <w:t>1</w:t>
            </w:r>
          </w:p>
        </w:tc>
        <w:tc>
          <w:tcPr>
            <w:tcW w:w="1717" w:type="dxa"/>
            <w:noWrap w:val="0"/>
            <w:vAlign w:val="center"/>
          </w:tcPr>
          <w:p>
            <w:pPr>
              <w:pStyle w:val="11"/>
              <w:bidi w:val="0"/>
              <w:ind w:firstLine="0" w:firstLineChars="0"/>
              <w:jc w:val="center"/>
              <w:rPr>
                <w:rFonts w:hint="eastAsia" w:eastAsia="仿宋"/>
                <w:lang w:val="en-US" w:eastAsia="zh-CN"/>
              </w:rPr>
            </w:pPr>
            <w:r>
              <w:rPr>
                <w:rFonts w:hint="eastAsia"/>
                <w:lang w:val="en-US" w:eastAsia="zh-CN"/>
              </w:rPr>
              <w:t>周界报警</w:t>
            </w:r>
          </w:p>
        </w:tc>
        <w:tc>
          <w:tcPr>
            <w:tcW w:w="3368" w:type="dxa"/>
            <w:noWrap w:val="0"/>
            <w:vAlign w:val="center"/>
          </w:tcPr>
          <w:p>
            <w:pPr>
              <w:pStyle w:val="11"/>
              <w:bidi w:val="0"/>
              <w:ind w:firstLine="0" w:firstLineChars="0"/>
              <w:jc w:val="center"/>
              <w:rPr>
                <w:rFonts w:hint="eastAsia" w:eastAsia="仿宋"/>
                <w:lang w:eastAsia="zh-CN"/>
              </w:rPr>
            </w:pPr>
            <w:r>
              <w:rPr>
                <w:rFonts w:hint="eastAsia" w:cs="Times New Roman"/>
                <w:color w:val="auto"/>
                <w:sz w:val="24"/>
                <w:lang w:val="en-US" w:eastAsia="zh-CN"/>
              </w:rPr>
              <w:t>人为接触报警器</w:t>
            </w:r>
          </w:p>
        </w:tc>
        <w:tc>
          <w:tcPr>
            <w:tcW w:w="3178" w:type="dxa"/>
            <w:noWrap w:val="0"/>
            <w:vAlign w:val="center"/>
          </w:tcPr>
          <w:p>
            <w:pPr>
              <w:pStyle w:val="11"/>
              <w:bidi w:val="0"/>
              <w:ind w:firstLine="0" w:firstLineChars="0"/>
              <w:jc w:val="center"/>
              <w:rPr>
                <w:rFonts w:hint="eastAsia"/>
                <w:lang w:val="en-US" w:eastAsia="zh-CN"/>
              </w:rPr>
            </w:pPr>
            <w:r>
              <w:rPr>
                <w:rFonts w:hint="eastAsia" w:cs="Times New Roman"/>
                <w:color w:val="auto"/>
                <w:sz w:val="24"/>
                <w:lang w:val="en-US" w:eastAsia="zh-CN"/>
              </w:rPr>
              <w:t>报警器报警</w:t>
            </w:r>
          </w:p>
        </w:tc>
        <w:tc>
          <w:tcPr>
            <w:tcW w:w="3725" w:type="dxa"/>
            <w:gridSpan w:val="2"/>
            <w:noWrap w:val="0"/>
            <w:vAlign w:val="center"/>
          </w:tcPr>
          <w:p>
            <w:pPr>
              <w:pStyle w:val="11"/>
              <w:bidi w:val="0"/>
              <w:rPr>
                <w:rFonts w:hint="eastAsia"/>
                <w:lang w:val="en-US" w:eastAsia="zh-CN"/>
              </w:rPr>
            </w:pPr>
          </w:p>
        </w:tc>
        <w:tc>
          <w:tcPr>
            <w:tcW w:w="1692" w:type="dxa"/>
            <w:noWrap w:val="0"/>
            <w:vAlign w:val="center"/>
          </w:tcPr>
          <w:p>
            <w:pPr>
              <w:pStyle w:val="11"/>
              <w:bidi w:val="0"/>
              <w:rPr>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538" w:type="dxa"/>
            <w:noWrap w:val="0"/>
            <w:vAlign w:val="top"/>
          </w:tcPr>
          <w:p>
            <w:pPr>
              <w:pStyle w:val="11"/>
              <w:bidi w:val="0"/>
              <w:ind w:firstLine="0" w:firstLineChars="0"/>
              <w:rPr>
                <w:rFonts w:hint="eastAsia"/>
                <w:lang w:val="en-US" w:eastAsia="zh-CN"/>
              </w:rPr>
            </w:pPr>
            <w:r>
              <w:rPr>
                <w:rFonts w:hint="eastAsia"/>
                <w:lang w:val="en-US" w:eastAsia="zh-CN"/>
              </w:rPr>
              <w:t>2</w:t>
            </w:r>
          </w:p>
        </w:tc>
        <w:tc>
          <w:tcPr>
            <w:tcW w:w="1717" w:type="dxa"/>
            <w:noWrap w:val="0"/>
            <w:vAlign w:val="center"/>
          </w:tcPr>
          <w:p>
            <w:pPr>
              <w:pStyle w:val="11"/>
              <w:bidi w:val="0"/>
              <w:ind w:firstLine="0" w:firstLineChars="0"/>
              <w:jc w:val="center"/>
              <w:rPr>
                <w:rFonts w:hint="eastAsia" w:eastAsia="仿宋"/>
                <w:lang w:val="en-US" w:eastAsia="zh-CN"/>
              </w:rPr>
            </w:pPr>
            <w:r>
              <w:rPr>
                <w:rFonts w:hint="eastAsia" w:cs="Times New Roman"/>
                <w:color w:val="auto"/>
                <w:sz w:val="24"/>
                <w:lang w:val="en-US" w:eastAsia="zh-CN"/>
              </w:rPr>
              <w:t>防入侵报警</w:t>
            </w:r>
          </w:p>
        </w:tc>
        <w:tc>
          <w:tcPr>
            <w:tcW w:w="3368" w:type="dxa"/>
            <w:noWrap w:val="0"/>
            <w:vAlign w:val="center"/>
          </w:tcPr>
          <w:p>
            <w:pPr>
              <w:pStyle w:val="11"/>
              <w:bidi w:val="0"/>
              <w:ind w:firstLine="0" w:firstLineChars="0"/>
              <w:jc w:val="center"/>
              <w:rPr>
                <w:rFonts w:hint="eastAsia" w:eastAsia="仿宋"/>
                <w:lang w:eastAsia="zh-CN"/>
              </w:rPr>
            </w:pPr>
            <w:r>
              <w:rPr>
                <w:rFonts w:hint="eastAsia" w:cs="Times New Roman"/>
                <w:color w:val="auto"/>
                <w:sz w:val="24"/>
                <w:lang w:val="en-US" w:eastAsia="zh-CN"/>
              </w:rPr>
              <w:t>人为触发防入侵报警</w:t>
            </w:r>
          </w:p>
        </w:tc>
        <w:tc>
          <w:tcPr>
            <w:tcW w:w="3178" w:type="dxa"/>
            <w:noWrap w:val="0"/>
            <w:vAlign w:val="center"/>
          </w:tcPr>
          <w:p>
            <w:pPr>
              <w:pStyle w:val="11"/>
              <w:bidi w:val="0"/>
              <w:ind w:firstLine="0" w:firstLineChars="0"/>
              <w:jc w:val="center"/>
              <w:rPr>
                <w:rFonts w:hint="eastAsia"/>
                <w:lang w:val="en-US" w:eastAsia="zh-CN"/>
              </w:rPr>
            </w:pPr>
            <w:r>
              <w:rPr>
                <w:rFonts w:hint="eastAsia" w:cs="Times New Roman"/>
                <w:color w:val="auto"/>
                <w:sz w:val="24"/>
                <w:lang w:val="en-US" w:eastAsia="zh-CN"/>
              </w:rPr>
              <w:t>报警器报警</w:t>
            </w:r>
          </w:p>
        </w:tc>
        <w:tc>
          <w:tcPr>
            <w:tcW w:w="3725" w:type="dxa"/>
            <w:gridSpan w:val="2"/>
            <w:noWrap w:val="0"/>
            <w:vAlign w:val="center"/>
          </w:tcPr>
          <w:p>
            <w:pPr>
              <w:pStyle w:val="11"/>
              <w:bidi w:val="0"/>
              <w:rPr>
                <w:rFonts w:hint="eastAsia"/>
                <w:lang w:val="en-US" w:eastAsia="zh-CN"/>
              </w:rPr>
            </w:pPr>
          </w:p>
        </w:tc>
        <w:tc>
          <w:tcPr>
            <w:tcW w:w="1692" w:type="dxa"/>
            <w:noWrap w:val="0"/>
            <w:vAlign w:val="center"/>
          </w:tcPr>
          <w:p>
            <w:pPr>
              <w:pStyle w:val="11"/>
              <w:bidi w:val="0"/>
              <w:rPr>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538" w:type="dxa"/>
            <w:noWrap w:val="0"/>
            <w:vAlign w:val="top"/>
          </w:tcPr>
          <w:p>
            <w:pPr>
              <w:pStyle w:val="11"/>
              <w:bidi w:val="0"/>
              <w:ind w:firstLine="0" w:firstLineChars="0"/>
              <w:rPr>
                <w:rFonts w:hint="eastAsia"/>
                <w:lang w:val="en-US" w:eastAsia="zh-CN"/>
              </w:rPr>
            </w:pPr>
            <w:r>
              <w:rPr>
                <w:rFonts w:hint="eastAsia"/>
                <w:lang w:val="en-US" w:eastAsia="zh-CN"/>
              </w:rPr>
              <w:t>3</w:t>
            </w:r>
          </w:p>
        </w:tc>
        <w:tc>
          <w:tcPr>
            <w:tcW w:w="1717" w:type="dxa"/>
            <w:noWrap w:val="0"/>
            <w:vAlign w:val="center"/>
          </w:tcPr>
          <w:p>
            <w:pPr>
              <w:pStyle w:val="11"/>
              <w:bidi w:val="0"/>
              <w:ind w:firstLine="0" w:firstLineChars="0"/>
              <w:jc w:val="center"/>
              <w:rPr>
                <w:rFonts w:hint="eastAsia" w:eastAsia="仿宋"/>
                <w:lang w:val="en-US" w:eastAsia="zh-CN"/>
              </w:rPr>
            </w:pPr>
            <w:r>
              <w:rPr>
                <w:rFonts w:hint="eastAsia" w:cs="Times New Roman"/>
                <w:color w:val="auto"/>
                <w:sz w:val="24"/>
                <w:lang w:val="en-US" w:eastAsia="zh-CN"/>
              </w:rPr>
              <w:t>巡更</w:t>
            </w:r>
          </w:p>
        </w:tc>
        <w:tc>
          <w:tcPr>
            <w:tcW w:w="3368" w:type="dxa"/>
            <w:noWrap w:val="0"/>
            <w:vAlign w:val="center"/>
          </w:tcPr>
          <w:p>
            <w:pPr>
              <w:pStyle w:val="11"/>
              <w:bidi w:val="0"/>
              <w:ind w:firstLine="0" w:firstLineChars="0"/>
              <w:jc w:val="center"/>
              <w:rPr>
                <w:rFonts w:hint="eastAsia" w:eastAsia="仿宋"/>
                <w:lang w:eastAsia="zh-CN"/>
              </w:rPr>
            </w:pPr>
            <w:r>
              <w:rPr>
                <w:rFonts w:hint="eastAsia" w:cs="Times New Roman"/>
                <w:color w:val="auto"/>
                <w:sz w:val="24"/>
                <w:lang w:val="en-US" w:eastAsia="zh-CN"/>
              </w:rPr>
              <w:t>导入巡更记录</w:t>
            </w:r>
          </w:p>
        </w:tc>
        <w:tc>
          <w:tcPr>
            <w:tcW w:w="3178" w:type="dxa"/>
            <w:noWrap w:val="0"/>
            <w:vAlign w:val="center"/>
          </w:tcPr>
          <w:p>
            <w:pPr>
              <w:pStyle w:val="11"/>
              <w:bidi w:val="0"/>
              <w:ind w:firstLine="0" w:firstLineChars="0"/>
              <w:jc w:val="center"/>
              <w:rPr>
                <w:rFonts w:hint="eastAsia"/>
                <w:lang w:val="en-US" w:eastAsia="zh-CN"/>
              </w:rPr>
            </w:pPr>
            <w:r>
              <w:rPr>
                <w:rFonts w:hint="eastAsia" w:cs="Times New Roman"/>
                <w:color w:val="auto"/>
                <w:sz w:val="24"/>
                <w:lang w:val="en-US" w:eastAsia="zh-CN"/>
              </w:rPr>
              <w:t>符合巡更相关要求</w:t>
            </w:r>
          </w:p>
        </w:tc>
        <w:tc>
          <w:tcPr>
            <w:tcW w:w="3725" w:type="dxa"/>
            <w:gridSpan w:val="2"/>
            <w:noWrap w:val="0"/>
            <w:vAlign w:val="center"/>
          </w:tcPr>
          <w:p>
            <w:pPr>
              <w:pStyle w:val="11"/>
              <w:bidi w:val="0"/>
              <w:rPr>
                <w:rFonts w:hint="eastAsia"/>
                <w:lang w:val="en-US" w:eastAsia="zh-CN"/>
              </w:rPr>
            </w:pPr>
          </w:p>
        </w:tc>
        <w:tc>
          <w:tcPr>
            <w:tcW w:w="1692" w:type="dxa"/>
            <w:noWrap w:val="0"/>
            <w:vAlign w:val="center"/>
          </w:tcPr>
          <w:p>
            <w:pPr>
              <w:pStyle w:val="11"/>
              <w:bidi w:val="0"/>
              <w:rPr>
                <w:rFonts w:hint="eastAsia"/>
                <w:lang w:val="en-US" w:eastAsia="zh-CN"/>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0" w:type="dxa"/>
            <w:bottom w:w="0" w:type="dxa"/>
            <w:right w:w="0" w:type="dxa"/>
          </w:tblCellMar>
        </w:tblPrEx>
        <w:trPr>
          <w:trHeight w:val="830" w:hRule="atLeast"/>
          <w:jc w:val="center"/>
        </w:trPr>
        <w:tc>
          <w:tcPr>
            <w:tcW w:w="10785" w:type="dxa"/>
            <w:gridSpan w:val="5"/>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top"/>
          </w:tcPr>
          <w:p>
            <w:pPr>
              <w:pStyle w:val="11"/>
              <w:jc w:val="left"/>
              <w:rPr>
                <w:rFonts w:hint="eastAsia"/>
              </w:rPr>
            </w:pPr>
            <w:r>
              <w:rPr>
                <w:rFonts w:hint="eastAsia"/>
              </w:rPr>
              <w:t>验证人员签字：</w:t>
            </w:r>
          </w:p>
          <w:p>
            <w:pPr>
              <w:pStyle w:val="11"/>
              <w:rPr>
                <w:rFonts w:hint="eastAsia"/>
              </w:rPr>
            </w:pPr>
          </w:p>
          <w:p>
            <w:pPr>
              <w:pStyle w:val="11"/>
              <w:rPr>
                <w:rFonts w:hint="eastAsia"/>
              </w:rPr>
            </w:pPr>
          </w:p>
        </w:tc>
        <w:tc>
          <w:tcPr>
            <w:tcW w:w="3433"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top"/>
          </w:tcPr>
          <w:p>
            <w:pPr>
              <w:pStyle w:val="11"/>
              <w:jc w:val="left"/>
              <w:rPr>
                <w:rFonts w:hint="eastAsia"/>
              </w:rPr>
            </w:pPr>
            <w:r>
              <w:rPr>
                <w:rFonts w:hint="eastAsia"/>
              </w:rPr>
              <w:t>验证日期：</w:t>
            </w:r>
          </w:p>
        </w:tc>
      </w:tr>
    </w:tbl>
    <w:p>
      <w:pPr>
        <w:rPr>
          <w:rFonts w:hint="default"/>
          <w:lang w:val="en-US" w:eastAsia="zh-CN"/>
        </w:rPr>
        <w:sectPr>
          <w:pgSz w:w="16838" w:h="11906" w:orient="landscape"/>
          <w:pgMar w:top="1800" w:right="1440" w:bottom="1800" w:left="1440" w:header="851" w:footer="992" w:gutter="0"/>
          <w:cols w:space="425" w:num="1"/>
          <w:docGrid w:type="lines" w:linePitch="312" w:charSpace="0"/>
        </w:sectPr>
      </w:pPr>
    </w:p>
    <w:p>
      <w:pPr>
        <w:pStyle w:val="2"/>
        <w:bidi w:val="0"/>
        <w:rPr>
          <w:rFonts w:hint="eastAsia"/>
          <w:lang w:val="en-US" w:eastAsia="zh-CN"/>
        </w:rPr>
      </w:pPr>
      <w:bookmarkStart w:id="10" w:name="_Toc23303"/>
      <w:bookmarkStart w:id="11" w:name="_Toc25657"/>
      <w:r>
        <w:rPr>
          <w:rFonts w:hint="eastAsia"/>
          <w:lang w:val="en-US" w:eastAsia="zh-CN"/>
        </w:rPr>
        <w:t>5、</w:t>
      </w:r>
      <w:bookmarkEnd w:id="10"/>
      <w:r>
        <w:rPr>
          <w:rFonts w:hint="eastAsia"/>
          <w:lang w:val="en-US" w:eastAsia="zh-CN"/>
        </w:rPr>
        <w:t>雷管分零安全技术操作规程</w:t>
      </w:r>
      <w:bookmarkEnd w:id="11"/>
    </w:p>
    <w:p>
      <w:pPr>
        <w:pStyle w:val="3"/>
        <w:bidi w:val="0"/>
        <w:rPr>
          <w:rFonts w:hint="eastAsia"/>
          <w:lang w:val="en-US" w:eastAsia="zh-CN"/>
        </w:rPr>
      </w:pPr>
      <w:r>
        <w:rPr>
          <w:rFonts w:hint="eastAsia"/>
          <w:lang w:val="en-US" w:eastAsia="zh-CN"/>
        </w:rPr>
        <w:t>5.1、操作程序</w:t>
      </w:r>
    </w:p>
    <w:p>
      <w:pPr>
        <w:bidi w:val="0"/>
        <w:rPr>
          <w:rFonts w:hint="eastAsia"/>
          <w:lang w:val="en-US" w:eastAsia="zh-CN"/>
        </w:rPr>
      </w:pPr>
      <w:r>
        <w:rPr>
          <w:rFonts w:hint="eastAsia"/>
          <w:lang w:val="en-US" w:eastAsia="zh-CN"/>
        </w:rPr>
        <w:t>5.1.1、从仓库内将需拆箱的民用爆炸物品搬运到拆箱台,若整箱发放时应直接将产品搬运到运输车上。</w:t>
      </w:r>
    </w:p>
    <w:p>
      <w:pPr>
        <w:bidi w:val="0"/>
        <w:rPr>
          <w:rFonts w:hint="eastAsia"/>
          <w:lang w:val="en-US" w:eastAsia="zh-CN"/>
        </w:rPr>
      </w:pPr>
      <w:r>
        <w:rPr>
          <w:rFonts w:hint="eastAsia"/>
          <w:lang w:val="en-US" w:eastAsia="zh-CN"/>
        </w:rPr>
        <w:t>5.1.2、使用不发火工具进行拆箱,取出所需产品进行分发。</w:t>
      </w:r>
    </w:p>
    <w:p>
      <w:pPr>
        <w:bidi w:val="0"/>
        <w:rPr>
          <w:rFonts w:hint="eastAsia"/>
          <w:lang w:val="en-US" w:eastAsia="zh-CN"/>
        </w:rPr>
      </w:pPr>
      <w:r>
        <w:rPr>
          <w:rFonts w:hint="eastAsia"/>
          <w:lang w:val="en-US" w:eastAsia="zh-CN"/>
        </w:rPr>
        <w:t>5.1.3、需要将雷管零发时,应将拆盒的零星雷管放在导静电胶皮上,严禁将其直接放在地上。</w:t>
      </w:r>
    </w:p>
    <w:p>
      <w:pPr>
        <w:bidi w:val="0"/>
        <w:rPr>
          <w:rFonts w:hint="eastAsia"/>
          <w:lang w:val="en-US" w:eastAsia="zh-CN"/>
        </w:rPr>
      </w:pPr>
      <w:r>
        <w:rPr>
          <w:rFonts w:hint="eastAsia"/>
          <w:lang w:val="en-US" w:eastAsia="zh-CN"/>
        </w:rPr>
        <w:t>5.1.4、若需要将剩余产品返回库房内存放,应首先对其重新包装。</w:t>
      </w:r>
    </w:p>
    <w:p>
      <w:pPr>
        <w:pStyle w:val="3"/>
        <w:bidi w:val="0"/>
        <w:rPr>
          <w:rFonts w:hint="eastAsia"/>
          <w:lang w:val="en-US" w:eastAsia="zh-CN"/>
        </w:rPr>
      </w:pPr>
      <w:r>
        <w:rPr>
          <w:rFonts w:hint="eastAsia"/>
          <w:lang w:val="en-US" w:eastAsia="zh-CN"/>
        </w:rPr>
        <w:t>5.2、安全操作要点</w:t>
      </w:r>
    </w:p>
    <w:p>
      <w:pPr>
        <w:bidi w:val="0"/>
        <w:rPr>
          <w:rFonts w:hint="eastAsia"/>
          <w:lang w:val="en-US" w:eastAsia="zh-CN"/>
        </w:rPr>
      </w:pPr>
      <w:r>
        <w:rPr>
          <w:rFonts w:hint="eastAsia"/>
          <w:lang w:val="en-US" w:eastAsia="zh-CN"/>
        </w:rPr>
        <w:t>5.2.1、拆箱人员必须按要求穿戴好劳动防护用品,禁止携带烟火和移动通讯工具。</w:t>
      </w:r>
    </w:p>
    <w:p>
      <w:pPr>
        <w:bidi w:val="0"/>
        <w:rPr>
          <w:rFonts w:hint="eastAsia"/>
          <w:lang w:val="en-US" w:eastAsia="zh-CN"/>
        </w:rPr>
      </w:pPr>
      <w:r>
        <w:rPr>
          <w:rFonts w:hint="eastAsia"/>
          <w:lang w:val="en-US" w:eastAsia="zh-CN"/>
        </w:rPr>
        <w:t>5.2.2、拆箱前必须先释放人体静电。</w:t>
      </w:r>
    </w:p>
    <w:p>
      <w:pPr>
        <w:bidi w:val="0"/>
        <w:rPr>
          <w:rFonts w:hint="eastAsia"/>
          <w:lang w:val="en-US" w:eastAsia="zh-CN"/>
        </w:rPr>
      </w:pPr>
      <w:r>
        <w:rPr>
          <w:rFonts w:hint="eastAsia"/>
          <w:lang w:val="en-US" w:eastAsia="zh-CN"/>
        </w:rPr>
        <w:t>5.2.3、对非产品质量进行检验或零发产品不得对民用爆炸物品拆箱。</w:t>
      </w:r>
    </w:p>
    <w:p>
      <w:pPr>
        <w:bidi w:val="0"/>
        <w:rPr>
          <w:rFonts w:hint="eastAsia"/>
          <w:lang w:val="en-US" w:eastAsia="zh-CN"/>
        </w:rPr>
      </w:pPr>
      <w:r>
        <w:rPr>
          <w:rFonts w:hint="eastAsia"/>
          <w:lang w:val="en-US" w:eastAsia="zh-CN"/>
        </w:rPr>
        <w:t>5.2.4、严禁在库房、运输车内拆箱。</w:t>
      </w:r>
    </w:p>
    <w:p>
      <w:pPr>
        <w:bidi w:val="0"/>
        <w:rPr>
          <w:rFonts w:hint="eastAsia"/>
          <w:lang w:val="en-US" w:eastAsia="zh-CN"/>
        </w:rPr>
      </w:pPr>
      <w:r>
        <w:rPr>
          <w:rFonts w:hint="eastAsia"/>
          <w:lang w:val="en-US" w:eastAsia="zh-CN"/>
        </w:rPr>
        <w:t>5.2.5、拆箱搬运时要轻拿轻放,不得拖拉、摩擦、碰撞、投掷、倒置。</w:t>
      </w:r>
    </w:p>
    <w:p>
      <w:pPr>
        <w:bidi w:val="0"/>
        <w:rPr>
          <w:rFonts w:hint="eastAsia"/>
          <w:lang w:val="en-US" w:eastAsia="zh-CN"/>
        </w:rPr>
      </w:pPr>
      <w:r>
        <w:rPr>
          <w:rFonts w:hint="eastAsia"/>
          <w:lang w:val="en-US" w:eastAsia="zh-CN"/>
        </w:rPr>
        <w:t>5.2.6、拆箱不得使用发火工具。</w:t>
      </w:r>
    </w:p>
    <w:p>
      <w:pPr>
        <w:bidi w:val="0"/>
        <w:rPr>
          <w:rFonts w:hint="eastAsia"/>
        </w:rPr>
      </w:pPr>
      <w:r>
        <w:rPr>
          <w:rFonts w:hint="eastAsia"/>
          <w:lang w:val="en-US" w:eastAsia="zh-CN"/>
        </w:rPr>
        <w:t>5.2.7、拆箱后要注意观察是否有零散药物,若发现,要采用适当方法及时清理干净,并按照废品处理有关规定妥善处理。</w:t>
      </w:r>
    </w:p>
    <w:p>
      <w:pPr>
        <w:pStyle w:val="2"/>
        <w:bidi w:val="0"/>
        <w:rPr>
          <w:rFonts w:hint="eastAsia" w:ascii="仿宋" w:hAnsi="仿宋" w:eastAsia="仿宋" w:cs="仿宋"/>
          <w:b/>
          <w:bCs/>
          <w:color w:val="auto"/>
          <w:szCs w:val="28"/>
          <w:u w:val="none"/>
        </w:rPr>
      </w:pPr>
      <w:bookmarkStart w:id="12" w:name="_Toc6675"/>
      <w:r>
        <w:rPr>
          <w:rFonts w:hint="eastAsia"/>
          <w:lang w:val="en-US" w:eastAsia="zh-CN"/>
        </w:rPr>
        <w:t>6、</w:t>
      </w:r>
      <w:r>
        <w:rPr>
          <w:rFonts w:hint="eastAsia"/>
        </w:rPr>
        <w:t>民用爆炸物品</w:t>
      </w:r>
      <w:r>
        <w:rPr>
          <w:rFonts w:hint="eastAsia"/>
          <w:lang w:eastAsia="zh-CN"/>
        </w:rPr>
        <w:t>出入库</w:t>
      </w:r>
      <w:r>
        <w:rPr>
          <w:rFonts w:hint="eastAsia"/>
        </w:rPr>
        <w:fldChar w:fldCharType="begin"/>
      </w:r>
      <w:r>
        <w:rPr>
          <w:rFonts w:hint="eastAsia"/>
        </w:rPr>
        <w:instrText xml:space="preserve"> HYPERLINK "http://www.mkaq.org/" \t "_blank" \o "煤矿安全网" </w:instrText>
      </w:r>
      <w:r>
        <w:rPr>
          <w:rFonts w:hint="eastAsia"/>
        </w:rPr>
        <w:fldChar w:fldCharType="separate"/>
      </w:r>
      <w:r>
        <w:rPr>
          <w:rFonts w:hint="eastAsia" w:ascii="仿宋" w:hAnsi="仿宋" w:eastAsia="仿宋" w:cs="仿宋"/>
          <w:b/>
          <w:bCs/>
          <w:color w:val="auto"/>
          <w:szCs w:val="28"/>
          <w:u w:val="none"/>
        </w:rPr>
        <w:t>安全</w:t>
      </w:r>
      <w:r>
        <w:rPr>
          <w:rFonts w:hint="eastAsia" w:ascii="仿宋" w:hAnsi="仿宋" w:eastAsia="仿宋" w:cs="仿宋"/>
          <w:b/>
          <w:bCs/>
          <w:color w:val="auto"/>
          <w:szCs w:val="28"/>
          <w:u w:val="none"/>
        </w:rPr>
        <w:fldChar w:fldCharType="end"/>
      </w:r>
      <w:r>
        <w:rPr>
          <w:rFonts w:hint="eastAsia" w:ascii="仿宋" w:hAnsi="仿宋" w:cs="仿宋"/>
          <w:b/>
          <w:bCs/>
          <w:color w:val="auto"/>
          <w:szCs w:val="28"/>
          <w:u w:val="none"/>
          <w:lang w:eastAsia="zh-CN"/>
        </w:rPr>
        <w:t>技术</w:t>
      </w:r>
      <w:r>
        <w:rPr>
          <w:rFonts w:hint="eastAsia"/>
        </w:rPr>
        <w:fldChar w:fldCharType="begin"/>
      </w:r>
      <w:r>
        <w:rPr>
          <w:rFonts w:hint="eastAsia"/>
        </w:rPr>
        <w:instrText xml:space="preserve"> HYPERLINK "http://www.mkaq.org/czgc/" \t "_blank" \o "煤矿操作规程 安全规程" </w:instrText>
      </w:r>
      <w:r>
        <w:rPr>
          <w:rFonts w:hint="eastAsia"/>
        </w:rPr>
        <w:fldChar w:fldCharType="separate"/>
      </w:r>
      <w:r>
        <w:rPr>
          <w:rFonts w:hint="eastAsia" w:ascii="仿宋" w:hAnsi="仿宋" w:eastAsia="仿宋" w:cs="仿宋"/>
          <w:b/>
          <w:bCs/>
          <w:color w:val="auto"/>
          <w:szCs w:val="28"/>
          <w:u w:val="none"/>
        </w:rPr>
        <w:t>操作规程</w:t>
      </w:r>
      <w:r>
        <w:rPr>
          <w:rFonts w:hint="eastAsia" w:ascii="仿宋" w:hAnsi="仿宋" w:eastAsia="仿宋" w:cs="仿宋"/>
          <w:b/>
          <w:bCs/>
          <w:color w:val="auto"/>
          <w:szCs w:val="28"/>
          <w:u w:val="none"/>
        </w:rPr>
        <w:fldChar w:fldCharType="end"/>
      </w:r>
      <w:bookmarkEnd w:id="12"/>
    </w:p>
    <w:p>
      <w:pPr>
        <w:bidi w:val="0"/>
        <w:rPr>
          <w:rFonts w:hint="default"/>
          <w:lang w:val="en-US" w:eastAsia="zh-CN"/>
        </w:rPr>
      </w:pPr>
      <w:r>
        <w:rPr>
          <w:rFonts w:hint="eastAsia"/>
          <w:lang w:val="en-US" w:eastAsia="zh-CN"/>
        </w:rPr>
        <w:t>6.</w:t>
      </w:r>
      <w:r>
        <w:rPr>
          <w:rFonts w:hint="default"/>
          <w:lang w:val="en-US" w:eastAsia="zh-CN"/>
        </w:rPr>
        <w:t>1、入库产品必须有验收合格证，民用爆破器材封存标志应保持完好，任何人不得随意开封拆箱。如遇有特殊情况需入库时，必须经公司领导批准，化学性质不稳定的废民用爆破器材或未进行相容性试验的新产品应单独存放，严禁和常规产品同库存放。</w:t>
      </w:r>
    </w:p>
    <w:p>
      <w:pPr>
        <w:rPr>
          <w:rFonts w:hint="default"/>
          <w:lang w:val="en-US" w:eastAsia="zh-CN"/>
        </w:rPr>
      </w:pPr>
      <w:r>
        <w:rPr>
          <w:rFonts w:hint="eastAsia"/>
          <w:lang w:val="en-US" w:eastAsia="zh-CN"/>
        </w:rPr>
        <w:t>6.</w:t>
      </w:r>
      <w:r>
        <w:rPr>
          <w:rFonts w:hint="default"/>
          <w:lang w:val="en-US" w:eastAsia="zh-CN"/>
        </w:rPr>
        <w:t>2、对新入库的爆破器材进行验收，须具备以下条件才能收入库内存放：</w:t>
      </w:r>
    </w:p>
    <w:p>
      <w:pPr>
        <w:rPr>
          <w:rFonts w:hint="default"/>
          <w:lang w:val="en-US" w:eastAsia="zh-CN"/>
        </w:rPr>
      </w:pPr>
      <w:r>
        <w:rPr>
          <w:rFonts w:hint="default"/>
          <w:lang w:val="en-US" w:eastAsia="zh-CN"/>
        </w:rPr>
        <w:t>（1）、按照发票和公安局签发的《爆炸物品购买证》、《爆炸物品运输证》或其他规定手续进行。</w:t>
      </w:r>
    </w:p>
    <w:p>
      <w:pPr>
        <w:rPr>
          <w:rFonts w:hint="default"/>
          <w:lang w:val="en-US" w:eastAsia="zh-CN"/>
        </w:rPr>
      </w:pPr>
      <w:r>
        <w:rPr>
          <w:rFonts w:hint="default"/>
          <w:lang w:val="en-US" w:eastAsia="zh-CN"/>
        </w:rPr>
        <w:t>（2）、爆破器材的品种、数量和规格必须与证或单据相符。</w:t>
      </w:r>
    </w:p>
    <w:p>
      <w:pPr>
        <w:rPr>
          <w:rFonts w:hint="default"/>
          <w:lang w:val="en-US" w:eastAsia="zh-CN"/>
        </w:rPr>
      </w:pPr>
      <w:r>
        <w:rPr>
          <w:rFonts w:hint="eastAsia"/>
          <w:lang w:val="en-US" w:eastAsia="zh-CN"/>
        </w:rPr>
        <w:t>6.</w:t>
      </w:r>
      <w:r>
        <w:rPr>
          <w:rFonts w:hint="default"/>
          <w:lang w:val="en-US" w:eastAsia="zh-CN"/>
        </w:rPr>
        <w:t>3、雷管发放必须在发放间内进行。回库民爆物品必须按出入库要求验收后存入相应发放间，回库民爆物品严禁与未发放物品同库存放。</w:t>
      </w:r>
    </w:p>
    <w:p>
      <w:pPr>
        <w:rPr>
          <w:rFonts w:hint="default"/>
          <w:lang w:val="en-US" w:eastAsia="zh-CN"/>
        </w:rPr>
      </w:pPr>
      <w:r>
        <w:rPr>
          <w:rFonts w:hint="eastAsia"/>
          <w:lang w:val="en-US" w:eastAsia="zh-CN"/>
        </w:rPr>
        <w:t>6.</w:t>
      </w:r>
      <w:r>
        <w:rPr>
          <w:rFonts w:hint="default"/>
          <w:lang w:val="en-US" w:eastAsia="zh-CN"/>
        </w:rPr>
        <w:t>4、对退库的爆破器材必须认真检查验收，做到“三不退库”：</w:t>
      </w:r>
    </w:p>
    <w:p>
      <w:pPr>
        <w:rPr>
          <w:rFonts w:hint="default"/>
          <w:lang w:val="en-US" w:eastAsia="zh-CN"/>
        </w:rPr>
      </w:pPr>
      <w:r>
        <w:rPr>
          <w:rFonts w:hint="default"/>
          <w:lang w:val="en-US" w:eastAsia="zh-CN"/>
        </w:rPr>
        <w:t>（1）变质失效的爆破器材不退库；</w:t>
      </w:r>
    </w:p>
    <w:p>
      <w:pPr>
        <w:rPr>
          <w:rFonts w:hint="default"/>
          <w:lang w:val="en-US" w:eastAsia="zh-CN"/>
        </w:rPr>
      </w:pPr>
      <w:r>
        <w:rPr>
          <w:rFonts w:hint="default"/>
          <w:lang w:val="en-US" w:eastAsia="zh-CN"/>
        </w:rPr>
        <w:t>（2）已加工好的起爆雷管、起爆药包不退库；</w:t>
      </w:r>
    </w:p>
    <w:p>
      <w:pPr>
        <w:rPr>
          <w:rFonts w:hint="default"/>
          <w:lang w:val="en-US" w:eastAsia="zh-CN"/>
        </w:rPr>
      </w:pPr>
      <w:r>
        <w:rPr>
          <w:rFonts w:hint="default"/>
          <w:lang w:val="en-US" w:eastAsia="zh-CN"/>
        </w:rPr>
        <w:t>（3）夹带可疑物品或装置的爆炸物品不退库。</w:t>
      </w:r>
    </w:p>
    <w:p>
      <w:pPr>
        <w:rPr>
          <w:rFonts w:hint="default"/>
          <w:lang w:val="en-US" w:eastAsia="zh-CN"/>
        </w:rPr>
      </w:pPr>
      <w:r>
        <w:rPr>
          <w:rFonts w:hint="eastAsia"/>
          <w:lang w:val="en-US" w:eastAsia="zh-CN"/>
        </w:rPr>
        <w:t>6.</w:t>
      </w:r>
      <w:r>
        <w:rPr>
          <w:rFonts w:hint="default"/>
          <w:lang w:val="en-US" w:eastAsia="zh-CN"/>
        </w:rPr>
        <w:t>5、民爆物品出、入库操作必须在手持机上作相应操作，并于15日内上报数据。</w:t>
      </w:r>
    </w:p>
    <w:p>
      <w:pPr>
        <w:pStyle w:val="2"/>
        <w:bidi w:val="0"/>
        <w:rPr>
          <w:rFonts w:hint="eastAsia"/>
        </w:rPr>
      </w:pPr>
      <w:bookmarkStart w:id="13" w:name="_Toc13700"/>
      <w:r>
        <w:rPr>
          <w:rFonts w:hint="eastAsia"/>
          <w:lang w:val="en-US" w:eastAsia="zh-CN"/>
        </w:rPr>
        <w:t>7、</w:t>
      </w:r>
      <w:r>
        <w:rPr>
          <w:rFonts w:hint="eastAsia"/>
        </w:rPr>
        <w:t>民用爆炸物品</w:t>
      </w:r>
      <w:r>
        <w:rPr>
          <w:rFonts w:hint="eastAsia"/>
          <w:lang w:eastAsia="zh-CN"/>
        </w:rPr>
        <w:t>配送</w:t>
      </w:r>
      <w:r>
        <w:rPr>
          <w:rFonts w:hint="eastAsia"/>
        </w:rPr>
        <w:fldChar w:fldCharType="begin"/>
      </w:r>
      <w:r>
        <w:rPr>
          <w:rFonts w:hint="eastAsia"/>
        </w:rPr>
        <w:instrText xml:space="preserve"> HYPERLINK "http://www.mkaq.org/" \t "_blank" \o "煤矿安全网" </w:instrText>
      </w:r>
      <w:r>
        <w:rPr>
          <w:rFonts w:hint="eastAsia"/>
        </w:rPr>
        <w:fldChar w:fldCharType="separate"/>
      </w:r>
      <w:r>
        <w:rPr>
          <w:rFonts w:hint="eastAsia" w:ascii="仿宋" w:hAnsi="仿宋" w:eastAsia="仿宋" w:cs="仿宋"/>
          <w:b/>
          <w:bCs/>
          <w:color w:val="auto"/>
          <w:szCs w:val="28"/>
          <w:u w:val="none"/>
        </w:rPr>
        <w:t>安全</w:t>
      </w:r>
      <w:r>
        <w:rPr>
          <w:rFonts w:hint="eastAsia" w:ascii="仿宋" w:hAnsi="仿宋" w:eastAsia="仿宋" w:cs="仿宋"/>
          <w:b/>
          <w:bCs/>
          <w:color w:val="auto"/>
          <w:szCs w:val="28"/>
          <w:u w:val="none"/>
        </w:rPr>
        <w:fldChar w:fldCharType="end"/>
      </w:r>
      <w:r>
        <w:rPr>
          <w:rFonts w:hint="eastAsia"/>
        </w:rPr>
        <w:fldChar w:fldCharType="begin"/>
      </w:r>
      <w:r>
        <w:rPr>
          <w:rFonts w:hint="eastAsia"/>
        </w:rPr>
        <w:instrText xml:space="preserve"> HYPERLINK "http://www.mkaq.org/czgc/" \t "_blank" \o "煤矿操作规程 安全规程" </w:instrText>
      </w:r>
      <w:r>
        <w:rPr>
          <w:rFonts w:hint="eastAsia"/>
        </w:rPr>
        <w:fldChar w:fldCharType="separate"/>
      </w:r>
      <w:r>
        <w:rPr>
          <w:rFonts w:hint="eastAsia" w:ascii="仿宋" w:hAnsi="仿宋" w:eastAsia="仿宋" w:cs="仿宋"/>
          <w:b/>
          <w:bCs/>
          <w:color w:val="auto"/>
          <w:szCs w:val="28"/>
          <w:u w:val="none"/>
        </w:rPr>
        <w:t>操作规程</w:t>
      </w:r>
      <w:r>
        <w:rPr>
          <w:rFonts w:hint="eastAsia" w:ascii="仿宋" w:hAnsi="仿宋" w:eastAsia="仿宋" w:cs="仿宋"/>
          <w:b/>
          <w:bCs/>
          <w:color w:val="auto"/>
          <w:szCs w:val="28"/>
          <w:u w:val="none"/>
        </w:rPr>
        <w:fldChar w:fldCharType="end"/>
      </w:r>
      <w:bookmarkEnd w:id="13"/>
    </w:p>
    <w:p>
      <w:pPr>
        <w:bidi w:val="0"/>
        <w:rPr>
          <w:rFonts w:hint="eastAsia"/>
        </w:rPr>
      </w:pPr>
      <w:r>
        <w:rPr>
          <w:rFonts w:hint="eastAsia"/>
        </w:rPr>
        <w:t>(1)运输各类爆破器材应严格遵守《中华人民共和国道路交通</w:t>
      </w:r>
      <w:r>
        <w:rPr>
          <w:rFonts w:hint="eastAsia"/>
        </w:rPr>
        <w:fldChar w:fldCharType="begin"/>
      </w:r>
      <w:r>
        <w:rPr>
          <w:rFonts w:hint="eastAsia"/>
        </w:rPr>
        <w:instrText xml:space="preserve"> HYPERLINK "http://www.mkaq.org/" \t "_blank" \o "煤矿安全网" </w:instrText>
      </w:r>
      <w:r>
        <w:rPr>
          <w:rFonts w:hint="eastAsia"/>
        </w:rPr>
        <w:fldChar w:fldCharType="separate"/>
      </w:r>
      <w:r>
        <w:rPr>
          <w:rFonts w:hint="eastAsia" w:ascii="仿宋" w:hAnsi="仿宋" w:eastAsia="仿宋" w:cs="仿宋"/>
          <w:b w:val="0"/>
          <w:bCs w:val="0"/>
          <w:color w:val="auto"/>
          <w:szCs w:val="28"/>
          <w:u w:val="none"/>
        </w:rPr>
        <w:t>安全</w:t>
      </w:r>
      <w:r>
        <w:rPr>
          <w:rFonts w:hint="eastAsia" w:ascii="仿宋" w:hAnsi="仿宋" w:eastAsia="仿宋" w:cs="仿宋"/>
          <w:b w:val="0"/>
          <w:bCs w:val="0"/>
          <w:color w:val="auto"/>
          <w:szCs w:val="28"/>
          <w:u w:val="none"/>
        </w:rPr>
        <w:fldChar w:fldCharType="end"/>
      </w:r>
      <w:r>
        <w:rPr>
          <w:rFonts w:hint="eastAsia"/>
        </w:rPr>
        <w:t>法》、《中华人民共和国民用爆炸物品</w:t>
      </w:r>
      <w:r>
        <w:rPr>
          <w:rFonts w:hint="eastAsia"/>
        </w:rPr>
        <w:fldChar w:fldCharType="begin"/>
      </w:r>
      <w:r>
        <w:rPr>
          <w:rFonts w:hint="eastAsia"/>
        </w:rPr>
        <w:instrText xml:space="preserve"> HYPERLINK "http://www.mkaq.org/mkgl/" \t "_blank" \o "煤矿管理" </w:instrText>
      </w:r>
      <w:r>
        <w:rPr>
          <w:rFonts w:hint="eastAsia"/>
        </w:rPr>
        <w:fldChar w:fldCharType="separate"/>
      </w:r>
      <w:r>
        <w:rPr>
          <w:rFonts w:hint="eastAsia" w:ascii="仿宋" w:hAnsi="仿宋" w:eastAsia="仿宋" w:cs="仿宋"/>
          <w:b w:val="0"/>
          <w:bCs w:val="0"/>
          <w:color w:val="auto"/>
          <w:szCs w:val="28"/>
          <w:u w:val="none"/>
        </w:rPr>
        <w:t>管理</w:t>
      </w:r>
      <w:r>
        <w:rPr>
          <w:rFonts w:hint="eastAsia" w:ascii="仿宋" w:hAnsi="仿宋" w:eastAsia="仿宋" w:cs="仿宋"/>
          <w:b w:val="0"/>
          <w:bCs w:val="0"/>
          <w:color w:val="auto"/>
          <w:szCs w:val="28"/>
          <w:u w:val="none"/>
        </w:rPr>
        <w:fldChar w:fldCharType="end"/>
      </w:r>
      <w:r>
        <w:rPr>
          <w:rFonts w:hint="eastAsia"/>
        </w:rPr>
        <w:t>条例》(国发[1984]5号)、《危险化学品</w:t>
      </w:r>
      <w:r>
        <w:rPr>
          <w:rFonts w:hint="eastAsia"/>
        </w:rPr>
        <w:fldChar w:fldCharType="begin"/>
      </w:r>
      <w:r>
        <w:rPr>
          <w:rFonts w:hint="eastAsia"/>
        </w:rPr>
        <w:instrText xml:space="preserve"> HYPERLINK "http://www.mkaq.org/mkgl/" \t "_blank" \o "煤矿安全管理" </w:instrText>
      </w:r>
      <w:r>
        <w:rPr>
          <w:rFonts w:hint="eastAsia"/>
        </w:rPr>
        <w:fldChar w:fldCharType="separate"/>
      </w:r>
      <w:r>
        <w:rPr>
          <w:rFonts w:hint="eastAsia" w:ascii="仿宋" w:hAnsi="仿宋" w:eastAsia="仿宋" w:cs="仿宋"/>
          <w:b w:val="0"/>
          <w:bCs w:val="0"/>
          <w:color w:val="auto"/>
          <w:szCs w:val="28"/>
          <w:u w:val="none"/>
        </w:rPr>
        <w:t>安全管理</w:t>
      </w:r>
      <w:r>
        <w:rPr>
          <w:rFonts w:hint="eastAsia" w:ascii="仿宋" w:hAnsi="仿宋" w:eastAsia="仿宋" w:cs="仿宋"/>
          <w:b w:val="0"/>
          <w:bCs w:val="0"/>
          <w:color w:val="auto"/>
          <w:szCs w:val="28"/>
          <w:u w:val="none"/>
        </w:rPr>
        <w:fldChar w:fldCharType="end"/>
      </w:r>
      <w:r>
        <w:rPr>
          <w:rFonts w:hint="eastAsia"/>
        </w:rPr>
        <w:t>条例》(国务院第344号令)《道路危险货物运输规则》(交运发[1999]1382号)、《汽车危险货物运输规则》(JT3130-88)的有关规定。</w:t>
      </w:r>
    </w:p>
    <w:p>
      <w:pPr>
        <w:bidi w:val="0"/>
        <w:rPr>
          <w:rFonts w:hint="eastAsia"/>
        </w:rPr>
      </w:pPr>
      <w:r>
        <w:rPr>
          <w:rFonts w:hint="eastAsia"/>
        </w:rPr>
        <w:t>(2)运输爆破器材应采用合符《爆破器材运输车</w:t>
      </w:r>
      <w:r>
        <w:rPr>
          <w:rFonts w:hint="eastAsia"/>
        </w:rPr>
        <w:fldChar w:fldCharType="begin"/>
      </w:r>
      <w:r>
        <w:rPr>
          <w:rFonts w:hint="eastAsia"/>
        </w:rPr>
        <w:instrText xml:space="preserve"> HYPERLINK "http://www.mkaq.org/" \t "_blank" \o "煤矿安全网" </w:instrText>
      </w:r>
      <w:r>
        <w:rPr>
          <w:rFonts w:hint="eastAsia"/>
        </w:rPr>
        <w:fldChar w:fldCharType="separate"/>
      </w:r>
      <w:r>
        <w:rPr>
          <w:rFonts w:hint="eastAsia" w:ascii="仿宋" w:hAnsi="仿宋" w:eastAsia="仿宋" w:cs="仿宋"/>
          <w:b w:val="0"/>
          <w:bCs w:val="0"/>
          <w:color w:val="auto"/>
          <w:szCs w:val="28"/>
          <w:u w:val="none"/>
        </w:rPr>
        <w:t>安全</w:t>
      </w:r>
      <w:r>
        <w:rPr>
          <w:rFonts w:hint="eastAsia" w:ascii="仿宋" w:hAnsi="仿宋" w:eastAsia="仿宋" w:cs="仿宋"/>
          <w:b w:val="0"/>
          <w:bCs w:val="0"/>
          <w:color w:val="auto"/>
          <w:szCs w:val="28"/>
          <w:u w:val="none"/>
        </w:rPr>
        <w:fldChar w:fldCharType="end"/>
      </w:r>
      <w:r>
        <w:rPr>
          <w:rFonts w:hint="eastAsia"/>
        </w:rPr>
        <w:t>技术条件》(科工爆[2001]156号)规定的专用车辆，车况应达到一级</w:t>
      </w:r>
      <w:r>
        <w:rPr>
          <w:rFonts w:hint="eastAsia"/>
        </w:rPr>
        <w:fldChar w:fldCharType="begin"/>
      </w:r>
      <w:r>
        <w:rPr>
          <w:rFonts w:hint="eastAsia"/>
        </w:rPr>
        <w:instrText xml:space="preserve"> HYPERLINK "http://www.mkaq.org/fgbz/mabz/" \t "_blank" \o "煤矿标准 安全标准" </w:instrText>
      </w:r>
      <w:r>
        <w:rPr>
          <w:rFonts w:hint="eastAsia"/>
        </w:rPr>
        <w:fldChar w:fldCharType="separate"/>
      </w:r>
      <w:r>
        <w:rPr>
          <w:rFonts w:hint="eastAsia" w:ascii="仿宋" w:hAnsi="仿宋" w:eastAsia="仿宋" w:cs="仿宋"/>
          <w:b w:val="0"/>
          <w:bCs w:val="0"/>
          <w:color w:val="auto"/>
          <w:szCs w:val="28"/>
          <w:u w:val="none"/>
        </w:rPr>
        <w:t>标准</w:t>
      </w:r>
      <w:r>
        <w:rPr>
          <w:rFonts w:hint="eastAsia" w:ascii="仿宋" w:hAnsi="仿宋" w:eastAsia="仿宋" w:cs="仿宋"/>
          <w:b w:val="0"/>
          <w:bCs w:val="0"/>
          <w:color w:val="auto"/>
          <w:szCs w:val="28"/>
          <w:u w:val="none"/>
        </w:rPr>
        <w:fldChar w:fldCharType="end"/>
      </w:r>
      <w:r>
        <w:rPr>
          <w:rFonts w:hint="eastAsia"/>
        </w:rPr>
        <w:t>。车辆不得自行改装，不得使用翻新轮胎。在条件限制的情况下，运输爆破器材的车辆应符合以下规定：</w:t>
      </w:r>
    </w:p>
    <w:p>
      <w:pPr>
        <w:bidi w:val="0"/>
        <w:rPr>
          <w:rFonts w:hint="eastAsia"/>
        </w:rPr>
      </w:pPr>
      <w:r>
        <w:rPr>
          <w:rFonts w:hint="eastAsia"/>
        </w:rPr>
        <w:t>①车辆技术状况应符合《机动车运行</w:t>
      </w:r>
      <w:r>
        <w:rPr>
          <w:rFonts w:hint="eastAsia"/>
        </w:rPr>
        <w:fldChar w:fldCharType="begin"/>
      </w:r>
      <w:r>
        <w:rPr>
          <w:rFonts w:hint="eastAsia"/>
        </w:rPr>
        <w:instrText xml:space="preserve"> HYPERLINK "http://www.mkaq.org/" \t "_blank" \o "煤矿安全网" </w:instrText>
      </w:r>
      <w:r>
        <w:rPr>
          <w:rFonts w:hint="eastAsia"/>
        </w:rPr>
        <w:fldChar w:fldCharType="separate"/>
      </w:r>
      <w:r>
        <w:rPr>
          <w:rFonts w:hint="eastAsia" w:ascii="仿宋" w:hAnsi="仿宋" w:eastAsia="仿宋" w:cs="仿宋"/>
          <w:b w:val="0"/>
          <w:bCs w:val="0"/>
          <w:color w:val="auto"/>
          <w:szCs w:val="28"/>
          <w:u w:val="none"/>
        </w:rPr>
        <w:t>安全</w:t>
      </w:r>
      <w:r>
        <w:rPr>
          <w:rFonts w:hint="eastAsia" w:ascii="仿宋" w:hAnsi="仿宋" w:eastAsia="仿宋" w:cs="仿宋"/>
          <w:b w:val="0"/>
          <w:bCs w:val="0"/>
          <w:color w:val="auto"/>
          <w:szCs w:val="28"/>
          <w:u w:val="none"/>
        </w:rPr>
        <w:fldChar w:fldCharType="end"/>
      </w:r>
      <w:r>
        <w:rPr>
          <w:rFonts w:hint="eastAsia"/>
        </w:rPr>
        <w:t>技术条件》(GB7258)一级车况的规定，并经过年审。</w:t>
      </w:r>
    </w:p>
    <w:p>
      <w:pPr>
        <w:bidi w:val="0"/>
        <w:rPr>
          <w:rFonts w:hint="eastAsia"/>
        </w:rPr>
      </w:pPr>
      <w:r>
        <w:rPr>
          <w:rFonts w:hint="eastAsia"/>
        </w:rPr>
        <w:t>②车箱护栏经加固，车内有固定包装箱的措施，设有密闭的可关锁的、可报警的车门。装载雷管的车厢内应铺设软垫。</w:t>
      </w:r>
    </w:p>
    <w:p>
      <w:pPr>
        <w:bidi w:val="0"/>
        <w:rPr>
          <w:rFonts w:hint="eastAsia"/>
        </w:rPr>
      </w:pPr>
      <w:r>
        <w:rPr>
          <w:rFonts w:hint="eastAsia"/>
        </w:rPr>
        <w:t>③汽车的排气装置已调整到驾驶室的下侧并加装防火罩，配备有不少于4kg的磷酸铵盐(ABC)干粉灭火器两具。</w:t>
      </w:r>
    </w:p>
    <w:p>
      <w:pPr>
        <w:bidi w:val="0"/>
        <w:rPr>
          <w:rFonts w:hint="eastAsia"/>
        </w:rPr>
      </w:pPr>
      <w:r>
        <w:rPr>
          <w:rFonts w:hint="eastAsia"/>
        </w:rPr>
        <w:t>④车上安装符合国家</w:t>
      </w:r>
      <w:r>
        <w:rPr>
          <w:rFonts w:hint="eastAsia"/>
        </w:rPr>
        <w:fldChar w:fldCharType="begin"/>
      </w:r>
      <w:r>
        <w:rPr>
          <w:rFonts w:hint="eastAsia"/>
        </w:rPr>
        <w:instrText xml:space="preserve"> HYPERLINK "http://www.mkaq.org/fgbz/mabz/" \t "_blank" \o "煤矿标准 安全标准" </w:instrText>
      </w:r>
      <w:r>
        <w:rPr>
          <w:rFonts w:hint="eastAsia"/>
        </w:rPr>
        <w:fldChar w:fldCharType="separate"/>
      </w:r>
      <w:r>
        <w:rPr>
          <w:rFonts w:hint="eastAsia" w:ascii="仿宋" w:hAnsi="仿宋" w:eastAsia="仿宋" w:cs="仿宋"/>
          <w:b w:val="0"/>
          <w:bCs w:val="0"/>
          <w:color w:val="auto"/>
          <w:szCs w:val="28"/>
          <w:u w:val="none"/>
        </w:rPr>
        <w:t>标准</w:t>
      </w:r>
      <w:r>
        <w:rPr>
          <w:rFonts w:hint="eastAsia" w:ascii="仿宋" w:hAnsi="仿宋" w:eastAsia="仿宋" w:cs="仿宋"/>
          <w:b w:val="0"/>
          <w:bCs w:val="0"/>
          <w:color w:val="auto"/>
          <w:szCs w:val="28"/>
          <w:u w:val="none"/>
        </w:rPr>
        <w:fldChar w:fldCharType="end"/>
      </w:r>
      <w:r>
        <w:rPr>
          <w:rFonts w:hint="eastAsia"/>
        </w:rPr>
        <w:t>规定“危险品”标志牌和夜间运输的警示标志。</w:t>
      </w:r>
    </w:p>
    <w:p>
      <w:pPr>
        <w:bidi w:val="0"/>
        <w:rPr>
          <w:rFonts w:hint="eastAsia"/>
        </w:rPr>
      </w:pPr>
      <w:r>
        <w:rPr>
          <w:rFonts w:hint="eastAsia"/>
        </w:rPr>
        <w:t>(3)运送爆破器材的汽车驾驶员应具有5万公里或3年以上</w:t>
      </w:r>
      <w:r>
        <w:rPr>
          <w:rFonts w:hint="eastAsia"/>
        </w:rPr>
        <w:fldChar w:fldCharType="begin"/>
      </w:r>
      <w:r>
        <w:rPr>
          <w:rFonts w:hint="eastAsia"/>
        </w:rPr>
        <w:instrText xml:space="preserve"> HYPERLINK "http://www.mkaq.org/" \t "_blank" \o "煤矿安全网" </w:instrText>
      </w:r>
      <w:r>
        <w:rPr>
          <w:rFonts w:hint="eastAsia"/>
        </w:rPr>
        <w:fldChar w:fldCharType="separate"/>
      </w:r>
      <w:r>
        <w:rPr>
          <w:rFonts w:hint="eastAsia" w:ascii="仿宋" w:hAnsi="仿宋" w:eastAsia="仿宋" w:cs="仿宋"/>
          <w:b w:val="0"/>
          <w:bCs w:val="0"/>
          <w:color w:val="auto"/>
          <w:szCs w:val="28"/>
          <w:u w:val="none"/>
        </w:rPr>
        <w:t>安全</w:t>
      </w:r>
      <w:r>
        <w:rPr>
          <w:rFonts w:hint="eastAsia" w:ascii="仿宋" w:hAnsi="仿宋" w:eastAsia="仿宋" w:cs="仿宋"/>
          <w:b w:val="0"/>
          <w:bCs w:val="0"/>
          <w:color w:val="auto"/>
          <w:szCs w:val="28"/>
          <w:u w:val="none"/>
        </w:rPr>
        <w:fldChar w:fldCharType="end"/>
      </w:r>
      <w:r>
        <w:rPr>
          <w:rFonts w:hint="eastAsia"/>
        </w:rPr>
        <w:t>驾驶经历，持有有效驾驶证件和运管部门核发的“危险物品准驾证”，年审合格，熟悉交通</w:t>
      </w:r>
      <w:r>
        <w:rPr>
          <w:rFonts w:hint="eastAsia"/>
        </w:rPr>
        <w:fldChar w:fldCharType="begin"/>
      </w:r>
      <w:r>
        <w:rPr>
          <w:rFonts w:hint="eastAsia"/>
        </w:rPr>
        <w:instrText xml:space="preserve"> HYPERLINK "http://www.mkaq.org/" \t "_blank" \o "煤矿安全网" </w:instrText>
      </w:r>
      <w:r>
        <w:rPr>
          <w:rFonts w:hint="eastAsia"/>
        </w:rPr>
        <w:fldChar w:fldCharType="separate"/>
      </w:r>
      <w:r>
        <w:rPr>
          <w:rFonts w:hint="eastAsia" w:ascii="仿宋" w:hAnsi="仿宋" w:eastAsia="仿宋" w:cs="仿宋"/>
          <w:b w:val="0"/>
          <w:bCs w:val="0"/>
          <w:color w:val="auto"/>
          <w:szCs w:val="28"/>
          <w:u w:val="none"/>
        </w:rPr>
        <w:t>安全</w:t>
      </w:r>
      <w:r>
        <w:rPr>
          <w:rFonts w:hint="eastAsia" w:ascii="仿宋" w:hAnsi="仿宋" w:eastAsia="仿宋" w:cs="仿宋"/>
          <w:b w:val="0"/>
          <w:bCs w:val="0"/>
          <w:color w:val="auto"/>
          <w:szCs w:val="28"/>
          <w:u w:val="none"/>
        </w:rPr>
        <w:fldChar w:fldCharType="end"/>
      </w:r>
      <w:r>
        <w:rPr>
          <w:rFonts w:hint="eastAsia"/>
        </w:rPr>
        <w:t>的</w:t>
      </w:r>
      <w:r>
        <w:rPr>
          <w:rFonts w:hint="eastAsia"/>
        </w:rPr>
        <w:fldChar w:fldCharType="begin"/>
      </w:r>
      <w:r>
        <w:rPr>
          <w:rFonts w:hint="eastAsia"/>
        </w:rPr>
        <w:instrText xml:space="preserve"> HYPERLINK "http://www.mkaq.org/fgbz/" \t "_blank" \o "煤矿法律法规" </w:instrText>
      </w:r>
      <w:r>
        <w:rPr>
          <w:rFonts w:hint="eastAsia"/>
        </w:rPr>
        <w:fldChar w:fldCharType="separate"/>
      </w:r>
      <w:r>
        <w:rPr>
          <w:rFonts w:hint="eastAsia" w:ascii="仿宋" w:hAnsi="仿宋" w:eastAsia="仿宋" w:cs="仿宋"/>
          <w:b w:val="0"/>
          <w:bCs w:val="0"/>
          <w:color w:val="auto"/>
          <w:szCs w:val="28"/>
          <w:u w:val="none"/>
        </w:rPr>
        <w:t>法规</w:t>
      </w:r>
      <w:r>
        <w:rPr>
          <w:rFonts w:hint="eastAsia" w:ascii="仿宋" w:hAnsi="仿宋" w:eastAsia="仿宋" w:cs="仿宋"/>
          <w:b w:val="0"/>
          <w:bCs w:val="0"/>
          <w:color w:val="auto"/>
          <w:szCs w:val="28"/>
          <w:u w:val="none"/>
        </w:rPr>
        <w:fldChar w:fldCharType="end"/>
      </w:r>
      <w:r>
        <w:rPr>
          <w:rFonts w:hint="eastAsia"/>
        </w:rPr>
        <w:t>和运输爆破器材的</w:t>
      </w:r>
      <w:r>
        <w:rPr>
          <w:rFonts w:hint="eastAsia"/>
        </w:rPr>
        <w:fldChar w:fldCharType="begin"/>
      </w:r>
      <w:r>
        <w:rPr>
          <w:rFonts w:hint="eastAsia"/>
        </w:rPr>
        <w:instrText xml:space="preserve"> HYPERLINK "http://www.mkaq.org/" \t "_blank" \o "煤矿安全网" </w:instrText>
      </w:r>
      <w:r>
        <w:rPr>
          <w:rFonts w:hint="eastAsia"/>
        </w:rPr>
        <w:fldChar w:fldCharType="separate"/>
      </w:r>
      <w:r>
        <w:rPr>
          <w:rFonts w:hint="eastAsia" w:ascii="仿宋" w:hAnsi="仿宋" w:eastAsia="仿宋" w:cs="仿宋"/>
          <w:b w:val="0"/>
          <w:bCs w:val="0"/>
          <w:color w:val="auto"/>
          <w:szCs w:val="28"/>
          <w:u w:val="none"/>
        </w:rPr>
        <w:t>安全</w:t>
      </w:r>
      <w:r>
        <w:rPr>
          <w:rFonts w:hint="eastAsia" w:ascii="仿宋" w:hAnsi="仿宋" w:eastAsia="仿宋" w:cs="仿宋"/>
          <w:b w:val="0"/>
          <w:bCs w:val="0"/>
          <w:color w:val="auto"/>
          <w:szCs w:val="28"/>
          <w:u w:val="none"/>
        </w:rPr>
        <w:fldChar w:fldCharType="end"/>
      </w:r>
      <w:r>
        <w:rPr>
          <w:rFonts w:hint="eastAsia"/>
        </w:rPr>
        <w:t>规定，并经爆破器材</w:t>
      </w:r>
      <w:r>
        <w:rPr>
          <w:rFonts w:hint="eastAsia"/>
        </w:rPr>
        <w:fldChar w:fldCharType="begin"/>
      </w:r>
      <w:r>
        <w:rPr>
          <w:rFonts w:hint="eastAsia"/>
        </w:rPr>
        <w:instrText xml:space="preserve"> HYPERLINK "http://www.mkaq.org/mkzs/" \t "_blank" \o "煤矿安全知识" </w:instrText>
      </w:r>
      <w:r>
        <w:rPr>
          <w:rFonts w:hint="eastAsia"/>
        </w:rPr>
        <w:fldChar w:fldCharType="separate"/>
      </w:r>
      <w:r>
        <w:rPr>
          <w:rFonts w:hint="eastAsia" w:ascii="仿宋" w:hAnsi="仿宋" w:eastAsia="仿宋" w:cs="仿宋"/>
          <w:b w:val="0"/>
          <w:bCs w:val="0"/>
          <w:color w:val="auto"/>
          <w:szCs w:val="28"/>
          <w:u w:val="none"/>
        </w:rPr>
        <w:t>安全知识</w:t>
      </w:r>
      <w:r>
        <w:rPr>
          <w:rFonts w:hint="eastAsia" w:ascii="仿宋" w:hAnsi="仿宋" w:eastAsia="仿宋" w:cs="仿宋"/>
          <w:b w:val="0"/>
          <w:bCs w:val="0"/>
          <w:color w:val="auto"/>
          <w:szCs w:val="28"/>
          <w:u w:val="none"/>
        </w:rPr>
        <w:fldChar w:fldCharType="end"/>
      </w:r>
      <w:r>
        <w:rPr>
          <w:rFonts w:hint="eastAsia"/>
        </w:rPr>
        <w:t>培训考试合格取得上岗资格，由单位</w:t>
      </w:r>
      <w:r>
        <w:rPr>
          <w:rFonts w:hint="eastAsia"/>
        </w:rPr>
        <w:fldChar w:fldCharType="begin"/>
      </w:r>
      <w:r>
        <w:rPr>
          <w:rFonts w:hint="eastAsia"/>
        </w:rPr>
        <w:instrText xml:space="preserve"> HYPERLINK "http://www.mkaq.org/mkgl/" \t "_blank" \o "煤矿安全管理" </w:instrText>
      </w:r>
      <w:r>
        <w:rPr>
          <w:rFonts w:hint="eastAsia"/>
        </w:rPr>
        <w:fldChar w:fldCharType="separate"/>
      </w:r>
      <w:r>
        <w:rPr>
          <w:rFonts w:hint="eastAsia" w:ascii="仿宋" w:hAnsi="仿宋" w:eastAsia="仿宋" w:cs="仿宋"/>
          <w:b w:val="0"/>
          <w:bCs w:val="0"/>
          <w:color w:val="auto"/>
          <w:szCs w:val="28"/>
          <w:u w:val="none"/>
        </w:rPr>
        <w:t>安全管理</w:t>
      </w:r>
      <w:r>
        <w:rPr>
          <w:rFonts w:hint="eastAsia" w:ascii="仿宋" w:hAnsi="仿宋" w:eastAsia="仿宋" w:cs="仿宋"/>
          <w:b w:val="0"/>
          <w:bCs w:val="0"/>
          <w:color w:val="auto"/>
          <w:szCs w:val="28"/>
          <w:u w:val="none"/>
        </w:rPr>
        <w:fldChar w:fldCharType="end"/>
      </w:r>
      <w:r>
        <w:rPr>
          <w:rFonts w:hint="eastAsia"/>
        </w:rPr>
        <w:t>部门考核合格后方能从事爆破器材的运送工作。</w:t>
      </w:r>
    </w:p>
    <w:p>
      <w:pPr>
        <w:bidi w:val="0"/>
        <w:rPr>
          <w:rFonts w:hint="eastAsia"/>
        </w:rPr>
      </w:pPr>
      <w:r>
        <w:rPr>
          <w:rFonts w:hint="eastAsia"/>
        </w:rPr>
        <w:t>(4)运输爆破器材的车辆应配备随车押运员，押运员应熟悉各种爆破器材的性能及</w:t>
      </w:r>
      <w:r>
        <w:rPr>
          <w:rFonts w:hint="eastAsia"/>
        </w:rPr>
        <w:fldChar w:fldCharType="begin"/>
      </w:r>
      <w:r>
        <w:rPr>
          <w:rFonts w:hint="eastAsia"/>
        </w:rPr>
        <w:instrText xml:space="preserve"> HYPERLINK "http://www.mkaq.org/" \t "_blank" \o "煤矿安全网" </w:instrText>
      </w:r>
      <w:r>
        <w:rPr>
          <w:rFonts w:hint="eastAsia"/>
        </w:rPr>
        <w:fldChar w:fldCharType="separate"/>
      </w:r>
      <w:r>
        <w:rPr>
          <w:rFonts w:hint="eastAsia" w:ascii="仿宋" w:hAnsi="仿宋" w:eastAsia="仿宋" w:cs="仿宋"/>
          <w:b w:val="0"/>
          <w:bCs w:val="0"/>
          <w:color w:val="auto"/>
          <w:szCs w:val="28"/>
          <w:u w:val="none"/>
        </w:rPr>
        <w:t>安全</w:t>
      </w:r>
      <w:r>
        <w:rPr>
          <w:rFonts w:hint="eastAsia" w:ascii="仿宋" w:hAnsi="仿宋" w:eastAsia="仿宋" w:cs="仿宋"/>
          <w:b w:val="0"/>
          <w:bCs w:val="0"/>
          <w:color w:val="auto"/>
          <w:szCs w:val="28"/>
          <w:u w:val="none"/>
        </w:rPr>
        <w:fldChar w:fldCharType="end"/>
      </w:r>
      <w:r>
        <w:rPr>
          <w:rFonts w:hint="eastAsia"/>
        </w:rPr>
        <w:t>特性，掌握相关的</w:t>
      </w:r>
      <w:r>
        <w:rPr>
          <w:rFonts w:hint="eastAsia"/>
        </w:rPr>
        <w:fldChar w:fldCharType="begin"/>
      </w:r>
      <w:r>
        <w:rPr>
          <w:rFonts w:hint="eastAsia"/>
        </w:rPr>
        <w:instrText xml:space="preserve"> HYPERLINK "http://www.mkaq.org/" \t "_blank" \o "煤矿安全网" </w:instrText>
      </w:r>
      <w:r>
        <w:rPr>
          <w:rFonts w:hint="eastAsia"/>
        </w:rPr>
        <w:fldChar w:fldCharType="separate"/>
      </w:r>
      <w:r>
        <w:rPr>
          <w:rFonts w:hint="eastAsia" w:ascii="仿宋" w:hAnsi="仿宋" w:eastAsia="仿宋" w:cs="仿宋"/>
          <w:b w:val="0"/>
          <w:bCs w:val="0"/>
          <w:color w:val="auto"/>
          <w:szCs w:val="28"/>
          <w:u w:val="none"/>
        </w:rPr>
        <w:t>安全</w:t>
      </w:r>
      <w:r>
        <w:rPr>
          <w:rFonts w:hint="eastAsia" w:ascii="仿宋" w:hAnsi="仿宋" w:eastAsia="仿宋" w:cs="仿宋"/>
          <w:b w:val="0"/>
          <w:bCs w:val="0"/>
          <w:color w:val="auto"/>
          <w:szCs w:val="28"/>
          <w:u w:val="none"/>
        </w:rPr>
        <w:fldChar w:fldCharType="end"/>
      </w:r>
      <w:r>
        <w:rPr>
          <w:rFonts w:hint="eastAsia"/>
        </w:rPr>
        <w:t>防范措施和</w:t>
      </w:r>
      <w:r>
        <w:rPr>
          <w:rFonts w:hint="eastAsia"/>
        </w:rPr>
        <w:fldChar w:fldCharType="begin"/>
      </w:r>
      <w:r>
        <w:rPr>
          <w:rFonts w:hint="eastAsia"/>
        </w:rPr>
        <w:instrText xml:space="preserve"> HYPERLINK "http://www.mkaq.org/" \t "_blank" \o "煤矿安全网" </w:instrText>
      </w:r>
      <w:r>
        <w:rPr>
          <w:rFonts w:hint="eastAsia"/>
        </w:rPr>
        <w:fldChar w:fldCharType="separate"/>
      </w:r>
      <w:r>
        <w:rPr>
          <w:rFonts w:hint="eastAsia" w:ascii="仿宋" w:hAnsi="仿宋" w:eastAsia="仿宋" w:cs="仿宋"/>
          <w:b w:val="0"/>
          <w:bCs w:val="0"/>
          <w:color w:val="auto"/>
          <w:szCs w:val="28"/>
          <w:u w:val="none"/>
        </w:rPr>
        <w:t>安全</w:t>
      </w:r>
      <w:r>
        <w:rPr>
          <w:rFonts w:hint="eastAsia" w:ascii="仿宋" w:hAnsi="仿宋" w:eastAsia="仿宋" w:cs="仿宋"/>
          <w:b w:val="0"/>
          <w:bCs w:val="0"/>
          <w:color w:val="auto"/>
          <w:szCs w:val="28"/>
          <w:u w:val="none"/>
        </w:rPr>
        <w:fldChar w:fldCharType="end"/>
      </w:r>
      <w:r>
        <w:rPr>
          <w:rFonts w:hint="eastAsia"/>
        </w:rPr>
        <w:t>保卫规定，经有关部门组织培训考试合格取得上岗资格，由单位保卫部门考核合格后方能从事爆破器材的押运工作。</w:t>
      </w:r>
    </w:p>
    <w:p>
      <w:pPr>
        <w:bidi w:val="0"/>
        <w:rPr>
          <w:rFonts w:hint="eastAsia"/>
        </w:rPr>
      </w:pPr>
      <w:r>
        <w:rPr>
          <w:rFonts w:hint="eastAsia"/>
        </w:rPr>
        <w:t>押运员负责运送途中的警卫工作，并保管车箱锁的钥匙。</w:t>
      </w:r>
    </w:p>
    <w:p>
      <w:pPr>
        <w:bidi w:val="0"/>
        <w:rPr>
          <w:rFonts w:hint="eastAsia"/>
        </w:rPr>
      </w:pPr>
      <w:r>
        <w:rPr>
          <w:rFonts w:hint="eastAsia"/>
        </w:rPr>
        <w:t>(5)运输爆破器材的车辆每次出车前，驾驶员应会同</w:t>
      </w:r>
      <w:r>
        <w:rPr>
          <w:rFonts w:hint="eastAsia"/>
        </w:rPr>
        <w:fldChar w:fldCharType="begin"/>
      </w:r>
      <w:r>
        <w:rPr>
          <w:rFonts w:hint="eastAsia"/>
        </w:rPr>
        <w:instrText xml:space="preserve"> HYPERLINK "http://www.mkaq.org/" \t "_blank" \o "煤矿安全网" </w:instrText>
      </w:r>
      <w:r>
        <w:rPr>
          <w:rFonts w:hint="eastAsia"/>
        </w:rPr>
        <w:fldChar w:fldCharType="separate"/>
      </w:r>
      <w:r>
        <w:rPr>
          <w:rFonts w:hint="eastAsia" w:ascii="仿宋" w:hAnsi="仿宋" w:eastAsia="仿宋" w:cs="仿宋"/>
          <w:b w:val="0"/>
          <w:bCs w:val="0"/>
          <w:color w:val="auto"/>
          <w:szCs w:val="28"/>
          <w:u w:val="none"/>
        </w:rPr>
        <w:t>安全</w:t>
      </w:r>
      <w:r>
        <w:rPr>
          <w:rFonts w:hint="eastAsia" w:ascii="仿宋" w:hAnsi="仿宋" w:eastAsia="仿宋" w:cs="仿宋"/>
          <w:b w:val="0"/>
          <w:bCs w:val="0"/>
          <w:color w:val="auto"/>
          <w:szCs w:val="28"/>
          <w:u w:val="none"/>
        </w:rPr>
        <w:fldChar w:fldCharType="end"/>
      </w:r>
      <w:r>
        <w:rPr>
          <w:rFonts w:hint="eastAsia"/>
        </w:rPr>
        <w:t>员对车辆发动机、转向、传动、制动、轮胎、排气管、灯光、喇叭、灭火器、危险品标志、车箱、后车门、防滑链(必要时)以及需要配备的其它器材进行例检，经检查确认合格(或完备)，填写检查记录后，方能允许出车装载爆破器材。出车后驾驶员还应对车辆的上述部位作行车后的检查，并详细填写出车记录。</w:t>
      </w:r>
    </w:p>
    <w:p>
      <w:pPr>
        <w:bidi w:val="0"/>
        <w:rPr>
          <w:rFonts w:hint="eastAsia"/>
        </w:rPr>
      </w:pPr>
      <w:r>
        <w:rPr>
          <w:rFonts w:hint="eastAsia"/>
        </w:rPr>
        <w:t>(6)运送爆破器材的车辆除加强平时的维护保养外，还应建立强制性的定期保养</w:t>
      </w:r>
      <w:r>
        <w:rPr>
          <w:rFonts w:hint="eastAsia"/>
        </w:rPr>
        <w:fldChar w:fldCharType="begin"/>
      </w:r>
      <w:r>
        <w:rPr>
          <w:rFonts w:hint="eastAsia"/>
        </w:rPr>
        <w:instrText xml:space="preserve"> HYPERLINK "http://www.mkaq.org/mkgl/" \t "_blank" \o "煤矿管理制度 煤矿安全制度" </w:instrText>
      </w:r>
      <w:r>
        <w:rPr>
          <w:rFonts w:hint="eastAsia"/>
        </w:rPr>
        <w:fldChar w:fldCharType="separate"/>
      </w:r>
      <w:r>
        <w:rPr>
          <w:rFonts w:hint="eastAsia" w:ascii="仿宋" w:hAnsi="仿宋" w:eastAsia="仿宋" w:cs="仿宋"/>
          <w:b w:val="0"/>
          <w:bCs w:val="0"/>
          <w:color w:val="auto"/>
          <w:szCs w:val="28"/>
          <w:u w:val="none"/>
        </w:rPr>
        <w:t>制度</w:t>
      </w:r>
      <w:r>
        <w:rPr>
          <w:rFonts w:hint="eastAsia" w:ascii="仿宋" w:hAnsi="仿宋" w:eastAsia="仿宋" w:cs="仿宋"/>
          <w:b w:val="0"/>
          <w:bCs w:val="0"/>
          <w:color w:val="auto"/>
          <w:szCs w:val="28"/>
          <w:u w:val="none"/>
        </w:rPr>
        <w:fldChar w:fldCharType="end"/>
      </w:r>
      <w:r>
        <w:rPr>
          <w:rFonts w:hint="eastAsia"/>
        </w:rPr>
        <w:t>，按时参加交管部门的年检，使车辆处于完好状况。未通过年检的车辆不得运送爆破器材。</w:t>
      </w:r>
    </w:p>
    <w:p>
      <w:pPr>
        <w:bidi w:val="0"/>
        <w:rPr>
          <w:rFonts w:hint="eastAsia"/>
        </w:rPr>
      </w:pPr>
      <w:r>
        <w:rPr>
          <w:rFonts w:hint="eastAsia"/>
        </w:rPr>
        <w:t>(7)车辆出车前应保证油箱的装量到允许的最大量，严禁用其他方式携带燃料或其它易燃物。在加油站加油前应确保关闭发动机、油路系统无漏油、发动机外壳不得有废油。</w:t>
      </w:r>
    </w:p>
    <w:p>
      <w:pPr>
        <w:bidi w:val="0"/>
        <w:rPr>
          <w:rFonts w:hint="eastAsia"/>
        </w:rPr>
      </w:pPr>
      <w:r>
        <w:rPr>
          <w:rFonts w:hint="eastAsia"/>
        </w:rPr>
        <w:t>(8)装载爆破器材的车厢应保持清洁，无油污、无水珠、无金属器(件)突出、无杂物。如发现车厢内有撒漏的药剂，应先用水湿润并撒上锯末，然后用柔软的扫帚将撒漏物收集后在</w:t>
      </w:r>
      <w:r>
        <w:rPr>
          <w:rFonts w:hint="eastAsia"/>
        </w:rPr>
        <w:fldChar w:fldCharType="begin"/>
      </w:r>
      <w:r>
        <w:rPr>
          <w:rFonts w:hint="eastAsia"/>
        </w:rPr>
        <w:instrText xml:space="preserve"> HYPERLINK "http://www.mkaq.org/" \t "_blank" \o "煤矿安全网" </w:instrText>
      </w:r>
      <w:r>
        <w:rPr>
          <w:rFonts w:hint="eastAsia"/>
        </w:rPr>
        <w:fldChar w:fldCharType="separate"/>
      </w:r>
      <w:r>
        <w:rPr>
          <w:rFonts w:hint="eastAsia" w:ascii="仿宋" w:hAnsi="仿宋" w:eastAsia="仿宋" w:cs="仿宋"/>
          <w:b w:val="0"/>
          <w:bCs w:val="0"/>
          <w:color w:val="auto"/>
          <w:szCs w:val="28"/>
          <w:u w:val="none"/>
        </w:rPr>
        <w:t>安全</w:t>
      </w:r>
      <w:r>
        <w:rPr>
          <w:rFonts w:hint="eastAsia" w:ascii="仿宋" w:hAnsi="仿宋" w:eastAsia="仿宋" w:cs="仿宋"/>
          <w:b w:val="0"/>
          <w:bCs w:val="0"/>
          <w:color w:val="auto"/>
          <w:szCs w:val="28"/>
          <w:u w:val="none"/>
        </w:rPr>
        <w:fldChar w:fldCharType="end"/>
      </w:r>
      <w:r>
        <w:rPr>
          <w:rFonts w:hint="eastAsia"/>
        </w:rPr>
        <w:t>地点进行处理，并用水将车厢冲洗干净。如货厢有酸、碱类或其它的杂物的残余物也应冲洗清扫干净后，方能装载爆破器材。</w:t>
      </w:r>
    </w:p>
    <w:p>
      <w:pPr>
        <w:bidi w:val="0"/>
        <w:rPr>
          <w:rFonts w:hint="eastAsia"/>
        </w:rPr>
      </w:pPr>
      <w:r>
        <w:rPr>
          <w:rFonts w:hint="eastAsia"/>
        </w:rPr>
        <w:t>(9)运送爆破器材的车辆应持公安机关签发的“爆炸品运输证”上路，应注意绕开城区或人口稠密区行驶，如实难于绕行，应事先通知公安机关，按其指定的时间和路线通行。</w:t>
      </w:r>
    </w:p>
    <w:p>
      <w:pPr>
        <w:bidi w:val="0"/>
        <w:rPr>
          <w:rFonts w:hint="eastAsia"/>
        </w:rPr>
      </w:pPr>
      <w:r>
        <w:rPr>
          <w:rFonts w:hint="eastAsia"/>
        </w:rPr>
        <w:t>行车时应控制车速，高速路面车速不超过80km/h，一般路面不超过40km/h。遇不利气候，人员车辆稠密区、路面条件差，车速更应酌情降低。进入仓库区、生产区的车辆车速不得超过15km/h。</w:t>
      </w:r>
    </w:p>
    <w:p>
      <w:pPr>
        <w:bidi w:val="0"/>
        <w:rPr>
          <w:rFonts w:hint="eastAsia"/>
        </w:rPr>
      </w:pPr>
      <w:r>
        <w:rPr>
          <w:rFonts w:hint="eastAsia"/>
        </w:rPr>
        <w:t>在暴雨和雷电等恶劣天气情况下，不准装货出入库，运输途中遇风沙大雾天气能见度在10m以内时，应停止行驶。遇雷暴天气时，应将运输车停放在空旷地区，并距人口稠密区边缘不少于250m，距高大树林(木)不少于200m，除押运员留守外，其它人员应撤至200m外。</w:t>
      </w:r>
    </w:p>
    <w:p>
      <w:pPr>
        <w:bidi w:val="0"/>
        <w:rPr>
          <w:rFonts w:hint="eastAsia"/>
        </w:rPr>
      </w:pPr>
      <w:r>
        <w:rPr>
          <w:rFonts w:hint="eastAsia"/>
        </w:rPr>
        <w:t>两辆以上的车运送爆破器材时，前后车应保持50m的距离，上下坡时车距不小于100m，与其它同向行驶的车辆至少要保持可以制动停车的距离。</w:t>
      </w:r>
    </w:p>
    <w:p>
      <w:pPr>
        <w:bidi w:val="0"/>
        <w:rPr>
          <w:rFonts w:hint="eastAsia"/>
        </w:rPr>
      </w:pPr>
      <w:r>
        <w:rPr>
          <w:rFonts w:hint="eastAsia"/>
        </w:rPr>
        <w:t>每行驶160～180km应停车一次检查车辆，驾驶员主要检查车辆状况。如车胎压力是否正常，有无过热现象;油路、制动、传动系统是否正常，发现问题应立即处理。押运员主要检查货物情况。如车箱密闭情况、有无被盗痕迹，门锁是否正常，货物堆码有无位移、箱堆固定措施是否有效。公路上停车时要按规定在距车尾一定距离处设警示标志。</w:t>
      </w:r>
    </w:p>
    <w:p>
      <w:pPr>
        <w:bidi w:val="0"/>
        <w:rPr>
          <w:rFonts w:hint="eastAsia"/>
        </w:rPr>
      </w:pPr>
      <w:r>
        <w:rPr>
          <w:rFonts w:hint="eastAsia"/>
        </w:rPr>
        <w:t>车辆起停时，应避免猛然启动和急刹车。驾驶员离开驾驶室时应拉紧手闸，关闭电路，锁好车门，车辆不得停放在坡度大于8%的路段。</w:t>
      </w:r>
    </w:p>
    <w:p>
      <w:pPr>
        <w:bidi w:val="0"/>
        <w:rPr>
          <w:rFonts w:hint="eastAsia"/>
        </w:rPr>
      </w:pPr>
      <w:r>
        <w:rPr>
          <w:rFonts w:hint="eastAsia"/>
        </w:rPr>
        <w:t>(10)装载爆破器材的车辆，不准在人口骤密区、城区、集镇、宿舍区、交叉路口或火源附近停放。当车辆经过铁路道口时，应注意铁路信号和加强观察，遇有火车通过或即将通过时，车辆应停放在停车线以外或至少距铁路路基5m以外，严禁抢道行驶。</w:t>
      </w:r>
    </w:p>
    <w:p>
      <w:pPr>
        <w:bidi w:val="0"/>
        <w:rPr>
          <w:rFonts w:hint="eastAsia"/>
        </w:rPr>
      </w:pPr>
      <w:r>
        <w:rPr>
          <w:rFonts w:hint="eastAsia"/>
        </w:rPr>
        <w:t>(11)运送途中因食宿原因停车，应选择较</w:t>
      </w:r>
      <w:r>
        <w:rPr>
          <w:rFonts w:hint="eastAsia"/>
        </w:rPr>
        <w:fldChar w:fldCharType="begin"/>
      </w:r>
      <w:r>
        <w:rPr>
          <w:rFonts w:hint="eastAsia"/>
        </w:rPr>
        <w:instrText xml:space="preserve"> HYPERLINK "http://www.mkaq.org/" \t "_blank" \o "煤矿安全网" </w:instrText>
      </w:r>
      <w:r>
        <w:rPr>
          <w:rFonts w:hint="eastAsia"/>
        </w:rPr>
        <w:fldChar w:fldCharType="separate"/>
      </w:r>
      <w:r>
        <w:rPr>
          <w:rFonts w:hint="eastAsia" w:ascii="仿宋" w:hAnsi="仿宋" w:eastAsia="仿宋" w:cs="仿宋"/>
          <w:b w:val="0"/>
          <w:bCs w:val="0"/>
          <w:color w:val="auto"/>
          <w:szCs w:val="28"/>
          <w:u w:val="none"/>
        </w:rPr>
        <w:t>安全</w:t>
      </w:r>
      <w:r>
        <w:rPr>
          <w:rFonts w:hint="eastAsia" w:ascii="仿宋" w:hAnsi="仿宋" w:eastAsia="仿宋" w:cs="仿宋"/>
          <w:b w:val="0"/>
          <w:bCs w:val="0"/>
          <w:color w:val="auto"/>
          <w:szCs w:val="28"/>
          <w:u w:val="none"/>
        </w:rPr>
        <w:fldChar w:fldCharType="end"/>
      </w:r>
      <w:r>
        <w:rPr>
          <w:rFonts w:hint="eastAsia"/>
        </w:rPr>
        <w:t>和偏僻地点停车。停车地点应远离高压线、无线发射台和居民稠密区，就餐地点无法观察到车辆时，应轮换就餐。夜间住宿时押运员应担任车辆守卫工作，不允许装载爆破器材的车辆途中停放时无人监护。</w:t>
      </w:r>
    </w:p>
    <w:p>
      <w:pPr>
        <w:bidi w:val="0"/>
        <w:rPr>
          <w:rFonts w:hint="eastAsia"/>
        </w:rPr>
      </w:pPr>
      <w:r>
        <w:rPr>
          <w:rFonts w:hint="eastAsia"/>
        </w:rPr>
        <w:t>(12)当车辆在途中发生故障时，应将车辆停放在较为</w:t>
      </w:r>
      <w:r>
        <w:rPr>
          <w:rFonts w:hint="eastAsia"/>
        </w:rPr>
        <w:fldChar w:fldCharType="begin"/>
      </w:r>
      <w:r>
        <w:rPr>
          <w:rFonts w:hint="eastAsia"/>
        </w:rPr>
        <w:instrText xml:space="preserve"> HYPERLINK "http://www.mkaq.org/" \t "_blank" \o "煤矿安全网" </w:instrText>
      </w:r>
      <w:r>
        <w:rPr>
          <w:rFonts w:hint="eastAsia"/>
        </w:rPr>
        <w:fldChar w:fldCharType="separate"/>
      </w:r>
      <w:r>
        <w:rPr>
          <w:rFonts w:hint="eastAsia" w:ascii="仿宋" w:hAnsi="仿宋" w:eastAsia="仿宋" w:cs="仿宋"/>
          <w:b w:val="0"/>
          <w:bCs w:val="0"/>
          <w:color w:val="auto"/>
          <w:szCs w:val="28"/>
          <w:u w:val="none"/>
        </w:rPr>
        <w:t>安全</w:t>
      </w:r>
      <w:r>
        <w:rPr>
          <w:rFonts w:hint="eastAsia" w:ascii="仿宋" w:hAnsi="仿宋" w:eastAsia="仿宋" w:cs="仿宋"/>
          <w:b w:val="0"/>
          <w:bCs w:val="0"/>
          <w:color w:val="auto"/>
          <w:szCs w:val="28"/>
          <w:u w:val="none"/>
        </w:rPr>
        <w:fldChar w:fldCharType="end"/>
      </w:r>
      <w:r>
        <w:rPr>
          <w:rFonts w:hint="eastAsia"/>
        </w:rPr>
        <w:t>的地带，放好警戒，劝离无关人员后方可开始维修，维修中严禁动火。车辆维修后如无法恢复正常状态，则应立即求援，不得带病行驶。</w:t>
      </w:r>
    </w:p>
    <w:p>
      <w:pPr>
        <w:bidi w:val="0"/>
        <w:rPr>
          <w:rFonts w:hint="eastAsia"/>
        </w:rPr>
      </w:pPr>
      <w:r>
        <w:rPr>
          <w:rFonts w:hint="eastAsia"/>
        </w:rPr>
        <w:t>(13)装载爆破器材的车辆禁止搭乘其它无关人员。驾乘人员不得在车内吸烟，途中停车吸烟应距车辆15m以外。严禁酒后驾车、疲劳驾车，严禁装载爆破器材的车辆搭载其它物品。</w:t>
      </w:r>
    </w:p>
    <w:p>
      <w:pPr>
        <w:bidi w:val="0"/>
        <w:rPr>
          <w:rFonts w:hint="eastAsia"/>
        </w:rPr>
      </w:pPr>
      <w:r>
        <w:rPr>
          <w:rFonts w:hint="eastAsia"/>
        </w:rPr>
        <w:t>(14)在运送爆破器材过程中，押运员不能脱岗，如途中发生</w:t>
      </w:r>
      <w:r>
        <w:rPr>
          <w:rFonts w:hint="eastAsia"/>
        </w:rPr>
        <w:fldChar w:fldCharType="begin"/>
      </w:r>
      <w:r>
        <w:rPr>
          <w:rFonts w:hint="eastAsia"/>
        </w:rPr>
        <w:instrText xml:space="preserve"> HYPERLINK "http://www.mkaq.org/" \t "_blank" \o "煤矿安全网" </w:instrText>
      </w:r>
      <w:r>
        <w:rPr>
          <w:rFonts w:hint="eastAsia"/>
        </w:rPr>
        <w:fldChar w:fldCharType="separate"/>
      </w:r>
      <w:r>
        <w:rPr>
          <w:rFonts w:hint="eastAsia" w:ascii="仿宋" w:hAnsi="仿宋" w:eastAsia="仿宋" w:cs="仿宋"/>
          <w:b w:val="0"/>
          <w:bCs w:val="0"/>
          <w:color w:val="auto"/>
          <w:szCs w:val="28"/>
          <w:u w:val="none"/>
        </w:rPr>
        <w:t>安全</w:t>
      </w:r>
      <w:r>
        <w:rPr>
          <w:rFonts w:hint="eastAsia" w:ascii="仿宋" w:hAnsi="仿宋" w:eastAsia="仿宋" w:cs="仿宋"/>
          <w:b w:val="0"/>
          <w:bCs w:val="0"/>
          <w:color w:val="auto"/>
          <w:szCs w:val="28"/>
          <w:u w:val="none"/>
        </w:rPr>
        <w:fldChar w:fldCharType="end"/>
      </w:r>
      <w:r>
        <w:rPr>
          <w:rFonts w:hint="eastAsia"/>
        </w:rPr>
        <w:t>或被盗问题应立即向本单位领导报告，并视情况及时向当地公安机关报告。</w:t>
      </w:r>
    </w:p>
    <w:p>
      <w:pPr>
        <w:bidi w:val="0"/>
        <w:rPr>
          <w:rFonts w:hint="eastAsia"/>
        </w:rPr>
      </w:pPr>
      <w:r>
        <w:rPr>
          <w:rFonts w:hint="eastAsia"/>
        </w:rPr>
        <w:t>如运输危险品的车厢着火，押运员在报警的同时，应视情况指挥司机将汽车迅速开往空旷地带后，迅速离车，同时呼叫附近车辆、人员紧急疏散。</w:t>
      </w:r>
    </w:p>
    <w:p>
      <w:pPr>
        <w:bidi w:val="0"/>
        <w:rPr>
          <w:rFonts w:hint="eastAsia"/>
        </w:rPr>
      </w:pPr>
      <w:r>
        <w:rPr>
          <w:rFonts w:hint="eastAsia"/>
        </w:rPr>
        <w:t>运输途中若发生严重交通</w:t>
      </w:r>
      <w:r>
        <w:rPr>
          <w:rFonts w:hint="eastAsia"/>
        </w:rPr>
        <w:fldChar w:fldCharType="begin"/>
      </w:r>
      <w:r>
        <w:rPr>
          <w:rFonts w:hint="eastAsia"/>
        </w:rPr>
        <w:instrText xml:space="preserve"> HYPERLINK "http://www.mkaq.org/sggl/" \t "_blank" \o "事故管理 煤矿事故" </w:instrText>
      </w:r>
      <w:r>
        <w:rPr>
          <w:rFonts w:hint="eastAsia"/>
        </w:rPr>
        <w:fldChar w:fldCharType="separate"/>
      </w:r>
      <w:r>
        <w:rPr>
          <w:rFonts w:hint="eastAsia" w:ascii="仿宋" w:hAnsi="仿宋" w:eastAsia="仿宋" w:cs="仿宋"/>
          <w:b w:val="0"/>
          <w:bCs w:val="0"/>
          <w:color w:val="auto"/>
          <w:szCs w:val="28"/>
          <w:u w:val="none"/>
        </w:rPr>
        <w:t>事故</w:t>
      </w:r>
      <w:r>
        <w:rPr>
          <w:rFonts w:hint="eastAsia" w:ascii="仿宋" w:hAnsi="仿宋" w:eastAsia="仿宋" w:cs="仿宋"/>
          <w:b w:val="0"/>
          <w:bCs w:val="0"/>
          <w:color w:val="auto"/>
          <w:szCs w:val="28"/>
          <w:u w:val="none"/>
        </w:rPr>
        <w:fldChar w:fldCharType="end"/>
      </w:r>
      <w:r>
        <w:rPr>
          <w:rFonts w:hint="eastAsia"/>
        </w:rPr>
        <w:t>，押运人员应以最快速度向当地公安、交通或地方政府报告，同时请求设立警戒，保护现场，阻止无关人员和车辆靠近，并禁止烟火，预防发生燃烧或爆炸</w:t>
      </w:r>
      <w:r>
        <w:rPr>
          <w:rFonts w:hint="eastAsia"/>
        </w:rPr>
        <w:fldChar w:fldCharType="begin"/>
      </w:r>
      <w:r>
        <w:rPr>
          <w:rFonts w:hint="eastAsia"/>
        </w:rPr>
        <w:instrText xml:space="preserve"> HYPERLINK "http://www.mkaq.org/sggl/" \t "_blank" \o "事故管理 煤矿事故" </w:instrText>
      </w:r>
      <w:r>
        <w:rPr>
          <w:rFonts w:hint="eastAsia"/>
        </w:rPr>
        <w:fldChar w:fldCharType="separate"/>
      </w:r>
      <w:r>
        <w:rPr>
          <w:rFonts w:hint="eastAsia" w:ascii="仿宋" w:hAnsi="仿宋" w:eastAsia="仿宋" w:cs="仿宋"/>
          <w:b w:val="0"/>
          <w:bCs w:val="0"/>
          <w:color w:val="auto"/>
          <w:szCs w:val="28"/>
          <w:u w:val="none"/>
        </w:rPr>
        <w:t>事故</w:t>
      </w:r>
      <w:r>
        <w:rPr>
          <w:rFonts w:hint="eastAsia" w:ascii="仿宋" w:hAnsi="仿宋" w:eastAsia="仿宋" w:cs="仿宋"/>
          <w:b w:val="0"/>
          <w:bCs w:val="0"/>
          <w:color w:val="auto"/>
          <w:szCs w:val="28"/>
          <w:u w:val="none"/>
        </w:rPr>
        <w:fldChar w:fldCharType="end"/>
      </w:r>
      <w:r>
        <w:rPr>
          <w:rFonts w:hint="eastAsia"/>
        </w:rPr>
        <w:t>。</w:t>
      </w:r>
    </w:p>
    <w:p>
      <w:pPr>
        <w:bidi w:val="0"/>
        <w:rPr>
          <w:rFonts w:hint="eastAsia"/>
        </w:rPr>
      </w:pPr>
      <w:r>
        <w:rPr>
          <w:rFonts w:hint="eastAsia"/>
        </w:rPr>
        <w:t>运输途中如发现爆破器材遭到盗窃、丢失，应暂停止行车，尽快地向当地公安部门报警。</w:t>
      </w:r>
    </w:p>
    <w:p>
      <w:pPr>
        <w:bidi w:val="0"/>
        <w:rPr>
          <w:rFonts w:hint="eastAsia"/>
        </w:rPr>
      </w:pPr>
      <w:r>
        <w:rPr>
          <w:rFonts w:hint="eastAsia"/>
        </w:rPr>
        <w:t>运输途中车辆如因故障不能继续行驶，车上货物必须倒装时，应按照安全要求，选择合适地点，按装卸安全要求进行卸车、堆码和装车，产品倒装时应作好警戒保卫，禁止围观，防止丢失。</w:t>
      </w:r>
    </w:p>
    <w:p>
      <w:pPr>
        <w:bidi w:val="0"/>
        <w:rPr>
          <w:rFonts w:hint="eastAsia"/>
        </w:rPr>
      </w:pPr>
      <w:r>
        <w:rPr>
          <w:rFonts w:hint="eastAsia"/>
        </w:rPr>
        <w:t>爆破器材的生产经销单位应制定运输环节重特大</w:t>
      </w:r>
      <w:r>
        <w:rPr>
          <w:rFonts w:hint="eastAsia"/>
        </w:rPr>
        <w:fldChar w:fldCharType="begin"/>
      </w:r>
      <w:r>
        <w:rPr>
          <w:rFonts w:hint="eastAsia"/>
        </w:rPr>
        <w:instrText xml:space="preserve"> HYPERLINK "http://www.mkaq.org/sggl/" \t "_blank" \o "事故管理 煤矿事故" </w:instrText>
      </w:r>
      <w:r>
        <w:rPr>
          <w:rFonts w:hint="eastAsia"/>
        </w:rPr>
        <w:fldChar w:fldCharType="separate"/>
      </w:r>
      <w:r>
        <w:rPr>
          <w:rFonts w:hint="eastAsia" w:ascii="仿宋" w:hAnsi="仿宋" w:eastAsia="仿宋" w:cs="仿宋"/>
          <w:b w:val="0"/>
          <w:bCs w:val="0"/>
          <w:color w:val="auto"/>
          <w:szCs w:val="28"/>
          <w:u w:val="none"/>
        </w:rPr>
        <w:t>事故</w:t>
      </w:r>
      <w:r>
        <w:rPr>
          <w:rFonts w:hint="eastAsia" w:ascii="仿宋" w:hAnsi="仿宋" w:eastAsia="仿宋" w:cs="仿宋"/>
          <w:b w:val="0"/>
          <w:bCs w:val="0"/>
          <w:color w:val="auto"/>
          <w:szCs w:val="28"/>
          <w:u w:val="none"/>
        </w:rPr>
        <w:fldChar w:fldCharType="end"/>
      </w:r>
      <w:r>
        <w:rPr>
          <w:rFonts w:hint="eastAsia"/>
        </w:rPr>
        <w:t>的应急</w:t>
      </w:r>
      <w:r>
        <w:rPr>
          <w:rFonts w:hint="eastAsia"/>
        </w:rPr>
        <w:fldChar w:fldCharType="begin"/>
      </w:r>
      <w:r>
        <w:rPr>
          <w:rFonts w:hint="eastAsia"/>
        </w:rPr>
        <w:instrText xml:space="preserve"> HYPERLINK "http://www.mkaq.org/yjjy/" \t "_blank" \o "煤矿应急救援预案" </w:instrText>
      </w:r>
      <w:r>
        <w:rPr>
          <w:rFonts w:hint="eastAsia"/>
        </w:rPr>
        <w:fldChar w:fldCharType="separate"/>
      </w:r>
      <w:r>
        <w:rPr>
          <w:rFonts w:hint="eastAsia" w:ascii="仿宋" w:hAnsi="仿宋" w:eastAsia="仿宋" w:cs="仿宋"/>
          <w:b w:val="0"/>
          <w:bCs w:val="0"/>
          <w:color w:val="auto"/>
          <w:szCs w:val="28"/>
          <w:u w:val="none"/>
        </w:rPr>
        <w:t>预案</w:t>
      </w:r>
      <w:r>
        <w:rPr>
          <w:rFonts w:hint="eastAsia" w:ascii="仿宋" w:hAnsi="仿宋" w:eastAsia="仿宋" w:cs="仿宋"/>
          <w:b w:val="0"/>
          <w:bCs w:val="0"/>
          <w:color w:val="auto"/>
          <w:szCs w:val="28"/>
          <w:u w:val="none"/>
        </w:rPr>
        <w:fldChar w:fldCharType="end"/>
      </w:r>
      <w:r>
        <w:rPr>
          <w:rFonts w:hint="eastAsia"/>
        </w:rPr>
        <w:t>，对运输过程可能发生的交通、爆炸、火灾、被盗等</w:t>
      </w:r>
      <w:r>
        <w:rPr>
          <w:rFonts w:hint="eastAsia"/>
        </w:rPr>
        <w:fldChar w:fldCharType="begin"/>
      </w:r>
      <w:r>
        <w:rPr>
          <w:rFonts w:hint="eastAsia"/>
        </w:rPr>
        <w:instrText xml:space="preserve"> HYPERLINK "http://www.mkaq.org/sggl/" \t "_blank" \o "事故管理 煤矿事故" </w:instrText>
      </w:r>
      <w:r>
        <w:rPr>
          <w:rFonts w:hint="eastAsia"/>
        </w:rPr>
        <w:fldChar w:fldCharType="separate"/>
      </w:r>
      <w:r>
        <w:rPr>
          <w:rFonts w:hint="eastAsia" w:ascii="仿宋" w:hAnsi="仿宋" w:eastAsia="仿宋" w:cs="仿宋"/>
          <w:b w:val="0"/>
          <w:bCs w:val="0"/>
          <w:color w:val="auto"/>
          <w:szCs w:val="28"/>
          <w:u w:val="none"/>
        </w:rPr>
        <w:t>事故</w:t>
      </w:r>
      <w:r>
        <w:rPr>
          <w:rFonts w:hint="eastAsia" w:ascii="仿宋" w:hAnsi="仿宋" w:eastAsia="仿宋" w:cs="仿宋"/>
          <w:b w:val="0"/>
          <w:bCs w:val="0"/>
          <w:color w:val="auto"/>
          <w:szCs w:val="28"/>
          <w:u w:val="none"/>
        </w:rPr>
        <w:fldChar w:fldCharType="end"/>
      </w:r>
      <w:r>
        <w:rPr>
          <w:rFonts w:hint="eastAsia"/>
        </w:rPr>
        <w:t>预先制定可操作性的应急措施，以便尽可能地减少</w:t>
      </w:r>
      <w:r>
        <w:rPr>
          <w:rFonts w:hint="eastAsia"/>
        </w:rPr>
        <w:fldChar w:fldCharType="begin"/>
      </w:r>
      <w:r>
        <w:rPr>
          <w:rFonts w:hint="eastAsia"/>
        </w:rPr>
        <w:instrText xml:space="preserve"> HYPERLINK "http://www.mkaq.org/sggl/" \t "_blank" \o "事故管理 煤矿事故" </w:instrText>
      </w:r>
      <w:r>
        <w:rPr>
          <w:rFonts w:hint="eastAsia"/>
        </w:rPr>
        <w:fldChar w:fldCharType="separate"/>
      </w:r>
      <w:r>
        <w:rPr>
          <w:rFonts w:hint="eastAsia" w:ascii="仿宋" w:hAnsi="仿宋" w:eastAsia="仿宋" w:cs="仿宋"/>
          <w:b w:val="0"/>
          <w:bCs w:val="0"/>
          <w:color w:val="auto"/>
          <w:szCs w:val="28"/>
          <w:u w:val="none"/>
        </w:rPr>
        <w:t>事故</w:t>
      </w:r>
      <w:r>
        <w:rPr>
          <w:rFonts w:hint="eastAsia" w:ascii="仿宋" w:hAnsi="仿宋" w:eastAsia="仿宋" w:cs="仿宋"/>
          <w:b w:val="0"/>
          <w:bCs w:val="0"/>
          <w:color w:val="auto"/>
          <w:szCs w:val="28"/>
          <w:u w:val="none"/>
        </w:rPr>
        <w:fldChar w:fldCharType="end"/>
      </w:r>
      <w:r>
        <w:rPr>
          <w:rFonts w:hint="eastAsia"/>
        </w:rPr>
        <w:t>的损失。</w:t>
      </w:r>
    </w:p>
    <w:p>
      <w:pPr>
        <w:bidi w:val="0"/>
        <w:rPr>
          <w:rFonts w:hint="eastAsia"/>
        </w:rPr>
      </w:pPr>
    </w:p>
    <w:p>
      <w:pPr>
        <w:pStyle w:val="2"/>
        <w:bidi w:val="0"/>
        <w:rPr>
          <w:rFonts w:hint="eastAsia"/>
        </w:rPr>
      </w:pPr>
      <w:bookmarkStart w:id="14" w:name="_Toc29349"/>
      <w:r>
        <w:rPr>
          <w:rFonts w:hint="eastAsia"/>
          <w:lang w:val="en-US" w:eastAsia="zh-CN"/>
        </w:rPr>
        <w:t>8、</w:t>
      </w:r>
      <w:r>
        <w:rPr>
          <w:rFonts w:hint="eastAsia"/>
        </w:rPr>
        <w:t>消防、技防设施安全技术操作规程</w:t>
      </w:r>
      <w:bookmarkEnd w:id="14"/>
    </w:p>
    <w:p>
      <w:pPr>
        <w:pStyle w:val="3"/>
        <w:bidi w:val="0"/>
        <w:rPr>
          <w:rFonts w:hint="eastAsia"/>
          <w:lang w:val="en-US" w:eastAsia="zh-CN"/>
        </w:rPr>
      </w:pPr>
      <w:r>
        <w:rPr>
          <w:rFonts w:hint="eastAsia"/>
          <w:lang w:val="en-US" w:eastAsia="zh-CN"/>
        </w:rPr>
        <w:t>8.1</w:t>
      </w:r>
      <w:r>
        <w:rPr>
          <w:rFonts w:hint="eastAsia"/>
        </w:rPr>
        <w:t>、</w:t>
      </w:r>
      <w:r>
        <w:rPr>
          <w:rFonts w:hint="eastAsia"/>
          <w:lang w:val="en-US" w:eastAsia="zh-CN"/>
        </w:rPr>
        <w:t>概述</w:t>
      </w:r>
    </w:p>
    <w:p>
      <w:pPr>
        <w:bidi w:val="0"/>
        <w:rPr>
          <w:rFonts w:hint="eastAsia"/>
        </w:rPr>
      </w:pPr>
      <w:r>
        <w:rPr>
          <w:rFonts w:hint="eastAsia"/>
          <w:lang w:eastAsia="zh-CN"/>
        </w:rPr>
        <w:t>四川泛亚爆破工程</w:t>
      </w:r>
      <w:bookmarkStart w:id="17" w:name="_GoBack"/>
      <w:bookmarkEnd w:id="17"/>
      <w:r>
        <w:rPr>
          <w:rFonts w:hint="eastAsia"/>
          <w:lang w:eastAsia="zh-CN"/>
        </w:rPr>
        <w:t>有限公司</w:t>
      </w:r>
      <w:r>
        <w:rPr>
          <w:rFonts w:hint="eastAsia"/>
        </w:rPr>
        <w:t>坚持“安全第一、预防为主、综合治理”的方针。消防、技防设施安全技术操作规程是</w:t>
      </w:r>
      <w:r>
        <w:rPr>
          <w:rFonts w:hint="eastAsia"/>
          <w:lang w:val="en-US" w:eastAsia="zh-CN"/>
        </w:rPr>
        <w:t>用于</w:t>
      </w:r>
      <w:r>
        <w:rPr>
          <w:rFonts w:hint="eastAsia"/>
        </w:rPr>
        <w:t>指导消防、技防设施</w:t>
      </w:r>
      <w:r>
        <w:rPr>
          <w:rFonts w:hint="eastAsia"/>
          <w:lang w:val="en-US" w:eastAsia="zh-CN"/>
        </w:rPr>
        <w:t>规范</w:t>
      </w:r>
      <w:r>
        <w:rPr>
          <w:rFonts w:hint="eastAsia"/>
        </w:rPr>
        <w:t>操作</w:t>
      </w:r>
      <w:r>
        <w:rPr>
          <w:rFonts w:hint="eastAsia"/>
          <w:lang w:eastAsia="zh-CN"/>
        </w:rPr>
        <w:t>。</w:t>
      </w:r>
    </w:p>
    <w:p>
      <w:pPr>
        <w:pStyle w:val="3"/>
        <w:bidi w:val="0"/>
        <w:rPr>
          <w:rFonts w:hint="eastAsia"/>
        </w:rPr>
      </w:pPr>
      <w:r>
        <w:rPr>
          <w:rFonts w:hint="eastAsia"/>
          <w:lang w:val="en-US" w:eastAsia="zh-CN"/>
        </w:rPr>
        <w:t>8.2</w:t>
      </w:r>
      <w:r>
        <w:rPr>
          <w:rFonts w:hint="eastAsia"/>
        </w:rPr>
        <w:t>、适用范围</w:t>
      </w:r>
    </w:p>
    <w:p>
      <w:pPr>
        <w:bidi w:val="0"/>
        <w:rPr>
          <w:rFonts w:hint="eastAsia"/>
        </w:rPr>
      </w:pPr>
      <w:r>
        <w:rPr>
          <w:rFonts w:hint="eastAsia"/>
        </w:rPr>
        <w:t>本规程规定了消防、技防设施</w:t>
      </w:r>
      <w:r>
        <w:rPr>
          <w:rFonts w:hint="eastAsia"/>
          <w:lang w:val="en-US" w:eastAsia="zh-CN"/>
        </w:rPr>
        <w:t>安全</w:t>
      </w:r>
      <w:r>
        <w:rPr>
          <w:rFonts w:hint="eastAsia"/>
        </w:rPr>
        <w:t>操作规程等内容，适用于指导</w:t>
      </w:r>
      <w:r>
        <w:rPr>
          <w:rFonts w:hint="eastAsia"/>
          <w:lang w:eastAsia="zh-CN"/>
        </w:rPr>
        <w:t>四川泛亚爆破工程 有限公司</w:t>
      </w:r>
      <w:r>
        <w:rPr>
          <w:rFonts w:hint="eastAsia"/>
        </w:rPr>
        <w:t>消防、技防设施</w:t>
      </w:r>
      <w:r>
        <w:rPr>
          <w:rFonts w:hint="eastAsia"/>
          <w:lang w:val="en-US" w:eastAsia="zh-CN"/>
        </w:rPr>
        <w:t>的安全</w:t>
      </w:r>
      <w:r>
        <w:rPr>
          <w:rFonts w:hint="eastAsia"/>
        </w:rPr>
        <w:t>操作。</w:t>
      </w:r>
    </w:p>
    <w:p>
      <w:pPr>
        <w:pStyle w:val="3"/>
        <w:bidi w:val="0"/>
        <w:rPr>
          <w:rFonts w:hint="eastAsia"/>
          <w:lang w:val="en-US" w:eastAsia="zh-CN"/>
        </w:rPr>
      </w:pPr>
      <w:r>
        <w:rPr>
          <w:rFonts w:hint="eastAsia"/>
          <w:lang w:val="en-US" w:eastAsia="zh-CN"/>
        </w:rPr>
        <w:t>8.3</w:t>
      </w:r>
      <w:r>
        <w:rPr>
          <w:rFonts w:hint="eastAsia"/>
        </w:rPr>
        <w:t>、</w:t>
      </w:r>
      <w:r>
        <w:rPr>
          <w:rFonts w:hint="eastAsia"/>
          <w:lang w:val="en-US" w:eastAsia="zh-CN"/>
        </w:rPr>
        <w:t>操作规程</w:t>
      </w:r>
    </w:p>
    <w:p>
      <w:pPr>
        <w:pStyle w:val="4"/>
        <w:bidi w:val="0"/>
        <w:rPr>
          <w:rFonts w:hint="eastAsia"/>
          <w:lang w:eastAsia="zh-CN"/>
        </w:rPr>
      </w:pPr>
      <w:r>
        <w:rPr>
          <w:rFonts w:hint="eastAsia"/>
          <w:lang w:val="en-US" w:eastAsia="zh-CN"/>
        </w:rPr>
        <w:t>8.3.1、</w:t>
      </w:r>
      <w:r>
        <w:rPr>
          <w:rFonts w:hint="eastAsia"/>
        </w:rPr>
        <w:t>手提</w:t>
      </w:r>
      <w:r>
        <w:rPr>
          <w:rFonts w:hint="default"/>
        </w:rPr>
        <w:t>ABC</w:t>
      </w:r>
      <w:r>
        <w:rPr>
          <w:rFonts w:hint="eastAsia"/>
        </w:rPr>
        <w:t>干粉灭火器</w:t>
      </w:r>
      <w:r>
        <w:rPr>
          <w:rFonts w:hint="eastAsia"/>
          <w:lang w:eastAsia="zh-CN"/>
        </w:rPr>
        <w:t>操作规程</w:t>
      </w:r>
    </w:p>
    <w:p>
      <w:pPr>
        <w:bidi w:val="0"/>
        <w:rPr>
          <w:rFonts w:hint="eastAsia"/>
        </w:rPr>
      </w:pPr>
      <w:r>
        <w:rPr>
          <w:rFonts w:hint="default"/>
        </w:rPr>
        <w:t>8.3.</w:t>
      </w:r>
      <w:r>
        <w:rPr>
          <w:rFonts w:hint="eastAsia"/>
          <w:lang w:val="en-US" w:eastAsia="zh-CN"/>
        </w:rPr>
        <w:t>1.</w:t>
      </w:r>
      <w:r>
        <w:rPr>
          <w:rFonts w:hint="default"/>
        </w:rPr>
        <w:t>1</w:t>
      </w:r>
      <w:r>
        <w:rPr>
          <w:rFonts w:hint="eastAsia"/>
        </w:rPr>
        <w:t>、除掉铅封，拨出保险销，操作者站在火焰上风有效距离</w:t>
      </w:r>
      <w:r>
        <w:rPr>
          <w:rFonts w:hint="default"/>
        </w:rPr>
        <w:t>3-5</w:t>
      </w:r>
      <w:r>
        <w:rPr>
          <w:rFonts w:hint="eastAsia"/>
        </w:rPr>
        <w:t>米处。</w:t>
      </w:r>
    </w:p>
    <w:p>
      <w:pPr>
        <w:bidi w:val="0"/>
        <w:rPr>
          <w:rFonts w:hint="eastAsia"/>
        </w:rPr>
      </w:pPr>
      <w:r>
        <w:rPr>
          <w:rFonts w:hint="default"/>
        </w:rPr>
        <w:t>8.3.</w:t>
      </w:r>
      <w:r>
        <w:rPr>
          <w:rFonts w:hint="eastAsia"/>
          <w:lang w:val="en-US" w:eastAsia="zh-CN"/>
        </w:rPr>
        <w:t>1.</w:t>
      </w:r>
      <w:r>
        <w:rPr>
          <w:rFonts w:hint="default"/>
        </w:rPr>
        <w:t>2</w:t>
      </w:r>
      <w:r>
        <w:rPr>
          <w:rFonts w:hint="eastAsia"/>
        </w:rPr>
        <w:t>、左手握着喷管对准火焰根部，右手提着按下压把，干粉即喷出。同时左手左右适当摆动喷管，使气体横扫整个火焰根部，并逐渐向前推移。</w:t>
      </w:r>
    </w:p>
    <w:p>
      <w:pPr>
        <w:bidi w:val="0"/>
        <w:rPr>
          <w:rFonts w:hint="eastAsia"/>
        </w:rPr>
      </w:pPr>
      <w:r>
        <w:rPr>
          <w:rFonts w:hint="default"/>
        </w:rPr>
        <w:t>8.3.</w:t>
      </w:r>
      <w:r>
        <w:rPr>
          <w:rFonts w:hint="eastAsia"/>
          <w:lang w:val="en-US" w:eastAsia="zh-CN"/>
        </w:rPr>
        <w:t>1.</w:t>
      </w:r>
      <w:r>
        <w:rPr>
          <w:rFonts w:hint="default"/>
        </w:rPr>
        <w:t>3</w:t>
      </w:r>
      <w:r>
        <w:rPr>
          <w:rFonts w:hint="eastAsia"/>
        </w:rPr>
        <w:t>、如遇多处明火，可移动位置点射着火点，直至火焰点完全熄灭，不留明火为止，防止复燃。</w:t>
      </w:r>
    </w:p>
    <w:p>
      <w:pPr>
        <w:bidi w:val="0"/>
        <w:rPr>
          <w:rFonts w:hint="eastAsia"/>
        </w:rPr>
      </w:pPr>
      <w:r>
        <w:rPr>
          <w:rFonts w:hint="default"/>
        </w:rPr>
        <w:t>8.3.</w:t>
      </w:r>
      <w:r>
        <w:rPr>
          <w:rFonts w:hint="eastAsia"/>
          <w:lang w:val="en-US" w:eastAsia="zh-CN"/>
        </w:rPr>
        <w:t>1.</w:t>
      </w:r>
      <w:r>
        <w:rPr>
          <w:rFonts w:hint="default"/>
        </w:rPr>
        <w:t>4</w:t>
      </w:r>
      <w:r>
        <w:rPr>
          <w:rFonts w:hint="eastAsia"/>
        </w:rPr>
        <w:t>、当被扑救可燃烧液体呈现流淌状燃烧时，使用者应对准火焰根部由近而远并左右扫射，向前快速推进，直至火焰全部扑灭。</w:t>
      </w:r>
    </w:p>
    <w:p>
      <w:pPr>
        <w:bidi w:val="0"/>
        <w:rPr>
          <w:rFonts w:hint="eastAsia"/>
        </w:rPr>
      </w:pPr>
      <w:r>
        <w:rPr>
          <w:rFonts w:hint="default"/>
        </w:rPr>
        <w:t>8.3.</w:t>
      </w:r>
      <w:r>
        <w:rPr>
          <w:rFonts w:hint="eastAsia"/>
          <w:lang w:val="en-US" w:eastAsia="zh-CN"/>
        </w:rPr>
        <w:t>1.</w:t>
      </w:r>
      <w:r>
        <w:rPr>
          <w:rFonts w:hint="default"/>
        </w:rPr>
        <w:t>5</w:t>
      </w:r>
      <w:r>
        <w:rPr>
          <w:rFonts w:hint="eastAsia"/>
        </w:rPr>
        <w:t>、如果可燃液体在容器中燃烧，应对准火焰左右晃动扫射，当火焰被赶出容器时，喷射流跟着火焰扫射，直至把火焰全部扑灭。但应注意不能将喷流直接喷射在燃烧液面上，防止灭火剂得冲力将可燃液体冲出容器而扩大火势，造成灭火困难。</w:t>
      </w:r>
    </w:p>
    <w:p>
      <w:pPr>
        <w:bidi w:val="0"/>
        <w:rPr>
          <w:rFonts w:hint="eastAsia"/>
        </w:rPr>
      </w:pPr>
      <w:r>
        <w:rPr>
          <w:rFonts w:hint="default"/>
        </w:rPr>
        <w:t>8.3.</w:t>
      </w:r>
      <w:r>
        <w:rPr>
          <w:rFonts w:hint="eastAsia"/>
          <w:lang w:val="en-US" w:eastAsia="zh-CN"/>
        </w:rPr>
        <w:t>1.</w:t>
      </w:r>
      <w:r>
        <w:rPr>
          <w:rFonts w:hint="default"/>
        </w:rPr>
        <w:t>6</w:t>
      </w:r>
      <w:r>
        <w:rPr>
          <w:rFonts w:hint="eastAsia"/>
        </w:rPr>
        <w:t>、如果扑救可燃性固体物质得初起火灾时，则将喷流对准燃烧最猛烈处喷射，当火焰被扑灭后，应及时采取措施，不让其复燃。</w:t>
      </w:r>
    </w:p>
    <w:p>
      <w:pPr>
        <w:bidi w:val="0"/>
        <w:rPr>
          <w:rFonts w:hint="eastAsia"/>
        </w:rPr>
      </w:pPr>
      <w:r>
        <w:rPr>
          <w:rFonts w:hint="default"/>
        </w:rPr>
        <w:t>8.3.</w:t>
      </w:r>
      <w:r>
        <w:rPr>
          <w:rFonts w:hint="eastAsia"/>
          <w:lang w:val="en-US" w:eastAsia="zh-CN"/>
        </w:rPr>
        <w:t>1.</w:t>
      </w:r>
      <w:r>
        <w:rPr>
          <w:rFonts w:hint="default"/>
        </w:rPr>
        <w:t>7</w:t>
      </w:r>
      <w:r>
        <w:rPr>
          <w:rFonts w:hint="eastAsia"/>
        </w:rPr>
        <w:t>、火灭后，抬起灭火器压把，即停止喷射。</w:t>
      </w:r>
    </w:p>
    <w:p>
      <w:pPr>
        <w:bidi w:val="0"/>
        <w:rPr>
          <w:rFonts w:hint="eastAsia"/>
        </w:rPr>
      </w:pPr>
      <w:r>
        <w:rPr>
          <w:rFonts w:hint="default"/>
        </w:rPr>
        <w:t>8.3.</w:t>
      </w:r>
      <w:r>
        <w:rPr>
          <w:rFonts w:hint="eastAsia"/>
          <w:lang w:val="en-US" w:eastAsia="zh-CN"/>
        </w:rPr>
        <w:t>1.</w:t>
      </w:r>
      <w:r>
        <w:rPr>
          <w:rFonts w:hint="default"/>
        </w:rPr>
        <w:t>8</w:t>
      </w:r>
      <w:r>
        <w:rPr>
          <w:rFonts w:hint="eastAsia"/>
        </w:rPr>
        <w:t>、灭火使用时器头应朝上，倾斜度不要大大，严禁倒置或放平使用。</w:t>
      </w:r>
    </w:p>
    <w:p>
      <w:pPr>
        <w:pStyle w:val="4"/>
        <w:bidi w:val="0"/>
        <w:rPr>
          <w:rFonts w:hint="eastAsia"/>
        </w:rPr>
      </w:pPr>
      <w:r>
        <w:rPr>
          <w:rFonts w:hint="eastAsia"/>
          <w:lang w:val="en-US" w:eastAsia="zh-CN"/>
        </w:rPr>
        <w:t>8.3.2、</w:t>
      </w:r>
      <w:r>
        <w:rPr>
          <w:rFonts w:hint="eastAsia"/>
        </w:rPr>
        <w:t>消防泵操作规程</w:t>
      </w:r>
    </w:p>
    <w:p>
      <w:pPr>
        <w:bidi w:val="0"/>
        <w:rPr>
          <w:rFonts w:hint="eastAsia"/>
        </w:rPr>
      </w:pPr>
      <w:r>
        <w:rPr>
          <w:rFonts w:hint="eastAsia"/>
          <w:lang w:val="en-US" w:eastAsia="zh-CN"/>
        </w:rPr>
        <w:t>8.3.2.</w:t>
      </w:r>
      <w:r>
        <w:rPr>
          <w:rFonts w:hint="default"/>
        </w:rPr>
        <w:t>1</w:t>
      </w:r>
      <w:r>
        <w:rPr>
          <w:rFonts w:hint="eastAsia"/>
        </w:rPr>
        <w:t>、启泵前检查：</w:t>
      </w:r>
    </w:p>
    <w:p>
      <w:pPr>
        <w:bidi w:val="0"/>
        <w:ind w:firstLine="897" w:firstLineChars="374"/>
        <w:rPr>
          <w:rFonts w:hint="eastAsia"/>
        </w:rPr>
      </w:pPr>
      <w:r>
        <w:rPr>
          <w:rFonts w:hint="eastAsia"/>
          <w:lang w:val="en-US" w:eastAsia="zh-CN"/>
        </w:rPr>
        <w:t>1、</w:t>
      </w:r>
      <w:r>
        <w:rPr>
          <w:rFonts w:hint="eastAsia"/>
        </w:rPr>
        <w:t>导通消防管网流程，用回消防水储罐得阀门控制管网压力；</w:t>
      </w:r>
    </w:p>
    <w:p>
      <w:pPr>
        <w:bidi w:val="0"/>
        <w:ind w:firstLine="897" w:firstLineChars="374"/>
        <w:rPr>
          <w:rFonts w:hint="eastAsia"/>
        </w:rPr>
      </w:pPr>
      <w:r>
        <w:rPr>
          <w:rFonts w:hint="eastAsia"/>
          <w:lang w:val="en-US" w:eastAsia="zh-CN"/>
        </w:rPr>
        <w:t>2、</w:t>
      </w:r>
      <w:r>
        <w:rPr>
          <w:rFonts w:hint="eastAsia"/>
        </w:rPr>
        <w:t>检查消防泵得各紧固件牢固；</w:t>
      </w:r>
    </w:p>
    <w:p>
      <w:pPr>
        <w:bidi w:val="0"/>
        <w:ind w:firstLine="897" w:firstLineChars="374"/>
        <w:rPr>
          <w:rFonts w:hint="eastAsia"/>
        </w:rPr>
      </w:pPr>
      <w:r>
        <w:rPr>
          <w:rFonts w:hint="eastAsia"/>
          <w:lang w:val="en-US" w:eastAsia="zh-CN"/>
        </w:rPr>
        <w:t>3、</w:t>
      </w:r>
      <w:r>
        <w:rPr>
          <w:rFonts w:hint="eastAsia"/>
        </w:rPr>
        <w:t>检查消防泵润滑油有为就是否</w:t>
      </w:r>
      <w:r>
        <w:rPr>
          <w:rFonts w:hint="default"/>
        </w:rPr>
        <w:t>1/2</w:t>
      </w:r>
      <w:r>
        <w:rPr>
          <w:rFonts w:hint="eastAsia"/>
        </w:rPr>
        <w:t>—</w:t>
      </w:r>
      <w:r>
        <w:rPr>
          <w:rFonts w:hint="default"/>
        </w:rPr>
        <w:t>2/3</w:t>
      </w:r>
      <w:r>
        <w:rPr>
          <w:rFonts w:hint="eastAsia"/>
        </w:rPr>
        <w:t>处；</w:t>
      </w:r>
    </w:p>
    <w:p>
      <w:pPr>
        <w:bidi w:val="0"/>
        <w:ind w:firstLine="897" w:firstLineChars="374"/>
        <w:rPr>
          <w:rFonts w:hint="eastAsia"/>
        </w:rPr>
      </w:pPr>
      <w:r>
        <w:rPr>
          <w:rFonts w:hint="eastAsia"/>
          <w:lang w:val="en-US" w:eastAsia="zh-CN"/>
        </w:rPr>
        <w:t>4、</w:t>
      </w:r>
      <w:r>
        <w:rPr>
          <w:rFonts w:hint="eastAsia"/>
        </w:rPr>
        <w:t>盘车</w:t>
      </w:r>
      <w:r>
        <w:rPr>
          <w:rFonts w:hint="default"/>
        </w:rPr>
        <w:t>2</w:t>
      </w:r>
      <w:r>
        <w:rPr>
          <w:rFonts w:hint="eastAsia"/>
        </w:rPr>
        <w:t>—</w:t>
      </w:r>
      <w:r>
        <w:rPr>
          <w:rFonts w:hint="default"/>
        </w:rPr>
        <w:t>3</w:t>
      </w:r>
      <w:r>
        <w:rPr>
          <w:rFonts w:hint="eastAsia"/>
        </w:rPr>
        <w:t>圈，转动灵活；</w:t>
      </w:r>
    </w:p>
    <w:p>
      <w:pPr>
        <w:bidi w:val="0"/>
        <w:ind w:firstLine="897" w:firstLineChars="374"/>
        <w:rPr>
          <w:rFonts w:hint="eastAsia"/>
        </w:rPr>
      </w:pPr>
      <w:r>
        <w:rPr>
          <w:rFonts w:hint="eastAsia"/>
          <w:lang w:val="en-US" w:eastAsia="zh-CN"/>
        </w:rPr>
        <w:t>5、</w:t>
      </w:r>
      <w:r>
        <w:rPr>
          <w:rFonts w:hint="eastAsia"/>
        </w:rPr>
        <w:t>接地就是否符合要求；</w:t>
      </w:r>
    </w:p>
    <w:p>
      <w:pPr>
        <w:bidi w:val="0"/>
        <w:rPr>
          <w:rFonts w:hint="eastAsia"/>
        </w:rPr>
      </w:pPr>
      <w:r>
        <w:rPr>
          <w:rFonts w:hint="eastAsia"/>
          <w:lang w:val="en-US" w:eastAsia="zh-CN"/>
        </w:rPr>
        <w:t>8.3.2.</w:t>
      </w:r>
      <w:r>
        <w:rPr>
          <w:rFonts w:hint="default"/>
        </w:rPr>
        <w:t>2</w:t>
      </w:r>
      <w:r>
        <w:rPr>
          <w:rFonts w:hint="eastAsia"/>
        </w:rPr>
        <w:t>、启泵程序：</w:t>
      </w:r>
    </w:p>
    <w:p>
      <w:pPr>
        <w:bidi w:val="0"/>
        <w:ind w:firstLine="897" w:firstLineChars="374"/>
        <w:rPr>
          <w:rFonts w:hint="eastAsia"/>
        </w:rPr>
      </w:pPr>
      <w:r>
        <w:rPr>
          <w:rFonts w:hint="eastAsia"/>
          <w:lang w:val="en-US" w:eastAsia="zh-CN"/>
        </w:rPr>
        <w:t>1、</w:t>
      </w:r>
      <w:r>
        <w:rPr>
          <w:rFonts w:hint="eastAsia"/>
        </w:rPr>
        <w:t>打开泵得进出口阀（系统正常后阀门保持常开）；</w:t>
      </w:r>
    </w:p>
    <w:p>
      <w:pPr>
        <w:bidi w:val="0"/>
        <w:ind w:firstLine="897" w:firstLineChars="374"/>
        <w:rPr>
          <w:rFonts w:hint="eastAsia"/>
        </w:rPr>
      </w:pPr>
      <w:r>
        <w:rPr>
          <w:rFonts w:hint="eastAsia"/>
          <w:lang w:val="en-US" w:eastAsia="zh-CN"/>
        </w:rPr>
        <w:t>2、</w:t>
      </w:r>
      <w:r>
        <w:rPr>
          <w:rFonts w:hint="eastAsia"/>
        </w:rPr>
        <w:t>按泵得启动按钮起泵；</w:t>
      </w:r>
    </w:p>
    <w:p>
      <w:pPr>
        <w:bidi w:val="0"/>
        <w:ind w:firstLine="897" w:firstLineChars="374"/>
        <w:rPr>
          <w:rFonts w:hint="eastAsia"/>
        </w:rPr>
      </w:pPr>
      <w:r>
        <w:rPr>
          <w:rFonts w:hint="eastAsia"/>
          <w:lang w:val="en-US" w:eastAsia="zh-CN"/>
        </w:rPr>
        <w:t>3、</w:t>
      </w:r>
      <w:r>
        <w:rPr>
          <w:rFonts w:hint="eastAsia"/>
        </w:rPr>
        <w:t>检查泵得进出口压力、电机及泵体温度、杂音正常；</w:t>
      </w:r>
    </w:p>
    <w:p>
      <w:pPr>
        <w:bidi w:val="0"/>
        <w:ind w:firstLine="897" w:firstLineChars="374"/>
        <w:rPr>
          <w:rFonts w:hint="eastAsia"/>
        </w:rPr>
      </w:pPr>
      <w:r>
        <w:rPr>
          <w:rFonts w:hint="eastAsia"/>
          <w:lang w:val="en-US" w:eastAsia="zh-CN"/>
        </w:rPr>
        <w:t>4、</w:t>
      </w:r>
      <w:r>
        <w:rPr>
          <w:rFonts w:hint="eastAsia"/>
        </w:rPr>
        <w:t>做好记录；</w:t>
      </w:r>
    </w:p>
    <w:p>
      <w:pPr>
        <w:bidi w:val="0"/>
        <w:rPr>
          <w:rFonts w:hint="eastAsia"/>
        </w:rPr>
      </w:pPr>
      <w:r>
        <w:rPr>
          <w:rFonts w:hint="eastAsia"/>
          <w:lang w:val="en-US" w:eastAsia="zh-CN"/>
        </w:rPr>
        <w:t>8.3.2.</w:t>
      </w:r>
      <w:r>
        <w:rPr>
          <w:rFonts w:hint="default"/>
        </w:rPr>
        <w:t>3</w:t>
      </w:r>
      <w:r>
        <w:rPr>
          <w:rFonts w:hint="eastAsia"/>
        </w:rPr>
        <w:t>、停泵程序：</w:t>
      </w:r>
    </w:p>
    <w:p>
      <w:pPr>
        <w:bidi w:val="0"/>
        <w:ind w:firstLine="897" w:firstLineChars="374"/>
        <w:rPr>
          <w:rFonts w:hint="eastAsia"/>
        </w:rPr>
      </w:pPr>
      <w:r>
        <w:rPr>
          <w:rFonts w:hint="eastAsia"/>
          <w:lang w:val="en-US" w:eastAsia="zh-CN"/>
        </w:rPr>
        <w:t>1、</w:t>
      </w:r>
      <w:r>
        <w:rPr>
          <w:rFonts w:hint="eastAsia"/>
        </w:rPr>
        <w:t>按停泵按钮停泵，</w:t>
      </w:r>
    </w:p>
    <w:p>
      <w:pPr>
        <w:bidi w:val="0"/>
        <w:ind w:firstLine="897" w:firstLineChars="374"/>
        <w:rPr>
          <w:rFonts w:hint="eastAsia"/>
        </w:rPr>
      </w:pPr>
      <w:r>
        <w:rPr>
          <w:rFonts w:hint="eastAsia"/>
          <w:lang w:val="en-US" w:eastAsia="zh-CN"/>
        </w:rPr>
        <w:t>2、</w:t>
      </w:r>
      <w:r>
        <w:rPr>
          <w:rFonts w:hint="eastAsia"/>
        </w:rPr>
        <w:t>关闭进出口阀（系统正常后阀门保持常开）；</w:t>
      </w:r>
    </w:p>
    <w:p>
      <w:pPr>
        <w:bidi w:val="0"/>
        <w:ind w:firstLine="897" w:firstLineChars="374"/>
        <w:rPr>
          <w:rFonts w:hint="eastAsia"/>
        </w:rPr>
      </w:pPr>
      <w:r>
        <w:rPr>
          <w:rFonts w:hint="eastAsia"/>
          <w:lang w:val="en-US" w:eastAsia="zh-CN"/>
        </w:rPr>
        <w:t>3、</w:t>
      </w:r>
      <w:r>
        <w:rPr>
          <w:rFonts w:hint="eastAsia"/>
        </w:rPr>
        <w:t>做好记录；</w:t>
      </w:r>
    </w:p>
    <w:p>
      <w:pPr>
        <w:bidi w:val="0"/>
        <w:rPr>
          <w:rFonts w:hint="default"/>
          <w:lang w:val="en-US" w:eastAsia="zh-CN"/>
        </w:rPr>
      </w:pPr>
      <w:bookmarkStart w:id="15" w:name="_Toc25381"/>
      <w:bookmarkStart w:id="16" w:name="_Toc21006"/>
      <w:r>
        <w:rPr>
          <w:rFonts w:hint="eastAsia"/>
          <w:lang w:val="en-US" w:eastAsia="zh-CN"/>
        </w:rPr>
        <w:t>8.3.2.4、安全注意事项</w:t>
      </w:r>
    </w:p>
    <w:p>
      <w:pPr>
        <w:bidi w:val="0"/>
        <w:ind w:firstLine="897" w:firstLineChars="374"/>
        <w:rPr>
          <w:rFonts w:hint="eastAsia"/>
          <w:lang w:val="en-US" w:eastAsia="zh-CN"/>
        </w:rPr>
      </w:pPr>
      <w:r>
        <w:rPr>
          <w:rFonts w:hint="eastAsia"/>
          <w:lang w:val="en-US" w:eastAsia="zh-CN"/>
        </w:rPr>
        <w:t>1、水泵严禁在缺水状态下运转、试转；</w:t>
      </w:r>
    </w:p>
    <w:p>
      <w:pPr>
        <w:bidi w:val="0"/>
        <w:ind w:firstLine="897" w:firstLineChars="374"/>
        <w:rPr>
          <w:rFonts w:hint="eastAsia"/>
          <w:lang w:val="en-US" w:eastAsia="zh-CN"/>
        </w:rPr>
      </w:pPr>
      <w:r>
        <w:rPr>
          <w:rFonts w:hint="eastAsia"/>
          <w:lang w:val="en-US" w:eastAsia="zh-CN"/>
        </w:rPr>
        <w:t>2、水泵运转过程中严禁用手触摸水泵，防止触电；</w:t>
      </w:r>
    </w:p>
    <w:p>
      <w:pPr>
        <w:bidi w:val="0"/>
        <w:ind w:firstLine="897" w:firstLineChars="374"/>
        <w:rPr>
          <w:rFonts w:hint="eastAsia"/>
          <w:lang w:val="en-US" w:eastAsia="zh-CN"/>
        </w:rPr>
      </w:pPr>
      <w:r>
        <w:rPr>
          <w:rFonts w:hint="eastAsia"/>
          <w:lang w:val="en-US" w:eastAsia="zh-CN"/>
        </w:rPr>
        <w:t>3、消防水池液面必须高于水泵进水口30cm以上，防止吸入空气；</w:t>
      </w:r>
    </w:p>
    <w:p>
      <w:pPr>
        <w:bidi w:val="0"/>
        <w:ind w:firstLine="897" w:firstLineChars="374"/>
        <w:rPr>
          <w:rFonts w:hint="default"/>
          <w:lang w:val="en-US" w:eastAsia="zh-CN"/>
        </w:rPr>
      </w:pPr>
      <w:r>
        <w:rPr>
          <w:rFonts w:hint="eastAsia"/>
          <w:lang w:val="en-US" w:eastAsia="zh-CN"/>
        </w:rPr>
        <w:t>4、水泵长期停止使用时，必须放干泵内积水。</w:t>
      </w:r>
    </w:p>
    <w:p>
      <w:pPr>
        <w:pStyle w:val="4"/>
        <w:bidi w:val="0"/>
        <w:rPr>
          <w:rFonts w:hint="eastAsia"/>
          <w:lang w:eastAsia="zh-CN"/>
        </w:rPr>
      </w:pPr>
      <w:r>
        <w:rPr>
          <w:rFonts w:hint="eastAsia"/>
          <w:lang w:val="en-US" w:eastAsia="zh-CN"/>
        </w:rPr>
        <w:t>8.3.3、</w:t>
      </w:r>
      <w:r>
        <w:rPr>
          <w:rFonts w:hint="eastAsia"/>
          <w:lang w:eastAsia="zh-CN"/>
        </w:rPr>
        <w:t>技防设施操作规程</w:t>
      </w:r>
      <w:bookmarkEnd w:id="15"/>
      <w:bookmarkEnd w:id="16"/>
    </w:p>
    <w:p>
      <w:pPr>
        <w:bidi w:val="0"/>
        <w:rPr>
          <w:rFonts w:hint="eastAsia"/>
          <w:lang w:eastAsia="zh-CN"/>
        </w:rPr>
      </w:pPr>
      <w:r>
        <w:rPr>
          <w:rFonts w:hint="eastAsia"/>
          <w:lang w:eastAsia="zh-CN"/>
        </w:rPr>
        <w:t>为了确保民用爆炸物品的安全，防止民爆物品被盗被抢，特制定技防设施安全技术操作规程：</w:t>
      </w:r>
    </w:p>
    <w:p>
      <w:pPr>
        <w:bidi w:val="0"/>
        <w:rPr>
          <w:rFonts w:hint="eastAsia"/>
          <w:lang w:eastAsia="zh-CN"/>
        </w:rPr>
      </w:pPr>
      <w:r>
        <w:rPr>
          <w:rFonts w:hint="eastAsia"/>
          <w:lang w:eastAsia="zh-CN"/>
        </w:rPr>
        <w:t>笫一条：必须积极参加有关安全知识的学习和培训，不断提高和掌握对监控设备操作的业务技术水平。</w:t>
      </w:r>
    </w:p>
    <w:p>
      <w:pPr>
        <w:bidi w:val="0"/>
        <w:rPr>
          <w:rFonts w:hint="eastAsia"/>
          <w:lang w:eastAsia="zh-CN"/>
        </w:rPr>
      </w:pPr>
      <w:r>
        <w:rPr>
          <w:rFonts w:hint="eastAsia"/>
          <w:lang w:eastAsia="zh-CN"/>
        </w:rPr>
        <w:t>笫二条：每天巡视和检查监控设备是否运行正常。</w:t>
      </w:r>
    </w:p>
    <w:p>
      <w:pPr>
        <w:bidi w:val="0"/>
        <w:rPr>
          <w:rFonts w:hint="eastAsia"/>
          <w:lang w:eastAsia="zh-CN"/>
        </w:rPr>
      </w:pPr>
      <w:r>
        <w:rPr>
          <w:rFonts w:hint="eastAsia"/>
          <w:lang w:eastAsia="zh-CN"/>
        </w:rPr>
        <w:t>笫三条：坚持每天检查监控录象内容，及时报告或处理录象中发现的问题。</w:t>
      </w:r>
    </w:p>
    <w:p>
      <w:pPr>
        <w:bidi w:val="0"/>
        <w:rPr>
          <w:rFonts w:hint="eastAsia"/>
          <w:lang w:eastAsia="zh-CN"/>
        </w:rPr>
      </w:pPr>
      <w:r>
        <w:rPr>
          <w:rFonts w:hint="eastAsia"/>
          <w:lang w:eastAsia="zh-CN"/>
        </w:rPr>
        <w:t>笫四条：平时经常保持监控设备的养护，一旦发现故障，立即与维护单位联系进行维修，保证正常使用，并做好记录。</w:t>
      </w:r>
    </w:p>
    <w:p>
      <w:pPr>
        <w:bidi w:val="0"/>
        <w:rPr>
          <w:rFonts w:hint="eastAsia"/>
          <w:lang w:eastAsia="zh-CN"/>
        </w:rPr>
      </w:pPr>
      <w:r>
        <w:rPr>
          <w:rFonts w:hint="eastAsia"/>
          <w:lang w:eastAsia="zh-CN"/>
        </w:rPr>
        <w:t>笫五条：在操作中必须正确按照监控设备的操作方法使用，闲杂人员不得擅自操作或使用。</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小标宋简体">
    <w:panose1 w:val="02000000000000000000"/>
    <w:charset w:val="86"/>
    <w:family w:val="script"/>
    <w:pitch w:val="default"/>
    <w:sig w:usb0="00000001" w:usb1="0800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pacing w:before="120" w:after="120"/>
      <w:ind w:firstLine="360"/>
      <w:rPr>
        <w:rFonts w:hint="eastAsia"/>
        <w:sz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ind w:firstLine="4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pacing w:before="120" w:after="48"/>
      <w:ind w:right="630"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tabs>
                              <w:tab w:val="center" w:pos="4153"/>
                              <w:tab w:val="right" w:pos="8306"/>
                            </w:tabs>
                            <w:spacing w:before="120" w:after="48"/>
                            <w:ind w:firstLine="360"/>
                          </w:pPr>
                          <w:r>
                            <w:fldChar w:fldCharType="begin"/>
                          </w:r>
                          <w:r>
                            <w:instrText xml:space="preserve"> PAGE  \* MERGEFORMAT </w:instrText>
                          </w:r>
                          <w:r>
                            <w:fldChar w:fldCharType="separate"/>
                          </w:r>
                          <w:r>
                            <w:t>66</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qi+sgyQEAAJkDAAAOAAAAAAAAAAEAIAAAAB4BAABkcnMvZTJvRG9j&#10;LnhtbFBLBQYAAAAABgAGAFkBAABZBQAAAAA=&#10;">
              <v:fill on="f" focussize="0,0"/>
              <v:stroke on="f"/>
              <v:imagedata o:title=""/>
              <o:lock v:ext="edit" aspectratio="f"/>
              <v:textbox inset="0mm,0mm,0mm,0mm" style="mso-fit-shape-to-text:t;">
                <w:txbxContent>
                  <w:p>
                    <w:pPr>
                      <w:tabs>
                        <w:tab w:val="center" w:pos="4153"/>
                        <w:tab w:val="right" w:pos="8306"/>
                      </w:tabs>
                      <w:spacing w:before="120" w:after="48"/>
                      <w:ind w:firstLine="360"/>
                    </w:pPr>
                    <w:r>
                      <w:fldChar w:fldCharType="begin"/>
                    </w:r>
                    <w:r>
                      <w:instrText xml:space="preserve"> PAGE  \* MERGEFORMAT </w:instrText>
                    </w:r>
                    <w:r>
                      <w:fldChar w:fldCharType="separate"/>
                    </w:r>
                    <w:r>
                      <w:t>66</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rap="around" w:vAnchor="text" w:hAnchor="margin" w:xAlign="center" w:y="1"/>
      <w:tabs>
        <w:tab w:val="center" w:pos="4153"/>
        <w:tab w:val="right" w:pos="8306"/>
      </w:tabs>
      <w:spacing w:before="120" w:after="48"/>
      <w:ind w:firstLine="360"/>
    </w:pPr>
    <w:r>
      <w:fldChar w:fldCharType="begin"/>
    </w:r>
    <w:r>
      <w:instrText xml:space="preserve">PAGE  </w:instrText>
    </w:r>
    <w:r>
      <w:fldChar w:fldCharType="end"/>
    </w:r>
  </w:p>
  <w:p>
    <w:pPr>
      <w:tabs>
        <w:tab w:val="center" w:pos="4153"/>
        <w:tab w:val="right" w:pos="8306"/>
      </w:tabs>
      <w:spacing w:before="120" w:after="48"/>
      <w:ind w:firstLine="360"/>
    </w:pPr>
  </w:p>
  <w:p>
    <w:pPr>
      <w:tabs>
        <w:tab w:val="center" w:pos="4153"/>
        <w:tab w:val="right" w:pos="8306"/>
      </w:tabs>
      <w:spacing w:before="120" w:after="48"/>
      <w:ind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pacing w:before="120" w:after="48"/>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tabs>
                              <w:tab w:val="center" w:pos="4153"/>
                              <w:tab w:val="right" w:pos="8306"/>
                            </w:tabs>
                            <w:spacing w:before="120" w:after="48"/>
                            <w:ind w:firstLine="360"/>
                          </w:pP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D6u++myQEAAJkDAAAOAAAAAAAAAAEAIAAAAB4BAABkcnMvZTJvRG9j&#10;LnhtbFBLBQYAAAAABgAGAFkBAABZBQAAAAA=&#10;">
              <v:fill on="f" focussize="0,0"/>
              <v:stroke on="f"/>
              <v:imagedata o:title=""/>
              <o:lock v:ext="edit" aspectratio="f"/>
              <v:textbox inset="0mm,0mm,0mm,0mm" style="mso-fit-shape-to-text:t;">
                <w:txbxContent>
                  <w:p>
                    <w:pPr>
                      <w:tabs>
                        <w:tab w:val="center" w:pos="4153"/>
                        <w:tab w:val="right" w:pos="8306"/>
                      </w:tabs>
                      <w:spacing w:before="120" w:after="48"/>
                      <w:ind w:firstLine="360"/>
                    </w:pP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14935" cy="131445"/>
              <wp:effectExtent l="0" t="0" r="0" b="0"/>
              <wp:wrapNone/>
              <wp:docPr id="6" name="文本框 6"/>
              <wp:cNvGraphicFramePr/>
              <a:graphic xmlns:a="http://schemas.openxmlformats.org/drawingml/2006/main">
                <a:graphicData uri="http://schemas.microsoft.com/office/word/2010/wordprocessingShape">
                  <wps:wsp>
                    <wps:cNvSpPr txBox="1">
                      <a:spLocks noChangeArrowheads="1"/>
                    </wps:cNvSpPr>
                    <wps:spPr bwMode="auto">
                      <a:xfrm>
                        <a:off x="0" y="0"/>
                        <a:ext cx="114935" cy="131445"/>
                      </a:xfrm>
                      <a:prstGeom prst="rect">
                        <a:avLst/>
                      </a:prstGeom>
                      <a:noFill/>
                      <a:ln>
                        <a:noFill/>
                      </a:ln>
                      <a:effectLst/>
                    </wps:spPr>
                    <wps:txbx>
                      <w:txbxContent>
                        <w:p>
                          <w:pPr>
                            <w:tabs>
                              <w:tab w:val="center" w:pos="4153"/>
                              <w:tab w:val="right" w:pos="8306"/>
                            </w:tabs>
                          </w:pPr>
                          <w:r>
                            <w:fldChar w:fldCharType="begin"/>
                          </w:r>
                          <w:r>
                            <w:instrText xml:space="preserve">PAGE  </w:instrText>
                          </w:r>
                          <w:r>
                            <w:fldChar w:fldCharType="separate"/>
                          </w:r>
                          <w:r>
                            <w:t>6</w:t>
                          </w:r>
                          <w: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0.35pt;width:9.05pt;mso-position-horizontal:center;mso-position-horizontal-relative:margin;mso-wrap-style:none;z-index:251662336;mso-width-relative:page;mso-height-relative:page;" filled="f" stroked="f" coordsize="21600,21600" o:gfxdata="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Q+V+SdAAAAADAQAADwAAAAAAAAABACAAAAAiAAAA&#10;ZHJzL2Rvd25yZXYueG1sUEsBAhQAFAAAAAgAh07iQALYutoPAgAAEAQAAA4AAAAAAAAAAQAgAAAA&#10;HwEAAGRycy9lMm9Eb2MueG1sUEsFBgAAAAAGAAYAWQEAAKAFAAAAAA==&#10;">
              <v:fill on="f" focussize="0,0"/>
              <v:stroke on="f"/>
              <v:imagedata o:title=""/>
              <o:lock v:ext="edit" aspectratio="f"/>
              <v:textbox inset="0mm,0mm,0mm,0mm" style="mso-fit-shape-to-text:t;">
                <w:txbxContent>
                  <w:p>
                    <w:pPr>
                      <w:tabs>
                        <w:tab w:val="center" w:pos="4153"/>
                        <w:tab w:val="right" w:pos="8306"/>
                      </w:tabs>
                    </w:pPr>
                    <w:r>
                      <w:fldChar w:fldCharType="begin"/>
                    </w:r>
                    <w:r>
                      <w:instrText xml:space="preserve">PAGE  </w:instrText>
                    </w:r>
                    <w:r>
                      <w:fldChar w:fldCharType="separate"/>
                    </w:r>
                    <w:r>
                      <w:t>6</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tabs>
        <w:tab w:val="center" w:pos="4153"/>
        <w:tab w:val="right" w:pos="8306"/>
      </w:tabs>
      <w:spacing w:before="120" w:after="48"/>
      <w:ind w:firstLine="420"/>
      <w:jc w:val="center"/>
      <w:rPr>
        <w:rFonts w:eastAsia="宋体"/>
        <w:sz w:val="21"/>
        <w:szCs w:val="21"/>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pacing w:before="120" w:after="48"/>
      <w:ind w:firstLine="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pacing w:before="120" w:after="48"/>
      <w:ind w:firstLine="40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92"/>
  <w:displayHorizontalDrawingGridEvery w:val="0"/>
  <w:displayVerticalDrawingGridEvery w:val="2"/>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U4NDg0MTY5N2IyODRiYWUwOGI3MTc0NjhiODNiNDEifQ=="/>
  </w:docVars>
  <w:rsids>
    <w:rsidRoot w:val="0098195A"/>
    <w:rsid w:val="009525DB"/>
    <w:rsid w:val="0098195A"/>
    <w:rsid w:val="00A95CB2"/>
    <w:rsid w:val="00BE5FD0"/>
    <w:rsid w:val="00E86FC5"/>
    <w:rsid w:val="07AB76CE"/>
    <w:rsid w:val="0AE65EEE"/>
    <w:rsid w:val="0C714625"/>
    <w:rsid w:val="0E2F7FB8"/>
    <w:rsid w:val="0F047F00"/>
    <w:rsid w:val="1BC67D56"/>
    <w:rsid w:val="1CE32DDD"/>
    <w:rsid w:val="22F40666"/>
    <w:rsid w:val="22F630E7"/>
    <w:rsid w:val="230879CC"/>
    <w:rsid w:val="24E676F1"/>
    <w:rsid w:val="2D1C0544"/>
    <w:rsid w:val="2D20479E"/>
    <w:rsid w:val="2D353B95"/>
    <w:rsid w:val="308D346B"/>
    <w:rsid w:val="380B133C"/>
    <w:rsid w:val="383D1BF7"/>
    <w:rsid w:val="396E5577"/>
    <w:rsid w:val="3BDD0F7F"/>
    <w:rsid w:val="3C9E39B3"/>
    <w:rsid w:val="440934BA"/>
    <w:rsid w:val="4583549D"/>
    <w:rsid w:val="4ADF21C6"/>
    <w:rsid w:val="4E1D210A"/>
    <w:rsid w:val="5CDE440D"/>
    <w:rsid w:val="5F3B2F92"/>
    <w:rsid w:val="65061B8A"/>
    <w:rsid w:val="75AA47AF"/>
    <w:rsid w:val="7E404F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iPriority="1" w:semiHidden="0" w:name="heading 1"/>
    <w:lsdException w:qFormat="1" w:uiPriority="1" w:semiHidden="0" w:name="heading 2"/>
    <w:lsdException w:qFormat="1" w:uiPriority="9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440" w:lineRule="exact"/>
      <w:ind w:firstLine="420" w:firstLineChars="200"/>
      <w:jc w:val="both"/>
    </w:pPr>
    <w:rPr>
      <w:rFonts w:ascii="Times New Roman" w:hAnsi="Times New Roman" w:eastAsia="仿宋" w:cs="Times New Roman"/>
      <w:kern w:val="2"/>
      <w:sz w:val="24"/>
      <w:szCs w:val="24"/>
      <w:lang w:val="en-US" w:eastAsia="zh-CN" w:bidi="ar-SA"/>
    </w:rPr>
  </w:style>
  <w:style w:type="paragraph" w:styleId="2">
    <w:name w:val="heading 1"/>
    <w:basedOn w:val="1"/>
    <w:next w:val="1"/>
    <w:unhideWhenUsed/>
    <w:qFormat/>
    <w:uiPriority w:val="1"/>
    <w:pPr>
      <w:spacing w:before="240" w:after="240" w:line="240" w:lineRule="auto"/>
      <w:ind w:firstLine="0" w:firstLineChars="0"/>
      <w:outlineLvl w:val="0"/>
    </w:pPr>
    <w:rPr>
      <w:rFonts w:hint="eastAsia"/>
      <w:b/>
      <w:sz w:val="32"/>
    </w:rPr>
  </w:style>
  <w:style w:type="paragraph" w:styleId="3">
    <w:name w:val="heading 2"/>
    <w:basedOn w:val="1"/>
    <w:next w:val="1"/>
    <w:unhideWhenUsed/>
    <w:qFormat/>
    <w:uiPriority w:val="1"/>
    <w:pPr>
      <w:spacing w:before="120" w:after="120" w:line="240" w:lineRule="auto"/>
      <w:ind w:firstLine="0" w:firstLineChars="0"/>
      <w:outlineLvl w:val="1"/>
    </w:pPr>
    <w:rPr>
      <w:rFonts w:hint="eastAsia"/>
      <w:b/>
      <w:sz w:val="28"/>
    </w:rPr>
  </w:style>
  <w:style w:type="paragraph" w:styleId="4">
    <w:name w:val="heading 3"/>
    <w:basedOn w:val="1"/>
    <w:next w:val="1"/>
    <w:link w:val="10"/>
    <w:unhideWhenUsed/>
    <w:qFormat/>
    <w:uiPriority w:val="99"/>
    <w:pPr>
      <w:keepNext/>
      <w:keepLines/>
      <w:spacing w:before="120" w:after="120"/>
      <w:outlineLvl w:val="2"/>
    </w:pPr>
    <w:rPr>
      <w:rFonts w:hint="eastAsia"/>
      <w:b/>
      <w:sz w:val="24"/>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semiHidden/>
    <w:unhideWhenUsed/>
    <w:qFormat/>
    <w:uiPriority w:val="39"/>
  </w:style>
  <w:style w:type="table" w:styleId="8">
    <w:name w:val="Table Grid"/>
    <w:basedOn w:val="7"/>
    <w:qFormat/>
    <w:uiPriority w:val="5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0">
    <w:name w:val="标题 3 Char"/>
    <w:link w:val="4"/>
    <w:qFormat/>
    <w:locked/>
    <w:uiPriority w:val="99"/>
    <w:rPr>
      <w:rFonts w:hint="eastAsia"/>
      <w:b/>
      <w:sz w:val="24"/>
    </w:rPr>
  </w:style>
  <w:style w:type="paragraph" w:customStyle="1" w:styleId="11">
    <w:name w:val="表格"/>
    <w:qFormat/>
    <w:uiPriority w:val="0"/>
    <w:pPr>
      <w:spacing w:line="240" w:lineRule="auto"/>
      <w:ind w:firstLine="0" w:firstLineChars="0"/>
      <w:jc w:val="center"/>
    </w:pPr>
    <w:rPr>
      <w:rFonts w:ascii="Times New Roman" w:hAnsi="Times New Roman" w:eastAsia="仿宋" w:cs="Times New Roman"/>
      <w:color w:val="auto"/>
      <w:sz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header" Target="header2.xml"/><Relationship Id="rId7" Type="http://schemas.openxmlformats.org/officeDocument/2006/relationships/header" Target="header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6511</Words>
  <Characters>6906</Characters>
  <Lines>74</Lines>
  <Paragraphs>21</Paragraphs>
  <TotalTime>6</TotalTime>
  <ScaleCrop>false</ScaleCrop>
  <LinksUpToDate>false</LinksUpToDate>
  <CharactersWithSpaces>7056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2018-08-01T06:42:00Z</dcterms:created>
  <dc:creator>陈 凤</dc:creator>
  <cp:lastModifiedBy>毅</cp:lastModifiedBy>
  <dcterms:modified xsi:type="dcterms:W3CDTF">2023-07-04T09:30:13Z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581208BF5C0E44C19DF9A74B65B310A8_13</vt:lpwstr>
  </property>
  <property fmtid="{D5CDD505-2E9C-101B-9397-08002B2CF9AE}" pid="4" name="commondata">
    <vt:lpwstr>eyJoZGlkIjoiOGMwZmViZjQ4MTJkZjk4M2NmNTM0OTUxZWM0ZTY0MWMifQ==</vt:lpwstr>
  </property>
</Properties>
</file>