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jc w:val="center"/>
        <w:rPr>
          <w:rFonts w:hint="eastAsia" w:ascii="宋体" w:hAnsi="宋体" w:cs="仿宋_GB2312"/>
          <w:color w:val="000000"/>
          <w:w w:val="40"/>
          <w:sz w:val="240"/>
          <w:szCs w:val="260"/>
        </w:rPr>
      </w:pPr>
      <w:bookmarkStart w:id="14" w:name="_GoBack"/>
      <w:bookmarkEnd w:id="14"/>
      <w:r>
        <w:rPr>
          <w:rFonts w:hint="eastAsia" w:ascii="经典长宋简"/>
          <w:b/>
          <w:color w:val="FF0000"/>
          <w:spacing w:val="-20"/>
          <w:w w:val="40"/>
          <w:sz w:val="240"/>
          <w:szCs w:val="260"/>
        </w:rPr>
        <w:t>阆中市</w:t>
      </w:r>
      <w:r>
        <w:rPr>
          <w:rFonts w:hint="eastAsia" w:ascii="经典长宋简"/>
          <w:b/>
          <w:color w:val="FF0000"/>
          <w:spacing w:val="-20"/>
          <w:w w:val="40"/>
          <w:sz w:val="240"/>
          <w:szCs w:val="260"/>
          <w:lang w:val="en-US" w:eastAsia="zh-CN"/>
        </w:rPr>
        <w:t>航海</w:t>
      </w:r>
      <w:r>
        <w:rPr>
          <w:rFonts w:hint="eastAsia" w:ascii="经典长宋简"/>
          <w:b/>
          <w:color w:val="FF0000"/>
          <w:spacing w:val="-20"/>
          <w:w w:val="40"/>
          <w:sz w:val="240"/>
          <w:szCs w:val="260"/>
        </w:rPr>
        <w:t>加油站</w:t>
      </w:r>
    </w:p>
    <w:p>
      <w:pPr>
        <w:jc w:val="center"/>
        <w:rPr>
          <w:rFonts w:ascii="经典长宋简" w:eastAsia="经典长宋简"/>
          <w:b/>
          <w:color w:val="FF0000"/>
          <w:spacing w:val="-20"/>
          <w:w w:val="35"/>
          <w:sz w:val="160"/>
          <w:szCs w:val="160"/>
        </w:rPr>
      </w:pPr>
      <w:r>
        <w:rPr>
          <w:rFonts w:ascii="仿宋_GB2312" w:hAnsi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48895</wp:posOffset>
                </wp:positionH>
                <wp:positionV relativeFrom="paragraph">
                  <wp:posOffset>252095</wp:posOffset>
                </wp:positionV>
                <wp:extent cx="5600700" cy="20320"/>
                <wp:effectExtent l="0" t="9525" r="1905" b="1333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00700" cy="2032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.85pt;margin-top:19.85pt;height:1.6pt;width:441pt;z-index:251660288;mso-width-relative:page;mso-height-relative:page;" filled="f" stroked="t" coordsize="21600,21600" o:gfxdata="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ecUMzWAAAABwEAAA8AAAAAAAAAAQAgAAAAIgAAAGRycy9kb3du&#10;cmV2LnhtbFBLAQIUABQAAAAIAIdO4kCe7LsfAQIAAPMDAAAOAAAAAAAAAAEAIAAAACUBAABkcnMv&#10;ZTJvRG9jLnhtbFBLBQYAAAAABgAGAFkBAACYBQAAAAA=&#10;">
                <v:fill on="f" focussize="0,0"/>
                <v:stroke weight="1.5pt"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cs="仿宋_GB2312"/>
          <w:color w:val="000000"/>
          <w:szCs w:val="28"/>
        </w:rPr>
        <w:t>〔20</w:t>
      </w:r>
      <w:r>
        <w:rPr>
          <w:rFonts w:hint="eastAsia" w:ascii="宋体" w:hAnsi="宋体" w:cs="仿宋_GB2312"/>
          <w:color w:val="000000"/>
          <w:szCs w:val="28"/>
          <w:lang w:val="en-US" w:eastAsia="zh-CN"/>
        </w:rPr>
        <w:t>22</w:t>
      </w:r>
      <w:r>
        <w:rPr>
          <w:rFonts w:hint="eastAsia" w:ascii="宋体" w:hAnsi="宋体" w:cs="仿宋_GB2312"/>
          <w:color w:val="000000"/>
          <w:szCs w:val="28"/>
        </w:rPr>
        <w:t>〕</w:t>
      </w:r>
      <w:r>
        <w:rPr>
          <w:rFonts w:hint="eastAsia" w:ascii="宋体" w:hAnsi="宋体" w:cs="仿宋_GB2312"/>
          <w:color w:val="000000"/>
          <w:szCs w:val="28"/>
          <w:lang w:val="en-US" w:eastAsia="zh-CN"/>
        </w:rPr>
        <w:t>02</w:t>
      </w:r>
      <w:r>
        <w:rPr>
          <w:rFonts w:hint="eastAsia" w:ascii="宋体" w:hAnsi="宋体" w:cs="仿宋_GB2312"/>
          <w:color w:val="000000"/>
          <w:szCs w:val="28"/>
        </w:rPr>
        <w:t>号</w:t>
      </w:r>
    </w:p>
    <w:p>
      <w:pPr>
        <w:snapToGrid/>
        <w:spacing w:line="240" w:lineRule="auto"/>
        <w:ind w:left="420"/>
        <w:rPr>
          <w:rFonts w:hint="eastAsia"/>
          <w:sz w:val="36"/>
          <w:szCs w:val="36"/>
        </w:rPr>
      </w:pPr>
    </w:p>
    <w:p>
      <w:pPr>
        <w:snapToGrid/>
        <w:spacing w:line="576" w:lineRule="exact"/>
        <w:jc w:val="center"/>
        <w:rPr>
          <w:rFonts w:ascii="宋体" w:hAnsi="宋体" w:cs="方正小标宋简体"/>
          <w:b/>
          <w:bCs/>
          <w:color w:val="000000"/>
          <w:sz w:val="32"/>
          <w:szCs w:val="32"/>
        </w:rPr>
      </w:pPr>
      <w:r>
        <w:rPr>
          <w:rFonts w:hint="eastAsia" w:ascii="宋体" w:hAnsi="宋体" w:cs="方正小标宋简体"/>
          <w:b/>
          <w:bCs/>
          <w:color w:val="000000"/>
          <w:sz w:val="32"/>
          <w:szCs w:val="32"/>
        </w:rPr>
        <w:t>阆中市</w:t>
      </w:r>
      <w:r>
        <w:rPr>
          <w:rFonts w:hint="eastAsia" w:ascii="宋体" w:hAnsi="宋体" w:cs="方正小标宋简体"/>
          <w:b/>
          <w:bCs/>
          <w:color w:val="000000"/>
          <w:sz w:val="32"/>
          <w:szCs w:val="32"/>
          <w:lang w:val="en-US" w:eastAsia="zh-CN"/>
        </w:rPr>
        <w:t>航海</w:t>
      </w:r>
      <w:r>
        <w:rPr>
          <w:rFonts w:hint="eastAsia" w:ascii="宋体" w:hAnsi="宋体" w:cs="方正小标宋简体"/>
          <w:b/>
          <w:bCs/>
          <w:color w:val="000000"/>
          <w:sz w:val="32"/>
          <w:szCs w:val="32"/>
        </w:rPr>
        <w:t>加油站</w:t>
      </w:r>
    </w:p>
    <w:p>
      <w:pPr>
        <w:snapToGrid/>
        <w:spacing w:line="576" w:lineRule="exact"/>
        <w:jc w:val="center"/>
        <w:rPr>
          <w:rFonts w:hint="eastAsia" w:ascii="宋体" w:hAnsi="宋体" w:cs="方正小标宋简体"/>
          <w:b/>
          <w:bCs/>
          <w:color w:val="000000"/>
          <w:sz w:val="32"/>
          <w:szCs w:val="32"/>
        </w:rPr>
      </w:pPr>
      <w:r>
        <w:rPr>
          <w:rFonts w:hint="eastAsia" w:ascii="宋体" w:hAnsi="宋体" w:cs="方正小标宋简体"/>
          <w:b/>
          <w:bCs/>
          <w:color w:val="000000"/>
          <w:sz w:val="32"/>
          <w:szCs w:val="32"/>
        </w:rPr>
        <w:t>关于印发</w:t>
      </w:r>
      <w:r>
        <w:rPr>
          <w:rFonts w:hint="eastAsia" w:ascii="宋体" w:hAnsi="宋体" w:cs="方正小标宋简体"/>
          <w:b/>
          <w:bCs/>
          <w:color w:val="000000"/>
          <w:sz w:val="32"/>
          <w:szCs w:val="32"/>
          <w:lang w:eastAsia="zh-CN"/>
        </w:rPr>
        <w:t>《</w:t>
      </w:r>
      <w:r>
        <w:rPr>
          <w:rFonts w:hint="eastAsia" w:ascii="宋体" w:hAnsi="宋体" w:cs="方正小标宋简体"/>
          <w:b/>
          <w:bCs/>
          <w:color w:val="000000"/>
          <w:sz w:val="32"/>
          <w:szCs w:val="32"/>
        </w:rPr>
        <w:t>安全</w:t>
      </w:r>
      <w:r>
        <w:rPr>
          <w:rFonts w:hint="eastAsia" w:ascii="宋体" w:hAnsi="宋体" w:cs="方正小标宋简体"/>
          <w:b/>
          <w:bCs/>
          <w:color w:val="000000"/>
          <w:sz w:val="32"/>
          <w:szCs w:val="32"/>
          <w:lang w:val="en-US" w:eastAsia="zh-CN"/>
        </w:rPr>
        <w:t>操作规程》</w:t>
      </w:r>
      <w:r>
        <w:rPr>
          <w:rFonts w:hint="eastAsia" w:ascii="宋体" w:hAnsi="宋体" w:cs="方正小标宋简体"/>
          <w:b/>
          <w:bCs/>
          <w:color w:val="000000"/>
          <w:sz w:val="32"/>
          <w:szCs w:val="32"/>
        </w:rPr>
        <w:t>的通知</w:t>
      </w:r>
    </w:p>
    <w:p>
      <w:pPr>
        <w:snapToGrid/>
        <w:spacing w:line="240" w:lineRule="auto"/>
        <w:jc w:val="left"/>
        <w:rPr>
          <w:rFonts w:hint="eastAsia" w:ascii="黑体" w:hAnsi="黑体" w:eastAsia="黑体"/>
          <w:b/>
          <w:bCs/>
          <w:color w:val="000000"/>
          <w:sz w:val="32"/>
          <w:szCs w:val="32"/>
        </w:rPr>
      </w:pPr>
      <w:r>
        <w:rPr>
          <w:rFonts w:hint="eastAsia" w:ascii="黑体" w:hAnsi="黑体" w:eastAsia="黑体"/>
          <w:b/>
          <w:bCs/>
          <w:color w:val="000000"/>
          <w:sz w:val="32"/>
          <w:szCs w:val="32"/>
        </w:rPr>
        <w:t xml:space="preserve"> </w:t>
      </w:r>
    </w:p>
    <w:p>
      <w:pPr>
        <w:snapToGrid/>
        <w:spacing w:line="240" w:lineRule="auto"/>
        <w:jc w:val="left"/>
        <w:rPr>
          <w:rFonts w:hint="eastAsia" w:ascii="宋体" w:hAnsi="宋体" w:cs="仿宋_GB2312"/>
          <w:color w:val="000000"/>
          <w:szCs w:val="28"/>
        </w:rPr>
      </w:pPr>
      <w:r>
        <w:rPr>
          <w:rFonts w:hint="eastAsia" w:ascii="宋体" w:hAnsi="宋体" w:cs="仿宋_GB2312"/>
          <w:color w:val="000000"/>
          <w:szCs w:val="28"/>
        </w:rPr>
        <w:t>全体员工：</w:t>
      </w:r>
    </w:p>
    <w:p>
      <w:pPr>
        <w:snapToGrid/>
        <w:spacing w:line="240" w:lineRule="auto"/>
        <w:ind w:firstLine="560" w:firstLineChars="200"/>
        <w:jc w:val="left"/>
        <w:rPr>
          <w:rFonts w:hint="eastAsia" w:ascii="宋体" w:hAnsi="宋体" w:cs="仿宋_GB2312"/>
          <w:color w:val="000000"/>
          <w:szCs w:val="28"/>
        </w:rPr>
      </w:pPr>
      <w:r>
        <w:rPr>
          <w:rFonts w:hint="eastAsia" w:ascii="宋体" w:hAnsi="宋体" w:cs="仿宋_GB2312"/>
          <w:color w:val="000000"/>
          <w:szCs w:val="28"/>
        </w:rPr>
        <w:t>为</w:t>
      </w:r>
      <w:r>
        <w:rPr>
          <w:rFonts w:hint="eastAsia" w:ascii="宋体" w:hAnsi="宋体" w:cs="仿宋_GB2312"/>
          <w:color w:val="000000"/>
          <w:szCs w:val="28"/>
          <w:lang w:val="en-US" w:eastAsia="zh-CN"/>
        </w:rPr>
        <w:t>进一步规范员工的操作行为，提高职工的安全技术操作水平</w:t>
      </w:r>
      <w:r>
        <w:rPr>
          <w:rFonts w:hint="eastAsia" w:ascii="宋体" w:hAnsi="宋体" w:cs="仿宋_GB2312"/>
          <w:color w:val="000000"/>
          <w:szCs w:val="28"/>
        </w:rPr>
        <w:t>，加强</w:t>
      </w:r>
      <w:r>
        <w:rPr>
          <w:rFonts w:hint="eastAsia" w:ascii="宋体" w:hAnsi="宋体" w:cs="仿宋_GB2312"/>
          <w:color w:val="000000"/>
          <w:szCs w:val="28"/>
          <w:lang w:val="en-US" w:eastAsia="zh-CN"/>
        </w:rPr>
        <w:t>我站</w:t>
      </w:r>
      <w:r>
        <w:rPr>
          <w:rFonts w:hint="eastAsia" w:ascii="宋体" w:hAnsi="宋体" w:cs="仿宋_GB2312"/>
          <w:color w:val="000000"/>
          <w:szCs w:val="28"/>
        </w:rPr>
        <w:t>安全生产管理，现将</w:t>
      </w:r>
      <w:r>
        <w:rPr>
          <w:rFonts w:hint="eastAsia" w:ascii="宋体" w:hAnsi="宋体" w:cs="仿宋_GB2312"/>
          <w:color w:val="000000"/>
          <w:szCs w:val="28"/>
          <w:lang w:val="en-US" w:eastAsia="zh-CN"/>
        </w:rPr>
        <w:t>我站</w:t>
      </w:r>
      <w:r>
        <w:rPr>
          <w:rFonts w:hint="eastAsia" w:ascii="宋体" w:hAnsi="宋体" w:cs="仿宋_GB2312"/>
          <w:color w:val="000000"/>
          <w:szCs w:val="28"/>
        </w:rPr>
        <w:t>组织修订的</w:t>
      </w:r>
      <w:r>
        <w:rPr>
          <w:rFonts w:hint="eastAsia" w:ascii="宋体" w:hAnsi="宋体" w:cs="仿宋_GB2312"/>
          <w:color w:val="000000"/>
          <w:szCs w:val="28"/>
          <w:lang w:eastAsia="zh-CN"/>
        </w:rPr>
        <w:t>《</w:t>
      </w:r>
      <w:r>
        <w:rPr>
          <w:rFonts w:hint="eastAsia" w:ascii="宋体" w:hAnsi="宋体" w:cs="仿宋_GB2312"/>
          <w:color w:val="000000"/>
          <w:szCs w:val="28"/>
        </w:rPr>
        <w:t>安全操作规程</w:t>
      </w:r>
      <w:r>
        <w:rPr>
          <w:rFonts w:hint="eastAsia" w:ascii="宋体" w:hAnsi="宋体" w:cs="仿宋_GB2312"/>
          <w:color w:val="000000"/>
          <w:szCs w:val="28"/>
          <w:lang w:eastAsia="zh-CN"/>
        </w:rPr>
        <w:t>》</w:t>
      </w:r>
      <w:r>
        <w:rPr>
          <w:rFonts w:hint="eastAsia" w:ascii="宋体" w:hAnsi="宋体" w:cs="仿宋_GB2312"/>
          <w:color w:val="000000"/>
          <w:szCs w:val="28"/>
          <w:lang w:val="en-US" w:eastAsia="zh-CN"/>
        </w:rPr>
        <w:t>经符合性审查后，印</w:t>
      </w:r>
      <w:r>
        <w:rPr>
          <w:rFonts w:hint="eastAsia" w:ascii="宋体" w:hAnsi="宋体" w:cs="仿宋_GB2312"/>
          <w:color w:val="000000"/>
          <w:szCs w:val="28"/>
        </w:rPr>
        <w:t>发给你们</w:t>
      </w:r>
      <w:r>
        <w:rPr>
          <w:rFonts w:hint="eastAsia" w:ascii="宋体" w:hAnsi="宋体" w:cs="仿宋_GB2312"/>
          <w:color w:val="000000"/>
          <w:szCs w:val="28"/>
          <w:lang w:val="en-US" w:eastAsia="zh-CN"/>
        </w:rPr>
        <w:t>，</w:t>
      </w:r>
      <w:r>
        <w:rPr>
          <w:rFonts w:hint="eastAsia" w:ascii="宋体" w:hAnsi="宋体" w:cs="仿宋_GB2312"/>
          <w:color w:val="000000"/>
          <w:szCs w:val="28"/>
        </w:rPr>
        <w:t>希望</w:t>
      </w:r>
      <w:r>
        <w:rPr>
          <w:rFonts w:hint="eastAsia" w:ascii="宋体" w:hAnsi="宋体" w:cs="仿宋_GB2312"/>
          <w:color w:val="000000"/>
          <w:szCs w:val="28"/>
          <w:lang w:val="en-US" w:eastAsia="zh-CN"/>
        </w:rPr>
        <w:t>全体员工</w:t>
      </w:r>
      <w:r>
        <w:rPr>
          <w:rFonts w:hint="eastAsia" w:ascii="宋体" w:hAnsi="宋体" w:cs="仿宋_GB2312"/>
          <w:color w:val="000000"/>
          <w:szCs w:val="28"/>
        </w:rPr>
        <w:t>认真组织学习并遵照执行。</w:t>
      </w:r>
    </w:p>
    <w:p>
      <w:pPr>
        <w:snapToGrid/>
        <w:spacing w:line="240" w:lineRule="auto"/>
        <w:ind w:firstLine="560" w:firstLineChars="200"/>
        <w:jc w:val="left"/>
        <w:rPr>
          <w:rFonts w:hint="eastAsia" w:ascii="宋体" w:hAnsi="宋体" w:cs="仿宋_GB2312"/>
          <w:color w:val="000000"/>
          <w:szCs w:val="28"/>
        </w:rPr>
      </w:pPr>
      <w:r>
        <w:rPr>
          <w:rFonts w:hint="eastAsia" w:ascii="宋体" w:hAnsi="宋体" w:cs="仿宋_GB2312"/>
          <w:color w:val="000000"/>
          <w:szCs w:val="28"/>
          <w:lang w:val="en-US" w:eastAsia="zh-CN"/>
        </w:rPr>
        <w:t>附：《安全操作规程》</w:t>
      </w:r>
      <w:r>
        <w:rPr>
          <w:rFonts w:hint="eastAsia" w:ascii="宋体" w:hAnsi="宋体" w:cs="仿宋_GB2312"/>
          <w:color w:val="000000"/>
          <w:szCs w:val="28"/>
        </w:rPr>
        <w:t xml:space="preserve">                                </w:t>
      </w:r>
    </w:p>
    <w:p>
      <w:pPr>
        <w:snapToGrid/>
        <w:spacing w:line="240" w:lineRule="auto"/>
        <w:ind w:firstLine="5040" w:firstLineChars="1800"/>
        <w:jc w:val="left"/>
        <w:rPr>
          <w:rFonts w:hint="eastAsia" w:ascii="宋体" w:hAnsi="宋体" w:cs="仿宋_GB2312"/>
          <w:color w:val="000000"/>
          <w:szCs w:val="28"/>
        </w:rPr>
      </w:pPr>
    </w:p>
    <w:p>
      <w:pPr>
        <w:snapToGrid/>
        <w:spacing w:line="240" w:lineRule="auto"/>
        <w:ind w:firstLine="5040" w:firstLineChars="1800"/>
        <w:jc w:val="left"/>
        <w:rPr>
          <w:rFonts w:hint="eastAsia" w:ascii="宋体" w:hAnsi="宋体" w:cs="仿宋_GB2312"/>
          <w:color w:val="000000"/>
          <w:szCs w:val="28"/>
        </w:rPr>
      </w:pPr>
      <w:r>
        <w:rPr>
          <w:rFonts w:hint="eastAsia" w:ascii="宋体" w:hAnsi="宋体" w:cs="仿宋_GB2312"/>
          <w:color w:val="000000"/>
          <w:szCs w:val="28"/>
        </w:rPr>
        <w:t xml:space="preserve"> 阆中市</w:t>
      </w:r>
      <w:r>
        <w:rPr>
          <w:rFonts w:hint="eastAsia" w:ascii="宋体" w:hAnsi="宋体" w:cs="仿宋_GB2312"/>
          <w:color w:val="000000"/>
          <w:szCs w:val="28"/>
          <w:lang w:val="en-US" w:eastAsia="zh-CN"/>
        </w:rPr>
        <w:t>航海</w:t>
      </w:r>
      <w:r>
        <w:rPr>
          <w:rFonts w:hint="eastAsia" w:ascii="宋体" w:hAnsi="宋体" w:cs="仿宋_GB2312"/>
          <w:color w:val="000000"/>
          <w:szCs w:val="28"/>
        </w:rPr>
        <w:t>加油站</w:t>
      </w:r>
    </w:p>
    <w:p>
      <w:pPr>
        <w:jc w:val="center"/>
        <w:rPr>
          <w:rFonts w:hint="eastAsia"/>
        </w:rPr>
      </w:pPr>
      <w:bookmarkStart w:id="0" w:name="_Toc434010966"/>
      <w:r>
        <w:rPr>
          <w:rFonts w:hint="eastAsia"/>
        </w:rPr>
        <w:t xml:space="preserve">                               20</w:t>
      </w:r>
      <w:r>
        <w:rPr>
          <w:rFonts w:hint="eastAsia"/>
          <w:lang w:val="en-US" w:eastAsia="zh-CN"/>
        </w:rPr>
        <w:t>22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5日</w:t>
      </w:r>
      <w:bookmarkEnd w:id="0"/>
    </w:p>
    <w:p/>
    <w:p/>
    <w:p/>
    <w:p/>
    <w:p/>
    <w:p>
      <w:pPr>
        <w:snapToGrid/>
        <w:spacing w:line="240" w:lineRule="auto"/>
        <w:jc w:val="left"/>
        <w:rPr>
          <w:rFonts w:hint="eastAsia" w:ascii="宋体" w:hAnsi="宋体" w:cs="仿宋_GB2312"/>
          <w:b/>
          <w:bCs/>
          <w:color w:val="000000"/>
          <w:sz w:val="44"/>
          <w:szCs w:val="44"/>
          <w:lang w:val="en-US" w:eastAsia="zh-CN"/>
        </w:rPr>
      </w:pPr>
    </w:p>
    <w:p>
      <w:pPr>
        <w:snapToGrid/>
        <w:spacing w:line="240" w:lineRule="auto"/>
        <w:jc w:val="left"/>
        <w:rPr>
          <w:rFonts w:hint="eastAsia" w:ascii="宋体" w:hAnsi="宋体" w:cs="仿宋_GB2312"/>
          <w:b/>
          <w:bCs/>
          <w:color w:val="000000"/>
          <w:sz w:val="44"/>
          <w:szCs w:val="44"/>
          <w:lang w:val="en-US" w:eastAsia="zh-CN"/>
        </w:rPr>
      </w:pPr>
    </w:p>
    <w:p>
      <w:pPr>
        <w:snapToGrid/>
        <w:spacing w:line="240" w:lineRule="auto"/>
        <w:jc w:val="left"/>
        <w:rPr>
          <w:rFonts w:hint="eastAsia" w:ascii="宋体" w:hAnsi="宋体" w:cs="仿宋_GB2312"/>
          <w:b/>
          <w:bCs/>
          <w:color w:val="000000"/>
          <w:sz w:val="44"/>
          <w:szCs w:val="44"/>
          <w:lang w:val="en-US" w:eastAsia="zh-CN"/>
        </w:rPr>
      </w:pPr>
    </w:p>
    <w:p>
      <w:pPr>
        <w:snapToGrid/>
        <w:spacing w:line="240" w:lineRule="auto"/>
        <w:jc w:val="center"/>
        <w:rPr>
          <w:rFonts w:hint="default" w:ascii="宋体" w:hAnsi="宋体" w:eastAsia="宋体" w:cs="仿宋_GB2312"/>
          <w:b/>
          <w:bCs/>
          <w:color w:val="000000"/>
          <w:sz w:val="44"/>
          <w:szCs w:val="44"/>
          <w:lang w:val="en-US" w:eastAsia="zh-CN"/>
        </w:rPr>
      </w:pPr>
      <w:r>
        <w:rPr>
          <w:rFonts w:hint="eastAsia" w:ascii="宋体" w:hAnsi="宋体" w:cs="仿宋_GB2312"/>
          <w:b/>
          <w:bCs/>
          <w:color w:val="000000"/>
          <w:sz w:val="44"/>
          <w:szCs w:val="44"/>
          <w:lang w:val="en-US" w:eastAsia="zh-CN"/>
        </w:rPr>
        <w:t>安全操作规程</w:t>
      </w:r>
    </w:p>
    <w:p>
      <w:pPr>
        <w:rPr>
          <w:rFonts w:hint="eastAsia"/>
          <w:sz w:val="32"/>
          <w:szCs w:val="20"/>
          <w:lang w:val="en-US" w:eastAsia="zh-CN"/>
        </w:rPr>
      </w:pPr>
    </w:p>
    <w:p>
      <w:pPr>
        <w:pStyle w:val="2"/>
        <w:rPr>
          <w:rFonts w:hint="eastAsia"/>
          <w:sz w:val="32"/>
          <w:szCs w:val="20"/>
          <w:lang w:val="en-US" w:eastAsia="zh-CN"/>
        </w:rPr>
      </w:pPr>
    </w:p>
    <w:p>
      <w:pPr>
        <w:rPr>
          <w:rFonts w:hint="eastAsia"/>
          <w:sz w:val="32"/>
          <w:szCs w:val="20"/>
          <w:lang w:val="en-US" w:eastAsia="zh-CN"/>
        </w:rPr>
      </w:pPr>
    </w:p>
    <w:p>
      <w:pPr>
        <w:pStyle w:val="2"/>
        <w:rPr>
          <w:rFonts w:hint="eastAsia"/>
          <w:sz w:val="32"/>
          <w:szCs w:val="20"/>
          <w:lang w:val="en-US" w:eastAsia="zh-CN"/>
        </w:rPr>
      </w:pPr>
    </w:p>
    <w:p>
      <w:pPr>
        <w:rPr>
          <w:rFonts w:hint="eastAsia"/>
          <w:sz w:val="32"/>
          <w:szCs w:val="20"/>
          <w:lang w:val="en-US" w:eastAsia="zh-CN"/>
        </w:rPr>
      </w:pPr>
    </w:p>
    <w:p>
      <w:pPr>
        <w:pStyle w:val="2"/>
        <w:rPr>
          <w:rFonts w:hint="eastAsia"/>
          <w:sz w:val="32"/>
          <w:szCs w:val="20"/>
          <w:lang w:val="en-US" w:eastAsia="zh-CN"/>
        </w:rPr>
      </w:pPr>
    </w:p>
    <w:p>
      <w:pPr>
        <w:rPr>
          <w:rFonts w:hint="eastAsia"/>
          <w:sz w:val="32"/>
          <w:szCs w:val="20"/>
          <w:lang w:val="en-US" w:eastAsia="zh-CN"/>
        </w:rPr>
      </w:pPr>
    </w:p>
    <w:p>
      <w:pPr>
        <w:pStyle w:val="2"/>
        <w:rPr>
          <w:rFonts w:hint="eastAsia"/>
          <w:sz w:val="32"/>
          <w:szCs w:val="20"/>
          <w:lang w:val="en-US" w:eastAsia="zh-CN"/>
        </w:rPr>
      </w:pPr>
    </w:p>
    <w:p>
      <w:pPr>
        <w:rPr>
          <w:rFonts w:hint="eastAsia"/>
          <w:sz w:val="32"/>
          <w:szCs w:val="20"/>
          <w:lang w:val="en-US" w:eastAsia="zh-CN"/>
        </w:rPr>
      </w:pPr>
    </w:p>
    <w:p>
      <w:pPr>
        <w:pStyle w:val="2"/>
        <w:rPr>
          <w:rFonts w:hint="eastAsia"/>
          <w:sz w:val="32"/>
          <w:szCs w:val="20"/>
          <w:lang w:val="en-US" w:eastAsia="zh-CN"/>
        </w:rPr>
      </w:pPr>
    </w:p>
    <w:p>
      <w:pPr>
        <w:rPr>
          <w:rFonts w:hint="eastAsia"/>
          <w:sz w:val="32"/>
          <w:szCs w:val="20"/>
          <w:lang w:val="en-US" w:eastAsia="zh-CN"/>
        </w:rPr>
      </w:pPr>
    </w:p>
    <w:p>
      <w:pPr>
        <w:pStyle w:val="2"/>
        <w:rPr>
          <w:rFonts w:hint="eastAsia"/>
          <w:sz w:val="32"/>
          <w:szCs w:val="20"/>
          <w:lang w:val="en-US" w:eastAsia="zh-CN"/>
        </w:rPr>
      </w:pPr>
    </w:p>
    <w:p>
      <w:pPr>
        <w:rPr>
          <w:rFonts w:hint="eastAsia"/>
          <w:sz w:val="32"/>
          <w:szCs w:val="20"/>
          <w:lang w:val="en-US" w:eastAsia="zh-CN"/>
        </w:rPr>
      </w:pPr>
    </w:p>
    <w:p>
      <w:pPr>
        <w:pStyle w:val="2"/>
        <w:rPr>
          <w:rFonts w:hint="eastAsia"/>
          <w:sz w:val="32"/>
          <w:szCs w:val="20"/>
          <w:lang w:val="en-US" w:eastAsia="zh-CN"/>
        </w:rPr>
      </w:pPr>
    </w:p>
    <w:p>
      <w:pPr>
        <w:rPr>
          <w:rFonts w:hint="eastAsia"/>
          <w:sz w:val="32"/>
          <w:szCs w:val="20"/>
          <w:lang w:val="en-US" w:eastAsia="zh-CN"/>
        </w:rPr>
      </w:pPr>
    </w:p>
    <w:p>
      <w:pPr>
        <w:pStyle w:val="2"/>
        <w:rPr>
          <w:rFonts w:hint="eastAsia"/>
          <w:sz w:val="32"/>
          <w:szCs w:val="20"/>
          <w:lang w:val="en-US" w:eastAsia="zh-CN"/>
        </w:rPr>
      </w:pPr>
    </w:p>
    <w:p>
      <w:pPr>
        <w:rPr>
          <w:rFonts w:hint="eastAsia"/>
          <w:sz w:val="32"/>
          <w:szCs w:val="20"/>
          <w:lang w:val="en-US" w:eastAsia="zh-CN"/>
        </w:rPr>
      </w:pPr>
    </w:p>
    <w:p>
      <w:pPr>
        <w:pStyle w:val="2"/>
        <w:jc w:val="center"/>
        <w:rPr>
          <w:rFonts w:hint="eastAsia"/>
          <w:sz w:val="32"/>
          <w:szCs w:val="20"/>
          <w:lang w:val="en-US" w:eastAsia="zh-CN"/>
        </w:rPr>
      </w:pPr>
      <w:r>
        <w:rPr>
          <w:rFonts w:hint="eastAsia"/>
          <w:sz w:val="32"/>
          <w:szCs w:val="20"/>
          <w:lang w:val="en-US" w:eastAsia="zh-CN"/>
        </w:rPr>
        <w:t>阆中市航海加油站</w:t>
      </w:r>
    </w:p>
    <w:p>
      <w:pPr>
        <w:jc w:val="center"/>
        <w:rPr>
          <w:rFonts w:hint="eastAsia"/>
          <w:sz w:val="32"/>
          <w:szCs w:val="20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sz w:val="32"/>
          <w:szCs w:val="20"/>
          <w:lang w:val="en-US" w:eastAsia="zh-CN"/>
        </w:rPr>
        <w:t>2022年1月</w:t>
      </w:r>
    </w:p>
    <w:sdt>
      <w:sdtPr>
        <w:rPr>
          <w:rFonts w:ascii="宋体" w:hAnsi="宋体" w:eastAsia="宋体" w:cs="Times New Roman"/>
          <w:kern w:val="2"/>
          <w:sz w:val="21"/>
          <w:szCs w:val="24"/>
          <w:lang w:val="en-US" w:eastAsia="zh-CN" w:bidi="ar-SA"/>
        </w:rPr>
        <w:id w:val="147476681"/>
        <w15:color w:val="DBDBDB"/>
        <w:docPartObj>
          <w:docPartGallery w:val="Table of Contents"/>
          <w:docPartUnique/>
        </w:docPartObj>
      </w:sdtPr>
      <w:sdtEndPr>
        <w:rPr>
          <w:rFonts w:hint="eastAsia" w:ascii="Times New Roman" w:hAnsi="Times New Roman" w:eastAsia="宋体" w:cs="Times New Roman"/>
          <w:b/>
          <w:kern w:val="44"/>
          <w:sz w:val="44"/>
          <w:szCs w:val="28"/>
          <w:lang w:val="en-US" w:eastAsia="zh-CN" w:bidi="ar-SA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b/>
              <w:bCs/>
              <w:sz w:val="44"/>
              <w:szCs w:val="40"/>
            </w:rPr>
          </w:pPr>
          <w:r>
            <w:rPr>
              <w:rFonts w:ascii="宋体" w:hAnsi="宋体" w:eastAsia="宋体"/>
              <w:b/>
              <w:bCs/>
              <w:sz w:val="32"/>
              <w:szCs w:val="40"/>
            </w:rPr>
            <w:t>目</w:t>
          </w:r>
          <w:r>
            <w:rPr>
              <w:rFonts w:hint="eastAsia" w:ascii="宋体" w:hAnsi="宋体" w:eastAsia="宋体"/>
              <w:b/>
              <w:bCs/>
              <w:sz w:val="32"/>
              <w:szCs w:val="40"/>
              <w:lang w:val="en-US" w:eastAsia="zh-CN"/>
            </w:rPr>
            <w:t xml:space="preserve">   </w:t>
          </w:r>
          <w:r>
            <w:rPr>
              <w:rFonts w:ascii="宋体" w:hAnsi="宋体" w:eastAsia="宋体"/>
              <w:b/>
              <w:bCs/>
              <w:sz w:val="32"/>
              <w:szCs w:val="40"/>
            </w:rPr>
            <w:t>录</w:t>
          </w:r>
        </w:p>
        <w:p>
          <w:pPr>
            <w:pStyle w:val="7"/>
            <w:tabs>
              <w:tab w:val="right" w:leader="dot" w:pos="8306"/>
            </w:tabs>
            <w:rPr>
              <w:sz w:val="21"/>
              <w:szCs w:val="20"/>
            </w:rPr>
          </w:pPr>
          <w:r>
            <w:rPr>
              <w:rFonts w:hint="eastAsia"/>
              <w:sz w:val="28"/>
              <w:szCs w:val="28"/>
              <w:lang w:val="en-US" w:eastAsia="zh-CN"/>
            </w:rPr>
            <w:fldChar w:fldCharType="begin"/>
          </w:r>
          <w:r>
            <w:rPr>
              <w:rFonts w:hint="eastAsia"/>
              <w:sz w:val="28"/>
              <w:szCs w:val="28"/>
              <w:lang w:val="en-US" w:eastAsia="zh-CN"/>
            </w:rPr>
            <w:instrText xml:space="preserve">TOC \o "1-3" \h \u </w:instrText>
          </w:r>
          <w:r>
            <w:rPr>
              <w:rFonts w:hint="eastAsia"/>
              <w:sz w:val="28"/>
              <w:szCs w:val="28"/>
              <w:lang w:val="en-US" w:eastAsia="zh-CN"/>
            </w:rPr>
            <w:fldChar w:fldCharType="separate"/>
          </w:r>
          <w:r>
            <w:rPr>
              <w:rFonts w:hint="eastAsia"/>
              <w:sz w:val="21"/>
              <w:szCs w:val="21"/>
              <w:lang w:val="en-US" w:eastAsia="zh-CN"/>
            </w:rPr>
            <w:fldChar w:fldCharType="begin"/>
          </w:r>
          <w:r>
            <w:rPr>
              <w:rFonts w:hint="eastAsia"/>
              <w:sz w:val="21"/>
              <w:szCs w:val="21"/>
              <w:lang w:val="en-US" w:eastAsia="zh-CN"/>
            </w:rPr>
            <w:instrText xml:space="preserve"> HYPERLINK \l _Toc12415 </w:instrText>
          </w:r>
          <w:r>
            <w:rPr>
              <w:rFonts w:hint="eastAsia"/>
              <w:sz w:val="21"/>
              <w:szCs w:val="21"/>
              <w:lang w:val="en-US" w:eastAsia="zh-CN"/>
            </w:rPr>
            <w:fldChar w:fldCharType="separate"/>
          </w:r>
          <w:r>
            <w:rPr>
              <w:rFonts w:hint="eastAsia"/>
              <w:sz w:val="21"/>
              <w:szCs w:val="21"/>
              <w:lang w:val="en-US" w:eastAsia="zh-CN"/>
            </w:rPr>
            <w:t>一、加油操作规程</w:t>
          </w:r>
          <w:r>
            <w:rPr>
              <w:sz w:val="21"/>
              <w:szCs w:val="20"/>
            </w:rPr>
            <w:tab/>
          </w:r>
          <w:r>
            <w:rPr>
              <w:sz w:val="21"/>
              <w:szCs w:val="20"/>
            </w:rPr>
            <w:fldChar w:fldCharType="begin"/>
          </w:r>
          <w:r>
            <w:rPr>
              <w:sz w:val="21"/>
              <w:szCs w:val="20"/>
            </w:rPr>
            <w:instrText xml:space="preserve"> PAGEREF _Toc12415 \h </w:instrText>
          </w:r>
          <w:r>
            <w:rPr>
              <w:sz w:val="21"/>
              <w:szCs w:val="20"/>
            </w:rPr>
            <w:fldChar w:fldCharType="separate"/>
          </w:r>
          <w:r>
            <w:rPr>
              <w:sz w:val="21"/>
              <w:szCs w:val="20"/>
            </w:rPr>
            <w:t>- 1 -</w:t>
          </w:r>
          <w:r>
            <w:rPr>
              <w:sz w:val="21"/>
              <w:szCs w:val="20"/>
            </w:rPr>
            <w:fldChar w:fldCharType="end"/>
          </w:r>
          <w:r>
            <w:rPr>
              <w:rFonts w:hint="eastAsia"/>
              <w:sz w:val="21"/>
              <w:szCs w:val="21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  <w:rPr>
              <w:sz w:val="21"/>
              <w:szCs w:val="20"/>
            </w:rPr>
          </w:pPr>
          <w:r>
            <w:rPr>
              <w:rFonts w:hint="eastAsia"/>
              <w:sz w:val="21"/>
              <w:szCs w:val="21"/>
              <w:lang w:val="en-US" w:eastAsia="zh-CN"/>
            </w:rPr>
            <w:fldChar w:fldCharType="begin"/>
          </w:r>
          <w:r>
            <w:rPr>
              <w:rFonts w:hint="eastAsia"/>
              <w:sz w:val="21"/>
              <w:szCs w:val="21"/>
              <w:lang w:val="en-US" w:eastAsia="zh-CN"/>
            </w:rPr>
            <w:instrText xml:space="preserve"> HYPERLINK \l _Toc4661 </w:instrText>
          </w:r>
          <w:r>
            <w:rPr>
              <w:rFonts w:hint="eastAsia"/>
              <w:sz w:val="21"/>
              <w:szCs w:val="21"/>
              <w:lang w:val="en-US" w:eastAsia="zh-CN"/>
            </w:rPr>
            <w:fldChar w:fldCharType="separate"/>
          </w:r>
          <w:r>
            <w:rPr>
              <w:rFonts w:hint="eastAsia"/>
              <w:sz w:val="21"/>
              <w:szCs w:val="21"/>
              <w:lang w:val="en-US" w:eastAsia="zh-CN"/>
            </w:rPr>
            <w:t>二、卸油操作规程</w:t>
          </w:r>
          <w:r>
            <w:rPr>
              <w:sz w:val="21"/>
              <w:szCs w:val="20"/>
            </w:rPr>
            <w:tab/>
          </w:r>
          <w:r>
            <w:rPr>
              <w:sz w:val="21"/>
              <w:szCs w:val="20"/>
            </w:rPr>
            <w:fldChar w:fldCharType="begin"/>
          </w:r>
          <w:r>
            <w:rPr>
              <w:sz w:val="21"/>
              <w:szCs w:val="20"/>
            </w:rPr>
            <w:instrText xml:space="preserve"> PAGEREF _Toc4661 \h </w:instrText>
          </w:r>
          <w:r>
            <w:rPr>
              <w:sz w:val="21"/>
              <w:szCs w:val="20"/>
            </w:rPr>
            <w:fldChar w:fldCharType="separate"/>
          </w:r>
          <w:r>
            <w:rPr>
              <w:sz w:val="21"/>
              <w:szCs w:val="20"/>
            </w:rPr>
            <w:t>- 2 -</w:t>
          </w:r>
          <w:r>
            <w:rPr>
              <w:sz w:val="21"/>
              <w:szCs w:val="20"/>
            </w:rPr>
            <w:fldChar w:fldCharType="end"/>
          </w:r>
          <w:r>
            <w:rPr>
              <w:rFonts w:hint="eastAsia"/>
              <w:sz w:val="21"/>
              <w:szCs w:val="21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  <w:rPr>
              <w:sz w:val="21"/>
              <w:szCs w:val="20"/>
            </w:rPr>
          </w:pPr>
          <w:r>
            <w:rPr>
              <w:rFonts w:hint="eastAsia"/>
              <w:sz w:val="21"/>
              <w:szCs w:val="21"/>
              <w:lang w:val="en-US" w:eastAsia="zh-CN"/>
            </w:rPr>
            <w:fldChar w:fldCharType="begin"/>
          </w:r>
          <w:r>
            <w:rPr>
              <w:rFonts w:hint="eastAsia"/>
              <w:sz w:val="21"/>
              <w:szCs w:val="21"/>
              <w:lang w:val="en-US" w:eastAsia="zh-CN"/>
            </w:rPr>
            <w:instrText xml:space="preserve"> HYPERLINK \l _Toc8948 </w:instrText>
          </w:r>
          <w:r>
            <w:rPr>
              <w:rFonts w:hint="eastAsia"/>
              <w:sz w:val="21"/>
              <w:szCs w:val="21"/>
              <w:lang w:val="en-US" w:eastAsia="zh-CN"/>
            </w:rPr>
            <w:fldChar w:fldCharType="separate"/>
          </w:r>
          <w:r>
            <w:rPr>
              <w:rFonts w:hint="eastAsia"/>
              <w:sz w:val="21"/>
              <w:szCs w:val="21"/>
              <w:lang w:val="en-US" w:eastAsia="zh-CN"/>
            </w:rPr>
            <w:t>三、油气回收操作规程</w:t>
          </w:r>
          <w:r>
            <w:rPr>
              <w:sz w:val="21"/>
              <w:szCs w:val="20"/>
            </w:rPr>
            <w:tab/>
          </w:r>
          <w:r>
            <w:rPr>
              <w:sz w:val="21"/>
              <w:szCs w:val="20"/>
            </w:rPr>
            <w:fldChar w:fldCharType="begin"/>
          </w:r>
          <w:r>
            <w:rPr>
              <w:sz w:val="21"/>
              <w:szCs w:val="20"/>
            </w:rPr>
            <w:instrText xml:space="preserve"> PAGEREF _Toc8948 \h </w:instrText>
          </w:r>
          <w:r>
            <w:rPr>
              <w:sz w:val="21"/>
              <w:szCs w:val="20"/>
            </w:rPr>
            <w:fldChar w:fldCharType="separate"/>
          </w:r>
          <w:r>
            <w:rPr>
              <w:sz w:val="21"/>
              <w:szCs w:val="20"/>
            </w:rPr>
            <w:t>- 3 -</w:t>
          </w:r>
          <w:r>
            <w:rPr>
              <w:sz w:val="21"/>
              <w:szCs w:val="20"/>
            </w:rPr>
            <w:fldChar w:fldCharType="end"/>
          </w:r>
          <w:r>
            <w:rPr>
              <w:rFonts w:hint="eastAsia"/>
              <w:sz w:val="21"/>
              <w:szCs w:val="21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  <w:rPr>
              <w:sz w:val="21"/>
              <w:szCs w:val="20"/>
            </w:rPr>
          </w:pPr>
          <w:r>
            <w:rPr>
              <w:rFonts w:hint="eastAsia"/>
              <w:sz w:val="21"/>
              <w:szCs w:val="21"/>
              <w:lang w:val="en-US" w:eastAsia="zh-CN"/>
            </w:rPr>
            <w:fldChar w:fldCharType="begin"/>
          </w:r>
          <w:r>
            <w:rPr>
              <w:rFonts w:hint="eastAsia"/>
              <w:sz w:val="21"/>
              <w:szCs w:val="21"/>
              <w:lang w:val="en-US" w:eastAsia="zh-CN"/>
            </w:rPr>
            <w:instrText xml:space="preserve"> HYPERLINK \l _Toc8898 </w:instrText>
          </w:r>
          <w:r>
            <w:rPr>
              <w:rFonts w:hint="eastAsia"/>
              <w:sz w:val="21"/>
              <w:szCs w:val="21"/>
              <w:lang w:val="en-US" w:eastAsia="zh-CN"/>
            </w:rPr>
            <w:fldChar w:fldCharType="separate"/>
          </w:r>
          <w:r>
            <w:rPr>
              <w:rFonts w:hint="eastAsia"/>
              <w:sz w:val="21"/>
              <w:szCs w:val="21"/>
              <w:lang w:val="en-US" w:eastAsia="zh-CN"/>
            </w:rPr>
            <w:t>四、配电操作规程</w:t>
          </w:r>
          <w:r>
            <w:rPr>
              <w:sz w:val="21"/>
              <w:szCs w:val="20"/>
            </w:rPr>
            <w:tab/>
          </w:r>
          <w:r>
            <w:rPr>
              <w:sz w:val="21"/>
              <w:szCs w:val="20"/>
            </w:rPr>
            <w:fldChar w:fldCharType="begin"/>
          </w:r>
          <w:r>
            <w:rPr>
              <w:sz w:val="21"/>
              <w:szCs w:val="20"/>
            </w:rPr>
            <w:instrText xml:space="preserve"> PAGEREF _Toc8898 \h </w:instrText>
          </w:r>
          <w:r>
            <w:rPr>
              <w:sz w:val="21"/>
              <w:szCs w:val="20"/>
            </w:rPr>
            <w:fldChar w:fldCharType="separate"/>
          </w:r>
          <w:r>
            <w:rPr>
              <w:sz w:val="21"/>
              <w:szCs w:val="20"/>
            </w:rPr>
            <w:t>- 3 -</w:t>
          </w:r>
          <w:r>
            <w:rPr>
              <w:sz w:val="21"/>
              <w:szCs w:val="20"/>
            </w:rPr>
            <w:fldChar w:fldCharType="end"/>
          </w:r>
          <w:r>
            <w:rPr>
              <w:rFonts w:hint="eastAsia"/>
              <w:sz w:val="21"/>
              <w:szCs w:val="21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  <w:rPr>
              <w:sz w:val="21"/>
              <w:szCs w:val="20"/>
            </w:rPr>
          </w:pPr>
          <w:r>
            <w:rPr>
              <w:rFonts w:hint="eastAsia"/>
              <w:sz w:val="21"/>
              <w:szCs w:val="21"/>
              <w:lang w:val="en-US" w:eastAsia="zh-CN"/>
            </w:rPr>
            <w:fldChar w:fldCharType="begin"/>
          </w:r>
          <w:r>
            <w:rPr>
              <w:rFonts w:hint="eastAsia"/>
              <w:sz w:val="21"/>
              <w:szCs w:val="21"/>
              <w:lang w:val="en-US" w:eastAsia="zh-CN"/>
            </w:rPr>
            <w:instrText xml:space="preserve"> HYPERLINK \l _Toc21029 </w:instrText>
          </w:r>
          <w:r>
            <w:rPr>
              <w:rFonts w:hint="eastAsia"/>
              <w:sz w:val="21"/>
              <w:szCs w:val="21"/>
              <w:lang w:val="en-US" w:eastAsia="zh-CN"/>
            </w:rPr>
            <w:fldChar w:fldCharType="separate"/>
          </w:r>
          <w:r>
            <w:rPr>
              <w:rFonts w:hint="eastAsia"/>
              <w:sz w:val="21"/>
              <w:szCs w:val="21"/>
              <w:lang w:val="en-US" w:eastAsia="zh-CN"/>
            </w:rPr>
            <w:t>五、发电机操作规程</w:t>
          </w:r>
          <w:r>
            <w:rPr>
              <w:sz w:val="21"/>
              <w:szCs w:val="20"/>
            </w:rPr>
            <w:tab/>
          </w:r>
          <w:r>
            <w:rPr>
              <w:sz w:val="21"/>
              <w:szCs w:val="20"/>
            </w:rPr>
            <w:fldChar w:fldCharType="begin"/>
          </w:r>
          <w:r>
            <w:rPr>
              <w:sz w:val="21"/>
              <w:szCs w:val="20"/>
            </w:rPr>
            <w:instrText xml:space="preserve"> PAGEREF _Toc21029 \h </w:instrText>
          </w:r>
          <w:r>
            <w:rPr>
              <w:sz w:val="21"/>
              <w:szCs w:val="20"/>
            </w:rPr>
            <w:fldChar w:fldCharType="separate"/>
          </w:r>
          <w:r>
            <w:rPr>
              <w:sz w:val="21"/>
              <w:szCs w:val="20"/>
            </w:rPr>
            <w:t>- 4 -</w:t>
          </w:r>
          <w:r>
            <w:rPr>
              <w:sz w:val="21"/>
              <w:szCs w:val="20"/>
            </w:rPr>
            <w:fldChar w:fldCharType="end"/>
          </w:r>
          <w:r>
            <w:rPr>
              <w:rFonts w:hint="eastAsia"/>
              <w:sz w:val="21"/>
              <w:szCs w:val="21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  <w:rPr>
              <w:sz w:val="21"/>
              <w:szCs w:val="20"/>
            </w:rPr>
          </w:pPr>
          <w:r>
            <w:rPr>
              <w:rFonts w:hint="eastAsia"/>
              <w:sz w:val="21"/>
              <w:szCs w:val="21"/>
              <w:lang w:val="en-US" w:eastAsia="zh-CN"/>
            </w:rPr>
            <w:fldChar w:fldCharType="begin"/>
          </w:r>
          <w:r>
            <w:rPr>
              <w:rFonts w:hint="eastAsia"/>
              <w:sz w:val="21"/>
              <w:szCs w:val="21"/>
              <w:lang w:val="en-US" w:eastAsia="zh-CN"/>
            </w:rPr>
            <w:instrText xml:space="preserve"> HYPERLINK \l _Toc10444 </w:instrText>
          </w:r>
          <w:r>
            <w:rPr>
              <w:rFonts w:hint="eastAsia"/>
              <w:sz w:val="21"/>
              <w:szCs w:val="21"/>
              <w:lang w:val="en-US" w:eastAsia="zh-CN"/>
            </w:rPr>
            <w:fldChar w:fldCharType="separate"/>
          </w:r>
          <w:r>
            <w:rPr>
              <w:rFonts w:hint="eastAsia"/>
              <w:sz w:val="21"/>
              <w:szCs w:val="21"/>
              <w:lang w:val="en-US" w:eastAsia="zh-CN"/>
            </w:rPr>
            <w:t>六、清罐作业操作规程</w:t>
          </w:r>
          <w:r>
            <w:rPr>
              <w:sz w:val="21"/>
              <w:szCs w:val="20"/>
            </w:rPr>
            <w:tab/>
          </w:r>
          <w:r>
            <w:rPr>
              <w:sz w:val="21"/>
              <w:szCs w:val="20"/>
            </w:rPr>
            <w:fldChar w:fldCharType="begin"/>
          </w:r>
          <w:r>
            <w:rPr>
              <w:sz w:val="21"/>
              <w:szCs w:val="20"/>
            </w:rPr>
            <w:instrText xml:space="preserve"> PAGEREF _Toc10444 \h </w:instrText>
          </w:r>
          <w:r>
            <w:rPr>
              <w:sz w:val="21"/>
              <w:szCs w:val="20"/>
            </w:rPr>
            <w:fldChar w:fldCharType="separate"/>
          </w:r>
          <w:r>
            <w:rPr>
              <w:sz w:val="21"/>
              <w:szCs w:val="20"/>
            </w:rPr>
            <w:t>- 5 -</w:t>
          </w:r>
          <w:r>
            <w:rPr>
              <w:sz w:val="21"/>
              <w:szCs w:val="20"/>
            </w:rPr>
            <w:fldChar w:fldCharType="end"/>
          </w:r>
          <w:r>
            <w:rPr>
              <w:rFonts w:hint="eastAsia"/>
              <w:sz w:val="21"/>
              <w:szCs w:val="21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eastAsia"/>
              <w:sz w:val="21"/>
              <w:szCs w:val="21"/>
              <w:lang w:val="en-US" w:eastAsia="zh-CN"/>
            </w:rPr>
            <w:fldChar w:fldCharType="begin"/>
          </w:r>
          <w:r>
            <w:rPr>
              <w:rFonts w:hint="eastAsia"/>
              <w:sz w:val="21"/>
              <w:szCs w:val="21"/>
              <w:lang w:val="en-US" w:eastAsia="zh-CN"/>
            </w:rPr>
            <w:instrText xml:space="preserve"> HYPERLINK \l _Toc25300 </w:instrText>
          </w:r>
          <w:r>
            <w:rPr>
              <w:rFonts w:hint="eastAsia"/>
              <w:sz w:val="21"/>
              <w:szCs w:val="21"/>
              <w:lang w:val="en-US" w:eastAsia="zh-CN"/>
            </w:rPr>
            <w:fldChar w:fldCharType="separate"/>
          </w:r>
          <w:r>
            <w:rPr>
              <w:rFonts w:hint="eastAsia"/>
              <w:sz w:val="21"/>
              <w:szCs w:val="21"/>
              <w:lang w:val="en-US" w:eastAsia="zh-CN"/>
            </w:rPr>
            <w:t>六、检维修作业操作规程</w:t>
          </w:r>
          <w:r>
            <w:rPr>
              <w:sz w:val="21"/>
              <w:szCs w:val="20"/>
            </w:rPr>
            <w:tab/>
          </w:r>
          <w:r>
            <w:rPr>
              <w:sz w:val="21"/>
              <w:szCs w:val="20"/>
            </w:rPr>
            <w:fldChar w:fldCharType="begin"/>
          </w:r>
          <w:r>
            <w:rPr>
              <w:sz w:val="21"/>
              <w:szCs w:val="20"/>
            </w:rPr>
            <w:instrText xml:space="preserve"> PAGEREF _Toc25300 \h </w:instrText>
          </w:r>
          <w:r>
            <w:rPr>
              <w:sz w:val="21"/>
              <w:szCs w:val="20"/>
            </w:rPr>
            <w:fldChar w:fldCharType="separate"/>
          </w:r>
          <w:r>
            <w:rPr>
              <w:sz w:val="21"/>
              <w:szCs w:val="20"/>
            </w:rPr>
            <w:t>- 5 -</w:t>
          </w:r>
          <w:r>
            <w:rPr>
              <w:sz w:val="21"/>
              <w:szCs w:val="20"/>
            </w:rPr>
            <w:fldChar w:fldCharType="end"/>
          </w:r>
          <w:r>
            <w:rPr>
              <w:rFonts w:hint="eastAsia"/>
              <w:sz w:val="21"/>
              <w:szCs w:val="21"/>
              <w:lang w:val="en-US" w:eastAsia="zh-CN"/>
            </w:rPr>
            <w:fldChar w:fldCharType="end"/>
          </w:r>
        </w:p>
        <w:p>
          <w:pPr>
            <w:pStyle w:val="3"/>
            <w:keepNext/>
            <w:keepLines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 w:val="0"/>
            <w:spacing w:before="313" w:beforeLines="100" w:after="0" w:line="360" w:lineRule="auto"/>
            <w:jc w:val="center"/>
            <w:textAlignment w:val="auto"/>
            <w:rPr>
              <w:rFonts w:hint="eastAsia"/>
              <w:sz w:val="28"/>
              <w:szCs w:val="28"/>
              <w:lang w:val="en-US" w:eastAsia="zh-CN"/>
            </w:rPr>
            <w:sectPr>
              <w:pgSz w:w="11906" w:h="16838"/>
              <w:pgMar w:top="1440" w:right="1800" w:bottom="1440" w:left="1800" w:header="851" w:footer="992" w:gutter="0"/>
              <w:cols w:space="425" w:num="1"/>
              <w:docGrid w:type="lines" w:linePitch="312" w:charSpace="0"/>
            </w:sectPr>
          </w:pPr>
          <w:r>
            <w:rPr>
              <w:rFonts w:hint="eastAsia"/>
              <w:szCs w:val="28"/>
              <w:lang w:val="en-US" w:eastAsia="zh-CN"/>
            </w:rPr>
            <w:fldChar w:fldCharType="end"/>
          </w:r>
        </w:p>
      </w:sdtContent>
    </w:sdt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313" w:beforeLines="100" w:after="0" w:line="360" w:lineRule="auto"/>
        <w:jc w:val="center"/>
        <w:textAlignment w:val="auto"/>
        <w:rPr>
          <w:rFonts w:hint="eastAsia"/>
          <w:sz w:val="28"/>
          <w:szCs w:val="28"/>
          <w:lang w:val="en-US" w:eastAsia="zh-CN"/>
        </w:rPr>
      </w:pPr>
      <w:bookmarkStart w:id="1" w:name="_Toc12415"/>
      <w:r>
        <w:rPr>
          <w:rFonts w:hint="eastAsia"/>
          <w:sz w:val="28"/>
          <w:szCs w:val="28"/>
          <w:lang w:val="en-US" w:eastAsia="zh-CN"/>
        </w:rPr>
        <w:t>一、加油操作规程</w:t>
      </w:r>
      <w:bookmarkEnd w:id="1"/>
    </w:p>
    <w:p>
      <w:pPr>
        <w:spacing w:line="360" w:lineRule="auto"/>
        <w:ind w:left="72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1、准备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（1）当车辆驶入站时加油员主动引导车辆进入加油位置。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（2）车辆停稳，发动机熄火后，加油员应主动将油箱盖板油箱盖打开（带锁的可等顾客开锁后再行打开。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（3）将加油机泵回零，并请顾客确认。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2、加油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定量加油（微机加油）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A、根据顾客要求输入加油数据。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B、根据顾客要求的油品将对应的加油枪插入车辆油箱，明示顾客确认无误后打开加油枪进行加油。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C、加油完毕，加油员须对照加油机（显示屏）的显示值，请顾客确认所加品种、数量无误后，方可收回油枪。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D、把油箱盖拧紧，关上油箱盖板。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非定量加油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A、根据加油机（显示屏）的显示值，请顾客确认所加品种、数量无误后，方可收回油枪。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B、把油箱盖拧紧，关上油箱盖板。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3、结算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（1）收取现金时，加油员必须当面分辨真伪。发现假钞应拒收，并及时报告站（班）长处理。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（2）收取现金时必须按实找零。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（3）收取定点加油记帐卡（单）时，加油员与顾客双方共同签字确认，并收回本站留存记帐卡（单）。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4、清理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（1）加油、结算等程序完成后，使用文明用语，及时引导车辆离开加油岛。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（2）当继续有车辆来加油时，按上述程序进行加油操作。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（3）当暂时无车辆来站加油时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A、清理手中现金、记帐卡（单），及时上交银台。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B、做好加油机及加油岛区域的卫生。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313" w:beforeLines="100" w:after="0" w:line="360" w:lineRule="auto"/>
        <w:jc w:val="center"/>
        <w:textAlignment w:val="auto"/>
        <w:rPr>
          <w:rFonts w:hint="eastAsia"/>
          <w:sz w:val="28"/>
          <w:szCs w:val="28"/>
          <w:lang w:val="en-US" w:eastAsia="zh-CN"/>
        </w:rPr>
      </w:pPr>
      <w:bookmarkStart w:id="2" w:name="_Toc28744"/>
      <w:bookmarkStart w:id="3" w:name="_Toc1061"/>
      <w:bookmarkStart w:id="4" w:name="_Toc4661"/>
      <w:bookmarkStart w:id="5" w:name="_Toc25877"/>
      <w:r>
        <w:rPr>
          <w:rFonts w:hint="eastAsia"/>
          <w:sz w:val="28"/>
          <w:szCs w:val="28"/>
          <w:lang w:val="en-US" w:eastAsia="zh-CN"/>
        </w:rPr>
        <w:t>二、卸油操作规程</w:t>
      </w:r>
      <w:bookmarkEnd w:id="2"/>
      <w:bookmarkEnd w:id="3"/>
      <w:bookmarkEnd w:id="4"/>
      <w:bookmarkEnd w:id="5"/>
    </w:p>
    <w:p>
      <w:pPr>
        <w:spacing w:line="360" w:lineRule="auto"/>
        <w:ind w:left="72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1、准备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（1）送油罐车进站后，卸油员立即检查油罐车安全设施是否齐全有效，引导罐车至计量场地。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（2）连接静电接地线，按规定备好消防器材，将罐车静置15</w:t>
      </w:r>
      <w:r>
        <w:rPr>
          <w:rFonts w:hint="eastAsia" w:ascii="宋体" w:hAnsi="宋体"/>
          <w:bCs/>
          <w:sz w:val="24"/>
          <w:lang w:val="en-US" w:eastAsia="zh-CN"/>
        </w:rPr>
        <w:t>分钏</w:t>
      </w:r>
      <w:r>
        <w:rPr>
          <w:rFonts w:hint="eastAsia" w:ascii="宋体" w:hAnsi="宋体"/>
          <w:bCs/>
          <w:sz w:val="24"/>
        </w:rPr>
        <w:t>经计量后准备接卸。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2、验收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（1）卸油员会同驾驶员核对罐车油品交运单记载的品种、数量，检查确认罐车铅封是否完好。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（2）卸油员凳上罐车用玻璃试管抽样进行外观（颜色、气味等）检查，如油品质量异常，拒绝接卸。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（3）测量油高、水高，计算油品数量。当发现油品数量超过允许误差和定额损耗时，通知发货油库派计量员共同复测，复测结果记录在案，油品应予接卸，超耗待行处理。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（4）逐项填制进站油品核对单，由驾驶员、卸油员双方签字确认实收数量。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3、卸油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（1）核对卸油罐车与罐车所装品种是否相符。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（2）通过液位计或人工中间测量确认卸油罐的空容量，防止跑、冒油事故的发生。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（3）按工艺流程要求连接卸油管，做到接头结合紧密，卸油管理自然弯曲。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（4）检查确认油罐计量孔密闭良好。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（5）司机缓慢开启罐车卸油阀，卸油员集中精力监视、观察卸油管线、相关阀门、过滤器等设备的运行情况，随时准备可能发生的问题。同时，罐车司机不得远离现场。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（6）卸油完毕，卸油员凳上罐车确认油品卸净。关好阀门，拆卸油管，盖严罐口处的卸油帽，收回静电导线。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（7）引导油罐车离站。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4、卸后工作</w:t>
      </w:r>
    </w:p>
    <w:p>
      <w:pPr>
        <w:numPr>
          <w:ilvl w:val="1"/>
          <w:numId w:val="2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待罐内油面静止平稳后，通知加油员开机加油。</w:t>
      </w:r>
    </w:p>
    <w:p>
      <w:pPr>
        <w:numPr>
          <w:ilvl w:val="1"/>
          <w:numId w:val="2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将消防器材放回原位，整理好现场。</w:t>
      </w:r>
    </w:p>
    <w:p>
      <w:pPr>
        <w:numPr>
          <w:ilvl w:val="1"/>
          <w:numId w:val="2"/>
        </w:num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bCs/>
          <w:sz w:val="24"/>
        </w:rPr>
        <w:t>据进站油品核对单及油品交运单，填写进货验收登记表和分罐保管帐。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313" w:beforeLines="100" w:after="0" w:line="360" w:lineRule="auto"/>
        <w:jc w:val="center"/>
        <w:textAlignment w:val="auto"/>
        <w:rPr>
          <w:rFonts w:hint="eastAsia"/>
          <w:sz w:val="28"/>
          <w:szCs w:val="28"/>
          <w:lang w:val="en-US" w:eastAsia="zh-CN"/>
        </w:rPr>
      </w:pPr>
      <w:bookmarkStart w:id="6" w:name="_Toc26951"/>
      <w:bookmarkStart w:id="7" w:name="_Toc3109"/>
      <w:bookmarkStart w:id="8" w:name="_Toc20464"/>
      <w:bookmarkStart w:id="9" w:name="_Toc8948"/>
      <w:r>
        <w:rPr>
          <w:rFonts w:hint="eastAsia"/>
          <w:sz w:val="28"/>
          <w:szCs w:val="28"/>
          <w:lang w:val="en-US" w:eastAsia="zh-CN"/>
        </w:rPr>
        <w:t>三、油气回收操作规程</w:t>
      </w:r>
      <w:bookmarkEnd w:id="6"/>
      <w:bookmarkEnd w:id="7"/>
      <w:bookmarkEnd w:id="8"/>
      <w:bookmarkEnd w:id="9"/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  <w:lang w:val="en-US" w:eastAsia="zh-CN"/>
        </w:rPr>
        <w:t>1、</w:t>
      </w:r>
      <w:r>
        <w:rPr>
          <w:rFonts w:hint="eastAsia" w:ascii="宋体" w:hAnsi="宋体"/>
          <w:bCs/>
          <w:sz w:val="24"/>
        </w:rPr>
        <w:t>一次油气回收装置操作规程。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  <w:lang w:eastAsia="zh-CN"/>
        </w:rPr>
        <w:t>（</w:t>
      </w:r>
      <w:r>
        <w:rPr>
          <w:rFonts w:hint="eastAsia" w:ascii="宋体" w:hAnsi="宋体"/>
          <w:bCs/>
          <w:sz w:val="24"/>
          <w:lang w:val="en-US" w:eastAsia="zh-CN"/>
        </w:rPr>
        <w:t>1</w:t>
      </w:r>
      <w:r>
        <w:rPr>
          <w:rFonts w:hint="eastAsia" w:ascii="宋体" w:hAnsi="宋体"/>
          <w:bCs/>
          <w:sz w:val="24"/>
          <w:lang w:eastAsia="zh-CN"/>
        </w:rPr>
        <w:t>）</w:t>
      </w:r>
      <w:r>
        <w:rPr>
          <w:rFonts w:hint="eastAsia" w:ascii="宋体" w:hAnsi="宋体"/>
          <w:bCs/>
          <w:sz w:val="24"/>
        </w:rPr>
        <w:t>应先连接好卸油胶管和油气回收胶管，然后打开罐车油气回收阀门和卸油口油气回收阀门，再开启罐车卸油阀门卸油。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  <w:lang w:eastAsia="zh-CN"/>
        </w:rPr>
        <w:t>（</w:t>
      </w:r>
      <w:r>
        <w:rPr>
          <w:rFonts w:hint="eastAsia" w:ascii="宋体" w:hAnsi="宋体"/>
          <w:bCs/>
          <w:sz w:val="24"/>
          <w:lang w:val="en-US" w:eastAsia="zh-CN"/>
        </w:rPr>
        <w:t>2</w:t>
      </w:r>
      <w:r>
        <w:rPr>
          <w:rFonts w:hint="eastAsia" w:ascii="宋体" w:hAnsi="宋体"/>
          <w:bCs/>
          <w:sz w:val="24"/>
          <w:lang w:eastAsia="zh-CN"/>
        </w:rPr>
        <w:t>）</w:t>
      </w:r>
      <w:r>
        <w:rPr>
          <w:rFonts w:hint="eastAsia" w:ascii="宋体" w:hAnsi="宋体"/>
          <w:bCs/>
          <w:sz w:val="24"/>
        </w:rPr>
        <w:t>保持阻火器（帽）通气管下端的阀门处于关闭状态。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eastAsia="zh-CN"/>
        </w:rPr>
      </w:pPr>
      <w:r>
        <w:rPr>
          <w:rFonts w:hint="eastAsia" w:ascii="宋体" w:hAnsi="宋体"/>
          <w:bCs/>
          <w:sz w:val="24"/>
          <w:lang w:eastAsia="zh-CN"/>
        </w:rPr>
        <w:t>（</w:t>
      </w:r>
      <w:r>
        <w:rPr>
          <w:rFonts w:hint="eastAsia" w:ascii="宋体" w:hAnsi="宋体"/>
          <w:bCs/>
          <w:sz w:val="24"/>
          <w:lang w:val="en-US" w:eastAsia="zh-CN"/>
        </w:rPr>
        <w:t>3</w:t>
      </w:r>
      <w:r>
        <w:rPr>
          <w:rFonts w:hint="eastAsia" w:ascii="宋体" w:hAnsi="宋体"/>
          <w:bCs/>
          <w:sz w:val="24"/>
          <w:lang w:eastAsia="zh-CN"/>
        </w:rPr>
        <w:t>）</w:t>
      </w:r>
      <w:r>
        <w:rPr>
          <w:rFonts w:hint="eastAsia" w:ascii="宋体" w:hAnsi="宋体"/>
          <w:bCs/>
          <w:sz w:val="24"/>
        </w:rPr>
        <w:t>保持机械呼吸阀（pv阀）通气管下端的阀门处于开启状态</w:t>
      </w:r>
      <w:r>
        <w:rPr>
          <w:rFonts w:hint="eastAsia" w:ascii="宋体" w:hAnsi="宋体"/>
          <w:bCs/>
          <w:sz w:val="24"/>
          <w:lang w:eastAsia="zh-CN"/>
        </w:rPr>
        <w:t>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  <w:lang w:eastAsia="zh-CN"/>
        </w:rPr>
        <w:t>（</w:t>
      </w:r>
      <w:r>
        <w:rPr>
          <w:rFonts w:hint="eastAsia" w:ascii="宋体" w:hAnsi="宋体"/>
          <w:bCs/>
          <w:sz w:val="24"/>
          <w:lang w:val="en-US" w:eastAsia="zh-CN"/>
        </w:rPr>
        <w:t>4</w:t>
      </w:r>
      <w:r>
        <w:rPr>
          <w:rFonts w:hint="eastAsia" w:ascii="宋体" w:hAnsi="宋体"/>
          <w:bCs/>
          <w:sz w:val="24"/>
          <w:lang w:eastAsia="zh-CN"/>
        </w:rPr>
        <w:t>）</w:t>
      </w:r>
      <w:r>
        <w:rPr>
          <w:rFonts w:hint="eastAsia" w:ascii="宋体" w:hAnsi="宋体"/>
          <w:bCs/>
          <w:sz w:val="24"/>
        </w:rPr>
        <w:t>卸油结束时，先关闭罐车卸油阀门，再关闭罐车油气回收阀门和卸油口油气回收阀门，最后拆除油气回收胶管。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  <w:lang w:val="en-US" w:eastAsia="zh-CN"/>
        </w:rPr>
        <w:t>2、</w:t>
      </w:r>
      <w:r>
        <w:rPr>
          <w:rFonts w:hint="eastAsia" w:ascii="宋体" w:hAnsi="宋体"/>
          <w:bCs/>
          <w:sz w:val="24"/>
        </w:rPr>
        <w:t>二次油气回收装置操作规程。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  <w:lang w:eastAsia="zh-CN"/>
        </w:rPr>
        <w:t>（</w:t>
      </w:r>
      <w:r>
        <w:rPr>
          <w:rFonts w:hint="eastAsia" w:ascii="宋体" w:hAnsi="宋体"/>
          <w:bCs/>
          <w:sz w:val="24"/>
          <w:lang w:val="en-US" w:eastAsia="zh-CN"/>
        </w:rPr>
        <w:t>1</w:t>
      </w:r>
      <w:r>
        <w:rPr>
          <w:rFonts w:hint="eastAsia" w:ascii="宋体" w:hAnsi="宋体"/>
          <w:bCs/>
          <w:sz w:val="24"/>
          <w:lang w:eastAsia="zh-CN"/>
        </w:rPr>
        <w:t>）</w:t>
      </w:r>
      <w:r>
        <w:rPr>
          <w:rFonts w:hint="eastAsia" w:ascii="宋体" w:hAnsi="宋体"/>
          <w:bCs/>
          <w:sz w:val="24"/>
        </w:rPr>
        <w:t>保持阻火器（帽）通气管下端的阀门处于关闭状态。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  <w:lang w:eastAsia="zh-CN"/>
        </w:rPr>
        <w:t>（</w:t>
      </w:r>
      <w:r>
        <w:rPr>
          <w:rFonts w:hint="eastAsia" w:ascii="宋体" w:hAnsi="宋体"/>
          <w:bCs/>
          <w:sz w:val="24"/>
          <w:lang w:val="en-US" w:eastAsia="zh-CN"/>
        </w:rPr>
        <w:t>2</w:t>
      </w:r>
      <w:r>
        <w:rPr>
          <w:rFonts w:hint="eastAsia" w:ascii="宋体" w:hAnsi="宋体"/>
          <w:bCs/>
          <w:sz w:val="24"/>
          <w:lang w:eastAsia="zh-CN"/>
        </w:rPr>
        <w:t>）</w:t>
      </w:r>
      <w:r>
        <w:rPr>
          <w:rFonts w:hint="eastAsia" w:ascii="宋体" w:hAnsi="宋体"/>
          <w:bCs/>
          <w:sz w:val="24"/>
        </w:rPr>
        <w:t>保持机械呼吸阀（pv阀）通气管下端的阀门处于开启状态。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  <w:lang w:eastAsia="zh-CN"/>
        </w:rPr>
        <w:t>（</w:t>
      </w:r>
      <w:r>
        <w:rPr>
          <w:rFonts w:hint="eastAsia" w:ascii="宋体" w:hAnsi="宋体"/>
          <w:bCs/>
          <w:sz w:val="24"/>
          <w:lang w:val="en-US" w:eastAsia="zh-CN"/>
        </w:rPr>
        <w:t>3</w:t>
      </w:r>
      <w:r>
        <w:rPr>
          <w:rFonts w:hint="eastAsia" w:ascii="宋体" w:hAnsi="宋体"/>
          <w:bCs/>
          <w:sz w:val="24"/>
          <w:lang w:eastAsia="zh-CN"/>
        </w:rPr>
        <w:t>）</w:t>
      </w:r>
      <w:r>
        <w:rPr>
          <w:rFonts w:hint="eastAsia" w:ascii="宋体" w:hAnsi="宋体"/>
          <w:bCs/>
          <w:sz w:val="24"/>
        </w:rPr>
        <w:t>保持加油机内油气回收真空泵下端的阀门处于开启状态。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  <w:lang w:eastAsia="zh-CN"/>
        </w:rPr>
        <w:t>（</w:t>
      </w:r>
      <w:r>
        <w:rPr>
          <w:rFonts w:hint="eastAsia" w:ascii="宋体" w:hAnsi="宋体"/>
          <w:bCs/>
          <w:sz w:val="24"/>
          <w:lang w:val="en-US" w:eastAsia="zh-CN"/>
        </w:rPr>
        <w:t>4</w:t>
      </w:r>
      <w:r>
        <w:rPr>
          <w:rFonts w:hint="eastAsia" w:ascii="宋体" w:hAnsi="宋体"/>
          <w:bCs/>
          <w:sz w:val="24"/>
          <w:lang w:eastAsia="zh-CN"/>
        </w:rPr>
        <w:t>）</w:t>
      </w:r>
      <w:r>
        <w:rPr>
          <w:rFonts w:hint="eastAsia" w:ascii="宋体" w:hAnsi="宋体"/>
          <w:bCs/>
          <w:sz w:val="24"/>
        </w:rPr>
        <w:t>加油时油枪应由小挡位逐渐开至大档位。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  <w:lang w:eastAsia="zh-CN"/>
        </w:rPr>
        <w:t>（</w:t>
      </w:r>
      <w:r>
        <w:rPr>
          <w:rFonts w:hint="eastAsia" w:ascii="宋体" w:hAnsi="宋体"/>
          <w:bCs/>
          <w:sz w:val="24"/>
          <w:lang w:val="en-US" w:eastAsia="zh-CN"/>
        </w:rPr>
        <w:t>5</w:t>
      </w:r>
      <w:r>
        <w:rPr>
          <w:rFonts w:hint="eastAsia" w:ascii="宋体" w:hAnsi="宋体"/>
          <w:bCs/>
          <w:sz w:val="24"/>
          <w:lang w:eastAsia="zh-CN"/>
        </w:rPr>
        <w:t>）</w:t>
      </w:r>
      <w:r>
        <w:rPr>
          <w:rFonts w:hint="eastAsia" w:ascii="宋体" w:hAnsi="宋体"/>
          <w:bCs/>
          <w:sz w:val="24"/>
        </w:rPr>
        <w:t>将油枪枪管处的集气罩罩住汽车油箱口。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  <w:lang w:eastAsia="zh-CN"/>
        </w:rPr>
        <w:t>（</w:t>
      </w:r>
      <w:r>
        <w:rPr>
          <w:rFonts w:hint="eastAsia" w:ascii="宋体" w:hAnsi="宋体"/>
          <w:bCs/>
          <w:sz w:val="24"/>
          <w:lang w:val="en-US" w:eastAsia="zh-CN"/>
        </w:rPr>
        <w:t>6</w:t>
      </w:r>
      <w:r>
        <w:rPr>
          <w:rFonts w:hint="eastAsia" w:ascii="宋体" w:hAnsi="宋体"/>
          <w:bCs/>
          <w:sz w:val="24"/>
          <w:lang w:eastAsia="zh-CN"/>
        </w:rPr>
        <w:t>）</w:t>
      </w:r>
      <w:r>
        <w:rPr>
          <w:rFonts w:hint="eastAsia" w:ascii="宋体" w:hAnsi="宋体"/>
          <w:bCs/>
          <w:sz w:val="24"/>
        </w:rPr>
        <w:t>加油时将枪管口向下充分插入汽车油箱，加油过程中确保加油枪集气罩始终与油箱口保持密闭连接。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  <w:lang w:eastAsia="zh-CN"/>
        </w:rPr>
        <w:t>（</w:t>
      </w:r>
      <w:r>
        <w:rPr>
          <w:rFonts w:hint="eastAsia" w:ascii="宋体" w:hAnsi="宋体"/>
          <w:bCs/>
          <w:sz w:val="24"/>
          <w:lang w:val="en-US" w:eastAsia="zh-CN"/>
        </w:rPr>
        <w:t>7</w:t>
      </w:r>
      <w:r>
        <w:rPr>
          <w:rFonts w:hint="eastAsia" w:ascii="宋体" w:hAnsi="宋体"/>
          <w:bCs/>
          <w:sz w:val="24"/>
          <w:lang w:eastAsia="zh-CN"/>
        </w:rPr>
        <w:t>）</w:t>
      </w:r>
      <w:r>
        <w:rPr>
          <w:rFonts w:hint="eastAsia" w:ascii="宋体" w:hAnsi="宋体"/>
          <w:bCs/>
          <w:sz w:val="24"/>
        </w:rPr>
        <w:t>油枪自动跳停应立即停止向油箱加油。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  <w:lang w:eastAsia="zh-CN"/>
        </w:rPr>
        <w:t>（</w:t>
      </w:r>
      <w:r>
        <w:rPr>
          <w:rFonts w:hint="eastAsia" w:ascii="宋体" w:hAnsi="宋体"/>
          <w:bCs/>
          <w:sz w:val="24"/>
          <w:lang w:val="en-US" w:eastAsia="zh-CN"/>
        </w:rPr>
        <w:t>8</w:t>
      </w:r>
      <w:r>
        <w:rPr>
          <w:rFonts w:hint="eastAsia" w:ascii="宋体" w:hAnsi="宋体"/>
          <w:bCs/>
          <w:sz w:val="24"/>
          <w:lang w:eastAsia="zh-CN"/>
        </w:rPr>
        <w:t>）</w:t>
      </w:r>
      <w:r>
        <w:rPr>
          <w:rFonts w:hint="eastAsia" w:ascii="宋体" w:hAnsi="宋体"/>
          <w:bCs/>
          <w:sz w:val="24"/>
        </w:rPr>
        <w:t xml:space="preserve">加油完毕，等数秒钟后挂回油枪。                                                                                                                                                                                                           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  <w:lang w:eastAsia="zh-CN"/>
        </w:rPr>
        <w:t>（</w:t>
      </w:r>
      <w:r>
        <w:rPr>
          <w:rFonts w:hint="eastAsia" w:ascii="宋体" w:hAnsi="宋体"/>
          <w:bCs/>
          <w:sz w:val="24"/>
          <w:lang w:val="en-US" w:eastAsia="zh-CN"/>
        </w:rPr>
        <w:t>9</w:t>
      </w:r>
      <w:r>
        <w:rPr>
          <w:rFonts w:hint="eastAsia" w:ascii="宋体" w:hAnsi="宋体"/>
          <w:bCs/>
          <w:sz w:val="24"/>
          <w:lang w:eastAsia="zh-CN"/>
        </w:rPr>
        <w:t>）</w:t>
      </w:r>
      <w:r>
        <w:rPr>
          <w:rFonts w:hint="eastAsia" w:ascii="宋体" w:hAnsi="宋体"/>
          <w:bCs/>
          <w:sz w:val="24"/>
        </w:rPr>
        <w:t>盘整加油枪胶管。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313" w:beforeLines="100" w:after="0" w:line="360" w:lineRule="auto"/>
        <w:jc w:val="center"/>
        <w:textAlignment w:val="auto"/>
        <w:rPr>
          <w:rFonts w:hint="default"/>
          <w:sz w:val="28"/>
          <w:szCs w:val="28"/>
          <w:lang w:val="en-US" w:eastAsia="zh-CN"/>
        </w:rPr>
      </w:pPr>
      <w:bookmarkStart w:id="10" w:name="_Toc8898"/>
      <w:r>
        <w:rPr>
          <w:rFonts w:hint="eastAsia"/>
          <w:sz w:val="28"/>
          <w:szCs w:val="28"/>
          <w:lang w:val="en-US" w:eastAsia="zh-CN"/>
        </w:rPr>
        <w:t>四、配电操作规程</w:t>
      </w:r>
      <w:bookmarkEnd w:id="10"/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1、送电前检查各支路配电系统设备技术状况是否良好，保证在安全条件下供电。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2、配送电应站在绝缘垫上操作，送电操作顺序，先合总闸，后根据用户需要，逐个合闸；停电时顺序相反，每路开关必须挂有明显的是否送电标示牌。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3、电气设备在运行中应监听变压器声响，注意观察温升及仪表，设备的运行情况，发现跳闸事故，应查明原因，排除故障后再送电，并填写运行记录。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4、检查设备或电路时，必须切断外接电源，刀闸上挂“有人操作，严禁合闸”警告牌。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5、发生火警时，除消防用电外，应停止其余用电；遇雷雨大风时，视情况部分或全部停止供电。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6、值班时，应详细检查电盘上的保护装置和自动装置及动作指示器的位置，保持室内清洁。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313" w:beforeLines="100" w:after="0" w:line="360" w:lineRule="auto"/>
        <w:jc w:val="center"/>
        <w:textAlignment w:val="auto"/>
        <w:rPr>
          <w:rFonts w:hint="eastAsia"/>
          <w:sz w:val="28"/>
          <w:szCs w:val="28"/>
          <w:lang w:val="en-US" w:eastAsia="zh-CN"/>
        </w:rPr>
      </w:pPr>
      <w:bookmarkStart w:id="11" w:name="_Toc21029"/>
      <w:r>
        <w:rPr>
          <w:rFonts w:hint="eastAsia"/>
          <w:sz w:val="28"/>
          <w:szCs w:val="28"/>
          <w:lang w:val="en-US" w:eastAsia="zh-CN"/>
        </w:rPr>
        <w:t>五、发电机操作规程</w:t>
      </w:r>
      <w:bookmarkEnd w:id="11"/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 xml:space="preserve">1、开机前准备： 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（1） 检查接线是否牢固正确；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 xml:space="preserve">（2） 检查燃油箱内的存油是否够； 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 xml:space="preserve">（3） 打开燃油箱至柴油机燃油泵的开关，并用燃油手泵排除燃油系统内的空气； 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 xml:space="preserve">（4） 检查机油油位； 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 xml:space="preserve">（5） 检查水箱是否注满水； 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 xml:space="preserve">（6） 电压调节器应在最小位置，自动空气开关应处断路位置。 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2、开机步骤：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 xml:space="preserve">（1） 起动柴油机； 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（2） 柴油机起动后进行急速运行，并密切注意机油压力表的读数，如果压力表不指示应立即停机检查；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 xml:space="preserve">（3） 若机组低速运行正常，可将转速逐渐增加到中速，进行柴油机预热运转，当出水温度达到55℃，机油温度达到45℃时，将转速增至额定转速。 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（4） 若机器工作完全正常，合上开关屏的空气开关，然后逐渐增加负荷。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 xml:space="preserve"> 3、运转中的检查：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（1） 机组正常工作时电压应在400伏左右，电流应不大于额定电流频率应在50赫左右；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 xml:space="preserve">（2） 柴油机水温和油温及机油压力应在规定范围值内； 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 xml:space="preserve">（3） 不能让水、油或金属等杂物进入发电机内部； 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（4） 若机组出现异常现象，需立即断电、停机。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 xml:space="preserve"> 4、停机步骤：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 xml:space="preserve">（1） 逐渐卸去负荷，断开空气自动开关； 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 xml:space="preserve">（2） 在空载状况下，逐渐将转速降至中速，待柴油机水、油温降至70℃下时再行停机； 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 xml:space="preserve">（3） 清洁整个机组，并作下一次起动运转的准备。 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 xml:space="preserve">5、保养方法： 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 xml:space="preserve">（1） 清除附着机组表面的灰尘、水迹、油迹； 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 xml:space="preserve">（2） 每月检查机械连结件和紧固是否有松动现象，检查各运动件转动是否灵活； 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 xml:space="preserve">（3） 每周检查机油油位； 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（4） 发电机不用的情况下，每周起动一次，检查是否正常。</w:t>
      </w:r>
    </w:p>
    <w:p>
      <w:pPr>
        <w:pStyle w:val="2"/>
        <w:rPr>
          <w:rFonts w:hint="eastAsia" w:ascii="宋体" w:hAnsi="宋体"/>
          <w:bCs/>
          <w:sz w:val="24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313" w:beforeLines="100" w:after="0" w:line="360" w:lineRule="auto"/>
        <w:jc w:val="center"/>
        <w:textAlignment w:val="auto"/>
        <w:rPr>
          <w:rFonts w:hint="eastAsia"/>
          <w:sz w:val="28"/>
          <w:szCs w:val="28"/>
          <w:lang w:val="en-US" w:eastAsia="zh-CN"/>
        </w:rPr>
      </w:pPr>
      <w:bookmarkStart w:id="12" w:name="_Toc10444"/>
      <w:r>
        <w:rPr>
          <w:rFonts w:hint="eastAsia"/>
          <w:sz w:val="28"/>
          <w:szCs w:val="28"/>
          <w:lang w:val="en-US" w:eastAsia="zh-CN"/>
        </w:rPr>
        <w:t>六、清罐作业操作规程</w:t>
      </w:r>
      <w:bookmarkEnd w:id="12"/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1、每隔3-5年，应对油罐进行一次清洗。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2、对油罐进行清洗作业时，一班作业人员应在罐外。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3、作业程序：排空余油；拆断管线；用水冲洗；蒸汽吹扫；再次用水冲洗；排出或者抽吸污杂并以低压通风吹干。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4、蒸汽吹扫：使用温度65℃-70℃、压强0.25-0.6MPa的蒸汽通入罐底，管孔盖适度开启，通风6-8小时。蒸汽喷嘴应跨接并接地。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5、抽吸甲、乙类油品时，应使用手摇活塞泵。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6、抽吸污杂时，可用防暴电机驱动的真空泵或者往复泵。注意电机外壳接地，泵应距油罐3米以外。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7、油气测试应严格遵守有关的安全技术规定。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8、有条件的加油站可采用油罐清洗车进行油罐清洗。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313" w:beforeLines="100" w:after="0" w:line="360" w:lineRule="auto"/>
        <w:jc w:val="center"/>
        <w:textAlignment w:val="auto"/>
        <w:rPr>
          <w:rFonts w:hint="eastAsia"/>
          <w:sz w:val="28"/>
          <w:szCs w:val="28"/>
          <w:lang w:val="en-US" w:eastAsia="zh-CN"/>
        </w:rPr>
      </w:pPr>
      <w:bookmarkStart w:id="13" w:name="_Toc25300"/>
      <w:r>
        <w:rPr>
          <w:rFonts w:hint="eastAsia"/>
          <w:sz w:val="28"/>
          <w:szCs w:val="28"/>
          <w:lang w:val="en-US" w:eastAsia="zh-CN"/>
        </w:rPr>
        <w:t>六、检维修作业操作规程</w:t>
      </w:r>
      <w:bookmarkEnd w:id="13"/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1、检修前的准备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（1）设备检修作业开始前应办理《检修作业安全许可证》。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（2）根据设备检修项目要求，制定设备检修方案，落实检修人员、检修组织、安全措施。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（3）检修项目负责人须按检修方案的要求，组织检修任务人员到检修现场，交待清楚检修项目、任务、检修方案，并落实检修安全措施。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（4）检修项目负责人对检修安全工作负全面责任，并指定专人负责整个检修作业过程的安全工作。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（5）设备检修如须高处作业、动火进入设备内作业等，须按规定办理相应的安全作业证。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（6）设备的清洗、置换、交出由设备所在单位负责，设备清洗、置换后应有分析报告。检修项目负责人应会同设备技术人员、工艺技术人员检查并确认设备、工艺处理及盲板抽堵等符合检修安全要求。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2、检修前的安全教育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（1）检修前，必须对参加检修作业的人员进行安全教育。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（2）安全教育内容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①检修作业必须遵守的有关检修安全规章制度。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②检修作业现场和检修过程中可能存在或出现的不安全因素及对策。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③检修作业过程中个体防护用具和用品的正确佩带和使用。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④检修作业项目、任务、检修方案和检修安全措施。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3、检修前的安全检查和措施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（1）应对检修作业使用的脚手架、起重机械、电气焊用具、手持电动工具、扳手、管钳、锤子等各种工器具进行检查，凡不符合作业安全要求的工器具不得使用。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（2）应采取可靠的断电措施，切断需检修设备上的电器电源，并经启动复查确认无电后，在电源开关处挂上“禁止启动”的安全标志并加锁。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（3）对检修作业使用的气体防护器材、消防器材、通信设备、照明设备等器材设备应经专人检查，保证完好可靠，并合理放置。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（4）应对检修现场的爬梯、栏杆、平台、铁篦子、盖板等进行检查，保证安全可靠。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</w:p>
    <w:p/>
    <w:sectPr>
      <w:footerReference r:id="rId5" w:type="default"/>
      <w:pgSz w:w="11906" w:h="16838"/>
      <w:pgMar w:top="1440" w:right="1800" w:bottom="1440" w:left="1800" w:header="851" w:footer="992" w:gutter="0"/>
      <w:pgNumType w:fmt="numberInDash" w:start="1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经典长宋简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A019E2"/>
    <w:multiLevelType w:val="multilevel"/>
    <w:tmpl w:val="46A019E2"/>
    <w:lvl w:ilvl="0" w:tentative="0">
      <w:start w:val="1"/>
      <w:numFmt w:val="decimal"/>
      <w:lvlText w:val="（%1）"/>
      <w:lvlJc w:val="left"/>
      <w:pPr>
        <w:ind w:left="128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4FC90FCD"/>
    <w:multiLevelType w:val="multilevel"/>
    <w:tmpl w:val="4FC90FCD"/>
    <w:lvl w:ilvl="0" w:tentative="0">
      <w:start w:val="1"/>
      <w:numFmt w:val="decimal"/>
      <w:lvlText w:val="%1、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 w:tentative="0">
      <w:start w:val="1"/>
      <w:numFmt w:val="decimal"/>
      <w:lvlText w:val="（%2）"/>
      <w:lvlJc w:val="left"/>
      <w:pPr>
        <w:tabs>
          <w:tab w:val="left" w:pos="1140"/>
        </w:tabs>
        <w:ind w:left="1140" w:hanging="7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D44130"/>
    <w:rsid w:val="00861DAB"/>
    <w:rsid w:val="09B41D25"/>
    <w:rsid w:val="0B41524D"/>
    <w:rsid w:val="0CD44130"/>
    <w:rsid w:val="13142D20"/>
    <w:rsid w:val="1BCA4DEA"/>
    <w:rsid w:val="1DEA1774"/>
    <w:rsid w:val="1F220A99"/>
    <w:rsid w:val="23177788"/>
    <w:rsid w:val="302D6455"/>
    <w:rsid w:val="372223AA"/>
    <w:rsid w:val="3B9D4728"/>
    <w:rsid w:val="49E862B8"/>
    <w:rsid w:val="4B865D88"/>
    <w:rsid w:val="4B890BE6"/>
    <w:rsid w:val="54640C31"/>
    <w:rsid w:val="5531145B"/>
    <w:rsid w:val="58A02B51"/>
    <w:rsid w:val="5EE035AA"/>
    <w:rsid w:val="76013976"/>
    <w:rsid w:val="782A3DBC"/>
    <w:rsid w:val="7B663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napToGrid w:val="0"/>
      <w:spacing w:line="360" w:lineRule="auto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unhideWhenUsed/>
    <w:qFormat/>
    <w:uiPriority w:val="0"/>
  </w:style>
  <w:style w:type="paragraph" w:styleId="5">
    <w:name w:val="footer"/>
    <w:basedOn w:val="1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toc 1"/>
    <w:basedOn w:val="1"/>
    <w:next w:val="1"/>
    <w:qFormat/>
    <w:uiPriority w:val="0"/>
  </w:style>
  <w:style w:type="paragraph" w:styleId="8">
    <w:name w:val="Normal (Web)"/>
    <w:basedOn w:val="1"/>
    <w:uiPriority w:val="0"/>
    <w:rPr>
      <w:sz w:val="24"/>
    </w:rPr>
  </w:style>
  <w:style w:type="character" w:styleId="11">
    <w:name w:val="page number"/>
    <w:basedOn w:val="10"/>
    <w:qFormat/>
    <w:uiPriority w:val="99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3700</Words>
  <Characters>3737</Characters>
  <Lines>0</Lines>
  <Paragraphs>0</Paragraphs>
  <TotalTime>0</TotalTime>
  <ScaleCrop>false</ScaleCrop>
  <LinksUpToDate>false</LinksUpToDate>
  <CharactersWithSpaces>4083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2022-03-24T15:07:00Z</dcterms:created>
  <dc:creator>闲云清烟</dc:creator>
  <cp:lastModifiedBy>喜乐</cp:lastModifiedBy>
  <dcterms:modified xsi:type="dcterms:W3CDTF">2023-05-18T10:20:25Z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1B7C5071E5964B7EA62DF54DAF57DC17</vt:lpwstr>
  </property>
</Properties>
</file>