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00" w:lineRule="exact"/>
        <w:jc w:val="center"/>
        <w:rPr>
          <w:rFonts w:asciiTheme="majorEastAsia" w:hAnsiTheme="majorEastAsia" w:eastAsiaTheme="majorEastAsia"/>
          <w:b/>
          <w:bCs/>
          <w:sz w:val="10"/>
          <w:szCs w:val="10"/>
        </w:rPr>
      </w:pPr>
    </w:p>
    <w:p>
      <w:pPr>
        <w:spacing w:line="480" w:lineRule="exact"/>
        <w:jc w:val="center"/>
        <w:rPr>
          <w:rFonts w:asciiTheme="majorEastAsia" w:hAnsiTheme="majorEastAsia" w:eastAsiaTheme="majorEastAsia"/>
          <w:b/>
          <w:bCs/>
          <w:sz w:val="44"/>
          <w:szCs w:val="21"/>
        </w:rPr>
      </w:pPr>
      <w:r>
        <w:rPr>
          <w:rFonts w:hint="eastAsia" w:asciiTheme="majorEastAsia" w:hAnsiTheme="majorEastAsia" w:eastAsiaTheme="majorEastAsia"/>
          <w:b/>
          <w:bCs/>
          <w:sz w:val="44"/>
          <w:szCs w:val="21"/>
        </w:rPr>
        <w:t>高</w:t>
      </w:r>
      <w:r>
        <w:rPr>
          <w:rFonts w:hint="eastAsia" w:asciiTheme="majorEastAsia" w:hAnsiTheme="majorEastAsia" w:eastAsiaTheme="majorEastAsia"/>
          <w:b/>
          <w:bCs/>
          <w:sz w:val="44"/>
          <w:szCs w:val="21"/>
          <w:lang w:eastAsia="zh-CN"/>
        </w:rPr>
        <w:t>危</w:t>
      </w:r>
      <w:r>
        <w:rPr>
          <w:rFonts w:hint="eastAsia" w:asciiTheme="majorEastAsia" w:hAnsiTheme="majorEastAsia" w:eastAsiaTheme="majorEastAsia"/>
          <w:b/>
          <w:bCs/>
          <w:sz w:val="44"/>
          <w:szCs w:val="21"/>
        </w:rPr>
        <w:t>作业控制程序</w:t>
      </w:r>
    </w:p>
    <w:p>
      <w:pPr>
        <w:jc w:val="left"/>
        <w:rPr>
          <w:rFonts w:asciiTheme="majorEastAsia" w:hAnsiTheme="majorEastAsia" w:eastAsiaTheme="majorEastAsia"/>
          <w:b/>
          <w:sz w:val="10"/>
          <w:szCs w:val="10"/>
        </w:rPr>
      </w:pPr>
    </w:p>
    <w:p>
      <w:pPr>
        <w:pStyle w:val="11"/>
        <w:numPr>
          <w:ilvl w:val="0"/>
          <w:numId w:val="1"/>
        </w:numPr>
        <w:spacing w:line="360" w:lineRule="auto"/>
        <w:ind w:firstLineChars="0"/>
        <w:rPr>
          <w:rFonts w:asciiTheme="majorEastAsia" w:hAnsiTheme="majorEastAsia" w:eastAsiaTheme="majorEastAsia"/>
          <w:b/>
          <w:sz w:val="24"/>
        </w:rPr>
      </w:pPr>
      <w:r>
        <w:rPr>
          <w:rFonts w:hint="eastAsia" w:asciiTheme="majorEastAsia" w:hAnsiTheme="majorEastAsia" w:eastAsiaTheme="majorEastAsia"/>
          <w:b/>
          <w:sz w:val="24"/>
        </w:rPr>
        <w:t>目的</w:t>
      </w:r>
    </w:p>
    <w:p>
      <w:pPr>
        <w:pStyle w:val="11"/>
        <w:spacing w:line="360" w:lineRule="auto"/>
        <w:ind w:left="720" w:firstLine="0" w:firstLineChars="0"/>
        <w:rPr>
          <w:rFonts w:asciiTheme="majorEastAsia" w:hAnsiTheme="majorEastAsia" w:eastAsiaTheme="majorEastAsia"/>
          <w:b/>
          <w:sz w:val="24"/>
        </w:rPr>
      </w:pPr>
      <w:r>
        <w:rPr>
          <w:rFonts w:hint="eastAsia" w:asciiTheme="majorEastAsia" w:hAnsiTheme="majorEastAsia" w:eastAsiaTheme="majorEastAsia"/>
          <w:color w:val="000000"/>
          <w:sz w:val="24"/>
        </w:rPr>
        <w:t>为了</w:t>
      </w:r>
      <w:r>
        <w:rPr>
          <w:rFonts w:hint="eastAsia" w:cs="宋体" w:asciiTheme="majorEastAsia" w:hAnsiTheme="majorEastAsia" w:eastAsiaTheme="majorEastAsia"/>
          <w:sz w:val="24"/>
          <w:szCs w:val="21"/>
        </w:rPr>
        <w:t>加强高危险作业的安全管理，减少事故隐患，保证员工及外来人员的人身安全。</w:t>
      </w:r>
    </w:p>
    <w:p>
      <w:pPr>
        <w:spacing w:line="360" w:lineRule="auto"/>
        <w:rPr>
          <w:rFonts w:asciiTheme="majorEastAsia" w:hAnsiTheme="majorEastAsia" w:eastAsiaTheme="majorEastAsia"/>
          <w:b/>
          <w:color w:val="000000"/>
          <w:sz w:val="24"/>
        </w:rPr>
      </w:pPr>
      <w:r>
        <w:rPr>
          <w:rFonts w:hint="eastAsia" w:asciiTheme="majorEastAsia" w:hAnsiTheme="majorEastAsia" w:eastAsiaTheme="majorEastAsia"/>
          <w:b/>
          <w:color w:val="000000"/>
          <w:sz w:val="24"/>
        </w:rPr>
        <w:t>二、适用范围</w:t>
      </w:r>
    </w:p>
    <w:p>
      <w:pPr>
        <w:spacing w:line="360" w:lineRule="auto"/>
        <w:ind w:firstLine="480" w:firstLineChars="200"/>
        <w:rPr>
          <w:rFonts w:asciiTheme="majorEastAsia" w:hAnsiTheme="majorEastAsia" w:eastAsiaTheme="majorEastAsia"/>
          <w:sz w:val="24"/>
        </w:rPr>
      </w:pPr>
      <w:r>
        <w:rPr>
          <w:rFonts w:hint="eastAsia" w:asciiTheme="majorEastAsia" w:hAnsiTheme="majorEastAsia" w:eastAsiaTheme="majorEastAsia"/>
          <w:sz w:val="24"/>
        </w:rPr>
        <w:t>适用于</w:t>
      </w:r>
      <w:r>
        <w:rPr>
          <w:rFonts w:hint="eastAsia" w:asciiTheme="majorEastAsia" w:hAnsiTheme="majorEastAsia" w:eastAsiaTheme="majorEastAsia"/>
          <w:sz w:val="24"/>
          <w:lang w:eastAsia="zh-CN"/>
        </w:rPr>
        <w:t>南充仁和春天</w:t>
      </w:r>
      <w:r>
        <w:rPr>
          <w:rFonts w:hint="eastAsia" w:asciiTheme="majorEastAsia" w:hAnsiTheme="majorEastAsia" w:eastAsiaTheme="majorEastAsia"/>
          <w:bCs/>
          <w:sz w:val="24"/>
        </w:rPr>
        <w:t>广场物业</w:t>
      </w:r>
      <w:r>
        <w:rPr>
          <w:rFonts w:hint="eastAsia" w:asciiTheme="majorEastAsia" w:hAnsiTheme="majorEastAsia" w:eastAsiaTheme="majorEastAsia"/>
          <w:bCs/>
          <w:sz w:val="24"/>
          <w:lang w:eastAsia="zh-CN"/>
        </w:rPr>
        <w:t>安防</w:t>
      </w:r>
      <w:r>
        <w:rPr>
          <w:rFonts w:hint="eastAsia" w:asciiTheme="majorEastAsia" w:hAnsiTheme="majorEastAsia" w:eastAsiaTheme="majorEastAsia"/>
          <w:sz w:val="24"/>
        </w:rPr>
        <w:t>部</w:t>
      </w:r>
    </w:p>
    <w:p>
      <w:pPr>
        <w:spacing w:line="360" w:lineRule="auto"/>
        <w:rPr>
          <w:rFonts w:asciiTheme="majorEastAsia" w:hAnsiTheme="majorEastAsia" w:eastAsiaTheme="majorEastAsia"/>
          <w:b/>
          <w:sz w:val="24"/>
        </w:rPr>
      </w:pPr>
      <w:r>
        <w:rPr>
          <w:rFonts w:hint="eastAsia" w:asciiTheme="majorEastAsia" w:hAnsiTheme="majorEastAsia" w:eastAsiaTheme="majorEastAsia"/>
          <w:b/>
          <w:sz w:val="24"/>
        </w:rPr>
        <w:t>三、流程规则：</w:t>
      </w:r>
    </w:p>
    <w:p>
      <w:pPr>
        <w:pStyle w:val="11"/>
        <w:numPr>
          <w:ilvl w:val="0"/>
          <w:numId w:val="2"/>
        </w:numPr>
        <w:snapToGrid w:val="0"/>
        <w:spacing w:line="360" w:lineRule="auto"/>
        <w:ind w:firstLineChars="0"/>
        <w:rPr>
          <w:rFonts w:asciiTheme="majorEastAsia" w:hAnsiTheme="majorEastAsia" w:eastAsiaTheme="majorEastAsia"/>
          <w:b/>
          <w:bCs/>
          <w:sz w:val="24"/>
          <w:szCs w:val="21"/>
        </w:rPr>
      </w:pPr>
      <w:r>
        <w:rPr>
          <w:rFonts w:hint="eastAsia" w:cs="宋体" w:asciiTheme="majorEastAsia" w:hAnsiTheme="majorEastAsia" w:eastAsiaTheme="majorEastAsia"/>
          <w:b/>
          <w:kern w:val="0"/>
          <w:sz w:val="24"/>
          <w:szCs w:val="21"/>
        </w:rPr>
        <w:t>申报高危作业方案与作业资质</w:t>
      </w:r>
    </w:p>
    <w:p>
      <w:pPr>
        <w:pStyle w:val="11"/>
        <w:numPr>
          <w:ilvl w:val="0"/>
          <w:numId w:val="3"/>
        </w:numPr>
        <w:snapToGrid w:val="0"/>
        <w:spacing w:line="360" w:lineRule="auto"/>
        <w:ind w:left="851" w:hanging="425" w:firstLineChars="0"/>
        <w:rPr>
          <w:rFonts w:asciiTheme="majorEastAsia" w:hAnsiTheme="majorEastAsia" w:eastAsiaTheme="majorEastAsia"/>
          <w:bCs/>
          <w:sz w:val="24"/>
          <w:szCs w:val="21"/>
        </w:rPr>
      </w:pPr>
      <w:r>
        <w:rPr>
          <w:rFonts w:hint="eastAsia" w:cs="宋体" w:asciiTheme="majorEastAsia" w:hAnsiTheme="majorEastAsia" w:eastAsiaTheme="majorEastAsia"/>
          <w:kern w:val="0"/>
          <w:sz w:val="24"/>
          <w:szCs w:val="21"/>
        </w:rPr>
        <w:t>根据危险作业定义进行申报作业方案与作业资质，并提供作业方案与作业人员的资质，如特种作业操作证等。外包作业必须提供施工单位的作业资质证明材料。</w:t>
      </w:r>
    </w:p>
    <w:p>
      <w:pPr>
        <w:pStyle w:val="11"/>
        <w:widowControl/>
        <w:numPr>
          <w:ilvl w:val="0"/>
          <w:numId w:val="3"/>
        </w:numPr>
        <w:spacing w:line="360" w:lineRule="auto"/>
        <w:ind w:left="851" w:hanging="425" w:firstLineChars="0"/>
        <w:rPr>
          <w:rFonts w:cs="宋体" w:asciiTheme="majorEastAsia" w:hAnsiTheme="majorEastAsia" w:eastAsiaTheme="majorEastAsia"/>
          <w:kern w:val="0"/>
          <w:sz w:val="24"/>
          <w:szCs w:val="21"/>
        </w:rPr>
      </w:pPr>
      <w:r>
        <w:rPr>
          <w:rFonts w:hint="eastAsia" w:cs="宋体" w:asciiTheme="majorEastAsia" w:hAnsiTheme="majorEastAsia" w:eastAsiaTheme="majorEastAsia"/>
          <w:kern w:val="0"/>
          <w:sz w:val="24"/>
          <w:szCs w:val="21"/>
        </w:rPr>
        <w:t>作业实施部门制定作业施工方案及周密的安全措施。其内容包括：</w:t>
      </w:r>
    </w:p>
    <w:p>
      <w:pPr>
        <w:pStyle w:val="11"/>
        <w:widowControl/>
        <w:numPr>
          <w:ilvl w:val="0"/>
          <w:numId w:val="4"/>
        </w:numPr>
        <w:spacing w:line="360" w:lineRule="auto"/>
        <w:ind w:left="851" w:firstLineChars="0"/>
        <w:rPr>
          <w:rFonts w:cs="宋体" w:asciiTheme="majorEastAsia" w:hAnsiTheme="majorEastAsia" w:eastAsiaTheme="majorEastAsia"/>
          <w:kern w:val="0"/>
          <w:sz w:val="24"/>
          <w:szCs w:val="21"/>
        </w:rPr>
      </w:pPr>
      <w:r>
        <w:rPr>
          <w:rFonts w:hint="eastAsia" w:cs="宋体" w:asciiTheme="majorEastAsia" w:hAnsiTheme="majorEastAsia" w:eastAsiaTheme="majorEastAsia"/>
          <w:kern w:val="0"/>
          <w:sz w:val="24"/>
          <w:szCs w:val="21"/>
        </w:rPr>
        <w:t>作业概况；</w:t>
      </w:r>
    </w:p>
    <w:p>
      <w:pPr>
        <w:pStyle w:val="11"/>
        <w:widowControl/>
        <w:numPr>
          <w:ilvl w:val="0"/>
          <w:numId w:val="4"/>
        </w:numPr>
        <w:spacing w:line="360" w:lineRule="auto"/>
        <w:ind w:left="851" w:firstLineChars="0"/>
        <w:rPr>
          <w:rFonts w:cs="宋体" w:asciiTheme="majorEastAsia" w:hAnsiTheme="majorEastAsia" w:eastAsiaTheme="majorEastAsia"/>
          <w:kern w:val="0"/>
          <w:sz w:val="24"/>
          <w:szCs w:val="21"/>
        </w:rPr>
      </w:pPr>
      <w:r>
        <w:rPr>
          <w:rFonts w:hint="eastAsia" w:cs="宋体" w:asciiTheme="majorEastAsia" w:hAnsiTheme="majorEastAsia" w:eastAsiaTheme="majorEastAsia"/>
          <w:kern w:val="0"/>
          <w:sz w:val="24"/>
          <w:szCs w:val="21"/>
        </w:rPr>
        <w:t>作业内容、地点、时间；</w:t>
      </w:r>
    </w:p>
    <w:p>
      <w:pPr>
        <w:pStyle w:val="11"/>
        <w:widowControl/>
        <w:numPr>
          <w:ilvl w:val="0"/>
          <w:numId w:val="4"/>
        </w:numPr>
        <w:spacing w:line="360" w:lineRule="auto"/>
        <w:ind w:left="851" w:firstLineChars="0"/>
        <w:rPr>
          <w:rFonts w:cs="宋体" w:asciiTheme="majorEastAsia" w:hAnsiTheme="majorEastAsia" w:eastAsiaTheme="majorEastAsia"/>
          <w:kern w:val="0"/>
          <w:sz w:val="24"/>
          <w:szCs w:val="21"/>
        </w:rPr>
      </w:pPr>
      <w:r>
        <w:rPr>
          <w:rFonts w:hint="eastAsia" w:cs="宋体" w:asciiTheme="majorEastAsia" w:hAnsiTheme="majorEastAsia" w:eastAsiaTheme="majorEastAsia"/>
          <w:kern w:val="0"/>
          <w:sz w:val="24"/>
          <w:szCs w:val="21"/>
        </w:rPr>
        <w:t>作业组织机构；</w:t>
      </w:r>
    </w:p>
    <w:p>
      <w:pPr>
        <w:pStyle w:val="11"/>
        <w:widowControl/>
        <w:numPr>
          <w:ilvl w:val="0"/>
          <w:numId w:val="4"/>
        </w:numPr>
        <w:spacing w:line="360" w:lineRule="auto"/>
        <w:ind w:left="851" w:firstLineChars="0"/>
        <w:rPr>
          <w:rFonts w:cs="宋体" w:asciiTheme="majorEastAsia" w:hAnsiTheme="majorEastAsia" w:eastAsiaTheme="majorEastAsia"/>
          <w:kern w:val="0"/>
          <w:sz w:val="24"/>
          <w:szCs w:val="21"/>
        </w:rPr>
      </w:pPr>
      <w:r>
        <w:rPr>
          <w:rFonts w:hint="eastAsia" w:cs="宋体" w:asciiTheme="majorEastAsia" w:hAnsiTheme="majorEastAsia" w:eastAsiaTheme="majorEastAsia"/>
          <w:kern w:val="0"/>
          <w:sz w:val="24"/>
          <w:szCs w:val="21"/>
        </w:rPr>
        <w:t>作业的具体实施步骤及各实施步骤责任人；</w:t>
      </w:r>
    </w:p>
    <w:p>
      <w:pPr>
        <w:pStyle w:val="11"/>
        <w:widowControl/>
        <w:numPr>
          <w:ilvl w:val="0"/>
          <w:numId w:val="4"/>
        </w:numPr>
        <w:spacing w:line="360" w:lineRule="auto"/>
        <w:ind w:left="851" w:firstLineChars="0"/>
        <w:rPr>
          <w:rFonts w:cs="宋体" w:asciiTheme="majorEastAsia" w:hAnsiTheme="majorEastAsia" w:eastAsiaTheme="majorEastAsia"/>
          <w:kern w:val="0"/>
          <w:sz w:val="24"/>
          <w:szCs w:val="21"/>
        </w:rPr>
      </w:pPr>
      <w:r>
        <w:rPr>
          <w:rFonts w:hint="eastAsia" w:cs="宋体" w:asciiTheme="majorEastAsia" w:hAnsiTheme="majorEastAsia" w:eastAsiaTheme="majorEastAsia"/>
          <w:kern w:val="0"/>
          <w:sz w:val="24"/>
          <w:szCs w:val="21"/>
        </w:rPr>
        <w:t>作业安全技术措施（包括作业过程中突发事故的应急措施等）；</w:t>
      </w:r>
    </w:p>
    <w:p>
      <w:pPr>
        <w:pStyle w:val="11"/>
        <w:widowControl/>
        <w:numPr>
          <w:ilvl w:val="0"/>
          <w:numId w:val="4"/>
        </w:numPr>
        <w:spacing w:line="360" w:lineRule="auto"/>
        <w:ind w:left="851" w:firstLineChars="0"/>
        <w:rPr>
          <w:rFonts w:cs="宋体" w:asciiTheme="majorEastAsia" w:hAnsiTheme="majorEastAsia" w:eastAsiaTheme="majorEastAsia"/>
          <w:kern w:val="0"/>
          <w:sz w:val="24"/>
          <w:szCs w:val="21"/>
        </w:rPr>
      </w:pPr>
      <w:r>
        <w:rPr>
          <w:rFonts w:hint="eastAsia" w:cs="宋体" w:asciiTheme="majorEastAsia" w:hAnsiTheme="majorEastAsia" w:eastAsiaTheme="majorEastAsia"/>
          <w:kern w:val="0"/>
          <w:sz w:val="24"/>
          <w:szCs w:val="21"/>
        </w:rPr>
        <w:t>作业部门负责人员根据国家法律、法规对作业方案和施工单位资质、作业人员的资质进行审查。外包作业必须经过施工单位负责人的审批；</w:t>
      </w:r>
    </w:p>
    <w:p>
      <w:pPr>
        <w:pStyle w:val="11"/>
        <w:numPr>
          <w:ilvl w:val="0"/>
          <w:numId w:val="4"/>
        </w:numPr>
        <w:snapToGrid w:val="0"/>
        <w:spacing w:line="360" w:lineRule="auto"/>
        <w:ind w:left="851" w:firstLineChars="0"/>
        <w:rPr>
          <w:rFonts w:asciiTheme="majorEastAsia" w:hAnsiTheme="majorEastAsia" w:eastAsiaTheme="majorEastAsia"/>
          <w:bCs/>
          <w:sz w:val="24"/>
          <w:szCs w:val="21"/>
        </w:rPr>
      </w:pPr>
      <w:r>
        <w:rPr>
          <w:rFonts w:hint="eastAsia" w:cs="宋体" w:asciiTheme="majorEastAsia" w:hAnsiTheme="majorEastAsia" w:eastAsiaTheme="majorEastAsia"/>
          <w:kern w:val="0"/>
          <w:sz w:val="24"/>
          <w:szCs w:val="21"/>
        </w:rPr>
        <w:t>外包作业和装修施工作业由施工负责人将申报资料提交给管辖部门进行申报。</w:t>
      </w:r>
    </w:p>
    <w:p>
      <w:pPr>
        <w:pStyle w:val="11"/>
        <w:numPr>
          <w:ilvl w:val="0"/>
          <w:numId w:val="2"/>
        </w:numPr>
        <w:tabs>
          <w:tab w:val="left" w:pos="420"/>
        </w:tabs>
        <w:snapToGrid w:val="0"/>
        <w:spacing w:line="360" w:lineRule="auto"/>
        <w:ind w:firstLineChars="0"/>
        <w:rPr>
          <w:rFonts w:cs="宋体" w:asciiTheme="majorEastAsia" w:hAnsiTheme="majorEastAsia" w:eastAsiaTheme="majorEastAsia"/>
          <w:b/>
          <w:kern w:val="0"/>
          <w:sz w:val="24"/>
          <w:szCs w:val="21"/>
        </w:rPr>
      </w:pPr>
      <w:r>
        <w:rPr>
          <w:rFonts w:hint="eastAsia" w:cs="宋体" w:asciiTheme="majorEastAsia" w:hAnsiTheme="majorEastAsia" w:eastAsiaTheme="majorEastAsia"/>
          <w:b/>
          <w:kern w:val="0"/>
          <w:sz w:val="24"/>
          <w:szCs w:val="21"/>
        </w:rPr>
        <w:t>审核高危作业方案与作业资质</w:t>
      </w:r>
    </w:p>
    <w:p>
      <w:pPr>
        <w:pStyle w:val="11"/>
        <w:numPr>
          <w:ilvl w:val="0"/>
          <w:numId w:val="5"/>
        </w:numPr>
        <w:snapToGrid w:val="0"/>
        <w:spacing w:line="360" w:lineRule="auto"/>
        <w:ind w:left="851" w:firstLineChars="0"/>
        <w:rPr>
          <w:rFonts w:asciiTheme="majorEastAsia" w:hAnsiTheme="majorEastAsia" w:eastAsiaTheme="majorEastAsia"/>
          <w:b/>
          <w:bCs/>
          <w:sz w:val="24"/>
          <w:szCs w:val="21"/>
        </w:rPr>
      </w:pPr>
      <w:r>
        <w:rPr>
          <w:rFonts w:hint="eastAsia" w:cs="宋体" w:asciiTheme="majorEastAsia" w:hAnsiTheme="majorEastAsia" w:eastAsiaTheme="majorEastAsia"/>
          <w:kern w:val="0"/>
          <w:sz w:val="24"/>
          <w:szCs w:val="21"/>
        </w:rPr>
        <w:t>对审查合格的作业方案和施工单位资质、作业人员的资质进行审核，做出审核合格或不合格，并在危险作业审批单上批注意见。</w:t>
      </w:r>
    </w:p>
    <w:p>
      <w:pPr>
        <w:pStyle w:val="11"/>
        <w:numPr>
          <w:ilvl w:val="0"/>
          <w:numId w:val="5"/>
        </w:numPr>
        <w:snapToGrid w:val="0"/>
        <w:spacing w:line="360" w:lineRule="auto"/>
        <w:ind w:left="851" w:firstLineChars="0"/>
        <w:rPr>
          <w:rFonts w:asciiTheme="majorEastAsia" w:hAnsiTheme="majorEastAsia" w:eastAsiaTheme="majorEastAsia"/>
          <w:b/>
          <w:bCs/>
          <w:sz w:val="24"/>
          <w:szCs w:val="21"/>
        </w:rPr>
      </w:pPr>
      <w:r>
        <w:rPr>
          <w:rFonts w:hint="eastAsia" w:cs="宋体" w:asciiTheme="majorEastAsia" w:hAnsiTheme="majorEastAsia" w:eastAsiaTheme="majorEastAsia"/>
          <w:kern w:val="0"/>
          <w:sz w:val="24"/>
          <w:szCs w:val="21"/>
        </w:rPr>
        <w:t>动火作业由消防监控中心负责受理，对作业人员资质和施工方案进行初步审核，审核合格的进行审核。</w:t>
      </w:r>
    </w:p>
    <w:p>
      <w:pPr>
        <w:pStyle w:val="11"/>
        <w:numPr>
          <w:ilvl w:val="0"/>
          <w:numId w:val="5"/>
        </w:numPr>
        <w:snapToGrid w:val="0"/>
        <w:spacing w:line="360" w:lineRule="auto"/>
        <w:ind w:left="851" w:firstLineChars="0"/>
        <w:rPr>
          <w:rFonts w:asciiTheme="majorEastAsia" w:hAnsiTheme="majorEastAsia" w:eastAsiaTheme="majorEastAsia"/>
          <w:b/>
          <w:bCs/>
          <w:sz w:val="24"/>
          <w:szCs w:val="21"/>
        </w:rPr>
      </w:pPr>
      <w:r>
        <w:rPr>
          <w:rFonts w:hint="eastAsia" w:cs="宋体" w:asciiTheme="majorEastAsia" w:hAnsiTheme="majorEastAsia" w:eastAsiaTheme="majorEastAsia"/>
          <w:kern w:val="0"/>
          <w:sz w:val="24"/>
          <w:szCs w:val="21"/>
          <w:lang w:eastAsia="zh-CN"/>
        </w:rPr>
        <w:t>高空</w:t>
      </w:r>
      <w:r>
        <w:rPr>
          <w:rFonts w:hint="eastAsia" w:cs="宋体" w:asciiTheme="majorEastAsia" w:hAnsiTheme="majorEastAsia" w:eastAsiaTheme="majorEastAsia"/>
          <w:kern w:val="0"/>
          <w:sz w:val="24"/>
          <w:szCs w:val="21"/>
        </w:rPr>
        <w:t>作业和受限空间作业由安全专员受理，对作业人员资质和施工方案进行初步审核，审核合格的交消防主管审批。</w:t>
      </w:r>
    </w:p>
    <w:p>
      <w:pPr>
        <w:pStyle w:val="11"/>
        <w:numPr>
          <w:ilvl w:val="0"/>
          <w:numId w:val="2"/>
        </w:numPr>
        <w:tabs>
          <w:tab w:val="left" w:pos="420"/>
        </w:tabs>
        <w:snapToGrid w:val="0"/>
        <w:spacing w:line="360" w:lineRule="auto"/>
        <w:ind w:firstLineChars="0"/>
        <w:rPr>
          <w:rFonts w:asciiTheme="majorEastAsia" w:hAnsiTheme="majorEastAsia" w:eastAsiaTheme="majorEastAsia"/>
          <w:b/>
          <w:bCs/>
          <w:sz w:val="24"/>
          <w:szCs w:val="21"/>
        </w:rPr>
      </w:pPr>
      <w:r>
        <w:rPr>
          <w:rFonts w:hint="eastAsia" w:asciiTheme="majorEastAsia" w:hAnsiTheme="majorEastAsia" w:eastAsiaTheme="majorEastAsia"/>
          <w:b/>
          <w:bCs/>
          <w:sz w:val="24"/>
          <w:szCs w:val="21"/>
        </w:rPr>
        <w:t>审批</w:t>
      </w:r>
    </w:p>
    <w:p>
      <w:pPr>
        <w:pStyle w:val="11"/>
        <w:numPr>
          <w:ilvl w:val="0"/>
          <w:numId w:val="6"/>
        </w:numPr>
        <w:snapToGrid w:val="0"/>
        <w:spacing w:line="360" w:lineRule="auto"/>
        <w:ind w:left="851" w:hanging="425" w:firstLineChars="0"/>
        <w:rPr>
          <w:rFonts w:asciiTheme="majorEastAsia" w:hAnsiTheme="majorEastAsia" w:eastAsiaTheme="majorEastAsia"/>
          <w:b/>
          <w:bCs/>
          <w:sz w:val="24"/>
          <w:szCs w:val="21"/>
        </w:rPr>
      </w:pPr>
      <w:r>
        <w:rPr>
          <w:rFonts w:hint="eastAsia" w:cs="宋体" w:asciiTheme="majorEastAsia" w:hAnsiTheme="majorEastAsia" w:eastAsiaTheme="majorEastAsia"/>
          <w:kern w:val="0"/>
          <w:sz w:val="24"/>
          <w:szCs w:val="21"/>
        </w:rPr>
        <w:t>对逐级审核同意的危险作业方案进行审批是否同意；</w:t>
      </w:r>
    </w:p>
    <w:p>
      <w:pPr>
        <w:pStyle w:val="11"/>
        <w:numPr>
          <w:ilvl w:val="0"/>
          <w:numId w:val="6"/>
        </w:numPr>
        <w:snapToGrid w:val="0"/>
        <w:spacing w:line="360" w:lineRule="auto"/>
        <w:ind w:left="851" w:hanging="425" w:firstLineChars="0"/>
        <w:rPr>
          <w:rFonts w:asciiTheme="majorEastAsia" w:hAnsiTheme="majorEastAsia" w:eastAsiaTheme="majorEastAsia"/>
          <w:b/>
          <w:bCs/>
          <w:sz w:val="24"/>
          <w:szCs w:val="21"/>
        </w:rPr>
      </w:pPr>
      <w:r>
        <w:rPr>
          <w:rFonts w:hint="eastAsia" w:cs="宋体" w:asciiTheme="majorEastAsia" w:hAnsiTheme="majorEastAsia" w:eastAsiaTheme="majorEastAsia"/>
          <w:kern w:val="0"/>
          <w:sz w:val="24"/>
          <w:szCs w:val="21"/>
        </w:rPr>
        <w:t>特殊危险作业（高处作业30m以上，压力管道动火作业，易燃易爆受限空间作业等）由消防主管审核后报分管副总批准。</w:t>
      </w:r>
    </w:p>
    <w:p>
      <w:pPr>
        <w:pStyle w:val="11"/>
        <w:numPr>
          <w:ilvl w:val="0"/>
          <w:numId w:val="6"/>
        </w:numPr>
        <w:snapToGrid w:val="0"/>
        <w:spacing w:line="360" w:lineRule="auto"/>
        <w:ind w:left="851" w:hanging="425" w:firstLineChars="0"/>
        <w:rPr>
          <w:rFonts w:asciiTheme="majorEastAsia" w:hAnsiTheme="majorEastAsia" w:eastAsiaTheme="majorEastAsia"/>
          <w:b/>
          <w:bCs/>
          <w:sz w:val="24"/>
          <w:szCs w:val="21"/>
        </w:rPr>
      </w:pPr>
      <w:r>
        <w:rPr>
          <w:rFonts w:hint="eastAsia" w:cs="宋体" w:asciiTheme="majorEastAsia" w:hAnsiTheme="majorEastAsia" w:eastAsiaTheme="majorEastAsia"/>
          <w:kern w:val="0"/>
          <w:sz w:val="24"/>
          <w:szCs w:val="21"/>
        </w:rPr>
        <w:t>根据施工内容办理相应的安全作业许可证，并按照安全作业许可证上内容要求，逐条落实、认真填写。</w:t>
      </w:r>
    </w:p>
    <w:p>
      <w:pPr>
        <w:pStyle w:val="11"/>
        <w:numPr>
          <w:ilvl w:val="0"/>
          <w:numId w:val="2"/>
        </w:numPr>
        <w:tabs>
          <w:tab w:val="left" w:pos="420"/>
        </w:tabs>
        <w:snapToGrid w:val="0"/>
        <w:spacing w:line="360" w:lineRule="auto"/>
        <w:ind w:firstLineChars="0"/>
        <w:rPr>
          <w:rFonts w:asciiTheme="majorEastAsia" w:hAnsiTheme="majorEastAsia" w:eastAsiaTheme="majorEastAsia"/>
          <w:b/>
          <w:bCs/>
          <w:sz w:val="24"/>
          <w:szCs w:val="21"/>
        </w:rPr>
      </w:pPr>
      <w:r>
        <w:rPr>
          <w:rFonts w:hint="eastAsia" w:asciiTheme="majorEastAsia" w:hAnsiTheme="majorEastAsia" w:eastAsiaTheme="majorEastAsia"/>
          <w:b/>
          <w:bCs/>
          <w:sz w:val="24"/>
          <w:szCs w:val="21"/>
        </w:rPr>
        <w:t>签发安全作业许可证</w:t>
      </w:r>
    </w:p>
    <w:p>
      <w:pPr>
        <w:pStyle w:val="11"/>
        <w:numPr>
          <w:ilvl w:val="0"/>
          <w:numId w:val="7"/>
        </w:numPr>
        <w:snapToGrid w:val="0"/>
        <w:spacing w:line="360" w:lineRule="auto"/>
        <w:ind w:left="851" w:hanging="425" w:firstLineChars="0"/>
        <w:rPr>
          <w:rFonts w:asciiTheme="majorEastAsia" w:hAnsiTheme="majorEastAsia" w:eastAsiaTheme="majorEastAsia"/>
          <w:b/>
          <w:bCs/>
          <w:sz w:val="24"/>
          <w:szCs w:val="21"/>
        </w:rPr>
      </w:pPr>
      <w:r>
        <w:rPr>
          <w:rFonts w:hint="eastAsia" w:cs="宋体" w:asciiTheme="majorEastAsia" w:hAnsiTheme="majorEastAsia" w:eastAsiaTheme="majorEastAsia"/>
          <w:kern w:val="0"/>
          <w:sz w:val="24"/>
          <w:szCs w:val="21"/>
        </w:rPr>
        <w:t>对安全作业许可证进行审查，合格后签字。</w:t>
      </w:r>
    </w:p>
    <w:p>
      <w:pPr>
        <w:pStyle w:val="11"/>
        <w:numPr>
          <w:ilvl w:val="0"/>
          <w:numId w:val="7"/>
        </w:numPr>
        <w:snapToGrid w:val="0"/>
        <w:spacing w:line="360" w:lineRule="auto"/>
        <w:ind w:left="851" w:hanging="425" w:firstLineChars="0"/>
        <w:rPr>
          <w:rFonts w:asciiTheme="majorEastAsia" w:hAnsiTheme="majorEastAsia" w:eastAsiaTheme="majorEastAsia"/>
          <w:b/>
          <w:bCs/>
          <w:sz w:val="24"/>
          <w:szCs w:val="21"/>
        </w:rPr>
      </w:pPr>
      <w:r>
        <w:rPr>
          <w:rFonts w:hint="eastAsia" w:cs="宋体" w:asciiTheme="majorEastAsia" w:hAnsiTheme="majorEastAsia" w:eastAsiaTheme="majorEastAsia"/>
          <w:kern w:val="0"/>
          <w:sz w:val="24"/>
          <w:szCs w:val="21"/>
          <w:lang w:eastAsia="zh-CN"/>
        </w:rPr>
        <w:t>安防</w:t>
      </w:r>
      <w:r>
        <w:rPr>
          <w:rFonts w:hint="eastAsia" w:cs="宋体" w:asciiTheme="majorEastAsia" w:hAnsiTheme="majorEastAsia" w:eastAsiaTheme="majorEastAsia"/>
          <w:kern w:val="0"/>
          <w:sz w:val="24"/>
          <w:szCs w:val="21"/>
        </w:rPr>
        <w:t>部（动火作业由消防监控中心安全员负责）进行现场审批，审批内容包括：</w:t>
      </w:r>
    </w:p>
    <w:p>
      <w:pPr>
        <w:pStyle w:val="11"/>
        <w:widowControl/>
        <w:numPr>
          <w:ilvl w:val="0"/>
          <w:numId w:val="8"/>
        </w:numPr>
        <w:spacing w:line="360" w:lineRule="auto"/>
        <w:ind w:left="851" w:hanging="425" w:firstLineChars="0"/>
        <w:rPr>
          <w:rFonts w:cs="宋体" w:asciiTheme="majorEastAsia" w:hAnsiTheme="majorEastAsia" w:eastAsiaTheme="majorEastAsia"/>
          <w:kern w:val="0"/>
          <w:sz w:val="24"/>
          <w:szCs w:val="21"/>
        </w:rPr>
      </w:pPr>
      <w:r>
        <w:rPr>
          <w:rFonts w:hint="eastAsia" w:cs="宋体" w:asciiTheme="majorEastAsia" w:hAnsiTheme="majorEastAsia" w:eastAsiaTheme="majorEastAsia"/>
          <w:kern w:val="0"/>
          <w:sz w:val="24"/>
          <w:szCs w:val="21"/>
        </w:rPr>
        <w:t>现场是否符合审核批准的作业施工方案的要求；</w:t>
      </w:r>
    </w:p>
    <w:p>
      <w:pPr>
        <w:pStyle w:val="11"/>
        <w:widowControl/>
        <w:numPr>
          <w:ilvl w:val="0"/>
          <w:numId w:val="8"/>
        </w:numPr>
        <w:spacing w:line="360" w:lineRule="auto"/>
        <w:ind w:left="851" w:hanging="425" w:firstLineChars="0"/>
        <w:rPr>
          <w:rFonts w:cs="宋体" w:asciiTheme="majorEastAsia" w:hAnsiTheme="majorEastAsia" w:eastAsiaTheme="majorEastAsia"/>
          <w:kern w:val="0"/>
          <w:sz w:val="24"/>
          <w:szCs w:val="21"/>
        </w:rPr>
      </w:pPr>
      <w:r>
        <w:rPr>
          <w:rFonts w:hint="eastAsia" w:cs="宋体" w:asciiTheme="majorEastAsia" w:hAnsiTheme="majorEastAsia" w:eastAsiaTheme="majorEastAsia"/>
          <w:kern w:val="0"/>
          <w:sz w:val="24"/>
          <w:szCs w:val="21"/>
        </w:rPr>
        <w:t>危险作业的所有风险是否已识别；</w:t>
      </w:r>
    </w:p>
    <w:p>
      <w:pPr>
        <w:pStyle w:val="11"/>
        <w:widowControl/>
        <w:numPr>
          <w:ilvl w:val="0"/>
          <w:numId w:val="8"/>
        </w:numPr>
        <w:spacing w:line="360" w:lineRule="auto"/>
        <w:ind w:left="851" w:hanging="425" w:firstLineChars="0"/>
        <w:rPr>
          <w:rFonts w:cs="宋体" w:asciiTheme="majorEastAsia" w:hAnsiTheme="majorEastAsia" w:eastAsiaTheme="majorEastAsia"/>
          <w:kern w:val="0"/>
          <w:sz w:val="24"/>
          <w:szCs w:val="21"/>
        </w:rPr>
      </w:pPr>
      <w:r>
        <w:rPr>
          <w:rFonts w:hint="eastAsia" w:cs="宋体" w:asciiTheme="majorEastAsia" w:hAnsiTheme="majorEastAsia" w:eastAsiaTheme="majorEastAsia"/>
          <w:kern w:val="0"/>
          <w:sz w:val="24"/>
          <w:szCs w:val="21"/>
        </w:rPr>
        <w:t>所有风险是否采取安全措施；</w:t>
      </w:r>
    </w:p>
    <w:p>
      <w:pPr>
        <w:pStyle w:val="11"/>
        <w:widowControl/>
        <w:numPr>
          <w:ilvl w:val="0"/>
          <w:numId w:val="8"/>
        </w:numPr>
        <w:spacing w:line="360" w:lineRule="auto"/>
        <w:ind w:left="851" w:hanging="425" w:firstLineChars="0"/>
        <w:rPr>
          <w:rFonts w:cs="宋体" w:asciiTheme="majorEastAsia" w:hAnsiTheme="majorEastAsia" w:eastAsiaTheme="majorEastAsia"/>
          <w:kern w:val="0"/>
          <w:sz w:val="24"/>
          <w:szCs w:val="21"/>
        </w:rPr>
      </w:pPr>
      <w:r>
        <w:rPr>
          <w:rFonts w:hint="eastAsia" w:cs="宋体" w:asciiTheme="majorEastAsia" w:hAnsiTheme="majorEastAsia" w:eastAsiaTheme="majorEastAsia"/>
          <w:kern w:val="0"/>
          <w:sz w:val="24"/>
          <w:szCs w:val="21"/>
        </w:rPr>
        <w:t>作业环境是否安全；</w:t>
      </w:r>
    </w:p>
    <w:p>
      <w:pPr>
        <w:pStyle w:val="11"/>
        <w:widowControl/>
        <w:numPr>
          <w:ilvl w:val="0"/>
          <w:numId w:val="8"/>
        </w:numPr>
        <w:spacing w:line="360" w:lineRule="auto"/>
        <w:ind w:left="851" w:hanging="425" w:firstLineChars="0"/>
        <w:rPr>
          <w:rFonts w:cs="宋体" w:asciiTheme="majorEastAsia" w:hAnsiTheme="majorEastAsia" w:eastAsiaTheme="majorEastAsia"/>
          <w:kern w:val="0"/>
          <w:sz w:val="24"/>
          <w:szCs w:val="21"/>
        </w:rPr>
      </w:pPr>
      <w:r>
        <w:rPr>
          <w:rFonts w:hint="eastAsia" w:cs="宋体" w:asciiTheme="majorEastAsia" w:hAnsiTheme="majorEastAsia" w:eastAsiaTheme="majorEastAsia"/>
          <w:kern w:val="0"/>
          <w:sz w:val="24"/>
          <w:szCs w:val="21"/>
        </w:rPr>
        <w:t>安全措施是否全面并落实；</w:t>
      </w:r>
    </w:p>
    <w:p>
      <w:pPr>
        <w:pStyle w:val="11"/>
        <w:numPr>
          <w:ilvl w:val="0"/>
          <w:numId w:val="8"/>
        </w:numPr>
        <w:tabs>
          <w:tab w:val="left" w:pos="420"/>
        </w:tabs>
        <w:snapToGrid w:val="0"/>
        <w:spacing w:line="360" w:lineRule="auto"/>
        <w:ind w:left="851" w:hanging="425" w:firstLineChars="0"/>
        <w:rPr>
          <w:rFonts w:cs="宋体" w:asciiTheme="majorEastAsia" w:hAnsiTheme="majorEastAsia" w:eastAsiaTheme="majorEastAsia"/>
          <w:kern w:val="0"/>
          <w:sz w:val="24"/>
          <w:szCs w:val="21"/>
        </w:rPr>
      </w:pPr>
      <w:r>
        <w:rPr>
          <w:rFonts w:hint="eastAsia" w:cs="宋体" w:asciiTheme="majorEastAsia" w:hAnsiTheme="majorEastAsia" w:eastAsiaTheme="majorEastAsia"/>
          <w:kern w:val="0"/>
          <w:sz w:val="24"/>
          <w:szCs w:val="21"/>
        </w:rPr>
        <w:t>操作人员的资格是否符合规定。</w:t>
      </w:r>
    </w:p>
    <w:p>
      <w:pPr>
        <w:pStyle w:val="11"/>
        <w:numPr>
          <w:ilvl w:val="0"/>
          <w:numId w:val="2"/>
        </w:numPr>
        <w:tabs>
          <w:tab w:val="left" w:pos="420"/>
        </w:tabs>
        <w:snapToGrid w:val="0"/>
        <w:spacing w:line="360" w:lineRule="auto"/>
        <w:ind w:firstLineChars="0"/>
        <w:rPr>
          <w:rFonts w:cs="宋体" w:asciiTheme="majorEastAsia" w:hAnsiTheme="majorEastAsia" w:eastAsiaTheme="majorEastAsia"/>
          <w:b/>
          <w:kern w:val="0"/>
          <w:sz w:val="24"/>
          <w:szCs w:val="21"/>
        </w:rPr>
      </w:pPr>
      <w:r>
        <w:rPr>
          <w:rFonts w:hint="eastAsia" w:cs="宋体" w:asciiTheme="majorEastAsia" w:hAnsiTheme="majorEastAsia" w:eastAsiaTheme="majorEastAsia"/>
          <w:b/>
          <w:kern w:val="0"/>
          <w:sz w:val="24"/>
          <w:szCs w:val="21"/>
        </w:rPr>
        <w:t>作业前安全教育及交底</w:t>
      </w:r>
    </w:p>
    <w:p>
      <w:pPr>
        <w:pStyle w:val="11"/>
        <w:numPr>
          <w:ilvl w:val="0"/>
          <w:numId w:val="9"/>
        </w:numPr>
        <w:snapToGrid w:val="0"/>
        <w:spacing w:line="360" w:lineRule="auto"/>
        <w:ind w:left="851" w:hanging="425" w:firstLineChars="0"/>
        <w:rPr>
          <w:rFonts w:asciiTheme="majorEastAsia" w:hAnsiTheme="majorEastAsia" w:eastAsiaTheme="majorEastAsia"/>
          <w:b/>
          <w:bCs/>
          <w:sz w:val="24"/>
          <w:szCs w:val="21"/>
        </w:rPr>
      </w:pPr>
      <w:r>
        <w:rPr>
          <w:rFonts w:hint="eastAsia" w:cs="宋体" w:asciiTheme="majorEastAsia" w:hAnsiTheme="majorEastAsia" w:eastAsiaTheme="majorEastAsia"/>
          <w:kern w:val="0"/>
          <w:sz w:val="24"/>
          <w:szCs w:val="21"/>
        </w:rPr>
        <w:t>由安全部负责对作业负责人和安全监察员进行安全交底培训；</w:t>
      </w:r>
    </w:p>
    <w:p>
      <w:pPr>
        <w:pStyle w:val="11"/>
        <w:numPr>
          <w:ilvl w:val="0"/>
          <w:numId w:val="9"/>
        </w:numPr>
        <w:snapToGrid w:val="0"/>
        <w:spacing w:line="360" w:lineRule="auto"/>
        <w:ind w:left="851" w:hanging="425" w:firstLineChars="0"/>
        <w:rPr>
          <w:rFonts w:asciiTheme="majorEastAsia" w:hAnsiTheme="majorEastAsia" w:eastAsiaTheme="majorEastAsia"/>
          <w:b/>
          <w:bCs/>
          <w:sz w:val="24"/>
          <w:szCs w:val="21"/>
        </w:rPr>
      </w:pPr>
      <w:r>
        <w:rPr>
          <w:rFonts w:hint="eastAsia" w:cs="宋体" w:asciiTheme="majorEastAsia" w:hAnsiTheme="majorEastAsia" w:eastAsiaTheme="majorEastAsia"/>
          <w:kern w:val="0"/>
          <w:sz w:val="24"/>
          <w:szCs w:val="21"/>
        </w:rPr>
        <w:t>由作业负责人组织对作业人员进行作业前高危险作业安全教育交底培训，并作好记录。</w:t>
      </w:r>
    </w:p>
    <w:p>
      <w:pPr>
        <w:pStyle w:val="11"/>
        <w:numPr>
          <w:ilvl w:val="0"/>
          <w:numId w:val="2"/>
        </w:numPr>
        <w:tabs>
          <w:tab w:val="left" w:pos="420"/>
        </w:tabs>
        <w:snapToGrid w:val="0"/>
        <w:spacing w:line="360" w:lineRule="auto"/>
        <w:ind w:firstLineChars="0"/>
        <w:rPr>
          <w:rFonts w:cs="宋体" w:asciiTheme="majorEastAsia" w:hAnsiTheme="majorEastAsia" w:eastAsiaTheme="majorEastAsia"/>
          <w:b/>
          <w:kern w:val="0"/>
          <w:sz w:val="24"/>
          <w:szCs w:val="21"/>
        </w:rPr>
      </w:pPr>
      <w:r>
        <w:rPr>
          <w:rFonts w:hint="eastAsia" w:cs="宋体" w:asciiTheme="majorEastAsia" w:hAnsiTheme="majorEastAsia" w:eastAsiaTheme="majorEastAsia"/>
          <w:b/>
          <w:kern w:val="0"/>
          <w:sz w:val="24"/>
          <w:szCs w:val="21"/>
        </w:rPr>
        <w:t>实施高危险作业</w:t>
      </w:r>
    </w:p>
    <w:p>
      <w:pPr>
        <w:pStyle w:val="11"/>
        <w:numPr>
          <w:ilvl w:val="0"/>
          <w:numId w:val="10"/>
        </w:numPr>
        <w:tabs>
          <w:tab w:val="left" w:pos="851"/>
        </w:tabs>
        <w:snapToGrid w:val="0"/>
        <w:spacing w:line="360" w:lineRule="auto"/>
        <w:ind w:left="851" w:firstLineChars="0"/>
        <w:rPr>
          <w:rFonts w:cs="宋体" w:asciiTheme="majorEastAsia" w:hAnsiTheme="majorEastAsia" w:eastAsiaTheme="majorEastAsia"/>
          <w:b/>
          <w:kern w:val="0"/>
          <w:sz w:val="24"/>
          <w:szCs w:val="21"/>
        </w:rPr>
      </w:pPr>
      <w:r>
        <w:rPr>
          <w:rFonts w:hint="eastAsia" w:cs="宋体" w:asciiTheme="majorEastAsia" w:hAnsiTheme="majorEastAsia" w:eastAsiaTheme="majorEastAsia"/>
          <w:kern w:val="0"/>
          <w:sz w:val="24"/>
          <w:szCs w:val="21"/>
        </w:rPr>
        <w:t>必须取得安全作业许可证方可作业；</w:t>
      </w:r>
    </w:p>
    <w:p>
      <w:pPr>
        <w:pStyle w:val="11"/>
        <w:widowControl/>
        <w:numPr>
          <w:ilvl w:val="0"/>
          <w:numId w:val="10"/>
        </w:numPr>
        <w:tabs>
          <w:tab w:val="left" w:pos="851"/>
        </w:tabs>
        <w:spacing w:line="360" w:lineRule="auto"/>
        <w:ind w:left="851" w:firstLineChars="0"/>
        <w:rPr>
          <w:rFonts w:cs="宋体" w:asciiTheme="majorEastAsia" w:hAnsiTheme="majorEastAsia" w:eastAsiaTheme="majorEastAsia"/>
          <w:kern w:val="0"/>
          <w:sz w:val="24"/>
          <w:szCs w:val="21"/>
        </w:rPr>
      </w:pPr>
      <w:r>
        <w:rPr>
          <w:rFonts w:hint="eastAsia" w:cs="宋体" w:asciiTheme="majorEastAsia" w:hAnsiTheme="majorEastAsia" w:eastAsiaTheme="majorEastAsia"/>
          <w:kern w:val="0"/>
          <w:sz w:val="24"/>
          <w:szCs w:val="21"/>
        </w:rPr>
        <w:t>根据安全施工方案上所提出的安全措施，采取安全措施并进行作业；</w:t>
      </w:r>
    </w:p>
    <w:p>
      <w:pPr>
        <w:pStyle w:val="11"/>
        <w:numPr>
          <w:ilvl w:val="0"/>
          <w:numId w:val="10"/>
        </w:numPr>
        <w:tabs>
          <w:tab w:val="left" w:pos="851"/>
        </w:tabs>
        <w:snapToGrid w:val="0"/>
        <w:spacing w:line="360" w:lineRule="auto"/>
        <w:ind w:left="851" w:firstLineChars="0"/>
        <w:rPr>
          <w:rFonts w:asciiTheme="majorEastAsia" w:hAnsiTheme="majorEastAsia" w:eastAsiaTheme="majorEastAsia"/>
          <w:b/>
          <w:bCs/>
          <w:sz w:val="24"/>
          <w:szCs w:val="21"/>
        </w:rPr>
      </w:pPr>
      <w:r>
        <w:rPr>
          <w:rFonts w:hint="eastAsia" w:cs="宋体" w:asciiTheme="majorEastAsia" w:hAnsiTheme="majorEastAsia" w:eastAsiaTheme="majorEastAsia"/>
          <w:kern w:val="0"/>
          <w:sz w:val="24"/>
          <w:szCs w:val="21"/>
        </w:rPr>
        <w:t>现场指挥由危险作业所属部门管理人员负责（外包工程由</w:t>
      </w:r>
      <w:r>
        <w:rPr>
          <w:rFonts w:hint="eastAsia" w:cs="宋体" w:asciiTheme="majorEastAsia" w:hAnsiTheme="majorEastAsia" w:eastAsiaTheme="majorEastAsia"/>
          <w:kern w:val="0"/>
          <w:sz w:val="24"/>
          <w:szCs w:val="21"/>
          <w:lang w:eastAsia="zh-CN"/>
        </w:rPr>
        <w:t>工程物业部</w:t>
      </w:r>
      <w:r>
        <w:rPr>
          <w:rFonts w:hint="eastAsia" w:cs="宋体" w:asciiTheme="majorEastAsia" w:hAnsiTheme="majorEastAsia" w:eastAsiaTheme="majorEastAsia"/>
          <w:kern w:val="0"/>
          <w:sz w:val="24"/>
          <w:szCs w:val="21"/>
        </w:rPr>
        <w:t>负责人负责），部门管理员负责现场监督、检查，现场应配备应急人员和足够的安全器材和个人防护用具。</w:t>
      </w:r>
    </w:p>
    <w:p>
      <w:pPr>
        <w:pStyle w:val="11"/>
        <w:numPr>
          <w:ilvl w:val="0"/>
          <w:numId w:val="2"/>
        </w:numPr>
        <w:tabs>
          <w:tab w:val="left" w:pos="420"/>
        </w:tabs>
        <w:snapToGrid w:val="0"/>
        <w:spacing w:line="360" w:lineRule="auto"/>
        <w:ind w:firstLineChars="0"/>
        <w:rPr>
          <w:rFonts w:cs="宋体" w:asciiTheme="majorEastAsia" w:hAnsiTheme="majorEastAsia" w:eastAsiaTheme="majorEastAsia"/>
          <w:b/>
          <w:kern w:val="0"/>
          <w:sz w:val="24"/>
          <w:szCs w:val="21"/>
        </w:rPr>
      </w:pPr>
      <w:r>
        <w:rPr>
          <w:rFonts w:hint="eastAsia" w:cs="宋体" w:asciiTheme="majorEastAsia" w:hAnsiTheme="majorEastAsia" w:eastAsiaTheme="majorEastAsia"/>
          <w:b/>
          <w:kern w:val="0"/>
          <w:sz w:val="24"/>
          <w:szCs w:val="21"/>
        </w:rPr>
        <w:t>监督检查高危险作业</w:t>
      </w:r>
    </w:p>
    <w:p>
      <w:pPr>
        <w:pStyle w:val="11"/>
        <w:numPr>
          <w:ilvl w:val="0"/>
          <w:numId w:val="11"/>
        </w:numPr>
        <w:snapToGrid w:val="0"/>
        <w:spacing w:line="360" w:lineRule="auto"/>
        <w:ind w:left="851" w:hanging="425" w:firstLineChars="0"/>
        <w:rPr>
          <w:rFonts w:asciiTheme="majorEastAsia" w:hAnsiTheme="majorEastAsia" w:eastAsiaTheme="majorEastAsia"/>
          <w:b/>
          <w:bCs/>
          <w:sz w:val="24"/>
          <w:szCs w:val="21"/>
        </w:rPr>
      </w:pPr>
      <w:r>
        <w:rPr>
          <w:rFonts w:hint="eastAsia" w:cs="宋体" w:asciiTheme="majorEastAsia" w:hAnsiTheme="majorEastAsia" w:eastAsiaTheme="majorEastAsia"/>
          <w:kern w:val="0"/>
          <w:sz w:val="24"/>
          <w:szCs w:val="21"/>
        </w:rPr>
        <w:t>各部门管理员负责对本部门高危险作业进行现场监督检查并作好检查记录；</w:t>
      </w:r>
    </w:p>
    <w:p>
      <w:pPr>
        <w:pStyle w:val="11"/>
        <w:numPr>
          <w:ilvl w:val="0"/>
          <w:numId w:val="11"/>
        </w:numPr>
        <w:snapToGrid w:val="0"/>
        <w:spacing w:line="360" w:lineRule="auto"/>
        <w:ind w:left="851" w:hanging="425" w:firstLineChars="0"/>
        <w:rPr>
          <w:rFonts w:asciiTheme="majorEastAsia" w:hAnsiTheme="majorEastAsia" w:eastAsiaTheme="majorEastAsia"/>
          <w:b/>
          <w:bCs/>
          <w:sz w:val="24"/>
          <w:szCs w:val="21"/>
        </w:rPr>
      </w:pPr>
      <w:r>
        <w:rPr>
          <w:rFonts w:hint="eastAsia" w:cs="宋体" w:asciiTheme="majorEastAsia" w:hAnsiTheme="majorEastAsia" w:eastAsiaTheme="majorEastAsia"/>
          <w:kern w:val="0"/>
          <w:sz w:val="24"/>
          <w:szCs w:val="21"/>
          <w:lang w:eastAsia="zh-CN"/>
        </w:rPr>
        <w:t>安防</w:t>
      </w:r>
      <w:r>
        <w:rPr>
          <w:rFonts w:hint="eastAsia" w:cs="宋体" w:asciiTheme="majorEastAsia" w:hAnsiTheme="majorEastAsia" w:eastAsiaTheme="majorEastAsia"/>
          <w:kern w:val="0"/>
          <w:sz w:val="24"/>
          <w:szCs w:val="21"/>
        </w:rPr>
        <w:t>部消防监控中心安全员、现场安全员负责对高危险作业进行监督检查并作好检查记录。</w:t>
      </w:r>
    </w:p>
    <w:p>
      <w:pPr>
        <w:pStyle w:val="11"/>
        <w:numPr>
          <w:ilvl w:val="0"/>
          <w:numId w:val="2"/>
        </w:numPr>
        <w:tabs>
          <w:tab w:val="left" w:pos="420"/>
        </w:tabs>
        <w:snapToGrid w:val="0"/>
        <w:spacing w:line="360" w:lineRule="auto"/>
        <w:ind w:firstLineChars="0"/>
        <w:rPr>
          <w:rFonts w:cs="宋体" w:asciiTheme="majorEastAsia" w:hAnsiTheme="majorEastAsia" w:eastAsiaTheme="majorEastAsia"/>
          <w:b/>
          <w:kern w:val="0"/>
          <w:sz w:val="24"/>
          <w:szCs w:val="21"/>
        </w:rPr>
      </w:pPr>
      <w:r>
        <w:rPr>
          <w:rFonts w:hint="eastAsia" w:cs="宋体" w:asciiTheme="majorEastAsia" w:hAnsiTheme="majorEastAsia" w:eastAsiaTheme="majorEastAsia"/>
          <w:b/>
          <w:kern w:val="0"/>
          <w:sz w:val="24"/>
          <w:szCs w:val="21"/>
        </w:rPr>
        <w:t>实施安全整改流程</w:t>
      </w:r>
    </w:p>
    <w:p>
      <w:pPr>
        <w:pStyle w:val="11"/>
        <w:numPr>
          <w:ilvl w:val="0"/>
          <w:numId w:val="12"/>
        </w:numPr>
        <w:snapToGrid w:val="0"/>
        <w:spacing w:line="360" w:lineRule="auto"/>
        <w:ind w:left="851" w:hanging="425" w:firstLineChars="0"/>
        <w:rPr>
          <w:rFonts w:asciiTheme="majorEastAsia" w:hAnsiTheme="majorEastAsia" w:eastAsiaTheme="majorEastAsia"/>
          <w:b/>
          <w:bCs/>
          <w:sz w:val="24"/>
          <w:szCs w:val="21"/>
        </w:rPr>
      </w:pPr>
      <w:r>
        <w:rPr>
          <w:rFonts w:hint="eastAsia" w:cs="宋体" w:asciiTheme="majorEastAsia" w:hAnsiTheme="majorEastAsia" w:eastAsiaTheme="majorEastAsia"/>
          <w:kern w:val="0"/>
          <w:sz w:val="24"/>
          <w:szCs w:val="21"/>
        </w:rPr>
        <w:t>对各部门管理员、</w:t>
      </w:r>
      <w:r>
        <w:rPr>
          <w:rFonts w:hint="eastAsia" w:cs="宋体" w:asciiTheme="majorEastAsia" w:hAnsiTheme="majorEastAsia" w:eastAsiaTheme="majorEastAsia"/>
          <w:kern w:val="0"/>
          <w:sz w:val="24"/>
          <w:szCs w:val="21"/>
          <w:lang w:eastAsia="zh-CN"/>
        </w:rPr>
        <w:t>安防</w:t>
      </w:r>
      <w:r>
        <w:rPr>
          <w:rFonts w:hint="eastAsia" w:cs="宋体" w:asciiTheme="majorEastAsia" w:hAnsiTheme="majorEastAsia" w:eastAsiaTheme="majorEastAsia"/>
          <w:kern w:val="0"/>
          <w:sz w:val="24"/>
          <w:szCs w:val="21"/>
        </w:rPr>
        <w:t>部、安全员监督检查发现的违章作业或不合格作业，由作业负责人负责做好整改措施。</w:t>
      </w:r>
    </w:p>
    <w:p>
      <w:pPr>
        <w:spacing w:line="480" w:lineRule="auto"/>
        <w:jc w:val="left"/>
        <w:rPr>
          <w:rFonts w:asciiTheme="majorEastAsia" w:hAnsiTheme="majorEastAsia" w:eastAsiaTheme="majorEastAsia"/>
          <w:b/>
          <w:sz w:val="24"/>
        </w:rPr>
      </w:pPr>
      <w:bookmarkStart w:id="0" w:name="_GoBack"/>
      <w:bookmarkEnd w:id="0"/>
    </w:p>
    <w:sectPr>
      <w:headerReference r:id="rId3" w:type="default"/>
      <w:pgSz w:w="11906" w:h="16838"/>
      <w:pgMar w:top="1440" w:right="1644" w:bottom="1440" w:left="1644" w:header="851" w:footer="992"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微软雅黑">
    <w:panose1 w:val="020B0503020204020204"/>
    <w:charset w:val="86"/>
    <w:family w:val="swiss"/>
    <w:pitch w:val="default"/>
    <w:sig w:usb0="80000287" w:usb1="280F3C52" w:usb2="00000016" w:usb3="00000000" w:csb0="0004001F" w:csb1="00000000"/>
  </w:font>
  <w:font w:name="Arial">
    <w:panose1 w:val="020B0604020202020204"/>
    <w:charset w:val="00"/>
    <w:family w:val="swiss"/>
    <w:pitch w:val="default"/>
    <w:sig w:usb0="E0002AFF" w:usb1="C0007843" w:usb2="00000009" w:usb3="00000000" w:csb0="400001FF" w:csb1="FFFF0000"/>
  </w:font>
  <w:font w:name="华文细黑">
    <w:altName w:val="微软雅黑"/>
    <w:panose1 w:val="02010600040101010101"/>
    <w:charset w:val="86"/>
    <w:family w:val="auto"/>
    <w:pitch w:val="default"/>
    <w:sig w:usb0="00000000" w:usb1="00000000" w:usb2="00000010" w:usb3="00000000" w:csb0="0004009F" w:csb1="00000000"/>
  </w:font>
  <w:font w:name="Wingdings">
    <w:panose1 w:val="05000000000000000000"/>
    <w:charset w:val="00"/>
    <w:family w:val="auto"/>
    <w:pitch w:val="default"/>
    <w:sig w:usb0="00000000" w:usb1="00000000" w:usb2="00000000" w:usb3="00000000" w:csb0="80000000"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tbl>
    <w:tblPr>
      <w:tblStyle w:val="5"/>
      <w:tblW w:w="924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22"/>
      <w:gridCol w:w="3449"/>
      <w:gridCol w:w="1765"/>
      <w:gridCol w:w="21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1922" w:type="dxa"/>
          <w:vMerge w:val="restart"/>
          <w:vAlign w:val="center"/>
        </w:tcPr>
        <w:p>
          <w:pPr>
            <w:jc w:val="center"/>
            <w:rPr>
              <w:rFonts w:ascii="宋体" w:hAnsi="宋体"/>
              <w:bCs/>
              <w:color w:val="000000"/>
              <w:sz w:val="24"/>
            </w:rPr>
          </w:pPr>
        </w:p>
      </w:tc>
      <w:tc>
        <w:tcPr>
          <w:tcW w:w="3449" w:type="dxa"/>
          <w:vAlign w:val="center"/>
        </w:tcPr>
        <w:p>
          <w:pPr>
            <w:spacing w:line="260" w:lineRule="exact"/>
            <w:jc w:val="center"/>
            <w:rPr>
              <w:rFonts w:hint="eastAsia" w:ascii="微软雅黑" w:hAnsi="微软雅黑" w:eastAsia="微软雅黑" w:cs="宋体"/>
              <w:sz w:val="22"/>
              <w:szCs w:val="22"/>
              <w:lang w:eastAsia="zh-CN"/>
            </w:rPr>
          </w:pPr>
          <w:r>
            <w:rPr>
              <w:rFonts w:hint="eastAsia" w:ascii="微软雅黑" w:hAnsi="微软雅黑" w:eastAsia="微软雅黑"/>
              <w:sz w:val="22"/>
              <w:szCs w:val="22"/>
              <w:lang w:eastAsia="zh-CN"/>
            </w:rPr>
            <w:t>南充仁和春天广场</w:t>
          </w:r>
        </w:p>
      </w:tc>
      <w:tc>
        <w:tcPr>
          <w:tcW w:w="3870" w:type="dxa"/>
          <w:gridSpan w:val="2"/>
          <w:vAlign w:val="center"/>
        </w:tcPr>
        <w:p>
          <w:pPr>
            <w:spacing w:beforeLines="50" w:afterLines="50" w:line="260" w:lineRule="exact"/>
            <w:jc w:val="center"/>
            <w:rPr>
              <w:rFonts w:hint="eastAsia" w:ascii="微软雅黑" w:hAnsi="微软雅黑" w:eastAsia="微软雅黑" w:cs="Arial"/>
              <w:sz w:val="22"/>
              <w:szCs w:val="22"/>
              <w:lang w:eastAsia="zh-CN"/>
            </w:rPr>
          </w:pPr>
          <w:r>
            <w:rPr>
              <w:rFonts w:hint="eastAsia" w:ascii="微软雅黑" w:hAnsi="微软雅黑" w:eastAsia="微软雅黑" w:cs="Arial"/>
              <w:sz w:val="22"/>
              <w:szCs w:val="22"/>
            </w:rPr>
            <w:t>编号：</w:t>
          </w:r>
          <w:r>
            <w:rPr>
              <w:rFonts w:hint="eastAsia" w:ascii="微软雅黑" w:hAnsi="微软雅黑" w:eastAsia="微软雅黑"/>
              <w:sz w:val="22"/>
              <w:szCs w:val="22"/>
            </w:rPr>
            <w:t>N</w:t>
          </w:r>
          <w:r>
            <w:rPr>
              <w:rFonts w:hint="eastAsia" w:ascii="微软雅黑" w:hAnsi="微软雅黑" w:eastAsia="微软雅黑"/>
              <w:sz w:val="22"/>
              <w:szCs w:val="22"/>
              <w:lang w:val="en-US" w:eastAsia="zh-CN"/>
            </w:rPr>
            <w:t>C</w:t>
          </w:r>
          <w:r>
            <w:rPr>
              <w:rFonts w:hint="eastAsia" w:ascii="微软雅黑" w:hAnsi="微软雅黑" w:eastAsia="微软雅黑"/>
              <w:sz w:val="22"/>
              <w:szCs w:val="22"/>
            </w:rPr>
            <w:t>SG-GCWYB-A</w:t>
          </w:r>
          <w:r>
            <w:rPr>
              <w:rFonts w:hint="eastAsia" w:ascii="微软雅黑" w:hAnsi="微软雅黑" w:eastAsia="微软雅黑"/>
              <w:sz w:val="22"/>
              <w:szCs w:val="22"/>
              <w:lang w:val="en-US" w:eastAsia="zh-CN"/>
            </w:rPr>
            <w:t>F</w:t>
          </w:r>
          <w:r>
            <w:rPr>
              <w:rFonts w:hint="eastAsia" w:ascii="微软雅黑" w:hAnsi="微软雅黑" w:eastAsia="微软雅黑"/>
              <w:sz w:val="22"/>
              <w:szCs w:val="22"/>
            </w:rPr>
            <w:t>-00</w:t>
          </w:r>
          <w:r>
            <w:rPr>
              <w:rFonts w:hint="eastAsia" w:ascii="微软雅黑" w:hAnsi="微软雅黑" w:eastAsia="微软雅黑"/>
              <w:sz w:val="22"/>
              <w:szCs w:val="22"/>
              <w:lang w:val="en-US"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1922" w:type="dxa"/>
          <w:vMerge w:val="continue"/>
          <w:vAlign w:val="center"/>
        </w:tcPr>
        <w:p>
          <w:pPr>
            <w:rPr>
              <w:rFonts w:ascii="华文细黑" w:hAnsi="华文细黑" w:eastAsia="华文细黑"/>
              <w:szCs w:val="21"/>
            </w:rPr>
          </w:pPr>
        </w:p>
      </w:tc>
      <w:tc>
        <w:tcPr>
          <w:tcW w:w="3449" w:type="dxa"/>
          <w:vAlign w:val="center"/>
        </w:tcPr>
        <w:p>
          <w:pPr>
            <w:spacing w:line="260" w:lineRule="exact"/>
            <w:jc w:val="center"/>
            <w:rPr>
              <w:rFonts w:ascii="微软雅黑" w:hAnsi="微软雅黑" w:eastAsia="微软雅黑" w:cs="Arial"/>
              <w:b/>
              <w:color w:val="000000"/>
              <w:sz w:val="22"/>
              <w:szCs w:val="22"/>
            </w:rPr>
          </w:pPr>
          <w:r>
            <w:rPr>
              <w:rFonts w:hint="eastAsia" w:ascii="微软雅黑" w:hAnsi="微软雅黑" w:eastAsia="微软雅黑" w:cs="Arial"/>
              <w:color w:val="000000"/>
              <w:sz w:val="22"/>
              <w:szCs w:val="22"/>
            </w:rPr>
            <w:t>生效日期：20</w:t>
          </w:r>
          <w:r>
            <w:rPr>
              <w:rFonts w:hint="eastAsia" w:ascii="微软雅黑" w:hAnsi="微软雅黑" w:eastAsia="微软雅黑" w:cs="Arial"/>
              <w:color w:val="000000"/>
              <w:sz w:val="22"/>
              <w:szCs w:val="22"/>
              <w:lang w:val="en-US" w:eastAsia="zh-CN"/>
            </w:rPr>
            <w:t>21</w:t>
          </w:r>
          <w:r>
            <w:rPr>
              <w:rFonts w:hint="eastAsia" w:ascii="微软雅黑" w:hAnsi="微软雅黑" w:eastAsia="微软雅黑" w:cs="Arial"/>
              <w:color w:val="000000"/>
              <w:sz w:val="22"/>
              <w:szCs w:val="22"/>
            </w:rPr>
            <w:t>年</w:t>
          </w:r>
          <w:r>
            <w:rPr>
              <w:rFonts w:hint="eastAsia" w:ascii="微软雅黑" w:hAnsi="微软雅黑" w:eastAsia="微软雅黑" w:cs="Arial"/>
              <w:color w:val="000000"/>
              <w:sz w:val="22"/>
              <w:szCs w:val="22"/>
              <w:lang w:val="en-US" w:eastAsia="zh-CN"/>
            </w:rPr>
            <w:t>01</w:t>
          </w:r>
          <w:r>
            <w:rPr>
              <w:rFonts w:hint="eastAsia" w:ascii="微软雅黑" w:hAnsi="微软雅黑" w:eastAsia="微软雅黑" w:cs="Arial"/>
              <w:color w:val="000000"/>
              <w:sz w:val="22"/>
              <w:szCs w:val="22"/>
            </w:rPr>
            <w:t>月0</w:t>
          </w:r>
          <w:r>
            <w:rPr>
              <w:rFonts w:hint="eastAsia" w:ascii="微软雅黑" w:hAnsi="微软雅黑" w:eastAsia="微软雅黑" w:cs="Arial"/>
              <w:color w:val="000000"/>
              <w:sz w:val="22"/>
              <w:szCs w:val="22"/>
              <w:lang w:val="en-US" w:eastAsia="zh-CN"/>
            </w:rPr>
            <w:t>1</w:t>
          </w:r>
          <w:r>
            <w:rPr>
              <w:rFonts w:hint="eastAsia" w:ascii="微软雅黑" w:hAnsi="微软雅黑" w:eastAsia="微软雅黑" w:cs="Arial"/>
              <w:color w:val="000000"/>
              <w:sz w:val="22"/>
              <w:szCs w:val="22"/>
            </w:rPr>
            <w:t>日</w:t>
          </w:r>
        </w:p>
      </w:tc>
      <w:tc>
        <w:tcPr>
          <w:tcW w:w="1765" w:type="dxa"/>
          <w:vAlign w:val="center"/>
        </w:tcPr>
        <w:p>
          <w:pPr>
            <w:spacing w:beforeLines="50" w:afterLines="50" w:line="260" w:lineRule="exact"/>
            <w:jc w:val="center"/>
            <w:rPr>
              <w:rFonts w:hint="default" w:ascii="微软雅黑" w:hAnsi="微软雅黑" w:eastAsia="微软雅黑" w:cs="Arial"/>
              <w:sz w:val="22"/>
              <w:szCs w:val="22"/>
              <w:lang w:val="en-US" w:eastAsia="zh-CN"/>
            </w:rPr>
          </w:pPr>
          <w:r>
            <w:rPr>
              <w:rFonts w:hint="eastAsia" w:ascii="微软雅黑" w:hAnsi="微软雅黑" w:eastAsia="微软雅黑" w:cs="Arial"/>
              <w:sz w:val="22"/>
              <w:szCs w:val="22"/>
            </w:rPr>
            <w:t>版本：20</w:t>
          </w:r>
          <w:r>
            <w:rPr>
              <w:rFonts w:hint="eastAsia" w:ascii="微软雅黑" w:hAnsi="微软雅黑" w:eastAsia="微软雅黑" w:cs="Arial"/>
              <w:sz w:val="22"/>
              <w:szCs w:val="22"/>
              <w:lang w:val="en-US" w:eastAsia="zh-CN"/>
            </w:rPr>
            <w:t>21</w:t>
          </w:r>
        </w:p>
      </w:tc>
      <w:tc>
        <w:tcPr>
          <w:tcW w:w="2105" w:type="dxa"/>
          <w:vAlign w:val="center"/>
        </w:tcPr>
        <w:p>
          <w:pPr>
            <w:spacing w:beforeLines="50" w:afterLines="50" w:line="260" w:lineRule="exact"/>
            <w:jc w:val="center"/>
            <w:rPr>
              <w:rFonts w:ascii="微软雅黑" w:hAnsi="微软雅黑" w:eastAsia="微软雅黑" w:cs="Arial"/>
              <w:sz w:val="22"/>
              <w:szCs w:val="22"/>
            </w:rPr>
          </w:pPr>
          <w:r>
            <w:rPr>
              <w:rFonts w:hint="eastAsia" w:ascii="微软雅黑" w:hAnsi="微软雅黑" w:eastAsia="微软雅黑"/>
              <w:sz w:val="22"/>
              <w:szCs w:val="22"/>
            </w:rPr>
            <w:t>第</w:t>
          </w:r>
          <w:r>
            <w:rPr>
              <w:rStyle w:val="7"/>
              <w:rFonts w:ascii="微软雅黑" w:hAnsi="微软雅黑" w:eastAsia="微软雅黑"/>
              <w:sz w:val="22"/>
              <w:szCs w:val="22"/>
            </w:rPr>
            <w:fldChar w:fldCharType="begin"/>
          </w:r>
          <w:r>
            <w:rPr>
              <w:rStyle w:val="7"/>
              <w:rFonts w:ascii="微软雅黑" w:hAnsi="微软雅黑" w:eastAsia="微软雅黑"/>
              <w:sz w:val="22"/>
              <w:szCs w:val="22"/>
            </w:rPr>
            <w:instrText xml:space="preserve"> PAGE </w:instrText>
          </w:r>
          <w:r>
            <w:rPr>
              <w:rStyle w:val="7"/>
              <w:rFonts w:ascii="微软雅黑" w:hAnsi="微软雅黑" w:eastAsia="微软雅黑"/>
              <w:sz w:val="22"/>
              <w:szCs w:val="22"/>
            </w:rPr>
            <w:fldChar w:fldCharType="separate"/>
          </w:r>
          <w:r>
            <w:rPr>
              <w:rStyle w:val="7"/>
              <w:rFonts w:ascii="微软雅黑" w:hAnsi="微软雅黑" w:eastAsia="微软雅黑"/>
              <w:sz w:val="22"/>
              <w:szCs w:val="22"/>
            </w:rPr>
            <w:t>1</w:t>
          </w:r>
          <w:r>
            <w:rPr>
              <w:rStyle w:val="7"/>
              <w:rFonts w:ascii="微软雅黑" w:hAnsi="微软雅黑" w:eastAsia="微软雅黑"/>
              <w:sz w:val="22"/>
              <w:szCs w:val="22"/>
            </w:rPr>
            <w:fldChar w:fldCharType="end"/>
          </w:r>
          <w:r>
            <w:rPr>
              <w:rFonts w:hint="eastAsia" w:ascii="微软雅黑" w:hAnsi="微软雅黑" w:eastAsia="微软雅黑"/>
              <w:sz w:val="22"/>
              <w:szCs w:val="22"/>
            </w:rPr>
            <w:t>页 共</w:t>
          </w:r>
          <w:r>
            <w:rPr>
              <w:rStyle w:val="7"/>
              <w:rFonts w:hint="eastAsia" w:ascii="微软雅黑" w:hAnsi="微软雅黑" w:eastAsia="微软雅黑"/>
              <w:sz w:val="22"/>
              <w:szCs w:val="22"/>
            </w:rPr>
            <w:t xml:space="preserve"> 3 </w:t>
          </w:r>
          <w:r>
            <w:rPr>
              <w:rFonts w:hint="eastAsia" w:ascii="微软雅黑" w:hAnsi="微软雅黑" w:eastAsia="微软雅黑"/>
              <w:sz w:val="22"/>
              <w:szCs w:val="22"/>
            </w:rPr>
            <w:t>页</w:t>
          </w:r>
        </w:p>
      </w:tc>
    </w:tr>
  </w:tbl>
  <w:p>
    <w:pPr>
      <w:pStyle w:val="4"/>
      <w:jc w:val="both"/>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F4320F5"/>
    <w:multiLevelType w:val="multilevel"/>
    <w:tmpl w:val="0F4320F5"/>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
    <w:nsid w:val="1DEF12FC"/>
    <w:multiLevelType w:val="multilevel"/>
    <w:tmpl w:val="1DEF12FC"/>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
    <w:nsid w:val="28E103EA"/>
    <w:multiLevelType w:val="multilevel"/>
    <w:tmpl w:val="28E103EA"/>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3">
    <w:nsid w:val="366B6AA4"/>
    <w:multiLevelType w:val="multilevel"/>
    <w:tmpl w:val="366B6AA4"/>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4">
    <w:nsid w:val="36CA2C3A"/>
    <w:multiLevelType w:val="multilevel"/>
    <w:tmpl w:val="36CA2C3A"/>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5">
    <w:nsid w:val="51D929E2"/>
    <w:multiLevelType w:val="multilevel"/>
    <w:tmpl w:val="51D929E2"/>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6">
    <w:nsid w:val="54021532"/>
    <w:multiLevelType w:val="multilevel"/>
    <w:tmpl w:val="54021532"/>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7">
    <w:nsid w:val="563732C2"/>
    <w:multiLevelType w:val="multilevel"/>
    <w:tmpl w:val="563732C2"/>
    <w:lvl w:ilvl="0" w:tentative="0">
      <w:start w:val="1"/>
      <w:numFmt w:val="japaneseCounting"/>
      <w:lvlText w:val="%1、"/>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8">
    <w:nsid w:val="5DD744D7"/>
    <w:multiLevelType w:val="multilevel"/>
    <w:tmpl w:val="5DD744D7"/>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9">
    <w:nsid w:val="61FE2A6A"/>
    <w:multiLevelType w:val="multilevel"/>
    <w:tmpl w:val="61FE2A6A"/>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0">
    <w:nsid w:val="634C21CC"/>
    <w:multiLevelType w:val="multilevel"/>
    <w:tmpl w:val="634C21CC"/>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1">
    <w:nsid w:val="67EE74D7"/>
    <w:multiLevelType w:val="multilevel"/>
    <w:tmpl w:val="67EE74D7"/>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7"/>
  </w:num>
  <w:num w:numId="2">
    <w:abstractNumId w:val="10"/>
  </w:num>
  <w:num w:numId="3">
    <w:abstractNumId w:val="3"/>
  </w:num>
  <w:num w:numId="4">
    <w:abstractNumId w:val="1"/>
  </w:num>
  <w:num w:numId="5">
    <w:abstractNumId w:val="11"/>
  </w:num>
  <w:num w:numId="6">
    <w:abstractNumId w:val="8"/>
  </w:num>
  <w:num w:numId="7">
    <w:abstractNumId w:val="9"/>
  </w:num>
  <w:num w:numId="8">
    <w:abstractNumId w:val="0"/>
  </w:num>
  <w:num w:numId="9">
    <w:abstractNumId w:val="5"/>
  </w:num>
  <w:num w:numId="10">
    <w:abstractNumId w:val="6"/>
  </w:num>
  <w:num w:numId="11">
    <w:abstractNumId w:val="2"/>
  </w:num>
  <w:num w:numId="1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B579C0"/>
    <w:rsid w:val="00012AC8"/>
    <w:rsid w:val="00063C49"/>
    <w:rsid w:val="000D6299"/>
    <w:rsid w:val="000E3C37"/>
    <w:rsid w:val="000F712C"/>
    <w:rsid w:val="00123344"/>
    <w:rsid w:val="00151A70"/>
    <w:rsid w:val="001609A6"/>
    <w:rsid w:val="00180857"/>
    <w:rsid w:val="001A6F45"/>
    <w:rsid w:val="001C326C"/>
    <w:rsid w:val="001C42EC"/>
    <w:rsid w:val="0020643B"/>
    <w:rsid w:val="00226349"/>
    <w:rsid w:val="0024275E"/>
    <w:rsid w:val="00265C50"/>
    <w:rsid w:val="002821FC"/>
    <w:rsid w:val="00296F72"/>
    <w:rsid w:val="002F0FA3"/>
    <w:rsid w:val="0030303E"/>
    <w:rsid w:val="0032520C"/>
    <w:rsid w:val="00331295"/>
    <w:rsid w:val="00335C0E"/>
    <w:rsid w:val="00335CBD"/>
    <w:rsid w:val="00361B4F"/>
    <w:rsid w:val="0043775E"/>
    <w:rsid w:val="004C69B6"/>
    <w:rsid w:val="004E4F70"/>
    <w:rsid w:val="00507E4A"/>
    <w:rsid w:val="00530FF3"/>
    <w:rsid w:val="00533856"/>
    <w:rsid w:val="00535674"/>
    <w:rsid w:val="005516EA"/>
    <w:rsid w:val="00556960"/>
    <w:rsid w:val="00600C9F"/>
    <w:rsid w:val="006159DB"/>
    <w:rsid w:val="00616211"/>
    <w:rsid w:val="00683348"/>
    <w:rsid w:val="006A5F36"/>
    <w:rsid w:val="006B1C4C"/>
    <w:rsid w:val="006B7669"/>
    <w:rsid w:val="006C240F"/>
    <w:rsid w:val="00754FF3"/>
    <w:rsid w:val="00760C8A"/>
    <w:rsid w:val="00786189"/>
    <w:rsid w:val="00790AA4"/>
    <w:rsid w:val="007C2274"/>
    <w:rsid w:val="007C3A4E"/>
    <w:rsid w:val="007D5FA9"/>
    <w:rsid w:val="008000BD"/>
    <w:rsid w:val="008141D0"/>
    <w:rsid w:val="00814F92"/>
    <w:rsid w:val="008206A2"/>
    <w:rsid w:val="00867345"/>
    <w:rsid w:val="008D571C"/>
    <w:rsid w:val="008F66CE"/>
    <w:rsid w:val="008F7069"/>
    <w:rsid w:val="00912DC5"/>
    <w:rsid w:val="009258C9"/>
    <w:rsid w:val="009444C1"/>
    <w:rsid w:val="009563C6"/>
    <w:rsid w:val="009E620C"/>
    <w:rsid w:val="009F0A8A"/>
    <w:rsid w:val="00A37853"/>
    <w:rsid w:val="00A55EE6"/>
    <w:rsid w:val="00A65225"/>
    <w:rsid w:val="00A674DE"/>
    <w:rsid w:val="00AC4B54"/>
    <w:rsid w:val="00B01A35"/>
    <w:rsid w:val="00B06401"/>
    <w:rsid w:val="00B40C55"/>
    <w:rsid w:val="00B579C0"/>
    <w:rsid w:val="00BB3596"/>
    <w:rsid w:val="00BF6DED"/>
    <w:rsid w:val="00C15489"/>
    <w:rsid w:val="00C24C3C"/>
    <w:rsid w:val="00C47C50"/>
    <w:rsid w:val="00C643FF"/>
    <w:rsid w:val="00C66176"/>
    <w:rsid w:val="00CC1930"/>
    <w:rsid w:val="00CF0C83"/>
    <w:rsid w:val="00CF6B99"/>
    <w:rsid w:val="00D00B91"/>
    <w:rsid w:val="00D330D5"/>
    <w:rsid w:val="00D52B74"/>
    <w:rsid w:val="00D53B0E"/>
    <w:rsid w:val="00D85AAE"/>
    <w:rsid w:val="00DA4FCD"/>
    <w:rsid w:val="00DD6C1C"/>
    <w:rsid w:val="00E5268E"/>
    <w:rsid w:val="00E5303D"/>
    <w:rsid w:val="00E63F82"/>
    <w:rsid w:val="00EA117C"/>
    <w:rsid w:val="00EA6050"/>
    <w:rsid w:val="00EC2CD9"/>
    <w:rsid w:val="00EC471A"/>
    <w:rsid w:val="00ED4114"/>
    <w:rsid w:val="00ED5D22"/>
    <w:rsid w:val="00ED7970"/>
    <w:rsid w:val="00EE3BAD"/>
    <w:rsid w:val="00EE7CE2"/>
    <w:rsid w:val="00F13A39"/>
    <w:rsid w:val="00F16598"/>
    <w:rsid w:val="00F47899"/>
    <w:rsid w:val="00F63598"/>
    <w:rsid w:val="00FB2E5D"/>
    <w:rsid w:val="00FD0D84"/>
    <w:rsid w:val="00FE0AB5"/>
    <w:rsid w:val="165067F7"/>
    <w:rsid w:val="35806E02"/>
    <w:rsid w:val="45BC2845"/>
    <w:rsid w:val="4DD93818"/>
    <w:rsid w:val="625379C3"/>
    <w:rsid w:val="672871B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unhideWhenUsed/>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8"/>
    <w:semiHidden/>
    <w:unhideWhenUsed/>
    <w:uiPriority w:val="99"/>
    <w:rPr>
      <w:sz w:val="18"/>
      <w:szCs w:val="18"/>
    </w:rPr>
  </w:style>
  <w:style w:type="paragraph" w:styleId="3">
    <w:name w:val="footer"/>
    <w:basedOn w:val="1"/>
    <w:link w:val="10"/>
    <w:semiHidden/>
    <w:unhideWhenUsed/>
    <w:uiPriority w:val="99"/>
    <w:pPr>
      <w:tabs>
        <w:tab w:val="center" w:pos="4153"/>
        <w:tab w:val="right" w:pos="8306"/>
      </w:tabs>
      <w:snapToGrid w:val="0"/>
      <w:jc w:val="left"/>
    </w:pPr>
    <w:rPr>
      <w:sz w:val="18"/>
      <w:szCs w:val="18"/>
    </w:rPr>
  </w:style>
  <w:style w:type="paragraph" w:styleId="4">
    <w:name w:val="header"/>
    <w:basedOn w:val="1"/>
    <w:link w:val="9"/>
    <w:unhideWhenUsed/>
    <w:qFormat/>
    <w:uiPriority w:val="99"/>
    <w:pPr>
      <w:pBdr>
        <w:bottom w:val="single" w:color="auto" w:sz="6" w:space="1"/>
      </w:pBdr>
      <w:tabs>
        <w:tab w:val="center" w:pos="4153"/>
        <w:tab w:val="right" w:pos="8306"/>
      </w:tabs>
      <w:snapToGrid w:val="0"/>
      <w:jc w:val="center"/>
    </w:pPr>
    <w:rPr>
      <w:sz w:val="18"/>
      <w:szCs w:val="18"/>
    </w:rPr>
  </w:style>
  <w:style w:type="character" w:styleId="7">
    <w:name w:val="page number"/>
    <w:basedOn w:val="6"/>
    <w:uiPriority w:val="0"/>
  </w:style>
  <w:style w:type="character" w:customStyle="1" w:styleId="8">
    <w:name w:val="批注框文本 Char"/>
    <w:basedOn w:val="6"/>
    <w:link w:val="2"/>
    <w:semiHidden/>
    <w:qFormat/>
    <w:uiPriority w:val="99"/>
    <w:rPr>
      <w:rFonts w:ascii="Times New Roman" w:hAnsi="Times New Roman" w:eastAsia="宋体" w:cs="Times New Roman"/>
      <w:sz w:val="18"/>
      <w:szCs w:val="18"/>
    </w:rPr>
  </w:style>
  <w:style w:type="character" w:customStyle="1" w:styleId="9">
    <w:name w:val="页眉 Char"/>
    <w:basedOn w:val="6"/>
    <w:link w:val="4"/>
    <w:uiPriority w:val="99"/>
    <w:rPr>
      <w:rFonts w:ascii="Times New Roman" w:hAnsi="Times New Roman" w:eastAsia="宋体" w:cs="Times New Roman"/>
      <w:sz w:val="18"/>
      <w:szCs w:val="18"/>
    </w:rPr>
  </w:style>
  <w:style w:type="character" w:customStyle="1" w:styleId="10">
    <w:name w:val="页脚 Char"/>
    <w:basedOn w:val="6"/>
    <w:link w:val="3"/>
    <w:semiHidden/>
    <w:uiPriority w:val="99"/>
    <w:rPr>
      <w:rFonts w:ascii="Times New Roman" w:hAnsi="Times New Roman" w:eastAsia="宋体" w:cs="Times New Roman"/>
      <w:sz w:val="18"/>
      <w:szCs w:val="18"/>
    </w:rPr>
  </w:style>
  <w:style w:type="paragraph" w:styleId="11">
    <w:name w:val="List Paragraph"/>
    <w:basedOn w:val="1"/>
    <w:qFormat/>
    <w:uiPriority w:val="34"/>
    <w:pPr>
      <w:ind w:firstLine="420" w:firstLineChars="200"/>
    </w:pPr>
    <w:rPr>
      <w:rFonts w:ascii="Calibri" w:hAnsi="Calibri"/>
      <w:szCs w:val="22"/>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3</Pages>
  <Words>175</Words>
  <Characters>1001</Characters>
  <Lines>8</Lines>
  <Paragraphs>2</Paragraphs>
  <TotalTime>101</TotalTime>
  <ScaleCrop>false</ScaleCrop>
  <LinksUpToDate>false</LinksUpToDate>
  <CharactersWithSpaces>1174</CharactersWithSpaces>
  <Application>WPS Office_11.1.0.10495_F1E327BC-269C-435d-A152-05C5408002CA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2012-03-15T01:17:00Z</dcterms:created>
  <dc:creator>白艳娜</dc:creator>
  <cp:lastModifiedBy>Administrator</cp:lastModifiedBy>
  <dcterms:modified xsi:type="dcterms:W3CDTF">2021-06-06T04:38:42Z</dcterms:modified>
  <cp:revision>48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2052-11.1.0.10495</vt:lpwstr>
  </property>
  <property fmtid="{D5CDD505-2E9C-101B-9397-08002B2CF9AE}" pid="3" name="ICV">
    <vt:lpwstr>71961B84AFF0465280373CFAA9308DE9</vt:lpwstr>
  </property>
</Properties>
</file>