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Theme="majorEastAsia" w:hAnsiTheme="majorEastAsia" w:eastAsiaTheme="majorEastAsia"/>
          <w:b/>
          <w:sz w:val="40"/>
          <w:szCs w:val="28"/>
        </w:rPr>
      </w:pPr>
      <w:r>
        <w:rPr>
          <w:rFonts w:hint="eastAsia" w:asciiTheme="majorEastAsia" w:hAnsiTheme="majorEastAsia" w:eastAsiaTheme="majorEastAsia"/>
          <w:b/>
          <w:sz w:val="44"/>
          <w:szCs w:val="32"/>
        </w:rPr>
        <w:t>用火、用电安全管理制度</w:t>
      </w:r>
    </w:p>
    <w:p>
      <w:pPr>
        <w:jc w:val="left"/>
        <w:rPr>
          <w:rFonts w:asciiTheme="majorEastAsia" w:hAnsiTheme="majorEastAsia" w:eastAsiaTheme="majorEastAsia"/>
          <w:b/>
          <w:sz w:val="10"/>
          <w:szCs w:val="10"/>
        </w:rPr>
      </w:pPr>
    </w:p>
    <w:p>
      <w:pPr>
        <w:keepNext w:val="0"/>
        <w:keepLines w:val="0"/>
        <w:pageBreakBefore w:val="0"/>
        <w:kinsoku/>
        <w:wordWrap/>
        <w:overflowPunct/>
        <w:topLinePunct w:val="0"/>
        <w:autoSpaceDE/>
        <w:autoSpaceDN/>
        <w:bidi w:val="0"/>
        <w:adjustRightInd/>
        <w:snapToGrid/>
        <w:spacing w:before="157" w:beforeLines="50" w:after="157" w:afterLines="50" w:line="440" w:lineRule="exact"/>
        <w:jc w:val="left"/>
        <w:textAlignment w:val="auto"/>
        <w:rPr>
          <w:rFonts w:asciiTheme="majorEastAsia" w:hAnsiTheme="majorEastAsia" w:eastAsiaTheme="majorEastAsia"/>
          <w:b/>
          <w:sz w:val="24"/>
        </w:rPr>
      </w:pPr>
      <w:r>
        <w:rPr>
          <w:rFonts w:hint="eastAsia" w:asciiTheme="majorEastAsia" w:hAnsiTheme="majorEastAsia" w:eastAsiaTheme="majorEastAsia"/>
          <w:b/>
          <w:sz w:val="24"/>
        </w:rPr>
        <w:t>一、目的</w:t>
      </w:r>
    </w:p>
    <w:p>
      <w:pPr>
        <w:keepNext w:val="0"/>
        <w:keepLines w:val="0"/>
        <w:pageBreakBefore w:val="0"/>
        <w:kinsoku/>
        <w:wordWrap/>
        <w:overflowPunct/>
        <w:topLinePunct w:val="0"/>
        <w:autoSpaceDE/>
        <w:autoSpaceDN/>
        <w:bidi w:val="0"/>
        <w:adjustRightInd/>
        <w:snapToGrid/>
        <w:spacing w:before="157" w:beforeLines="50" w:after="157" w:afterLines="50" w:line="440" w:lineRule="exact"/>
        <w:ind w:firstLine="480" w:firstLineChars="200"/>
        <w:jc w:val="left"/>
        <w:textAlignment w:val="auto"/>
        <w:rPr>
          <w:rFonts w:asciiTheme="majorEastAsia" w:hAnsiTheme="majorEastAsia" w:eastAsiaTheme="majorEastAsia"/>
          <w:color w:val="000000"/>
          <w:sz w:val="24"/>
        </w:rPr>
      </w:pPr>
      <w:r>
        <w:rPr>
          <w:rFonts w:hint="eastAsia" w:asciiTheme="majorEastAsia" w:hAnsiTheme="majorEastAsia" w:eastAsiaTheme="majorEastAsia"/>
          <w:color w:val="000000"/>
          <w:sz w:val="24"/>
        </w:rPr>
        <w:t>为了</w:t>
      </w:r>
      <w:r>
        <w:rPr>
          <w:rFonts w:hint="eastAsia" w:asciiTheme="majorEastAsia" w:hAnsiTheme="majorEastAsia" w:eastAsiaTheme="majorEastAsia"/>
          <w:color w:val="000000"/>
          <w:sz w:val="24"/>
          <w:lang w:eastAsia="zh-CN"/>
        </w:rPr>
        <w:t>南充仁和春天</w:t>
      </w:r>
      <w:r>
        <w:rPr>
          <w:rFonts w:hint="eastAsia" w:asciiTheme="majorEastAsia" w:hAnsiTheme="majorEastAsia" w:eastAsiaTheme="majorEastAsia"/>
          <w:color w:val="000000"/>
          <w:sz w:val="24"/>
        </w:rPr>
        <w:t>广场管理区域商户的作业安全，保障经营秩序的顺利。</w:t>
      </w:r>
    </w:p>
    <w:p>
      <w:pPr>
        <w:keepNext w:val="0"/>
        <w:keepLines w:val="0"/>
        <w:pageBreakBefore w:val="0"/>
        <w:kinsoku/>
        <w:wordWrap/>
        <w:overflowPunct/>
        <w:topLinePunct w:val="0"/>
        <w:autoSpaceDE/>
        <w:autoSpaceDN/>
        <w:bidi w:val="0"/>
        <w:adjustRightInd/>
        <w:snapToGrid/>
        <w:spacing w:before="157" w:beforeLines="50" w:after="157" w:afterLines="50" w:line="440" w:lineRule="exact"/>
        <w:jc w:val="left"/>
        <w:textAlignment w:val="auto"/>
        <w:rPr>
          <w:rFonts w:asciiTheme="majorEastAsia" w:hAnsiTheme="majorEastAsia" w:eastAsiaTheme="majorEastAsia"/>
          <w:b/>
          <w:color w:val="000000"/>
          <w:sz w:val="24"/>
        </w:rPr>
      </w:pPr>
      <w:r>
        <w:rPr>
          <w:rFonts w:hint="eastAsia" w:asciiTheme="majorEastAsia" w:hAnsiTheme="majorEastAsia" w:eastAsiaTheme="majorEastAsia"/>
          <w:b/>
          <w:color w:val="000000"/>
          <w:sz w:val="24"/>
        </w:rPr>
        <w:t>二、适用范围</w:t>
      </w:r>
    </w:p>
    <w:p>
      <w:pPr>
        <w:keepNext w:val="0"/>
        <w:keepLines w:val="0"/>
        <w:pageBreakBefore w:val="0"/>
        <w:kinsoku/>
        <w:wordWrap/>
        <w:overflowPunct/>
        <w:topLinePunct w:val="0"/>
        <w:autoSpaceDE/>
        <w:autoSpaceDN/>
        <w:bidi w:val="0"/>
        <w:adjustRightInd/>
        <w:snapToGrid/>
        <w:spacing w:before="157" w:beforeLines="50" w:after="157" w:afterLines="50" w:line="440" w:lineRule="exact"/>
        <w:ind w:firstLine="480" w:firstLineChars="200"/>
        <w:jc w:val="left"/>
        <w:textAlignment w:val="auto"/>
        <w:rPr>
          <w:rFonts w:asciiTheme="majorEastAsia" w:hAnsiTheme="majorEastAsia" w:eastAsiaTheme="majorEastAsia"/>
          <w:sz w:val="24"/>
        </w:rPr>
      </w:pPr>
      <w:r>
        <w:rPr>
          <w:rFonts w:hint="eastAsia" w:asciiTheme="majorEastAsia" w:hAnsiTheme="majorEastAsia" w:eastAsiaTheme="majorEastAsia"/>
          <w:sz w:val="24"/>
        </w:rPr>
        <w:t>适用于</w:t>
      </w:r>
      <w:r>
        <w:rPr>
          <w:rFonts w:hint="eastAsia" w:asciiTheme="majorEastAsia" w:hAnsiTheme="majorEastAsia" w:eastAsiaTheme="majorEastAsia"/>
          <w:sz w:val="24"/>
          <w:lang w:eastAsia="zh-CN"/>
        </w:rPr>
        <w:t>南充仁和春天</w:t>
      </w:r>
      <w:r>
        <w:rPr>
          <w:rFonts w:hint="eastAsia" w:asciiTheme="majorEastAsia" w:hAnsiTheme="majorEastAsia" w:eastAsiaTheme="majorEastAsia"/>
          <w:sz w:val="24"/>
        </w:rPr>
        <w:t>广场</w:t>
      </w:r>
      <w:r>
        <w:rPr>
          <w:rFonts w:hint="eastAsia" w:asciiTheme="majorEastAsia" w:hAnsiTheme="majorEastAsia" w:eastAsiaTheme="majorEastAsia"/>
          <w:sz w:val="24"/>
          <w:lang w:eastAsia="zh-CN"/>
        </w:rPr>
        <w:t>物业</w:t>
      </w:r>
      <w:r>
        <w:rPr>
          <w:rFonts w:hint="eastAsia" w:asciiTheme="majorEastAsia" w:hAnsiTheme="majorEastAsia" w:eastAsiaTheme="majorEastAsia"/>
          <w:sz w:val="24"/>
        </w:rPr>
        <w:t>安防部。</w:t>
      </w:r>
      <w:bookmarkStart w:id="0" w:name="_GoBack"/>
      <w:bookmarkEnd w:id="0"/>
    </w:p>
    <w:p>
      <w:pPr>
        <w:keepNext w:val="0"/>
        <w:keepLines w:val="0"/>
        <w:pageBreakBefore w:val="0"/>
        <w:kinsoku/>
        <w:wordWrap/>
        <w:overflowPunct/>
        <w:topLinePunct w:val="0"/>
        <w:autoSpaceDE/>
        <w:autoSpaceDN/>
        <w:bidi w:val="0"/>
        <w:adjustRightInd/>
        <w:snapToGrid/>
        <w:spacing w:before="157" w:beforeLines="50" w:after="157" w:afterLines="50" w:line="440" w:lineRule="exact"/>
        <w:jc w:val="left"/>
        <w:textAlignment w:val="auto"/>
        <w:rPr>
          <w:rFonts w:asciiTheme="majorEastAsia" w:hAnsiTheme="majorEastAsia" w:eastAsiaTheme="majorEastAsia"/>
          <w:b/>
          <w:sz w:val="24"/>
        </w:rPr>
      </w:pPr>
      <w:r>
        <w:rPr>
          <w:rFonts w:hint="eastAsia" w:asciiTheme="majorEastAsia" w:hAnsiTheme="majorEastAsia" w:eastAsiaTheme="majorEastAsia"/>
          <w:b/>
          <w:sz w:val="24"/>
        </w:rPr>
        <w:t>三、职责内容</w:t>
      </w:r>
    </w:p>
    <w:p>
      <w:pPr>
        <w:pStyle w:val="11"/>
        <w:keepNext w:val="0"/>
        <w:keepLines w:val="0"/>
        <w:pageBreakBefore w:val="0"/>
        <w:widowControl/>
        <w:numPr>
          <w:ilvl w:val="0"/>
          <w:numId w:val="1"/>
        </w:numPr>
        <w:kinsoku/>
        <w:wordWrap/>
        <w:overflowPunct/>
        <w:topLinePunct w:val="0"/>
        <w:autoSpaceDE/>
        <w:autoSpaceDN/>
        <w:bidi w:val="0"/>
        <w:adjustRightInd/>
        <w:snapToGrid/>
        <w:spacing w:before="157" w:beforeLines="50" w:after="157" w:afterLines="50" w:line="440" w:lineRule="exact"/>
        <w:ind w:left="851" w:hanging="425"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用电安全管理： </w:t>
      </w:r>
    </w:p>
    <w:p>
      <w:pPr>
        <w:pStyle w:val="11"/>
        <w:keepNext w:val="0"/>
        <w:keepLines w:val="0"/>
        <w:pageBreakBefore w:val="0"/>
        <w:widowControl/>
        <w:numPr>
          <w:ilvl w:val="0"/>
          <w:numId w:val="2"/>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严禁随意拉设电线，严禁超负荷用电。 </w:t>
      </w:r>
    </w:p>
    <w:p>
      <w:pPr>
        <w:pStyle w:val="11"/>
        <w:keepNext w:val="0"/>
        <w:keepLines w:val="0"/>
        <w:pageBreakBefore w:val="0"/>
        <w:widowControl/>
        <w:numPr>
          <w:ilvl w:val="0"/>
          <w:numId w:val="2"/>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各部门/经营商户的电气线路、设备安装应经</w:t>
      </w:r>
      <w:r>
        <w:rPr>
          <w:rFonts w:hint="eastAsia" w:asciiTheme="majorEastAsia" w:hAnsiTheme="majorEastAsia" w:eastAsiaTheme="majorEastAsia"/>
          <w:sz w:val="24"/>
          <w:szCs w:val="21"/>
          <w:lang w:eastAsia="zh-CN"/>
        </w:rPr>
        <w:t>南充</w:t>
      </w:r>
      <w:r>
        <w:rPr>
          <w:rFonts w:hint="eastAsia" w:asciiTheme="majorEastAsia" w:hAnsiTheme="majorEastAsia" w:eastAsiaTheme="majorEastAsia"/>
          <w:sz w:val="24"/>
          <w:szCs w:val="21"/>
        </w:rPr>
        <w:t>商管工程部批准后由具备施工资质的单位/持证电工负责实施。</w:t>
      </w:r>
    </w:p>
    <w:p>
      <w:pPr>
        <w:pStyle w:val="11"/>
        <w:keepNext w:val="0"/>
        <w:keepLines w:val="0"/>
        <w:pageBreakBefore w:val="0"/>
        <w:widowControl/>
        <w:numPr>
          <w:ilvl w:val="0"/>
          <w:numId w:val="2"/>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南部商管各部门及经营商家下班后，该关闭的电源应予以关闭。 </w:t>
      </w:r>
    </w:p>
    <w:p>
      <w:pPr>
        <w:pStyle w:val="11"/>
        <w:keepNext w:val="0"/>
        <w:keepLines w:val="0"/>
        <w:pageBreakBefore w:val="0"/>
        <w:widowControl/>
        <w:numPr>
          <w:ilvl w:val="0"/>
          <w:numId w:val="2"/>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禁止私用电热棒、电炉等大功率电器。 </w:t>
      </w:r>
    </w:p>
    <w:p>
      <w:pPr>
        <w:pStyle w:val="11"/>
        <w:keepNext w:val="0"/>
        <w:keepLines w:val="0"/>
        <w:pageBreakBefore w:val="0"/>
        <w:widowControl/>
        <w:numPr>
          <w:ilvl w:val="0"/>
          <w:numId w:val="1"/>
        </w:numPr>
        <w:kinsoku/>
        <w:wordWrap/>
        <w:overflowPunct/>
        <w:topLinePunct w:val="0"/>
        <w:autoSpaceDE/>
        <w:autoSpaceDN/>
        <w:bidi w:val="0"/>
        <w:adjustRightInd/>
        <w:snapToGrid/>
        <w:spacing w:before="157" w:beforeLines="50" w:after="157" w:afterLines="50" w:line="440" w:lineRule="exact"/>
        <w:ind w:left="851" w:hanging="425"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用火安全管理： </w:t>
      </w:r>
    </w:p>
    <w:p>
      <w:pPr>
        <w:pStyle w:val="11"/>
        <w:keepNext w:val="0"/>
        <w:keepLines w:val="0"/>
        <w:pageBreakBefore w:val="0"/>
        <w:widowControl/>
        <w:numPr>
          <w:ilvl w:val="0"/>
          <w:numId w:val="3"/>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严格执行动火审批制度，确需动火作业时，作业单位应按规定向南</w:t>
      </w:r>
      <w:r>
        <w:rPr>
          <w:rFonts w:hint="eastAsia" w:asciiTheme="majorEastAsia" w:hAnsiTheme="majorEastAsia" w:eastAsiaTheme="majorEastAsia"/>
          <w:sz w:val="24"/>
          <w:szCs w:val="21"/>
          <w:lang w:eastAsia="zh-CN"/>
        </w:rPr>
        <w:t>充</w:t>
      </w:r>
      <w:r>
        <w:rPr>
          <w:rFonts w:hint="eastAsia" w:asciiTheme="majorEastAsia" w:hAnsiTheme="majorEastAsia" w:eastAsiaTheme="majorEastAsia"/>
          <w:sz w:val="24"/>
          <w:szCs w:val="21"/>
        </w:rPr>
        <w:t>商管安防、工程部门申请“动火许可证”。 </w:t>
      </w:r>
    </w:p>
    <w:p>
      <w:pPr>
        <w:pStyle w:val="11"/>
        <w:keepNext w:val="0"/>
        <w:keepLines w:val="0"/>
        <w:pageBreakBefore w:val="0"/>
        <w:widowControl/>
        <w:numPr>
          <w:ilvl w:val="0"/>
          <w:numId w:val="3"/>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动火作业前应清除动火点附近5米区域范围内的易燃易爆危险物品或作适当的安全隔离，并预备适当种类、数量的灭火器材随时备用，同时需派专人进行现场防火巡查。</w:t>
      </w:r>
    </w:p>
    <w:p>
      <w:pPr>
        <w:pStyle w:val="11"/>
        <w:keepNext w:val="0"/>
        <w:keepLines w:val="0"/>
        <w:pageBreakBefore w:val="0"/>
        <w:widowControl/>
        <w:numPr>
          <w:ilvl w:val="0"/>
          <w:numId w:val="3"/>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离地面2米以上的高架动火作业必须保证有一人在下方专职负责随时扑灭可能引燃其它物品的火花。 </w:t>
      </w:r>
    </w:p>
    <w:p>
      <w:pPr>
        <w:pStyle w:val="11"/>
        <w:keepNext w:val="0"/>
        <w:keepLines w:val="0"/>
        <w:pageBreakBefore w:val="0"/>
        <w:widowControl/>
        <w:numPr>
          <w:ilvl w:val="0"/>
          <w:numId w:val="3"/>
        </w:numPr>
        <w:kinsoku/>
        <w:wordWrap/>
        <w:overflowPunct/>
        <w:topLinePunct w:val="0"/>
        <w:autoSpaceDE/>
        <w:autoSpaceDN/>
        <w:bidi w:val="0"/>
        <w:adjustRightInd/>
        <w:snapToGrid/>
        <w:spacing w:before="157" w:beforeLines="50" w:after="157" w:afterLines="50" w:line="440" w:lineRule="exact"/>
        <w:ind w:left="420" w:leftChars="0" w:hanging="420" w:firstLineChars="0"/>
        <w:jc w:val="left"/>
        <w:textAlignment w:val="auto"/>
        <w:rPr>
          <w:rFonts w:asciiTheme="majorEastAsia" w:hAnsiTheme="majorEastAsia" w:eastAsiaTheme="majorEastAsia"/>
          <w:sz w:val="24"/>
          <w:szCs w:val="21"/>
        </w:rPr>
      </w:pPr>
      <w:r>
        <w:rPr>
          <w:rFonts w:hint="eastAsia" w:asciiTheme="majorEastAsia" w:hAnsiTheme="majorEastAsia" w:eastAsiaTheme="majorEastAsia"/>
          <w:sz w:val="24"/>
          <w:szCs w:val="21"/>
        </w:rPr>
        <w:t>未办理“动火许可证”擅自动火作业者，将对南</w:t>
      </w:r>
      <w:r>
        <w:rPr>
          <w:rFonts w:hint="eastAsia" w:asciiTheme="majorEastAsia" w:hAnsiTheme="majorEastAsia" w:eastAsiaTheme="majorEastAsia"/>
          <w:sz w:val="24"/>
          <w:szCs w:val="21"/>
          <w:lang w:eastAsia="zh-CN"/>
        </w:rPr>
        <w:t>充</w:t>
      </w:r>
      <w:r>
        <w:rPr>
          <w:rFonts w:hint="eastAsia" w:asciiTheme="majorEastAsia" w:hAnsiTheme="majorEastAsia" w:eastAsiaTheme="majorEastAsia"/>
          <w:sz w:val="24"/>
          <w:szCs w:val="21"/>
        </w:rPr>
        <w:t>商管部门责任人、施工单位/经营商家分别给予200-----2000人民币的处罚，造成重大消防安全事故或隐患者直至追究相关法律责任。</w:t>
      </w:r>
    </w:p>
    <w:sectPr>
      <w:headerReference r:id="rId3" w:type="default"/>
      <w:pgSz w:w="11906" w:h="16838"/>
      <w:pgMar w:top="1440" w:right="1644" w:bottom="1440" w:left="164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华文细黑">
    <w:altName w:val="微软雅黑"/>
    <w:panose1 w:val="02010600040101010101"/>
    <w:charset w:val="86"/>
    <w:family w:val="auto"/>
    <w:pitch w:val="default"/>
    <w:sig w:usb0="00000000" w:usb1="00000000" w:usb2="00000010" w:usb3="00000000" w:csb0="0004009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3449"/>
      <w:gridCol w:w="1765"/>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restart"/>
          <w:vAlign w:val="center"/>
        </w:tcPr>
        <w:p>
          <w:pPr>
            <w:jc w:val="center"/>
            <w:rPr>
              <w:rFonts w:ascii="宋体" w:hAnsi="宋体"/>
              <w:bCs/>
              <w:color w:val="000000"/>
              <w:sz w:val="24"/>
            </w:rPr>
          </w:pPr>
        </w:p>
      </w:tc>
      <w:tc>
        <w:tcPr>
          <w:tcW w:w="3449" w:type="dxa"/>
          <w:vAlign w:val="center"/>
        </w:tcPr>
        <w:p>
          <w:pPr>
            <w:spacing w:line="260" w:lineRule="exact"/>
            <w:jc w:val="center"/>
            <w:rPr>
              <w:rFonts w:hint="eastAsia" w:ascii="微软雅黑" w:hAnsi="微软雅黑" w:eastAsia="微软雅黑" w:cs="宋体"/>
              <w:sz w:val="22"/>
              <w:szCs w:val="22"/>
              <w:lang w:eastAsia="zh-CN"/>
            </w:rPr>
          </w:pPr>
          <w:r>
            <w:rPr>
              <w:rFonts w:hint="eastAsia" w:ascii="微软雅黑" w:hAnsi="微软雅黑" w:eastAsia="微软雅黑"/>
              <w:sz w:val="22"/>
              <w:szCs w:val="22"/>
              <w:lang w:eastAsia="zh-CN"/>
            </w:rPr>
            <w:t>南充仁和春天广场</w:t>
          </w:r>
        </w:p>
      </w:tc>
      <w:tc>
        <w:tcPr>
          <w:tcW w:w="3870" w:type="dxa"/>
          <w:gridSpan w:val="2"/>
          <w:vAlign w:val="center"/>
        </w:tcPr>
        <w:p>
          <w:pPr>
            <w:spacing w:beforeLines="50" w:afterLines="50" w:line="260" w:lineRule="exact"/>
            <w:jc w:val="center"/>
            <w:rPr>
              <w:rFonts w:hint="default" w:ascii="微软雅黑" w:hAnsi="微软雅黑" w:eastAsia="微软雅黑" w:cs="Arial"/>
              <w:sz w:val="22"/>
              <w:szCs w:val="22"/>
              <w:lang w:val="en-US" w:eastAsia="zh-CN"/>
            </w:rPr>
          </w:pPr>
          <w:r>
            <w:rPr>
              <w:rFonts w:hint="eastAsia" w:ascii="微软雅黑" w:hAnsi="微软雅黑" w:eastAsia="微软雅黑" w:cs="Arial"/>
              <w:sz w:val="22"/>
              <w:szCs w:val="22"/>
            </w:rPr>
            <w:t>编号：</w:t>
          </w:r>
          <w:r>
            <w:rPr>
              <w:rFonts w:hint="eastAsia" w:ascii="微软雅黑" w:hAnsi="微软雅黑" w:eastAsia="微软雅黑"/>
              <w:sz w:val="22"/>
              <w:szCs w:val="22"/>
            </w:rPr>
            <w:t>N</w:t>
          </w:r>
          <w:r>
            <w:rPr>
              <w:rFonts w:hint="eastAsia" w:ascii="微软雅黑" w:hAnsi="微软雅黑" w:eastAsia="微软雅黑"/>
              <w:sz w:val="22"/>
              <w:szCs w:val="22"/>
              <w:lang w:val="en-US" w:eastAsia="zh-CN"/>
            </w:rPr>
            <w:t>C</w:t>
          </w:r>
          <w:r>
            <w:rPr>
              <w:rFonts w:hint="eastAsia" w:ascii="微软雅黑" w:hAnsi="微软雅黑" w:eastAsia="微软雅黑"/>
              <w:sz w:val="22"/>
              <w:szCs w:val="22"/>
            </w:rPr>
            <w:t>SG-</w:t>
          </w:r>
          <w:r>
            <w:rPr>
              <w:rFonts w:hint="eastAsia" w:ascii="微软雅黑" w:hAnsi="微软雅黑" w:eastAsia="微软雅黑"/>
              <w:kern w:val="0"/>
              <w:sz w:val="22"/>
              <w:szCs w:val="22"/>
            </w:rPr>
            <w:t>GCWYB-</w:t>
          </w:r>
          <w:r>
            <w:rPr>
              <w:rFonts w:hint="eastAsia" w:ascii="微软雅黑" w:hAnsi="微软雅黑" w:eastAsia="微软雅黑"/>
              <w:kern w:val="0"/>
              <w:sz w:val="22"/>
              <w:szCs w:val="22"/>
              <w:lang w:val="en-US" w:eastAsia="zh-CN"/>
            </w:rPr>
            <w:t>A</w:t>
          </w:r>
          <w:r>
            <w:rPr>
              <w:rFonts w:hint="eastAsia" w:ascii="微软雅黑" w:hAnsi="微软雅黑" w:eastAsia="微软雅黑"/>
              <w:kern w:val="0"/>
              <w:sz w:val="22"/>
              <w:szCs w:val="22"/>
            </w:rPr>
            <w:t>F-0</w:t>
          </w:r>
          <w:r>
            <w:rPr>
              <w:rFonts w:hint="eastAsia" w:ascii="微软雅黑" w:hAnsi="微软雅黑" w:eastAsia="微软雅黑"/>
              <w:kern w:val="0"/>
              <w:sz w:val="22"/>
              <w:szCs w:val="22"/>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continue"/>
          <w:vAlign w:val="center"/>
        </w:tcPr>
        <w:p>
          <w:pPr>
            <w:rPr>
              <w:rFonts w:ascii="华文细黑" w:hAnsi="华文细黑" w:eastAsia="华文细黑"/>
              <w:szCs w:val="21"/>
            </w:rPr>
          </w:pPr>
        </w:p>
      </w:tc>
      <w:tc>
        <w:tcPr>
          <w:tcW w:w="3449" w:type="dxa"/>
          <w:vAlign w:val="center"/>
        </w:tcPr>
        <w:p>
          <w:pPr>
            <w:spacing w:line="260" w:lineRule="exact"/>
            <w:jc w:val="center"/>
            <w:rPr>
              <w:rFonts w:ascii="微软雅黑" w:hAnsi="微软雅黑" w:eastAsia="微软雅黑" w:cs="Arial"/>
              <w:b/>
              <w:color w:val="000000"/>
              <w:sz w:val="22"/>
              <w:szCs w:val="22"/>
            </w:rPr>
          </w:pPr>
          <w:r>
            <w:rPr>
              <w:rFonts w:hint="eastAsia" w:ascii="微软雅黑" w:hAnsi="微软雅黑" w:eastAsia="微软雅黑" w:cs="Arial"/>
              <w:color w:val="000000"/>
              <w:sz w:val="22"/>
              <w:szCs w:val="22"/>
            </w:rPr>
            <w:t>生效日期：20</w:t>
          </w:r>
          <w:r>
            <w:rPr>
              <w:rFonts w:hint="eastAsia" w:ascii="微软雅黑" w:hAnsi="微软雅黑" w:eastAsia="微软雅黑" w:cs="Arial"/>
              <w:color w:val="000000"/>
              <w:sz w:val="22"/>
              <w:szCs w:val="22"/>
              <w:lang w:val="en-US" w:eastAsia="zh-CN"/>
            </w:rPr>
            <w:t>21</w:t>
          </w:r>
          <w:r>
            <w:rPr>
              <w:rFonts w:hint="eastAsia" w:ascii="微软雅黑" w:hAnsi="微软雅黑" w:eastAsia="微软雅黑" w:cs="Arial"/>
              <w:color w:val="000000"/>
              <w:sz w:val="22"/>
              <w:szCs w:val="22"/>
            </w:rPr>
            <w:t>年</w:t>
          </w:r>
          <w:r>
            <w:rPr>
              <w:rFonts w:hint="eastAsia" w:ascii="微软雅黑" w:hAnsi="微软雅黑" w:eastAsia="微软雅黑" w:cs="Arial"/>
              <w:color w:val="000000"/>
              <w:sz w:val="22"/>
              <w:szCs w:val="22"/>
              <w:lang w:val="en-US" w:eastAsia="zh-CN"/>
            </w:rPr>
            <w:t>01</w:t>
          </w:r>
          <w:r>
            <w:rPr>
              <w:rFonts w:hint="eastAsia" w:ascii="微软雅黑" w:hAnsi="微软雅黑" w:eastAsia="微软雅黑" w:cs="Arial"/>
              <w:color w:val="000000"/>
              <w:sz w:val="22"/>
              <w:szCs w:val="22"/>
            </w:rPr>
            <w:t>月</w:t>
          </w:r>
          <w:r>
            <w:rPr>
              <w:rFonts w:hint="eastAsia" w:ascii="微软雅黑" w:hAnsi="微软雅黑" w:eastAsia="微软雅黑" w:cs="Arial"/>
              <w:color w:val="000000"/>
              <w:sz w:val="22"/>
              <w:szCs w:val="22"/>
              <w:lang w:val="en-US" w:eastAsia="zh-CN"/>
            </w:rPr>
            <w:t>01</w:t>
          </w:r>
          <w:r>
            <w:rPr>
              <w:rFonts w:hint="eastAsia" w:ascii="微软雅黑" w:hAnsi="微软雅黑" w:eastAsia="微软雅黑" w:cs="Arial"/>
              <w:color w:val="000000"/>
              <w:sz w:val="22"/>
              <w:szCs w:val="22"/>
            </w:rPr>
            <w:t>日</w:t>
          </w:r>
        </w:p>
      </w:tc>
      <w:tc>
        <w:tcPr>
          <w:tcW w:w="1765" w:type="dxa"/>
          <w:vAlign w:val="center"/>
        </w:tcPr>
        <w:p>
          <w:pPr>
            <w:spacing w:beforeLines="50" w:afterLines="50" w:line="260" w:lineRule="exact"/>
            <w:jc w:val="center"/>
            <w:rPr>
              <w:rFonts w:hint="default" w:ascii="微软雅黑" w:hAnsi="微软雅黑" w:eastAsia="微软雅黑" w:cs="Arial"/>
              <w:sz w:val="22"/>
              <w:szCs w:val="22"/>
              <w:lang w:val="en-US" w:eastAsia="zh-CN"/>
            </w:rPr>
          </w:pPr>
          <w:r>
            <w:rPr>
              <w:rFonts w:hint="eastAsia" w:ascii="微软雅黑" w:hAnsi="微软雅黑" w:eastAsia="微软雅黑" w:cs="Arial"/>
              <w:sz w:val="22"/>
              <w:szCs w:val="22"/>
            </w:rPr>
            <w:t>版本：20</w:t>
          </w:r>
          <w:r>
            <w:rPr>
              <w:rFonts w:hint="eastAsia" w:ascii="微软雅黑" w:hAnsi="微软雅黑" w:eastAsia="微软雅黑" w:cs="Arial"/>
              <w:sz w:val="22"/>
              <w:szCs w:val="22"/>
              <w:lang w:val="en-US" w:eastAsia="zh-CN"/>
            </w:rPr>
            <w:t>21</w:t>
          </w:r>
        </w:p>
      </w:tc>
      <w:tc>
        <w:tcPr>
          <w:tcW w:w="2105" w:type="dxa"/>
          <w:vAlign w:val="center"/>
        </w:tcPr>
        <w:p>
          <w:pPr>
            <w:spacing w:beforeLines="50" w:afterLines="50" w:line="260" w:lineRule="exact"/>
            <w:jc w:val="center"/>
            <w:rPr>
              <w:rFonts w:ascii="微软雅黑" w:hAnsi="微软雅黑" w:eastAsia="微软雅黑" w:cs="Arial"/>
              <w:sz w:val="22"/>
              <w:szCs w:val="22"/>
            </w:rPr>
          </w:pPr>
          <w:r>
            <w:rPr>
              <w:rFonts w:hint="eastAsia" w:ascii="微软雅黑" w:hAnsi="微软雅黑" w:eastAsia="微软雅黑"/>
              <w:sz w:val="22"/>
              <w:szCs w:val="22"/>
            </w:rPr>
            <w:t>第</w:t>
          </w:r>
          <w:r>
            <w:rPr>
              <w:rStyle w:val="7"/>
              <w:rFonts w:ascii="微软雅黑" w:hAnsi="微软雅黑" w:eastAsia="微软雅黑"/>
              <w:sz w:val="22"/>
              <w:szCs w:val="22"/>
            </w:rPr>
            <w:fldChar w:fldCharType="begin"/>
          </w:r>
          <w:r>
            <w:rPr>
              <w:rStyle w:val="7"/>
              <w:rFonts w:ascii="微软雅黑" w:hAnsi="微软雅黑" w:eastAsia="微软雅黑"/>
              <w:sz w:val="22"/>
              <w:szCs w:val="22"/>
            </w:rPr>
            <w:instrText xml:space="preserve"> PAGE </w:instrText>
          </w:r>
          <w:r>
            <w:rPr>
              <w:rStyle w:val="7"/>
              <w:rFonts w:ascii="微软雅黑" w:hAnsi="微软雅黑" w:eastAsia="微软雅黑"/>
              <w:sz w:val="22"/>
              <w:szCs w:val="22"/>
            </w:rPr>
            <w:fldChar w:fldCharType="separate"/>
          </w:r>
          <w:r>
            <w:rPr>
              <w:rStyle w:val="7"/>
              <w:rFonts w:ascii="微软雅黑" w:hAnsi="微软雅黑" w:eastAsia="微软雅黑"/>
              <w:sz w:val="22"/>
              <w:szCs w:val="22"/>
            </w:rPr>
            <w:t>1</w:t>
          </w:r>
          <w:r>
            <w:rPr>
              <w:rStyle w:val="7"/>
              <w:rFonts w:ascii="微软雅黑" w:hAnsi="微软雅黑" w:eastAsia="微软雅黑"/>
              <w:sz w:val="22"/>
              <w:szCs w:val="22"/>
            </w:rPr>
            <w:fldChar w:fldCharType="end"/>
          </w:r>
          <w:r>
            <w:rPr>
              <w:rFonts w:hint="eastAsia" w:ascii="微软雅黑" w:hAnsi="微软雅黑" w:eastAsia="微软雅黑"/>
              <w:sz w:val="22"/>
              <w:szCs w:val="22"/>
            </w:rPr>
            <w:t>页 共</w:t>
          </w:r>
          <w:r>
            <w:rPr>
              <w:rStyle w:val="7"/>
              <w:rFonts w:hint="eastAsia" w:ascii="微软雅黑" w:hAnsi="微软雅黑" w:eastAsia="微软雅黑"/>
              <w:sz w:val="22"/>
              <w:szCs w:val="22"/>
            </w:rPr>
            <w:t xml:space="preserve"> </w:t>
          </w:r>
          <w:r>
            <w:rPr>
              <w:rStyle w:val="7"/>
              <w:rFonts w:hint="eastAsia" w:ascii="微软雅黑" w:hAnsi="微软雅黑" w:eastAsia="微软雅黑"/>
              <w:sz w:val="22"/>
              <w:szCs w:val="22"/>
              <w:lang w:val="en-US" w:eastAsia="zh-CN"/>
            </w:rPr>
            <w:t>1</w:t>
          </w:r>
          <w:r>
            <w:rPr>
              <w:rStyle w:val="7"/>
              <w:rFonts w:hint="eastAsia" w:ascii="微软雅黑" w:hAnsi="微软雅黑" w:eastAsia="微软雅黑"/>
              <w:sz w:val="22"/>
              <w:szCs w:val="22"/>
            </w:rPr>
            <w:t xml:space="preserve"> </w:t>
          </w:r>
          <w:r>
            <w:rPr>
              <w:rFonts w:hint="eastAsia" w:ascii="微软雅黑" w:hAnsi="微软雅黑" w:eastAsia="微软雅黑"/>
              <w:sz w:val="22"/>
              <w:szCs w:val="22"/>
            </w:rPr>
            <w:t>页</w:t>
          </w:r>
        </w:p>
      </w:tc>
    </w:tr>
  </w:tbl>
  <w:p>
    <w:pPr>
      <w:pStyle w:val="4"/>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70519"/>
    <w:multiLevelType w:val="singleLevel"/>
    <w:tmpl w:val="8F370519"/>
    <w:lvl w:ilvl="0" w:tentative="0">
      <w:start w:val="1"/>
      <w:numFmt w:val="bullet"/>
      <w:lvlText w:val=""/>
      <w:lvlJc w:val="left"/>
      <w:pPr>
        <w:ind w:left="420" w:hanging="420"/>
      </w:pPr>
      <w:rPr>
        <w:rFonts w:hint="default" w:ascii="Wingdings" w:hAnsi="Wingdings"/>
      </w:rPr>
    </w:lvl>
  </w:abstractNum>
  <w:abstractNum w:abstractNumId="1">
    <w:nsid w:val="4D353773"/>
    <w:multiLevelType w:val="multilevel"/>
    <w:tmpl w:val="4D3537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C05DFC"/>
    <w:multiLevelType w:val="singleLevel"/>
    <w:tmpl w:val="5DC05DFC"/>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79C0"/>
    <w:rsid w:val="00012AC8"/>
    <w:rsid w:val="00063C49"/>
    <w:rsid w:val="000F712C"/>
    <w:rsid w:val="00123344"/>
    <w:rsid w:val="00151A70"/>
    <w:rsid w:val="001609A6"/>
    <w:rsid w:val="00177736"/>
    <w:rsid w:val="00180857"/>
    <w:rsid w:val="001A6F45"/>
    <w:rsid w:val="001C326C"/>
    <w:rsid w:val="001C42EC"/>
    <w:rsid w:val="001E45B0"/>
    <w:rsid w:val="00226349"/>
    <w:rsid w:val="0024275E"/>
    <w:rsid w:val="0025795D"/>
    <w:rsid w:val="00265C50"/>
    <w:rsid w:val="00266EE5"/>
    <w:rsid w:val="002821FC"/>
    <w:rsid w:val="002F0FA3"/>
    <w:rsid w:val="0030303E"/>
    <w:rsid w:val="003249D0"/>
    <w:rsid w:val="0032520C"/>
    <w:rsid w:val="00331295"/>
    <w:rsid w:val="00335C0E"/>
    <w:rsid w:val="00335CBD"/>
    <w:rsid w:val="0034659A"/>
    <w:rsid w:val="003B4D2C"/>
    <w:rsid w:val="004C69B6"/>
    <w:rsid w:val="00530FF3"/>
    <w:rsid w:val="00533856"/>
    <w:rsid w:val="005516EA"/>
    <w:rsid w:val="00556960"/>
    <w:rsid w:val="00594378"/>
    <w:rsid w:val="00600C9F"/>
    <w:rsid w:val="006159DB"/>
    <w:rsid w:val="00616211"/>
    <w:rsid w:val="00683348"/>
    <w:rsid w:val="006A5F36"/>
    <w:rsid w:val="006B1C4C"/>
    <w:rsid w:val="006B7669"/>
    <w:rsid w:val="006C240F"/>
    <w:rsid w:val="00760C8A"/>
    <w:rsid w:val="00780CAD"/>
    <w:rsid w:val="00786189"/>
    <w:rsid w:val="00790AA4"/>
    <w:rsid w:val="007B1C72"/>
    <w:rsid w:val="007C2274"/>
    <w:rsid w:val="007C3A4E"/>
    <w:rsid w:val="008000BD"/>
    <w:rsid w:val="00814F92"/>
    <w:rsid w:val="00815DE5"/>
    <w:rsid w:val="008206A2"/>
    <w:rsid w:val="00867345"/>
    <w:rsid w:val="008F66CE"/>
    <w:rsid w:val="008F7069"/>
    <w:rsid w:val="00912DC5"/>
    <w:rsid w:val="009258C9"/>
    <w:rsid w:val="009444C1"/>
    <w:rsid w:val="009563C6"/>
    <w:rsid w:val="009A2A91"/>
    <w:rsid w:val="009E620C"/>
    <w:rsid w:val="009F0A8A"/>
    <w:rsid w:val="00A112D7"/>
    <w:rsid w:val="00A15F32"/>
    <w:rsid w:val="00A55EE6"/>
    <w:rsid w:val="00A65225"/>
    <w:rsid w:val="00AC4B54"/>
    <w:rsid w:val="00B01A35"/>
    <w:rsid w:val="00B06401"/>
    <w:rsid w:val="00B40C55"/>
    <w:rsid w:val="00B579C0"/>
    <w:rsid w:val="00BF6DED"/>
    <w:rsid w:val="00C15489"/>
    <w:rsid w:val="00C24C3C"/>
    <w:rsid w:val="00C40697"/>
    <w:rsid w:val="00C4133D"/>
    <w:rsid w:val="00C643FF"/>
    <w:rsid w:val="00C66176"/>
    <w:rsid w:val="00CC1930"/>
    <w:rsid w:val="00CC52A4"/>
    <w:rsid w:val="00CF0C83"/>
    <w:rsid w:val="00D00B91"/>
    <w:rsid w:val="00D85AAE"/>
    <w:rsid w:val="00DA4FCD"/>
    <w:rsid w:val="00DD6C1C"/>
    <w:rsid w:val="00E40043"/>
    <w:rsid w:val="00E5268E"/>
    <w:rsid w:val="00E5303D"/>
    <w:rsid w:val="00E63F82"/>
    <w:rsid w:val="00E868EC"/>
    <w:rsid w:val="00EA117C"/>
    <w:rsid w:val="00EC2CD9"/>
    <w:rsid w:val="00EC471A"/>
    <w:rsid w:val="00ED4114"/>
    <w:rsid w:val="00ED5D22"/>
    <w:rsid w:val="00ED7970"/>
    <w:rsid w:val="00EE30EB"/>
    <w:rsid w:val="00EE3BAD"/>
    <w:rsid w:val="00EE7387"/>
    <w:rsid w:val="00F13A39"/>
    <w:rsid w:val="00F47899"/>
    <w:rsid w:val="00F63598"/>
    <w:rsid w:val="00FB2E5D"/>
    <w:rsid w:val="00FD0D84"/>
    <w:rsid w:val="00FD6CB5"/>
    <w:rsid w:val="00FE0AB5"/>
    <w:rsid w:val="0FFF4C53"/>
    <w:rsid w:val="172715BF"/>
    <w:rsid w:val="2EF664E3"/>
    <w:rsid w:val="30466E83"/>
    <w:rsid w:val="6AB83664"/>
    <w:rsid w:val="72C84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批注框文本 Char"/>
    <w:basedOn w:val="6"/>
    <w:link w:val="2"/>
    <w:semiHidden/>
    <w:uiPriority w:val="99"/>
    <w:rPr>
      <w:rFonts w:ascii="Times New Roman" w:hAnsi="Times New Roman" w:eastAsia="宋体" w:cs="Times New Roman"/>
      <w:sz w:val="18"/>
      <w:szCs w:val="18"/>
    </w:rPr>
  </w:style>
  <w:style w:type="character" w:customStyle="1" w:styleId="9">
    <w:name w:val="页眉 Char"/>
    <w:basedOn w:val="6"/>
    <w:link w:val="4"/>
    <w:uiPriority w:val="99"/>
    <w:rPr>
      <w:rFonts w:ascii="Times New Roman" w:hAnsi="Times New Roman" w:eastAsia="宋体" w:cs="Times New Roman"/>
      <w:sz w:val="18"/>
      <w:szCs w:val="18"/>
    </w:rPr>
  </w:style>
  <w:style w:type="character" w:customStyle="1" w:styleId="10">
    <w:name w:val="页脚 Char"/>
    <w:basedOn w:val="6"/>
    <w:link w:val="3"/>
    <w:semiHidden/>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71</Words>
  <Characters>407</Characters>
  <Lines>3</Lines>
  <Paragraphs>1</Paragraphs>
  <TotalTime>91</TotalTime>
  <ScaleCrop>false</ScaleCrop>
  <LinksUpToDate>false</LinksUpToDate>
  <CharactersWithSpaces>477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2012-03-15T01:17:00Z</dcterms:created>
  <dc:creator>白艳娜</dc:creator>
  <cp:lastModifiedBy>Administrator</cp:lastModifiedBy>
  <dcterms:modified xsi:type="dcterms:W3CDTF">2021-06-06T06:39:31Z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4135B01D05B74CF188C629FB2F9E7C97</vt:lpwstr>
  </property>
</Properties>
</file>