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Theme="majorEastAsia" w:hAnsiTheme="majorEastAsia" w:eastAsiaTheme="majorEastAsia"/>
          <w:b/>
          <w:sz w:val="28"/>
          <w:szCs w:val="28"/>
        </w:rPr>
      </w:pPr>
      <w:r>
        <w:rPr>
          <w:rFonts w:hint="eastAsia" w:asciiTheme="majorEastAsia" w:hAnsiTheme="majorEastAsia" w:eastAsiaTheme="majorEastAsia"/>
          <w:b/>
          <w:sz w:val="44"/>
          <w:szCs w:val="28"/>
        </w:rPr>
        <w:t>安全施工管理规定</w:t>
      </w:r>
    </w:p>
    <w:p>
      <w:pPr>
        <w:jc w:val="left"/>
        <w:rPr>
          <w:rFonts w:asciiTheme="majorEastAsia" w:hAnsiTheme="majorEastAsia" w:eastAsiaTheme="majorEastAsia"/>
          <w:b/>
          <w:sz w:val="10"/>
          <w:szCs w:val="10"/>
        </w:rPr>
      </w:pPr>
    </w:p>
    <w:p>
      <w:pPr>
        <w:jc w:val="left"/>
        <w:rPr>
          <w:rFonts w:asciiTheme="majorEastAsia" w:hAnsiTheme="majorEastAsia" w:eastAsiaTheme="majorEastAsia"/>
          <w:b/>
          <w:sz w:val="24"/>
        </w:rPr>
      </w:pPr>
      <w:r>
        <w:rPr>
          <w:rFonts w:hint="eastAsia" w:asciiTheme="majorEastAsia" w:hAnsiTheme="majorEastAsia" w:eastAsiaTheme="majorEastAsia"/>
          <w:b/>
          <w:sz w:val="24"/>
        </w:rPr>
        <w:t>一、目的</w:t>
      </w:r>
    </w:p>
    <w:p>
      <w:pPr>
        <w:ind w:left="424" w:leftChars="202"/>
        <w:jc w:val="left"/>
        <w:rPr>
          <w:rFonts w:asciiTheme="majorEastAsia" w:hAnsiTheme="majorEastAsia" w:eastAsiaTheme="majorEastAsia"/>
          <w:color w:val="000000"/>
          <w:sz w:val="24"/>
        </w:rPr>
      </w:pPr>
      <w:r>
        <w:rPr>
          <w:rFonts w:hint="eastAsia" w:asciiTheme="majorEastAsia" w:hAnsiTheme="majorEastAsia" w:eastAsiaTheme="majorEastAsia"/>
          <w:color w:val="000000"/>
          <w:sz w:val="24"/>
        </w:rPr>
        <w:t>为了</w:t>
      </w:r>
      <w:r>
        <w:rPr>
          <w:rFonts w:hint="eastAsia" w:asciiTheme="majorEastAsia" w:hAnsiTheme="majorEastAsia" w:eastAsiaTheme="majorEastAsia"/>
          <w:color w:val="000000"/>
          <w:sz w:val="24"/>
          <w:lang w:eastAsia="zh-CN"/>
        </w:rPr>
        <w:t>南充仁和春天广场</w:t>
      </w:r>
      <w:r>
        <w:rPr>
          <w:rFonts w:hint="eastAsia" w:asciiTheme="majorEastAsia" w:hAnsiTheme="majorEastAsia" w:eastAsiaTheme="majorEastAsia"/>
          <w:color w:val="000000"/>
          <w:sz w:val="24"/>
        </w:rPr>
        <w:t>，施工单位在施工过程中不出现作业事故，保障施工人员的专业性和人生安全。</w:t>
      </w:r>
    </w:p>
    <w:p>
      <w:pPr>
        <w:jc w:val="left"/>
        <w:rPr>
          <w:rFonts w:asciiTheme="majorEastAsia" w:hAnsiTheme="majorEastAsia" w:eastAsiaTheme="majorEastAsia"/>
          <w:b/>
          <w:color w:val="000000"/>
          <w:sz w:val="24"/>
        </w:rPr>
      </w:pPr>
      <w:r>
        <w:rPr>
          <w:rFonts w:hint="eastAsia" w:asciiTheme="majorEastAsia" w:hAnsiTheme="majorEastAsia" w:eastAsiaTheme="majorEastAsia"/>
          <w:b/>
          <w:color w:val="000000"/>
          <w:sz w:val="24"/>
        </w:rPr>
        <w:t>二、适用范围</w:t>
      </w:r>
    </w:p>
    <w:p>
      <w:pPr>
        <w:ind w:firstLine="480" w:firstLineChars="200"/>
        <w:jc w:val="left"/>
        <w:rPr>
          <w:rFonts w:asciiTheme="majorEastAsia" w:hAnsiTheme="majorEastAsia" w:eastAsiaTheme="majorEastAsia"/>
          <w:sz w:val="24"/>
        </w:rPr>
      </w:pPr>
      <w:r>
        <w:rPr>
          <w:rFonts w:hint="eastAsia" w:asciiTheme="majorEastAsia" w:hAnsiTheme="majorEastAsia" w:eastAsiaTheme="majorEastAsia"/>
          <w:sz w:val="24"/>
        </w:rPr>
        <w:t>适用于</w:t>
      </w:r>
      <w:r>
        <w:rPr>
          <w:rFonts w:hint="eastAsia" w:asciiTheme="majorEastAsia" w:hAnsiTheme="majorEastAsia" w:eastAsiaTheme="majorEastAsia"/>
          <w:sz w:val="24"/>
          <w:lang w:eastAsia="zh-CN"/>
        </w:rPr>
        <w:t>南充仁和春天广场</w:t>
      </w:r>
      <w:r>
        <w:rPr>
          <w:rFonts w:hint="eastAsia" w:asciiTheme="majorEastAsia" w:hAnsiTheme="majorEastAsia" w:eastAsiaTheme="majorEastAsia"/>
          <w:sz w:val="24"/>
        </w:rPr>
        <w:t>管理区域。</w:t>
      </w:r>
    </w:p>
    <w:p>
      <w:pPr>
        <w:jc w:val="left"/>
        <w:rPr>
          <w:rFonts w:asciiTheme="majorEastAsia" w:hAnsiTheme="majorEastAsia" w:eastAsiaTheme="majorEastAsia"/>
          <w:b/>
          <w:sz w:val="24"/>
        </w:rPr>
      </w:pPr>
      <w:r>
        <w:rPr>
          <w:rFonts w:hint="eastAsia" w:asciiTheme="majorEastAsia" w:hAnsiTheme="majorEastAsia" w:eastAsiaTheme="majorEastAsia"/>
          <w:b/>
          <w:sz w:val="24"/>
        </w:rPr>
        <w:t>三、内容分项</w:t>
      </w:r>
    </w:p>
    <w:p>
      <w:pPr>
        <w:pStyle w:val="11"/>
        <w:numPr>
          <w:ilvl w:val="0"/>
          <w:numId w:val="1"/>
        </w:numPr>
        <w:ind w:firstLineChars="0"/>
        <w:jc w:val="left"/>
        <w:rPr>
          <w:rFonts w:asciiTheme="majorEastAsia" w:hAnsiTheme="majorEastAsia" w:eastAsiaTheme="majorEastAsia"/>
          <w:b/>
          <w:sz w:val="24"/>
        </w:rPr>
      </w:pPr>
      <w:r>
        <w:rPr>
          <w:rFonts w:hint="eastAsia" w:asciiTheme="majorEastAsia" w:hAnsiTheme="majorEastAsia" w:eastAsiaTheme="majorEastAsia"/>
          <w:b/>
          <w:sz w:val="24"/>
        </w:rPr>
        <w:t>前言</w:t>
      </w:r>
    </w:p>
    <w:p>
      <w:pPr>
        <w:pStyle w:val="11"/>
        <w:widowControl/>
        <w:numPr>
          <w:ilvl w:val="0"/>
          <w:numId w:val="2"/>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施工方应认真贯彻执行国家和省、市有关高空作业安全法规、标准和规范；</w:t>
      </w:r>
    </w:p>
    <w:p>
      <w:pPr>
        <w:pStyle w:val="11"/>
        <w:widowControl/>
        <w:numPr>
          <w:ilvl w:val="0"/>
          <w:numId w:val="2"/>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认真组织实施安全技术措施，确保高空作业安全经费的合理投入；</w:t>
      </w:r>
      <w:bookmarkStart w:id="0" w:name="_GoBack"/>
      <w:bookmarkEnd w:id="0"/>
    </w:p>
    <w:p>
      <w:pPr>
        <w:pStyle w:val="11"/>
        <w:widowControl/>
        <w:numPr>
          <w:ilvl w:val="0"/>
          <w:numId w:val="2"/>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组织定期安全检查，消除事故隐患制止违章作业和违章作为；</w:t>
      </w:r>
    </w:p>
    <w:p>
      <w:pPr>
        <w:pStyle w:val="11"/>
        <w:widowControl/>
        <w:numPr>
          <w:ilvl w:val="0"/>
          <w:numId w:val="2"/>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负责员工的入场高空作业安全教育和安全技术培训工作；</w:t>
      </w:r>
    </w:p>
    <w:p>
      <w:pPr>
        <w:pStyle w:val="11"/>
        <w:widowControl/>
        <w:numPr>
          <w:ilvl w:val="0"/>
          <w:numId w:val="2"/>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负责对施工现场使用的高空作业安全设备和临时高空作业安全组织检查，合格后方准使用；</w:t>
      </w:r>
    </w:p>
    <w:p>
      <w:pPr>
        <w:pStyle w:val="11"/>
        <w:widowControl/>
        <w:numPr>
          <w:ilvl w:val="0"/>
          <w:numId w:val="2"/>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负责建立高空作业安全岗位责任制，对实际情况组织检查和考评；不使用无证人员上岗作业；</w:t>
      </w:r>
    </w:p>
    <w:p>
      <w:pPr>
        <w:pStyle w:val="11"/>
        <w:widowControl/>
        <w:numPr>
          <w:ilvl w:val="0"/>
          <w:numId w:val="2"/>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不使用伪劣防护设施和用品；</w:t>
      </w:r>
    </w:p>
    <w:p>
      <w:pPr>
        <w:pStyle w:val="11"/>
        <w:widowControl/>
        <w:numPr>
          <w:ilvl w:val="0"/>
          <w:numId w:val="2"/>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发生高空作业安全事故要立即上报，保护好现场，参加事故的调查；拟订高空作业安全预防措施，并组织实施。</w:t>
      </w:r>
    </w:p>
    <w:p>
      <w:pPr>
        <w:pStyle w:val="11"/>
        <w:widowControl/>
        <w:numPr>
          <w:ilvl w:val="0"/>
          <w:numId w:val="1"/>
        </w:numPr>
        <w:shd w:val="clear" w:color="auto" w:fill="FFFFFF"/>
        <w:ind w:hanging="354" w:firstLineChars="0"/>
        <w:jc w:val="left"/>
        <w:rPr>
          <w:rFonts w:cs="Arial" w:asciiTheme="majorEastAsia" w:hAnsiTheme="majorEastAsia" w:eastAsiaTheme="majorEastAsia"/>
          <w:color w:val="000000"/>
          <w:kern w:val="0"/>
          <w:sz w:val="24"/>
        </w:rPr>
      </w:pPr>
      <w:r>
        <w:rPr>
          <w:rFonts w:cs="Arial" w:asciiTheme="majorEastAsia" w:hAnsiTheme="majorEastAsia" w:eastAsiaTheme="majorEastAsia"/>
          <w:b/>
          <w:bCs/>
          <w:color w:val="000000"/>
          <w:kern w:val="0"/>
          <w:sz w:val="24"/>
        </w:rPr>
        <w:t>物件安全</w:t>
      </w:r>
    </w:p>
    <w:p>
      <w:pPr>
        <w:pStyle w:val="11"/>
        <w:widowControl/>
        <w:numPr>
          <w:ilvl w:val="0"/>
          <w:numId w:val="3"/>
        </w:numPr>
        <w:shd w:val="clear" w:color="auto" w:fill="FFFFFF"/>
        <w:ind w:firstLineChars="0"/>
        <w:jc w:val="left"/>
        <w:rPr>
          <w:rFonts w:cs="Arial" w:asciiTheme="majorEastAsia" w:hAnsiTheme="majorEastAsia" w:eastAsiaTheme="majorEastAsia"/>
          <w:color w:val="000000"/>
          <w:kern w:val="0"/>
          <w:sz w:val="24"/>
        </w:rPr>
      </w:pPr>
      <w:r>
        <w:rPr>
          <w:rFonts w:cs="Arial" w:asciiTheme="majorEastAsia" w:hAnsiTheme="majorEastAsia" w:eastAsiaTheme="majorEastAsia"/>
          <w:color w:val="000000"/>
          <w:kern w:val="0"/>
          <w:sz w:val="24"/>
        </w:rPr>
        <w:t>高空作业中所用的物料应堆放平稳，不可妨碍安全通道处。传递物件时不能抛掷。</w:t>
      </w:r>
    </w:p>
    <w:p>
      <w:pPr>
        <w:pStyle w:val="11"/>
        <w:widowControl/>
        <w:numPr>
          <w:ilvl w:val="0"/>
          <w:numId w:val="3"/>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对作业中的走道、通道板和登高用具等，都应随时加以清扫干净。</w:t>
      </w:r>
    </w:p>
    <w:p>
      <w:pPr>
        <w:pStyle w:val="11"/>
        <w:widowControl/>
        <w:numPr>
          <w:ilvl w:val="0"/>
          <w:numId w:val="3"/>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拆卸下来的物体、剩余材料和废料等都要及时清理和及时运走，不得任意乱置或向下丢弃。</w:t>
      </w:r>
    </w:p>
    <w:p>
      <w:pPr>
        <w:pStyle w:val="11"/>
        <w:widowControl/>
        <w:numPr>
          <w:ilvl w:val="0"/>
          <w:numId w:val="3"/>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各施工作业场所内，凡有坠落可能的任何物料，都要一律先行撤除，以防坠落伤人。</w:t>
      </w:r>
    </w:p>
    <w:p>
      <w:pPr>
        <w:pStyle w:val="11"/>
        <w:widowControl/>
        <w:numPr>
          <w:ilvl w:val="0"/>
          <w:numId w:val="1"/>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b/>
          <w:bCs/>
          <w:color w:val="000000"/>
          <w:kern w:val="0"/>
          <w:sz w:val="24"/>
          <w:szCs w:val="24"/>
        </w:rPr>
        <w:t>设施安全</w:t>
      </w:r>
    </w:p>
    <w:p>
      <w:pPr>
        <w:pStyle w:val="11"/>
        <w:widowControl/>
        <w:numPr>
          <w:ilvl w:val="0"/>
          <w:numId w:val="4"/>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在施工组织设计中应确定用于现场施工的登高和攀登设施。现场登高应借助建筑结构或脚手架上的登高设施，也可采用载人的垂直运输设备。进行攀登作业时可使用梯子或采用其他攀登设施。条</w:t>
      </w:r>
      <w:r>
        <w:rPr>
          <w:rFonts w:hint="eastAsia" w:cs="Arial" w:asciiTheme="majorEastAsia" w:hAnsiTheme="majorEastAsia" w:eastAsiaTheme="majorEastAsia"/>
          <w:color w:val="000000"/>
          <w:kern w:val="0"/>
          <w:sz w:val="24"/>
          <w:szCs w:val="24"/>
          <w:lang w:eastAsia="zh-CN"/>
        </w:rPr>
        <w:t>、</w:t>
      </w:r>
      <w:r>
        <w:rPr>
          <w:rFonts w:cs="Arial" w:asciiTheme="majorEastAsia" w:hAnsiTheme="majorEastAsia" w:eastAsiaTheme="majorEastAsia"/>
          <w:color w:val="000000"/>
          <w:kern w:val="0"/>
          <w:sz w:val="24"/>
          <w:szCs w:val="24"/>
        </w:rPr>
        <w:t>柱、梁和行车梁等构件吊装所需的直爬梯及其他登高用拉攀件，应在构件施工图或说明内作出规定；</w:t>
      </w:r>
    </w:p>
    <w:p>
      <w:pPr>
        <w:pStyle w:val="11"/>
        <w:widowControl/>
        <w:numPr>
          <w:ilvl w:val="0"/>
          <w:numId w:val="4"/>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攀登的用具，结构构造上必须牢固可靠。供人上下的踏板其使用荷载不应大于1100N。当梯面上有特殊作业，重量超过上述荷载时，应按实际情况加以验算；</w:t>
      </w:r>
    </w:p>
    <w:p>
      <w:pPr>
        <w:pStyle w:val="11"/>
        <w:widowControl/>
        <w:numPr>
          <w:ilvl w:val="0"/>
          <w:numId w:val="4"/>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移动式梯子，均应按现行的国家标准验收其质量。梯脚底部应坚实，不得垫高使用。梯子的上端应有固定措施。立梯工作角度以75°±5°为宜，踏板上下间距以30cm为宜，不得有缺档。 梯子如需接长使用，必须有可靠的连接措施，且接头不得超过1处。连接后梯梁的强度，不应低于单梯梯梁的强度。 折梯使用时上部夹角以35°~45°为宜，铰链必须牢固，并应有可靠的拉撑措施。 固定式直爬梯应用金属材料制成。梯宽不应大于50cm，支撑应采用不小于∟70×6的角钢，埋设与焊接均必须牢固。梯子顶端的踏棍应与攀登的顶面齐平，并加设1~1.5m高的扶手。</w:t>
      </w:r>
    </w:p>
    <w:p>
      <w:pPr>
        <w:pStyle w:val="11"/>
        <w:widowControl/>
        <w:numPr>
          <w:ilvl w:val="0"/>
          <w:numId w:val="4"/>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使用直爬梯进行攀登作业时，攀登高度以5m为宜。超过2m时，宜加设护笼，超过8m时，必须设置梯间平台。</w:t>
      </w:r>
    </w:p>
    <w:p>
      <w:pPr>
        <w:pStyle w:val="11"/>
        <w:widowControl/>
        <w:numPr>
          <w:ilvl w:val="0"/>
          <w:numId w:val="1"/>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b/>
          <w:bCs/>
          <w:color w:val="000000"/>
          <w:kern w:val="0"/>
          <w:sz w:val="24"/>
          <w:szCs w:val="24"/>
        </w:rPr>
        <w:t>高空作业</w:t>
      </w:r>
    </w:p>
    <w:p>
      <w:pPr>
        <w:pStyle w:val="11"/>
        <w:widowControl/>
        <w:numPr>
          <w:ilvl w:val="0"/>
          <w:numId w:val="5"/>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凡在高地面2米及以上的地点进行的工作，都应视作高处作业。凡能在地面上预先作好的工作，都必须在地面上作，尽量减少高处作业。</w:t>
      </w:r>
    </w:p>
    <w:p>
      <w:pPr>
        <w:pStyle w:val="11"/>
        <w:widowControl/>
        <w:numPr>
          <w:ilvl w:val="0"/>
          <w:numId w:val="5"/>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担任高处作业人员必须身体健康，患有精神病、癫痫病及经医师鉴定患有高血压，心脏病等不宜从事高处作业病的人员，不准参加高处作业。凡发现工作人员有饮酒、精神不振时，禁止登高作业。高处作业均须先搭建脚手架或采取防止队坠落措施，方可进行。</w:t>
      </w:r>
    </w:p>
    <w:p>
      <w:pPr>
        <w:pStyle w:val="11"/>
        <w:widowControl/>
        <w:numPr>
          <w:ilvl w:val="0"/>
          <w:numId w:val="5"/>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在坝顶、陡坡、屋顶、悬崖、杆塔、吊桥以及其他危险的边沿进行工作，临空一面应装设安全网或防护栏杆，否则工作人员须使用安全带。</w:t>
      </w:r>
      <w:r>
        <w:rPr>
          <w:rFonts w:cs="Arial" w:asciiTheme="majorEastAsia" w:hAnsiTheme="majorEastAsia" w:eastAsiaTheme="majorEastAsia"/>
          <w:color w:val="000000"/>
          <w:kern w:val="0"/>
          <w:sz w:val="24"/>
          <w:szCs w:val="24"/>
        </w:rPr>
        <w:br w:type="textWrapping"/>
      </w:r>
      <w:r>
        <w:rPr>
          <w:rFonts w:cs="Arial" w:asciiTheme="majorEastAsia" w:hAnsiTheme="majorEastAsia" w:eastAsiaTheme="majorEastAsia"/>
          <w:color w:val="000000"/>
          <w:kern w:val="0"/>
          <w:sz w:val="24"/>
          <w:szCs w:val="24"/>
        </w:rPr>
        <w:t>峭壁、陡坡的场地或人行道上的冰雪、碎石、泥土须经常清理，靠外面一侧须设1米高的栏杆。在栏杆内侧设18厘米高的侧板或土埂，以防坠物伤人。</w:t>
      </w:r>
    </w:p>
    <w:p>
      <w:pPr>
        <w:pStyle w:val="11"/>
        <w:widowControl/>
        <w:numPr>
          <w:ilvl w:val="0"/>
          <w:numId w:val="5"/>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在没有脚手架或者在没有栏杆的脚手架上工作，高度超过1.5米，必须使用安全带，或采取其他可靠的安全措施。安全带在使用前应进行检查，试验荷重为225公斤,试验后检查是否有变形、破裂等，并做好试验记录。不合格的安全带应及时处理。</w:t>
      </w:r>
    </w:p>
    <w:p>
      <w:pPr>
        <w:pStyle w:val="11"/>
        <w:widowControl/>
        <w:numPr>
          <w:ilvl w:val="0"/>
          <w:numId w:val="5"/>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安全带的挂钩或绳子应挂在结实牢固的构件上或专为挂安全带用的钢丝绳上。禁止挂在移动或不牢固的物件上。</w:t>
      </w:r>
    </w:p>
    <w:p>
      <w:pPr>
        <w:pStyle w:val="11"/>
        <w:widowControl/>
        <w:numPr>
          <w:ilvl w:val="0"/>
          <w:numId w:val="5"/>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高处工作应一律使用工具袋。较大的工具应用绳拴在牢固的构件上，不准随便乱放，以防止从高空坠落发生事故。</w:t>
      </w:r>
    </w:p>
    <w:p>
      <w:pPr>
        <w:pStyle w:val="11"/>
        <w:widowControl/>
        <w:numPr>
          <w:ilvl w:val="0"/>
          <w:numId w:val="5"/>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在进行高处工作时，除有关人员处，不准他人在工作地点的下面行或逗留，工作地点下面应围栏或装设其他保护装置，防止落物伤人。如在格栅式的平台上工作，为了防止工具和器材掉落，应铺设木板。</w:t>
      </w:r>
    </w:p>
    <w:p>
      <w:pPr>
        <w:pStyle w:val="11"/>
        <w:widowControl/>
        <w:numPr>
          <w:ilvl w:val="0"/>
          <w:numId w:val="5"/>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不准将工具及材料上下投掷，要用绳系牢后往下或往上吊送，以免打伤下方工作人员或击毁脚手架。</w:t>
      </w:r>
    </w:p>
    <w:p>
      <w:pPr>
        <w:pStyle w:val="11"/>
        <w:widowControl/>
        <w:numPr>
          <w:ilvl w:val="0"/>
          <w:numId w:val="5"/>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上下层同时进行工作时，中间必须搭设严密牢固的防护隔板，罩棚或其他隔离设施，工作人员必须戴安全帽。</w:t>
      </w:r>
    </w:p>
    <w:p>
      <w:pPr>
        <w:pStyle w:val="11"/>
        <w:widowControl/>
        <w:numPr>
          <w:ilvl w:val="0"/>
          <w:numId w:val="5"/>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冬季在低于零下十度进行露天高处工作，必要时应该在施工地区附近设有取暖的休息所，取暖设备应有专人管理，注意防火。</w:t>
      </w:r>
    </w:p>
    <w:p>
      <w:pPr>
        <w:pStyle w:val="11"/>
        <w:widowControl/>
        <w:numPr>
          <w:ilvl w:val="0"/>
          <w:numId w:val="5"/>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在6级及以上的大风以及暴雨、打雷、大雾等恶劣天气，应停止露天高处作业。</w:t>
      </w:r>
    </w:p>
    <w:p>
      <w:pPr>
        <w:pStyle w:val="11"/>
        <w:widowControl/>
        <w:numPr>
          <w:ilvl w:val="0"/>
          <w:numId w:val="5"/>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禁止登在不坚固的结构上(如石棉瓦屋顶）进行工作。为了防止误登，应在这种结构的必要地点挂上警告牌</w:t>
      </w:r>
    </w:p>
    <w:p>
      <w:pPr>
        <w:pStyle w:val="11"/>
        <w:widowControl/>
        <w:numPr>
          <w:ilvl w:val="0"/>
          <w:numId w:val="1"/>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b/>
          <w:bCs/>
          <w:color w:val="000000"/>
          <w:kern w:val="0"/>
          <w:sz w:val="24"/>
          <w:szCs w:val="24"/>
        </w:rPr>
        <w:t>用电安全</w:t>
      </w:r>
    </w:p>
    <w:p>
      <w:pPr>
        <w:pStyle w:val="11"/>
        <w:widowControl/>
        <w:numPr>
          <w:ilvl w:val="0"/>
          <w:numId w:val="6"/>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靠近电源线路作业前，联系相关单位拉闸停电。确认停电后方可进行工作，并应在工作区域设置绝缘挡壁，严禁在高压线下作业。</w:t>
      </w:r>
    </w:p>
    <w:p>
      <w:pPr>
        <w:pStyle w:val="11"/>
        <w:widowControl/>
        <w:numPr>
          <w:ilvl w:val="0"/>
          <w:numId w:val="6"/>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所接触到的一切电气、机械设备的金属外壳和行车轨道等必须有可靠的接地或重复接地安全措施。</w:t>
      </w:r>
    </w:p>
    <w:p>
      <w:pPr>
        <w:pStyle w:val="11"/>
        <w:widowControl/>
        <w:numPr>
          <w:ilvl w:val="0"/>
          <w:numId w:val="6"/>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对于非电气人员不准其装修电气设备和线路。如果使用手持电动工具，必须保证其绝缘可靠，有良好的接地或接零措施，操作时应戴好绝缘手套。</w:t>
      </w:r>
    </w:p>
    <w:p>
      <w:pPr>
        <w:pStyle w:val="11"/>
        <w:widowControl/>
        <w:numPr>
          <w:ilvl w:val="0"/>
          <w:numId w:val="1"/>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b/>
          <w:bCs/>
          <w:color w:val="000000"/>
          <w:kern w:val="0"/>
          <w:sz w:val="24"/>
          <w:szCs w:val="24"/>
        </w:rPr>
        <w:t>其它</w:t>
      </w:r>
    </w:p>
    <w:p>
      <w:pPr>
        <w:pStyle w:val="11"/>
        <w:widowControl/>
        <w:numPr>
          <w:ilvl w:val="0"/>
          <w:numId w:val="7"/>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施工过程中若发现高空作业的安全设施有缺陷或隐患，务必立即处理解决。</w:t>
      </w:r>
    </w:p>
    <w:p>
      <w:pPr>
        <w:pStyle w:val="11"/>
        <w:widowControl/>
        <w:numPr>
          <w:ilvl w:val="0"/>
          <w:numId w:val="7"/>
        </w:numPr>
        <w:shd w:val="clear" w:color="auto" w:fill="FFFFFF"/>
        <w:ind w:firstLineChars="0"/>
        <w:jc w:val="left"/>
        <w:rPr>
          <w:rFonts w:cs="Arial" w:asciiTheme="majorEastAsia" w:hAnsiTheme="majorEastAsia" w:eastAsiaTheme="majorEastAsia"/>
          <w:color w:val="000000"/>
          <w:kern w:val="0"/>
          <w:sz w:val="24"/>
        </w:rPr>
      </w:pPr>
      <w:r>
        <w:rPr>
          <w:rFonts w:cs="Arial" w:asciiTheme="majorEastAsia" w:hAnsiTheme="majorEastAsia" w:eastAsiaTheme="majorEastAsia"/>
          <w:color w:val="000000"/>
          <w:kern w:val="0"/>
          <w:sz w:val="24"/>
        </w:rPr>
        <w:t>对危及人身安全的隐患，应立即停止作业，进行整改。所有安全防护设施和安全标志等，任何人都不得擅自移动和拆除。</w:t>
      </w:r>
    </w:p>
    <w:p>
      <w:pPr>
        <w:pStyle w:val="11"/>
        <w:widowControl/>
        <w:numPr>
          <w:ilvl w:val="0"/>
          <w:numId w:val="7"/>
        </w:numPr>
        <w:shd w:val="clear" w:color="auto" w:fill="FFFFFF"/>
        <w:ind w:firstLineChars="0"/>
        <w:jc w:val="left"/>
        <w:rPr>
          <w:rFonts w:cs="Arial" w:asciiTheme="majorEastAsia" w:hAnsiTheme="majorEastAsia" w:eastAsiaTheme="majorEastAsia"/>
          <w:color w:val="000000"/>
          <w:kern w:val="0"/>
          <w:sz w:val="24"/>
          <w:szCs w:val="24"/>
        </w:rPr>
      </w:pPr>
      <w:r>
        <w:rPr>
          <w:rFonts w:cs="Arial" w:asciiTheme="majorEastAsia" w:hAnsiTheme="majorEastAsia" w:eastAsiaTheme="majorEastAsia"/>
          <w:color w:val="000000"/>
          <w:kern w:val="0"/>
          <w:sz w:val="24"/>
          <w:szCs w:val="24"/>
        </w:rPr>
        <w:t>有些确因施工需要而必须拆除或移位的，都要报经施工负责人同意后才能动手拆移，并在工作完毕后即行复原。</w:t>
      </w:r>
    </w:p>
    <w:p>
      <w:pPr>
        <w:widowControl/>
        <w:shd w:val="clear" w:color="auto" w:fill="FFFFFF"/>
        <w:spacing w:line="400" w:lineRule="exact"/>
        <w:jc w:val="left"/>
        <w:rPr>
          <w:rFonts w:cs="Arial" w:asciiTheme="majorEastAsia" w:hAnsiTheme="majorEastAsia" w:eastAsiaTheme="majorEastAsia"/>
          <w:color w:val="000000"/>
          <w:kern w:val="0"/>
          <w:sz w:val="24"/>
        </w:rPr>
      </w:pPr>
    </w:p>
    <w:p>
      <w:pPr>
        <w:widowControl/>
        <w:shd w:val="clear" w:color="auto" w:fill="FFFFFF"/>
        <w:spacing w:line="400" w:lineRule="exact"/>
        <w:jc w:val="left"/>
        <w:rPr>
          <w:rFonts w:cs="Arial" w:asciiTheme="majorEastAsia" w:hAnsiTheme="majorEastAsia" w:eastAsiaTheme="majorEastAsia"/>
          <w:color w:val="000000"/>
          <w:kern w:val="0"/>
          <w:sz w:val="24"/>
        </w:rPr>
      </w:pPr>
    </w:p>
    <w:p>
      <w:pPr>
        <w:jc w:val="left"/>
        <w:rPr>
          <w:rFonts w:asciiTheme="majorEastAsia" w:hAnsiTheme="majorEastAsia" w:eastAsiaTheme="majorEastAsia"/>
          <w:b/>
          <w:sz w:val="24"/>
        </w:rPr>
      </w:pPr>
    </w:p>
    <w:sectPr>
      <w:headerReference r:id="rId3" w:type="default"/>
      <w:pgSz w:w="11906" w:h="16838"/>
      <w:pgMar w:top="1440" w:right="1644" w:bottom="1440" w:left="164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华文细黑">
    <w:altName w:val="微软雅黑"/>
    <w:panose1 w:val="02010600040101010101"/>
    <w:charset w:val="86"/>
    <w:family w:val="auto"/>
    <w:pitch w:val="default"/>
    <w:sig w:usb0="00000000" w:usb1="00000000" w:usb2="00000010" w:usb3="00000000" w:csb0="0004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3449"/>
      <w:gridCol w:w="1765"/>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922" w:type="dxa"/>
          <w:vMerge w:val="restart"/>
          <w:vAlign w:val="center"/>
        </w:tcPr>
        <w:p>
          <w:pPr>
            <w:jc w:val="center"/>
            <w:rPr>
              <w:rFonts w:ascii="宋体" w:hAnsi="宋体"/>
              <w:bCs/>
              <w:color w:val="000000"/>
              <w:sz w:val="24"/>
            </w:rPr>
          </w:pPr>
        </w:p>
      </w:tc>
      <w:tc>
        <w:tcPr>
          <w:tcW w:w="3449" w:type="dxa"/>
          <w:vAlign w:val="center"/>
        </w:tcPr>
        <w:p>
          <w:pPr>
            <w:spacing w:line="260" w:lineRule="exact"/>
            <w:jc w:val="center"/>
            <w:rPr>
              <w:rFonts w:hint="eastAsia" w:ascii="微软雅黑" w:hAnsi="微软雅黑" w:eastAsia="微软雅黑" w:cs="宋体"/>
              <w:sz w:val="22"/>
              <w:szCs w:val="22"/>
              <w:lang w:val="en-US" w:eastAsia="zh-CN"/>
            </w:rPr>
          </w:pPr>
          <w:r>
            <w:rPr>
              <w:rFonts w:hint="eastAsia" w:ascii="微软雅黑" w:hAnsi="微软雅黑" w:eastAsia="微软雅黑" w:cs="宋体"/>
              <w:sz w:val="22"/>
              <w:szCs w:val="22"/>
              <w:lang w:val="en-US" w:eastAsia="zh-CN"/>
            </w:rPr>
            <w:t>南充仁和春天广场</w:t>
          </w:r>
        </w:p>
      </w:tc>
      <w:tc>
        <w:tcPr>
          <w:tcW w:w="3870" w:type="dxa"/>
          <w:gridSpan w:val="2"/>
          <w:vAlign w:val="center"/>
        </w:tcPr>
        <w:p>
          <w:pPr>
            <w:spacing w:beforeLines="50" w:afterLines="50" w:line="260" w:lineRule="exact"/>
            <w:jc w:val="center"/>
            <w:rPr>
              <w:rFonts w:hint="eastAsia" w:ascii="微软雅黑" w:hAnsi="微软雅黑" w:eastAsia="微软雅黑" w:cs="Arial"/>
              <w:sz w:val="22"/>
              <w:szCs w:val="22"/>
              <w:lang w:eastAsia="zh-CN"/>
            </w:rPr>
          </w:pPr>
          <w:r>
            <w:rPr>
              <w:rFonts w:hint="eastAsia" w:ascii="微软雅黑" w:hAnsi="微软雅黑" w:eastAsia="微软雅黑" w:cs="Arial"/>
              <w:sz w:val="22"/>
              <w:szCs w:val="22"/>
            </w:rPr>
            <w:t>编号：</w:t>
          </w:r>
          <w:r>
            <w:rPr>
              <w:rFonts w:hint="eastAsia" w:ascii="微软雅黑" w:hAnsi="微软雅黑" w:eastAsia="微软雅黑"/>
              <w:sz w:val="22"/>
              <w:szCs w:val="22"/>
            </w:rPr>
            <w:t>N</w:t>
          </w:r>
          <w:r>
            <w:rPr>
              <w:rFonts w:hint="eastAsia" w:ascii="微软雅黑" w:hAnsi="微软雅黑" w:eastAsia="微软雅黑"/>
              <w:sz w:val="22"/>
              <w:szCs w:val="22"/>
              <w:lang w:val="en-US" w:eastAsia="zh-CN"/>
            </w:rPr>
            <w:t>C</w:t>
          </w:r>
          <w:r>
            <w:rPr>
              <w:rFonts w:hint="eastAsia" w:ascii="微软雅黑" w:hAnsi="微软雅黑" w:eastAsia="微软雅黑"/>
              <w:sz w:val="22"/>
              <w:szCs w:val="22"/>
            </w:rPr>
            <w:t>SG-GCWYB-A</w:t>
          </w:r>
          <w:r>
            <w:rPr>
              <w:rFonts w:hint="eastAsia" w:ascii="微软雅黑" w:hAnsi="微软雅黑" w:eastAsia="微软雅黑"/>
              <w:sz w:val="22"/>
              <w:szCs w:val="22"/>
              <w:lang w:val="en-US" w:eastAsia="zh-CN"/>
            </w:rPr>
            <w:t>F</w:t>
          </w:r>
          <w:r>
            <w:rPr>
              <w:rFonts w:hint="eastAsia" w:ascii="微软雅黑" w:hAnsi="微软雅黑" w:eastAsia="微软雅黑"/>
              <w:sz w:val="22"/>
              <w:szCs w:val="22"/>
            </w:rPr>
            <w:t>-00</w:t>
          </w:r>
          <w:r>
            <w:rPr>
              <w:rFonts w:hint="eastAsia" w:ascii="微软雅黑" w:hAnsi="微软雅黑" w:eastAsia="微软雅黑"/>
              <w:sz w:val="22"/>
              <w:szCs w:val="22"/>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922" w:type="dxa"/>
          <w:vMerge w:val="continue"/>
          <w:vAlign w:val="center"/>
        </w:tcPr>
        <w:p>
          <w:pPr>
            <w:rPr>
              <w:rFonts w:ascii="华文细黑" w:hAnsi="华文细黑" w:eastAsia="华文细黑"/>
              <w:szCs w:val="21"/>
            </w:rPr>
          </w:pPr>
        </w:p>
      </w:tc>
      <w:tc>
        <w:tcPr>
          <w:tcW w:w="3449" w:type="dxa"/>
          <w:vAlign w:val="center"/>
        </w:tcPr>
        <w:p>
          <w:pPr>
            <w:spacing w:line="260" w:lineRule="exact"/>
            <w:jc w:val="center"/>
            <w:rPr>
              <w:rFonts w:ascii="微软雅黑" w:hAnsi="微软雅黑" w:eastAsia="微软雅黑" w:cs="Arial"/>
              <w:b/>
              <w:color w:val="000000"/>
              <w:sz w:val="22"/>
              <w:szCs w:val="22"/>
            </w:rPr>
          </w:pPr>
          <w:r>
            <w:rPr>
              <w:rFonts w:hint="eastAsia" w:ascii="微软雅黑" w:hAnsi="微软雅黑" w:eastAsia="微软雅黑" w:cs="Arial"/>
              <w:color w:val="000000"/>
              <w:sz w:val="22"/>
              <w:szCs w:val="22"/>
            </w:rPr>
            <w:t>生效日期：20</w:t>
          </w:r>
          <w:r>
            <w:rPr>
              <w:rFonts w:hint="eastAsia" w:ascii="微软雅黑" w:hAnsi="微软雅黑" w:eastAsia="微软雅黑" w:cs="Arial"/>
              <w:color w:val="000000"/>
              <w:sz w:val="22"/>
              <w:szCs w:val="22"/>
              <w:lang w:val="en-US" w:eastAsia="zh-CN"/>
            </w:rPr>
            <w:t>21</w:t>
          </w:r>
          <w:r>
            <w:rPr>
              <w:rFonts w:hint="eastAsia" w:ascii="微软雅黑" w:hAnsi="微软雅黑" w:eastAsia="微软雅黑" w:cs="Arial"/>
              <w:color w:val="000000"/>
              <w:sz w:val="22"/>
              <w:szCs w:val="22"/>
            </w:rPr>
            <w:t>年0</w:t>
          </w:r>
          <w:r>
            <w:rPr>
              <w:rFonts w:hint="eastAsia" w:ascii="微软雅黑" w:hAnsi="微软雅黑" w:eastAsia="微软雅黑" w:cs="Arial"/>
              <w:color w:val="000000"/>
              <w:sz w:val="22"/>
              <w:szCs w:val="22"/>
              <w:lang w:val="en-US" w:eastAsia="zh-CN"/>
            </w:rPr>
            <w:t>1</w:t>
          </w:r>
          <w:r>
            <w:rPr>
              <w:rFonts w:hint="eastAsia" w:ascii="微软雅黑" w:hAnsi="微软雅黑" w:eastAsia="微软雅黑" w:cs="Arial"/>
              <w:color w:val="000000"/>
              <w:sz w:val="22"/>
              <w:szCs w:val="22"/>
            </w:rPr>
            <w:t>月0</w:t>
          </w:r>
          <w:r>
            <w:rPr>
              <w:rFonts w:hint="eastAsia" w:ascii="微软雅黑" w:hAnsi="微软雅黑" w:eastAsia="微软雅黑" w:cs="Arial"/>
              <w:color w:val="000000"/>
              <w:sz w:val="22"/>
              <w:szCs w:val="22"/>
              <w:lang w:val="en-US" w:eastAsia="zh-CN"/>
            </w:rPr>
            <w:t>1</w:t>
          </w:r>
          <w:r>
            <w:rPr>
              <w:rFonts w:hint="eastAsia" w:ascii="微软雅黑" w:hAnsi="微软雅黑" w:eastAsia="微软雅黑" w:cs="Arial"/>
              <w:color w:val="000000"/>
              <w:sz w:val="22"/>
              <w:szCs w:val="22"/>
            </w:rPr>
            <w:t>日</w:t>
          </w:r>
        </w:p>
      </w:tc>
      <w:tc>
        <w:tcPr>
          <w:tcW w:w="1765" w:type="dxa"/>
          <w:vAlign w:val="center"/>
        </w:tcPr>
        <w:p>
          <w:pPr>
            <w:spacing w:beforeLines="50" w:afterLines="50" w:line="260" w:lineRule="exact"/>
            <w:jc w:val="center"/>
            <w:rPr>
              <w:rFonts w:hint="default" w:ascii="微软雅黑" w:hAnsi="微软雅黑" w:eastAsia="微软雅黑" w:cs="Arial"/>
              <w:sz w:val="22"/>
              <w:szCs w:val="22"/>
              <w:lang w:val="en-US" w:eastAsia="zh-CN"/>
            </w:rPr>
          </w:pPr>
          <w:r>
            <w:rPr>
              <w:rFonts w:hint="eastAsia" w:ascii="微软雅黑" w:hAnsi="微软雅黑" w:eastAsia="微软雅黑" w:cs="Arial"/>
              <w:sz w:val="22"/>
              <w:szCs w:val="22"/>
            </w:rPr>
            <w:t>版本：20</w:t>
          </w:r>
          <w:r>
            <w:rPr>
              <w:rFonts w:hint="eastAsia" w:ascii="微软雅黑" w:hAnsi="微软雅黑" w:eastAsia="微软雅黑" w:cs="Arial"/>
              <w:sz w:val="22"/>
              <w:szCs w:val="22"/>
              <w:lang w:val="en-US" w:eastAsia="zh-CN"/>
            </w:rPr>
            <w:t>21</w:t>
          </w:r>
        </w:p>
      </w:tc>
      <w:tc>
        <w:tcPr>
          <w:tcW w:w="2105" w:type="dxa"/>
          <w:vAlign w:val="center"/>
        </w:tcPr>
        <w:p>
          <w:pPr>
            <w:spacing w:beforeLines="50" w:afterLines="50" w:line="260" w:lineRule="exact"/>
            <w:jc w:val="center"/>
            <w:rPr>
              <w:rFonts w:ascii="微软雅黑" w:hAnsi="微软雅黑" w:eastAsia="微软雅黑" w:cs="Arial"/>
              <w:sz w:val="22"/>
              <w:szCs w:val="22"/>
            </w:rPr>
          </w:pPr>
          <w:r>
            <w:rPr>
              <w:rFonts w:hint="eastAsia" w:ascii="微软雅黑" w:hAnsi="微软雅黑" w:eastAsia="微软雅黑"/>
              <w:sz w:val="22"/>
              <w:szCs w:val="22"/>
            </w:rPr>
            <w:t>第</w:t>
          </w:r>
          <w:r>
            <w:rPr>
              <w:rStyle w:val="7"/>
              <w:rFonts w:ascii="微软雅黑" w:hAnsi="微软雅黑" w:eastAsia="微软雅黑"/>
              <w:sz w:val="22"/>
              <w:szCs w:val="22"/>
            </w:rPr>
            <w:fldChar w:fldCharType="begin"/>
          </w:r>
          <w:r>
            <w:rPr>
              <w:rStyle w:val="7"/>
              <w:rFonts w:ascii="微软雅黑" w:hAnsi="微软雅黑" w:eastAsia="微软雅黑"/>
              <w:sz w:val="22"/>
              <w:szCs w:val="22"/>
            </w:rPr>
            <w:instrText xml:space="preserve"> PAGE </w:instrText>
          </w:r>
          <w:r>
            <w:rPr>
              <w:rStyle w:val="7"/>
              <w:rFonts w:ascii="微软雅黑" w:hAnsi="微软雅黑" w:eastAsia="微软雅黑"/>
              <w:sz w:val="22"/>
              <w:szCs w:val="22"/>
            </w:rPr>
            <w:fldChar w:fldCharType="separate"/>
          </w:r>
          <w:r>
            <w:rPr>
              <w:rStyle w:val="7"/>
              <w:rFonts w:ascii="微软雅黑" w:hAnsi="微软雅黑" w:eastAsia="微软雅黑"/>
              <w:sz w:val="22"/>
              <w:szCs w:val="22"/>
            </w:rPr>
            <w:t>1</w:t>
          </w:r>
          <w:r>
            <w:rPr>
              <w:rStyle w:val="7"/>
              <w:rFonts w:ascii="微软雅黑" w:hAnsi="微软雅黑" w:eastAsia="微软雅黑"/>
              <w:sz w:val="22"/>
              <w:szCs w:val="22"/>
            </w:rPr>
            <w:fldChar w:fldCharType="end"/>
          </w:r>
          <w:r>
            <w:rPr>
              <w:rFonts w:hint="eastAsia" w:ascii="微软雅黑" w:hAnsi="微软雅黑" w:eastAsia="微软雅黑"/>
              <w:sz w:val="22"/>
              <w:szCs w:val="22"/>
            </w:rPr>
            <w:t>页 共</w:t>
          </w:r>
          <w:r>
            <w:rPr>
              <w:rStyle w:val="7"/>
              <w:rFonts w:hint="eastAsia" w:ascii="微软雅黑" w:hAnsi="微软雅黑" w:eastAsia="微软雅黑"/>
              <w:sz w:val="22"/>
              <w:szCs w:val="22"/>
              <w:lang w:val="en-US" w:eastAsia="zh-CN"/>
            </w:rPr>
            <w:t>3</w:t>
          </w:r>
          <w:r>
            <w:rPr>
              <w:rStyle w:val="7"/>
              <w:rFonts w:hint="eastAsia" w:ascii="微软雅黑" w:hAnsi="微软雅黑" w:eastAsia="微软雅黑"/>
              <w:sz w:val="22"/>
              <w:szCs w:val="22"/>
            </w:rPr>
            <w:t xml:space="preserve"> </w:t>
          </w:r>
          <w:r>
            <w:rPr>
              <w:rFonts w:hint="eastAsia" w:ascii="微软雅黑" w:hAnsi="微软雅黑" w:eastAsia="微软雅黑"/>
              <w:sz w:val="22"/>
              <w:szCs w:val="22"/>
            </w:rPr>
            <w:t>页</w:t>
          </w:r>
        </w:p>
      </w:tc>
    </w:tr>
  </w:tbl>
  <w:p>
    <w:pPr>
      <w:pStyle w:val="4"/>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131C11"/>
    <w:multiLevelType w:val="multilevel"/>
    <w:tmpl w:val="2C131C11"/>
    <w:lvl w:ilvl="0" w:tentative="0">
      <w:start w:val="1"/>
      <w:numFmt w:val="bullet"/>
      <w:lvlText w:val=""/>
      <w:lvlJc w:val="left"/>
      <w:pPr>
        <w:ind w:left="846" w:hanging="420"/>
      </w:pPr>
      <w:rPr>
        <w:rFonts w:hint="default" w:ascii="Wingdings" w:hAnsi="Wingdings"/>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
    <w:nsid w:val="493E234C"/>
    <w:multiLevelType w:val="multilevel"/>
    <w:tmpl w:val="493E234C"/>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2">
    <w:nsid w:val="535A7755"/>
    <w:multiLevelType w:val="multilevel"/>
    <w:tmpl w:val="535A7755"/>
    <w:lvl w:ilvl="0" w:tentative="0">
      <w:start w:val="1"/>
      <w:numFmt w:val="bullet"/>
      <w:lvlText w:val=""/>
      <w:lvlJc w:val="left"/>
      <w:pPr>
        <w:ind w:left="846" w:hanging="420"/>
      </w:pPr>
      <w:rPr>
        <w:rFonts w:hint="default" w:ascii="Wingdings" w:hAnsi="Wingdings"/>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3">
    <w:nsid w:val="59F66BE4"/>
    <w:multiLevelType w:val="multilevel"/>
    <w:tmpl w:val="59F66BE4"/>
    <w:lvl w:ilvl="0" w:tentative="0">
      <w:start w:val="1"/>
      <w:numFmt w:val="bullet"/>
      <w:lvlText w:val=""/>
      <w:lvlJc w:val="left"/>
      <w:pPr>
        <w:ind w:left="846" w:hanging="420"/>
      </w:pPr>
      <w:rPr>
        <w:rFonts w:hint="default" w:ascii="Wingdings" w:hAnsi="Wingdings"/>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4">
    <w:nsid w:val="5A582A40"/>
    <w:multiLevelType w:val="multilevel"/>
    <w:tmpl w:val="5A582A40"/>
    <w:lvl w:ilvl="0" w:tentative="0">
      <w:start w:val="1"/>
      <w:numFmt w:val="bullet"/>
      <w:lvlText w:val=""/>
      <w:lvlJc w:val="left"/>
      <w:pPr>
        <w:ind w:left="846" w:hanging="420"/>
      </w:pPr>
      <w:rPr>
        <w:rFonts w:hint="default" w:ascii="Wingdings" w:hAnsi="Wingdings"/>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5">
    <w:nsid w:val="6D6E6569"/>
    <w:multiLevelType w:val="multilevel"/>
    <w:tmpl w:val="6D6E6569"/>
    <w:lvl w:ilvl="0" w:tentative="0">
      <w:start w:val="1"/>
      <w:numFmt w:val="bullet"/>
      <w:lvlText w:val=""/>
      <w:lvlJc w:val="left"/>
      <w:pPr>
        <w:ind w:left="844" w:hanging="420"/>
      </w:pPr>
      <w:rPr>
        <w:rFonts w:hint="default" w:ascii="Wingdings" w:hAnsi="Wingdings"/>
      </w:rPr>
    </w:lvl>
    <w:lvl w:ilvl="1" w:tentative="0">
      <w:start w:val="1"/>
      <w:numFmt w:val="bullet"/>
      <w:lvlText w:val=""/>
      <w:lvlJc w:val="left"/>
      <w:pPr>
        <w:ind w:left="1264" w:hanging="420"/>
      </w:pPr>
      <w:rPr>
        <w:rFonts w:hint="default" w:ascii="Wingdings" w:hAnsi="Wingdings"/>
      </w:rPr>
    </w:lvl>
    <w:lvl w:ilvl="2" w:tentative="0">
      <w:start w:val="1"/>
      <w:numFmt w:val="bullet"/>
      <w:lvlText w:val=""/>
      <w:lvlJc w:val="left"/>
      <w:pPr>
        <w:ind w:left="1684" w:hanging="420"/>
      </w:pPr>
      <w:rPr>
        <w:rFonts w:hint="default" w:ascii="Wingdings" w:hAnsi="Wingdings"/>
      </w:rPr>
    </w:lvl>
    <w:lvl w:ilvl="3" w:tentative="0">
      <w:start w:val="1"/>
      <w:numFmt w:val="bullet"/>
      <w:lvlText w:val=""/>
      <w:lvlJc w:val="left"/>
      <w:pPr>
        <w:ind w:left="2104" w:hanging="420"/>
      </w:pPr>
      <w:rPr>
        <w:rFonts w:hint="default" w:ascii="Wingdings" w:hAnsi="Wingdings"/>
      </w:rPr>
    </w:lvl>
    <w:lvl w:ilvl="4" w:tentative="0">
      <w:start w:val="1"/>
      <w:numFmt w:val="bullet"/>
      <w:lvlText w:val=""/>
      <w:lvlJc w:val="left"/>
      <w:pPr>
        <w:ind w:left="2524" w:hanging="420"/>
      </w:pPr>
      <w:rPr>
        <w:rFonts w:hint="default" w:ascii="Wingdings" w:hAnsi="Wingdings"/>
      </w:rPr>
    </w:lvl>
    <w:lvl w:ilvl="5" w:tentative="0">
      <w:start w:val="1"/>
      <w:numFmt w:val="bullet"/>
      <w:lvlText w:val=""/>
      <w:lvlJc w:val="left"/>
      <w:pPr>
        <w:ind w:left="2944" w:hanging="420"/>
      </w:pPr>
      <w:rPr>
        <w:rFonts w:hint="default" w:ascii="Wingdings" w:hAnsi="Wingdings"/>
      </w:rPr>
    </w:lvl>
    <w:lvl w:ilvl="6" w:tentative="0">
      <w:start w:val="1"/>
      <w:numFmt w:val="bullet"/>
      <w:lvlText w:val=""/>
      <w:lvlJc w:val="left"/>
      <w:pPr>
        <w:ind w:left="3364" w:hanging="420"/>
      </w:pPr>
      <w:rPr>
        <w:rFonts w:hint="default" w:ascii="Wingdings" w:hAnsi="Wingdings"/>
      </w:rPr>
    </w:lvl>
    <w:lvl w:ilvl="7" w:tentative="0">
      <w:start w:val="1"/>
      <w:numFmt w:val="bullet"/>
      <w:lvlText w:val=""/>
      <w:lvlJc w:val="left"/>
      <w:pPr>
        <w:ind w:left="3784" w:hanging="420"/>
      </w:pPr>
      <w:rPr>
        <w:rFonts w:hint="default" w:ascii="Wingdings" w:hAnsi="Wingdings"/>
      </w:rPr>
    </w:lvl>
    <w:lvl w:ilvl="8" w:tentative="0">
      <w:start w:val="1"/>
      <w:numFmt w:val="bullet"/>
      <w:lvlText w:val=""/>
      <w:lvlJc w:val="left"/>
      <w:pPr>
        <w:ind w:left="4204" w:hanging="420"/>
      </w:pPr>
      <w:rPr>
        <w:rFonts w:hint="default" w:ascii="Wingdings" w:hAnsi="Wingdings"/>
      </w:rPr>
    </w:lvl>
  </w:abstractNum>
  <w:abstractNum w:abstractNumId="6">
    <w:nsid w:val="6F987A57"/>
    <w:multiLevelType w:val="multilevel"/>
    <w:tmpl w:val="6F987A57"/>
    <w:lvl w:ilvl="0" w:tentative="0">
      <w:start w:val="1"/>
      <w:numFmt w:val="bullet"/>
      <w:lvlText w:val=""/>
      <w:lvlJc w:val="left"/>
      <w:pPr>
        <w:ind w:left="846" w:hanging="420"/>
      </w:pPr>
      <w:rPr>
        <w:rFonts w:hint="default" w:ascii="Wingdings" w:hAnsi="Wingdings"/>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num w:numId="1">
    <w:abstractNumId w:val="1"/>
  </w:num>
  <w:num w:numId="2">
    <w:abstractNumId w:val="3"/>
  </w:num>
  <w:num w:numId="3">
    <w:abstractNumId w:val="5"/>
  </w:num>
  <w:num w:numId="4">
    <w:abstractNumId w:val="6"/>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79C0"/>
    <w:rsid w:val="00012AC8"/>
    <w:rsid w:val="00063C49"/>
    <w:rsid w:val="0007581D"/>
    <w:rsid w:val="000B60DB"/>
    <w:rsid w:val="000F712C"/>
    <w:rsid w:val="00123344"/>
    <w:rsid w:val="001343B2"/>
    <w:rsid w:val="00151A70"/>
    <w:rsid w:val="001609A6"/>
    <w:rsid w:val="00180857"/>
    <w:rsid w:val="001A6F45"/>
    <w:rsid w:val="001C326C"/>
    <w:rsid w:val="001C42EC"/>
    <w:rsid w:val="00226349"/>
    <w:rsid w:val="0024275E"/>
    <w:rsid w:val="00265C50"/>
    <w:rsid w:val="002821FC"/>
    <w:rsid w:val="002F0FA3"/>
    <w:rsid w:val="0030303E"/>
    <w:rsid w:val="0032520C"/>
    <w:rsid w:val="00331295"/>
    <w:rsid w:val="00335C0E"/>
    <w:rsid w:val="00335CBD"/>
    <w:rsid w:val="004C69B6"/>
    <w:rsid w:val="00500BA2"/>
    <w:rsid w:val="00527B21"/>
    <w:rsid w:val="00530FF3"/>
    <w:rsid w:val="00533856"/>
    <w:rsid w:val="00537608"/>
    <w:rsid w:val="005516EA"/>
    <w:rsid w:val="00556960"/>
    <w:rsid w:val="0056486F"/>
    <w:rsid w:val="00567B97"/>
    <w:rsid w:val="005C1E80"/>
    <w:rsid w:val="005F1733"/>
    <w:rsid w:val="00600C9F"/>
    <w:rsid w:val="006159DB"/>
    <w:rsid w:val="00616211"/>
    <w:rsid w:val="00683348"/>
    <w:rsid w:val="006A5F36"/>
    <w:rsid w:val="006B1C4C"/>
    <w:rsid w:val="006B7669"/>
    <w:rsid w:val="006C240F"/>
    <w:rsid w:val="00760C8A"/>
    <w:rsid w:val="00786189"/>
    <w:rsid w:val="00790AA4"/>
    <w:rsid w:val="007B5772"/>
    <w:rsid w:val="007C2274"/>
    <w:rsid w:val="007C3A4E"/>
    <w:rsid w:val="008000BD"/>
    <w:rsid w:val="00814F92"/>
    <w:rsid w:val="008206A2"/>
    <w:rsid w:val="00842E24"/>
    <w:rsid w:val="00867345"/>
    <w:rsid w:val="008A6356"/>
    <w:rsid w:val="008F66CE"/>
    <w:rsid w:val="008F7069"/>
    <w:rsid w:val="00912DC5"/>
    <w:rsid w:val="009258C9"/>
    <w:rsid w:val="009444C1"/>
    <w:rsid w:val="009563C6"/>
    <w:rsid w:val="009E620C"/>
    <w:rsid w:val="009F0A8A"/>
    <w:rsid w:val="00A53A8E"/>
    <w:rsid w:val="00A55EE6"/>
    <w:rsid w:val="00A65225"/>
    <w:rsid w:val="00AC1C60"/>
    <w:rsid w:val="00AC4B54"/>
    <w:rsid w:val="00B01A35"/>
    <w:rsid w:val="00B06401"/>
    <w:rsid w:val="00B20A6F"/>
    <w:rsid w:val="00B33F81"/>
    <w:rsid w:val="00B40C55"/>
    <w:rsid w:val="00B579C0"/>
    <w:rsid w:val="00BB5902"/>
    <w:rsid w:val="00BF6DED"/>
    <w:rsid w:val="00C15489"/>
    <w:rsid w:val="00C24C3C"/>
    <w:rsid w:val="00C643FF"/>
    <w:rsid w:val="00C66176"/>
    <w:rsid w:val="00CC1930"/>
    <w:rsid w:val="00CD7826"/>
    <w:rsid w:val="00CE7458"/>
    <w:rsid w:val="00CF0C83"/>
    <w:rsid w:val="00D00B91"/>
    <w:rsid w:val="00D627BC"/>
    <w:rsid w:val="00D761F4"/>
    <w:rsid w:val="00D85AAE"/>
    <w:rsid w:val="00D94E3C"/>
    <w:rsid w:val="00DA4FCD"/>
    <w:rsid w:val="00DD6C1C"/>
    <w:rsid w:val="00DE141D"/>
    <w:rsid w:val="00E5268E"/>
    <w:rsid w:val="00E5303D"/>
    <w:rsid w:val="00E63F82"/>
    <w:rsid w:val="00EA117C"/>
    <w:rsid w:val="00EC2CD9"/>
    <w:rsid w:val="00EC471A"/>
    <w:rsid w:val="00ED4114"/>
    <w:rsid w:val="00ED5D22"/>
    <w:rsid w:val="00ED7970"/>
    <w:rsid w:val="00EE3BAD"/>
    <w:rsid w:val="00F13A39"/>
    <w:rsid w:val="00F47899"/>
    <w:rsid w:val="00F63598"/>
    <w:rsid w:val="00FB2E5D"/>
    <w:rsid w:val="00FD0D84"/>
    <w:rsid w:val="00FE0AB5"/>
    <w:rsid w:val="43C71942"/>
    <w:rsid w:val="48794947"/>
    <w:rsid w:val="4D9B4F6C"/>
    <w:rsid w:val="68AB5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批注框文本 Char"/>
    <w:basedOn w:val="6"/>
    <w:link w:val="2"/>
    <w:semiHidden/>
    <w:uiPriority w:val="99"/>
    <w:rPr>
      <w:rFonts w:ascii="Times New Roman" w:hAnsi="Times New Roman" w:eastAsia="宋体" w:cs="Times New Roman"/>
      <w:sz w:val="18"/>
      <w:szCs w:val="18"/>
    </w:rPr>
  </w:style>
  <w:style w:type="character" w:customStyle="1" w:styleId="9">
    <w:name w:val="页眉 Char"/>
    <w:basedOn w:val="6"/>
    <w:link w:val="4"/>
    <w:qFormat/>
    <w:uiPriority w:val="99"/>
    <w:rPr>
      <w:rFonts w:ascii="Times New Roman" w:hAnsi="Times New Roman" w:eastAsia="宋体" w:cs="Times New Roman"/>
      <w:sz w:val="18"/>
      <w:szCs w:val="18"/>
    </w:rPr>
  </w:style>
  <w:style w:type="character" w:customStyle="1" w:styleId="10">
    <w:name w:val="页脚 Char"/>
    <w:basedOn w:val="6"/>
    <w:link w:val="3"/>
    <w:semiHidden/>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327</Words>
  <Characters>1866</Characters>
  <Lines>15</Lines>
  <Paragraphs>4</Paragraphs>
  <TotalTime>8</TotalTime>
  <ScaleCrop>false</ScaleCrop>
  <LinksUpToDate>false</LinksUpToDate>
  <CharactersWithSpaces>2189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2012-03-15T01:17:00Z</dcterms:created>
  <dc:creator>白艳娜</dc:creator>
  <cp:lastModifiedBy>Administrator</cp:lastModifiedBy>
  <dcterms:modified xsi:type="dcterms:W3CDTF">2021-06-06T04:24:52Z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0E28CF05FA5D461CACA11797D258B0F7</vt:lpwstr>
  </property>
</Properties>
</file>