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华文细黑" w:hAnsi="华文细黑" w:eastAsia="华文细黑"/>
          <w:b/>
          <w:sz w:val="44"/>
          <w:szCs w:val="28"/>
        </w:rPr>
      </w:pPr>
      <w:r>
        <w:rPr>
          <w:rFonts w:hint="eastAsia" w:ascii="华文细黑" w:hAnsi="华文细黑" w:eastAsia="华文细黑"/>
          <w:b/>
          <w:sz w:val="44"/>
          <w:szCs w:val="28"/>
        </w:rPr>
        <w:t>商场巡逻标准作业规程</w:t>
      </w:r>
    </w:p>
    <w:p>
      <w:pPr>
        <w:jc w:val="left"/>
        <w:rPr>
          <w:rFonts w:ascii="华文细黑" w:hAnsi="华文细黑" w:eastAsia="华文细黑"/>
          <w:b/>
          <w:sz w:val="10"/>
          <w:szCs w:val="10"/>
        </w:rPr>
      </w:pPr>
    </w:p>
    <w:p>
      <w:pPr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/>
          <w:b/>
          <w:sz w:val="24"/>
        </w:rPr>
        <w:t>一、目的</w:t>
      </w:r>
    </w:p>
    <w:p>
      <w:pPr>
        <w:ind w:firstLine="480" w:firstLineChars="200"/>
        <w:jc w:val="left"/>
        <w:rPr>
          <w:rFonts w:ascii="华文细黑" w:hAnsi="华文细黑" w:eastAsia="华文细黑"/>
          <w:color w:val="000000"/>
          <w:sz w:val="24"/>
        </w:rPr>
      </w:pPr>
      <w:r>
        <w:rPr>
          <w:rFonts w:hint="eastAsia" w:ascii="华文细黑" w:hAnsi="华文细黑" w:eastAsia="华文细黑"/>
          <w:color w:val="000000"/>
          <w:sz w:val="24"/>
        </w:rPr>
        <w:t>为了</w:t>
      </w:r>
      <w:r>
        <w:rPr>
          <w:rFonts w:hint="eastAsia" w:ascii="华文细黑" w:hAnsi="华文细黑" w:eastAsia="华文细黑"/>
          <w:sz w:val="24"/>
        </w:rPr>
        <w:t>对整个管理区域实施有效控制，防止不安全事件的发生。</w:t>
      </w:r>
    </w:p>
    <w:p>
      <w:pPr>
        <w:jc w:val="left"/>
        <w:rPr>
          <w:rFonts w:ascii="华文细黑" w:hAnsi="华文细黑" w:eastAsia="华文细黑"/>
          <w:b/>
          <w:color w:val="000000"/>
          <w:sz w:val="24"/>
        </w:rPr>
      </w:pPr>
      <w:r>
        <w:rPr>
          <w:rFonts w:hint="eastAsia" w:ascii="华文细黑" w:hAnsi="华文细黑" w:eastAsia="华文细黑"/>
          <w:b/>
          <w:color w:val="000000"/>
          <w:sz w:val="24"/>
        </w:rPr>
        <w:t>二、适用范围</w:t>
      </w:r>
    </w:p>
    <w:p>
      <w:pPr>
        <w:ind w:firstLine="480" w:firstLineChars="20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适用于</w:t>
      </w:r>
      <w:r>
        <w:rPr>
          <w:rFonts w:hint="eastAsia" w:ascii="华文细黑" w:hAnsi="华文细黑" w:eastAsia="华文细黑"/>
          <w:sz w:val="24"/>
          <w:lang w:eastAsia="zh-CN"/>
        </w:rPr>
        <w:t>南充仁和春天</w:t>
      </w:r>
      <w:r>
        <w:rPr>
          <w:rFonts w:hint="eastAsia" w:ascii="华文细黑" w:hAnsi="华文细黑" w:eastAsia="华文细黑"/>
          <w:sz w:val="24"/>
        </w:rPr>
        <w:t>广场物业安防部。</w:t>
      </w:r>
    </w:p>
    <w:p>
      <w:pPr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/>
          <w:b/>
          <w:sz w:val="24"/>
        </w:rPr>
        <w:t>三、部门职责职能</w:t>
      </w:r>
      <w:r>
        <w:rPr>
          <w:rFonts w:ascii="华文细黑" w:hAnsi="华文细黑" w:eastAsia="华文细黑"/>
          <w:b/>
          <w:sz w:val="24"/>
        </w:rPr>
        <w:tab/>
      </w:r>
    </w:p>
    <w:p>
      <w:pPr>
        <w:pStyle w:val="11"/>
        <w:numPr>
          <w:ilvl w:val="0"/>
          <w:numId w:val="1"/>
        </w:numPr>
        <w:ind w:firstLine="6"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熟悉各执勤岗的职责和任务，协助各岗位处理疑难问题。</w:t>
      </w:r>
    </w:p>
    <w:p>
      <w:pPr>
        <w:pStyle w:val="11"/>
        <w:numPr>
          <w:ilvl w:val="0"/>
          <w:numId w:val="1"/>
        </w:numPr>
        <w:ind w:firstLine="6"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巡查各公共部位设施完好情况。</w:t>
      </w:r>
    </w:p>
    <w:p>
      <w:pPr>
        <w:pStyle w:val="11"/>
        <w:numPr>
          <w:ilvl w:val="0"/>
          <w:numId w:val="1"/>
        </w:numPr>
        <w:ind w:firstLine="6"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维持辖区内的治安秩序。</w:t>
      </w:r>
    </w:p>
    <w:p>
      <w:pPr>
        <w:pStyle w:val="11"/>
        <w:numPr>
          <w:ilvl w:val="0"/>
          <w:numId w:val="1"/>
        </w:numPr>
        <w:ind w:firstLine="6"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协助上级领导处理紧急情况。</w:t>
      </w:r>
    </w:p>
    <w:p>
      <w:pPr>
        <w:pStyle w:val="11"/>
        <w:numPr>
          <w:ilvl w:val="0"/>
          <w:numId w:val="1"/>
        </w:numPr>
        <w:ind w:firstLine="6"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做好值班巡查记录。</w:t>
      </w:r>
    </w:p>
    <w:p>
      <w:pPr>
        <w:pStyle w:val="11"/>
        <w:numPr>
          <w:ilvl w:val="0"/>
          <w:numId w:val="1"/>
        </w:numPr>
        <w:ind w:firstLine="6"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部门主管负责检查、督导并对有关巡逻工作提出改进方法及注意事项。</w:t>
      </w:r>
    </w:p>
    <w:p>
      <w:pPr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/>
          <w:b/>
          <w:sz w:val="24"/>
        </w:rPr>
        <w:t>四、工作指引：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巡逻次数：每两小时至少对整个辖区巡查一遍。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巡逻要求：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多看、多听、多嗅，以确保巡视任务。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按要求做好巡逻记录，并及时将有关情况反馈给相关部门。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巡逻内容：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区域防火、防盗、防水浸、防电气泄漏工作的检查，发现问题立即上报</w:t>
      </w:r>
      <w:r>
        <w:rPr>
          <w:rFonts w:hint="eastAsia" w:ascii="华文细黑" w:hAnsi="华文细黑" w:eastAsia="华文细黑"/>
          <w:sz w:val="24"/>
          <w:lang w:eastAsia="zh-CN"/>
        </w:rPr>
        <w:t>当班班长</w:t>
      </w:r>
      <w:r>
        <w:rPr>
          <w:rFonts w:hint="eastAsia" w:ascii="华文细黑" w:hAnsi="华文细黑" w:eastAsia="华文细黑"/>
          <w:sz w:val="24"/>
        </w:rPr>
        <w:t>、主管同时向总服务台报修并跟踪配合相关部门的处理。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检查消防设备、设施是否完好。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巡视责任区域共用部位及共用设施设备是否完好，发现损坏则立即做好记录，并上报</w:t>
      </w:r>
      <w:r>
        <w:rPr>
          <w:rFonts w:hint="eastAsia" w:ascii="华文细黑" w:hAnsi="华文细黑" w:eastAsia="华文细黑"/>
          <w:sz w:val="24"/>
          <w:lang w:eastAsia="zh-CN"/>
        </w:rPr>
        <w:t>当班</w:t>
      </w:r>
      <w:r>
        <w:rPr>
          <w:rFonts w:hint="eastAsia" w:ascii="华文细黑" w:hAnsi="华文细黑" w:eastAsia="华文细黑"/>
          <w:sz w:val="24"/>
        </w:rPr>
        <w:t>班长。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发现可疑人、物、事时，应立即前往盘查，检查证件及其所带物品。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随时保持与其它岗位的联系，共同做好区域安全防范工作。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详细记录情况发生时间及确切位置。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巡逻要求：</w:t>
      </w:r>
    </w:p>
    <w:p>
      <w:pPr>
        <w:pStyle w:val="11"/>
        <w:numPr>
          <w:ilvl w:val="0"/>
          <w:numId w:val="2"/>
        </w:numPr>
        <w:ind w:firstLineChars="0"/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/>
          <w:sz w:val="24"/>
        </w:rPr>
        <w:t>可不制定固定路线，但巡逻人员必须不留死角、偏角，对</w:t>
      </w:r>
      <w:r>
        <w:rPr>
          <w:rFonts w:hint="eastAsia" w:ascii="华文细黑" w:hAnsi="华文细黑" w:eastAsia="华文细黑"/>
          <w:sz w:val="24"/>
          <w:lang w:eastAsia="zh-CN"/>
        </w:rPr>
        <w:t>商场和</w:t>
      </w:r>
      <w:r>
        <w:rPr>
          <w:rFonts w:hint="eastAsia" w:ascii="华文细黑" w:hAnsi="华文细黑" w:eastAsia="华文细黑"/>
          <w:sz w:val="24"/>
        </w:rPr>
        <w:t>停车场从上往下集中巡视检查</w:t>
      </w:r>
      <w:r>
        <w:rPr>
          <w:rFonts w:hint="eastAsia" w:ascii="华文细黑" w:hAnsi="华文细黑" w:eastAsia="华文细黑"/>
          <w:sz w:val="24"/>
          <w:lang w:eastAsia="zh-CN"/>
        </w:rPr>
        <w:t>，夏、冬季节确保内场消防通道门闭合，防止冷、热气泄露，造成能耗浪费</w:t>
      </w:r>
      <w:r>
        <w:rPr>
          <w:rFonts w:hint="eastAsia" w:ascii="华文细黑" w:hAnsi="华文细黑" w:eastAsia="华文细黑"/>
          <w:sz w:val="24"/>
        </w:rPr>
        <w:t>。</w:t>
      </w:r>
      <w:bookmarkStart w:id="0" w:name="_GoBack"/>
      <w:bookmarkEnd w:id="0"/>
    </w:p>
    <w:sectPr>
      <w:headerReference r:id="rId3" w:type="default"/>
      <w:pgSz w:w="11906" w:h="16838"/>
      <w:pgMar w:top="1440" w:right="1644" w:bottom="1440" w:left="164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241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22"/>
      <w:gridCol w:w="3449"/>
      <w:gridCol w:w="1765"/>
      <w:gridCol w:w="2105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jc w:val="center"/>
      </w:trPr>
      <w:tc>
        <w:tcPr>
          <w:tcW w:w="1922" w:type="dxa"/>
          <w:vMerge w:val="restart"/>
          <w:vAlign w:val="center"/>
        </w:tcPr>
        <w:p>
          <w:pPr>
            <w:jc w:val="center"/>
            <w:rPr>
              <w:rFonts w:ascii="宋体" w:hAnsi="宋体"/>
              <w:bCs/>
              <w:color w:val="000000"/>
              <w:sz w:val="24"/>
            </w:rPr>
          </w:pPr>
        </w:p>
      </w:tc>
      <w:tc>
        <w:tcPr>
          <w:tcW w:w="3449" w:type="dxa"/>
          <w:vAlign w:val="center"/>
        </w:tcPr>
        <w:p>
          <w:pPr>
            <w:spacing w:line="260" w:lineRule="exact"/>
            <w:jc w:val="center"/>
            <w:rPr>
              <w:rFonts w:hint="eastAsia" w:ascii="微软雅黑" w:hAnsi="微软雅黑" w:eastAsia="微软雅黑" w:cs="宋体"/>
              <w:sz w:val="22"/>
              <w:szCs w:val="22"/>
              <w:lang w:eastAsia="zh-CN"/>
            </w:rPr>
          </w:pPr>
          <w:r>
            <w:rPr>
              <w:rFonts w:hint="eastAsia" w:ascii="微软雅黑" w:hAnsi="微软雅黑" w:eastAsia="微软雅黑" w:cs="宋体"/>
              <w:sz w:val="22"/>
              <w:szCs w:val="22"/>
              <w:lang w:eastAsia="zh-CN"/>
            </w:rPr>
            <w:t>南充仁和春天广场</w:t>
          </w:r>
        </w:p>
      </w:tc>
      <w:tc>
        <w:tcPr>
          <w:tcW w:w="3870" w:type="dxa"/>
          <w:gridSpan w:val="2"/>
          <w:vAlign w:val="center"/>
        </w:tcPr>
        <w:p>
          <w:pPr>
            <w:spacing w:beforeLines="50" w:afterLines="50" w:line="260" w:lineRule="exact"/>
            <w:jc w:val="center"/>
            <w:rPr>
              <w:rFonts w:hint="eastAsia" w:ascii="微软雅黑" w:hAnsi="微软雅黑" w:eastAsia="微软雅黑" w:cs="Arial"/>
              <w:sz w:val="22"/>
              <w:szCs w:val="22"/>
              <w:lang w:eastAsia="zh-CN"/>
            </w:rPr>
          </w:pPr>
          <w:r>
            <w:rPr>
              <w:rFonts w:hint="eastAsia" w:ascii="微软雅黑" w:hAnsi="微软雅黑" w:eastAsia="微软雅黑" w:cs="Arial"/>
              <w:sz w:val="22"/>
              <w:szCs w:val="22"/>
            </w:rPr>
            <w:t>编号：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N</w:t>
          </w:r>
          <w:r>
            <w:rPr>
              <w:rFonts w:hint="eastAsia" w:ascii="微软雅黑" w:hAnsi="微软雅黑" w:eastAsia="微软雅黑"/>
              <w:sz w:val="22"/>
              <w:szCs w:val="22"/>
              <w:lang w:val="en-US" w:eastAsia="zh-CN"/>
            </w:rPr>
            <w:t>C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SG-GCWYB-A</w:t>
          </w:r>
          <w:r>
            <w:rPr>
              <w:rFonts w:hint="eastAsia" w:ascii="微软雅黑" w:hAnsi="微软雅黑" w:eastAsia="微软雅黑"/>
              <w:sz w:val="22"/>
              <w:szCs w:val="22"/>
              <w:lang w:val="en-US" w:eastAsia="zh-CN"/>
            </w:rPr>
            <w:t>F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-01</w:t>
          </w:r>
          <w:r>
            <w:rPr>
              <w:rFonts w:hint="eastAsia" w:ascii="微软雅黑" w:hAnsi="微软雅黑" w:eastAsia="微软雅黑"/>
              <w:sz w:val="22"/>
              <w:szCs w:val="22"/>
              <w:lang w:val="en-US" w:eastAsia="zh-CN"/>
            </w:rPr>
            <w:t>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jc w:val="center"/>
      </w:trPr>
      <w:tc>
        <w:tcPr>
          <w:tcW w:w="1922" w:type="dxa"/>
          <w:vMerge w:val="continue"/>
          <w:vAlign w:val="center"/>
        </w:tcPr>
        <w:p>
          <w:pPr>
            <w:rPr>
              <w:rFonts w:ascii="华文细黑" w:hAnsi="华文细黑" w:eastAsia="华文细黑"/>
              <w:szCs w:val="21"/>
            </w:rPr>
          </w:pPr>
        </w:p>
      </w:tc>
      <w:tc>
        <w:tcPr>
          <w:tcW w:w="3449" w:type="dxa"/>
          <w:vAlign w:val="center"/>
        </w:tcPr>
        <w:p>
          <w:pPr>
            <w:spacing w:line="260" w:lineRule="exact"/>
            <w:jc w:val="center"/>
            <w:rPr>
              <w:rFonts w:ascii="微软雅黑" w:hAnsi="微软雅黑" w:eastAsia="微软雅黑" w:cs="Arial"/>
              <w:b/>
              <w:color w:val="000000"/>
              <w:sz w:val="22"/>
              <w:szCs w:val="22"/>
            </w:rPr>
          </w:pP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生效日期：20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21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年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01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月01日</w:t>
          </w:r>
        </w:p>
      </w:tc>
      <w:tc>
        <w:tcPr>
          <w:tcW w:w="1765" w:type="dxa"/>
          <w:vAlign w:val="center"/>
        </w:tcPr>
        <w:p>
          <w:pPr>
            <w:spacing w:beforeLines="50" w:afterLines="50" w:line="260" w:lineRule="exact"/>
            <w:jc w:val="center"/>
            <w:rPr>
              <w:rFonts w:hint="default" w:ascii="微软雅黑" w:hAnsi="微软雅黑" w:eastAsia="微软雅黑" w:cs="Arial"/>
              <w:sz w:val="22"/>
              <w:szCs w:val="22"/>
              <w:lang w:val="en-US" w:eastAsia="zh-CN"/>
            </w:rPr>
          </w:pPr>
          <w:r>
            <w:rPr>
              <w:rFonts w:hint="eastAsia" w:ascii="微软雅黑" w:hAnsi="微软雅黑" w:eastAsia="微软雅黑" w:cs="Arial"/>
              <w:sz w:val="22"/>
              <w:szCs w:val="22"/>
            </w:rPr>
            <w:t>版本：20</w:t>
          </w:r>
          <w:r>
            <w:rPr>
              <w:rFonts w:hint="eastAsia" w:ascii="微软雅黑" w:hAnsi="微软雅黑" w:eastAsia="微软雅黑" w:cs="Arial"/>
              <w:sz w:val="22"/>
              <w:szCs w:val="22"/>
              <w:lang w:val="en-US" w:eastAsia="zh-CN"/>
            </w:rPr>
            <w:t>21</w:t>
          </w:r>
        </w:p>
      </w:tc>
      <w:tc>
        <w:tcPr>
          <w:tcW w:w="2105" w:type="dxa"/>
          <w:vAlign w:val="center"/>
        </w:tcPr>
        <w:p>
          <w:pPr>
            <w:spacing w:beforeLines="50" w:afterLines="50" w:line="260" w:lineRule="exact"/>
            <w:jc w:val="center"/>
            <w:rPr>
              <w:rFonts w:ascii="微软雅黑" w:hAnsi="微软雅黑" w:eastAsia="微软雅黑" w:cs="Arial"/>
              <w:sz w:val="22"/>
              <w:szCs w:val="22"/>
            </w:rPr>
          </w:pPr>
          <w:r>
            <w:rPr>
              <w:rFonts w:hint="eastAsia" w:ascii="微软雅黑" w:hAnsi="微软雅黑" w:eastAsia="微软雅黑"/>
              <w:sz w:val="22"/>
              <w:szCs w:val="22"/>
            </w:rPr>
            <w:t>第</w: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begin"/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instrText xml:space="preserve"> PAGE </w:instrTex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separate"/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t>1</w: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end"/>
          </w:r>
          <w:r>
            <w:rPr>
              <w:rFonts w:hint="eastAsia" w:ascii="微软雅黑" w:hAnsi="微软雅黑" w:eastAsia="微软雅黑"/>
              <w:sz w:val="22"/>
              <w:szCs w:val="22"/>
            </w:rPr>
            <w:t>页 共</w:t>
          </w:r>
          <w:r>
            <w:rPr>
              <w:rStyle w:val="7"/>
              <w:rFonts w:hint="eastAsia" w:ascii="微软雅黑" w:hAnsi="微软雅黑" w:eastAsia="微软雅黑"/>
              <w:sz w:val="22"/>
              <w:szCs w:val="22"/>
            </w:rPr>
            <w:t xml:space="preserve"> 2 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页</w:t>
          </w:r>
        </w:p>
      </w:tc>
    </w:tr>
  </w:tbl>
  <w:p>
    <w:pPr>
      <w:pStyle w:val="4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A4239A"/>
    <w:multiLevelType w:val="multilevel"/>
    <w:tmpl w:val="22A4239A"/>
    <w:lvl w:ilvl="0" w:tentative="0">
      <w:start w:val="1"/>
      <w:numFmt w:val="bullet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6C624AEA"/>
    <w:multiLevelType w:val="multilevel"/>
    <w:tmpl w:val="6C624AE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79C0"/>
    <w:rsid w:val="00012AC8"/>
    <w:rsid w:val="00063C49"/>
    <w:rsid w:val="000F712C"/>
    <w:rsid w:val="00123344"/>
    <w:rsid w:val="00151A70"/>
    <w:rsid w:val="001609A6"/>
    <w:rsid w:val="00180857"/>
    <w:rsid w:val="001A6F45"/>
    <w:rsid w:val="001C326C"/>
    <w:rsid w:val="001C42EC"/>
    <w:rsid w:val="00226349"/>
    <w:rsid w:val="0024275E"/>
    <w:rsid w:val="00265C50"/>
    <w:rsid w:val="002821FC"/>
    <w:rsid w:val="002F0FA3"/>
    <w:rsid w:val="0030303E"/>
    <w:rsid w:val="0032520C"/>
    <w:rsid w:val="00331295"/>
    <w:rsid w:val="00335C0E"/>
    <w:rsid w:val="00335CBD"/>
    <w:rsid w:val="00341C69"/>
    <w:rsid w:val="003E7BA5"/>
    <w:rsid w:val="004C69B6"/>
    <w:rsid w:val="00530FF3"/>
    <w:rsid w:val="00533856"/>
    <w:rsid w:val="005516EA"/>
    <w:rsid w:val="00556960"/>
    <w:rsid w:val="00600C9F"/>
    <w:rsid w:val="006159DB"/>
    <w:rsid w:val="00616211"/>
    <w:rsid w:val="00636552"/>
    <w:rsid w:val="00683348"/>
    <w:rsid w:val="00684E32"/>
    <w:rsid w:val="006A5F36"/>
    <w:rsid w:val="006B1C4C"/>
    <w:rsid w:val="006B7669"/>
    <w:rsid w:val="006C240F"/>
    <w:rsid w:val="00760C8A"/>
    <w:rsid w:val="0077066A"/>
    <w:rsid w:val="00786189"/>
    <w:rsid w:val="00790AA4"/>
    <w:rsid w:val="00793A96"/>
    <w:rsid w:val="007C2274"/>
    <w:rsid w:val="007C3A4E"/>
    <w:rsid w:val="008000BD"/>
    <w:rsid w:val="00814F92"/>
    <w:rsid w:val="008206A2"/>
    <w:rsid w:val="00852790"/>
    <w:rsid w:val="00867345"/>
    <w:rsid w:val="008A68DA"/>
    <w:rsid w:val="008F66CE"/>
    <w:rsid w:val="008F7069"/>
    <w:rsid w:val="009060C9"/>
    <w:rsid w:val="00912DC5"/>
    <w:rsid w:val="009258C9"/>
    <w:rsid w:val="009444C1"/>
    <w:rsid w:val="009563C6"/>
    <w:rsid w:val="009E620C"/>
    <w:rsid w:val="009F0A8A"/>
    <w:rsid w:val="00A55EE6"/>
    <w:rsid w:val="00A65225"/>
    <w:rsid w:val="00AC4B54"/>
    <w:rsid w:val="00B01A35"/>
    <w:rsid w:val="00B06401"/>
    <w:rsid w:val="00B40C55"/>
    <w:rsid w:val="00B579C0"/>
    <w:rsid w:val="00B728AC"/>
    <w:rsid w:val="00BF6DED"/>
    <w:rsid w:val="00C15489"/>
    <w:rsid w:val="00C24C3C"/>
    <w:rsid w:val="00C643FF"/>
    <w:rsid w:val="00C66176"/>
    <w:rsid w:val="00C95E9B"/>
    <w:rsid w:val="00CC1930"/>
    <w:rsid w:val="00CF0C83"/>
    <w:rsid w:val="00D00B91"/>
    <w:rsid w:val="00D66BCF"/>
    <w:rsid w:val="00D85AAE"/>
    <w:rsid w:val="00DA4FCD"/>
    <w:rsid w:val="00DD6C1C"/>
    <w:rsid w:val="00E5268E"/>
    <w:rsid w:val="00E5303D"/>
    <w:rsid w:val="00E63F82"/>
    <w:rsid w:val="00EA117C"/>
    <w:rsid w:val="00EC2CD9"/>
    <w:rsid w:val="00EC471A"/>
    <w:rsid w:val="00ED4114"/>
    <w:rsid w:val="00ED5D22"/>
    <w:rsid w:val="00ED7970"/>
    <w:rsid w:val="00EE3BAD"/>
    <w:rsid w:val="00F13A39"/>
    <w:rsid w:val="00F47899"/>
    <w:rsid w:val="00F63598"/>
    <w:rsid w:val="00FB2E5D"/>
    <w:rsid w:val="00FD0D84"/>
    <w:rsid w:val="00FE0AB5"/>
    <w:rsid w:val="015F22C3"/>
    <w:rsid w:val="0368162C"/>
    <w:rsid w:val="058132DB"/>
    <w:rsid w:val="15EB49E6"/>
    <w:rsid w:val="280240D0"/>
    <w:rsid w:val="3546551A"/>
    <w:rsid w:val="4A003DD0"/>
    <w:rsid w:val="52DA6937"/>
    <w:rsid w:val="55782452"/>
    <w:rsid w:val="65654DC4"/>
    <w:rsid w:val="69C417CC"/>
    <w:rsid w:val="7593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78</Words>
  <Characters>448</Characters>
  <Lines>3</Lines>
  <Paragraphs>1</Paragraphs>
  <TotalTime>96</TotalTime>
  <ScaleCrop>false</ScaleCrop>
  <LinksUpToDate>false</LinksUpToDate>
  <CharactersWithSpaces>525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2012-03-15T01:17:00Z</dcterms:created>
  <dc:creator>白艳娜</dc:creator>
  <cp:lastModifiedBy>Administrator</cp:lastModifiedBy>
  <cp:lastPrinted>2017-02-22T01:16:00Z</cp:lastPrinted>
  <dcterms:modified xsi:type="dcterms:W3CDTF">2021-06-06T05:33:40Z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347CDCDADD6D4E3E992FC81BC3F7A139</vt:lpwstr>
  </property>
</Properties>
</file>