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华文细黑" w:hAnsi="华文细黑" w:eastAsia="华文细黑"/>
          <w:b/>
          <w:sz w:val="10"/>
          <w:szCs w:val="10"/>
        </w:rPr>
      </w:pPr>
    </w:p>
    <w:p>
      <w:pPr>
        <w:spacing w:line="400" w:lineRule="exact"/>
        <w:jc w:val="center"/>
        <w:rPr>
          <w:rFonts w:ascii="华文细黑" w:hAnsi="华文细黑" w:eastAsia="华文细黑"/>
          <w:b/>
          <w:sz w:val="44"/>
        </w:rPr>
      </w:pPr>
      <w:r>
        <w:rPr>
          <w:rFonts w:hint="eastAsia" w:ascii="华文细黑" w:hAnsi="华文细黑" w:eastAsia="华文细黑"/>
          <w:b/>
          <w:sz w:val="44"/>
        </w:rPr>
        <w:t>员工交接班管理规定</w:t>
      </w:r>
    </w:p>
    <w:p>
      <w:pPr>
        <w:jc w:val="left"/>
        <w:rPr>
          <w:rFonts w:ascii="华文细黑" w:hAnsi="华文细黑" w:eastAsia="华文细黑"/>
          <w:b/>
          <w:sz w:val="10"/>
          <w:szCs w:val="10"/>
        </w:rPr>
      </w:pPr>
    </w:p>
    <w:p>
      <w:pPr>
        <w:jc w:val="left"/>
        <w:rPr>
          <w:rFonts w:ascii="华文细黑" w:hAnsi="华文细黑" w:eastAsia="华文细黑"/>
          <w:b/>
          <w:sz w:val="24"/>
        </w:rPr>
      </w:pPr>
      <w:r>
        <w:rPr>
          <w:rFonts w:hint="eastAsia" w:ascii="华文细黑" w:hAnsi="华文细黑" w:eastAsia="华文细黑"/>
          <w:b/>
          <w:sz w:val="24"/>
        </w:rPr>
        <w:t>一、目的</w:t>
      </w:r>
    </w:p>
    <w:p>
      <w:pPr>
        <w:ind w:firstLine="480" w:firstLineChars="200"/>
        <w:jc w:val="left"/>
        <w:rPr>
          <w:rFonts w:ascii="华文细黑" w:hAnsi="华文细黑" w:eastAsia="华文细黑"/>
          <w:color w:val="000000"/>
          <w:sz w:val="24"/>
        </w:rPr>
      </w:pPr>
      <w:r>
        <w:rPr>
          <w:rFonts w:hint="eastAsia" w:ascii="华文细黑" w:hAnsi="华文细黑" w:eastAsia="华文细黑"/>
          <w:color w:val="000000"/>
          <w:sz w:val="24"/>
        </w:rPr>
        <w:t>为了加强部门员工交接班的规范，工作交接不出漏洞，特此规定。</w:t>
      </w:r>
    </w:p>
    <w:p>
      <w:pPr>
        <w:jc w:val="left"/>
        <w:rPr>
          <w:rFonts w:ascii="华文细黑" w:hAnsi="华文细黑" w:eastAsia="华文细黑"/>
          <w:b/>
          <w:color w:val="000000"/>
          <w:sz w:val="24"/>
        </w:rPr>
      </w:pPr>
      <w:r>
        <w:rPr>
          <w:rFonts w:hint="eastAsia" w:ascii="华文细黑" w:hAnsi="华文细黑" w:eastAsia="华文细黑"/>
          <w:b/>
          <w:color w:val="000000"/>
          <w:sz w:val="24"/>
        </w:rPr>
        <w:t>二、适用范围</w:t>
      </w:r>
    </w:p>
    <w:p>
      <w:pPr>
        <w:ind w:firstLine="480" w:firstLineChars="200"/>
        <w:jc w:val="left"/>
        <w:rPr>
          <w:rFonts w:ascii="华文细黑" w:hAnsi="华文细黑" w:eastAsia="华文细黑"/>
          <w:sz w:val="24"/>
        </w:rPr>
      </w:pPr>
      <w:r>
        <w:rPr>
          <w:rFonts w:hint="eastAsia" w:ascii="华文细黑" w:hAnsi="华文细黑" w:eastAsia="华文细黑"/>
          <w:sz w:val="24"/>
        </w:rPr>
        <w:t>适用于</w:t>
      </w:r>
      <w:r>
        <w:rPr>
          <w:rFonts w:hint="eastAsia" w:ascii="华文细黑" w:hAnsi="华文细黑" w:eastAsia="华文细黑"/>
          <w:sz w:val="24"/>
          <w:lang w:eastAsia="zh-CN"/>
        </w:rPr>
        <w:t>南充仁和春天广场</w:t>
      </w:r>
      <w:r>
        <w:rPr>
          <w:rFonts w:hint="eastAsia" w:ascii="华文细黑" w:hAnsi="华文细黑" w:eastAsia="华文细黑"/>
          <w:sz w:val="24"/>
        </w:rPr>
        <w:t>物业安防部。</w:t>
      </w:r>
    </w:p>
    <w:p>
      <w:pPr>
        <w:jc w:val="left"/>
        <w:rPr>
          <w:rFonts w:ascii="华文细黑" w:hAnsi="华文细黑" w:eastAsia="华文细黑"/>
          <w:b/>
          <w:sz w:val="24"/>
        </w:rPr>
      </w:pPr>
      <w:r>
        <w:rPr>
          <w:rFonts w:hint="eastAsia" w:ascii="华文细黑" w:hAnsi="华文细黑" w:eastAsia="华文细黑"/>
          <w:b/>
          <w:sz w:val="24"/>
        </w:rPr>
        <w:t>三、部门的主要职能</w:t>
      </w:r>
      <w:r>
        <w:rPr>
          <w:rFonts w:ascii="华文细黑" w:hAnsi="华文细黑" w:eastAsia="华文细黑"/>
          <w:b/>
          <w:sz w:val="24"/>
        </w:rPr>
        <w:t>/</w:t>
      </w:r>
      <w:r>
        <w:rPr>
          <w:rFonts w:hint="eastAsia" w:ascii="华文细黑" w:hAnsi="华文细黑" w:eastAsia="华文细黑"/>
          <w:b/>
          <w:sz w:val="24"/>
        </w:rPr>
        <w:t>职责：</w:t>
      </w:r>
    </w:p>
    <w:p>
      <w:pPr>
        <w:pStyle w:val="11"/>
        <w:numPr>
          <w:ilvl w:val="0"/>
          <w:numId w:val="1"/>
        </w:numPr>
        <w:tabs>
          <w:tab w:val="left" w:pos="426"/>
        </w:tabs>
        <w:ind w:firstLineChars="0"/>
        <w:rPr>
          <w:rFonts w:ascii="华文细黑" w:hAnsi="华文细黑" w:eastAsia="华文细黑"/>
          <w:sz w:val="24"/>
        </w:rPr>
      </w:pPr>
      <w:r>
        <w:rPr>
          <w:rFonts w:hint="eastAsia" w:ascii="华文细黑" w:hAnsi="华文细黑" w:eastAsia="华文细黑"/>
          <w:sz w:val="24"/>
        </w:rPr>
        <w:t>安防主管负责督导落实整体交接班工作。</w:t>
      </w:r>
    </w:p>
    <w:p>
      <w:pPr>
        <w:pStyle w:val="11"/>
        <w:numPr>
          <w:ilvl w:val="0"/>
          <w:numId w:val="1"/>
        </w:numPr>
        <w:tabs>
          <w:tab w:val="left" w:pos="426"/>
        </w:tabs>
        <w:ind w:firstLineChars="0"/>
        <w:rPr>
          <w:rFonts w:ascii="华文细黑" w:hAnsi="华文细黑" w:eastAsia="华文细黑"/>
          <w:sz w:val="24"/>
        </w:rPr>
      </w:pPr>
      <w:r>
        <w:rPr>
          <w:rFonts w:hint="eastAsia" w:ascii="华文细黑" w:hAnsi="华文细黑" w:eastAsia="华文细黑"/>
          <w:sz w:val="24"/>
        </w:rPr>
        <w:t>安防</w:t>
      </w:r>
      <w:r>
        <w:rPr>
          <w:rFonts w:hint="eastAsia" w:ascii="华文细黑" w:hAnsi="华文细黑" w:eastAsia="华文细黑"/>
          <w:sz w:val="24"/>
          <w:lang w:eastAsia="zh-CN"/>
        </w:rPr>
        <w:t>班长</w:t>
      </w:r>
      <w:r>
        <w:rPr>
          <w:rFonts w:hint="eastAsia" w:ascii="华文细黑" w:hAnsi="华文细黑" w:eastAsia="华文细黑"/>
          <w:sz w:val="24"/>
        </w:rPr>
        <w:t>负责检查员工的交接班记录本的填写和特殊岗位的表格填写情况管理。</w:t>
      </w:r>
    </w:p>
    <w:p>
      <w:pPr>
        <w:pStyle w:val="11"/>
        <w:numPr>
          <w:ilvl w:val="0"/>
          <w:numId w:val="1"/>
        </w:numPr>
        <w:tabs>
          <w:tab w:val="left" w:pos="426"/>
        </w:tabs>
        <w:ind w:firstLineChars="0"/>
        <w:rPr>
          <w:rFonts w:ascii="华文细黑" w:hAnsi="华文细黑" w:eastAsia="华文细黑"/>
          <w:sz w:val="24"/>
        </w:rPr>
      </w:pPr>
      <w:r>
        <w:rPr>
          <w:rFonts w:hint="eastAsia" w:ascii="华文细黑" w:hAnsi="华文细黑" w:eastAsia="华文细黑"/>
          <w:sz w:val="24"/>
        </w:rPr>
        <w:t>安防员工按照本规程执行实施。</w:t>
      </w:r>
    </w:p>
    <w:p>
      <w:pPr>
        <w:tabs>
          <w:tab w:val="left" w:pos="426"/>
        </w:tabs>
        <w:rPr>
          <w:rFonts w:ascii="华文细黑" w:hAnsi="华文细黑" w:eastAsia="华文细黑"/>
          <w:b/>
          <w:sz w:val="24"/>
        </w:rPr>
      </w:pPr>
      <w:r>
        <w:rPr>
          <w:rFonts w:hint="eastAsia" w:ascii="华文细黑" w:hAnsi="华文细黑" w:eastAsia="华文细黑"/>
          <w:b/>
          <w:sz w:val="24"/>
        </w:rPr>
        <w:t>四、职能内容：</w:t>
      </w:r>
    </w:p>
    <w:p>
      <w:pPr>
        <w:pStyle w:val="11"/>
        <w:numPr>
          <w:ilvl w:val="0"/>
          <w:numId w:val="2"/>
        </w:numPr>
        <w:ind w:left="851" w:hanging="425" w:firstLineChars="0"/>
        <w:rPr>
          <w:rFonts w:ascii="华文细黑" w:hAnsi="华文细黑" w:eastAsia="华文细黑"/>
          <w:sz w:val="24"/>
        </w:rPr>
      </w:pPr>
      <w:r>
        <w:rPr>
          <w:rFonts w:hint="eastAsia" w:ascii="华文细黑" w:hAnsi="华文细黑" w:eastAsia="华文细黑"/>
          <w:sz w:val="24"/>
        </w:rPr>
        <w:t>接班人员应提前15分钟到达公司打卡，按规定着装，携带岗位所需工具上岗。</w:t>
      </w:r>
    </w:p>
    <w:p>
      <w:pPr>
        <w:pStyle w:val="11"/>
        <w:numPr>
          <w:ilvl w:val="0"/>
          <w:numId w:val="2"/>
        </w:numPr>
        <w:ind w:left="851" w:hanging="425" w:firstLineChars="0"/>
        <w:rPr>
          <w:rFonts w:ascii="华文细黑" w:hAnsi="华文细黑" w:eastAsia="华文细黑"/>
          <w:sz w:val="24"/>
        </w:rPr>
      </w:pPr>
      <w:r>
        <w:rPr>
          <w:rFonts w:hint="eastAsia" w:ascii="华文细黑" w:hAnsi="华文细黑" w:eastAsia="华文细黑"/>
          <w:sz w:val="24"/>
        </w:rPr>
        <w:t>按交接班礼仪按时交接班，接班人员未到达前，当班人员不能离岗。</w:t>
      </w:r>
    </w:p>
    <w:p>
      <w:pPr>
        <w:pStyle w:val="11"/>
        <w:numPr>
          <w:ilvl w:val="0"/>
          <w:numId w:val="2"/>
        </w:numPr>
        <w:ind w:left="851" w:hanging="425" w:firstLineChars="0"/>
        <w:rPr>
          <w:rFonts w:ascii="华文细黑" w:hAnsi="华文细黑" w:eastAsia="华文细黑"/>
          <w:sz w:val="24"/>
        </w:rPr>
      </w:pPr>
      <w:r>
        <w:rPr>
          <w:rFonts w:hint="eastAsia" w:ascii="华文细黑" w:hAnsi="华文细黑" w:eastAsia="华文细黑"/>
          <w:sz w:val="24"/>
        </w:rPr>
        <w:t>接班人要详细了解上一班执勤情况和本班应注意事项，应做到三明：上班情况明，本班接办的事项明，物品、器械清点明。</w:t>
      </w:r>
    </w:p>
    <w:p>
      <w:pPr>
        <w:pStyle w:val="11"/>
        <w:numPr>
          <w:ilvl w:val="0"/>
          <w:numId w:val="2"/>
        </w:numPr>
        <w:ind w:left="851" w:hanging="425" w:firstLineChars="0"/>
        <w:rPr>
          <w:rFonts w:ascii="华文细黑" w:hAnsi="华文细黑" w:eastAsia="华文细黑"/>
          <w:sz w:val="24"/>
        </w:rPr>
      </w:pPr>
      <w:r>
        <w:rPr>
          <w:rFonts w:hint="eastAsia" w:ascii="华文细黑" w:hAnsi="华文细黑" w:eastAsia="华文细黑"/>
          <w:sz w:val="24"/>
        </w:rPr>
        <w:t>交班人在下班前必须填好值班记录，应做到三清：本班情况清，交接的问题清，物品器械清。</w:t>
      </w:r>
    </w:p>
    <w:p>
      <w:pPr>
        <w:pStyle w:val="11"/>
        <w:numPr>
          <w:ilvl w:val="0"/>
          <w:numId w:val="2"/>
        </w:numPr>
        <w:ind w:left="851" w:hanging="425" w:firstLineChars="0"/>
        <w:rPr>
          <w:rFonts w:ascii="华文细黑" w:hAnsi="华文细黑" w:eastAsia="华文细黑"/>
          <w:sz w:val="24"/>
        </w:rPr>
      </w:pPr>
      <w:r>
        <w:rPr>
          <w:rFonts w:hint="eastAsia" w:ascii="华文细黑" w:hAnsi="华文细黑" w:eastAsia="华文细黑"/>
          <w:sz w:val="24"/>
        </w:rPr>
        <w:t>当班人员发现的问题要及时处理，不能移交给下班的事情要继续在岗处理完毕，接班人负责协助完成。</w:t>
      </w:r>
    </w:p>
    <w:p>
      <w:pPr>
        <w:pStyle w:val="11"/>
        <w:numPr>
          <w:ilvl w:val="0"/>
          <w:numId w:val="2"/>
        </w:numPr>
        <w:ind w:left="851" w:hanging="425" w:firstLineChars="0"/>
        <w:rPr>
          <w:rFonts w:ascii="华文细黑" w:hAnsi="华文细黑" w:eastAsia="华文细黑"/>
          <w:sz w:val="24"/>
        </w:rPr>
      </w:pPr>
      <w:r>
        <w:rPr>
          <w:rFonts w:hint="eastAsia" w:ascii="华文细黑" w:hAnsi="华文细黑" w:eastAsia="华文细黑"/>
          <w:sz w:val="24"/>
        </w:rPr>
        <w:t>交接时安防</w:t>
      </w:r>
      <w:r>
        <w:rPr>
          <w:rFonts w:hint="eastAsia" w:ascii="华文细黑" w:hAnsi="华文细黑" w:eastAsia="华文细黑"/>
          <w:sz w:val="24"/>
          <w:lang w:eastAsia="zh-CN"/>
        </w:rPr>
        <w:t>班长</w:t>
      </w:r>
      <w:r>
        <w:rPr>
          <w:rFonts w:hint="eastAsia" w:ascii="华文细黑" w:hAnsi="华文细黑" w:eastAsia="华文细黑"/>
          <w:sz w:val="24"/>
        </w:rPr>
        <w:t>要做好值班日志记录表和交接班记录本的记录并签名。</w:t>
      </w:r>
      <w:bookmarkStart w:id="0" w:name="_GoBack"/>
      <w:bookmarkEnd w:id="0"/>
    </w:p>
    <w:p>
      <w:pPr>
        <w:pStyle w:val="11"/>
        <w:numPr>
          <w:ilvl w:val="0"/>
          <w:numId w:val="2"/>
        </w:numPr>
        <w:ind w:left="851" w:hanging="425" w:firstLineChars="0"/>
        <w:rPr>
          <w:rFonts w:ascii="华文细黑" w:hAnsi="华文细黑" w:eastAsia="华文细黑"/>
          <w:sz w:val="24"/>
        </w:rPr>
      </w:pPr>
      <w:r>
        <w:rPr>
          <w:rFonts w:hint="eastAsia" w:ascii="华文细黑" w:hAnsi="华文细黑" w:eastAsia="华文细黑"/>
          <w:sz w:val="24"/>
        </w:rPr>
        <w:t>安防员在交接班时填写交接班记录本并签名。</w:t>
      </w:r>
    </w:p>
    <w:sectPr>
      <w:headerReference r:id="rId3" w:type="default"/>
      <w:pgSz w:w="11906" w:h="16838"/>
      <w:pgMar w:top="1440" w:right="1644" w:bottom="1440" w:left="164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
      <w:tblW w:w="9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3449"/>
      <w:gridCol w:w="1765"/>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922" w:type="dxa"/>
          <w:vMerge w:val="restart"/>
          <w:vAlign w:val="center"/>
        </w:tcPr>
        <w:p>
          <w:pPr>
            <w:jc w:val="center"/>
            <w:rPr>
              <w:rFonts w:ascii="宋体" w:hAnsi="宋体"/>
              <w:bCs/>
              <w:color w:val="000000"/>
              <w:sz w:val="24"/>
            </w:rPr>
          </w:pPr>
        </w:p>
      </w:tc>
      <w:tc>
        <w:tcPr>
          <w:tcW w:w="3449" w:type="dxa"/>
          <w:vAlign w:val="center"/>
        </w:tcPr>
        <w:p>
          <w:pPr>
            <w:spacing w:line="260" w:lineRule="exact"/>
            <w:jc w:val="center"/>
            <w:rPr>
              <w:rFonts w:ascii="微软雅黑" w:hAnsi="微软雅黑" w:eastAsia="微软雅黑" w:cs="宋体"/>
              <w:sz w:val="22"/>
              <w:szCs w:val="22"/>
            </w:rPr>
          </w:pPr>
          <w:r>
            <w:rPr>
              <w:rFonts w:hint="eastAsia" w:ascii="微软雅黑" w:hAnsi="微软雅黑" w:eastAsia="微软雅黑"/>
              <w:sz w:val="22"/>
              <w:szCs w:val="22"/>
              <w:lang w:eastAsia="zh-CN"/>
            </w:rPr>
            <w:t>南充仁和春天</w:t>
          </w:r>
          <w:r>
            <w:rPr>
              <w:rFonts w:hint="eastAsia" w:ascii="微软雅黑" w:hAnsi="微软雅黑" w:eastAsia="微软雅黑"/>
              <w:sz w:val="22"/>
              <w:szCs w:val="22"/>
            </w:rPr>
            <w:t>广场</w:t>
          </w:r>
        </w:p>
      </w:tc>
      <w:tc>
        <w:tcPr>
          <w:tcW w:w="4155" w:type="dxa"/>
          <w:gridSpan w:val="2"/>
          <w:vAlign w:val="center"/>
        </w:tcPr>
        <w:p>
          <w:pPr>
            <w:rPr>
              <w:rFonts w:hint="default" w:ascii="微软雅黑" w:hAnsi="微软雅黑" w:eastAsia="微软雅黑"/>
              <w:sz w:val="22"/>
              <w:lang w:val="en-US" w:eastAsia="zh-CN"/>
            </w:rPr>
          </w:pPr>
          <w:r>
            <w:rPr>
              <w:rFonts w:hint="eastAsia" w:ascii="微软雅黑" w:hAnsi="微软雅黑" w:eastAsia="微软雅黑" w:cs="Arial"/>
              <w:sz w:val="22"/>
              <w:szCs w:val="22"/>
            </w:rPr>
            <w:t>编号：</w:t>
          </w:r>
          <w:r>
            <w:rPr>
              <w:rFonts w:hint="eastAsia" w:ascii="微软雅黑" w:hAnsi="微软雅黑" w:eastAsia="微软雅黑"/>
              <w:sz w:val="22"/>
            </w:rPr>
            <w:t>N</w:t>
          </w:r>
          <w:r>
            <w:rPr>
              <w:rFonts w:hint="eastAsia" w:ascii="微软雅黑" w:hAnsi="微软雅黑" w:eastAsia="微软雅黑"/>
              <w:sz w:val="22"/>
              <w:lang w:val="en-US" w:eastAsia="zh-CN"/>
            </w:rPr>
            <w:t>C</w:t>
          </w:r>
          <w:r>
            <w:rPr>
              <w:rFonts w:hint="eastAsia" w:ascii="微软雅黑" w:hAnsi="微软雅黑" w:eastAsia="微软雅黑"/>
              <w:sz w:val="22"/>
            </w:rPr>
            <w:t>SG-GCWYB-A</w:t>
          </w:r>
          <w:r>
            <w:rPr>
              <w:rFonts w:hint="eastAsia" w:ascii="微软雅黑" w:hAnsi="微软雅黑" w:eastAsia="微软雅黑"/>
              <w:sz w:val="22"/>
              <w:lang w:val="en-US" w:eastAsia="zh-CN"/>
            </w:rPr>
            <w:t>F</w:t>
          </w:r>
          <w:r>
            <w:rPr>
              <w:rFonts w:hint="eastAsia" w:ascii="微软雅黑" w:hAnsi="微软雅黑" w:eastAsia="微软雅黑"/>
              <w:sz w:val="22"/>
            </w:rPr>
            <w:t>- 0</w:t>
          </w:r>
          <w:r>
            <w:rPr>
              <w:rFonts w:hint="eastAsia" w:ascii="微软雅黑" w:hAnsi="微软雅黑" w:eastAsia="微软雅黑"/>
              <w:sz w:val="22"/>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922" w:type="dxa"/>
          <w:vMerge w:val="continue"/>
          <w:vAlign w:val="center"/>
        </w:tcPr>
        <w:p>
          <w:pPr>
            <w:rPr>
              <w:rFonts w:ascii="华文细黑" w:hAnsi="华文细黑" w:eastAsia="华文细黑"/>
              <w:szCs w:val="21"/>
            </w:rPr>
          </w:pPr>
        </w:p>
      </w:tc>
      <w:tc>
        <w:tcPr>
          <w:tcW w:w="3449" w:type="dxa"/>
          <w:vAlign w:val="center"/>
        </w:tcPr>
        <w:p>
          <w:pPr>
            <w:spacing w:line="260" w:lineRule="exact"/>
            <w:jc w:val="center"/>
            <w:rPr>
              <w:rFonts w:ascii="微软雅黑" w:hAnsi="微软雅黑" w:eastAsia="微软雅黑" w:cs="Arial"/>
              <w:b/>
              <w:color w:val="000000"/>
              <w:sz w:val="22"/>
              <w:szCs w:val="22"/>
            </w:rPr>
          </w:pPr>
          <w:r>
            <w:rPr>
              <w:rFonts w:hint="eastAsia" w:ascii="微软雅黑" w:hAnsi="微软雅黑" w:eastAsia="微软雅黑" w:cs="Arial"/>
              <w:color w:val="000000"/>
              <w:sz w:val="22"/>
              <w:szCs w:val="22"/>
            </w:rPr>
            <w:t>生效日期：20</w:t>
          </w:r>
          <w:r>
            <w:rPr>
              <w:rFonts w:hint="eastAsia" w:ascii="微软雅黑" w:hAnsi="微软雅黑" w:eastAsia="微软雅黑" w:cs="Arial"/>
              <w:color w:val="000000"/>
              <w:sz w:val="22"/>
              <w:szCs w:val="22"/>
              <w:lang w:val="en-US" w:eastAsia="zh-CN"/>
            </w:rPr>
            <w:t>21</w:t>
          </w:r>
          <w:r>
            <w:rPr>
              <w:rFonts w:hint="eastAsia" w:ascii="微软雅黑" w:hAnsi="微软雅黑" w:eastAsia="微软雅黑" w:cs="Arial"/>
              <w:color w:val="000000"/>
              <w:sz w:val="22"/>
              <w:szCs w:val="22"/>
            </w:rPr>
            <w:t>年0</w:t>
          </w:r>
          <w:r>
            <w:rPr>
              <w:rFonts w:hint="eastAsia" w:ascii="微软雅黑" w:hAnsi="微软雅黑" w:eastAsia="微软雅黑" w:cs="Arial"/>
              <w:color w:val="000000"/>
              <w:sz w:val="22"/>
              <w:szCs w:val="22"/>
              <w:lang w:val="en-US" w:eastAsia="zh-CN"/>
            </w:rPr>
            <w:t>1</w:t>
          </w:r>
          <w:r>
            <w:rPr>
              <w:rFonts w:hint="eastAsia" w:ascii="微软雅黑" w:hAnsi="微软雅黑" w:eastAsia="微软雅黑" w:cs="Arial"/>
              <w:color w:val="000000"/>
              <w:sz w:val="22"/>
              <w:szCs w:val="22"/>
            </w:rPr>
            <w:t>月</w:t>
          </w:r>
          <w:r>
            <w:rPr>
              <w:rFonts w:hint="eastAsia" w:ascii="微软雅黑" w:hAnsi="微软雅黑" w:eastAsia="微软雅黑" w:cs="Arial"/>
              <w:color w:val="000000"/>
              <w:sz w:val="22"/>
              <w:szCs w:val="22"/>
              <w:lang w:val="en-US" w:eastAsia="zh-CN"/>
            </w:rPr>
            <w:t>01</w:t>
          </w:r>
          <w:r>
            <w:rPr>
              <w:rFonts w:hint="eastAsia" w:ascii="微软雅黑" w:hAnsi="微软雅黑" w:eastAsia="微软雅黑" w:cs="Arial"/>
              <w:color w:val="000000"/>
              <w:sz w:val="22"/>
              <w:szCs w:val="22"/>
            </w:rPr>
            <w:t>日</w:t>
          </w:r>
        </w:p>
      </w:tc>
      <w:tc>
        <w:tcPr>
          <w:tcW w:w="1765" w:type="dxa"/>
          <w:vAlign w:val="center"/>
        </w:tcPr>
        <w:p>
          <w:pPr>
            <w:spacing w:beforeLines="50" w:afterLines="50" w:line="260" w:lineRule="exact"/>
            <w:jc w:val="center"/>
            <w:rPr>
              <w:rFonts w:hint="default" w:ascii="微软雅黑" w:hAnsi="微软雅黑" w:eastAsia="微软雅黑" w:cs="Arial"/>
              <w:sz w:val="22"/>
              <w:szCs w:val="22"/>
              <w:lang w:val="en-US" w:eastAsia="zh-CN"/>
            </w:rPr>
          </w:pPr>
          <w:r>
            <w:rPr>
              <w:rFonts w:hint="eastAsia" w:ascii="微软雅黑" w:hAnsi="微软雅黑" w:eastAsia="微软雅黑" w:cs="Arial"/>
              <w:sz w:val="22"/>
              <w:szCs w:val="22"/>
            </w:rPr>
            <w:t>版本：20</w:t>
          </w:r>
          <w:r>
            <w:rPr>
              <w:rFonts w:hint="eastAsia" w:ascii="微软雅黑" w:hAnsi="微软雅黑" w:eastAsia="微软雅黑" w:cs="Arial"/>
              <w:sz w:val="22"/>
              <w:szCs w:val="22"/>
              <w:lang w:val="en-US" w:eastAsia="zh-CN"/>
            </w:rPr>
            <w:t>21</w:t>
          </w:r>
        </w:p>
      </w:tc>
      <w:tc>
        <w:tcPr>
          <w:tcW w:w="2390" w:type="dxa"/>
          <w:vAlign w:val="center"/>
        </w:tcPr>
        <w:p>
          <w:pPr>
            <w:spacing w:beforeLines="50" w:afterLines="50" w:line="260" w:lineRule="exact"/>
            <w:jc w:val="center"/>
            <w:rPr>
              <w:rFonts w:ascii="微软雅黑" w:hAnsi="微软雅黑" w:eastAsia="微软雅黑" w:cs="Arial"/>
              <w:sz w:val="22"/>
              <w:szCs w:val="22"/>
            </w:rPr>
          </w:pPr>
          <w:r>
            <w:rPr>
              <w:rFonts w:hint="eastAsia" w:ascii="微软雅黑" w:hAnsi="微软雅黑" w:eastAsia="微软雅黑"/>
              <w:sz w:val="22"/>
              <w:szCs w:val="22"/>
            </w:rPr>
            <w:t>第</w:t>
          </w:r>
          <w:r>
            <w:rPr>
              <w:rStyle w:val="7"/>
              <w:rFonts w:ascii="微软雅黑" w:hAnsi="微软雅黑" w:eastAsia="微软雅黑"/>
              <w:sz w:val="22"/>
              <w:szCs w:val="22"/>
            </w:rPr>
            <w:fldChar w:fldCharType="begin"/>
          </w:r>
          <w:r>
            <w:rPr>
              <w:rStyle w:val="7"/>
              <w:rFonts w:ascii="微软雅黑" w:hAnsi="微软雅黑" w:eastAsia="微软雅黑"/>
              <w:sz w:val="22"/>
              <w:szCs w:val="22"/>
            </w:rPr>
            <w:instrText xml:space="preserve"> PAGE </w:instrText>
          </w:r>
          <w:r>
            <w:rPr>
              <w:rStyle w:val="7"/>
              <w:rFonts w:ascii="微软雅黑" w:hAnsi="微软雅黑" w:eastAsia="微软雅黑"/>
              <w:sz w:val="22"/>
              <w:szCs w:val="22"/>
            </w:rPr>
            <w:fldChar w:fldCharType="separate"/>
          </w:r>
          <w:r>
            <w:rPr>
              <w:rStyle w:val="7"/>
              <w:rFonts w:ascii="微软雅黑" w:hAnsi="微软雅黑" w:eastAsia="微软雅黑"/>
              <w:sz w:val="22"/>
              <w:szCs w:val="22"/>
            </w:rPr>
            <w:t>1</w:t>
          </w:r>
          <w:r>
            <w:rPr>
              <w:rStyle w:val="7"/>
              <w:rFonts w:ascii="微软雅黑" w:hAnsi="微软雅黑" w:eastAsia="微软雅黑"/>
              <w:sz w:val="22"/>
              <w:szCs w:val="22"/>
            </w:rPr>
            <w:fldChar w:fldCharType="end"/>
          </w:r>
          <w:r>
            <w:rPr>
              <w:rFonts w:hint="eastAsia" w:ascii="微软雅黑" w:hAnsi="微软雅黑" w:eastAsia="微软雅黑"/>
              <w:sz w:val="22"/>
              <w:szCs w:val="22"/>
            </w:rPr>
            <w:t>页 共</w:t>
          </w:r>
          <w:r>
            <w:rPr>
              <w:rStyle w:val="7"/>
              <w:rFonts w:hint="eastAsia" w:ascii="微软雅黑" w:hAnsi="微软雅黑" w:eastAsia="微软雅黑"/>
              <w:sz w:val="22"/>
              <w:szCs w:val="22"/>
            </w:rPr>
            <w:t xml:space="preserve"> 2 </w:t>
          </w:r>
          <w:r>
            <w:rPr>
              <w:rFonts w:hint="eastAsia" w:ascii="微软雅黑" w:hAnsi="微软雅黑" w:eastAsia="微软雅黑"/>
              <w:sz w:val="22"/>
              <w:szCs w:val="22"/>
            </w:rPr>
            <w:t>页</w:t>
          </w:r>
        </w:p>
      </w:tc>
    </w:tr>
  </w:tbl>
  <w:p>
    <w:pPr>
      <w:pStyle w:val="4"/>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97605"/>
    <w:multiLevelType w:val="multilevel"/>
    <w:tmpl w:val="0EB97605"/>
    <w:lvl w:ilvl="0" w:tentative="0">
      <w:start w:val="1"/>
      <w:numFmt w:val="bullet"/>
      <w:lvlText w:val=""/>
      <w:lvlJc w:val="left"/>
      <w:pPr>
        <w:ind w:left="844" w:hanging="420"/>
      </w:pPr>
      <w:rPr>
        <w:rFonts w:hint="default" w:ascii="Wingdings" w:hAnsi="Wingdings"/>
      </w:rPr>
    </w:lvl>
    <w:lvl w:ilvl="1" w:tentative="0">
      <w:start w:val="1"/>
      <w:numFmt w:val="bullet"/>
      <w:lvlText w:val=""/>
      <w:lvlJc w:val="left"/>
      <w:pPr>
        <w:ind w:left="1264" w:hanging="420"/>
      </w:pPr>
      <w:rPr>
        <w:rFonts w:hint="default" w:ascii="Wingdings" w:hAnsi="Wingdings"/>
      </w:rPr>
    </w:lvl>
    <w:lvl w:ilvl="2" w:tentative="0">
      <w:start w:val="1"/>
      <w:numFmt w:val="bullet"/>
      <w:lvlText w:val=""/>
      <w:lvlJc w:val="left"/>
      <w:pPr>
        <w:ind w:left="1684" w:hanging="420"/>
      </w:pPr>
      <w:rPr>
        <w:rFonts w:hint="default" w:ascii="Wingdings" w:hAnsi="Wingdings"/>
      </w:rPr>
    </w:lvl>
    <w:lvl w:ilvl="3" w:tentative="0">
      <w:start w:val="1"/>
      <w:numFmt w:val="bullet"/>
      <w:lvlText w:val=""/>
      <w:lvlJc w:val="left"/>
      <w:pPr>
        <w:ind w:left="2104" w:hanging="420"/>
      </w:pPr>
      <w:rPr>
        <w:rFonts w:hint="default" w:ascii="Wingdings" w:hAnsi="Wingdings"/>
      </w:rPr>
    </w:lvl>
    <w:lvl w:ilvl="4" w:tentative="0">
      <w:start w:val="1"/>
      <w:numFmt w:val="bullet"/>
      <w:lvlText w:val=""/>
      <w:lvlJc w:val="left"/>
      <w:pPr>
        <w:ind w:left="2524" w:hanging="420"/>
      </w:pPr>
      <w:rPr>
        <w:rFonts w:hint="default" w:ascii="Wingdings" w:hAnsi="Wingdings"/>
      </w:rPr>
    </w:lvl>
    <w:lvl w:ilvl="5" w:tentative="0">
      <w:start w:val="1"/>
      <w:numFmt w:val="bullet"/>
      <w:lvlText w:val=""/>
      <w:lvlJc w:val="left"/>
      <w:pPr>
        <w:ind w:left="2944" w:hanging="420"/>
      </w:pPr>
      <w:rPr>
        <w:rFonts w:hint="default" w:ascii="Wingdings" w:hAnsi="Wingdings"/>
      </w:rPr>
    </w:lvl>
    <w:lvl w:ilvl="6" w:tentative="0">
      <w:start w:val="1"/>
      <w:numFmt w:val="bullet"/>
      <w:lvlText w:val=""/>
      <w:lvlJc w:val="left"/>
      <w:pPr>
        <w:ind w:left="3364" w:hanging="420"/>
      </w:pPr>
      <w:rPr>
        <w:rFonts w:hint="default" w:ascii="Wingdings" w:hAnsi="Wingdings"/>
      </w:rPr>
    </w:lvl>
    <w:lvl w:ilvl="7" w:tentative="0">
      <w:start w:val="1"/>
      <w:numFmt w:val="bullet"/>
      <w:lvlText w:val=""/>
      <w:lvlJc w:val="left"/>
      <w:pPr>
        <w:ind w:left="3784" w:hanging="420"/>
      </w:pPr>
      <w:rPr>
        <w:rFonts w:hint="default" w:ascii="Wingdings" w:hAnsi="Wingdings"/>
      </w:rPr>
    </w:lvl>
    <w:lvl w:ilvl="8" w:tentative="0">
      <w:start w:val="1"/>
      <w:numFmt w:val="bullet"/>
      <w:lvlText w:val=""/>
      <w:lvlJc w:val="left"/>
      <w:pPr>
        <w:ind w:left="4204" w:hanging="420"/>
      </w:pPr>
      <w:rPr>
        <w:rFonts w:hint="default" w:ascii="Wingdings" w:hAnsi="Wingdings"/>
      </w:rPr>
    </w:lvl>
  </w:abstractNum>
  <w:abstractNum w:abstractNumId="1">
    <w:nsid w:val="608B0934"/>
    <w:multiLevelType w:val="multilevel"/>
    <w:tmpl w:val="608B09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79C0"/>
    <w:rsid w:val="00012AC8"/>
    <w:rsid w:val="00063C49"/>
    <w:rsid w:val="0009683F"/>
    <w:rsid w:val="000F712C"/>
    <w:rsid w:val="00123344"/>
    <w:rsid w:val="00151A70"/>
    <w:rsid w:val="001609A6"/>
    <w:rsid w:val="00180857"/>
    <w:rsid w:val="001A6F45"/>
    <w:rsid w:val="001C326C"/>
    <w:rsid w:val="001C42EC"/>
    <w:rsid w:val="00226349"/>
    <w:rsid w:val="0024275E"/>
    <w:rsid w:val="00265C50"/>
    <w:rsid w:val="002821FC"/>
    <w:rsid w:val="002F0FA3"/>
    <w:rsid w:val="0030303E"/>
    <w:rsid w:val="0032520C"/>
    <w:rsid w:val="00331295"/>
    <w:rsid w:val="00335C0E"/>
    <w:rsid w:val="00335CBD"/>
    <w:rsid w:val="00475642"/>
    <w:rsid w:val="00480B6E"/>
    <w:rsid w:val="004C69B6"/>
    <w:rsid w:val="005017A3"/>
    <w:rsid w:val="00504599"/>
    <w:rsid w:val="00530FF3"/>
    <w:rsid w:val="00533856"/>
    <w:rsid w:val="005516EA"/>
    <w:rsid w:val="00556960"/>
    <w:rsid w:val="00570C74"/>
    <w:rsid w:val="005F2DA0"/>
    <w:rsid w:val="00600C9F"/>
    <w:rsid w:val="00613AE0"/>
    <w:rsid w:val="006159DB"/>
    <w:rsid w:val="00616211"/>
    <w:rsid w:val="00662D56"/>
    <w:rsid w:val="00683348"/>
    <w:rsid w:val="006A5F36"/>
    <w:rsid w:val="006B1C4C"/>
    <w:rsid w:val="006B7669"/>
    <w:rsid w:val="006C240F"/>
    <w:rsid w:val="00760C8A"/>
    <w:rsid w:val="00786189"/>
    <w:rsid w:val="00790AA4"/>
    <w:rsid w:val="007C2274"/>
    <w:rsid w:val="007C3A4E"/>
    <w:rsid w:val="008000BD"/>
    <w:rsid w:val="00814F92"/>
    <w:rsid w:val="008206A2"/>
    <w:rsid w:val="00867345"/>
    <w:rsid w:val="008F66CE"/>
    <w:rsid w:val="008F7069"/>
    <w:rsid w:val="00912DC5"/>
    <w:rsid w:val="009258C9"/>
    <w:rsid w:val="009444C1"/>
    <w:rsid w:val="009563C6"/>
    <w:rsid w:val="00960EA3"/>
    <w:rsid w:val="00984432"/>
    <w:rsid w:val="009B495F"/>
    <w:rsid w:val="009E620C"/>
    <w:rsid w:val="009F0A8A"/>
    <w:rsid w:val="00A55EE6"/>
    <w:rsid w:val="00A65225"/>
    <w:rsid w:val="00AC4B54"/>
    <w:rsid w:val="00AF4B37"/>
    <w:rsid w:val="00B01A35"/>
    <w:rsid w:val="00B06401"/>
    <w:rsid w:val="00B23141"/>
    <w:rsid w:val="00B40C55"/>
    <w:rsid w:val="00B469EE"/>
    <w:rsid w:val="00B579C0"/>
    <w:rsid w:val="00BF6DED"/>
    <w:rsid w:val="00C106F6"/>
    <w:rsid w:val="00C15489"/>
    <w:rsid w:val="00C24C3C"/>
    <w:rsid w:val="00C63AD0"/>
    <w:rsid w:val="00C643FF"/>
    <w:rsid w:val="00C66176"/>
    <w:rsid w:val="00CC1930"/>
    <w:rsid w:val="00CF0C83"/>
    <w:rsid w:val="00D001D5"/>
    <w:rsid w:val="00D00B91"/>
    <w:rsid w:val="00D27BB1"/>
    <w:rsid w:val="00D66CFF"/>
    <w:rsid w:val="00D85AAE"/>
    <w:rsid w:val="00DA4FCD"/>
    <w:rsid w:val="00DD6C1C"/>
    <w:rsid w:val="00E50276"/>
    <w:rsid w:val="00E5268E"/>
    <w:rsid w:val="00E5303D"/>
    <w:rsid w:val="00E63F82"/>
    <w:rsid w:val="00E8287C"/>
    <w:rsid w:val="00EA117C"/>
    <w:rsid w:val="00EB6767"/>
    <w:rsid w:val="00EC2CD9"/>
    <w:rsid w:val="00EC471A"/>
    <w:rsid w:val="00ED4114"/>
    <w:rsid w:val="00ED5D22"/>
    <w:rsid w:val="00ED7970"/>
    <w:rsid w:val="00EE3BAD"/>
    <w:rsid w:val="00F13A39"/>
    <w:rsid w:val="00F47899"/>
    <w:rsid w:val="00F63598"/>
    <w:rsid w:val="00F7054A"/>
    <w:rsid w:val="00FB2E5D"/>
    <w:rsid w:val="00FD0D84"/>
    <w:rsid w:val="00FE0AB5"/>
    <w:rsid w:val="125507A3"/>
    <w:rsid w:val="1EA1267C"/>
    <w:rsid w:val="279F27CA"/>
    <w:rsid w:val="2CA16DAE"/>
    <w:rsid w:val="35C508AD"/>
    <w:rsid w:val="3FA9465E"/>
    <w:rsid w:val="4A052DA1"/>
    <w:rsid w:val="5EF65AEC"/>
    <w:rsid w:val="5EFF7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批注框文本 Char"/>
    <w:basedOn w:val="6"/>
    <w:link w:val="2"/>
    <w:semiHidden/>
    <w:qFormat/>
    <w:uiPriority w:val="99"/>
    <w:rPr>
      <w:rFonts w:ascii="Times New Roman" w:hAnsi="Times New Roman" w:eastAsia="宋体" w:cs="Times New Roman"/>
      <w:sz w:val="18"/>
      <w:szCs w:val="18"/>
    </w:rPr>
  </w:style>
  <w:style w:type="character" w:customStyle="1" w:styleId="9">
    <w:name w:val="页眉 Char"/>
    <w:basedOn w:val="6"/>
    <w:link w:val="4"/>
    <w:uiPriority w:val="99"/>
    <w:rPr>
      <w:rFonts w:ascii="Times New Roman" w:hAnsi="Times New Roman" w:eastAsia="宋体" w:cs="Times New Roman"/>
      <w:sz w:val="18"/>
      <w:szCs w:val="18"/>
    </w:rPr>
  </w:style>
  <w:style w:type="character" w:customStyle="1" w:styleId="10">
    <w:name w:val="页脚 Char"/>
    <w:basedOn w:val="6"/>
    <w:link w:val="3"/>
    <w:semiHidden/>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63</Words>
  <Characters>364</Characters>
  <Lines>3</Lines>
  <Paragraphs>1</Paragraphs>
  <TotalTime>97</TotalTime>
  <ScaleCrop>false</ScaleCrop>
  <LinksUpToDate>false</LinksUpToDate>
  <CharactersWithSpaces>426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2012-03-15T01:17:00Z</dcterms:created>
  <dc:creator>白艳娜</dc:creator>
  <cp:lastModifiedBy>Administrator</cp:lastModifiedBy>
  <cp:lastPrinted>2017-02-22T01:13:00Z</cp:lastPrinted>
  <dcterms:modified xsi:type="dcterms:W3CDTF">2021-06-04T02:04:39Z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2EA83F4C374D4906903B0EF0D215DDAC</vt:lpwstr>
  </property>
</Properties>
</file>