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rPr>
          <w:rFonts w:hint="eastAsia" w:eastAsia="黑体"/>
          <w:color w:val="000000"/>
          <w:sz w:val="36"/>
          <w:szCs w:val="36"/>
        </w:rPr>
      </w:pPr>
    </w:p>
    <w:p>
      <w:pPr>
        <w:spacing w:line="720" w:lineRule="auto"/>
        <w:jc w:val="center"/>
        <w:rPr>
          <w:rFonts w:hint="eastAsia" w:eastAsia="黑体"/>
          <w:color w:val="000000"/>
          <w:sz w:val="40"/>
          <w:szCs w:val="44"/>
        </w:rPr>
      </w:pPr>
      <w:r>
        <w:rPr>
          <w:rFonts w:eastAsia="黑体"/>
          <w:color w:val="000000"/>
          <w:sz w:val="40"/>
          <w:szCs w:val="44"/>
        </w:rPr>
        <w:t>烟花爆竹</w:t>
      </w:r>
      <w:r>
        <w:rPr>
          <w:rFonts w:hint="eastAsia" w:eastAsia="黑体"/>
          <w:b w:val="0"/>
          <w:bCs/>
          <w:color w:val="000000"/>
          <w:sz w:val="40"/>
          <w:szCs w:val="44"/>
        </w:rPr>
        <w:t>（经营）</w:t>
      </w:r>
      <w:r>
        <w:rPr>
          <w:rFonts w:eastAsia="黑体"/>
          <w:color w:val="000000"/>
          <w:sz w:val="40"/>
          <w:szCs w:val="44"/>
        </w:rPr>
        <w:t>企业</w:t>
      </w:r>
      <w:r>
        <w:rPr>
          <w:rFonts w:hint="eastAsia" w:eastAsia="黑体"/>
          <w:color w:val="000000"/>
          <w:sz w:val="40"/>
          <w:szCs w:val="44"/>
        </w:rPr>
        <w:t>安全生产</w:t>
      </w:r>
      <w:r>
        <w:rPr>
          <w:rFonts w:eastAsia="黑体"/>
          <w:color w:val="000000"/>
          <w:sz w:val="40"/>
          <w:szCs w:val="44"/>
        </w:rPr>
        <w:t>标准化</w:t>
      </w:r>
      <w:r>
        <w:rPr>
          <w:rFonts w:hint="eastAsia" w:eastAsia="黑体"/>
          <w:color w:val="000000"/>
          <w:sz w:val="40"/>
          <w:szCs w:val="44"/>
        </w:rPr>
        <w:t>创建单位</w:t>
      </w:r>
    </w:p>
    <w:p>
      <w:pPr>
        <w:jc w:val="center"/>
        <w:rPr>
          <w:rFonts w:hint="eastAsia" w:ascii="宋体" w:hAnsi="宋体"/>
          <w:sz w:val="44"/>
          <w:szCs w:val="48"/>
        </w:rPr>
      </w:pPr>
    </w:p>
    <w:p>
      <w:pPr>
        <w:jc w:val="center"/>
        <w:rPr>
          <w:rFonts w:hint="eastAsia" w:ascii="宋体" w:hAnsi="宋体"/>
          <w:sz w:val="44"/>
          <w:szCs w:val="48"/>
        </w:rPr>
      </w:pPr>
    </w:p>
    <w:p>
      <w:pPr>
        <w:jc w:val="center"/>
        <w:rPr>
          <w:rFonts w:hint="eastAsia" w:ascii="宋体" w:hAnsi="宋体"/>
          <w:sz w:val="44"/>
          <w:szCs w:val="48"/>
        </w:rPr>
      </w:pPr>
    </w:p>
    <w:p>
      <w:pPr>
        <w:jc w:val="center"/>
        <w:rPr>
          <w:rFonts w:hint="eastAsia" w:ascii="宋体" w:hAnsi="宋体"/>
          <w:sz w:val="44"/>
          <w:szCs w:val="48"/>
        </w:rPr>
      </w:pPr>
    </w:p>
    <w:p>
      <w:pPr>
        <w:jc w:val="center"/>
        <w:rPr>
          <w:rFonts w:hint="eastAsia" w:ascii="宋体" w:hAnsi="宋体"/>
          <w:sz w:val="44"/>
          <w:szCs w:val="48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  <w:lang w:eastAsia="zh-CN"/>
        </w:rPr>
        <w:t>安全生产</w:t>
      </w:r>
      <w:r>
        <w:rPr>
          <w:rFonts w:hint="eastAsia" w:ascii="黑体" w:hAnsi="黑体" w:eastAsia="黑体"/>
          <w:sz w:val="52"/>
          <w:szCs w:val="52"/>
        </w:rPr>
        <w:t>操作规程</w:t>
      </w:r>
    </w:p>
    <w:p>
      <w:pPr>
        <w:spacing w:line="420" w:lineRule="auto"/>
        <w:ind w:firstLine="6120" w:firstLineChars="1700"/>
        <w:rPr>
          <w:rFonts w:hint="eastAsia" w:ascii="黑体" w:hAnsi="黑体" w:eastAsia="黑体"/>
          <w:sz w:val="36"/>
          <w:szCs w:val="36"/>
        </w:rPr>
      </w:pPr>
    </w:p>
    <w:p>
      <w:pPr>
        <w:spacing w:line="420" w:lineRule="auto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</w:t>
      </w:r>
      <w:r>
        <w:rPr>
          <w:rFonts w:hint="eastAsia" w:ascii="黑体" w:hAnsi="黑体" w:eastAsia="黑体"/>
          <w:sz w:val="36"/>
          <w:szCs w:val="36"/>
          <w:lang w:eastAsia="zh-CN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sz w:val="36"/>
          <w:szCs w:val="36"/>
        </w:rPr>
        <w:t>年版）</w:t>
      </w:r>
    </w:p>
    <w:p>
      <w:pPr>
        <w:spacing w:line="420" w:lineRule="auto"/>
        <w:jc w:val="center"/>
        <w:rPr>
          <w:rFonts w:hint="eastAsia" w:ascii="宋体" w:hAnsi="宋体"/>
          <w:sz w:val="48"/>
          <w:szCs w:val="48"/>
        </w:rPr>
      </w:pPr>
    </w:p>
    <w:p>
      <w:pPr>
        <w:spacing w:line="420" w:lineRule="auto"/>
        <w:jc w:val="center"/>
        <w:rPr>
          <w:rFonts w:hint="eastAsia" w:ascii="宋体" w:hAnsi="宋体"/>
          <w:sz w:val="48"/>
          <w:szCs w:val="48"/>
        </w:rPr>
      </w:pPr>
    </w:p>
    <w:p>
      <w:pPr>
        <w:spacing w:line="420" w:lineRule="auto"/>
        <w:jc w:val="center"/>
        <w:rPr>
          <w:rFonts w:hint="eastAsia" w:ascii="宋体" w:hAnsi="宋体"/>
          <w:sz w:val="48"/>
          <w:szCs w:val="48"/>
        </w:rPr>
      </w:pPr>
    </w:p>
    <w:p>
      <w:pPr>
        <w:spacing w:line="420" w:lineRule="auto"/>
        <w:jc w:val="center"/>
        <w:rPr>
          <w:rFonts w:hint="eastAsia" w:ascii="宋体" w:hAnsi="宋体"/>
          <w:sz w:val="48"/>
          <w:szCs w:val="48"/>
        </w:rPr>
      </w:pPr>
    </w:p>
    <w:p>
      <w:pPr>
        <w:spacing w:line="420" w:lineRule="auto"/>
        <w:jc w:val="center"/>
        <w:rPr>
          <w:rFonts w:hint="eastAsia" w:ascii="宋体" w:hAnsi="宋体"/>
          <w:sz w:val="48"/>
          <w:szCs w:val="48"/>
        </w:rPr>
      </w:pPr>
    </w:p>
    <w:p>
      <w:pPr>
        <w:spacing w:line="480" w:lineRule="auto"/>
        <w:rPr>
          <w:rFonts w:hint="eastAsia" w:ascii="宋体" w:hAnsi="宋体"/>
          <w:b/>
          <w:sz w:val="28"/>
          <w:szCs w:val="28"/>
          <w:u w:val="double"/>
        </w:rPr>
      </w:pPr>
    </w:p>
    <w:p>
      <w:pPr>
        <w:spacing w:line="480" w:lineRule="auto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营山县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千祥</w:t>
      </w:r>
      <w:r>
        <w:rPr>
          <w:rFonts w:hint="eastAsia" w:ascii="宋体" w:hAnsi="宋体"/>
          <w:b/>
          <w:bCs/>
          <w:sz w:val="32"/>
          <w:szCs w:val="32"/>
        </w:rPr>
        <w:t>烟花爆竹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连锁</w:t>
      </w:r>
      <w:r>
        <w:rPr>
          <w:rFonts w:hint="eastAsia" w:ascii="宋体" w:hAnsi="宋体"/>
          <w:b/>
          <w:bCs/>
          <w:sz w:val="32"/>
          <w:szCs w:val="32"/>
        </w:rPr>
        <w:t>有限公司</w:t>
      </w:r>
    </w:p>
    <w:p>
      <w:pPr>
        <w:spacing w:line="480" w:lineRule="auto"/>
        <w:rPr>
          <w:rFonts w:hint="eastAsia" w:ascii="宋体" w:hAnsi="宋体"/>
          <w:b/>
          <w:sz w:val="28"/>
          <w:szCs w:val="28"/>
          <w:u w:val="double"/>
        </w:rPr>
      </w:pPr>
    </w:p>
    <w:p>
      <w:pPr>
        <w:spacing w:line="480" w:lineRule="auto"/>
        <w:rPr>
          <w:rFonts w:hint="eastAsia" w:ascii="宋体" w:hAnsi="宋体"/>
          <w:b/>
          <w:sz w:val="28"/>
          <w:szCs w:val="28"/>
          <w:u w:val="double"/>
        </w:rPr>
      </w:pPr>
    </w:p>
    <w:p>
      <w:pPr>
        <w:spacing w:line="480" w:lineRule="auto"/>
        <w:rPr>
          <w:rFonts w:hint="eastAsia" w:ascii="宋体" w:hAnsi="宋体"/>
          <w:b/>
          <w:sz w:val="28"/>
          <w:szCs w:val="28"/>
          <w:u w:val="double"/>
        </w:rPr>
        <w:sectPr>
          <w:footerReference r:id="rId3" w:type="default"/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sz w:val="28"/>
          <w:szCs w:val="28"/>
          <w:u w:val="double"/>
          <w:lang w:eastAsia="zh-CN"/>
        </w:rPr>
        <w:t>202</w:t>
      </w:r>
      <w:r>
        <w:rPr>
          <w:rFonts w:hint="eastAsia" w:ascii="宋体" w:hAnsi="宋体"/>
          <w:b/>
          <w:sz w:val="28"/>
          <w:szCs w:val="28"/>
          <w:u w:val="double"/>
          <w:lang w:val="en-US" w:eastAsia="zh-CN"/>
        </w:rPr>
        <w:t>2</w:t>
      </w:r>
      <w:r>
        <w:rPr>
          <w:rFonts w:hint="eastAsia" w:ascii="宋体" w:hAnsi="宋体"/>
          <w:b/>
          <w:sz w:val="28"/>
          <w:szCs w:val="28"/>
          <w:u w:val="double"/>
        </w:rPr>
        <w:t>－</w:t>
      </w:r>
      <w:r>
        <w:rPr>
          <w:rFonts w:hint="eastAsia" w:ascii="宋体" w:hAnsi="宋体"/>
          <w:b/>
          <w:sz w:val="28"/>
          <w:szCs w:val="28"/>
          <w:u w:val="double"/>
          <w:lang w:val="en-US" w:eastAsia="zh-CN"/>
        </w:rPr>
        <w:t>2</w:t>
      </w:r>
      <w:r>
        <w:rPr>
          <w:rFonts w:hint="eastAsia" w:ascii="宋体" w:hAnsi="宋体"/>
          <w:b/>
          <w:sz w:val="28"/>
          <w:szCs w:val="28"/>
          <w:u w:val="double"/>
        </w:rPr>
        <w:t>－1</w:t>
      </w:r>
      <w:r>
        <w:rPr>
          <w:rFonts w:hint="eastAsia" w:ascii="宋体" w:hAnsi="宋体"/>
          <w:b/>
          <w:sz w:val="28"/>
          <w:szCs w:val="28"/>
          <w:u w:val="double"/>
          <w:lang w:val="en-US" w:eastAsia="zh-CN"/>
        </w:rPr>
        <w:t>4</w:t>
      </w:r>
      <w:r>
        <w:rPr>
          <w:rFonts w:hint="eastAsia" w:ascii="宋体" w:hAnsi="宋体"/>
          <w:b/>
          <w:sz w:val="28"/>
          <w:szCs w:val="28"/>
          <w:u w:val="double"/>
        </w:rPr>
        <w:t xml:space="preserve">发布                    </w:t>
      </w:r>
      <w:r>
        <w:rPr>
          <w:rFonts w:hint="eastAsia" w:ascii="宋体" w:hAnsi="宋体"/>
          <w:b/>
          <w:sz w:val="28"/>
          <w:szCs w:val="28"/>
          <w:u w:val="double"/>
          <w:lang w:val="en-US" w:eastAsia="zh-CN"/>
        </w:rPr>
        <w:t xml:space="preserve">       </w:t>
      </w:r>
      <w:r>
        <w:rPr>
          <w:rFonts w:hint="eastAsia" w:ascii="宋体" w:hAnsi="宋体"/>
          <w:b/>
          <w:sz w:val="28"/>
          <w:szCs w:val="28"/>
          <w:u w:val="double"/>
        </w:rPr>
        <w:t xml:space="preserve">     </w:t>
      </w:r>
      <w:r>
        <w:rPr>
          <w:rFonts w:hint="eastAsia" w:ascii="宋体" w:hAnsi="宋体"/>
          <w:b/>
          <w:sz w:val="28"/>
          <w:szCs w:val="28"/>
          <w:u w:val="double"/>
          <w:lang w:eastAsia="zh-CN"/>
        </w:rPr>
        <w:t>202</w:t>
      </w:r>
      <w:r>
        <w:rPr>
          <w:rFonts w:hint="eastAsia" w:ascii="宋体" w:hAnsi="宋体"/>
          <w:b/>
          <w:sz w:val="28"/>
          <w:szCs w:val="28"/>
          <w:u w:val="double"/>
          <w:lang w:val="en-US" w:eastAsia="zh-CN"/>
        </w:rPr>
        <w:t>2</w:t>
      </w:r>
      <w:r>
        <w:rPr>
          <w:rFonts w:hint="eastAsia" w:ascii="宋体" w:hAnsi="宋体"/>
          <w:b/>
          <w:sz w:val="28"/>
          <w:szCs w:val="28"/>
          <w:u w:val="double"/>
        </w:rPr>
        <w:t>－</w:t>
      </w:r>
      <w:r>
        <w:rPr>
          <w:rFonts w:hint="eastAsia" w:ascii="宋体" w:hAnsi="宋体"/>
          <w:b/>
          <w:sz w:val="28"/>
          <w:szCs w:val="28"/>
          <w:u w:val="double"/>
          <w:lang w:val="en-US" w:eastAsia="zh-CN"/>
        </w:rPr>
        <w:t>2</w:t>
      </w:r>
      <w:r>
        <w:rPr>
          <w:rFonts w:hint="eastAsia" w:ascii="宋体" w:hAnsi="宋体"/>
          <w:b/>
          <w:sz w:val="28"/>
          <w:szCs w:val="28"/>
          <w:u w:val="double"/>
        </w:rPr>
        <w:t>－1</w:t>
      </w:r>
      <w:r>
        <w:rPr>
          <w:rFonts w:hint="eastAsia" w:ascii="宋体" w:hAnsi="宋体"/>
          <w:b/>
          <w:sz w:val="28"/>
          <w:szCs w:val="28"/>
          <w:u w:val="double"/>
          <w:lang w:val="en-US" w:eastAsia="zh-CN"/>
        </w:rPr>
        <w:t>4</w:t>
      </w:r>
      <w:r>
        <w:rPr>
          <w:rFonts w:hint="eastAsia" w:ascii="宋体" w:hAnsi="宋体"/>
          <w:b/>
          <w:sz w:val="28"/>
          <w:szCs w:val="28"/>
          <w:u w:val="double"/>
        </w:rPr>
        <w:t>实施</w:t>
      </w:r>
    </w:p>
    <w:p>
      <w:pPr>
        <w:spacing w:line="520" w:lineRule="exact"/>
        <w:jc w:val="center"/>
        <w:rPr>
          <w:rFonts w:hint="eastAsia" w:ascii="方正仿宋简体" w:eastAsia="方正仿宋简体"/>
          <w:sz w:val="36"/>
          <w:szCs w:val="36"/>
          <w:u w:val="none"/>
          <w:lang w:val="en-US" w:eastAsia="zh-CN"/>
        </w:rPr>
      </w:pPr>
    </w:p>
    <w:p>
      <w:pPr>
        <w:spacing w:line="520" w:lineRule="exact"/>
        <w:jc w:val="center"/>
        <w:rPr>
          <w:rFonts w:hint="eastAsia" w:ascii="方正仿宋简体" w:eastAsia="方正仿宋简体"/>
          <w:sz w:val="36"/>
          <w:szCs w:val="36"/>
          <w:u w:val="none"/>
          <w:lang w:val="en-US" w:eastAsia="zh-CN"/>
        </w:rPr>
      </w:pPr>
    </w:p>
    <w:p>
      <w:pPr>
        <w:spacing w:line="520" w:lineRule="exact"/>
        <w:jc w:val="center"/>
        <w:rPr>
          <w:rFonts w:hint="eastAsia" w:ascii="方正仿宋简体" w:eastAsia="方正仿宋简体"/>
          <w:sz w:val="36"/>
          <w:szCs w:val="36"/>
          <w:u w:val="none"/>
          <w:lang w:val="en-US" w:eastAsia="zh-CN"/>
        </w:rPr>
      </w:pPr>
      <w:r>
        <w:rPr>
          <w:rFonts w:hint="eastAsia" w:ascii="方正仿宋简体" w:eastAsia="方正仿宋简体"/>
          <w:sz w:val="36"/>
          <w:szCs w:val="36"/>
          <w:u w:val="none"/>
          <w:lang w:val="en-US" w:eastAsia="zh-CN"/>
        </w:rPr>
        <w:t>2022年版编制人员名单</w:t>
      </w:r>
    </w:p>
    <w:p>
      <w:pPr>
        <w:spacing w:line="520" w:lineRule="exact"/>
        <w:jc w:val="center"/>
        <w:rPr>
          <w:rFonts w:hint="eastAsia" w:ascii="方正仿宋简体" w:eastAsia="方正仿宋简体"/>
          <w:sz w:val="36"/>
          <w:szCs w:val="36"/>
          <w:u w:val="none"/>
          <w:lang w:val="en-US" w:eastAsia="zh-CN"/>
        </w:rPr>
      </w:pPr>
    </w:p>
    <w:p>
      <w:pPr>
        <w:spacing w:line="520" w:lineRule="exact"/>
        <w:ind w:firstLine="1080" w:firstLineChars="300"/>
        <w:jc w:val="left"/>
        <w:rPr>
          <w:rFonts w:hint="eastAsia" w:ascii="方正仿宋简体" w:eastAsia="方正仿宋简体"/>
          <w:sz w:val="36"/>
          <w:szCs w:val="36"/>
          <w:u w:val="none"/>
          <w:lang w:val="en-US" w:eastAsia="zh-CN"/>
        </w:rPr>
      </w:pPr>
    </w:p>
    <w:p>
      <w:pPr>
        <w:spacing w:line="520" w:lineRule="exact"/>
        <w:ind w:firstLine="1080" w:firstLineChars="300"/>
        <w:jc w:val="left"/>
        <w:rPr>
          <w:rFonts w:hint="default" w:ascii="方正仿宋简体" w:eastAsia="方正仿宋简体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 w:ascii="方正仿宋简体" w:eastAsia="方正仿宋简体"/>
          <w:b w:val="0"/>
          <w:bCs w:val="0"/>
          <w:sz w:val="36"/>
          <w:szCs w:val="36"/>
          <w:u w:val="none"/>
          <w:lang w:val="en-US" w:eastAsia="zh-CN"/>
        </w:rPr>
        <w:t>修订人员：  袁森</w:t>
      </w:r>
    </w:p>
    <w:p>
      <w:pPr>
        <w:spacing w:line="520" w:lineRule="exact"/>
        <w:jc w:val="left"/>
        <w:rPr>
          <w:rFonts w:hint="eastAsia" w:ascii="方正仿宋简体" w:eastAsia="方正仿宋简体"/>
          <w:b w:val="0"/>
          <w:bCs w:val="0"/>
          <w:sz w:val="36"/>
          <w:szCs w:val="36"/>
          <w:u w:val="none"/>
          <w:lang w:val="en-US" w:eastAsia="zh-CN"/>
        </w:rPr>
      </w:pPr>
    </w:p>
    <w:p>
      <w:pPr>
        <w:spacing w:line="520" w:lineRule="exact"/>
        <w:ind w:firstLine="1080" w:firstLineChars="300"/>
        <w:jc w:val="left"/>
        <w:rPr>
          <w:rFonts w:hint="eastAsia" w:ascii="方正仿宋简体" w:eastAsia="方正仿宋简体"/>
          <w:b w:val="0"/>
          <w:bCs w:val="0"/>
          <w:sz w:val="36"/>
          <w:szCs w:val="36"/>
          <w:u w:val="none"/>
          <w:lang w:val="en-US" w:eastAsia="zh-CN"/>
        </w:rPr>
      </w:pPr>
    </w:p>
    <w:p>
      <w:pPr>
        <w:spacing w:line="520" w:lineRule="exact"/>
        <w:ind w:firstLine="1080" w:firstLineChars="300"/>
        <w:jc w:val="left"/>
        <w:rPr>
          <w:rFonts w:hint="default" w:ascii="方正仿宋简体" w:eastAsia="方正仿宋简体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 w:ascii="方正仿宋简体" w:eastAsia="方正仿宋简体"/>
          <w:b w:val="0"/>
          <w:bCs w:val="0"/>
          <w:sz w:val="36"/>
          <w:szCs w:val="36"/>
          <w:u w:val="none"/>
          <w:lang w:val="en-US" w:eastAsia="zh-CN"/>
        </w:rPr>
        <w:t>审核人员：  袁国明</w:t>
      </w:r>
    </w:p>
    <w:p>
      <w:pPr>
        <w:spacing w:line="520" w:lineRule="exact"/>
        <w:jc w:val="left"/>
        <w:rPr>
          <w:rFonts w:hint="default" w:ascii="方正仿宋简体" w:eastAsia="方正仿宋简体"/>
          <w:b w:val="0"/>
          <w:bCs w:val="0"/>
          <w:sz w:val="36"/>
          <w:szCs w:val="36"/>
          <w:u w:val="none"/>
          <w:lang w:val="en-US" w:eastAsia="zh-CN"/>
        </w:rPr>
      </w:pPr>
    </w:p>
    <w:p>
      <w:pPr>
        <w:spacing w:line="520" w:lineRule="exact"/>
        <w:ind w:firstLine="1080" w:firstLineChars="300"/>
        <w:jc w:val="left"/>
        <w:rPr>
          <w:rFonts w:hint="eastAsia" w:ascii="方正仿宋简体" w:eastAsia="方正仿宋简体"/>
          <w:b w:val="0"/>
          <w:bCs w:val="0"/>
          <w:sz w:val="36"/>
          <w:szCs w:val="36"/>
          <w:u w:val="none"/>
          <w:lang w:val="en-US" w:eastAsia="zh-CN"/>
        </w:rPr>
      </w:pPr>
    </w:p>
    <w:p>
      <w:pPr>
        <w:spacing w:line="520" w:lineRule="exact"/>
        <w:ind w:firstLine="1080" w:firstLineChars="300"/>
        <w:jc w:val="left"/>
        <w:rPr>
          <w:rFonts w:hint="default" w:ascii="方正仿宋简体" w:eastAsia="方正仿宋简体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 w:ascii="方正仿宋简体" w:eastAsia="方正仿宋简体"/>
          <w:b w:val="0"/>
          <w:bCs w:val="0"/>
          <w:sz w:val="36"/>
          <w:szCs w:val="36"/>
          <w:u w:val="none"/>
          <w:lang w:val="en-US" w:eastAsia="zh-CN"/>
        </w:rPr>
        <w:t>批准人员：  唐家现</w:t>
      </w:r>
    </w:p>
    <w:p>
      <w:pPr>
        <w:spacing w:line="480" w:lineRule="auto"/>
        <w:rPr>
          <w:rFonts w:hint="eastAsia" w:ascii="宋体" w:hAnsi="宋体"/>
          <w:b/>
          <w:sz w:val="28"/>
          <w:szCs w:val="28"/>
          <w:u w:val="double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761"/>
        <w:gridCol w:w="3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09" w:type="dxa"/>
            <w:gridSpan w:val="2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营山县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千祥</w:t>
            </w:r>
            <w:r>
              <w:rPr>
                <w:rFonts w:hint="eastAsia" w:ascii="新宋体" w:hAnsi="新宋体" w:eastAsia="新宋体"/>
                <w:szCs w:val="21"/>
              </w:rPr>
              <w:t>烟花爆竹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连锁</w:t>
            </w:r>
            <w:r>
              <w:rPr>
                <w:rFonts w:hint="eastAsia" w:ascii="新宋体" w:hAnsi="新宋体" w:eastAsia="新宋体"/>
                <w:szCs w:val="21"/>
              </w:rPr>
              <w:t>有限公司</w:t>
            </w:r>
          </w:p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szCs w:val="21"/>
              </w:rPr>
              <w:t>安全生产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操作规程</w:t>
            </w:r>
          </w:p>
        </w:tc>
        <w:tc>
          <w:tcPr>
            <w:tcW w:w="3047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文件编号：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YSQX</w:t>
            </w:r>
            <w:r>
              <w:rPr>
                <w:rFonts w:hint="eastAsia" w:ascii="新宋体" w:hAnsi="新宋体" w:eastAsia="新宋体"/>
                <w:bCs/>
                <w:szCs w:val="21"/>
              </w:rPr>
              <w:t xml:space="preserve"> /CZGC-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6409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  <w:tc>
          <w:tcPr>
            <w:tcW w:w="3047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第</w:t>
            </w:r>
            <w:r>
              <w:rPr>
                <w:rFonts w:hint="eastAsia" w:ascii="新宋体" w:hAnsi="新宋体" w:eastAsia="新宋体"/>
                <w:bCs/>
                <w:szCs w:val="21"/>
                <w:lang w:val="en-US" w:eastAsia="zh-CN"/>
              </w:rPr>
              <w:t>1</w:t>
            </w:r>
            <w:r>
              <w:rPr>
                <w:rFonts w:hint="eastAsia" w:ascii="新宋体" w:hAnsi="新宋体" w:eastAsia="新宋体"/>
                <w:bCs/>
                <w:szCs w:val="21"/>
              </w:rPr>
              <w:t>页　　　共</w:t>
            </w:r>
            <w:r>
              <w:rPr>
                <w:rFonts w:hint="eastAsia" w:ascii="新宋体" w:hAnsi="新宋体" w:eastAsia="新宋体"/>
                <w:bCs/>
                <w:szCs w:val="21"/>
                <w:lang w:val="en-US" w:eastAsia="zh-CN"/>
              </w:rPr>
              <w:t>1</w:t>
            </w:r>
            <w:r>
              <w:rPr>
                <w:rFonts w:hint="eastAsia" w:ascii="新宋体" w:hAnsi="新宋体" w:eastAsia="新宋体"/>
                <w:bCs/>
                <w:szCs w:val="21"/>
              </w:rPr>
              <w:t>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6409" w:type="dxa"/>
            <w:gridSpan w:val="2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主题：操作规程目录</w:t>
            </w:r>
          </w:p>
        </w:tc>
        <w:tc>
          <w:tcPr>
            <w:tcW w:w="3047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  <w:r>
              <w:rPr>
                <w:rFonts w:hint="eastAsia" w:ascii="新宋体" w:hAnsi="新宋体" w:eastAsia="新宋体"/>
                <w:bCs/>
                <w:szCs w:val="21"/>
              </w:rPr>
              <w:t>版　　　第1次修订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09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  <w:tc>
          <w:tcPr>
            <w:tcW w:w="304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 w:cs="宋体"/>
                <w:bCs/>
                <w:szCs w:val="21"/>
              </w:rPr>
              <w:t xml:space="preserve">颁布日期：  </w:t>
            </w:r>
            <w:r>
              <w:rPr>
                <w:rFonts w:hint="eastAsia" w:ascii="新宋体" w:hAnsi="新宋体" w:eastAsia="新宋体" w:cs="宋体"/>
                <w:bCs/>
                <w:szCs w:val="21"/>
                <w:lang w:eastAsia="zh-CN"/>
              </w:rPr>
              <w:t>2022-2-14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4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序号</w:t>
            </w:r>
          </w:p>
        </w:tc>
        <w:tc>
          <w:tcPr>
            <w:tcW w:w="57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735" w:firstLineChars="350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文件名称</w:t>
            </w:r>
          </w:p>
        </w:tc>
        <w:tc>
          <w:tcPr>
            <w:tcW w:w="30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42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文件编号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4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</w:rPr>
              <w:t>1</w:t>
            </w:r>
          </w:p>
        </w:tc>
        <w:tc>
          <w:tcPr>
            <w:tcW w:w="57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</w:rPr>
              <w:t>货物查验操作规程</w:t>
            </w:r>
          </w:p>
        </w:tc>
        <w:tc>
          <w:tcPr>
            <w:tcW w:w="30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YSQX</w:t>
            </w:r>
            <w:r>
              <w:rPr>
                <w:rFonts w:hint="eastAsia" w:ascii="新宋体" w:hAnsi="新宋体" w:eastAsia="新宋体"/>
                <w:bCs/>
                <w:szCs w:val="21"/>
              </w:rPr>
              <w:t xml:space="preserve"> /CZGC1-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4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</w:rPr>
              <w:t>2</w:t>
            </w:r>
          </w:p>
        </w:tc>
        <w:tc>
          <w:tcPr>
            <w:tcW w:w="57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</w:rPr>
              <w:t>拆箱安全操作规程</w:t>
            </w:r>
          </w:p>
        </w:tc>
        <w:tc>
          <w:tcPr>
            <w:tcW w:w="30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YSQX</w:t>
            </w:r>
            <w:r>
              <w:rPr>
                <w:rFonts w:hint="eastAsia" w:ascii="新宋体" w:hAnsi="新宋体" w:eastAsia="新宋体"/>
                <w:bCs/>
                <w:szCs w:val="21"/>
              </w:rPr>
              <w:t xml:space="preserve"> /CZGC2-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64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新宋体" w:hAnsi="新宋体" w:eastAsia="新宋体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</w:rPr>
              <w:t>3</w:t>
            </w:r>
          </w:p>
        </w:tc>
        <w:tc>
          <w:tcPr>
            <w:tcW w:w="5761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</w:rPr>
              <w:t>搬运安全操作规程</w:t>
            </w:r>
          </w:p>
        </w:tc>
        <w:tc>
          <w:tcPr>
            <w:tcW w:w="3047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YSQX</w:t>
            </w:r>
            <w:r>
              <w:rPr>
                <w:rFonts w:hint="eastAsia" w:ascii="新宋体" w:hAnsi="新宋体" w:eastAsia="新宋体"/>
                <w:bCs/>
                <w:szCs w:val="21"/>
              </w:rPr>
              <w:t xml:space="preserve"> /CZGC3-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新宋体" w:hAnsi="新宋体" w:eastAsia="新宋体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</w:rPr>
              <w:t>4</w:t>
            </w: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</w:rPr>
              <w:t>装卸安全操作规程</w:t>
            </w: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YSQX</w:t>
            </w:r>
            <w:r>
              <w:rPr>
                <w:rFonts w:hint="eastAsia" w:ascii="新宋体" w:hAnsi="新宋体" w:eastAsia="新宋体"/>
                <w:bCs/>
                <w:szCs w:val="21"/>
              </w:rPr>
              <w:t xml:space="preserve"> /CZGC4-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新宋体" w:hAnsi="新宋体" w:eastAsia="新宋体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</w:rPr>
              <w:t>5</w:t>
            </w: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</w:rPr>
              <w:t>运输安全操作规程</w:t>
            </w: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YSQX</w:t>
            </w:r>
            <w:r>
              <w:rPr>
                <w:rFonts w:hint="eastAsia" w:ascii="新宋体" w:hAnsi="新宋体" w:eastAsia="新宋体"/>
                <w:bCs/>
                <w:szCs w:val="21"/>
              </w:rPr>
              <w:t xml:space="preserve"> /CZGC5-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新宋体" w:hAnsi="新宋体" w:eastAsia="新宋体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lang w:val="en-US" w:eastAsia="zh-CN"/>
              </w:rPr>
              <w:t>6</w:t>
            </w: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lang w:eastAsia="zh-CN"/>
              </w:rPr>
              <w:t>消防器材安全操作规程</w:t>
            </w: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YSQX</w:t>
            </w:r>
            <w:r>
              <w:rPr>
                <w:rFonts w:hint="eastAsia" w:ascii="新宋体" w:hAnsi="新宋体" w:eastAsia="新宋体"/>
                <w:bCs/>
                <w:szCs w:val="21"/>
              </w:rPr>
              <w:t xml:space="preserve"> /CZGC</w:t>
            </w:r>
            <w:r>
              <w:rPr>
                <w:rFonts w:hint="eastAsia" w:ascii="新宋体" w:hAnsi="新宋体" w:eastAsia="新宋体"/>
                <w:bCs/>
                <w:szCs w:val="21"/>
                <w:lang w:val="en-US" w:eastAsia="zh-CN"/>
              </w:rPr>
              <w:t>6</w:t>
            </w:r>
            <w:r>
              <w:rPr>
                <w:rFonts w:hint="eastAsia" w:ascii="新宋体" w:hAnsi="新宋体" w:eastAsia="新宋体"/>
                <w:bCs/>
                <w:szCs w:val="21"/>
              </w:rPr>
              <w:t>-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5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</w:rPr>
            </w:pP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</w:tr>
    </w:tbl>
    <w:p/>
    <w:p/>
    <w:p/>
    <w:p/>
    <w:p/>
    <w:p/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8"/>
        <w:gridCol w:w="4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228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营山县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千祥</w:t>
            </w:r>
            <w:r>
              <w:rPr>
                <w:rFonts w:hint="eastAsia" w:ascii="新宋体" w:hAnsi="新宋体" w:eastAsia="新宋体"/>
                <w:szCs w:val="21"/>
              </w:rPr>
              <w:t>烟花爆竹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连锁</w:t>
            </w:r>
            <w:r>
              <w:rPr>
                <w:rFonts w:hint="eastAsia" w:ascii="新宋体" w:hAnsi="新宋体" w:eastAsia="新宋体"/>
                <w:szCs w:val="21"/>
              </w:rPr>
              <w:t>有限公司</w:t>
            </w:r>
          </w:p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岗位操作安全技术规程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文件编号：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YSQX</w:t>
            </w:r>
            <w:r>
              <w:rPr>
                <w:rFonts w:hint="eastAsia" w:ascii="新宋体" w:hAnsi="新宋体" w:eastAsia="新宋体"/>
                <w:bCs/>
                <w:szCs w:val="21"/>
              </w:rPr>
              <w:t xml:space="preserve"> /CZGC1-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4228" w:type="dxa"/>
            <w:vMerge w:val="continue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新宋体" w:hAnsi="新宋体" w:eastAsia="新宋体"/>
                <w:szCs w:val="21"/>
              </w:rPr>
            </w:pP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第1页　　共1页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28" w:type="dxa"/>
            <w:vMerge w:val="restart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/>
              </w:rPr>
              <w:t>货物查验操作规程</w:t>
            </w:r>
          </w:p>
        </w:tc>
        <w:tc>
          <w:tcPr>
            <w:tcW w:w="4296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  <w:r>
              <w:rPr>
                <w:rFonts w:hint="eastAsia" w:ascii="新宋体" w:hAnsi="新宋体" w:eastAsia="新宋体"/>
                <w:bCs/>
                <w:szCs w:val="21"/>
              </w:rPr>
              <w:t>版　　第1次修订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2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  <w:tc>
          <w:tcPr>
            <w:tcW w:w="4296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 w:cs="宋体"/>
                <w:bCs/>
                <w:szCs w:val="21"/>
              </w:rPr>
              <w:t xml:space="preserve">颁布日期： </w:t>
            </w:r>
            <w:r>
              <w:rPr>
                <w:rFonts w:hint="eastAsia" w:ascii="新宋体" w:hAnsi="新宋体" w:eastAsia="新宋体" w:cs="宋体"/>
                <w:bCs/>
                <w:szCs w:val="21"/>
                <w:lang w:eastAsia="zh-CN"/>
              </w:rPr>
              <w:t>2022-2-14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3" w:hRule="atLeast"/>
        </w:trPr>
        <w:tc>
          <w:tcPr>
            <w:tcW w:w="8524" w:type="dxa"/>
            <w:gridSpan w:val="2"/>
            <w:noWrap w:val="0"/>
            <w:vAlign w:val="top"/>
          </w:tcPr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1．目的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　确保我司烟花爆竹货物检查验收规范操作，特制订本规程。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2．适用范围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　适用烟花爆竹产品检查验收环节。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3．主要依据</w:t>
            </w:r>
          </w:p>
          <w:p>
            <w:pPr>
              <w:widowControl/>
              <w:spacing w:line="360" w:lineRule="auto"/>
              <w:ind w:firstLine="210" w:firstLineChars="100"/>
              <w:jc w:val="left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《烟花爆竹生产经营企业安全标准化评审办法》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4．主要职责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4.1分管领导制订验收方案。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4.2保管员和质检人员负责执行。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5．主要内容</w:t>
            </w:r>
          </w:p>
          <w:p>
            <w:pPr>
              <w:spacing w:line="360" w:lineRule="auto"/>
              <w:ind w:firstLine="420" w:firstLineChars="20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5.1.所有烟花爆竹进库前，仓库保管员、采购员必须要检验。</w:t>
            </w:r>
          </w:p>
          <w:p>
            <w:pPr>
              <w:spacing w:line="360" w:lineRule="auto"/>
              <w:ind w:firstLine="420" w:firstLineChars="20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5.2. 首先对外包装标识进行查验，主要内容包括品名、规格、内包装形式、箱含量、生产日期及厂名、厂址、执行标准等，是否符合规定要求。</w:t>
            </w:r>
          </w:p>
          <w:p>
            <w:pPr>
              <w:spacing w:line="360" w:lineRule="auto"/>
              <w:ind w:firstLine="420" w:firstLineChars="20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5.3.过期的、质量不合格的严禁入库。</w:t>
            </w:r>
          </w:p>
          <w:p>
            <w:pPr>
              <w:spacing w:line="360" w:lineRule="auto"/>
              <w:ind w:firstLine="420" w:firstLineChars="20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5.4.入库时，仓库管理员必须再次查点产品的数量、规格型号、合格证件等项目，如发现产品数量、质量、单据等不齐全时，不予入库。</w:t>
            </w:r>
          </w:p>
          <w:p>
            <w:pPr>
              <w:spacing w:line="360" w:lineRule="auto"/>
              <w:ind w:firstLine="420" w:firstLineChars="20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5.5.检验员在检验中，需要进行试放的，应严格按照规定试放检验。</w:t>
            </w:r>
          </w:p>
          <w:p>
            <w:pPr>
              <w:spacing w:line="360" w:lineRule="auto"/>
              <w:ind w:firstLine="420" w:firstLineChars="20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5.6.对检验出的不合格产品要登记，单独存放，防止流入社会。并上报上级安全管理部门，及时销毁。</w:t>
            </w:r>
          </w:p>
          <w:p>
            <w:pPr>
              <w:spacing w:line="360" w:lineRule="auto"/>
              <w:ind w:firstLine="420" w:firstLineChars="20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5.7.无论是查验库内存货，还是验收新货，必须有安全员、保管员2人以上同时在场。货物查验人员必须穿着防静电工作服，禁止穿易产生静电的服装和产生火花的鞋。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5.8.建立健全产品检验登记台账，详细记录产品检验情况。</w:t>
            </w:r>
          </w:p>
        </w:tc>
      </w:tr>
    </w:tbl>
    <w:p>
      <w:pPr>
        <w:spacing w:line="288" w:lineRule="auto"/>
        <w:jc w:val="center"/>
        <w:rPr>
          <w:rFonts w:hint="eastAsia" w:ascii="宋体" w:hAnsi="宋体"/>
          <w:b/>
          <w:szCs w:val="21"/>
        </w:rPr>
      </w:pPr>
    </w:p>
    <w:p>
      <w:pPr>
        <w:spacing w:line="288" w:lineRule="auto"/>
        <w:jc w:val="center"/>
        <w:rPr>
          <w:rFonts w:hint="eastAsia" w:ascii="宋体" w:hAnsi="宋体"/>
          <w:b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7"/>
        <w:gridCol w:w="4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7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营山县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千祥</w:t>
            </w:r>
            <w:r>
              <w:rPr>
                <w:rFonts w:hint="eastAsia" w:ascii="新宋体" w:hAnsi="新宋体" w:eastAsia="新宋体"/>
                <w:szCs w:val="21"/>
              </w:rPr>
              <w:t>烟花爆竹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连锁</w:t>
            </w:r>
            <w:r>
              <w:rPr>
                <w:rFonts w:hint="eastAsia" w:ascii="新宋体" w:hAnsi="新宋体" w:eastAsia="新宋体"/>
                <w:szCs w:val="21"/>
              </w:rPr>
              <w:t>有限公司</w:t>
            </w:r>
          </w:p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岗位操作安全技术规程</w:t>
            </w:r>
          </w:p>
        </w:tc>
        <w:tc>
          <w:tcPr>
            <w:tcW w:w="4295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文件编号：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YSQX</w:t>
            </w:r>
            <w:r>
              <w:rPr>
                <w:rFonts w:hint="eastAsia" w:ascii="新宋体" w:hAnsi="新宋体" w:eastAsia="新宋体"/>
                <w:bCs/>
                <w:szCs w:val="21"/>
              </w:rPr>
              <w:t xml:space="preserve"> /CZGC2-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27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  <w:tc>
          <w:tcPr>
            <w:tcW w:w="4295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第1页　　共1页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27" w:type="dxa"/>
            <w:vMerge w:val="restart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拆箱安全操作规程</w:t>
            </w:r>
          </w:p>
        </w:tc>
        <w:tc>
          <w:tcPr>
            <w:tcW w:w="4295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  <w:r>
              <w:rPr>
                <w:rFonts w:hint="eastAsia" w:ascii="新宋体" w:hAnsi="新宋体" w:eastAsia="新宋体"/>
                <w:bCs/>
                <w:szCs w:val="21"/>
              </w:rPr>
              <w:t>版　　第1次修订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2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  <w:tc>
          <w:tcPr>
            <w:tcW w:w="4295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 w:cs="宋体"/>
                <w:bCs/>
                <w:szCs w:val="21"/>
              </w:rPr>
              <w:t xml:space="preserve">颁布日期： </w:t>
            </w:r>
            <w:r>
              <w:rPr>
                <w:rFonts w:hint="eastAsia" w:ascii="新宋体" w:hAnsi="新宋体" w:eastAsia="新宋体" w:cs="宋体"/>
                <w:bCs/>
                <w:szCs w:val="21"/>
                <w:lang w:eastAsia="zh-CN"/>
              </w:rPr>
              <w:t>2022-2-14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33" w:hRule="atLeast"/>
        </w:trPr>
        <w:tc>
          <w:tcPr>
            <w:tcW w:w="8522" w:type="dxa"/>
            <w:gridSpan w:val="2"/>
            <w:noWrap w:val="0"/>
            <w:vAlign w:val="top"/>
          </w:tcPr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1．目的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　确保我司烟花爆竹拆箱时人员规范操作，特制订本规程。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2．适用范围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　适用烟花爆竹产品拆箱过程。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3．主要依据</w:t>
            </w:r>
          </w:p>
          <w:p>
            <w:pPr>
              <w:widowControl/>
              <w:spacing w:line="360" w:lineRule="auto"/>
              <w:ind w:firstLine="210" w:firstLineChars="100"/>
              <w:jc w:val="left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《烟花爆竹生产经营企业安全标准化评审办法》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4．主要职责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4.1安全管理人员制订规程。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4.2搬运工负责执行。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5．主要内容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5.1.需开箱查验的产品，必须将查验对象整箱搬到库房外面三米以外，放置在干燥的地面上。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5.2.拆箱作业人员工作时必须穿着防静电工作服，禁止穿易产生静电的服装和产生火花的鞋。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5.3.安全员、保管员同时在场，用非铁质刀具划开封条，先检查箱内产品合格证，核对相关数据。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5.4.小心取出产品实体，查验招纸、筒标、小包装笺上的标识主要内容、燃放说明、警示语等是否齐全。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5.5.清点箱内实体数量，核对与外包装标注含量是否相符。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5.6.查验产品实体，外观是否端正、标志粘贴是否完整、捆扎是否牢固、组形是否整齐、引火线状态等等，对有缺陷的产品如露白、包头包脚、露头露脚，几何形状歪斜等等情况要记录下来，上报公司经理，准备对症处理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5.7.拆箱应保持货物包装完整，不得将箱内货物损坏、变形。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5.8.需要查验燃放效果时，由安全员负责指挥，将燃放样品搬到试放场地进行试放，试放场地选择距离库区100米以外的空旷位置，试放时观看人员要距离30米以上，试放完毕，残留物要作妥善处理。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5.9.拆箱后要及时对剩余货物进行封箱、登记并单独存放。发现零散药物要及时清理干净并清除出库区进行销毁。</w:t>
            </w:r>
          </w:p>
        </w:tc>
      </w:tr>
    </w:tbl>
    <w:p>
      <w:pPr>
        <w:spacing w:line="288" w:lineRule="auto"/>
        <w:ind w:firstLine="422" w:firstLineChars="200"/>
        <w:jc w:val="center"/>
        <w:rPr>
          <w:rFonts w:hint="eastAsia" w:ascii="宋体" w:hAnsi="宋体"/>
          <w:b/>
          <w:szCs w:val="21"/>
        </w:rPr>
      </w:pPr>
    </w:p>
    <w:p>
      <w:pPr>
        <w:spacing w:line="288" w:lineRule="auto"/>
        <w:ind w:firstLine="422" w:firstLineChars="200"/>
        <w:jc w:val="center"/>
        <w:rPr>
          <w:rFonts w:hint="eastAsia" w:ascii="宋体" w:hAnsi="宋体"/>
          <w:b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7"/>
        <w:gridCol w:w="4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7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营山县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千祥</w:t>
            </w:r>
            <w:r>
              <w:rPr>
                <w:rFonts w:hint="eastAsia" w:ascii="新宋体" w:hAnsi="新宋体" w:eastAsia="新宋体"/>
                <w:szCs w:val="21"/>
              </w:rPr>
              <w:t>烟花爆竹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连锁</w:t>
            </w:r>
            <w:r>
              <w:rPr>
                <w:rFonts w:hint="eastAsia" w:ascii="新宋体" w:hAnsi="新宋体" w:eastAsia="新宋体"/>
                <w:szCs w:val="21"/>
              </w:rPr>
              <w:t>有限公司</w:t>
            </w:r>
          </w:p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岗位操作安全技术规程</w:t>
            </w:r>
          </w:p>
        </w:tc>
        <w:tc>
          <w:tcPr>
            <w:tcW w:w="4295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文件编号：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YSQX</w:t>
            </w:r>
            <w:r>
              <w:rPr>
                <w:rFonts w:hint="eastAsia" w:ascii="新宋体" w:hAnsi="新宋体" w:eastAsia="新宋体"/>
                <w:bCs/>
                <w:szCs w:val="21"/>
              </w:rPr>
              <w:t xml:space="preserve"> /CZGC3-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27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  <w:tc>
          <w:tcPr>
            <w:tcW w:w="4295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第1页　　共1页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27" w:type="dxa"/>
            <w:vMerge w:val="restart"/>
            <w:noWrap w:val="0"/>
            <w:vAlign w:val="center"/>
          </w:tcPr>
          <w:p>
            <w:pPr>
              <w:spacing w:line="288" w:lineRule="auto"/>
              <w:ind w:firstLine="420" w:firstLineChars="200"/>
              <w:jc w:val="center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搬运安全操作规程</w:t>
            </w:r>
          </w:p>
        </w:tc>
        <w:tc>
          <w:tcPr>
            <w:tcW w:w="4295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  <w:r>
              <w:rPr>
                <w:rFonts w:hint="eastAsia" w:ascii="新宋体" w:hAnsi="新宋体" w:eastAsia="新宋体"/>
                <w:bCs/>
                <w:szCs w:val="21"/>
              </w:rPr>
              <w:t>版　　第1次修订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2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  <w:tc>
          <w:tcPr>
            <w:tcW w:w="4295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 w:cs="宋体"/>
                <w:bCs/>
                <w:szCs w:val="21"/>
              </w:rPr>
              <w:t xml:space="preserve">颁布日期： </w:t>
            </w:r>
            <w:r>
              <w:rPr>
                <w:rFonts w:hint="eastAsia" w:ascii="新宋体" w:hAnsi="新宋体" w:eastAsia="新宋体" w:cs="宋体"/>
                <w:bCs/>
                <w:szCs w:val="21"/>
                <w:lang w:eastAsia="zh-CN"/>
              </w:rPr>
              <w:t>2022-2-14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01" w:hRule="atLeast"/>
        </w:trPr>
        <w:tc>
          <w:tcPr>
            <w:tcW w:w="8522" w:type="dxa"/>
            <w:gridSpan w:val="2"/>
            <w:noWrap w:val="0"/>
            <w:vAlign w:val="top"/>
          </w:tcPr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1．目的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　确保我司烟花爆竹搬运时工人规范操作，特制订本规程。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2．适用范围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　适用烟花爆竹产品搬运过程。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3．主要依据</w:t>
            </w:r>
          </w:p>
          <w:p>
            <w:pPr>
              <w:widowControl/>
              <w:spacing w:line="360" w:lineRule="auto"/>
              <w:ind w:firstLine="210" w:firstLineChars="100"/>
              <w:jc w:val="left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《烟花爆竹生产经营企业安全标准化评审办法》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4．主要职责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4.1安全管理人员制订本规程。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4.2搬运工负责执行。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5．主要内容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5.1.搬运人员应对搬运安全负责，搬运人员应经过安全培训，掌握有关法律、法规、规范以及本岗位工作中所涉及的烟花爆竹的相关安全技术知识。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5.2.进入库区的机动车，必须有防火花装置，库区内车速不得超过15km/h。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5.3.车辆停靠要距离库门2.5米以上，发动机熄火后才可以进行装卸作业。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5.4.车辆上货物装载不得超宽、超高、超重，装好后要苫严捆牢。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5.5.车辆装卸货物完毕，迅速离开库区。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5.6.搬运人员工作时必须穿着防静电工作服，禁止穿易产生静电的服装和产生火花的鞋。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5.7.搬运作业中，只能单件搬运，超过比较大的箱子必须由双人搬运，不得碰撞、拖拉、磨擦、翻滚、倒置和剧烈振动。出现漏药、包装箱破损等情况，立即停止装卸作业，用不产生火花的工具进行处理。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5.8.搬运作业要轻搬轻放，严禁野蛮搬运。</w:t>
            </w:r>
          </w:p>
        </w:tc>
      </w:tr>
    </w:tbl>
    <w:p>
      <w:pPr>
        <w:spacing w:line="288" w:lineRule="auto"/>
        <w:ind w:firstLine="422" w:firstLineChars="200"/>
        <w:jc w:val="center"/>
        <w:rPr>
          <w:rFonts w:hint="eastAsia" w:ascii="宋体" w:hAnsi="宋体"/>
          <w:b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7"/>
        <w:gridCol w:w="4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7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营山县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千祥</w:t>
            </w:r>
            <w:r>
              <w:rPr>
                <w:rFonts w:hint="eastAsia" w:ascii="新宋体" w:hAnsi="新宋体" w:eastAsia="新宋体"/>
                <w:szCs w:val="21"/>
              </w:rPr>
              <w:t>烟花爆竹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连锁</w:t>
            </w:r>
            <w:r>
              <w:rPr>
                <w:rFonts w:hint="eastAsia" w:ascii="新宋体" w:hAnsi="新宋体" w:eastAsia="新宋体"/>
                <w:szCs w:val="21"/>
              </w:rPr>
              <w:t>有限公司</w:t>
            </w:r>
          </w:p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岗位操作安全技术规程</w:t>
            </w:r>
          </w:p>
        </w:tc>
        <w:tc>
          <w:tcPr>
            <w:tcW w:w="4295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文件编号：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YSQX</w:t>
            </w:r>
            <w:r>
              <w:rPr>
                <w:rFonts w:hint="eastAsia" w:ascii="新宋体" w:hAnsi="新宋体" w:eastAsia="新宋体"/>
                <w:bCs/>
                <w:szCs w:val="21"/>
              </w:rPr>
              <w:t xml:space="preserve"> /CZGC4-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27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  <w:tc>
          <w:tcPr>
            <w:tcW w:w="4295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第1页　　共1页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27" w:type="dxa"/>
            <w:vMerge w:val="restart"/>
            <w:noWrap w:val="0"/>
            <w:vAlign w:val="center"/>
          </w:tcPr>
          <w:p>
            <w:pPr>
              <w:spacing w:line="288" w:lineRule="auto"/>
              <w:ind w:firstLine="420" w:firstLineChars="200"/>
              <w:jc w:val="center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装卸安全操作规程</w:t>
            </w:r>
          </w:p>
        </w:tc>
        <w:tc>
          <w:tcPr>
            <w:tcW w:w="4295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  <w:r>
              <w:rPr>
                <w:rFonts w:hint="eastAsia" w:ascii="新宋体" w:hAnsi="新宋体" w:eastAsia="新宋体"/>
                <w:bCs/>
                <w:szCs w:val="21"/>
              </w:rPr>
              <w:t>版　　第1次修订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2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  <w:tc>
          <w:tcPr>
            <w:tcW w:w="4295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 w:cs="宋体"/>
                <w:bCs/>
                <w:szCs w:val="21"/>
              </w:rPr>
              <w:t xml:space="preserve">颁布日期： </w:t>
            </w:r>
            <w:r>
              <w:rPr>
                <w:rFonts w:hint="eastAsia" w:ascii="新宋体" w:hAnsi="新宋体" w:eastAsia="新宋体" w:cs="宋体"/>
                <w:bCs/>
                <w:szCs w:val="21"/>
                <w:lang w:eastAsia="zh-CN"/>
              </w:rPr>
              <w:t>2022-2-14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45" w:hRule="atLeast"/>
        </w:trPr>
        <w:tc>
          <w:tcPr>
            <w:tcW w:w="8522" w:type="dxa"/>
            <w:gridSpan w:val="2"/>
            <w:noWrap w:val="0"/>
            <w:vAlign w:val="top"/>
          </w:tcPr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1．目的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　确保我司烟花爆竹装卸时工人规范操作，特制订本规程。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2．适用范围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　适用烟花爆竹产品装卸过程。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3．主要依据</w:t>
            </w:r>
          </w:p>
          <w:p>
            <w:pPr>
              <w:widowControl/>
              <w:spacing w:line="360" w:lineRule="auto"/>
              <w:ind w:firstLine="210" w:firstLineChars="100"/>
              <w:jc w:val="left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《烟花爆竹生产经营企业安全标准化评审办法》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4．主要职责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4.1安全管理人员制订本规程。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4.2搬运工负责执行。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/>
                <w:b/>
              </w:rPr>
              <w:t>5．主要内容</w:t>
            </w:r>
          </w:p>
          <w:p>
            <w:pPr>
              <w:spacing w:line="288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5.1.烟花爆竹装卸环节危险性大，搬运员必须要有高度的安全意识，安全员现场监督，保管员当场验收。</w:t>
            </w:r>
          </w:p>
          <w:p>
            <w:pPr>
              <w:spacing w:line="288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5.2. 装卸人员应引导车辆进入规定的位置后，提醒司机熄火。同时准备相应的消防器材，使用不产生火花的工具。</w:t>
            </w:r>
          </w:p>
          <w:p>
            <w:pPr>
              <w:spacing w:line="288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5.3.进库人员不得穿带钉子的鞋和硬底鞋，工作中不得使用铁质工具，进库前先行消除静电。</w:t>
            </w:r>
          </w:p>
          <w:p>
            <w:pPr>
              <w:spacing w:line="288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5.4.只许单件搬运，轻搬轻放，不准碰撞、拖拉、磨擦、翻滚和剧烈振动。</w:t>
            </w:r>
          </w:p>
          <w:p>
            <w:pPr>
              <w:spacing w:line="288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5.5.码垛作业要整齐、稳妥、牢固，堆垛离外墙0.45米，堆垛间距0.7米，堆垛边长不超过10米，高度不超过2.5米。</w:t>
            </w:r>
          </w:p>
          <w:p>
            <w:pPr>
              <w:spacing w:line="288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5.6.作业人员要严肃认真，小心谨慎，不准嘻笑打闹，精力分散。</w:t>
            </w:r>
          </w:p>
          <w:p>
            <w:pPr>
              <w:spacing w:line="288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5.7.装卸作业中，只能单件装卸，比较大的箱子必须由双人操作，不得碰撞、拖拉、磨擦、翻滚、倒置和剧烈振动。出现漏药、包装箱破损等情况，立即停止装卸作业，用不产生火花的工具进行处理。</w:t>
            </w:r>
          </w:p>
          <w:p>
            <w:pPr>
              <w:spacing w:line="288" w:lineRule="auto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5.8.安全员要清点现场人员，看好撤离通道，一旦发生危险，指挥现场人员迅速撤离。</w:t>
            </w:r>
          </w:p>
        </w:tc>
      </w:tr>
    </w:tbl>
    <w:p>
      <w:pPr>
        <w:spacing w:line="288" w:lineRule="auto"/>
        <w:ind w:firstLine="422" w:firstLineChars="200"/>
        <w:jc w:val="center"/>
        <w:rPr>
          <w:rFonts w:hint="eastAsia" w:ascii="宋体" w:hAnsi="宋体"/>
          <w:b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7"/>
        <w:gridCol w:w="4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7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营山县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千祥</w:t>
            </w:r>
            <w:r>
              <w:rPr>
                <w:rFonts w:hint="eastAsia" w:ascii="新宋体" w:hAnsi="新宋体" w:eastAsia="新宋体"/>
                <w:szCs w:val="21"/>
              </w:rPr>
              <w:t>烟花爆竹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连锁</w:t>
            </w:r>
            <w:r>
              <w:rPr>
                <w:rFonts w:hint="eastAsia" w:ascii="新宋体" w:hAnsi="新宋体" w:eastAsia="新宋体"/>
                <w:szCs w:val="21"/>
              </w:rPr>
              <w:t>有限公司</w:t>
            </w:r>
          </w:p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岗位操作安全技术规程</w:t>
            </w:r>
          </w:p>
        </w:tc>
        <w:tc>
          <w:tcPr>
            <w:tcW w:w="4295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文件编号：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YSQX</w:t>
            </w:r>
            <w:r>
              <w:rPr>
                <w:rFonts w:hint="eastAsia" w:ascii="新宋体" w:hAnsi="新宋体" w:eastAsia="新宋体"/>
                <w:bCs/>
                <w:szCs w:val="21"/>
              </w:rPr>
              <w:t xml:space="preserve"> /CZGC5-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27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  <w:tc>
          <w:tcPr>
            <w:tcW w:w="4295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第1页　　共1页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27" w:type="dxa"/>
            <w:vMerge w:val="restart"/>
            <w:noWrap w:val="0"/>
            <w:vAlign w:val="center"/>
          </w:tcPr>
          <w:p>
            <w:pPr>
              <w:spacing w:line="288" w:lineRule="auto"/>
              <w:ind w:firstLine="420" w:firstLineChars="200"/>
              <w:jc w:val="center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运输安全操作规程</w:t>
            </w:r>
          </w:p>
        </w:tc>
        <w:tc>
          <w:tcPr>
            <w:tcW w:w="4295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  <w:r>
              <w:rPr>
                <w:rFonts w:hint="eastAsia" w:ascii="新宋体" w:hAnsi="新宋体" w:eastAsia="新宋体"/>
                <w:bCs/>
                <w:szCs w:val="21"/>
              </w:rPr>
              <w:t>版　　第1次修订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2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  <w:tc>
          <w:tcPr>
            <w:tcW w:w="4295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 w:cs="宋体"/>
                <w:bCs/>
                <w:szCs w:val="21"/>
              </w:rPr>
              <w:t xml:space="preserve">颁布日期： </w:t>
            </w:r>
            <w:r>
              <w:rPr>
                <w:rFonts w:hint="eastAsia" w:ascii="新宋体" w:hAnsi="新宋体" w:eastAsia="新宋体" w:cs="宋体"/>
                <w:bCs/>
                <w:szCs w:val="21"/>
                <w:lang w:eastAsia="zh-CN"/>
              </w:rPr>
              <w:t>2022-2-14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04" w:hRule="atLeast"/>
        </w:trPr>
        <w:tc>
          <w:tcPr>
            <w:tcW w:w="8522" w:type="dxa"/>
            <w:gridSpan w:val="2"/>
            <w:noWrap w:val="0"/>
            <w:vAlign w:val="top"/>
          </w:tcPr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1．目的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　确保我司烟花爆竹运输规范操作，特制订本规程。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2．适用范围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　适用烟花爆竹产品运输过程。</w:t>
            </w:r>
          </w:p>
          <w:p>
            <w:pPr>
              <w:pStyle w:val="2"/>
              <w:tabs>
                <w:tab w:val="left" w:pos="2661"/>
              </w:tabs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3．主要依据</w:t>
            </w:r>
            <w:r>
              <w:rPr>
                <w:rFonts w:ascii="黑体" w:hAnsi="黑体" w:eastAsia="黑体" w:cs="Times New Roman"/>
                <w:b/>
              </w:rPr>
              <w:tab/>
            </w:r>
          </w:p>
          <w:p>
            <w:pPr>
              <w:widowControl/>
              <w:spacing w:line="360" w:lineRule="auto"/>
              <w:ind w:firstLine="210" w:firstLineChars="100"/>
              <w:jc w:val="left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《烟花爆竹生产经营企业安全标准化评审办法》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4．主要职责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4.1安全管理人员制订本规程。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4.2驾驶和押运员负责执行。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/>
                <w:b/>
              </w:rPr>
              <w:t>5．主要内容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5.1.运输工具应使用符合烟花爆竹危险品运输安全要求的机动车辆，机动车辆进入仓库区时，排气管应安装阻火器，速度≤15千米／小时。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5.2.所运输的危险品堆码应平稳、整齐，物品堆码高度不应过高。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5.3.运输车辆配备消防灭火器，并设置明显的爆炸危险品标志。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5.4.车辆速度应低于有关限速规定，应当保持车距，不应抢道，避免紧急制动。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5.5.危险品运输车辆不应混装性质不相容的物品，除驾驶员和押运员外，不应有其他人员搭乘。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5.6.运输途中司机、押运员要高度警惕，中速行使，无故不停车，必需停车时押运员要下车看守，设置警示标识。停歇时，运输车辆应远离易燃易爆场所及重要建筑设施、人口密集的地方，严禁在运输车辆附近吸烟和用火，并有人始终看守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5.7.通过市区时，应当遵守城市规定的时间和路线。不得进入禁止爆炸危险物品通行区。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5.8.严禁疲劳驾驶。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5.9.严禁伪装或伪造品名运输烟花爆竹；严禁运输国家禁止生产的烟花爆竹及其制品。</w:t>
            </w:r>
          </w:p>
        </w:tc>
      </w:tr>
    </w:tbl>
    <w:p>
      <w:pPr>
        <w:spacing w:line="360" w:lineRule="auto"/>
        <w:ind w:firstLine="420" w:firstLineChars="200"/>
        <w:jc w:val="center"/>
        <w:rPr>
          <w:rFonts w:hint="eastAsia"/>
        </w:rPr>
      </w:pPr>
    </w:p>
    <w:p>
      <w:pPr>
        <w:spacing w:line="240" w:lineRule="auto"/>
        <w:jc w:val="both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linePitch="312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7"/>
        <w:gridCol w:w="4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7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营山县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千祥</w:t>
            </w:r>
            <w:r>
              <w:rPr>
                <w:rFonts w:hint="eastAsia" w:ascii="新宋体" w:hAnsi="新宋体" w:eastAsia="新宋体"/>
                <w:szCs w:val="21"/>
              </w:rPr>
              <w:t>烟花爆竹</w:t>
            </w:r>
            <w:r>
              <w:rPr>
                <w:rFonts w:hint="eastAsia" w:ascii="新宋体" w:hAnsi="新宋体" w:eastAsia="新宋体"/>
                <w:szCs w:val="21"/>
                <w:lang w:eastAsia="zh-CN"/>
              </w:rPr>
              <w:t>连锁</w:t>
            </w:r>
            <w:r>
              <w:rPr>
                <w:rFonts w:hint="eastAsia" w:ascii="新宋体" w:hAnsi="新宋体" w:eastAsia="新宋体"/>
                <w:szCs w:val="21"/>
              </w:rPr>
              <w:t>有限公司</w:t>
            </w:r>
          </w:p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岗位操作安全技术规程</w:t>
            </w:r>
          </w:p>
        </w:tc>
        <w:tc>
          <w:tcPr>
            <w:tcW w:w="4295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文件编号：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YSQX</w:t>
            </w:r>
            <w:r>
              <w:rPr>
                <w:rFonts w:hint="eastAsia" w:ascii="新宋体" w:hAnsi="新宋体" w:eastAsia="新宋体"/>
                <w:bCs/>
                <w:szCs w:val="21"/>
              </w:rPr>
              <w:t xml:space="preserve"> /CZGC</w:t>
            </w:r>
            <w:r>
              <w:rPr>
                <w:rFonts w:hint="eastAsia" w:ascii="新宋体" w:hAnsi="新宋体" w:eastAsia="新宋体"/>
                <w:bCs/>
                <w:szCs w:val="21"/>
                <w:lang w:val="en-US" w:eastAsia="zh-CN"/>
              </w:rPr>
              <w:t>6</w:t>
            </w:r>
            <w:r>
              <w:rPr>
                <w:rFonts w:hint="eastAsia" w:ascii="新宋体" w:hAnsi="新宋体" w:eastAsia="新宋体"/>
                <w:bCs/>
                <w:szCs w:val="21"/>
              </w:rPr>
              <w:t>-</w:t>
            </w: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27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  <w:tc>
          <w:tcPr>
            <w:tcW w:w="4295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</w:rPr>
              <w:t>第1页　　共1页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27" w:type="dxa"/>
            <w:vMerge w:val="restart"/>
            <w:noWrap w:val="0"/>
            <w:vAlign w:val="center"/>
          </w:tcPr>
          <w:p>
            <w:pPr>
              <w:spacing w:line="288" w:lineRule="auto"/>
              <w:ind w:firstLine="420" w:firstLineChars="200"/>
              <w:jc w:val="center"/>
              <w:rPr>
                <w:rFonts w:hint="eastAsia"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  <w:lang w:eastAsia="zh-CN"/>
              </w:rPr>
              <w:t>消防器材</w:t>
            </w:r>
            <w:r>
              <w:rPr>
                <w:rFonts w:hint="eastAsia" w:ascii="新宋体" w:hAnsi="新宋体" w:eastAsia="新宋体"/>
                <w:szCs w:val="21"/>
              </w:rPr>
              <w:t>安全操作规程</w:t>
            </w:r>
          </w:p>
        </w:tc>
        <w:tc>
          <w:tcPr>
            <w:tcW w:w="4295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/>
                <w:bCs/>
                <w:szCs w:val="21"/>
                <w:lang w:eastAsia="zh-CN"/>
              </w:rPr>
              <w:t>2022</w:t>
            </w:r>
            <w:r>
              <w:rPr>
                <w:rFonts w:hint="eastAsia" w:ascii="新宋体" w:hAnsi="新宋体" w:eastAsia="新宋体"/>
                <w:bCs/>
                <w:szCs w:val="21"/>
              </w:rPr>
              <w:t>版　　第1次修订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2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新宋体" w:hAnsi="新宋体" w:eastAsia="新宋体"/>
                <w:bCs/>
                <w:szCs w:val="21"/>
              </w:rPr>
            </w:pPr>
          </w:p>
        </w:tc>
        <w:tc>
          <w:tcPr>
            <w:tcW w:w="4295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新宋体" w:hAnsi="新宋体" w:eastAsia="新宋体"/>
                <w:bCs/>
                <w:szCs w:val="21"/>
              </w:rPr>
            </w:pPr>
            <w:r>
              <w:rPr>
                <w:rFonts w:hint="eastAsia" w:ascii="新宋体" w:hAnsi="新宋体" w:eastAsia="新宋体" w:cs="宋体"/>
                <w:bCs/>
                <w:szCs w:val="21"/>
              </w:rPr>
              <w:t xml:space="preserve">颁布日期： </w:t>
            </w:r>
            <w:r>
              <w:rPr>
                <w:rFonts w:hint="eastAsia" w:ascii="新宋体" w:hAnsi="新宋体" w:eastAsia="新宋体" w:cs="宋体"/>
                <w:bCs/>
                <w:szCs w:val="21"/>
                <w:lang w:eastAsia="zh-CN"/>
              </w:rPr>
              <w:t>2022-2-14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15" w:hRule="atLeast"/>
        </w:trPr>
        <w:tc>
          <w:tcPr>
            <w:tcW w:w="8522" w:type="dxa"/>
            <w:gridSpan w:val="2"/>
            <w:noWrap w:val="0"/>
            <w:vAlign w:val="top"/>
          </w:tcPr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1．目的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　确保我司</w:t>
            </w:r>
            <w:r>
              <w:rPr>
                <w:rFonts w:hint="eastAsia" w:hAnsi="宋体" w:cs="Times New Roman"/>
                <w:lang w:eastAsia="zh-CN"/>
              </w:rPr>
              <w:t>消防器材使用的</w:t>
            </w:r>
            <w:r>
              <w:rPr>
                <w:rFonts w:hint="eastAsia" w:hAnsi="宋体" w:cs="Times New Roman"/>
              </w:rPr>
              <w:t>规范操作，特制订本规程。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2．适用范围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　适用</w:t>
            </w:r>
            <w:r>
              <w:rPr>
                <w:rFonts w:hint="eastAsia" w:hAnsi="宋体" w:cs="Times New Roman"/>
                <w:lang w:eastAsia="zh-CN"/>
              </w:rPr>
              <w:t>消防器材的使用</w:t>
            </w:r>
            <w:r>
              <w:rPr>
                <w:rFonts w:hint="eastAsia" w:hAnsi="宋体" w:cs="Times New Roman"/>
              </w:rPr>
              <w:t>过程。</w:t>
            </w:r>
          </w:p>
          <w:p>
            <w:pPr>
              <w:pStyle w:val="2"/>
              <w:tabs>
                <w:tab w:val="left" w:pos="2661"/>
              </w:tabs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3．主要依据</w:t>
            </w:r>
            <w:r>
              <w:rPr>
                <w:rFonts w:ascii="黑体" w:hAnsi="黑体" w:eastAsia="黑体" w:cs="Times New Roman"/>
                <w:b/>
              </w:rPr>
              <w:tab/>
            </w:r>
          </w:p>
          <w:p>
            <w:pPr>
              <w:widowControl/>
              <w:spacing w:line="360" w:lineRule="auto"/>
              <w:ind w:firstLine="210" w:firstLineChars="100"/>
              <w:jc w:val="left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《烟花爆竹生产经营企业安全标准化评审办法》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 w:cs="Times New Roman"/>
                <w:b/>
              </w:rPr>
              <w:t>4．主要职责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4.1安全管理人员制订本规程。</w:t>
            </w:r>
          </w:p>
          <w:p>
            <w:pPr>
              <w:pStyle w:val="2"/>
              <w:spacing w:line="360" w:lineRule="auto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　4.2</w:t>
            </w:r>
            <w:r>
              <w:rPr>
                <w:rFonts w:hint="eastAsia" w:hAnsi="宋体" w:cs="Times New Roman"/>
                <w:lang w:eastAsia="zh-CN"/>
              </w:rPr>
              <w:t>全体员工</w:t>
            </w:r>
            <w:r>
              <w:rPr>
                <w:rFonts w:hint="eastAsia" w:hAnsi="宋体" w:cs="Times New Roman"/>
              </w:rPr>
              <w:t>负责执行。</w:t>
            </w:r>
          </w:p>
          <w:p>
            <w:pPr>
              <w:pStyle w:val="2"/>
              <w:spacing w:line="360" w:lineRule="auto"/>
              <w:rPr>
                <w:rFonts w:hint="eastAsia" w:ascii="黑体" w:hAnsi="黑体" w:eastAsia="黑体" w:cs="Times New Roman"/>
                <w:b/>
              </w:rPr>
            </w:pPr>
            <w:r>
              <w:rPr>
                <w:rFonts w:hint="eastAsia" w:ascii="黑体" w:hAnsi="黑体" w:eastAsia="黑体"/>
                <w:b/>
              </w:rPr>
              <w:t>5．主要内容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5.1.</w:t>
            </w:r>
            <w:r>
              <w:rPr>
                <w:rFonts w:hint="eastAsia" w:ascii="宋体" w:hAnsi="宋体"/>
                <w:szCs w:val="21"/>
                <w:lang w:eastAsia="zh-CN"/>
              </w:rPr>
              <w:t>我司配备的消防器材有：灭火器、消防水泵、消防沙池</w:t>
            </w:r>
            <w:r>
              <w:rPr>
                <w:rFonts w:hint="eastAsia" w:ascii="宋体" w:hAnsi="宋体"/>
                <w:szCs w:val="21"/>
              </w:rPr>
              <w:t>。</w:t>
            </w:r>
            <w:r>
              <w:rPr>
                <w:rFonts w:hint="eastAsia" w:ascii="宋体" w:hAnsi="宋体"/>
                <w:szCs w:val="21"/>
                <w:lang w:eastAsia="zh-CN"/>
              </w:rPr>
              <w:t>在灭火过程中应以人身安全为重，火势过大无法扑灭时应放弃灭火、快速撤离并报火警求助。</w:t>
            </w:r>
          </w:p>
          <w:p>
            <w:pPr>
              <w:spacing w:line="360" w:lineRule="auto"/>
              <w:ind w:firstLine="42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5.2.</w:t>
            </w:r>
            <w:r>
              <w:rPr>
                <w:rFonts w:hint="eastAsia" w:ascii="宋体" w:hAnsi="宋体"/>
                <w:szCs w:val="21"/>
                <w:lang w:eastAsia="zh-CN"/>
              </w:rPr>
              <w:t>灭火器：</w:t>
            </w:r>
          </w:p>
          <w:p>
            <w:pPr>
              <w:spacing w:line="360" w:lineRule="auto"/>
              <w:ind w:firstLine="420" w:firstLineChars="200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(1)使用时，可手提灭火器距离火源5米处进行灭火；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(2)先拔下保险销，一手握住喷嘴，一手用力握紧提把下压，干粉或泡沫即喷出；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(3)喷嘴对准火焰根部左右摆动，灭火器要保持直立，不得横倒或颠倒使用。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5.3.</w:t>
            </w:r>
            <w:r>
              <w:rPr>
                <w:rFonts w:hint="eastAsia" w:ascii="宋体" w:hAnsi="宋体"/>
                <w:szCs w:val="21"/>
                <w:lang w:eastAsia="zh-CN"/>
              </w:rPr>
              <w:t>消防水泵：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(1)使用前，确保进水端处于消防水池水面以下、进出水管与水泵完好连接、水泵发动机油料充足；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(2)用力拉动水泵发动机拉环，待发动机稳定工作后，双手抱起消防水管喷头，对准火源灭火；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(3)平时应每月启动消防水泵一次，确保其处于正常状态。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5.4.</w:t>
            </w:r>
            <w:r>
              <w:rPr>
                <w:rFonts w:hint="eastAsia" w:ascii="宋体" w:hAnsi="宋体"/>
                <w:szCs w:val="21"/>
                <w:lang w:eastAsia="zh-CN"/>
              </w:rPr>
              <w:t>不便取用灭火器、消防水泵时，可就近使用消防沙灭火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(1)用铁铲直接将沙土铲起，倒在火源部位，要确保全面覆盖。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(2)发生爆炸时，不得使用沙土灭火，以免增加爆炸破坏威力。</w:t>
            </w:r>
          </w:p>
          <w:p>
            <w:pPr>
              <w:spacing w:line="360" w:lineRule="auto"/>
              <w:ind w:firstLine="420" w:firstLineChars="200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5.5.我司应定期进行消防演练，全体员工都应熟练掌握消防器材的使用方法。</w:t>
            </w:r>
          </w:p>
        </w:tc>
      </w:tr>
    </w:tbl>
    <w:p/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Fm/S8feAgAAJA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hYTE4NmY3MWE0ODY2NjFjYmJkNmU3NjhlNWIwNWIifQ=="/>
  </w:docVars>
  <w:rsids>
    <w:rsidRoot w:val="40817534"/>
    <w:rsid w:val="2CE90E48"/>
    <w:rsid w:val="4081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3484</Words>
  <Characters>3943</Characters>
  <Lines>0</Lines>
  <Paragraphs>0</Paragraphs>
  <TotalTime>6</TotalTime>
  <ScaleCrop>false</ScaleCrop>
  <LinksUpToDate>false</LinksUpToDate>
  <CharactersWithSpaces>4092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2023-04-17T08:46:00Z</dcterms:created>
  <dc:creator>漫步云端</dc:creator>
  <cp:lastModifiedBy>漫步云端</cp:lastModifiedBy>
  <dcterms:modified xsi:type="dcterms:W3CDTF">2023-04-17T08:58:53Z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72AD0D2F32834BCDB23979A1A7F91255_11</vt:lpwstr>
  </property>
</Properties>
</file>