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160" w:lineRule="auto"/>
        <w:jc w:val="center"/>
        <w:textAlignment w:val="auto"/>
        <w:rPr>
          <w:rFonts w:hint="eastAsia" w:ascii="微软雅黑" w:hAnsi="微软雅黑" w:eastAsia="微软雅黑" w:cs="微软雅黑"/>
          <w:b/>
          <w:bCs w:val="0"/>
          <w:color w:val="000000"/>
          <w:sz w:val="52"/>
          <w:szCs w:val="52"/>
          <w:lang w:eastAsia="zh-CN"/>
        </w:rPr>
      </w:pPr>
      <w:bookmarkStart w:id="1" w:name="_GoBack"/>
      <w:bookmarkEnd w:id="1"/>
      <w:r>
        <w:rPr>
          <w:rFonts w:hint="eastAsia" w:ascii="微软雅黑" w:hAnsi="微软雅黑" w:eastAsia="微软雅黑" w:cs="微软雅黑"/>
          <w:b/>
          <w:bCs w:val="0"/>
          <w:sz w:val="52"/>
          <w:szCs w:val="52"/>
        </w:rPr>
        <w:t>南</w:t>
      </w:r>
      <w:r>
        <w:rPr>
          <w:rFonts w:hint="eastAsia" w:ascii="微软雅黑" w:hAnsi="微软雅黑" w:eastAsia="微软雅黑" w:cs="微软雅黑"/>
          <w:b/>
          <w:bCs w:val="0"/>
          <w:sz w:val="52"/>
          <w:szCs w:val="52"/>
          <w:lang w:val="en-US" w:eastAsia="zh-CN"/>
        </w:rPr>
        <w:t xml:space="preserve"> </w:t>
      </w:r>
      <w:r>
        <w:rPr>
          <w:rFonts w:hint="eastAsia" w:ascii="微软雅黑" w:hAnsi="微软雅黑" w:eastAsia="微软雅黑" w:cs="微软雅黑"/>
          <w:b/>
          <w:bCs w:val="0"/>
          <w:sz w:val="52"/>
          <w:szCs w:val="52"/>
        </w:rPr>
        <w:t>充</w:t>
      </w:r>
      <w:r>
        <w:rPr>
          <w:rFonts w:hint="eastAsia" w:ascii="微软雅黑" w:hAnsi="微软雅黑" w:eastAsia="微软雅黑" w:cs="微软雅黑"/>
          <w:b/>
          <w:bCs w:val="0"/>
          <w:sz w:val="52"/>
          <w:szCs w:val="52"/>
          <w:lang w:val="en-US" w:eastAsia="zh-CN"/>
        </w:rPr>
        <w:t xml:space="preserve"> </w:t>
      </w:r>
      <w:r>
        <w:rPr>
          <w:rFonts w:hint="eastAsia" w:ascii="微软雅黑" w:hAnsi="微软雅黑" w:eastAsia="微软雅黑" w:cs="微软雅黑"/>
          <w:b/>
          <w:bCs w:val="0"/>
          <w:sz w:val="52"/>
          <w:szCs w:val="52"/>
        </w:rPr>
        <w:t>市</w:t>
      </w:r>
      <w:r>
        <w:rPr>
          <w:rFonts w:hint="eastAsia" w:ascii="微软雅黑" w:hAnsi="微软雅黑" w:eastAsia="微软雅黑" w:cs="微软雅黑"/>
          <w:b/>
          <w:bCs w:val="0"/>
          <w:sz w:val="52"/>
          <w:szCs w:val="52"/>
          <w:lang w:val="en-US" w:eastAsia="zh-CN"/>
        </w:rPr>
        <w:t xml:space="preserve"> </w:t>
      </w:r>
      <w:r>
        <w:rPr>
          <w:rFonts w:hint="eastAsia" w:ascii="微软雅黑" w:hAnsi="微软雅黑" w:eastAsia="微软雅黑" w:cs="微软雅黑"/>
          <w:b/>
          <w:bCs w:val="0"/>
          <w:sz w:val="52"/>
          <w:szCs w:val="52"/>
        </w:rPr>
        <w:t>高</w:t>
      </w:r>
      <w:r>
        <w:rPr>
          <w:rFonts w:hint="eastAsia" w:ascii="微软雅黑" w:hAnsi="微软雅黑" w:eastAsia="微软雅黑" w:cs="微软雅黑"/>
          <w:b/>
          <w:bCs w:val="0"/>
          <w:sz w:val="52"/>
          <w:szCs w:val="52"/>
          <w:lang w:val="en-US" w:eastAsia="zh-CN"/>
        </w:rPr>
        <w:t xml:space="preserve"> </w:t>
      </w:r>
      <w:r>
        <w:rPr>
          <w:rFonts w:hint="eastAsia" w:ascii="微软雅黑" w:hAnsi="微软雅黑" w:eastAsia="微软雅黑" w:cs="微软雅黑"/>
          <w:b/>
          <w:bCs w:val="0"/>
          <w:sz w:val="52"/>
          <w:szCs w:val="52"/>
        </w:rPr>
        <w:t>坪</w:t>
      </w:r>
      <w:r>
        <w:rPr>
          <w:rFonts w:hint="eastAsia" w:ascii="微软雅黑" w:hAnsi="微软雅黑" w:eastAsia="微软雅黑" w:cs="微软雅黑"/>
          <w:b/>
          <w:bCs w:val="0"/>
          <w:sz w:val="52"/>
          <w:szCs w:val="52"/>
          <w:lang w:val="en-US" w:eastAsia="zh-CN"/>
        </w:rPr>
        <w:t xml:space="preserve"> </w:t>
      </w:r>
      <w:r>
        <w:rPr>
          <w:rFonts w:hint="eastAsia" w:ascii="微软雅黑" w:hAnsi="微软雅黑" w:eastAsia="微软雅黑" w:cs="微软雅黑"/>
          <w:b/>
          <w:bCs w:val="0"/>
          <w:sz w:val="52"/>
          <w:szCs w:val="52"/>
        </w:rPr>
        <w:t>鞭</w:t>
      </w:r>
      <w:r>
        <w:rPr>
          <w:rFonts w:hint="eastAsia" w:ascii="微软雅黑" w:hAnsi="微软雅黑" w:eastAsia="微软雅黑" w:cs="微软雅黑"/>
          <w:b/>
          <w:bCs w:val="0"/>
          <w:sz w:val="52"/>
          <w:szCs w:val="52"/>
          <w:lang w:val="en-US" w:eastAsia="zh-CN"/>
        </w:rPr>
        <w:t xml:space="preserve"> </w:t>
      </w:r>
      <w:r>
        <w:rPr>
          <w:rFonts w:hint="eastAsia" w:ascii="微软雅黑" w:hAnsi="微软雅黑" w:eastAsia="微软雅黑" w:cs="微软雅黑"/>
          <w:b/>
          <w:bCs w:val="0"/>
          <w:sz w:val="52"/>
          <w:szCs w:val="52"/>
        </w:rPr>
        <w:t>炮</w:t>
      </w:r>
      <w:r>
        <w:rPr>
          <w:rFonts w:hint="eastAsia" w:ascii="微软雅黑" w:hAnsi="微软雅黑" w:eastAsia="微软雅黑" w:cs="微软雅黑"/>
          <w:b/>
          <w:bCs w:val="0"/>
          <w:sz w:val="52"/>
          <w:szCs w:val="52"/>
          <w:lang w:val="en-US" w:eastAsia="zh-CN"/>
        </w:rPr>
        <w:t xml:space="preserve"> </w:t>
      </w:r>
      <w:r>
        <w:rPr>
          <w:rFonts w:hint="eastAsia" w:ascii="微软雅黑" w:hAnsi="微软雅黑" w:eastAsia="微软雅黑" w:cs="微软雅黑"/>
          <w:b/>
          <w:bCs w:val="0"/>
          <w:sz w:val="52"/>
          <w:szCs w:val="52"/>
        </w:rPr>
        <w:t>厂</w:t>
      </w:r>
    </w:p>
    <w:p>
      <w:pPr>
        <w:keepNext w:val="0"/>
        <w:keepLines w:val="0"/>
        <w:pageBreakBefore w:val="0"/>
        <w:widowControl w:val="0"/>
        <w:kinsoku/>
        <w:wordWrap/>
        <w:overflowPunct/>
        <w:topLinePunct w:val="0"/>
        <w:autoSpaceDE/>
        <w:autoSpaceDN/>
        <w:bidi w:val="0"/>
        <w:adjustRightInd/>
        <w:snapToGrid/>
        <w:spacing w:line="2160" w:lineRule="auto"/>
        <w:jc w:val="center"/>
        <w:textAlignment w:val="auto"/>
        <w:rPr>
          <w:rFonts w:hint="eastAsia" w:ascii="微软雅黑" w:hAnsi="微软雅黑" w:eastAsia="微软雅黑" w:cs="微软雅黑"/>
          <w:b/>
          <w:bCs/>
          <w:color w:val="0000FF"/>
          <w:sz w:val="84"/>
          <w:szCs w:val="84"/>
          <w:lang w:eastAsia="zh-CN"/>
        </w:rPr>
      </w:pPr>
      <w:r>
        <w:rPr>
          <w:rFonts w:hint="eastAsia" w:ascii="微软雅黑" w:hAnsi="微软雅黑" w:eastAsia="微软雅黑" w:cs="微软雅黑"/>
          <w:b/>
          <w:bCs/>
          <w:color w:val="0000FF"/>
          <w:sz w:val="84"/>
          <w:szCs w:val="84"/>
          <w:lang w:eastAsia="zh-CN"/>
        </w:rPr>
        <w:t>安全操作规程</w:t>
      </w:r>
    </w:p>
    <w:p>
      <w:pPr>
        <w:keepNext w:val="0"/>
        <w:keepLines w:val="0"/>
        <w:pageBreakBefore w:val="0"/>
        <w:widowControl w:val="0"/>
        <w:kinsoku/>
        <w:wordWrap/>
        <w:overflowPunct/>
        <w:topLinePunct w:val="0"/>
        <w:autoSpaceDE/>
        <w:autoSpaceDN/>
        <w:bidi w:val="0"/>
        <w:adjustRightInd/>
        <w:snapToGrid/>
        <w:spacing w:line="2160" w:lineRule="auto"/>
        <w:jc w:val="center"/>
        <w:textAlignment w:val="auto"/>
        <w:rPr>
          <w:rFonts w:hint="eastAsia" w:ascii="微软雅黑" w:hAnsi="微软雅黑" w:eastAsia="微软雅黑" w:cs="微软雅黑"/>
          <w:b/>
          <w:bCs/>
          <w:color w:val="0000FF"/>
          <w:sz w:val="84"/>
          <w:szCs w:val="84"/>
          <w:lang w:val="en-US" w:eastAsia="zh-CN"/>
        </w:rPr>
      </w:pPr>
      <w:r>
        <w:rPr>
          <w:rFonts w:hint="eastAsia" w:ascii="微软雅黑" w:hAnsi="微软雅黑" w:eastAsia="微软雅黑" w:cs="微软雅黑"/>
          <w:b/>
          <w:bCs/>
          <w:color w:val="0000FF"/>
          <w:sz w:val="84"/>
          <w:szCs w:val="84"/>
          <w:lang w:eastAsia="zh-CN"/>
        </w:rPr>
        <w:t>汇</w:t>
      </w:r>
      <w:r>
        <w:rPr>
          <w:rFonts w:hint="eastAsia" w:ascii="微软雅黑" w:hAnsi="微软雅黑" w:eastAsia="微软雅黑" w:cs="微软雅黑"/>
          <w:b/>
          <w:bCs/>
          <w:color w:val="0000FF"/>
          <w:sz w:val="84"/>
          <w:szCs w:val="8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160" w:lineRule="auto"/>
        <w:jc w:val="center"/>
        <w:textAlignment w:val="auto"/>
        <w:rPr>
          <w:rFonts w:hint="eastAsia" w:ascii="微软雅黑" w:hAnsi="微软雅黑" w:eastAsia="微软雅黑" w:cs="微软雅黑"/>
          <w:b/>
          <w:bCs/>
          <w:color w:val="0000FF"/>
          <w:sz w:val="84"/>
          <w:szCs w:val="84"/>
          <w:lang w:eastAsia="zh-CN"/>
        </w:rPr>
      </w:pPr>
      <w:r>
        <w:rPr>
          <w:rFonts w:hint="eastAsia" w:ascii="微软雅黑" w:hAnsi="微软雅黑" w:eastAsia="微软雅黑" w:cs="微软雅黑"/>
          <w:b/>
          <w:bCs/>
          <w:color w:val="0000FF"/>
          <w:sz w:val="84"/>
          <w:szCs w:val="84"/>
          <w:lang w:eastAsia="zh-CN"/>
        </w:rPr>
        <w:t>编</w:t>
      </w:r>
    </w:p>
    <w:p>
      <w:pPr>
        <w:keepNext w:val="0"/>
        <w:keepLines w:val="0"/>
        <w:pageBreakBefore w:val="0"/>
        <w:widowControl w:val="0"/>
        <w:kinsoku/>
        <w:wordWrap/>
        <w:overflowPunct/>
        <w:topLinePunct w:val="0"/>
        <w:autoSpaceDE/>
        <w:autoSpaceDN/>
        <w:bidi w:val="0"/>
        <w:adjustRightInd/>
        <w:snapToGrid/>
        <w:spacing w:line="2160" w:lineRule="auto"/>
        <w:jc w:val="center"/>
        <w:textAlignment w:val="auto"/>
        <w:rPr>
          <w:rFonts w:hint="eastAsia" w:ascii="微软雅黑" w:hAnsi="微软雅黑" w:eastAsia="微软雅黑" w:cs="微软雅黑"/>
          <w:b/>
          <w:bCs/>
          <w:color w:val="000000"/>
          <w:sz w:val="24"/>
          <w:szCs w:val="24"/>
          <w:lang w:val="en-US" w:eastAsia="zh-CN"/>
        </w:rPr>
      </w:pPr>
      <w:r>
        <w:rPr>
          <w:rFonts w:hint="eastAsia" w:ascii="微软雅黑" w:hAnsi="微软雅黑" w:eastAsia="微软雅黑" w:cs="微软雅黑"/>
          <w:b/>
          <w:bCs/>
          <w:color w:val="000000"/>
          <w:sz w:val="24"/>
          <w:szCs w:val="24"/>
          <w:lang w:val="en-US" w:eastAsia="zh-CN"/>
        </w:rPr>
        <w:t>编制日期：2022年</w:t>
      </w:r>
      <w:r>
        <w:rPr>
          <w:rFonts w:hint="default" w:ascii="微软雅黑" w:hAnsi="微软雅黑" w:eastAsia="微软雅黑" w:cs="微软雅黑"/>
          <w:b/>
          <w:bCs/>
          <w:color w:val="000000"/>
          <w:sz w:val="24"/>
          <w:szCs w:val="24"/>
          <w:lang w:val="en-US" w:eastAsia="zh-CN"/>
        </w:rPr>
        <w:t>3</w:t>
      </w:r>
      <w:r>
        <w:rPr>
          <w:rFonts w:hint="eastAsia" w:ascii="微软雅黑" w:hAnsi="微软雅黑" w:eastAsia="微软雅黑" w:cs="微软雅黑"/>
          <w:b/>
          <w:bCs/>
          <w:color w:val="000000"/>
          <w:sz w:val="24"/>
          <w:szCs w:val="24"/>
          <w:lang w:val="en-US" w:eastAsia="zh-CN"/>
        </w:rPr>
        <w:t>月20日</w:t>
      </w:r>
    </w:p>
    <w:p>
      <w:pPr>
        <w:pStyle w:val="2"/>
        <w:rPr>
          <w:rFonts w:hint="eastAsia"/>
          <w:lang w:val="en-US" w:eastAsia="zh-CN"/>
        </w:rPr>
      </w:pPr>
    </w:p>
    <w:p>
      <w:pPr>
        <w:pStyle w:val="2"/>
        <w:rPr>
          <w:rFonts w:hint="eastAsia" w:ascii="微软雅黑" w:hAnsi="微软雅黑" w:eastAsia="微软雅黑" w:cs="微软雅黑"/>
          <w:b/>
          <w:bCs/>
          <w:color w:val="000000"/>
          <w:sz w:val="24"/>
          <w:szCs w:val="24"/>
          <w:lang w:val="en-US" w:eastAsia="zh-CN"/>
        </w:rPr>
        <w:sectPr>
          <w:pgSz w:w="11906" w:h="16838"/>
          <w:pgMar w:top="1276" w:right="1133" w:bottom="993" w:left="1276" w:header="851" w:footer="992" w:gutter="0"/>
          <w:pgNumType w:fmt="decimal"/>
          <w:cols w:space="425" w:num="1"/>
          <w:docGrid w:type="lines" w:linePitch="312" w:charSpace="0"/>
        </w:sectPr>
      </w:pPr>
    </w:p>
    <w:p>
      <w:pPr>
        <w:pStyle w:val="2"/>
        <w:rPr>
          <w:rFonts w:hint="eastAsia" w:ascii="微软雅黑" w:hAnsi="微软雅黑" w:eastAsia="微软雅黑" w:cs="微软雅黑"/>
          <w:b/>
          <w:bCs/>
          <w:color w:val="000000"/>
          <w:sz w:val="24"/>
          <w:szCs w:val="24"/>
          <w:lang w:val="en-US" w:eastAsia="zh-CN"/>
        </w:rPr>
      </w:pPr>
    </w:p>
    <w:sdt>
      <w:sdtPr>
        <w:rPr>
          <w:rFonts w:ascii="宋体" w:hAnsi="宋体" w:eastAsia="宋体" w:cs="Times New Roman"/>
          <w:kern w:val="2"/>
          <w:sz w:val="21"/>
          <w:szCs w:val="22"/>
          <w:lang w:val="en-US" w:eastAsia="zh-CN" w:bidi="ar-SA"/>
        </w:rPr>
        <w:id w:val="147472216"/>
        <w15:color w:val="DBDBDB"/>
        <w:docPartObj>
          <w:docPartGallery w:val="Table of Contents"/>
          <w:docPartUnique/>
        </w:docPartObj>
      </w:sdtPr>
      <w:sdtEndPr>
        <w:rPr>
          <w:rFonts w:hint="eastAsia" w:ascii="宋体" w:hAnsi="宋体" w:eastAsia="宋体" w:cs="宋体"/>
          <w:kern w:val="2"/>
          <w:sz w:val="20"/>
          <w:szCs w:val="20"/>
          <w:lang w:val="en-US" w:eastAsia="zh-CN" w:bidi="ar-SA"/>
        </w:rPr>
      </w:sdtEndPr>
      <w:sdtContent>
        <w:p>
          <w:pPr>
            <w:spacing w:before="0" w:beforeLines="0" w:after="0" w:afterLines="0" w:line="240" w:lineRule="auto"/>
            <w:ind w:left="0" w:leftChars="0" w:right="0" w:rightChars="0" w:firstLine="0" w:firstLineChars="0"/>
            <w:jc w:val="center"/>
            <w:rPr>
              <w:sz w:val="44"/>
              <w:szCs w:val="44"/>
            </w:rPr>
          </w:pPr>
          <w:bookmarkStart w:id="0" w:name="_Toc82_WPSOffice_Type1"/>
          <w:r>
            <w:rPr>
              <w:rFonts w:ascii="宋体" w:hAnsi="宋体" w:eastAsia="宋体"/>
              <w:sz w:val="44"/>
              <w:szCs w:val="44"/>
            </w:rPr>
            <w:t>目录</w:t>
          </w:r>
        </w:p>
        <w:p>
          <w:pPr>
            <w:pStyle w:val="75"/>
            <w:tabs>
              <w:tab w:val="right" w:leader="dot" w:pos="9497"/>
            </w:tabs>
            <w:spacing w:line="480" w:lineRule="auto"/>
            <w:rPr>
              <w:rFonts w:hint="eastAsia" w:ascii="宋体" w:hAnsi="宋体" w:eastAsia="宋体" w:cs="宋体"/>
              <w:lang w:eastAsia="zh-CN"/>
            </w:rPr>
          </w:pPr>
          <w:sdt>
            <w:sdtPr>
              <w:rPr>
                <w:rFonts w:hint="eastAsia" w:ascii="宋体" w:hAnsi="宋体" w:eastAsia="宋体" w:cs="宋体"/>
                <w:b/>
                <w:bCs/>
                <w:color w:val="000000"/>
                <w:kern w:val="2"/>
                <w:sz w:val="24"/>
                <w:szCs w:val="24"/>
                <w:lang w:val="en-US" w:eastAsia="zh-CN" w:bidi="ar-SA"/>
              </w:rPr>
              <w:id w:val="147472216"/>
              <w:placeholder>
                <w:docPart w:val="{8000c63a-fb78-4f6b-b15b-5fa21df9a305}"/>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1.产品</w:t>
              </w:r>
              <w:r>
                <w:rPr>
                  <w:rFonts w:hint="eastAsia" w:ascii="宋体" w:hAnsi="宋体" w:cs="宋体"/>
                  <w:b/>
                  <w:bCs/>
                  <w:color w:val="000000"/>
                  <w:kern w:val="2"/>
                  <w:sz w:val="24"/>
                  <w:szCs w:val="24"/>
                  <w:lang w:val="en-US" w:eastAsia="zh-CN" w:bidi="ar-SA"/>
                </w:rPr>
                <w:t>出入</w:t>
              </w:r>
              <w:r>
                <w:rPr>
                  <w:rFonts w:hint="eastAsia" w:ascii="宋体" w:hAnsi="宋体" w:eastAsia="宋体" w:cs="宋体"/>
                  <w:b/>
                  <w:bCs/>
                  <w:color w:val="000000"/>
                  <w:kern w:val="2"/>
                  <w:sz w:val="24"/>
                  <w:szCs w:val="24"/>
                  <w:lang w:val="en-US" w:eastAsia="zh-CN" w:bidi="ar-SA"/>
                </w:rPr>
                <w:t>检验操作规程</w:t>
              </w:r>
            </w:sdtContent>
          </w:sdt>
          <w:r>
            <w:rPr>
              <w:rFonts w:hint="eastAsia" w:ascii="宋体" w:hAnsi="宋体" w:eastAsia="宋体" w:cs="宋体"/>
            </w:rPr>
            <w:tab/>
          </w:r>
          <w:r>
            <w:rPr>
              <w:rFonts w:hint="eastAsia" w:ascii="宋体" w:hAnsi="宋体" w:cs="宋体"/>
              <w:lang w:val="en-US" w:eastAsia="zh-CN"/>
            </w:rPr>
            <w:t>2</w:t>
          </w:r>
        </w:p>
        <w:p>
          <w:pPr>
            <w:pStyle w:val="75"/>
            <w:tabs>
              <w:tab w:val="right" w:leader="dot" w:pos="9497"/>
            </w:tabs>
            <w:spacing w:line="480" w:lineRule="auto"/>
            <w:rPr>
              <w:rFonts w:hint="eastAsia" w:ascii="宋体" w:hAnsi="宋体" w:eastAsia="宋体" w:cs="宋体"/>
              <w:lang w:eastAsia="zh-CN"/>
            </w:rPr>
          </w:pPr>
          <w:sdt>
            <w:sdtPr>
              <w:rPr>
                <w:rFonts w:hint="eastAsia" w:ascii="宋体" w:hAnsi="宋体" w:eastAsia="宋体" w:cs="宋体"/>
                <w:b/>
                <w:bCs/>
                <w:color w:val="000000"/>
                <w:kern w:val="2"/>
                <w:sz w:val="24"/>
                <w:szCs w:val="24"/>
                <w:lang w:val="en-US" w:eastAsia="zh-CN" w:bidi="ar-SA"/>
              </w:rPr>
              <w:id w:val="147472216"/>
              <w:placeholder>
                <w:docPart w:val="{336609b8-ca40-4767-8e86-4337ec502e61}"/>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2.拆箱安全操作规程</w:t>
              </w:r>
            </w:sdtContent>
          </w:sdt>
          <w:r>
            <w:rPr>
              <w:rFonts w:hint="eastAsia" w:ascii="宋体" w:hAnsi="宋体" w:eastAsia="宋体" w:cs="宋体"/>
            </w:rPr>
            <w:tab/>
          </w:r>
          <w:r>
            <w:rPr>
              <w:rFonts w:hint="eastAsia" w:ascii="宋体" w:hAnsi="宋体" w:cs="宋体"/>
              <w:lang w:val="en-US" w:eastAsia="zh-CN"/>
            </w:rPr>
            <w:t>3</w:t>
          </w:r>
        </w:p>
        <w:p>
          <w:pPr>
            <w:pStyle w:val="75"/>
            <w:tabs>
              <w:tab w:val="right" w:leader="dot" w:pos="9497"/>
            </w:tabs>
            <w:spacing w:line="480" w:lineRule="auto"/>
            <w:rPr>
              <w:rFonts w:hint="eastAsia" w:ascii="宋体" w:hAnsi="宋体" w:eastAsia="宋体" w:cs="宋体"/>
              <w:lang w:eastAsia="zh-CN"/>
            </w:rPr>
          </w:pPr>
          <w:sdt>
            <w:sdtPr>
              <w:rPr>
                <w:rFonts w:hint="eastAsia" w:ascii="宋体" w:hAnsi="宋体" w:eastAsia="宋体" w:cs="宋体"/>
                <w:b/>
                <w:bCs/>
                <w:color w:val="000000"/>
                <w:kern w:val="2"/>
                <w:sz w:val="24"/>
                <w:szCs w:val="24"/>
                <w:lang w:val="en-US" w:eastAsia="zh-CN" w:bidi="ar-SA"/>
              </w:rPr>
              <w:id w:val="147472216"/>
              <w:placeholder>
                <w:docPart w:val="{f66985a0-7c6f-4229-8af3-1880c8d19ee9}"/>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3.装卸岗位安全操作规程</w:t>
              </w:r>
            </w:sdtContent>
          </w:sdt>
          <w:r>
            <w:rPr>
              <w:rFonts w:hint="eastAsia" w:ascii="宋体" w:hAnsi="宋体" w:eastAsia="宋体" w:cs="宋体"/>
            </w:rPr>
            <w:tab/>
          </w:r>
          <w:r>
            <w:rPr>
              <w:rFonts w:hint="eastAsia" w:ascii="宋体" w:hAnsi="宋体" w:cs="宋体"/>
              <w:lang w:val="en-US" w:eastAsia="zh-CN"/>
            </w:rPr>
            <w:t>4</w:t>
          </w:r>
        </w:p>
        <w:p>
          <w:pPr>
            <w:pStyle w:val="75"/>
            <w:tabs>
              <w:tab w:val="right" w:leader="dot" w:pos="9497"/>
            </w:tabs>
            <w:spacing w:line="480" w:lineRule="auto"/>
            <w:rPr>
              <w:rFonts w:hint="eastAsia" w:ascii="宋体" w:hAnsi="宋体" w:eastAsia="宋体" w:cs="宋体"/>
              <w:lang w:eastAsia="zh-CN"/>
            </w:rPr>
          </w:pPr>
          <w:sdt>
            <w:sdtPr>
              <w:rPr>
                <w:rFonts w:hint="eastAsia" w:ascii="微软雅黑" w:hAnsi="微软雅黑" w:eastAsia="微软雅黑" w:cs="微软雅黑"/>
                <w:b w:val="0"/>
                <w:bCs w:val="0"/>
                <w:color w:val="000000"/>
                <w:kern w:val="2"/>
                <w:sz w:val="24"/>
                <w:szCs w:val="24"/>
                <w:lang w:val="en-US" w:eastAsia="zh-CN" w:bidi="ar-SA"/>
              </w:rPr>
              <w:id w:val="147472216"/>
              <w:placeholder>
                <w:docPart w:val="{41f0cb2b-47a7-46a6-99a8-ec0599631e47}"/>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微软雅黑" w:hAnsi="微软雅黑" w:eastAsia="微软雅黑" w:cs="微软雅黑"/>
                  <w:b w:val="0"/>
                  <w:bCs w:val="0"/>
                  <w:sz w:val="24"/>
                  <w:szCs w:val="24"/>
                  <w:lang w:val="en-US" w:eastAsia="zh-CN"/>
                </w:rPr>
                <w:t>4</w:t>
              </w:r>
              <w:r>
                <w:rPr>
                  <w:rFonts w:hint="eastAsia" w:ascii="宋体" w:hAnsi="宋体" w:eastAsia="宋体" w:cs="宋体"/>
                  <w:b/>
                  <w:bCs/>
                  <w:color w:val="000000"/>
                  <w:kern w:val="2"/>
                  <w:sz w:val="24"/>
                  <w:szCs w:val="24"/>
                  <w:lang w:val="en-US" w:eastAsia="zh-CN" w:bidi="ar-SA"/>
                </w:rPr>
                <w:t>.搬运岗位操作规程</w:t>
              </w:r>
            </w:sdtContent>
          </w:sdt>
          <w:r>
            <w:rPr>
              <w:rFonts w:hint="eastAsia" w:ascii="宋体" w:hAnsi="宋体" w:eastAsia="宋体" w:cs="宋体"/>
            </w:rPr>
            <w:tab/>
          </w:r>
          <w:r>
            <w:rPr>
              <w:rFonts w:hint="eastAsia" w:ascii="宋体" w:hAnsi="宋体" w:cs="宋体"/>
              <w:lang w:val="en-US" w:eastAsia="zh-CN"/>
            </w:rPr>
            <w:t>5</w:t>
          </w:r>
        </w:p>
        <w:p>
          <w:pPr>
            <w:pStyle w:val="75"/>
            <w:tabs>
              <w:tab w:val="right" w:leader="dot" w:pos="9497"/>
            </w:tabs>
            <w:spacing w:line="480" w:lineRule="auto"/>
            <w:rPr>
              <w:rFonts w:hint="eastAsia" w:ascii="宋体" w:hAnsi="宋体" w:eastAsia="宋体" w:cs="宋体"/>
              <w:lang w:eastAsia="zh-CN"/>
            </w:rPr>
          </w:pPr>
          <w:sdt>
            <w:sdtPr>
              <w:rPr>
                <w:rFonts w:hint="eastAsia" w:ascii="宋体" w:hAnsi="宋体" w:eastAsia="宋体" w:cs="宋体"/>
                <w:b/>
                <w:bCs/>
                <w:color w:val="000000"/>
                <w:kern w:val="2"/>
                <w:sz w:val="24"/>
                <w:szCs w:val="24"/>
                <w:lang w:val="en-US" w:eastAsia="zh-CN" w:bidi="ar-SA"/>
              </w:rPr>
              <w:id w:val="147472216"/>
              <w:placeholder>
                <w:docPart w:val="{33541908-2b8f-4e8f-8970-4dba6276aa9b}"/>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5.运输安全操作规程</w:t>
              </w:r>
            </w:sdtContent>
          </w:sdt>
          <w:r>
            <w:rPr>
              <w:rFonts w:hint="eastAsia" w:ascii="宋体" w:hAnsi="宋体" w:eastAsia="宋体" w:cs="宋体"/>
            </w:rPr>
            <w:tab/>
          </w:r>
          <w:r>
            <w:rPr>
              <w:rFonts w:hint="eastAsia" w:ascii="宋体" w:hAnsi="宋体" w:cs="宋体"/>
              <w:lang w:val="en-US" w:eastAsia="zh-CN"/>
            </w:rPr>
            <w:t>6</w:t>
          </w:r>
        </w:p>
        <w:p>
          <w:pPr>
            <w:pStyle w:val="75"/>
            <w:tabs>
              <w:tab w:val="right" w:leader="dot" w:pos="9497"/>
            </w:tabs>
            <w:spacing w:line="480" w:lineRule="auto"/>
            <w:rPr>
              <w:rFonts w:hint="eastAsia" w:ascii="宋体" w:hAnsi="宋体" w:eastAsia="宋体" w:cs="宋体"/>
            </w:rPr>
          </w:pPr>
          <w:sdt>
            <w:sdtPr>
              <w:rPr>
                <w:rFonts w:hint="eastAsia" w:ascii="宋体" w:hAnsi="宋体" w:eastAsia="宋体" w:cs="宋体"/>
                <w:b/>
                <w:bCs/>
                <w:color w:val="000000"/>
                <w:kern w:val="2"/>
                <w:sz w:val="24"/>
                <w:szCs w:val="24"/>
                <w:lang w:val="en-US" w:eastAsia="zh-CN" w:bidi="ar-SA"/>
              </w:rPr>
              <w:id w:val="147472216"/>
              <w:placeholder>
                <w:docPart w:val="{890f16b2-7370-4c38-a1a7-96f3445f90e5}"/>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6.爆竹空饼机械插引安全操作规程</w:t>
              </w:r>
            </w:sdtContent>
          </w:sdt>
          <w:r>
            <w:rPr>
              <w:rFonts w:hint="eastAsia" w:ascii="宋体" w:hAnsi="宋体" w:eastAsia="宋体" w:cs="宋体"/>
            </w:rPr>
            <w:tab/>
          </w:r>
          <w:bookmarkEnd w:id="0"/>
          <w:r>
            <w:rPr>
              <w:rFonts w:hint="eastAsia" w:ascii="宋体" w:hAnsi="宋体" w:cs="宋体"/>
              <w:lang w:val="en-US" w:eastAsia="zh-CN"/>
            </w:rPr>
            <w:t>7</w:t>
          </w:r>
        </w:p>
      </w:sdtContent>
    </w:sdt>
    <w:p>
      <w:pPr>
        <w:pStyle w:val="75"/>
        <w:tabs>
          <w:tab w:val="right" w:leader="dot" w:pos="9497"/>
        </w:tabs>
        <w:spacing w:line="480" w:lineRule="auto"/>
        <w:rPr>
          <w:rFonts w:hint="eastAsia" w:ascii="宋体" w:hAnsi="宋体" w:eastAsia="宋体" w:cs="宋体"/>
          <w:lang w:eastAsia="zh-CN"/>
        </w:rPr>
      </w:pPr>
      <w:sdt>
        <w:sdtPr>
          <w:rPr>
            <w:rFonts w:hint="eastAsia" w:ascii="宋体" w:hAnsi="宋体" w:eastAsia="宋体" w:cs="宋体"/>
            <w:b/>
            <w:bCs/>
            <w:color w:val="000000"/>
            <w:kern w:val="2"/>
            <w:sz w:val="24"/>
            <w:szCs w:val="24"/>
            <w:lang w:val="en-US" w:eastAsia="zh-CN" w:bidi="ar-SA"/>
          </w:rPr>
          <w:id w:val="147472536"/>
          <w:placeholder>
            <w:docPart w:val="{6f16376e-45b3-4444-a954-02523040520e}"/>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7.爆竹机械混装药安全操作规程</w:t>
          </w:r>
        </w:sdtContent>
      </w:sdt>
      <w:r>
        <w:rPr>
          <w:rFonts w:hint="eastAsia" w:ascii="宋体" w:hAnsi="宋体" w:eastAsia="宋体" w:cs="宋体"/>
        </w:rPr>
        <w:tab/>
      </w:r>
      <w:r>
        <w:rPr>
          <w:rFonts w:hint="eastAsia" w:ascii="宋体" w:hAnsi="宋体" w:cs="宋体"/>
          <w:lang w:val="en-US" w:eastAsia="zh-CN"/>
        </w:rPr>
        <w:t>8</w:t>
      </w:r>
    </w:p>
    <w:p>
      <w:pPr>
        <w:pStyle w:val="75"/>
        <w:tabs>
          <w:tab w:val="right" w:leader="dot" w:pos="9497"/>
        </w:tabs>
        <w:spacing w:line="480" w:lineRule="auto"/>
        <w:rPr>
          <w:rFonts w:hint="eastAsia" w:ascii="宋体" w:hAnsi="宋体" w:eastAsia="宋体" w:cs="宋体"/>
          <w:lang w:eastAsia="zh-CN"/>
        </w:rPr>
      </w:pPr>
      <w:sdt>
        <w:sdtPr>
          <w:rPr>
            <w:rFonts w:hint="eastAsia" w:ascii="宋体" w:hAnsi="宋体" w:eastAsia="宋体" w:cs="宋体"/>
            <w:b/>
            <w:bCs/>
            <w:color w:val="000000"/>
            <w:kern w:val="2"/>
            <w:sz w:val="24"/>
            <w:szCs w:val="24"/>
            <w:lang w:val="en-US" w:eastAsia="zh-CN" w:bidi="ar-SA"/>
          </w:rPr>
          <w:id w:val="147472536"/>
          <w:placeholder>
            <w:docPart w:val="{7212df59-b51c-4155-972a-9cf1442b8765}"/>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8.封口饼保养安全操作规程</w:t>
          </w:r>
        </w:sdtContent>
      </w:sdt>
      <w:r>
        <w:rPr>
          <w:rFonts w:hint="eastAsia" w:ascii="宋体" w:hAnsi="宋体" w:eastAsia="宋体" w:cs="宋体"/>
        </w:rPr>
        <w:tab/>
      </w:r>
      <w:r>
        <w:rPr>
          <w:rFonts w:hint="eastAsia" w:ascii="宋体" w:hAnsi="宋体" w:cs="宋体"/>
          <w:lang w:val="en-US" w:eastAsia="zh-CN"/>
        </w:rPr>
        <w:t>9</w:t>
      </w:r>
    </w:p>
    <w:p>
      <w:pPr>
        <w:pStyle w:val="75"/>
        <w:tabs>
          <w:tab w:val="right" w:leader="dot" w:pos="9497"/>
        </w:tabs>
        <w:spacing w:line="480" w:lineRule="auto"/>
        <w:rPr>
          <w:rFonts w:hint="default" w:ascii="宋体" w:hAnsi="宋体" w:eastAsia="宋体" w:cs="宋体"/>
          <w:lang w:val="en-US" w:eastAsia="zh-CN"/>
        </w:rPr>
      </w:pPr>
      <w:sdt>
        <w:sdtPr>
          <w:rPr>
            <w:rFonts w:hint="eastAsia" w:ascii="宋体" w:hAnsi="宋体" w:eastAsia="宋体" w:cs="宋体"/>
            <w:b/>
            <w:bCs/>
            <w:color w:val="000000"/>
            <w:kern w:val="2"/>
            <w:sz w:val="24"/>
            <w:szCs w:val="24"/>
            <w:lang w:val="en-US" w:eastAsia="zh-CN" w:bidi="ar-SA"/>
          </w:rPr>
          <w:id w:val="147472536"/>
          <w:placeholder>
            <w:docPart w:val="{ac6b42e8-50e4-47b5-9c14-dd495fe6a564}"/>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9.爆竹机械结鞭安全操作规程</w:t>
          </w:r>
        </w:sdtContent>
      </w:sdt>
      <w:r>
        <w:rPr>
          <w:rFonts w:hint="eastAsia" w:ascii="宋体" w:hAnsi="宋体" w:eastAsia="宋体" w:cs="宋体"/>
        </w:rPr>
        <w:tab/>
      </w:r>
      <w:r>
        <w:rPr>
          <w:rFonts w:hint="eastAsia" w:ascii="宋体" w:hAnsi="宋体" w:cs="宋体"/>
          <w:lang w:val="en-US" w:eastAsia="zh-CN"/>
        </w:rPr>
        <w:t>10</w:t>
      </w:r>
    </w:p>
    <w:p>
      <w:pPr>
        <w:pStyle w:val="75"/>
        <w:tabs>
          <w:tab w:val="right" w:leader="dot" w:pos="9497"/>
        </w:tabs>
        <w:spacing w:line="480" w:lineRule="auto"/>
        <w:rPr>
          <w:rFonts w:hint="default" w:ascii="宋体" w:hAnsi="宋体" w:eastAsia="宋体" w:cs="宋体"/>
          <w:lang w:val="en-US" w:eastAsia="zh-CN"/>
        </w:rPr>
      </w:pPr>
      <w:sdt>
        <w:sdtPr>
          <w:rPr>
            <w:rFonts w:hint="eastAsia" w:ascii="宋体" w:hAnsi="宋体" w:eastAsia="宋体" w:cs="宋体"/>
            <w:b/>
            <w:bCs/>
            <w:color w:val="000000"/>
            <w:kern w:val="2"/>
            <w:sz w:val="24"/>
            <w:szCs w:val="24"/>
            <w:lang w:val="en-US" w:eastAsia="zh-CN" w:bidi="ar-SA"/>
          </w:rPr>
          <w:id w:val="147472536"/>
          <w:placeholder>
            <w:docPart w:val="{d9d7ee14-8edb-4949-8e02-f4daf86c38e4}"/>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10.爆竹包装安全操作规程</w:t>
          </w:r>
        </w:sdtContent>
      </w:sdt>
      <w:r>
        <w:rPr>
          <w:rFonts w:hint="eastAsia" w:ascii="宋体" w:hAnsi="宋体" w:eastAsia="宋体" w:cs="宋体"/>
        </w:rPr>
        <w:tab/>
      </w:r>
      <w:r>
        <w:rPr>
          <w:rFonts w:hint="eastAsia" w:ascii="宋体" w:hAnsi="宋体" w:eastAsia="宋体" w:cs="宋体"/>
          <w:lang w:val="en-US" w:eastAsia="zh-CN"/>
        </w:rPr>
        <w:t>1</w:t>
      </w:r>
      <w:r>
        <w:rPr>
          <w:rFonts w:hint="eastAsia" w:ascii="宋体" w:hAnsi="宋体" w:cs="宋体"/>
          <w:lang w:val="en-US" w:eastAsia="zh-CN"/>
        </w:rPr>
        <w:t>1</w:t>
      </w:r>
    </w:p>
    <w:p>
      <w:pPr>
        <w:pStyle w:val="75"/>
        <w:tabs>
          <w:tab w:val="right" w:leader="dot" w:pos="9497"/>
        </w:tabs>
        <w:spacing w:line="480" w:lineRule="auto"/>
        <w:rPr>
          <w:rFonts w:hint="default" w:ascii="宋体" w:hAnsi="宋体" w:eastAsia="宋体" w:cs="宋体"/>
          <w:lang w:val="en-US" w:eastAsia="zh-CN"/>
        </w:rPr>
      </w:pPr>
      <w:sdt>
        <w:sdtPr>
          <w:rPr>
            <w:rFonts w:hint="eastAsia" w:ascii="宋体" w:hAnsi="宋体" w:eastAsia="宋体" w:cs="宋体"/>
            <w:b/>
            <w:bCs/>
            <w:color w:val="000000"/>
            <w:kern w:val="2"/>
            <w:sz w:val="24"/>
            <w:szCs w:val="24"/>
            <w:lang w:val="en-US" w:eastAsia="zh-CN" w:bidi="ar-SA"/>
          </w:rPr>
          <w:id w:val="147472536"/>
          <w:placeholder>
            <w:docPart w:val="{b828d4c2-0670-4432-9ebe-02c063a4df75}"/>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11.引火线中转库安全操作规程</w:t>
          </w:r>
        </w:sdtContent>
      </w:sdt>
      <w:r>
        <w:rPr>
          <w:rFonts w:hint="eastAsia" w:ascii="宋体" w:hAnsi="宋体" w:eastAsia="宋体" w:cs="宋体"/>
        </w:rPr>
        <w:tab/>
      </w:r>
      <w:r>
        <w:rPr>
          <w:rFonts w:hint="eastAsia" w:ascii="宋体" w:hAnsi="宋体" w:eastAsia="宋体" w:cs="宋体"/>
          <w:lang w:val="en-US" w:eastAsia="zh-CN"/>
        </w:rPr>
        <w:t>1</w:t>
      </w:r>
      <w:r>
        <w:rPr>
          <w:rFonts w:hint="eastAsia" w:ascii="宋体" w:hAnsi="宋体" w:cs="宋体"/>
          <w:lang w:val="en-US" w:eastAsia="zh-CN"/>
        </w:rPr>
        <w:t>2</w:t>
      </w:r>
    </w:p>
    <w:p>
      <w:pPr>
        <w:pStyle w:val="75"/>
        <w:tabs>
          <w:tab w:val="right" w:leader="dot" w:pos="9497"/>
        </w:tabs>
        <w:spacing w:line="480" w:lineRule="auto"/>
        <w:rPr>
          <w:rFonts w:hint="default" w:ascii="宋体" w:hAnsi="宋体" w:eastAsia="宋体" w:cs="宋体"/>
          <w:lang w:val="en-US" w:eastAsia="zh-CN"/>
        </w:rPr>
      </w:pPr>
      <w:sdt>
        <w:sdtPr>
          <w:rPr>
            <w:rFonts w:hint="eastAsia" w:ascii="宋体" w:hAnsi="宋体" w:eastAsia="宋体" w:cs="宋体"/>
            <w:b/>
            <w:bCs/>
            <w:color w:val="000000"/>
            <w:kern w:val="2"/>
            <w:sz w:val="24"/>
            <w:szCs w:val="24"/>
            <w:lang w:val="en-US" w:eastAsia="zh-CN" w:bidi="ar-SA"/>
          </w:rPr>
          <w:id w:val="147472536"/>
          <w:placeholder>
            <w:docPart w:val="{634be8ba-0a33-48b2-adac-3ac8a424631c}"/>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12.化工材料仓库安全操作规程</w:t>
          </w:r>
        </w:sdtContent>
      </w:sdt>
      <w:r>
        <w:rPr>
          <w:rFonts w:hint="eastAsia" w:ascii="宋体" w:hAnsi="宋体" w:eastAsia="宋体" w:cs="宋体"/>
        </w:rPr>
        <w:tab/>
      </w:r>
      <w:r>
        <w:rPr>
          <w:rFonts w:hint="eastAsia" w:ascii="宋体" w:hAnsi="宋体" w:eastAsia="宋体" w:cs="宋体"/>
          <w:lang w:val="en-US" w:eastAsia="zh-CN"/>
        </w:rPr>
        <w:t>1</w:t>
      </w:r>
      <w:r>
        <w:rPr>
          <w:rFonts w:hint="eastAsia" w:ascii="宋体" w:hAnsi="宋体" w:cs="宋体"/>
          <w:lang w:val="en-US" w:eastAsia="zh-CN"/>
        </w:rPr>
        <w:t>3</w:t>
      </w:r>
    </w:p>
    <w:p>
      <w:pPr>
        <w:pStyle w:val="75"/>
        <w:tabs>
          <w:tab w:val="right" w:leader="dot" w:pos="9497"/>
        </w:tabs>
        <w:spacing w:line="480" w:lineRule="auto"/>
        <w:rPr>
          <w:rFonts w:hint="eastAsia" w:ascii="宋体" w:hAnsi="宋体" w:eastAsia="宋体" w:cs="宋体"/>
          <w:lang w:val="en-US" w:eastAsia="zh-CN"/>
        </w:rPr>
      </w:pPr>
      <w:sdt>
        <w:sdtPr>
          <w:rPr>
            <w:rFonts w:hint="eastAsia" w:ascii="宋体" w:hAnsi="宋体" w:eastAsia="宋体" w:cs="宋体"/>
            <w:b/>
            <w:bCs/>
            <w:color w:val="000000"/>
            <w:kern w:val="2"/>
            <w:sz w:val="24"/>
            <w:szCs w:val="24"/>
            <w:lang w:val="en-US" w:eastAsia="zh-CN" w:bidi="ar-SA"/>
          </w:rPr>
          <w:id w:val="147472536"/>
          <w:placeholder>
            <w:docPart w:val="{3175bafa-1cb2-47bd-811c-33f564518c66}"/>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13.引火线库安全操作规程</w:t>
          </w:r>
        </w:sdtContent>
      </w:sdt>
      <w:r>
        <w:rPr>
          <w:rFonts w:hint="eastAsia" w:ascii="宋体" w:hAnsi="宋体" w:eastAsia="宋体" w:cs="宋体"/>
        </w:rPr>
        <w:tab/>
      </w:r>
      <w:r>
        <w:rPr>
          <w:rFonts w:hint="eastAsia" w:ascii="宋体" w:hAnsi="宋体" w:eastAsia="宋体" w:cs="宋体"/>
        </w:rPr>
        <w:t>1</w:t>
      </w:r>
      <w:r>
        <w:rPr>
          <w:rFonts w:hint="eastAsia" w:ascii="宋体" w:hAnsi="宋体" w:cs="宋体"/>
          <w:lang w:val="en-US" w:eastAsia="zh-CN"/>
        </w:rPr>
        <w:t>4</w:t>
      </w:r>
    </w:p>
    <w:p>
      <w:pPr>
        <w:pStyle w:val="75"/>
        <w:tabs>
          <w:tab w:val="right" w:leader="dot" w:pos="9497"/>
        </w:tabs>
        <w:spacing w:line="480" w:lineRule="auto"/>
        <w:rPr>
          <w:rFonts w:hint="default" w:ascii="宋体" w:hAnsi="宋体" w:eastAsia="宋体" w:cs="宋体"/>
          <w:lang w:val="en-US" w:eastAsia="zh-CN"/>
        </w:rPr>
      </w:pPr>
      <w:sdt>
        <w:sdtPr>
          <w:rPr>
            <w:rFonts w:hint="eastAsia" w:ascii="宋体" w:hAnsi="宋体" w:eastAsia="宋体" w:cs="宋体"/>
            <w:b/>
            <w:bCs/>
            <w:color w:val="000000"/>
            <w:kern w:val="2"/>
            <w:sz w:val="24"/>
            <w:szCs w:val="24"/>
            <w:lang w:val="en-US" w:eastAsia="zh-CN" w:bidi="ar-SA"/>
          </w:rPr>
          <w:id w:val="147472536"/>
          <w:placeholder>
            <w:docPart w:val="{e45048b8-8c6c-4bbd-8bd7-34bb82344a4b}"/>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14.成品库安全操作规程</w:t>
          </w:r>
        </w:sdtContent>
      </w:sdt>
      <w:r>
        <w:rPr>
          <w:rFonts w:hint="eastAsia" w:ascii="宋体" w:hAnsi="宋体" w:eastAsia="宋体" w:cs="宋体"/>
        </w:rPr>
        <w:tab/>
      </w:r>
      <w:r>
        <w:rPr>
          <w:rFonts w:hint="eastAsia" w:ascii="宋体" w:hAnsi="宋体" w:eastAsia="宋体" w:cs="宋体"/>
          <w:lang w:val="en-US" w:eastAsia="zh-CN"/>
        </w:rPr>
        <w:t>1</w:t>
      </w:r>
      <w:r>
        <w:rPr>
          <w:rFonts w:hint="eastAsia" w:ascii="宋体" w:hAnsi="宋体" w:cs="宋体"/>
          <w:lang w:val="en-US" w:eastAsia="zh-CN"/>
        </w:rPr>
        <w:t>5</w:t>
      </w:r>
    </w:p>
    <w:p>
      <w:pPr>
        <w:pStyle w:val="75"/>
        <w:tabs>
          <w:tab w:val="right" w:leader="dot" w:pos="9497"/>
        </w:tabs>
        <w:spacing w:line="480" w:lineRule="auto"/>
        <w:rPr>
          <w:rFonts w:hint="default" w:ascii="宋体" w:hAnsi="宋体" w:eastAsia="宋体" w:cs="宋体"/>
          <w:lang w:val="en-US" w:eastAsia="zh-CN"/>
        </w:rPr>
      </w:pPr>
      <w:sdt>
        <w:sdtPr>
          <w:rPr>
            <w:rFonts w:hint="eastAsia" w:ascii="宋体" w:hAnsi="宋体" w:eastAsia="宋体" w:cs="宋体"/>
            <w:b/>
            <w:bCs/>
            <w:color w:val="000000"/>
            <w:kern w:val="2"/>
            <w:sz w:val="24"/>
            <w:szCs w:val="24"/>
            <w:lang w:val="en-US" w:eastAsia="zh-CN" w:bidi="ar-SA"/>
          </w:rPr>
          <w:id w:val="147472536"/>
          <w:placeholder>
            <w:docPart w:val="{f3b76c95-f2c4-4651-91c0-4e8cf8f663ec}"/>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15.废药（废品）销毁安全操作规程</w:t>
          </w:r>
        </w:sdtContent>
      </w:sdt>
      <w:r>
        <w:rPr>
          <w:rFonts w:hint="eastAsia" w:ascii="宋体" w:hAnsi="宋体" w:eastAsia="宋体" w:cs="宋体"/>
        </w:rPr>
        <w:tab/>
      </w:r>
      <w:r>
        <w:rPr>
          <w:rFonts w:hint="eastAsia" w:ascii="宋体" w:hAnsi="宋体" w:eastAsia="宋体" w:cs="宋体"/>
          <w:lang w:val="en-US" w:eastAsia="zh-CN"/>
        </w:rPr>
        <w:t>1</w:t>
      </w:r>
      <w:r>
        <w:rPr>
          <w:rFonts w:hint="eastAsia" w:ascii="宋体" w:hAnsi="宋体" w:cs="宋体"/>
          <w:lang w:val="en-US" w:eastAsia="zh-CN"/>
        </w:rPr>
        <w:t>6</w:t>
      </w:r>
    </w:p>
    <w:p>
      <w:pPr>
        <w:pStyle w:val="75"/>
        <w:tabs>
          <w:tab w:val="right" w:leader="dot" w:pos="9497"/>
        </w:tabs>
        <w:spacing w:line="480" w:lineRule="auto"/>
        <w:rPr>
          <w:rFonts w:hint="default" w:ascii="宋体" w:hAnsi="宋体" w:eastAsia="宋体" w:cs="宋体"/>
          <w:lang w:val="en-US" w:eastAsia="zh-CN"/>
        </w:rPr>
      </w:pPr>
      <w:sdt>
        <w:sdtPr>
          <w:rPr>
            <w:rFonts w:hint="eastAsia" w:ascii="宋体" w:hAnsi="宋体" w:eastAsia="宋体" w:cs="宋体"/>
            <w:b/>
            <w:bCs/>
            <w:color w:val="000000"/>
            <w:kern w:val="2"/>
            <w:sz w:val="24"/>
            <w:szCs w:val="24"/>
            <w:lang w:val="en-US" w:eastAsia="zh-CN" w:bidi="ar-SA"/>
          </w:rPr>
          <w:id w:val="147472536"/>
          <w:placeholder>
            <w:docPart w:val="{d1ab74c0-aafa-46ca-a118-ddfba366914f}"/>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16.机械设备维修安全操作规程</w:t>
          </w:r>
        </w:sdtContent>
      </w:sdt>
      <w:r>
        <w:rPr>
          <w:rFonts w:hint="eastAsia" w:ascii="宋体" w:hAnsi="宋体" w:eastAsia="宋体" w:cs="宋体"/>
        </w:rPr>
        <w:tab/>
      </w:r>
      <w:r>
        <w:rPr>
          <w:rFonts w:hint="eastAsia" w:ascii="宋体" w:hAnsi="宋体" w:eastAsia="宋体" w:cs="宋体"/>
          <w:lang w:val="en-US" w:eastAsia="zh-CN"/>
        </w:rPr>
        <w:t>1</w:t>
      </w:r>
      <w:r>
        <w:rPr>
          <w:rFonts w:hint="eastAsia" w:ascii="宋体" w:hAnsi="宋体" w:cs="宋体"/>
          <w:lang w:val="en-US" w:eastAsia="zh-CN"/>
        </w:rPr>
        <w:t>7</w:t>
      </w:r>
    </w:p>
    <w:p>
      <w:pPr>
        <w:pStyle w:val="75"/>
        <w:tabs>
          <w:tab w:val="right" w:leader="dot" w:pos="9497"/>
        </w:tabs>
        <w:spacing w:line="480" w:lineRule="auto"/>
        <w:rPr>
          <w:rFonts w:hint="default" w:ascii="宋体" w:hAnsi="宋体" w:eastAsia="宋体" w:cs="宋体"/>
          <w:lang w:val="en-US" w:eastAsia="zh-CN"/>
        </w:rPr>
      </w:pPr>
      <w:sdt>
        <w:sdtPr>
          <w:rPr>
            <w:rFonts w:hint="eastAsia" w:ascii="宋体" w:hAnsi="宋体" w:eastAsia="宋体" w:cs="宋体"/>
            <w:b/>
            <w:bCs/>
            <w:color w:val="000000"/>
            <w:kern w:val="2"/>
            <w:sz w:val="24"/>
            <w:szCs w:val="24"/>
            <w:lang w:val="en-US" w:eastAsia="zh-CN" w:bidi="ar-SA"/>
          </w:rPr>
          <w:id w:val="147472536"/>
          <w:placeholder>
            <w:docPart w:val="{51977076-eb70-4b40-8e28-e33aafe63f5b}"/>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17.爆竹产品包装覆膜（机）岗位安全操作规程</w:t>
          </w:r>
        </w:sdtContent>
      </w:sdt>
      <w:r>
        <w:rPr>
          <w:rFonts w:hint="eastAsia" w:ascii="宋体" w:hAnsi="宋体" w:eastAsia="宋体" w:cs="宋体"/>
        </w:rPr>
        <w:tab/>
      </w:r>
      <w:r>
        <w:rPr>
          <w:rFonts w:hint="eastAsia" w:ascii="宋体" w:hAnsi="宋体" w:eastAsia="宋体" w:cs="宋体"/>
          <w:lang w:val="en-US" w:eastAsia="zh-CN"/>
        </w:rPr>
        <w:t>1</w:t>
      </w:r>
      <w:r>
        <w:rPr>
          <w:rFonts w:hint="eastAsia" w:ascii="宋体" w:hAnsi="宋体" w:cs="宋体"/>
          <w:lang w:val="en-US" w:eastAsia="zh-CN"/>
        </w:rPr>
        <w:t>8</w:t>
      </w:r>
    </w:p>
    <w:p>
      <w:pPr>
        <w:pStyle w:val="75"/>
        <w:tabs>
          <w:tab w:val="right" w:leader="dot" w:pos="9497"/>
        </w:tabs>
        <w:spacing w:line="240" w:lineRule="auto"/>
        <w:rPr>
          <w:rFonts w:hint="default" w:ascii="宋体" w:hAnsi="宋体" w:eastAsia="宋体" w:cs="宋体"/>
          <w:lang w:val="en-US" w:eastAsia="zh-CN"/>
        </w:rPr>
      </w:pPr>
      <w:sdt>
        <w:sdtPr>
          <w:rPr>
            <w:rFonts w:hint="eastAsia" w:ascii="宋体" w:hAnsi="宋体" w:eastAsia="宋体" w:cs="宋体"/>
            <w:b/>
            <w:bCs/>
            <w:color w:val="000000"/>
            <w:kern w:val="2"/>
            <w:sz w:val="24"/>
            <w:szCs w:val="24"/>
            <w:lang w:val="en-US" w:eastAsia="zh-CN" w:bidi="ar-SA"/>
          </w:rPr>
          <w:id w:val="147472536"/>
          <w:placeholder>
            <w:docPart w:val="{7f45c9c1-2fdc-41c3-9415-0530abd1e641}"/>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18.电动车充电安全操作规程</w:t>
          </w:r>
        </w:sdtContent>
      </w:sdt>
      <w:r>
        <w:rPr>
          <w:rFonts w:hint="eastAsia" w:ascii="宋体" w:hAnsi="宋体" w:eastAsia="宋体" w:cs="宋体"/>
        </w:rPr>
        <w:tab/>
      </w:r>
      <w:r>
        <w:rPr>
          <w:rFonts w:hint="eastAsia" w:ascii="宋体" w:hAnsi="宋体" w:cs="宋体"/>
          <w:lang w:val="en-US" w:eastAsia="zh-CN"/>
        </w:rPr>
        <w:t>20</w:t>
      </w:r>
    </w:p>
    <w:p>
      <w:pPr>
        <w:pStyle w:val="2"/>
        <w:spacing w:line="240" w:lineRule="auto"/>
        <w:rPr>
          <w:rFonts w:hint="eastAsia" w:ascii="宋体" w:hAnsi="宋体" w:eastAsia="宋体" w:cs="宋体"/>
          <w:b/>
          <w:bCs/>
          <w:color w:val="000000"/>
          <w:sz w:val="24"/>
          <w:szCs w:val="24"/>
          <w:lang w:val="en-US" w:eastAsia="zh-CN"/>
        </w:rPr>
      </w:pPr>
    </w:p>
    <w:p>
      <w:pPr>
        <w:pStyle w:val="75"/>
        <w:tabs>
          <w:tab w:val="right" w:leader="dot" w:pos="9497"/>
        </w:tabs>
        <w:spacing w:line="240" w:lineRule="auto"/>
        <w:rPr>
          <w:rFonts w:hint="default" w:ascii="宋体" w:hAnsi="宋体" w:eastAsia="宋体" w:cs="宋体"/>
          <w:lang w:val="en-US" w:eastAsia="zh-CN"/>
        </w:rPr>
      </w:pPr>
      <w:sdt>
        <w:sdtPr>
          <w:rPr>
            <w:rFonts w:hint="eastAsia" w:ascii="宋体" w:hAnsi="宋体" w:eastAsia="宋体" w:cs="宋体"/>
            <w:b/>
            <w:bCs/>
            <w:color w:val="000000"/>
            <w:kern w:val="2"/>
            <w:sz w:val="24"/>
            <w:szCs w:val="24"/>
            <w:lang w:val="en-US" w:eastAsia="zh-CN" w:bidi="ar-SA"/>
          </w:rPr>
          <w:id w:val="147472536"/>
          <w:placeholder>
            <w:docPart w:val="{a7798fe3-0a1b-444d-9a9c-916f15571f4a}"/>
          </w:placeholder>
          <w15:color w:val="509DF3"/>
        </w:sdtPr>
        <w:sdtEndPr>
          <w:rPr>
            <w:rFonts w:hint="eastAsia" w:ascii="宋体" w:hAnsi="宋体" w:eastAsia="宋体" w:cs="宋体"/>
            <w:b/>
            <w:bCs/>
            <w:color w:val="000000"/>
            <w:kern w:val="2"/>
            <w:sz w:val="24"/>
            <w:szCs w:val="24"/>
            <w:lang w:val="en-US" w:eastAsia="zh-CN" w:bidi="ar-SA"/>
          </w:rPr>
        </w:sdtEndPr>
        <w:sdtContent>
          <w:r>
            <w:rPr>
              <w:rFonts w:hint="eastAsia" w:ascii="宋体" w:hAnsi="宋体" w:eastAsia="宋体" w:cs="宋体"/>
              <w:b/>
              <w:bCs/>
              <w:color w:val="000000"/>
              <w:kern w:val="2"/>
              <w:sz w:val="24"/>
              <w:szCs w:val="24"/>
              <w:lang w:val="en-US" w:eastAsia="zh-CN" w:bidi="ar-SA"/>
            </w:rPr>
            <w:t>18.</w:t>
          </w:r>
          <w:r>
            <w:rPr>
              <w:rFonts w:hint="eastAsia" w:ascii="宋体" w:hAnsi="宋体" w:cs="宋体"/>
              <w:b/>
              <w:bCs/>
              <w:color w:val="000000"/>
              <w:kern w:val="2"/>
              <w:sz w:val="24"/>
              <w:szCs w:val="24"/>
              <w:lang w:val="en-US" w:eastAsia="zh-CN" w:bidi="ar-SA"/>
            </w:rPr>
            <w:t>包装材料库房安全操作规程</w:t>
          </w:r>
        </w:sdtContent>
      </w:sdt>
      <w:r>
        <w:rPr>
          <w:rFonts w:hint="eastAsia" w:ascii="宋体" w:hAnsi="宋体" w:eastAsia="宋体" w:cs="宋体"/>
        </w:rPr>
        <w:tab/>
      </w:r>
      <w:r>
        <w:rPr>
          <w:rFonts w:hint="eastAsia" w:ascii="宋体" w:hAnsi="宋体" w:cs="宋体"/>
          <w:lang w:val="en-US" w:eastAsia="zh-CN"/>
        </w:rPr>
        <w:t>21</w:t>
      </w:r>
    </w:p>
    <w:p>
      <w:pPr>
        <w:pStyle w:val="2"/>
        <w:spacing w:line="240" w:lineRule="auto"/>
        <w:outlineLvl w:val="0"/>
        <w:rPr>
          <w:rFonts w:hint="eastAsia" w:ascii="宋体" w:hAnsi="宋体" w:eastAsia="宋体" w:cs="宋体"/>
          <w:b/>
          <w:bCs/>
          <w:color w:val="000000"/>
          <w:sz w:val="24"/>
          <w:szCs w:val="24"/>
          <w:lang w:val="en-US" w:eastAsia="zh-CN"/>
        </w:rPr>
        <w:sectPr>
          <w:footerReference r:id="rId3" w:type="default"/>
          <w:pgSz w:w="11906" w:h="16838"/>
          <w:pgMar w:top="1276" w:right="1133" w:bottom="993" w:left="1276" w:header="851" w:footer="992" w:gutter="0"/>
          <w:pgNumType w:fmt="decimal" w:start="1"/>
          <w:cols w:space="425" w:num="1"/>
          <w:docGrid w:type="lines" w:linePitch="312" w:charSpace="0"/>
        </w:sectPr>
      </w:pP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1"/>
        <w:gridCol w:w="2692"/>
        <w:gridCol w:w="1096"/>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restart"/>
          </w:tcPr>
          <w:p>
            <w:pPr>
              <w:spacing w:line="360" w:lineRule="exact"/>
              <w:ind w:left="840" w:hanging="840" w:hangingChars="400"/>
              <w:jc w:val="center"/>
              <w:rPr>
                <w:rFonts w:ascii="宋体" w:hAnsi="宋体"/>
                <w:szCs w:val="21"/>
              </w:rPr>
            </w:pP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4" w:type="pct"/>
            <w:gridSpan w:val="2"/>
          </w:tcPr>
          <w:p>
            <w:pPr>
              <w:spacing w:line="360" w:lineRule="exact"/>
              <w:jc w:val="center"/>
              <w:rPr>
                <w:rFonts w:ascii="宋体" w:hAnsi="宋体"/>
                <w:szCs w:val="21"/>
              </w:rPr>
            </w:pPr>
            <w:r>
              <w:rPr>
                <w:rFonts w:hint="eastAsia" w:ascii="宋体" w:hAnsi="宋体"/>
                <w:szCs w:val="21"/>
              </w:rPr>
              <w:t xml:space="preserve">文件编号： </w:t>
            </w:r>
            <w:r>
              <w:rPr>
                <w:rFonts w:hint="eastAsia" w:ascii="宋体" w:hAnsi="宋体"/>
                <w:szCs w:val="21"/>
                <w:lang w:eastAsia="zh-CN"/>
              </w:rPr>
              <w:t>CZGC2022</w:t>
            </w:r>
            <w:r>
              <w:rPr>
                <w:rFonts w:hint="eastAsia" w:ascii="宋体" w:hAnsi="宋体"/>
                <w:szCs w:val="21"/>
              </w:rPr>
              <w:t>-</w:t>
            </w:r>
            <w:r>
              <w:rPr>
                <w:rFonts w:hint="default" w:ascii="宋体" w:hAnsi="宋体"/>
                <w:szCs w:val="21"/>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continue"/>
          </w:tcPr>
          <w:p>
            <w:pPr>
              <w:spacing w:line="360" w:lineRule="exact"/>
              <w:jc w:val="center"/>
              <w:rPr>
                <w:rFonts w:ascii="宋体" w:hAnsi="宋体"/>
                <w:szCs w:val="21"/>
              </w:rPr>
            </w:pPr>
          </w:p>
        </w:tc>
        <w:tc>
          <w:tcPr>
            <w:tcW w:w="2404"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2596" w:type="pct"/>
            <w:gridSpan w:val="2"/>
            <w:vAlign w:val="center"/>
          </w:tcPr>
          <w:p>
            <w:pPr>
              <w:spacing w:line="360" w:lineRule="auto"/>
              <w:jc w:val="center"/>
              <w:rPr>
                <w:rFonts w:ascii="宋体" w:hAnsi="宋体"/>
                <w:color w:val="000000"/>
                <w:szCs w:val="21"/>
              </w:rPr>
            </w:pPr>
            <w:r>
              <w:rPr>
                <w:rFonts w:hint="eastAsia" w:ascii="宋体" w:hAnsi="宋体" w:cs="宋体"/>
                <w:color w:val="000000"/>
                <w:szCs w:val="21"/>
              </w:rPr>
              <w:t>产品</w:t>
            </w:r>
            <w:r>
              <w:rPr>
                <w:rFonts w:hint="eastAsia" w:ascii="宋体" w:hAnsi="宋体" w:cs="宋体"/>
                <w:color w:val="000000"/>
                <w:szCs w:val="21"/>
                <w:lang w:val="en-US" w:eastAsia="zh-CN"/>
              </w:rPr>
              <w:t>出入</w:t>
            </w:r>
            <w:r>
              <w:rPr>
                <w:rFonts w:hint="eastAsia" w:ascii="宋体" w:hAnsi="宋体" w:cs="宋体"/>
                <w:color w:val="000000"/>
                <w:szCs w:val="21"/>
              </w:rPr>
              <w:t>检验安全操作规程</w:t>
            </w:r>
          </w:p>
        </w:tc>
        <w:tc>
          <w:tcPr>
            <w:tcW w:w="2404" w:type="pct"/>
            <w:gridSpan w:val="2"/>
            <w:vAlign w:val="center"/>
          </w:tcPr>
          <w:p>
            <w:pPr>
              <w:spacing w:line="360" w:lineRule="exact"/>
              <w:jc w:val="center"/>
              <w:rPr>
                <w:rFonts w:ascii="宋体" w:hAnsi="宋体"/>
                <w:szCs w:val="21"/>
              </w:rPr>
            </w:pPr>
            <w:r>
              <w:rPr>
                <w:rFonts w:hint="eastAsia" w:ascii="宋体" w:hAnsi="宋体"/>
                <w:szCs w:val="21"/>
              </w:rPr>
              <w:t>第1版</w:t>
            </w:r>
            <w:r>
              <w:rPr>
                <w:rFonts w:hint="eastAsia" w:ascii="宋体" w:hAnsi="宋体"/>
                <w:szCs w:val="21"/>
                <w:lang w:eastAsia="zh-CN"/>
              </w:rPr>
              <w:t>第2次</w:t>
            </w:r>
            <w:r>
              <w:rPr>
                <w:rFonts w:hint="eastAsia" w:ascii="宋体" w:hAnsi="宋体"/>
                <w:szCs w:val="21"/>
              </w:rPr>
              <w:t>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lang w:eastAsia="zh-CN"/>
              </w:rPr>
            </w:pPr>
            <w:r>
              <w:rPr>
                <w:rFonts w:hint="eastAsia" w:ascii="宋体" w:hAnsi="宋体"/>
                <w:szCs w:val="21"/>
                <w:lang w:eastAsia="zh-CN"/>
              </w:rPr>
              <w:t>2022年3月20日</w:t>
            </w:r>
          </w:p>
        </w:tc>
        <w:tc>
          <w:tcPr>
            <w:tcW w:w="564" w:type="pct"/>
          </w:tcPr>
          <w:p>
            <w:pPr>
              <w:spacing w:line="360" w:lineRule="exact"/>
              <w:jc w:val="center"/>
              <w:rPr>
                <w:rFonts w:ascii="宋体" w:hAnsi="宋体"/>
                <w:szCs w:val="21"/>
              </w:rPr>
            </w:pPr>
            <w:r>
              <w:rPr>
                <w:rFonts w:hint="eastAsia" w:ascii="宋体" w:hAnsi="宋体"/>
                <w:szCs w:val="21"/>
              </w:rPr>
              <w:t>审订时间</w:t>
            </w:r>
          </w:p>
        </w:tc>
        <w:tc>
          <w:tcPr>
            <w:tcW w:w="1840"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lang w:eastAsia="zh-CN"/>
              </w:rPr>
            </w:pPr>
            <w:r>
              <w:rPr>
                <w:rFonts w:hint="eastAsia" w:ascii="宋体" w:hAnsi="宋体"/>
                <w:szCs w:val="21"/>
                <w:lang w:eastAsia="zh-CN"/>
              </w:rPr>
              <w:t>2022年4月13日</w:t>
            </w:r>
          </w:p>
        </w:tc>
        <w:tc>
          <w:tcPr>
            <w:tcW w:w="564" w:type="pct"/>
          </w:tcPr>
          <w:p>
            <w:pPr>
              <w:spacing w:line="360" w:lineRule="exact"/>
              <w:rPr>
                <w:rFonts w:ascii="宋体" w:hAnsi="宋体"/>
                <w:szCs w:val="21"/>
              </w:rPr>
            </w:pPr>
            <w:r>
              <w:rPr>
                <w:rFonts w:hint="eastAsia" w:ascii="宋体" w:hAnsi="宋体"/>
                <w:szCs w:val="21"/>
              </w:rPr>
              <w:t>批准人</w:t>
            </w:r>
          </w:p>
        </w:tc>
        <w:tc>
          <w:tcPr>
            <w:tcW w:w="1840"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5000" w:type="pct"/>
            <w:gridSpan w:val="4"/>
          </w:tcPr>
          <w:p>
            <w:pPr>
              <w:spacing w:line="360" w:lineRule="exact"/>
              <w:rPr>
                <w:rFonts w:ascii="宋体" w:hAnsi="宋体"/>
                <w:b w:val="0"/>
                <w:bCs w:val="0"/>
                <w:szCs w:val="21"/>
              </w:rPr>
            </w:pPr>
            <w:r>
              <w:rPr>
                <w:rFonts w:hint="eastAsia" w:ascii="宋体" w:hAnsi="宋体"/>
                <w:b w:val="0"/>
                <w:bCs w:val="0"/>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w:t>
            </w:r>
            <w:r>
              <w:rPr>
                <w:rFonts w:hint="eastAsia" w:ascii="宋体" w:hAnsi="宋体"/>
                <w:color w:val="000000"/>
                <w:szCs w:val="21"/>
                <w:lang w:eastAsia="zh-CN"/>
              </w:rPr>
              <w:t>本厂</w:t>
            </w:r>
            <w:r>
              <w:rPr>
                <w:rFonts w:hint="eastAsia" w:ascii="宋体" w:hAnsi="宋体"/>
                <w:color w:val="000000"/>
                <w:szCs w:val="21"/>
              </w:rPr>
              <w:t>烟花爆竹产品的出、入库查验，确保安全生产和产品质量。</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rPr>
              <w:t>适用于</w:t>
            </w:r>
            <w:r>
              <w:rPr>
                <w:rFonts w:hint="eastAsia" w:hAnsi="宋体" w:cs="宋体"/>
                <w:color w:val="000000"/>
                <w:lang w:eastAsia="zh-CN"/>
              </w:rPr>
              <w:t>本厂</w:t>
            </w:r>
            <w:r>
              <w:rPr>
                <w:rFonts w:hint="eastAsia" w:ascii="宋体" w:hAnsi="宋体"/>
                <w:color w:val="000000"/>
                <w:szCs w:val="21"/>
              </w:rPr>
              <w:t>烟花爆竹</w:t>
            </w:r>
            <w:r>
              <w:rPr>
                <w:rFonts w:hint="eastAsia" w:ascii="宋体" w:hAnsi="宋体" w:cs="宋体"/>
                <w:color w:val="000000"/>
                <w:szCs w:val="21"/>
              </w:rPr>
              <w:t>产品检验验收</w:t>
            </w:r>
            <w:r>
              <w:rPr>
                <w:rFonts w:hint="eastAsia" w:hAnsi="宋体" w:cs="宋体"/>
                <w:color w:val="000000"/>
              </w:rPr>
              <w:t>。</w:t>
            </w:r>
          </w:p>
          <w:p>
            <w:pPr>
              <w:spacing w:line="360" w:lineRule="exact"/>
              <w:rPr>
                <w:rFonts w:ascii="宋体" w:hAnsi="宋体"/>
                <w:szCs w:val="21"/>
              </w:rPr>
            </w:pPr>
            <w:r>
              <w:rPr>
                <w:rFonts w:hint="eastAsia" w:ascii="宋体" w:hAnsi="宋体"/>
                <w:szCs w:val="21"/>
              </w:rPr>
              <w:t>3.内容</w:t>
            </w:r>
          </w:p>
          <w:p>
            <w:pPr>
              <w:pStyle w:val="74"/>
              <w:numPr>
                <w:ilvl w:val="0"/>
                <w:numId w:val="5"/>
              </w:numPr>
              <w:spacing w:line="360" w:lineRule="auto"/>
              <w:ind w:firstLineChars="0"/>
              <w:rPr>
                <w:rFonts w:ascii="宋体" w:hAnsi="宋体" w:cs="宋体"/>
                <w:szCs w:val="21"/>
              </w:rPr>
            </w:pPr>
            <w:r>
              <w:rPr>
                <w:rFonts w:hint="eastAsia" w:ascii="宋体" w:hAnsi="宋体" w:cs="宋体"/>
                <w:szCs w:val="21"/>
              </w:rPr>
              <w:t xml:space="preserve"> 产品</w:t>
            </w:r>
            <w:r>
              <w:rPr>
                <w:rFonts w:hint="eastAsia" w:ascii="宋体" w:hAnsi="宋体" w:cs="宋体"/>
                <w:szCs w:val="21"/>
                <w:lang w:val="en-US" w:eastAsia="zh-CN"/>
              </w:rPr>
              <w:t>出</w:t>
            </w:r>
            <w:r>
              <w:rPr>
                <w:rFonts w:hint="eastAsia" w:ascii="宋体" w:hAnsi="宋体" w:cs="宋体"/>
                <w:szCs w:val="21"/>
              </w:rPr>
              <w:t>入库前必须由检验员对产品进行检验。</w:t>
            </w:r>
          </w:p>
          <w:p>
            <w:pPr>
              <w:pStyle w:val="74"/>
              <w:numPr>
                <w:ilvl w:val="0"/>
                <w:numId w:val="5"/>
              </w:numPr>
              <w:spacing w:line="360" w:lineRule="auto"/>
              <w:ind w:firstLineChars="0"/>
              <w:rPr>
                <w:rFonts w:ascii="宋体" w:hAnsi="宋体" w:cs="宋体"/>
                <w:szCs w:val="21"/>
              </w:rPr>
            </w:pPr>
            <w:r>
              <w:rPr>
                <w:rFonts w:hint="eastAsia" w:ascii="宋体" w:hAnsi="宋体" w:cs="宋体"/>
                <w:szCs w:val="21"/>
              </w:rPr>
              <w:t xml:space="preserve"> 检验员应仔细查验产品规格型号、合格证、包装标识码、产品检验报告、日期等是否符合标准要求。</w:t>
            </w:r>
          </w:p>
          <w:p>
            <w:pPr>
              <w:pStyle w:val="74"/>
              <w:numPr>
                <w:ilvl w:val="0"/>
                <w:numId w:val="5"/>
              </w:numPr>
              <w:spacing w:line="360" w:lineRule="auto"/>
              <w:ind w:firstLineChars="0"/>
              <w:rPr>
                <w:rFonts w:ascii="宋体" w:hAnsi="宋体" w:cs="宋体"/>
                <w:szCs w:val="21"/>
              </w:rPr>
            </w:pPr>
            <w:r>
              <w:rPr>
                <w:rFonts w:hint="eastAsia" w:ascii="宋体" w:hAnsi="宋体" w:cs="宋体"/>
                <w:szCs w:val="21"/>
              </w:rPr>
              <w:t xml:space="preserve"> 产品标识应完整、清洁，文字图案清晰。表面无浮药、无霉变、无污染，外形无明显变形、无损坏、无漏药。对过期或质量不合格的产品严禁入库。</w:t>
            </w:r>
          </w:p>
          <w:p>
            <w:pPr>
              <w:pStyle w:val="74"/>
              <w:numPr>
                <w:ilvl w:val="0"/>
                <w:numId w:val="5"/>
              </w:numPr>
              <w:spacing w:line="360" w:lineRule="auto"/>
              <w:ind w:firstLineChars="0"/>
              <w:rPr>
                <w:rFonts w:ascii="宋体" w:hAnsi="宋体" w:cs="宋体"/>
                <w:szCs w:val="21"/>
              </w:rPr>
            </w:pPr>
            <w:r>
              <w:rPr>
                <w:rFonts w:hint="eastAsia" w:ascii="宋体" w:hAnsi="宋体" w:cs="宋体"/>
                <w:szCs w:val="21"/>
              </w:rPr>
              <w:t xml:space="preserve"> 检验员在检验中需进行试放的产品，应在燃放试验场进行试放检验，并做好记录。</w:t>
            </w:r>
          </w:p>
          <w:p>
            <w:pPr>
              <w:pStyle w:val="74"/>
              <w:numPr>
                <w:ilvl w:val="0"/>
                <w:numId w:val="5"/>
              </w:numPr>
              <w:spacing w:line="360" w:lineRule="auto"/>
              <w:ind w:firstLineChars="0"/>
              <w:rPr>
                <w:rFonts w:ascii="宋体" w:hAnsi="宋体" w:cs="宋体"/>
                <w:szCs w:val="21"/>
              </w:rPr>
            </w:pPr>
            <w:r>
              <w:rPr>
                <w:rFonts w:hint="eastAsia" w:ascii="宋体" w:hAnsi="宋体" w:cs="宋体"/>
                <w:szCs w:val="21"/>
              </w:rPr>
              <w:t xml:space="preserve"> 对检验不合格产品进行登记，应及时退货或销毁，防止流入社会。</w:t>
            </w:r>
          </w:p>
          <w:p>
            <w:pPr>
              <w:pStyle w:val="74"/>
              <w:numPr>
                <w:ilvl w:val="0"/>
                <w:numId w:val="5"/>
              </w:numPr>
              <w:spacing w:line="360" w:lineRule="auto"/>
              <w:ind w:firstLineChars="0"/>
              <w:rPr>
                <w:rFonts w:ascii="宋体" w:hAnsi="宋体" w:cs="宋体"/>
                <w:szCs w:val="21"/>
              </w:rPr>
            </w:pPr>
            <w:r>
              <w:rPr>
                <w:rFonts w:hint="eastAsia" w:ascii="宋体" w:hAnsi="宋体" w:cs="宋体"/>
                <w:szCs w:val="21"/>
                <w:lang w:val="en-US" w:eastAsia="zh-CN"/>
              </w:rPr>
              <w:t>出</w:t>
            </w:r>
            <w:r>
              <w:rPr>
                <w:rFonts w:hint="eastAsia" w:ascii="宋体" w:hAnsi="宋体" w:cs="宋体"/>
                <w:szCs w:val="21"/>
              </w:rPr>
              <w:t>入库时，由仓库管理员查验产品数量，如发现产品数量与货单不符时不予</w:t>
            </w:r>
            <w:r>
              <w:rPr>
                <w:rFonts w:hint="eastAsia" w:ascii="宋体" w:hAnsi="宋体" w:cs="宋体"/>
                <w:szCs w:val="21"/>
                <w:lang w:val="en-US" w:eastAsia="zh-CN"/>
              </w:rPr>
              <w:t>出</w:t>
            </w:r>
            <w:r>
              <w:rPr>
                <w:rFonts w:hint="eastAsia" w:ascii="宋体" w:hAnsi="宋体" w:cs="宋体"/>
                <w:szCs w:val="21"/>
              </w:rPr>
              <w:t>入库，并上报管理人员。</w:t>
            </w:r>
          </w:p>
          <w:p>
            <w:pPr>
              <w:pStyle w:val="74"/>
              <w:numPr>
                <w:ilvl w:val="0"/>
                <w:numId w:val="5"/>
              </w:numPr>
              <w:spacing w:line="360" w:lineRule="auto"/>
              <w:ind w:firstLineChars="0"/>
              <w:rPr>
                <w:rFonts w:ascii="宋体" w:hAnsi="宋体" w:cs="宋体"/>
                <w:szCs w:val="21"/>
              </w:rPr>
            </w:pPr>
            <w:r>
              <w:rPr>
                <w:rFonts w:hint="eastAsia" w:ascii="宋体" w:hAnsi="宋体" w:cs="宋体"/>
                <w:szCs w:val="21"/>
              </w:rPr>
              <w:t xml:space="preserve"> 建立健全产品检验登记台账，详细记录产品检验情况。</w:t>
            </w: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restart"/>
          </w:tcPr>
          <w:p>
            <w:pPr>
              <w:spacing w:line="360" w:lineRule="exact"/>
              <w:ind w:left="840" w:hanging="840" w:hangingChars="400"/>
              <w:jc w:val="center"/>
              <w:rPr>
                <w:rFonts w:ascii="宋体" w:hAnsi="宋体"/>
                <w:szCs w:val="21"/>
              </w:rPr>
            </w:pPr>
            <w:r>
              <w:rPr>
                <w:rFonts w:hint="eastAsia" w:hAnsi="宋体" w:cs="宋体"/>
                <w:color w:val="000000"/>
              </w:rPr>
              <w:t xml:space="preserve">   </w:t>
            </w: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4"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continue"/>
          </w:tcPr>
          <w:p>
            <w:pPr>
              <w:spacing w:line="360" w:lineRule="exact"/>
              <w:jc w:val="center"/>
              <w:rPr>
                <w:rFonts w:ascii="宋体" w:hAnsi="宋体"/>
                <w:szCs w:val="21"/>
              </w:rPr>
            </w:pPr>
          </w:p>
        </w:tc>
        <w:tc>
          <w:tcPr>
            <w:tcW w:w="2404"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2596" w:type="pct"/>
            <w:gridSpan w:val="2"/>
            <w:vAlign w:val="center"/>
          </w:tcPr>
          <w:p>
            <w:pPr>
              <w:spacing w:line="360" w:lineRule="auto"/>
              <w:jc w:val="center"/>
              <w:rPr>
                <w:rFonts w:ascii="宋体" w:hAnsi="宋体"/>
                <w:color w:val="000000"/>
                <w:szCs w:val="21"/>
              </w:rPr>
            </w:pPr>
            <w:r>
              <w:rPr>
                <w:rFonts w:hint="eastAsia" w:ascii="宋体" w:hAnsi="宋体"/>
                <w:color w:val="000000"/>
                <w:szCs w:val="21"/>
              </w:rPr>
              <w:t>拆箱安全操作规程</w:t>
            </w:r>
          </w:p>
        </w:tc>
        <w:tc>
          <w:tcPr>
            <w:tcW w:w="2404" w:type="pct"/>
            <w:gridSpan w:val="2"/>
            <w:vAlign w:val="center"/>
          </w:tcPr>
          <w:p>
            <w:pPr>
              <w:spacing w:line="360" w:lineRule="exact"/>
              <w:jc w:val="center"/>
              <w:rPr>
                <w:rFonts w:ascii="宋体" w:hAnsi="宋体"/>
                <w:szCs w:val="21"/>
              </w:rPr>
            </w:pPr>
            <w:r>
              <w:rPr>
                <w:rFonts w:hint="eastAsia" w:ascii="宋体" w:hAnsi="宋体"/>
                <w:szCs w:val="21"/>
              </w:rPr>
              <w:t>第1版第3次修订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lang w:eastAsia="zh-CN"/>
              </w:rPr>
            </w:pPr>
            <w:r>
              <w:rPr>
                <w:rFonts w:hint="eastAsia" w:ascii="宋体" w:hAnsi="宋体"/>
                <w:szCs w:val="21"/>
                <w:lang w:eastAsia="zh-CN"/>
              </w:rPr>
              <w:t>2022年3月20日</w:t>
            </w:r>
          </w:p>
        </w:tc>
        <w:tc>
          <w:tcPr>
            <w:tcW w:w="564" w:type="pct"/>
          </w:tcPr>
          <w:p>
            <w:pPr>
              <w:spacing w:line="360" w:lineRule="exact"/>
              <w:jc w:val="center"/>
              <w:rPr>
                <w:rFonts w:ascii="宋体" w:hAnsi="宋体"/>
                <w:szCs w:val="21"/>
              </w:rPr>
            </w:pPr>
            <w:r>
              <w:rPr>
                <w:rFonts w:hint="eastAsia" w:ascii="宋体" w:hAnsi="宋体"/>
                <w:szCs w:val="21"/>
              </w:rPr>
              <w:t>审订时间</w:t>
            </w:r>
          </w:p>
        </w:tc>
        <w:tc>
          <w:tcPr>
            <w:tcW w:w="1840"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lang w:eastAsia="zh-CN"/>
              </w:rPr>
            </w:pPr>
            <w:r>
              <w:rPr>
                <w:rFonts w:hint="eastAsia" w:ascii="宋体" w:hAnsi="宋体"/>
                <w:szCs w:val="21"/>
                <w:lang w:eastAsia="zh-CN"/>
              </w:rPr>
              <w:t>2022年4月13日</w:t>
            </w:r>
          </w:p>
        </w:tc>
        <w:tc>
          <w:tcPr>
            <w:tcW w:w="564" w:type="pct"/>
          </w:tcPr>
          <w:p>
            <w:pPr>
              <w:spacing w:line="360" w:lineRule="exact"/>
              <w:rPr>
                <w:rFonts w:ascii="宋体" w:hAnsi="宋体"/>
                <w:szCs w:val="21"/>
              </w:rPr>
            </w:pPr>
            <w:r>
              <w:rPr>
                <w:rFonts w:hint="eastAsia" w:ascii="宋体" w:hAnsi="宋体"/>
                <w:szCs w:val="21"/>
              </w:rPr>
              <w:t>批准人</w:t>
            </w:r>
          </w:p>
        </w:tc>
        <w:tc>
          <w:tcPr>
            <w:tcW w:w="1840"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5000" w:type="pct"/>
            <w:gridSpan w:val="4"/>
          </w:tcPr>
          <w:p>
            <w:pPr>
              <w:spacing w:line="360" w:lineRule="exact"/>
              <w:rPr>
                <w:rFonts w:ascii="宋体" w:hAnsi="宋体"/>
                <w:szCs w:val="21"/>
              </w:rPr>
            </w:pPr>
            <w:r>
              <w:rPr>
                <w:rFonts w:hint="eastAsia" w:ascii="宋体" w:hAnsi="宋体"/>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为了规范本</w:t>
            </w:r>
            <w:r>
              <w:rPr>
                <w:rFonts w:hint="eastAsia" w:ascii="宋体" w:hAnsi="宋体"/>
                <w:szCs w:val="21"/>
              </w:rPr>
              <w:t>厂</w:t>
            </w:r>
            <w:r>
              <w:rPr>
                <w:rFonts w:hint="eastAsia" w:ascii="宋体" w:hAnsi="宋体"/>
                <w:color w:val="000000"/>
                <w:szCs w:val="21"/>
              </w:rPr>
              <w:t>烟花爆竹产品的拆箱操作。</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rPr>
              <w:t>适用于本</w:t>
            </w:r>
            <w:r>
              <w:rPr>
                <w:rFonts w:hint="eastAsia" w:ascii="宋体" w:hAnsi="宋体"/>
                <w:szCs w:val="21"/>
              </w:rPr>
              <w:t>厂</w:t>
            </w:r>
            <w:r>
              <w:rPr>
                <w:rFonts w:hint="eastAsia" w:ascii="宋体" w:hAnsi="宋体"/>
                <w:color w:val="000000"/>
                <w:szCs w:val="21"/>
              </w:rPr>
              <w:t>烟花爆竹产品的拆箱</w:t>
            </w:r>
            <w:r>
              <w:rPr>
                <w:rFonts w:hint="eastAsia" w:hAnsi="宋体" w:cs="宋体"/>
                <w:color w:val="000000"/>
              </w:rPr>
              <w:t>。</w:t>
            </w:r>
          </w:p>
          <w:p>
            <w:pPr>
              <w:spacing w:line="360" w:lineRule="exact"/>
              <w:rPr>
                <w:rFonts w:ascii="宋体" w:hAnsi="宋体"/>
                <w:szCs w:val="21"/>
              </w:rPr>
            </w:pPr>
            <w:r>
              <w:rPr>
                <w:rFonts w:hint="eastAsia" w:ascii="宋体" w:hAnsi="宋体"/>
                <w:szCs w:val="21"/>
              </w:rPr>
              <w:t>3.内容</w:t>
            </w:r>
          </w:p>
          <w:p>
            <w:pPr>
              <w:autoSpaceDE w:val="0"/>
              <w:autoSpaceDN w:val="0"/>
              <w:spacing w:line="360" w:lineRule="auto"/>
              <w:ind w:firstLine="420" w:firstLineChars="200"/>
              <w:rPr>
                <w:rFonts w:ascii="宋体" w:hAnsi="宋体" w:cs="宋体"/>
                <w:szCs w:val="21"/>
              </w:rPr>
            </w:pPr>
            <w:r>
              <w:rPr>
                <w:rFonts w:hint="eastAsia" w:ascii="宋体" w:hAnsi="宋体" w:cs="宋体"/>
                <w:szCs w:val="21"/>
              </w:rPr>
              <w:t>3.1  烟花爆竹拆箱时，必须搬运到库房外的指定地点进行作业，严禁在库房内从事烟花爆竹拆箱作业。</w:t>
            </w:r>
          </w:p>
          <w:p>
            <w:pPr>
              <w:autoSpaceDE w:val="0"/>
              <w:autoSpaceDN w:val="0"/>
              <w:spacing w:line="360" w:lineRule="auto"/>
              <w:ind w:firstLine="420" w:firstLineChars="200"/>
              <w:rPr>
                <w:rFonts w:ascii="宋体" w:hAnsi="宋体" w:cs="宋体"/>
                <w:szCs w:val="21"/>
              </w:rPr>
            </w:pPr>
            <w:r>
              <w:rPr>
                <w:rFonts w:hint="eastAsia" w:ascii="宋体" w:hAnsi="宋体" w:cs="宋体"/>
                <w:szCs w:val="21"/>
              </w:rPr>
              <w:t>3.2  拆箱作业的人员应具备烟花爆竹基础知识，按要求穿戴防护用品。</w:t>
            </w:r>
          </w:p>
          <w:p>
            <w:pPr>
              <w:autoSpaceDE w:val="0"/>
              <w:autoSpaceDN w:val="0"/>
              <w:spacing w:line="360" w:lineRule="auto"/>
              <w:ind w:firstLine="420" w:firstLineChars="200"/>
              <w:rPr>
                <w:rFonts w:ascii="宋体" w:hAnsi="宋体" w:cs="宋体"/>
                <w:szCs w:val="21"/>
              </w:rPr>
            </w:pPr>
            <w:r>
              <w:rPr>
                <w:rFonts w:hint="eastAsia" w:ascii="宋体" w:hAnsi="宋体" w:cs="宋体"/>
                <w:szCs w:val="21"/>
              </w:rPr>
              <w:t>3.3  在进行拆箱分装作业时，严禁使用铁制工具。必须轻拿、轻放、轻搬动，严禁拖拉、碰撞、抛摔、挤压、摩擦、翻滚等违章行为。</w:t>
            </w:r>
          </w:p>
          <w:p>
            <w:pPr>
              <w:autoSpaceDE w:val="0"/>
              <w:autoSpaceDN w:val="0"/>
              <w:spacing w:line="360" w:lineRule="auto"/>
              <w:ind w:firstLine="420" w:firstLineChars="200"/>
              <w:rPr>
                <w:rFonts w:ascii="宋体" w:hAnsi="宋体" w:cs="宋体"/>
                <w:szCs w:val="21"/>
              </w:rPr>
            </w:pPr>
            <w:r>
              <w:rPr>
                <w:rFonts w:hint="eastAsia" w:ascii="宋体" w:hAnsi="宋体" w:cs="宋体"/>
                <w:szCs w:val="21"/>
              </w:rPr>
              <w:t>3.4  拆箱后的散装产品应单独存放，堆码高度不得超过1.5米。剩余包装物严禁乱扔乱放，应保持库区整洁、干净、无杂物。</w:t>
            </w:r>
          </w:p>
          <w:p>
            <w:pPr>
              <w:pStyle w:val="12"/>
              <w:spacing w:line="360" w:lineRule="auto"/>
              <w:ind w:firstLine="420" w:firstLineChars="200"/>
              <w:rPr>
                <w:rFonts w:hAnsi="宋体" w:cs="宋体"/>
                <w:color w:val="000000"/>
              </w:rPr>
            </w:pPr>
          </w:p>
          <w:p>
            <w:pPr>
              <w:pStyle w:val="12"/>
              <w:spacing w:line="360" w:lineRule="auto"/>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restart"/>
          </w:tcPr>
          <w:p>
            <w:pPr>
              <w:spacing w:line="360" w:lineRule="exact"/>
              <w:ind w:left="840" w:hanging="840" w:hangingChars="400"/>
              <w:jc w:val="center"/>
              <w:rPr>
                <w:rFonts w:ascii="宋体" w:hAnsi="宋体"/>
                <w:szCs w:val="21"/>
              </w:rPr>
            </w:pPr>
            <w:r>
              <w:rPr>
                <w:rFonts w:hint="eastAsia" w:hAnsi="宋体" w:cs="宋体"/>
                <w:color w:val="000000"/>
              </w:rPr>
              <w:t xml:space="preserve">   </w:t>
            </w: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4"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continue"/>
          </w:tcPr>
          <w:p>
            <w:pPr>
              <w:spacing w:line="360" w:lineRule="exact"/>
              <w:jc w:val="center"/>
              <w:rPr>
                <w:rFonts w:ascii="宋体" w:hAnsi="宋体"/>
                <w:szCs w:val="21"/>
              </w:rPr>
            </w:pPr>
          </w:p>
        </w:tc>
        <w:tc>
          <w:tcPr>
            <w:tcW w:w="2404"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2596" w:type="pct"/>
            <w:gridSpan w:val="2"/>
            <w:vAlign w:val="center"/>
          </w:tcPr>
          <w:p>
            <w:pPr>
              <w:spacing w:line="360" w:lineRule="auto"/>
              <w:jc w:val="center"/>
              <w:rPr>
                <w:rFonts w:ascii="宋体" w:hAnsi="宋体"/>
                <w:color w:val="000000"/>
                <w:szCs w:val="21"/>
              </w:rPr>
            </w:pPr>
            <w:r>
              <w:rPr>
                <w:rFonts w:hint="eastAsia" w:ascii="宋体" w:hAnsi="宋体"/>
                <w:color w:val="000000"/>
                <w:szCs w:val="21"/>
              </w:rPr>
              <w:t>装卸岗位安全操作规程</w:t>
            </w:r>
          </w:p>
        </w:tc>
        <w:tc>
          <w:tcPr>
            <w:tcW w:w="2404" w:type="pct"/>
            <w:gridSpan w:val="2"/>
            <w:vAlign w:val="center"/>
          </w:tcPr>
          <w:p>
            <w:pPr>
              <w:spacing w:line="360" w:lineRule="exact"/>
              <w:jc w:val="center"/>
              <w:rPr>
                <w:rFonts w:ascii="宋体" w:hAnsi="宋体"/>
                <w:szCs w:val="21"/>
              </w:rPr>
            </w:pPr>
            <w:r>
              <w:rPr>
                <w:rFonts w:hint="eastAsia" w:ascii="宋体" w:hAnsi="宋体"/>
                <w:szCs w:val="21"/>
              </w:rPr>
              <w:t>第1版第3次修订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lang w:eastAsia="zh-CN"/>
              </w:rPr>
            </w:pPr>
            <w:r>
              <w:rPr>
                <w:rFonts w:hint="eastAsia" w:ascii="宋体" w:hAnsi="宋体"/>
                <w:szCs w:val="21"/>
                <w:lang w:eastAsia="zh-CN"/>
              </w:rPr>
              <w:t>2022年3月20日</w:t>
            </w:r>
          </w:p>
        </w:tc>
        <w:tc>
          <w:tcPr>
            <w:tcW w:w="564" w:type="pct"/>
          </w:tcPr>
          <w:p>
            <w:pPr>
              <w:spacing w:line="360" w:lineRule="exact"/>
              <w:jc w:val="center"/>
              <w:rPr>
                <w:rFonts w:ascii="宋体" w:hAnsi="宋体"/>
                <w:szCs w:val="21"/>
              </w:rPr>
            </w:pPr>
            <w:r>
              <w:rPr>
                <w:rFonts w:hint="eastAsia" w:ascii="宋体" w:hAnsi="宋体"/>
                <w:szCs w:val="21"/>
              </w:rPr>
              <w:t>审订时间</w:t>
            </w:r>
          </w:p>
        </w:tc>
        <w:tc>
          <w:tcPr>
            <w:tcW w:w="1840"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lang w:eastAsia="zh-CN"/>
              </w:rPr>
            </w:pPr>
            <w:r>
              <w:rPr>
                <w:rFonts w:hint="eastAsia" w:ascii="宋体" w:hAnsi="宋体"/>
                <w:szCs w:val="21"/>
                <w:lang w:eastAsia="zh-CN"/>
              </w:rPr>
              <w:t>2022年4月13日</w:t>
            </w:r>
          </w:p>
        </w:tc>
        <w:tc>
          <w:tcPr>
            <w:tcW w:w="564" w:type="pct"/>
          </w:tcPr>
          <w:p>
            <w:pPr>
              <w:spacing w:line="360" w:lineRule="exact"/>
              <w:rPr>
                <w:rFonts w:ascii="宋体" w:hAnsi="宋体"/>
                <w:szCs w:val="21"/>
              </w:rPr>
            </w:pPr>
            <w:r>
              <w:rPr>
                <w:rFonts w:hint="eastAsia" w:ascii="宋体" w:hAnsi="宋体"/>
                <w:szCs w:val="21"/>
              </w:rPr>
              <w:t>批准人</w:t>
            </w:r>
          </w:p>
        </w:tc>
        <w:tc>
          <w:tcPr>
            <w:tcW w:w="1840"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5000" w:type="pct"/>
            <w:gridSpan w:val="4"/>
          </w:tcPr>
          <w:p>
            <w:pPr>
              <w:spacing w:line="360" w:lineRule="exact"/>
              <w:rPr>
                <w:rFonts w:ascii="宋体" w:hAnsi="宋体"/>
                <w:szCs w:val="21"/>
              </w:rPr>
            </w:pPr>
            <w:r>
              <w:rPr>
                <w:rFonts w:hint="eastAsia" w:ascii="宋体" w:hAnsi="宋体"/>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为了规范本</w:t>
            </w:r>
            <w:r>
              <w:rPr>
                <w:rFonts w:hint="eastAsia" w:ascii="宋体" w:hAnsi="宋体"/>
                <w:szCs w:val="21"/>
              </w:rPr>
              <w:t>厂</w:t>
            </w:r>
            <w:r>
              <w:rPr>
                <w:rFonts w:hint="eastAsia" w:ascii="宋体" w:hAnsi="宋体"/>
                <w:color w:val="000000"/>
                <w:szCs w:val="21"/>
              </w:rPr>
              <w:t>烟花爆竹产品的装卸操作。</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rPr>
              <w:t>适用于本</w:t>
            </w:r>
            <w:r>
              <w:rPr>
                <w:rFonts w:hint="eastAsia" w:ascii="宋体" w:hAnsi="宋体"/>
                <w:szCs w:val="21"/>
              </w:rPr>
              <w:t>厂</w:t>
            </w:r>
            <w:r>
              <w:rPr>
                <w:rFonts w:hint="eastAsia" w:ascii="宋体" w:hAnsi="宋体"/>
                <w:color w:val="000000"/>
                <w:szCs w:val="21"/>
              </w:rPr>
              <w:t>烟花爆竹产品的装卸</w:t>
            </w:r>
            <w:r>
              <w:rPr>
                <w:rFonts w:hint="eastAsia" w:hAnsi="宋体" w:cs="宋体"/>
                <w:color w:val="000000"/>
              </w:rPr>
              <w:t>。</w:t>
            </w:r>
          </w:p>
          <w:p>
            <w:pPr>
              <w:spacing w:line="360" w:lineRule="exact"/>
              <w:rPr>
                <w:rFonts w:ascii="宋体" w:hAnsi="宋体"/>
                <w:szCs w:val="21"/>
              </w:rPr>
            </w:pPr>
            <w:r>
              <w:rPr>
                <w:rFonts w:hint="eastAsia" w:ascii="宋体" w:hAnsi="宋体"/>
                <w:szCs w:val="21"/>
              </w:rPr>
              <w:t>3.内容</w:t>
            </w:r>
          </w:p>
          <w:p>
            <w:pPr>
              <w:spacing w:line="360" w:lineRule="auto"/>
              <w:ind w:firstLine="420" w:firstLineChars="200"/>
              <w:rPr>
                <w:rFonts w:ascii="宋体" w:hAnsi="宋体"/>
                <w:color w:val="000000"/>
                <w:szCs w:val="21"/>
              </w:rPr>
            </w:pPr>
            <w:r>
              <w:rPr>
                <w:rFonts w:hint="eastAsia" w:ascii="宋体" w:hAnsi="宋体"/>
                <w:color w:val="000000"/>
                <w:szCs w:val="21"/>
              </w:rPr>
              <w:t>3.1装卸的作业人员必须是取得《烟花爆竹特种作业操作资格证》的搬运作业人员。</w:t>
            </w:r>
          </w:p>
          <w:p>
            <w:pPr>
              <w:spacing w:line="360" w:lineRule="auto"/>
              <w:ind w:firstLine="420" w:firstLineChars="200"/>
              <w:rPr>
                <w:rFonts w:ascii="宋体" w:hAnsi="宋体"/>
                <w:color w:val="000000"/>
                <w:szCs w:val="21"/>
              </w:rPr>
            </w:pPr>
            <w:r>
              <w:rPr>
                <w:rFonts w:hint="eastAsia" w:ascii="宋体" w:hAnsi="宋体"/>
                <w:color w:val="000000"/>
                <w:szCs w:val="21"/>
              </w:rPr>
              <w:t>3.2装卸产品必须等车辆停靠稳当、熄火后方可打开车门进行装卸作业。</w:t>
            </w:r>
          </w:p>
          <w:p>
            <w:pPr>
              <w:spacing w:line="360" w:lineRule="auto"/>
              <w:ind w:firstLine="420" w:firstLineChars="200"/>
              <w:rPr>
                <w:rFonts w:ascii="宋体" w:hAnsi="宋体"/>
                <w:color w:val="000000"/>
                <w:szCs w:val="21"/>
              </w:rPr>
            </w:pPr>
            <w:r>
              <w:rPr>
                <w:rFonts w:hint="eastAsia" w:ascii="宋体" w:hAnsi="宋体"/>
                <w:color w:val="000000"/>
                <w:szCs w:val="21"/>
              </w:rPr>
              <w:t>3.3装卸作业只能单件产品装卸。</w:t>
            </w:r>
          </w:p>
          <w:p>
            <w:pPr>
              <w:spacing w:line="360" w:lineRule="auto"/>
              <w:ind w:firstLine="420" w:firstLineChars="200"/>
              <w:rPr>
                <w:rFonts w:ascii="宋体" w:hAnsi="宋体"/>
                <w:color w:val="000000"/>
                <w:szCs w:val="21"/>
              </w:rPr>
            </w:pPr>
            <w:r>
              <w:rPr>
                <w:rFonts w:hint="eastAsia" w:ascii="宋体" w:hAnsi="宋体"/>
                <w:color w:val="000000"/>
                <w:szCs w:val="21"/>
              </w:rPr>
              <w:t>3.4装卸烟花爆竹必须坚持轻拿轻放，“少量、多次、勤运走</w:t>
            </w:r>
            <w:r>
              <w:rPr>
                <w:rFonts w:ascii="宋体" w:hAnsi="宋体"/>
                <w:color w:val="000000"/>
                <w:szCs w:val="21"/>
              </w:rPr>
              <w:t>”</w:t>
            </w:r>
            <w:r>
              <w:rPr>
                <w:rFonts w:hint="eastAsia" w:ascii="宋体" w:hAnsi="宋体"/>
                <w:color w:val="000000"/>
                <w:szCs w:val="21"/>
              </w:rPr>
              <w:t>的原则，严禁摔、碰、撞、击、拖拉、倾倒和滚动。不得违章指挥、违章操作、违反劳动纪律。</w:t>
            </w:r>
          </w:p>
          <w:p>
            <w:pPr>
              <w:spacing w:line="360" w:lineRule="auto"/>
              <w:ind w:firstLine="420" w:firstLineChars="200"/>
              <w:rPr>
                <w:rFonts w:ascii="宋体" w:hAnsi="宋体"/>
                <w:color w:val="000000"/>
                <w:szCs w:val="21"/>
              </w:rPr>
            </w:pPr>
            <w:r>
              <w:rPr>
                <w:rFonts w:hint="eastAsia" w:ascii="宋体" w:hAnsi="宋体"/>
                <w:color w:val="000000"/>
                <w:szCs w:val="21"/>
              </w:rPr>
              <w:t>3.5产品堆码高度不得超过车箱板高度。</w:t>
            </w:r>
          </w:p>
          <w:p>
            <w:pPr>
              <w:spacing w:line="360" w:lineRule="auto"/>
              <w:ind w:firstLine="420" w:firstLineChars="200"/>
              <w:rPr>
                <w:rFonts w:ascii="宋体" w:hAnsi="宋体"/>
                <w:color w:val="000000"/>
                <w:szCs w:val="21"/>
              </w:rPr>
            </w:pPr>
            <w:r>
              <w:rPr>
                <w:rFonts w:hint="eastAsia" w:ascii="宋体" w:hAnsi="宋体"/>
                <w:color w:val="000000"/>
                <w:szCs w:val="21"/>
              </w:rPr>
              <w:t>3.6装卸堆码应规范,堆码高度不得超过2.5m、墙距不得小于0.45m、跺距不得小于0.75m。</w:t>
            </w: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tc>
      </w:tr>
    </w:tbl>
    <w:p>
      <w:pPr>
        <w:spacing w:line="360" w:lineRule="auto"/>
        <w:rPr>
          <w:rFonts w:ascii="宋体" w:hAnsi="宋体"/>
          <w:color w:val="000000"/>
          <w:szCs w:val="21"/>
        </w:rPr>
      </w:pP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1"/>
        <w:gridCol w:w="2692"/>
        <w:gridCol w:w="1096"/>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restart"/>
          </w:tcPr>
          <w:p>
            <w:pPr>
              <w:spacing w:line="360" w:lineRule="exact"/>
              <w:ind w:left="840" w:hanging="840" w:hangingChars="400"/>
              <w:jc w:val="center"/>
              <w:rPr>
                <w:rFonts w:ascii="宋体" w:hAnsi="宋体"/>
                <w:szCs w:val="21"/>
              </w:rPr>
            </w:pPr>
            <w:r>
              <w:rPr>
                <w:rFonts w:hint="eastAsia" w:hAnsi="宋体" w:cs="宋体"/>
                <w:color w:val="000000"/>
              </w:rPr>
              <w:t xml:space="preserve">   </w:t>
            </w: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4"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continue"/>
          </w:tcPr>
          <w:p>
            <w:pPr>
              <w:spacing w:line="360" w:lineRule="exact"/>
              <w:jc w:val="center"/>
              <w:rPr>
                <w:rFonts w:ascii="宋体" w:hAnsi="宋体"/>
                <w:szCs w:val="21"/>
              </w:rPr>
            </w:pPr>
          </w:p>
        </w:tc>
        <w:tc>
          <w:tcPr>
            <w:tcW w:w="2404"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2596" w:type="pct"/>
            <w:gridSpan w:val="2"/>
            <w:vAlign w:val="center"/>
          </w:tcPr>
          <w:p>
            <w:pPr>
              <w:spacing w:line="360" w:lineRule="auto"/>
              <w:jc w:val="center"/>
              <w:rPr>
                <w:rFonts w:ascii="宋体" w:hAnsi="宋体"/>
                <w:color w:val="000000"/>
                <w:szCs w:val="21"/>
              </w:rPr>
            </w:pPr>
            <w:r>
              <w:rPr>
                <w:rFonts w:hint="eastAsia" w:ascii="宋体" w:hAnsi="宋体"/>
                <w:color w:val="000000"/>
                <w:szCs w:val="21"/>
              </w:rPr>
              <w:t>搬运岗位安全操作规程</w:t>
            </w:r>
          </w:p>
        </w:tc>
        <w:tc>
          <w:tcPr>
            <w:tcW w:w="2404" w:type="pct"/>
            <w:gridSpan w:val="2"/>
            <w:vAlign w:val="center"/>
          </w:tcPr>
          <w:p>
            <w:pPr>
              <w:spacing w:line="360" w:lineRule="exact"/>
              <w:jc w:val="center"/>
              <w:rPr>
                <w:rFonts w:ascii="宋体" w:hAnsi="宋体"/>
                <w:szCs w:val="21"/>
              </w:rPr>
            </w:pPr>
            <w:r>
              <w:rPr>
                <w:rFonts w:hint="eastAsia" w:ascii="宋体" w:hAnsi="宋体"/>
                <w:szCs w:val="21"/>
              </w:rPr>
              <w:t>第1版第2次修订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lang w:eastAsia="zh-CN"/>
              </w:rPr>
            </w:pPr>
            <w:r>
              <w:rPr>
                <w:rFonts w:hint="eastAsia" w:ascii="宋体" w:hAnsi="宋体"/>
                <w:szCs w:val="21"/>
                <w:lang w:eastAsia="zh-CN"/>
              </w:rPr>
              <w:t>2022年3月20日</w:t>
            </w:r>
          </w:p>
        </w:tc>
        <w:tc>
          <w:tcPr>
            <w:tcW w:w="564" w:type="pct"/>
          </w:tcPr>
          <w:p>
            <w:pPr>
              <w:spacing w:line="360" w:lineRule="exact"/>
              <w:jc w:val="center"/>
              <w:rPr>
                <w:rFonts w:ascii="宋体" w:hAnsi="宋体"/>
                <w:szCs w:val="21"/>
              </w:rPr>
            </w:pPr>
            <w:r>
              <w:rPr>
                <w:rFonts w:hint="eastAsia" w:ascii="宋体" w:hAnsi="宋体"/>
                <w:szCs w:val="21"/>
              </w:rPr>
              <w:t>审订时间</w:t>
            </w:r>
          </w:p>
        </w:tc>
        <w:tc>
          <w:tcPr>
            <w:tcW w:w="1840"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lang w:eastAsia="zh-CN"/>
              </w:rPr>
            </w:pPr>
            <w:r>
              <w:rPr>
                <w:rFonts w:hint="eastAsia" w:ascii="宋体" w:hAnsi="宋体"/>
                <w:szCs w:val="21"/>
                <w:lang w:eastAsia="zh-CN"/>
              </w:rPr>
              <w:t>2022年4月13日</w:t>
            </w:r>
          </w:p>
        </w:tc>
        <w:tc>
          <w:tcPr>
            <w:tcW w:w="564" w:type="pct"/>
          </w:tcPr>
          <w:p>
            <w:pPr>
              <w:spacing w:line="360" w:lineRule="exact"/>
              <w:rPr>
                <w:rFonts w:ascii="宋体" w:hAnsi="宋体"/>
                <w:szCs w:val="21"/>
              </w:rPr>
            </w:pPr>
            <w:r>
              <w:rPr>
                <w:rFonts w:hint="eastAsia" w:ascii="宋体" w:hAnsi="宋体"/>
                <w:szCs w:val="21"/>
              </w:rPr>
              <w:t>批准人</w:t>
            </w:r>
          </w:p>
        </w:tc>
        <w:tc>
          <w:tcPr>
            <w:tcW w:w="1840"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5000" w:type="pct"/>
            <w:gridSpan w:val="4"/>
          </w:tcPr>
          <w:p>
            <w:pPr>
              <w:spacing w:line="360" w:lineRule="exact"/>
              <w:rPr>
                <w:rFonts w:ascii="宋体" w:hAnsi="宋体"/>
                <w:szCs w:val="21"/>
              </w:rPr>
            </w:pPr>
            <w:r>
              <w:rPr>
                <w:rFonts w:hint="eastAsia" w:ascii="宋体" w:hAnsi="宋体"/>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为了规范本</w:t>
            </w:r>
            <w:r>
              <w:rPr>
                <w:rFonts w:hint="eastAsia" w:ascii="宋体" w:hAnsi="宋体"/>
                <w:szCs w:val="21"/>
              </w:rPr>
              <w:t>厂</w:t>
            </w:r>
            <w:r>
              <w:rPr>
                <w:rFonts w:hint="eastAsia" w:ascii="宋体" w:hAnsi="宋体"/>
                <w:color w:val="000000"/>
                <w:szCs w:val="21"/>
              </w:rPr>
              <w:t>烟花爆竹产品的搬运操作。</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rPr>
              <w:t>适用于本</w:t>
            </w:r>
            <w:r>
              <w:rPr>
                <w:rFonts w:hint="eastAsia" w:ascii="宋体" w:hAnsi="宋体"/>
                <w:szCs w:val="21"/>
              </w:rPr>
              <w:t>厂</w:t>
            </w:r>
            <w:r>
              <w:rPr>
                <w:rFonts w:hint="eastAsia" w:ascii="宋体" w:hAnsi="宋体"/>
                <w:color w:val="000000"/>
                <w:szCs w:val="21"/>
              </w:rPr>
              <w:t>烟花爆竹产品的搬运</w:t>
            </w:r>
            <w:r>
              <w:rPr>
                <w:rFonts w:hint="eastAsia" w:hAnsi="宋体" w:cs="宋体"/>
                <w:color w:val="000000"/>
              </w:rPr>
              <w:t>。</w:t>
            </w:r>
          </w:p>
          <w:p>
            <w:pPr>
              <w:spacing w:line="360" w:lineRule="exact"/>
              <w:rPr>
                <w:rFonts w:ascii="宋体" w:hAnsi="宋体"/>
                <w:szCs w:val="21"/>
              </w:rPr>
            </w:pPr>
            <w:r>
              <w:rPr>
                <w:rFonts w:hint="eastAsia" w:ascii="宋体" w:hAnsi="宋体"/>
                <w:szCs w:val="21"/>
              </w:rPr>
              <w:t>3.内容</w:t>
            </w:r>
          </w:p>
          <w:p>
            <w:pPr>
              <w:pStyle w:val="74"/>
              <w:numPr>
                <w:ilvl w:val="0"/>
                <w:numId w:val="6"/>
              </w:numPr>
              <w:autoSpaceDE w:val="0"/>
              <w:autoSpaceDN w:val="0"/>
              <w:spacing w:line="360" w:lineRule="auto"/>
              <w:ind w:firstLineChars="0"/>
              <w:rPr>
                <w:rFonts w:ascii="宋体" w:hAnsi="宋体" w:cs="宋体"/>
                <w:szCs w:val="21"/>
              </w:rPr>
            </w:pPr>
            <w:r>
              <w:rPr>
                <w:rFonts w:hint="eastAsia" w:ascii="宋体" w:hAnsi="宋体" w:cs="宋体"/>
                <w:szCs w:val="21"/>
              </w:rPr>
              <w:t>搬运烟花爆竹时，须由保管员或专(兼)职安全员在现场进行安全监管。</w:t>
            </w:r>
          </w:p>
          <w:p>
            <w:pPr>
              <w:autoSpaceDE w:val="0"/>
              <w:autoSpaceDN w:val="0"/>
              <w:spacing w:line="360" w:lineRule="auto"/>
              <w:rPr>
                <w:rFonts w:ascii="宋体" w:hAnsi="宋体" w:cs="宋体"/>
                <w:szCs w:val="21"/>
              </w:rPr>
            </w:pPr>
            <w:r>
              <w:rPr>
                <w:rFonts w:hint="eastAsia" w:ascii="宋体" w:hAnsi="宋体" w:cs="宋体"/>
                <w:szCs w:val="21"/>
              </w:rPr>
              <w:t xml:space="preserve">    3.2 入库前，应将随身携带的火源火种及通讯设备暂存门卫室或交指定人员妥善保管，方能从事搬运作业。</w:t>
            </w:r>
          </w:p>
          <w:p>
            <w:pPr>
              <w:autoSpaceDE w:val="0"/>
              <w:autoSpaceDN w:val="0"/>
              <w:spacing w:line="360" w:lineRule="auto"/>
              <w:rPr>
                <w:rFonts w:ascii="宋体" w:hAnsi="宋体" w:cs="宋体"/>
                <w:szCs w:val="21"/>
              </w:rPr>
            </w:pPr>
            <w:r>
              <w:rPr>
                <w:rFonts w:hint="eastAsia" w:ascii="宋体" w:hAnsi="宋体" w:cs="宋体"/>
                <w:szCs w:val="21"/>
              </w:rPr>
              <w:t xml:space="preserve">    3.3 搬运人员必须按要求穿戴劳动防护用品，严禁穿化纤衣裤、钉鞋、硬底鞋、高跟鞋、拖鞋等。</w:t>
            </w:r>
          </w:p>
          <w:p>
            <w:pPr>
              <w:autoSpaceDE w:val="0"/>
              <w:autoSpaceDN w:val="0"/>
              <w:spacing w:line="360" w:lineRule="auto"/>
              <w:rPr>
                <w:rFonts w:ascii="宋体" w:hAnsi="宋体" w:cs="宋体"/>
                <w:szCs w:val="21"/>
              </w:rPr>
            </w:pPr>
            <w:r>
              <w:rPr>
                <w:rFonts w:hint="eastAsia" w:ascii="宋体" w:hAnsi="宋体" w:cs="宋体"/>
                <w:szCs w:val="21"/>
              </w:rPr>
              <w:t xml:space="preserve">    3.4 搬运烟花爆竹时，必须做到轻拿、轻放、轻搬动，严禁拖拉、碰撞、抛摔、翻滚、摩擦、倒置、挤压等剧烈振动操作行为；不得使用铁撬等铁质工具。</w:t>
            </w:r>
          </w:p>
          <w:p>
            <w:pPr>
              <w:autoSpaceDE w:val="0"/>
              <w:autoSpaceDN w:val="0"/>
              <w:spacing w:line="360" w:lineRule="auto"/>
              <w:rPr>
                <w:rFonts w:ascii="宋体" w:hAnsi="宋体" w:cs="宋体"/>
                <w:szCs w:val="21"/>
              </w:rPr>
            </w:pPr>
            <w:r>
              <w:rPr>
                <w:rFonts w:hint="eastAsia" w:ascii="宋体" w:hAnsi="宋体" w:cs="宋体"/>
                <w:szCs w:val="21"/>
              </w:rPr>
              <w:t xml:space="preserve">    3.5 搬运作业时，应打开库房相应的安全出口，并保持通道通畅，依次搬运、不得拥挤，单件搬运，严禁超量搬运，抢工图快。</w:t>
            </w:r>
          </w:p>
          <w:p>
            <w:pPr>
              <w:autoSpaceDE w:val="0"/>
              <w:autoSpaceDN w:val="0"/>
              <w:spacing w:line="360" w:lineRule="auto"/>
              <w:ind w:firstLine="570"/>
              <w:rPr>
                <w:rFonts w:ascii="宋体" w:hAnsi="宋体" w:cs="宋体"/>
                <w:szCs w:val="21"/>
              </w:rPr>
            </w:pPr>
            <w:r>
              <w:rPr>
                <w:rFonts w:hint="eastAsia" w:ascii="宋体" w:hAnsi="宋体" w:cs="宋体"/>
                <w:szCs w:val="21"/>
              </w:rPr>
              <w:t>3.6 电瓶车、板车、手推车不应进入烟火药、黑火药、引火线和有药半成品仓库内。</w:t>
            </w: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restart"/>
          </w:tcPr>
          <w:p>
            <w:pPr>
              <w:spacing w:line="360" w:lineRule="exact"/>
              <w:ind w:left="840" w:hanging="840" w:hangingChars="400"/>
              <w:jc w:val="center"/>
              <w:rPr>
                <w:rFonts w:ascii="宋体" w:hAnsi="宋体"/>
                <w:szCs w:val="21"/>
              </w:rPr>
            </w:pPr>
            <w:r>
              <w:rPr>
                <w:rFonts w:hint="eastAsia" w:hAnsi="宋体" w:cs="宋体"/>
                <w:color w:val="000000"/>
              </w:rPr>
              <w:t xml:space="preserve">   </w:t>
            </w: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4"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continue"/>
          </w:tcPr>
          <w:p>
            <w:pPr>
              <w:spacing w:line="360" w:lineRule="exact"/>
              <w:jc w:val="center"/>
              <w:rPr>
                <w:rFonts w:ascii="宋体" w:hAnsi="宋体"/>
                <w:szCs w:val="21"/>
              </w:rPr>
            </w:pPr>
          </w:p>
        </w:tc>
        <w:tc>
          <w:tcPr>
            <w:tcW w:w="2404"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2596" w:type="pct"/>
            <w:gridSpan w:val="2"/>
            <w:vAlign w:val="center"/>
          </w:tcPr>
          <w:p>
            <w:pPr>
              <w:spacing w:line="360" w:lineRule="auto"/>
              <w:ind w:firstLine="105" w:firstLineChars="50"/>
              <w:jc w:val="center"/>
              <w:rPr>
                <w:rFonts w:ascii="宋体" w:hAnsi="宋体"/>
                <w:color w:val="000000"/>
                <w:szCs w:val="21"/>
              </w:rPr>
            </w:pPr>
            <w:r>
              <w:rPr>
                <w:rFonts w:hint="eastAsia" w:ascii="宋体" w:hAnsi="宋体"/>
                <w:color w:val="000000"/>
                <w:szCs w:val="21"/>
              </w:rPr>
              <w:t>运输安全操作规程</w:t>
            </w:r>
          </w:p>
        </w:tc>
        <w:tc>
          <w:tcPr>
            <w:tcW w:w="2404" w:type="pct"/>
            <w:gridSpan w:val="2"/>
            <w:vAlign w:val="center"/>
          </w:tcPr>
          <w:p>
            <w:pPr>
              <w:spacing w:line="360" w:lineRule="exact"/>
              <w:jc w:val="center"/>
              <w:rPr>
                <w:rFonts w:ascii="宋体" w:hAnsi="宋体"/>
                <w:szCs w:val="21"/>
              </w:rPr>
            </w:pPr>
            <w:r>
              <w:rPr>
                <w:rFonts w:hint="eastAsia" w:ascii="宋体" w:hAnsi="宋体"/>
                <w:szCs w:val="21"/>
              </w:rPr>
              <w:t>第1版第2次修订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lang w:eastAsia="zh-CN"/>
              </w:rPr>
            </w:pPr>
            <w:r>
              <w:rPr>
                <w:rFonts w:hint="eastAsia" w:ascii="宋体" w:hAnsi="宋体"/>
                <w:szCs w:val="21"/>
                <w:lang w:eastAsia="zh-CN"/>
              </w:rPr>
              <w:t>2022年3月20日</w:t>
            </w:r>
          </w:p>
        </w:tc>
        <w:tc>
          <w:tcPr>
            <w:tcW w:w="564" w:type="pct"/>
          </w:tcPr>
          <w:p>
            <w:pPr>
              <w:spacing w:line="360" w:lineRule="exact"/>
              <w:jc w:val="center"/>
              <w:rPr>
                <w:rFonts w:ascii="宋体" w:hAnsi="宋体"/>
                <w:szCs w:val="21"/>
              </w:rPr>
            </w:pPr>
            <w:r>
              <w:rPr>
                <w:rFonts w:hint="eastAsia" w:ascii="宋体" w:hAnsi="宋体"/>
                <w:szCs w:val="21"/>
              </w:rPr>
              <w:t>审订时间</w:t>
            </w:r>
          </w:p>
        </w:tc>
        <w:tc>
          <w:tcPr>
            <w:tcW w:w="1840"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lang w:eastAsia="zh-CN"/>
              </w:rPr>
            </w:pPr>
            <w:r>
              <w:rPr>
                <w:rFonts w:hint="eastAsia" w:ascii="宋体" w:hAnsi="宋体"/>
                <w:szCs w:val="21"/>
                <w:lang w:eastAsia="zh-CN"/>
              </w:rPr>
              <w:t>2022年4月13日</w:t>
            </w:r>
          </w:p>
        </w:tc>
        <w:tc>
          <w:tcPr>
            <w:tcW w:w="564" w:type="pct"/>
          </w:tcPr>
          <w:p>
            <w:pPr>
              <w:spacing w:line="360" w:lineRule="exact"/>
              <w:rPr>
                <w:rFonts w:ascii="宋体" w:hAnsi="宋体"/>
                <w:szCs w:val="21"/>
              </w:rPr>
            </w:pPr>
            <w:r>
              <w:rPr>
                <w:rFonts w:hint="eastAsia" w:ascii="宋体" w:hAnsi="宋体"/>
                <w:szCs w:val="21"/>
              </w:rPr>
              <w:t>批准人</w:t>
            </w:r>
          </w:p>
        </w:tc>
        <w:tc>
          <w:tcPr>
            <w:tcW w:w="1840"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5000" w:type="pct"/>
            <w:gridSpan w:val="4"/>
          </w:tcPr>
          <w:p>
            <w:pPr>
              <w:spacing w:line="360" w:lineRule="exact"/>
              <w:rPr>
                <w:rFonts w:ascii="宋体" w:hAnsi="宋体"/>
                <w:szCs w:val="21"/>
              </w:rPr>
            </w:pPr>
            <w:r>
              <w:rPr>
                <w:rFonts w:hint="eastAsia" w:ascii="宋体" w:hAnsi="宋体"/>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为了规范本</w:t>
            </w:r>
            <w:r>
              <w:rPr>
                <w:rFonts w:hint="eastAsia" w:ascii="宋体" w:hAnsi="宋体"/>
                <w:szCs w:val="21"/>
              </w:rPr>
              <w:t>厂</w:t>
            </w:r>
            <w:r>
              <w:rPr>
                <w:rFonts w:hint="eastAsia" w:ascii="宋体" w:hAnsi="宋体"/>
                <w:color w:val="000000"/>
                <w:szCs w:val="21"/>
              </w:rPr>
              <w:t>烟花爆竹产品的安全运输。</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rPr>
              <w:t>适用于本</w:t>
            </w:r>
            <w:r>
              <w:rPr>
                <w:rFonts w:hint="eastAsia" w:ascii="宋体" w:hAnsi="宋体"/>
                <w:szCs w:val="21"/>
              </w:rPr>
              <w:t>厂</w:t>
            </w:r>
            <w:r>
              <w:rPr>
                <w:rFonts w:hint="eastAsia" w:ascii="宋体" w:hAnsi="宋体"/>
                <w:color w:val="000000"/>
                <w:szCs w:val="21"/>
              </w:rPr>
              <w:t>烟花爆竹产品的运输</w:t>
            </w:r>
            <w:r>
              <w:rPr>
                <w:rFonts w:hint="eastAsia" w:hAnsi="宋体" w:cs="宋体"/>
                <w:color w:val="000000"/>
              </w:rPr>
              <w:t>。</w:t>
            </w:r>
          </w:p>
          <w:p>
            <w:pPr>
              <w:spacing w:line="360" w:lineRule="exact"/>
              <w:rPr>
                <w:rFonts w:ascii="宋体" w:hAnsi="宋体"/>
                <w:szCs w:val="21"/>
              </w:rPr>
            </w:pPr>
            <w:r>
              <w:rPr>
                <w:rFonts w:hint="eastAsia" w:ascii="宋体" w:hAnsi="宋体"/>
                <w:szCs w:val="21"/>
              </w:rPr>
              <w:t>3.内容</w:t>
            </w:r>
          </w:p>
          <w:p>
            <w:pPr>
              <w:spacing w:line="360" w:lineRule="auto"/>
              <w:rPr>
                <w:rFonts w:ascii="宋体" w:hAnsi="宋体" w:cs="宋体"/>
                <w:szCs w:val="21"/>
              </w:rPr>
            </w:pPr>
            <w:r>
              <w:rPr>
                <w:rFonts w:hint="eastAsia" w:ascii="宋体" w:hAnsi="宋体"/>
                <w:szCs w:val="21"/>
              </w:rPr>
              <w:t xml:space="preserve">  3.1  </w:t>
            </w:r>
            <w:r>
              <w:rPr>
                <w:rFonts w:hint="eastAsia" w:ascii="宋体" w:hAnsi="宋体" w:cs="宋体"/>
                <w:szCs w:val="21"/>
              </w:rPr>
              <w:t>运输工具应使用符合安全要求的机动车，应配备专业驾驶员、押运员。</w:t>
            </w:r>
          </w:p>
          <w:p>
            <w:pPr>
              <w:spacing w:line="360" w:lineRule="auto"/>
              <w:ind w:firstLine="210" w:firstLineChars="100"/>
              <w:rPr>
                <w:rFonts w:ascii="宋体" w:hAnsi="宋体" w:cs="宋体"/>
                <w:szCs w:val="21"/>
              </w:rPr>
            </w:pPr>
            <w:r>
              <w:rPr>
                <w:rFonts w:hint="eastAsia" w:ascii="宋体" w:hAnsi="宋体" w:cs="宋体"/>
                <w:szCs w:val="21"/>
              </w:rPr>
              <w:t>3.2. 机动车跨省（自治区、直辖市）、市、县运输烟花爆竹时，应随车携带《烟花爆竹道路运输许可证》。坚持“六不上路”(</w:t>
            </w:r>
            <w:r>
              <w:rPr>
                <w:rFonts w:ascii="宋体" w:hAnsi="宋体" w:cs="宋体"/>
                <w:szCs w:val="21"/>
              </w:rPr>
              <w:t>车况不好不上路；驾驶员、押运员的手续不齐、身体不适不上路；缺员（缺押运员）不上路；天气状况恶劣不上路；包装存在问题不上路；驾驶员、押运员对所运</w:t>
            </w:r>
            <w:r>
              <w:rPr>
                <w:rFonts w:hint="eastAsia" w:ascii="宋体" w:hAnsi="宋体" w:cs="宋体"/>
                <w:szCs w:val="21"/>
              </w:rPr>
              <w:t>产品</w:t>
            </w:r>
            <w:r>
              <w:rPr>
                <w:rFonts w:ascii="宋体" w:hAnsi="宋体" w:cs="宋体"/>
                <w:szCs w:val="21"/>
              </w:rPr>
              <w:t>性质不清、情况不明不上路</w:t>
            </w:r>
            <w:r>
              <w:rPr>
                <w:rFonts w:hint="eastAsia" w:ascii="宋体" w:hAnsi="宋体" w:cs="宋体"/>
                <w:szCs w:val="21"/>
              </w:rPr>
              <w:t>的原则，严禁超速等违章行驶。</w:t>
            </w:r>
          </w:p>
          <w:p>
            <w:pPr>
              <w:spacing w:line="360" w:lineRule="auto"/>
              <w:ind w:firstLine="420" w:firstLineChars="200"/>
              <w:rPr>
                <w:rFonts w:ascii="宋体" w:hAnsi="宋体" w:cs="宋体"/>
                <w:szCs w:val="21"/>
              </w:rPr>
            </w:pPr>
            <w:r>
              <w:rPr>
                <w:rFonts w:hint="eastAsia" w:ascii="宋体" w:hAnsi="宋体" w:cs="宋体"/>
                <w:szCs w:val="21"/>
              </w:rPr>
              <w:t>3.3 车辆运输货物时不得人货混装，严禁装运无包装及不符合安全要求的烟花爆竹产品，严禁搭载无关人员。所运输的烟花爆竹堆码应平稳、整齐，遮盖严密，堆码高度不应超过运输工具围板、挡板高度。</w:t>
            </w:r>
          </w:p>
          <w:p>
            <w:pPr>
              <w:spacing w:line="360" w:lineRule="auto"/>
              <w:ind w:firstLine="420" w:firstLineChars="200"/>
              <w:rPr>
                <w:rFonts w:ascii="宋体" w:hAnsi="宋体" w:cs="宋体"/>
                <w:szCs w:val="21"/>
              </w:rPr>
            </w:pPr>
            <w:r>
              <w:rPr>
                <w:rFonts w:hint="eastAsia" w:ascii="宋体" w:hAnsi="宋体" w:cs="宋体"/>
                <w:szCs w:val="21"/>
              </w:rPr>
              <w:t>3.4 中途停车要远离尘烟排污的环境、油库、繁华公共场所及人员密集地，通过城市区域时须按照当地公安机关指定的运输时间、路线行驶。</w:t>
            </w:r>
          </w:p>
          <w:p>
            <w:pPr>
              <w:spacing w:line="360" w:lineRule="auto"/>
              <w:ind w:firstLine="420" w:firstLineChars="200"/>
              <w:rPr>
                <w:rFonts w:ascii="宋体" w:hAnsi="宋体" w:cs="宋体"/>
                <w:szCs w:val="21"/>
              </w:rPr>
            </w:pPr>
            <w:r>
              <w:rPr>
                <w:rFonts w:hint="eastAsia" w:ascii="宋体" w:hAnsi="宋体" w:cs="宋体"/>
                <w:szCs w:val="21"/>
              </w:rPr>
              <w:t>3.5 车辆进入烟花爆竹库区必须安装阻火器，在库区行驶的速度不得超过15km /h。</w:t>
            </w:r>
          </w:p>
          <w:p>
            <w:pPr>
              <w:spacing w:line="360" w:lineRule="auto"/>
              <w:ind w:firstLine="420" w:firstLineChars="200"/>
              <w:rPr>
                <w:rFonts w:ascii="宋体" w:hAnsi="宋体" w:cs="宋体"/>
                <w:szCs w:val="21"/>
              </w:rPr>
            </w:pPr>
            <w:r>
              <w:rPr>
                <w:rFonts w:hint="eastAsia" w:ascii="宋体" w:hAnsi="宋体" w:cs="宋体"/>
                <w:szCs w:val="21"/>
              </w:rPr>
              <w:t>3.6 在库（厂）区转运烟花爆竹时，严禁使用挂车、摩托车、三轮车、畜力车、独轮手推车、自卸车和各种挂车。</w:t>
            </w: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restart"/>
          </w:tcPr>
          <w:p>
            <w:pPr>
              <w:spacing w:line="360" w:lineRule="exact"/>
              <w:ind w:left="840" w:hanging="840" w:hangingChars="400"/>
              <w:jc w:val="center"/>
              <w:rPr>
                <w:rFonts w:ascii="宋体" w:hAnsi="宋体"/>
                <w:szCs w:val="21"/>
              </w:rPr>
            </w:pPr>
            <w:r>
              <w:rPr>
                <w:rFonts w:hint="eastAsia" w:hAnsi="宋体" w:cs="宋体"/>
                <w:color w:val="000000"/>
              </w:rPr>
              <w:t xml:space="preserve">   </w:t>
            </w: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4"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continue"/>
          </w:tcPr>
          <w:p>
            <w:pPr>
              <w:spacing w:line="360" w:lineRule="exact"/>
              <w:jc w:val="center"/>
              <w:rPr>
                <w:rFonts w:ascii="宋体" w:hAnsi="宋体"/>
                <w:szCs w:val="21"/>
              </w:rPr>
            </w:pPr>
          </w:p>
        </w:tc>
        <w:tc>
          <w:tcPr>
            <w:tcW w:w="2404"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2596" w:type="pct"/>
            <w:gridSpan w:val="2"/>
            <w:vAlign w:val="center"/>
          </w:tcPr>
          <w:p>
            <w:pPr>
              <w:spacing w:line="360" w:lineRule="auto"/>
              <w:ind w:firstLine="105" w:firstLineChars="50"/>
              <w:jc w:val="center"/>
              <w:rPr>
                <w:rFonts w:ascii="宋体" w:hAnsi="宋体"/>
                <w:color w:val="000000"/>
                <w:szCs w:val="21"/>
              </w:rPr>
            </w:pPr>
            <w:r>
              <w:rPr>
                <w:rFonts w:hint="eastAsia" w:ascii="宋体" w:hAnsi="宋体" w:cs="宋体"/>
                <w:color w:val="000000"/>
                <w:szCs w:val="21"/>
              </w:rPr>
              <w:t>爆竹空饼机械插引安全操作规程</w:t>
            </w:r>
          </w:p>
        </w:tc>
        <w:tc>
          <w:tcPr>
            <w:tcW w:w="2404" w:type="pct"/>
            <w:gridSpan w:val="2"/>
            <w:vAlign w:val="center"/>
          </w:tcPr>
          <w:p>
            <w:pPr>
              <w:spacing w:line="360" w:lineRule="exact"/>
              <w:jc w:val="center"/>
              <w:rPr>
                <w:rFonts w:ascii="宋体" w:hAnsi="宋体"/>
                <w:szCs w:val="21"/>
              </w:rPr>
            </w:pPr>
            <w:r>
              <w:rPr>
                <w:rFonts w:hint="eastAsia" w:ascii="宋体" w:hAnsi="宋体"/>
                <w:szCs w:val="21"/>
              </w:rPr>
              <w:t>第1版第2次修订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szCs w:val="21"/>
                <w:lang w:eastAsia="zh-CN"/>
              </w:rPr>
            </w:pPr>
            <w:r>
              <w:rPr>
                <w:rFonts w:hint="eastAsia" w:ascii="宋体" w:hAnsi="宋体"/>
                <w:szCs w:val="21"/>
                <w:lang w:eastAsia="zh-CN"/>
              </w:rPr>
              <w:t>2022年3月20日</w:t>
            </w:r>
          </w:p>
        </w:tc>
        <w:tc>
          <w:tcPr>
            <w:tcW w:w="564" w:type="pct"/>
          </w:tcPr>
          <w:p>
            <w:pPr>
              <w:spacing w:line="360" w:lineRule="exact"/>
              <w:jc w:val="center"/>
              <w:rPr>
                <w:rFonts w:ascii="宋体" w:hAnsi="宋体"/>
                <w:szCs w:val="21"/>
              </w:rPr>
            </w:pPr>
            <w:r>
              <w:rPr>
                <w:rFonts w:hint="eastAsia" w:ascii="宋体" w:hAnsi="宋体"/>
                <w:szCs w:val="21"/>
              </w:rPr>
              <w:t>审订时间</w:t>
            </w:r>
          </w:p>
        </w:tc>
        <w:tc>
          <w:tcPr>
            <w:tcW w:w="1840"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szCs w:val="21"/>
                <w:lang w:eastAsia="zh-CN"/>
              </w:rPr>
            </w:pPr>
            <w:r>
              <w:rPr>
                <w:rFonts w:hint="eastAsia" w:ascii="宋体" w:hAnsi="宋体"/>
                <w:szCs w:val="21"/>
                <w:lang w:eastAsia="zh-CN"/>
              </w:rPr>
              <w:t>2022年4月13日</w:t>
            </w:r>
          </w:p>
        </w:tc>
        <w:tc>
          <w:tcPr>
            <w:tcW w:w="564" w:type="pct"/>
          </w:tcPr>
          <w:p>
            <w:pPr>
              <w:spacing w:line="360" w:lineRule="exact"/>
              <w:rPr>
                <w:rFonts w:ascii="宋体" w:hAnsi="宋体"/>
                <w:szCs w:val="21"/>
              </w:rPr>
            </w:pPr>
            <w:r>
              <w:rPr>
                <w:rFonts w:hint="eastAsia" w:ascii="宋体" w:hAnsi="宋体"/>
                <w:szCs w:val="21"/>
              </w:rPr>
              <w:t>批准人</w:t>
            </w:r>
          </w:p>
        </w:tc>
        <w:tc>
          <w:tcPr>
            <w:tcW w:w="1840"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5000" w:type="pct"/>
            <w:gridSpan w:val="4"/>
          </w:tcPr>
          <w:p>
            <w:pPr>
              <w:spacing w:line="360" w:lineRule="exact"/>
              <w:rPr>
                <w:rFonts w:ascii="宋体" w:hAnsi="宋体"/>
                <w:szCs w:val="21"/>
              </w:rPr>
            </w:pPr>
            <w:r>
              <w:rPr>
                <w:rFonts w:hint="eastAsia" w:ascii="宋体" w:hAnsi="宋体"/>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空饼机械插引</w:t>
            </w:r>
            <w:r>
              <w:rPr>
                <w:rFonts w:hint="eastAsia" w:ascii="宋体" w:hAnsi="宋体"/>
                <w:color w:val="000000"/>
                <w:szCs w:val="21"/>
              </w:rPr>
              <w:t>。</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szCs w:val="21"/>
              </w:rPr>
              <w:t>适用于本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空饼机械插引</w:t>
            </w:r>
            <w:r>
              <w:rPr>
                <w:rFonts w:hint="eastAsia" w:hAnsi="宋体" w:cs="宋体"/>
                <w:color w:val="000000"/>
                <w:szCs w:val="21"/>
              </w:rPr>
              <w:t>。</w:t>
            </w:r>
          </w:p>
          <w:p>
            <w:pPr>
              <w:spacing w:line="360" w:lineRule="exact"/>
              <w:rPr>
                <w:rFonts w:ascii="宋体" w:hAnsi="宋体"/>
                <w:szCs w:val="21"/>
              </w:rPr>
            </w:pPr>
            <w:r>
              <w:rPr>
                <w:rFonts w:hint="eastAsia" w:ascii="宋体" w:hAnsi="宋体"/>
                <w:szCs w:val="21"/>
              </w:rPr>
              <w:t>3.内容</w:t>
            </w:r>
          </w:p>
          <w:p>
            <w:pPr>
              <w:widowControl/>
              <w:numPr>
                <w:ilvl w:val="0"/>
                <w:numId w:val="7"/>
              </w:numPr>
              <w:spacing w:line="360" w:lineRule="auto"/>
              <w:ind w:left="482" w:hanging="482"/>
              <w:rPr>
                <w:rFonts w:ascii="宋体" w:hAnsi="宋体" w:cs="宋体"/>
                <w:szCs w:val="21"/>
              </w:rPr>
            </w:pPr>
            <w:r>
              <w:rPr>
                <w:rFonts w:hint="eastAsia" w:ascii="宋体" w:hAnsi="宋体" w:cs="宋体"/>
                <w:szCs w:val="21"/>
              </w:rPr>
              <w:t>本工序应单人、单间、单机操作。每间定量3千克，严禁超量领取、存放。</w:t>
            </w:r>
          </w:p>
          <w:p>
            <w:pPr>
              <w:widowControl/>
              <w:numPr>
                <w:ilvl w:val="0"/>
                <w:numId w:val="7"/>
              </w:numPr>
              <w:spacing w:line="360" w:lineRule="auto"/>
              <w:ind w:left="482" w:hanging="482"/>
              <w:rPr>
                <w:rFonts w:ascii="宋体" w:hAnsi="宋体" w:cs="宋体"/>
                <w:szCs w:val="21"/>
              </w:rPr>
            </w:pPr>
            <w:r>
              <w:rPr>
                <w:rFonts w:hint="eastAsia" w:ascii="宋体" w:hAnsi="宋体" w:cs="宋体"/>
                <w:szCs w:val="21"/>
              </w:rPr>
              <w:t>引架与插引机相距2米以上，并采用防火隔墙隔离，引架与插引机应安装牢固。</w:t>
            </w:r>
          </w:p>
          <w:p>
            <w:pPr>
              <w:widowControl/>
              <w:numPr>
                <w:ilvl w:val="0"/>
                <w:numId w:val="7"/>
              </w:numPr>
              <w:spacing w:line="360" w:lineRule="auto"/>
              <w:ind w:left="482" w:hanging="482"/>
              <w:rPr>
                <w:rFonts w:ascii="宋体" w:hAnsi="宋体" w:cs="宋体"/>
                <w:szCs w:val="21"/>
              </w:rPr>
            </w:pPr>
            <w:r>
              <w:rPr>
                <w:rFonts w:hint="eastAsia" w:ascii="宋体" w:hAnsi="宋体" w:cs="宋体"/>
                <w:szCs w:val="21"/>
              </w:rPr>
              <w:t>作业前应检查插引机是否运转正常，引线连接是否正常，切割刀片应锋利，空饼是否完好，捆扎松紧是否符合生产工艺要求。</w:t>
            </w:r>
          </w:p>
          <w:p>
            <w:pPr>
              <w:widowControl/>
              <w:numPr>
                <w:ilvl w:val="0"/>
                <w:numId w:val="7"/>
              </w:numPr>
              <w:spacing w:line="360" w:lineRule="auto"/>
              <w:ind w:left="482" w:hanging="482"/>
              <w:rPr>
                <w:rFonts w:ascii="宋体" w:hAnsi="宋体" w:cs="宋体"/>
                <w:szCs w:val="21"/>
              </w:rPr>
            </w:pPr>
            <w:r>
              <w:rPr>
                <w:rFonts w:hint="eastAsia" w:ascii="宋体" w:hAnsi="宋体" w:cs="宋体"/>
                <w:szCs w:val="21"/>
              </w:rPr>
              <w:t>插引时，发现干引、破引，必须剔除，插完的引饼应及时转入中转库。</w:t>
            </w:r>
          </w:p>
          <w:p>
            <w:pPr>
              <w:widowControl/>
              <w:numPr>
                <w:ilvl w:val="0"/>
                <w:numId w:val="7"/>
              </w:numPr>
              <w:spacing w:line="360" w:lineRule="auto"/>
              <w:ind w:left="482" w:hanging="482"/>
              <w:rPr>
                <w:rFonts w:ascii="宋体" w:hAnsi="宋体" w:cs="宋体"/>
                <w:szCs w:val="21"/>
              </w:rPr>
            </w:pPr>
            <w:r>
              <w:rPr>
                <w:rFonts w:hint="eastAsia" w:ascii="宋体" w:hAnsi="宋体" w:cs="宋体"/>
                <w:szCs w:val="21"/>
              </w:rPr>
              <w:t>操作台的废引应倒入指定容器，保持地面清洁。</w:t>
            </w: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tc>
      </w:tr>
    </w:tbl>
    <w:p>
      <w:pPr>
        <w:spacing w:line="360" w:lineRule="auto"/>
        <w:rPr>
          <w:rFonts w:ascii="Times New Roman" w:hAnsi="宋体"/>
          <w:color w:val="000000"/>
          <w:sz w:val="24"/>
          <w:szCs w:val="24"/>
        </w:rPr>
      </w:pP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1"/>
        <w:gridCol w:w="2692"/>
        <w:gridCol w:w="1096"/>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restart"/>
          </w:tcPr>
          <w:p>
            <w:pPr>
              <w:spacing w:line="360" w:lineRule="exact"/>
              <w:ind w:left="840" w:hanging="840" w:hangingChars="400"/>
              <w:jc w:val="center"/>
              <w:rPr>
                <w:rFonts w:ascii="宋体" w:hAnsi="宋体"/>
                <w:szCs w:val="21"/>
              </w:rPr>
            </w:pPr>
            <w:r>
              <w:rPr>
                <w:rFonts w:hint="eastAsia" w:hAnsi="宋体" w:cs="宋体"/>
                <w:color w:val="000000"/>
              </w:rPr>
              <w:t xml:space="preserve">   </w:t>
            </w: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4"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continue"/>
          </w:tcPr>
          <w:p>
            <w:pPr>
              <w:spacing w:line="360" w:lineRule="exact"/>
              <w:jc w:val="center"/>
              <w:rPr>
                <w:rFonts w:ascii="宋体" w:hAnsi="宋体"/>
                <w:szCs w:val="21"/>
              </w:rPr>
            </w:pPr>
          </w:p>
        </w:tc>
        <w:tc>
          <w:tcPr>
            <w:tcW w:w="2404"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2596" w:type="pct"/>
            <w:gridSpan w:val="2"/>
            <w:vAlign w:val="center"/>
          </w:tcPr>
          <w:p>
            <w:pPr>
              <w:spacing w:line="360" w:lineRule="auto"/>
              <w:ind w:firstLine="105" w:firstLineChars="50"/>
              <w:jc w:val="center"/>
              <w:rPr>
                <w:rFonts w:ascii="宋体" w:hAnsi="宋体"/>
                <w:color w:val="000000"/>
                <w:szCs w:val="21"/>
              </w:rPr>
            </w:pPr>
            <w:r>
              <w:rPr>
                <w:rFonts w:hint="eastAsia" w:ascii="宋体" w:hAnsi="宋体" w:cs="宋体"/>
                <w:color w:val="000000"/>
                <w:szCs w:val="21"/>
              </w:rPr>
              <w:t>爆竹机械混装药安全操作规程</w:t>
            </w:r>
          </w:p>
        </w:tc>
        <w:tc>
          <w:tcPr>
            <w:tcW w:w="2404" w:type="pct"/>
            <w:gridSpan w:val="2"/>
            <w:vAlign w:val="center"/>
          </w:tcPr>
          <w:p>
            <w:pPr>
              <w:spacing w:line="360" w:lineRule="exact"/>
              <w:jc w:val="center"/>
              <w:rPr>
                <w:rFonts w:ascii="宋体" w:hAnsi="宋体"/>
                <w:szCs w:val="21"/>
              </w:rPr>
            </w:pPr>
            <w:r>
              <w:rPr>
                <w:rFonts w:hint="eastAsia" w:ascii="宋体" w:hAnsi="宋体"/>
                <w:szCs w:val="21"/>
              </w:rPr>
              <w:t>第1版第2次修订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szCs w:val="21"/>
                <w:lang w:eastAsia="zh-CN"/>
              </w:rPr>
            </w:pPr>
            <w:r>
              <w:rPr>
                <w:rFonts w:hint="eastAsia" w:ascii="宋体" w:hAnsi="宋体"/>
                <w:szCs w:val="21"/>
                <w:lang w:eastAsia="zh-CN"/>
              </w:rPr>
              <w:t>2022年3月20日</w:t>
            </w:r>
          </w:p>
        </w:tc>
        <w:tc>
          <w:tcPr>
            <w:tcW w:w="564" w:type="pct"/>
          </w:tcPr>
          <w:p>
            <w:pPr>
              <w:spacing w:line="360" w:lineRule="exact"/>
              <w:jc w:val="center"/>
              <w:rPr>
                <w:rFonts w:ascii="宋体" w:hAnsi="宋体"/>
                <w:szCs w:val="21"/>
              </w:rPr>
            </w:pPr>
            <w:r>
              <w:rPr>
                <w:rFonts w:hint="eastAsia" w:ascii="宋体" w:hAnsi="宋体"/>
                <w:szCs w:val="21"/>
              </w:rPr>
              <w:t>审订时间</w:t>
            </w:r>
          </w:p>
        </w:tc>
        <w:tc>
          <w:tcPr>
            <w:tcW w:w="1840"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szCs w:val="21"/>
                <w:lang w:eastAsia="zh-CN"/>
              </w:rPr>
            </w:pPr>
            <w:r>
              <w:rPr>
                <w:rFonts w:hint="eastAsia" w:ascii="宋体" w:hAnsi="宋体"/>
                <w:szCs w:val="21"/>
                <w:lang w:eastAsia="zh-CN"/>
              </w:rPr>
              <w:t>2022年4月13日</w:t>
            </w:r>
          </w:p>
        </w:tc>
        <w:tc>
          <w:tcPr>
            <w:tcW w:w="564" w:type="pct"/>
          </w:tcPr>
          <w:p>
            <w:pPr>
              <w:spacing w:line="360" w:lineRule="exact"/>
              <w:rPr>
                <w:rFonts w:ascii="宋体" w:hAnsi="宋体"/>
                <w:szCs w:val="21"/>
              </w:rPr>
            </w:pPr>
            <w:r>
              <w:rPr>
                <w:rFonts w:hint="eastAsia" w:ascii="宋体" w:hAnsi="宋体"/>
                <w:szCs w:val="21"/>
              </w:rPr>
              <w:t>批准人</w:t>
            </w:r>
          </w:p>
        </w:tc>
        <w:tc>
          <w:tcPr>
            <w:tcW w:w="1840"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5000" w:type="pct"/>
            <w:gridSpan w:val="4"/>
          </w:tcPr>
          <w:p>
            <w:pPr>
              <w:spacing w:line="360" w:lineRule="exact"/>
              <w:rPr>
                <w:rFonts w:ascii="宋体" w:hAnsi="宋体"/>
                <w:szCs w:val="21"/>
              </w:rPr>
            </w:pPr>
            <w:r>
              <w:rPr>
                <w:rFonts w:hint="eastAsia" w:ascii="宋体" w:hAnsi="宋体"/>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机械混装药</w:t>
            </w:r>
            <w:r>
              <w:rPr>
                <w:rFonts w:hint="eastAsia" w:ascii="宋体" w:hAnsi="宋体"/>
                <w:color w:val="000000"/>
                <w:szCs w:val="21"/>
              </w:rPr>
              <w:t>。</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szCs w:val="21"/>
              </w:rPr>
              <w:t>适用于本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机械混装药</w:t>
            </w:r>
            <w:r>
              <w:rPr>
                <w:rFonts w:hint="eastAsia" w:hAnsi="宋体" w:cs="宋体"/>
                <w:color w:val="000000"/>
                <w:szCs w:val="21"/>
              </w:rPr>
              <w:t>。</w:t>
            </w:r>
          </w:p>
          <w:p>
            <w:pPr>
              <w:spacing w:line="360" w:lineRule="exact"/>
              <w:rPr>
                <w:rFonts w:ascii="宋体" w:hAnsi="宋体"/>
                <w:szCs w:val="21"/>
              </w:rPr>
            </w:pPr>
            <w:r>
              <w:rPr>
                <w:rFonts w:hint="eastAsia" w:ascii="宋体" w:hAnsi="宋体"/>
                <w:szCs w:val="21"/>
              </w:rPr>
              <w:t>3.内容</w:t>
            </w:r>
          </w:p>
          <w:p>
            <w:pPr>
              <w:widowControl/>
              <w:numPr>
                <w:ilvl w:val="0"/>
                <w:numId w:val="8"/>
              </w:numPr>
              <w:spacing w:line="360" w:lineRule="auto"/>
              <w:rPr>
                <w:rFonts w:ascii="宋体" w:hAnsi="宋体" w:cs="宋体"/>
                <w:szCs w:val="21"/>
              </w:rPr>
            </w:pPr>
            <w:r>
              <w:rPr>
                <w:rFonts w:hint="eastAsia" w:ascii="宋体" w:hAnsi="宋体" w:cs="宋体"/>
                <w:szCs w:val="21"/>
              </w:rPr>
              <w:t>按规定穿戴好劳保用品，进入装药区时必须触摸防静电设施。严禁酒后上班，严禁非本工序人员未经管理人员许可进入本工序。</w:t>
            </w:r>
          </w:p>
          <w:p>
            <w:pPr>
              <w:widowControl/>
              <w:numPr>
                <w:ilvl w:val="0"/>
                <w:numId w:val="8"/>
              </w:numPr>
              <w:spacing w:line="360" w:lineRule="auto"/>
              <w:rPr>
                <w:rFonts w:ascii="宋体" w:hAnsi="宋体" w:cs="宋体"/>
                <w:szCs w:val="21"/>
              </w:rPr>
            </w:pPr>
            <w:r>
              <w:rPr>
                <w:rFonts w:hint="eastAsia" w:ascii="宋体" w:hAnsi="宋体" w:cs="宋体"/>
                <w:szCs w:val="21"/>
              </w:rPr>
              <w:t>每次开机让机器空转5分钟，检查有无异响，皮带是否跑偏，皮带间有无药尘及杂物，检查无异样后，方可开始加料作业。</w:t>
            </w:r>
          </w:p>
          <w:p>
            <w:pPr>
              <w:widowControl/>
              <w:numPr>
                <w:ilvl w:val="0"/>
                <w:numId w:val="8"/>
              </w:numPr>
              <w:spacing w:line="360" w:lineRule="auto"/>
              <w:rPr>
                <w:rFonts w:ascii="宋体" w:hAnsi="宋体" w:cs="宋体"/>
                <w:szCs w:val="21"/>
              </w:rPr>
            </w:pPr>
            <w:r>
              <w:rPr>
                <w:rFonts w:hint="eastAsia" w:ascii="宋体" w:hAnsi="宋体" w:cs="宋体"/>
                <w:szCs w:val="21"/>
              </w:rPr>
              <w:t>检查所用化工材料是否符合本工序要求，有无杂质、吸潮结块等。</w:t>
            </w:r>
          </w:p>
          <w:p>
            <w:pPr>
              <w:widowControl/>
              <w:numPr>
                <w:ilvl w:val="0"/>
                <w:numId w:val="8"/>
              </w:numPr>
              <w:spacing w:line="360" w:lineRule="auto"/>
              <w:rPr>
                <w:rFonts w:ascii="宋体" w:hAnsi="宋体" w:cs="宋体"/>
                <w:szCs w:val="21"/>
              </w:rPr>
            </w:pPr>
            <w:r>
              <w:rPr>
                <w:rFonts w:hint="eastAsia" w:ascii="宋体" w:hAnsi="宋体" w:cs="宋体"/>
                <w:szCs w:val="21"/>
              </w:rPr>
              <w:t>在机器运转过程中，混装药间的地面始终保持3厘米以上的水。</w:t>
            </w:r>
          </w:p>
          <w:p>
            <w:pPr>
              <w:widowControl/>
              <w:numPr>
                <w:ilvl w:val="0"/>
                <w:numId w:val="8"/>
              </w:numPr>
              <w:spacing w:line="360" w:lineRule="auto"/>
              <w:rPr>
                <w:rFonts w:ascii="宋体" w:hAnsi="宋体" w:cs="宋体"/>
                <w:szCs w:val="21"/>
              </w:rPr>
            </w:pPr>
            <w:r>
              <w:rPr>
                <w:rFonts w:hint="eastAsia" w:ascii="宋体" w:hAnsi="宋体" w:cs="宋体"/>
                <w:szCs w:val="21"/>
              </w:rPr>
              <w:t>泄爆间的门应当与装药机主电源保持有效连锁状态，机器带药运转过程中，严禁任何人进入泄爆间内。</w:t>
            </w:r>
          </w:p>
          <w:p>
            <w:pPr>
              <w:widowControl/>
              <w:numPr>
                <w:ilvl w:val="0"/>
                <w:numId w:val="8"/>
              </w:numPr>
              <w:spacing w:line="360" w:lineRule="auto"/>
              <w:rPr>
                <w:rFonts w:ascii="宋体" w:hAnsi="宋体" w:cs="宋体"/>
                <w:szCs w:val="21"/>
              </w:rPr>
            </w:pPr>
            <w:r>
              <w:rPr>
                <w:rFonts w:hint="eastAsia" w:ascii="宋体" w:hAnsi="宋体" w:cs="宋体"/>
                <w:szCs w:val="21"/>
              </w:rPr>
              <w:t xml:space="preserve">出现电源线路漏电、短路、机器运转不正常、药剂温度异常升高或有异味、散饼或药斗下药不畅等情况时，必须立即关机停止作业，清除存留机器上的药物，排除故障后方可作业。 </w:t>
            </w:r>
          </w:p>
          <w:p>
            <w:pPr>
              <w:widowControl/>
              <w:numPr>
                <w:ilvl w:val="0"/>
                <w:numId w:val="8"/>
              </w:numPr>
              <w:spacing w:line="360" w:lineRule="auto"/>
              <w:rPr>
                <w:rFonts w:ascii="宋体" w:hAnsi="宋体" w:cs="宋体"/>
                <w:szCs w:val="21"/>
              </w:rPr>
            </w:pPr>
            <w:r>
              <w:rPr>
                <w:rFonts w:hint="eastAsia" w:ascii="宋体" w:hAnsi="宋体" w:cs="宋体"/>
                <w:szCs w:val="21"/>
              </w:rPr>
              <w:t>封口饼应及时转运至保养房，本工房定量10kg，禁止超量存放。</w:t>
            </w:r>
          </w:p>
          <w:p>
            <w:pPr>
              <w:widowControl/>
              <w:numPr>
                <w:ilvl w:val="0"/>
                <w:numId w:val="8"/>
              </w:numPr>
              <w:spacing w:line="360" w:lineRule="auto"/>
              <w:rPr>
                <w:rFonts w:ascii="宋体" w:hAnsi="宋体" w:cs="宋体"/>
                <w:szCs w:val="21"/>
              </w:rPr>
            </w:pPr>
            <w:r>
              <w:rPr>
                <w:rFonts w:hint="eastAsia" w:ascii="宋体" w:hAnsi="宋体" w:cs="宋体"/>
                <w:szCs w:val="21"/>
              </w:rPr>
              <w:t>下班断电停机后，使用气吹枪和软刷吹扫机器表面；用水冲洗地面和混装药间的墙面。</w:t>
            </w:r>
          </w:p>
          <w:p>
            <w:pPr>
              <w:widowControl/>
              <w:numPr>
                <w:ilvl w:val="0"/>
                <w:numId w:val="8"/>
              </w:numPr>
              <w:spacing w:line="360" w:lineRule="auto"/>
              <w:rPr>
                <w:rFonts w:ascii="宋体" w:hAnsi="宋体" w:cs="宋体"/>
                <w:szCs w:val="21"/>
              </w:rPr>
            </w:pPr>
            <w:r>
              <w:rPr>
                <w:rFonts w:hint="eastAsia" w:ascii="宋体" w:hAnsi="宋体" w:cs="宋体"/>
                <w:szCs w:val="21"/>
              </w:rPr>
              <w:t>混装药间的地面废水应单独收集到废水沉淀处理池，进行有效处理。</w:t>
            </w: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restart"/>
          </w:tcPr>
          <w:p>
            <w:pPr>
              <w:spacing w:line="360" w:lineRule="exact"/>
              <w:ind w:left="840" w:hanging="840" w:hangingChars="400"/>
              <w:jc w:val="center"/>
              <w:rPr>
                <w:rFonts w:ascii="宋体" w:hAnsi="宋体"/>
                <w:szCs w:val="21"/>
              </w:rPr>
            </w:pPr>
            <w:r>
              <w:rPr>
                <w:rFonts w:hint="eastAsia" w:hAnsi="宋体" w:cs="宋体"/>
                <w:color w:val="000000"/>
              </w:rPr>
              <w:t xml:space="preserve">   </w:t>
            </w: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4"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continue"/>
          </w:tcPr>
          <w:p>
            <w:pPr>
              <w:spacing w:line="360" w:lineRule="exact"/>
              <w:jc w:val="center"/>
              <w:rPr>
                <w:rFonts w:ascii="宋体" w:hAnsi="宋体"/>
                <w:szCs w:val="21"/>
              </w:rPr>
            </w:pPr>
          </w:p>
        </w:tc>
        <w:tc>
          <w:tcPr>
            <w:tcW w:w="2404"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2596" w:type="pct"/>
            <w:gridSpan w:val="2"/>
            <w:vAlign w:val="center"/>
          </w:tcPr>
          <w:p>
            <w:pPr>
              <w:spacing w:line="360" w:lineRule="auto"/>
              <w:ind w:firstLine="105" w:firstLineChars="50"/>
              <w:jc w:val="center"/>
              <w:rPr>
                <w:rFonts w:ascii="宋体" w:hAnsi="宋体"/>
                <w:color w:val="000000"/>
                <w:szCs w:val="21"/>
              </w:rPr>
            </w:pPr>
            <w:r>
              <w:rPr>
                <w:rFonts w:hint="eastAsia" w:ascii="宋体" w:hAnsi="宋体" w:cs="宋体"/>
                <w:color w:val="000000"/>
                <w:szCs w:val="21"/>
              </w:rPr>
              <w:t>封口</w:t>
            </w:r>
            <w:r>
              <w:rPr>
                <w:rFonts w:ascii="宋体" w:hAnsi="宋体" w:cs="宋体"/>
                <w:color w:val="000000"/>
                <w:szCs w:val="21"/>
              </w:rPr>
              <w:t>饼保养安全操作规程</w:t>
            </w:r>
          </w:p>
        </w:tc>
        <w:tc>
          <w:tcPr>
            <w:tcW w:w="2404" w:type="pct"/>
            <w:gridSpan w:val="2"/>
            <w:vAlign w:val="center"/>
          </w:tcPr>
          <w:p>
            <w:pPr>
              <w:spacing w:line="360" w:lineRule="exact"/>
              <w:jc w:val="center"/>
              <w:rPr>
                <w:rFonts w:ascii="宋体" w:hAnsi="宋体"/>
                <w:szCs w:val="21"/>
              </w:rPr>
            </w:pPr>
            <w:r>
              <w:rPr>
                <w:rFonts w:hint="eastAsia" w:ascii="宋体" w:hAnsi="宋体"/>
                <w:szCs w:val="21"/>
              </w:rPr>
              <w:t>第1版第2次修订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szCs w:val="21"/>
                <w:lang w:eastAsia="zh-CN"/>
              </w:rPr>
            </w:pPr>
            <w:r>
              <w:rPr>
                <w:rFonts w:hint="eastAsia" w:ascii="宋体" w:hAnsi="宋体"/>
                <w:szCs w:val="21"/>
                <w:lang w:eastAsia="zh-CN"/>
              </w:rPr>
              <w:t>2022年3月20日</w:t>
            </w:r>
          </w:p>
        </w:tc>
        <w:tc>
          <w:tcPr>
            <w:tcW w:w="564" w:type="pct"/>
          </w:tcPr>
          <w:p>
            <w:pPr>
              <w:spacing w:line="360" w:lineRule="exact"/>
              <w:jc w:val="center"/>
              <w:rPr>
                <w:rFonts w:ascii="宋体" w:hAnsi="宋体"/>
                <w:szCs w:val="21"/>
              </w:rPr>
            </w:pPr>
            <w:r>
              <w:rPr>
                <w:rFonts w:hint="eastAsia" w:ascii="宋体" w:hAnsi="宋体"/>
                <w:szCs w:val="21"/>
              </w:rPr>
              <w:t>审订时间</w:t>
            </w:r>
          </w:p>
        </w:tc>
        <w:tc>
          <w:tcPr>
            <w:tcW w:w="1840"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szCs w:val="21"/>
                <w:lang w:eastAsia="zh-CN"/>
              </w:rPr>
            </w:pPr>
            <w:r>
              <w:rPr>
                <w:rFonts w:hint="eastAsia" w:ascii="宋体" w:hAnsi="宋体"/>
                <w:szCs w:val="21"/>
                <w:lang w:eastAsia="zh-CN"/>
              </w:rPr>
              <w:t>2022年4月13日</w:t>
            </w:r>
          </w:p>
        </w:tc>
        <w:tc>
          <w:tcPr>
            <w:tcW w:w="564" w:type="pct"/>
          </w:tcPr>
          <w:p>
            <w:pPr>
              <w:spacing w:line="360" w:lineRule="exact"/>
              <w:rPr>
                <w:rFonts w:ascii="宋体" w:hAnsi="宋体"/>
                <w:szCs w:val="21"/>
              </w:rPr>
            </w:pPr>
            <w:r>
              <w:rPr>
                <w:rFonts w:hint="eastAsia" w:ascii="宋体" w:hAnsi="宋体"/>
                <w:szCs w:val="21"/>
              </w:rPr>
              <w:t>批准人</w:t>
            </w:r>
          </w:p>
        </w:tc>
        <w:tc>
          <w:tcPr>
            <w:tcW w:w="1840"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5000" w:type="pct"/>
            <w:gridSpan w:val="4"/>
          </w:tcPr>
          <w:p>
            <w:pPr>
              <w:spacing w:line="360" w:lineRule="exact"/>
              <w:rPr>
                <w:rFonts w:ascii="宋体" w:hAnsi="宋体"/>
                <w:szCs w:val="21"/>
              </w:rPr>
            </w:pPr>
            <w:r>
              <w:rPr>
                <w:rFonts w:hint="eastAsia" w:ascii="宋体" w:hAnsi="宋体"/>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封口</w:t>
            </w:r>
            <w:r>
              <w:rPr>
                <w:rFonts w:ascii="宋体" w:hAnsi="宋体" w:cs="宋体"/>
                <w:color w:val="000000"/>
                <w:szCs w:val="21"/>
              </w:rPr>
              <w:t>饼保养</w:t>
            </w:r>
            <w:r>
              <w:rPr>
                <w:rFonts w:hint="eastAsia" w:ascii="宋体" w:hAnsi="宋体"/>
                <w:color w:val="000000"/>
                <w:szCs w:val="21"/>
              </w:rPr>
              <w:t>。</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szCs w:val="21"/>
              </w:rPr>
              <w:t>适用于本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封口</w:t>
            </w:r>
            <w:r>
              <w:rPr>
                <w:rFonts w:ascii="宋体" w:hAnsi="宋体" w:cs="宋体"/>
                <w:color w:val="000000"/>
                <w:szCs w:val="21"/>
              </w:rPr>
              <w:t>饼保养</w:t>
            </w:r>
            <w:r>
              <w:rPr>
                <w:rFonts w:hint="eastAsia" w:hAnsi="宋体" w:cs="宋体"/>
                <w:color w:val="000000"/>
                <w:szCs w:val="21"/>
              </w:rPr>
              <w:t>。</w:t>
            </w:r>
          </w:p>
          <w:p>
            <w:pPr>
              <w:spacing w:line="360" w:lineRule="exact"/>
              <w:rPr>
                <w:rFonts w:ascii="宋体" w:hAnsi="宋体"/>
                <w:szCs w:val="21"/>
              </w:rPr>
            </w:pPr>
            <w:r>
              <w:rPr>
                <w:rFonts w:hint="eastAsia" w:ascii="宋体" w:hAnsi="宋体"/>
                <w:szCs w:val="21"/>
              </w:rPr>
              <w:t>3.内容</w:t>
            </w:r>
          </w:p>
          <w:p>
            <w:pPr>
              <w:pStyle w:val="74"/>
              <w:numPr>
                <w:ilvl w:val="0"/>
                <w:numId w:val="9"/>
              </w:numPr>
              <w:spacing w:line="360" w:lineRule="auto"/>
              <w:ind w:firstLineChars="0"/>
              <w:rPr>
                <w:rFonts w:ascii="宋体" w:hAnsi="宋体" w:cs="宋体"/>
                <w:b/>
                <w:szCs w:val="21"/>
              </w:rPr>
            </w:pPr>
            <w:r>
              <w:rPr>
                <w:rFonts w:hint="eastAsia" w:ascii="宋体" w:hAnsi="宋体" w:cs="宋体"/>
                <w:szCs w:val="21"/>
              </w:rPr>
              <w:t>封口饼</w:t>
            </w:r>
            <w:r>
              <w:rPr>
                <w:rFonts w:ascii="宋体" w:hAnsi="宋体" w:cs="宋体"/>
                <w:szCs w:val="21"/>
              </w:rPr>
              <w:t>送入保养房储存时</w:t>
            </w:r>
            <w:r>
              <w:rPr>
                <w:rFonts w:hint="eastAsia" w:ascii="宋体" w:hAnsi="宋体" w:cs="宋体"/>
                <w:szCs w:val="21"/>
              </w:rPr>
              <w:t>,</w:t>
            </w:r>
            <w:r>
              <w:rPr>
                <w:rFonts w:ascii="宋体" w:hAnsi="宋体" w:cs="宋体"/>
                <w:szCs w:val="21"/>
              </w:rPr>
              <w:t>应按时间先后依序放置，</w:t>
            </w:r>
            <w:r>
              <w:rPr>
                <w:rFonts w:hint="eastAsia" w:ascii="宋体" w:hAnsi="宋体" w:cs="宋体"/>
                <w:szCs w:val="21"/>
              </w:rPr>
              <w:t>在产品标识卡上标明入库时间，</w:t>
            </w:r>
            <w:r>
              <w:rPr>
                <w:rFonts w:ascii="宋体" w:hAnsi="宋体" w:cs="宋体"/>
                <w:szCs w:val="21"/>
              </w:rPr>
              <w:t>按工艺要求存放足够时间</w:t>
            </w:r>
            <w:r>
              <w:rPr>
                <w:rFonts w:hint="eastAsia" w:ascii="宋体" w:hAnsi="宋体" w:cs="宋体"/>
                <w:szCs w:val="21"/>
              </w:rPr>
              <w:t>，</w:t>
            </w:r>
            <w:r>
              <w:rPr>
                <w:rFonts w:ascii="宋体" w:hAnsi="宋体" w:cs="宋体"/>
                <w:szCs w:val="21"/>
              </w:rPr>
              <w:t>才能进入下一工序。</w:t>
            </w:r>
          </w:p>
          <w:p>
            <w:pPr>
              <w:pStyle w:val="74"/>
              <w:numPr>
                <w:ilvl w:val="0"/>
                <w:numId w:val="9"/>
              </w:numPr>
              <w:spacing w:line="360" w:lineRule="auto"/>
              <w:ind w:firstLineChars="0"/>
              <w:rPr>
                <w:rFonts w:ascii="宋体" w:hAnsi="宋体" w:cs="宋体"/>
                <w:b/>
                <w:szCs w:val="21"/>
              </w:rPr>
            </w:pPr>
            <w:r>
              <w:rPr>
                <w:rFonts w:hint="eastAsia" w:ascii="宋体" w:hAnsi="宋体" w:cs="宋体"/>
                <w:szCs w:val="21"/>
              </w:rPr>
              <w:t>封口</w:t>
            </w:r>
            <w:r>
              <w:rPr>
                <w:rFonts w:ascii="宋体" w:hAnsi="宋体" w:cs="宋体"/>
                <w:szCs w:val="21"/>
              </w:rPr>
              <w:t>饼堆码高度≤1.5米，垛距≥0.7米,距墙壁≥0.45米,安全通道≥1.5米。保持卫生整洁，通道畅通，</w:t>
            </w:r>
            <w:r>
              <w:rPr>
                <w:rFonts w:hint="eastAsia" w:ascii="宋体" w:hAnsi="宋体" w:cs="宋体"/>
                <w:szCs w:val="21"/>
              </w:rPr>
              <w:t>封口</w:t>
            </w:r>
            <w:r>
              <w:rPr>
                <w:rFonts w:ascii="宋体" w:hAnsi="宋体" w:cs="宋体"/>
                <w:szCs w:val="21"/>
              </w:rPr>
              <w:t>饼</w:t>
            </w:r>
            <w:r>
              <w:rPr>
                <w:rFonts w:hint="eastAsia" w:ascii="宋体" w:hAnsi="宋体" w:cs="宋体"/>
                <w:szCs w:val="21"/>
              </w:rPr>
              <w:t>平码堆放、摆放整齐。</w:t>
            </w:r>
          </w:p>
          <w:p>
            <w:pPr>
              <w:pStyle w:val="74"/>
              <w:numPr>
                <w:ilvl w:val="0"/>
                <w:numId w:val="9"/>
              </w:numPr>
              <w:spacing w:line="360" w:lineRule="auto"/>
              <w:ind w:firstLineChars="0"/>
              <w:rPr>
                <w:rFonts w:ascii="宋体" w:hAnsi="宋体" w:cs="宋体"/>
                <w:b/>
                <w:szCs w:val="21"/>
              </w:rPr>
            </w:pPr>
            <w:r>
              <w:rPr>
                <w:rFonts w:ascii="宋体" w:hAnsi="宋体" w:cs="宋体"/>
                <w:szCs w:val="21"/>
              </w:rPr>
              <w:t>进入保养房搬运人员不超过2人，搬运时应少量、多次；不应有碰撞、拖拉、抛摔、翻滚、摩擦、挤压等操作行为；不应使用铁质工具。</w:t>
            </w:r>
          </w:p>
          <w:p>
            <w:pPr>
              <w:pStyle w:val="74"/>
              <w:numPr>
                <w:ilvl w:val="0"/>
                <w:numId w:val="9"/>
              </w:numPr>
              <w:spacing w:line="360" w:lineRule="auto"/>
              <w:ind w:firstLineChars="0"/>
              <w:rPr>
                <w:rFonts w:ascii="宋体" w:hAnsi="宋体" w:cs="宋体"/>
                <w:b/>
                <w:szCs w:val="21"/>
              </w:rPr>
            </w:pPr>
            <w:r>
              <w:rPr>
                <w:rFonts w:hint="eastAsia" w:hAnsi="宋体"/>
                <w:szCs w:val="21"/>
              </w:rPr>
              <w:t>每天对室内温、湿度进行检测记录，温度控制在-20℃～45℃，相对湿度控制在50%～85%。应保持中转库通风窗通风、散热良好，并防止小动物进入。</w:t>
            </w:r>
            <w:r>
              <w:rPr>
                <w:rFonts w:hint="eastAsia" w:ascii="宋体" w:hAnsi="宋体"/>
                <w:szCs w:val="21"/>
              </w:rPr>
              <w:t>气温超过34℃或遇暴雨、雷电时，禁止作业。</w:t>
            </w: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restart"/>
          </w:tcPr>
          <w:p>
            <w:pPr>
              <w:spacing w:line="360" w:lineRule="exact"/>
              <w:ind w:left="840" w:hanging="840" w:hangingChars="400"/>
              <w:jc w:val="center"/>
              <w:rPr>
                <w:rFonts w:ascii="宋体" w:hAnsi="宋体"/>
                <w:szCs w:val="21"/>
              </w:rPr>
            </w:pPr>
            <w:r>
              <w:rPr>
                <w:rFonts w:hint="eastAsia" w:hAnsi="宋体" w:cs="宋体"/>
                <w:color w:val="000000"/>
              </w:rPr>
              <w:t xml:space="preserve">   </w:t>
            </w: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4"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continue"/>
          </w:tcPr>
          <w:p>
            <w:pPr>
              <w:spacing w:line="360" w:lineRule="exact"/>
              <w:jc w:val="center"/>
              <w:rPr>
                <w:rFonts w:ascii="宋体" w:hAnsi="宋体"/>
                <w:szCs w:val="21"/>
              </w:rPr>
            </w:pPr>
          </w:p>
        </w:tc>
        <w:tc>
          <w:tcPr>
            <w:tcW w:w="2404"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2596" w:type="pct"/>
            <w:gridSpan w:val="2"/>
            <w:vAlign w:val="center"/>
          </w:tcPr>
          <w:p>
            <w:pPr>
              <w:spacing w:line="360" w:lineRule="auto"/>
              <w:ind w:firstLine="105" w:firstLineChars="50"/>
              <w:jc w:val="center"/>
              <w:rPr>
                <w:rFonts w:ascii="宋体" w:hAnsi="宋体"/>
                <w:color w:val="000000"/>
                <w:szCs w:val="21"/>
              </w:rPr>
            </w:pPr>
            <w:r>
              <w:rPr>
                <w:rFonts w:hint="eastAsia" w:ascii="宋体" w:hAnsi="宋体" w:cs="宋体"/>
                <w:color w:val="000000"/>
                <w:szCs w:val="21"/>
              </w:rPr>
              <w:t>爆竹机械结鞭安全操作规程</w:t>
            </w:r>
          </w:p>
        </w:tc>
        <w:tc>
          <w:tcPr>
            <w:tcW w:w="2404" w:type="pct"/>
            <w:gridSpan w:val="2"/>
            <w:vAlign w:val="center"/>
          </w:tcPr>
          <w:p>
            <w:pPr>
              <w:spacing w:line="360" w:lineRule="exact"/>
              <w:jc w:val="center"/>
              <w:rPr>
                <w:rFonts w:ascii="宋体" w:hAnsi="宋体"/>
                <w:szCs w:val="21"/>
              </w:rPr>
            </w:pPr>
            <w:r>
              <w:rPr>
                <w:rFonts w:hint="eastAsia" w:ascii="宋体" w:hAnsi="宋体"/>
                <w:szCs w:val="21"/>
              </w:rPr>
              <w:t>第1版第2次修订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szCs w:val="21"/>
                <w:lang w:eastAsia="zh-CN"/>
              </w:rPr>
            </w:pPr>
            <w:r>
              <w:rPr>
                <w:rFonts w:hint="eastAsia" w:ascii="宋体" w:hAnsi="宋体"/>
                <w:szCs w:val="21"/>
                <w:lang w:eastAsia="zh-CN"/>
              </w:rPr>
              <w:t>2022年3月20日</w:t>
            </w:r>
          </w:p>
        </w:tc>
        <w:tc>
          <w:tcPr>
            <w:tcW w:w="564" w:type="pct"/>
          </w:tcPr>
          <w:p>
            <w:pPr>
              <w:spacing w:line="360" w:lineRule="exact"/>
              <w:jc w:val="center"/>
              <w:rPr>
                <w:rFonts w:ascii="宋体" w:hAnsi="宋体"/>
                <w:szCs w:val="21"/>
              </w:rPr>
            </w:pPr>
            <w:r>
              <w:rPr>
                <w:rFonts w:hint="eastAsia" w:ascii="宋体" w:hAnsi="宋体"/>
                <w:szCs w:val="21"/>
              </w:rPr>
              <w:t>审订时间</w:t>
            </w:r>
          </w:p>
        </w:tc>
        <w:tc>
          <w:tcPr>
            <w:tcW w:w="1840"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szCs w:val="21"/>
                <w:lang w:eastAsia="zh-CN"/>
              </w:rPr>
            </w:pPr>
            <w:r>
              <w:rPr>
                <w:rFonts w:hint="eastAsia" w:ascii="宋体" w:hAnsi="宋体"/>
                <w:szCs w:val="21"/>
                <w:lang w:eastAsia="zh-CN"/>
              </w:rPr>
              <w:t>2022年4月13日</w:t>
            </w:r>
          </w:p>
        </w:tc>
        <w:tc>
          <w:tcPr>
            <w:tcW w:w="564" w:type="pct"/>
          </w:tcPr>
          <w:p>
            <w:pPr>
              <w:spacing w:line="360" w:lineRule="exact"/>
              <w:rPr>
                <w:rFonts w:ascii="宋体" w:hAnsi="宋体"/>
                <w:szCs w:val="21"/>
              </w:rPr>
            </w:pPr>
            <w:r>
              <w:rPr>
                <w:rFonts w:hint="eastAsia" w:ascii="宋体" w:hAnsi="宋体"/>
                <w:szCs w:val="21"/>
              </w:rPr>
              <w:t>批准人</w:t>
            </w:r>
          </w:p>
        </w:tc>
        <w:tc>
          <w:tcPr>
            <w:tcW w:w="1840"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5000" w:type="pct"/>
            <w:gridSpan w:val="4"/>
          </w:tcPr>
          <w:p>
            <w:pPr>
              <w:spacing w:line="360" w:lineRule="exact"/>
              <w:rPr>
                <w:rFonts w:ascii="宋体" w:hAnsi="宋体"/>
                <w:szCs w:val="21"/>
              </w:rPr>
            </w:pPr>
            <w:r>
              <w:rPr>
                <w:rFonts w:hint="eastAsia" w:ascii="宋体" w:hAnsi="宋体"/>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机械结鞭</w:t>
            </w:r>
            <w:r>
              <w:rPr>
                <w:rFonts w:hint="eastAsia" w:ascii="宋体" w:hAnsi="宋体"/>
                <w:color w:val="000000"/>
                <w:szCs w:val="21"/>
              </w:rPr>
              <w:t>。</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szCs w:val="21"/>
              </w:rPr>
              <w:t>适用于本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机械结鞭</w:t>
            </w:r>
            <w:r>
              <w:rPr>
                <w:rFonts w:hint="eastAsia" w:hAnsi="宋体" w:cs="宋体"/>
                <w:color w:val="000000"/>
                <w:szCs w:val="21"/>
              </w:rPr>
              <w:t>。</w:t>
            </w:r>
          </w:p>
          <w:p>
            <w:pPr>
              <w:spacing w:line="360" w:lineRule="exact"/>
              <w:rPr>
                <w:rFonts w:ascii="宋体" w:hAnsi="宋体"/>
                <w:szCs w:val="21"/>
              </w:rPr>
            </w:pPr>
            <w:r>
              <w:rPr>
                <w:rFonts w:hint="eastAsia" w:ascii="宋体" w:hAnsi="宋体"/>
                <w:szCs w:val="21"/>
              </w:rPr>
              <w:t>3.内容</w:t>
            </w:r>
          </w:p>
          <w:p>
            <w:pPr>
              <w:widowControl/>
              <w:numPr>
                <w:ilvl w:val="0"/>
                <w:numId w:val="10"/>
              </w:numPr>
              <w:spacing w:line="360" w:lineRule="auto"/>
              <w:ind w:left="482" w:hanging="482"/>
              <w:rPr>
                <w:rFonts w:ascii="宋体" w:hAnsi="宋体" w:cs="宋体"/>
                <w:szCs w:val="21"/>
              </w:rPr>
            </w:pPr>
            <w:r>
              <w:rPr>
                <w:rFonts w:hint="eastAsia" w:ascii="宋体" w:hAnsi="宋体" w:cs="宋体"/>
                <w:szCs w:val="21"/>
              </w:rPr>
              <w:t>作业前，应认真检查机器和电源线路是否正常。</w:t>
            </w:r>
          </w:p>
          <w:p>
            <w:pPr>
              <w:widowControl/>
              <w:numPr>
                <w:ilvl w:val="0"/>
                <w:numId w:val="10"/>
              </w:numPr>
              <w:spacing w:line="360" w:lineRule="auto"/>
              <w:ind w:left="482" w:hanging="482"/>
              <w:rPr>
                <w:rFonts w:ascii="宋体" w:hAnsi="宋体" w:cs="宋体"/>
                <w:szCs w:val="21"/>
              </w:rPr>
            </w:pPr>
            <w:r>
              <w:rPr>
                <w:rFonts w:hint="eastAsia" w:ascii="宋体" w:hAnsi="宋体" w:cs="宋体"/>
                <w:szCs w:val="21"/>
              </w:rPr>
              <w:t>按工房定量领取封口饼、引线卷等半成品和其他材料，严禁超量领取和超量存放。</w:t>
            </w:r>
          </w:p>
          <w:p>
            <w:pPr>
              <w:widowControl/>
              <w:numPr>
                <w:ilvl w:val="0"/>
                <w:numId w:val="10"/>
              </w:numPr>
              <w:spacing w:line="360" w:lineRule="auto"/>
              <w:ind w:left="482" w:hanging="482"/>
              <w:rPr>
                <w:rFonts w:ascii="宋体" w:hAnsi="宋体" w:cs="宋体"/>
                <w:szCs w:val="21"/>
              </w:rPr>
            </w:pPr>
            <w:r>
              <w:rPr>
                <w:rFonts w:hint="eastAsia" w:ascii="宋体" w:hAnsi="宋体" w:cs="宋体"/>
                <w:szCs w:val="21"/>
              </w:rPr>
              <w:t>结鞭时，应除去封口饼上粘附的药尘，分割主引线应使用单刃刀片，刃口应锋利。</w:t>
            </w:r>
          </w:p>
          <w:p>
            <w:pPr>
              <w:widowControl/>
              <w:numPr>
                <w:ilvl w:val="0"/>
                <w:numId w:val="10"/>
              </w:numPr>
              <w:spacing w:line="360" w:lineRule="auto"/>
              <w:ind w:left="482" w:hanging="482"/>
              <w:rPr>
                <w:rFonts w:ascii="宋体" w:hAnsi="宋体" w:cs="宋体"/>
                <w:szCs w:val="21"/>
              </w:rPr>
            </w:pPr>
            <w:r>
              <w:rPr>
                <w:rFonts w:hint="eastAsia" w:ascii="宋体" w:hAnsi="宋体" w:cs="宋体"/>
                <w:szCs w:val="21"/>
              </w:rPr>
              <w:t>机器运转时，不得将手放在传送带或转动部件处，出现卡齿应停机处理。</w:t>
            </w:r>
          </w:p>
          <w:p>
            <w:pPr>
              <w:widowControl/>
              <w:numPr>
                <w:ilvl w:val="0"/>
                <w:numId w:val="10"/>
              </w:numPr>
              <w:spacing w:line="360" w:lineRule="auto"/>
              <w:ind w:left="482" w:hanging="482"/>
              <w:rPr>
                <w:rFonts w:ascii="宋体" w:hAnsi="宋体" w:cs="宋体"/>
                <w:szCs w:val="21"/>
              </w:rPr>
            </w:pPr>
            <w:r>
              <w:rPr>
                <w:rFonts w:hint="eastAsia" w:ascii="宋体" w:hAnsi="宋体" w:cs="宋体"/>
                <w:szCs w:val="21"/>
              </w:rPr>
              <w:t>在操作期间，要勤打扫工作场所，掉落炮籽及时收集。灰渣用专用器具装好，到指定地点分筛。</w:t>
            </w: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restart"/>
          </w:tcPr>
          <w:p>
            <w:pPr>
              <w:spacing w:line="360" w:lineRule="exact"/>
              <w:ind w:left="840" w:hanging="840" w:hangingChars="400"/>
              <w:jc w:val="center"/>
              <w:rPr>
                <w:rFonts w:ascii="宋体" w:hAnsi="宋体"/>
                <w:szCs w:val="21"/>
              </w:rPr>
            </w:pPr>
            <w:r>
              <w:rPr>
                <w:rFonts w:hint="eastAsia" w:hAnsi="宋体" w:cs="宋体"/>
                <w:color w:val="000000"/>
              </w:rPr>
              <w:t xml:space="preserve">   </w:t>
            </w: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4"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continue"/>
          </w:tcPr>
          <w:p>
            <w:pPr>
              <w:spacing w:line="360" w:lineRule="exact"/>
              <w:jc w:val="center"/>
              <w:rPr>
                <w:rFonts w:ascii="宋体" w:hAnsi="宋体"/>
                <w:szCs w:val="21"/>
              </w:rPr>
            </w:pPr>
          </w:p>
        </w:tc>
        <w:tc>
          <w:tcPr>
            <w:tcW w:w="2404"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2596" w:type="pct"/>
            <w:gridSpan w:val="2"/>
            <w:vAlign w:val="center"/>
          </w:tcPr>
          <w:p>
            <w:pPr>
              <w:spacing w:line="360" w:lineRule="auto"/>
              <w:ind w:firstLine="105" w:firstLineChars="50"/>
              <w:jc w:val="center"/>
              <w:rPr>
                <w:rFonts w:ascii="宋体" w:hAnsi="宋体"/>
                <w:color w:val="000000"/>
                <w:szCs w:val="21"/>
              </w:rPr>
            </w:pPr>
            <w:r>
              <w:rPr>
                <w:rFonts w:hint="eastAsia" w:ascii="宋体" w:hAnsi="宋体" w:cs="宋体"/>
                <w:color w:val="000000"/>
                <w:szCs w:val="21"/>
              </w:rPr>
              <w:t>爆竹包装安全操作规程</w:t>
            </w:r>
          </w:p>
        </w:tc>
        <w:tc>
          <w:tcPr>
            <w:tcW w:w="2404" w:type="pct"/>
            <w:gridSpan w:val="2"/>
            <w:vAlign w:val="center"/>
          </w:tcPr>
          <w:p>
            <w:pPr>
              <w:spacing w:line="360" w:lineRule="exact"/>
              <w:jc w:val="center"/>
              <w:rPr>
                <w:rFonts w:ascii="宋体" w:hAnsi="宋体"/>
                <w:szCs w:val="21"/>
              </w:rPr>
            </w:pPr>
            <w:r>
              <w:rPr>
                <w:rFonts w:hint="eastAsia" w:ascii="宋体" w:hAnsi="宋体"/>
                <w:szCs w:val="21"/>
              </w:rPr>
              <w:t>第1版第2次修订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szCs w:val="21"/>
                <w:lang w:eastAsia="zh-CN"/>
              </w:rPr>
            </w:pPr>
            <w:r>
              <w:rPr>
                <w:rFonts w:hint="eastAsia" w:ascii="宋体" w:hAnsi="宋体"/>
                <w:szCs w:val="21"/>
                <w:lang w:eastAsia="zh-CN"/>
              </w:rPr>
              <w:t>2022年3月20日</w:t>
            </w:r>
          </w:p>
        </w:tc>
        <w:tc>
          <w:tcPr>
            <w:tcW w:w="564" w:type="pct"/>
          </w:tcPr>
          <w:p>
            <w:pPr>
              <w:spacing w:line="360" w:lineRule="exact"/>
              <w:jc w:val="center"/>
              <w:rPr>
                <w:rFonts w:ascii="宋体" w:hAnsi="宋体"/>
                <w:szCs w:val="21"/>
              </w:rPr>
            </w:pPr>
            <w:r>
              <w:rPr>
                <w:rFonts w:hint="eastAsia" w:ascii="宋体" w:hAnsi="宋体"/>
                <w:szCs w:val="21"/>
              </w:rPr>
              <w:t>审订时间</w:t>
            </w:r>
          </w:p>
        </w:tc>
        <w:tc>
          <w:tcPr>
            <w:tcW w:w="1840"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szCs w:val="21"/>
                <w:lang w:eastAsia="zh-CN"/>
              </w:rPr>
            </w:pPr>
            <w:r>
              <w:rPr>
                <w:rFonts w:hint="eastAsia" w:ascii="宋体" w:hAnsi="宋体"/>
                <w:szCs w:val="21"/>
                <w:lang w:eastAsia="zh-CN"/>
              </w:rPr>
              <w:t>2022年4月13日</w:t>
            </w:r>
          </w:p>
        </w:tc>
        <w:tc>
          <w:tcPr>
            <w:tcW w:w="564" w:type="pct"/>
          </w:tcPr>
          <w:p>
            <w:pPr>
              <w:spacing w:line="360" w:lineRule="exact"/>
              <w:rPr>
                <w:rFonts w:ascii="宋体" w:hAnsi="宋体"/>
                <w:szCs w:val="21"/>
              </w:rPr>
            </w:pPr>
            <w:r>
              <w:rPr>
                <w:rFonts w:hint="eastAsia" w:ascii="宋体" w:hAnsi="宋体"/>
                <w:szCs w:val="21"/>
              </w:rPr>
              <w:t>批准人</w:t>
            </w:r>
          </w:p>
        </w:tc>
        <w:tc>
          <w:tcPr>
            <w:tcW w:w="1840"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5000" w:type="pct"/>
            <w:gridSpan w:val="4"/>
          </w:tcPr>
          <w:p>
            <w:pPr>
              <w:spacing w:line="360" w:lineRule="exact"/>
              <w:rPr>
                <w:rFonts w:ascii="宋体" w:hAnsi="宋体"/>
                <w:szCs w:val="21"/>
              </w:rPr>
            </w:pPr>
            <w:r>
              <w:rPr>
                <w:rFonts w:hint="eastAsia" w:ascii="宋体" w:hAnsi="宋体"/>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包装</w:t>
            </w:r>
            <w:r>
              <w:rPr>
                <w:rFonts w:hint="eastAsia" w:ascii="宋体" w:hAnsi="宋体"/>
                <w:color w:val="000000"/>
                <w:szCs w:val="21"/>
              </w:rPr>
              <w:t>。</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szCs w:val="21"/>
              </w:rPr>
              <w:t>适用于本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包装</w:t>
            </w:r>
            <w:r>
              <w:rPr>
                <w:rFonts w:hint="eastAsia" w:hAnsi="宋体" w:cs="宋体"/>
                <w:color w:val="000000"/>
                <w:szCs w:val="21"/>
              </w:rPr>
              <w:t>。</w:t>
            </w:r>
          </w:p>
          <w:p>
            <w:pPr>
              <w:spacing w:line="360" w:lineRule="exact"/>
              <w:rPr>
                <w:rFonts w:ascii="宋体" w:hAnsi="宋体"/>
                <w:szCs w:val="21"/>
              </w:rPr>
            </w:pPr>
            <w:r>
              <w:rPr>
                <w:rFonts w:hint="eastAsia" w:ascii="宋体" w:hAnsi="宋体"/>
                <w:szCs w:val="21"/>
              </w:rPr>
              <w:t>3.内容</w:t>
            </w:r>
          </w:p>
          <w:p>
            <w:pPr>
              <w:widowControl/>
              <w:numPr>
                <w:ilvl w:val="0"/>
                <w:numId w:val="11"/>
              </w:numPr>
              <w:spacing w:line="360" w:lineRule="auto"/>
              <w:ind w:left="482" w:hanging="482"/>
              <w:rPr>
                <w:rFonts w:ascii="宋体" w:hAnsi="宋体" w:cs="宋体"/>
                <w:szCs w:val="21"/>
              </w:rPr>
            </w:pPr>
            <w:r>
              <w:rPr>
                <w:rFonts w:hint="eastAsia" w:ascii="宋体" w:hAnsi="宋体" w:cs="宋体"/>
                <w:szCs w:val="21"/>
              </w:rPr>
              <w:t>必须按规定数量领取结鞭半成品和包装纸、商标，不准超量领取和超量存放在车间。</w:t>
            </w:r>
          </w:p>
          <w:p>
            <w:pPr>
              <w:widowControl/>
              <w:numPr>
                <w:ilvl w:val="0"/>
                <w:numId w:val="11"/>
              </w:numPr>
              <w:spacing w:line="360" w:lineRule="auto"/>
              <w:ind w:left="482" w:hanging="482"/>
              <w:rPr>
                <w:rFonts w:ascii="宋体" w:hAnsi="宋体" w:cs="宋体"/>
                <w:szCs w:val="21"/>
              </w:rPr>
            </w:pPr>
            <w:r>
              <w:rPr>
                <w:rFonts w:hint="eastAsia" w:ascii="宋体" w:hAnsi="宋体" w:cs="宋体"/>
                <w:szCs w:val="21"/>
              </w:rPr>
              <w:t>安装点火引线时，应按标准要求安装牢固。</w:t>
            </w:r>
          </w:p>
          <w:p>
            <w:pPr>
              <w:widowControl/>
              <w:numPr>
                <w:ilvl w:val="0"/>
                <w:numId w:val="11"/>
              </w:numPr>
              <w:spacing w:line="360" w:lineRule="auto"/>
              <w:ind w:left="482" w:hanging="482"/>
              <w:rPr>
                <w:rFonts w:ascii="宋体" w:hAnsi="宋体" w:cs="宋体"/>
                <w:szCs w:val="21"/>
              </w:rPr>
            </w:pPr>
            <w:r>
              <w:rPr>
                <w:rFonts w:hint="eastAsia" w:ascii="宋体" w:hAnsi="宋体" w:cs="宋体"/>
                <w:szCs w:val="21"/>
              </w:rPr>
              <w:t xml:space="preserve">产品内外包装应匹配。粘贴合格证、包装标识码应牢固，吻合平整，无遮盖、无露头露脚、无包头包脚、无露白现象。 </w:t>
            </w:r>
          </w:p>
          <w:p>
            <w:pPr>
              <w:widowControl/>
              <w:numPr>
                <w:ilvl w:val="0"/>
                <w:numId w:val="11"/>
              </w:numPr>
              <w:spacing w:line="360" w:lineRule="auto"/>
              <w:ind w:left="482" w:hanging="482"/>
              <w:rPr>
                <w:rFonts w:ascii="宋体" w:hAnsi="宋体" w:cs="宋体"/>
                <w:szCs w:val="21"/>
              </w:rPr>
            </w:pPr>
            <w:r>
              <w:rPr>
                <w:rFonts w:hint="eastAsia" w:ascii="宋体" w:hAnsi="宋体" w:cs="宋体"/>
                <w:szCs w:val="21"/>
              </w:rPr>
              <w:t>包装好的成件产品应及时转入中转库，不准超量存放在操作间。</w:t>
            </w:r>
          </w:p>
          <w:p>
            <w:pPr>
              <w:widowControl/>
              <w:numPr>
                <w:ilvl w:val="0"/>
                <w:numId w:val="11"/>
              </w:numPr>
              <w:spacing w:line="360" w:lineRule="auto"/>
              <w:ind w:left="482" w:hanging="482"/>
              <w:rPr>
                <w:rFonts w:ascii="宋体" w:hAnsi="宋体" w:cs="宋体"/>
                <w:szCs w:val="21"/>
              </w:rPr>
            </w:pPr>
            <w:r>
              <w:rPr>
                <w:rFonts w:hint="eastAsia" w:ascii="宋体" w:hAnsi="宋体" w:cs="宋体"/>
                <w:szCs w:val="21"/>
              </w:rPr>
              <w:t>当天用剩下的纸箱、商标等应收拾整齐，整理好统一存放到指定地点。</w:t>
            </w: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restart"/>
          </w:tcPr>
          <w:p>
            <w:pPr>
              <w:spacing w:line="360" w:lineRule="exact"/>
              <w:ind w:left="840" w:hanging="840" w:hangingChars="400"/>
              <w:jc w:val="center"/>
              <w:rPr>
                <w:rFonts w:ascii="宋体" w:hAnsi="宋体"/>
                <w:szCs w:val="21"/>
              </w:rPr>
            </w:pPr>
            <w:r>
              <w:rPr>
                <w:rFonts w:hint="eastAsia" w:hAnsi="宋体" w:cs="宋体"/>
                <w:color w:val="000000"/>
              </w:rPr>
              <w:t xml:space="preserve">   </w:t>
            </w: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4"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continue"/>
          </w:tcPr>
          <w:p>
            <w:pPr>
              <w:spacing w:line="360" w:lineRule="exact"/>
              <w:jc w:val="center"/>
              <w:rPr>
                <w:rFonts w:ascii="宋体" w:hAnsi="宋体"/>
                <w:szCs w:val="21"/>
              </w:rPr>
            </w:pPr>
          </w:p>
        </w:tc>
        <w:tc>
          <w:tcPr>
            <w:tcW w:w="2404"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2596" w:type="pct"/>
            <w:gridSpan w:val="2"/>
            <w:vAlign w:val="center"/>
          </w:tcPr>
          <w:p>
            <w:pPr>
              <w:spacing w:line="360" w:lineRule="auto"/>
              <w:jc w:val="center"/>
              <w:outlineLvl w:val="1"/>
              <w:rPr>
                <w:rFonts w:ascii="宋体" w:hAnsi="宋体" w:cs="宋体"/>
                <w:color w:val="000000"/>
                <w:szCs w:val="21"/>
              </w:rPr>
            </w:pPr>
            <w:r>
              <w:rPr>
                <w:rFonts w:hint="eastAsia" w:ascii="宋体" w:hAnsi="宋体" w:cs="宋体"/>
                <w:color w:val="000000"/>
                <w:szCs w:val="21"/>
              </w:rPr>
              <w:t>引火线中转库安全操作规程</w:t>
            </w:r>
          </w:p>
        </w:tc>
        <w:tc>
          <w:tcPr>
            <w:tcW w:w="2404" w:type="pct"/>
            <w:gridSpan w:val="2"/>
            <w:vAlign w:val="center"/>
          </w:tcPr>
          <w:p>
            <w:pPr>
              <w:spacing w:line="360" w:lineRule="exact"/>
              <w:jc w:val="center"/>
              <w:rPr>
                <w:rFonts w:ascii="宋体" w:hAnsi="宋体"/>
                <w:szCs w:val="21"/>
              </w:rPr>
            </w:pPr>
            <w:r>
              <w:rPr>
                <w:rFonts w:hint="eastAsia" w:ascii="宋体" w:hAnsi="宋体"/>
                <w:szCs w:val="21"/>
              </w:rPr>
              <w:t>第1版第2次修订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szCs w:val="21"/>
                <w:lang w:eastAsia="zh-CN"/>
              </w:rPr>
            </w:pPr>
            <w:r>
              <w:rPr>
                <w:rFonts w:hint="eastAsia" w:ascii="宋体" w:hAnsi="宋体"/>
                <w:szCs w:val="21"/>
                <w:lang w:eastAsia="zh-CN"/>
              </w:rPr>
              <w:t>2022年3月20日</w:t>
            </w:r>
          </w:p>
        </w:tc>
        <w:tc>
          <w:tcPr>
            <w:tcW w:w="564" w:type="pct"/>
          </w:tcPr>
          <w:p>
            <w:pPr>
              <w:spacing w:line="360" w:lineRule="exact"/>
              <w:jc w:val="center"/>
              <w:rPr>
                <w:rFonts w:ascii="宋体" w:hAnsi="宋体"/>
                <w:szCs w:val="21"/>
              </w:rPr>
            </w:pPr>
            <w:r>
              <w:rPr>
                <w:rFonts w:hint="eastAsia" w:ascii="宋体" w:hAnsi="宋体"/>
                <w:szCs w:val="21"/>
              </w:rPr>
              <w:t>审订时间</w:t>
            </w:r>
          </w:p>
        </w:tc>
        <w:tc>
          <w:tcPr>
            <w:tcW w:w="1840"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szCs w:val="21"/>
                <w:lang w:eastAsia="zh-CN"/>
              </w:rPr>
            </w:pPr>
            <w:r>
              <w:rPr>
                <w:rFonts w:hint="eastAsia" w:ascii="宋体" w:hAnsi="宋体"/>
                <w:szCs w:val="21"/>
                <w:lang w:eastAsia="zh-CN"/>
              </w:rPr>
              <w:t>2022年4月13日</w:t>
            </w:r>
          </w:p>
        </w:tc>
        <w:tc>
          <w:tcPr>
            <w:tcW w:w="564" w:type="pct"/>
          </w:tcPr>
          <w:p>
            <w:pPr>
              <w:spacing w:line="360" w:lineRule="exact"/>
              <w:rPr>
                <w:rFonts w:ascii="宋体" w:hAnsi="宋体"/>
                <w:szCs w:val="21"/>
              </w:rPr>
            </w:pPr>
            <w:r>
              <w:rPr>
                <w:rFonts w:hint="eastAsia" w:ascii="宋体" w:hAnsi="宋体"/>
                <w:szCs w:val="21"/>
              </w:rPr>
              <w:t>批准人</w:t>
            </w:r>
          </w:p>
        </w:tc>
        <w:tc>
          <w:tcPr>
            <w:tcW w:w="1840"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5000" w:type="pct"/>
            <w:gridSpan w:val="4"/>
          </w:tcPr>
          <w:p>
            <w:pPr>
              <w:spacing w:line="360" w:lineRule="exact"/>
              <w:rPr>
                <w:rFonts w:ascii="宋体" w:hAnsi="宋体"/>
                <w:szCs w:val="21"/>
              </w:rPr>
            </w:pPr>
            <w:r>
              <w:rPr>
                <w:rFonts w:hint="eastAsia" w:ascii="宋体" w:hAnsi="宋体"/>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引火线中转库</w:t>
            </w:r>
            <w:r>
              <w:rPr>
                <w:rFonts w:hint="eastAsia" w:ascii="宋体" w:hAnsi="宋体"/>
                <w:color w:val="000000"/>
                <w:szCs w:val="21"/>
              </w:rPr>
              <w:t>。</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szCs w:val="21"/>
              </w:rPr>
              <w:t>适用于本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引火线中转库</w:t>
            </w:r>
            <w:r>
              <w:rPr>
                <w:rFonts w:hint="eastAsia" w:hAnsi="宋体" w:cs="宋体"/>
                <w:color w:val="000000"/>
                <w:szCs w:val="21"/>
              </w:rPr>
              <w:t>。</w:t>
            </w:r>
          </w:p>
          <w:p>
            <w:pPr>
              <w:spacing w:line="360" w:lineRule="exact"/>
              <w:rPr>
                <w:rFonts w:ascii="宋体" w:hAnsi="宋体"/>
                <w:szCs w:val="21"/>
              </w:rPr>
            </w:pPr>
            <w:r>
              <w:rPr>
                <w:rFonts w:hint="eastAsia" w:ascii="宋体" w:hAnsi="宋体"/>
                <w:szCs w:val="21"/>
              </w:rPr>
              <w:t>3.内容</w:t>
            </w:r>
          </w:p>
          <w:p>
            <w:pPr>
              <w:numPr>
                <w:ilvl w:val="0"/>
                <w:numId w:val="12"/>
              </w:numPr>
              <w:spacing w:line="360" w:lineRule="auto"/>
              <w:rPr>
                <w:rFonts w:ascii="宋体" w:hAnsi="宋体"/>
                <w:szCs w:val="21"/>
              </w:rPr>
            </w:pPr>
            <w:r>
              <w:rPr>
                <w:rFonts w:hint="eastAsia" w:ascii="宋体" w:hAnsi="宋体"/>
                <w:szCs w:val="21"/>
              </w:rPr>
              <w:t>引火线收发时，限1人进入中转房作业。</w:t>
            </w:r>
          </w:p>
          <w:p>
            <w:pPr>
              <w:numPr>
                <w:ilvl w:val="0"/>
                <w:numId w:val="12"/>
              </w:numPr>
              <w:spacing w:line="360" w:lineRule="auto"/>
              <w:rPr>
                <w:rFonts w:ascii="宋体" w:hAnsi="宋体"/>
                <w:szCs w:val="21"/>
              </w:rPr>
            </w:pPr>
            <w:r>
              <w:rPr>
                <w:rFonts w:hint="eastAsia" w:ascii="宋体" w:hAnsi="宋体"/>
                <w:szCs w:val="21"/>
              </w:rPr>
              <w:t>管理员每天应检查引火线有无受潮、异味，室内导静电胶皮有无破损等现象，发现异常时，立即报告安全技术负责人，经处置后方可作业。</w:t>
            </w:r>
          </w:p>
          <w:p>
            <w:pPr>
              <w:numPr>
                <w:ilvl w:val="0"/>
                <w:numId w:val="12"/>
              </w:numPr>
              <w:spacing w:line="360" w:lineRule="auto"/>
              <w:rPr>
                <w:rFonts w:ascii="宋体" w:hAnsi="宋体"/>
                <w:szCs w:val="21"/>
              </w:rPr>
            </w:pPr>
            <w:r>
              <w:rPr>
                <w:rFonts w:hint="eastAsia" w:ascii="宋体" w:hAnsi="宋体"/>
                <w:szCs w:val="21"/>
              </w:rPr>
              <w:t>引火线应分类堆码整齐，并标识品名、规格、数量及入库时间等信息，不得超量存放。堆码高度≤1.5米，距墙壁≥0.45米。</w:t>
            </w:r>
          </w:p>
          <w:p>
            <w:pPr>
              <w:numPr>
                <w:ilvl w:val="0"/>
                <w:numId w:val="12"/>
              </w:numPr>
              <w:spacing w:line="360" w:lineRule="auto"/>
              <w:rPr>
                <w:rFonts w:ascii="宋体" w:hAnsi="宋体"/>
                <w:szCs w:val="21"/>
              </w:rPr>
            </w:pPr>
            <w:r>
              <w:rPr>
                <w:rFonts w:hint="eastAsia" w:ascii="宋体" w:hAnsi="宋体"/>
                <w:szCs w:val="21"/>
              </w:rPr>
              <w:t>收发引火线时，应做好出入库登记工作，建立出入库台账，并确保帐物相符。</w:t>
            </w:r>
          </w:p>
          <w:p>
            <w:pPr>
              <w:numPr>
                <w:ilvl w:val="0"/>
                <w:numId w:val="12"/>
              </w:numPr>
              <w:spacing w:line="360" w:lineRule="auto"/>
              <w:rPr>
                <w:rFonts w:ascii="宋体" w:hAnsi="宋体"/>
                <w:szCs w:val="21"/>
              </w:rPr>
            </w:pPr>
            <w:r>
              <w:rPr>
                <w:rFonts w:hint="eastAsia" w:hAnsi="宋体"/>
                <w:szCs w:val="21"/>
              </w:rPr>
              <w:t>每天对室内温、湿度进行检测记录；温度控制在-20℃～45℃，相对湿度控制在50%～85%。</w:t>
            </w:r>
            <w:r>
              <w:rPr>
                <w:rFonts w:hint="eastAsia" w:ascii="宋体" w:hAnsi="宋体"/>
                <w:szCs w:val="21"/>
              </w:rPr>
              <w:t>气温超过34℃或遇暴雨、雷电时，禁止作业。</w:t>
            </w:r>
          </w:p>
          <w:p>
            <w:pPr>
              <w:numPr>
                <w:ilvl w:val="0"/>
                <w:numId w:val="12"/>
              </w:numPr>
              <w:spacing w:line="360" w:lineRule="auto"/>
              <w:rPr>
                <w:rFonts w:ascii="宋体" w:hAnsi="宋体"/>
                <w:szCs w:val="21"/>
              </w:rPr>
            </w:pPr>
            <w:r>
              <w:rPr>
                <w:rFonts w:hint="eastAsia" w:hAnsi="宋体"/>
                <w:szCs w:val="21"/>
              </w:rPr>
              <w:t>应保持中转库通风窗通风、散热良好，并防止小动物进入。</w:t>
            </w:r>
          </w:p>
          <w:p>
            <w:pPr>
              <w:numPr>
                <w:ilvl w:val="0"/>
                <w:numId w:val="12"/>
              </w:numPr>
              <w:spacing w:line="360" w:lineRule="auto"/>
              <w:rPr>
                <w:rFonts w:ascii="宋体" w:hAnsi="宋体"/>
                <w:szCs w:val="21"/>
              </w:rPr>
            </w:pPr>
            <w:r>
              <w:rPr>
                <w:rFonts w:hint="eastAsia" w:ascii="宋体" w:hAnsi="宋体"/>
                <w:szCs w:val="21"/>
              </w:rPr>
              <w:t>下班时用湿拖布打扫中转库的余药余尘。</w:t>
            </w: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restart"/>
          </w:tcPr>
          <w:p>
            <w:pPr>
              <w:spacing w:line="360" w:lineRule="exact"/>
              <w:ind w:left="840" w:hanging="840" w:hangingChars="400"/>
              <w:jc w:val="center"/>
              <w:rPr>
                <w:rFonts w:ascii="宋体" w:hAnsi="宋体"/>
                <w:szCs w:val="21"/>
              </w:rPr>
            </w:pPr>
            <w:r>
              <w:rPr>
                <w:rFonts w:hint="eastAsia" w:hAnsi="宋体" w:cs="宋体"/>
                <w:color w:val="000000"/>
              </w:rPr>
              <w:t xml:space="preserve">   </w:t>
            </w: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4"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continue"/>
          </w:tcPr>
          <w:p>
            <w:pPr>
              <w:spacing w:line="360" w:lineRule="exact"/>
              <w:jc w:val="center"/>
              <w:rPr>
                <w:rFonts w:ascii="宋体" w:hAnsi="宋体"/>
                <w:szCs w:val="21"/>
              </w:rPr>
            </w:pPr>
          </w:p>
        </w:tc>
        <w:tc>
          <w:tcPr>
            <w:tcW w:w="2404"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2596" w:type="pct"/>
            <w:gridSpan w:val="2"/>
            <w:vAlign w:val="center"/>
          </w:tcPr>
          <w:p>
            <w:pPr>
              <w:spacing w:line="360" w:lineRule="auto"/>
              <w:ind w:firstLine="105" w:firstLineChars="50"/>
              <w:jc w:val="center"/>
              <w:rPr>
                <w:rFonts w:ascii="宋体" w:hAnsi="宋体"/>
                <w:color w:val="000000"/>
                <w:szCs w:val="21"/>
              </w:rPr>
            </w:pPr>
            <w:r>
              <w:rPr>
                <w:rFonts w:hint="eastAsia" w:ascii="宋体" w:hAnsi="宋体" w:cs="宋体"/>
                <w:color w:val="000000"/>
                <w:szCs w:val="21"/>
              </w:rPr>
              <w:t>化工材料仓库安全操作规程</w:t>
            </w:r>
          </w:p>
        </w:tc>
        <w:tc>
          <w:tcPr>
            <w:tcW w:w="2404" w:type="pct"/>
            <w:gridSpan w:val="2"/>
            <w:vAlign w:val="center"/>
          </w:tcPr>
          <w:p>
            <w:pPr>
              <w:spacing w:line="360" w:lineRule="exact"/>
              <w:jc w:val="center"/>
              <w:rPr>
                <w:rFonts w:ascii="宋体" w:hAnsi="宋体"/>
                <w:szCs w:val="21"/>
              </w:rPr>
            </w:pPr>
            <w:r>
              <w:rPr>
                <w:rFonts w:hint="eastAsia" w:ascii="宋体" w:hAnsi="宋体"/>
                <w:szCs w:val="21"/>
              </w:rPr>
              <w:t>第1版第2次修订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szCs w:val="21"/>
                <w:lang w:eastAsia="zh-CN"/>
              </w:rPr>
            </w:pPr>
            <w:r>
              <w:rPr>
                <w:rFonts w:hint="eastAsia" w:ascii="宋体" w:hAnsi="宋体"/>
                <w:szCs w:val="21"/>
                <w:lang w:eastAsia="zh-CN"/>
              </w:rPr>
              <w:t>2022年3月20日</w:t>
            </w:r>
          </w:p>
        </w:tc>
        <w:tc>
          <w:tcPr>
            <w:tcW w:w="564" w:type="pct"/>
          </w:tcPr>
          <w:p>
            <w:pPr>
              <w:spacing w:line="360" w:lineRule="exact"/>
              <w:jc w:val="center"/>
              <w:rPr>
                <w:rFonts w:ascii="宋体" w:hAnsi="宋体"/>
                <w:szCs w:val="21"/>
              </w:rPr>
            </w:pPr>
            <w:r>
              <w:rPr>
                <w:rFonts w:hint="eastAsia" w:ascii="宋体" w:hAnsi="宋体"/>
                <w:szCs w:val="21"/>
              </w:rPr>
              <w:t>审订时间</w:t>
            </w:r>
          </w:p>
        </w:tc>
        <w:tc>
          <w:tcPr>
            <w:tcW w:w="1840"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szCs w:val="21"/>
                <w:lang w:eastAsia="zh-CN"/>
              </w:rPr>
            </w:pPr>
            <w:r>
              <w:rPr>
                <w:rFonts w:hint="eastAsia" w:ascii="宋体" w:hAnsi="宋体"/>
                <w:szCs w:val="21"/>
                <w:lang w:eastAsia="zh-CN"/>
              </w:rPr>
              <w:t>2022年4月13日</w:t>
            </w:r>
          </w:p>
        </w:tc>
        <w:tc>
          <w:tcPr>
            <w:tcW w:w="564" w:type="pct"/>
          </w:tcPr>
          <w:p>
            <w:pPr>
              <w:spacing w:line="360" w:lineRule="exact"/>
              <w:rPr>
                <w:rFonts w:ascii="宋体" w:hAnsi="宋体"/>
                <w:szCs w:val="21"/>
              </w:rPr>
            </w:pPr>
            <w:r>
              <w:rPr>
                <w:rFonts w:hint="eastAsia" w:ascii="宋体" w:hAnsi="宋体"/>
                <w:szCs w:val="21"/>
              </w:rPr>
              <w:t>批准人</w:t>
            </w:r>
          </w:p>
        </w:tc>
        <w:tc>
          <w:tcPr>
            <w:tcW w:w="1840"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5000" w:type="pct"/>
            <w:gridSpan w:val="4"/>
          </w:tcPr>
          <w:p>
            <w:pPr>
              <w:spacing w:line="360" w:lineRule="exact"/>
              <w:rPr>
                <w:rFonts w:ascii="宋体" w:hAnsi="宋体"/>
                <w:szCs w:val="21"/>
              </w:rPr>
            </w:pPr>
            <w:r>
              <w:rPr>
                <w:rFonts w:hint="eastAsia" w:ascii="宋体" w:hAnsi="宋体"/>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化工材料仓库</w:t>
            </w:r>
            <w:r>
              <w:rPr>
                <w:rFonts w:hint="eastAsia" w:ascii="宋体" w:hAnsi="宋体"/>
                <w:color w:val="000000"/>
                <w:szCs w:val="21"/>
              </w:rPr>
              <w:t>。</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szCs w:val="21"/>
              </w:rPr>
              <w:t>适用于本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化工材料仓库</w:t>
            </w:r>
            <w:r>
              <w:rPr>
                <w:rFonts w:hint="eastAsia" w:hAnsi="宋体" w:cs="宋体"/>
                <w:color w:val="000000"/>
                <w:szCs w:val="21"/>
              </w:rPr>
              <w:t>。</w:t>
            </w:r>
          </w:p>
          <w:p>
            <w:pPr>
              <w:spacing w:line="360" w:lineRule="exact"/>
              <w:rPr>
                <w:rFonts w:ascii="宋体" w:hAnsi="宋体"/>
                <w:szCs w:val="21"/>
              </w:rPr>
            </w:pPr>
            <w:r>
              <w:rPr>
                <w:rFonts w:hint="eastAsia" w:ascii="宋体" w:hAnsi="宋体"/>
                <w:szCs w:val="21"/>
              </w:rPr>
              <w:t>3.内容</w:t>
            </w:r>
          </w:p>
          <w:p>
            <w:pPr>
              <w:widowControl/>
              <w:numPr>
                <w:ilvl w:val="0"/>
                <w:numId w:val="13"/>
              </w:numPr>
              <w:spacing w:line="360" w:lineRule="auto"/>
              <w:ind w:left="482" w:hanging="482"/>
              <w:rPr>
                <w:rFonts w:ascii="宋体"/>
                <w:szCs w:val="21"/>
              </w:rPr>
            </w:pPr>
            <w:r>
              <w:rPr>
                <w:rFonts w:hint="eastAsia" w:ascii="宋体" w:hAnsi="宋体" w:cs="宋体"/>
                <w:szCs w:val="21"/>
              </w:rPr>
              <w:t>机动车进入库区，应安装阻火器，并熄火停靠在库房门前</w:t>
            </w:r>
            <w:r>
              <w:rPr>
                <w:rFonts w:ascii="宋体" w:hAnsi="宋体" w:cs="宋体"/>
                <w:szCs w:val="21"/>
              </w:rPr>
              <w:t>2.5</w:t>
            </w:r>
            <w:r>
              <w:rPr>
                <w:rFonts w:hint="eastAsia" w:ascii="宋体" w:hAnsi="宋体" w:cs="宋体"/>
                <w:szCs w:val="21"/>
              </w:rPr>
              <w:t>米外。</w:t>
            </w:r>
          </w:p>
          <w:p>
            <w:pPr>
              <w:widowControl/>
              <w:numPr>
                <w:ilvl w:val="0"/>
                <w:numId w:val="13"/>
              </w:numPr>
              <w:spacing w:line="360" w:lineRule="auto"/>
              <w:ind w:left="482" w:hanging="482"/>
              <w:rPr>
                <w:rFonts w:ascii="宋体"/>
                <w:szCs w:val="21"/>
              </w:rPr>
            </w:pPr>
            <w:r>
              <w:rPr>
                <w:rFonts w:hint="eastAsia" w:ascii="宋体" w:hAnsi="宋体" w:cs="宋体"/>
                <w:szCs w:val="21"/>
              </w:rPr>
              <w:t>氧化剂应分间单独存放，单基粉与其他化工原料应分类存放，化学性质相抵触的材料严禁混存。</w:t>
            </w:r>
          </w:p>
          <w:p>
            <w:pPr>
              <w:widowControl/>
              <w:numPr>
                <w:ilvl w:val="0"/>
                <w:numId w:val="13"/>
              </w:numPr>
              <w:spacing w:line="360" w:lineRule="auto"/>
              <w:ind w:left="482" w:hanging="482"/>
              <w:rPr>
                <w:rFonts w:ascii="宋体"/>
                <w:szCs w:val="21"/>
              </w:rPr>
            </w:pPr>
            <w:r>
              <w:rPr>
                <w:rFonts w:hint="eastAsia" w:ascii="宋体" w:hAnsi="宋体" w:cs="宋体"/>
                <w:szCs w:val="21"/>
              </w:rPr>
              <w:t>收料时要认真核对品名、规格、数量，原材料应符合有关质量标准要求，经检验合格方可入库。</w:t>
            </w:r>
          </w:p>
          <w:p>
            <w:pPr>
              <w:widowControl/>
              <w:numPr>
                <w:ilvl w:val="0"/>
                <w:numId w:val="13"/>
              </w:numPr>
              <w:spacing w:line="360" w:lineRule="auto"/>
              <w:ind w:left="482" w:hanging="482"/>
              <w:rPr>
                <w:rFonts w:ascii="宋体"/>
                <w:szCs w:val="21"/>
              </w:rPr>
            </w:pPr>
            <w:r>
              <w:rPr>
                <w:rFonts w:hint="eastAsia" w:ascii="宋体" w:hAnsi="宋体" w:cs="宋体"/>
                <w:szCs w:val="21"/>
              </w:rPr>
              <w:t>堆垛不能占用疏散通道，安全防火门保持开关顺畅，存放的原材料应设置产品标识卡，并做好化工材料出入库台账。</w:t>
            </w:r>
          </w:p>
          <w:p>
            <w:pPr>
              <w:widowControl/>
              <w:numPr>
                <w:ilvl w:val="0"/>
                <w:numId w:val="13"/>
              </w:numPr>
              <w:spacing w:line="360" w:lineRule="auto"/>
              <w:ind w:left="482" w:hanging="482"/>
              <w:rPr>
                <w:rFonts w:ascii="宋体"/>
                <w:szCs w:val="21"/>
              </w:rPr>
            </w:pPr>
            <w:r>
              <w:rPr>
                <w:rFonts w:hint="eastAsia" w:ascii="宋体" w:hAnsi="宋体" w:cs="宋体"/>
                <w:szCs w:val="21"/>
              </w:rPr>
              <w:t>检查库内原材料有无受潮变质情况，严禁存放和使用受潮产品，做到原材料先入先出。</w:t>
            </w:r>
          </w:p>
          <w:p>
            <w:pPr>
              <w:widowControl/>
              <w:numPr>
                <w:ilvl w:val="0"/>
                <w:numId w:val="13"/>
              </w:numPr>
              <w:spacing w:line="360" w:lineRule="auto"/>
              <w:ind w:left="482" w:hanging="482"/>
              <w:rPr>
                <w:rFonts w:ascii="宋体"/>
                <w:szCs w:val="21"/>
              </w:rPr>
            </w:pPr>
            <w:r>
              <w:rPr>
                <w:rFonts w:hint="eastAsia" w:hAnsi="宋体" w:cs="宋体"/>
                <w:szCs w:val="21"/>
              </w:rPr>
              <w:t>每天对室内温、湿度进行检测记录；温度控制在</w:t>
            </w:r>
            <w:r>
              <w:rPr>
                <w:rFonts w:hAnsi="宋体"/>
                <w:szCs w:val="21"/>
              </w:rPr>
              <w:t>-20</w:t>
            </w:r>
            <w:r>
              <w:rPr>
                <w:rFonts w:hint="eastAsia" w:hAnsi="宋体" w:cs="宋体"/>
                <w:szCs w:val="21"/>
              </w:rPr>
              <w:t>℃～</w:t>
            </w:r>
            <w:r>
              <w:rPr>
                <w:rFonts w:hAnsi="宋体"/>
                <w:szCs w:val="21"/>
              </w:rPr>
              <w:t>45</w:t>
            </w:r>
            <w:r>
              <w:rPr>
                <w:rFonts w:hint="eastAsia" w:hAnsi="宋体" w:cs="宋体"/>
                <w:szCs w:val="21"/>
              </w:rPr>
              <w:t>℃，相对湿度控制在</w:t>
            </w:r>
            <w:r>
              <w:rPr>
                <w:rFonts w:hAnsi="宋体"/>
                <w:szCs w:val="21"/>
              </w:rPr>
              <w:t>50%</w:t>
            </w:r>
            <w:r>
              <w:rPr>
                <w:rFonts w:hint="eastAsia" w:hAnsi="宋体" w:cs="宋体"/>
                <w:szCs w:val="21"/>
              </w:rPr>
              <w:t>～</w:t>
            </w:r>
            <w:r>
              <w:rPr>
                <w:rFonts w:hAnsi="宋体"/>
                <w:szCs w:val="21"/>
              </w:rPr>
              <w:t>85%</w:t>
            </w:r>
            <w:r>
              <w:rPr>
                <w:rFonts w:hint="eastAsia" w:hAnsi="宋体" w:cs="宋体"/>
                <w:szCs w:val="21"/>
              </w:rPr>
              <w:t>。应保持中转库通风窗通风、散热良好，</w:t>
            </w:r>
            <w:r>
              <w:rPr>
                <w:rFonts w:hint="eastAsia" w:ascii="宋体" w:hAnsi="宋体" w:cs="宋体"/>
                <w:szCs w:val="21"/>
              </w:rPr>
              <w:t>气温超过</w:t>
            </w:r>
            <w:r>
              <w:rPr>
                <w:rFonts w:ascii="宋体" w:hAnsi="宋体" w:cs="宋体"/>
                <w:szCs w:val="21"/>
              </w:rPr>
              <w:t>34</w:t>
            </w:r>
            <w:r>
              <w:rPr>
                <w:rFonts w:hint="eastAsia" w:ascii="宋体" w:hAnsi="宋体" w:cs="宋体"/>
                <w:szCs w:val="21"/>
              </w:rPr>
              <w:t>℃或遇暴雨、雷电时，禁止作业；温、湿度超过上下限时要采取防护措施。</w:t>
            </w:r>
            <w:r>
              <w:rPr>
                <w:rFonts w:hint="eastAsia" w:hAnsi="宋体" w:cs="宋体"/>
                <w:szCs w:val="21"/>
              </w:rPr>
              <w:t>防止小动物进入库房内。</w:t>
            </w: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restart"/>
          </w:tcPr>
          <w:p>
            <w:pPr>
              <w:spacing w:line="360" w:lineRule="exact"/>
              <w:ind w:left="840" w:hanging="840" w:hangingChars="400"/>
              <w:jc w:val="center"/>
              <w:rPr>
                <w:rFonts w:ascii="宋体" w:hAnsi="宋体"/>
                <w:szCs w:val="21"/>
              </w:rPr>
            </w:pPr>
            <w:r>
              <w:rPr>
                <w:rFonts w:hint="eastAsia" w:hAnsi="宋体" w:cs="宋体"/>
                <w:color w:val="000000"/>
              </w:rPr>
              <w:t xml:space="preserve">   </w:t>
            </w: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4"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continue"/>
          </w:tcPr>
          <w:p>
            <w:pPr>
              <w:spacing w:line="360" w:lineRule="exact"/>
              <w:jc w:val="center"/>
              <w:rPr>
                <w:rFonts w:ascii="宋体" w:hAnsi="宋体"/>
                <w:szCs w:val="21"/>
              </w:rPr>
            </w:pPr>
          </w:p>
        </w:tc>
        <w:tc>
          <w:tcPr>
            <w:tcW w:w="2404"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2596" w:type="pct"/>
            <w:gridSpan w:val="2"/>
            <w:vAlign w:val="center"/>
          </w:tcPr>
          <w:p>
            <w:pPr>
              <w:spacing w:line="360" w:lineRule="auto"/>
              <w:jc w:val="center"/>
              <w:outlineLvl w:val="1"/>
              <w:rPr>
                <w:rFonts w:ascii="宋体" w:hAnsi="宋体" w:cs="宋体"/>
                <w:color w:val="000000"/>
                <w:szCs w:val="21"/>
              </w:rPr>
            </w:pPr>
            <w:r>
              <w:rPr>
                <w:rFonts w:hint="eastAsia" w:ascii="宋体" w:hAnsi="宋体" w:cs="宋体"/>
                <w:color w:val="000000"/>
                <w:szCs w:val="21"/>
              </w:rPr>
              <w:t>引火线库安全操作规程</w:t>
            </w:r>
          </w:p>
        </w:tc>
        <w:tc>
          <w:tcPr>
            <w:tcW w:w="2404" w:type="pct"/>
            <w:gridSpan w:val="2"/>
            <w:vAlign w:val="center"/>
          </w:tcPr>
          <w:p>
            <w:pPr>
              <w:spacing w:line="360" w:lineRule="exact"/>
              <w:jc w:val="center"/>
              <w:rPr>
                <w:rFonts w:ascii="宋体" w:hAnsi="宋体"/>
                <w:szCs w:val="21"/>
              </w:rPr>
            </w:pPr>
            <w:r>
              <w:rPr>
                <w:rFonts w:hint="eastAsia" w:ascii="宋体" w:hAnsi="宋体"/>
                <w:szCs w:val="21"/>
              </w:rPr>
              <w:t>第1版第2次修订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szCs w:val="21"/>
                <w:lang w:eastAsia="zh-CN"/>
              </w:rPr>
            </w:pPr>
            <w:r>
              <w:rPr>
                <w:rFonts w:hint="eastAsia" w:ascii="宋体" w:hAnsi="宋体"/>
                <w:szCs w:val="21"/>
                <w:lang w:eastAsia="zh-CN"/>
              </w:rPr>
              <w:t>2022年3月20日</w:t>
            </w:r>
          </w:p>
        </w:tc>
        <w:tc>
          <w:tcPr>
            <w:tcW w:w="564" w:type="pct"/>
          </w:tcPr>
          <w:p>
            <w:pPr>
              <w:spacing w:line="360" w:lineRule="exact"/>
              <w:jc w:val="center"/>
              <w:rPr>
                <w:rFonts w:ascii="宋体" w:hAnsi="宋体"/>
                <w:szCs w:val="21"/>
              </w:rPr>
            </w:pPr>
            <w:r>
              <w:rPr>
                <w:rFonts w:hint="eastAsia" w:ascii="宋体" w:hAnsi="宋体"/>
                <w:szCs w:val="21"/>
              </w:rPr>
              <w:t>审订时间</w:t>
            </w:r>
          </w:p>
        </w:tc>
        <w:tc>
          <w:tcPr>
            <w:tcW w:w="1840"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szCs w:val="21"/>
                <w:lang w:eastAsia="zh-CN"/>
              </w:rPr>
            </w:pPr>
            <w:r>
              <w:rPr>
                <w:rFonts w:hint="eastAsia" w:ascii="宋体" w:hAnsi="宋体"/>
                <w:szCs w:val="21"/>
                <w:lang w:eastAsia="zh-CN"/>
              </w:rPr>
              <w:t>2022年4月13日</w:t>
            </w:r>
          </w:p>
        </w:tc>
        <w:tc>
          <w:tcPr>
            <w:tcW w:w="564" w:type="pct"/>
          </w:tcPr>
          <w:p>
            <w:pPr>
              <w:spacing w:line="360" w:lineRule="exact"/>
              <w:rPr>
                <w:rFonts w:ascii="宋体" w:hAnsi="宋体"/>
                <w:szCs w:val="21"/>
              </w:rPr>
            </w:pPr>
            <w:r>
              <w:rPr>
                <w:rFonts w:hint="eastAsia" w:ascii="宋体" w:hAnsi="宋体"/>
                <w:szCs w:val="21"/>
              </w:rPr>
              <w:t>批准人</w:t>
            </w:r>
          </w:p>
        </w:tc>
        <w:tc>
          <w:tcPr>
            <w:tcW w:w="1840"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5000" w:type="pct"/>
            <w:gridSpan w:val="4"/>
          </w:tcPr>
          <w:p>
            <w:pPr>
              <w:spacing w:line="360" w:lineRule="exact"/>
              <w:rPr>
                <w:rFonts w:ascii="宋体" w:hAnsi="宋体"/>
                <w:szCs w:val="21"/>
              </w:rPr>
            </w:pPr>
            <w:r>
              <w:rPr>
                <w:rFonts w:hint="eastAsia" w:ascii="宋体" w:hAnsi="宋体"/>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引火线库</w:t>
            </w:r>
            <w:r>
              <w:rPr>
                <w:rFonts w:hint="eastAsia" w:ascii="宋体" w:hAnsi="宋体"/>
                <w:color w:val="000000"/>
                <w:szCs w:val="21"/>
              </w:rPr>
              <w:t>。</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szCs w:val="21"/>
              </w:rPr>
              <w:t>适用于本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引火线库</w:t>
            </w:r>
            <w:r>
              <w:rPr>
                <w:rFonts w:hint="eastAsia" w:hAnsi="宋体" w:cs="宋体"/>
                <w:color w:val="000000"/>
                <w:szCs w:val="21"/>
              </w:rPr>
              <w:t>。</w:t>
            </w:r>
          </w:p>
          <w:p>
            <w:pPr>
              <w:spacing w:line="360" w:lineRule="exact"/>
              <w:rPr>
                <w:rFonts w:ascii="宋体" w:hAnsi="宋体"/>
                <w:szCs w:val="21"/>
              </w:rPr>
            </w:pPr>
            <w:r>
              <w:rPr>
                <w:rFonts w:hint="eastAsia" w:ascii="宋体" w:hAnsi="宋体"/>
                <w:szCs w:val="21"/>
              </w:rPr>
              <w:t>3.内容</w:t>
            </w:r>
          </w:p>
          <w:p>
            <w:pPr>
              <w:widowControl/>
              <w:numPr>
                <w:ilvl w:val="0"/>
                <w:numId w:val="14"/>
              </w:numPr>
              <w:spacing w:line="360" w:lineRule="auto"/>
              <w:ind w:left="482" w:hanging="482"/>
              <w:rPr>
                <w:rFonts w:ascii="宋体"/>
                <w:szCs w:val="21"/>
              </w:rPr>
            </w:pPr>
            <w:r>
              <w:rPr>
                <w:rFonts w:hint="eastAsia" w:ascii="宋体" w:cs="宋体"/>
                <w:szCs w:val="21"/>
              </w:rPr>
              <w:t>作业人员入库前应穿戴符合要求的工作服，消除身体静电。</w:t>
            </w:r>
          </w:p>
          <w:p>
            <w:pPr>
              <w:widowControl/>
              <w:numPr>
                <w:ilvl w:val="0"/>
                <w:numId w:val="14"/>
              </w:numPr>
              <w:spacing w:line="360" w:lineRule="auto"/>
              <w:ind w:left="482" w:hanging="482"/>
              <w:rPr>
                <w:rFonts w:ascii="宋体"/>
                <w:szCs w:val="21"/>
              </w:rPr>
            </w:pPr>
            <w:r>
              <w:rPr>
                <w:rFonts w:hint="eastAsia" w:ascii="宋体" w:hAnsi="宋体" w:cs="宋体"/>
                <w:szCs w:val="21"/>
              </w:rPr>
              <w:t>作业人员不得超过</w:t>
            </w:r>
            <w:r>
              <w:rPr>
                <w:rFonts w:ascii="宋体" w:hAnsi="宋体" w:cs="宋体"/>
                <w:szCs w:val="21"/>
              </w:rPr>
              <w:t>2</w:t>
            </w:r>
            <w:r>
              <w:rPr>
                <w:rFonts w:hint="eastAsia" w:ascii="宋体" w:hAnsi="宋体" w:cs="宋体"/>
                <w:szCs w:val="21"/>
              </w:rPr>
              <w:t>人，电瓶车、板车、手推车不应进入本仓库内。进入引火线仓库区域的机动车辆，排气管应安装阻火器，装卸前机动车应熄火平稳停靠在仓库门前</w:t>
            </w:r>
            <w:r>
              <w:rPr>
                <w:rFonts w:ascii="宋体" w:hAnsi="宋体" w:cs="宋体"/>
                <w:szCs w:val="21"/>
              </w:rPr>
              <w:t>2.5</w:t>
            </w:r>
            <w:r>
              <w:rPr>
                <w:rFonts w:hint="eastAsia" w:ascii="宋体" w:hAnsi="宋体" w:cs="宋体"/>
                <w:szCs w:val="21"/>
              </w:rPr>
              <w:t>米外。</w:t>
            </w:r>
          </w:p>
          <w:p>
            <w:pPr>
              <w:widowControl/>
              <w:numPr>
                <w:ilvl w:val="0"/>
                <w:numId w:val="14"/>
              </w:numPr>
              <w:spacing w:line="360" w:lineRule="auto"/>
              <w:ind w:left="482" w:hanging="482"/>
              <w:rPr>
                <w:rFonts w:ascii="宋体"/>
                <w:szCs w:val="21"/>
              </w:rPr>
            </w:pPr>
            <w:r>
              <w:rPr>
                <w:rFonts w:hint="eastAsia" w:ascii="宋体" w:hAnsi="宋体" w:cs="宋体"/>
                <w:szCs w:val="21"/>
              </w:rPr>
              <w:t>引火线的存放总药量应与本库房储存能力相适应，严禁超过库房核定储存的药量。</w:t>
            </w:r>
          </w:p>
          <w:p>
            <w:pPr>
              <w:widowControl/>
              <w:numPr>
                <w:ilvl w:val="0"/>
                <w:numId w:val="14"/>
              </w:numPr>
              <w:spacing w:line="360" w:lineRule="auto"/>
              <w:ind w:left="482" w:hanging="482"/>
              <w:rPr>
                <w:rFonts w:ascii="宋体"/>
                <w:szCs w:val="21"/>
              </w:rPr>
            </w:pPr>
            <w:r>
              <w:rPr>
                <w:rFonts w:hint="eastAsia" w:ascii="宋体" w:hAnsi="宋体" w:cs="宋体"/>
                <w:szCs w:val="21"/>
              </w:rPr>
              <w:t>仓库内引火线应分类存放，通道畅通，摆放整齐、平码堆放；引火线堆码高度≤</w:t>
            </w:r>
            <w:r>
              <w:rPr>
                <w:rFonts w:ascii="宋体" w:hAnsi="宋体" w:cs="宋体"/>
                <w:szCs w:val="21"/>
              </w:rPr>
              <w:t>1.5</w:t>
            </w:r>
            <w:r>
              <w:rPr>
                <w:rFonts w:hint="eastAsia" w:ascii="宋体" w:hAnsi="宋体" w:cs="宋体"/>
                <w:szCs w:val="21"/>
              </w:rPr>
              <w:t>米，距墙壁≥</w:t>
            </w:r>
            <w:r>
              <w:rPr>
                <w:rFonts w:ascii="宋体" w:hAnsi="宋体" w:cs="宋体"/>
                <w:szCs w:val="21"/>
              </w:rPr>
              <w:t>0.45</w:t>
            </w:r>
            <w:r>
              <w:rPr>
                <w:rFonts w:hint="eastAsia" w:ascii="宋体" w:hAnsi="宋体" w:cs="宋体"/>
                <w:szCs w:val="21"/>
              </w:rPr>
              <w:t>米。</w:t>
            </w:r>
          </w:p>
          <w:p>
            <w:pPr>
              <w:widowControl/>
              <w:numPr>
                <w:ilvl w:val="0"/>
                <w:numId w:val="14"/>
              </w:numPr>
              <w:spacing w:line="360" w:lineRule="auto"/>
              <w:ind w:left="482" w:hanging="482"/>
              <w:rPr>
                <w:rFonts w:ascii="宋体"/>
                <w:szCs w:val="21"/>
              </w:rPr>
            </w:pPr>
            <w:r>
              <w:rPr>
                <w:rFonts w:hint="eastAsia" w:ascii="宋体" w:hAnsi="宋体" w:cs="宋体"/>
                <w:szCs w:val="21"/>
              </w:rPr>
              <w:t>引火线入库前应检查验收、登记，验收内容包括：数量、包装、规格等各种标识。按规范要求建立流向登记台帐和产品标识卡，应账卡物相符。</w:t>
            </w:r>
          </w:p>
          <w:p>
            <w:pPr>
              <w:widowControl/>
              <w:numPr>
                <w:ilvl w:val="0"/>
                <w:numId w:val="14"/>
              </w:numPr>
              <w:spacing w:line="360" w:lineRule="auto"/>
              <w:ind w:left="482" w:hanging="482"/>
              <w:rPr>
                <w:rFonts w:ascii="宋体"/>
                <w:szCs w:val="21"/>
              </w:rPr>
            </w:pPr>
            <w:r>
              <w:rPr>
                <w:rFonts w:hint="eastAsia" w:hAnsi="宋体" w:cs="宋体"/>
                <w:szCs w:val="21"/>
              </w:rPr>
              <w:t>每天对室内温、湿度进行检测记录；温度控制在</w:t>
            </w:r>
            <w:r>
              <w:rPr>
                <w:rFonts w:hAnsi="宋体"/>
                <w:szCs w:val="21"/>
              </w:rPr>
              <w:t>-20</w:t>
            </w:r>
            <w:r>
              <w:rPr>
                <w:rFonts w:hint="eastAsia" w:hAnsi="宋体" w:cs="宋体"/>
                <w:szCs w:val="21"/>
              </w:rPr>
              <w:t>℃～</w:t>
            </w:r>
            <w:r>
              <w:rPr>
                <w:rFonts w:hAnsi="宋体"/>
                <w:szCs w:val="21"/>
              </w:rPr>
              <w:t>45</w:t>
            </w:r>
            <w:r>
              <w:rPr>
                <w:rFonts w:hint="eastAsia" w:hAnsi="宋体" w:cs="宋体"/>
                <w:szCs w:val="21"/>
              </w:rPr>
              <w:t>℃，相对湿度控制在</w:t>
            </w:r>
            <w:r>
              <w:rPr>
                <w:rFonts w:hAnsi="宋体"/>
                <w:szCs w:val="21"/>
              </w:rPr>
              <w:t>50%</w:t>
            </w:r>
            <w:r>
              <w:rPr>
                <w:rFonts w:hint="eastAsia" w:hAnsi="宋体" w:cs="宋体"/>
                <w:szCs w:val="21"/>
              </w:rPr>
              <w:t>～</w:t>
            </w:r>
            <w:r>
              <w:rPr>
                <w:rFonts w:hAnsi="宋体"/>
                <w:szCs w:val="21"/>
              </w:rPr>
              <w:t>85%</w:t>
            </w:r>
            <w:r>
              <w:rPr>
                <w:rFonts w:hint="eastAsia" w:hAnsi="宋体" w:cs="宋体"/>
                <w:szCs w:val="21"/>
              </w:rPr>
              <w:t>。</w:t>
            </w:r>
            <w:r>
              <w:rPr>
                <w:rFonts w:hint="eastAsia" w:ascii="宋体" w:hAnsi="宋体" w:cs="宋体"/>
                <w:szCs w:val="21"/>
              </w:rPr>
              <w:t>气温超过</w:t>
            </w:r>
            <w:r>
              <w:rPr>
                <w:rFonts w:ascii="宋体" w:hAnsi="宋体" w:cs="宋体"/>
                <w:szCs w:val="21"/>
              </w:rPr>
              <w:t>34</w:t>
            </w:r>
            <w:r>
              <w:rPr>
                <w:rFonts w:hint="eastAsia" w:ascii="宋体" w:hAnsi="宋体" w:cs="宋体"/>
                <w:szCs w:val="21"/>
              </w:rPr>
              <w:t>℃或遇暴雨、雷电时，禁止作业；温、湿度超过上下限时要采取防护措施。</w:t>
            </w:r>
          </w:p>
          <w:p>
            <w:pPr>
              <w:widowControl/>
              <w:numPr>
                <w:ilvl w:val="0"/>
                <w:numId w:val="14"/>
              </w:numPr>
              <w:spacing w:line="360" w:lineRule="auto"/>
              <w:ind w:left="482" w:hanging="482"/>
              <w:rPr>
                <w:rFonts w:ascii="宋体"/>
                <w:szCs w:val="21"/>
              </w:rPr>
            </w:pPr>
            <w:r>
              <w:rPr>
                <w:rFonts w:hint="eastAsia" w:ascii="宋体" w:hAnsi="宋体" w:cs="宋体"/>
                <w:szCs w:val="21"/>
              </w:rPr>
              <w:t>装卸、搬运引火线时，应单件作业；不应有碰撞、拖拉、抛摔、翻滚、摩擦、挤压等操作行为；不应使用铁锹等铁质工具。严禁在库房区域内进行开箱、分箱等生产作业。</w:t>
            </w:r>
          </w:p>
          <w:p>
            <w:pPr>
              <w:widowControl/>
              <w:numPr>
                <w:ilvl w:val="0"/>
                <w:numId w:val="14"/>
              </w:numPr>
              <w:spacing w:line="360" w:lineRule="auto"/>
              <w:ind w:left="482" w:hanging="482"/>
              <w:rPr>
                <w:rFonts w:ascii="宋体"/>
                <w:szCs w:val="21"/>
              </w:rPr>
            </w:pPr>
            <w:r>
              <w:rPr>
                <w:rFonts w:hint="eastAsia" w:ascii="宋体" w:hAnsi="宋体" w:cs="宋体"/>
                <w:szCs w:val="21"/>
              </w:rPr>
              <w:t>保管人员应熟悉所储存物品的安全性能和消防器材的使用方法，加强对消防设施（器材）以及通风、防潮、防鼠等设施的维护，保障其功能有效、适用安全要求。</w:t>
            </w: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tc>
      </w:tr>
    </w:tbl>
    <w:p>
      <w:pPr>
        <w:spacing w:line="360" w:lineRule="auto"/>
        <w:rPr>
          <w:rFonts w:ascii="Times New Roman" w:hAnsi="宋体"/>
          <w:color w:val="000000"/>
          <w:sz w:val="24"/>
          <w:szCs w:val="24"/>
        </w:rPr>
      </w:pP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1"/>
        <w:gridCol w:w="2692"/>
        <w:gridCol w:w="1096"/>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restart"/>
          </w:tcPr>
          <w:p>
            <w:pPr>
              <w:spacing w:line="360" w:lineRule="exact"/>
              <w:ind w:left="840" w:hanging="840" w:hangingChars="400"/>
              <w:jc w:val="center"/>
              <w:rPr>
                <w:rFonts w:ascii="宋体" w:hAnsi="宋体"/>
                <w:szCs w:val="21"/>
              </w:rPr>
            </w:pPr>
            <w:r>
              <w:rPr>
                <w:rFonts w:hint="eastAsia" w:hAnsi="宋体" w:cs="宋体"/>
                <w:color w:val="000000"/>
              </w:rPr>
              <w:t xml:space="preserve">   </w:t>
            </w: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4"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continue"/>
          </w:tcPr>
          <w:p>
            <w:pPr>
              <w:spacing w:line="360" w:lineRule="exact"/>
              <w:jc w:val="center"/>
              <w:rPr>
                <w:rFonts w:ascii="宋体" w:hAnsi="宋体"/>
                <w:szCs w:val="21"/>
              </w:rPr>
            </w:pPr>
          </w:p>
        </w:tc>
        <w:tc>
          <w:tcPr>
            <w:tcW w:w="2404"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2596" w:type="pct"/>
            <w:gridSpan w:val="2"/>
            <w:vAlign w:val="center"/>
          </w:tcPr>
          <w:p>
            <w:pPr>
              <w:spacing w:line="360" w:lineRule="auto"/>
              <w:jc w:val="center"/>
              <w:outlineLvl w:val="1"/>
              <w:rPr>
                <w:rFonts w:ascii="宋体" w:hAnsi="宋体" w:cs="宋体"/>
                <w:color w:val="000000"/>
                <w:szCs w:val="21"/>
              </w:rPr>
            </w:pPr>
            <w:r>
              <w:rPr>
                <w:rFonts w:hint="eastAsia" w:ascii="宋体" w:hAnsi="宋体" w:cs="宋体"/>
                <w:color w:val="000000"/>
                <w:szCs w:val="21"/>
              </w:rPr>
              <w:t>成品库安全操作规程</w:t>
            </w:r>
          </w:p>
        </w:tc>
        <w:tc>
          <w:tcPr>
            <w:tcW w:w="2404" w:type="pct"/>
            <w:gridSpan w:val="2"/>
            <w:vAlign w:val="center"/>
          </w:tcPr>
          <w:p>
            <w:pPr>
              <w:spacing w:line="360" w:lineRule="exact"/>
              <w:jc w:val="center"/>
              <w:rPr>
                <w:rFonts w:ascii="宋体" w:hAnsi="宋体"/>
                <w:szCs w:val="21"/>
              </w:rPr>
            </w:pPr>
            <w:r>
              <w:rPr>
                <w:rFonts w:hint="eastAsia" w:ascii="宋体" w:hAnsi="宋体"/>
                <w:szCs w:val="21"/>
              </w:rPr>
              <w:t>第1版第2次修订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szCs w:val="21"/>
                <w:lang w:eastAsia="zh-CN"/>
              </w:rPr>
            </w:pPr>
            <w:r>
              <w:rPr>
                <w:rFonts w:hint="eastAsia" w:ascii="宋体" w:hAnsi="宋体"/>
                <w:szCs w:val="21"/>
                <w:lang w:eastAsia="zh-CN"/>
              </w:rPr>
              <w:t>2022年3月20日</w:t>
            </w:r>
          </w:p>
        </w:tc>
        <w:tc>
          <w:tcPr>
            <w:tcW w:w="564" w:type="pct"/>
          </w:tcPr>
          <w:p>
            <w:pPr>
              <w:spacing w:line="360" w:lineRule="exact"/>
              <w:jc w:val="center"/>
              <w:rPr>
                <w:rFonts w:ascii="宋体" w:hAnsi="宋体"/>
                <w:szCs w:val="21"/>
              </w:rPr>
            </w:pPr>
            <w:r>
              <w:rPr>
                <w:rFonts w:hint="eastAsia" w:ascii="宋体" w:hAnsi="宋体"/>
                <w:szCs w:val="21"/>
              </w:rPr>
              <w:t>审订时间</w:t>
            </w:r>
          </w:p>
        </w:tc>
        <w:tc>
          <w:tcPr>
            <w:tcW w:w="1840"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szCs w:val="21"/>
                <w:lang w:eastAsia="zh-CN"/>
              </w:rPr>
            </w:pPr>
            <w:r>
              <w:rPr>
                <w:rFonts w:hint="eastAsia" w:ascii="宋体" w:hAnsi="宋体"/>
                <w:szCs w:val="21"/>
                <w:lang w:eastAsia="zh-CN"/>
              </w:rPr>
              <w:t>2022年4月13日</w:t>
            </w:r>
          </w:p>
        </w:tc>
        <w:tc>
          <w:tcPr>
            <w:tcW w:w="564" w:type="pct"/>
          </w:tcPr>
          <w:p>
            <w:pPr>
              <w:spacing w:line="360" w:lineRule="exact"/>
              <w:rPr>
                <w:rFonts w:ascii="宋体" w:hAnsi="宋体"/>
                <w:szCs w:val="21"/>
              </w:rPr>
            </w:pPr>
            <w:r>
              <w:rPr>
                <w:rFonts w:hint="eastAsia" w:ascii="宋体" w:hAnsi="宋体"/>
                <w:szCs w:val="21"/>
              </w:rPr>
              <w:t>批准人</w:t>
            </w:r>
          </w:p>
        </w:tc>
        <w:tc>
          <w:tcPr>
            <w:tcW w:w="1840"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5000" w:type="pct"/>
            <w:gridSpan w:val="4"/>
          </w:tcPr>
          <w:p>
            <w:pPr>
              <w:spacing w:line="360" w:lineRule="exact"/>
              <w:rPr>
                <w:rFonts w:ascii="宋体" w:hAnsi="宋体"/>
                <w:szCs w:val="21"/>
              </w:rPr>
            </w:pPr>
            <w:r>
              <w:rPr>
                <w:rFonts w:hint="eastAsia" w:ascii="宋体" w:hAnsi="宋体"/>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成品库</w:t>
            </w:r>
            <w:r>
              <w:rPr>
                <w:rFonts w:hint="eastAsia" w:ascii="宋体" w:hAnsi="宋体"/>
                <w:color w:val="000000"/>
                <w:szCs w:val="21"/>
              </w:rPr>
              <w:t>。</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szCs w:val="21"/>
              </w:rPr>
              <w:t>适用于本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成品库</w:t>
            </w:r>
            <w:r>
              <w:rPr>
                <w:rFonts w:hint="eastAsia" w:hAnsi="宋体" w:cs="宋体"/>
                <w:color w:val="000000"/>
                <w:szCs w:val="21"/>
              </w:rPr>
              <w:t>。</w:t>
            </w:r>
          </w:p>
          <w:p>
            <w:pPr>
              <w:spacing w:line="360" w:lineRule="exact"/>
              <w:rPr>
                <w:rFonts w:ascii="宋体" w:hAnsi="宋体"/>
                <w:szCs w:val="21"/>
              </w:rPr>
            </w:pPr>
            <w:r>
              <w:rPr>
                <w:rFonts w:hint="eastAsia" w:ascii="宋体" w:hAnsi="宋体"/>
                <w:szCs w:val="21"/>
              </w:rPr>
              <w:t>3.内容</w:t>
            </w:r>
          </w:p>
          <w:p>
            <w:pPr>
              <w:widowControl/>
              <w:numPr>
                <w:ilvl w:val="0"/>
                <w:numId w:val="15"/>
              </w:numPr>
              <w:spacing w:line="360" w:lineRule="auto"/>
              <w:ind w:left="482" w:hanging="482"/>
              <w:rPr>
                <w:rFonts w:ascii="宋体"/>
                <w:szCs w:val="21"/>
              </w:rPr>
            </w:pPr>
            <w:r>
              <w:rPr>
                <w:rFonts w:hint="eastAsia" w:ascii="宋体" w:cs="宋体"/>
                <w:szCs w:val="21"/>
              </w:rPr>
              <w:t>作业人员入库前应穿戴符合要求的工作服，消除身体静电。</w:t>
            </w:r>
          </w:p>
          <w:p>
            <w:pPr>
              <w:widowControl/>
              <w:numPr>
                <w:ilvl w:val="0"/>
                <w:numId w:val="15"/>
              </w:numPr>
              <w:spacing w:line="360" w:lineRule="auto"/>
              <w:ind w:left="482" w:hanging="482"/>
              <w:rPr>
                <w:rFonts w:ascii="宋体"/>
                <w:szCs w:val="21"/>
              </w:rPr>
            </w:pPr>
            <w:r>
              <w:rPr>
                <w:rFonts w:hint="eastAsia" w:ascii="宋体" w:hAnsi="宋体" w:cs="宋体"/>
                <w:szCs w:val="21"/>
              </w:rPr>
              <w:t>作业人员不得超过</w:t>
            </w:r>
            <w:r>
              <w:rPr>
                <w:rFonts w:ascii="宋体" w:hAnsi="宋体" w:cs="宋体"/>
                <w:szCs w:val="21"/>
              </w:rPr>
              <w:t>8</w:t>
            </w:r>
            <w:r>
              <w:rPr>
                <w:rFonts w:hint="eastAsia" w:ascii="宋体" w:hAnsi="宋体" w:cs="宋体"/>
                <w:szCs w:val="21"/>
              </w:rPr>
              <w:t>人，进入烟花爆竹成品仓库区域的机动车辆，排气管应安装阻火器，装卸前机动车应熄火平稳停靠在仓库门前</w:t>
            </w:r>
            <w:r>
              <w:rPr>
                <w:rFonts w:ascii="宋体" w:hAnsi="宋体" w:cs="宋体"/>
                <w:szCs w:val="21"/>
              </w:rPr>
              <w:t>2.5</w:t>
            </w:r>
            <w:r>
              <w:rPr>
                <w:rFonts w:hint="eastAsia" w:ascii="宋体" w:hAnsi="宋体" w:cs="宋体"/>
                <w:szCs w:val="21"/>
              </w:rPr>
              <w:t>米外。</w:t>
            </w:r>
          </w:p>
          <w:p>
            <w:pPr>
              <w:widowControl/>
              <w:numPr>
                <w:ilvl w:val="0"/>
                <w:numId w:val="15"/>
              </w:numPr>
              <w:spacing w:line="360" w:lineRule="auto"/>
              <w:ind w:left="482" w:hanging="482"/>
              <w:rPr>
                <w:rFonts w:ascii="宋体"/>
                <w:szCs w:val="21"/>
              </w:rPr>
            </w:pPr>
            <w:r>
              <w:rPr>
                <w:rFonts w:hint="eastAsia" w:ascii="宋体" w:hAnsi="宋体" w:cs="宋体"/>
                <w:szCs w:val="21"/>
              </w:rPr>
              <w:t>烟花爆竹成品的存放总药量应与本库房储存能力相适应，严禁超过库房核定储存的药量。</w:t>
            </w:r>
          </w:p>
          <w:p>
            <w:pPr>
              <w:widowControl/>
              <w:numPr>
                <w:ilvl w:val="0"/>
                <w:numId w:val="15"/>
              </w:numPr>
              <w:spacing w:line="360" w:lineRule="auto"/>
              <w:ind w:left="482" w:hanging="482"/>
              <w:rPr>
                <w:rFonts w:ascii="宋体"/>
                <w:szCs w:val="21"/>
              </w:rPr>
            </w:pPr>
            <w:r>
              <w:rPr>
                <w:rFonts w:hint="eastAsia" w:ascii="宋体" w:hAnsi="宋体" w:cs="宋体"/>
                <w:szCs w:val="21"/>
              </w:rPr>
              <w:t>仓库内成品应分类存放，通道畅通，摆放整齐、平码堆放；堆垛与库墙之间宜留有≥</w:t>
            </w:r>
            <w:r>
              <w:rPr>
                <w:rFonts w:ascii="宋体" w:hAnsi="宋体" w:cs="宋体"/>
                <w:szCs w:val="21"/>
              </w:rPr>
              <w:t>0.45</w:t>
            </w:r>
            <w:r>
              <w:rPr>
                <w:rFonts w:hint="eastAsia" w:ascii="宋体" w:hAnsi="宋体" w:cs="宋体"/>
                <w:szCs w:val="21"/>
              </w:rPr>
              <w:t>米的通风巷，堆垛与堆垛之间应留有≥</w:t>
            </w:r>
            <w:r>
              <w:rPr>
                <w:rFonts w:ascii="宋体" w:hAnsi="宋体" w:cs="宋体"/>
                <w:szCs w:val="21"/>
              </w:rPr>
              <w:t>0.7</w:t>
            </w:r>
            <w:r>
              <w:rPr>
                <w:rFonts w:hint="eastAsia" w:ascii="宋体" w:hAnsi="宋体" w:cs="宋体"/>
                <w:szCs w:val="21"/>
              </w:rPr>
              <w:t>米的检查通道，通往安全出口的主通道宽度应≥</w:t>
            </w:r>
            <w:r>
              <w:rPr>
                <w:rFonts w:ascii="宋体" w:hAnsi="宋体" w:cs="宋体"/>
                <w:szCs w:val="21"/>
              </w:rPr>
              <w:t>1.5</w:t>
            </w:r>
            <w:r>
              <w:rPr>
                <w:rFonts w:hint="eastAsia" w:ascii="宋体" w:hAnsi="宋体" w:cs="宋体"/>
                <w:szCs w:val="21"/>
              </w:rPr>
              <w:t>米，并在作业过程中保持畅通无阻。</w:t>
            </w:r>
            <w:r>
              <w:rPr>
                <w:rFonts w:ascii="宋体" w:hAnsi="宋体" w:cs="宋体"/>
                <w:szCs w:val="21"/>
              </w:rPr>
              <w:t xml:space="preserve"> </w:t>
            </w:r>
            <w:r>
              <w:rPr>
                <w:rFonts w:hint="eastAsia" w:ascii="宋体" w:hAnsi="宋体" w:cs="宋体"/>
                <w:szCs w:val="21"/>
              </w:rPr>
              <w:t>每个堆垛的边长应≤</w:t>
            </w:r>
            <w:r>
              <w:rPr>
                <w:rFonts w:ascii="宋体" w:hAnsi="宋体" w:cs="宋体"/>
                <w:szCs w:val="21"/>
              </w:rPr>
              <w:t>10</w:t>
            </w:r>
            <w:r>
              <w:rPr>
                <w:rFonts w:hint="eastAsia" w:ascii="宋体" w:hAnsi="宋体" w:cs="宋体"/>
                <w:szCs w:val="21"/>
              </w:rPr>
              <w:t>米，堆码高度不应超过</w:t>
            </w:r>
            <w:r>
              <w:rPr>
                <w:rFonts w:ascii="宋体" w:hAnsi="宋体" w:cs="宋体"/>
                <w:szCs w:val="21"/>
              </w:rPr>
              <w:t>2.5</w:t>
            </w:r>
            <w:r>
              <w:rPr>
                <w:rFonts w:hint="eastAsia" w:ascii="宋体" w:hAnsi="宋体" w:cs="宋体"/>
                <w:szCs w:val="21"/>
              </w:rPr>
              <w:t>米。</w:t>
            </w:r>
          </w:p>
          <w:p>
            <w:pPr>
              <w:widowControl/>
              <w:numPr>
                <w:ilvl w:val="0"/>
                <w:numId w:val="15"/>
              </w:numPr>
              <w:spacing w:line="360" w:lineRule="auto"/>
              <w:ind w:left="482" w:hanging="482"/>
              <w:rPr>
                <w:rFonts w:ascii="宋体"/>
                <w:szCs w:val="21"/>
              </w:rPr>
            </w:pPr>
            <w:r>
              <w:rPr>
                <w:rFonts w:hint="eastAsia" w:ascii="宋体" w:hAnsi="宋体" w:cs="宋体"/>
                <w:szCs w:val="21"/>
              </w:rPr>
              <w:t>成品入库前应检查验收、登记，验收内容包括：产品内外包装、合格证等标识是否符合标准要求。</w:t>
            </w:r>
          </w:p>
          <w:p>
            <w:pPr>
              <w:widowControl/>
              <w:numPr>
                <w:ilvl w:val="0"/>
                <w:numId w:val="15"/>
              </w:numPr>
              <w:spacing w:line="360" w:lineRule="auto"/>
              <w:ind w:left="482" w:hanging="482"/>
              <w:rPr>
                <w:rFonts w:ascii="宋体"/>
                <w:szCs w:val="21"/>
              </w:rPr>
            </w:pPr>
            <w:r>
              <w:rPr>
                <w:rFonts w:hint="eastAsia" w:ascii="宋体" w:hAnsi="宋体" w:cs="宋体"/>
                <w:szCs w:val="21"/>
              </w:rPr>
              <w:t>产品出入库均应扫描包装标识码，按规范要求建立流向登记台帐和产品标识卡，应账卡物相符。</w:t>
            </w:r>
          </w:p>
          <w:p>
            <w:pPr>
              <w:widowControl/>
              <w:numPr>
                <w:ilvl w:val="0"/>
                <w:numId w:val="15"/>
              </w:numPr>
              <w:spacing w:line="360" w:lineRule="auto"/>
              <w:ind w:left="482" w:hanging="482"/>
              <w:rPr>
                <w:rFonts w:ascii="宋体"/>
                <w:szCs w:val="21"/>
              </w:rPr>
            </w:pPr>
            <w:r>
              <w:rPr>
                <w:rFonts w:hint="eastAsia" w:hAnsi="宋体" w:cs="宋体"/>
                <w:szCs w:val="21"/>
              </w:rPr>
              <w:t>每天对室内温、湿度进行检测记录；温度控制在</w:t>
            </w:r>
            <w:r>
              <w:rPr>
                <w:rFonts w:hAnsi="宋体"/>
                <w:szCs w:val="21"/>
              </w:rPr>
              <w:t>-20</w:t>
            </w:r>
            <w:r>
              <w:rPr>
                <w:rFonts w:hint="eastAsia" w:hAnsi="宋体" w:cs="宋体"/>
                <w:szCs w:val="21"/>
              </w:rPr>
              <w:t>℃～</w:t>
            </w:r>
            <w:r>
              <w:rPr>
                <w:rFonts w:hAnsi="宋体"/>
                <w:szCs w:val="21"/>
              </w:rPr>
              <w:t>45</w:t>
            </w:r>
            <w:r>
              <w:rPr>
                <w:rFonts w:hint="eastAsia" w:hAnsi="宋体" w:cs="宋体"/>
                <w:szCs w:val="21"/>
              </w:rPr>
              <w:t>℃，相对湿度控制在</w:t>
            </w:r>
            <w:r>
              <w:rPr>
                <w:rFonts w:hAnsi="宋体"/>
                <w:szCs w:val="21"/>
              </w:rPr>
              <w:t>50%</w:t>
            </w:r>
            <w:r>
              <w:rPr>
                <w:rFonts w:hint="eastAsia" w:hAnsi="宋体" w:cs="宋体"/>
                <w:szCs w:val="21"/>
              </w:rPr>
              <w:t>～</w:t>
            </w:r>
            <w:r>
              <w:rPr>
                <w:rFonts w:hAnsi="宋体"/>
                <w:szCs w:val="21"/>
              </w:rPr>
              <w:t>85%</w:t>
            </w:r>
            <w:r>
              <w:rPr>
                <w:rFonts w:hint="eastAsia" w:hAnsi="宋体" w:cs="宋体"/>
                <w:szCs w:val="21"/>
              </w:rPr>
              <w:t>。</w:t>
            </w:r>
            <w:r>
              <w:rPr>
                <w:rFonts w:hint="eastAsia" w:ascii="宋体" w:hAnsi="宋体" w:cs="宋体"/>
                <w:szCs w:val="21"/>
              </w:rPr>
              <w:t>气温超过</w:t>
            </w:r>
            <w:r>
              <w:rPr>
                <w:rFonts w:ascii="宋体" w:hAnsi="宋体" w:cs="宋体"/>
                <w:szCs w:val="21"/>
              </w:rPr>
              <w:t>34</w:t>
            </w:r>
            <w:r>
              <w:rPr>
                <w:rFonts w:hint="eastAsia" w:ascii="宋体" w:hAnsi="宋体" w:cs="宋体"/>
                <w:szCs w:val="21"/>
              </w:rPr>
              <w:t>℃或遇暴雨、雷电时，禁止作业；温、湿度超过上下限时要采取防护措施。</w:t>
            </w:r>
          </w:p>
          <w:p>
            <w:pPr>
              <w:widowControl/>
              <w:numPr>
                <w:ilvl w:val="0"/>
                <w:numId w:val="15"/>
              </w:numPr>
              <w:spacing w:line="360" w:lineRule="auto"/>
              <w:ind w:left="482" w:hanging="482"/>
              <w:rPr>
                <w:rFonts w:ascii="宋体"/>
                <w:szCs w:val="21"/>
              </w:rPr>
            </w:pPr>
            <w:r>
              <w:rPr>
                <w:rFonts w:hint="eastAsia" w:ascii="宋体" w:hAnsi="宋体" w:cs="宋体"/>
                <w:szCs w:val="21"/>
              </w:rPr>
              <w:t>装卸、搬运烟火药时应单件装卸；不应有碰撞、拖拉、抛摔、翻滚、摩擦、挤压等操作行为；不应使用铁锹等铁质工具。严禁在库房区域内进行开箱、分箱等生产作业。</w:t>
            </w:r>
          </w:p>
          <w:p>
            <w:pPr>
              <w:widowControl/>
              <w:numPr>
                <w:ilvl w:val="0"/>
                <w:numId w:val="15"/>
              </w:numPr>
              <w:spacing w:line="360" w:lineRule="auto"/>
              <w:ind w:left="482" w:hanging="482"/>
              <w:rPr>
                <w:rFonts w:ascii="宋体"/>
                <w:szCs w:val="21"/>
              </w:rPr>
            </w:pPr>
            <w:r>
              <w:rPr>
                <w:rFonts w:hint="eastAsia" w:ascii="宋体" w:hAnsi="宋体" w:cs="宋体"/>
                <w:szCs w:val="21"/>
              </w:rPr>
              <w:t>保管人员应熟悉所储存物品的安全性能和消防器材的使用方法，加强对消防设施（器材）以及通风、防潮、防小动物等设施的维护，保障其功能有效、适用安全要求。</w:t>
            </w: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rPr>
                <w:rFonts w:hAnsi="宋体" w:cs="宋体"/>
                <w:color w:val="000000"/>
              </w:rPr>
            </w:pPr>
          </w:p>
        </w:tc>
      </w:tr>
    </w:tbl>
    <w:p>
      <w:pPr>
        <w:spacing w:line="360" w:lineRule="auto"/>
        <w:rPr>
          <w:rFonts w:ascii="Times New Roman" w:hAnsi="宋体"/>
          <w:color w:val="000000"/>
          <w:sz w:val="24"/>
          <w:szCs w:val="24"/>
        </w:rPr>
      </w:pP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1"/>
        <w:gridCol w:w="2692"/>
        <w:gridCol w:w="1096"/>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restart"/>
          </w:tcPr>
          <w:p>
            <w:pPr>
              <w:spacing w:line="360" w:lineRule="exact"/>
              <w:ind w:left="840" w:hanging="840" w:hangingChars="400"/>
              <w:jc w:val="center"/>
              <w:rPr>
                <w:rFonts w:ascii="宋体" w:hAnsi="宋体"/>
                <w:szCs w:val="21"/>
              </w:rPr>
            </w:pPr>
            <w:r>
              <w:rPr>
                <w:rFonts w:hint="eastAsia" w:hAnsi="宋体" w:cs="宋体"/>
                <w:color w:val="000000"/>
              </w:rPr>
              <w:t xml:space="preserve">   </w:t>
            </w: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4"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continue"/>
          </w:tcPr>
          <w:p>
            <w:pPr>
              <w:spacing w:line="360" w:lineRule="exact"/>
              <w:jc w:val="center"/>
              <w:rPr>
                <w:rFonts w:ascii="宋体" w:hAnsi="宋体"/>
                <w:szCs w:val="21"/>
              </w:rPr>
            </w:pPr>
          </w:p>
        </w:tc>
        <w:tc>
          <w:tcPr>
            <w:tcW w:w="2404"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2596" w:type="pct"/>
            <w:gridSpan w:val="2"/>
            <w:vAlign w:val="center"/>
          </w:tcPr>
          <w:p>
            <w:pPr>
              <w:jc w:val="center"/>
              <w:outlineLvl w:val="1"/>
              <w:rPr>
                <w:rFonts w:ascii="宋体" w:hAnsi="宋体" w:cs="宋体"/>
                <w:b/>
                <w:szCs w:val="21"/>
              </w:rPr>
            </w:pPr>
            <w:r>
              <w:rPr>
                <w:rFonts w:hint="eastAsia" w:ascii="宋体" w:hAnsi="宋体" w:cs="宋体"/>
                <w:color w:val="000000"/>
                <w:szCs w:val="21"/>
              </w:rPr>
              <w:t>废药（废品）销毁安全操作规程</w:t>
            </w:r>
          </w:p>
        </w:tc>
        <w:tc>
          <w:tcPr>
            <w:tcW w:w="2404" w:type="pct"/>
            <w:gridSpan w:val="2"/>
            <w:vAlign w:val="center"/>
          </w:tcPr>
          <w:p>
            <w:pPr>
              <w:spacing w:line="360" w:lineRule="exact"/>
              <w:jc w:val="center"/>
              <w:rPr>
                <w:rFonts w:ascii="宋体" w:hAnsi="宋体"/>
                <w:szCs w:val="21"/>
              </w:rPr>
            </w:pPr>
            <w:r>
              <w:rPr>
                <w:rFonts w:hint="eastAsia" w:ascii="宋体" w:hAnsi="宋体"/>
                <w:szCs w:val="21"/>
              </w:rPr>
              <w:t>第1版第2次修订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szCs w:val="21"/>
                <w:lang w:eastAsia="zh-CN"/>
              </w:rPr>
            </w:pPr>
            <w:r>
              <w:rPr>
                <w:rFonts w:hint="eastAsia" w:ascii="宋体" w:hAnsi="宋体"/>
                <w:szCs w:val="21"/>
                <w:lang w:eastAsia="zh-CN"/>
              </w:rPr>
              <w:t>2022年3月20日</w:t>
            </w:r>
          </w:p>
        </w:tc>
        <w:tc>
          <w:tcPr>
            <w:tcW w:w="564" w:type="pct"/>
          </w:tcPr>
          <w:p>
            <w:pPr>
              <w:spacing w:line="360" w:lineRule="exact"/>
              <w:jc w:val="center"/>
              <w:rPr>
                <w:rFonts w:ascii="宋体" w:hAnsi="宋体"/>
                <w:szCs w:val="21"/>
              </w:rPr>
            </w:pPr>
            <w:r>
              <w:rPr>
                <w:rFonts w:hint="eastAsia" w:ascii="宋体" w:hAnsi="宋体"/>
                <w:szCs w:val="21"/>
              </w:rPr>
              <w:t>审订时间</w:t>
            </w:r>
          </w:p>
        </w:tc>
        <w:tc>
          <w:tcPr>
            <w:tcW w:w="1840"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szCs w:val="21"/>
                <w:lang w:eastAsia="zh-CN"/>
              </w:rPr>
            </w:pPr>
            <w:r>
              <w:rPr>
                <w:rFonts w:hint="eastAsia" w:ascii="宋体" w:hAnsi="宋体"/>
                <w:szCs w:val="21"/>
                <w:lang w:eastAsia="zh-CN"/>
              </w:rPr>
              <w:t>2022年4月13日</w:t>
            </w:r>
          </w:p>
        </w:tc>
        <w:tc>
          <w:tcPr>
            <w:tcW w:w="564" w:type="pct"/>
          </w:tcPr>
          <w:p>
            <w:pPr>
              <w:spacing w:line="360" w:lineRule="exact"/>
              <w:rPr>
                <w:rFonts w:ascii="宋体" w:hAnsi="宋体"/>
                <w:szCs w:val="21"/>
              </w:rPr>
            </w:pPr>
            <w:r>
              <w:rPr>
                <w:rFonts w:hint="eastAsia" w:ascii="宋体" w:hAnsi="宋体"/>
                <w:szCs w:val="21"/>
              </w:rPr>
              <w:t>批准人</w:t>
            </w:r>
          </w:p>
        </w:tc>
        <w:tc>
          <w:tcPr>
            <w:tcW w:w="1840"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5000" w:type="pct"/>
            <w:gridSpan w:val="4"/>
          </w:tcPr>
          <w:p>
            <w:pPr>
              <w:spacing w:line="360" w:lineRule="exact"/>
              <w:rPr>
                <w:rFonts w:ascii="宋体" w:hAnsi="宋体"/>
                <w:szCs w:val="21"/>
              </w:rPr>
            </w:pPr>
            <w:r>
              <w:rPr>
                <w:rFonts w:hint="eastAsia" w:ascii="宋体" w:hAnsi="宋体"/>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废药（废品）销毁</w:t>
            </w:r>
            <w:r>
              <w:rPr>
                <w:rFonts w:hint="eastAsia" w:ascii="宋体" w:hAnsi="宋体"/>
                <w:color w:val="000000"/>
                <w:szCs w:val="21"/>
              </w:rPr>
              <w:t>。</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szCs w:val="21"/>
              </w:rPr>
              <w:t>适用于本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废药（废品）销毁</w:t>
            </w:r>
            <w:r>
              <w:rPr>
                <w:rFonts w:hint="eastAsia" w:hAnsi="宋体" w:cs="宋体"/>
                <w:color w:val="000000"/>
                <w:szCs w:val="21"/>
              </w:rPr>
              <w:t>。</w:t>
            </w:r>
          </w:p>
          <w:p>
            <w:pPr>
              <w:spacing w:line="360" w:lineRule="exact"/>
              <w:rPr>
                <w:rFonts w:ascii="宋体" w:hAnsi="宋体"/>
                <w:szCs w:val="21"/>
              </w:rPr>
            </w:pPr>
            <w:r>
              <w:rPr>
                <w:rFonts w:hint="eastAsia" w:ascii="宋体" w:hAnsi="宋体"/>
                <w:szCs w:val="21"/>
              </w:rPr>
              <w:t>3.内容</w:t>
            </w:r>
          </w:p>
          <w:p>
            <w:pPr>
              <w:widowControl/>
              <w:numPr>
                <w:ilvl w:val="0"/>
                <w:numId w:val="16"/>
              </w:numPr>
              <w:spacing w:line="360" w:lineRule="auto"/>
              <w:rPr>
                <w:rFonts w:ascii="宋体" w:hAnsi="宋体" w:cs="宋体"/>
                <w:szCs w:val="21"/>
              </w:rPr>
            </w:pPr>
            <w:r>
              <w:rPr>
                <w:rFonts w:hint="eastAsia" w:ascii="宋体" w:hAnsi="宋体" w:cs="宋体"/>
                <w:szCs w:val="21"/>
              </w:rPr>
              <w:t>作业人员应穿戴防静电服装，佩戴头盔。</w:t>
            </w:r>
          </w:p>
          <w:p>
            <w:pPr>
              <w:widowControl/>
              <w:numPr>
                <w:ilvl w:val="0"/>
                <w:numId w:val="16"/>
              </w:numPr>
              <w:spacing w:line="360" w:lineRule="auto"/>
              <w:rPr>
                <w:rFonts w:ascii="宋体" w:hAnsi="宋体" w:cs="宋体"/>
                <w:szCs w:val="21"/>
              </w:rPr>
            </w:pPr>
            <w:r>
              <w:rPr>
                <w:rFonts w:hint="eastAsia" w:ascii="宋体" w:hAnsi="宋体" w:cs="宋体"/>
                <w:szCs w:val="21"/>
              </w:rPr>
              <w:t>废药（品）应尽可能采用烧毁法销毁，必须在专用销毁场由专人销毁，并设置警戒区域。</w:t>
            </w:r>
          </w:p>
          <w:p>
            <w:pPr>
              <w:widowControl/>
              <w:numPr>
                <w:ilvl w:val="0"/>
                <w:numId w:val="16"/>
              </w:numPr>
              <w:spacing w:line="360" w:lineRule="auto"/>
              <w:rPr>
                <w:rFonts w:ascii="宋体" w:hAnsi="宋体" w:cs="宋体"/>
                <w:szCs w:val="21"/>
              </w:rPr>
            </w:pPr>
            <w:r>
              <w:rPr>
                <w:rFonts w:hint="eastAsia" w:ascii="宋体" w:hAnsi="宋体" w:cs="宋体"/>
                <w:szCs w:val="21"/>
              </w:rPr>
              <w:t>装卸废药（品）时要轻装轻卸</w:t>
            </w:r>
            <w:r>
              <w:rPr>
                <w:rFonts w:hint="eastAsia" w:ascii="宋体" w:hAnsi="宋体" w:cs="宋体"/>
                <w:b/>
                <w:szCs w:val="21"/>
              </w:rPr>
              <w:t>，</w:t>
            </w:r>
            <w:r>
              <w:rPr>
                <w:rFonts w:hint="eastAsia" w:ascii="宋体" w:hAnsi="宋体" w:cs="宋体"/>
                <w:szCs w:val="21"/>
              </w:rPr>
              <w:t>严禁</w:t>
            </w:r>
            <w:r>
              <w:rPr>
                <w:rFonts w:hint="eastAsia"/>
                <w:szCs w:val="21"/>
              </w:rPr>
              <w:t>拖拉、碰撞、抛摔、挤压、摩擦、翻滚</w:t>
            </w:r>
            <w:r>
              <w:rPr>
                <w:rFonts w:hint="eastAsia" w:ascii="宋体" w:hAnsi="宋体" w:cs="宋体"/>
                <w:szCs w:val="21"/>
              </w:rPr>
              <w:t>。严禁将废弃裸药与废弃烟花爆竹成品、半成品、原辅材料混装、混运。</w:t>
            </w:r>
          </w:p>
          <w:p>
            <w:pPr>
              <w:widowControl/>
              <w:numPr>
                <w:ilvl w:val="0"/>
                <w:numId w:val="16"/>
              </w:numPr>
              <w:spacing w:line="360" w:lineRule="auto"/>
              <w:rPr>
                <w:rFonts w:ascii="宋体" w:hAnsi="宋体" w:cs="宋体"/>
                <w:szCs w:val="21"/>
              </w:rPr>
            </w:pPr>
            <w:r>
              <w:rPr>
                <w:rFonts w:hint="eastAsia" w:ascii="宋体" w:hAnsi="宋体" w:cs="宋体"/>
                <w:szCs w:val="21"/>
              </w:rPr>
              <w:t>销毁废药时，烟火药、具有爆炸危险的效果件应摊成厚度不超过3厘米（单个效果件超过3厘米的应单层摊放）、宽度不超过2米的带状，长度应根据现场确定。</w:t>
            </w:r>
          </w:p>
          <w:p>
            <w:pPr>
              <w:widowControl/>
              <w:numPr>
                <w:ilvl w:val="0"/>
                <w:numId w:val="16"/>
              </w:numPr>
              <w:spacing w:line="360" w:lineRule="auto"/>
              <w:rPr>
                <w:rFonts w:ascii="宋体" w:hAnsi="宋体" w:cs="宋体"/>
                <w:szCs w:val="21"/>
              </w:rPr>
            </w:pPr>
            <w:r>
              <w:rPr>
                <w:rFonts w:hint="eastAsia" w:ascii="宋体" w:hAnsi="宋体" w:cs="宋体"/>
                <w:szCs w:val="21"/>
              </w:rPr>
              <w:t>销毁时应采取远距离点火方式或安全引线引燃方式，根据所销毁废药（品）性质及外部环境确定安全距离，安全引线的长度应确保作业人员安全离开，安全距离及安全引线长度由安全管理员现场确定。</w:t>
            </w:r>
          </w:p>
          <w:p>
            <w:pPr>
              <w:widowControl/>
              <w:numPr>
                <w:ilvl w:val="0"/>
                <w:numId w:val="16"/>
              </w:numPr>
              <w:spacing w:line="360" w:lineRule="auto"/>
              <w:rPr>
                <w:rFonts w:ascii="宋体" w:hAnsi="宋体" w:cs="宋体"/>
                <w:szCs w:val="21"/>
              </w:rPr>
            </w:pPr>
            <w:r>
              <w:rPr>
                <w:rFonts w:hint="eastAsia" w:ascii="宋体" w:hAnsi="宋体" w:cs="宋体"/>
                <w:szCs w:val="21"/>
              </w:rPr>
              <w:t>对含药量较大的具有爆炸危险的效果件和烟火药进行销毁时，处置前应制定处置作业方案，经单位安全负责人批准后实施。</w:t>
            </w:r>
          </w:p>
          <w:p>
            <w:pPr>
              <w:widowControl/>
              <w:numPr>
                <w:ilvl w:val="0"/>
                <w:numId w:val="16"/>
              </w:numPr>
              <w:spacing w:line="360" w:lineRule="auto"/>
              <w:rPr>
                <w:rFonts w:ascii="宋体" w:hAnsi="宋体" w:cs="宋体"/>
                <w:szCs w:val="21"/>
              </w:rPr>
            </w:pPr>
            <w:r>
              <w:rPr>
                <w:rFonts w:hint="eastAsia" w:ascii="宋体" w:hAnsi="宋体" w:cs="宋体"/>
                <w:szCs w:val="21"/>
              </w:rPr>
              <w:t>处置含药量超过1000kg的作业方案，应经相关专业专家组评估。</w:t>
            </w:r>
          </w:p>
          <w:p>
            <w:pPr>
              <w:widowControl/>
              <w:numPr>
                <w:ilvl w:val="0"/>
                <w:numId w:val="16"/>
              </w:numPr>
              <w:spacing w:line="360" w:lineRule="auto"/>
              <w:rPr>
                <w:rFonts w:ascii="宋体" w:hAnsi="宋体" w:cs="宋体"/>
                <w:szCs w:val="21"/>
              </w:rPr>
            </w:pPr>
            <w:r>
              <w:rPr>
                <w:rFonts w:hint="eastAsia" w:ascii="宋体" w:hAnsi="宋体" w:cs="宋体"/>
                <w:szCs w:val="21"/>
              </w:rPr>
              <w:t>销毁完后，对现场进行严格检查，确定无安全隐患后方可撤离。</w:t>
            </w: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rPr>
                <w:rFonts w:hAnsi="宋体" w:cs="宋体"/>
                <w:color w:val="000000"/>
              </w:rPr>
            </w:pPr>
          </w:p>
        </w:tc>
      </w:tr>
    </w:tbl>
    <w:p>
      <w:pPr>
        <w:spacing w:line="360" w:lineRule="auto"/>
        <w:rPr>
          <w:rFonts w:ascii="Times New Roman" w:hAnsi="宋体"/>
          <w:color w:val="000000"/>
          <w:sz w:val="24"/>
          <w:szCs w:val="24"/>
        </w:rPr>
      </w:pPr>
    </w:p>
    <w:tbl>
      <w:tblPr>
        <w:tblStyle w:val="2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1"/>
        <w:gridCol w:w="2692"/>
        <w:gridCol w:w="1096"/>
        <w:gridCol w:w="35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restart"/>
          </w:tcPr>
          <w:p>
            <w:pPr>
              <w:spacing w:line="360" w:lineRule="exact"/>
              <w:ind w:left="840" w:hanging="840" w:hangingChars="400"/>
              <w:jc w:val="center"/>
              <w:rPr>
                <w:rFonts w:ascii="宋体" w:hAnsi="宋体"/>
                <w:szCs w:val="21"/>
              </w:rPr>
            </w:pPr>
            <w:r>
              <w:rPr>
                <w:rFonts w:hint="eastAsia" w:hAnsi="宋体" w:cs="宋体"/>
                <w:color w:val="000000"/>
              </w:rPr>
              <w:t xml:space="preserve">   </w:t>
            </w: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4"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596" w:type="pct"/>
            <w:gridSpan w:val="2"/>
            <w:vMerge w:val="continue"/>
          </w:tcPr>
          <w:p>
            <w:pPr>
              <w:spacing w:line="360" w:lineRule="exact"/>
              <w:jc w:val="center"/>
              <w:rPr>
                <w:rFonts w:ascii="宋体" w:hAnsi="宋体"/>
                <w:szCs w:val="21"/>
              </w:rPr>
            </w:pPr>
          </w:p>
        </w:tc>
        <w:tc>
          <w:tcPr>
            <w:tcW w:w="2404"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0" w:hRule="atLeast"/>
          <w:jc w:val="center"/>
        </w:trPr>
        <w:tc>
          <w:tcPr>
            <w:tcW w:w="2596" w:type="pct"/>
            <w:gridSpan w:val="2"/>
            <w:vAlign w:val="center"/>
          </w:tcPr>
          <w:p>
            <w:pPr>
              <w:spacing w:line="360" w:lineRule="auto"/>
              <w:jc w:val="center"/>
              <w:outlineLvl w:val="1"/>
              <w:rPr>
                <w:rFonts w:ascii="宋体" w:hAnsi="宋体" w:cs="宋体"/>
                <w:color w:val="000000"/>
                <w:szCs w:val="21"/>
              </w:rPr>
            </w:pPr>
            <w:r>
              <w:rPr>
                <w:rFonts w:hint="eastAsia" w:ascii="宋体" w:hAnsi="宋体" w:cs="宋体"/>
                <w:color w:val="000000"/>
                <w:szCs w:val="21"/>
              </w:rPr>
              <w:t>机械设备维修安全操作规程</w:t>
            </w:r>
          </w:p>
        </w:tc>
        <w:tc>
          <w:tcPr>
            <w:tcW w:w="2404" w:type="pct"/>
            <w:gridSpan w:val="2"/>
            <w:vAlign w:val="center"/>
          </w:tcPr>
          <w:p>
            <w:pPr>
              <w:spacing w:line="360" w:lineRule="exact"/>
              <w:jc w:val="center"/>
              <w:rPr>
                <w:rFonts w:ascii="宋体" w:hAnsi="宋体"/>
                <w:szCs w:val="21"/>
              </w:rPr>
            </w:pPr>
            <w:r>
              <w:rPr>
                <w:rFonts w:hint="eastAsia" w:ascii="宋体" w:hAnsi="宋体"/>
                <w:szCs w:val="21"/>
              </w:rPr>
              <w:t>第1版第2次修订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szCs w:val="21"/>
                <w:lang w:eastAsia="zh-CN"/>
              </w:rPr>
            </w:pPr>
            <w:r>
              <w:rPr>
                <w:rFonts w:hint="eastAsia" w:ascii="宋体" w:hAnsi="宋体"/>
                <w:szCs w:val="21"/>
                <w:lang w:eastAsia="zh-CN"/>
              </w:rPr>
              <w:t>2022年3月20日</w:t>
            </w:r>
          </w:p>
        </w:tc>
        <w:tc>
          <w:tcPr>
            <w:tcW w:w="564" w:type="pct"/>
          </w:tcPr>
          <w:p>
            <w:pPr>
              <w:spacing w:line="360" w:lineRule="exact"/>
              <w:jc w:val="center"/>
              <w:rPr>
                <w:rFonts w:ascii="宋体" w:hAnsi="宋体"/>
                <w:szCs w:val="21"/>
              </w:rPr>
            </w:pPr>
            <w:r>
              <w:rPr>
                <w:rFonts w:hint="eastAsia" w:ascii="宋体" w:hAnsi="宋体"/>
                <w:szCs w:val="21"/>
              </w:rPr>
              <w:t>审订时间</w:t>
            </w:r>
          </w:p>
        </w:tc>
        <w:tc>
          <w:tcPr>
            <w:tcW w:w="1840"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1210"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szCs w:val="21"/>
                <w:lang w:eastAsia="zh-CN"/>
              </w:rPr>
            </w:pPr>
            <w:r>
              <w:rPr>
                <w:rFonts w:hint="eastAsia" w:ascii="宋体" w:hAnsi="宋体"/>
                <w:szCs w:val="21"/>
                <w:lang w:eastAsia="zh-CN"/>
              </w:rPr>
              <w:t>2022年4月13日</w:t>
            </w:r>
          </w:p>
        </w:tc>
        <w:tc>
          <w:tcPr>
            <w:tcW w:w="564" w:type="pct"/>
          </w:tcPr>
          <w:p>
            <w:pPr>
              <w:spacing w:line="360" w:lineRule="exact"/>
              <w:rPr>
                <w:rFonts w:ascii="宋体" w:hAnsi="宋体"/>
                <w:szCs w:val="21"/>
              </w:rPr>
            </w:pPr>
            <w:r>
              <w:rPr>
                <w:rFonts w:hint="eastAsia" w:ascii="宋体" w:hAnsi="宋体"/>
                <w:szCs w:val="21"/>
              </w:rPr>
              <w:t>批准人</w:t>
            </w:r>
          </w:p>
        </w:tc>
        <w:tc>
          <w:tcPr>
            <w:tcW w:w="1840"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 w:hRule="atLeast"/>
          <w:jc w:val="center"/>
        </w:trPr>
        <w:tc>
          <w:tcPr>
            <w:tcW w:w="5000" w:type="pct"/>
            <w:gridSpan w:val="4"/>
          </w:tcPr>
          <w:p>
            <w:pPr>
              <w:spacing w:line="360" w:lineRule="exact"/>
              <w:rPr>
                <w:rFonts w:ascii="宋体" w:hAnsi="宋体"/>
                <w:szCs w:val="21"/>
              </w:rPr>
            </w:pPr>
            <w:r>
              <w:rPr>
                <w:rFonts w:hint="eastAsia" w:ascii="宋体" w:hAnsi="宋体"/>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机械设备维修</w:t>
            </w:r>
            <w:r>
              <w:rPr>
                <w:rFonts w:hint="eastAsia" w:ascii="宋体" w:hAnsi="宋体"/>
                <w:color w:val="000000"/>
                <w:szCs w:val="21"/>
              </w:rPr>
              <w:t>。</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szCs w:val="21"/>
              </w:rPr>
              <w:t>适用于本</w:t>
            </w:r>
            <w:r>
              <w:rPr>
                <w:rFonts w:hint="eastAsia" w:ascii="宋体" w:hAnsi="宋体"/>
                <w:szCs w:val="21"/>
              </w:rPr>
              <w:t>厂</w:t>
            </w:r>
            <w:r>
              <w:rPr>
                <w:rFonts w:hint="eastAsia" w:ascii="宋体" w:hAnsi="宋体"/>
                <w:color w:val="000000"/>
                <w:szCs w:val="21"/>
              </w:rPr>
              <w:t>烟花爆竹产品的</w:t>
            </w:r>
            <w:r>
              <w:rPr>
                <w:rFonts w:hint="eastAsia" w:ascii="宋体" w:hAnsi="宋体" w:cs="宋体"/>
                <w:color w:val="000000"/>
                <w:szCs w:val="21"/>
              </w:rPr>
              <w:t>机械设备维修</w:t>
            </w:r>
            <w:r>
              <w:rPr>
                <w:rFonts w:hint="eastAsia" w:hAnsi="宋体" w:cs="宋体"/>
                <w:color w:val="000000"/>
                <w:szCs w:val="21"/>
              </w:rPr>
              <w:t>。</w:t>
            </w:r>
          </w:p>
          <w:p>
            <w:pPr>
              <w:spacing w:line="360" w:lineRule="exact"/>
              <w:rPr>
                <w:rFonts w:ascii="宋体" w:hAnsi="宋体"/>
                <w:szCs w:val="21"/>
              </w:rPr>
            </w:pPr>
            <w:r>
              <w:rPr>
                <w:rFonts w:hint="eastAsia" w:ascii="宋体" w:hAnsi="宋体"/>
                <w:szCs w:val="21"/>
              </w:rPr>
              <w:t>3.内容</w:t>
            </w:r>
          </w:p>
          <w:p>
            <w:pPr>
              <w:widowControl/>
              <w:numPr>
                <w:ilvl w:val="0"/>
                <w:numId w:val="17"/>
              </w:numPr>
              <w:spacing w:line="360" w:lineRule="auto"/>
              <w:rPr>
                <w:rFonts w:ascii="宋体" w:hAnsi="宋体" w:cs="宋体"/>
                <w:szCs w:val="21"/>
              </w:rPr>
            </w:pPr>
            <w:r>
              <w:rPr>
                <w:rFonts w:hint="eastAsia" w:ascii="宋体" w:hAnsi="宋体" w:cs="宋体"/>
                <w:szCs w:val="21"/>
              </w:rPr>
              <w:t>凡是可以拆卸搬走的机械设备，应搬至专用修理工房维修。</w:t>
            </w:r>
          </w:p>
          <w:p>
            <w:pPr>
              <w:widowControl/>
              <w:numPr>
                <w:ilvl w:val="0"/>
                <w:numId w:val="17"/>
              </w:numPr>
              <w:spacing w:line="360" w:lineRule="auto"/>
              <w:rPr>
                <w:rFonts w:ascii="宋体" w:hAnsi="宋体" w:cs="宋体"/>
                <w:szCs w:val="21"/>
              </w:rPr>
            </w:pPr>
            <w:r>
              <w:rPr>
                <w:rFonts w:ascii="宋体" w:cs="宋体"/>
                <w:szCs w:val="21"/>
              </w:rPr>
              <w:t>在有药工房进行设备检修</w:t>
            </w:r>
            <w:r>
              <w:rPr>
                <w:rFonts w:hint="eastAsia" w:ascii="宋体" w:cs="宋体"/>
                <w:szCs w:val="21"/>
              </w:rPr>
              <w:t>前</w:t>
            </w:r>
            <w:r>
              <w:rPr>
                <w:rFonts w:ascii="宋体" w:cs="宋体"/>
                <w:szCs w:val="21"/>
              </w:rPr>
              <w:t>，</w:t>
            </w:r>
            <w:r>
              <w:rPr>
                <w:rFonts w:hint="eastAsia" w:ascii="宋体" w:cs="宋体"/>
                <w:szCs w:val="21"/>
              </w:rPr>
              <w:t>应</w:t>
            </w:r>
            <w:r>
              <w:rPr>
                <w:rFonts w:ascii="宋体" w:cs="宋体"/>
                <w:szCs w:val="21"/>
              </w:rPr>
              <w:t>将工房内的药物、有药半成品、成品搬走</w:t>
            </w:r>
            <w:r>
              <w:rPr>
                <w:rFonts w:hint="eastAsia" w:ascii="宋体" w:cs="宋体"/>
                <w:szCs w:val="21"/>
              </w:rPr>
              <w:t>，</w:t>
            </w:r>
            <w:r>
              <w:rPr>
                <w:rFonts w:ascii="宋体" w:cs="宋体"/>
                <w:szCs w:val="21"/>
              </w:rPr>
              <w:t>清洗设备及操作台、地面、墙壁的药尘。</w:t>
            </w:r>
          </w:p>
          <w:p>
            <w:pPr>
              <w:widowControl/>
              <w:numPr>
                <w:ilvl w:val="0"/>
                <w:numId w:val="17"/>
              </w:numPr>
              <w:spacing w:line="360" w:lineRule="auto"/>
              <w:rPr>
                <w:rFonts w:ascii="宋体" w:cs="宋体"/>
                <w:szCs w:val="21"/>
              </w:rPr>
            </w:pPr>
            <w:r>
              <w:rPr>
                <w:rFonts w:ascii="宋体" w:cs="宋体"/>
                <w:szCs w:val="21"/>
              </w:rPr>
              <w:t>带电设备的</w:t>
            </w:r>
            <w:r>
              <w:rPr>
                <w:rFonts w:hint="eastAsia" w:ascii="宋体" w:cs="宋体"/>
                <w:szCs w:val="21"/>
              </w:rPr>
              <w:t>电气故障</w:t>
            </w:r>
            <w:r>
              <w:rPr>
                <w:rFonts w:ascii="宋体" w:cs="宋体"/>
                <w:szCs w:val="21"/>
              </w:rPr>
              <w:t>应由具有电工作业资</w:t>
            </w:r>
            <w:r>
              <w:rPr>
                <w:rFonts w:hint="eastAsia" w:ascii="宋体" w:cs="宋体"/>
                <w:szCs w:val="21"/>
              </w:rPr>
              <w:t>质</w:t>
            </w:r>
            <w:r>
              <w:rPr>
                <w:rFonts w:ascii="宋体" w:cs="宋体"/>
                <w:szCs w:val="21"/>
              </w:rPr>
              <w:t>的专人负责维修保养。</w:t>
            </w:r>
          </w:p>
          <w:p>
            <w:pPr>
              <w:widowControl/>
              <w:numPr>
                <w:ilvl w:val="0"/>
                <w:numId w:val="17"/>
              </w:numPr>
              <w:spacing w:line="360" w:lineRule="auto"/>
              <w:rPr>
                <w:rFonts w:ascii="宋体" w:cs="宋体"/>
                <w:szCs w:val="21"/>
              </w:rPr>
            </w:pPr>
            <w:r>
              <w:rPr>
                <w:rFonts w:ascii="宋体" w:cs="宋体"/>
                <w:szCs w:val="21"/>
              </w:rPr>
              <w:t>进行设备维修需临时使用明火或从事易产生火花作业</w:t>
            </w:r>
            <w:r>
              <w:rPr>
                <w:rFonts w:hint="eastAsia" w:ascii="宋体" w:cs="宋体"/>
                <w:szCs w:val="21"/>
              </w:rPr>
              <w:t>（如电焊、乙炔氧气焊割）时</w:t>
            </w:r>
            <w:r>
              <w:rPr>
                <w:rFonts w:ascii="宋体" w:cs="宋体"/>
                <w:szCs w:val="21"/>
              </w:rPr>
              <w:t>，由企业负责人审查签发动火作业证，经现场</w:t>
            </w:r>
            <w:r>
              <w:rPr>
                <w:rFonts w:hint="eastAsia" w:ascii="宋体" w:cs="宋体"/>
                <w:szCs w:val="21"/>
              </w:rPr>
              <w:t>安全</w:t>
            </w:r>
            <w:r>
              <w:rPr>
                <w:rFonts w:ascii="宋体" w:cs="宋体"/>
                <w:szCs w:val="21"/>
              </w:rPr>
              <w:t>管理人员检查符合要求</w:t>
            </w:r>
            <w:r>
              <w:rPr>
                <w:rFonts w:hint="eastAsia" w:ascii="宋体" w:cs="宋体"/>
                <w:szCs w:val="21"/>
              </w:rPr>
              <w:t>后</w:t>
            </w:r>
            <w:r>
              <w:rPr>
                <w:rFonts w:ascii="宋体" w:cs="宋体"/>
                <w:szCs w:val="21"/>
              </w:rPr>
              <w:t>方可动火作业，动火作业</w:t>
            </w:r>
            <w:r>
              <w:rPr>
                <w:rFonts w:hint="eastAsia" w:ascii="宋体" w:cs="宋体"/>
                <w:szCs w:val="21"/>
              </w:rPr>
              <w:t>现场应配有灭火设备</w:t>
            </w:r>
            <w:r>
              <w:rPr>
                <w:rFonts w:ascii="宋体" w:cs="宋体"/>
                <w:szCs w:val="21"/>
              </w:rPr>
              <w:t>。</w:t>
            </w:r>
          </w:p>
          <w:p>
            <w:pPr>
              <w:widowControl/>
              <w:numPr>
                <w:ilvl w:val="0"/>
                <w:numId w:val="17"/>
              </w:numPr>
              <w:spacing w:line="360" w:lineRule="auto"/>
              <w:rPr>
                <w:rFonts w:ascii="宋体" w:hAnsi="宋体" w:cs="宋体"/>
                <w:szCs w:val="21"/>
              </w:rPr>
            </w:pPr>
            <w:r>
              <w:rPr>
                <w:rFonts w:hint="eastAsia" w:ascii="宋体" w:hAnsi="宋体" w:cs="宋体"/>
                <w:szCs w:val="21"/>
              </w:rPr>
              <w:t>机械设备所有的螺丝及活动部件必须用润滑油浸透，方可维修。</w:t>
            </w:r>
          </w:p>
          <w:p>
            <w:pPr>
              <w:widowControl/>
              <w:numPr>
                <w:ilvl w:val="0"/>
                <w:numId w:val="17"/>
              </w:numPr>
              <w:spacing w:line="360" w:lineRule="auto"/>
              <w:rPr>
                <w:rFonts w:ascii="宋体" w:hAnsi="宋体" w:cs="宋体"/>
                <w:szCs w:val="21"/>
              </w:rPr>
            </w:pPr>
            <w:r>
              <w:rPr>
                <w:rFonts w:ascii="宋体" w:cs="宋体"/>
                <w:szCs w:val="21"/>
              </w:rPr>
              <w:t>带电设备</w:t>
            </w:r>
            <w:r>
              <w:rPr>
                <w:rFonts w:hint="eastAsia" w:ascii="宋体" w:hAnsi="宋体" w:cs="宋体"/>
                <w:szCs w:val="21"/>
              </w:rPr>
              <w:t>维修过程中，应有专人看守设备启动开关及电源，非维修人员不得停留在维修现场。</w:t>
            </w:r>
          </w:p>
          <w:p>
            <w:pPr>
              <w:widowControl/>
              <w:numPr>
                <w:ilvl w:val="0"/>
                <w:numId w:val="17"/>
              </w:numPr>
              <w:spacing w:line="360" w:lineRule="auto"/>
              <w:rPr>
                <w:rFonts w:ascii="宋体" w:hAnsi="宋体" w:cs="宋体"/>
                <w:szCs w:val="21"/>
              </w:rPr>
            </w:pPr>
            <w:r>
              <w:rPr>
                <w:rFonts w:hint="eastAsia" w:ascii="宋体" w:hAnsi="宋体" w:cs="宋体"/>
                <w:szCs w:val="21"/>
              </w:rPr>
              <w:t>维修完成后，应试运转，检查设备运转是否正常，并做好维修保养记录。</w:t>
            </w:r>
          </w:p>
          <w:p>
            <w:pPr>
              <w:widowControl/>
              <w:numPr>
                <w:ilvl w:val="0"/>
                <w:numId w:val="17"/>
              </w:numPr>
              <w:spacing w:line="360" w:lineRule="auto"/>
              <w:rPr>
                <w:rFonts w:ascii="宋体" w:hAnsi="宋体" w:cs="宋体"/>
                <w:szCs w:val="21"/>
              </w:rPr>
            </w:pPr>
            <w:r>
              <w:rPr>
                <w:rFonts w:ascii="宋体" w:cs="宋体"/>
                <w:szCs w:val="21"/>
              </w:rPr>
              <w:t>修理结束</w:t>
            </w:r>
            <w:r>
              <w:rPr>
                <w:rFonts w:hint="eastAsia" w:ascii="宋体" w:cs="宋体"/>
                <w:szCs w:val="21"/>
              </w:rPr>
              <w:t>后，</w:t>
            </w:r>
            <w:r>
              <w:rPr>
                <w:rFonts w:ascii="宋体" w:cs="宋体"/>
                <w:szCs w:val="21"/>
              </w:rPr>
              <w:t>应清理</w:t>
            </w:r>
            <w:r>
              <w:rPr>
                <w:rFonts w:hint="eastAsia" w:ascii="宋体" w:cs="宋体"/>
                <w:szCs w:val="21"/>
              </w:rPr>
              <w:t>打扫</w:t>
            </w:r>
            <w:r>
              <w:rPr>
                <w:rFonts w:ascii="宋体" w:cs="宋体"/>
                <w:szCs w:val="21"/>
              </w:rPr>
              <w:t>修理现场</w:t>
            </w:r>
            <w:r>
              <w:rPr>
                <w:rFonts w:hint="eastAsia" w:ascii="宋体" w:cs="宋体"/>
                <w:szCs w:val="21"/>
              </w:rPr>
              <w:t>。</w:t>
            </w: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ind w:firstLine="420" w:firstLineChars="200"/>
              <w:rPr>
                <w:rFonts w:hAnsi="宋体" w:cs="宋体"/>
                <w:color w:val="000000"/>
              </w:rPr>
            </w:pPr>
          </w:p>
          <w:p>
            <w:pPr>
              <w:pStyle w:val="12"/>
              <w:spacing w:line="360" w:lineRule="auto"/>
              <w:rPr>
                <w:rFonts w:hAnsi="宋体" w:cs="宋体"/>
                <w:color w:val="000000"/>
              </w:rPr>
            </w:pPr>
          </w:p>
        </w:tc>
      </w:tr>
    </w:tbl>
    <w:p>
      <w:pPr>
        <w:spacing w:line="360" w:lineRule="auto"/>
        <w:rPr>
          <w:rFonts w:ascii="Times New Roman" w:hAnsi="宋体"/>
          <w:color w:val="000000"/>
          <w:sz w:val="24"/>
          <w:szCs w:val="24"/>
        </w:rPr>
      </w:pPr>
    </w:p>
    <w:tbl>
      <w:tblPr>
        <w:tblStyle w:val="21"/>
        <w:tblW w:w="50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7"/>
        <w:gridCol w:w="2699"/>
        <w:gridCol w:w="1091"/>
        <w:gridCol w:w="3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2591" w:type="pct"/>
            <w:gridSpan w:val="2"/>
            <w:vMerge w:val="restart"/>
          </w:tcPr>
          <w:p>
            <w:pPr>
              <w:spacing w:line="360" w:lineRule="exact"/>
              <w:ind w:left="840" w:hanging="840" w:hangingChars="400"/>
              <w:jc w:val="center"/>
              <w:rPr>
                <w:rFonts w:ascii="宋体" w:hAnsi="宋体"/>
                <w:szCs w:val="21"/>
              </w:rPr>
            </w:pP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8"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-0</w:t>
            </w:r>
            <w:r>
              <w:rPr>
                <w:rFonts w:hint="default" w:ascii="宋体" w:hAnsi="宋体"/>
                <w:szCs w:val="21"/>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2591" w:type="pct"/>
            <w:gridSpan w:val="2"/>
            <w:vMerge w:val="continue"/>
          </w:tcPr>
          <w:p>
            <w:pPr>
              <w:spacing w:line="360" w:lineRule="exact"/>
              <w:jc w:val="center"/>
              <w:rPr>
                <w:rFonts w:ascii="宋体" w:hAnsi="宋体"/>
                <w:szCs w:val="21"/>
              </w:rPr>
            </w:pPr>
          </w:p>
        </w:tc>
        <w:tc>
          <w:tcPr>
            <w:tcW w:w="2408"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2591" w:type="pct"/>
            <w:gridSpan w:val="2"/>
            <w:vAlign w:val="center"/>
          </w:tcPr>
          <w:p>
            <w:pPr>
              <w:spacing w:line="360" w:lineRule="auto"/>
              <w:jc w:val="center"/>
              <w:outlineLvl w:val="1"/>
              <w:rPr>
                <w:rFonts w:ascii="宋体" w:hAnsi="宋体" w:cs="宋体"/>
                <w:color w:val="000000"/>
                <w:szCs w:val="21"/>
              </w:rPr>
            </w:pPr>
            <w:r>
              <w:rPr>
                <w:rFonts w:hint="eastAsia" w:ascii="宋体" w:hAnsi="宋体"/>
                <w:szCs w:val="21"/>
                <w:lang w:eastAsia="zh-CN"/>
              </w:rPr>
              <w:t>爆竹产品</w:t>
            </w:r>
            <w:r>
              <w:rPr>
                <w:rFonts w:hint="eastAsia" w:ascii="宋体" w:hAnsi="宋体"/>
                <w:szCs w:val="21"/>
                <w:lang w:val="en-US" w:eastAsia="zh-CN"/>
              </w:rPr>
              <w:t>包装</w:t>
            </w:r>
            <w:r>
              <w:rPr>
                <w:rFonts w:hint="eastAsia" w:ascii="宋体" w:hAnsi="宋体"/>
                <w:szCs w:val="21"/>
              </w:rPr>
              <w:t>覆膜</w:t>
            </w:r>
            <w:r>
              <w:rPr>
                <w:rFonts w:hint="eastAsia" w:ascii="宋体" w:hAnsi="宋体"/>
                <w:szCs w:val="21"/>
                <w:lang w:eastAsia="zh-CN"/>
              </w:rPr>
              <w:t>（</w:t>
            </w:r>
            <w:r>
              <w:rPr>
                <w:rFonts w:hint="eastAsia" w:ascii="宋体" w:hAnsi="宋体"/>
                <w:szCs w:val="21"/>
              </w:rPr>
              <w:t>机</w:t>
            </w:r>
            <w:r>
              <w:rPr>
                <w:rFonts w:hint="eastAsia" w:ascii="宋体" w:hAnsi="宋体"/>
                <w:szCs w:val="21"/>
                <w:lang w:eastAsia="zh-CN"/>
              </w:rPr>
              <w:t>）</w:t>
            </w:r>
            <w:r>
              <w:rPr>
                <w:rFonts w:hint="eastAsia" w:ascii="宋体" w:hAnsi="宋体"/>
                <w:szCs w:val="21"/>
                <w:lang w:val="en-US" w:eastAsia="zh-CN"/>
              </w:rPr>
              <w:t>岗位</w:t>
            </w:r>
            <w:r>
              <w:rPr>
                <w:rFonts w:hint="eastAsia" w:ascii="宋体" w:hAnsi="宋体"/>
                <w:szCs w:val="21"/>
              </w:rPr>
              <w:t>安全操作规程</w:t>
            </w:r>
          </w:p>
        </w:tc>
        <w:tc>
          <w:tcPr>
            <w:tcW w:w="2408" w:type="pct"/>
            <w:gridSpan w:val="2"/>
            <w:vAlign w:val="center"/>
          </w:tcPr>
          <w:p>
            <w:pPr>
              <w:spacing w:line="360" w:lineRule="exact"/>
              <w:jc w:val="center"/>
              <w:rPr>
                <w:rFonts w:ascii="宋体" w:hAnsi="宋体"/>
                <w:szCs w:val="21"/>
              </w:rPr>
            </w:pPr>
            <w:r>
              <w:rPr>
                <w:rFonts w:hint="eastAsia" w:ascii="宋体" w:hAnsi="宋体"/>
                <w:szCs w:val="21"/>
              </w:rPr>
              <w:t>第1版</w:t>
            </w:r>
            <w:r>
              <w:rPr>
                <w:rFonts w:hint="eastAsia" w:ascii="宋体" w:hAnsi="宋体"/>
                <w:szCs w:val="21"/>
                <w:lang w:eastAsia="zh-CN"/>
              </w:rPr>
              <w:t>第2次</w:t>
            </w:r>
            <w:r>
              <w:rPr>
                <w:rFonts w:hint="eastAsia" w:ascii="宋体" w:hAnsi="宋体"/>
                <w:szCs w:val="21"/>
              </w:rPr>
              <w:t>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1205" w:type="pct"/>
          </w:tcPr>
          <w:p>
            <w:pPr>
              <w:spacing w:line="360" w:lineRule="exact"/>
              <w:jc w:val="center"/>
              <w:rPr>
                <w:rFonts w:ascii="宋体" w:hAnsi="宋体"/>
                <w:szCs w:val="21"/>
              </w:rPr>
            </w:pPr>
            <w:r>
              <w:rPr>
                <w:rFonts w:hint="eastAsia" w:ascii="宋体" w:hAnsi="宋体"/>
                <w:szCs w:val="21"/>
              </w:rPr>
              <w:t>修订时间</w:t>
            </w:r>
          </w:p>
        </w:tc>
        <w:tc>
          <w:tcPr>
            <w:tcW w:w="1385" w:type="pct"/>
          </w:tcPr>
          <w:p>
            <w:pPr>
              <w:rPr>
                <w:rFonts w:hint="eastAsia" w:eastAsia="宋体"/>
                <w:szCs w:val="21"/>
                <w:lang w:eastAsia="zh-CN"/>
              </w:rPr>
            </w:pPr>
            <w:r>
              <w:rPr>
                <w:rFonts w:hint="eastAsia" w:ascii="宋体" w:hAnsi="宋体"/>
                <w:szCs w:val="21"/>
                <w:lang w:eastAsia="zh-CN"/>
              </w:rPr>
              <w:t>2022年3月20日</w:t>
            </w:r>
          </w:p>
        </w:tc>
        <w:tc>
          <w:tcPr>
            <w:tcW w:w="560" w:type="pct"/>
          </w:tcPr>
          <w:p>
            <w:pPr>
              <w:spacing w:line="360" w:lineRule="exact"/>
              <w:jc w:val="center"/>
              <w:rPr>
                <w:rFonts w:ascii="宋体" w:hAnsi="宋体"/>
                <w:szCs w:val="21"/>
              </w:rPr>
            </w:pPr>
            <w:r>
              <w:rPr>
                <w:rFonts w:hint="eastAsia" w:ascii="宋体" w:hAnsi="宋体"/>
                <w:szCs w:val="21"/>
              </w:rPr>
              <w:t>审订时间</w:t>
            </w:r>
          </w:p>
        </w:tc>
        <w:tc>
          <w:tcPr>
            <w:tcW w:w="1847"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1205" w:type="pct"/>
          </w:tcPr>
          <w:p>
            <w:pPr>
              <w:spacing w:line="360" w:lineRule="exact"/>
              <w:jc w:val="center"/>
              <w:rPr>
                <w:rFonts w:ascii="宋体" w:hAnsi="宋体"/>
                <w:szCs w:val="21"/>
              </w:rPr>
            </w:pPr>
            <w:r>
              <w:rPr>
                <w:rFonts w:hint="eastAsia" w:ascii="宋体" w:hAnsi="宋体"/>
                <w:szCs w:val="21"/>
              </w:rPr>
              <w:t>颁布时间</w:t>
            </w:r>
          </w:p>
        </w:tc>
        <w:tc>
          <w:tcPr>
            <w:tcW w:w="1385" w:type="pct"/>
          </w:tcPr>
          <w:p>
            <w:pPr>
              <w:rPr>
                <w:rFonts w:hint="eastAsia" w:eastAsia="宋体"/>
                <w:szCs w:val="21"/>
                <w:lang w:eastAsia="zh-CN"/>
              </w:rPr>
            </w:pPr>
            <w:r>
              <w:rPr>
                <w:rFonts w:hint="eastAsia" w:ascii="宋体" w:hAnsi="宋体"/>
                <w:szCs w:val="21"/>
                <w:lang w:eastAsia="zh-CN"/>
              </w:rPr>
              <w:t>2022年4月13日</w:t>
            </w:r>
          </w:p>
        </w:tc>
        <w:tc>
          <w:tcPr>
            <w:tcW w:w="560" w:type="pct"/>
          </w:tcPr>
          <w:p>
            <w:pPr>
              <w:spacing w:line="360" w:lineRule="exact"/>
              <w:rPr>
                <w:rFonts w:ascii="宋体" w:hAnsi="宋体"/>
                <w:szCs w:val="21"/>
              </w:rPr>
            </w:pPr>
            <w:r>
              <w:rPr>
                <w:rFonts w:hint="eastAsia" w:ascii="宋体" w:hAnsi="宋体"/>
                <w:szCs w:val="21"/>
              </w:rPr>
              <w:t>批准人</w:t>
            </w:r>
          </w:p>
        </w:tc>
        <w:tc>
          <w:tcPr>
            <w:tcW w:w="1847"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503" w:hRule="atLeast"/>
          <w:jc w:val="center"/>
        </w:trPr>
        <w:tc>
          <w:tcPr>
            <w:tcW w:w="5000" w:type="pct"/>
            <w:gridSpan w:val="4"/>
          </w:tcPr>
          <w:p>
            <w:pPr>
              <w:spacing w:line="360" w:lineRule="exact"/>
              <w:rPr>
                <w:rFonts w:ascii="宋体" w:hAnsi="宋体"/>
                <w:szCs w:val="21"/>
              </w:rPr>
            </w:pPr>
            <w:r>
              <w:rPr>
                <w:rFonts w:hint="eastAsia" w:ascii="宋体" w:hAnsi="宋体"/>
                <w:szCs w:val="21"/>
              </w:rPr>
              <w:t>1.目的</w:t>
            </w:r>
          </w:p>
          <w:p>
            <w:pPr>
              <w:spacing w:line="360" w:lineRule="exact"/>
              <w:ind w:firstLine="420"/>
              <w:rPr>
                <w:rFonts w:ascii="宋体" w:hAnsi="宋体"/>
                <w:color w:val="000000"/>
                <w:szCs w:val="21"/>
              </w:rPr>
            </w:pPr>
            <w:r>
              <w:rPr>
                <w:rFonts w:hint="eastAsia" w:ascii="宋体" w:hAnsi="宋体"/>
                <w:color w:val="000000"/>
                <w:szCs w:val="21"/>
              </w:rPr>
              <w:t>为了规范本</w:t>
            </w:r>
            <w:r>
              <w:rPr>
                <w:rFonts w:hint="eastAsia" w:ascii="宋体" w:hAnsi="宋体"/>
                <w:szCs w:val="21"/>
              </w:rPr>
              <w:t>厂</w:t>
            </w:r>
            <w:r>
              <w:rPr>
                <w:rFonts w:hint="eastAsia" w:ascii="宋体" w:cs="宋体"/>
                <w:szCs w:val="21"/>
                <w:lang w:val="en-US" w:eastAsia="zh-CN"/>
              </w:rPr>
              <w:t>包装</w:t>
            </w:r>
            <w:r>
              <w:rPr>
                <w:rFonts w:hint="eastAsia" w:ascii="宋体" w:cs="宋体"/>
                <w:szCs w:val="21"/>
              </w:rPr>
              <w:t>覆膜</w:t>
            </w:r>
            <w:r>
              <w:rPr>
                <w:rFonts w:hint="eastAsia" w:ascii="宋体" w:cs="宋体"/>
                <w:szCs w:val="21"/>
                <w:lang w:eastAsia="zh-CN"/>
              </w:rPr>
              <w:t>（</w:t>
            </w:r>
            <w:r>
              <w:rPr>
                <w:rFonts w:hint="eastAsia" w:ascii="宋体" w:cs="宋体"/>
                <w:szCs w:val="21"/>
              </w:rPr>
              <w:t>机</w:t>
            </w:r>
            <w:r>
              <w:rPr>
                <w:rFonts w:hint="eastAsia" w:ascii="宋体" w:cs="宋体"/>
                <w:szCs w:val="21"/>
                <w:lang w:eastAsia="zh-CN"/>
              </w:rPr>
              <w:t>）为爆竹类产品机械包装</w:t>
            </w:r>
            <w:r>
              <w:rPr>
                <w:rFonts w:hint="eastAsia" w:ascii="宋体" w:hAnsi="宋体"/>
                <w:color w:val="000000"/>
                <w:szCs w:val="21"/>
              </w:rPr>
              <w:t>。</w:t>
            </w:r>
          </w:p>
          <w:p>
            <w:pPr>
              <w:spacing w:line="360" w:lineRule="exact"/>
              <w:rPr>
                <w:rFonts w:ascii="宋体" w:hAnsi="宋体"/>
                <w:szCs w:val="21"/>
              </w:rPr>
            </w:pPr>
            <w:r>
              <w:rPr>
                <w:rFonts w:hint="eastAsia" w:ascii="宋体" w:hAnsi="宋体"/>
                <w:szCs w:val="21"/>
              </w:rPr>
              <w:t>2.适用范围</w:t>
            </w:r>
          </w:p>
          <w:p>
            <w:pPr>
              <w:spacing w:line="360" w:lineRule="exact"/>
              <w:ind w:firstLine="420" w:firstLineChars="200"/>
              <w:rPr>
                <w:rFonts w:ascii="宋体" w:hAnsi="宋体"/>
                <w:szCs w:val="21"/>
              </w:rPr>
            </w:pPr>
            <w:r>
              <w:rPr>
                <w:rFonts w:hint="eastAsia" w:hAnsi="宋体" w:cs="宋体"/>
                <w:color w:val="000000"/>
                <w:szCs w:val="21"/>
              </w:rPr>
              <w:t>适用于本</w:t>
            </w:r>
            <w:r>
              <w:rPr>
                <w:rFonts w:hint="eastAsia" w:ascii="宋体" w:hAnsi="宋体"/>
                <w:szCs w:val="21"/>
              </w:rPr>
              <w:t>厂</w:t>
            </w:r>
            <w:r>
              <w:rPr>
                <w:rFonts w:hint="eastAsia" w:ascii="宋体" w:cs="宋体"/>
                <w:szCs w:val="21"/>
                <w:lang w:val="en-US" w:eastAsia="zh-CN"/>
              </w:rPr>
              <w:t>包装</w:t>
            </w:r>
            <w:r>
              <w:rPr>
                <w:rFonts w:hint="eastAsia" w:ascii="宋体" w:cs="宋体"/>
                <w:szCs w:val="21"/>
              </w:rPr>
              <w:t>覆膜</w:t>
            </w:r>
            <w:r>
              <w:rPr>
                <w:rFonts w:hint="eastAsia" w:ascii="宋体" w:cs="宋体"/>
                <w:szCs w:val="21"/>
                <w:lang w:eastAsia="zh-CN"/>
              </w:rPr>
              <w:t>（</w:t>
            </w:r>
            <w:r>
              <w:rPr>
                <w:rFonts w:hint="eastAsia" w:ascii="宋体" w:cs="宋体"/>
                <w:szCs w:val="21"/>
              </w:rPr>
              <w:t>机</w:t>
            </w:r>
            <w:r>
              <w:rPr>
                <w:rFonts w:hint="eastAsia" w:ascii="宋体" w:cs="宋体"/>
                <w:szCs w:val="21"/>
                <w:lang w:eastAsia="zh-CN"/>
              </w:rPr>
              <w:t>）为爆竹类产品机械包装</w:t>
            </w:r>
            <w:r>
              <w:rPr>
                <w:rFonts w:hint="eastAsia" w:hAnsi="宋体" w:cs="宋体"/>
                <w:color w:val="000000"/>
                <w:szCs w:val="21"/>
              </w:rPr>
              <w:t>。</w:t>
            </w:r>
          </w:p>
          <w:p>
            <w:pPr>
              <w:spacing w:line="360" w:lineRule="exact"/>
              <w:rPr>
                <w:rFonts w:ascii="宋体" w:hAnsi="宋体"/>
                <w:szCs w:val="21"/>
              </w:rPr>
            </w:pPr>
            <w:r>
              <w:rPr>
                <w:rFonts w:hint="eastAsia" w:ascii="宋体" w:hAnsi="宋体"/>
                <w:szCs w:val="21"/>
              </w:rPr>
              <w:t>3.内容</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int="eastAsia" w:ascii="宋体" w:cs="宋体"/>
                <w:szCs w:val="21"/>
                <w:lang w:eastAsia="zh-CN"/>
              </w:rPr>
            </w:pPr>
            <w:r>
              <w:rPr>
                <w:rFonts w:hint="eastAsia" w:ascii="宋体" w:cs="宋体"/>
                <w:szCs w:val="21"/>
                <w:lang w:val="en-US" w:eastAsia="zh-CN"/>
              </w:rPr>
              <w:t>3.1包装</w:t>
            </w:r>
            <w:r>
              <w:rPr>
                <w:rFonts w:hint="eastAsia" w:ascii="宋体" w:cs="宋体"/>
                <w:szCs w:val="21"/>
              </w:rPr>
              <w:t>覆膜</w:t>
            </w:r>
            <w:r>
              <w:rPr>
                <w:rFonts w:hint="eastAsia" w:ascii="宋体" w:cs="宋体"/>
                <w:szCs w:val="21"/>
                <w:lang w:eastAsia="zh-CN"/>
              </w:rPr>
              <w:t>（</w:t>
            </w:r>
            <w:r>
              <w:rPr>
                <w:rFonts w:hint="eastAsia" w:ascii="宋体" w:cs="宋体"/>
                <w:szCs w:val="21"/>
              </w:rPr>
              <w:t>机</w:t>
            </w:r>
            <w:r>
              <w:rPr>
                <w:rFonts w:hint="eastAsia" w:ascii="宋体" w:cs="宋体"/>
                <w:szCs w:val="21"/>
                <w:lang w:eastAsia="zh-CN"/>
              </w:rPr>
              <w:t>）为爆竹类产品机械包装使用。</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int="eastAsia" w:ascii="宋体" w:cs="宋体"/>
                <w:szCs w:val="21"/>
              </w:rPr>
            </w:pPr>
            <w:r>
              <w:rPr>
                <w:rFonts w:hint="eastAsia" w:ascii="宋体" w:cs="宋体"/>
                <w:szCs w:val="21"/>
                <w:lang w:val="en-US" w:eastAsia="zh-CN"/>
              </w:rPr>
              <w:t>3.2</w:t>
            </w:r>
            <w:r>
              <w:rPr>
                <w:rFonts w:hint="eastAsia" w:ascii="宋体" w:cs="宋体"/>
                <w:szCs w:val="21"/>
              </w:rPr>
              <w:t>每次开机时</w:t>
            </w:r>
            <w:r>
              <w:rPr>
                <w:rFonts w:hint="eastAsia" w:ascii="宋体" w:cs="宋体"/>
                <w:szCs w:val="21"/>
                <w:lang w:eastAsia="zh-CN"/>
              </w:rPr>
              <w:t>，应检查电源线路是否完好</w:t>
            </w:r>
            <w:r>
              <w:rPr>
                <w:rFonts w:hint="eastAsia" w:ascii="宋体" w:cs="宋体"/>
                <w:szCs w:val="21"/>
              </w:rPr>
              <w:t>，</w:t>
            </w:r>
            <w:r>
              <w:rPr>
                <w:rFonts w:hint="eastAsia" w:ascii="宋体" w:cs="宋体"/>
                <w:szCs w:val="21"/>
                <w:lang w:eastAsia="zh-CN"/>
              </w:rPr>
              <w:t>机器台面严禁放置杂物，</w:t>
            </w:r>
            <w:r>
              <w:rPr>
                <w:rFonts w:hint="eastAsia" w:ascii="宋体" w:cs="宋体"/>
                <w:szCs w:val="21"/>
              </w:rPr>
              <w:t>机器出现故障或异常声响应及时</w:t>
            </w:r>
            <w:r>
              <w:rPr>
                <w:rFonts w:hint="eastAsia" w:ascii="宋体" w:cs="宋体"/>
                <w:szCs w:val="21"/>
                <w:lang w:eastAsia="zh-CN"/>
              </w:rPr>
              <w:t>停机</w:t>
            </w:r>
            <w:r>
              <w:rPr>
                <w:rFonts w:hint="eastAsia" w:ascii="宋体" w:cs="宋体"/>
                <w:szCs w:val="21"/>
              </w:rPr>
              <w:t>分析查找原因并给于排除，待机器一切正常后方可继续使用机器。</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int="eastAsia" w:ascii="宋体" w:cs="宋体"/>
                <w:szCs w:val="21"/>
                <w:lang w:val="en-US" w:eastAsia="zh-CN"/>
              </w:rPr>
            </w:pPr>
            <w:r>
              <w:rPr>
                <w:rFonts w:hint="eastAsia" w:ascii="宋体" w:cs="宋体"/>
                <w:szCs w:val="21"/>
                <w:lang w:val="en-US" w:eastAsia="zh-CN"/>
              </w:rPr>
              <w:t>3.3</w:t>
            </w:r>
            <w:r>
              <w:rPr>
                <w:rFonts w:hint="eastAsia" w:ascii="宋体" w:cs="宋体"/>
                <w:szCs w:val="21"/>
              </w:rPr>
              <w:t>覆膜</w:t>
            </w:r>
            <w:r>
              <w:rPr>
                <w:rFonts w:hint="eastAsia" w:ascii="宋体" w:cs="宋体"/>
                <w:szCs w:val="21"/>
                <w:lang w:val="en-US" w:eastAsia="zh-CN"/>
              </w:rPr>
              <w:t>操作前应检查胶辊上有否粘有胶皮、油垢，及时擦洗辊上的胶迹和灰尘，保证两滚的表面清洁光亮。各辊表面必须严格保持干净。</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int="eastAsia" w:ascii="宋体" w:cs="宋体"/>
                <w:szCs w:val="21"/>
                <w:lang w:val="en-US" w:eastAsia="zh-CN"/>
              </w:rPr>
            </w:pPr>
            <w:r>
              <w:rPr>
                <w:rFonts w:hint="eastAsia" w:ascii="宋体" w:cs="宋体"/>
                <w:szCs w:val="21"/>
                <w:lang w:val="en-US" w:eastAsia="zh-CN"/>
              </w:rPr>
              <w:t>3.4使用过程中经常检查液压系统的油管、阀门及缸塞是否有出现漏油的现象，发现有渗油现象应及时更换密封圈，应及时向液压筒内补充适量的液压油。</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int="eastAsia" w:ascii="宋体" w:cs="宋体"/>
                <w:szCs w:val="21"/>
                <w:lang w:val="en-US" w:eastAsia="zh-CN"/>
              </w:rPr>
            </w:pPr>
            <w:r>
              <w:rPr>
                <w:rFonts w:hint="eastAsia" w:ascii="宋体" w:cs="宋体"/>
                <w:szCs w:val="21"/>
                <w:lang w:val="en-US" w:eastAsia="zh-CN"/>
              </w:rPr>
              <w:t>3.5刮刀片的刃线应保持平整具有弹性,当出现有弯曲、牙口、卷边等现象时应及时修整更换。</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int="eastAsia" w:ascii="宋体" w:cs="宋体"/>
                <w:szCs w:val="21"/>
                <w:lang w:val="en-US" w:eastAsia="zh-CN"/>
              </w:rPr>
            </w:pPr>
            <w:r>
              <w:rPr>
                <w:rFonts w:hint="eastAsia" w:ascii="宋体" w:cs="宋体"/>
                <w:szCs w:val="21"/>
                <w:lang w:val="en-US" w:eastAsia="zh-CN"/>
              </w:rPr>
              <w:t>3.6定期对机器的各传动部位和滑面加润滑油，保证机器处于良好的润滑状态工作，尤其是压合辊的大轴承由于承受的压力大且温度高，润滑油容易挥发流失，应及时加入高温润滑油，使之在高温高压下能正常工作。</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int="eastAsia" w:ascii="宋体" w:cs="宋体"/>
                <w:szCs w:val="21"/>
                <w:lang w:val="en-US" w:eastAsia="zh-CN"/>
              </w:rPr>
            </w:pPr>
            <w:r>
              <w:rPr>
                <w:rFonts w:hint="eastAsia" w:ascii="宋体" w:cs="宋体"/>
                <w:szCs w:val="21"/>
                <w:lang w:val="en-US" w:eastAsia="zh-CN"/>
              </w:rPr>
              <w:t>3.7机器的接地及电器的绝缘要保证良好。</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int="eastAsia" w:ascii="宋体" w:cs="宋体"/>
                <w:szCs w:val="21"/>
                <w:lang w:val="en-US" w:eastAsia="zh-CN"/>
              </w:rPr>
            </w:pPr>
            <w:r>
              <w:rPr>
                <w:rFonts w:hint="eastAsia" w:ascii="宋体" w:cs="宋体"/>
                <w:szCs w:val="21"/>
                <w:lang w:val="en-US" w:eastAsia="zh-CN"/>
              </w:rPr>
              <w:t>3.8每次使用完机器后，立即用风枪吹去机子上的灰尘或用柔软的毛巾揩擦各辊,严禁用锐器刮削滚筒表面。</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int="eastAsia" w:ascii="宋体" w:cs="宋体"/>
                <w:szCs w:val="21"/>
                <w:lang w:val="en-US" w:eastAsia="zh-CN"/>
              </w:rPr>
            </w:pPr>
            <w:r>
              <w:rPr>
                <w:rFonts w:hint="eastAsia" w:ascii="宋体" w:cs="宋体"/>
                <w:szCs w:val="21"/>
                <w:lang w:val="en-US" w:eastAsia="zh-CN"/>
              </w:rPr>
              <w:t>3.9每年要对机器进行一次全面检查发现问题及时解决。</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int="eastAsia" w:ascii="宋体" w:cs="宋体"/>
                <w:szCs w:val="21"/>
                <w:lang w:val="en-US" w:eastAsia="zh-CN"/>
              </w:rPr>
            </w:pPr>
            <w:r>
              <w:rPr>
                <w:rFonts w:hint="eastAsia" w:ascii="宋体" w:cs="宋体"/>
                <w:szCs w:val="21"/>
                <w:lang w:val="en-US" w:eastAsia="zh-CN"/>
              </w:rPr>
              <w:t>3.10应注意事项</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textAlignment w:val="auto"/>
              <w:rPr>
                <w:rFonts w:hint="eastAsia" w:ascii="宋体" w:cs="宋体"/>
                <w:szCs w:val="21"/>
                <w:lang w:val="en-US" w:eastAsia="zh-CN"/>
              </w:rPr>
            </w:pPr>
            <w:r>
              <w:rPr>
                <w:rFonts w:hint="eastAsia" w:ascii="宋体" w:cs="宋体"/>
                <w:szCs w:val="21"/>
                <w:lang w:val="en-US" w:eastAsia="zh-CN"/>
              </w:rPr>
              <w:t>10.1、温控仪的传感原件是采用电热偶对温度进行检测，由于收安装位置及周围气温及内部风流的影响较大，测温的精度有较大的误差，其温度表上所指示的温度为相对温度，用户应根据实际加工经验相对参考温度表的指示值而选择温度。</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textAlignment w:val="auto"/>
              <w:rPr>
                <w:rFonts w:hint="eastAsia" w:ascii="宋体" w:cs="宋体"/>
                <w:szCs w:val="21"/>
                <w:lang w:val="en-US" w:eastAsia="zh-CN"/>
              </w:rPr>
            </w:pPr>
            <w:r>
              <w:rPr>
                <w:rFonts w:hint="eastAsia" w:ascii="宋体" w:cs="宋体"/>
                <w:szCs w:val="21"/>
                <w:lang w:val="en-US" w:eastAsia="zh-CN"/>
              </w:rPr>
              <w:t>10.2、机器运转时禁止将手指伸入两辊内以免扎手;机器的压合辊筒温度较高，切勿用手触摸防止烫伤。擦洗机器时应低速开机。应在正确位置擦洗，严防两辊内碾拖带手中的布块。</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textAlignment w:val="auto"/>
              <w:rPr>
                <w:rFonts w:hAnsi="宋体" w:cs="宋体"/>
                <w:color w:val="000000"/>
              </w:rPr>
            </w:pPr>
          </w:p>
        </w:tc>
      </w:tr>
    </w:tbl>
    <w:p>
      <w:pPr>
        <w:pStyle w:val="2"/>
      </w:pPr>
    </w:p>
    <w:tbl>
      <w:tblPr>
        <w:tblStyle w:val="21"/>
        <w:tblW w:w="50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95" w:hRule="atLeast"/>
          <w:jc w:val="center"/>
        </w:trPr>
        <w:tc>
          <w:tcPr>
            <w:tcW w:w="5000" w:type="pct"/>
          </w:tcPr>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textAlignment w:val="auto"/>
              <w:rPr>
                <w:rFonts w:hint="eastAsia" w:ascii="宋体" w:cs="宋体"/>
                <w:szCs w:val="21"/>
                <w:lang w:val="en-US" w:eastAsia="zh-CN"/>
              </w:rPr>
            </w:pPr>
            <w:r>
              <w:rPr>
                <w:rFonts w:hint="eastAsia" w:ascii="宋体" w:cs="宋体"/>
                <w:szCs w:val="21"/>
                <w:lang w:val="en-US" w:eastAsia="zh-CN"/>
              </w:rPr>
              <w:t>10.3、维修及检查机器时应关闭机器的电源总升关。机器的电气系统应保持良好的绝缘，防止受潮。停止使用机器时应切断电源,以防意外。</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textAlignment w:val="auto"/>
              <w:rPr>
                <w:rFonts w:hint="eastAsia" w:ascii="宋体" w:cs="宋体"/>
                <w:szCs w:val="21"/>
                <w:lang w:val="en-US" w:eastAsia="zh-CN"/>
              </w:rPr>
            </w:pPr>
            <w:r>
              <w:rPr>
                <w:rFonts w:hint="eastAsia" w:ascii="宋体" w:cs="宋体"/>
                <w:szCs w:val="21"/>
                <w:lang w:val="en-US" w:eastAsia="zh-CN"/>
              </w:rPr>
              <w:t>10.4、严格禁止在机器.上摆放任何工具、器件、杂物,涂胶辊和均胶辊的工作气隙极小，任何硬质物一旦被压入橡胶辊表面时，在橡胶上留下压坑凹陷或裂纹。</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textAlignment w:val="auto"/>
              <w:rPr>
                <w:rFonts w:hint="eastAsia" w:ascii="宋体" w:cs="宋体"/>
                <w:szCs w:val="21"/>
                <w:lang w:val="en-US" w:eastAsia="zh-CN"/>
              </w:rPr>
            </w:pPr>
            <w:r>
              <w:rPr>
                <w:rFonts w:hint="eastAsia" w:ascii="宋体" w:cs="宋体"/>
                <w:szCs w:val="21"/>
                <w:lang w:val="en-US" w:eastAsia="zh-CN"/>
              </w:rPr>
              <w:t>10.5、新安装使用传动磨合期增加润滑。</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textAlignment w:val="auto"/>
              <w:rPr>
                <w:rFonts w:hAnsi="宋体" w:cs="宋体"/>
                <w:color w:val="000000"/>
              </w:rPr>
            </w:pPr>
            <w:r>
              <w:rPr>
                <w:rFonts w:hint="eastAsia" w:ascii="宋体" w:cs="宋体"/>
                <w:szCs w:val="21"/>
                <w:lang w:val="en-US" w:eastAsia="zh-CN"/>
              </w:rPr>
              <w:t>10.6精度的要求较高，尤其是各辊的表面精度及逛街度要求甚高。一旦出现丝毫划伤、斑纹、裂痕、  遮点，或有稍微的弯曲变形时，都将影响产品的加工质量甚致不能工作。所以平常应细心谨慎维护机器。</w:t>
            </w:r>
          </w:p>
        </w:tc>
      </w:tr>
    </w:tbl>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p>
      <w:pPr>
        <w:pStyle w:val="2"/>
      </w:pPr>
    </w:p>
    <w:tbl>
      <w:tblPr>
        <w:tblStyle w:val="21"/>
        <w:tblW w:w="51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772"/>
        <w:gridCol w:w="1120"/>
        <w:gridCol w:w="3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2591" w:type="pct"/>
            <w:gridSpan w:val="2"/>
            <w:vMerge w:val="restart"/>
          </w:tcPr>
          <w:p>
            <w:pPr>
              <w:spacing w:line="360" w:lineRule="exact"/>
              <w:ind w:left="840" w:hanging="840" w:hangingChars="400"/>
              <w:jc w:val="center"/>
              <w:rPr>
                <w:rFonts w:ascii="宋体" w:hAnsi="宋体"/>
                <w:szCs w:val="21"/>
              </w:rPr>
            </w:pP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8"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w:t>
            </w:r>
            <w:r>
              <w:rPr>
                <w:rFonts w:hint="eastAsia" w:ascii="宋体" w:hAnsi="宋体"/>
                <w:szCs w:val="21"/>
                <w:lang w:val="en-US" w:eastAsia="zh-CN"/>
              </w:rPr>
              <w:t>CZGC2022</w:t>
            </w:r>
            <w:r>
              <w:rPr>
                <w:rFonts w:hint="eastAsia" w:ascii="宋体" w:hAnsi="宋体"/>
                <w:szCs w:val="21"/>
              </w:rPr>
              <w:t>-0</w:t>
            </w:r>
            <w:r>
              <w:rPr>
                <w:rFonts w:hint="default" w:ascii="宋体" w:hAnsi="宋体"/>
                <w:szCs w:val="21"/>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2591" w:type="pct"/>
            <w:gridSpan w:val="2"/>
            <w:vMerge w:val="continue"/>
          </w:tcPr>
          <w:p>
            <w:pPr>
              <w:spacing w:line="360" w:lineRule="exact"/>
              <w:jc w:val="center"/>
              <w:rPr>
                <w:rFonts w:ascii="宋体" w:hAnsi="宋体"/>
                <w:szCs w:val="21"/>
              </w:rPr>
            </w:pPr>
          </w:p>
        </w:tc>
        <w:tc>
          <w:tcPr>
            <w:tcW w:w="2408"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2591" w:type="pct"/>
            <w:gridSpan w:val="2"/>
            <w:vAlign w:val="center"/>
          </w:tcPr>
          <w:p>
            <w:pPr>
              <w:jc w:val="center"/>
              <w:rPr>
                <w:rFonts w:ascii="宋体" w:hAnsi="宋体" w:cs="宋体"/>
                <w:color w:val="000000"/>
                <w:szCs w:val="21"/>
              </w:rPr>
            </w:pPr>
            <w:r>
              <w:rPr>
                <w:rFonts w:hint="eastAsia" w:ascii="宋体" w:hAnsi="宋体"/>
                <w:szCs w:val="21"/>
              </w:rPr>
              <w:t>电动车充电安全操作规程</w:t>
            </w:r>
          </w:p>
        </w:tc>
        <w:tc>
          <w:tcPr>
            <w:tcW w:w="2408" w:type="pct"/>
            <w:gridSpan w:val="2"/>
            <w:vAlign w:val="center"/>
          </w:tcPr>
          <w:p>
            <w:pPr>
              <w:spacing w:line="360" w:lineRule="exact"/>
              <w:jc w:val="center"/>
              <w:rPr>
                <w:rFonts w:ascii="宋体" w:hAnsi="宋体"/>
                <w:szCs w:val="21"/>
              </w:rPr>
            </w:pPr>
            <w:r>
              <w:rPr>
                <w:rFonts w:hint="eastAsia" w:ascii="宋体" w:hAnsi="宋体"/>
                <w:szCs w:val="21"/>
              </w:rPr>
              <w:t>第1版</w:t>
            </w:r>
            <w:r>
              <w:rPr>
                <w:rFonts w:hint="eastAsia" w:ascii="宋体" w:hAnsi="宋体"/>
                <w:szCs w:val="21"/>
                <w:lang w:eastAsia="zh-CN"/>
              </w:rPr>
              <w:t>第2次</w:t>
            </w:r>
            <w:r>
              <w:rPr>
                <w:rFonts w:hint="eastAsia" w:ascii="宋体" w:hAnsi="宋体"/>
                <w:szCs w:val="21"/>
              </w:rPr>
              <w:t>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1205"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szCs w:val="21"/>
                <w:lang w:eastAsia="zh-CN"/>
              </w:rPr>
            </w:pPr>
            <w:r>
              <w:rPr>
                <w:rFonts w:hint="eastAsia" w:ascii="宋体" w:hAnsi="宋体"/>
                <w:szCs w:val="21"/>
                <w:lang w:eastAsia="zh-CN"/>
              </w:rPr>
              <w:t>2022年3月20日</w:t>
            </w:r>
          </w:p>
        </w:tc>
        <w:tc>
          <w:tcPr>
            <w:tcW w:w="560" w:type="pct"/>
          </w:tcPr>
          <w:p>
            <w:pPr>
              <w:spacing w:line="360" w:lineRule="exact"/>
              <w:jc w:val="center"/>
              <w:rPr>
                <w:rFonts w:ascii="宋体" w:hAnsi="宋体"/>
                <w:szCs w:val="21"/>
              </w:rPr>
            </w:pPr>
            <w:r>
              <w:rPr>
                <w:rFonts w:hint="eastAsia" w:ascii="宋体" w:hAnsi="宋体"/>
                <w:szCs w:val="21"/>
              </w:rPr>
              <w:t>审订时间</w:t>
            </w:r>
          </w:p>
        </w:tc>
        <w:tc>
          <w:tcPr>
            <w:tcW w:w="1847"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2022年4月10日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1205"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szCs w:val="21"/>
                <w:lang w:eastAsia="zh-CN"/>
              </w:rPr>
            </w:pPr>
            <w:r>
              <w:rPr>
                <w:rFonts w:hint="eastAsia" w:ascii="宋体" w:hAnsi="宋体"/>
                <w:szCs w:val="21"/>
                <w:lang w:eastAsia="zh-CN"/>
              </w:rPr>
              <w:t>2022年4月13日</w:t>
            </w:r>
          </w:p>
        </w:tc>
        <w:tc>
          <w:tcPr>
            <w:tcW w:w="560" w:type="pct"/>
          </w:tcPr>
          <w:p>
            <w:pPr>
              <w:spacing w:line="360" w:lineRule="exact"/>
              <w:rPr>
                <w:rFonts w:ascii="宋体" w:hAnsi="宋体"/>
                <w:szCs w:val="21"/>
              </w:rPr>
            </w:pPr>
            <w:r>
              <w:rPr>
                <w:rFonts w:hint="eastAsia" w:ascii="宋体" w:hAnsi="宋体"/>
                <w:szCs w:val="21"/>
              </w:rPr>
              <w:t>批准人</w:t>
            </w:r>
          </w:p>
        </w:tc>
        <w:tc>
          <w:tcPr>
            <w:tcW w:w="1847"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95" w:hRule="atLeast"/>
          <w:jc w:val="center"/>
        </w:trPr>
        <w:tc>
          <w:tcPr>
            <w:tcW w:w="5000" w:type="pct"/>
            <w:gridSpan w:val="4"/>
          </w:tcPr>
          <w:p>
            <w:pPr>
              <w:numPr>
                <w:ilvl w:val="0"/>
                <w:numId w:val="18"/>
              </w:numPr>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目的</w:t>
            </w:r>
          </w:p>
          <w:p>
            <w:pPr>
              <w:numPr>
                <w:ilvl w:val="0"/>
                <w:numId w:val="0"/>
              </w:num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rPr>
              <w:t>为</w:t>
            </w:r>
            <w:r>
              <w:rPr>
                <w:rFonts w:hint="eastAsia" w:ascii="宋体" w:hAnsi="宋体" w:eastAsia="宋体" w:cs="宋体"/>
                <w:sz w:val="21"/>
                <w:szCs w:val="21"/>
                <w:lang w:eastAsia="zh-CN"/>
              </w:rPr>
              <w:t>规范本厂</w:t>
            </w:r>
            <w:r>
              <w:rPr>
                <w:rFonts w:hint="eastAsia" w:ascii="宋体" w:hAnsi="宋体" w:eastAsia="宋体" w:cs="宋体"/>
                <w:sz w:val="21"/>
                <w:szCs w:val="21"/>
              </w:rPr>
              <w:t>员工电动</w:t>
            </w:r>
            <w:r>
              <w:rPr>
                <w:rFonts w:hint="eastAsia" w:ascii="宋体" w:hAnsi="宋体" w:eastAsia="宋体" w:cs="宋体"/>
                <w:sz w:val="21"/>
                <w:szCs w:val="21"/>
                <w:lang w:eastAsia="zh-CN"/>
              </w:rPr>
              <w:t>车辆的管理，</w:t>
            </w:r>
            <w:r>
              <w:rPr>
                <w:rFonts w:hint="eastAsia" w:ascii="宋体" w:hAnsi="宋体" w:eastAsia="宋体" w:cs="宋体"/>
                <w:sz w:val="21"/>
                <w:szCs w:val="21"/>
              </w:rPr>
              <w:t>给员工电</w:t>
            </w:r>
            <w:r>
              <w:rPr>
                <w:rFonts w:hint="eastAsia" w:ascii="宋体" w:hAnsi="宋体" w:eastAsia="宋体" w:cs="宋体"/>
                <w:sz w:val="21"/>
                <w:szCs w:val="21"/>
                <w:lang w:eastAsia="zh-CN"/>
              </w:rPr>
              <w:t>动车</w:t>
            </w:r>
            <w:r>
              <w:rPr>
                <w:rFonts w:hint="eastAsia" w:ascii="宋体" w:hAnsi="宋体" w:eastAsia="宋体" w:cs="宋体"/>
                <w:sz w:val="21"/>
                <w:szCs w:val="21"/>
              </w:rPr>
              <w:t>充电</w:t>
            </w:r>
            <w:r>
              <w:rPr>
                <w:rFonts w:hint="eastAsia" w:ascii="宋体" w:hAnsi="宋体" w:eastAsia="宋体" w:cs="宋体"/>
                <w:sz w:val="21"/>
                <w:szCs w:val="21"/>
                <w:lang w:eastAsia="zh-CN"/>
              </w:rPr>
              <w:t>提供方便，确保充电安全，企业本着安全第一、以人为本、关爱职工的宗旨特制定本规程。</w:t>
            </w:r>
          </w:p>
          <w:p>
            <w:pPr>
              <w:pStyle w:val="2"/>
              <w:rPr>
                <w:rFonts w:hint="default" w:ascii="宋体" w:hAnsi="宋体" w:cs="宋体"/>
                <w:sz w:val="21"/>
                <w:szCs w:val="21"/>
                <w:lang w:val="en-US" w:eastAsia="zh-CN"/>
              </w:rPr>
            </w:pPr>
            <w:r>
              <w:rPr>
                <w:rFonts w:hint="eastAsia" w:ascii="宋体" w:hAnsi="宋体" w:cs="宋体"/>
                <w:sz w:val="21"/>
                <w:szCs w:val="21"/>
                <w:lang w:val="en-US" w:eastAsia="zh-CN"/>
              </w:rPr>
              <w:t>2.适用范围</w:t>
            </w:r>
          </w:p>
          <w:p>
            <w:pPr>
              <w:spacing w:line="360" w:lineRule="exact"/>
              <w:ind w:firstLine="420" w:firstLineChars="200"/>
              <w:rPr>
                <w:rFonts w:hint="eastAsia" w:hAnsi="宋体" w:cs="宋体"/>
                <w:color w:val="000000"/>
                <w:szCs w:val="21"/>
              </w:rPr>
            </w:pPr>
            <w:r>
              <w:rPr>
                <w:rFonts w:hint="eastAsia" w:hAnsi="宋体" w:cs="宋体"/>
                <w:color w:val="000000"/>
                <w:szCs w:val="21"/>
              </w:rPr>
              <w:t>适用于本</w:t>
            </w:r>
            <w:r>
              <w:rPr>
                <w:rFonts w:hint="eastAsia" w:ascii="宋体" w:hAnsi="宋体"/>
                <w:szCs w:val="21"/>
              </w:rPr>
              <w:t>厂</w:t>
            </w:r>
            <w:r>
              <w:rPr>
                <w:rFonts w:hint="eastAsia" w:ascii="宋体" w:cs="宋体"/>
                <w:szCs w:val="21"/>
                <w:lang w:val="en-US" w:eastAsia="zh-CN"/>
              </w:rPr>
              <w:t>电动车管理</w:t>
            </w:r>
            <w:r>
              <w:rPr>
                <w:rFonts w:hint="eastAsia" w:hAnsi="宋体" w:cs="宋体"/>
                <w:color w:val="000000"/>
                <w:szCs w:val="21"/>
              </w:rPr>
              <w:t>。</w:t>
            </w:r>
          </w:p>
          <w:p>
            <w:pPr>
              <w:pStyle w:val="2"/>
              <w:rPr>
                <w:rFonts w:hint="default" w:eastAsia="宋体"/>
                <w:lang w:val="en-US" w:eastAsia="zh-CN"/>
              </w:rPr>
            </w:pPr>
            <w:r>
              <w:rPr>
                <w:rFonts w:hint="eastAsia" w:hAnsi="宋体" w:cs="宋体"/>
                <w:color w:val="000000"/>
                <w:szCs w:val="21"/>
                <w:lang w:val="en-US" w:eastAsia="zh-CN"/>
              </w:rPr>
              <w:t>3.内容</w:t>
            </w:r>
          </w:p>
          <w:p>
            <w:pPr>
              <w:numPr>
                <w:ilvl w:val="0"/>
                <w:numId w:val="0"/>
              </w:numPr>
              <w:spacing w:line="360" w:lineRule="auto"/>
              <w:ind w:firstLine="210" w:firstLineChars="100"/>
              <w:rPr>
                <w:rFonts w:hint="eastAsia" w:ascii="宋体" w:hAnsi="宋体" w:eastAsia="宋体" w:cs="宋体"/>
                <w:sz w:val="21"/>
                <w:szCs w:val="21"/>
                <w:lang w:val="en-US" w:eastAsia="zh-CN"/>
              </w:rPr>
            </w:pPr>
            <w:r>
              <w:rPr>
                <w:rFonts w:hint="eastAsia" w:ascii="宋体" w:hAnsi="宋体" w:cs="宋体"/>
                <w:sz w:val="21"/>
                <w:szCs w:val="21"/>
                <w:lang w:val="en-US" w:eastAsia="zh-CN"/>
              </w:rPr>
              <w:t>3.1</w:t>
            </w:r>
            <w:r>
              <w:rPr>
                <w:rFonts w:hint="eastAsia" w:ascii="宋体" w:hAnsi="宋体" w:eastAsia="宋体" w:cs="宋体"/>
                <w:sz w:val="21"/>
                <w:szCs w:val="21"/>
                <w:lang w:val="en-US" w:eastAsia="zh-CN"/>
              </w:rPr>
              <w:t>在给电动车充电时，车辆应停放在指定位置。</w:t>
            </w:r>
          </w:p>
          <w:p>
            <w:pPr>
              <w:numPr>
                <w:ilvl w:val="0"/>
                <w:numId w:val="0"/>
              </w:numPr>
              <w:spacing w:line="360" w:lineRule="auto"/>
              <w:ind w:left="210" w:leftChars="0"/>
              <w:rPr>
                <w:rFonts w:hint="eastAsia" w:ascii="宋体" w:hAnsi="宋体" w:eastAsia="宋体" w:cs="宋体"/>
                <w:sz w:val="21"/>
                <w:szCs w:val="21"/>
              </w:rPr>
            </w:pPr>
            <w:r>
              <w:rPr>
                <w:rFonts w:hint="eastAsia" w:ascii="宋体" w:hAnsi="宋体" w:cs="宋体"/>
                <w:sz w:val="21"/>
                <w:szCs w:val="21"/>
                <w:lang w:val="en-US" w:eastAsia="zh-CN"/>
              </w:rPr>
              <w:t>3.2</w:t>
            </w:r>
            <w:r>
              <w:rPr>
                <w:rFonts w:hint="eastAsia" w:ascii="宋体" w:hAnsi="宋体" w:eastAsia="宋体" w:cs="宋体"/>
                <w:sz w:val="21"/>
                <w:szCs w:val="21"/>
                <w:lang w:eastAsia="zh-CN"/>
              </w:rPr>
              <w:t>本充电处只限电动车充电，充电人员不得破坏充电设设备、违者造成损失的造价赔偿。</w:t>
            </w:r>
          </w:p>
          <w:p>
            <w:pPr>
              <w:numPr>
                <w:ilvl w:val="0"/>
                <w:numId w:val="0"/>
              </w:numPr>
              <w:spacing w:line="360" w:lineRule="auto"/>
              <w:ind w:left="210" w:leftChars="0"/>
              <w:rPr>
                <w:rFonts w:hint="eastAsia" w:ascii="宋体" w:hAnsi="宋体" w:eastAsia="宋体" w:cs="宋体"/>
                <w:sz w:val="21"/>
                <w:szCs w:val="21"/>
              </w:rPr>
            </w:pPr>
            <w:r>
              <w:rPr>
                <w:rFonts w:hint="eastAsia" w:ascii="宋体" w:hAnsi="宋体" w:cs="宋体"/>
                <w:sz w:val="21"/>
                <w:szCs w:val="21"/>
                <w:lang w:val="en-US" w:eastAsia="zh-CN"/>
              </w:rPr>
              <w:t>3.3</w:t>
            </w:r>
            <w:r>
              <w:rPr>
                <w:rFonts w:hint="eastAsia" w:ascii="宋体" w:hAnsi="宋体" w:eastAsia="宋体" w:cs="宋体"/>
                <w:sz w:val="21"/>
                <w:szCs w:val="21"/>
              </w:rPr>
              <w:t>同事间应当相互礼让</w:t>
            </w:r>
            <w:r>
              <w:rPr>
                <w:rFonts w:hint="eastAsia" w:ascii="宋体" w:hAnsi="宋体" w:eastAsia="宋体" w:cs="宋体"/>
                <w:sz w:val="21"/>
                <w:szCs w:val="21"/>
                <w:lang w:eastAsia="zh-CN"/>
              </w:rPr>
              <w:t>，</w:t>
            </w:r>
            <w:r>
              <w:rPr>
                <w:rFonts w:hint="eastAsia" w:ascii="宋体" w:hAnsi="宋体" w:eastAsia="宋体" w:cs="宋体"/>
                <w:sz w:val="21"/>
                <w:szCs w:val="21"/>
              </w:rPr>
              <w:t>没有充电需求的同事</w:t>
            </w:r>
            <w:r>
              <w:rPr>
                <w:rFonts w:hint="eastAsia" w:ascii="宋体" w:hAnsi="宋体" w:eastAsia="宋体" w:cs="宋体"/>
                <w:sz w:val="21"/>
                <w:szCs w:val="21"/>
                <w:lang w:eastAsia="zh-CN"/>
              </w:rPr>
              <w:t>，</w:t>
            </w:r>
            <w:r>
              <w:rPr>
                <w:rFonts w:hint="eastAsia" w:ascii="宋体" w:hAnsi="宋体" w:eastAsia="宋体" w:cs="宋体"/>
                <w:sz w:val="21"/>
                <w:szCs w:val="21"/>
              </w:rPr>
              <w:t>尽量不要占用充电停车位</w:t>
            </w:r>
            <w:r>
              <w:rPr>
                <w:rFonts w:hint="eastAsia" w:ascii="宋体" w:hAnsi="宋体" w:eastAsia="宋体" w:cs="宋体"/>
                <w:sz w:val="21"/>
                <w:szCs w:val="21"/>
                <w:lang w:eastAsia="zh-CN"/>
              </w:rPr>
              <w:t>。</w:t>
            </w:r>
          </w:p>
          <w:p>
            <w:pPr>
              <w:numPr>
                <w:ilvl w:val="0"/>
                <w:numId w:val="0"/>
              </w:numPr>
              <w:spacing w:line="360" w:lineRule="auto"/>
              <w:ind w:left="210" w:leftChars="0"/>
              <w:rPr>
                <w:rFonts w:hint="eastAsia" w:ascii="宋体" w:hAnsi="宋体" w:eastAsia="宋体" w:cs="宋体"/>
                <w:sz w:val="21"/>
                <w:szCs w:val="21"/>
              </w:rPr>
            </w:pPr>
            <w:r>
              <w:rPr>
                <w:rFonts w:hint="eastAsia" w:ascii="宋体" w:hAnsi="宋体" w:cs="宋体"/>
                <w:sz w:val="21"/>
                <w:szCs w:val="21"/>
                <w:lang w:val="en-US" w:eastAsia="zh-CN"/>
              </w:rPr>
              <w:t>3.4</w:t>
            </w:r>
            <w:r>
              <w:rPr>
                <w:rFonts w:hint="eastAsia" w:ascii="宋体" w:hAnsi="宋体" w:eastAsia="宋体" w:cs="宋体"/>
                <w:sz w:val="21"/>
                <w:szCs w:val="21"/>
              </w:rPr>
              <w:t>充电应保证</w:t>
            </w:r>
            <w:r>
              <w:rPr>
                <w:rFonts w:hint="eastAsia" w:ascii="宋体" w:hAnsi="宋体" w:eastAsia="宋体" w:cs="宋体"/>
                <w:sz w:val="21"/>
                <w:szCs w:val="21"/>
                <w:lang w:eastAsia="zh-CN"/>
              </w:rPr>
              <w:t>散</w:t>
            </w:r>
            <w:r>
              <w:rPr>
                <w:rFonts w:hint="eastAsia" w:ascii="宋体" w:hAnsi="宋体" w:eastAsia="宋体" w:cs="宋体"/>
                <w:sz w:val="21"/>
                <w:szCs w:val="21"/>
              </w:rPr>
              <w:t>热正常</w:t>
            </w:r>
            <w:r>
              <w:rPr>
                <w:rFonts w:hint="eastAsia" w:ascii="宋体" w:hAnsi="宋体" w:eastAsia="宋体" w:cs="宋体"/>
                <w:sz w:val="21"/>
                <w:szCs w:val="21"/>
                <w:lang w:eastAsia="zh-CN"/>
              </w:rPr>
              <w:t>，</w:t>
            </w:r>
            <w:r>
              <w:rPr>
                <w:rFonts w:hint="eastAsia" w:ascii="宋体" w:hAnsi="宋体" w:eastAsia="宋体" w:cs="宋体"/>
                <w:sz w:val="21"/>
                <w:szCs w:val="21"/>
              </w:rPr>
              <w:t>禁止将</w:t>
            </w:r>
            <w:r>
              <w:rPr>
                <w:rFonts w:hint="eastAsia" w:ascii="宋体" w:hAnsi="宋体" w:eastAsia="宋体" w:cs="宋体"/>
                <w:sz w:val="21"/>
                <w:szCs w:val="21"/>
                <w:lang w:eastAsia="zh-CN"/>
              </w:rPr>
              <w:t>衣物覆盖</w:t>
            </w:r>
            <w:r>
              <w:rPr>
                <w:rFonts w:hint="eastAsia" w:ascii="宋体" w:hAnsi="宋体" w:eastAsia="宋体" w:cs="宋体"/>
                <w:sz w:val="21"/>
                <w:szCs w:val="21"/>
              </w:rPr>
              <w:t>在电动车充电器上。</w:t>
            </w:r>
          </w:p>
          <w:p>
            <w:pPr>
              <w:numPr>
                <w:ilvl w:val="0"/>
                <w:numId w:val="0"/>
              </w:numPr>
              <w:spacing w:line="360" w:lineRule="auto"/>
              <w:ind w:left="210" w:leftChars="0"/>
              <w:rPr>
                <w:rFonts w:hint="eastAsia" w:ascii="宋体" w:hAnsi="宋体" w:eastAsia="宋体" w:cs="宋体"/>
                <w:sz w:val="21"/>
                <w:szCs w:val="21"/>
              </w:rPr>
            </w:pPr>
            <w:r>
              <w:rPr>
                <w:rFonts w:hint="eastAsia" w:ascii="宋体" w:hAnsi="宋体" w:cs="宋体"/>
                <w:sz w:val="21"/>
                <w:szCs w:val="21"/>
                <w:lang w:val="en-US" w:eastAsia="zh-CN"/>
              </w:rPr>
              <w:t>3.5</w:t>
            </w:r>
            <w:r>
              <w:rPr>
                <w:rFonts w:hint="eastAsia" w:ascii="宋体" w:hAnsi="宋体" w:eastAsia="宋体" w:cs="宋体"/>
                <w:sz w:val="21"/>
                <w:szCs w:val="21"/>
                <w:lang w:eastAsia="zh-CN"/>
              </w:rPr>
              <w:t>严格遵守充电操作规程，如发现供电设施故障，要及时向管理人员报告，管理人员要及时联系电工维修。</w:t>
            </w:r>
          </w:p>
          <w:p>
            <w:pPr>
              <w:numPr>
                <w:ilvl w:val="0"/>
                <w:numId w:val="0"/>
              </w:numPr>
              <w:spacing w:line="360" w:lineRule="auto"/>
              <w:ind w:left="210" w:leftChars="0"/>
              <w:rPr>
                <w:rFonts w:hint="eastAsia" w:ascii="宋体" w:hAnsi="宋体" w:eastAsia="宋体" w:cs="宋体"/>
                <w:sz w:val="21"/>
                <w:szCs w:val="21"/>
              </w:rPr>
            </w:pPr>
            <w:r>
              <w:rPr>
                <w:rFonts w:hint="eastAsia" w:ascii="宋体" w:hAnsi="宋体" w:cs="宋体"/>
                <w:sz w:val="21"/>
                <w:szCs w:val="21"/>
                <w:lang w:val="en-US" w:eastAsia="zh-CN"/>
              </w:rPr>
              <w:t>3.6</w:t>
            </w:r>
            <w:r>
              <w:rPr>
                <w:rFonts w:hint="eastAsia" w:ascii="宋体" w:hAnsi="宋体" w:eastAsia="宋体" w:cs="宋体"/>
                <w:sz w:val="21"/>
                <w:szCs w:val="21"/>
              </w:rPr>
              <w:t>员工在电动车充电前应进行安全状态确认</w:t>
            </w:r>
            <w:r>
              <w:rPr>
                <w:rFonts w:hint="eastAsia" w:ascii="宋体" w:hAnsi="宋体" w:eastAsia="宋体" w:cs="宋体"/>
                <w:sz w:val="21"/>
                <w:szCs w:val="21"/>
                <w:lang w:eastAsia="zh-CN"/>
              </w:rPr>
              <w:t>，</w:t>
            </w:r>
            <w:r>
              <w:rPr>
                <w:rFonts w:hint="eastAsia" w:ascii="宋体" w:hAnsi="宋体" w:eastAsia="宋体" w:cs="宋体"/>
                <w:sz w:val="21"/>
                <w:szCs w:val="21"/>
              </w:rPr>
              <w:t>对充电器插座、插头、</w:t>
            </w:r>
            <w:r>
              <w:rPr>
                <w:rFonts w:hint="eastAsia" w:ascii="宋体" w:hAnsi="宋体" w:eastAsia="宋体" w:cs="宋体"/>
                <w:sz w:val="21"/>
                <w:szCs w:val="21"/>
                <w:lang w:eastAsia="zh-CN"/>
              </w:rPr>
              <w:t>线路</w:t>
            </w:r>
            <w:r>
              <w:rPr>
                <w:rFonts w:hint="eastAsia" w:ascii="宋体" w:hAnsi="宋体" w:eastAsia="宋体" w:cs="宋体"/>
                <w:sz w:val="21"/>
                <w:szCs w:val="21"/>
              </w:rPr>
              <w:t>进行检查</w:t>
            </w:r>
            <w:r>
              <w:rPr>
                <w:rFonts w:hint="eastAsia" w:ascii="宋体" w:hAnsi="宋体" w:eastAsia="宋体" w:cs="宋体"/>
                <w:sz w:val="21"/>
                <w:szCs w:val="21"/>
                <w:lang w:eastAsia="zh-CN"/>
              </w:rPr>
              <w:t>，</w:t>
            </w:r>
            <w:r>
              <w:rPr>
                <w:rFonts w:hint="eastAsia" w:ascii="宋体" w:hAnsi="宋体" w:eastAsia="宋体" w:cs="宋体"/>
                <w:sz w:val="21"/>
                <w:szCs w:val="21"/>
              </w:rPr>
              <w:t>防止钱</w:t>
            </w:r>
            <w:r>
              <w:rPr>
                <w:rFonts w:hint="eastAsia" w:ascii="宋体" w:hAnsi="宋体" w:eastAsia="宋体" w:cs="宋体"/>
                <w:sz w:val="21"/>
                <w:szCs w:val="21"/>
                <w:lang w:eastAsia="zh-CN"/>
              </w:rPr>
              <w:t>路</w:t>
            </w:r>
            <w:r>
              <w:rPr>
                <w:rFonts w:hint="eastAsia" w:ascii="宋体" w:hAnsi="宋体" w:eastAsia="宋体" w:cs="宋体"/>
                <w:sz w:val="21"/>
                <w:szCs w:val="21"/>
              </w:rPr>
              <w:t>过热引发事故</w:t>
            </w:r>
            <w:r>
              <w:rPr>
                <w:rFonts w:hint="eastAsia" w:ascii="宋体" w:hAnsi="宋体" w:eastAsia="宋体" w:cs="宋体"/>
                <w:sz w:val="21"/>
                <w:szCs w:val="21"/>
                <w:lang w:eastAsia="zh-CN"/>
              </w:rPr>
              <w:t>，</w:t>
            </w:r>
            <w:r>
              <w:rPr>
                <w:rFonts w:hint="eastAsia" w:ascii="宋体" w:hAnsi="宋体" w:eastAsia="宋体" w:cs="宋体"/>
                <w:sz w:val="21"/>
                <w:szCs w:val="21"/>
              </w:rPr>
              <w:t>因充电器、</w:t>
            </w:r>
            <w:r>
              <w:rPr>
                <w:rFonts w:hint="eastAsia" w:ascii="宋体" w:hAnsi="宋体" w:eastAsia="宋体" w:cs="宋体"/>
                <w:sz w:val="21"/>
                <w:szCs w:val="21"/>
                <w:lang w:eastAsia="zh-CN"/>
              </w:rPr>
              <w:t>电瓶</w:t>
            </w:r>
            <w:r>
              <w:rPr>
                <w:rFonts w:hint="eastAsia" w:ascii="宋体" w:hAnsi="宋体" w:eastAsia="宋体" w:cs="宋体"/>
                <w:sz w:val="21"/>
                <w:szCs w:val="21"/>
              </w:rPr>
              <w:t>、电动车自身</w:t>
            </w:r>
            <w:r>
              <w:rPr>
                <w:rFonts w:hint="eastAsia" w:ascii="宋体" w:hAnsi="宋体" w:eastAsia="宋体" w:cs="宋体"/>
                <w:sz w:val="21"/>
                <w:szCs w:val="21"/>
                <w:lang w:eastAsia="zh-CN"/>
              </w:rPr>
              <w:t>线路陈旧</w:t>
            </w:r>
            <w:r>
              <w:rPr>
                <w:rFonts w:hint="eastAsia" w:ascii="宋体" w:hAnsi="宋体" w:eastAsia="宋体" w:cs="宋体"/>
                <w:sz w:val="21"/>
                <w:szCs w:val="21"/>
              </w:rPr>
              <w:t>老化、电动车倾</w:t>
            </w:r>
            <w:r>
              <w:rPr>
                <w:rFonts w:hint="eastAsia" w:ascii="宋体" w:hAnsi="宋体" w:eastAsia="宋体" w:cs="宋体"/>
                <w:sz w:val="21"/>
                <w:szCs w:val="21"/>
                <w:lang w:eastAsia="zh-CN"/>
              </w:rPr>
              <w:t>倒</w:t>
            </w:r>
            <w:r>
              <w:rPr>
                <w:rFonts w:hint="eastAsia" w:ascii="宋体" w:hAnsi="宋体" w:eastAsia="宋体" w:cs="宋体"/>
                <w:sz w:val="21"/>
                <w:szCs w:val="21"/>
              </w:rPr>
              <w:t>等原因</w:t>
            </w:r>
            <w:r>
              <w:rPr>
                <w:rFonts w:hint="eastAsia" w:ascii="宋体" w:hAnsi="宋体" w:eastAsia="宋体" w:cs="宋体"/>
                <w:sz w:val="21"/>
                <w:szCs w:val="21"/>
                <w:lang w:eastAsia="zh-CN"/>
              </w:rPr>
              <w:t>而</w:t>
            </w:r>
            <w:r>
              <w:rPr>
                <w:rFonts w:hint="eastAsia" w:ascii="宋体" w:hAnsi="宋体" w:eastAsia="宋体" w:cs="宋体"/>
                <w:sz w:val="21"/>
                <w:szCs w:val="21"/>
              </w:rPr>
              <w:t>引起的火灾及</w:t>
            </w:r>
            <w:r>
              <w:rPr>
                <w:rFonts w:hint="eastAsia" w:ascii="宋体" w:hAnsi="宋体" w:eastAsia="宋体" w:cs="宋体"/>
                <w:sz w:val="21"/>
                <w:szCs w:val="21"/>
                <w:lang w:eastAsia="zh-CN"/>
              </w:rPr>
              <w:t>其他</w:t>
            </w:r>
            <w:r>
              <w:rPr>
                <w:rFonts w:hint="eastAsia" w:ascii="宋体" w:hAnsi="宋体" w:eastAsia="宋体" w:cs="宋体"/>
                <w:sz w:val="21"/>
                <w:szCs w:val="21"/>
              </w:rPr>
              <w:t>伤害造成</w:t>
            </w:r>
            <w:r>
              <w:rPr>
                <w:rFonts w:hint="eastAsia" w:ascii="宋体" w:hAnsi="宋体" w:eastAsia="宋体" w:cs="宋体"/>
                <w:sz w:val="21"/>
                <w:szCs w:val="21"/>
                <w:lang w:eastAsia="zh-CN"/>
              </w:rPr>
              <w:t>的企业</w:t>
            </w:r>
            <w:r>
              <w:rPr>
                <w:rFonts w:hint="eastAsia" w:ascii="宋体" w:hAnsi="宋体" w:eastAsia="宋体" w:cs="宋体"/>
                <w:sz w:val="21"/>
                <w:szCs w:val="21"/>
              </w:rPr>
              <w:t>及他人人身伤害及经济损失的由</w:t>
            </w:r>
            <w:r>
              <w:rPr>
                <w:rFonts w:hint="eastAsia" w:ascii="宋体" w:hAnsi="宋体" w:eastAsia="宋体" w:cs="宋体"/>
                <w:sz w:val="21"/>
                <w:szCs w:val="21"/>
                <w:lang w:eastAsia="zh-CN"/>
              </w:rPr>
              <w:t>车辆</w:t>
            </w:r>
            <w:r>
              <w:rPr>
                <w:rFonts w:hint="eastAsia" w:ascii="宋体" w:hAnsi="宋体" w:eastAsia="宋体" w:cs="宋体"/>
                <w:sz w:val="21"/>
                <w:szCs w:val="21"/>
              </w:rPr>
              <w:t>所属员工自行</w:t>
            </w:r>
            <w:r>
              <w:rPr>
                <w:rFonts w:hint="eastAsia" w:ascii="宋体" w:hAnsi="宋体" w:eastAsia="宋体" w:cs="宋体"/>
                <w:sz w:val="21"/>
                <w:szCs w:val="21"/>
                <w:lang w:eastAsia="zh-CN"/>
              </w:rPr>
              <w:t>负责</w:t>
            </w:r>
            <w:r>
              <w:rPr>
                <w:rFonts w:hint="eastAsia" w:ascii="宋体" w:hAnsi="宋体" w:eastAsia="宋体" w:cs="宋体"/>
                <w:sz w:val="21"/>
                <w:szCs w:val="21"/>
              </w:rPr>
              <w:t>。</w:t>
            </w:r>
          </w:p>
          <w:p>
            <w:pPr>
              <w:numPr>
                <w:ilvl w:val="0"/>
                <w:numId w:val="0"/>
              </w:numPr>
              <w:spacing w:line="360" w:lineRule="auto"/>
              <w:ind w:left="210" w:leftChars="0"/>
              <w:rPr>
                <w:rFonts w:hint="eastAsia" w:ascii="宋体" w:hAnsi="宋体" w:eastAsia="宋体" w:cs="宋体"/>
                <w:sz w:val="21"/>
                <w:szCs w:val="21"/>
              </w:rPr>
            </w:pPr>
            <w:r>
              <w:rPr>
                <w:rFonts w:hint="eastAsia" w:ascii="宋体" w:hAnsi="宋体" w:cs="宋体"/>
                <w:sz w:val="21"/>
                <w:szCs w:val="21"/>
                <w:lang w:val="en-US" w:eastAsia="zh-CN"/>
              </w:rPr>
              <w:t>3.7</w:t>
            </w:r>
            <w:r>
              <w:rPr>
                <w:rFonts w:hint="eastAsia" w:ascii="宋体" w:hAnsi="宋体" w:eastAsia="宋体" w:cs="宋体"/>
                <w:sz w:val="21"/>
                <w:szCs w:val="21"/>
                <w:lang w:eastAsia="zh-CN"/>
              </w:rPr>
              <w:t>充电时间不得超过</w:t>
            </w:r>
            <w:r>
              <w:rPr>
                <w:rFonts w:hint="eastAsia" w:ascii="宋体" w:hAnsi="宋体" w:eastAsia="宋体" w:cs="宋体"/>
                <w:sz w:val="21"/>
                <w:szCs w:val="21"/>
                <w:lang w:val="en-US" w:eastAsia="zh-CN"/>
              </w:rPr>
              <w:t>8小时，</w:t>
            </w:r>
            <w:r>
              <w:rPr>
                <w:rFonts w:hint="eastAsia" w:ascii="宋体" w:hAnsi="宋体" w:eastAsia="宋体" w:cs="宋体"/>
                <w:sz w:val="21"/>
                <w:szCs w:val="21"/>
              </w:rPr>
              <w:t>充电处的</w:t>
            </w:r>
            <w:r>
              <w:rPr>
                <w:rFonts w:hint="eastAsia" w:ascii="宋体" w:hAnsi="宋体" w:eastAsia="宋体" w:cs="宋体"/>
                <w:sz w:val="21"/>
                <w:szCs w:val="21"/>
                <w:lang w:eastAsia="zh-CN"/>
              </w:rPr>
              <w:t>供</w:t>
            </w:r>
            <w:r>
              <w:rPr>
                <w:rFonts w:hint="eastAsia" w:ascii="宋体" w:hAnsi="宋体" w:eastAsia="宋体" w:cs="宋体"/>
                <w:sz w:val="21"/>
                <w:szCs w:val="21"/>
              </w:rPr>
              <w:t>电时间为</w:t>
            </w:r>
            <w:r>
              <w:rPr>
                <w:rFonts w:hint="eastAsia" w:ascii="宋体" w:hAnsi="宋体" w:eastAsia="宋体" w:cs="宋体"/>
                <w:sz w:val="21"/>
                <w:szCs w:val="21"/>
                <w:lang w:eastAsia="zh-CN"/>
              </w:rPr>
              <w:t>本厂上班时间内，下班后将关闭电源。</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textAlignment w:val="auto"/>
              <w:rPr>
                <w:rFonts w:hAnsi="宋体" w:cs="宋体"/>
                <w:color w:val="000000"/>
              </w:rPr>
            </w:pPr>
          </w:p>
        </w:tc>
      </w:tr>
    </w:tbl>
    <w:p>
      <w:pPr>
        <w:pStyle w:val="2"/>
      </w:pPr>
    </w:p>
    <w:tbl>
      <w:tblPr>
        <w:tblStyle w:val="21"/>
        <w:tblW w:w="514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9"/>
        <w:gridCol w:w="2772"/>
        <w:gridCol w:w="1120"/>
        <w:gridCol w:w="36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2591" w:type="pct"/>
            <w:gridSpan w:val="2"/>
            <w:vMerge w:val="restart"/>
          </w:tcPr>
          <w:p>
            <w:pPr>
              <w:spacing w:line="360" w:lineRule="exact"/>
              <w:ind w:left="840" w:hanging="840" w:hangingChars="400"/>
              <w:jc w:val="center"/>
              <w:rPr>
                <w:rFonts w:ascii="宋体" w:hAnsi="宋体"/>
                <w:szCs w:val="21"/>
              </w:rPr>
            </w:pPr>
            <w:r>
              <w:rPr>
                <w:rFonts w:hint="eastAsia" w:ascii="宋体" w:hAnsi="宋体"/>
                <w:szCs w:val="21"/>
              </w:rPr>
              <w:t>南充市高坪鞭炮厂</w:t>
            </w:r>
          </w:p>
          <w:p>
            <w:pPr>
              <w:spacing w:line="360" w:lineRule="exact"/>
              <w:ind w:left="840" w:hanging="840" w:hangingChars="400"/>
              <w:jc w:val="center"/>
              <w:rPr>
                <w:rFonts w:ascii="宋体" w:hAnsi="宋体"/>
                <w:szCs w:val="21"/>
              </w:rPr>
            </w:pPr>
            <w:r>
              <w:rPr>
                <w:rFonts w:hint="eastAsia" w:ascii="宋体" w:hAnsi="宋体"/>
                <w:szCs w:val="21"/>
              </w:rPr>
              <w:t>安全生产操作规程</w:t>
            </w:r>
          </w:p>
        </w:tc>
        <w:tc>
          <w:tcPr>
            <w:tcW w:w="2408" w:type="pct"/>
            <w:gridSpan w:val="2"/>
          </w:tcPr>
          <w:p>
            <w:pPr>
              <w:spacing w:line="360" w:lineRule="exact"/>
              <w:jc w:val="center"/>
              <w:rPr>
                <w:rFonts w:ascii="宋体" w:hAnsi="宋体"/>
                <w:szCs w:val="21"/>
              </w:rPr>
            </w:pPr>
            <w:r>
              <w:rPr>
                <w:rFonts w:hint="eastAsia" w:ascii="宋体" w:hAnsi="宋体"/>
                <w:szCs w:val="21"/>
              </w:rPr>
              <w:t>文件编号：</w:t>
            </w:r>
            <w:r>
              <w:rPr>
                <w:rFonts w:hint="default" w:ascii="宋体" w:hAnsi="宋体"/>
                <w:szCs w:val="21"/>
                <w:lang w:val="en-US"/>
              </w:rPr>
              <w:t xml:space="preserve"> CZGC202</w:t>
            </w:r>
            <w:r>
              <w:rPr>
                <w:rFonts w:hint="eastAsia" w:ascii="宋体" w:hAnsi="宋体"/>
                <w:szCs w:val="21"/>
                <w:lang w:val="en-US" w:eastAsia="zh-CN"/>
              </w:rPr>
              <w:t>2</w:t>
            </w:r>
            <w:r>
              <w:rPr>
                <w:rFonts w:hint="eastAsia" w:ascii="宋体" w:hAnsi="宋体"/>
                <w:szCs w:val="21"/>
              </w:rPr>
              <w:t>-0</w:t>
            </w:r>
            <w:r>
              <w:rPr>
                <w:rFonts w:hint="default" w:ascii="宋体" w:hAnsi="宋体"/>
                <w:szCs w:val="21"/>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2591" w:type="pct"/>
            <w:gridSpan w:val="2"/>
            <w:vMerge w:val="continue"/>
          </w:tcPr>
          <w:p>
            <w:pPr>
              <w:spacing w:line="360" w:lineRule="exact"/>
              <w:jc w:val="center"/>
              <w:rPr>
                <w:rFonts w:ascii="宋体" w:hAnsi="宋体"/>
                <w:szCs w:val="21"/>
              </w:rPr>
            </w:pPr>
          </w:p>
        </w:tc>
        <w:tc>
          <w:tcPr>
            <w:tcW w:w="2408" w:type="pct"/>
            <w:gridSpan w:val="2"/>
          </w:tcPr>
          <w:p>
            <w:pPr>
              <w:spacing w:line="360" w:lineRule="exact"/>
              <w:jc w:val="center"/>
              <w:rPr>
                <w:rFonts w:ascii="宋体" w:hAnsi="宋体"/>
                <w:szCs w:val="21"/>
              </w:rPr>
            </w:pPr>
            <w:r>
              <w:rPr>
                <w:rFonts w:hint="eastAsia" w:ascii="宋体" w:hAnsi="宋体"/>
                <w:szCs w:val="21"/>
              </w:rPr>
              <w:t>第1页  共1页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2591" w:type="pct"/>
            <w:gridSpan w:val="2"/>
            <w:vAlign w:val="center"/>
          </w:tcPr>
          <w:p>
            <w:pPr>
              <w:jc w:val="center"/>
              <w:rPr>
                <w:rFonts w:ascii="宋体" w:hAnsi="宋体" w:cs="宋体"/>
                <w:color w:val="000000"/>
                <w:szCs w:val="21"/>
              </w:rPr>
            </w:pPr>
            <w:r>
              <w:rPr>
                <w:rFonts w:hint="eastAsia" w:ascii="宋体" w:hAnsi="宋体"/>
                <w:szCs w:val="21"/>
                <w:lang w:val="en-US" w:eastAsia="zh-CN"/>
              </w:rPr>
              <w:t>包装材料库房</w:t>
            </w:r>
            <w:r>
              <w:rPr>
                <w:rFonts w:hint="eastAsia" w:ascii="宋体" w:hAnsi="宋体"/>
                <w:szCs w:val="21"/>
              </w:rPr>
              <w:t>安全操作规程</w:t>
            </w:r>
          </w:p>
        </w:tc>
        <w:tc>
          <w:tcPr>
            <w:tcW w:w="2408" w:type="pct"/>
            <w:gridSpan w:val="2"/>
            <w:vAlign w:val="center"/>
          </w:tcPr>
          <w:p>
            <w:pPr>
              <w:spacing w:line="360" w:lineRule="exact"/>
              <w:jc w:val="center"/>
              <w:rPr>
                <w:rFonts w:ascii="宋体" w:hAnsi="宋体"/>
                <w:szCs w:val="21"/>
              </w:rPr>
            </w:pPr>
            <w:r>
              <w:rPr>
                <w:rFonts w:hint="eastAsia" w:ascii="宋体" w:hAnsi="宋体"/>
                <w:szCs w:val="21"/>
              </w:rPr>
              <w:t>第1版</w:t>
            </w:r>
            <w:r>
              <w:rPr>
                <w:rFonts w:hint="eastAsia" w:ascii="宋体" w:hAnsi="宋体"/>
                <w:szCs w:val="21"/>
                <w:lang w:eastAsia="zh-CN"/>
              </w:rPr>
              <w:t>第</w:t>
            </w:r>
            <w:r>
              <w:rPr>
                <w:rFonts w:hint="eastAsia" w:ascii="宋体" w:hAnsi="宋体"/>
                <w:szCs w:val="21"/>
                <w:lang w:val="en-US" w:eastAsia="zh-CN"/>
              </w:rPr>
              <w:t>1</w:t>
            </w:r>
            <w:r>
              <w:rPr>
                <w:rFonts w:hint="eastAsia" w:ascii="宋体" w:hAnsi="宋体"/>
                <w:szCs w:val="21"/>
                <w:lang w:eastAsia="zh-CN"/>
              </w:rPr>
              <w:t>次</w:t>
            </w:r>
            <w:r>
              <w:rPr>
                <w:rFonts w:hint="eastAsia" w:ascii="宋体" w:hAnsi="宋体"/>
                <w:szCs w:val="21"/>
              </w:rPr>
              <w:t>修订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1205" w:type="pct"/>
          </w:tcPr>
          <w:p>
            <w:pPr>
              <w:spacing w:line="360" w:lineRule="exact"/>
              <w:jc w:val="center"/>
              <w:rPr>
                <w:rFonts w:ascii="宋体" w:hAnsi="宋体"/>
                <w:szCs w:val="21"/>
              </w:rPr>
            </w:pPr>
            <w:r>
              <w:rPr>
                <w:rFonts w:hint="eastAsia" w:ascii="宋体" w:hAnsi="宋体"/>
                <w:szCs w:val="21"/>
              </w:rPr>
              <w:t>修订时间</w:t>
            </w:r>
          </w:p>
        </w:tc>
        <w:tc>
          <w:tcPr>
            <w:tcW w:w="1386" w:type="pct"/>
          </w:tcPr>
          <w:p>
            <w:pPr>
              <w:rPr>
                <w:rFonts w:hint="eastAsia" w:eastAsia="宋体"/>
                <w:szCs w:val="21"/>
                <w:lang w:eastAsia="zh-CN"/>
              </w:rPr>
            </w:pPr>
            <w:r>
              <w:rPr>
                <w:rFonts w:hint="eastAsia" w:ascii="宋体" w:hAnsi="宋体"/>
                <w:szCs w:val="21"/>
                <w:lang w:eastAsia="zh-CN"/>
              </w:rPr>
              <w:t>202</w:t>
            </w:r>
            <w:r>
              <w:rPr>
                <w:rFonts w:hint="eastAsia" w:ascii="宋体" w:hAnsi="宋体"/>
                <w:szCs w:val="21"/>
                <w:lang w:val="en-US" w:eastAsia="zh-CN"/>
              </w:rPr>
              <w:t>2</w:t>
            </w:r>
            <w:r>
              <w:rPr>
                <w:rFonts w:hint="eastAsia" w:ascii="宋体" w:hAnsi="宋体"/>
                <w:szCs w:val="21"/>
                <w:lang w:eastAsia="zh-CN"/>
              </w:rPr>
              <w:t>年</w:t>
            </w:r>
            <w:r>
              <w:rPr>
                <w:rFonts w:hint="eastAsia" w:ascii="宋体" w:hAnsi="宋体"/>
                <w:szCs w:val="21"/>
                <w:lang w:val="en-US" w:eastAsia="zh-CN"/>
              </w:rPr>
              <w:t>3</w:t>
            </w:r>
            <w:r>
              <w:rPr>
                <w:rFonts w:hint="eastAsia" w:ascii="宋体" w:hAnsi="宋体"/>
                <w:szCs w:val="21"/>
                <w:lang w:eastAsia="zh-CN"/>
              </w:rPr>
              <w:t>月</w:t>
            </w:r>
            <w:r>
              <w:rPr>
                <w:rFonts w:hint="eastAsia" w:ascii="宋体" w:hAnsi="宋体"/>
                <w:szCs w:val="21"/>
                <w:lang w:val="en-US" w:eastAsia="zh-CN"/>
              </w:rPr>
              <w:t>20</w:t>
            </w:r>
            <w:r>
              <w:rPr>
                <w:rFonts w:hint="eastAsia" w:ascii="宋体" w:hAnsi="宋体"/>
                <w:szCs w:val="21"/>
                <w:lang w:eastAsia="zh-CN"/>
              </w:rPr>
              <w:t>日</w:t>
            </w:r>
          </w:p>
        </w:tc>
        <w:tc>
          <w:tcPr>
            <w:tcW w:w="560" w:type="pct"/>
          </w:tcPr>
          <w:p>
            <w:pPr>
              <w:spacing w:line="360" w:lineRule="exact"/>
              <w:jc w:val="center"/>
              <w:rPr>
                <w:rFonts w:ascii="宋体" w:hAnsi="宋体"/>
                <w:szCs w:val="21"/>
              </w:rPr>
            </w:pPr>
            <w:r>
              <w:rPr>
                <w:rFonts w:hint="eastAsia" w:ascii="宋体" w:hAnsi="宋体"/>
                <w:szCs w:val="21"/>
              </w:rPr>
              <w:t>审订时间</w:t>
            </w:r>
          </w:p>
        </w:tc>
        <w:tc>
          <w:tcPr>
            <w:tcW w:w="1847" w:type="pct"/>
          </w:tcPr>
          <w:p>
            <w:pPr>
              <w:spacing w:line="360" w:lineRule="exact"/>
              <w:jc w:val="center"/>
              <w:rPr>
                <w:rFonts w:hint="eastAsia" w:ascii="宋体" w:hAnsi="宋体" w:eastAsia="宋体"/>
                <w:szCs w:val="21"/>
                <w:lang w:eastAsia="zh-CN"/>
              </w:rPr>
            </w:pPr>
            <w:r>
              <w:rPr>
                <w:rFonts w:hint="eastAsia" w:ascii="宋体" w:hAnsi="宋体"/>
                <w:szCs w:val="21"/>
                <w:lang w:eastAsia="zh-CN"/>
              </w:rPr>
              <w:t>202</w:t>
            </w:r>
            <w:r>
              <w:rPr>
                <w:rFonts w:hint="eastAsia" w:ascii="宋体" w:hAnsi="宋体"/>
                <w:szCs w:val="21"/>
                <w:lang w:val="en-US" w:eastAsia="zh-CN"/>
              </w:rPr>
              <w:t>2</w:t>
            </w:r>
            <w:r>
              <w:rPr>
                <w:rFonts w:hint="eastAsia" w:ascii="宋体" w:hAnsi="宋体"/>
                <w:szCs w:val="21"/>
                <w:lang w:eastAsia="zh-CN"/>
              </w:rPr>
              <w:t>年</w:t>
            </w:r>
            <w:r>
              <w:rPr>
                <w:rFonts w:hint="eastAsia" w:ascii="宋体" w:hAnsi="宋体"/>
                <w:szCs w:val="21"/>
                <w:lang w:val="en-US" w:eastAsia="zh-CN"/>
              </w:rPr>
              <w:t>4</w:t>
            </w:r>
            <w:r>
              <w:rPr>
                <w:rFonts w:hint="eastAsia" w:ascii="宋体" w:hAnsi="宋体"/>
                <w:szCs w:val="21"/>
                <w:lang w:eastAsia="zh-CN"/>
              </w:rPr>
              <w:t>月</w:t>
            </w:r>
            <w:r>
              <w:rPr>
                <w:rFonts w:hint="eastAsia" w:ascii="宋体" w:hAnsi="宋体"/>
                <w:szCs w:val="21"/>
                <w:lang w:val="en-US" w:eastAsia="zh-CN"/>
              </w:rPr>
              <w:t>10</w:t>
            </w:r>
            <w:r>
              <w:rPr>
                <w:rFonts w:hint="eastAsia" w:ascii="宋体" w:hAnsi="宋体"/>
                <w:szCs w:val="21"/>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3" w:hRule="atLeast"/>
          <w:jc w:val="center"/>
        </w:trPr>
        <w:tc>
          <w:tcPr>
            <w:tcW w:w="1205" w:type="pct"/>
          </w:tcPr>
          <w:p>
            <w:pPr>
              <w:spacing w:line="360" w:lineRule="exact"/>
              <w:jc w:val="center"/>
              <w:rPr>
                <w:rFonts w:ascii="宋体" w:hAnsi="宋体"/>
                <w:szCs w:val="21"/>
              </w:rPr>
            </w:pPr>
            <w:r>
              <w:rPr>
                <w:rFonts w:hint="eastAsia" w:ascii="宋体" w:hAnsi="宋体"/>
                <w:szCs w:val="21"/>
              </w:rPr>
              <w:t>颁布时间</w:t>
            </w:r>
          </w:p>
        </w:tc>
        <w:tc>
          <w:tcPr>
            <w:tcW w:w="1386" w:type="pct"/>
          </w:tcPr>
          <w:p>
            <w:pPr>
              <w:rPr>
                <w:rFonts w:hint="eastAsia" w:eastAsia="宋体"/>
                <w:szCs w:val="21"/>
                <w:lang w:eastAsia="zh-CN"/>
              </w:rPr>
            </w:pPr>
            <w:r>
              <w:rPr>
                <w:rFonts w:hint="eastAsia" w:ascii="宋体" w:hAnsi="宋体"/>
                <w:szCs w:val="21"/>
                <w:lang w:eastAsia="zh-CN"/>
              </w:rPr>
              <w:t>202</w:t>
            </w:r>
            <w:r>
              <w:rPr>
                <w:rFonts w:hint="eastAsia" w:ascii="宋体" w:hAnsi="宋体"/>
                <w:szCs w:val="21"/>
                <w:lang w:val="en-US" w:eastAsia="zh-CN"/>
              </w:rPr>
              <w:t>2</w:t>
            </w:r>
            <w:r>
              <w:rPr>
                <w:rFonts w:hint="eastAsia" w:ascii="宋体" w:hAnsi="宋体"/>
                <w:szCs w:val="21"/>
                <w:lang w:eastAsia="zh-CN"/>
              </w:rPr>
              <w:t>年</w:t>
            </w:r>
            <w:r>
              <w:rPr>
                <w:rFonts w:hint="eastAsia" w:ascii="宋体" w:hAnsi="宋体"/>
                <w:szCs w:val="21"/>
                <w:lang w:val="en-US" w:eastAsia="zh-CN"/>
              </w:rPr>
              <w:t>4</w:t>
            </w:r>
            <w:r>
              <w:rPr>
                <w:rFonts w:hint="eastAsia" w:ascii="宋体" w:hAnsi="宋体"/>
                <w:szCs w:val="21"/>
                <w:lang w:eastAsia="zh-CN"/>
              </w:rPr>
              <w:t>月</w:t>
            </w:r>
            <w:r>
              <w:rPr>
                <w:rFonts w:hint="eastAsia" w:ascii="宋体" w:hAnsi="宋体"/>
                <w:szCs w:val="21"/>
                <w:lang w:val="en-US" w:eastAsia="zh-CN"/>
              </w:rPr>
              <w:t>13</w:t>
            </w:r>
            <w:r>
              <w:rPr>
                <w:rFonts w:hint="eastAsia" w:ascii="宋体" w:hAnsi="宋体"/>
                <w:szCs w:val="21"/>
                <w:lang w:eastAsia="zh-CN"/>
              </w:rPr>
              <w:t>日</w:t>
            </w:r>
          </w:p>
        </w:tc>
        <w:tc>
          <w:tcPr>
            <w:tcW w:w="560" w:type="pct"/>
          </w:tcPr>
          <w:p>
            <w:pPr>
              <w:spacing w:line="360" w:lineRule="exact"/>
              <w:rPr>
                <w:rFonts w:ascii="宋体" w:hAnsi="宋体"/>
                <w:szCs w:val="21"/>
              </w:rPr>
            </w:pPr>
            <w:r>
              <w:rPr>
                <w:rFonts w:hint="eastAsia" w:ascii="宋体" w:hAnsi="宋体"/>
                <w:szCs w:val="21"/>
              </w:rPr>
              <w:t>批准人</w:t>
            </w:r>
          </w:p>
        </w:tc>
        <w:tc>
          <w:tcPr>
            <w:tcW w:w="1847" w:type="pct"/>
          </w:tcPr>
          <w:p>
            <w:pPr>
              <w:spacing w:line="360" w:lineRule="exact"/>
              <w:jc w:val="center"/>
              <w:rPr>
                <w:rFonts w:ascii="宋体" w:hAnsi="宋体"/>
                <w:szCs w:val="21"/>
              </w:rPr>
            </w:pPr>
            <w:r>
              <w:rPr>
                <w:rFonts w:hint="eastAsia" w:ascii="宋体" w:hAnsi="宋体"/>
                <w:szCs w:val="21"/>
              </w:rPr>
              <w:t>张蕊蕊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95" w:hRule="atLeast"/>
          <w:jc w:val="center"/>
        </w:trPr>
        <w:tc>
          <w:tcPr>
            <w:tcW w:w="5000" w:type="pct"/>
            <w:gridSpan w:val="4"/>
          </w:tcPr>
          <w:p>
            <w:pPr>
              <w:numPr>
                <w:ilvl w:val="0"/>
                <w:numId w:val="0"/>
              </w:numPr>
              <w:spacing w:line="360" w:lineRule="auto"/>
              <w:rPr>
                <w:rFonts w:hint="eastAsia" w:ascii="宋体" w:hAnsi="宋体" w:cs="宋体"/>
                <w:sz w:val="21"/>
                <w:szCs w:val="21"/>
                <w:lang w:val="en-US" w:eastAsia="zh-CN"/>
              </w:rPr>
            </w:pPr>
            <w:r>
              <w:rPr>
                <w:rFonts w:hint="eastAsia" w:ascii="宋体" w:hAnsi="宋体" w:cs="宋体"/>
                <w:sz w:val="21"/>
                <w:szCs w:val="21"/>
                <w:lang w:val="en-US" w:eastAsia="zh-CN"/>
              </w:rPr>
              <w:t>1.目的</w:t>
            </w:r>
          </w:p>
          <w:p>
            <w:pPr>
              <w:numPr>
                <w:ilvl w:val="0"/>
                <w:numId w:val="0"/>
              </w:numPr>
              <w:spacing w:line="360" w:lineRule="auto"/>
              <w:ind w:firstLine="420" w:firstLineChars="200"/>
              <w:rPr>
                <w:rFonts w:hint="default" w:ascii="宋体" w:hAnsi="宋体" w:eastAsia="宋体" w:cs="宋体"/>
                <w:sz w:val="21"/>
                <w:szCs w:val="21"/>
                <w:lang w:val="en-US" w:eastAsia="zh-CN"/>
              </w:rPr>
            </w:pPr>
            <w:r>
              <w:rPr>
                <w:rFonts w:hint="eastAsia" w:ascii="宋体" w:hAnsi="宋体" w:eastAsia="宋体" w:cs="宋体"/>
                <w:sz w:val="21"/>
                <w:szCs w:val="21"/>
              </w:rPr>
              <w:t>为</w:t>
            </w:r>
            <w:r>
              <w:rPr>
                <w:rFonts w:hint="eastAsia" w:ascii="宋体" w:hAnsi="宋体" w:eastAsia="宋体" w:cs="宋体"/>
                <w:sz w:val="21"/>
                <w:szCs w:val="21"/>
                <w:lang w:eastAsia="zh-CN"/>
              </w:rPr>
              <w:t>规范本厂</w:t>
            </w:r>
            <w:r>
              <w:rPr>
                <w:rFonts w:hint="eastAsia" w:ascii="宋体" w:hAnsi="宋体" w:eastAsia="宋体" w:cs="宋体"/>
                <w:sz w:val="21"/>
                <w:szCs w:val="21"/>
              </w:rPr>
              <w:t>员工</w:t>
            </w:r>
            <w:r>
              <w:rPr>
                <w:rFonts w:hint="eastAsia" w:ascii="宋体" w:hAnsi="宋体" w:cs="宋体"/>
                <w:sz w:val="21"/>
                <w:szCs w:val="21"/>
                <w:lang w:val="en-US" w:eastAsia="zh-CN"/>
              </w:rPr>
              <w:t>对包装材料库的管理。</w:t>
            </w:r>
          </w:p>
          <w:p>
            <w:pPr>
              <w:pStyle w:val="2"/>
              <w:rPr>
                <w:rFonts w:hint="default" w:ascii="宋体" w:hAnsi="宋体" w:cs="宋体"/>
                <w:sz w:val="21"/>
                <w:szCs w:val="21"/>
                <w:lang w:val="en-US" w:eastAsia="zh-CN"/>
              </w:rPr>
            </w:pPr>
            <w:r>
              <w:rPr>
                <w:rFonts w:hint="eastAsia" w:ascii="宋体" w:hAnsi="宋体" w:cs="宋体"/>
                <w:sz w:val="21"/>
                <w:szCs w:val="21"/>
                <w:lang w:val="en-US" w:eastAsia="zh-CN"/>
              </w:rPr>
              <w:t>2.适用范围</w:t>
            </w:r>
          </w:p>
          <w:p>
            <w:pPr>
              <w:spacing w:line="360" w:lineRule="exact"/>
              <w:ind w:firstLine="420" w:firstLineChars="200"/>
              <w:rPr>
                <w:rFonts w:hint="eastAsia" w:hAnsi="宋体" w:cs="宋体"/>
                <w:color w:val="000000"/>
                <w:szCs w:val="21"/>
              </w:rPr>
            </w:pPr>
            <w:r>
              <w:rPr>
                <w:rFonts w:hint="eastAsia" w:hAnsi="宋体" w:cs="宋体"/>
                <w:color w:val="000000"/>
                <w:szCs w:val="21"/>
              </w:rPr>
              <w:t>适用于本</w:t>
            </w:r>
            <w:r>
              <w:rPr>
                <w:rFonts w:hint="eastAsia" w:ascii="宋体" w:hAnsi="宋体"/>
                <w:szCs w:val="21"/>
              </w:rPr>
              <w:t>厂</w:t>
            </w:r>
            <w:r>
              <w:rPr>
                <w:rFonts w:hint="eastAsia" w:ascii="宋体" w:cs="宋体"/>
                <w:szCs w:val="21"/>
                <w:lang w:val="en-US" w:eastAsia="zh-CN"/>
              </w:rPr>
              <w:t>包装材料库</w:t>
            </w:r>
            <w:r>
              <w:rPr>
                <w:rFonts w:hint="eastAsia" w:hAnsi="宋体" w:cs="宋体"/>
                <w:color w:val="000000"/>
                <w:szCs w:val="21"/>
              </w:rPr>
              <w:t>。</w:t>
            </w:r>
          </w:p>
          <w:p>
            <w:pPr>
              <w:pStyle w:val="2"/>
              <w:rPr>
                <w:rFonts w:hint="default" w:eastAsia="宋体"/>
                <w:lang w:val="en-US" w:eastAsia="zh-CN"/>
              </w:rPr>
            </w:pPr>
            <w:r>
              <w:rPr>
                <w:rFonts w:hint="eastAsia" w:hAnsi="宋体" w:cs="宋体"/>
                <w:color w:val="000000"/>
                <w:szCs w:val="21"/>
                <w:lang w:val="en-US" w:eastAsia="zh-CN"/>
              </w:rPr>
              <w:t>3.内容</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3.1安全管理人员罗春菊为本库房安全责任人。</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int="eastAsia" w:ascii="宋体" w:hAnsi="宋体" w:cs="宋体"/>
                <w:sz w:val="21"/>
                <w:szCs w:val="21"/>
                <w:lang w:val="en-US" w:eastAsia="zh-CN"/>
              </w:rPr>
            </w:pPr>
            <w:r>
              <w:rPr>
                <w:rFonts w:hint="eastAsia" w:ascii="宋体" w:hAnsi="宋体" w:cs="宋体"/>
                <w:sz w:val="21"/>
                <w:szCs w:val="21"/>
                <w:lang w:val="en-US" w:eastAsia="zh-CN"/>
              </w:rPr>
              <w:t>3.2工作人员进入库房前需穿戴好劳保用品。</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int="eastAsia" w:ascii="宋体" w:hAnsi="宋体" w:eastAsia="宋体" w:cs="宋体"/>
                <w:sz w:val="21"/>
                <w:szCs w:val="21"/>
              </w:rPr>
            </w:pPr>
            <w:r>
              <w:rPr>
                <w:rFonts w:hint="eastAsia" w:ascii="宋体" w:hAnsi="宋体" w:cs="宋体"/>
                <w:sz w:val="21"/>
                <w:szCs w:val="21"/>
                <w:lang w:val="en-US" w:eastAsia="zh-CN"/>
              </w:rPr>
              <w:t>3.3</w:t>
            </w:r>
            <w:r>
              <w:rPr>
                <w:rFonts w:hint="eastAsia" w:ascii="宋体" w:hAnsi="宋体" w:eastAsia="宋体" w:cs="宋体"/>
                <w:sz w:val="21"/>
                <w:szCs w:val="21"/>
              </w:rPr>
              <w:t>严禁带火源、火种进入</w:t>
            </w:r>
            <w:r>
              <w:rPr>
                <w:rFonts w:hint="eastAsia" w:ascii="宋体" w:hAnsi="宋体" w:cs="宋体"/>
                <w:sz w:val="21"/>
                <w:szCs w:val="21"/>
                <w:lang w:val="en-US" w:eastAsia="zh-CN"/>
              </w:rPr>
              <w:t>包装材料</w:t>
            </w:r>
            <w:r>
              <w:rPr>
                <w:rFonts w:hint="eastAsia" w:ascii="宋体" w:hAnsi="宋体" w:eastAsia="宋体" w:cs="宋体"/>
                <w:sz w:val="21"/>
                <w:szCs w:val="21"/>
              </w:rPr>
              <w:t>库</w:t>
            </w:r>
            <w:r>
              <w:rPr>
                <w:rFonts w:hint="eastAsia" w:ascii="宋体" w:hAnsi="宋体" w:cs="宋体"/>
                <w:sz w:val="21"/>
                <w:szCs w:val="21"/>
                <w:lang w:val="en-US" w:eastAsia="zh-CN"/>
              </w:rPr>
              <w:t>房</w:t>
            </w:r>
            <w:r>
              <w:rPr>
                <w:rFonts w:hint="eastAsia" w:ascii="宋体" w:hAnsi="宋体" w:eastAsia="宋体" w:cs="宋体"/>
                <w:sz w:val="21"/>
                <w:szCs w:val="21"/>
              </w:rPr>
              <w:t>。</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int="eastAsia" w:ascii="宋体" w:hAnsi="宋体" w:eastAsia="宋体" w:cs="宋体"/>
                <w:sz w:val="21"/>
                <w:szCs w:val="21"/>
              </w:rPr>
            </w:pPr>
            <w:r>
              <w:rPr>
                <w:rFonts w:hint="eastAsia" w:ascii="宋体" w:hAnsi="宋体" w:cs="宋体"/>
                <w:sz w:val="21"/>
                <w:szCs w:val="21"/>
                <w:lang w:val="en-US" w:eastAsia="zh-CN"/>
              </w:rPr>
              <w:t>3.4专库专用，纸皮分类堆码</w:t>
            </w:r>
            <w:r>
              <w:rPr>
                <w:rFonts w:hint="eastAsia" w:ascii="宋体" w:hAnsi="宋体" w:eastAsia="宋体" w:cs="宋体"/>
                <w:sz w:val="21"/>
                <w:szCs w:val="21"/>
              </w:rPr>
              <w:t>整齐</w:t>
            </w:r>
            <w:r>
              <w:rPr>
                <w:rFonts w:hint="eastAsia" w:ascii="宋体" w:hAnsi="宋体" w:cs="宋体"/>
                <w:sz w:val="21"/>
                <w:szCs w:val="21"/>
                <w:lang w:eastAsia="zh-CN"/>
              </w:rPr>
              <w:t>，</w:t>
            </w:r>
            <w:r>
              <w:rPr>
                <w:rFonts w:hint="eastAsia" w:ascii="宋体" w:hAnsi="宋体" w:eastAsia="宋体" w:cs="宋体"/>
                <w:sz w:val="21"/>
                <w:szCs w:val="21"/>
              </w:rPr>
              <w:t>稳固不歪斜，类别清楚。</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int="eastAsia" w:ascii="宋体" w:hAnsi="宋体" w:eastAsia="宋体" w:cs="宋体"/>
                <w:sz w:val="21"/>
                <w:szCs w:val="21"/>
              </w:rPr>
            </w:pPr>
            <w:r>
              <w:rPr>
                <w:rFonts w:hint="eastAsia" w:ascii="宋体" w:hAnsi="宋体" w:cs="宋体"/>
                <w:sz w:val="21"/>
                <w:szCs w:val="21"/>
                <w:lang w:val="en-US" w:eastAsia="zh-CN"/>
              </w:rPr>
              <w:t>3.5责任人要</w:t>
            </w:r>
            <w:r>
              <w:rPr>
                <w:rFonts w:hint="eastAsia" w:ascii="宋体" w:hAnsi="宋体" w:eastAsia="宋体" w:cs="宋体"/>
                <w:sz w:val="21"/>
                <w:szCs w:val="21"/>
              </w:rPr>
              <w:t>认真负责严格把好入库</w:t>
            </w:r>
            <w:r>
              <w:rPr>
                <w:rFonts w:hint="eastAsia" w:ascii="宋体" w:hAnsi="宋体" w:cs="宋体"/>
                <w:sz w:val="21"/>
                <w:szCs w:val="21"/>
                <w:lang w:val="en-US" w:eastAsia="zh-CN"/>
              </w:rPr>
              <w:t>数量、质量</w:t>
            </w:r>
            <w:r>
              <w:rPr>
                <w:rFonts w:hint="eastAsia" w:ascii="宋体" w:hAnsi="宋体" w:eastAsia="宋体" w:cs="宋体"/>
                <w:sz w:val="21"/>
                <w:szCs w:val="21"/>
              </w:rPr>
              <w:t>验收关。</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int="eastAsia" w:ascii="宋体" w:hAnsi="宋体" w:eastAsia="宋体" w:cs="宋体"/>
                <w:sz w:val="21"/>
                <w:szCs w:val="21"/>
              </w:rPr>
            </w:pPr>
            <w:r>
              <w:rPr>
                <w:rFonts w:hint="eastAsia" w:ascii="宋体" w:hAnsi="宋体" w:cs="宋体"/>
                <w:sz w:val="21"/>
                <w:szCs w:val="21"/>
                <w:lang w:val="en-US" w:eastAsia="zh-CN"/>
              </w:rPr>
              <w:t>3.6</w:t>
            </w:r>
            <w:r>
              <w:rPr>
                <w:rFonts w:hint="eastAsia" w:ascii="宋体" w:hAnsi="宋体" w:eastAsia="宋体" w:cs="宋体"/>
                <w:sz w:val="21"/>
                <w:szCs w:val="21"/>
              </w:rPr>
              <w:t>短缺纸品</w:t>
            </w:r>
            <w:r>
              <w:rPr>
                <w:rFonts w:hint="eastAsia" w:ascii="宋体" w:hAnsi="宋体" w:cs="宋体"/>
                <w:sz w:val="21"/>
                <w:szCs w:val="21"/>
                <w:lang w:val="en-US" w:eastAsia="zh-CN"/>
              </w:rPr>
              <w:t>要</w:t>
            </w:r>
            <w:r>
              <w:rPr>
                <w:rFonts w:hint="eastAsia" w:ascii="宋体" w:hAnsi="宋体" w:eastAsia="宋体" w:cs="宋体"/>
                <w:sz w:val="21"/>
                <w:szCs w:val="21"/>
              </w:rPr>
              <w:t>提前报</w:t>
            </w:r>
            <w:r>
              <w:rPr>
                <w:rFonts w:hint="eastAsia" w:ascii="宋体" w:hAnsi="宋体" w:cs="宋体"/>
                <w:sz w:val="21"/>
                <w:szCs w:val="21"/>
                <w:lang w:val="en-US" w:eastAsia="zh-CN"/>
              </w:rPr>
              <w:t>计划</w:t>
            </w:r>
            <w:r>
              <w:rPr>
                <w:rFonts w:hint="eastAsia" w:ascii="宋体" w:hAnsi="宋体" w:eastAsia="宋体" w:cs="宋体"/>
                <w:sz w:val="21"/>
                <w:szCs w:val="21"/>
              </w:rPr>
              <w:t>，</w:t>
            </w:r>
            <w:r>
              <w:rPr>
                <w:rFonts w:hint="eastAsia" w:ascii="宋体" w:hAnsi="宋体" w:cs="宋体"/>
                <w:sz w:val="21"/>
                <w:szCs w:val="21"/>
                <w:lang w:val="en-US" w:eastAsia="zh-CN"/>
              </w:rPr>
              <w:t>方便</w:t>
            </w:r>
            <w:r>
              <w:rPr>
                <w:rFonts w:hint="eastAsia" w:ascii="宋体" w:hAnsi="宋体" w:eastAsia="宋体" w:cs="宋体"/>
                <w:sz w:val="21"/>
                <w:szCs w:val="21"/>
              </w:rPr>
              <w:t>及时</w:t>
            </w:r>
            <w:r>
              <w:rPr>
                <w:rFonts w:hint="eastAsia" w:ascii="宋体" w:hAnsi="宋体" w:cs="宋体"/>
                <w:sz w:val="21"/>
                <w:szCs w:val="21"/>
                <w:lang w:val="en-US" w:eastAsia="zh-CN"/>
              </w:rPr>
              <w:t>采</w:t>
            </w:r>
            <w:r>
              <w:rPr>
                <w:rFonts w:hint="eastAsia" w:ascii="宋体" w:hAnsi="宋体" w:eastAsia="宋体" w:cs="宋体"/>
                <w:sz w:val="21"/>
                <w:szCs w:val="21"/>
              </w:rPr>
              <w:t>购，确保</w:t>
            </w:r>
            <w:r>
              <w:rPr>
                <w:rFonts w:hint="eastAsia" w:ascii="宋体" w:hAnsi="宋体" w:cs="宋体"/>
                <w:sz w:val="21"/>
                <w:szCs w:val="21"/>
                <w:lang w:val="en-US" w:eastAsia="zh-CN"/>
              </w:rPr>
              <w:t>正常</w:t>
            </w:r>
            <w:r>
              <w:rPr>
                <w:rFonts w:hint="eastAsia" w:ascii="宋体" w:hAnsi="宋体" w:eastAsia="宋体" w:cs="宋体"/>
                <w:sz w:val="21"/>
                <w:szCs w:val="21"/>
              </w:rPr>
              <w:t>生产。</w:t>
            </w:r>
          </w:p>
          <w:p>
            <w:pPr>
              <w:pStyle w:val="2"/>
              <w:ind w:firstLine="210" w:firstLineChars="100"/>
              <w:rPr>
                <w:rFonts w:hint="default" w:eastAsia="宋体"/>
                <w:lang w:val="en-US" w:eastAsia="zh-CN"/>
              </w:rPr>
            </w:pPr>
            <w:r>
              <w:rPr>
                <w:rFonts w:hint="eastAsia" w:ascii="宋体" w:hAnsi="宋体" w:cs="宋体"/>
                <w:sz w:val="21"/>
                <w:szCs w:val="21"/>
                <w:lang w:val="en-US" w:eastAsia="zh-CN"/>
              </w:rPr>
              <w:t>3.7做好防火、防漏、防潮等措施。</w:t>
            </w:r>
          </w:p>
          <w:p>
            <w:pPr>
              <w:keepNext w:val="0"/>
              <w:keepLines w:val="0"/>
              <w:pageBreakBefore w:val="0"/>
              <w:widowControl/>
              <w:numPr>
                <w:ilvl w:val="0"/>
                <w:numId w:val="0"/>
              </w:numPr>
              <w:kinsoku/>
              <w:wordWrap/>
              <w:overflowPunct/>
              <w:topLinePunct w:val="0"/>
              <w:autoSpaceDE/>
              <w:autoSpaceDN/>
              <w:bidi w:val="0"/>
              <w:adjustRightInd/>
              <w:snapToGrid/>
              <w:spacing w:line="312" w:lineRule="auto"/>
              <w:ind w:leftChars="0" w:firstLine="210" w:firstLineChars="100"/>
              <w:textAlignment w:val="auto"/>
              <w:rPr>
                <w:rFonts w:hAnsi="宋体" w:cs="宋体"/>
                <w:color w:val="000000"/>
              </w:rPr>
            </w:pPr>
            <w:r>
              <w:rPr>
                <w:rFonts w:hint="eastAsia" w:ascii="宋体" w:hAnsi="宋体" w:cs="宋体"/>
                <w:sz w:val="21"/>
                <w:szCs w:val="21"/>
                <w:lang w:val="en-US" w:eastAsia="zh-CN"/>
              </w:rPr>
              <w:t>3.8</w:t>
            </w:r>
            <w:r>
              <w:rPr>
                <w:rFonts w:hint="eastAsia" w:ascii="宋体" w:hAnsi="宋体" w:eastAsia="宋体" w:cs="宋体"/>
                <w:sz w:val="21"/>
                <w:szCs w:val="21"/>
              </w:rPr>
              <w:t>随时保持库</w:t>
            </w:r>
            <w:r>
              <w:rPr>
                <w:rFonts w:hint="eastAsia" w:ascii="宋体" w:hAnsi="宋体" w:cs="宋体"/>
                <w:sz w:val="21"/>
                <w:szCs w:val="21"/>
                <w:lang w:val="en-US" w:eastAsia="zh-CN"/>
              </w:rPr>
              <w:t>房</w:t>
            </w:r>
            <w:r>
              <w:rPr>
                <w:rFonts w:hint="eastAsia" w:ascii="宋体" w:hAnsi="宋体" w:eastAsia="宋体" w:cs="宋体"/>
                <w:sz w:val="21"/>
                <w:szCs w:val="21"/>
              </w:rPr>
              <w:t>内</w:t>
            </w:r>
            <w:r>
              <w:rPr>
                <w:rFonts w:hint="eastAsia" w:ascii="宋体" w:hAnsi="宋体" w:cs="宋体"/>
                <w:sz w:val="21"/>
                <w:szCs w:val="21"/>
                <w:lang w:val="en-US" w:eastAsia="zh-CN"/>
              </w:rPr>
              <w:t>整齐、干净、卫生</w:t>
            </w:r>
            <w:r>
              <w:rPr>
                <w:rFonts w:hint="eastAsia" w:ascii="宋体" w:hAnsi="宋体" w:eastAsia="宋体" w:cs="宋体"/>
                <w:sz w:val="21"/>
                <w:szCs w:val="21"/>
              </w:rPr>
              <w:t>。</w:t>
            </w:r>
          </w:p>
        </w:tc>
      </w:tr>
    </w:tbl>
    <w:p>
      <w:pPr>
        <w:pStyle w:val="2"/>
      </w:pPr>
    </w:p>
    <w:sectPr>
      <w:footerReference r:id="rId4" w:type="default"/>
      <w:pgSz w:w="11906" w:h="16838"/>
      <w:pgMar w:top="1440" w:right="1133" w:bottom="1276" w:left="1276"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1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rPr>
                              <w:rFonts w:hint="eastAsia" w:eastAsia="宋体"/>
                              <w:lang w:eastAsia="zh-CN"/>
                            </w:rPr>
                          </w:pPr>
                          <w:r>
                            <w:rPr>
                              <w:rFonts w:hint="eastAsia"/>
                              <w:lang w:eastAsia="zh-CN"/>
                            </w:rPr>
                            <w:t xml:space="preserve">第 </w:t>
                          </w:r>
                          <w:r>
                            <w:rPr>
                              <w:rFonts w:hint="eastAsia"/>
                              <w:lang w:val="en-US" w:eastAsia="zh-CN"/>
                            </w:rPr>
                            <w:t>21</w:t>
                          </w:r>
                          <w:r>
                            <w:rPr>
                              <w:rFonts w:hint="eastAsia"/>
                              <w:lang w:eastAsia="zh-CN"/>
                            </w:rPr>
                            <w:t>页</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第 </w:t>
                    </w:r>
                    <w:r>
                      <w:rPr>
                        <w:rFonts w:hint="eastAsia"/>
                        <w:lang w:val="en-US" w:eastAsia="zh-CN"/>
                      </w:rPr>
                      <w:t>21</w:t>
                    </w:r>
                    <w:r>
                      <w:rPr>
                        <w:rFonts w:hint="eastAsia"/>
                        <w:lang w:eastAsia="zh-CN"/>
                      </w:rPr>
                      <w:t>页</w:t>
                    </w:r>
                  </w:p>
                </w:txbxContent>
              </v:textbox>
            </v:shape>
          </w:pict>
        </mc:Fallback>
      </mc:AlternateContent>
    </w:r>
  </w:p>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01E861"/>
    <w:multiLevelType w:val="singleLevel"/>
    <w:tmpl w:val="9501E861"/>
    <w:lvl w:ilvl="0" w:tentative="0">
      <w:start w:val="1"/>
      <w:numFmt w:val="decimal"/>
      <w:lvlText w:val="%1."/>
      <w:lvlJc w:val="left"/>
      <w:pPr>
        <w:tabs>
          <w:tab w:val="left" w:pos="312"/>
        </w:tabs>
      </w:pPr>
    </w:lvl>
  </w:abstractNum>
  <w:abstractNum w:abstractNumId="1">
    <w:nsid w:val="0C5C5F46"/>
    <w:multiLevelType w:val="multilevel"/>
    <w:tmpl w:val="0C5C5F46"/>
    <w:lvl w:ilvl="0" w:tentative="0">
      <w:start w:val="1"/>
      <w:numFmt w:val="decimal"/>
      <w:lvlText w:val="3.%1"/>
      <w:lvlJc w:val="left"/>
      <w:pPr>
        <w:tabs>
          <w:tab w:val="left" w:pos="480"/>
        </w:tabs>
        <w:ind w:left="480" w:hanging="480"/>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480"/>
        </w:tabs>
        <w:ind w:left="480" w:hanging="420"/>
      </w:pPr>
    </w:lvl>
    <w:lvl w:ilvl="3" w:tentative="0">
      <w:start w:val="1"/>
      <w:numFmt w:val="decimal"/>
      <w:lvlText w:val="%4."/>
      <w:lvlJc w:val="left"/>
      <w:pPr>
        <w:tabs>
          <w:tab w:val="left" w:pos="900"/>
        </w:tabs>
        <w:ind w:left="900" w:hanging="420"/>
      </w:pPr>
    </w:lvl>
    <w:lvl w:ilvl="4" w:tentative="0">
      <w:start w:val="1"/>
      <w:numFmt w:val="lowerLetter"/>
      <w:lvlText w:val="%5)"/>
      <w:lvlJc w:val="left"/>
      <w:pPr>
        <w:tabs>
          <w:tab w:val="left" w:pos="1320"/>
        </w:tabs>
        <w:ind w:left="1320" w:hanging="420"/>
      </w:pPr>
    </w:lvl>
    <w:lvl w:ilvl="5" w:tentative="0">
      <w:start w:val="1"/>
      <w:numFmt w:val="lowerRoman"/>
      <w:lvlText w:val="%6."/>
      <w:lvlJc w:val="right"/>
      <w:pPr>
        <w:tabs>
          <w:tab w:val="left" w:pos="1740"/>
        </w:tabs>
        <w:ind w:left="1740" w:hanging="420"/>
      </w:pPr>
    </w:lvl>
    <w:lvl w:ilvl="6" w:tentative="0">
      <w:start w:val="1"/>
      <w:numFmt w:val="decimal"/>
      <w:lvlText w:val="%7."/>
      <w:lvlJc w:val="left"/>
      <w:pPr>
        <w:tabs>
          <w:tab w:val="left" w:pos="2160"/>
        </w:tabs>
        <w:ind w:left="2160" w:hanging="420"/>
      </w:pPr>
    </w:lvl>
    <w:lvl w:ilvl="7" w:tentative="0">
      <w:start w:val="1"/>
      <w:numFmt w:val="lowerLetter"/>
      <w:lvlText w:val="%8)"/>
      <w:lvlJc w:val="left"/>
      <w:pPr>
        <w:tabs>
          <w:tab w:val="left" w:pos="2580"/>
        </w:tabs>
        <w:ind w:left="2580" w:hanging="420"/>
      </w:pPr>
    </w:lvl>
    <w:lvl w:ilvl="8" w:tentative="0">
      <w:start w:val="1"/>
      <w:numFmt w:val="lowerRoman"/>
      <w:lvlText w:val="%9."/>
      <w:lvlJc w:val="right"/>
      <w:pPr>
        <w:tabs>
          <w:tab w:val="left" w:pos="3000"/>
        </w:tabs>
        <w:ind w:left="3000" w:hanging="420"/>
      </w:pPr>
    </w:lvl>
  </w:abstractNum>
  <w:abstractNum w:abstractNumId="2">
    <w:nsid w:val="1EC23D73"/>
    <w:multiLevelType w:val="multilevel"/>
    <w:tmpl w:val="1EC23D73"/>
    <w:lvl w:ilvl="0" w:tentative="0">
      <w:start w:val="1"/>
      <w:numFmt w:val="decimal"/>
      <w:lvlText w:val="3.%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3">
    <w:nsid w:val="1FC91163"/>
    <w:multiLevelType w:val="multilevel"/>
    <w:tmpl w:val="1FC91163"/>
    <w:lvl w:ilvl="0" w:tentative="0">
      <w:start w:val="1"/>
      <w:numFmt w:val="decimal"/>
      <w:pStyle w:val="4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4"/>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6"/>
      <w:suff w:val="nothing"/>
      <w:lvlText w:val="%1.%2.%3　"/>
      <w:lvlJc w:val="left"/>
      <w:pPr>
        <w:ind w:left="567" w:firstLine="0"/>
      </w:pPr>
      <w:rPr>
        <w:rFonts w:hint="eastAsia" w:ascii="黑体" w:hAnsi="Times New Roman" w:eastAsia="黑体"/>
        <w:b w:val="0"/>
        <w:i w:val="0"/>
        <w:sz w:val="21"/>
      </w:rPr>
    </w:lvl>
    <w:lvl w:ilvl="3" w:tentative="0">
      <w:start w:val="1"/>
      <w:numFmt w:val="decimal"/>
      <w:pStyle w:val="47"/>
      <w:suff w:val="nothing"/>
      <w:lvlText w:val="%1.%2.%3.%4　"/>
      <w:lvlJc w:val="left"/>
      <w:pPr>
        <w:ind w:left="0" w:firstLine="0"/>
      </w:pPr>
      <w:rPr>
        <w:rFonts w:hint="eastAsia" w:ascii="黑体" w:hAnsi="Times New Roman" w:eastAsia="黑体"/>
        <w:b w:val="0"/>
        <w:i w:val="0"/>
        <w:sz w:val="21"/>
      </w:rPr>
    </w:lvl>
    <w:lvl w:ilvl="4" w:tentative="0">
      <w:start w:val="1"/>
      <w:numFmt w:val="decimal"/>
      <w:pStyle w:val="48"/>
      <w:suff w:val="nothing"/>
      <w:lvlText w:val="%1.%2.%3.%4.%5　"/>
      <w:lvlJc w:val="left"/>
      <w:pPr>
        <w:ind w:left="0" w:firstLine="0"/>
      </w:pPr>
      <w:rPr>
        <w:rFonts w:hint="eastAsia" w:ascii="黑体" w:hAnsi="Times New Roman" w:eastAsia="黑体"/>
        <w:b w:val="0"/>
        <w:i w:val="0"/>
        <w:sz w:val="21"/>
      </w:rPr>
    </w:lvl>
    <w:lvl w:ilvl="5" w:tentative="0">
      <w:start w:val="1"/>
      <w:numFmt w:val="decimal"/>
      <w:pStyle w:val="4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21FC6E3B"/>
    <w:multiLevelType w:val="multilevel"/>
    <w:tmpl w:val="21FC6E3B"/>
    <w:lvl w:ilvl="0" w:tentative="0">
      <w:start w:val="1"/>
      <w:numFmt w:val="chineseCountingThousand"/>
      <w:suff w:val="nothing"/>
      <w:lvlText w:val="第%1条"/>
      <w:lvlJc w:val="left"/>
      <w:pPr>
        <w:ind w:left="0" w:firstLine="0"/>
      </w:pPr>
      <w:rPr>
        <w:rFonts w:hint="eastAsia"/>
        <w:b/>
        <w:i w:val="0"/>
      </w:rPr>
    </w:lvl>
    <w:lvl w:ilvl="1" w:tentative="0">
      <w:start w:val="1"/>
      <w:numFmt w:val="koreanDigital2"/>
      <w:suff w:val="nothing"/>
      <w:lvlText w:val="(%2)"/>
      <w:lvlJc w:val="left"/>
      <w:pPr>
        <w:ind w:left="0" w:firstLine="0"/>
      </w:pPr>
      <w:rPr>
        <w:rFonts w:hint="eastAsia"/>
      </w:rPr>
    </w:lvl>
    <w:lvl w:ilvl="2" w:tentative="0">
      <w:start w:val="1"/>
      <w:numFmt w:val="none"/>
      <w:pStyle w:val="5"/>
      <w:suff w:val="nothing"/>
      <w:lvlText w:val=""/>
      <w:lvlJc w:val="left"/>
      <w:pPr>
        <w:ind w:left="0" w:firstLine="0"/>
      </w:pPr>
      <w:rPr>
        <w:rFonts w:hint="eastAsia"/>
      </w:rPr>
    </w:lvl>
    <w:lvl w:ilvl="3" w:tentative="0">
      <w:start w:val="1"/>
      <w:numFmt w:val="none"/>
      <w:pStyle w:val="6"/>
      <w:suff w:val="nothing"/>
      <w:lvlText w:val=""/>
      <w:lvlJc w:val="left"/>
      <w:pPr>
        <w:ind w:left="0" w:firstLine="0"/>
      </w:pPr>
      <w:rPr>
        <w:rFonts w:hint="eastAsia"/>
      </w:rPr>
    </w:lvl>
    <w:lvl w:ilvl="4" w:tentative="0">
      <w:start w:val="1"/>
      <w:numFmt w:val="none"/>
      <w:pStyle w:val="7"/>
      <w:suff w:val="nothing"/>
      <w:lvlText w:val=""/>
      <w:lvlJc w:val="left"/>
      <w:pPr>
        <w:ind w:left="0" w:firstLine="0"/>
      </w:pPr>
      <w:rPr>
        <w:rFonts w:hint="eastAsia"/>
      </w:rPr>
    </w:lvl>
    <w:lvl w:ilvl="5" w:tentative="0">
      <w:start w:val="1"/>
      <w:numFmt w:val="none"/>
      <w:pStyle w:val="8"/>
      <w:suff w:val="nothing"/>
      <w:lvlText w:val=""/>
      <w:lvlJc w:val="left"/>
      <w:pPr>
        <w:ind w:left="0" w:firstLine="0"/>
      </w:pPr>
      <w:rPr>
        <w:rFonts w:hint="eastAsia"/>
      </w:rPr>
    </w:lvl>
    <w:lvl w:ilvl="6" w:tentative="0">
      <w:start w:val="1"/>
      <w:numFmt w:val="none"/>
      <w:pStyle w:val="9"/>
      <w:suff w:val="nothing"/>
      <w:lvlText w:val=""/>
      <w:lvlJc w:val="left"/>
      <w:pPr>
        <w:ind w:left="0" w:firstLine="0"/>
      </w:pPr>
      <w:rPr>
        <w:rFonts w:hint="eastAsia"/>
      </w:rPr>
    </w:lvl>
    <w:lvl w:ilvl="7" w:tentative="0">
      <w:start w:val="1"/>
      <w:numFmt w:val="none"/>
      <w:pStyle w:val="10"/>
      <w:suff w:val="nothing"/>
      <w:lvlText w:val=""/>
      <w:lvlJc w:val="left"/>
      <w:pPr>
        <w:ind w:left="0" w:firstLine="0"/>
      </w:pPr>
      <w:rPr>
        <w:rFonts w:hint="eastAsia"/>
      </w:rPr>
    </w:lvl>
    <w:lvl w:ilvl="8" w:tentative="0">
      <w:start w:val="1"/>
      <w:numFmt w:val="none"/>
      <w:pStyle w:val="11"/>
      <w:suff w:val="nothing"/>
      <w:lvlText w:val=""/>
      <w:lvlJc w:val="left"/>
      <w:pPr>
        <w:ind w:left="0" w:firstLine="0"/>
      </w:pPr>
      <w:rPr>
        <w:rFonts w:hint="eastAsia"/>
      </w:rPr>
    </w:lvl>
  </w:abstractNum>
  <w:abstractNum w:abstractNumId="5">
    <w:nsid w:val="363F5478"/>
    <w:multiLevelType w:val="multilevel"/>
    <w:tmpl w:val="363F5478"/>
    <w:lvl w:ilvl="0" w:tentative="0">
      <w:start w:val="1"/>
      <w:numFmt w:val="decimal"/>
      <w:lvlText w:val="3.%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953635C"/>
    <w:multiLevelType w:val="multilevel"/>
    <w:tmpl w:val="3953635C"/>
    <w:lvl w:ilvl="0" w:tentative="0">
      <w:start w:val="1"/>
      <w:numFmt w:val="decimal"/>
      <w:lvlText w:val="3.%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44C50F90"/>
    <w:multiLevelType w:val="multilevel"/>
    <w:tmpl w:val="44C50F90"/>
    <w:lvl w:ilvl="0" w:tentative="0">
      <w:start w:val="0"/>
      <w:numFmt w:val="none"/>
      <w:pStyle w:val="63"/>
      <w:lvlText w:val=""/>
      <w:lvlJc w:val="left"/>
      <w:pPr>
        <w:tabs>
          <w:tab w:val="left" w:pos="360"/>
        </w:tabs>
      </w:pPr>
    </w:lvl>
    <w:lvl w:ilvl="1" w:tentative="0">
      <w:start w:val="1"/>
      <w:numFmt w:val="decimal"/>
      <w:pStyle w:val="62"/>
      <w:lvlText w:val="%2)"/>
      <w:lvlJc w:val="left"/>
      <w:pPr>
        <w:tabs>
          <w:tab w:val="left" w:pos="1259"/>
        </w:tabs>
        <w:ind w:left="1259" w:hanging="420"/>
      </w:pPr>
      <w:rPr>
        <w:rFonts w:hint="eastAsia" w:ascii="宋体" w:hAnsi="宋体" w:eastAsia="宋体"/>
        <w:b w:val="0"/>
        <w:i w:val="0"/>
        <w:sz w:val="20"/>
      </w:rPr>
    </w:lvl>
    <w:lvl w:ilvl="2" w:tentative="0">
      <w:start w:val="1"/>
      <w:numFmt w:val="decimal"/>
      <w:pStyle w:val="64"/>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8">
    <w:nsid w:val="4E526C1E"/>
    <w:multiLevelType w:val="multilevel"/>
    <w:tmpl w:val="4E526C1E"/>
    <w:lvl w:ilvl="0" w:tentative="0">
      <w:start w:val="1"/>
      <w:numFmt w:val="decimal"/>
      <w:lvlText w:val="3.%1"/>
      <w:lvlJc w:val="left"/>
      <w:pPr>
        <w:tabs>
          <w:tab w:val="left" w:pos="480"/>
        </w:tabs>
        <w:ind w:left="480" w:hanging="480"/>
      </w:pPr>
      <w:rPr>
        <w:rFonts w:hint="default"/>
      </w:rPr>
    </w:lvl>
    <w:lvl w:ilvl="1" w:tentative="0">
      <w:start w:val="1"/>
      <w:numFmt w:val="lowerLetter"/>
      <w:lvlText w:val="%2)"/>
      <w:lvlJc w:val="left"/>
      <w:pPr>
        <w:tabs>
          <w:tab w:val="left" w:pos="60"/>
        </w:tabs>
        <w:ind w:left="60" w:hanging="420"/>
      </w:pPr>
      <w:rPr>
        <w:rFonts w:cs="Times New Roman"/>
      </w:rPr>
    </w:lvl>
    <w:lvl w:ilvl="2" w:tentative="0">
      <w:start w:val="1"/>
      <w:numFmt w:val="lowerRoman"/>
      <w:lvlText w:val="%3."/>
      <w:lvlJc w:val="right"/>
      <w:pPr>
        <w:tabs>
          <w:tab w:val="left" w:pos="480"/>
        </w:tabs>
        <w:ind w:left="480" w:hanging="420"/>
      </w:pPr>
      <w:rPr>
        <w:rFonts w:cs="Times New Roman"/>
      </w:rPr>
    </w:lvl>
    <w:lvl w:ilvl="3" w:tentative="0">
      <w:start w:val="1"/>
      <w:numFmt w:val="decimal"/>
      <w:lvlText w:val="%4."/>
      <w:lvlJc w:val="left"/>
      <w:pPr>
        <w:tabs>
          <w:tab w:val="left" w:pos="900"/>
        </w:tabs>
        <w:ind w:left="900" w:hanging="420"/>
      </w:pPr>
      <w:rPr>
        <w:rFonts w:cs="Times New Roman"/>
      </w:rPr>
    </w:lvl>
    <w:lvl w:ilvl="4" w:tentative="0">
      <w:start w:val="1"/>
      <w:numFmt w:val="lowerLetter"/>
      <w:lvlText w:val="%5)"/>
      <w:lvlJc w:val="left"/>
      <w:pPr>
        <w:tabs>
          <w:tab w:val="left" w:pos="1320"/>
        </w:tabs>
        <w:ind w:left="1320" w:hanging="420"/>
      </w:pPr>
      <w:rPr>
        <w:rFonts w:cs="Times New Roman"/>
      </w:rPr>
    </w:lvl>
    <w:lvl w:ilvl="5" w:tentative="0">
      <w:start w:val="1"/>
      <w:numFmt w:val="lowerRoman"/>
      <w:lvlText w:val="%6."/>
      <w:lvlJc w:val="right"/>
      <w:pPr>
        <w:tabs>
          <w:tab w:val="left" w:pos="1740"/>
        </w:tabs>
        <w:ind w:left="1740" w:hanging="420"/>
      </w:pPr>
      <w:rPr>
        <w:rFonts w:cs="Times New Roman"/>
      </w:rPr>
    </w:lvl>
    <w:lvl w:ilvl="6" w:tentative="0">
      <w:start w:val="1"/>
      <w:numFmt w:val="decimal"/>
      <w:lvlText w:val="%7."/>
      <w:lvlJc w:val="left"/>
      <w:pPr>
        <w:tabs>
          <w:tab w:val="left" w:pos="2160"/>
        </w:tabs>
        <w:ind w:left="2160" w:hanging="420"/>
      </w:pPr>
      <w:rPr>
        <w:rFonts w:cs="Times New Roman"/>
      </w:rPr>
    </w:lvl>
    <w:lvl w:ilvl="7" w:tentative="0">
      <w:start w:val="1"/>
      <w:numFmt w:val="lowerLetter"/>
      <w:lvlText w:val="%8)"/>
      <w:lvlJc w:val="left"/>
      <w:pPr>
        <w:tabs>
          <w:tab w:val="left" w:pos="2580"/>
        </w:tabs>
        <w:ind w:left="2580" w:hanging="420"/>
      </w:pPr>
      <w:rPr>
        <w:rFonts w:cs="Times New Roman"/>
      </w:rPr>
    </w:lvl>
    <w:lvl w:ilvl="8" w:tentative="0">
      <w:start w:val="1"/>
      <w:numFmt w:val="lowerRoman"/>
      <w:lvlText w:val="%9."/>
      <w:lvlJc w:val="right"/>
      <w:pPr>
        <w:tabs>
          <w:tab w:val="left" w:pos="3000"/>
        </w:tabs>
        <w:ind w:left="3000" w:hanging="420"/>
      </w:pPr>
      <w:rPr>
        <w:rFonts w:cs="Times New Roman"/>
      </w:rPr>
    </w:lvl>
  </w:abstractNum>
  <w:abstractNum w:abstractNumId="9">
    <w:nsid w:val="4F1D52C0"/>
    <w:multiLevelType w:val="multilevel"/>
    <w:tmpl w:val="4F1D52C0"/>
    <w:lvl w:ilvl="0" w:tentative="0">
      <w:start w:val="1"/>
      <w:numFmt w:val="decimal"/>
      <w:lvlText w:val="3.%1"/>
      <w:lvlJc w:val="left"/>
      <w:pPr>
        <w:tabs>
          <w:tab w:val="left" w:pos="480"/>
        </w:tabs>
        <w:ind w:left="480" w:hanging="48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508249AC"/>
    <w:multiLevelType w:val="multilevel"/>
    <w:tmpl w:val="508249AC"/>
    <w:lvl w:ilvl="0" w:tentative="0">
      <w:start w:val="1"/>
      <w:numFmt w:val="decimal"/>
      <w:lvlText w:val="3.%1"/>
      <w:lvlJc w:val="left"/>
      <w:pPr>
        <w:tabs>
          <w:tab w:val="left" w:pos="480"/>
        </w:tabs>
        <w:ind w:left="480" w:hanging="480"/>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480"/>
        </w:tabs>
        <w:ind w:left="480" w:hanging="420"/>
      </w:pPr>
    </w:lvl>
    <w:lvl w:ilvl="3" w:tentative="0">
      <w:start w:val="1"/>
      <w:numFmt w:val="decimal"/>
      <w:lvlText w:val="%4."/>
      <w:lvlJc w:val="left"/>
      <w:pPr>
        <w:tabs>
          <w:tab w:val="left" w:pos="900"/>
        </w:tabs>
        <w:ind w:left="900" w:hanging="420"/>
      </w:pPr>
    </w:lvl>
    <w:lvl w:ilvl="4" w:tentative="0">
      <w:start w:val="1"/>
      <w:numFmt w:val="lowerLetter"/>
      <w:lvlText w:val="%5)"/>
      <w:lvlJc w:val="left"/>
      <w:pPr>
        <w:tabs>
          <w:tab w:val="left" w:pos="1320"/>
        </w:tabs>
        <w:ind w:left="1320" w:hanging="420"/>
      </w:pPr>
    </w:lvl>
    <w:lvl w:ilvl="5" w:tentative="0">
      <w:start w:val="1"/>
      <w:numFmt w:val="lowerRoman"/>
      <w:lvlText w:val="%6."/>
      <w:lvlJc w:val="right"/>
      <w:pPr>
        <w:tabs>
          <w:tab w:val="left" w:pos="1740"/>
        </w:tabs>
        <w:ind w:left="1740" w:hanging="420"/>
      </w:pPr>
    </w:lvl>
    <w:lvl w:ilvl="6" w:tentative="0">
      <w:start w:val="1"/>
      <w:numFmt w:val="decimal"/>
      <w:lvlText w:val="%7."/>
      <w:lvlJc w:val="left"/>
      <w:pPr>
        <w:tabs>
          <w:tab w:val="left" w:pos="2160"/>
        </w:tabs>
        <w:ind w:left="2160" w:hanging="420"/>
      </w:pPr>
    </w:lvl>
    <w:lvl w:ilvl="7" w:tentative="0">
      <w:start w:val="1"/>
      <w:numFmt w:val="lowerLetter"/>
      <w:lvlText w:val="%8)"/>
      <w:lvlJc w:val="left"/>
      <w:pPr>
        <w:tabs>
          <w:tab w:val="left" w:pos="2580"/>
        </w:tabs>
        <w:ind w:left="2580" w:hanging="420"/>
      </w:pPr>
    </w:lvl>
    <w:lvl w:ilvl="8" w:tentative="0">
      <w:start w:val="1"/>
      <w:numFmt w:val="lowerRoman"/>
      <w:lvlText w:val="%9."/>
      <w:lvlJc w:val="right"/>
      <w:pPr>
        <w:tabs>
          <w:tab w:val="left" w:pos="3000"/>
        </w:tabs>
        <w:ind w:left="3000" w:hanging="420"/>
      </w:pPr>
    </w:lvl>
  </w:abstractNum>
  <w:abstractNum w:abstractNumId="11">
    <w:nsid w:val="54B158AA"/>
    <w:multiLevelType w:val="multilevel"/>
    <w:tmpl w:val="54B158AA"/>
    <w:lvl w:ilvl="0" w:tentative="0">
      <w:start w:val="1"/>
      <w:numFmt w:val="decimal"/>
      <w:lvlText w:val="3.%1"/>
      <w:lvlJc w:val="left"/>
      <w:pPr>
        <w:tabs>
          <w:tab w:val="left" w:pos="480"/>
        </w:tabs>
        <w:ind w:left="480" w:hanging="480"/>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480"/>
        </w:tabs>
        <w:ind w:left="480" w:hanging="420"/>
      </w:pPr>
    </w:lvl>
    <w:lvl w:ilvl="3" w:tentative="0">
      <w:start w:val="1"/>
      <w:numFmt w:val="decimal"/>
      <w:lvlText w:val="%4."/>
      <w:lvlJc w:val="left"/>
      <w:pPr>
        <w:tabs>
          <w:tab w:val="left" w:pos="900"/>
        </w:tabs>
        <w:ind w:left="900" w:hanging="420"/>
      </w:pPr>
    </w:lvl>
    <w:lvl w:ilvl="4" w:tentative="0">
      <w:start w:val="1"/>
      <w:numFmt w:val="lowerLetter"/>
      <w:lvlText w:val="%5)"/>
      <w:lvlJc w:val="left"/>
      <w:pPr>
        <w:tabs>
          <w:tab w:val="left" w:pos="1320"/>
        </w:tabs>
        <w:ind w:left="1320" w:hanging="420"/>
      </w:pPr>
    </w:lvl>
    <w:lvl w:ilvl="5" w:tentative="0">
      <w:start w:val="1"/>
      <w:numFmt w:val="lowerRoman"/>
      <w:lvlText w:val="%6."/>
      <w:lvlJc w:val="right"/>
      <w:pPr>
        <w:tabs>
          <w:tab w:val="left" w:pos="1740"/>
        </w:tabs>
        <w:ind w:left="1740" w:hanging="420"/>
      </w:pPr>
    </w:lvl>
    <w:lvl w:ilvl="6" w:tentative="0">
      <w:start w:val="1"/>
      <w:numFmt w:val="decimal"/>
      <w:lvlText w:val="%7."/>
      <w:lvlJc w:val="left"/>
      <w:pPr>
        <w:tabs>
          <w:tab w:val="left" w:pos="2160"/>
        </w:tabs>
        <w:ind w:left="2160" w:hanging="420"/>
      </w:pPr>
    </w:lvl>
    <w:lvl w:ilvl="7" w:tentative="0">
      <w:start w:val="1"/>
      <w:numFmt w:val="lowerLetter"/>
      <w:lvlText w:val="%8)"/>
      <w:lvlJc w:val="left"/>
      <w:pPr>
        <w:tabs>
          <w:tab w:val="left" w:pos="2580"/>
        </w:tabs>
        <w:ind w:left="2580" w:hanging="420"/>
      </w:pPr>
    </w:lvl>
    <w:lvl w:ilvl="8" w:tentative="0">
      <w:start w:val="1"/>
      <w:numFmt w:val="lowerRoman"/>
      <w:lvlText w:val="%9."/>
      <w:lvlJc w:val="right"/>
      <w:pPr>
        <w:tabs>
          <w:tab w:val="left" w:pos="3000"/>
        </w:tabs>
        <w:ind w:left="3000" w:hanging="420"/>
      </w:pPr>
    </w:lvl>
  </w:abstractNum>
  <w:abstractNum w:abstractNumId="12">
    <w:nsid w:val="5A610EA2"/>
    <w:multiLevelType w:val="multilevel"/>
    <w:tmpl w:val="5A610EA2"/>
    <w:lvl w:ilvl="0" w:tentative="0">
      <w:start w:val="1"/>
      <w:numFmt w:val="decimal"/>
      <w:lvlText w:val="3.%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618D1D9B"/>
    <w:multiLevelType w:val="multilevel"/>
    <w:tmpl w:val="618D1D9B"/>
    <w:lvl w:ilvl="0" w:tentative="0">
      <w:start w:val="1"/>
      <w:numFmt w:val="decimal"/>
      <w:lvlText w:val="3.%1"/>
      <w:lvlJc w:val="left"/>
      <w:pPr>
        <w:tabs>
          <w:tab w:val="left" w:pos="480"/>
        </w:tabs>
        <w:ind w:left="480" w:hanging="480"/>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480"/>
        </w:tabs>
        <w:ind w:left="480" w:hanging="420"/>
      </w:pPr>
    </w:lvl>
    <w:lvl w:ilvl="3" w:tentative="0">
      <w:start w:val="1"/>
      <w:numFmt w:val="decimal"/>
      <w:lvlText w:val="%4."/>
      <w:lvlJc w:val="left"/>
      <w:pPr>
        <w:tabs>
          <w:tab w:val="left" w:pos="900"/>
        </w:tabs>
        <w:ind w:left="900" w:hanging="420"/>
      </w:pPr>
    </w:lvl>
    <w:lvl w:ilvl="4" w:tentative="0">
      <w:start w:val="1"/>
      <w:numFmt w:val="lowerLetter"/>
      <w:lvlText w:val="%5)"/>
      <w:lvlJc w:val="left"/>
      <w:pPr>
        <w:tabs>
          <w:tab w:val="left" w:pos="1320"/>
        </w:tabs>
        <w:ind w:left="1320" w:hanging="420"/>
      </w:pPr>
    </w:lvl>
    <w:lvl w:ilvl="5" w:tentative="0">
      <w:start w:val="1"/>
      <w:numFmt w:val="lowerRoman"/>
      <w:lvlText w:val="%6."/>
      <w:lvlJc w:val="right"/>
      <w:pPr>
        <w:tabs>
          <w:tab w:val="left" w:pos="1740"/>
        </w:tabs>
        <w:ind w:left="1740" w:hanging="420"/>
      </w:pPr>
    </w:lvl>
    <w:lvl w:ilvl="6" w:tentative="0">
      <w:start w:val="1"/>
      <w:numFmt w:val="decimal"/>
      <w:lvlText w:val="%7."/>
      <w:lvlJc w:val="left"/>
      <w:pPr>
        <w:tabs>
          <w:tab w:val="left" w:pos="2160"/>
        </w:tabs>
        <w:ind w:left="2160" w:hanging="420"/>
      </w:pPr>
    </w:lvl>
    <w:lvl w:ilvl="7" w:tentative="0">
      <w:start w:val="1"/>
      <w:numFmt w:val="lowerLetter"/>
      <w:lvlText w:val="%8)"/>
      <w:lvlJc w:val="left"/>
      <w:pPr>
        <w:tabs>
          <w:tab w:val="left" w:pos="2580"/>
        </w:tabs>
        <w:ind w:left="2580" w:hanging="420"/>
      </w:pPr>
    </w:lvl>
    <w:lvl w:ilvl="8" w:tentative="0">
      <w:start w:val="1"/>
      <w:numFmt w:val="lowerRoman"/>
      <w:lvlText w:val="%9."/>
      <w:lvlJc w:val="right"/>
      <w:pPr>
        <w:tabs>
          <w:tab w:val="left" w:pos="3000"/>
        </w:tabs>
        <w:ind w:left="3000" w:hanging="420"/>
      </w:pPr>
    </w:lvl>
  </w:abstractNum>
  <w:abstractNum w:abstractNumId="14">
    <w:nsid w:val="646260FA"/>
    <w:multiLevelType w:val="multilevel"/>
    <w:tmpl w:val="646260FA"/>
    <w:lvl w:ilvl="0" w:tentative="0">
      <w:start w:val="1"/>
      <w:numFmt w:val="decimal"/>
      <w:pStyle w:val="5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8486A2B"/>
    <w:multiLevelType w:val="multilevel"/>
    <w:tmpl w:val="68486A2B"/>
    <w:lvl w:ilvl="0" w:tentative="0">
      <w:start w:val="1"/>
      <w:numFmt w:val="decimal"/>
      <w:lvlText w:val="3.%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799F0942"/>
    <w:multiLevelType w:val="multilevel"/>
    <w:tmpl w:val="799F0942"/>
    <w:lvl w:ilvl="0" w:tentative="0">
      <w:start w:val="1"/>
      <w:numFmt w:val="decimal"/>
      <w:lvlText w:val="3.%1"/>
      <w:lvlJc w:val="left"/>
      <w:pPr>
        <w:tabs>
          <w:tab w:val="left" w:pos="480"/>
        </w:tabs>
        <w:ind w:left="480" w:hanging="480"/>
      </w:pPr>
      <w:rPr>
        <w:rFonts w:hint="default"/>
      </w:rPr>
    </w:lvl>
    <w:lvl w:ilvl="1" w:tentative="0">
      <w:start w:val="1"/>
      <w:numFmt w:val="lowerLetter"/>
      <w:lvlText w:val="%2)"/>
      <w:lvlJc w:val="left"/>
      <w:pPr>
        <w:tabs>
          <w:tab w:val="left" w:pos="60"/>
        </w:tabs>
        <w:ind w:left="60" w:hanging="420"/>
      </w:pPr>
    </w:lvl>
    <w:lvl w:ilvl="2" w:tentative="0">
      <w:start w:val="1"/>
      <w:numFmt w:val="lowerRoman"/>
      <w:lvlText w:val="%3."/>
      <w:lvlJc w:val="right"/>
      <w:pPr>
        <w:tabs>
          <w:tab w:val="left" w:pos="480"/>
        </w:tabs>
        <w:ind w:left="480" w:hanging="420"/>
      </w:pPr>
    </w:lvl>
    <w:lvl w:ilvl="3" w:tentative="0">
      <w:start w:val="1"/>
      <w:numFmt w:val="decimal"/>
      <w:lvlText w:val="%4."/>
      <w:lvlJc w:val="left"/>
      <w:pPr>
        <w:tabs>
          <w:tab w:val="left" w:pos="900"/>
        </w:tabs>
        <w:ind w:left="900" w:hanging="420"/>
      </w:pPr>
    </w:lvl>
    <w:lvl w:ilvl="4" w:tentative="0">
      <w:start w:val="1"/>
      <w:numFmt w:val="lowerLetter"/>
      <w:lvlText w:val="%5)"/>
      <w:lvlJc w:val="left"/>
      <w:pPr>
        <w:tabs>
          <w:tab w:val="left" w:pos="1320"/>
        </w:tabs>
        <w:ind w:left="1320" w:hanging="420"/>
      </w:pPr>
    </w:lvl>
    <w:lvl w:ilvl="5" w:tentative="0">
      <w:start w:val="1"/>
      <w:numFmt w:val="lowerRoman"/>
      <w:lvlText w:val="%6."/>
      <w:lvlJc w:val="right"/>
      <w:pPr>
        <w:tabs>
          <w:tab w:val="left" w:pos="1740"/>
        </w:tabs>
        <w:ind w:left="1740" w:hanging="420"/>
      </w:pPr>
    </w:lvl>
    <w:lvl w:ilvl="6" w:tentative="0">
      <w:start w:val="1"/>
      <w:numFmt w:val="decimal"/>
      <w:lvlText w:val="%7."/>
      <w:lvlJc w:val="left"/>
      <w:pPr>
        <w:tabs>
          <w:tab w:val="left" w:pos="2160"/>
        </w:tabs>
        <w:ind w:left="2160" w:hanging="420"/>
      </w:pPr>
    </w:lvl>
    <w:lvl w:ilvl="7" w:tentative="0">
      <w:start w:val="1"/>
      <w:numFmt w:val="lowerLetter"/>
      <w:lvlText w:val="%8)"/>
      <w:lvlJc w:val="left"/>
      <w:pPr>
        <w:tabs>
          <w:tab w:val="left" w:pos="2580"/>
        </w:tabs>
        <w:ind w:left="2580" w:hanging="420"/>
      </w:pPr>
    </w:lvl>
    <w:lvl w:ilvl="8" w:tentative="0">
      <w:start w:val="1"/>
      <w:numFmt w:val="lowerRoman"/>
      <w:lvlText w:val="%9."/>
      <w:lvlJc w:val="right"/>
      <w:pPr>
        <w:tabs>
          <w:tab w:val="left" w:pos="3000"/>
        </w:tabs>
        <w:ind w:left="3000" w:hanging="420"/>
      </w:pPr>
    </w:lvl>
  </w:abstractNum>
  <w:abstractNum w:abstractNumId="17">
    <w:nsid w:val="7B594593"/>
    <w:multiLevelType w:val="multilevel"/>
    <w:tmpl w:val="7B594593"/>
    <w:lvl w:ilvl="0" w:tentative="0">
      <w:start w:val="1"/>
      <w:numFmt w:val="decimal"/>
      <w:lvlText w:val="3.%1"/>
      <w:lvlJc w:val="left"/>
      <w:pPr>
        <w:tabs>
          <w:tab w:val="left" w:pos="480"/>
        </w:tabs>
        <w:ind w:left="480" w:hanging="480"/>
      </w:pPr>
      <w:rPr>
        <w:rFonts w:hint="default"/>
      </w:rPr>
    </w:lvl>
    <w:lvl w:ilvl="1" w:tentative="0">
      <w:start w:val="1"/>
      <w:numFmt w:val="lowerLetter"/>
      <w:lvlText w:val="%2)"/>
      <w:lvlJc w:val="left"/>
      <w:pPr>
        <w:tabs>
          <w:tab w:val="left" w:pos="60"/>
        </w:tabs>
        <w:ind w:left="60" w:hanging="420"/>
      </w:pPr>
      <w:rPr>
        <w:rFonts w:cs="Times New Roman"/>
      </w:rPr>
    </w:lvl>
    <w:lvl w:ilvl="2" w:tentative="0">
      <w:start w:val="1"/>
      <w:numFmt w:val="lowerRoman"/>
      <w:lvlText w:val="%3."/>
      <w:lvlJc w:val="right"/>
      <w:pPr>
        <w:tabs>
          <w:tab w:val="left" w:pos="480"/>
        </w:tabs>
        <w:ind w:left="480" w:hanging="420"/>
      </w:pPr>
      <w:rPr>
        <w:rFonts w:cs="Times New Roman"/>
      </w:rPr>
    </w:lvl>
    <w:lvl w:ilvl="3" w:tentative="0">
      <w:start w:val="1"/>
      <w:numFmt w:val="decimal"/>
      <w:lvlText w:val="%4."/>
      <w:lvlJc w:val="left"/>
      <w:pPr>
        <w:tabs>
          <w:tab w:val="left" w:pos="900"/>
        </w:tabs>
        <w:ind w:left="900" w:hanging="420"/>
      </w:pPr>
      <w:rPr>
        <w:rFonts w:cs="Times New Roman"/>
      </w:rPr>
    </w:lvl>
    <w:lvl w:ilvl="4" w:tentative="0">
      <w:start w:val="1"/>
      <w:numFmt w:val="lowerLetter"/>
      <w:lvlText w:val="%5)"/>
      <w:lvlJc w:val="left"/>
      <w:pPr>
        <w:tabs>
          <w:tab w:val="left" w:pos="1320"/>
        </w:tabs>
        <w:ind w:left="1320" w:hanging="420"/>
      </w:pPr>
      <w:rPr>
        <w:rFonts w:cs="Times New Roman"/>
      </w:rPr>
    </w:lvl>
    <w:lvl w:ilvl="5" w:tentative="0">
      <w:start w:val="1"/>
      <w:numFmt w:val="lowerRoman"/>
      <w:lvlText w:val="%6."/>
      <w:lvlJc w:val="right"/>
      <w:pPr>
        <w:tabs>
          <w:tab w:val="left" w:pos="1740"/>
        </w:tabs>
        <w:ind w:left="1740" w:hanging="420"/>
      </w:pPr>
      <w:rPr>
        <w:rFonts w:cs="Times New Roman"/>
      </w:rPr>
    </w:lvl>
    <w:lvl w:ilvl="6" w:tentative="0">
      <w:start w:val="1"/>
      <w:numFmt w:val="decimal"/>
      <w:lvlText w:val="%7."/>
      <w:lvlJc w:val="left"/>
      <w:pPr>
        <w:tabs>
          <w:tab w:val="left" w:pos="2160"/>
        </w:tabs>
        <w:ind w:left="2160" w:hanging="420"/>
      </w:pPr>
      <w:rPr>
        <w:rFonts w:cs="Times New Roman"/>
      </w:rPr>
    </w:lvl>
    <w:lvl w:ilvl="7" w:tentative="0">
      <w:start w:val="1"/>
      <w:numFmt w:val="lowerLetter"/>
      <w:lvlText w:val="%8)"/>
      <w:lvlJc w:val="left"/>
      <w:pPr>
        <w:tabs>
          <w:tab w:val="left" w:pos="2580"/>
        </w:tabs>
        <w:ind w:left="2580" w:hanging="420"/>
      </w:pPr>
      <w:rPr>
        <w:rFonts w:cs="Times New Roman"/>
      </w:rPr>
    </w:lvl>
    <w:lvl w:ilvl="8" w:tentative="0">
      <w:start w:val="1"/>
      <w:numFmt w:val="lowerRoman"/>
      <w:lvlText w:val="%9."/>
      <w:lvlJc w:val="right"/>
      <w:pPr>
        <w:tabs>
          <w:tab w:val="left" w:pos="3000"/>
        </w:tabs>
        <w:ind w:left="3000" w:hanging="420"/>
      </w:pPr>
      <w:rPr>
        <w:rFonts w:cs="Times New Roman"/>
      </w:rPr>
    </w:lvl>
  </w:abstractNum>
  <w:num w:numId="1">
    <w:abstractNumId w:val="4"/>
  </w:num>
  <w:num w:numId="2">
    <w:abstractNumId w:val="3"/>
  </w:num>
  <w:num w:numId="3">
    <w:abstractNumId w:val="14"/>
  </w:num>
  <w:num w:numId="4">
    <w:abstractNumId w:val="7"/>
  </w:num>
  <w:num w:numId="5">
    <w:abstractNumId w:val="15"/>
  </w:num>
  <w:num w:numId="6">
    <w:abstractNumId w:val="12"/>
  </w:num>
  <w:num w:numId="7">
    <w:abstractNumId w:val="6"/>
  </w:num>
  <w:num w:numId="8">
    <w:abstractNumId w:val="13"/>
  </w:num>
  <w:num w:numId="9">
    <w:abstractNumId w:val="5"/>
  </w:num>
  <w:num w:numId="10">
    <w:abstractNumId w:val="1"/>
  </w:num>
  <w:num w:numId="11">
    <w:abstractNumId w:val="10"/>
  </w:num>
  <w:num w:numId="12">
    <w:abstractNumId w:val="16"/>
  </w:num>
  <w:num w:numId="13">
    <w:abstractNumId w:val="2"/>
  </w:num>
  <w:num w:numId="14">
    <w:abstractNumId w:val="8"/>
  </w:num>
  <w:num w:numId="15">
    <w:abstractNumId w:val="17"/>
  </w:num>
  <w:num w:numId="16">
    <w:abstractNumId w:val="11"/>
  </w:num>
  <w:num w:numId="17">
    <w:abstractNumId w:val="9"/>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mNjk5Y2VhNzE4NTRmZjE1OTEyNDk5ZWZjNzhiZDEifQ=="/>
  </w:docVars>
  <w:rsids>
    <w:rsidRoot w:val="00137A14"/>
    <w:rsid w:val="000147A7"/>
    <w:rsid w:val="000E3649"/>
    <w:rsid w:val="000E54D1"/>
    <w:rsid w:val="00125EE0"/>
    <w:rsid w:val="00137A14"/>
    <w:rsid w:val="00142607"/>
    <w:rsid w:val="00142BBA"/>
    <w:rsid w:val="001432F0"/>
    <w:rsid w:val="00163610"/>
    <w:rsid w:val="001A27E2"/>
    <w:rsid w:val="001C603D"/>
    <w:rsid w:val="001E16DC"/>
    <w:rsid w:val="00234ABD"/>
    <w:rsid w:val="00254BBE"/>
    <w:rsid w:val="00330366"/>
    <w:rsid w:val="003D4FBC"/>
    <w:rsid w:val="004A11FA"/>
    <w:rsid w:val="00522B55"/>
    <w:rsid w:val="00543B7F"/>
    <w:rsid w:val="00585520"/>
    <w:rsid w:val="00592A42"/>
    <w:rsid w:val="00627187"/>
    <w:rsid w:val="0067747C"/>
    <w:rsid w:val="0069436E"/>
    <w:rsid w:val="006E611E"/>
    <w:rsid w:val="00730AEC"/>
    <w:rsid w:val="00740DCE"/>
    <w:rsid w:val="007812A4"/>
    <w:rsid w:val="007A2C5F"/>
    <w:rsid w:val="008045A3"/>
    <w:rsid w:val="00874918"/>
    <w:rsid w:val="00882ADB"/>
    <w:rsid w:val="00893A6C"/>
    <w:rsid w:val="00894EF8"/>
    <w:rsid w:val="0092253C"/>
    <w:rsid w:val="00955E46"/>
    <w:rsid w:val="009C01FE"/>
    <w:rsid w:val="009C329B"/>
    <w:rsid w:val="00A03463"/>
    <w:rsid w:val="00A127E7"/>
    <w:rsid w:val="00A30A3E"/>
    <w:rsid w:val="00A36EB1"/>
    <w:rsid w:val="00C3338B"/>
    <w:rsid w:val="00C45AB7"/>
    <w:rsid w:val="00CA57F5"/>
    <w:rsid w:val="00CC3F49"/>
    <w:rsid w:val="00D26E75"/>
    <w:rsid w:val="00D3023A"/>
    <w:rsid w:val="00DF7825"/>
    <w:rsid w:val="00E117F5"/>
    <w:rsid w:val="00F10EFF"/>
    <w:rsid w:val="00F36A7D"/>
    <w:rsid w:val="00F72E04"/>
    <w:rsid w:val="00F80F8D"/>
    <w:rsid w:val="00FC1011"/>
    <w:rsid w:val="00FC203B"/>
    <w:rsid w:val="00FE075F"/>
    <w:rsid w:val="03557A5C"/>
    <w:rsid w:val="14B8060C"/>
    <w:rsid w:val="1C4735EB"/>
    <w:rsid w:val="387F1D92"/>
    <w:rsid w:val="39364ED4"/>
    <w:rsid w:val="4ABA33AD"/>
    <w:rsid w:val="50C22E71"/>
    <w:rsid w:val="59923303"/>
    <w:rsid w:val="5C1B05C1"/>
    <w:rsid w:val="604E5969"/>
    <w:rsid w:val="75111652"/>
    <w:rsid w:val="76391237"/>
    <w:rsid w:val="768A2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31"/>
    <w:qFormat/>
    <w:uiPriority w:val="0"/>
    <w:pPr>
      <w:keepNext/>
      <w:keepLines/>
      <w:spacing w:before="340" w:after="330" w:line="578" w:lineRule="auto"/>
      <w:outlineLvl w:val="0"/>
    </w:pPr>
    <w:rPr>
      <w:rFonts w:ascii="Times New Roman" w:hAnsi="Times New Roman"/>
      <w:b/>
      <w:bCs/>
      <w:kern w:val="44"/>
      <w:sz w:val="44"/>
      <w:szCs w:val="44"/>
    </w:rPr>
  </w:style>
  <w:style w:type="paragraph" w:styleId="4">
    <w:name w:val="heading 2"/>
    <w:basedOn w:val="1"/>
    <w:next w:val="1"/>
    <w:link w:val="32"/>
    <w:qFormat/>
    <w:uiPriority w:val="0"/>
    <w:pPr>
      <w:widowControl/>
      <w:spacing w:before="100" w:beforeAutospacing="1" w:after="100" w:afterAutospacing="1"/>
      <w:jc w:val="left"/>
      <w:outlineLvl w:val="1"/>
    </w:pPr>
    <w:rPr>
      <w:rFonts w:ascii="宋体" w:hAnsi="宋体" w:cs="宋体"/>
      <w:b/>
      <w:bCs/>
      <w:kern w:val="0"/>
      <w:sz w:val="24"/>
      <w:szCs w:val="24"/>
    </w:rPr>
  </w:style>
  <w:style w:type="paragraph" w:styleId="5">
    <w:name w:val="heading 3"/>
    <w:basedOn w:val="1"/>
    <w:next w:val="1"/>
    <w:link w:val="33"/>
    <w:qFormat/>
    <w:uiPriority w:val="0"/>
    <w:pPr>
      <w:keepNext/>
      <w:keepLines/>
      <w:numPr>
        <w:ilvl w:val="2"/>
        <w:numId w:val="1"/>
      </w:numPr>
      <w:spacing w:before="260" w:after="260" w:line="416" w:lineRule="auto"/>
      <w:outlineLvl w:val="2"/>
    </w:pPr>
    <w:rPr>
      <w:rFonts w:ascii="Times New Roman" w:hAnsi="Times New Roman" w:eastAsia="仿宋_GB2312"/>
      <w:b/>
      <w:bCs/>
      <w:sz w:val="32"/>
      <w:szCs w:val="32"/>
    </w:rPr>
  </w:style>
  <w:style w:type="paragraph" w:styleId="6">
    <w:name w:val="heading 4"/>
    <w:basedOn w:val="1"/>
    <w:next w:val="1"/>
    <w:link w:val="34"/>
    <w:qFormat/>
    <w:uiPriority w:val="0"/>
    <w:pPr>
      <w:keepNext/>
      <w:keepLines/>
      <w:numPr>
        <w:ilvl w:val="3"/>
        <w:numId w:val="1"/>
      </w:numPr>
      <w:spacing w:before="280" w:after="290" w:line="376" w:lineRule="auto"/>
      <w:outlineLvl w:val="3"/>
    </w:pPr>
    <w:rPr>
      <w:rFonts w:ascii="Arial" w:hAnsi="Arial" w:eastAsia="黑体"/>
      <w:b/>
      <w:bCs/>
      <w:sz w:val="28"/>
      <w:szCs w:val="28"/>
    </w:rPr>
  </w:style>
  <w:style w:type="paragraph" w:styleId="7">
    <w:name w:val="heading 5"/>
    <w:basedOn w:val="1"/>
    <w:next w:val="1"/>
    <w:link w:val="35"/>
    <w:qFormat/>
    <w:uiPriority w:val="0"/>
    <w:pPr>
      <w:keepNext/>
      <w:keepLines/>
      <w:numPr>
        <w:ilvl w:val="4"/>
        <w:numId w:val="1"/>
      </w:numPr>
      <w:spacing w:before="280" w:after="290" w:line="376" w:lineRule="auto"/>
      <w:outlineLvl w:val="4"/>
    </w:pPr>
    <w:rPr>
      <w:rFonts w:ascii="Times New Roman" w:hAnsi="Times New Roman" w:eastAsia="仿宋_GB2312"/>
      <w:b/>
      <w:bCs/>
      <w:sz w:val="28"/>
      <w:szCs w:val="28"/>
    </w:rPr>
  </w:style>
  <w:style w:type="paragraph" w:styleId="8">
    <w:name w:val="heading 6"/>
    <w:basedOn w:val="1"/>
    <w:next w:val="1"/>
    <w:link w:val="36"/>
    <w:qFormat/>
    <w:uiPriority w:val="0"/>
    <w:pPr>
      <w:keepNext/>
      <w:keepLines/>
      <w:numPr>
        <w:ilvl w:val="5"/>
        <w:numId w:val="1"/>
      </w:numPr>
      <w:spacing w:before="240" w:after="64" w:line="320" w:lineRule="auto"/>
      <w:outlineLvl w:val="5"/>
    </w:pPr>
    <w:rPr>
      <w:rFonts w:ascii="Arial" w:hAnsi="Arial" w:eastAsia="黑体"/>
      <w:b/>
      <w:bCs/>
      <w:sz w:val="24"/>
      <w:szCs w:val="24"/>
    </w:rPr>
  </w:style>
  <w:style w:type="paragraph" w:styleId="9">
    <w:name w:val="heading 7"/>
    <w:basedOn w:val="1"/>
    <w:next w:val="1"/>
    <w:link w:val="37"/>
    <w:qFormat/>
    <w:uiPriority w:val="0"/>
    <w:pPr>
      <w:keepNext/>
      <w:keepLines/>
      <w:numPr>
        <w:ilvl w:val="6"/>
        <w:numId w:val="1"/>
      </w:numPr>
      <w:spacing w:before="240" w:after="64" w:line="320" w:lineRule="auto"/>
      <w:outlineLvl w:val="6"/>
    </w:pPr>
    <w:rPr>
      <w:rFonts w:ascii="Times New Roman" w:hAnsi="Times New Roman" w:eastAsia="仿宋_GB2312"/>
      <w:b/>
      <w:bCs/>
      <w:sz w:val="24"/>
      <w:szCs w:val="24"/>
    </w:rPr>
  </w:style>
  <w:style w:type="paragraph" w:styleId="10">
    <w:name w:val="heading 8"/>
    <w:basedOn w:val="1"/>
    <w:next w:val="1"/>
    <w:link w:val="38"/>
    <w:qFormat/>
    <w:uiPriority w:val="0"/>
    <w:pPr>
      <w:keepNext/>
      <w:keepLines/>
      <w:numPr>
        <w:ilvl w:val="7"/>
        <w:numId w:val="1"/>
      </w:numPr>
      <w:spacing w:before="240" w:after="64" w:line="320" w:lineRule="auto"/>
      <w:outlineLvl w:val="7"/>
    </w:pPr>
    <w:rPr>
      <w:rFonts w:ascii="Arial" w:hAnsi="Arial" w:eastAsia="黑体"/>
      <w:sz w:val="24"/>
      <w:szCs w:val="24"/>
    </w:rPr>
  </w:style>
  <w:style w:type="paragraph" w:styleId="11">
    <w:name w:val="heading 9"/>
    <w:basedOn w:val="1"/>
    <w:next w:val="1"/>
    <w:link w:val="39"/>
    <w:qFormat/>
    <w:uiPriority w:val="0"/>
    <w:pPr>
      <w:keepNext/>
      <w:keepLines/>
      <w:numPr>
        <w:ilvl w:val="8"/>
        <w:numId w:val="1"/>
      </w:numPr>
      <w:spacing w:before="240" w:after="64" w:line="320" w:lineRule="auto"/>
      <w:outlineLvl w:val="8"/>
    </w:pPr>
    <w:rPr>
      <w:rFonts w:ascii="Arial" w:hAnsi="Arial" w:eastAsia="黑体"/>
      <w:szCs w:val="21"/>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59"/>
    <w:qFormat/>
    <w:uiPriority w:val="0"/>
    <w:pPr>
      <w:jc w:val="left"/>
    </w:pPr>
    <w:rPr>
      <w:rFonts w:ascii="Times New Roman" w:hAnsi="Times New Roman"/>
      <w:szCs w:val="24"/>
    </w:rPr>
  </w:style>
  <w:style w:type="paragraph" w:styleId="12">
    <w:name w:val="Plain Text"/>
    <w:basedOn w:val="1"/>
    <w:link w:val="28"/>
    <w:unhideWhenUsed/>
    <w:qFormat/>
    <w:uiPriority w:val="99"/>
    <w:rPr>
      <w:rFonts w:ascii="宋体" w:hAnsi="Courier New" w:cs="Courier New"/>
      <w:szCs w:val="21"/>
    </w:rPr>
  </w:style>
  <w:style w:type="paragraph" w:styleId="13">
    <w:name w:val="Date"/>
    <w:basedOn w:val="1"/>
    <w:next w:val="1"/>
    <w:link w:val="53"/>
    <w:unhideWhenUsed/>
    <w:qFormat/>
    <w:uiPriority w:val="0"/>
    <w:pPr>
      <w:ind w:left="100" w:leftChars="2500"/>
    </w:pPr>
  </w:style>
  <w:style w:type="paragraph" w:styleId="14">
    <w:name w:val="Balloon Text"/>
    <w:basedOn w:val="1"/>
    <w:link w:val="55"/>
    <w:semiHidden/>
    <w:unhideWhenUsed/>
    <w:qFormat/>
    <w:uiPriority w:val="0"/>
    <w:rPr>
      <w:sz w:val="18"/>
      <w:szCs w:val="18"/>
    </w:rPr>
  </w:style>
  <w:style w:type="paragraph" w:styleId="15">
    <w:name w:val="footer"/>
    <w:basedOn w:val="1"/>
    <w:link w:val="30"/>
    <w:unhideWhenUsed/>
    <w:qFormat/>
    <w:uiPriority w:val="99"/>
    <w:pPr>
      <w:tabs>
        <w:tab w:val="center" w:pos="4153"/>
        <w:tab w:val="right" w:pos="8306"/>
      </w:tabs>
      <w:snapToGrid w:val="0"/>
      <w:jc w:val="left"/>
    </w:pPr>
    <w:rPr>
      <w:sz w:val="18"/>
      <w:szCs w:val="18"/>
    </w:rPr>
  </w:style>
  <w:style w:type="paragraph" w:styleId="16">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2"/>
    <w:basedOn w:val="1"/>
    <w:next w:val="1"/>
    <w:unhideWhenUsed/>
    <w:qFormat/>
    <w:uiPriority w:val="39"/>
    <w:pPr>
      <w:widowControl/>
      <w:adjustRightInd w:val="0"/>
      <w:snapToGrid w:val="0"/>
      <w:spacing w:after="200"/>
      <w:ind w:left="420" w:leftChars="200"/>
      <w:jc w:val="left"/>
    </w:pPr>
    <w:rPr>
      <w:rFonts w:ascii="Tahoma" w:hAnsi="Tahoma" w:eastAsia="微软雅黑" w:cstheme="minorBidi"/>
      <w:kern w:val="0"/>
      <w:sz w:val="22"/>
    </w:rPr>
  </w:style>
  <w:style w:type="paragraph" w:styleId="18">
    <w:name w:val="Body Text 2"/>
    <w:basedOn w:val="1"/>
    <w:link w:val="65"/>
    <w:qFormat/>
    <w:uiPriority w:val="0"/>
    <w:rPr>
      <w:rFonts w:ascii="Times New Roman" w:hAnsi="Times New Roman"/>
      <w:color w:val="000000"/>
      <w:szCs w:val="21"/>
    </w:rPr>
  </w:style>
  <w:style w:type="paragraph" w:styleId="19">
    <w:name w:val="HTML Preformatted"/>
    <w:basedOn w:val="1"/>
    <w:link w:val="6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4"/>
    </w:rPr>
  </w:style>
  <w:style w:type="paragraph" w:styleId="20">
    <w:name w:val="Normal (Web)"/>
    <w:basedOn w:val="1"/>
    <w:qFormat/>
    <w:uiPriority w:val="0"/>
    <w:pPr>
      <w:widowControl/>
      <w:spacing w:before="100" w:beforeAutospacing="1" w:after="100" w:afterAutospacing="1"/>
      <w:jc w:val="left"/>
    </w:pPr>
    <w:rPr>
      <w:rFonts w:ascii="宋体" w:hAnsi="宋体"/>
      <w:kern w:val="0"/>
      <w:sz w:val="24"/>
      <w:szCs w:val="24"/>
    </w:rPr>
  </w:style>
  <w:style w:type="table" w:styleId="22">
    <w:name w:val="Table Grid"/>
    <w:basedOn w:val="21"/>
    <w:qFormat/>
    <w:uiPriority w:val="0"/>
    <w:pPr>
      <w:widowControl w:val="0"/>
      <w:jc w:val="both"/>
    </w:pPr>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basedOn w:val="23"/>
    <w:qFormat/>
    <w:uiPriority w:val="0"/>
    <w:rPr>
      <w:b/>
    </w:rPr>
  </w:style>
  <w:style w:type="character" w:styleId="25">
    <w:name w:val="page number"/>
    <w:basedOn w:val="23"/>
    <w:qFormat/>
    <w:uiPriority w:val="0"/>
  </w:style>
  <w:style w:type="character" w:styleId="26">
    <w:name w:val="Emphasis"/>
    <w:basedOn w:val="23"/>
    <w:qFormat/>
    <w:uiPriority w:val="0"/>
    <w:rPr>
      <w:color w:val="CC0000"/>
    </w:rPr>
  </w:style>
  <w:style w:type="character" w:styleId="27">
    <w:name w:val="Hyperlink"/>
    <w:basedOn w:val="23"/>
    <w:unhideWhenUsed/>
    <w:qFormat/>
    <w:uiPriority w:val="0"/>
    <w:rPr>
      <w:color w:val="0000FF"/>
      <w:u w:val="single"/>
    </w:rPr>
  </w:style>
  <w:style w:type="character" w:customStyle="1" w:styleId="28">
    <w:name w:val="纯文本 Char"/>
    <w:basedOn w:val="23"/>
    <w:link w:val="12"/>
    <w:qFormat/>
    <w:uiPriority w:val="99"/>
    <w:rPr>
      <w:rFonts w:ascii="宋体" w:hAnsi="Courier New" w:eastAsia="宋体" w:cs="Courier New"/>
      <w:szCs w:val="21"/>
    </w:rPr>
  </w:style>
  <w:style w:type="character" w:customStyle="1" w:styleId="29">
    <w:name w:val="页眉 Char"/>
    <w:basedOn w:val="23"/>
    <w:link w:val="16"/>
    <w:qFormat/>
    <w:uiPriority w:val="99"/>
    <w:rPr>
      <w:rFonts w:ascii="Calibri" w:hAnsi="Calibri" w:eastAsia="宋体" w:cs="Times New Roman"/>
      <w:sz w:val="18"/>
      <w:szCs w:val="18"/>
    </w:rPr>
  </w:style>
  <w:style w:type="character" w:customStyle="1" w:styleId="30">
    <w:name w:val="页脚 Char"/>
    <w:basedOn w:val="23"/>
    <w:link w:val="15"/>
    <w:qFormat/>
    <w:uiPriority w:val="99"/>
    <w:rPr>
      <w:rFonts w:ascii="Calibri" w:hAnsi="Calibri" w:eastAsia="宋体" w:cs="Times New Roman"/>
      <w:sz w:val="18"/>
      <w:szCs w:val="18"/>
    </w:rPr>
  </w:style>
  <w:style w:type="character" w:customStyle="1" w:styleId="31">
    <w:name w:val="标题 1 Char"/>
    <w:basedOn w:val="23"/>
    <w:link w:val="3"/>
    <w:qFormat/>
    <w:uiPriority w:val="0"/>
    <w:rPr>
      <w:rFonts w:ascii="Times New Roman" w:hAnsi="Times New Roman" w:eastAsia="宋体" w:cs="Times New Roman"/>
      <w:b/>
      <w:bCs/>
      <w:kern w:val="44"/>
      <w:sz w:val="44"/>
      <w:szCs w:val="44"/>
    </w:rPr>
  </w:style>
  <w:style w:type="character" w:customStyle="1" w:styleId="32">
    <w:name w:val="标题 2 Char"/>
    <w:basedOn w:val="23"/>
    <w:link w:val="4"/>
    <w:qFormat/>
    <w:uiPriority w:val="0"/>
    <w:rPr>
      <w:rFonts w:ascii="宋体" w:hAnsi="宋体" w:eastAsia="宋体" w:cs="宋体"/>
      <w:b/>
      <w:bCs/>
      <w:kern w:val="0"/>
      <w:sz w:val="24"/>
      <w:szCs w:val="24"/>
    </w:rPr>
  </w:style>
  <w:style w:type="character" w:customStyle="1" w:styleId="33">
    <w:name w:val="标题 3 Char"/>
    <w:basedOn w:val="23"/>
    <w:link w:val="5"/>
    <w:qFormat/>
    <w:uiPriority w:val="0"/>
    <w:rPr>
      <w:rFonts w:ascii="Times New Roman" w:hAnsi="Times New Roman" w:eastAsia="仿宋_GB2312" w:cs="Times New Roman"/>
      <w:b/>
      <w:bCs/>
      <w:sz w:val="32"/>
      <w:szCs w:val="32"/>
    </w:rPr>
  </w:style>
  <w:style w:type="character" w:customStyle="1" w:styleId="34">
    <w:name w:val="标题 4 Char"/>
    <w:basedOn w:val="23"/>
    <w:link w:val="6"/>
    <w:qFormat/>
    <w:uiPriority w:val="0"/>
    <w:rPr>
      <w:rFonts w:ascii="Arial" w:hAnsi="Arial" w:eastAsia="黑体" w:cs="Times New Roman"/>
      <w:b/>
      <w:bCs/>
      <w:sz w:val="28"/>
      <w:szCs w:val="28"/>
    </w:rPr>
  </w:style>
  <w:style w:type="character" w:customStyle="1" w:styleId="35">
    <w:name w:val="标题 5 Char"/>
    <w:basedOn w:val="23"/>
    <w:link w:val="7"/>
    <w:qFormat/>
    <w:uiPriority w:val="0"/>
    <w:rPr>
      <w:rFonts w:ascii="Times New Roman" w:hAnsi="Times New Roman" w:eastAsia="仿宋_GB2312" w:cs="Times New Roman"/>
      <w:b/>
      <w:bCs/>
      <w:sz w:val="28"/>
      <w:szCs w:val="28"/>
    </w:rPr>
  </w:style>
  <w:style w:type="character" w:customStyle="1" w:styleId="36">
    <w:name w:val="标题 6 Char"/>
    <w:basedOn w:val="23"/>
    <w:link w:val="8"/>
    <w:qFormat/>
    <w:uiPriority w:val="0"/>
    <w:rPr>
      <w:rFonts w:ascii="Arial" w:hAnsi="Arial" w:eastAsia="黑体" w:cs="Times New Roman"/>
      <w:b/>
      <w:bCs/>
      <w:sz w:val="24"/>
      <w:szCs w:val="24"/>
    </w:rPr>
  </w:style>
  <w:style w:type="character" w:customStyle="1" w:styleId="37">
    <w:name w:val="标题 7 Char"/>
    <w:basedOn w:val="23"/>
    <w:link w:val="9"/>
    <w:qFormat/>
    <w:uiPriority w:val="0"/>
    <w:rPr>
      <w:rFonts w:ascii="Times New Roman" w:hAnsi="Times New Roman" w:eastAsia="仿宋_GB2312" w:cs="Times New Roman"/>
      <w:b/>
      <w:bCs/>
      <w:sz w:val="24"/>
      <w:szCs w:val="24"/>
    </w:rPr>
  </w:style>
  <w:style w:type="character" w:customStyle="1" w:styleId="38">
    <w:name w:val="标题 8 Char"/>
    <w:basedOn w:val="23"/>
    <w:link w:val="10"/>
    <w:qFormat/>
    <w:uiPriority w:val="0"/>
    <w:rPr>
      <w:rFonts w:ascii="Arial" w:hAnsi="Arial" w:eastAsia="黑体" w:cs="Times New Roman"/>
      <w:sz w:val="24"/>
      <w:szCs w:val="24"/>
    </w:rPr>
  </w:style>
  <w:style w:type="character" w:customStyle="1" w:styleId="39">
    <w:name w:val="标题 9 Char"/>
    <w:basedOn w:val="23"/>
    <w:link w:val="11"/>
    <w:qFormat/>
    <w:uiPriority w:val="0"/>
    <w:rPr>
      <w:rFonts w:ascii="Arial" w:hAnsi="Arial" w:eastAsia="黑体" w:cs="Times New Roman"/>
      <w:szCs w:val="21"/>
    </w:rPr>
  </w:style>
  <w:style w:type="character" w:customStyle="1" w:styleId="40">
    <w:name w:val="Char Char4"/>
    <w:basedOn w:val="23"/>
    <w:qFormat/>
    <w:uiPriority w:val="0"/>
    <w:rPr>
      <w:sz w:val="18"/>
      <w:szCs w:val="18"/>
    </w:rPr>
  </w:style>
  <w:style w:type="character" w:customStyle="1" w:styleId="41">
    <w:name w:val="Char Char3"/>
    <w:basedOn w:val="23"/>
    <w:qFormat/>
    <w:uiPriority w:val="0"/>
    <w:rPr>
      <w:sz w:val="18"/>
      <w:szCs w:val="18"/>
    </w:rPr>
  </w:style>
  <w:style w:type="paragraph" w:customStyle="1" w:styleId="42">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43">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44">
    <w:name w:val="一级条标题"/>
    <w:next w:val="43"/>
    <w:qFormat/>
    <w:uiPriority w:val="0"/>
    <w:pPr>
      <w:numPr>
        <w:ilvl w:val="1"/>
        <w:numId w:val="2"/>
      </w:numPr>
      <w:tabs>
        <w:tab w:val="left" w:pos="360"/>
      </w:tabs>
      <w:spacing w:beforeLines="50" w:afterLines="50"/>
      <w:outlineLvl w:val="2"/>
    </w:pPr>
    <w:rPr>
      <w:rFonts w:ascii="黑体" w:hAnsi="Times New Roman" w:eastAsia="黑体" w:cs="Times New Roman"/>
      <w:kern w:val="0"/>
      <w:sz w:val="21"/>
      <w:szCs w:val="21"/>
      <w:lang w:val="en-US" w:eastAsia="zh-CN" w:bidi="ar-SA"/>
    </w:rPr>
  </w:style>
  <w:style w:type="paragraph" w:customStyle="1" w:styleId="45">
    <w:name w:val="章标题"/>
    <w:next w:val="43"/>
    <w:qFormat/>
    <w:uiPriority w:val="0"/>
    <w:pPr>
      <w:numPr>
        <w:ilvl w:val="0"/>
        <w:numId w:val="2"/>
      </w:numPr>
      <w:spacing w:beforeLines="100" w:afterLines="100"/>
      <w:jc w:val="both"/>
      <w:outlineLvl w:val="1"/>
    </w:pPr>
    <w:rPr>
      <w:rFonts w:ascii="黑体" w:hAnsi="Times New Roman" w:eastAsia="黑体" w:cs="Times New Roman"/>
      <w:kern w:val="0"/>
      <w:sz w:val="21"/>
      <w:szCs w:val="20"/>
      <w:lang w:val="en-US" w:eastAsia="zh-CN" w:bidi="ar-SA"/>
    </w:rPr>
  </w:style>
  <w:style w:type="paragraph" w:customStyle="1" w:styleId="46">
    <w:name w:val="二级条标题"/>
    <w:basedOn w:val="44"/>
    <w:next w:val="43"/>
    <w:qFormat/>
    <w:uiPriority w:val="0"/>
    <w:pPr>
      <w:numPr>
        <w:ilvl w:val="2"/>
      </w:numPr>
      <w:spacing w:before="50" w:after="50"/>
      <w:outlineLvl w:val="3"/>
    </w:pPr>
  </w:style>
  <w:style w:type="paragraph" w:customStyle="1" w:styleId="47">
    <w:name w:val="三级条标题"/>
    <w:basedOn w:val="46"/>
    <w:next w:val="43"/>
    <w:qFormat/>
    <w:uiPriority w:val="0"/>
    <w:pPr>
      <w:numPr>
        <w:ilvl w:val="3"/>
      </w:numPr>
      <w:outlineLvl w:val="4"/>
    </w:pPr>
  </w:style>
  <w:style w:type="paragraph" w:customStyle="1" w:styleId="48">
    <w:name w:val="四级条标题"/>
    <w:basedOn w:val="47"/>
    <w:next w:val="43"/>
    <w:qFormat/>
    <w:uiPriority w:val="0"/>
    <w:pPr>
      <w:numPr>
        <w:ilvl w:val="4"/>
      </w:numPr>
      <w:outlineLvl w:val="5"/>
    </w:pPr>
  </w:style>
  <w:style w:type="paragraph" w:customStyle="1" w:styleId="49">
    <w:name w:val="五级条标题"/>
    <w:basedOn w:val="48"/>
    <w:next w:val="43"/>
    <w:qFormat/>
    <w:uiPriority w:val="0"/>
    <w:pPr>
      <w:numPr>
        <w:ilvl w:val="5"/>
      </w:numPr>
      <w:outlineLvl w:val="6"/>
    </w:pPr>
  </w:style>
  <w:style w:type="paragraph" w:customStyle="1" w:styleId="50">
    <w:name w:val="二级无"/>
    <w:basedOn w:val="46"/>
    <w:qFormat/>
    <w:uiPriority w:val="0"/>
    <w:pPr>
      <w:spacing w:beforeLines="0" w:afterLines="0"/>
    </w:pPr>
    <w:rPr>
      <w:rFonts w:ascii="宋体" w:eastAsia="宋体"/>
    </w:rPr>
  </w:style>
  <w:style w:type="paragraph" w:customStyle="1" w:styleId="51">
    <w:name w:val="正文表标题"/>
    <w:next w:val="43"/>
    <w:qFormat/>
    <w:uiPriority w:val="0"/>
    <w:pPr>
      <w:tabs>
        <w:tab w:val="left" w:pos="839"/>
      </w:tabs>
      <w:spacing w:beforeLines="50" w:afterLines="50"/>
      <w:ind w:left="839" w:hanging="360"/>
      <w:jc w:val="center"/>
    </w:pPr>
    <w:rPr>
      <w:rFonts w:ascii="黑体" w:hAnsi="Times New Roman" w:eastAsia="黑体" w:cs="Times New Roman"/>
      <w:kern w:val="0"/>
      <w:sz w:val="21"/>
      <w:szCs w:val="20"/>
      <w:lang w:val="en-US" w:eastAsia="zh-CN" w:bidi="ar-SA"/>
    </w:rPr>
  </w:style>
  <w:style w:type="paragraph" w:customStyle="1" w:styleId="52">
    <w:name w:val="正文图标题"/>
    <w:next w:val="43"/>
    <w:qFormat/>
    <w:uiPriority w:val="0"/>
    <w:pPr>
      <w:numPr>
        <w:ilvl w:val="0"/>
        <w:numId w:val="3"/>
      </w:numPr>
      <w:tabs>
        <w:tab w:val="left" w:pos="360"/>
      </w:tabs>
      <w:spacing w:beforeLines="50" w:afterLines="50"/>
      <w:jc w:val="center"/>
    </w:pPr>
    <w:rPr>
      <w:rFonts w:ascii="黑体" w:hAnsi="Times New Roman" w:eastAsia="黑体" w:cs="Times New Roman"/>
      <w:kern w:val="0"/>
      <w:sz w:val="21"/>
      <w:szCs w:val="20"/>
      <w:lang w:val="en-US" w:eastAsia="zh-CN" w:bidi="ar-SA"/>
    </w:rPr>
  </w:style>
  <w:style w:type="character" w:customStyle="1" w:styleId="53">
    <w:name w:val="日期 Char"/>
    <w:basedOn w:val="23"/>
    <w:link w:val="13"/>
    <w:qFormat/>
    <w:uiPriority w:val="0"/>
    <w:rPr>
      <w:rFonts w:ascii="Calibri" w:hAnsi="Calibri" w:eastAsia="宋体" w:cs="Times New Roman"/>
    </w:rPr>
  </w:style>
  <w:style w:type="character" w:customStyle="1" w:styleId="54">
    <w:name w:val="Char Char2"/>
    <w:basedOn w:val="23"/>
    <w:semiHidden/>
    <w:qFormat/>
    <w:uiPriority w:val="0"/>
    <w:rPr>
      <w:kern w:val="2"/>
      <w:sz w:val="21"/>
      <w:szCs w:val="22"/>
    </w:rPr>
  </w:style>
  <w:style w:type="character" w:customStyle="1" w:styleId="55">
    <w:name w:val="批注框文本 Char"/>
    <w:basedOn w:val="23"/>
    <w:link w:val="14"/>
    <w:semiHidden/>
    <w:qFormat/>
    <w:uiPriority w:val="0"/>
    <w:rPr>
      <w:rFonts w:ascii="Calibri" w:hAnsi="Calibri" w:eastAsia="宋体" w:cs="Times New Roman"/>
      <w:sz w:val="18"/>
      <w:szCs w:val="18"/>
    </w:rPr>
  </w:style>
  <w:style w:type="character" w:customStyle="1" w:styleId="56">
    <w:name w:val="Char Char1"/>
    <w:basedOn w:val="23"/>
    <w:semiHidden/>
    <w:qFormat/>
    <w:uiPriority w:val="0"/>
    <w:rPr>
      <w:kern w:val="2"/>
      <w:sz w:val="18"/>
      <w:szCs w:val="18"/>
    </w:rPr>
  </w:style>
  <w:style w:type="paragraph" w:styleId="57">
    <w:name w:val="No Spacing"/>
    <w:qFormat/>
    <w:uiPriority w:val="1"/>
    <w:rPr>
      <w:rFonts w:ascii="Calibri" w:hAnsi="Calibri" w:eastAsia="宋体" w:cs="Times New Roman"/>
      <w:kern w:val="0"/>
      <w:sz w:val="22"/>
      <w:szCs w:val="22"/>
      <w:lang w:val="en-US" w:eastAsia="zh-CN" w:bidi="ar-SA"/>
    </w:rPr>
  </w:style>
  <w:style w:type="character" w:customStyle="1" w:styleId="58">
    <w:name w:val="无间隔 Char"/>
    <w:basedOn w:val="23"/>
    <w:qFormat/>
    <w:uiPriority w:val="1"/>
    <w:rPr>
      <w:sz w:val="22"/>
      <w:szCs w:val="22"/>
      <w:lang w:val="en-US" w:eastAsia="zh-CN" w:bidi="ar-SA"/>
    </w:rPr>
  </w:style>
  <w:style w:type="character" w:customStyle="1" w:styleId="59">
    <w:name w:val="正文文本 Char"/>
    <w:basedOn w:val="23"/>
    <w:link w:val="2"/>
    <w:qFormat/>
    <w:uiPriority w:val="0"/>
    <w:rPr>
      <w:rFonts w:ascii="Times New Roman" w:hAnsi="Times New Roman" w:eastAsia="宋体" w:cs="Times New Roman"/>
      <w:szCs w:val="24"/>
    </w:rPr>
  </w:style>
  <w:style w:type="character" w:customStyle="1" w:styleId="60">
    <w:name w:val="Char Char"/>
    <w:basedOn w:val="23"/>
    <w:qFormat/>
    <w:uiPriority w:val="0"/>
    <w:rPr>
      <w:rFonts w:ascii="Times New Roman" w:hAnsi="Times New Roman"/>
      <w:kern w:val="2"/>
      <w:sz w:val="21"/>
      <w:szCs w:val="24"/>
    </w:rPr>
  </w:style>
  <w:style w:type="character" w:customStyle="1" w:styleId="61">
    <w:name w:val="HTML 预设格式 Char"/>
    <w:basedOn w:val="23"/>
    <w:link w:val="19"/>
    <w:qFormat/>
    <w:uiPriority w:val="0"/>
    <w:rPr>
      <w:rFonts w:ascii="Arial" w:hAnsi="Arial" w:eastAsia="宋体" w:cs="Arial"/>
      <w:kern w:val="0"/>
      <w:sz w:val="24"/>
      <w:szCs w:val="24"/>
    </w:rPr>
  </w:style>
  <w:style w:type="paragraph" w:customStyle="1" w:styleId="62">
    <w:name w:val="数字编号列项（二级）"/>
    <w:qFormat/>
    <w:uiPriority w:val="0"/>
    <w:pPr>
      <w:numPr>
        <w:ilvl w:val="1"/>
        <w:numId w:val="4"/>
      </w:numPr>
      <w:jc w:val="both"/>
    </w:pPr>
    <w:rPr>
      <w:rFonts w:ascii="宋体" w:hAnsi="Times New Roman" w:eastAsia="宋体" w:cs="Times New Roman"/>
      <w:kern w:val="0"/>
      <w:sz w:val="21"/>
      <w:szCs w:val="20"/>
      <w:lang w:val="en-US" w:eastAsia="zh-CN" w:bidi="ar-SA"/>
    </w:rPr>
  </w:style>
  <w:style w:type="paragraph" w:customStyle="1" w:styleId="63">
    <w:name w:val="字母编号列项（一级）"/>
    <w:qFormat/>
    <w:uiPriority w:val="0"/>
    <w:pPr>
      <w:numPr>
        <w:ilvl w:val="0"/>
        <w:numId w:val="4"/>
      </w:numPr>
      <w:jc w:val="both"/>
    </w:pPr>
    <w:rPr>
      <w:rFonts w:ascii="宋体" w:hAnsi="Times New Roman" w:eastAsia="宋体" w:cs="Times New Roman"/>
      <w:kern w:val="0"/>
      <w:sz w:val="21"/>
      <w:szCs w:val="20"/>
      <w:lang w:val="en-US" w:eastAsia="zh-CN" w:bidi="ar-SA"/>
    </w:rPr>
  </w:style>
  <w:style w:type="paragraph" w:customStyle="1" w:styleId="64">
    <w:name w:val="编号列项（三级）"/>
    <w:qFormat/>
    <w:uiPriority w:val="0"/>
    <w:pPr>
      <w:numPr>
        <w:ilvl w:val="2"/>
        <w:numId w:val="4"/>
      </w:numPr>
    </w:pPr>
    <w:rPr>
      <w:rFonts w:ascii="宋体" w:hAnsi="Times New Roman" w:eastAsia="宋体" w:cs="Times New Roman"/>
      <w:kern w:val="0"/>
      <w:sz w:val="21"/>
      <w:szCs w:val="20"/>
      <w:lang w:val="en-US" w:eastAsia="zh-CN" w:bidi="ar-SA"/>
    </w:rPr>
  </w:style>
  <w:style w:type="character" w:customStyle="1" w:styleId="65">
    <w:name w:val="正文文本 2 Char"/>
    <w:basedOn w:val="23"/>
    <w:link w:val="18"/>
    <w:qFormat/>
    <w:uiPriority w:val="0"/>
    <w:rPr>
      <w:rFonts w:ascii="Times New Roman" w:hAnsi="Times New Roman" w:eastAsia="宋体" w:cs="Times New Roman"/>
      <w:color w:val="000000"/>
      <w:szCs w:val="21"/>
    </w:rPr>
  </w:style>
  <w:style w:type="character" w:customStyle="1" w:styleId="66">
    <w:name w:val="headline-content2"/>
    <w:basedOn w:val="23"/>
    <w:qFormat/>
    <w:uiPriority w:val="0"/>
  </w:style>
  <w:style w:type="paragraph" w:customStyle="1" w:styleId="67">
    <w:name w:val="Char Char Char Char Char Char Char Char Char Char Char Char Char Char Char Char"/>
    <w:basedOn w:val="1"/>
    <w:qFormat/>
    <w:uiPriority w:val="0"/>
    <w:pPr>
      <w:widowControl/>
      <w:spacing w:line="240" w:lineRule="exact"/>
      <w:jc w:val="left"/>
      <w:textAlignment w:val="baseline"/>
    </w:pPr>
    <w:rPr>
      <w:rFonts w:ascii="Verdana" w:hAnsi="Verdana"/>
      <w:color w:val="000000"/>
      <w:kern w:val="0"/>
      <w:sz w:val="20"/>
      <w:szCs w:val="20"/>
      <w:u w:color="000000"/>
      <w:lang w:eastAsia="en-US"/>
    </w:rPr>
  </w:style>
  <w:style w:type="character" w:customStyle="1" w:styleId="68">
    <w:name w:val="正文1"/>
    <w:basedOn w:val="23"/>
    <w:qFormat/>
    <w:uiPriority w:val="0"/>
    <w:rPr>
      <w:rFonts w:hint="eastAsia" w:ascii="宋体" w:hAnsi="宋体" w:eastAsia="宋体"/>
      <w:sz w:val="22"/>
      <w:szCs w:val="22"/>
    </w:rPr>
  </w:style>
  <w:style w:type="paragraph" w:customStyle="1" w:styleId="69">
    <w:name w:val="三级无"/>
    <w:basedOn w:val="47"/>
    <w:qFormat/>
    <w:uiPriority w:val="0"/>
    <w:pPr>
      <w:spacing w:beforeLines="0" w:afterLines="0"/>
    </w:pPr>
    <w:rPr>
      <w:rFonts w:ascii="宋体" w:eastAsia="宋体"/>
    </w:rPr>
  </w:style>
  <w:style w:type="paragraph" w:customStyle="1" w:styleId="70">
    <w:name w:val="一级无"/>
    <w:basedOn w:val="44"/>
    <w:qFormat/>
    <w:uiPriority w:val="0"/>
    <w:pPr>
      <w:numPr>
        <w:ilvl w:val="0"/>
        <w:numId w:val="0"/>
      </w:numPr>
      <w:spacing w:beforeLines="0" w:afterLines="0"/>
    </w:pPr>
    <w:rPr>
      <w:rFonts w:ascii="宋体" w:eastAsia="宋体"/>
    </w:rPr>
  </w:style>
  <w:style w:type="paragraph" w:customStyle="1" w:styleId="71">
    <w:name w:val="样式1"/>
    <w:basedOn w:val="3"/>
    <w:qFormat/>
    <w:uiPriority w:val="0"/>
    <w:pPr>
      <w:spacing w:line="360" w:lineRule="auto"/>
      <w:ind w:firstLine="560" w:firstLineChars="200"/>
    </w:pPr>
    <w:rPr>
      <w:rFonts w:ascii="宋体" w:hAnsi="宋体" w:eastAsia="黑体"/>
      <w:b w:val="0"/>
      <w:bCs w:val="0"/>
      <w:sz w:val="32"/>
    </w:rPr>
  </w:style>
  <w:style w:type="paragraph" w:customStyle="1" w:styleId="72">
    <w:name w:val="Char Char Char Char Char Char Char Char Char Char Char Char Char Char Char Char1"/>
    <w:basedOn w:val="1"/>
    <w:qFormat/>
    <w:uiPriority w:val="0"/>
    <w:pPr>
      <w:widowControl/>
      <w:spacing w:after="160" w:line="240" w:lineRule="exact"/>
      <w:jc w:val="left"/>
      <w:textAlignment w:val="baseline"/>
    </w:pPr>
    <w:rPr>
      <w:rFonts w:ascii="Verdana" w:hAnsi="Verdana"/>
      <w:color w:val="000000"/>
      <w:kern w:val="0"/>
      <w:sz w:val="20"/>
      <w:szCs w:val="20"/>
      <w:u w:color="000000"/>
      <w:lang w:eastAsia="en-US"/>
    </w:rPr>
  </w:style>
  <w:style w:type="character" w:customStyle="1" w:styleId="73">
    <w:name w:val="text_edit editable-title"/>
    <w:basedOn w:val="23"/>
    <w:qFormat/>
    <w:uiPriority w:val="0"/>
  </w:style>
  <w:style w:type="paragraph" w:styleId="74">
    <w:name w:val="List Paragraph"/>
    <w:basedOn w:val="1"/>
    <w:qFormat/>
    <w:uiPriority w:val="34"/>
    <w:pPr>
      <w:ind w:firstLine="420" w:firstLineChars="200"/>
    </w:pPr>
  </w:style>
  <w:style w:type="paragraph" w:customStyle="1" w:styleId="75">
    <w:name w:val="WPSOffice手动目录 1"/>
    <w:qFormat/>
    <w:uiPriority w:val="0"/>
    <w:pPr>
      <w:ind w:leftChars="0"/>
    </w:pPr>
    <w:rPr>
      <w:rFonts w:ascii="Calibri" w:hAnsi="Calibri"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000c63a-fb78-4f6b-b15b-5fa21df9a305}"/>
        <w:style w:val=""/>
        <w:category>
          <w:name w:val="常规"/>
          <w:gallery w:val="placeholder"/>
        </w:category>
        <w:types>
          <w:type w:val="bbPlcHdr"/>
        </w:types>
        <w:behaviors>
          <w:behavior w:val="content"/>
        </w:behaviors>
        <w:description w:val=""/>
        <w:guid w:val="{8000c63a-fb78-4f6b-b15b-5fa21df9a305}"/>
      </w:docPartPr>
      <w:docPartBody>
        <w:p>
          <w:r>
            <w:rPr>
              <w:color w:val="808080"/>
            </w:rPr>
            <w:t>单击此处输入文字。</w:t>
          </w:r>
        </w:p>
      </w:docPartBody>
    </w:docPart>
    <w:docPart>
      <w:docPartPr>
        <w:name w:val="{336609b8-ca40-4767-8e86-4337ec502e61}"/>
        <w:style w:val=""/>
        <w:category>
          <w:name w:val="常规"/>
          <w:gallery w:val="placeholder"/>
        </w:category>
        <w:types>
          <w:type w:val="bbPlcHdr"/>
        </w:types>
        <w:behaviors>
          <w:behavior w:val="content"/>
        </w:behaviors>
        <w:description w:val=""/>
        <w:guid w:val="{336609b8-ca40-4767-8e86-4337ec502e61}"/>
      </w:docPartPr>
      <w:docPartBody>
        <w:p>
          <w:r>
            <w:rPr>
              <w:color w:val="808080"/>
            </w:rPr>
            <w:t>单击此处输入文字。</w:t>
          </w:r>
        </w:p>
      </w:docPartBody>
    </w:docPart>
    <w:docPart>
      <w:docPartPr>
        <w:name w:val="{f66985a0-7c6f-4229-8af3-1880c8d19ee9}"/>
        <w:style w:val=""/>
        <w:category>
          <w:name w:val="常规"/>
          <w:gallery w:val="placeholder"/>
        </w:category>
        <w:types>
          <w:type w:val="bbPlcHdr"/>
        </w:types>
        <w:behaviors>
          <w:behavior w:val="content"/>
        </w:behaviors>
        <w:description w:val=""/>
        <w:guid w:val="{f66985a0-7c6f-4229-8af3-1880c8d19ee9}"/>
      </w:docPartPr>
      <w:docPartBody>
        <w:p>
          <w:r>
            <w:rPr>
              <w:color w:val="808080"/>
            </w:rPr>
            <w:t>单击此处输入文字。</w:t>
          </w:r>
        </w:p>
      </w:docPartBody>
    </w:docPart>
    <w:docPart>
      <w:docPartPr>
        <w:name w:val="{41f0cb2b-47a7-46a6-99a8-ec0599631e47}"/>
        <w:style w:val=""/>
        <w:category>
          <w:name w:val="常规"/>
          <w:gallery w:val="placeholder"/>
        </w:category>
        <w:types>
          <w:type w:val="bbPlcHdr"/>
        </w:types>
        <w:behaviors>
          <w:behavior w:val="content"/>
        </w:behaviors>
        <w:description w:val=""/>
        <w:guid w:val="{41f0cb2b-47a7-46a6-99a8-ec0599631e47}"/>
      </w:docPartPr>
      <w:docPartBody>
        <w:p>
          <w:r>
            <w:rPr>
              <w:color w:val="808080"/>
            </w:rPr>
            <w:t>单击此处输入文字。</w:t>
          </w:r>
        </w:p>
      </w:docPartBody>
    </w:docPart>
    <w:docPart>
      <w:docPartPr>
        <w:name w:val="{33541908-2b8f-4e8f-8970-4dba6276aa9b}"/>
        <w:style w:val=""/>
        <w:category>
          <w:name w:val="常规"/>
          <w:gallery w:val="placeholder"/>
        </w:category>
        <w:types>
          <w:type w:val="bbPlcHdr"/>
        </w:types>
        <w:behaviors>
          <w:behavior w:val="content"/>
        </w:behaviors>
        <w:description w:val=""/>
        <w:guid w:val="{33541908-2b8f-4e8f-8970-4dba6276aa9b}"/>
      </w:docPartPr>
      <w:docPartBody>
        <w:p>
          <w:r>
            <w:rPr>
              <w:color w:val="808080"/>
            </w:rPr>
            <w:t>单击此处输入文字。</w:t>
          </w:r>
        </w:p>
      </w:docPartBody>
    </w:docPart>
    <w:docPart>
      <w:docPartPr>
        <w:name w:val="{890f16b2-7370-4c38-a1a7-96f3445f90e5}"/>
        <w:style w:val=""/>
        <w:category>
          <w:name w:val="常规"/>
          <w:gallery w:val="placeholder"/>
        </w:category>
        <w:types>
          <w:type w:val="bbPlcHdr"/>
        </w:types>
        <w:behaviors>
          <w:behavior w:val="content"/>
        </w:behaviors>
        <w:description w:val=""/>
        <w:guid w:val="{890f16b2-7370-4c38-a1a7-96f3445f90e5}"/>
      </w:docPartPr>
      <w:docPartBody>
        <w:p>
          <w:r>
            <w:rPr>
              <w:color w:val="808080"/>
            </w:rPr>
            <w:t>单击此处输入文字。</w:t>
          </w:r>
        </w:p>
      </w:docPartBody>
    </w:docPart>
    <w:docPart>
      <w:docPartPr>
        <w:name w:val="{6f16376e-45b3-4444-a954-02523040520e}"/>
        <w:style w:val=""/>
        <w:category>
          <w:name w:val="常规"/>
          <w:gallery w:val="placeholder"/>
        </w:category>
        <w:types>
          <w:type w:val="bbPlcHdr"/>
        </w:types>
        <w:behaviors>
          <w:behavior w:val="content"/>
        </w:behaviors>
        <w:description w:val=""/>
        <w:guid w:val="{6f16376e-45b3-4444-a954-02523040520e}"/>
      </w:docPartPr>
      <w:docPartBody>
        <w:p>
          <w:r>
            <w:rPr>
              <w:color w:val="808080"/>
            </w:rPr>
            <w:t>单击此处输入文字。</w:t>
          </w:r>
        </w:p>
      </w:docPartBody>
    </w:docPart>
    <w:docPart>
      <w:docPartPr>
        <w:name w:val="{7212df59-b51c-4155-972a-9cf1442b8765}"/>
        <w:style w:val=""/>
        <w:category>
          <w:name w:val="常规"/>
          <w:gallery w:val="placeholder"/>
        </w:category>
        <w:types>
          <w:type w:val="bbPlcHdr"/>
        </w:types>
        <w:behaviors>
          <w:behavior w:val="content"/>
        </w:behaviors>
        <w:description w:val=""/>
        <w:guid w:val="{7212df59-b51c-4155-972a-9cf1442b8765}"/>
      </w:docPartPr>
      <w:docPartBody>
        <w:p>
          <w:r>
            <w:rPr>
              <w:color w:val="808080"/>
            </w:rPr>
            <w:t>单击此处输入文字。</w:t>
          </w:r>
        </w:p>
      </w:docPartBody>
    </w:docPart>
    <w:docPart>
      <w:docPartPr>
        <w:name w:val="{ac6b42e8-50e4-47b5-9c14-dd495fe6a564}"/>
        <w:style w:val=""/>
        <w:category>
          <w:name w:val="常规"/>
          <w:gallery w:val="placeholder"/>
        </w:category>
        <w:types>
          <w:type w:val="bbPlcHdr"/>
        </w:types>
        <w:behaviors>
          <w:behavior w:val="content"/>
        </w:behaviors>
        <w:description w:val=""/>
        <w:guid w:val="{ac6b42e8-50e4-47b5-9c14-dd495fe6a564}"/>
      </w:docPartPr>
      <w:docPartBody>
        <w:p>
          <w:r>
            <w:rPr>
              <w:color w:val="808080"/>
            </w:rPr>
            <w:t>单击此处输入文字。</w:t>
          </w:r>
        </w:p>
      </w:docPartBody>
    </w:docPart>
    <w:docPart>
      <w:docPartPr>
        <w:name w:val="{d9d7ee14-8edb-4949-8e02-f4daf86c38e4}"/>
        <w:style w:val=""/>
        <w:category>
          <w:name w:val="常规"/>
          <w:gallery w:val="placeholder"/>
        </w:category>
        <w:types>
          <w:type w:val="bbPlcHdr"/>
        </w:types>
        <w:behaviors>
          <w:behavior w:val="content"/>
        </w:behaviors>
        <w:description w:val=""/>
        <w:guid w:val="{d9d7ee14-8edb-4949-8e02-f4daf86c38e4}"/>
      </w:docPartPr>
      <w:docPartBody>
        <w:p>
          <w:r>
            <w:rPr>
              <w:color w:val="808080"/>
            </w:rPr>
            <w:t>单击此处输入文字。</w:t>
          </w:r>
        </w:p>
      </w:docPartBody>
    </w:docPart>
    <w:docPart>
      <w:docPartPr>
        <w:name w:val="{b828d4c2-0670-4432-9ebe-02c063a4df75}"/>
        <w:style w:val=""/>
        <w:category>
          <w:name w:val="常规"/>
          <w:gallery w:val="placeholder"/>
        </w:category>
        <w:types>
          <w:type w:val="bbPlcHdr"/>
        </w:types>
        <w:behaviors>
          <w:behavior w:val="content"/>
        </w:behaviors>
        <w:description w:val=""/>
        <w:guid w:val="{b828d4c2-0670-4432-9ebe-02c063a4df75}"/>
      </w:docPartPr>
      <w:docPartBody>
        <w:p>
          <w:r>
            <w:rPr>
              <w:color w:val="808080"/>
            </w:rPr>
            <w:t>单击此处输入文字。</w:t>
          </w:r>
        </w:p>
      </w:docPartBody>
    </w:docPart>
    <w:docPart>
      <w:docPartPr>
        <w:name w:val="{634be8ba-0a33-48b2-adac-3ac8a424631c}"/>
        <w:style w:val=""/>
        <w:category>
          <w:name w:val="常规"/>
          <w:gallery w:val="placeholder"/>
        </w:category>
        <w:types>
          <w:type w:val="bbPlcHdr"/>
        </w:types>
        <w:behaviors>
          <w:behavior w:val="content"/>
        </w:behaviors>
        <w:description w:val=""/>
        <w:guid w:val="{634be8ba-0a33-48b2-adac-3ac8a424631c}"/>
      </w:docPartPr>
      <w:docPartBody>
        <w:p>
          <w:r>
            <w:rPr>
              <w:color w:val="808080"/>
            </w:rPr>
            <w:t>单击此处输入文字。</w:t>
          </w:r>
        </w:p>
      </w:docPartBody>
    </w:docPart>
    <w:docPart>
      <w:docPartPr>
        <w:name w:val="{3175bafa-1cb2-47bd-811c-33f564518c66}"/>
        <w:style w:val=""/>
        <w:category>
          <w:name w:val="常规"/>
          <w:gallery w:val="placeholder"/>
        </w:category>
        <w:types>
          <w:type w:val="bbPlcHdr"/>
        </w:types>
        <w:behaviors>
          <w:behavior w:val="content"/>
        </w:behaviors>
        <w:description w:val=""/>
        <w:guid w:val="{3175bafa-1cb2-47bd-811c-33f564518c66}"/>
      </w:docPartPr>
      <w:docPartBody>
        <w:p>
          <w:r>
            <w:rPr>
              <w:color w:val="808080"/>
            </w:rPr>
            <w:t>单击此处输入文字。</w:t>
          </w:r>
        </w:p>
      </w:docPartBody>
    </w:docPart>
    <w:docPart>
      <w:docPartPr>
        <w:name w:val="{e45048b8-8c6c-4bbd-8bd7-34bb82344a4b}"/>
        <w:style w:val=""/>
        <w:category>
          <w:name w:val="常规"/>
          <w:gallery w:val="placeholder"/>
        </w:category>
        <w:types>
          <w:type w:val="bbPlcHdr"/>
        </w:types>
        <w:behaviors>
          <w:behavior w:val="content"/>
        </w:behaviors>
        <w:description w:val=""/>
        <w:guid w:val="{e45048b8-8c6c-4bbd-8bd7-34bb82344a4b}"/>
      </w:docPartPr>
      <w:docPartBody>
        <w:p>
          <w:r>
            <w:rPr>
              <w:color w:val="808080"/>
            </w:rPr>
            <w:t>单击此处输入文字。</w:t>
          </w:r>
        </w:p>
      </w:docPartBody>
    </w:docPart>
    <w:docPart>
      <w:docPartPr>
        <w:name w:val="{f3b76c95-f2c4-4651-91c0-4e8cf8f663ec}"/>
        <w:style w:val=""/>
        <w:category>
          <w:name w:val="常规"/>
          <w:gallery w:val="placeholder"/>
        </w:category>
        <w:types>
          <w:type w:val="bbPlcHdr"/>
        </w:types>
        <w:behaviors>
          <w:behavior w:val="content"/>
        </w:behaviors>
        <w:description w:val=""/>
        <w:guid w:val="{f3b76c95-f2c4-4651-91c0-4e8cf8f663ec}"/>
      </w:docPartPr>
      <w:docPartBody>
        <w:p>
          <w:r>
            <w:rPr>
              <w:color w:val="808080"/>
            </w:rPr>
            <w:t>单击此处输入文字。</w:t>
          </w:r>
        </w:p>
      </w:docPartBody>
    </w:docPart>
    <w:docPart>
      <w:docPartPr>
        <w:name w:val="{d1ab74c0-aafa-46ca-a118-ddfba366914f}"/>
        <w:style w:val=""/>
        <w:category>
          <w:name w:val="常规"/>
          <w:gallery w:val="placeholder"/>
        </w:category>
        <w:types>
          <w:type w:val="bbPlcHdr"/>
        </w:types>
        <w:behaviors>
          <w:behavior w:val="content"/>
        </w:behaviors>
        <w:description w:val=""/>
        <w:guid w:val="{d1ab74c0-aafa-46ca-a118-ddfba366914f}"/>
      </w:docPartPr>
      <w:docPartBody>
        <w:p>
          <w:r>
            <w:rPr>
              <w:color w:val="808080"/>
            </w:rPr>
            <w:t>单击此处输入文字。</w:t>
          </w:r>
        </w:p>
      </w:docPartBody>
    </w:docPart>
    <w:docPart>
      <w:docPartPr>
        <w:name w:val="{51977076-eb70-4b40-8e28-e33aafe63f5b}"/>
        <w:style w:val=""/>
        <w:category>
          <w:name w:val="常规"/>
          <w:gallery w:val="placeholder"/>
        </w:category>
        <w:types>
          <w:type w:val="bbPlcHdr"/>
        </w:types>
        <w:behaviors>
          <w:behavior w:val="content"/>
        </w:behaviors>
        <w:description w:val=""/>
        <w:guid w:val="{51977076-eb70-4b40-8e28-e33aafe63f5b}"/>
      </w:docPartPr>
      <w:docPartBody>
        <w:p>
          <w:r>
            <w:rPr>
              <w:color w:val="808080"/>
            </w:rPr>
            <w:t>单击此处输入文字。</w:t>
          </w:r>
        </w:p>
      </w:docPartBody>
    </w:docPart>
    <w:docPart>
      <w:docPartPr>
        <w:name w:val="{7f45c9c1-2fdc-41c3-9415-0530abd1e641}"/>
        <w:style w:val=""/>
        <w:category>
          <w:name w:val="常规"/>
          <w:gallery w:val="placeholder"/>
        </w:category>
        <w:types>
          <w:type w:val="bbPlcHdr"/>
        </w:types>
        <w:behaviors>
          <w:behavior w:val="content"/>
        </w:behaviors>
        <w:description w:val=""/>
        <w:guid w:val="{7f45c9c1-2fdc-41c3-9415-0530abd1e641}"/>
      </w:docPartPr>
      <w:docPartBody>
        <w:p>
          <w:r>
            <w:rPr>
              <w:color w:val="808080"/>
            </w:rPr>
            <w:t>单击此处输入文字。</w:t>
          </w:r>
        </w:p>
      </w:docPartBody>
    </w:docPart>
    <w:docPart>
      <w:docPartPr>
        <w:name w:val="{a7798fe3-0a1b-444d-9a9c-916f15571f4a}"/>
        <w:style w:val=""/>
        <w:category>
          <w:name w:val="常规"/>
          <w:gallery w:val="placeholder"/>
        </w:category>
        <w:types>
          <w:type w:val="bbPlcHdr"/>
        </w:types>
        <w:behaviors>
          <w:behavior w:val="content"/>
        </w:behaviors>
        <w:description w:val=""/>
        <w:guid w:val="{a7798fe3-0a1b-444d-9a9c-916f15571f4a}"/>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23</Pages>
  <Words>8971</Words>
  <Characters>9697</Characters>
  <Lines>62</Lines>
  <Paragraphs>17</Paragraphs>
  <TotalTime>0</TotalTime>
  <ScaleCrop>false</ScaleCrop>
  <LinksUpToDate>false</LinksUpToDate>
  <CharactersWithSpaces>9917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2017-04-02T08:25:00Z</dcterms:created>
  <dc:creator>Administrator</dc:creator>
  <cp:lastModifiedBy>你别再晚睡</cp:lastModifiedBy>
  <cp:lastPrinted>2022-06-14T03:41:00Z</cp:lastPrinted>
  <dcterms:modified xsi:type="dcterms:W3CDTF">2023-04-14T10:52:38Z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74986B97B786404DBFEE4FB06056E83E_13</vt:lpwstr>
  </property>
</Properties>
</file>