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02F1562">
      <w:pPr>
        <w:numPr>
          <w:ilvl w:val="0"/>
          <w:numId w:val="0"/>
        </w:numPr>
        <w:jc w:val="both"/>
        <w:rPr>
          <w:rFonts w:hint="eastAsia"/>
          <w:sz w:val="28"/>
          <w:szCs w:val="28"/>
          <w:highlight w:val="none"/>
        </w:rPr>
      </w:pPr>
      <w:r>
        <w:rPr>
          <w:rFonts w:hint="eastAsia"/>
          <w:sz w:val="28"/>
          <w:szCs w:val="28"/>
          <w:lang w:val="en-US" w:eastAsia="zh-CN"/>
        </w:rPr>
        <w:t>13.</w:t>
      </w:r>
      <w:r>
        <w:rPr>
          <w:rFonts w:hint="eastAsia"/>
          <w:sz w:val="28"/>
          <w:szCs w:val="28"/>
          <w:highlight w:val="none"/>
          <w:lang w:val="en-US" w:eastAsia="zh-CN"/>
        </w:rPr>
        <w:t>熔炼炉安全操作规程无加热、取样、出铝等要求。</w:t>
      </w:r>
    </w:p>
    <w:p w14:paraId="7ED82CDB">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Autospacing="0" w:afterAutospacing="0" w:line="420" w:lineRule="exact"/>
        <w:ind w:left="0" w:right="0" w:firstLine="560" w:firstLineChars="200"/>
        <w:jc w:val="both"/>
        <w:textAlignment w:val="auto"/>
        <w:rPr>
          <w:rFonts w:hint="eastAsia" w:asciiTheme="minorHAnsi" w:hAnsiTheme="minorHAnsi" w:eastAsiaTheme="minorEastAsia" w:cstheme="minorBidi"/>
          <w:kern w:val="2"/>
          <w:sz w:val="28"/>
          <w:szCs w:val="28"/>
          <w:highlight w:val="none"/>
          <w:lang w:val="en-US" w:eastAsia="zh-CN" w:bidi="ar-SA"/>
        </w:rPr>
      </w:pPr>
      <w:r>
        <w:rPr>
          <w:rFonts w:hint="default" w:asciiTheme="minorHAnsi" w:hAnsiTheme="minorHAnsi" w:eastAsiaTheme="minorEastAsia" w:cstheme="minorBidi"/>
          <w:kern w:val="2"/>
          <w:sz w:val="28"/>
          <w:szCs w:val="28"/>
          <w:highlight w:val="none"/>
          <w:lang w:val="en-US" w:eastAsia="zh-CN" w:bidi="ar-SA"/>
        </w:rPr>
        <w:t>‌熔炼炉安全操作规程补充要求‌</w:t>
      </w:r>
    </w:p>
    <w:p w14:paraId="16080017">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Autospacing="0" w:afterAutospacing="0" w:line="420" w:lineRule="exact"/>
        <w:ind w:left="0" w:right="0" w:firstLine="560" w:firstLineChars="200"/>
        <w:jc w:val="both"/>
        <w:textAlignment w:val="auto"/>
        <w:rPr>
          <w:rFonts w:hint="default" w:asciiTheme="minorHAnsi" w:hAnsiTheme="minorHAnsi" w:eastAsiaTheme="minorEastAsia" w:cstheme="minorBidi"/>
          <w:kern w:val="2"/>
          <w:sz w:val="28"/>
          <w:szCs w:val="28"/>
          <w:highlight w:val="none"/>
          <w:lang w:val="en-US" w:eastAsia="zh-CN" w:bidi="ar-SA"/>
        </w:rPr>
      </w:pPr>
      <w:r>
        <w:rPr>
          <w:rFonts w:hint="default" w:asciiTheme="minorHAnsi" w:hAnsiTheme="minorHAnsi" w:eastAsiaTheme="minorEastAsia" w:cstheme="minorBidi"/>
          <w:kern w:val="2"/>
          <w:sz w:val="28"/>
          <w:szCs w:val="28"/>
          <w:highlight w:val="none"/>
          <w:lang w:val="en-US" w:eastAsia="zh-CN" w:bidi="ar-SA"/>
        </w:rPr>
        <w:t>‌加热过程‌：</w:t>
      </w:r>
    </w:p>
    <w:p w14:paraId="1BDF74FB">
      <w:pPr>
        <w:keepNext w:val="0"/>
        <w:keepLines w:val="0"/>
        <w:pageBreakBefore w:val="0"/>
        <w:widowControl/>
        <w:numPr>
          <w:ilvl w:val="1"/>
          <w:numId w:val="0"/>
        </w:numPr>
        <w:suppressLineNumbers w:val="0"/>
        <w:pBdr>
          <w:top w:val="none" w:color="auto" w:sz="0" w:space="0"/>
          <w:bottom w:val="none" w:color="auto" w:sz="0" w:space="0"/>
          <w:right w:val="none" w:color="auto" w:sz="0" w:space="0"/>
        </w:pBdr>
        <w:kinsoku/>
        <w:wordWrap/>
        <w:overflowPunct/>
        <w:topLinePunct w:val="0"/>
        <w:autoSpaceDE/>
        <w:autoSpaceDN/>
        <w:bidi w:val="0"/>
        <w:adjustRightInd/>
        <w:snapToGrid/>
        <w:spacing w:beforeAutospacing="0" w:afterAutospacing="0" w:line="420" w:lineRule="exact"/>
        <w:ind w:left="0" w:leftChars="0" w:right="0" w:rightChars="0" w:firstLine="560" w:firstLineChars="200"/>
        <w:jc w:val="both"/>
        <w:textAlignment w:val="auto"/>
        <w:rPr>
          <w:rFonts w:hint="eastAsia" w:asciiTheme="minorHAnsi" w:hAnsiTheme="minorHAnsi" w:eastAsiaTheme="minorEastAsia" w:cstheme="minorBidi"/>
          <w:kern w:val="2"/>
          <w:sz w:val="28"/>
          <w:szCs w:val="28"/>
          <w:highlight w:val="none"/>
          <w:lang w:val="en-US" w:eastAsia="zh-CN" w:bidi="ar-SA"/>
        </w:rPr>
      </w:pPr>
      <w:r>
        <w:rPr>
          <w:rFonts w:hint="default" w:asciiTheme="minorHAnsi" w:hAnsiTheme="minorHAnsi" w:eastAsiaTheme="minorEastAsia" w:cstheme="minorBidi"/>
          <w:kern w:val="2"/>
          <w:sz w:val="28"/>
          <w:szCs w:val="28"/>
          <w:highlight w:val="none"/>
          <w:lang w:val="en-US" w:eastAsia="zh-CN" w:bidi="ar-SA"/>
        </w:rPr>
        <w:t>加热前应确保熔炼炉设备完好，无损坏或泄漏。加热过程中应严格控制温度，避免超温引发事故。加热时应定期检查加热系统，确保其正常运行。</w:t>
      </w:r>
    </w:p>
    <w:p w14:paraId="4F3216B2">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Autospacing="0" w:afterAutospacing="0" w:line="420" w:lineRule="exact"/>
        <w:ind w:left="0" w:right="0" w:firstLine="560" w:firstLineChars="200"/>
        <w:jc w:val="both"/>
        <w:textAlignment w:val="auto"/>
        <w:rPr>
          <w:rFonts w:hint="default" w:asciiTheme="minorHAnsi" w:hAnsiTheme="minorHAnsi" w:eastAsiaTheme="minorEastAsia" w:cstheme="minorBidi"/>
          <w:kern w:val="2"/>
          <w:sz w:val="28"/>
          <w:szCs w:val="28"/>
          <w:highlight w:val="none"/>
          <w:lang w:val="en-US" w:eastAsia="zh-CN" w:bidi="ar-SA"/>
        </w:rPr>
      </w:pPr>
      <w:r>
        <w:rPr>
          <w:rFonts w:hint="default" w:asciiTheme="minorHAnsi" w:hAnsiTheme="minorHAnsi" w:eastAsiaTheme="minorEastAsia" w:cstheme="minorBidi"/>
          <w:kern w:val="2"/>
          <w:sz w:val="28"/>
          <w:szCs w:val="28"/>
          <w:highlight w:val="none"/>
          <w:lang w:val="en-US" w:eastAsia="zh-CN" w:bidi="ar-SA"/>
        </w:rPr>
        <w:t>‌取样操作‌：</w:t>
      </w:r>
    </w:p>
    <w:p w14:paraId="7BFDF426">
      <w:pPr>
        <w:keepNext w:val="0"/>
        <w:keepLines w:val="0"/>
        <w:pageBreakBefore w:val="0"/>
        <w:widowControl/>
        <w:numPr>
          <w:ilvl w:val="1"/>
          <w:numId w:val="0"/>
        </w:numPr>
        <w:suppressLineNumbers w:val="0"/>
        <w:pBdr>
          <w:top w:val="none" w:color="auto" w:sz="0" w:space="0"/>
          <w:bottom w:val="none" w:color="auto" w:sz="0" w:space="0"/>
          <w:right w:val="none" w:color="auto" w:sz="0" w:space="0"/>
        </w:pBdr>
        <w:kinsoku/>
        <w:wordWrap/>
        <w:overflowPunct/>
        <w:topLinePunct w:val="0"/>
        <w:autoSpaceDE/>
        <w:autoSpaceDN/>
        <w:bidi w:val="0"/>
        <w:adjustRightInd/>
        <w:snapToGrid/>
        <w:spacing w:beforeAutospacing="0" w:afterAutospacing="0" w:line="420" w:lineRule="exact"/>
        <w:ind w:left="0" w:leftChars="0" w:right="0" w:rightChars="0" w:firstLine="560" w:firstLineChars="200"/>
        <w:jc w:val="both"/>
        <w:textAlignment w:val="auto"/>
        <w:rPr>
          <w:rFonts w:hint="eastAsia" w:asciiTheme="minorHAnsi" w:hAnsiTheme="minorHAnsi" w:eastAsiaTheme="minorEastAsia" w:cstheme="minorBidi"/>
          <w:kern w:val="2"/>
          <w:sz w:val="28"/>
          <w:szCs w:val="28"/>
          <w:highlight w:val="none"/>
          <w:lang w:val="en-US" w:eastAsia="zh-CN" w:bidi="ar-SA"/>
        </w:rPr>
      </w:pPr>
      <w:r>
        <w:rPr>
          <w:rFonts w:hint="default" w:asciiTheme="minorHAnsi" w:hAnsiTheme="minorHAnsi" w:eastAsiaTheme="minorEastAsia" w:cstheme="minorBidi"/>
          <w:kern w:val="2"/>
          <w:sz w:val="28"/>
          <w:szCs w:val="28"/>
          <w:highlight w:val="none"/>
          <w:lang w:val="en-US" w:eastAsia="zh-CN" w:bidi="ar-SA"/>
        </w:rPr>
        <w:t>取样前需穿戴好防护用品，避免烫伤。取样工具应事先预热，以防取样时溅出金属液。取样后应及时清理取样口，防止堵塞。</w:t>
      </w:r>
    </w:p>
    <w:p w14:paraId="3B94C74F">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Autospacing="0" w:afterAutospacing="0" w:line="420" w:lineRule="exact"/>
        <w:ind w:left="0" w:right="0" w:firstLine="560" w:firstLineChars="200"/>
        <w:jc w:val="both"/>
        <w:textAlignment w:val="auto"/>
        <w:rPr>
          <w:rFonts w:hint="default" w:asciiTheme="minorHAnsi" w:hAnsiTheme="minorHAnsi" w:eastAsiaTheme="minorEastAsia" w:cstheme="minorBidi"/>
          <w:kern w:val="2"/>
          <w:sz w:val="28"/>
          <w:szCs w:val="28"/>
          <w:highlight w:val="none"/>
          <w:lang w:val="en-US" w:eastAsia="zh-CN" w:bidi="ar-SA"/>
        </w:rPr>
      </w:pPr>
      <w:r>
        <w:rPr>
          <w:rFonts w:hint="default" w:asciiTheme="minorHAnsi" w:hAnsiTheme="minorHAnsi" w:eastAsiaTheme="minorEastAsia" w:cstheme="minorBidi"/>
          <w:kern w:val="2"/>
          <w:sz w:val="28"/>
          <w:szCs w:val="28"/>
          <w:highlight w:val="none"/>
          <w:lang w:val="en-US" w:eastAsia="zh-CN" w:bidi="ar-SA"/>
        </w:rPr>
        <w:t>‌出铝操作‌：</w:t>
      </w:r>
    </w:p>
    <w:p w14:paraId="22938FDB">
      <w:pPr>
        <w:keepNext w:val="0"/>
        <w:keepLines w:val="0"/>
        <w:pageBreakBefore w:val="0"/>
        <w:widowControl/>
        <w:numPr>
          <w:ilvl w:val="1"/>
          <w:numId w:val="0"/>
        </w:numPr>
        <w:suppressLineNumbers w:val="0"/>
        <w:pBdr>
          <w:top w:val="none" w:color="auto" w:sz="0" w:space="0"/>
          <w:bottom w:val="none" w:color="auto" w:sz="0" w:space="0"/>
          <w:right w:val="none" w:color="auto" w:sz="0" w:space="0"/>
        </w:pBdr>
        <w:kinsoku/>
        <w:wordWrap/>
        <w:overflowPunct/>
        <w:topLinePunct w:val="0"/>
        <w:autoSpaceDE/>
        <w:autoSpaceDN/>
        <w:bidi w:val="0"/>
        <w:adjustRightInd/>
        <w:snapToGrid/>
        <w:spacing w:beforeAutospacing="0" w:afterAutospacing="0" w:line="420" w:lineRule="exact"/>
        <w:ind w:left="0" w:leftChars="0" w:right="0" w:rightChars="0" w:firstLine="560" w:firstLineChars="200"/>
        <w:jc w:val="both"/>
        <w:textAlignment w:val="auto"/>
        <w:rPr>
          <w:rFonts w:hint="eastAsia" w:asciiTheme="minorHAnsi" w:hAnsiTheme="minorHAnsi" w:eastAsiaTheme="minorEastAsia" w:cstheme="minorBidi"/>
          <w:kern w:val="2"/>
          <w:sz w:val="28"/>
          <w:szCs w:val="28"/>
          <w:highlight w:val="none"/>
          <w:lang w:val="en-US" w:eastAsia="zh-CN" w:bidi="ar-SA"/>
        </w:rPr>
      </w:pPr>
      <w:r>
        <w:rPr>
          <w:rFonts w:hint="default" w:asciiTheme="minorHAnsi" w:hAnsiTheme="minorHAnsi" w:eastAsiaTheme="minorEastAsia" w:cstheme="minorBidi"/>
          <w:kern w:val="2"/>
          <w:sz w:val="28"/>
          <w:szCs w:val="28"/>
          <w:highlight w:val="none"/>
          <w:lang w:val="en-US" w:eastAsia="zh-CN" w:bidi="ar-SA"/>
        </w:rPr>
        <w:t>出铝前应先检查出铝口是否畅通，无堵塞。出铝时应控制流速，防止铝液飞溅伤人。出铝完毕后，应及时清理干净出铝口及周围区域。</w:t>
      </w:r>
    </w:p>
    <w:p w14:paraId="35DCBD4F">
      <w:pPr>
        <w:rPr>
          <w:rFonts w:hint="default" w:eastAsiaTheme="minorEastAsia"/>
          <w:sz w:val="28"/>
          <w:szCs w:val="28"/>
          <w:lang w:val="en-US" w:eastAsia="zh-CN"/>
        </w:rPr>
      </w:pPr>
    </w:p>
    <w:p w14:paraId="7A744F29">
      <w:pPr>
        <w:rPr>
          <w:rFonts w:hint="default" w:eastAsiaTheme="minorEastAsia"/>
          <w:lang w:val="en-US" w:eastAsia="zh-CN"/>
        </w:rPr>
      </w:pPr>
      <w:r>
        <w:rPr>
          <w:rFonts w:hint="default" w:eastAsiaTheme="minorEastAsia"/>
          <w:lang w:val="en-US" w:eastAsia="zh-CN"/>
        </w:rPr>
        <w:br w:type="page"/>
      </w:r>
    </w:p>
    <w:p w14:paraId="318CBFF8">
      <w:pPr>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12.</w:t>
      </w:r>
      <w:r>
        <w:rPr>
          <w:rFonts w:hint="eastAsia" w:ascii="宋体" w:hAnsi="宋体" w:eastAsia="宋体" w:cs="宋体"/>
          <w:sz w:val="28"/>
          <w:szCs w:val="28"/>
          <w:highlight w:val="none"/>
        </w:rPr>
        <w:t>安全生产规章制度</w:t>
      </w:r>
      <w:r>
        <w:rPr>
          <w:rFonts w:hint="eastAsia" w:ascii="宋体" w:hAnsi="宋体" w:eastAsia="宋体" w:cs="宋体"/>
          <w:sz w:val="28"/>
          <w:szCs w:val="28"/>
          <w:highlight w:val="none"/>
          <w:lang w:val="en-US" w:eastAsia="zh-CN"/>
        </w:rPr>
        <w:t>未</w:t>
      </w:r>
      <w:r>
        <w:rPr>
          <w:rFonts w:hint="eastAsia" w:ascii="宋体" w:hAnsi="宋体" w:eastAsia="宋体" w:cs="宋体"/>
          <w:sz w:val="28"/>
          <w:szCs w:val="28"/>
          <w:highlight w:val="none"/>
        </w:rPr>
        <w:t>包括安全生产资金投入、安全生产例会、风险分级管控、隐患排查治理、应急预案管理、安全生产档案管理、发包（出租）管理、生产安全事故报告和应急救援等方面的内容</w:t>
      </w:r>
    </w:p>
    <w:p w14:paraId="3B4A2120">
      <w:pPr>
        <w:pStyle w:val="2"/>
        <w:spacing w:before="720" w:after="240" w:line="360" w:lineRule="auto"/>
        <w:jc w:val="center"/>
        <w:rPr>
          <w:rFonts w:hint="eastAsia" w:ascii="仿宋_GB2312" w:hAnsi="仿宋_GB2312" w:eastAsia="仿宋_GB2312" w:cs="仿宋_GB2312"/>
          <w:b w:val="0"/>
          <w:sz w:val="36"/>
          <w:szCs w:val="36"/>
        </w:rPr>
      </w:pPr>
      <w:r>
        <w:rPr>
          <w:rFonts w:hint="eastAsia" w:ascii="仿宋_GB2312" w:hAnsi="仿宋_GB2312" w:eastAsia="仿宋_GB2312" w:cs="仿宋_GB2312"/>
          <w:b w:val="0"/>
          <w:sz w:val="36"/>
          <w:szCs w:val="36"/>
        </w:rPr>
        <w:t>5.安全生产费用提取和使用管理制度</w:t>
      </w:r>
    </w:p>
    <w:p w14:paraId="408A4A69">
      <w:p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一、目的</w:t>
      </w:r>
    </w:p>
    <w:p w14:paraId="01D2A7DF">
      <w:pPr>
        <w:spacing w:line="360" w:lineRule="auto"/>
        <w:ind w:firstLine="480" w:firstLineChars="200"/>
        <w:rPr>
          <w:rFonts w:hint="eastAsia" w:ascii="仿宋_GB2312" w:hAnsi="仿宋_GB2312" w:eastAsia="仿宋_GB2312" w:cs="仿宋_GB2312"/>
          <w:b/>
          <w:sz w:val="24"/>
          <w:szCs w:val="24"/>
        </w:rPr>
      </w:pPr>
      <w:r>
        <w:rPr>
          <w:rFonts w:hint="eastAsia" w:ascii="仿宋_GB2312" w:hAnsi="仿宋_GB2312" w:eastAsia="仿宋_GB2312" w:cs="仿宋_GB2312"/>
          <w:sz w:val="24"/>
          <w:szCs w:val="24"/>
        </w:rPr>
        <w:t>为了搞好公司安全生产费用的管理工作，保障安全生产费用切实为员工落实，维护员工的合法权益，确保公司生产、经营的有序进行。根据《中华人民共和国安全生产法》、《企业安全生产费用提取和使用管理办法》（企财[2015]16号）中的各项规定，特制定《安全生产费用提取和使用管理制度》。</w:t>
      </w:r>
    </w:p>
    <w:p w14:paraId="5F48CBBA">
      <w:p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二、 适用范围</w:t>
      </w:r>
    </w:p>
    <w:p w14:paraId="0A43359C">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本制度适用于本公司安全生产费用的管理。</w:t>
      </w:r>
    </w:p>
    <w:p w14:paraId="3BC9A4A2">
      <w:p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三、术语与定义</w:t>
      </w:r>
    </w:p>
    <w:p w14:paraId="7E7C1EE3">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安全生产费用是指企业按照相关规定制定标准提取，在成本中列支，专门用于完善和改进企业安全生产条件的资金。</w:t>
      </w:r>
    </w:p>
    <w:p w14:paraId="18AD2402">
      <w:p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四、 机构与职责</w:t>
      </w:r>
    </w:p>
    <w:p w14:paraId="79A7AB17">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4.1总经理对安全生产费用全面领导，审批安全费用提取、安全投入计划、经费使用报告、安全经费提取和使用情况年度报告。</w:t>
      </w:r>
    </w:p>
    <w:p w14:paraId="2627FD49">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4.2 安全生产领导小组负责监督检查安全投入落实情况，每季度对安全生产费用是否落实进行审核。</w:t>
      </w:r>
    </w:p>
    <w:p w14:paraId="63AFB407">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4.3 财务部门负责对安全生产资金进行统一管理，审查安全生产费用提取、使用计划等，根据年度安全费用使用计划，做好资金的投入落实工作，建立安全生产费用台帐。</w:t>
      </w:r>
    </w:p>
    <w:p w14:paraId="7C4B53E5">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4.4</w:t>
      </w:r>
      <w:r>
        <w:rPr>
          <w:rFonts w:hint="eastAsia" w:ascii="仿宋_GB2312" w:hAnsi="仿宋_GB2312" w:eastAsia="仿宋_GB2312" w:cs="仿宋_GB2312"/>
          <w:kern w:val="0"/>
          <w:sz w:val="24"/>
          <w:szCs w:val="24"/>
        </w:rPr>
        <w:t>安全管理部门（公司行政部）</w:t>
      </w:r>
      <w:r>
        <w:rPr>
          <w:rFonts w:hint="eastAsia" w:ascii="仿宋_GB2312" w:hAnsi="仿宋_GB2312" w:eastAsia="仿宋_GB2312" w:cs="仿宋_GB2312"/>
          <w:sz w:val="24"/>
          <w:szCs w:val="24"/>
        </w:rPr>
        <w:t>负责组织编制年度安全生产费用使用计划，并负责安全生产费用的使用和落实工作。</w:t>
      </w:r>
    </w:p>
    <w:p w14:paraId="2F3C71F0">
      <w:p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五、 管理内容与要求</w:t>
      </w:r>
    </w:p>
    <w:p w14:paraId="116792D8">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5.1 按照国家规定，每年提取公司销售额的一定比例作为公司的安全费用；安全生产费用是指企业按照规定标准提取，在成本中列支，专门用于完善和改进企业安全生产条件的资金。</w:t>
      </w:r>
    </w:p>
    <w:p w14:paraId="053CA4EB">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5.2 安全生产费用应按照“企业提取、政府监管、确保需要、规范使用”的原则进行管理，财务部门应将安全生产费用纳入财务计划，保证专款专用，监督其合理使用。</w:t>
      </w:r>
    </w:p>
    <w:p w14:paraId="35CB0598">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5.3 安全生产费用适用于以下生产事项</w:t>
      </w:r>
    </w:p>
    <w:p w14:paraId="52AF485D">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5.3.1 完善、改造和维护安全防护设备设施；</w:t>
      </w:r>
    </w:p>
    <w:p w14:paraId="00DB58B5">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5.3.2 安全生产教育培训和配备劳动防护用品；</w:t>
      </w:r>
    </w:p>
    <w:p w14:paraId="116ED647">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5.3.3 安全评价、重大危险源监控、事故隐患评估和整改；</w:t>
      </w:r>
    </w:p>
    <w:p w14:paraId="76B6E8F6">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5.3.4 职业危害防治，职业危害因素监测、事故隐患和职业健康体检；</w:t>
      </w:r>
    </w:p>
    <w:p w14:paraId="02FDB828">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5.3.5 设备设施安全性能检测检验；</w:t>
      </w:r>
    </w:p>
    <w:p w14:paraId="0643EE0A">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5.3.6 应急救援器材、装备的配备及应急救援演练；</w:t>
      </w:r>
    </w:p>
    <w:p w14:paraId="2746DBB6">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5.3.7 安全标志和标识；</w:t>
      </w:r>
    </w:p>
    <w:p w14:paraId="5031BEA6">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5.3.8 其他和安全生产直接相关的物品或者活动。</w:t>
      </w:r>
    </w:p>
    <w:p w14:paraId="7654E3DA">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5.4 安全生产费用操作流程</w:t>
      </w:r>
    </w:p>
    <w:p w14:paraId="40DF1F75">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5.4.1 每年年初公司安全生产领导小组应牵头与生产、设备、行政、财务等部门共同制定本年度的安全生产费用初步使用计划，交予总经理批准后实施；</w:t>
      </w:r>
    </w:p>
    <w:p w14:paraId="0603F212">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5.4.2 安全生产费用使用计划批准后由财务对其资金进行提取和发放，收回发票等相关使用证明依据。年度结余资金结转下年度使用，安全生产费用不足的，超出部分按正常成本费用渠道列支报予总经理审核、批准。</w:t>
      </w:r>
    </w:p>
    <w:p w14:paraId="1EADB497">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5.5 安全生产费用检查</w:t>
      </w:r>
    </w:p>
    <w:p w14:paraId="6E6A63C9">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5.5.1</w:t>
      </w:r>
      <w:r>
        <w:rPr>
          <w:rFonts w:hint="eastAsia" w:ascii="仿宋_GB2312" w:hAnsi="仿宋_GB2312" w:eastAsia="仿宋_GB2312" w:cs="仿宋_GB2312"/>
          <w:kern w:val="0"/>
          <w:sz w:val="24"/>
          <w:szCs w:val="24"/>
        </w:rPr>
        <w:t>行政部</w:t>
      </w:r>
      <w:r>
        <w:rPr>
          <w:rFonts w:hint="eastAsia" w:ascii="仿宋_GB2312" w:hAnsi="仿宋_GB2312" w:eastAsia="仿宋_GB2312" w:cs="仿宋_GB2312"/>
          <w:sz w:val="24"/>
          <w:szCs w:val="24"/>
        </w:rPr>
        <w:t>监督安全生产费用的落实工作；</w:t>
      </w:r>
    </w:p>
    <w:p w14:paraId="253B6B53">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5.5.2 财务部门建立安全生产费用的台账，具体列支每项费用的支出和使用的负责人，并在台账后附加收回相应的发票收据，每季度由财务部门自查，安全生产领导小组对安全生产费用进行核对；</w:t>
      </w:r>
    </w:p>
    <w:p w14:paraId="0A21D6A8">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5.5.3 每年年终财务整理安全生产费用台账，在公司年度会议中报予总经理审核。</w:t>
      </w:r>
    </w:p>
    <w:p w14:paraId="5E78ED75">
      <w:pPr>
        <w:rPr>
          <w:rFonts w:hint="eastAsia" w:ascii="宋体" w:hAnsi="宋体" w:eastAsia="宋体" w:cs="宋体"/>
          <w:sz w:val="28"/>
          <w:szCs w:val="28"/>
          <w:highlight w:val="none"/>
          <w:lang w:val="en-US" w:eastAsia="zh-CN"/>
        </w:rPr>
      </w:pPr>
    </w:p>
    <w:p w14:paraId="659442DF">
      <w:pPr>
        <w:pStyle w:val="2"/>
        <w:spacing w:before="720" w:after="240" w:line="360" w:lineRule="auto"/>
        <w:jc w:val="center"/>
        <w:rPr>
          <w:rFonts w:hint="eastAsia" w:ascii="仿宋_GB2312" w:hAnsi="仿宋_GB2312" w:eastAsia="仿宋_GB2312" w:cs="仿宋_GB2312"/>
          <w:b w:val="0"/>
          <w:sz w:val="36"/>
          <w:szCs w:val="36"/>
        </w:rPr>
      </w:pPr>
      <w:r>
        <w:rPr>
          <w:rFonts w:hint="eastAsia" w:ascii="仿宋_GB2312" w:hAnsi="仿宋_GB2312" w:eastAsia="仿宋_GB2312" w:cs="仿宋_GB2312"/>
          <w:b w:val="0"/>
          <w:sz w:val="36"/>
          <w:szCs w:val="36"/>
        </w:rPr>
        <w:t>16.安全生产例会制度</w:t>
      </w:r>
    </w:p>
    <w:p w14:paraId="405D58F5">
      <w:p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一、目的</w:t>
      </w:r>
    </w:p>
    <w:p w14:paraId="49B1D404">
      <w:pPr>
        <w:spacing w:line="360" w:lineRule="auto"/>
        <w:ind w:firstLine="480" w:firstLineChars="200"/>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为了进一步贯彻落实“安全第一，预防为主，综合治理”的方针，强化各级安全生产责任制，确保安全生产，特制定本制度。</w:t>
      </w:r>
    </w:p>
    <w:p w14:paraId="5319C792">
      <w:p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二、 适用范围</w:t>
      </w:r>
    </w:p>
    <w:p w14:paraId="36CB6E8B">
      <w:pPr>
        <w:spacing w:line="360" w:lineRule="auto"/>
        <w:ind w:firstLine="480" w:firstLineChars="200"/>
        <w:rPr>
          <w:rFonts w:hint="eastAsia" w:ascii="仿宋_GB2312" w:hAnsi="仿宋_GB2312" w:eastAsia="仿宋_GB2312" w:cs="仿宋_GB2312"/>
          <w:b/>
          <w:sz w:val="24"/>
          <w:szCs w:val="24"/>
        </w:rPr>
      </w:pPr>
      <w:r>
        <w:rPr>
          <w:rFonts w:hint="eastAsia" w:ascii="仿宋_GB2312" w:hAnsi="仿宋_GB2312" w:eastAsia="仿宋_GB2312" w:cs="仿宋_GB2312"/>
          <w:sz w:val="24"/>
          <w:szCs w:val="24"/>
        </w:rPr>
        <w:t>公司所有部门及班组。</w:t>
      </w:r>
    </w:p>
    <w:p w14:paraId="0789F911">
      <w:p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三、 机构与职责</w:t>
      </w:r>
    </w:p>
    <w:p w14:paraId="5105C76B">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3.1 主要负责人</w:t>
      </w:r>
    </w:p>
    <w:p w14:paraId="1149FD77">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 xml:space="preserve">    负责定期组织召开安全领导小组会议（或安全生产领导小组会议）。</w:t>
      </w:r>
    </w:p>
    <w:p w14:paraId="693EEFCC">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3.2 行政部</w:t>
      </w:r>
    </w:p>
    <w:p w14:paraId="67BAA214">
      <w:pPr>
        <w:spacing w:line="360" w:lineRule="auto"/>
        <w:ind w:firstLine="480" w:firstLineChars="200"/>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负责本公司的安全生产会议管理，监督本制度的执行。</w:t>
      </w:r>
    </w:p>
    <w:p w14:paraId="040108E0">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3.3相关部门</w:t>
      </w:r>
    </w:p>
    <w:p w14:paraId="0ACA4764">
      <w:pPr>
        <w:spacing w:line="360" w:lineRule="auto"/>
        <w:ind w:firstLine="480" w:firstLineChars="200"/>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公司各部门、车间在日常工作中贯彻执行本制度。</w:t>
      </w:r>
    </w:p>
    <w:p w14:paraId="107BD89E">
      <w:p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四、管理内容与要求</w:t>
      </w:r>
    </w:p>
    <w:p w14:paraId="7A753988">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 会议分类</w:t>
      </w:r>
    </w:p>
    <w:p w14:paraId="236E9CC9">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4.1.1、公司级会议。公司或公司指派职能部门组织召开的安全会议，包括安全生产领导小组会议，安全生产例会、政府安监部门等有关部门在公司的安全工作会议。</w:t>
      </w:r>
    </w:p>
    <w:p w14:paraId="56CA92B2">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4.1.2、部门级安全会议。部门组织召开的安全会议，包括部门安全例会，事故报告会等。</w:t>
      </w:r>
    </w:p>
    <w:p w14:paraId="3C981563">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4.1.3、车间级安全会议。各车间组织召开的安全会议，包括例会，事故分析会等。</w:t>
      </w:r>
    </w:p>
    <w:p w14:paraId="353D2FE5">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4.1.4、现场会议。在生产现场召开的安全会议，包括调度会议，交接班会、现场事故分析会等</w:t>
      </w:r>
    </w:p>
    <w:p w14:paraId="011FC7AB">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4.2 会议内容</w:t>
      </w:r>
    </w:p>
    <w:p w14:paraId="4AAECF3A">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4.2.1、公司级会议：集中学习新的安全生产法规、条例及有关文件精神，总结前期安全工作，安排下期安全工作任务，上级指示传达，各部门的安全生产情况汇报。重大事故安全分析，分析安全生产形势、提出应对措施及其他重要事项等。</w:t>
      </w:r>
    </w:p>
    <w:p w14:paraId="4E6411B5">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4.2.2、部门级安全会议：集中学习新的安全生产法规、条例及有关文件精神，总结部门前期安全工作，安排下期部门安全工作任务，传达公司最新指示，事故案例分析等。</w:t>
      </w:r>
    </w:p>
    <w:p w14:paraId="42B9C332">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4.2.3、车间级安全会议：集中学习安全生产法规、条例、公司规章制度、部门规定，公司、部门最新指示，事故案例分析等。</w:t>
      </w:r>
    </w:p>
    <w:p w14:paraId="31C9B131">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4.2.4、现场安全工作会议内容根据安全生产情况，可自行安排。</w:t>
      </w:r>
    </w:p>
    <w:p w14:paraId="0B11A95B">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4.3 会议要求</w:t>
      </w:r>
    </w:p>
    <w:p w14:paraId="4D668EFC">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4.3.1、会议要求讲究实效，主持人要在会前充分准备，确定议题，提出意见。</w:t>
      </w:r>
    </w:p>
    <w:p w14:paraId="448F633C">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4.3.2、发言和交换意见要内容具体，语言简明扼要。</w:t>
      </w:r>
    </w:p>
    <w:p w14:paraId="282E6128">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4.3.3、会议内容要有记录，安全生产领导小组会议要形成会议纪要。形成决议的问题要由相关部门迅速赋予实施。</w:t>
      </w:r>
    </w:p>
    <w:p w14:paraId="4974F924">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4.3.4、参会人员应准时到会，因事不能到会（或不能准时到会）应提前向会议组织部门请假。会议组织人员应在开会前5分钟到达会议地点，与会人员应在开会前3-5分钟到达会议地点。参加会议人员填写，由会议组织部门进行考勤。</w:t>
      </w:r>
    </w:p>
    <w:p w14:paraId="640DFB0B">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4.3.5、公司安全生产领导小组、部门定期组织召开安全生产例会。</w:t>
      </w:r>
    </w:p>
    <w:p w14:paraId="2DEB32EA">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1）安全生产领导小组每季度至少召开一次安全生产例会，正常情况下公司每月下旬召开安全生产工作例会。</w:t>
      </w:r>
    </w:p>
    <w:p w14:paraId="57DE7627">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2）车间每月至少召开一次安全生产会议，可与其他会议合并召开。</w:t>
      </w:r>
    </w:p>
    <w:p w14:paraId="4A60B709">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3）班组采用班前会、班后会形式召开班组会议，也可与班组安全活动结合进行。</w:t>
      </w:r>
    </w:p>
    <w:p w14:paraId="3DDEDBC2">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4.3.6、会议主持人由主管生产安全的人员担任。公司级安全会议由总经理、分管安全总经理担任，部门级安全会议由部门负责人担任，车间级安全会议由车间主任担任。其他现场会议根据实际情况确定。</w:t>
      </w:r>
    </w:p>
    <w:p w14:paraId="29F956F6">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4.4 会议记录及跟踪</w:t>
      </w:r>
    </w:p>
    <w:p w14:paraId="414FA523">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4.4.1、各级安全生产会议的组织者负责完成会议记录或纪要，并妥善保管；</w:t>
      </w:r>
    </w:p>
    <w:p w14:paraId="360FE0C5">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4.4.2、会议组织者或会议指定部门（或人员）负责对会议决议的跟催，并负责向会议主持人或相关领导汇报。</w:t>
      </w:r>
    </w:p>
    <w:p w14:paraId="1D3CC752">
      <w:p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五 相关记录</w:t>
      </w:r>
    </w:p>
    <w:p w14:paraId="75F60354">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安全生产会议记录</w:t>
      </w:r>
    </w:p>
    <w:p w14:paraId="05340006">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会议纪要</w:t>
      </w:r>
    </w:p>
    <w:p w14:paraId="4E325EE9">
      <w:pPr>
        <w:pStyle w:val="2"/>
        <w:spacing w:before="720" w:after="240" w:line="360" w:lineRule="auto"/>
        <w:jc w:val="center"/>
        <w:rPr>
          <w:rFonts w:hint="eastAsia" w:ascii="仿宋_GB2312" w:hAnsi="仿宋_GB2312" w:eastAsia="仿宋_GB2312" w:cs="仿宋_GB2312"/>
          <w:b w:val="0"/>
          <w:sz w:val="36"/>
          <w:szCs w:val="36"/>
        </w:rPr>
      </w:pPr>
      <w:r>
        <w:rPr>
          <w:rFonts w:hint="eastAsia" w:ascii="仿宋_GB2312" w:hAnsi="仿宋_GB2312" w:eastAsia="仿宋_GB2312" w:cs="仿宋_GB2312"/>
          <w:b w:val="0"/>
          <w:sz w:val="36"/>
          <w:szCs w:val="36"/>
        </w:rPr>
        <w:t>14.档案管理制度</w:t>
      </w:r>
    </w:p>
    <w:p w14:paraId="5087FA47">
      <w:p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一、目的</w:t>
      </w:r>
    </w:p>
    <w:p w14:paraId="0E32F318">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安全生产管理文件使用及档案管理的失控将会给安全生产管理工作带来重大的影响。为加强对档案资料的管理，明确责任部门/人员、流程、形式、权限及各类安全生产档案及保存要求等，确保资料保存的完整性、连续性、真实性和准确性，以便后续借鉴；使档案管理工作进一步规范化、制度化、科学化。</w:t>
      </w:r>
    </w:p>
    <w:p w14:paraId="18C1A917">
      <w:p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二、 适用范围</w:t>
      </w:r>
    </w:p>
    <w:p w14:paraId="1B301F11">
      <w:pPr>
        <w:spacing w:line="360" w:lineRule="auto"/>
        <w:ind w:firstLine="480" w:firstLineChars="200"/>
        <w:rPr>
          <w:rFonts w:hint="eastAsia" w:ascii="仿宋_GB2312" w:hAnsi="仿宋_GB2312" w:eastAsia="仿宋_GB2312" w:cs="仿宋_GB2312"/>
          <w:b/>
          <w:sz w:val="24"/>
          <w:szCs w:val="24"/>
        </w:rPr>
      </w:pPr>
      <w:r>
        <w:rPr>
          <w:rFonts w:hint="eastAsia" w:ascii="仿宋_GB2312" w:hAnsi="仿宋_GB2312" w:eastAsia="仿宋_GB2312" w:cs="仿宋_GB2312"/>
          <w:sz w:val="24"/>
          <w:szCs w:val="24"/>
        </w:rPr>
        <w:t>本制度适用于本公司的安全生产管理文件使用及档案管理。</w:t>
      </w:r>
    </w:p>
    <w:p w14:paraId="536BBF62">
      <w:p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三、 机构与职责</w:t>
      </w:r>
    </w:p>
    <w:p w14:paraId="454C89B4">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b/>
          <w:sz w:val="24"/>
          <w:szCs w:val="24"/>
        </w:rPr>
        <w:t>3.1</w:t>
      </w:r>
      <w:r>
        <w:rPr>
          <w:rFonts w:hint="eastAsia" w:ascii="仿宋_GB2312" w:hAnsi="仿宋_GB2312" w:eastAsia="仿宋_GB2312" w:cs="仿宋_GB2312"/>
          <w:sz w:val="24"/>
          <w:szCs w:val="24"/>
        </w:rPr>
        <w:t>公司设立档案室，隶属于行政部，并设置档案管理员，负责档案资料的归档督促和日常管理工作。公司制定明确的档案管理员岗位职责，档案管理员必须严格履行职责，根据档案的重要性和保密程度分为公司级和部门级，公司级档案应按标准规范进行分类，有规范的档案编号和标签，并建立电子与纸张分类目录。</w:t>
      </w:r>
    </w:p>
    <w:p w14:paraId="536675A8">
      <w:p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 xml:space="preserve">3.2  </w:t>
      </w:r>
      <w:r>
        <w:rPr>
          <w:rFonts w:hint="eastAsia" w:ascii="仿宋_GB2312" w:hAnsi="仿宋_GB2312" w:eastAsia="仿宋_GB2312" w:cs="仿宋_GB2312"/>
          <w:sz w:val="24"/>
          <w:szCs w:val="24"/>
        </w:rPr>
        <w:t>各部门资料管理：所属各部门必须设兼职的资料管理员，制定明确的资料管理员岗位职责，规范部门档案管理，实行部门档案与公司档案归口管理。档案的借阅和移交、销毁，必须按照公司管理规定执行。</w:t>
      </w:r>
    </w:p>
    <w:p w14:paraId="19B59575">
      <w:p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四 、档案管理程序</w:t>
      </w:r>
    </w:p>
    <w:p w14:paraId="2A6336E5">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4.1安全生产档案归档范围包括：</w:t>
      </w:r>
    </w:p>
    <w:p w14:paraId="533B537F">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（1）安全生产领导小组成员名单及变动记录，安全标准化体系各类文件。</w:t>
      </w:r>
    </w:p>
    <w:p w14:paraId="35138268">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（2）安全机构设置情况及专职、兼职安全员名单；</w:t>
      </w:r>
    </w:p>
    <w:p w14:paraId="706FD299">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（3）特种作业人员操作资格证件及人员名单；</w:t>
      </w:r>
    </w:p>
    <w:p w14:paraId="4622FBB9">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（4）特种设备清单及有关档案资料；</w:t>
      </w:r>
    </w:p>
    <w:p w14:paraId="3766A020">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（5）危险源（点）资料及三级危险源（点）管理清单；</w:t>
      </w:r>
    </w:p>
    <w:p w14:paraId="64E78A21">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（6）作业环境监测资料（粉尘浓度监测、风速、风量监测、环境监测、噪声测定等）；</w:t>
      </w:r>
    </w:p>
    <w:p w14:paraId="48F1DD88">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（7）员工健康档案及健康监护资料；</w:t>
      </w:r>
    </w:p>
    <w:p w14:paraId="4FE21AE1">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（8）职业病人档案及监护资料；</w:t>
      </w:r>
    </w:p>
    <w:p w14:paraId="08E9ED50">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（9）安全生产检查记录及整改情况；</w:t>
      </w:r>
    </w:p>
    <w:p w14:paraId="1CAF2847">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（10）安全例会及安全日、月活动记录。</w:t>
      </w:r>
    </w:p>
    <w:p w14:paraId="7B980E1A">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（11）员工代表大会关于安全生产的提案及整改落实情况；</w:t>
      </w:r>
    </w:p>
    <w:p w14:paraId="44556064">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（12）安全生产事故记录和统计资料；</w:t>
      </w:r>
    </w:p>
    <w:p w14:paraId="51E601A5">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（13）员工伤亡事故登记表等有关伤亡事故管理的档案资料；</w:t>
      </w:r>
    </w:p>
    <w:p w14:paraId="3D51B7EE">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（14）安全生产管理制度及岗位操作规程及作业安全规程，并汇编成册；</w:t>
      </w:r>
    </w:p>
    <w:p w14:paraId="26443E0E">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（15）安全措施费用的提取和使用情况；</w:t>
      </w:r>
    </w:p>
    <w:p w14:paraId="192ECB44">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（16）安全教育培训记录；</w:t>
      </w:r>
    </w:p>
    <w:p w14:paraId="149DA9F0">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（17）事故应急救援预案，事故应急救援演练及实施记录；</w:t>
      </w:r>
    </w:p>
    <w:p w14:paraId="3D257996">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4.1.1档案质量</w:t>
      </w:r>
    </w:p>
    <w:p w14:paraId="256C09A3">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4.1.2档案封面应逐项按照规定用碳素钢笔或中性笔书写，字迹要工整，清晰，封面题名应能准确反映出卷内文件材料的内容。</w:t>
      </w:r>
    </w:p>
    <w:p w14:paraId="54E8CD0C">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4.1.3档案文件禁止使用铅笔、圆珠笔、复写纸。破损的档案文件要进行修复处理。</w:t>
      </w:r>
    </w:p>
    <w:p w14:paraId="04756EA2">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4.1.4档案必须遵循文件材料形成的规律和特点，保持文件材料之间的联系，区分不同的价值，便于保管和利用。</w:t>
      </w:r>
    </w:p>
    <w:p w14:paraId="2D6C3723">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4.1.5档案盒表面为《档案目录》，档案盒内文件没有提名的，由档案人员根据内容拟定标题。</w:t>
      </w:r>
    </w:p>
    <w:p w14:paraId="392A916F">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4.1.6档案盒封面应注明立卷人，审核人，立卷时间。</w:t>
      </w:r>
    </w:p>
    <w:p w14:paraId="7E852946">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4.2立档</w:t>
      </w:r>
    </w:p>
    <w:p w14:paraId="0502D295">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4.2.1档案文件材料按照批复在前，请示在后，正件在前，附件在后，印件在前，定稿在后，重要法规性文件的历次稿件排列在定稿之后。</w:t>
      </w:r>
    </w:p>
    <w:p w14:paraId="3DAA78C9">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4.2.2跨年度的请示与批复，有批复的在批复年立卷，无批复的放在请示年立卷；跨年度会议文件放在会议开幕年立卷；跨年度的规划放在第一年立卷；跨年度总结放在最后一年立卷。</w:t>
      </w:r>
    </w:p>
    <w:p w14:paraId="3E87D399">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4.2.3档案文件资料按时间顺序排列，收交时公文处理用纸在前，收文在后；内部制发文件，发文正稿在前，依次为公文处理用纸，发文底稿。</w:t>
      </w:r>
    </w:p>
    <w:p w14:paraId="19DA07E0">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4.3 归档类别</w:t>
      </w:r>
    </w:p>
    <w:p w14:paraId="289C02A9">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4.3.1 公司安全生产档案整理应根据自身实际情况设立类目。安全生产档案类目设置要层次分明，概念明确，案卷排列应反映本企业安全生产档案的分类体系，便于科学管理与利用。</w:t>
      </w:r>
    </w:p>
    <w:p w14:paraId="1C1A9940">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公司安全生产档案按档案的范围宜设置以下类别：</w:t>
      </w:r>
    </w:p>
    <w:p w14:paraId="2F0E59D1">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（一）安全组织</w:t>
      </w:r>
    </w:p>
    <w:p w14:paraId="0FBAC5C6">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（二）安全规章制度</w:t>
      </w:r>
    </w:p>
    <w:p w14:paraId="0706BFA3">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（三）监督执法检查</w:t>
      </w:r>
    </w:p>
    <w:p w14:paraId="1EB3AF56">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（四）安全检查</w:t>
      </w:r>
    </w:p>
    <w:p w14:paraId="36D7F335">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（五）教育培训</w:t>
      </w:r>
    </w:p>
    <w:p w14:paraId="2BB3B040">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（六）安全投入</w:t>
      </w:r>
    </w:p>
    <w:p w14:paraId="7131B4C9">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（七）工伤保险</w:t>
      </w:r>
    </w:p>
    <w:p w14:paraId="1023B1E1">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（八）职业病防治</w:t>
      </w:r>
    </w:p>
    <w:p w14:paraId="2939E97C">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（九）劳动防护用品</w:t>
      </w:r>
    </w:p>
    <w:p w14:paraId="4188A5E4">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（十）“三同时”管理</w:t>
      </w:r>
    </w:p>
    <w:p w14:paraId="04FE4C41">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（十一）安全防护设备管理</w:t>
      </w:r>
    </w:p>
    <w:p w14:paraId="4CF327A4">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（十二）安全用电管理</w:t>
      </w:r>
    </w:p>
    <w:p w14:paraId="29066833">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（十三）特种设备管理</w:t>
      </w:r>
    </w:p>
    <w:p w14:paraId="678FC82A">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（十四）事故管理</w:t>
      </w:r>
    </w:p>
    <w:p w14:paraId="79EFC06C">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4.3.2 特殊载体安全生产档案(录像带、照片、磁盘等)可按载体形式、所反映问题或形成时间进行分类编目。</w:t>
      </w:r>
    </w:p>
    <w:p w14:paraId="5C82681D">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4.3.3 特殊载体安全生产档案要遵照有关照片、声像、电子档案的标准，按其载体形式分别保存，并注明与相关纸质档案的互见号。</w:t>
      </w:r>
    </w:p>
    <w:p w14:paraId="35A95AA3">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4.4档案编号</w:t>
      </w:r>
    </w:p>
    <w:p w14:paraId="1CD259AC">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4.4.1档案分类各级名称经确定后，应编制《档案登记目录表》，将所有分类各级名称及其代表数字编号，用一定顺序依次排列，以便查阅。</w:t>
      </w:r>
    </w:p>
    <w:p w14:paraId="0A88877F">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4.4.2档案分类各级名称及其代表数字一经确定，不宜任意修改，如确有修改必要，应事先审查讨论，并拟定新旧档案分类编号对照表，以免混淆。</w:t>
      </w:r>
    </w:p>
    <w:p w14:paraId="2CFFB533">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4.4.3公司档案员负责对各部门文件材料的收集、整理，按照《档案登记目录表》条款“对号入座”，各部门要积极配合公司档案管理工作。</w:t>
      </w:r>
    </w:p>
    <w:p w14:paraId="704EF543">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4.5归档及保存年限</w:t>
      </w:r>
    </w:p>
    <w:p w14:paraId="2BBD4B20">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4.5.1归档的文件资料，应按自然形成，保持历史联系的原则和归档要求特征及文件内容进行归档，在一个卷内要按问题或者文件形成的时间，系统的排列并填写《卷内目录》。</w:t>
      </w:r>
    </w:p>
    <w:p w14:paraId="6C5FF129">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4.5.2归档的同类文件资料在卷内应按保存期限分别装订，保存期限分为定期和永久。企业档案的保管期限定为永久、定期两种，定期一般分为30年、10年。</w:t>
      </w:r>
    </w:p>
    <w:p w14:paraId="68B7BEFF">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4.5.2.1 永久</w:t>
      </w:r>
    </w:p>
    <w:p w14:paraId="173433AD">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安全技术管理制度、办法、总结，自然灾害、生产安全事故抢救、调查、处理文件材料；</w:t>
      </w:r>
    </w:p>
    <w:p w14:paraId="22800833">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4.5.2.2 30年</w:t>
      </w:r>
    </w:p>
    <w:p w14:paraId="3C1875BD">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安全技术管理规划、计划、通报、会议记录、安全体系建设文件材料等</w:t>
      </w:r>
    </w:p>
    <w:p w14:paraId="6C673F85">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4.5.2.3 10年</w:t>
      </w:r>
    </w:p>
    <w:p w14:paraId="6BBA4399">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安全、消防教育、应急演练活动文件材料 </w:t>
      </w:r>
    </w:p>
    <w:p w14:paraId="22809996">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4.5.3  公司可根据实际情况拟订文件资料保存期限的补充规定。</w:t>
      </w:r>
    </w:p>
    <w:p w14:paraId="34C661A8">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4.5.4  归档的文件资料种类，份数以及每份的页数均应齐全完整，每份文件的正件与附件，印件与定稿，请示与批复，转发文件与原件，多种文字形成的同一文件，均不得分开。 </w:t>
      </w:r>
    </w:p>
    <w:p w14:paraId="4E1208D1">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4.5.5 按归档要求进行装订、编号、填写卷内目录表。全部档案组成后，要对档案做统一排列并编写档号。</w:t>
      </w:r>
    </w:p>
    <w:p w14:paraId="1A4C35AF">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4.6 档案日常管理</w:t>
      </w:r>
    </w:p>
    <w:p w14:paraId="7F9F0F3B">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4.6.1借阅</w:t>
      </w:r>
    </w:p>
    <w:p w14:paraId="7270FE67">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4.6.1.1借阅手续：</w:t>
      </w:r>
    </w:p>
    <w:p w14:paraId="39842E3B">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（1）各部门经办人员因业务需要借阅档案时，应由其部门负责人出示书面借阅条向档案员借阅，经办人必须在公司借阅登记表上签字。</w:t>
      </w:r>
    </w:p>
    <w:p w14:paraId="16F61783">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（2）档案员接到借阅条，经核查后，取出该项档案，并在借阅登记表上注明借出日期和归还日期，以备及时催还。</w:t>
      </w:r>
    </w:p>
    <w:p w14:paraId="17F5CCE8">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（3）档案归还时，经档案员核查无异后，档案即归入档夹，填写归还日期，在记录上写明“已还”字样。</w:t>
      </w:r>
    </w:p>
    <w:p w14:paraId="16B1AF80">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4.6.1.2借阅人不得转借、拆卸、调换、污损所借的档案，不得在文件上圈点、画线和涂改，未经批准不得复印和摘抄档案。</w:t>
      </w:r>
    </w:p>
    <w:p w14:paraId="6820C712">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4.6.1.3借阅人确因工作原因需要复印文件或摘抄文件，需借阅部门负责人书面请示，经行政部主任批准。</w:t>
      </w:r>
    </w:p>
    <w:p w14:paraId="602A6D85">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4.6.1.4借阅人应于规定期限内归还。如有其他人借阅同一档案时，应变更借阅登记，不得私自授受。</w:t>
      </w:r>
    </w:p>
    <w:p w14:paraId="368C2614">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4.6.2销毁</w:t>
      </w:r>
    </w:p>
    <w:p w14:paraId="720A4627">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4.6.2.1每年保管期限已满的档案由档案员编制纸质和电子的《档案销毁清册》，报公司负责人审核批准，并指定其监销人后方可进行销毁。《档案销毁清册》需注明：销毁档案目录、公司负责人意见、档案人签章、监销人签章、销毁时间。</w:t>
      </w:r>
    </w:p>
    <w:p w14:paraId="2452378D">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4.6.2.2销前，按照清册清点；销后，在清册上签名盖章，并将监销情况报告本单位负责人。《档案销毁清册》需永久保管。</w:t>
      </w:r>
    </w:p>
    <w:p w14:paraId="5A1DAC1B">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4.6.2.3保管期限已满但仍不能销毁的档案有下列四种：未结清的债权债务；未了事项；正在项目建设期间的建设单位、经核定仍有保存参考价值者。应单独抽出立卷，直到事项完结时为止。</w:t>
      </w:r>
    </w:p>
    <w:p w14:paraId="449E72A1">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4.6.3移交</w:t>
      </w:r>
    </w:p>
    <w:p w14:paraId="7799351F">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4.6.3.1需要进行移交的档案，需由档案员编制《档案移交登记表》，报公司负责人审核批准并指定其监交人后，方可进行移交。《档案移交登记表》需注明：移交档案目录、公司负责人意见、移交方签章、监交人签章、接收方签章、移交时间、移交原因。</w:t>
      </w:r>
    </w:p>
    <w:p w14:paraId="301F5C7B">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4.6.3.2移交前，按照清册清点；移交后，在清册上签字，《档案移交登记表》一式两份，移交方和接收方各一份并永久保管。 </w:t>
      </w:r>
    </w:p>
    <w:p w14:paraId="5D6912F1">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4.6.4保密</w:t>
      </w:r>
    </w:p>
    <w:p w14:paraId="2DDF283E">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4.6.4.1 档案室的任务是集中统一管理公司已形成的全部文件资料档案，维护档案的完整和安全，主动做好档案的提供利用工作。任何无关人员未经许可不得入内。</w:t>
      </w:r>
    </w:p>
    <w:p w14:paraId="38EEFD92">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4.6.4.2 档案员应忠于职守，遵守纪律，保守秘密，树立全心全意为公司各项工作服务的思想，主动，准确，迅速地为利用者提供档案资料。</w:t>
      </w:r>
    </w:p>
    <w:p w14:paraId="5EA013BD">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4.6.4.3 爱护档案室的一切设施设备，任何人未经许可不得使用及随意翻动。</w:t>
      </w:r>
    </w:p>
    <w:p w14:paraId="1685040C">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4.7档案库房管理</w:t>
      </w:r>
    </w:p>
    <w:p w14:paraId="4BC6BE04">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设置专门的档案库，对上述要求档案管理的资料进行管理，档案库要按照防火、防盗、防潮、防光、防鼠、防虫、防尘、防污染等库房安全管理要求，配备防盗门窗、灭火器材、温湿度调控设施、遮光窗帘、防虫药品等档案安全保管设施和用品。应关注电子媒体文件和档案的管理，确认是否有规定，能否及时修改等。</w:t>
      </w:r>
    </w:p>
    <w:p w14:paraId="17BED1E8">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4.8附则</w:t>
      </w:r>
    </w:p>
    <w:p w14:paraId="098062AF">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在本制度框架下，公司各部门可根据实际状况制订更为具体的实施细则，但不得与本制度发生冲突，经报行政部备案后，与本制度具有同等效力。</w:t>
      </w:r>
    </w:p>
    <w:p w14:paraId="58C31F7A">
      <w:pPr>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br w:type="page"/>
      </w:r>
    </w:p>
    <w:p w14:paraId="7B8879E4">
      <w:pPr>
        <w:pStyle w:val="2"/>
        <w:spacing w:before="720" w:after="240" w:line="360" w:lineRule="auto"/>
        <w:jc w:val="center"/>
        <w:rPr>
          <w:rFonts w:hint="eastAsia" w:ascii="仿宋_GB2312" w:hAnsi="仿宋_GB2312" w:eastAsia="仿宋_GB2312" w:cs="仿宋_GB2312"/>
          <w:b w:val="0"/>
          <w:sz w:val="36"/>
          <w:szCs w:val="36"/>
        </w:rPr>
      </w:pPr>
      <w:r>
        <w:rPr>
          <w:rFonts w:hint="eastAsia" w:ascii="仿宋_GB2312" w:hAnsi="仿宋_GB2312" w:eastAsia="仿宋_GB2312" w:cs="仿宋_GB2312"/>
          <w:b w:val="0"/>
          <w:sz w:val="36"/>
          <w:szCs w:val="36"/>
        </w:rPr>
        <w:t>41.应急管理制度</w:t>
      </w:r>
    </w:p>
    <w:p w14:paraId="440DF6A1">
      <w:pPr>
        <w:spacing w:line="360" w:lineRule="auto"/>
        <w:rPr>
          <w:rFonts w:hint="eastAsia" w:ascii="仿宋_GB2312" w:hAnsi="仿宋_GB2312" w:eastAsia="仿宋_GB2312" w:cs="仿宋_GB2312"/>
          <w:b/>
          <w:bCs/>
          <w:sz w:val="24"/>
          <w:szCs w:val="24"/>
        </w:rPr>
      </w:pPr>
      <w:r>
        <w:rPr>
          <w:rFonts w:hint="eastAsia" w:ascii="仿宋_GB2312" w:hAnsi="仿宋_GB2312" w:eastAsia="仿宋_GB2312" w:cs="仿宋_GB2312"/>
          <w:b/>
          <w:bCs/>
          <w:sz w:val="24"/>
          <w:szCs w:val="24"/>
        </w:rPr>
        <w:t>一、目的</w:t>
      </w:r>
    </w:p>
    <w:p w14:paraId="0AC01227">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 xml:space="preserve">    为贯彻“安全第一，预防为主，综合治理”的安全生产方针，提高应对风险和防范事故的能力，保障员工的安全健康和生命安全，最大限度的减少财产损失、环境损害和社会影响。根据相关要求制定本制度。 </w:t>
      </w:r>
    </w:p>
    <w:p w14:paraId="78CBC7C0">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二、适用范围</w:t>
      </w:r>
    </w:p>
    <w:p w14:paraId="78709C14">
      <w:pPr>
        <w:spacing w:line="360" w:lineRule="auto"/>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 xml:space="preserve">    本制度适用于公司生产中可能和已发生的安全生产事件的预防和处理。</w:t>
      </w:r>
    </w:p>
    <w:p w14:paraId="2DD5F31A">
      <w:pPr>
        <w:spacing w:line="360" w:lineRule="auto"/>
        <w:rPr>
          <w:rFonts w:hint="eastAsia" w:ascii="仿宋_GB2312" w:hAnsi="仿宋_GB2312" w:eastAsia="仿宋_GB2312" w:cs="仿宋_GB2312"/>
          <w:b/>
          <w:bCs/>
          <w:sz w:val="24"/>
          <w:szCs w:val="24"/>
        </w:rPr>
      </w:pPr>
      <w:r>
        <w:rPr>
          <w:rFonts w:hint="eastAsia" w:ascii="仿宋_GB2312" w:hAnsi="仿宋_GB2312" w:eastAsia="仿宋_GB2312" w:cs="仿宋_GB2312"/>
          <w:b/>
          <w:bCs/>
          <w:sz w:val="24"/>
          <w:szCs w:val="24"/>
        </w:rPr>
        <w:t xml:space="preserve">三、应急救援成员职责： </w:t>
      </w:r>
    </w:p>
    <w:p w14:paraId="7589C189">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3.1总指挥 </w:t>
      </w:r>
    </w:p>
    <w:p w14:paraId="04A58196">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3.1.1全面负责应急处理工作，领导应急处理的指挥和协调，对事故与灾害的紧急处置迅速作出判断与决策； </w:t>
      </w:r>
    </w:p>
    <w:p w14:paraId="3394FE80">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3.1.2复查和评估事故可能发展的方向，确定其可能的发展过程； </w:t>
      </w:r>
    </w:p>
    <w:p w14:paraId="557A3CF3">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3.1.3指挥现场人员撤离，确保任何伤害者都能得到足够的重视； </w:t>
      </w:r>
    </w:p>
    <w:p w14:paraId="01902A65">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3.1.4决定事故现场是否实行交通管制，协助场外应急机构开展服务工作； </w:t>
      </w:r>
    </w:p>
    <w:p w14:paraId="68D3731C">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3.1.5与场外应急机构取得联系及对紧急情况的处理做出安排； </w:t>
      </w:r>
    </w:p>
    <w:p w14:paraId="5333614E">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3.1.6及时向上级安全部门报告重大伤亡事故应急处理工作； </w:t>
      </w:r>
    </w:p>
    <w:p w14:paraId="43366092">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3.1.7在紧急状态结束后，控制受影响地点的恢复，并组织人员参加事故的分析和处理。     </w:t>
      </w:r>
    </w:p>
    <w:p w14:paraId="4729C2E5">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3.2应急救援组长职责</w:t>
      </w:r>
    </w:p>
    <w:p w14:paraId="13119F66">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3.2.1应急救援组长：</w:t>
      </w:r>
    </w:p>
    <w:p w14:paraId="7786BBDF">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3.2.1.1协助总指挥工作，负责组织编写公司总体应急预案，提出抢险报修及避免事故扩大的临时应急方案和措施； </w:t>
      </w:r>
    </w:p>
    <w:p w14:paraId="3870323B">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3.2.1.2指导抢险，实施应急方案和措施并修补实施中的应急方案和措施存在的缺陷； </w:t>
      </w:r>
    </w:p>
    <w:p w14:paraId="6BB26AD3">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3.2.1.3评估事故的规模和发展态势，建立应急步骤，确保员工安全和减少设施和财产损失； </w:t>
      </w:r>
    </w:p>
    <w:p w14:paraId="1555B3FB">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3.2.1.4审核工程安全技术交底资料，发生应急救援事件时为组长决策提供技术支持； </w:t>
      </w:r>
    </w:p>
    <w:p w14:paraId="55215A57">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3.2.1.5组织绘制事故现场平面图，标明重点部位，向外部救援机构提供准确的抢险救援信息资料； </w:t>
      </w:r>
    </w:p>
    <w:p w14:paraId="4197E67B">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3.2.1.6总指挥不在现场时代行工作。 </w:t>
      </w:r>
    </w:p>
    <w:p w14:paraId="0D1A5C3F">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3.2.2应急救援副组长</w:t>
      </w:r>
    </w:p>
    <w:p w14:paraId="7C3941D2">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3.2.2.1负责应急现场的直接指挥以及组织应急救援方案的演练； </w:t>
      </w:r>
    </w:p>
    <w:p w14:paraId="1344BDB4">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3.2.2.2负责组织专业救灾队伍进行事故中心地带的抢救与救灾工作； </w:t>
      </w:r>
    </w:p>
    <w:p w14:paraId="77EC08F0">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3.2.2.3负责组织救灾队伍进行紧急情况下配合或替换专业救灾队伍抢险与救灾，防止事故或灾害扩大与蔓延。在事故调查清楚并定性的条件下，尽快清理现场，恢复生产。 </w:t>
      </w:r>
    </w:p>
    <w:p w14:paraId="19A20259">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3.3协调联络组</w:t>
      </w:r>
    </w:p>
    <w:p w14:paraId="102F6904">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3.3.1设立与应急中心的通讯联络，为应急服务机构提供建议和信息； </w:t>
      </w:r>
    </w:p>
    <w:p w14:paraId="4B326EB9">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3.3.2负责事故或灾害的紧急救险、救灾与处置情况的通讯指令的传达，保证领导指挥机构与各成员之间，本单位与上级和周边单位之间（如地方消防、医疗机构）信息及时沟通，完成调度、汇报、通告与救援工作； </w:t>
      </w:r>
    </w:p>
    <w:p w14:paraId="215ADCF0">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3.3.3负责在整个救险救灾过程中与遇险人员的家属联络和接待，作好精神和生活上的安抚工作； </w:t>
      </w:r>
    </w:p>
    <w:p w14:paraId="0D7D07AB">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3.3.4负责对外消息的发布与澄清事宜； </w:t>
      </w:r>
    </w:p>
    <w:p w14:paraId="25D92D5B">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3.3.5负责保险索赔事宜的处理，做善后事宜； </w:t>
      </w:r>
    </w:p>
    <w:p w14:paraId="666C6EA0">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3.3.6负责应急过程的会议、记录与整理，应急事件结束后向应急领导小组提交会议记录报告。 </w:t>
      </w:r>
    </w:p>
    <w:p w14:paraId="75E39EBD">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3.4后勤保障组</w:t>
      </w:r>
    </w:p>
    <w:p w14:paraId="50532579">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3.4.1负责应急所需的机械、装备、材料、生活保障物资的供应、组织、调集工作；</w:t>
      </w:r>
    </w:p>
    <w:p w14:paraId="51FE552F">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3.5抢险救灾组：救援队 </w:t>
      </w:r>
    </w:p>
    <w:p w14:paraId="17B00944">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3.5.1在第一时间内组织现场安全抢险救灾工作，对抢救过程中的工艺设备、管线以及电力等进行调整和控制，并及时报告应急救援指挥机构报告现场情况； </w:t>
      </w:r>
    </w:p>
    <w:p w14:paraId="1C6291D5">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3.5.2负责组织医疗人员对事故现场受伤人员的临时抢救和临时处置，并协助医护人员护送重伤员到相应的医疗机构治疗； </w:t>
      </w:r>
    </w:p>
    <w:p w14:paraId="1C145935">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3.5.3抢险抢修或救援结束后，直接报告最高管理者并对结果进行复查和评估； </w:t>
      </w:r>
    </w:p>
    <w:p w14:paraId="042A53A3">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3.5.4负责组织调查事故经过，查明事故原因，提出防范措施并提出对事故责任者的处理意见； </w:t>
      </w:r>
    </w:p>
    <w:p w14:paraId="56CFD3B3">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3.5.5应急事件结束后向应急领导小组提交抢险救灾实施报告。</w:t>
      </w:r>
    </w:p>
    <w:p w14:paraId="37EF6847">
      <w:pPr>
        <w:spacing w:line="360" w:lineRule="auto"/>
        <w:rPr>
          <w:rFonts w:hint="eastAsia" w:ascii="仿宋_GB2312" w:hAnsi="仿宋_GB2312" w:eastAsia="仿宋_GB2312" w:cs="仿宋_GB2312"/>
          <w:b/>
          <w:bCs/>
          <w:sz w:val="24"/>
          <w:szCs w:val="24"/>
        </w:rPr>
      </w:pPr>
      <w:r>
        <w:rPr>
          <w:rFonts w:hint="eastAsia" w:ascii="仿宋_GB2312" w:hAnsi="仿宋_GB2312" w:eastAsia="仿宋_GB2312" w:cs="仿宋_GB2312"/>
          <w:b/>
          <w:bCs/>
          <w:sz w:val="24"/>
          <w:szCs w:val="24"/>
        </w:rPr>
        <w:t>主要内容</w:t>
      </w:r>
    </w:p>
    <w:p w14:paraId="1937BA81">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4.1公司成立</w:t>
      </w:r>
      <w:r>
        <w:rPr>
          <w:rFonts w:hint="eastAsia" w:ascii="仿宋_GB2312" w:hAnsi="仿宋_GB2312" w:eastAsia="仿宋_GB2312" w:cs="仿宋_GB2312"/>
          <w:kern w:val="0"/>
          <w:sz w:val="24"/>
          <w:szCs w:val="24"/>
        </w:rPr>
        <w:t>应急救援管理领导小组</w:t>
      </w:r>
      <w:r>
        <w:rPr>
          <w:rFonts w:hint="eastAsia" w:ascii="仿宋_GB2312" w:hAnsi="仿宋_GB2312" w:eastAsia="仿宋_GB2312" w:cs="仿宋_GB2312"/>
          <w:sz w:val="24"/>
          <w:szCs w:val="24"/>
        </w:rPr>
        <w:t>，负责全公司救援工作的组织和指挥。</w:t>
      </w:r>
    </w:p>
    <w:p w14:paraId="6DAECBAF">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sz w:val="24"/>
          <w:szCs w:val="24"/>
        </w:rPr>
        <w:t>4.2应急救援工作总指挥由</w:t>
      </w:r>
      <w:r>
        <w:rPr>
          <w:rFonts w:hint="eastAsia" w:ascii="仿宋_GB2312" w:hAnsi="仿宋_GB2312" w:eastAsia="仿宋_GB2312" w:cs="仿宋_GB2312"/>
          <w:bCs/>
          <w:kern w:val="0"/>
          <w:sz w:val="24"/>
          <w:szCs w:val="24"/>
        </w:rPr>
        <w:t>公司常务副总经理</w:t>
      </w:r>
      <w:r>
        <w:rPr>
          <w:rFonts w:hint="eastAsia" w:ascii="仿宋_GB2312" w:hAnsi="仿宋_GB2312" w:eastAsia="仿宋_GB2312" w:cs="仿宋_GB2312"/>
          <w:sz w:val="24"/>
          <w:szCs w:val="24"/>
        </w:rPr>
        <w:t xml:space="preserve">担任，组长由分管生产的副总经理担任，协调联络由行政部负责，后勤保障由物资部负责。 </w:t>
      </w:r>
      <w:r>
        <w:rPr>
          <w:rFonts w:hint="eastAsia" w:ascii="仿宋_GB2312" w:hAnsi="仿宋_GB2312" w:eastAsia="仿宋_GB2312" w:cs="仿宋_GB2312"/>
          <w:kern w:val="0"/>
          <w:sz w:val="24"/>
          <w:szCs w:val="24"/>
        </w:rPr>
        <w:t xml:space="preserve">           </w:t>
      </w:r>
    </w:p>
    <w:p w14:paraId="32746CF6">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 xml:space="preserve">4.3生产安全事故应急救援预案的编写与修订。安全管理部门（公司行政部）负责预案的编制、修订。预案要符合《安全生产法》，并保持与上级部门预案的衔接。根据国家法律法规及实际演练情况，适时修订《预案》，做到科学、易操作。 </w:t>
      </w:r>
    </w:p>
    <w:p w14:paraId="76D8DB73">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4.4应急管理培训。每年至少进行一次全员应急管理培训，培训内容应当包括：事故预防、危险辩识、事故报告、应急响应、各类事故处置方案、基本救护常识、避灾避险、逃生自救等。</w:t>
      </w:r>
    </w:p>
    <w:p w14:paraId="728B0968">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4.5应急演练。根据年度应急演练计划，每年至少分别安排一次</w:t>
      </w:r>
      <w:r>
        <w:rPr>
          <w:rFonts w:hint="eastAsia" w:ascii="仿宋_GB2312" w:hAnsi="仿宋_GB2312" w:eastAsia="仿宋_GB2312" w:cs="仿宋_GB2312"/>
          <w:sz w:val="24"/>
          <w:szCs w:val="24"/>
        </w:rPr>
        <w:t>桌面演练、功能演练和全面演练</w:t>
      </w:r>
      <w:r>
        <w:rPr>
          <w:rFonts w:hint="eastAsia" w:ascii="仿宋_GB2312" w:hAnsi="仿宋_GB2312" w:eastAsia="仿宋_GB2312" w:cs="仿宋_GB2312"/>
          <w:kern w:val="0"/>
          <w:sz w:val="24"/>
          <w:szCs w:val="24"/>
        </w:rPr>
        <w:t xml:space="preserve">，强化员工应急意识，提高应急队伍的反应速度和实战能力。安全管理员负责做好演练记录和总结。 </w:t>
      </w:r>
    </w:p>
    <w:p w14:paraId="4F282ADF">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 xml:space="preserve">4.6应急救援物资保障。根据车间预案做好应急救援设备、器材、防护用品、工具、材料、药品等保障工作。确保经费、物资供应，切实加强应急保障能力，并对应急救援设备、设施要定期进行检测、维护、更新，确保性能完好。 </w:t>
      </w:r>
    </w:p>
    <w:p w14:paraId="5141418A">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4.7应急处置。事故发生后，立即启动应急预案，以营救遇险人员为重点，开展应急救援工作；要采取必要措施，防止发生次生、衍生事故，避免造成更大的人员伤亡、财产损失和环境污染；要及时组织受威胁群众疏散、转移，做好安置工作。</w:t>
      </w:r>
    </w:p>
    <w:p w14:paraId="22A83239">
      <w:pPr>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br w:type="page"/>
      </w:r>
    </w:p>
    <w:p w14:paraId="36943928">
      <w:pPr>
        <w:pStyle w:val="2"/>
        <w:spacing w:before="720" w:after="240" w:line="360" w:lineRule="auto"/>
        <w:jc w:val="center"/>
        <w:rPr>
          <w:rFonts w:hint="eastAsia" w:ascii="仿宋_GB2312" w:hAnsi="仿宋_GB2312" w:eastAsia="仿宋_GB2312" w:cs="仿宋_GB2312"/>
          <w:b w:val="0"/>
          <w:sz w:val="36"/>
          <w:szCs w:val="36"/>
        </w:rPr>
      </w:pPr>
      <w:r>
        <w:rPr>
          <w:rFonts w:hint="eastAsia" w:ascii="仿宋_GB2312" w:hAnsi="仿宋_GB2312" w:eastAsia="仿宋_GB2312" w:cs="仿宋_GB2312"/>
          <w:b w:val="0"/>
          <w:sz w:val="36"/>
          <w:szCs w:val="36"/>
        </w:rPr>
        <w:t>43.事故管理制度</w:t>
      </w:r>
    </w:p>
    <w:p w14:paraId="0A9F13F8">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b/>
          <w:kern w:val="0"/>
          <w:sz w:val="24"/>
          <w:szCs w:val="24"/>
        </w:rPr>
        <w:t>一.目的</w:t>
      </w:r>
    </w:p>
    <w:p w14:paraId="5551B9C8">
      <w:pPr>
        <w:spacing w:line="360" w:lineRule="auto"/>
        <w:ind w:firstLine="480" w:firstLineChars="200"/>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为了严格事故管理，</w:t>
      </w:r>
      <w:r>
        <w:rPr>
          <w:rFonts w:hint="eastAsia" w:ascii="仿宋_GB2312" w:hAnsi="仿宋_GB2312" w:eastAsia="仿宋_GB2312" w:cs="仿宋_GB2312"/>
          <w:sz w:val="24"/>
          <w:szCs w:val="24"/>
        </w:rPr>
        <w:t>及时准确地报告、调查、统计与分析、回顾、书面报告样式和表格等内容，按照“四不放过”原则，</w:t>
      </w:r>
      <w:r>
        <w:rPr>
          <w:rFonts w:hint="eastAsia" w:ascii="仿宋_GB2312" w:hAnsi="仿宋_GB2312" w:eastAsia="仿宋_GB2312" w:cs="仿宋_GB2312"/>
          <w:kern w:val="0"/>
          <w:sz w:val="24"/>
          <w:szCs w:val="24"/>
        </w:rPr>
        <w:t>总结经验教训，采取防范措施，减少和杜绝各类事故的发生，特制定本管理制度.</w:t>
      </w:r>
    </w:p>
    <w:p w14:paraId="3977B38A">
      <w:pPr>
        <w:spacing w:line="360" w:lineRule="auto"/>
        <w:rPr>
          <w:rFonts w:hint="eastAsia" w:ascii="仿宋_GB2312" w:hAnsi="仿宋_GB2312" w:eastAsia="仿宋_GB2312" w:cs="仿宋_GB2312"/>
          <w:b/>
          <w:kern w:val="0"/>
          <w:sz w:val="24"/>
          <w:szCs w:val="24"/>
        </w:rPr>
      </w:pPr>
      <w:r>
        <w:rPr>
          <w:rFonts w:hint="eastAsia" w:ascii="仿宋_GB2312" w:hAnsi="仿宋_GB2312" w:eastAsia="仿宋_GB2312" w:cs="仿宋_GB2312"/>
          <w:b/>
          <w:kern w:val="0"/>
          <w:sz w:val="24"/>
          <w:szCs w:val="24"/>
        </w:rPr>
        <w:t>二. 适用范围</w:t>
      </w:r>
    </w:p>
    <w:p w14:paraId="457A9E26">
      <w:pPr>
        <w:spacing w:line="360" w:lineRule="auto"/>
        <w:ind w:firstLine="480" w:firstLineChars="200"/>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本制度适用于公司内发生的各类事故。</w:t>
      </w:r>
    </w:p>
    <w:p w14:paraId="7C6B840E">
      <w:pPr>
        <w:spacing w:line="360" w:lineRule="auto"/>
        <w:rPr>
          <w:rFonts w:hint="eastAsia" w:ascii="仿宋_GB2312" w:hAnsi="仿宋_GB2312" w:eastAsia="仿宋_GB2312" w:cs="仿宋_GB2312"/>
          <w:b/>
          <w:kern w:val="0"/>
          <w:sz w:val="24"/>
          <w:szCs w:val="24"/>
        </w:rPr>
      </w:pPr>
      <w:r>
        <w:rPr>
          <w:rFonts w:hint="eastAsia" w:ascii="仿宋_GB2312" w:hAnsi="仿宋_GB2312" w:eastAsia="仿宋_GB2312" w:cs="仿宋_GB2312"/>
          <w:b/>
          <w:kern w:val="0"/>
          <w:sz w:val="24"/>
          <w:szCs w:val="24"/>
        </w:rPr>
        <w:t>三. 职责</w:t>
      </w:r>
    </w:p>
    <w:p w14:paraId="5DE059FE">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3.1安全管理员负责本制度的制定，并监督、检查本制度的执行。承担需要向上级政府部门通报的安全事故报告工作；并负责各类事故的综合整理和归档。</w:t>
      </w:r>
    </w:p>
    <w:p w14:paraId="43030261">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3.2 公司安全管理领导小组成员负责公司各类事故的调查、处理工作。</w:t>
      </w:r>
    </w:p>
    <w:p w14:paraId="25029967">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3.3 部门负责人对本部门发生的各类事故须在规定时间内向安全管理领导小组成员报告。</w:t>
      </w:r>
    </w:p>
    <w:p w14:paraId="36043001">
      <w:pPr>
        <w:spacing w:line="360" w:lineRule="auto"/>
        <w:rPr>
          <w:rFonts w:hint="eastAsia" w:ascii="仿宋_GB2312" w:hAnsi="仿宋_GB2312" w:eastAsia="仿宋_GB2312" w:cs="仿宋_GB2312"/>
          <w:b/>
          <w:kern w:val="0"/>
          <w:sz w:val="24"/>
          <w:szCs w:val="24"/>
        </w:rPr>
      </w:pPr>
      <w:r>
        <w:rPr>
          <w:rFonts w:hint="eastAsia" w:ascii="仿宋_GB2312" w:hAnsi="仿宋_GB2312" w:eastAsia="仿宋_GB2312" w:cs="仿宋_GB2312"/>
          <w:b/>
          <w:kern w:val="0"/>
          <w:sz w:val="24"/>
          <w:szCs w:val="24"/>
        </w:rPr>
        <w:t>四. 各类事故的界定</w:t>
      </w:r>
    </w:p>
    <w:p w14:paraId="6CE65C69">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4.1人员伤亡事故：由于企业的设备和设施不安全、劳动条件和作业环境不良、管理不善及领导指派到企业外从事与本企业有关的活动所发生的人身伤害、急性中毒事故；其中按国务院《生产安全事故报告和调查处理条例》，根据事故造成的人员伤亡或者直接经济损失，可分为以下等级：</w:t>
      </w:r>
    </w:p>
    <w:p w14:paraId="0CB582B9">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1) 特别重大事故：造成30人以上死亡，或者100人以上重伤（包括急性工业中毒，下同），或者1亿元以上直接经济损失的事故。</w:t>
      </w:r>
    </w:p>
    <w:p w14:paraId="59EDDEA6">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2) 重大事故：造成10人以上30人以下死亡，或者50人以上100人以下重伤，或者5000万元以上1亿元以下直接经济损失的事故。</w:t>
      </w:r>
    </w:p>
    <w:p w14:paraId="0F301C96">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3) 较大事故：造成3人以上10人以下死亡，或者10人以上50人以下重伤，或者1000万元以上5000万元以下直接经济损失的事故。</w:t>
      </w:r>
    </w:p>
    <w:p w14:paraId="1805BBEE">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4) 一般事故：造成3人以下死亡，或者10人以下重伤，或者1000万元以下直接经济损失的事故。</w:t>
      </w:r>
    </w:p>
    <w:p w14:paraId="0F07AA35">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以上数字包括本数，以下不包括本数。</w:t>
      </w:r>
    </w:p>
    <w:p w14:paraId="7F7F2E77">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4.2 生产事故：在操作过程中，因违反工艺规程、违章指挥及管理原因、岗位安全操作规程或由于误操作或操作不当造成停（减）产、跑料、串料、油气泄漏、化学危险品泄漏、原辅料、半成品或成品损失，但没有人员伤亡的事故。</w:t>
      </w:r>
    </w:p>
    <w:p w14:paraId="712179DD">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4.3 质量事故：成品、半成品不符合国家或企业规定的质量标准，原辅料或产品因保管、包装不良而变质等造成经济损失和影响公司声誉的事故。</w:t>
      </w:r>
    </w:p>
    <w:p w14:paraId="7A8B8E5F">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4.4 设备事故：在生产过程中，造成生产装置、机械器具、动力设备、电力通讯设施、仪器仪表、压力容器、输送设备、管道及建（构）筑物，等发生故障或非正常损坏，造成停机、产量损失或修复费用达到规定数额的，但没有人员伤亡的事故；</w:t>
      </w:r>
    </w:p>
    <w:p w14:paraId="4E96514B">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4.5 火灾事故：在生产过程中，失去控制的燃烧（包括由于爆炸物品、易燃可燃液体、可燃气体、蒸汽、粉尘以及其他化学易燃易爆物品爆炸引起的燃烧），并造成人员伤亡和财产烧毁的事故；</w:t>
      </w:r>
    </w:p>
    <w:p w14:paraId="2978D705">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4.6 爆炸事故：发生化学性或物理性爆炸，造成人员伤亡、财产损失。</w:t>
      </w:r>
    </w:p>
    <w:p w14:paraId="41ACE52D">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4.7 爆鸣事故：指发生爆鸣现象，仅造成轻微的经济损失（少于1000元）和未造成人员伤亡的事故。</w:t>
      </w:r>
    </w:p>
    <w:p w14:paraId="4F361421">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4.8 未遂事故：因操作不当，维护不周等原因，已经构成事故发生条件，足以酿成灾害，幸亏发现及时或侥幸未造成严重后果的事故。</w:t>
      </w:r>
    </w:p>
    <w:p w14:paraId="499B4C3C">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4.10 污染事故：“三废”、化工原料及有毒有害物质由于排放或处理不当，造成环境污染，使周围员工、居民和行人等受到危害或影响。</w:t>
      </w:r>
    </w:p>
    <w:p w14:paraId="7BD0023A">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4.11工伤事故：员工（包括合同工、临时工）在生产劳动过程中发生人身伤害、急性中毒的事故。</w:t>
      </w:r>
    </w:p>
    <w:p w14:paraId="588C8FFB">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4.12 自然事故：凡属外界原因而发生不可抗拒的灾害，或尚未认识到技术原因，造成人身伤害或经济损失的事故。</w:t>
      </w:r>
    </w:p>
    <w:p w14:paraId="77F7BCE7">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4.13 破坏事故：凡属人为因素，为达到一定目的而蓄意制造的事故。</w:t>
      </w:r>
    </w:p>
    <w:p w14:paraId="639B0B61">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kern w:val="0"/>
          <w:sz w:val="24"/>
          <w:szCs w:val="24"/>
        </w:rPr>
        <w:t xml:space="preserve">4.14 </w:t>
      </w:r>
      <w:r>
        <w:rPr>
          <w:rFonts w:hint="eastAsia" w:ascii="仿宋_GB2312" w:hAnsi="仿宋_GB2312" w:eastAsia="仿宋_GB2312" w:cs="仿宋_GB2312"/>
          <w:sz w:val="24"/>
          <w:szCs w:val="24"/>
        </w:rPr>
        <w:t>直接经济损失：指因事故造成人身伤亡及善后处理支出的费用和毁坏财产的价值。</w:t>
      </w:r>
    </w:p>
    <w:p w14:paraId="486EB71F">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4.15 伤亡事故损失统计：因负伤累计休工天数折合金额，按企业员工平均日工资×休工天数。</w:t>
      </w:r>
    </w:p>
    <w:p w14:paraId="019B1EBE">
      <w:pPr>
        <w:spacing w:line="360" w:lineRule="auto"/>
        <w:rPr>
          <w:rFonts w:hint="eastAsia" w:ascii="仿宋_GB2312" w:hAnsi="仿宋_GB2312" w:eastAsia="仿宋_GB2312" w:cs="仿宋_GB2312"/>
          <w:b/>
          <w:kern w:val="0"/>
          <w:sz w:val="24"/>
          <w:szCs w:val="24"/>
        </w:rPr>
      </w:pPr>
      <w:r>
        <w:rPr>
          <w:rFonts w:hint="eastAsia" w:ascii="仿宋_GB2312" w:hAnsi="仿宋_GB2312" w:eastAsia="仿宋_GB2312" w:cs="仿宋_GB2312"/>
          <w:b/>
          <w:kern w:val="0"/>
          <w:sz w:val="24"/>
          <w:szCs w:val="24"/>
        </w:rPr>
        <w:t>五. 事故管理的分工</w:t>
      </w:r>
    </w:p>
    <w:p w14:paraId="01626E35">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5.1各类事故的管理，在总经理统一领导下，由各部门责任者负责。各职能部门在各自业务范围内对分工管理的事故，负责调查、登记、统计和报告。</w:t>
      </w:r>
    </w:p>
    <w:p w14:paraId="73CA9885">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5.2 除另有规定外，本公司各类事故的综合统计上报和日常管理由</w:t>
      </w:r>
      <w:r>
        <w:rPr>
          <w:rFonts w:hint="eastAsia" w:ascii="仿宋_GB2312" w:hAnsi="仿宋_GB2312" w:eastAsia="仿宋_GB2312" w:cs="仿宋_GB2312"/>
          <w:kern w:val="0"/>
          <w:sz w:val="24"/>
          <w:szCs w:val="24"/>
        </w:rPr>
        <w:t>安全管理员</w:t>
      </w:r>
      <w:r>
        <w:rPr>
          <w:rFonts w:hint="eastAsia" w:ascii="仿宋_GB2312" w:hAnsi="仿宋_GB2312" w:eastAsia="仿宋_GB2312" w:cs="仿宋_GB2312"/>
          <w:sz w:val="24"/>
          <w:szCs w:val="24"/>
        </w:rPr>
        <w:t>负责。</w:t>
      </w:r>
    </w:p>
    <w:p w14:paraId="6065244F">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5.3 设备事故由设备管理员负责管理，其它事故均由</w:t>
      </w:r>
      <w:r>
        <w:rPr>
          <w:rFonts w:hint="eastAsia" w:ascii="仿宋_GB2312" w:hAnsi="仿宋_GB2312" w:eastAsia="仿宋_GB2312" w:cs="仿宋_GB2312"/>
          <w:kern w:val="0"/>
          <w:sz w:val="24"/>
          <w:szCs w:val="24"/>
        </w:rPr>
        <w:t>安全管理员</w:t>
      </w:r>
      <w:r>
        <w:rPr>
          <w:rFonts w:hint="eastAsia" w:ascii="仿宋_GB2312" w:hAnsi="仿宋_GB2312" w:eastAsia="仿宋_GB2312" w:cs="仿宋_GB2312"/>
          <w:sz w:val="24"/>
          <w:szCs w:val="24"/>
        </w:rPr>
        <w:t>会同有关部门负责管理。</w:t>
      </w:r>
    </w:p>
    <w:p w14:paraId="4D842246">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5.4 涉及两个或两个以上部门所管的事故，可按起始原因判定事故类别。在界限不清时，由公司指定一个部门负责管理。</w:t>
      </w:r>
    </w:p>
    <w:p w14:paraId="66BCDC77">
      <w:pPr>
        <w:spacing w:line="360" w:lineRule="auto"/>
        <w:rPr>
          <w:rFonts w:hint="eastAsia" w:ascii="仿宋_GB2312" w:hAnsi="仿宋_GB2312" w:eastAsia="仿宋_GB2312" w:cs="仿宋_GB2312"/>
          <w:b/>
          <w:kern w:val="0"/>
          <w:sz w:val="24"/>
          <w:szCs w:val="24"/>
        </w:rPr>
      </w:pPr>
      <w:r>
        <w:rPr>
          <w:rFonts w:hint="eastAsia" w:ascii="仿宋_GB2312" w:hAnsi="仿宋_GB2312" w:eastAsia="仿宋_GB2312" w:cs="仿宋_GB2312"/>
          <w:b/>
          <w:kern w:val="0"/>
          <w:sz w:val="24"/>
          <w:szCs w:val="24"/>
        </w:rPr>
        <w:t>六. 事故报告程序</w:t>
      </w:r>
    </w:p>
    <w:p w14:paraId="38C4F457">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6.1 火灾、爆炸、人身伤亡类重大事故报告</w:t>
      </w:r>
    </w:p>
    <w:p w14:paraId="5DC0FE7B">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6.1.1 事故最先发现者，除采取必要的紧急措施处理外，应立即启动公司报警系统，并快速向公司领导及主管部门报告，</w:t>
      </w:r>
    </w:p>
    <w:p w14:paraId="0B61FF77">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6.1.2公司领导在接到事故报告后，立即启动公司《事故应急预案》，并立即奔赴现场，采取有效措施，组织抢救，防止事故扩大，减少人员伤亡和财产损失。</w:t>
      </w:r>
    </w:p>
    <w:p w14:paraId="56202C0C">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6.1.3安全领导小组在对事故现场进行基本了解后，立即由</w:t>
      </w:r>
      <w:r>
        <w:rPr>
          <w:rFonts w:hint="eastAsia" w:ascii="仿宋_GB2312" w:hAnsi="仿宋_GB2312" w:eastAsia="仿宋_GB2312" w:cs="仿宋_GB2312"/>
          <w:kern w:val="0"/>
          <w:sz w:val="24"/>
          <w:szCs w:val="24"/>
        </w:rPr>
        <w:t>安全管理员</w:t>
      </w:r>
      <w:r>
        <w:rPr>
          <w:rFonts w:hint="eastAsia" w:ascii="仿宋_GB2312" w:hAnsi="仿宋_GB2312" w:eastAsia="仿宋_GB2312" w:cs="仿宋_GB2312"/>
          <w:sz w:val="24"/>
          <w:szCs w:val="24"/>
        </w:rPr>
        <w:t>负责</w:t>
      </w:r>
      <w:r>
        <w:rPr>
          <w:rFonts w:hint="eastAsia" w:ascii="仿宋_GB2312" w:hAnsi="仿宋_GB2312" w:eastAsia="仿宋_GB2312" w:cs="仿宋_GB2312"/>
          <w:kern w:val="0"/>
          <w:sz w:val="24"/>
          <w:szCs w:val="24"/>
        </w:rPr>
        <w:t>快速向地方安全生产监督管理局及其他相关政府部门报告。根据国务院《生产安全事故报告和调查处理条例》中规定的事故报告制度，属于4.1项的生产安全事故，必须在一小时内报告当地政府相关部门，非死亡但属重伤的生产安全事故必须在24小时内</w:t>
      </w:r>
      <w:r>
        <w:rPr>
          <w:rFonts w:hint="eastAsia" w:ascii="仿宋_GB2312" w:hAnsi="仿宋_GB2312" w:eastAsia="仿宋_GB2312" w:cs="仿宋_GB2312"/>
          <w:sz w:val="24"/>
          <w:szCs w:val="24"/>
        </w:rPr>
        <w:t>通报。</w:t>
      </w:r>
    </w:p>
    <w:p w14:paraId="3294F380">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6.1.4 应对发生死亡、重大伤亡事故的现场给予妥善保护。 </w:t>
      </w:r>
    </w:p>
    <w:p w14:paraId="2FC151F7">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6.1.5 事故处置后，</w:t>
      </w:r>
      <w:r>
        <w:rPr>
          <w:rFonts w:hint="eastAsia" w:ascii="仿宋_GB2312" w:hAnsi="仿宋_GB2312" w:eastAsia="仿宋_GB2312" w:cs="仿宋_GB2312"/>
          <w:kern w:val="0"/>
          <w:sz w:val="24"/>
          <w:szCs w:val="24"/>
        </w:rPr>
        <w:t>安全管理员</w:t>
      </w:r>
      <w:r>
        <w:rPr>
          <w:rFonts w:hint="eastAsia" w:ascii="仿宋_GB2312" w:hAnsi="仿宋_GB2312" w:eastAsia="仿宋_GB2312" w:cs="仿宋_GB2312"/>
          <w:sz w:val="24"/>
          <w:szCs w:val="24"/>
        </w:rPr>
        <w:t>立即配合政府事故调查组，对事故原因进行调查，并在60天内向政府部门提交事故调查报告。</w:t>
      </w:r>
    </w:p>
    <w:p w14:paraId="5EA3E632">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6.2  紧急处置类事故报告（没有涉及人员死亡）</w:t>
      </w:r>
    </w:p>
    <w:p w14:paraId="2E7D3A0F">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6.2.1对发生的事故，如：火灾、大量原料产品泄露造成环境污染、设备爆裂、员工重伤等属于必须立即处置的紧急类事故，发现者除采取必要的紧急措施和处理外，应在启动公司报警系统同时立即向部门责任者及公司领导和关联部门报告，</w:t>
      </w:r>
    </w:p>
    <w:p w14:paraId="7AEA5560">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6.2.2公司总经理在接到事故报告后，立即启动公司《事故应急预案》，并立即奔赴现场，采取有效措施，组织抢险工作，抑制事态扩大，防止人员受伤和财产损失。</w:t>
      </w:r>
    </w:p>
    <w:p w14:paraId="499B452D">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6.2.3 上述事故紧急处置结束后，由所在部门负责，安全管理领导小组成员参与，进行事故调查，作成事故调查报告，公司内通报，必要时提交政府部门。</w:t>
      </w:r>
    </w:p>
    <w:p w14:paraId="3067209B">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6.3  其他类事故报告</w:t>
      </w:r>
    </w:p>
    <w:p w14:paraId="4D9A6BAE">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员工轻伤、产品生产质量、设备故障等日常发生的非严重性事故，由发生部门于24小时内使用事故回顾记录报公司</w:t>
      </w:r>
      <w:r>
        <w:rPr>
          <w:rFonts w:hint="eastAsia" w:ascii="仿宋_GB2312" w:hAnsi="仿宋_GB2312" w:eastAsia="仿宋_GB2312" w:cs="仿宋_GB2312"/>
          <w:kern w:val="0"/>
          <w:sz w:val="24"/>
          <w:szCs w:val="24"/>
        </w:rPr>
        <w:t>安全管理员</w:t>
      </w:r>
      <w:r>
        <w:rPr>
          <w:rFonts w:hint="eastAsia" w:ascii="仿宋_GB2312" w:hAnsi="仿宋_GB2312" w:eastAsia="仿宋_GB2312" w:cs="仿宋_GB2312"/>
          <w:sz w:val="24"/>
          <w:szCs w:val="24"/>
        </w:rPr>
        <w:t>，事后在三天内提交事故报告书。</w:t>
      </w:r>
    </w:p>
    <w:p w14:paraId="061E0DE3">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6.4  事故报告和提交要求</w:t>
      </w:r>
    </w:p>
    <w:p w14:paraId="5D3DCDB9">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6.4.1对待事故报告必须严肃认真，填写内容仔细，不能弄虚作假或隐瞒不报。对事故情节复杂，不能按期上报者，应事先说明原因。其中需要上报政府的报告须体现以下内容：</w:t>
      </w:r>
    </w:p>
    <w:p w14:paraId="087769A0">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（一）事故发生单位概况；</w:t>
      </w:r>
    </w:p>
    <w:p w14:paraId="69015F9B">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（二）事故发生的时间、地点以及事故现场情况；</w:t>
      </w:r>
    </w:p>
    <w:p w14:paraId="595B2E0D">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（三）事故的简要经过；</w:t>
      </w:r>
    </w:p>
    <w:p w14:paraId="3C9F1EEF">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（四）事故已造成或者可能造成的伤亡人数（包括下落不明人数）和初步估计的直接经济损失；</w:t>
      </w:r>
    </w:p>
    <w:p w14:paraId="02486E23">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（五）事故发生原因和事故性质；</w:t>
      </w:r>
    </w:p>
    <w:p w14:paraId="66CB8CEC">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（六）事故责任的认定以及事故责任者的处理建议；</w:t>
      </w:r>
    </w:p>
    <w:p w14:paraId="7EF13ED7">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（七）事故防范和整改措施。</w:t>
      </w:r>
    </w:p>
    <w:p w14:paraId="58024C45">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sz w:val="24"/>
          <w:szCs w:val="24"/>
        </w:rPr>
        <w:t>6.4.2  对外单位人员在公司劳动、实习时发生的事故，由公司协助外单位作成报告提交至政府部门，但非累计在公司事故统计表中。</w:t>
      </w:r>
    </w:p>
    <w:p w14:paraId="1D459E1A">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6.4.3 凡因公负伤者必须及时去医院检查，经医生诊断为需要休息者，须持有休息证明方能填写工伤事故报告。如工伤者从发生事故受伤起，一个月内未能确定为重伤者，按轻伤事故统计，若一个月以后，由轻伤转为重伤或由重伤转为死亡，则不再按重伤或死亡事故上报，也不再作专题调查报告。</w:t>
      </w:r>
    </w:p>
    <w:p w14:paraId="7331ECD9">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6.4.4 属外界原因或由于自然条件造成的事故，也要按规定上报，但不作为公司责任事故。</w:t>
      </w:r>
    </w:p>
    <w:p w14:paraId="3730C96F">
      <w:pPr>
        <w:spacing w:line="360" w:lineRule="auto"/>
        <w:rPr>
          <w:rFonts w:hint="eastAsia" w:ascii="仿宋_GB2312" w:hAnsi="仿宋_GB2312" w:eastAsia="仿宋_GB2312" w:cs="仿宋_GB2312"/>
          <w:b/>
          <w:kern w:val="0"/>
          <w:sz w:val="24"/>
          <w:szCs w:val="24"/>
        </w:rPr>
      </w:pPr>
      <w:r>
        <w:rPr>
          <w:rFonts w:hint="eastAsia" w:ascii="仿宋_GB2312" w:hAnsi="仿宋_GB2312" w:eastAsia="仿宋_GB2312" w:cs="仿宋_GB2312"/>
          <w:b/>
          <w:kern w:val="0"/>
          <w:sz w:val="24"/>
          <w:szCs w:val="24"/>
        </w:rPr>
        <w:t>七．事故的抢险与救护原则</w:t>
      </w:r>
    </w:p>
    <w:p w14:paraId="23C94F49">
      <w:pPr>
        <w:spacing w:line="360" w:lineRule="auto"/>
        <w:rPr>
          <w:rFonts w:hint="eastAsia" w:ascii="仿宋_GB2312" w:hAnsi="仿宋_GB2312" w:eastAsia="仿宋_GB2312" w:cs="仿宋_GB2312"/>
          <w:b/>
          <w:kern w:val="0"/>
          <w:sz w:val="24"/>
          <w:szCs w:val="24"/>
        </w:rPr>
      </w:pPr>
      <w:r>
        <w:rPr>
          <w:rFonts w:hint="eastAsia" w:ascii="仿宋_GB2312" w:hAnsi="仿宋_GB2312" w:eastAsia="仿宋_GB2312" w:cs="仿宋_GB2312"/>
          <w:sz w:val="24"/>
          <w:szCs w:val="24"/>
        </w:rPr>
        <w:t>7.</w:t>
      </w:r>
      <w:r>
        <w:rPr>
          <w:rFonts w:hint="eastAsia" w:ascii="仿宋_GB2312" w:hAnsi="仿宋_GB2312" w:eastAsia="仿宋_GB2312" w:cs="仿宋_GB2312"/>
          <w:kern w:val="0"/>
          <w:sz w:val="24"/>
          <w:szCs w:val="24"/>
        </w:rPr>
        <w:t>1 发生事故后，必须积极抢救，正确处理，防止事故蔓延扩大。抢险时应注意保护现场；</w:t>
      </w:r>
    </w:p>
    <w:p w14:paraId="44EBD182">
      <w:pPr>
        <w:spacing w:line="360" w:lineRule="auto"/>
        <w:rPr>
          <w:rFonts w:hint="eastAsia" w:ascii="仿宋_GB2312" w:hAnsi="仿宋_GB2312" w:eastAsia="仿宋_GB2312" w:cs="仿宋_GB2312"/>
          <w:b/>
          <w:kern w:val="0"/>
          <w:sz w:val="24"/>
          <w:szCs w:val="24"/>
        </w:rPr>
      </w:pPr>
      <w:r>
        <w:rPr>
          <w:rFonts w:hint="eastAsia" w:ascii="仿宋_GB2312" w:hAnsi="仿宋_GB2312" w:eastAsia="仿宋_GB2312" w:cs="仿宋_GB2312"/>
          <w:kern w:val="0"/>
          <w:sz w:val="24"/>
          <w:szCs w:val="24"/>
        </w:rPr>
        <w:t>7.2 发生重大事故时，抢险人员必须听从现场抢险救援总指挥的统一指挥，按《应急救援预案》进行现场抢险和警戒工作，不许擅自行动。</w:t>
      </w:r>
    </w:p>
    <w:p w14:paraId="483B744E">
      <w:pPr>
        <w:spacing w:line="360" w:lineRule="auto"/>
        <w:rPr>
          <w:rFonts w:hint="eastAsia" w:ascii="仿宋_GB2312" w:hAnsi="仿宋_GB2312" w:eastAsia="仿宋_GB2312" w:cs="仿宋_GB2312"/>
          <w:b/>
          <w:kern w:val="0"/>
          <w:sz w:val="24"/>
          <w:szCs w:val="24"/>
        </w:rPr>
      </w:pPr>
      <w:r>
        <w:rPr>
          <w:rFonts w:hint="eastAsia" w:ascii="仿宋_GB2312" w:hAnsi="仿宋_GB2312" w:eastAsia="仿宋_GB2312" w:cs="仿宋_GB2312"/>
          <w:kern w:val="0"/>
          <w:sz w:val="24"/>
          <w:szCs w:val="24"/>
        </w:rPr>
        <w:t>7.3 当有政府救援部门参与抢险时，公司抢险人员，要服从政府部门总指挥的指挥，公司内部实施的非严重火灾、爆炸、死亡、重伤的一般事故抢险，要服从公司总经理或其代理人的指挥。</w:t>
      </w:r>
    </w:p>
    <w:p w14:paraId="6377679A">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7.4 对有毒有害物料大量外泄的事故现场或火灾场所必须设立警戒线，抢救人员应佩戴合适的防护面具，对中毒或灼伤人员，应尽快组织急救处理。</w:t>
      </w:r>
    </w:p>
    <w:p w14:paraId="1A2F3945">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7.5 在医务人员未赶到现场前，现场人员不得停止对受伤害人员的抢救和护理。</w:t>
      </w:r>
    </w:p>
    <w:p w14:paraId="441B405D">
      <w:pPr>
        <w:spacing w:line="360" w:lineRule="auto"/>
        <w:rPr>
          <w:rFonts w:hint="eastAsia" w:ascii="仿宋_GB2312" w:hAnsi="仿宋_GB2312" w:eastAsia="仿宋_GB2312" w:cs="仿宋_GB2312"/>
          <w:b/>
          <w:kern w:val="0"/>
          <w:sz w:val="24"/>
          <w:szCs w:val="24"/>
        </w:rPr>
      </w:pPr>
      <w:r>
        <w:rPr>
          <w:rFonts w:hint="eastAsia" w:ascii="仿宋_GB2312" w:hAnsi="仿宋_GB2312" w:eastAsia="仿宋_GB2312" w:cs="仿宋_GB2312"/>
          <w:b/>
          <w:kern w:val="0"/>
          <w:sz w:val="24"/>
          <w:szCs w:val="24"/>
        </w:rPr>
        <w:t>八. 事故的调查与书面报告格式</w:t>
      </w:r>
    </w:p>
    <w:p w14:paraId="0A0E0825">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kern w:val="0"/>
          <w:sz w:val="24"/>
          <w:szCs w:val="24"/>
        </w:rPr>
        <w:t xml:space="preserve">8.1  </w:t>
      </w:r>
      <w:r>
        <w:rPr>
          <w:rFonts w:hint="eastAsia" w:ascii="仿宋_GB2312" w:hAnsi="仿宋_GB2312" w:eastAsia="仿宋_GB2312" w:cs="仿宋_GB2312"/>
          <w:sz w:val="24"/>
          <w:szCs w:val="24"/>
        </w:rPr>
        <w:t>成立事故调查组的有关要求：</w:t>
      </w:r>
    </w:p>
    <w:p w14:paraId="0F590158">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轻伤事故以及需向政府劳动保障行政部门申报工伤认定的其它人身伤害事故，可由事故单位负责人组织进行事故调查；</w:t>
      </w:r>
    </w:p>
    <w:p w14:paraId="551CBBB8">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发生重伤事故，则由公司安全生产领导小组进行事故调查；</w:t>
      </w:r>
    </w:p>
    <w:p w14:paraId="6C21AF11">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发生一般及以上事故，由公司安全生产领导小组配合地方人民政府进行事故调查；</w:t>
      </w:r>
    </w:p>
    <w:p w14:paraId="1B340CC7">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8.1.1事故调查的程序应包括现场调查、技术鉴定等过程；</w:t>
      </w:r>
    </w:p>
    <w:p w14:paraId="2FA8F234">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8.1.2事故调查取证要求包括：有关物证收集、事故事实材料收集、人证材料收集、事故现场摄影、拍照机事故现场图绘制等。</w:t>
      </w:r>
    </w:p>
    <w:p w14:paraId="32B90846">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8.2 职责、权利</w:t>
      </w:r>
    </w:p>
    <w:p w14:paraId="71F0CA1A">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8.2.1 事故调查组有权向发生事故的部门和有关人员了解情况和资料，任何部门和个人不得拒绝。</w:t>
      </w:r>
    </w:p>
    <w:p w14:paraId="45717B75">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8.2.2 各部门应严肃认真地调查和分析事故，找出事故发生的原因，查明责任，确定整改措施并限期落实。</w:t>
      </w:r>
    </w:p>
    <w:p w14:paraId="4A6ACA22">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8.2.3 对政府部门未参与的一般事故调查，由事故发生部门组织、公司安全领导小组成员参与召开事故分析会，找出原因，吸取教训，提出防范措施，对事故责任者提出处理意见，并报安全管理员备案。</w:t>
      </w:r>
    </w:p>
    <w:p w14:paraId="581D605D">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8.2.4 类似4.1对重大事故，由上级主管部门或当地安监部门、公安部门和检察部门等有关单位进行调查和分析。找出原因，查明责任，制定防范措施，并对事故责任者提出处理意见。公司关联部门和人员应积极配合事故调查与取证，不得阻挠或故意破坏。</w:t>
      </w:r>
    </w:p>
    <w:p w14:paraId="628A5D9B">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8.3 防范措施要求</w:t>
      </w:r>
    </w:p>
    <w:p w14:paraId="289C3B9C">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8.3.1 技术措施：对设备、设施、操作从安全管理的角度考虑设计、检查和保养措施，减少或消除物的不安全状态。</w:t>
      </w:r>
    </w:p>
    <w:p w14:paraId="4946D296">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8.3.2 教育措施：加强员工的安全教育，使员工掌握防止事故的有效方法和知识，消除或减少人的不安全行为。</w:t>
      </w:r>
    </w:p>
    <w:p w14:paraId="4A869A23">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8.3.4 管理措施：认真贯彻实施有关的法令、标准、规范，严格执行本单位的各种安全生产制度，组织安全管理检查，落实隐患整改，实施经济考核。</w:t>
      </w:r>
    </w:p>
    <w:p w14:paraId="4A88445A">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8.4 调查报告编写要求</w:t>
      </w:r>
    </w:p>
    <w:p w14:paraId="71EA0034">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8.4.1事故调查组人员在全面分析事故后，写出《事故调查报告》</w:t>
      </w:r>
    </w:p>
    <w:p w14:paraId="75091642">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8.4.2调查报告应包括以下内容：</w:t>
      </w:r>
    </w:p>
    <w:p w14:paraId="00633C43">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（一）事故等基本情况：包括单位名称、</w:t>
      </w:r>
      <w:r>
        <w:rPr>
          <w:rFonts w:hint="eastAsia" w:ascii="仿宋_GB2312" w:hAnsi="仿宋_GB2312" w:eastAsia="仿宋_GB2312" w:cs="仿宋_GB2312"/>
          <w:sz w:val="24"/>
          <w:szCs w:val="24"/>
        </w:rPr>
        <w:t>单位概况、</w:t>
      </w:r>
      <w:r>
        <w:rPr>
          <w:rFonts w:hint="eastAsia" w:ascii="仿宋_GB2312" w:hAnsi="仿宋_GB2312" w:eastAsia="仿宋_GB2312" w:cs="仿宋_GB2312"/>
          <w:kern w:val="0"/>
          <w:sz w:val="24"/>
          <w:szCs w:val="24"/>
        </w:rPr>
        <w:t>日期、类别、地点及事故现场情况；伤亡人数、伤亡人员情况、经济损失、事故等级等。</w:t>
      </w:r>
    </w:p>
    <w:p w14:paraId="4E9C470E">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（二）事故经过</w:t>
      </w:r>
    </w:p>
    <w:p w14:paraId="3CF07D4C">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（三）事故原因分析，包括直接原因和间接原因</w:t>
      </w:r>
    </w:p>
    <w:p w14:paraId="2BC029B9">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（四）事故的预防措施</w:t>
      </w:r>
    </w:p>
    <w:p w14:paraId="750DFA96">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（五）事故责任者及对责任者的处理意见</w:t>
      </w:r>
    </w:p>
    <w:p w14:paraId="652A60BD">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（六）调查组成员名单及调查组成员签字</w:t>
      </w:r>
    </w:p>
    <w:p w14:paraId="1B49E439">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（七）附件，包括图表、照片、技术鉴定等资料</w:t>
      </w:r>
    </w:p>
    <w:p w14:paraId="736F766B">
      <w:pPr>
        <w:spacing w:line="360" w:lineRule="auto"/>
        <w:rPr>
          <w:rFonts w:hint="eastAsia" w:ascii="仿宋_GB2312" w:hAnsi="仿宋_GB2312" w:eastAsia="仿宋_GB2312" w:cs="仿宋_GB2312"/>
          <w:b/>
          <w:kern w:val="0"/>
          <w:sz w:val="24"/>
          <w:szCs w:val="24"/>
        </w:rPr>
      </w:pPr>
      <w:r>
        <w:rPr>
          <w:rFonts w:hint="eastAsia" w:ascii="仿宋_GB2312" w:hAnsi="仿宋_GB2312" w:eastAsia="仿宋_GB2312" w:cs="仿宋_GB2312"/>
          <w:b/>
          <w:kern w:val="0"/>
          <w:sz w:val="24"/>
          <w:szCs w:val="24"/>
        </w:rPr>
        <w:t>九. 事故处理</w:t>
      </w:r>
    </w:p>
    <w:p w14:paraId="23064D8E">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9.1 任何事故的处理应按“四不放过”的原则进行。</w:t>
      </w:r>
    </w:p>
    <w:p w14:paraId="3377EFCB">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9.2 调查结束后，主管部门应按照调查组提出的处理意见和防范措施认真整改落实，防止类似事故发生。</w:t>
      </w:r>
    </w:p>
    <w:p w14:paraId="14FC124C">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9.3 调查组依照生产安全事故报告和调查处理条例对事故责任者提出处理意见。</w:t>
      </w:r>
    </w:p>
    <w:p w14:paraId="7FD354EC">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9.3.1对严重违章指挥，违章作业又不听劝阻的人员，或由于失职造成的重大事故责任者，应给予处分直至追究刑事责任。</w:t>
      </w:r>
    </w:p>
    <w:p w14:paraId="1D50F822">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9.3.2 对蓄意制造事故，造成严重后果，需追究刑事责任的，应提交司法机关依法处理。</w:t>
      </w:r>
    </w:p>
    <w:p w14:paraId="054CEC30">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9.3.3 对防止或抢救事故有功的单位或个人，应予以表彰、奖励。</w:t>
      </w:r>
    </w:p>
    <w:p w14:paraId="30772DBC">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9.4 由行政部负责按《企业员工伤亡事故分类标准》及《工伤保险条例》，对事故中的伤亡人员进行伤亡严重程度的鉴定，同时进行相应的赔偿处理。</w:t>
      </w:r>
    </w:p>
    <w:p w14:paraId="39D3BF61">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9.5 事故处理意见决定后，安全管理员负责监督事故处理的执行情况，并将执行情况反馈，纳入事故档案材料。</w:t>
      </w:r>
    </w:p>
    <w:p w14:paraId="5A958892">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9.6 事故处理后，安全管理员应将事故详情、原因和处理结果以最有效的形式在本公司员工中通报，使广大群众能吸取教训，增强安全意识。</w:t>
      </w:r>
    </w:p>
    <w:p w14:paraId="03AEF99C">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9.7 伤亡事故处理工作应当在90日内结案，如因特殊情况，政府安监部门同意延期的事故处理时间最迟不得超过180天。</w:t>
      </w:r>
    </w:p>
    <w:p w14:paraId="5235EE5B">
      <w:pPr>
        <w:spacing w:line="360" w:lineRule="auto"/>
        <w:rPr>
          <w:rFonts w:hint="eastAsia" w:ascii="仿宋_GB2312" w:hAnsi="仿宋_GB2312" w:eastAsia="仿宋_GB2312" w:cs="仿宋_GB2312"/>
          <w:b/>
          <w:kern w:val="0"/>
          <w:sz w:val="24"/>
          <w:szCs w:val="24"/>
        </w:rPr>
      </w:pPr>
      <w:r>
        <w:rPr>
          <w:rFonts w:hint="eastAsia" w:ascii="仿宋_GB2312" w:hAnsi="仿宋_GB2312" w:eastAsia="仿宋_GB2312" w:cs="仿宋_GB2312"/>
          <w:b/>
          <w:kern w:val="0"/>
          <w:sz w:val="24"/>
          <w:szCs w:val="24"/>
        </w:rPr>
        <w:t>十. 事故统计与分析</w:t>
      </w:r>
    </w:p>
    <w:p w14:paraId="35E1D6D2">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10.1事故处理结案后，安全管理员应建立事故档案，各职能部门应按分工整理登记和保管好事故资料，并记入台帐。对所有事故调查分析的资料，如现场检查记录、照片、技术鉴定、化验分析、会议记录、综合调查材料及登记表、报告书等，应妥善保管。应将有关资料整理归档，以备查考。</w:t>
      </w:r>
    </w:p>
    <w:p w14:paraId="6E8EAD0E">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10.2事故统计内容主要包括事故发生单位的基本情况、事故发生的起数、死亡人数、重伤人数、急性工业中毒人数、单位经济类型、事故类别、事故原因、直接经济损失等。</w:t>
      </w:r>
    </w:p>
    <w:p w14:paraId="1267550D">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10.3根据统计情况分析，制定和修改有关安全管理规章制度和应急预案。</w:t>
      </w:r>
    </w:p>
    <w:p w14:paraId="3D581ECF">
      <w:pPr>
        <w:spacing w:line="360" w:lineRule="auto"/>
        <w:rPr>
          <w:rFonts w:hint="eastAsia" w:ascii="仿宋_GB2312" w:hAnsi="仿宋_GB2312" w:eastAsia="仿宋_GB2312" w:cs="仿宋_GB2312"/>
          <w:b/>
          <w:kern w:val="0"/>
          <w:sz w:val="24"/>
          <w:szCs w:val="24"/>
        </w:rPr>
      </w:pPr>
      <w:r>
        <w:rPr>
          <w:rFonts w:hint="eastAsia" w:ascii="仿宋_GB2312" w:hAnsi="仿宋_GB2312" w:eastAsia="仿宋_GB2312" w:cs="仿宋_GB2312"/>
          <w:b/>
          <w:kern w:val="0"/>
          <w:sz w:val="24"/>
          <w:szCs w:val="24"/>
        </w:rPr>
        <w:t>十一.工伤认定及工伤评残</w:t>
      </w:r>
    </w:p>
    <w:p w14:paraId="0238BE28">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11.1 事故中造成身体伤害的人员，由行政部依照《工伤认定办法》和有关材料，办理工伤认定。</w:t>
      </w:r>
    </w:p>
    <w:p w14:paraId="25E763DF">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11.2 劳动督察部门依照《工伤保险条例》确定受伤人员享受相应的待遇。</w:t>
      </w:r>
    </w:p>
    <w:p w14:paraId="6AAFA79E">
      <w:pPr>
        <w:spacing w:line="360" w:lineRule="auto"/>
        <w:rPr>
          <w:rFonts w:hint="eastAsia" w:ascii="仿宋_GB2312" w:hAnsi="仿宋_GB2312" w:eastAsia="仿宋_GB2312" w:cs="仿宋_GB2312"/>
          <w:b/>
          <w:kern w:val="0"/>
          <w:sz w:val="24"/>
          <w:szCs w:val="24"/>
        </w:rPr>
      </w:pPr>
      <w:r>
        <w:rPr>
          <w:rFonts w:hint="eastAsia" w:ascii="仿宋_GB2312" w:hAnsi="仿宋_GB2312" w:eastAsia="仿宋_GB2312" w:cs="仿宋_GB2312"/>
          <w:b/>
          <w:kern w:val="0"/>
          <w:sz w:val="24"/>
          <w:szCs w:val="24"/>
        </w:rPr>
        <w:t>十二.事故回顾</w:t>
      </w:r>
    </w:p>
    <w:p w14:paraId="3CF0B248">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12.1 对本单位发生的事故，要将事故情况及调查处理情况通报到每个人，吸取事故教训，提高安全防范意识；</w:t>
      </w:r>
    </w:p>
    <w:p w14:paraId="3CA1919A">
      <w:pPr>
        <w:spacing w:line="360" w:lineRule="auto"/>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12.2 不定时对近期同行业事故进行及时传达学习；</w:t>
      </w:r>
    </w:p>
    <w:p w14:paraId="3D03EE69">
      <w:pP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12.3定期组织对本单位历年的事故和同行业企业发生的事故情况进行收集、整理与统计分析，探寻事故发生的规律，为安全管理提供决策参考。</w:t>
      </w:r>
    </w:p>
    <w:p w14:paraId="422C401B">
      <w:pP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br w:type="page"/>
      </w:r>
    </w:p>
    <w:p w14:paraId="71BB72CA">
      <w:pPr>
        <w:pStyle w:val="2"/>
        <w:spacing w:before="720" w:after="240" w:line="360" w:lineRule="auto"/>
        <w:jc w:val="center"/>
        <w:rPr>
          <w:rFonts w:hint="eastAsia" w:ascii="仿宋_GB2312" w:hAnsi="仿宋_GB2312" w:eastAsia="仿宋_GB2312" w:cs="仿宋_GB2312"/>
          <w:b w:val="0"/>
          <w:sz w:val="36"/>
          <w:szCs w:val="36"/>
        </w:rPr>
      </w:pPr>
      <w:r>
        <w:rPr>
          <w:rFonts w:hint="eastAsia" w:ascii="仿宋_GB2312" w:hAnsi="仿宋_GB2312" w:eastAsia="仿宋_GB2312" w:cs="仿宋_GB2312"/>
          <w:b w:val="0"/>
          <w:sz w:val="36"/>
          <w:szCs w:val="36"/>
        </w:rPr>
        <w:t>36.承包商、供应商等相关方的管理制度</w:t>
      </w:r>
    </w:p>
    <w:p w14:paraId="3E41391F">
      <w:p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一、目的</w:t>
      </w:r>
    </w:p>
    <w:p w14:paraId="08D45BE5">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为了规范承包商、供应商的选择程序，加强承包商、供应商的安全管理，减少承包商、供应商对公司安全的不利影响，制定本制度。</w:t>
      </w:r>
    </w:p>
    <w:p w14:paraId="0A04D228">
      <w:p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二、适用范围</w:t>
      </w:r>
    </w:p>
    <w:p w14:paraId="08C8184A">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本规定适用于在公司承担新建、扩建、技改、检修、维修、拆卸等项目及日常劳务工资的所有承包商、供应商及本公司有关部门雇佣的、临时工的安全管理。</w:t>
      </w:r>
    </w:p>
    <w:p w14:paraId="7111B155">
      <w:p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三、职责</w:t>
      </w:r>
    </w:p>
    <w:p w14:paraId="2767D5B7">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 xml:space="preserve">3.1物资部负责设施设备、配件及消耗品、办公用品、劳保用品、后勤服务等供应商、承包商的选择和评估。 </w:t>
      </w:r>
    </w:p>
    <w:p w14:paraId="015B9ADB">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3.2各部门初步评估后，由物资部负责对承包商、供应商的选择和建议，并报公司审批。</w:t>
      </w:r>
    </w:p>
    <w:p w14:paraId="484FD59F">
      <w:p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四、管理规定</w:t>
      </w:r>
    </w:p>
    <w:p w14:paraId="472B2B84">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 承包商、供应商的选定</w:t>
      </w:r>
    </w:p>
    <w:p w14:paraId="38EC4AA1">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4.1.1合格承包商具备与所承担的业务相应的能力，并具备国家规定的相关资质。</w:t>
      </w:r>
    </w:p>
    <w:p w14:paraId="33FBE5D5">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4.1.2 合格供应商应具备与所提供商品相应的生产能力和相关资质，提供商品为危险化学品的供应商应具备安全生产许可证或安全经营许可证。</w:t>
      </w:r>
    </w:p>
    <w:p w14:paraId="2B5D9F3D">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4.1.3 公司有关部门聘用的临时工应使具备独立民事行为能力的自然人，并具备与其承担的工作相适应的身体条件和文化素质。</w:t>
      </w:r>
    </w:p>
    <w:p w14:paraId="4A9442CC">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4.2承包商的管理</w:t>
      </w:r>
    </w:p>
    <w:p w14:paraId="777A71AD">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4.2.1承包商进入公司生产区前，应由本公司具体负责人员根据其承担的工作性质，向其书面或口头说明进入本公司应注意的安全事项，所承担工作持续时间两天或两天以上的，应与公司签订书面安全协议。</w:t>
      </w:r>
    </w:p>
    <w:p w14:paraId="6D1EB87D">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4.2.2在公司作业区从事相关施工或其他劳务工作的承包商，应遵守本公司的有关安全管理规定，并接受公司安全管理员的监督、管理和考核。</w:t>
      </w:r>
    </w:p>
    <w:p w14:paraId="7D00F84C">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4.3供应商的管理</w:t>
      </w:r>
    </w:p>
    <w:p w14:paraId="5AF99F88">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4.3.1供应商送货进入库区内前，应有采购人员向其说明相关安全教育及安全注意事项。</w:t>
      </w:r>
    </w:p>
    <w:p w14:paraId="683719AF">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4.3.2供货的机动车车辆进入库区送货时，送货人员禁止携带烟火，不得在库区内吸烟。</w:t>
      </w:r>
    </w:p>
    <w:p w14:paraId="13D141B4">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4.3.3供应商未按照安全注意事项而发生的事故，由供应商自行负责。</w:t>
      </w:r>
    </w:p>
    <w:p w14:paraId="21A71EF9">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4.4临时工的管理</w:t>
      </w:r>
    </w:p>
    <w:p w14:paraId="10BF75AB">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4.4.1临时工进入生产区工作前，应有其雇佣部门对其进行安全培训，较长期（两天及两天以上）雇佣的，培训后应进行书面考核。</w:t>
      </w:r>
    </w:p>
    <w:p w14:paraId="4385AA59">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4.4.2进入库区的临时工应遵守公司相关安全管理规定，并接受公司安全管理员的监督、检查。</w:t>
      </w:r>
    </w:p>
    <w:p w14:paraId="1769976A">
      <w:p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五、承包商、供应商的售后服务</w:t>
      </w:r>
    </w:p>
    <w:p w14:paraId="5CA0EB19">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5.1承包商对其劳务工作的售后应给予积极配合的态度。</w:t>
      </w:r>
    </w:p>
    <w:p w14:paraId="2EA91FC5">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5.2供应商应有义务对其产品进行检查、维修等售后服务。</w:t>
      </w:r>
    </w:p>
    <w:p w14:paraId="49C6E840">
      <w:p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六、考核评估</w:t>
      </w:r>
    </w:p>
    <w:p w14:paraId="60B13E94">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6.1根据质量、价格、交付、服务四个方面进行评价。</w:t>
      </w:r>
    </w:p>
    <w:p w14:paraId="6301F69C">
      <w:pPr>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6.2根据评估结果决定是否续用。</w:t>
      </w:r>
    </w:p>
    <w:p w14:paraId="61DCBFB4">
      <w:pPr>
        <w:rPr>
          <w:rFonts w:hint="eastAsia" w:ascii="仿宋_GB2312" w:hAnsi="仿宋_GB2312" w:eastAsia="仿宋_GB2312" w:cs="仿宋_GB2312"/>
          <w:kern w:val="0"/>
          <w:sz w:val="24"/>
          <w:szCs w:val="24"/>
          <w:lang w:val="en-US" w:eastAsia="zh-CN"/>
        </w:rPr>
      </w:pPr>
      <w:r>
        <w:rPr>
          <w:rFonts w:hint="eastAsia" w:ascii="仿宋_GB2312" w:hAnsi="仿宋_GB2312" w:eastAsia="仿宋_GB2312" w:cs="仿宋_GB2312"/>
          <w:kern w:val="0"/>
          <w:sz w:val="24"/>
          <w:szCs w:val="24"/>
          <w:lang w:val="en-US" w:eastAsia="zh-CN"/>
        </w:rPr>
        <w:br w:type="page"/>
      </w:r>
    </w:p>
    <w:p w14:paraId="62D79DFE">
      <w:pPr>
        <w:pStyle w:val="2"/>
        <w:spacing w:before="720" w:after="240" w:line="360" w:lineRule="auto"/>
        <w:jc w:val="center"/>
        <w:rPr>
          <w:rFonts w:hint="eastAsia" w:ascii="仿宋_GB2312" w:hAnsi="仿宋_GB2312" w:eastAsia="仿宋_GB2312" w:cs="仿宋_GB2312"/>
          <w:b w:val="0"/>
          <w:sz w:val="36"/>
          <w:szCs w:val="36"/>
        </w:rPr>
      </w:pPr>
      <w:r>
        <w:rPr>
          <w:rFonts w:hint="eastAsia" w:ascii="仿宋_GB2312" w:hAnsi="仿宋_GB2312" w:eastAsia="仿宋_GB2312" w:cs="仿宋_GB2312"/>
          <w:b w:val="0"/>
          <w:sz w:val="36"/>
          <w:szCs w:val="36"/>
          <w:lang w:val="en-US" w:eastAsia="zh-CN"/>
        </w:rPr>
        <w:t>应急预案</w:t>
      </w:r>
      <w:r>
        <w:rPr>
          <w:rFonts w:hint="eastAsia" w:ascii="仿宋_GB2312" w:hAnsi="仿宋_GB2312" w:eastAsia="仿宋_GB2312" w:cs="仿宋_GB2312"/>
          <w:b w:val="0"/>
          <w:sz w:val="36"/>
          <w:szCs w:val="36"/>
        </w:rPr>
        <w:t>管理制度</w:t>
      </w:r>
    </w:p>
    <w:p w14:paraId="5FB044F9">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lang w:val="en-US" w:eastAsia="zh-CN"/>
        </w:rPr>
        <w:t>1</w:t>
      </w:r>
      <w:r>
        <w:rPr>
          <w:rFonts w:hint="eastAsia" w:ascii="仿宋_GB2312" w:hAnsi="仿宋_GB2312" w:eastAsia="仿宋_GB2312" w:cs="仿宋_GB2312"/>
          <w:sz w:val="24"/>
          <w:szCs w:val="24"/>
        </w:rPr>
        <w:t>预案编制</w:t>
      </w:r>
    </w:p>
    <w:p w14:paraId="01915131">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1.1公司应急预案编制组织机构及职责针对可能发生的事故类别，结合公司各部门职能分工，成立以公司主要负责人（·分管负责人）··导的应急预案编制工作组，依据有关法律、法规、规章和规范性文件要求，明确编制任务、职责分工，制定编制工作计划。应急预案编制工作组应当全面分析公司的危险因素和事故隐患，预测可能发生的事故类型及其危害程度，确定事故危险源，进行风险分析和评估，针对事故危险源和存在的问题，客观评估公司的应急能力和应急资源，确定相应的防范和应对措施。分析评估结果应作为公司应急预案的编制依据。</w:t>
      </w:r>
    </w:p>
    <w:p w14:paraId="4C2B77AD">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1.1.1广泛收集编制应急预案所需的各种资料，包括相关法律法规、应急预案、技术标准、国立足公司应急管理基础和现状，对公司应急装备、应急队伍等应急能力进行评估，充分利用公司现有应急资源，建立科学有效的应急预案体系。</w:t>
      </w:r>
    </w:p>
    <w:p w14:paraId="7C90F5AD">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1.1.</w:t>
      </w:r>
      <w:r>
        <w:rPr>
          <w:rFonts w:hint="eastAsia" w:ascii="仿宋_GB2312" w:hAnsi="仿宋_GB2312" w:eastAsia="仿宋_GB2312" w:cs="仿宋_GB2312"/>
          <w:sz w:val="24"/>
          <w:szCs w:val="24"/>
          <w:lang w:val="en-US" w:eastAsia="zh-CN"/>
        </w:rPr>
        <w:t>2</w:t>
      </w:r>
      <w:r>
        <w:rPr>
          <w:rFonts w:hint="eastAsia" w:ascii="仿宋_GB2312" w:hAnsi="仿宋_GB2312" w:eastAsia="仿宋_GB2312" w:cs="仿宋_GB2312"/>
          <w:sz w:val="24"/>
          <w:szCs w:val="24"/>
        </w:rPr>
        <w:t>应急预案编制过程中，对于机构设置、预案流程、职责划分等具体环节，应符合公司实际情况和特点，保证预案的适应性、可操作性和有效性。</w:t>
      </w:r>
    </w:p>
    <w:p w14:paraId="4A835B7C">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1.1.</w:t>
      </w:r>
      <w:r>
        <w:rPr>
          <w:rFonts w:hint="eastAsia" w:ascii="仿宋_GB2312" w:hAnsi="仿宋_GB2312" w:eastAsia="仿宋_GB2312" w:cs="仿宋_GB2312"/>
          <w:sz w:val="24"/>
          <w:szCs w:val="24"/>
          <w:lang w:val="en-US" w:eastAsia="zh-CN"/>
        </w:rPr>
        <w:t>3</w:t>
      </w:r>
      <w:r>
        <w:rPr>
          <w:rFonts w:hint="eastAsia" w:ascii="仿宋_GB2312" w:hAnsi="仿宋_GB2312" w:eastAsia="仿宋_GB2312" w:cs="仿宋_GB2312"/>
          <w:sz w:val="24"/>
          <w:szCs w:val="24"/>
        </w:rPr>
        <w:t>应急预案编制过程中，应注重相关人员的参与和培训，掌握危险源的危害性、应急处置方法和技能。</w:t>
      </w:r>
    </w:p>
    <w:p w14:paraId="19ED7C54">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1.2公司应急预案体系和综合应急预案是从总体上阐述公司处置事故和突发事件的应急方针、政策，应急组织结构及相关应急职责，应急行动、措施和保障等基本要求和程序，是应对各类事故和突发事件的综合性文件。应当根据公司的组织结构、管理模式、生产规模和风险种类等特点，组织编制公司综合应急预案，作为应对各类突发事件的综合性文件，从总体上阐述处理事故的应急方针、政策，应急组织结构及相关应急职责，应急行动、措施和保障等基本要求和程序。</w:t>
      </w:r>
    </w:p>
    <w:p w14:paraId="705615FF">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1.2.2专项应急预案是针对具体的、特定类型的紧急情况而制定的应急预案，说明单一应急行动的目的和范围，通过危险源辨识，制定处置措施，程序内容具体详细，是综合应急预案的组成部分。应当针对公司可能发生的自然灾害类、事故灾难类、公共卫生事件类和社会安全事件类等各类突发事件，以及不同类别的事故或风险，组织编制相应的专项应急预案，明确具体应急处置程序、应急救援和保障措施。</w:t>
      </w:r>
    </w:p>
    <w:p w14:paraId="295A3CE8">
      <w:pP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br w:type="page"/>
      </w:r>
    </w:p>
    <w:p w14:paraId="0D3E7DAC">
      <w:pPr>
        <w:spacing w:line="360" w:lineRule="auto"/>
        <w:jc w:val="center"/>
        <w:rPr>
          <w:rFonts w:hint="eastAsia" w:ascii="仿宋_GB2312" w:hAnsi="仿宋_GB2312" w:eastAsia="仿宋_GB2312" w:cs="仿宋_GB2312"/>
          <w:sz w:val="24"/>
          <w:szCs w:val="24"/>
        </w:rPr>
      </w:pPr>
      <w:r>
        <w:rPr>
          <w:rFonts w:hint="eastAsia" w:ascii="仿宋_GB2312" w:hAnsi="仿宋_GB2312" w:eastAsia="仿宋_GB2312" w:cs="仿宋_GB2312"/>
          <w:b w:val="0"/>
          <w:sz w:val="36"/>
          <w:szCs w:val="36"/>
          <w:lang w:val="en-US" w:eastAsia="zh-CN"/>
        </w:rPr>
        <w:t>风险分级管控</w:t>
      </w:r>
      <w:r>
        <w:rPr>
          <w:rFonts w:hint="eastAsia" w:ascii="仿宋_GB2312" w:hAnsi="仿宋_GB2312" w:eastAsia="仿宋_GB2312" w:cs="仿宋_GB2312"/>
          <w:b w:val="0"/>
          <w:sz w:val="36"/>
          <w:szCs w:val="36"/>
        </w:rPr>
        <w:t>制度</w:t>
      </w:r>
    </w:p>
    <w:p w14:paraId="24347355">
      <w:pPr>
        <w:pStyle w:val="3"/>
        <w:spacing w:before="156" w:beforeLines="50" w:after="156" w:afterLines="50" w:line="300" w:lineRule="auto"/>
        <w:ind w:left="0" w:leftChars="0"/>
        <w:outlineLvl w:val="0"/>
        <w:rPr>
          <w:rFonts w:ascii="黑体" w:hAnsi="黑体" w:eastAsia="黑体"/>
          <w:bCs/>
          <w:color w:val="000000"/>
          <w:sz w:val="24"/>
          <w:szCs w:val="24"/>
        </w:rPr>
      </w:pPr>
      <w:bookmarkStart w:id="0" w:name="_Toc479343875"/>
      <w:r>
        <w:rPr>
          <w:rFonts w:ascii="黑体" w:hAnsi="黑体" w:eastAsia="黑体"/>
          <w:bCs/>
          <w:color w:val="000000"/>
          <w:sz w:val="24"/>
          <w:szCs w:val="24"/>
        </w:rPr>
        <w:t>1 目的</w:t>
      </w:r>
      <w:bookmarkEnd w:id="0"/>
    </w:p>
    <w:p w14:paraId="01D20092">
      <w:pPr>
        <w:adjustRightInd w:val="0"/>
        <w:snapToGrid w:val="0"/>
        <w:spacing w:line="360" w:lineRule="auto"/>
        <w:ind w:firstLine="480" w:firstLineChars="200"/>
        <w:jc w:val="left"/>
        <w:rPr>
          <w:rFonts w:hint="eastAsia" w:ascii="宋体" w:hAnsi="宋体" w:cs="仿宋"/>
          <w:sz w:val="24"/>
          <w:szCs w:val="24"/>
        </w:rPr>
      </w:pPr>
      <w:r>
        <w:rPr>
          <w:rFonts w:hint="eastAsia" w:ascii="宋体" w:hAnsi="宋体" w:cs="仿宋"/>
          <w:sz w:val="24"/>
          <w:szCs w:val="24"/>
        </w:rPr>
        <w:t>风险分级管控是企业安全管理的核心，风险分级管控过程中确定的典型</w:t>
      </w:r>
      <w:r>
        <w:rPr>
          <w:rFonts w:hint="eastAsia" w:ascii="仿宋_GB2312" w:hAnsi="仿宋_GB2312" w:eastAsia="仿宋_GB2312" w:cs="仿宋_GB2312"/>
          <w:sz w:val="24"/>
          <w:szCs w:val="24"/>
        </w:rPr>
        <w:t>控制</w:t>
      </w:r>
      <w:r>
        <w:rPr>
          <w:rFonts w:hint="eastAsia" w:ascii="宋体" w:hAnsi="宋体" w:cs="仿宋"/>
          <w:sz w:val="24"/>
          <w:szCs w:val="24"/>
        </w:rPr>
        <w:t>措施是隐患排查的重要内容。风险分级管控体系是职业健康安全管理体系和安全生产标准化相关要求的深化。</w:t>
      </w:r>
    </w:p>
    <w:p w14:paraId="11E96E78">
      <w:pPr>
        <w:adjustRightInd w:val="0"/>
        <w:snapToGrid w:val="0"/>
        <w:spacing w:line="360" w:lineRule="auto"/>
        <w:ind w:firstLine="480" w:firstLineChars="200"/>
        <w:jc w:val="left"/>
        <w:rPr>
          <w:rFonts w:hint="eastAsia" w:ascii="宋体" w:hAnsi="宋体"/>
          <w:sz w:val="24"/>
          <w:szCs w:val="24"/>
        </w:rPr>
      </w:pPr>
      <w:r>
        <w:rPr>
          <w:rFonts w:hint="eastAsia" w:ascii="宋体" w:hAnsi="宋体" w:cs="仿宋"/>
          <w:sz w:val="24"/>
          <w:szCs w:val="24"/>
        </w:rPr>
        <w:t xml:space="preserve">本制度用于规范和指导本公司开展风险分级管控工作，通过识别所有常规和非常规的生产活动、设备设施和作业环境存在的风险，强化源头管理，制定出合理的、科学的、经济有效的技术措施、组织措施、管理措施，避免人身伤害、职业病、财产损失和环境破坏，以达到降低风险，杜绝或减少各种隐患，预防生产安全事故的发生的目的。 </w:t>
      </w:r>
    </w:p>
    <w:p w14:paraId="329882C0">
      <w:pPr>
        <w:pStyle w:val="3"/>
        <w:spacing w:before="156" w:beforeLines="50" w:after="156" w:afterLines="50" w:line="300" w:lineRule="auto"/>
        <w:ind w:left="0" w:leftChars="0"/>
        <w:outlineLvl w:val="0"/>
        <w:rPr>
          <w:rFonts w:ascii="黑体" w:hAnsi="黑体" w:eastAsia="黑体"/>
          <w:bCs/>
          <w:color w:val="000000"/>
          <w:sz w:val="24"/>
          <w:szCs w:val="24"/>
        </w:rPr>
      </w:pPr>
      <w:bookmarkStart w:id="1" w:name="_Toc479343876"/>
      <w:r>
        <w:rPr>
          <w:rFonts w:ascii="黑体" w:hAnsi="黑体" w:eastAsia="黑体"/>
          <w:bCs/>
          <w:color w:val="000000"/>
          <w:sz w:val="24"/>
          <w:szCs w:val="24"/>
        </w:rPr>
        <w:t>2 适用范围</w:t>
      </w:r>
      <w:bookmarkEnd w:id="1"/>
    </w:p>
    <w:p w14:paraId="7C7CA9FA">
      <w:pPr>
        <w:adjustRightInd w:val="0"/>
        <w:snapToGrid w:val="0"/>
        <w:spacing w:line="360" w:lineRule="auto"/>
        <w:ind w:firstLine="480" w:firstLineChars="200"/>
        <w:jc w:val="left"/>
        <w:rPr>
          <w:rFonts w:hint="eastAsia" w:ascii="宋体" w:hAnsi="宋体" w:cs="仿宋"/>
          <w:sz w:val="24"/>
          <w:szCs w:val="24"/>
        </w:rPr>
      </w:pPr>
      <w:r>
        <w:rPr>
          <w:rFonts w:hint="eastAsia" w:ascii="宋体" w:hAnsi="宋体" w:cs="仿宋"/>
          <w:sz w:val="24"/>
          <w:szCs w:val="24"/>
        </w:rPr>
        <w:t>本制度规定了公司安全生产分级管控的目的、安全生产分级管控组织机构及职责、安全生产分级管控的主要内容等相关事宜。</w:t>
      </w:r>
    </w:p>
    <w:p w14:paraId="0F030CEB">
      <w:pPr>
        <w:adjustRightInd w:val="0"/>
        <w:snapToGrid w:val="0"/>
        <w:spacing w:line="360" w:lineRule="auto"/>
        <w:ind w:firstLine="480" w:firstLineChars="200"/>
        <w:jc w:val="left"/>
        <w:rPr>
          <w:rFonts w:hint="eastAsia" w:ascii="宋体" w:hAnsi="宋体" w:cs="仿宋"/>
          <w:sz w:val="24"/>
          <w:szCs w:val="24"/>
        </w:rPr>
      </w:pPr>
      <w:r>
        <w:rPr>
          <w:rFonts w:hint="eastAsia" w:ascii="宋体" w:hAnsi="宋体" w:cs="仿宋"/>
          <w:sz w:val="24"/>
          <w:szCs w:val="24"/>
        </w:rPr>
        <w:t>本制度适用于公司安全生产分级管控工作。</w:t>
      </w:r>
    </w:p>
    <w:p w14:paraId="69605EAE">
      <w:pPr>
        <w:pStyle w:val="3"/>
        <w:spacing w:before="156" w:beforeLines="50" w:after="156" w:afterLines="50" w:line="300" w:lineRule="auto"/>
        <w:ind w:left="0" w:leftChars="0"/>
        <w:outlineLvl w:val="0"/>
        <w:rPr>
          <w:rFonts w:ascii="黑体" w:hAnsi="黑体" w:eastAsia="黑体"/>
          <w:bCs/>
          <w:color w:val="000000"/>
          <w:sz w:val="24"/>
          <w:szCs w:val="24"/>
        </w:rPr>
      </w:pPr>
      <w:bookmarkStart w:id="2" w:name="_Toc479343877"/>
      <w:r>
        <w:rPr>
          <w:rFonts w:ascii="黑体" w:hAnsi="黑体" w:eastAsia="黑体"/>
          <w:bCs/>
          <w:color w:val="000000"/>
          <w:sz w:val="24"/>
          <w:szCs w:val="24"/>
        </w:rPr>
        <w:t xml:space="preserve">3 </w:t>
      </w:r>
      <w:r>
        <w:rPr>
          <w:rFonts w:hint="eastAsia" w:ascii="黑体" w:hAnsi="黑体" w:eastAsia="黑体"/>
          <w:bCs/>
          <w:color w:val="000000"/>
          <w:sz w:val="24"/>
          <w:szCs w:val="24"/>
        </w:rPr>
        <w:t>组织机构和</w:t>
      </w:r>
      <w:r>
        <w:rPr>
          <w:rFonts w:ascii="黑体" w:hAnsi="黑体" w:eastAsia="黑体"/>
          <w:bCs/>
          <w:color w:val="000000"/>
          <w:sz w:val="24"/>
          <w:szCs w:val="24"/>
        </w:rPr>
        <w:t>职责</w:t>
      </w:r>
      <w:bookmarkEnd w:id="2"/>
    </w:p>
    <w:p w14:paraId="68B87738">
      <w:pPr>
        <w:adjustRightInd w:val="0"/>
        <w:snapToGrid w:val="0"/>
        <w:spacing w:line="360" w:lineRule="auto"/>
        <w:ind w:firstLine="480" w:firstLineChars="200"/>
        <w:jc w:val="left"/>
        <w:rPr>
          <w:rFonts w:hint="eastAsia" w:ascii="宋体" w:hAnsi="宋体" w:cs="仿宋"/>
          <w:sz w:val="24"/>
          <w:szCs w:val="24"/>
        </w:rPr>
      </w:pPr>
      <w:r>
        <w:rPr>
          <w:rFonts w:hint="eastAsia" w:ascii="宋体" w:hAnsi="宋体" w:cs="仿宋"/>
          <w:sz w:val="24"/>
          <w:szCs w:val="24"/>
        </w:rPr>
        <w:t>公司成立总经理和有关职能人员参加的安全生产分级管控领导小组，领导公司的安全生产分级管控工作。</w:t>
      </w:r>
    </w:p>
    <w:p w14:paraId="7B198091">
      <w:pPr>
        <w:spacing w:line="360" w:lineRule="auto"/>
        <w:ind w:firstLine="480" w:firstLineChars="200"/>
        <w:rPr>
          <w:rFonts w:ascii="宋体" w:hAnsi="宋体"/>
          <w:sz w:val="24"/>
          <w:szCs w:val="24"/>
        </w:rPr>
      </w:pPr>
      <w:r>
        <w:rPr>
          <w:rFonts w:hint="eastAsia" w:ascii="宋体" w:hAnsi="宋体"/>
          <w:sz w:val="24"/>
          <w:szCs w:val="24"/>
        </w:rPr>
        <w:t>组      长：</w:t>
      </w:r>
    </w:p>
    <w:p w14:paraId="337A5D45">
      <w:pPr>
        <w:spacing w:line="360" w:lineRule="auto"/>
        <w:ind w:firstLine="480" w:firstLineChars="200"/>
        <w:rPr>
          <w:rFonts w:hint="eastAsia" w:ascii="宋体" w:hAnsi="宋体"/>
          <w:sz w:val="24"/>
          <w:szCs w:val="24"/>
        </w:rPr>
      </w:pPr>
      <w:r>
        <w:rPr>
          <w:rFonts w:hint="eastAsia" w:ascii="宋体" w:hAnsi="宋体"/>
          <w:sz w:val="24"/>
          <w:szCs w:val="24"/>
        </w:rPr>
        <w:t>常务副组长：</w:t>
      </w:r>
    </w:p>
    <w:p w14:paraId="69F29279">
      <w:pPr>
        <w:spacing w:line="360" w:lineRule="auto"/>
        <w:ind w:firstLine="480" w:firstLineChars="200"/>
        <w:rPr>
          <w:rFonts w:hint="eastAsia" w:ascii="宋体" w:hAnsi="宋体"/>
          <w:sz w:val="24"/>
          <w:szCs w:val="24"/>
        </w:rPr>
      </w:pPr>
      <w:r>
        <w:rPr>
          <w:rFonts w:hint="eastAsia" w:ascii="宋体" w:hAnsi="宋体"/>
          <w:sz w:val="24"/>
          <w:szCs w:val="24"/>
        </w:rPr>
        <w:t>副  组  长：</w:t>
      </w:r>
    </w:p>
    <w:p w14:paraId="43D37DB8">
      <w:pPr>
        <w:spacing w:line="360" w:lineRule="auto"/>
        <w:ind w:firstLine="480" w:firstLineChars="200"/>
        <w:rPr>
          <w:rFonts w:hint="eastAsia" w:ascii="宋体" w:hAnsi="宋体"/>
          <w:sz w:val="24"/>
          <w:szCs w:val="24"/>
        </w:rPr>
      </w:pPr>
      <w:r>
        <w:rPr>
          <w:rFonts w:hint="eastAsia" w:ascii="宋体" w:hAnsi="宋体"/>
          <w:sz w:val="24"/>
          <w:szCs w:val="24"/>
        </w:rPr>
        <w:t>组      员：</w:t>
      </w:r>
    </w:p>
    <w:p w14:paraId="418E6752">
      <w:pPr>
        <w:adjustRightInd w:val="0"/>
        <w:snapToGrid w:val="0"/>
        <w:spacing w:line="360" w:lineRule="auto"/>
        <w:ind w:firstLine="480" w:firstLineChars="200"/>
        <w:jc w:val="left"/>
        <w:rPr>
          <w:rFonts w:hint="eastAsia" w:ascii="宋体" w:hAnsi="宋体" w:cs="仿宋"/>
          <w:sz w:val="24"/>
          <w:szCs w:val="24"/>
        </w:rPr>
      </w:pPr>
      <w:r>
        <w:rPr>
          <w:rFonts w:hint="eastAsia" w:ascii="宋体" w:hAnsi="宋体" w:cs="仿宋"/>
          <w:sz w:val="24"/>
          <w:szCs w:val="24"/>
        </w:rPr>
        <w:t>组长对公司安全生产及安全生产分级管控工作全面负责，指导、协调组织安全生产分级管控的建立、运行和评审工作，负责确定风险评价的目的、范围，选择科学的评价方法和评价准则。</w:t>
      </w:r>
    </w:p>
    <w:p w14:paraId="78E17002">
      <w:pPr>
        <w:adjustRightInd w:val="0"/>
        <w:snapToGrid w:val="0"/>
        <w:spacing w:line="360" w:lineRule="auto"/>
        <w:ind w:firstLine="480" w:firstLineChars="200"/>
        <w:jc w:val="left"/>
        <w:rPr>
          <w:rFonts w:hint="eastAsia" w:ascii="宋体" w:hAnsi="宋体" w:cs="仿宋"/>
          <w:sz w:val="24"/>
          <w:szCs w:val="24"/>
        </w:rPr>
      </w:pPr>
      <w:r>
        <w:rPr>
          <w:rFonts w:hint="eastAsia" w:ascii="宋体" w:hAnsi="宋体" w:cs="仿宋"/>
          <w:sz w:val="24"/>
          <w:szCs w:val="24"/>
        </w:rPr>
        <w:t>安全生产风险分级管控的分管领导职责如下：</w:t>
      </w:r>
    </w:p>
    <w:p w14:paraId="4BE763B6">
      <w:pPr>
        <w:adjustRightInd w:val="0"/>
        <w:snapToGrid w:val="0"/>
        <w:spacing w:line="360" w:lineRule="auto"/>
        <w:ind w:firstLine="480" w:firstLineChars="200"/>
        <w:jc w:val="left"/>
        <w:rPr>
          <w:rFonts w:hint="eastAsia" w:ascii="宋体" w:hAnsi="宋体" w:cs="仿宋"/>
          <w:sz w:val="24"/>
          <w:szCs w:val="24"/>
        </w:rPr>
      </w:pPr>
      <w:r>
        <w:rPr>
          <w:rFonts w:hint="eastAsia" w:ascii="宋体" w:hAnsi="宋体" w:cs="仿宋"/>
          <w:sz w:val="24"/>
          <w:szCs w:val="24"/>
        </w:rPr>
        <w:t>公司安全管理办公室是安全风险管控归口管理部门，督促检查、指导各职能部门和所属单位的安全生产分级管控、安全评价分析、编制安全生产风险管控报告。</w:t>
      </w:r>
    </w:p>
    <w:p w14:paraId="497F98EE">
      <w:pPr>
        <w:adjustRightInd w:val="0"/>
        <w:snapToGrid w:val="0"/>
        <w:spacing w:line="360" w:lineRule="auto"/>
        <w:ind w:firstLine="480" w:firstLineChars="200"/>
        <w:jc w:val="left"/>
        <w:rPr>
          <w:rFonts w:hint="eastAsia" w:ascii="宋体" w:hAnsi="宋体" w:cs="仿宋"/>
          <w:sz w:val="24"/>
          <w:szCs w:val="24"/>
        </w:rPr>
      </w:pPr>
      <w:r>
        <w:rPr>
          <w:rFonts w:hint="eastAsia" w:ascii="宋体" w:hAnsi="宋体" w:cs="仿宋"/>
          <w:sz w:val="24"/>
          <w:szCs w:val="24"/>
        </w:rPr>
        <w:t>其他各部门负责公司安全生产分级管控的组织、协调、督促工作。</w:t>
      </w:r>
    </w:p>
    <w:p w14:paraId="7D5D35C4">
      <w:pPr>
        <w:pStyle w:val="3"/>
        <w:spacing w:before="156" w:beforeLines="50" w:after="156" w:afterLines="50" w:line="300" w:lineRule="auto"/>
        <w:ind w:left="0" w:leftChars="0"/>
        <w:outlineLvl w:val="0"/>
        <w:rPr>
          <w:rFonts w:hint="eastAsia" w:ascii="黑体" w:hAnsi="黑体" w:eastAsia="黑体"/>
          <w:bCs/>
          <w:color w:val="000000"/>
          <w:sz w:val="24"/>
          <w:szCs w:val="24"/>
        </w:rPr>
      </w:pPr>
      <w:bookmarkStart w:id="3" w:name="_Toc479343878"/>
      <w:r>
        <w:rPr>
          <w:rFonts w:ascii="黑体" w:hAnsi="黑体" w:eastAsia="黑体"/>
          <w:bCs/>
          <w:color w:val="000000"/>
          <w:sz w:val="24"/>
          <w:szCs w:val="24"/>
        </w:rPr>
        <w:t>4</w:t>
      </w:r>
      <w:r>
        <w:rPr>
          <w:rFonts w:hint="eastAsia" w:ascii="黑体" w:hAnsi="黑体" w:eastAsia="黑体"/>
          <w:bCs/>
          <w:color w:val="000000"/>
          <w:sz w:val="24"/>
          <w:szCs w:val="24"/>
        </w:rPr>
        <w:t xml:space="preserve"> </w:t>
      </w:r>
      <w:bookmarkStart w:id="4" w:name="_Toc465773974"/>
      <w:bookmarkStart w:id="5" w:name="_Toc466564000"/>
      <w:bookmarkStart w:id="6" w:name="_Toc465773661"/>
      <w:bookmarkStart w:id="7" w:name="_Toc465773998"/>
      <w:r>
        <w:rPr>
          <w:rFonts w:hint="eastAsia" w:ascii="黑体" w:hAnsi="黑体" w:eastAsia="黑体"/>
          <w:bCs/>
          <w:color w:val="000000"/>
          <w:sz w:val="24"/>
          <w:szCs w:val="24"/>
        </w:rPr>
        <w:t>术语和定义</w:t>
      </w:r>
      <w:bookmarkEnd w:id="3"/>
      <w:bookmarkEnd w:id="4"/>
      <w:bookmarkEnd w:id="5"/>
      <w:bookmarkEnd w:id="6"/>
      <w:bookmarkEnd w:id="7"/>
    </w:p>
    <w:p w14:paraId="02CDE685">
      <w:pPr>
        <w:pStyle w:val="12"/>
        <w:widowControl w:val="0"/>
        <w:spacing w:line="360" w:lineRule="auto"/>
        <w:ind w:firstLine="560"/>
        <w:rPr>
          <w:rFonts w:hint="eastAsia" w:hAnsi="宋体" w:cs="仿宋"/>
          <w:sz w:val="24"/>
          <w:szCs w:val="24"/>
        </w:rPr>
      </w:pPr>
      <w:bookmarkStart w:id="8" w:name="_Toc27028"/>
      <w:r>
        <w:rPr>
          <w:rFonts w:hint="eastAsia" w:hAnsi="宋体" w:cs="仿宋"/>
          <w:sz w:val="24"/>
          <w:szCs w:val="24"/>
        </w:rPr>
        <w:t>（1）</w:t>
      </w:r>
      <w:r>
        <w:rPr>
          <w:rFonts w:hAnsi="宋体" w:cs="仿宋"/>
          <w:sz w:val="24"/>
          <w:szCs w:val="24"/>
        </w:rPr>
        <w:t>风险</w:t>
      </w:r>
      <w:bookmarkEnd w:id="8"/>
    </w:p>
    <w:p w14:paraId="7DF0C79A">
      <w:pPr>
        <w:pStyle w:val="12"/>
        <w:widowControl w:val="0"/>
        <w:spacing w:line="360" w:lineRule="auto"/>
        <w:ind w:firstLine="560"/>
        <w:rPr>
          <w:rFonts w:hint="eastAsia" w:hAnsi="宋体" w:cs="仿宋"/>
          <w:sz w:val="24"/>
          <w:szCs w:val="24"/>
        </w:rPr>
      </w:pPr>
      <w:r>
        <w:rPr>
          <w:rFonts w:hint="eastAsia" w:hAnsi="宋体" w:cs="仿宋"/>
          <w:sz w:val="24"/>
          <w:szCs w:val="24"/>
        </w:rPr>
        <w:t>生产安全事故或健康损害事件发生的可能性和严重性的组合。可能性，是指事故（事件）发生的概率。严重性，是指事故（事件）一旦发生后，将造成的人员伤害和经济损失的严重程度。</w:t>
      </w:r>
    </w:p>
    <w:p w14:paraId="6584F5D0">
      <w:pPr>
        <w:pStyle w:val="12"/>
        <w:widowControl w:val="0"/>
        <w:spacing w:line="360" w:lineRule="auto"/>
        <w:ind w:firstLine="560"/>
        <w:rPr>
          <w:rFonts w:hint="eastAsia" w:hAnsi="宋体" w:cs="仿宋"/>
          <w:sz w:val="24"/>
          <w:szCs w:val="24"/>
        </w:rPr>
      </w:pPr>
      <w:r>
        <w:rPr>
          <w:rFonts w:hint="eastAsia" w:hAnsi="宋体" w:cs="仿宋"/>
          <w:sz w:val="24"/>
          <w:szCs w:val="24"/>
        </w:rPr>
        <w:t>风险=可能性×严重性。</w:t>
      </w:r>
    </w:p>
    <w:p w14:paraId="702208B5">
      <w:pPr>
        <w:pStyle w:val="12"/>
        <w:widowControl w:val="0"/>
        <w:spacing w:line="360" w:lineRule="auto"/>
        <w:ind w:firstLine="560"/>
        <w:rPr>
          <w:rFonts w:hint="eastAsia" w:hAnsi="宋体"/>
          <w:sz w:val="24"/>
          <w:szCs w:val="24"/>
        </w:rPr>
      </w:pPr>
      <w:bookmarkStart w:id="9" w:name="_Toc8747"/>
      <w:r>
        <w:rPr>
          <w:rFonts w:hint="eastAsia" w:hAnsi="宋体"/>
          <w:sz w:val="24"/>
          <w:szCs w:val="24"/>
        </w:rPr>
        <w:t>（2）可</w:t>
      </w:r>
      <w:r>
        <w:rPr>
          <w:rFonts w:hint="eastAsia" w:hAnsi="宋体" w:cs="仿宋"/>
          <w:sz w:val="24"/>
          <w:szCs w:val="24"/>
        </w:rPr>
        <w:t>接受</w:t>
      </w:r>
      <w:r>
        <w:rPr>
          <w:rFonts w:hint="eastAsia" w:hAnsi="宋体"/>
          <w:sz w:val="24"/>
          <w:szCs w:val="24"/>
        </w:rPr>
        <w:t>风险</w:t>
      </w:r>
      <w:bookmarkEnd w:id="9"/>
    </w:p>
    <w:p w14:paraId="288C02E3">
      <w:pPr>
        <w:pStyle w:val="12"/>
        <w:widowControl w:val="0"/>
        <w:spacing w:line="360" w:lineRule="auto"/>
        <w:ind w:firstLine="560"/>
        <w:rPr>
          <w:rFonts w:hint="eastAsia" w:hAnsi="宋体" w:cs="仿宋"/>
          <w:sz w:val="24"/>
          <w:szCs w:val="24"/>
        </w:rPr>
      </w:pPr>
      <w:r>
        <w:rPr>
          <w:rFonts w:hint="eastAsia" w:hAnsi="宋体" w:cs="仿宋"/>
          <w:sz w:val="24"/>
          <w:szCs w:val="24"/>
        </w:rPr>
        <w:t>根据企业法律义务和职业健康安全方针已被企业降至可容许程度的风险。</w:t>
      </w:r>
    </w:p>
    <w:p w14:paraId="5DAFC249">
      <w:pPr>
        <w:pStyle w:val="12"/>
        <w:widowControl w:val="0"/>
        <w:spacing w:line="360" w:lineRule="auto"/>
        <w:ind w:firstLine="560"/>
        <w:rPr>
          <w:rFonts w:hint="eastAsia" w:hAnsi="宋体"/>
          <w:sz w:val="24"/>
          <w:szCs w:val="24"/>
        </w:rPr>
      </w:pPr>
      <w:bookmarkStart w:id="10" w:name="_Toc31920"/>
      <w:r>
        <w:rPr>
          <w:rFonts w:hint="eastAsia" w:hAnsi="宋体"/>
          <w:sz w:val="24"/>
          <w:szCs w:val="24"/>
        </w:rPr>
        <w:t>（3）重大风险</w:t>
      </w:r>
      <w:bookmarkEnd w:id="10"/>
    </w:p>
    <w:p w14:paraId="3819708F">
      <w:pPr>
        <w:pStyle w:val="12"/>
        <w:widowControl w:val="0"/>
        <w:spacing w:line="360" w:lineRule="auto"/>
        <w:ind w:firstLine="560"/>
        <w:rPr>
          <w:rFonts w:hint="eastAsia" w:hAnsi="宋体" w:cs="仿宋"/>
          <w:sz w:val="24"/>
          <w:szCs w:val="24"/>
        </w:rPr>
      </w:pPr>
      <w:r>
        <w:rPr>
          <w:rFonts w:hint="eastAsia" w:hAnsi="宋体" w:cs="仿宋"/>
          <w:sz w:val="24"/>
          <w:szCs w:val="24"/>
        </w:rPr>
        <w:t>发生事故可能性与事故后果二者结合后风险值被认定为重大的风险类型。</w:t>
      </w:r>
    </w:p>
    <w:p w14:paraId="544FC275">
      <w:pPr>
        <w:pStyle w:val="12"/>
        <w:widowControl w:val="0"/>
        <w:spacing w:line="360" w:lineRule="auto"/>
        <w:ind w:firstLine="560"/>
        <w:rPr>
          <w:rFonts w:hint="eastAsia" w:hAnsi="宋体"/>
          <w:sz w:val="24"/>
          <w:szCs w:val="24"/>
        </w:rPr>
      </w:pPr>
      <w:bookmarkStart w:id="11" w:name="_Toc18162"/>
      <w:r>
        <w:rPr>
          <w:rFonts w:hint="eastAsia" w:hAnsi="宋体"/>
          <w:sz w:val="24"/>
          <w:szCs w:val="24"/>
        </w:rPr>
        <w:t>（4）危险源</w:t>
      </w:r>
      <w:bookmarkEnd w:id="11"/>
    </w:p>
    <w:p w14:paraId="7DD70010">
      <w:pPr>
        <w:pStyle w:val="12"/>
        <w:widowControl w:val="0"/>
        <w:spacing w:line="360" w:lineRule="auto"/>
        <w:ind w:firstLine="560"/>
        <w:rPr>
          <w:rFonts w:hint="eastAsia" w:hAnsi="宋体" w:cs="仿宋"/>
          <w:sz w:val="24"/>
          <w:szCs w:val="24"/>
        </w:rPr>
      </w:pPr>
      <w:r>
        <w:rPr>
          <w:rFonts w:hint="eastAsia" w:hAnsi="宋体" w:cs="仿宋"/>
          <w:sz w:val="24"/>
          <w:szCs w:val="24"/>
        </w:rPr>
        <w:t>可能导致人身伤害和（或）健康损害和（或）财产损失的根源、状态或行为，或它们的组合。</w:t>
      </w:r>
    </w:p>
    <w:p w14:paraId="2488F429">
      <w:pPr>
        <w:pStyle w:val="12"/>
        <w:widowControl w:val="0"/>
        <w:spacing w:line="360" w:lineRule="auto"/>
        <w:ind w:firstLine="560"/>
        <w:rPr>
          <w:rFonts w:hint="eastAsia" w:hAnsi="宋体" w:cs="仿宋"/>
          <w:sz w:val="24"/>
          <w:szCs w:val="24"/>
        </w:rPr>
      </w:pPr>
      <w:r>
        <w:rPr>
          <w:rFonts w:hint="eastAsia" w:hAnsi="宋体" w:cs="仿宋"/>
          <w:sz w:val="24"/>
          <w:szCs w:val="24"/>
        </w:rPr>
        <w:t>在分析生产过程中对人造成伤亡、影响人的身体健康甚至导致疾病的因素时，危险源可称为危险有害因素，分为人的因素、物的因素、环境因素和管理因素四类。</w:t>
      </w:r>
    </w:p>
    <w:p w14:paraId="16C8163B">
      <w:pPr>
        <w:pStyle w:val="12"/>
        <w:widowControl w:val="0"/>
        <w:spacing w:line="360" w:lineRule="auto"/>
        <w:ind w:firstLine="560"/>
        <w:rPr>
          <w:rFonts w:hint="eastAsia" w:hAnsi="宋体"/>
          <w:sz w:val="24"/>
          <w:szCs w:val="24"/>
        </w:rPr>
      </w:pPr>
      <w:bookmarkStart w:id="12" w:name="_Toc26278"/>
      <w:r>
        <w:rPr>
          <w:rFonts w:hint="eastAsia" w:hAnsi="宋体"/>
          <w:sz w:val="24"/>
          <w:szCs w:val="24"/>
        </w:rPr>
        <w:t>（5）风险点</w:t>
      </w:r>
      <w:bookmarkEnd w:id="12"/>
    </w:p>
    <w:p w14:paraId="5DD4503D">
      <w:pPr>
        <w:pStyle w:val="12"/>
        <w:widowControl w:val="0"/>
        <w:spacing w:line="360" w:lineRule="auto"/>
        <w:ind w:firstLine="560"/>
        <w:rPr>
          <w:rFonts w:hint="eastAsia" w:hAnsi="宋体" w:cs="仿宋"/>
          <w:sz w:val="24"/>
          <w:szCs w:val="24"/>
        </w:rPr>
      </w:pPr>
      <w:r>
        <w:rPr>
          <w:rFonts w:hint="eastAsia" w:hAnsi="宋体" w:cs="仿宋"/>
          <w:sz w:val="24"/>
          <w:szCs w:val="24"/>
        </w:rPr>
        <w:t>风险伴随的设施、部位、场所和区域，以及在设施、部位、场所和区域实施的伴随风险的作业活动，或以上两者的组合。</w:t>
      </w:r>
    </w:p>
    <w:p w14:paraId="0AD0BC07">
      <w:pPr>
        <w:pStyle w:val="12"/>
        <w:widowControl w:val="0"/>
        <w:spacing w:line="360" w:lineRule="auto"/>
        <w:ind w:firstLine="560"/>
        <w:rPr>
          <w:rFonts w:hint="eastAsia" w:hAnsi="宋体"/>
          <w:sz w:val="24"/>
          <w:szCs w:val="24"/>
        </w:rPr>
      </w:pPr>
      <w:bookmarkStart w:id="13" w:name="_Toc10319"/>
      <w:r>
        <w:rPr>
          <w:rFonts w:hint="eastAsia" w:hAnsi="宋体"/>
          <w:sz w:val="24"/>
          <w:szCs w:val="24"/>
        </w:rPr>
        <w:t>（6）</w:t>
      </w:r>
      <w:r>
        <w:rPr>
          <w:rFonts w:hint="eastAsia" w:hAnsi="宋体" w:cs="仿宋"/>
          <w:sz w:val="24"/>
          <w:szCs w:val="24"/>
        </w:rPr>
        <w:t>危险</w:t>
      </w:r>
      <w:r>
        <w:rPr>
          <w:rFonts w:hint="eastAsia" w:hAnsi="宋体"/>
          <w:sz w:val="24"/>
          <w:szCs w:val="24"/>
        </w:rPr>
        <w:t>源辨识</w:t>
      </w:r>
      <w:bookmarkEnd w:id="13"/>
    </w:p>
    <w:p w14:paraId="10016E2D">
      <w:pPr>
        <w:pStyle w:val="12"/>
        <w:widowControl w:val="0"/>
        <w:spacing w:line="360" w:lineRule="auto"/>
        <w:ind w:firstLine="560"/>
        <w:rPr>
          <w:rFonts w:hint="eastAsia" w:hAnsi="宋体" w:cs="仿宋"/>
          <w:sz w:val="24"/>
          <w:szCs w:val="24"/>
        </w:rPr>
      </w:pPr>
      <w:r>
        <w:rPr>
          <w:rFonts w:hint="eastAsia" w:hAnsi="宋体" w:cs="仿宋"/>
          <w:sz w:val="24"/>
          <w:szCs w:val="24"/>
        </w:rPr>
        <w:t>识别危险源的存在并确定其分布和特性的过程。</w:t>
      </w:r>
    </w:p>
    <w:p w14:paraId="30D371EC">
      <w:pPr>
        <w:pStyle w:val="12"/>
        <w:widowControl w:val="0"/>
        <w:spacing w:line="360" w:lineRule="auto"/>
        <w:ind w:firstLine="560"/>
        <w:rPr>
          <w:rFonts w:hint="eastAsia" w:hAnsi="宋体"/>
          <w:sz w:val="24"/>
          <w:szCs w:val="24"/>
        </w:rPr>
      </w:pPr>
      <w:bookmarkStart w:id="14" w:name="_Toc27768"/>
      <w:r>
        <w:rPr>
          <w:rFonts w:hint="eastAsia" w:hAnsi="宋体"/>
          <w:sz w:val="24"/>
          <w:szCs w:val="24"/>
        </w:rPr>
        <w:t>（7）</w:t>
      </w:r>
      <w:r>
        <w:rPr>
          <w:rFonts w:hint="eastAsia" w:hAnsi="宋体" w:cs="仿宋"/>
          <w:sz w:val="24"/>
          <w:szCs w:val="24"/>
        </w:rPr>
        <w:t>风险评价</w:t>
      </w:r>
      <w:bookmarkEnd w:id="14"/>
    </w:p>
    <w:p w14:paraId="5EEABD58">
      <w:pPr>
        <w:pStyle w:val="12"/>
        <w:widowControl w:val="0"/>
        <w:spacing w:line="360" w:lineRule="auto"/>
        <w:ind w:firstLine="560"/>
        <w:rPr>
          <w:rFonts w:hint="eastAsia" w:hAnsi="宋体" w:cs="仿宋"/>
          <w:sz w:val="24"/>
          <w:szCs w:val="24"/>
        </w:rPr>
      </w:pPr>
      <w:r>
        <w:rPr>
          <w:rFonts w:hint="eastAsia" w:hAnsi="宋体" w:cs="仿宋"/>
          <w:sz w:val="24"/>
          <w:szCs w:val="24"/>
        </w:rPr>
        <w:t>对危险源导致的风险进行分析、评估、分级，对现有控制措施的充分性加以考虑，以及对风险是否可接受予以确定的过程。</w:t>
      </w:r>
    </w:p>
    <w:p w14:paraId="5A52853C">
      <w:pPr>
        <w:pStyle w:val="12"/>
        <w:widowControl w:val="0"/>
        <w:spacing w:line="360" w:lineRule="auto"/>
        <w:ind w:firstLine="560"/>
        <w:rPr>
          <w:rFonts w:hint="eastAsia" w:hAnsi="宋体"/>
          <w:sz w:val="24"/>
          <w:szCs w:val="24"/>
        </w:rPr>
      </w:pPr>
      <w:bookmarkStart w:id="15" w:name="_Toc577"/>
      <w:r>
        <w:rPr>
          <w:rFonts w:hint="eastAsia" w:hAnsi="宋体"/>
          <w:sz w:val="24"/>
          <w:szCs w:val="24"/>
        </w:rPr>
        <w:t>（8）风险分级</w:t>
      </w:r>
      <w:bookmarkEnd w:id="15"/>
    </w:p>
    <w:p w14:paraId="5395B2C6">
      <w:pPr>
        <w:pStyle w:val="12"/>
        <w:widowControl w:val="0"/>
        <w:spacing w:line="360" w:lineRule="auto"/>
        <w:ind w:firstLine="560"/>
        <w:rPr>
          <w:rFonts w:hint="eastAsia" w:hAnsi="宋体" w:cs="仿宋"/>
          <w:sz w:val="24"/>
          <w:szCs w:val="24"/>
        </w:rPr>
      </w:pPr>
      <w:r>
        <w:rPr>
          <w:rFonts w:hint="eastAsia" w:hAnsi="宋体" w:cs="仿宋"/>
          <w:sz w:val="24"/>
          <w:szCs w:val="24"/>
        </w:rPr>
        <w:t>通过采用科学、合理方法对危险源所伴随的风险进行定性或定量评价，根据评价结果划分等级。</w:t>
      </w:r>
    </w:p>
    <w:p w14:paraId="1530261A">
      <w:pPr>
        <w:pStyle w:val="12"/>
        <w:widowControl w:val="0"/>
        <w:spacing w:line="360" w:lineRule="auto"/>
        <w:ind w:firstLine="560"/>
        <w:rPr>
          <w:rFonts w:hint="eastAsia" w:hAnsi="宋体"/>
          <w:sz w:val="24"/>
          <w:szCs w:val="24"/>
        </w:rPr>
      </w:pPr>
      <w:bookmarkStart w:id="16" w:name="_Toc24840"/>
      <w:r>
        <w:rPr>
          <w:rFonts w:hint="eastAsia" w:hAnsi="宋体"/>
          <w:sz w:val="24"/>
          <w:szCs w:val="24"/>
        </w:rPr>
        <w:t>（9）风险分级管控</w:t>
      </w:r>
      <w:bookmarkEnd w:id="16"/>
    </w:p>
    <w:p w14:paraId="4C94BEAB">
      <w:pPr>
        <w:pStyle w:val="12"/>
        <w:widowControl w:val="0"/>
        <w:spacing w:line="360" w:lineRule="auto"/>
        <w:ind w:firstLine="560"/>
        <w:rPr>
          <w:rFonts w:hint="eastAsia" w:hAnsi="宋体" w:cs="仿宋"/>
          <w:sz w:val="24"/>
          <w:szCs w:val="24"/>
        </w:rPr>
      </w:pPr>
      <w:r>
        <w:rPr>
          <w:rFonts w:hint="eastAsia" w:hAnsi="宋体" w:cs="仿宋"/>
          <w:sz w:val="24"/>
          <w:szCs w:val="24"/>
        </w:rPr>
        <w:t>按照风险不同级别、所需管控资源、管控能力、管控措施复杂及难易程度等因素而确定不同管控层级的风险管控方式。</w:t>
      </w:r>
    </w:p>
    <w:p w14:paraId="057672DA">
      <w:pPr>
        <w:pStyle w:val="12"/>
        <w:widowControl w:val="0"/>
        <w:spacing w:line="360" w:lineRule="auto"/>
        <w:ind w:firstLine="560"/>
        <w:rPr>
          <w:rFonts w:hint="eastAsia" w:hAnsi="宋体"/>
          <w:sz w:val="24"/>
          <w:szCs w:val="24"/>
        </w:rPr>
      </w:pPr>
      <w:bookmarkStart w:id="17" w:name="_Toc20351"/>
      <w:r>
        <w:rPr>
          <w:rFonts w:hint="eastAsia" w:hAnsi="宋体"/>
          <w:sz w:val="24"/>
          <w:szCs w:val="24"/>
        </w:rPr>
        <w:t>（10）风险控制措施</w:t>
      </w:r>
      <w:bookmarkEnd w:id="17"/>
    </w:p>
    <w:p w14:paraId="16D3973A">
      <w:pPr>
        <w:pStyle w:val="12"/>
        <w:widowControl w:val="0"/>
        <w:spacing w:line="360" w:lineRule="auto"/>
        <w:ind w:firstLine="560"/>
        <w:rPr>
          <w:rFonts w:hint="eastAsia" w:hAnsi="宋体" w:cs="仿宋"/>
          <w:sz w:val="24"/>
          <w:szCs w:val="24"/>
        </w:rPr>
      </w:pPr>
      <w:r>
        <w:rPr>
          <w:rFonts w:hint="eastAsia" w:hAnsi="宋体" w:cs="仿宋"/>
          <w:sz w:val="24"/>
          <w:szCs w:val="24"/>
        </w:rPr>
        <w:t>企业为将风险降低至可接受程度，针对该风险而采取的相应控制方法和手段。</w:t>
      </w:r>
    </w:p>
    <w:p w14:paraId="095ADF18">
      <w:pPr>
        <w:pStyle w:val="12"/>
        <w:widowControl w:val="0"/>
        <w:spacing w:line="360" w:lineRule="auto"/>
        <w:ind w:firstLine="560"/>
        <w:rPr>
          <w:rFonts w:hint="eastAsia" w:hAnsi="宋体"/>
          <w:sz w:val="24"/>
          <w:szCs w:val="24"/>
        </w:rPr>
      </w:pPr>
      <w:bookmarkStart w:id="18" w:name="_Toc25123"/>
      <w:r>
        <w:rPr>
          <w:rFonts w:hint="eastAsia" w:hAnsi="宋体"/>
          <w:sz w:val="24"/>
          <w:szCs w:val="24"/>
        </w:rPr>
        <w:t>（11）</w:t>
      </w:r>
      <w:r>
        <w:rPr>
          <w:rFonts w:hint="eastAsia" w:hAnsi="宋体" w:cs="仿宋"/>
          <w:sz w:val="24"/>
          <w:szCs w:val="24"/>
        </w:rPr>
        <w:t>风险</w:t>
      </w:r>
      <w:r>
        <w:rPr>
          <w:rFonts w:hint="eastAsia" w:hAnsi="宋体"/>
          <w:sz w:val="24"/>
          <w:szCs w:val="24"/>
        </w:rPr>
        <w:t>信息</w:t>
      </w:r>
      <w:bookmarkEnd w:id="18"/>
    </w:p>
    <w:p w14:paraId="6B0F3D27">
      <w:pPr>
        <w:pStyle w:val="12"/>
        <w:widowControl w:val="0"/>
        <w:spacing w:line="360" w:lineRule="auto"/>
        <w:ind w:firstLine="560"/>
        <w:rPr>
          <w:rFonts w:hint="eastAsia" w:hAnsi="宋体" w:cs="仿宋"/>
          <w:sz w:val="24"/>
          <w:szCs w:val="24"/>
        </w:rPr>
      </w:pPr>
      <w:r>
        <w:rPr>
          <w:rFonts w:hint="eastAsia" w:hAnsi="宋体" w:cs="仿宋"/>
          <w:sz w:val="24"/>
          <w:szCs w:val="24"/>
        </w:rPr>
        <w:t>风险点名称、危险源名称、类型、所在位置、当前状态以及伴随风险大小、等级、所需管控措施、责任单位、责任人等一系列信息的综合。</w:t>
      </w:r>
    </w:p>
    <w:p w14:paraId="33FC17C6">
      <w:pPr>
        <w:pStyle w:val="12"/>
        <w:widowControl w:val="0"/>
        <w:spacing w:line="360" w:lineRule="auto"/>
        <w:ind w:firstLine="560"/>
        <w:rPr>
          <w:rFonts w:hint="eastAsia" w:hAnsi="宋体"/>
          <w:sz w:val="24"/>
          <w:szCs w:val="24"/>
        </w:rPr>
      </w:pPr>
      <w:bookmarkStart w:id="19" w:name="_Toc21708"/>
      <w:r>
        <w:rPr>
          <w:rFonts w:hint="eastAsia" w:hAnsi="宋体"/>
          <w:sz w:val="24"/>
          <w:szCs w:val="24"/>
        </w:rPr>
        <w:t>（12）风险分级管控清单</w:t>
      </w:r>
      <w:bookmarkEnd w:id="19"/>
    </w:p>
    <w:p w14:paraId="0B049F62">
      <w:pPr>
        <w:pStyle w:val="12"/>
        <w:widowControl w:val="0"/>
        <w:spacing w:line="360" w:lineRule="auto"/>
        <w:ind w:firstLine="560"/>
        <w:rPr>
          <w:rFonts w:hint="eastAsia" w:hAnsi="宋体" w:cs="仿宋"/>
          <w:sz w:val="24"/>
          <w:szCs w:val="24"/>
        </w:rPr>
      </w:pPr>
      <w:r>
        <w:rPr>
          <w:rFonts w:hint="eastAsia" w:hAnsi="宋体" w:cs="仿宋"/>
          <w:sz w:val="24"/>
          <w:szCs w:val="24"/>
        </w:rPr>
        <w:t>企业各类风险信息的集合。</w:t>
      </w:r>
    </w:p>
    <w:p w14:paraId="2AB9FA5F">
      <w:pPr>
        <w:pStyle w:val="3"/>
        <w:spacing w:before="156" w:beforeLines="50" w:after="156" w:afterLines="50" w:line="300" w:lineRule="auto"/>
        <w:ind w:left="0" w:leftChars="0"/>
        <w:outlineLvl w:val="0"/>
        <w:rPr>
          <w:rFonts w:ascii="黑体" w:hAnsi="黑体" w:eastAsia="黑体"/>
          <w:bCs/>
          <w:color w:val="000000"/>
          <w:sz w:val="24"/>
          <w:szCs w:val="24"/>
        </w:rPr>
      </w:pPr>
      <w:bookmarkStart w:id="20" w:name="_Toc479343879"/>
      <w:r>
        <w:rPr>
          <w:rFonts w:ascii="黑体" w:hAnsi="黑体" w:eastAsia="黑体"/>
          <w:bCs/>
          <w:color w:val="000000"/>
          <w:sz w:val="24"/>
          <w:szCs w:val="24"/>
        </w:rPr>
        <w:t xml:space="preserve">5 </w:t>
      </w:r>
      <w:r>
        <w:rPr>
          <w:rFonts w:hint="eastAsia" w:ascii="黑体" w:hAnsi="黑体" w:eastAsia="黑体"/>
          <w:bCs/>
          <w:color w:val="000000"/>
          <w:sz w:val="24"/>
          <w:szCs w:val="24"/>
        </w:rPr>
        <w:t>风险评价的范围</w:t>
      </w:r>
      <w:bookmarkEnd w:id="20"/>
    </w:p>
    <w:p w14:paraId="34980962">
      <w:pPr>
        <w:pStyle w:val="12"/>
        <w:widowControl w:val="0"/>
        <w:adjustRightInd w:val="0"/>
        <w:snapToGrid w:val="0"/>
        <w:spacing w:line="360" w:lineRule="auto"/>
        <w:ind w:firstLine="560"/>
        <w:rPr>
          <w:rFonts w:hAnsi="宋体" w:cs="仿宋"/>
          <w:sz w:val="24"/>
          <w:szCs w:val="24"/>
        </w:rPr>
      </w:pPr>
      <w:r>
        <w:rPr>
          <w:rFonts w:hAnsi="宋体" w:cs="仿宋"/>
          <w:sz w:val="24"/>
          <w:szCs w:val="24"/>
        </w:rPr>
        <w:t>风险评价中危险源辨识的范围应覆盖本公司所有的作业活动和设备设施</w:t>
      </w:r>
      <w:r>
        <w:rPr>
          <w:rFonts w:hint="eastAsia" w:hAnsi="宋体" w:cs="仿宋"/>
          <w:sz w:val="24"/>
          <w:szCs w:val="24"/>
        </w:rPr>
        <w:t>，</w:t>
      </w:r>
      <w:r>
        <w:rPr>
          <w:rFonts w:hAnsi="宋体" w:cs="仿宋"/>
          <w:sz w:val="24"/>
          <w:szCs w:val="24"/>
        </w:rPr>
        <w:t>包括</w:t>
      </w:r>
      <w:r>
        <w:rPr>
          <w:rFonts w:hint="eastAsia" w:hAnsi="宋体" w:cs="仿宋"/>
          <w:sz w:val="24"/>
          <w:szCs w:val="24"/>
        </w:rPr>
        <w:t>：</w:t>
      </w:r>
    </w:p>
    <w:p w14:paraId="640427D9">
      <w:pPr>
        <w:pStyle w:val="12"/>
        <w:widowControl w:val="0"/>
        <w:adjustRightInd w:val="0"/>
        <w:snapToGrid w:val="0"/>
        <w:spacing w:line="360" w:lineRule="auto"/>
        <w:ind w:firstLine="560"/>
        <w:rPr>
          <w:rFonts w:hint="eastAsia" w:hAnsi="宋体" w:cs="仿宋"/>
          <w:sz w:val="24"/>
          <w:szCs w:val="24"/>
        </w:rPr>
      </w:pPr>
      <w:r>
        <w:rPr>
          <w:rFonts w:hint="eastAsia" w:hAnsi="宋体" w:cs="仿宋"/>
          <w:sz w:val="24"/>
          <w:szCs w:val="24"/>
        </w:rPr>
        <w:t>（1）规划、设计和建设、投产运行阶段；</w:t>
      </w:r>
    </w:p>
    <w:p w14:paraId="422A6DEB">
      <w:pPr>
        <w:pStyle w:val="12"/>
        <w:widowControl w:val="0"/>
        <w:adjustRightInd w:val="0"/>
        <w:snapToGrid w:val="0"/>
        <w:spacing w:line="360" w:lineRule="auto"/>
        <w:ind w:firstLine="560"/>
        <w:rPr>
          <w:rFonts w:hint="eastAsia" w:hAnsi="宋体" w:cs="仿宋"/>
          <w:sz w:val="24"/>
          <w:szCs w:val="24"/>
        </w:rPr>
      </w:pPr>
      <w:r>
        <w:rPr>
          <w:rFonts w:hint="eastAsia" w:hAnsi="宋体" w:cs="仿宋"/>
          <w:sz w:val="24"/>
          <w:szCs w:val="24"/>
        </w:rPr>
        <w:t>（2）常规和异常活动；</w:t>
      </w:r>
    </w:p>
    <w:p w14:paraId="6191BA1D">
      <w:pPr>
        <w:pStyle w:val="12"/>
        <w:widowControl w:val="0"/>
        <w:adjustRightInd w:val="0"/>
        <w:snapToGrid w:val="0"/>
        <w:spacing w:line="360" w:lineRule="auto"/>
        <w:ind w:firstLine="560"/>
        <w:rPr>
          <w:rFonts w:hint="eastAsia" w:hAnsi="宋体" w:cs="仿宋"/>
          <w:sz w:val="24"/>
          <w:szCs w:val="24"/>
        </w:rPr>
      </w:pPr>
      <w:r>
        <w:rPr>
          <w:rFonts w:hint="eastAsia" w:hAnsi="宋体" w:cs="仿宋"/>
          <w:sz w:val="24"/>
          <w:szCs w:val="24"/>
        </w:rPr>
        <w:t>（3）事故及潜在的紧急情况；</w:t>
      </w:r>
    </w:p>
    <w:p w14:paraId="36CE4431">
      <w:pPr>
        <w:pStyle w:val="12"/>
        <w:widowControl w:val="0"/>
        <w:adjustRightInd w:val="0"/>
        <w:snapToGrid w:val="0"/>
        <w:spacing w:line="360" w:lineRule="auto"/>
        <w:ind w:firstLine="560"/>
        <w:rPr>
          <w:rFonts w:hint="eastAsia" w:hAnsi="宋体" w:cs="仿宋"/>
          <w:sz w:val="24"/>
          <w:szCs w:val="24"/>
        </w:rPr>
      </w:pPr>
      <w:r>
        <w:rPr>
          <w:rFonts w:hint="eastAsia" w:hAnsi="宋体" w:cs="仿宋"/>
          <w:sz w:val="24"/>
          <w:szCs w:val="24"/>
        </w:rPr>
        <w:t>（4）所有进入作业场所的人员活动；</w:t>
      </w:r>
    </w:p>
    <w:p w14:paraId="6A1F5745">
      <w:pPr>
        <w:pStyle w:val="12"/>
        <w:widowControl w:val="0"/>
        <w:adjustRightInd w:val="0"/>
        <w:snapToGrid w:val="0"/>
        <w:spacing w:line="360" w:lineRule="auto"/>
        <w:ind w:firstLine="560"/>
        <w:rPr>
          <w:rFonts w:hint="eastAsia" w:hAnsi="宋体" w:cs="仿宋"/>
          <w:sz w:val="24"/>
          <w:szCs w:val="24"/>
        </w:rPr>
      </w:pPr>
      <w:r>
        <w:rPr>
          <w:rFonts w:hint="eastAsia" w:hAnsi="宋体" w:cs="仿宋"/>
          <w:sz w:val="24"/>
          <w:szCs w:val="24"/>
        </w:rPr>
        <w:t>（5）原材料、产品的运输和使用过程；</w:t>
      </w:r>
    </w:p>
    <w:p w14:paraId="396EE32E">
      <w:pPr>
        <w:pStyle w:val="12"/>
        <w:widowControl w:val="0"/>
        <w:adjustRightInd w:val="0"/>
        <w:snapToGrid w:val="0"/>
        <w:spacing w:line="360" w:lineRule="auto"/>
        <w:ind w:firstLine="560"/>
        <w:rPr>
          <w:rFonts w:hint="eastAsia" w:hAnsi="宋体" w:cs="仿宋"/>
          <w:sz w:val="24"/>
          <w:szCs w:val="24"/>
        </w:rPr>
      </w:pPr>
      <w:r>
        <w:rPr>
          <w:rFonts w:hint="eastAsia" w:hAnsi="宋体" w:cs="仿宋"/>
          <w:sz w:val="24"/>
          <w:szCs w:val="24"/>
        </w:rPr>
        <w:t>（6）作业场所的设施、设备、车辆、安全防护用品；</w:t>
      </w:r>
    </w:p>
    <w:p w14:paraId="70C4EF3C">
      <w:pPr>
        <w:pStyle w:val="12"/>
        <w:widowControl w:val="0"/>
        <w:adjustRightInd w:val="0"/>
        <w:snapToGrid w:val="0"/>
        <w:spacing w:line="360" w:lineRule="auto"/>
        <w:ind w:firstLine="560"/>
        <w:rPr>
          <w:rFonts w:hint="eastAsia" w:hAnsi="宋体" w:cs="仿宋"/>
          <w:sz w:val="24"/>
          <w:szCs w:val="24"/>
        </w:rPr>
      </w:pPr>
      <w:r>
        <w:rPr>
          <w:rFonts w:hint="eastAsia" w:hAnsi="宋体" w:cs="仿宋"/>
          <w:sz w:val="24"/>
          <w:szCs w:val="24"/>
        </w:rPr>
        <w:t>（7）人为因素、包括违反安全操作规程和安全生产规章制度；工艺、设备、管理、人员等变更；</w:t>
      </w:r>
    </w:p>
    <w:p w14:paraId="4616BA7B">
      <w:pPr>
        <w:pStyle w:val="12"/>
        <w:widowControl w:val="0"/>
        <w:adjustRightInd w:val="0"/>
        <w:snapToGrid w:val="0"/>
        <w:spacing w:line="360" w:lineRule="auto"/>
        <w:ind w:firstLine="560"/>
        <w:rPr>
          <w:rFonts w:hint="eastAsia" w:hAnsi="宋体" w:cs="仿宋"/>
          <w:sz w:val="24"/>
          <w:szCs w:val="24"/>
        </w:rPr>
      </w:pPr>
      <w:r>
        <w:rPr>
          <w:rFonts w:hint="eastAsia" w:hAnsi="宋体" w:cs="仿宋"/>
          <w:sz w:val="24"/>
          <w:szCs w:val="24"/>
        </w:rPr>
        <w:t>（8）丢弃、废弃、拆除与处置；</w:t>
      </w:r>
    </w:p>
    <w:p w14:paraId="78F6E693">
      <w:pPr>
        <w:pStyle w:val="12"/>
        <w:widowControl w:val="0"/>
        <w:adjustRightInd w:val="0"/>
        <w:snapToGrid w:val="0"/>
        <w:spacing w:line="360" w:lineRule="auto"/>
        <w:ind w:firstLine="560"/>
        <w:rPr>
          <w:rFonts w:hint="eastAsia" w:hAnsi="宋体" w:cs="仿宋"/>
          <w:sz w:val="24"/>
          <w:szCs w:val="24"/>
        </w:rPr>
      </w:pPr>
      <w:r>
        <w:rPr>
          <w:rFonts w:hint="eastAsia" w:hAnsi="宋体" w:cs="仿宋"/>
          <w:sz w:val="24"/>
          <w:szCs w:val="24"/>
        </w:rPr>
        <w:t>（9）气候、地震其他自然灾害等。</w:t>
      </w:r>
    </w:p>
    <w:p w14:paraId="3329933C">
      <w:pPr>
        <w:pStyle w:val="3"/>
        <w:spacing w:before="156" w:beforeLines="50" w:after="156" w:afterLines="50" w:line="300" w:lineRule="auto"/>
        <w:ind w:left="0" w:leftChars="0"/>
        <w:outlineLvl w:val="0"/>
        <w:rPr>
          <w:rFonts w:hint="eastAsia" w:ascii="黑体" w:hAnsi="黑体" w:eastAsia="黑体"/>
          <w:bCs/>
          <w:color w:val="000000"/>
          <w:sz w:val="24"/>
          <w:szCs w:val="24"/>
        </w:rPr>
      </w:pPr>
      <w:bookmarkStart w:id="21" w:name="_Toc479343880"/>
      <w:r>
        <w:rPr>
          <w:rFonts w:hint="eastAsia" w:ascii="黑体" w:hAnsi="黑体" w:eastAsia="黑体"/>
          <w:bCs/>
          <w:color w:val="000000"/>
          <w:sz w:val="24"/>
          <w:szCs w:val="24"/>
        </w:rPr>
        <w:t>6</w:t>
      </w:r>
      <w:r>
        <w:rPr>
          <w:rFonts w:ascii="黑体" w:hAnsi="黑体" w:eastAsia="黑体"/>
          <w:bCs/>
          <w:color w:val="000000"/>
          <w:sz w:val="24"/>
          <w:szCs w:val="24"/>
        </w:rPr>
        <w:t xml:space="preserve"> </w:t>
      </w:r>
      <w:bookmarkStart w:id="22" w:name="_Toc466564025"/>
      <w:bookmarkStart w:id="23" w:name="_Toc465774035"/>
      <w:bookmarkStart w:id="24" w:name="_Toc465773977"/>
      <w:r>
        <w:rPr>
          <w:rFonts w:hint="eastAsia" w:ascii="黑体" w:hAnsi="黑体" w:eastAsia="黑体"/>
          <w:bCs/>
          <w:color w:val="000000"/>
          <w:sz w:val="24"/>
          <w:szCs w:val="24"/>
        </w:rPr>
        <w:t>工作程序和内容</w:t>
      </w:r>
      <w:bookmarkEnd w:id="21"/>
      <w:bookmarkEnd w:id="22"/>
      <w:bookmarkEnd w:id="23"/>
      <w:bookmarkEnd w:id="24"/>
    </w:p>
    <w:p w14:paraId="6AF79ADB">
      <w:pPr>
        <w:pStyle w:val="3"/>
        <w:spacing w:before="156" w:beforeLines="50" w:after="156" w:afterLines="50" w:line="300" w:lineRule="auto"/>
        <w:ind w:left="0" w:leftChars="0"/>
        <w:outlineLvl w:val="1"/>
        <w:rPr>
          <w:rFonts w:hint="eastAsia" w:ascii="黑体" w:hAnsi="黑体" w:eastAsia="黑体"/>
          <w:color w:val="000000"/>
          <w:sz w:val="24"/>
          <w:szCs w:val="24"/>
        </w:rPr>
      </w:pPr>
      <w:bookmarkStart w:id="25" w:name="_Toc479343881"/>
      <w:r>
        <w:rPr>
          <w:rFonts w:hint="eastAsia" w:ascii="黑体" w:hAnsi="黑体" w:eastAsia="黑体"/>
          <w:color w:val="000000"/>
          <w:sz w:val="24"/>
          <w:szCs w:val="24"/>
        </w:rPr>
        <w:t xml:space="preserve">6.1 </w:t>
      </w:r>
      <w:bookmarkStart w:id="26" w:name="_Toc465774036"/>
      <w:bookmarkStart w:id="27" w:name="_Toc466564026"/>
      <w:r>
        <w:rPr>
          <w:rFonts w:hint="eastAsia" w:ascii="黑体" w:hAnsi="黑体" w:eastAsia="黑体"/>
          <w:color w:val="000000"/>
          <w:sz w:val="24"/>
          <w:szCs w:val="24"/>
        </w:rPr>
        <w:t>风险判定准则</w:t>
      </w:r>
      <w:bookmarkEnd w:id="25"/>
      <w:bookmarkEnd w:id="26"/>
      <w:bookmarkEnd w:id="27"/>
    </w:p>
    <w:p w14:paraId="1BC2BB44">
      <w:pPr>
        <w:pStyle w:val="12"/>
        <w:widowControl w:val="0"/>
        <w:adjustRightInd w:val="0"/>
        <w:snapToGrid w:val="0"/>
        <w:spacing w:line="360" w:lineRule="auto"/>
        <w:ind w:firstLine="560"/>
        <w:rPr>
          <w:rFonts w:hint="eastAsia" w:hAnsi="宋体" w:cs="仿宋"/>
          <w:sz w:val="24"/>
          <w:szCs w:val="24"/>
        </w:rPr>
      </w:pPr>
      <w:r>
        <w:rPr>
          <w:rFonts w:hint="eastAsia" w:hAnsi="宋体" w:cs="仿宋"/>
          <w:sz w:val="24"/>
          <w:szCs w:val="24"/>
        </w:rPr>
        <w:t>结合公司可接受风险实际，制定事故（事件）发生的可能性、严重性和风险度取值标准，明确风险判定准则，以便准确判定风险等级。风险等级判定应按从严从高原则。</w:t>
      </w:r>
    </w:p>
    <w:p w14:paraId="126F2B58">
      <w:pPr>
        <w:pStyle w:val="3"/>
        <w:spacing w:before="156" w:beforeLines="50" w:after="156" w:afterLines="50" w:line="300" w:lineRule="auto"/>
        <w:ind w:left="0" w:leftChars="0"/>
        <w:outlineLvl w:val="1"/>
        <w:rPr>
          <w:rFonts w:hint="eastAsia" w:ascii="黑体" w:hAnsi="黑体" w:eastAsia="黑体"/>
          <w:color w:val="000000"/>
          <w:sz w:val="24"/>
          <w:szCs w:val="24"/>
        </w:rPr>
      </w:pPr>
      <w:bookmarkStart w:id="28" w:name="_Toc479343882"/>
      <w:r>
        <w:rPr>
          <w:rFonts w:hint="eastAsia" w:ascii="黑体" w:hAnsi="黑体" w:eastAsia="黑体"/>
          <w:color w:val="000000"/>
          <w:sz w:val="24"/>
          <w:szCs w:val="24"/>
        </w:rPr>
        <w:t xml:space="preserve">6.2 </w:t>
      </w:r>
      <w:bookmarkStart w:id="29" w:name="_Toc466564027"/>
      <w:bookmarkStart w:id="30" w:name="_Toc465774037"/>
      <w:r>
        <w:rPr>
          <w:rFonts w:hint="eastAsia" w:ascii="黑体" w:hAnsi="黑体" w:eastAsia="黑体"/>
          <w:color w:val="000000"/>
          <w:sz w:val="24"/>
          <w:szCs w:val="24"/>
        </w:rPr>
        <w:t>风险点确定</w:t>
      </w:r>
      <w:bookmarkEnd w:id="28"/>
      <w:bookmarkEnd w:id="29"/>
      <w:bookmarkEnd w:id="30"/>
    </w:p>
    <w:p w14:paraId="2676D674">
      <w:pPr>
        <w:pStyle w:val="3"/>
        <w:spacing w:before="156" w:beforeLines="50" w:after="156" w:afterLines="50" w:line="300" w:lineRule="auto"/>
        <w:ind w:left="0" w:leftChars="0"/>
        <w:outlineLvl w:val="2"/>
        <w:rPr>
          <w:rFonts w:hint="eastAsia" w:ascii="黑体" w:hAnsi="黑体" w:eastAsia="黑体"/>
          <w:color w:val="000000"/>
          <w:sz w:val="24"/>
          <w:szCs w:val="24"/>
        </w:rPr>
      </w:pPr>
      <w:bookmarkStart w:id="31" w:name="_Toc1048"/>
      <w:bookmarkStart w:id="32" w:name="_Toc479343883"/>
      <w:r>
        <w:rPr>
          <w:rFonts w:hint="eastAsia" w:ascii="黑体" w:hAnsi="黑体" w:eastAsia="黑体"/>
          <w:color w:val="000000"/>
          <w:sz w:val="24"/>
          <w:szCs w:val="24"/>
        </w:rPr>
        <w:t xml:space="preserve">6.2.1 </w:t>
      </w:r>
      <w:bookmarkStart w:id="33" w:name="_Toc466564028"/>
      <w:bookmarkStart w:id="34" w:name="_Toc465774038"/>
      <w:r>
        <w:rPr>
          <w:rFonts w:hint="eastAsia" w:ascii="黑体" w:hAnsi="黑体" w:eastAsia="黑体"/>
          <w:color w:val="000000"/>
          <w:sz w:val="24"/>
          <w:szCs w:val="24"/>
        </w:rPr>
        <w:t>风险点划分原则</w:t>
      </w:r>
      <w:bookmarkEnd w:id="31"/>
      <w:bookmarkEnd w:id="32"/>
      <w:bookmarkEnd w:id="33"/>
      <w:bookmarkEnd w:id="34"/>
    </w:p>
    <w:p w14:paraId="50B997C1">
      <w:pPr>
        <w:pStyle w:val="12"/>
        <w:widowControl w:val="0"/>
        <w:adjustRightInd w:val="0"/>
        <w:snapToGrid w:val="0"/>
        <w:spacing w:line="360" w:lineRule="auto"/>
        <w:rPr>
          <w:rFonts w:hint="eastAsia" w:hAnsi="宋体" w:cs="仿宋"/>
          <w:sz w:val="24"/>
          <w:szCs w:val="24"/>
        </w:rPr>
      </w:pPr>
      <w:bookmarkStart w:id="35" w:name="_Toc465774039"/>
      <w:bookmarkStart w:id="36" w:name="_Toc466564029"/>
      <w:r>
        <w:rPr>
          <w:rFonts w:hint="eastAsia" w:hAnsi="宋体"/>
          <w:sz w:val="24"/>
          <w:szCs w:val="24"/>
        </w:rPr>
        <w:t xml:space="preserve"> </w:t>
      </w:r>
      <w:r>
        <w:rPr>
          <w:rFonts w:hint="eastAsia" w:hAnsi="宋体" w:cs="仿宋"/>
          <w:sz w:val="24"/>
          <w:szCs w:val="24"/>
        </w:rPr>
        <w:t>设施、部位、场所、区域</w:t>
      </w:r>
      <w:bookmarkEnd w:id="35"/>
      <w:bookmarkEnd w:id="36"/>
      <w:r>
        <w:rPr>
          <w:rFonts w:hint="eastAsia" w:hAnsi="宋体" w:cs="仿宋"/>
          <w:sz w:val="24"/>
          <w:szCs w:val="24"/>
        </w:rPr>
        <w:t>：遵循大小适中、便于分类、功能独立、易于管理、范围清晰的原则。如储存罐区、装卸站台、生产装置、作业场所、人员密集场所等。</w:t>
      </w:r>
    </w:p>
    <w:p w14:paraId="21176E72">
      <w:pPr>
        <w:pStyle w:val="12"/>
        <w:widowControl w:val="0"/>
        <w:adjustRightInd w:val="0"/>
        <w:snapToGrid w:val="0"/>
        <w:spacing w:line="360" w:lineRule="auto"/>
        <w:ind w:firstLine="560"/>
        <w:rPr>
          <w:rFonts w:hint="eastAsia" w:hAnsi="宋体" w:cs="仿宋"/>
          <w:sz w:val="24"/>
          <w:szCs w:val="24"/>
        </w:rPr>
      </w:pPr>
      <w:bookmarkStart w:id="37" w:name="_Toc466564030"/>
      <w:bookmarkStart w:id="38" w:name="_Toc465774040"/>
      <w:r>
        <w:rPr>
          <w:rFonts w:hint="eastAsia" w:hAnsi="宋体" w:cs="仿宋"/>
          <w:sz w:val="24"/>
          <w:szCs w:val="24"/>
        </w:rPr>
        <w:t>操作及作业活动</w:t>
      </w:r>
      <w:bookmarkEnd w:id="37"/>
      <w:bookmarkEnd w:id="38"/>
      <w:r>
        <w:rPr>
          <w:rFonts w:hint="eastAsia" w:hAnsi="宋体" w:cs="仿宋"/>
          <w:sz w:val="24"/>
          <w:szCs w:val="24"/>
        </w:rPr>
        <w:t>：涵盖生产经营全过程所有常规和非常规状态的作业活动。如动火、进入有限空间等特殊作业活动。</w:t>
      </w:r>
    </w:p>
    <w:p w14:paraId="33FCA0D7">
      <w:pPr>
        <w:pStyle w:val="3"/>
        <w:spacing w:before="156" w:beforeLines="50" w:after="156" w:afterLines="50" w:line="300" w:lineRule="auto"/>
        <w:ind w:left="0" w:leftChars="0"/>
        <w:outlineLvl w:val="2"/>
        <w:rPr>
          <w:rFonts w:hint="eastAsia" w:ascii="黑体" w:hAnsi="黑体" w:eastAsia="黑体"/>
          <w:color w:val="000000"/>
          <w:sz w:val="24"/>
          <w:szCs w:val="24"/>
        </w:rPr>
      </w:pPr>
      <w:bookmarkStart w:id="39" w:name="_Toc3892"/>
      <w:bookmarkStart w:id="40" w:name="_Toc479343884"/>
      <w:r>
        <w:rPr>
          <w:rFonts w:hint="eastAsia" w:ascii="黑体" w:hAnsi="黑体" w:eastAsia="黑体"/>
          <w:color w:val="000000"/>
          <w:sz w:val="24"/>
          <w:szCs w:val="24"/>
        </w:rPr>
        <w:t xml:space="preserve">6.2.2 </w:t>
      </w:r>
      <w:bookmarkStart w:id="41" w:name="_Toc466564031"/>
      <w:bookmarkStart w:id="42" w:name="_Toc465774041"/>
      <w:r>
        <w:rPr>
          <w:rFonts w:hint="eastAsia" w:ascii="黑体" w:hAnsi="黑体" w:eastAsia="黑体"/>
          <w:color w:val="000000"/>
          <w:sz w:val="24"/>
          <w:szCs w:val="24"/>
        </w:rPr>
        <w:t>风险点排查</w:t>
      </w:r>
      <w:bookmarkEnd w:id="39"/>
      <w:bookmarkEnd w:id="40"/>
      <w:bookmarkEnd w:id="41"/>
      <w:bookmarkEnd w:id="42"/>
    </w:p>
    <w:p w14:paraId="4C48DC09">
      <w:pPr>
        <w:pStyle w:val="12"/>
        <w:widowControl w:val="0"/>
        <w:adjustRightInd w:val="0"/>
        <w:snapToGrid w:val="0"/>
        <w:spacing w:line="360" w:lineRule="auto"/>
        <w:ind w:firstLine="560"/>
        <w:rPr>
          <w:rFonts w:hint="eastAsia" w:hAnsi="宋体" w:cs="仿宋"/>
          <w:sz w:val="24"/>
          <w:szCs w:val="24"/>
        </w:rPr>
      </w:pPr>
      <w:bookmarkStart w:id="43" w:name="_Toc465774042"/>
      <w:bookmarkStart w:id="44" w:name="_Toc466564032"/>
      <w:r>
        <w:rPr>
          <w:rFonts w:hint="eastAsia" w:hAnsi="宋体" w:cs="仿宋"/>
          <w:sz w:val="24"/>
          <w:szCs w:val="24"/>
        </w:rPr>
        <w:t>风险点排查的内容</w:t>
      </w:r>
      <w:bookmarkEnd w:id="43"/>
      <w:bookmarkEnd w:id="44"/>
      <w:r>
        <w:rPr>
          <w:rFonts w:hint="eastAsia" w:hAnsi="宋体" w:cs="仿宋"/>
          <w:sz w:val="24"/>
          <w:szCs w:val="24"/>
        </w:rPr>
        <w:t>：组织对生产经营全过程进行风险点辨识，形成风险点名称、所在位置、可能导致事故类型、风险等级等内容的基本信息。</w:t>
      </w:r>
    </w:p>
    <w:p w14:paraId="18E62078">
      <w:pPr>
        <w:pStyle w:val="12"/>
        <w:widowControl w:val="0"/>
        <w:adjustRightInd w:val="0"/>
        <w:snapToGrid w:val="0"/>
        <w:spacing w:line="360" w:lineRule="auto"/>
        <w:ind w:firstLine="560"/>
        <w:rPr>
          <w:rFonts w:hint="eastAsia" w:hAnsi="宋体" w:cs="仿宋"/>
          <w:sz w:val="24"/>
          <w:szCs w:val="24"/>
        </w:rPr>
      </w:pPr>
      <w:bookmarkStart w:id="45" w:name="_Toc465774043"/>
      <w:bookmarkStart w:id="46" w:name="_Toc466564033"/>
      <w:r>
        <w:rPr>
          <w:rFonts w:hint="eastAsia" w:hAnsi="宋体" w:cs="仿宋"/>
          <w:sz w:val="24"/>
          <w:szCs w:val="24"/>
        </w:rPr>
        <w:t>风险点排查的方法</w:t>
      </w:r>
      <w:bookmarkEnd w:id="45"/>
      <w:bookmarkEnd w:id="46"/>
      <w:r>
        <w:rPr>
          <w:rFonts w:hint="eastAsia" w:hAnsi="宋体" w:cs="仿宋"/>
          <w:sz w:val="24"/>
          <w:szCs w:val="24"/>
        </w:rPr>
        <w:t>：按生产（工作）流程的阶段、场所、装置、设施、作业活动或上述几种方式的结合进行风险点排查。</w:t>
      </w:r>
    </w:p>
    <w:p w14:paraId="6BF203B6">
      <w:pPr>
        <w:pStyle w:val="3"/>
        <w:spacing w:before="156" w:beforeLines="50" w:after="156" w:afterLines="50" w:line="300" w:lineRule="auto"/>
        <w:ind w:left="0" w:leftChars="0"/>
        <w:outlineLvl w:val="1"/>
        <w:rPr>
          <w:rFonts w:hint="eastAsia" w:ascii="黑体" w:hAnsi="黑体" w:eastAsia="黑体"/>
          <w:color w:val="000000"/>
          <w:sz w:val="24"/>
          <w:szCs w:val="24"/>
        </w:rPr>
      </w:pPr>
      <w:bookmarkStart w:id="47" w:name="_Toc479343885"/>
      <w:r>
        <w:rPr>
          <w:rFonts w:hint="eastAsia" w:ascii="黑体" w:hAnsi="黑体" w:eastAsia="黑体"/>
          <w:color w:val="000000"/>
          <w:sz w:val="24"/>
          <w:szCs w:val="24"/>
        </w:rPr>
        <w:t xml:space="preserve">6.3 </w:t>
      </w:r>
      <w:bookmarkStart w:id="48" w:name="_Toc466564034"/>
      <w:bookmarkStart w:id="49" w:name="_Toc465774044"/>
      <w:r>
        <w:rPr>
          <w:rFonts w:hint="eastAsia" w:ascii="黑体" w:hAnsi="黑体" w:eastAsia="黑体"/>
          <w:color w:val="000000"/>
          <w:sz w:val="24"/>
          <w:szCs w:val="24"/>
        </w:rPr>
        <w:t>危险源辨识</w:t>
      </w:r>
      <w:bookmarkEnd w:id="47"/>
      <w:bookmarkEnd w:id="48"/>
      <w:bookmarkEnd w:id="49"/>
    </w:p>
    <w:p w14:paraId="3647765D">
      <w:pPr>
        <w:pStyle w:val="3"/>
        <w:spacing w:before="156" w:beforeLines="50" w:after="156" w:afterLines="50" w:line="300" w:lineRule="auto"/>
        <w:ind w:left="0" w:leftChars="0"/>
        <w:outlineLvl w:val="2"/>
        <w:rPr>
          <w:rFonts w:hint="eastAsia" w:ascii="黑体" w:hAnsi="黑体" w:eastAsia="黑体"/>
          <w:color w:val="000000"/>
          <w:sz w:val="24"/>
          <w:szCs w:val="24"/>
        </w:rPr>
      </w:pPr>
      <w:bookmarkStart w:id="50" w:name="_Toc13748"/>
      <w:bookmarkStart w:id="51" w:name="_Toc479343886"/>
      <w:r>
        <w:rPr>
          <w:rFonts w:hint="eastAsia" w:ascii="黑体" w:hAnsi="黑体" w:eastAsia="黑体"/>
          <w:color w:val="000000"/>
          <w:sz w:val="24"/>
          <w:szCs w:val="24"/>
        </w:rPr>
        <w:t xml:space="preserve">6.3.1 </w:t>
      </w:r>
      <w:bookmarkStart w:id="52" w:name="_Toc466564035"/>
      <w:bookmarkStart w:id="53" w:name="_Toc465774045"/>
      <w:r>
        <w:rPr>
          <w:rFonts w:hint="eastAsia" w:ascii="黑体" w:hAnsi="黑体" w:eastAsia="黑体"/>
          <w:color w:val="000000"/>
          <w:sz w:val="24"/>
          <w:szCs w:val="24"/>
        </w:rPr>
        <w:t>危险源辨识的内容</w:t>
      </w:r>
      <w:bookmarkEnd w:id="50"/>
      <w:bookmarkEnd w:id="51"/>
      <w:bookmarkEnd w:id="52"/>
      <w:bookmarkEnd w:id="53"/>
    </w:p>
    <w:p w14:paraId="0AF6D90B">
      <w:pPr>
        <w:pStyle w:val="12"/>
        <w:widowControl w:val="0"/>
        <w:adjustRightInd w:val="0"/>
        <w:snapToGrid w:val="0"/>
        <w:spacing w:line="360" w:lineRule="auto"/>
        <w:ind w:firstLine="560"/>
        <w:rPr>
          <w:rFonts w:hint="eastAsia" w:hAnsi="宋体" w:cs="仿宋"/>
          <w:sz w:val="24"/>
          <w:szCs w:val="24"/>
        </w:rPr>
      </w:pPr>
      <w:r>
        <w:rPr>
          <w:rFonts w:hint="eastAsia" w:hAnsi="宋体" w:cs="仿宋"/>
          <w:sz w:val="24"/>
          <w:szCs w:val="24"/>
        </w:rPr>
        <w:t>采用适用的辨识方法，对风险点内存在的危险源进行辨识，辨识应覆盖风险点内全部的设备设施和作业活动，并充分考虑不同状态和不同环境带来的影响。</w:t>
      </w:r>
    </w:p>
    <w:p w14:paraId="0611FA9E">
      <w:pPr>
        <w:pStyle w:val="3"/>
        <w:spacing w:before="156" w:beforeLines="50" w:after="156" w:afterLines="50" w:line="300" w:lineRule="auto"/>
        <w:ind w:left="0" w:leftChars="0"/>
        <w:outlineLvl w:val="2"/>
        <w:rPr>
          <w:rFonts w:hint="eastAsia" w:ascii="黑体" w:hAnsi="黑体" w:eastAsia="黑体"/>
          <w:color w:val="000000"/>
          <w:sz w:val="24"/>
          <w:szCs w:val="24"/>
        </w:rPr>
      </w:pPr>
      <w:bookmarkStart w:id="54" w:name="_Toc12734"/>
      <w:bookmarkStart w:id="55" w:name="_Toc479343887"/>
      <w:r>
        <w:rPr>
          <w:rFonts w:hint="eastAsia" w:ascii="黑体" w:hAnsi="黑体" w:eastAsia="黑体"/>
          <w:color w:val="000000"/>
          <w:sz w:val="24"/>
          <w:szCs w:val="24"/>
        </w:rPr>
        <w:t xml:space="preserve">6.3.2 </w:t>
      </w:r>
      <w:bookmarkStart w:id="56" w:name="_Toc466564036"/>
      <w:bookmarkStart w:id="57" w:name="_Toc465774046"/>
      <w:r>
        <w:rPr>
          <w:rFonts w:hint="eastAsia" w:ascii="黑体" w:hAnsi="黑体" w:eastAsia="黑体"/>
          <w:color w:val="000000"/>
          <w:sz w:val="24"/>
          <w:szCs w:val="24"/>
        </w:rPr>
        <w:t>危险源辨识的方法</w:t>
      </w:r>
      <w:bookmarkEnd w:id="54"/>
      <w:bookmarkEnd w:id="55"/>
      <w:bookmarkEnd w:id="56"/>
      <w:bookmarkEnd w:id="57"/>
    </w:p>
    <w:p w14:paraId="516ACFBA">
      <w:pPr>
        <w:pStyle w:val="12"/>
        <w:widowControl w:val="0"/>
        <w:adjustRightInd w:val="0"/>
        <w:snapToGrid w:val="0"/>
        <w:spacing w:line="360" w:lineRule="auto"/>
        <w:ind w:firstLine="560"/>
        <w:rPr>
          <w:sz w:val="24"/>
          <w:szCs w:val="24"/>
        </w:rPr>
      </w:pPr>
      <w:bookmarkStart w:id="58" w:name="_Toc470695956"/>
      <w:bookmarkStart w:id="59" w:name="_Toc479343888"/>
      <w:r>
        <w:rPr>
          <w:rFonts w:hint="eastAsia"/>
          <w:sz w:val="24"/>
          <w:szCs w:val="24"/>
        </w:rPr>
        <w:t xml:space="preserve"> </w:t>
      </w:r>
      <w:bookmarkEnd w:id="58"/>
      <w:r>
        <w:rPr>
          <w:rFonts w:hint="eastAsia" w:hAnsi="宋体" w:cs="仿宋"/>
          <w:kern w:val="2"/>
          <w:sz w:val="24"/>
          <w:szCs w:val="24"/>
        </w:rPr>
        <w:t>设备设施危险源辨识采用安全检查表分析法（SCL）等方法，作业活动危险源辨识采用作业危害分析法（JHA）等方法</w:t>
      </w:r>
      <w:r>
        <w:rPr>
          <w:rFonts w:hint="eastAsia"/>
          <w:sz w:val="24"/>
          <w:szCs w:val="24"/>
        </w:rPr>
        <w:t>。</w:t>
      </w:r>
    </w:p>
    <w:p w14:paraId="5F07ACAE">
      <w:pPr>
        <w:pStyle w:val="3"/>
        <w:spacing w:before="156" w:beforeLines="50" w:after="156" w:afterLines="50" w:line="300" w:lineRule="auto"/>
        <w:ind w:left="0" w:leftChars="0"/>
        <w:outlineLvl w:val="0"/>
        <w:rPr>
          <w:rFonts w:ascii="黑体" w:hAnsi="黑体" w:eastAsia="黑体"/>
          <w:bCs/>
          <w:color w:val="000000"/>
          <w:sz w:val="24"/>
          <w:szCs w:val="24"/>
        </w:rPr>
      </w:pPr>
      <w:r>
        <w:rPr>
          <w:rFonts w:hint="eastAsia" w:ascii="黑体" w:hAnsi="黑体" w:eastAsia="黑体"/>
          <w:bCs/>
          <w:color w:val="000000"/>
          <w:sz w:val="24"/>
          <w:szCs w:val="24"/>
        </w:rPr>
        <w:t>7</w:t>
      </w:r>
      <w:r>
        <w:rPr>
          <w:rFonts w:ascii="黑体" w:hAnsi="黑体" w:eastAsia="黑体"/>
          <w:bCs/>
          <w:color w:val="000000"/>
          <w:sz w:val="24"/>
          <w:szCs w:val="24"/>
        </w:rPr>
        <w:t xml:space="preserve"> </w:t>
      </w:r>
      <w:r>
        <w:rPr>
          <w:rFonts w:hint="eastAsia" w:ascii="黑体" w:hAnsi="黑体" w:eastAsia="黑体"/>
          <w:bCs/>
          <w:color w:val="000000"/>
          <w:sz w:val="24"/>
          <w:szCs w:val="24"/>
        </w:rPr>
        <w:t>评价方法</w:t>
      </w:r>
      <w:bookmarkEnd w:id="59"/>
      <w:r>
        <w:rPr>
          <w:rFonts w:hint="eastAsia" w:ascii="黑体" w:hAnsi="黑体" w:eastAsia="黑体"/>
          <w:bCs/>
          <w:color w:val="000000"/>
          <w:sz w:val="24"/>
          <w:szCs w:val="24"/>
          <w:lang w:eastAsia="zh-CN"/>
        </w:rPr>
        <w:t xml:space="preserve">  </w:t>
      </w:r>
    </w:p>
    <w:p w14:paraId="7C9AEEE1">
      <w:pPr>
        <w:tabs>
          <w:tab w:val="left" w:pos="360"/>
        </w:tabs>
        <w:adjustRightInd w:val="0"/>
        <w:snapToGrid w:val="0"/>
        <w:spacing w:line="360" w:lineRule="auto"/>
        <w:ind w:firstLine="480" w:firstLineChars="200"/>
        <w:rPr>
          <w:rFonts w:hint="eastAsia" w:ascii="宋体" w:hAnsi="宋体" w:cs="仿宋"/>
          <w:sz w:val="24"/>
          <w:szCs w:val="24"/>
        </w:rPr>
      </w:pPr>
      <w:bookmarkStart w:id="60" w:name="_Toc479343889"/>
      <w:r>
        <w:rPr>
          <w:rFonts w:hint="eastAsia" w:ascii="宋体" w:hAnsi="宋体" w:cs="仿宋"/>
          <w:sz w:val="24"/>
          <w:szCs w:val="24"/>
        </w:rPr>
        <w:t>本公司采用JHA+LEC分析作业活动风险等级、SCL+MES分析设备设施风险等级，依据企业可接受的范围制定风险等级判定准则及控制措施。</w:t>
      </w:r>
    </w:p>
    <w:p w14:paraId="4ACE1EB2">
      <w:pPr>
        <w:tabs>
          <w:tab w:val="left" w:pos="360"/>
        </w:tabs>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JHA分析法即工作危害分析（Job Hazard Analysis）是一种安全风险分析方法，适合于对作业活动中存在的风险进行分析，制定控制和改进措施，以达到控制风险、减少和杜绝事故的目标。</w:t>
      </w:r>
    </w:p>
    <w:p w14:paraId="14BD18BA">
      <w:pPr>
        <w:tabs>
          <w:tab w:val="left" w:pos="360"/>
        </w:tabs>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SCL分析法即安全检查表法（Safety  Check List）是将一系列项目列出检查表进行分析，以确定系统、场所的状态是否符合安全要求，通过检查发现系统中存在的安全隐患，提出改进措施的一种方法。检查项目可以包括场地、周边环境、设施、设备、操作、管理等各方面。</w:t>
      </w:r>
    </w:p>
    <w:p w14:paraId="72823101">
      <w:pPr>
        <w:tabs>
          <w:tab w:val="left" w:pos="360"/>
        </w:tabs>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LEC分析法即作业条件危险性分析法（L</w:t>
      </w:r>
      <w:r>
        <w:rPr>
          <w:rFonts w:ascii="宋体" w:hAnsi="宋体" w:cs="仿宋"/>
          <w:sz w:val="24"/>
          <w:szCs w:val="24"/>
        </w:rPr>
        <w:t>ikelihood</w:t>
      </w:r>
      <w:r>
        <w:rPr>
          <w:rFonts w:hint="eastAsia" w:ascii="宋体" w:hAnsi="宋体" w:cs="仿宋"/>
          <w:sz w:val="24"/>
          <w:szCs w:val="24"/>
        </w:rPr>
        <w:t xml:space="preserve"> E</w:t>
      </w:r>
      <w:r>
        <w:rPr>
          <w:rFonts w:ascii="宋体" w:hAnsi="宋体" w:cs="仿宋"/>
          <w:sz w:val="24"/>
          <w:szCs w:val="24"/>
        </w:rPr>
        <w:t>xposure</w:t>
      </w:r>
      <w:r>
        <w:rPr>
          <w:rFonts w:hint="eastAsia" w:ascii="宋体" w:hAnsi="宋体" w:cs="仿宋"/>
          <w:sz w:val="24"/>
          <w:szCs w:val="24"/>
        </w:rPr>
        <w:t xml:space="preserve"> C</w:t>
      </w:r>
      <w:r>
        <w:rPr>
          <w:rFonts w:ascii="宋体" w:hAnsi="宋体" w:cs="仿宋"/>
          <w:sz w:val="24"/>
          <w:szCs w:val="24"/>
        </w:rPr>
        <w:t>onsequence</w:t>
      </w:r>
      <w:r>
        <w:rPr>
          <w:rFonts w:hint="eastAsia" w:ascii="宋体" w:hAnsi="宋体" w:cs="仿宋"/>
          <w:sz w:val="24"/>
          <w:szCs w:val="24"/>
        </w:rPr>
        <w:t>）该法是用与系统风险有关的三种因素指标值的乘积来评价操作人员伤亡风险大小。三种因素分别是：L（事故发生的可能性）、E（人员暴露于危险环境中的频繁程度）和 C（一旦发生事故可能造成的后果）。给三种因素的不同等级分别确定不同的分值，再以三个分值的乘积 D（危险性）来评价作业条件危险性的大小，即：D=L×E×C。D 值越大，说明该系统危险性大。</w:t>
      </w:r>
    </w:p>
    <w:p w14:paraId="2F526C9D">
      <w:pPr>
        <w:tabs>
          <w:tab w:val="left" w:pos="360"/>
        </w:tabs>
        <w:adjustRightInd w:val="0"/>
        <w:snapToGrid w:val="0"/>
        <w:spacing w:line="360" w:lineRule="auto"/>
        <w:ind w:firstLine="480" w:firstLineChars="200"/>
        <w:rPr>
          <w:rFonts w:hint="eastAsia" w:cs="仿宋"/>
          <w:sz w:val="24"/>
          <w:szCs w:val="24"/>
        </w:rPr>
      </w:pPr>
      <w:r>
        <w:rPr>
          <w:rFonts w:hint="eastAsia" w:cs="仿宋"/>
          <w:sz w:val="24"/>
          <w:szCs w:val="24"/>
        </w:rPr>
        <w:t>MES分析法即</w:t>
      </w:r>
      <w:r>
        <w:rPr>
          <w:rFonts w:hint="eastAsia"/>
          <w:sz w:val="24"/>
          <w:szCs w:val="24"/>
        </w:rPr>
        <w:t>风险程度分析法，</w:t>
      </w:r>
      <w:r>
        <w:rPr>
          <w:rFonts w:hint="eastAsia" w:cs="仿宋"/>
          <w:sz w:val="24"/>
          <w:szCs w:val="24"/>
        </w:rPr>
        <w:t>该法是</w:t>
      </w:r>
      <w:r>
        <w:rPr>
          <w:rFonts w:hint="eastAsia"/>
          <w:sz w:val="24"/>
          <w:szCs w:val="24"/>
        </w:rPr>
        <w:t>将控制措施的状态</w:t>
      </w:r>
      <w:r>
        <w:rPr>
          <w:sz w:val="24"/>
          <w:szCs w:val="24"/>
        </w:rPr>
        <w:t>M</w:t>
      </w:r>
      <w:r>
        <w:rPr>
          <w:rFonts w:hint="eastAsia"/>
          <w:sz w:val="24"/>
          <w:szCs w:val="24"/>
        </w:rPr>
        <w:t>、暴露的频繁程度</w:t>
      </w:r>
      <w:r>
        <w:rPr>
          <w:sz w:val="24"/>
          <w:szCs w:val="24"/>
        </w:rPr>
        <w:t>E</w:t>
      </w:r>
      <w:r>
        <w:rPr>
          <w:rFonts w:hint="eastAsia"/>
          <w:sz w:val="24"/>
          <w:szCs w:val="24"/>
        </w:rPr>
        <w:t>（</w:t>
      </w:r>
      <w:r>
        <w:rPr>
          <w:sz w:val="24"/>
          <w:szCs w:val="24"/>
        </w:rPr>
        <w:t>E1</w:t>
      </w:r>
      <w:r>
        <w:rPr>
          <w:rFonts w:hint="eastAsia"/>
          <w:sz w:val="24"/>
          <w:szCs w:val="24"/>
        </w:rPr>
        <w:t>或</w:t>
      </w:r>
      <w:r>
        <w:rPr>
          <w:sz w:val="24"/>
          <w:szCs w:val="24"/>
        </w:rPr>
        <w:t>E2</w:t>
      </w:r>
      <w:r>
        <w:rPr>
          <w:rFonts w:hint="eastAsia"/>
          <w:sz w:val="24"/>
          <w:szCs w:val="24"/>
        </w:rPr>
        <w:t>）、一旦发生事故会造成的损失后果</w:t>
      </w:r>
      <w:r>
        <w:rPr>
          <w:sz w:val="24"/>
          <w:szCs w:val="24"/>
        </w:rPr>
        <w:t>S</w:t>
      </w:r>
      <w:r>
        <w:rPr>
          <w:rFonts w:hint="eastAsia"/>
          <w:sz w:val="24"/>
          <w:szCs w:val="24"/>
        </w:rPr>
        <w:t>分别分为若干等级，并赋予一定的相应分值。风险程度</w:t>
      </w:r>
      <w:r>
        <w:rPr>
          <w:sz w:val="24"/>
          <w:szCs w:val="24"/>
        </w:rPr>
        <w:t>R</w:t>
      </w:r>
      <w:r>
        <w:rPr>
          <w:rFonts w:hint="eastAsia"/>
          <w:sz w:val="24"/>
          <w:szCs w:val="24"/>
        </w:rPr>
        <w:t>为三者的乘积。将</w:t>
      </w:r>
      <w:r>
        <w:rPr>
          <w:sz w:val="24"/>
          <w:szCs w:val="24"/>
        </w:rPr>
        <w:t>R</w:t>
      </w:r>
      <w:r>
        <w:rPr>
          <w:rFonts w:hint="eastAsia"/>
          <w:sz w:val="24"/>
          <w:szCs w:val="24"/>
        </w:rPr>
        <w:t>亦分为若干等级。针对特定的作业条件，恰当选取</w:t>
      </w:r>
      <w:r>
        <w:rPr>
          <w:sz w:val="24"/>
          <w:szCs w:val="24"/>
        </w:rPr>
        <w:t>M</w:t>
      </w:r>
      <w:r>
        <w:rPr>
          <w:rFonts w:hint="eastAsia"/>
          <w:sz w:val="24"/>
          <w:szCs w:val="24"/>
        </w:rPr>
        <w:t>、</w:t>
      </w:r>
      <w:r>
        <w:rPr>
          <w:sz w:val="24"/>
          <w:szCs w:val="24"/>
        </w:rPr>
        <w:t>E</w:t>
      </w:r>
      <w:r>
        <w:rPr>
          <w:rFonts w:hint="eastAsia"/>
          <w:sz w:val="24"/>
          <w:szCs w:val="24"/>
        </w:rPr>
        <w:t>、</w:t>
      </w:r>
      <w:r>
        <w:rPr>
          <w:sz w:val="24"/>
          <w:szCs w:val="24"/>
        </w:rPr>
        <w:t>S</w:t>
      </w:r>
      <w:r>
        <w:rPr>
          <w:rFonts w:hint="eastAsia"/>
          <w:sz w:val="24"/>
          <w:szCs w:val="24"/>
        </w:rPr>
        <w:t>的值，根据相乘后的积确定风险程度</w:t>
      </w:r>
      <w:r>
        <w:rPr>
          <w:sz w:val="24"/>
          <w:szCs w:val="24"/>
        </w:rPr>
        <w:t>R</w:t>
      </w:r>
      <w:r>
        <w:rPr>
          <w:rFonts w:hint="eastAsia"/>
          <w:sz w:val="24"/>
          <w:szCs w:val="24"/>
        </w:rPr>
        <w:t>的级别。即：R=</w:t>
      </w:r>
      <w:r>
        <w:rPr>
          <w:rFonts w:hint="eastAsia" w:cs="仿宋"/>
          <w:sz w:val="24"/>
          <w:szCs w:val="24"/>
        </w:rPr>
        <w:t>=M×E×S。R值越大，说明该系统危险性大。</w:t>
      </w:r>
    </w:p>
    <w:p w14:paraId="7F6B1D8F">
      <w:pPr>
        <w:tabs>
          <w:tab w:val="left" w:pos="360"/>
        </w:tabs>
        <w:adjustRightInd w:val="0"/>
        <w:snapToGrid w:val="0"/>
        <w:spacing w:line="360" w:lineRule="auto"/>
        <w:rPr>
          <w:rFonts w:hint="eastAsia" w:ascii="宋体" w:hAnsi="宋体" w:cs="仿宋"/>
          <w:sz w:val="24"/>
          <w:szCs w:val="24"/>
        </w:rPr>
      </w:pPr>
      <w:r>
        <w:rPr>
          <w:rFonts w:hint="eastAsia" w:ascii="黑体" w:hAnsi="黑体" w:eastAsia="黑体"/>
          <w:bCs/>
          <w:color w:val="000000"/>
          <w:sz w:val="24"/>
          <w:szCs w:val="24"/>
        </w:rPr>
        <w:t>8</w:t>
      </w:r>
      <w:r>
        <w:rPr>
          <w:rFonts w:ascii="黑体" w:hAnsi="黑体" w:eastAsia="黑体"/>
          <w:bCs/>
          <w:color w:val="000000"/>
          <w:sz w:val="24"/>
          <w:szCs w:val="24"/>
        </w:rPr>
        <w:t xml:space="preserve"> </w:t>
      </w:r>
      <w:bookmarkStart w:id="61" w:name="_Toc465774049"/>
      <w:bookmarkStart w:id="62" w:name="_Toc466564039"/>
      <w:r>
        <w:rPr>
          <w:rFonts w:hint="eastAsia" w:ascii="黑体" w:hAnsi="黑体" w:eastAsia="黑体"/>
          <w:bCs/>
          <w:color w:val="000000"/>
          <w:sz w:val="24"/>
          <w:szCs w:val="24"/>
        </w:rPr>
        <w:t>重大风险确定原则</w:t>
      </w:r>
      <w:bookmarkEnd w:id="60"/>
      <w:bookmarkEnd w:id="61"/>
      <w:bookmarkEnd w:id="62"/>
    </w:p>
    <w:p w14:paraId="139E7C33">
      <w:pPr>
        <w:tabs>
          <w:tab w:val="left" w:pos="360"/>
        </w:tabs>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以下情形为重大风险：</w:t>
      </w:r>
    </w:p>
    <w:p w14:paraId="73814414">
      <w:pPr>
        <w:tabs>
          <w:tab w:val="left" w:pos="360"/>
        </w:tabs>
        <w:adjustRightInd w:val="0"/>
        <w:snapToGrid w:val="0"/>
        <w:spacing w:line="360" w:lineRule="auto"/>
        <w:ind w:firstLine="360" w:firstLineChars="150"/>
        <w:rPr>
          <w:rFonts w:hint="eastAsia" w:ascii="宋体" w:hAnsi="宋体" w:cs="仿宋"/>
          <w:sz w:val="24"/>
          <w:szCs w:val="24"/>
        </w:rPr>
      </w:pPr>
      <w:r>
        <w:rPr>
          <w:rFonts w:hint="eastAsia" w:ascii="宋体" w:hAnsi="宋体" w:cs="仿宋"/>
          <w:sz w:val="24"/>
          <w:szCs w:val="24"/>
        </w:rPr>
        <w:t>（1）违反法律、法规及国家标准中强制性条款的；</w:t>
      </w:r>
    </w:p>
    <w:p w14:paraId="202B2A2F">
      <w:pPr>
        <w:tabs>
          <w:tab w:val="left" w:pos="360"/>
        </w:tabs>
        <w:adjustRightInd w:val="0"/>
        <w:snapToGrid w:val="0"/>
        <w:spacing w:line="360" w:lineRule="auto"/>
        <w:ind w:firstLine="360" w:firstLineChars="150"/>
        <w:rPr>
          <w:rFonts w:hint="eastAsia" w:ascii="宋体" w:hAnsi="宋体" w:cs="仿宋"/>
          <w:sz w:val="24"/>
          <w:szCs w:val="24"/>
        </w:rPr>
      </w:pPr>
      <w:r>
        <w:rPr>
          <w:rFonts w:hint="eastAsia" w:ascii="宋体" w:hAnsi="宋体" w:cs="仿宋"/>
          <w:sz w:val="24"/>
          <w:szCs w:val="24"/>
        </w:rPr>
        <w:t>（2）发生过死亡、重伤、职业病、重大财产损失事故，或三次及以上轻伤、一般财产损失事故，且现在发生事故的条件依然存在的；</w:t>
      </w:r>
    </w:p>
    <w:p w14:paraId="6DFB08CA">
      <w:pPr>
        <w:tabs>
          <w:tab w:val="left" w:pos="360"/>
        </w:tabs>
        <w:adjustRightInd w:val="0"/>
        <w:snapToGrid w:val="0"/>
        <w:spacing w:line="360" w:lineRule="auto"/>
        <w:ind w:firstLine="360" w:firstLineChars="150"/>
        <w:rPr>
          <w:rFonts w:hint="eastAsia" w:ascii="宋体" w:hAnsi="宋体" w:cs="仿宋"/>
          <w:sz w:val="24"/>
          <w:szCs w:val="24"/>
        </w:rPr>
      </w:pPr>
      <w:r>
        <w:rPr>
          <w:rFonts w:hint="eastAsia" w:ascii="宋体" w:hAnsi="宋体" w:cs="仿宋"/>
          <w:sz w:val="24"/>
          <w:szCs w:val="24"/>
        </w:rPr>
        <w:t>（3）涉及重大危险源的；</w:t>
      </w:r>
    </w:p>
    <w:p w14:paraId="179A647F">
      <w:pPr>
        <w:tabs>
          <w:tab w:val="left" w:pos="360"/>
        </w:tabs>
        <w:adjustRightInd w:val="0"/>
        <w:snapToGrid w:val="0"/>
        <w:spacing w:line="360" w:lineRule="auto"/>
        <w:ind w:firstLine="360" w:firstLineChars="150"/>
        <w:rPr>
          <w:rFonts w:hint="eastAsia" w:ascii="宋体" w:hAnsi="宋体" w:cs="仿宋"/>
          <w:sz w:val="24"/>
          <w:szCs w:val="24"/>
        </w:rPr>
      </w:pPr>
      <w:r>
        <w:rPr>
          <w:rFonts w:hint="eastAsia" w:ascii="宋体" w:hAnsi="宋体" w:cs="仿宋"/>
          <w:sz w:val="24"/>
          <w:szCs w:val="24"/>
        </w:rPr>
        <w:t>（4）具有中毒、爆炸、火灾等危险的场所，作业人员在10人以上的；</w:t>
      </w:r>
    </w:p>
    <w:p w14:paraId="32E5FC12">
      <w:pPr>
        <w:tabs>
          <w:tab w:val="left" w:pos="360"/>
        </w:tabs>
        <w:adjustRightInd w:val="0"/>
        <w:snapToGrid w:val="0"/>
        <w:spacing w:line="360" w:lineRule="auto"/>
        <w:ind w:firstLine="360" w:firstLineChars="150"/>
        <w:rPr>
          <w:rFonts w:hint="eastAsia" w:ascii="宋体" w:hAnsi="宋体" w:cs="仿宋"/>
          <w:sz w:val="24"/>
          <w:szCs w:val="24"/>
        </w:rPr>
      </w:pPr>
      <w:r>
        <w:rPr>
          <w:rFonts w:hint="eastAsia" w:ascii="宋体" w:hAnsi="宋体" w:cs="仿宋"/>
          <w:sz w:val="24"/>
          <w:szCs w:val="24"/>
        </w:rPr>
        <w:t>（5）经风险评价确定为最高级别风险的。</w:t>
      </w:r>
    </w:p>
    <w:p w14:paraId="655575A0">
      <w:pPr>
        <w:pStyle w:val="3"/>
        <w:spacing w:before="156" w:beforeLines="50" w:after="156" w:afterLines="50" w:line="300" w:lineRule="auto"/>
        <w:ind w:left="0" w:leftChars="0"/>
        <w:outlineLvl w:val="0"/>
        <w:rPr>
          <w:rFonts w:ascii="黑体" w:hAnsi="黑体" w:eastAsia="黑体"/>
          <w:bCs/>
          <w:color w:val="000000"/>
          <w:sz w:val="24"/>
          <w:szCs w:val="24"/>
        </w:rPr>
      </w:pPr>
      <w:bookmarkStart w:id="63" w:name="_Toc479343890"/>
      <w:r>
        <w:rPr>
          <w:rFonts w:hint="eastAsia" w:ascii="黑体" w:hAnsi="黑体" w:eastAsia="黑体"/>
          <w:bCs/>
          <w:color w:val="000000"/>
          <w:sz w:val="24"/>
          <w:szCs w:val="24"/>
        </w:rPr>
        <w:t>9</w:t>
      </w:r>
      <w:r>
        <w:rPr>
          <w:rFonts w:ascii="黑体" w:hAnsi="黑体" w:eastAsia="黑体"/>
          <w:bCs/>
          <w:color w:val="000000"/>
          <w:sz w:val="24"/>
          <w:szCs w:val="24"/>
        </w:rPr>
        <w:t xml:space="preserve"> 控制措施</w:t>
      </w:r>
      <w:bookmarkEnd w:id="63"/>
    </w:p>
    <w:p w14:paraId="5689E787">
      <w:pPr>
        <w:pStyle w:val="3"/>
        <w:spacing w:before="156" w:beforeLines="50" w:after="156" w:afterLines="50" w:line="300" w:lineRule="auto"/>
        <w:ind w:left="0" w:leftChars="0"/>
        <w:outlineLvl w:val="1"/>
        <w:rPr>
          <w:rFonts w:ascii="黑体" w:hAnsi="黑体" w:eastAsia="黑体"/>
          <w:color w:val="000000"/>
          <w:sz w:val="24"/>
          <w:szCs w:val="24"/>
        </w:rPr>
      </w:pPr>
      <w:bookmarkStart w:id="64" w:name="_Toc479343891"/>
      <w:r>
        <w:rPr>
          <w:rFonts w:hint="eastAsia" w:ascii="黑体" w:hAnsi="黑体" w:eastAsia="黑体"/>
          <w:color w:val="000000"/>
          <w:sz w:val="24"/>
          <w:szCs w:val="24"/>
        </w:rPr>
        <w:t>9.1 控制措施内容</w:t>
      </w:r>
      <w:bookmarkEnd w:id="64"/>
    </w:p>
    <w:p w14:paraId="2C1069E3">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根据风险评价的结果及生产运行情况等，确定优先控制的顺序，采取措施削减风险，将风险控制在可以接受的程度，预防事故的发生。</w:t>
      </w:r>
    </w:p>
    <w:p w14:paraId="1463647B">
      <w:pPr>
        <w:pStyle w:val="3"/>
        <w:spacing w:before="156" w:beforeLines="50" w:after="156" w:afterLines="50" w:line="300" w:lineRule="auto"/>
        <w:ind w:left="0" w:leftChars="0"/>
        <w:outlineLvl w:val="2"/>
        <w:rPr>
          <w:rFonts w:hint="eastAsia" w:ascii="黑体" w:hAnsi="黑体" w:eastAsia="黑体"/>
          <w:color w:val="000000"/>
          <w:sz w:val="24"/>
          <w:szCs w:val="24"/>
        </w:rPr>
      </w:pPr>
      <w:bookmarkStart w:id="65" w:name="_Toc479343892"/>
      <w:r>
        <w:rPr>
          <w:rFonts w:hint="eastAsia" w:ascii="黑体" w:hAnsi="黑体" w:eastAsia="黑体"/>
          <w:color w:val="000000"/>
          <w:sz w:val="24"/>
          <w:szCs w:val="24"/>
        </w:rPr>
        <w:t xml:space="preserve">9.1.1 </w:t>
      </w:r>
      <w:r>
        <w:rPr>
          <w:rFonts w:ascii="黑体" w:hAnsi="黑体" w:eastAsia="黑体"/>
          <w:color w:val="000000"/>
          <w:sz w:val="24"/>
          <w:szCs w:val="24"/>
        </w:rPr>
        <w:t>制定控制措施应考虑</w:t>
      </w:r>
      <w:r>
        <w:rPr>
          <w:rFonts w:hint="eastAsia" w:ascii="黑体" w:hAnsi="黑体" w:eastAsia="黑体"/>
          <w:color w:val="000000"/>
          <w:sz w:val="24"/>
          <w:szCs w:val="24"/>
        </w:rPr>
        <w:t>：</w:t>
      </w:r>
      <w:bookmarkEnd w:id="65"/>
    </w:p>
    <w:p w14:paraId="47D8AF73">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（1）控制措施的可行性；</w:t>
      </w:r>
    </w:p>
    <w:p w14:paraId="476BE4C9">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（2）控制措施的先进性；</w:t>
      </w:r>
    </w:p>
    <w:p w14:paraId="27FF1981">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（3）控制措施的经济合理性；</w:t>
      </w:r>
    </w:p>
    <w:p w14:paraId="446A90F2">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（4）企业的经营运行情况；</w:t>
      </w:r>
    </w:p>
    <w:p w14:paraId="42972D1A">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（5）可靠的技术保证和服务。</w:t>
      </w:r>
    </w:p>
    <w:p w14:paraId="53914534">
      <w:pPr>
        <w:pStyle w:val="3"/>
        <w:spacing w:before="156" w:beforeLines="50" w:after="156" w:afterLines="50" w:line="300" w:lineRule="auto"/>
        <w:ind w:left="0" w:leftChars="0"/>
        <w:outlineLvl w:val="2"/>
        <w:rPr>
          <w:rFonts w:hint="eastAsia" w:ascii="黑体" w:hAnsi="黑体" w:eastAsia="黑体"/>
          <w:color w:val="000000"/>
          <w:sz w:val="24"/>
          <w:szCs w:val="24"/>
        </w:rPr>
      </w:pPr>
      <w:bookmarkStart w:id="66" w:name="_Toc479343893"/>
      <w:r>
        <w:rPr>
          <w:rFonts w:hint="eastAsia" w:ascii="黑体" w:hAnsi="黑体" w:eastAsia="黑体"/>
          <w:color w:val="000000"/>
          <w:sz w:val="24"/>
          <w:szCs w:val="24"/>
        </w:rPr>
        <w:t>9</w:t>
      </w:r>
      <w:r>
        <w:rPr>
          <w:rFonts w:ascii="黑体" w:hAnsi="黑体" w:eastAsia="黑体"/>
          <w:color w:val="000000"/>
          <w:sz w:val="24"/>
          <w:szCs w:val="24"/>
        </w:rPr>
        <w:t xml:space="preserve">.1.2 </w:t>
      </w:r>
      <w:r>
        <w:rPr>
          <w:rFonts w:hint="eastAsia" w:ascii="黑体" w:hAnsi="黑体" w:eastAsia="黑体"/>
          <w:color w:val="000000"/>
          <w:sz w:val="24"/>
          <w:szCs w:val="24"/>
        </w:rPr>
        <w:t>风险控制措施类别包括：</w:t>
      </w:r>
      <w:bookmarkEnd w:id="66"/>
    </w:p>
    <w:p w14:paraId="6EE31E0D">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（1）工程技术措施；</w:t>
      </w:r>
    </w:p>
    <w:p w14:paraId="36B944D3">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（2）管理措施；</w:t>
      </w:r>
    </w:p>
    <w:p w14:paraId="29E793B7">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（3）培训教育措施；</w:t>
      </w:r>
    </w:p>
    <w:p w14:paraId="09F29507">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（4）个体防护措施；</w:t>
      </w:r>
    </w:p>
    <w:p w14:paraId="2510F554">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（5）应急处置措施。</w:t>
      </w:r>
    </w:p>
    <w:p w14:paraId="33B8B990">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控制措施的制定应优先考虑消除危害，再考虑抑制危害，修订或制定操作规程，最后采用减少暴露的措施控制风险。</w:t>
      </w:r>
    </w:p>
    <w:p w14:paraId="4E556E79">
      <w:pPr>
        <w:pStyle w:val="3"/>
        <w:spacing w:before="156" w:beforeLines="50" w:after="156" w:afterLines="50" w:line="300" w:lineRule="auto"/>
        <w:ind w:left="0" w:leftChars="0"/>
        <w:outlineLvl w:val="1"/>
        <w:rPr>
          <w:rFonts w:hint="eastAsia" w:ascii="黑体" w:hAnsi="黑体" w:eastAsia="黑体"/>
          <w:color w:val="000000"/>
          <w:sz w:val="24"/>
          <w:szCs w:val="24"/>
        </w:rPr>
      </w:pPr>
      <w:bookmarkStart w:id="67" w:name="_Toc479343894"/>
      <w:r>
        <w:rPr>
          <w:rFonts w:hint="eastAsia" w:ascii="黑体" w:hAnsi="黑体" w:eastAsia="黑体"/>
          <w:color w:val="000000"/>
          <w:sz w:val="24"/>
          <w:szCs w:val="24"/>
        </w:rPr>
        <w:t xml:space="preserve">9.2 </w:t>
      </w:r>
      <w:bookmarkStart w:id="68" w:name="_Toc466564045"/>
      <w:bookmarkStart w:id="69" w:name="_Toc465774055"/>
      <w:r>
        <w:rPr>
          <w:rFonts w:hint="eastAsia" w:ascii="黑体" w:hAnsi="黑体" w:eastAsia="黑体"/>
          <w:color w:val="000000"/>
          <w:sz w:val="24"/>
          <w:szCs w:val="24"/>
        </w:rPr>
        <w:t>评审</w:t>
      </w:r>
      <w:bookmarkEnd w:id="67"/>
      <w:bookmarkEnd w:id="68"/>
      <w:bookmarkEnd w:id="69"/>
    </w:p>
    <w:p w14:paraId="1CEFC226">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风险控制措施应在实施前针对以下内容进行评审：</w:t>
      </w:r>
    </w:p>
    <w:p w14:paraId="032BF5CB">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（1）措施的可行性和有效性；</w:t>
      </w:r>
    </w:p>
    <w:p w14:paraId="1770330A">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（2）是否使风险降低至可接受风险；</w:t>
      </w:r>
    </w:p>
    <w:p w14:paraId="68333F11">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（3）是否产生新的危险源或危险有害因素；</w:t>
      </w:r>
    </w:p>
    <w:p w14:paraId="3EE4953B">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（4）是否已选定最佳的解决方案。</w:t>
      </w:r>
    </w:p>
    <w:p w14:paraId="71F6EB84">
      <w:pPr>
        <w:pStyle w:val="3"/>
        <w:spacing w:before="156" w:beforeLines="50" w:after="156" w:afterLines="50" w:line="300" w:lineRule="auto"/>
        <w:ind w:left="0" w:leftChars="0"/>
        <w:outlineLvl w:val="1"/>
        <w:rPr>
          <w:rFonts w:hint="eastAsia" w:ascii="黑体" w:hAnsi="黑体" w:eastAsia="黑体"/>
          <w:color w:val="000000"/>
          <w:sz w:val="24"/>
          <w:szCs w:val="24"/>
        </w:rPr>
      </w:pPr>
      <w:bookmarkStart w:id="70" w:name="_Toc479343895"/>
      <w:r>
        <w:rPr>
          <w:rFonts w:hint="eastAsia" w:ascii="黑体" w:hAnsi="黑体" w:eastAsia="黑体"/>
          <w:color w:val="000000"/>
          <w:sz w:val="24"/>
          <w:szCs w:val="24"/>
        </w:rPr>
        <w:t>9.3重大危险源</w:t>
      </w:r>
      <w:bookmarkEnd w:id="70"/>
    </w:p>
    <w:p w14:paraId="37670590">
      <w:pPr>
        <w:adjustRightInd w:val="0"/>
        <w:snapToGrid w:val="0"/>
        <w:spacing w:line="360" w:lineRule="auto"/>
        <w:ind w:firstLine="480" w:firstLineChars="200"/>
        <w:rPr>
          <w:rFonts w:ascii="宋体" w:hAnsi="宋体" w:cs="仿宋"/>
          <w:sz w:val="24"/>
          <w:szCs w:val="24"/>
        </w:rPr>
      </w:pPr>
      <w:r>
        <w:rPr>
          <w:rFonts w:hint="eastAsia" w:ascii="宋体" w:hAnsi="宋体" w:cs="仿宋"/>
          <w:sz w:val="24"/>
          <w:szCs w:val="24"/>
        </w:rPr>
        <w:t>本公司现阶段不存在重大危险源。</w:t>
      </w:r>
    </w:p>
    <w:p w14:paraId="3B71F155">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若将来公司因生产环境或法律法规改变而出现重大危险源，则应根据重大危险源要求对本单位的重大危险源实施管理。建立健全管理制度，完善重大危险源的管理档案。确定科学合理的控制措施并落实责任人。定期进行检测、评估、监控，并将报告存入档案。应将重大危险源的有关信息告知从业人员，应有事故应急措施和应急预案，并适时改进和演练，演练应有计划和记录。</w:t>
      </w:r>
    </w:p>
    <w:p w14:paraId="34E10A56">
      <w:pPr>
        <w:pStyle w:val="3"/>
        <w:spacing w:before="156" w:beforeLines="50" w:after="156" w:afterLines="50" w:line="300" w:lineRule="auto"/>
        <w:ind w:left="0" w:leftChars="0"/>
        <w:outlineLvl w:val="1"/>
        <w:rPr>
          <w:rFonts w:hint="eastAsia" w:ascii="黑体" w:hAnsi="黑体" w:eastAsia="黑体"/>
          <w:color w:val="000000"/>
          <w:sz w:val="24"/>
          <w:szCs w:val="24"/>
        </w:rPr>
      </w:pPr>
      <w:bookmarkStart w:id="71" w:name="_Toc479343896"/>
      <w:r>
        <w:rPr>
          <w:rFonts w:hint="eastAsia" w:ascii="黑体" w:hAnsi="黑体" w:eastAsia="黑体"/>
          <w:color w:val="000000"/>
          <w:sz w:val="24"/>
          <w:szCs w:val="24"/>
        </w:rPr>
        <w:t xml:space="preserve">9.4 </w:t>
      </w:r>
      <w:bookmarkStart w:id="72" w:name="_Toc465774056"/>
      <w:bookmarkStart w:id="73" w:name="_Toc466564046"/>
      <w:r>
        <w:rPr>
          <w:rFonts w:hint="eastAsia" w:ascii="黑体" w:hAnsi="黑体" w:eastAsia="黑体"/>
          <w:color w:val="000000"/>
          <w:sz w:val="24"/>
          <w:szCs w:val="24"/>
        </w:rPr>
        <w:t>重大风险控制措施</w:t>
      </w:r>
      <w:bookmarkEnd w:id="71"/>
      <w:bookmarkEnd w:id="72"/>
      <w:bookmarkEnd w:id="73"/>
    </w:p>
    <w:p w14:paraId="1073C82E">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依据已确定的评价方法、评价准则，定期进行风险评价。进行风险评价时，应从影响人、财产和环境等三个方面的可能性和严重程度分析，重点考虑以下因素：</w:t>
      </w:r>
    </w:p>
    <w:p w14:paraId="79C60B13">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（1）冲击和撞击；</w:t>
      </w:r>
    </w:p>
    <w:p w14:paraId="2C660C3A">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（2）火灾和爆炸；</w:t>
      </w:r>
    </w:p>
    <w:p w14:paraId="1E712BA7">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（3）中毒、窒息和触电；</w:t>
      </w:r>
    </w:p>
    <w:p w14:paraId="6C316697">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（4）有毒有害物料、气体的泄露；</w:t>
      </w:r>
    </w:p>
    <w:p w14:paraId="27EDB77E">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（5）其他化学、物理性危害因素；</w:t>
      </w:r>
    </w:p>
    <w:p w14:paraId="72D5949F">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（6）人机工程因素；</w:t>
      </w:r>
    </w:p>
    <w:p w14:paraId="5130BE19">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（7）设备的腐蚀、缺陷；</w:t>
      </w:r>
    </w:p>
    <w:p w14:paraId="54E4DBE6">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（8）对环境的可能影响等。</w:t>
      </w:r>
    </w:p>
    <w:p w14:paraId="2B7148EA">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需通过工程技术措施和（或）技术改造才能控制的风险，应制定控制该类风险的目标，并为实现目标制定方案。</w:t>
      </w:r>
    </w:p>
    <w:p w14:paraId="25B4EFBC">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属于经常性或周期性工作中的不可接受风险，不需要通过工程技术措施，但需要制定新的文件（程序或作业文件）或修订原来的文件,文件中应明确规定对该种风险的有效控制措施，并在实践中落实这些措施。</w:t>
      </w:r>
    </w:p>
    <w:p w14:paraId="6BE0B8D4">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对于某些重大风险，可同时采取上述规定的措施。</w:t>
      </w:r>
    </w:p>
    <w:p w14:paraId="70D48C3E">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在确定重大风险时，应考虑：</w:t>
      </w:r>
    </w:p>
    <w:p w14:paraId="328B073E">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（1）有关法规、标准的要求；</w:t>
      </w:r>
    </w:p>
    <w:p w14:paraId="15402238">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（2）风险发生的可能性和后果的严重性；</w:t>
      </w:r>
    </w:p>
    <w:p w14:paraId="1A5E52F4">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（3）企业的声誉和社会关注程度等。</w:t>
      </w:r>
    </w:p>
    <w:p w14:paraId="34B9C825">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通过风险评价结果，即风险度R值的大小，将风险进行等级划分，确定重大风险，按优先顺序控制治理，填写重大风险及控制措施清单并上报。</w:t>
      </w:r>
    </w:p>
    <w:p w14:paraId="5C2C3DBA">
      <w:pPr>
        <w:pStyle w:val="3"/>
        <w:spacing w:before="156" w:beforeLines="50" w:after="156" w:afterLines="50" w:line="300" w:lineRule="auto"/>
        <w:ind w:left="0" w:leftChars="0"/>
        <w:outlineLvl w:val="1"/>
        <w:rPr>
          <w:rFonts w:hint="eastAsia" w:ascii="黑体" w:hAnsi="黑体" w:eastAsia="黑体"/>
          <w:color w:val="000000"/>
          <w:sz w:val="24"/>
          <w:szCs w:val="24"/>
        </w:rPr>
      </w:pPr>
      <w:bookmarkStart w:id="74" w:name="_Toc479343897"/>
      <w:r>
        <w:rPr>
          <w:rFonts w:hint="eastAsia" w:ascii="黑体" w:hAnsi="黑体" w:eastAsia="黑体"/>
          <w:color w:val="000000"/>
          <w:sz w:val="24"/>
          <w:szCs w:val="24"/>
        </w:rPr>
        <w:t xml:space="preserve">9.5 </w:t>
      </w:r>
      <w:bookmarkStart w:id="75" w:name="_Toc466564047"/>
      <w:bookmarkStart w:id="76" w:name="_Toc465774057"/>
      <w:r>
        <w:rPr>
          <w:rFonts w:hint="eastAsia" w:ascii="黑体" w:hAnsi="黑体" w:eastAsia="黑体"/>
          <w:color w:val="000000"/>
          <w:sz w:val="24"/>
          <w:szCs w:val="24"/>
        </w:rPr>
        <w:t>风险分级管控</w:t>
      </w:r>
      <w:bookmarkEnd w:id="74"/>
      <w:bookmarkEnd w:id="75"/>
      <w:bookmarkEnd w:id="76"/>
    </w:p>
    <w:p w14:paraId="5633746A">
      <w:pPr>
        <w:pStyle w:val="3"/>
        <w:spacing w:before="156" w:beforeLines="50" w:after="156" w:afterLines="50" w:line="300" w:lineRule="auto"/>
        <w:ind w:left="0" w:leftChars="0"/>
        <w:outlineLvl w:val="2"/>
        <w:rPr>
          <w:rFonts w:hint="eastAsia" w:ascii="黑体" w:hAnsi="黑体" w:eastAsia="黑体"/>
          <w:color w:val="000000"/>
          <w:sz w:val="24"/>
          <w:szCs w:val="24"/>
        </w:rPr>
      </w:pPr>
      <w:bookmarkStart w:id="77" w:name="_Toc22967"/>
      <w:bookmarkStart w:id="78" w:name="_Toc479343898"/>
      <w:r>
        <w:rPr>
          <w:rFonts w:hint="eastAsia" w:ascii="黑体" w:hAnsi="黑体" w:eastAsia="黑体"/>
          <w:color w:val="000000"/>
          <w:sz w:val="24"/>
          <w:szCs w:val="24"/>
        </w:rPr>
        <w:t xml:space="preserve">9.5.1 </w:t>
      </w:r>
      <w:bookmarkStart w:id="79" w:name="_Toc466564048"/>
      <w:bookmarkStart w:id="80" w:name="_Toc465774058"/>
      <w:r>
        <w:rPr>
          <w:rFonts w:hint="eastAsia" w:ascii="黑体" w:hAnsi="黑体" w:eastAsia="黑体"/>
          <w:color w:val="000000"/>
          <w:sz w:val="24"/>
          <w:szCs w:val="24"/>
        </w:rPr>
        <w:t>风险分级</w:t>
      </w:r>
      <w:bookmarkEnd w:id="77"/>
      <w:bookmarkEnd w:id="78"/>
      <w:bookmarkEnd w:id="79"/>
      <w:bookmarkEnd w:id="80"/>
    </w:p>
    <w:p w14:paraId="5168EC5D">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进行风险评价分级后，确定相应原则，将同一级别或不同级别风险按照从高到低的原则划分为极其危险、高度危险、显著危险、轻度危险、稍有危险，实施分级管控。</w:t>
      </w:r>
    </w:p>
    <w:p w14:paraId="2EFCD64A">
      <w:pPr>
        <w:pStyle w:val="3"/>
        <w:spacing w:before="156" w:beforeLines="50" w:after="156" w:afterLines="50" w:line="300" w:lineRule="auto"/>
        <w:ind w:left="0" w:leftChars="0"/>
        <w:outlineLvl w:val="2"/>
        <w:rPr>
          <w:rFonts w:hint="eastAsia" w:ascii="黑体" w:hAnsi="黑体" w:eastAsia="黑体"/>
          <w:color w:val="000000"/>
          <w:sz w:val="24"/>
          <w:szCs w:val="24"/>
        </w:rPr>
      </w:pPr>
      <w:bookmarkStart w:id="81" w:name="_Toc479343899"/>
      <w:bookmarkStart w:id="82" w:name="_Toc6305"/>
      <w:r>
        <w:rPr>
          <w:rFonts w:hint="eastAsia" w:ascii="黑体" w:hAnsi="黑体" w:eastAsia="黑体"/>
          <w:color w:val="000000"/>
          <w:sz w:val="24"/>
          <w:szCs w:val="24"/>
        </w:rPr>
        <w:t xml:space="preserve">9.5.2 </w:t>
      </w:r>
      <w:bookmarkStart w:id="83" w:name="_Toc466564049"/>
      <w:bookmarkStart w:id="84" w:name="_Toc465774059"/>
      <w:r>
        <w:rPr>
          <w:rFonts w:hint="eastAsia" w:ascii="黑体" w:hAnsi="黑体" w:eastAsia="黑体"/>
          <w:color w:val="000000"/>
          <w:sz w:val="24"/>
          <w:szCs w:val="24"/>
        </w:rPr>
        <w:t>风险分级管控的要求</w:t>
      </w:r>
      <w:bookmarkEnd w:id="81"/>
      <w:bookmarkEnd w:id="82"/>
      <w:bookmarkEnd w:id="83"/>
      <w:bookmarkEnd w:id="84"/>
    </w:p>
    <w:p w14:paraId="387AC970">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风险分级管控应遵循风险越高管控层级越高的原则，对于操作难度大、技术含量高、风险等级高、可能导致严重后果的风险重点进行管控。上一级负责管控的风险，下一级必须同时负责管控，并逐级落实具体措施。根据风险分级管控的基本原则，结合机构设置情况，本公司各级风险的管控层级分为公司级、车间（部门）级、班组级及岗位级四级进行管控。</w:t>
      </w:r>
    </w:p>
    <w:p w14:paraId="336DA96A">
      <w:pPr>
        <w:pStyle w:val="3"/>
        <w:spacing w:before="156" w:beforeLines="50" w:after="156" w:afterLines="50" w:line="300" w:lineRule="auto"/>
        <w:ind w:left="0" w:leftChars="0"/>
        <w:outlineLvl w:val="2"/>
        <w:rPr>
          <w:rFonts w:hint="eastAsia" w:ascii="黑体" w:hAnsi="黑体" w:eastAsia="黑体"/>
          <w:color w:val="000000"/>
          <w:sz w:val="24"/>
          <w:szCs w:val="24"/>
        </w:rPr>
      </w:pPr>
      <w:bookmarkStart w:id="85" w:name="_Toc479343900"/>
      <w:bookmarkStart w:id="86" w:name="_Toc6179"/>
      <w:r>
        <w:rPr>
          <w:rFonts w:hint="eastAsia" w:ascii="黑体" w:hAnsi="黑体" w:eastAsia="黑体"/>
          <w:color w:val="000000"/>
          <w:sz w:val="24"/>
          <w:szCs w:val="24"/>
        </w:rPr>
        <w:t xml:space="preserve">9.5.3 </w:t>
      </w:r>
      <w:bookmarkStart w:id="87" w:name="_Toc465774060"/>
      <w:bookmarkStart w:id="88" w:name="_Toc466564050"/>
      <w:r>
        <w:rPr>
          <w:rFonts w:hint="eastAsia" w:ascii="黑体" w:hAnsi="黑体" w:eastAsia="黑体"/>
          <w:color w:val="000000"/>
          <w:sz w:val="24"/>
          <w:szCs w:val="24"/>
        </w:rPr>
        <w:t>编制风险分级管控清单</w:t>
      </w:r>
      <w:bookmarkEnd w:id="85"/>
      <w:bookmarkEnd w:id="86"/>
      <w:bookmarkEnd w:id="87"/>
      <w:bookmarkEnd w:id="88"/>
    </w:p>
    <w:p w14:paraId="6DE704F7">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在每一轮风险辨识和评价后，编制包括全部风险点各类风险信息的风险分级管控清单，并按规定及时更新。</w:t>
      </w:r>
    </w:p>
    <w:p w14:paraId="0DCBEFC0">
      <w:pPr>
        <w:pStyle w:val="3"/>
        <w:spacing w:before="156" w:beforeLines="50" w:after="156" w:afterLines="50" w:line="360" w:lineRule="auto"/>
        <w:ind w:left="0" w:leftChars="0"/>
        <w:outlineLvl w:val="0"/>
        <w:rPr>
          <w:rFonts w:hint="eastAsia" w:ascii="黑体" w:hAnsi="黑体" w:eastAsia="黑体"/>
          <w:bCs/>
          <w:color w:val="000000"/>
          <w:sz w:val="24"/>
          <w:szCs w:val="24"/>
        </w:rPr>
      </w:pPr>
      <w:bookmarkStart w:id="89" w:name="_Toc479343901"/>
      <w:r>
        <w:rPr>
          <w:rFonts w:hint="eastAsia" w:ascii="黑体" w:hAnsi="黑体" w:eastAsia="黑体"/>
          <w:bCs/>
          <w:color w:val="000000"/>
          <w:sz w:val="24"/>
          <w:szCs w:val="24"/>
        </w:rPr>
        <w:t>10</w:t>
      </w:r>
      <w:r>
        <w:rPr>
          <w:rFonts w:ascii="黑体" w:hAnsi="黑体" w:eastAsia="黑体"/>
          <w:bCs/>
          <w:color w:val="000000"/>
          <w:sz w:val="24"/>
          <w:szCs w:val="24"/>
        </w:rPr>
        <w:t xml:space="preserve"> </w:t>
      </w:r>
      <w:bookmarkStart w:id="90" w:name="_Toc466564051"/>
      <w:bookmarkStart w:id="91" w:name="_Toc465773978"/>
      <w:bookmarkStart w:id="92" w:name="_Toc465774061"/>
      <w:r>
        <w:rPr>
          <w:rFonts w:hint="eastAsia" w:ascii="黑体" w:hAnsi="黑体" w:eastAsia="黑体"/>
          <w:bCs/>
          <w:color w:val="000000"/>
          <w:sz w:val="24"/>
          <w:szCs w:val="24"/>
        </w:rPr>
        <w:t>文件管理</w:t>
      </w:r>
      <w:bookmarkEnd w:id="89"/>
      <w:bookmarkEnd w:id="90"/>
      <w:bookmarkEnd w:id="91"/>
      <w:bookmarkEnd w:id="92"/>
      <w:r>
        <w:rPr>
          <w:rFonts w:hint="eastAsia" w:ascii="黑体" w:hAnsi="黑体" w:eastAsia="黑体"/>
          <w:bCs/>
          <w:color w:val="000000"/>
          <w:sz w:val="24"/>
          <w:szCs w:val="24"/>
        </w:rPr>
        <w:t>和分级管控的效果</w:t>
      </w:r>
    </w:p>
    <w:p w14:paraId="75E81749">
      <w:pPr>
        <w:pStyle w:val="12"/>
        <w:widowControl w:val="0"/>
        <w:spacing w:line="360" w:lineRule="auto"/>
        <w:ind w:firstLine="560"/>
        <w:rPr>
          <w:rFonts w:hint="eastAsia" w:hAnsi="宋体" w:cs="仿宋"/>
          <w:sz w:val="24"/>
          <w:szCs w:val="24"/>
        </w:rPr>
      </w:pPr>
      <w:r>
        <w:rPr>
          <w:rFonts w:hint="eastAsia" w:hAnsi="宋体" w:cs="仿宋"/>
          <w:sz w:val="24"/>
          <w:szCs w:val="24"/>
        </w:rPr>
        <w:t>完整保</w:t>
      </w:r>
      <w:r>
        <w:rPr>
          <w:rFonts w:hint="eastAsia" w:hAnsi="宋体" w:cs="仿宋"/>
          <w:kern w:val="2"/>
          <w:sz w:val="24"/>
          <w:szCs w:val="24"/>
        </w:rPr>
        <w:t>存体现风险管控过程的记录资料，并分类建档管理，包括风险管控制度、风险点台账、危险源辨识与风险评价表，以及风险分级管控清单等内容的文件化成果；涉及重大风险时，其辨识、评价过程记录，风险控制措施及其实施和改进记录等，</w:t>
      </w:r>
      <w:r>
        <w:rPr>
          <w:rFonts w:hint="eastAsia" w:hAnsi="宋体" w:cs="仿宋"/>
          <w:sz w:val="24"/>
          <w:szCs w:val="24"/>
        </w:rPr>
        <w:t>应单独建档管理。</w:t>
      </w:r>
    </w:p>
    <w:p w14:paraId="20F3E6D1">
      <w:pPr>
        <w:pStyle w:val="12"/>
        <w:widowControl w:val="0"/>
        <w:spacing w:line="360" w:lineRule="auto"/>
        <w:ind w:firstLine="560"/>
        <w:rPr>
          <w:rFonts w:hint="eastAsia" w:hAnsi="宋体" w:cs="仿宋"/>
          <w:sz w:val="24"/>
          <w:szCs w:val="24"/>
        </w:rPr>
      </w:pPr>
      <w:r>
        <w:rPr>
          <w:rFonts w:hint="eastAsia" w:hAnsi="宋体" w:cs="仿宋"/>
          <w:sz w:val="24"/>
          <w:szCs w:val="24"/>
        </w:rPr>
        <w:t>通过风险分级管控体系建设，至少在以下方面有所改进：</w:t>
      </w:r>
    </w:p>
    <w:p w14:paraId="3FE22B30">
      <w:pPr>
        <w:pStyle w:val="12"/>
        <w:widowControl w:val="0"/>
        <w:spacing w:line="360" w:lineRule="auto"/>
        <w:ind w:firstLine="560"/>
        <w:rPr>
          <w:rFonts w:hint="eastAsia" w:hAnsi="宋体" w:cs="仿宋"/>
          <w:sz w:val="24"/>
          <w:szCs w:val="24"/>
        </w:rPr>
      </w:pPr>
      <w:r>
        <w:rPr>
          <w:rFonts w:hint="eastAsia" w:hAnsi="宋体" w:cs="仿宋"/>
          <w:sz w:val="24"/>
          <w:szCs w:val="24"/>
        </w:rPr>
        <w:t>（1）每一轮风险辨识和评价后，应使原有管控措施得到改进，或者通过增加新的管控措施提高安全可靠性；</w:t>
      </w:r>
    </w:p>
    <w:p w14:paraId="6E8879A6">
      <w:pPr>
        <w:pStyle w:val="12"/>
        <w:widowControl w:val="0"/>
        <w:spacing w:line="360" w:lineRule="auto"/>
        <w:ind w:firstLine="560"/>
        <w:rPr>
          <w:rFonts w:hint="eastAsia" w:hAnsi="宋体" w:cs="仿宋"/>
          <w:sz w:val="24"/>
          <w:szCs w:val="24"/>
        </w:rPr>
      </w:pPr>
      <w:r>
        <w:rPr>
          <w:rFonts w:hint="eastAsia" w:hAnsi="宋体" w:cs="仿宋"/>
          <w:sz w:val="24"/>
          <w:szCs w:val="24"/>
        </w:rPr>
        <w:t>（2）重大风险场所、部位的警示标识得到保持和改善；</w:t>
      </w:r>
    </w:p>
    <w:p w14:paraId="4F590235">
      <w:pPr>
        <w:pStyle w:val="12"/>
        <w:widowControl w:val="0"/>
        <w:spacing w:line="360" w:lineRule="auto"/>
        <w:ind w:firstLine="560"/>
        <w:rPr>
          <w:rFonts w:hint="eastAsia" w:hAnsi="宋体" w:cs="仿宋"/>
          <w:sz w:val="24"/>
          <w:szCs w:val="24"/>
        </w:rPr>
      </w:pPr>
      <w:r>
        <w:rPr>
          <w:rFonts w:hint="eastAsia" w:hAnsi="宋体" w:cs="仿宋"/>
          <w:sz w:val="24"/>
          <w:szCs w:val="24"/>
        </w:rPr>
        <w:t>（3）涉及重大风险部位的作业、属于重大风险的作业建立了专人监护制度；</w:t>
      </w:r>
    </w:p>
    <w:p w14:paraId="3C043BB2">
      <w:pPr>
        <w:pStyle w:val="12"/>
        <w:widowControl w:val="0"/>
        <w:spacing w:line="360" w:lineRule="auto"/>
        <w:ind w:firstLine="560"/>
        <w:rPr>
          <w:rFonts w:hint="eastAsia" w:hAnsi="宋体" w:cs="仿宋"/>
          <w:sz w:val="24"/>
          <w:szCs w:val="24"/>
        </w:rPr>
      </w:pPr>
      <w:r>
        <w:rPr>
          <w:rFonts w:hint="eastAsia" w:hAnsi="宋体" w:cs="仿宋"/>
          <w:sz w:val="24"/>
          <w:szCs w:val="24"/>
        </w:rPr>
        <w:t>（4）员工对所从事岗位的风险有更充分的认识，安全技能和应急处置能力进一步提高；</w:t>
      </w:r>
    </w:p>
    <w:p w14:paraId="229712DB">
      <w:pPr>
        <w:pStyle w:val="12"/>
        <w:widowControl w:val="0"/>
        <w:spacing w:line="360" w:lineRule="auto"/>
        <w:ind w:firstLine="560"/>
        <w:rPr>
          <w:rFonts w:hint="eastAsia" w:hAnsi="宋体" w:cs="仿宋"/>
          <w:sz w:val="24"/>
          <w:szCs w:val="24"/>
        </w:rPr>
      </w:pPr>
      <w:r>
        <w:rPr>
          <w:rFonts w:hint="eastAsia" w:hAnsi="宋体" w:cs="仿宋"/>
          <w:sz w:val="24"/>
          <w:szCs w:val="24"/>
        </w:rPr>
        <w:t>（5）保证风险控制措施持续有效的制度得到改进和完善，风险管控能力得到加强；</w:t>
      </w:r>
    </w:p>
    <w:p w14:paraId="62DF39D8">
      <w:pPr>
        <w:pStyle w:val="12"/>
        <w:widowControl w:val="0"/>
        <w:spacing w:line="360" w:lineRule="auto"/>
        <w:ind w:firstLine="560"/>
        <w:rPr>
          <w:rFonts w:hint="eastAsia" w:hAnsi="宋体" w:cs="仿宋"/>
          <w:kern w:val="2"/>
          <w:sz w:val="24"/>
          <w:szCs w:val="24"/>
        </w:rPr>
      </w:pPr>
      <w:r>
        <w:rPr>
          <w:rFonts w:hint="eastAsia" w:hAnsi="宋体" w:cs="仿宋"/>
          <w:kern w:val="2"/>
          <w:sz w:val="24"/>
          <w:szCs w:val="24"/>
        </w:rPr>
        <w:t>（6）根据改进的风险控制措施，完善隐患排查项目清单，使隐患排查工作更有针对性。</w:t>
      </w:r>
    </w:p>
    <w:p w14:paraId="38BE8BE2">
      <w:pPr>
        <w:pStyle w:val="3"/>
        <w:spacing w:before="156" w:beforeLines="50" w:after="156" w:afterLines="50" w:line="360" w:lineRule="auto"/>
        <w:ind w:left="0" w:leftChars="0"/>
        <w:outlineLvl w:val="0"/>
        <w:rPr>
          <w:rFonts w:hint="eastAsia" w:ascii="黑体" w:hAnsi="黑体" w:eastAsia="黑体"/>
          <w:bCs/>
          <w:color w:val="000000"/>
          <w:sz w:val="24"/>
          <w:szCs w:val="24"/>
        </w:rPr>
      </w:pPr>
      <w:bookmarkStart w:id="93" w:name="_Toc479343902"/>
      <w:r>
        <w:rPr>
          <w:rFonts w:hint="eastAsia" w:ascii="黑体" w:hAnsi="黑体" w:eastAsia="黑体"/>
          <w:bCs/>
          <w:color w:val="000000"/>
          <w:sz w:val="24"/>
          <w:szCs w:val="24"/>
        </w:rPr>
        <w:t>11</w:t>
      </w:r>
      <w:r>
        <w:rPr>
          <w:rFonts w:ascii="黑体" w:hAnsi="黑体" w:eastAsia="黑体"/>
          <w:bCs/>
          <w:color w:val="000000"/>
          <w:sz w:val="24"/>
          <w:szCs w:val="24"/>
        </w:rPr>
        <w:t xml:space="preserve"> </w:t>
      </w:r>
      <w:bookmarkEnd w:id="93"/>
      <w:r>
        <w:rPr>
          <w:rFonts w:hint="eastAsia" w:ascii="黑体" w:hAnsi="黑体" w:eastAsia="黑体"/>
          <w:bCs/>
          <w:color w:val="000000"/>
          <w:sz w:val="24"/>
          <w:szCs w:val="24"/>
        </w:rPr>
        <w:t>教育培训管理</w:t>
      </w:r>
    </w:p>
    <w:p w14:paraId="14C8412D">
      <w:pPr>
        <w:pStyle w:val="12"/>
        <w:widowControl w:val="0"/>
        <w:spacing w:line="360" w:lineRule="auto"/>
        <w:ind w:firstLine="560"/>
        <w:rPr>
          <w:rFonts w:hint="eastAsia" w:hAnsi="宋体" w:cs="仿宋"/>
          <w:sz w:val="24"/>
          <w:szCs w:val="24"/>
        </w:rPr>
      </w:pPr>
      <w:r>
        <w:rPr>
          <w:rFonts w:hint="eastAsia" w:hAnsi="宋体" w:cs="仿宋"/>
          <w:sz w:val="24"/>
          <w:szCs w:val="24"/>
        </w:rPr>
        <w:t>（</w:t>
      </w:r>
      <w:r>
        <w:rPr>
          <w:rFonts w:hAnsi="宋体" w:cs="仿宋"/>
          <w:sz w:val="24"/>
          <w:szCs w:val="24"/>
        </w:rPr>
        <w:t>1</w:t>
      </w:r>
      <w:r>
        <w:rPr>
          <w:rFonts w:hint="eastAsia" w:hAnsi="宋体" w:cs="仿宋"/>
          <w:sz w:val="24"/>
          <w:szCs w:val="24"/>
        </w:rPr>
        <w:t>）按照公司制定的教育培训计划切实认真开展风险分级管控制度、风险辨识评估方法、分级管控清单、风险告知等内容的教育培训工作。</w:t>
      </w:r>
    </w:p>
    <w:p w14:paraId="1007B8AF">
      <w:pPr>
        <w:pStyle w:val="12"/>
        <w:widowControl w:val="0"/>
        <w:spacing w:line="360" w:lineRule="auto"/>
        <w:ind w:firstLine="560"/>
        <w:rPr>
          <w:rFonts w:hint="eastAsia" w:hAnsi="宋体" w:cs="仿宋"/>
          <w:sz w:val="24"/>
          <w:szCs w:val="24"/>
        </w:rPr>
      </w:pPr>
      <w:r>
        <w:rPr>
          <w:rFonts w:hint="eastAsia" w:hAnsi="宋体" w:cs="仿宋"/>
          <w:sz w:val="24"/>
          <w:szCs w:val="24"/>
        </w:rPr>
        <w:t>（</w:t>
      </w:r>
      <w:r>
        <w:rPr>
          <w:rFonts w:hAnsi="宋体" w:cs="仿宋"/>
          <w:sz w:val="24"/>
          <w:szCs w:val="24"/>
        </w:rPr>
        <w:t>2</w:t>
      </w:r>
      <w:r>
        <w:rPr>
          <w:rFonts w:hint="eastAsia" w:hAnsi="宋体" w:cs="仿宋"/>
          <w:sz w:val="24"/>
          <w:szCs w:val="24"/>
        </w:rPr>
        <w:t>）每一年的企业教育培训计划中，必须安排有关于安全风险分级管控的专门计划或课时和内容。</w:t>
      </w:r>
    </w:p>
    <w:p w14:paraId="0E95DCE4">
      <w:pPr>
        <w:pStyle w:val="12"/>
        <w:widowControl w:val="0"/>
        <w:spacing w:line="360" w:lineRule="auto"/>
        <w:ind w:firstLine="560"/>
        <w:rPr>
          <w:rFonts w:hint="eastAsia" w:hAnsi="宋体" w:cs="仿宋"/>
          <w:sz w:val="24"/>
          <w:szCs w:val="24"/>
        </w:rPr>
      </w:pPr>
      <w:r>
        <w:rPr>
          <w:rFonts w:hint="eastAsia" w:hAnsi="宋体" w:cs="仿宋"/>
          <w:sz w:val="24"/>
          <w:szCs w:val="24"/>
        </w:rPr>
        <w:t>（</w:t>
      </w:r>
      <w:r>
        <w:rPr>
          <w:rFonts w:hAnsi="宋体" w:cs="仿宋"/>
          <w:sz w:val="24"/>
          <w:szCs w:val="24"/>
        </w:rPr>
        <w:t>3</w:t>
      </w:r>
      <w:r>
        <w:rPr>
          <w:rFonts w:hint="eastAsia" w:hAnsi="宋体" w:cs="仿宋"/>
          <w:sz w:val="24"/>
          <w:szCs w:val="24"/>
        </w:rPr>
        <w:t>）遇工艺、设备或人员变更等特殊情况，可临时增加专门针对相关人员的安全风险分级管控培训教育。</w:t>
      </w:r>
    </w:p>
    <w:p w14:paraId="47BD9C97">
      <w:pPr>
        <w:pStyle w:val="12"/>
        <w:widowControl w:val="0"/>
        <w:spacing w:line="360" w:lineRule="auto"/>
        <w:ind w:firstLine="560"/>
        <w:rPr>
          <w:rFonts w:hint="eastAsia" w:hAnsi="宋体" w:cs="仿宋"/>
          <w:sz w:val="24"/>
          <w:szCs w:val="24"/>
        </w:rPr>
      </w:pPr>
      <w:r>
        <w:rPr>
          <w:rFonts w:hint="eastAsia" w:hAnsi="宋体" w:cs="仿宋"/>
          <w:sz w:val="24"/>
          <w:szCs w:val="24"/>
        </w:rPr>
        <w:t>（</w:t>
      </w:r>
      <w:r>
        <w:rPr>
          <w:rFonts w:hAnsi="宋体" w:cs="仿宋"/>
          <w:sz w:val="24"/>
          <w:szCs w:val="24"/>
        </w:rPr>
        <w:t>4</w:t>
      </w:r>
      <w:r>
        <w:rPr>
          <w:rFonts w:hint="eastAsia" w:hAnsi="宋体" w:cs="仿宋"/>
          <w:sz w:val="24"/>
          <w:szCs w:val="24"/>
        </w:rPr>
        <w:t>）培训考核不合格的，要重新培训直至合格方可上岗作业。</w:t>
      </w:r>
    </w:p>
    <w:p w14:paraId="410B62B9">
      <w:pPr>
        <w:pStyle w:val="12"/>
        <w:widowControl w:val="0"/>
        <w:spacing w:line="360" w:lineRule="auto"/>
        <w:ind w:firstLine="560"/>
        <w:rPr>
          <w:rFonts w:hint="eastAsia" w:hAnsi="宋体" w:cs="仿宋"/>
          <w:sz w:val="24"/>
          <w:szCs w:val="24"/>
        </w:rPr>
      </w:pPr>
      <w:r>
        <w:rPr>
          <w:rFonts w:hint="eastAsia" w:hAnsi="宋体" w:cs="仿宋"/>
          <w:sz w:val="24"/>
          <w:szCs w:val="24"/>
        </w:rPr>
        <w:t>（</w:t>
      </w:r>
      <w:r>
        <w:rPr>
          <w:rFonts w:hAnsi="宋体" w:cs="仿宋"/>
          <w:sz w:val="24"/>
          <w:szCs w:val="24"/>
        </w:rPr>
        <w:t>5</w:t>
      </w:r>
      <w:r>
        <w:rPr>
          <w:rFonts w:hint="eastAsia" w:hAnsi="宋体" w:cs="仿宋"/>
          <w:sz w:val="24"/>
          <w:szCs w:val="24"/>
        </w:rPr>
        <w:t>）每年度至少组织参与安全风险评估工作的人员学习一次安全风险辨识评估技术。</w:t>
      </w:r>
    </w:p>
    <w:p w14:paraId="1C162E47">
      <w:pPr>
        <w:pStyle w:val="12"/>
        <w:widowControl w:val="0"/>
        <w:spacing w:line="360" w:lineRule="auto"/>
        <w:ind w:firstLine="560"/>
        <w:rPr>
          <w:rFonts w:hint="eastAsia" w:hAnsi="宋体" w:cs="仿宋"/>
          <w:sz w:val="24"/>
          <w:szCs w:val="24"/>
        </w:rPr>
      </w:pPr>
      <w:r>
        <w:rPr>
          <w:rFonts w:hint="eastAsia" w:hAnsi="宋体" w:cs="仿宋"/>
          <w:sz w:val="24"/>
          <w:szCs w:val="24"/>
        </w:rPr>
        <w:t>（</w:t>
      </w:r>
      <w:r>
        <w:rPr>
          <w:rFonts w:hAnsi="宋体" w:cs="仿宋"/>
          <w:sz w:val="24"/>
          <w:szCs w:val="24"/>
        </w:rPr>
        <w:t>6</w:t>
      </w:r>
      <w:r>
        <w:rPr>
          <w:rFonts w:hint="eastAsia" w:hAnsi="宋体" w:cs="仿宋"/>
          <w:sz w:val="24"/>
          <w:szCs w:val="24"/>
        </w:rPr>
        <w:t>）各部门做好课件、资料、考勤、考试等相关记录并存档备查。</w:t>
      </w:r>
    </w:p>
    <w:p w14:paraId="52F0C211">
      <w:pPr>
        <w:pStyle w:val="3"/>
        <w:spacing w:before="156" w:beforeLines="50" w:after="156" w:afterLines="50" w:line="360" w:lineRule="auto"/>
        <w:ind w:left="0" w:leftChars="0"/>
        <w:outlineLvl w:val="0"/>
        <w:rPr>
          <w:rFonts w:ascii="黑体" w:hAnsi="黑体" w:eastAsia="黑体"/>
          <w:bCs/>
          <w:color w:val="000000"/>
          <w:sz w:val="24"/>
          <w:szCs w:val="24"/>
        </w:rPr>
      </w:pPr>
      <w:bookmarkStart w:id="94" w:name="_Toc479343903"/>
      <w:r>
        <w:rPr>
          <w:rFonts w:ascii="黑体" w:hAnsi="黑体" w:eastAsia="黑体"/>
          <w:bCs/>
          <w:color w:val="000000"/>
          <w:sz w:val="24"/>
          <w:szCs w:val="24"/>
        </w:rPr>
        <w:t>12</w:t>
      </w:r>
      <w:r>
        <w:rPr>
          <w:rFonts w:hint="eastAsia" w:ascii="黑体" w:hAnsi="黑体" w:eastAsia="黑体"/>
          <w:bCs/>
          <w:color w:val="000000"/>
          <w:sz w:val="24"/>
          <w:szCs w:val="24"/>
          <w:lang w:eastAsia="zh-CN"/>
        </w:rPr>
        <w:t xml:space="preserve"> 运行管理</w:t>
      </w:r>
      <w:r>
        <w:rPr>
          <w:rFonts w:hint="eastAsia" w:ascii="黑体" w:hAnsi="黑体" w:eastAsia="黑体"/>
          <w:bCs/>
          <w:color w:val="000000"/>
          <w:sz w:val="24"/>
          <w:szCs w:val="24"/>
        </w:rPr>
        <w:t>考核</w:t>
      </w:r>
      <w:bookmarkEnd w:id="94"/>
    </w:p>
    <w:p w14:paraId="6978BFA2">
      <w:pPr>
        <w:pStyle w:val="12"/>
        <w:widowControl w:val="0"/>
        <w:spacing w:line="360" w:lineRule="auto"/>
        <w:ind w:firstLine="560"/>
        <w:rPr>
          <w:rFonts w:hint="eastAsia" w:hAnsi="宋体" w:cs="仿宋"/>
          <w:sz w:val="24"/>
          <w:szCs w:val="24"/>
        </w:rPr>
      </w:pPr>
      <w:r>
        <w:rPr>
          <w:rFonts w:hint="eastAsia" w:hAnsi="宋体" w:cs="仿宋"/>
          <w:sz w:val="24"/>
          <w:szCs w:val="24"/>
        </w:rPr>
        <w:t>（1）本公司每一个岗位都有风险分级管控的责任。岗位人员未掌握本岗位的安全风险辨识评估结果、相关的风险危害因素、风险管控措施等内容的，进行重新培训，并视情节进行10-50元罚款。</w:t>
      </w:r>
    </w:p>
    <w:p w14:paraId="11C738A2">
      <w:pPr>
        <w:pStyle w:val="12"/>
        <w:widowControl w:val="0"/>
        <w:spacing w:line="360" w:lineRule="auto"/>
        <w:ind w:firstLine="560"/>
        <w:rPr>
          <w:rFonts w:hint="eastAsia" w:hAnsi="宋体" w:cs="仿宋"/>
          <w:sz w:val="24"/>
          <w:szCs w:val="24"/>
        </w:rPr>
      </w:pPr>
      <w:r>
        <w:rPr>
          <w:rFonts w:hint="eastAsia" w:hAnsi="宋体" w:cs="仿宋"/>
          <w:sz w:val="24"/>
          <w:szCs w:val="24"/>
        </w:rPr>
        <w:t>（</w:t>
      </w:r>
      <w:r>
        <w:rPr>
          <w:rFonts w:hAnsi="宋体" w:cs="仿宋"/>
          <w:sz w:val="24"/>
          <w:szCs w:val="24"/>
        </w:rPr>
        <w:t>2</w:t>
      </w:r>
      <w:r>
        <w:rPr>
          <w:rFonts w:hint="eastAsia" w:hAnsi="宋体" w:cs="仿宋"/>
          <w:sz w:val="24"/>
          <w:szCs w:val="24"/>
        </w:rPr>
        <w:t>）对无故不参加安全风险管控培训或培训考核不合格的，重新培训考核直至合格，并视情节进行50-200元罚款。</w:t>
      </w:r>
    </w:p>
    <w:p w14:paraId="483C321A">
      <w:pPr>
        <w:pStyle w:val="12"/>
        <w:widowControl w:val="0"/>
        <w:spacing w:line="360" w:lineRule="auto"/>
        <w:ind w:firstLine="560"/>
        <w:rPr>
          <w:rFonts w:hint="eastAsia" w:hAnsi="宋体" w:cs="仿宋"/>
          <w:sz w:val="24"/>
          <w:szCs w:val="24"/>
        </w:rPr>
      </w:pPr>
      <w:r>
        <w:rPr>
          <w:rFonts w:hint="eastAsia" w:hAnsi="宋体" w:cs="仿宋"/>
          <w:sz w:val="24"/>
          <w:szCs w:val="24"/>
        </w:rPr>
        <w:t>（3）鼓励本单位广大员工对存在的未排查到位的风险点或危险源等进行报告，查实属三级及以上的，视情况给予50-200元奖励。</w:t>
      </w:r>
    </w:p>
    <w:p w14:paraId="51236AF6">
      <w:pPr>
        <w:pStyle w:val="12"/>
        <w:widowControl w:val="0"/>
        <w:spacing w:line="360" w:lineRule="auto"/>
        <w:ind w:firstLine="560"/>
        <w:rPr>
          <w:rFonts w:hint="eastAsia" w:hAnsi="宋体" w:cs="仿宋"/>
          <w:sz w:val="24"/>
          <w:szCs w:val="24"/>
        </w:rPr>
      </w:pPr>
      <w:r>
        <w:rPr>
          <w:rFonts w:hint="eastAsia" w:hAnsi="宋体" w:cs="仿宋"/>
          <w:sz w:val="24"/>
          <w:szCs w:val="24"/>
        </w:rPr>
        <w:t>（4）风险点及危害因素等未按要求进行公示告知或公示栏等破损导致不清楚的，视情节进行50-200元罚款。</w:t>
      </w:r>
    </w:p>
    <w:p w14:paraId="30AD940F">
      <w:pPr>
        <w:pStyle w:val="12"/>
        <w:widowControl w:val="0"/>
        <w:spacing w:line="360" w:lineRule="auto"/>
        <w:ind w:firstLine="560"/>
        <w:rPr>
          <w:rFonts w:hint="eastAsia" w:hAnsi="宋体" w:cs="仿宋"/>
          <w:sz w:val="24"/>
          <w:szCs w:val="24"/>
        </w:rPr>
      </w:pPr>
      <w:r>
        <w:rPr>
          <w:rFonts w:hint="eastAsia" w:hAnsi="宋体" w:cs="仿宋"/>
          <w:sz w:val="24"/>
          <w:szCs w:val="24"/>
        </w:rPr>
        <w:t>（5）奖励方式为在对从业人员月度、年度考核中予以奖励，由工资中体现；罚款方式为依据所下达的调度令上交财务部。</w:t>
      </w:r>
    </w:p>
    <w:p w14:paraId="19C09B16">
      <w:pPr>
        <w:pStyle w:val="3"/>
        <w:spacing w:before="156" w:beforeLines="50" w:after="156" w:afterLines="50" w:line="360" w:lineRule="auto"/>
        <w:ind w:left="0" w:leftChars="0"/>
        <w:outlineLvl w:val="0"/>
        <w:rPr>
          <w:rFonts w:hint="eastAsia" w:ascii="黑体" w:hAnsi="黑体" w:eastAsia="黑体"/>
          <w:bCs/>
          <w:color w:val="000000"/>
          <w:sz w:val="24"/>
          <w:szCs w:val="24"/>
        </w:rPr>
      </w:pPr>
      <w:bookmarkStart w:id="95" w:name="_Toc479343904"/>
      <w:r>
        <w:rPr>
          <w:rFonts w:hint="eastAsia" w:ascii="黑体" w:hAnsi="黑体" w:eastAsia="黑体"/>
          <w:bCs/>
          <w:color w:val="000000"/>
          <w:sz w:val="24"/>
          <w:szCs w:val="24"/>
        </w:rPr>
        <w:t>1</w:t>
      </w:r>
      <w:r>
        <w:rPr>
          <w:rFonts w:ascii="黑体" w:hAnsi="黑体" w:eastAsia="黑体"/>
          <w:bCs/>
          <w:color w:val="000000"/>
          <w:sz w:val="24"/>
          <w:szCs w:val="24"/>
        </w:rPr>
        <w:t xml:space="preserve">3 </w:t>
      </w:r>
      <w:bookmarkStart w:id="96" w:name="_Toc465774063"/>
      <w:bookmarkStart w:id="97" w:name="_Toc466564053"/>
      <w:bookmarkStart w:id="98" w:name="_Toc465773980"/>
      <w:r>
        <w:rPr>
          <w:rFonts w:hint="eastAsia" w:ascii="黑体" w:hAnsi="黑体" w:eastAsia="黑体"/>
          <w:bCs/>
          <w:color w:val="000000"/>
          <w:sz w:val="24"/>
          <w:szCs w:val="24"/>
        </w:rPr>
        <w:t>持续改进</w:t>
      </w:r>
      <w:bookmarkEnd w:id="95"/>
      <w:bookmarkEnd w:id="96"/>
      <w:bookmarkEnd w:id="97"/>
      <w:bookmarkEnd w:id="98"/>
      <w:r>
        <w:rPr>
          <w:rFonts w:hint="eastAsia" w:ascii="黑体" w:hAnsi="黑体" w:eastAsia="黑体"/>
          <w:bCs/>
          <w:color w:val="000000"/>
          <w:sz w:val="24"/>
          <w:szCs w:val="24"/>
        </w:rPr>
        <w:t>管理</w:t>
      </w:r>
    </w:p>
    <w:p w14:paraId="7A135BFE">
      <w:pPr>
        <w:pStyle w:val="3"/>
        <w:spacing w:after="0" w:line="360" w:lineRule="auto"/>
        <w:ind w:left="0" w:leftChars="0"/>
        <w:outlineLvl w:val="1"/>
        <w:rPr>
          <w:rFonts w:hint="eastAsia" w:ascii="黑体" w:hAnsi="黑体" w:eastAsia="黑体"/>
          <w:color w:val="000000"/>
          <w:sz w:val="24"/>
          <w:szCs w:val="24"/>
        </w:rPr>
      </w:pPr>
      <w:bookmarkStart w:id="99" w:name="_Toc479343905"/>
      <w:r>
        <w:rPr>
          <w:rFonts w:hint="eastAsia" w:ascii="黑体" w:hAnsi="黑体" w:eastAsia="黑体"/>
          <w:color w:val="000000"/>
          <w:sz w:val="24"/>
          <w:szCs w:val="24"/>
        </w:rPr>
        <w:t>1</w:t>
      </w:r>
      <w:r>
        <w:rPr>
          <w:rFonts w:ascii="黑体" w:hAnsi="黑体" w:eastAsia="黑体"/>
          <w:color w:val="000000"/>
          <w:sz w:val="24"/>
          <w:szCs w:val="24"/>
        </w:rPr>
        <w:t>3</w:t>
      </w:r>
      <w:r>
        <w:rPr>
          <w:rFonts w:hint="eastAsia" w:ascii="黑体" w:hAnsi="黑体" w:eastAsia="黑体"/>
          <w:color w:val="000000"/>
          <w:sz w:val="24"/>
          <w:szCs w:val="24"/>
        </w:rPr>
        <w:t xml:space="preserve">.1 </w:t>
      </w:r>
      <w:bookmarkStart w:id="100" w:name="_Toc466564054"/>
      <w:bookmarkStart w:id="101" w:name="_Toc465774064"/>
      <w:r>
        <w:rPr>
          <w:rFonts w:hint="eastAsia" w:ascii="黑体" w:hAnsi="黑体" w:eastAsia="黑体"/>
          <w:color w:val="000000"/>
          <w:sz w:val="24"/>
          <w:szCs w:val="24"/>
        </w:rPr>
        <w:t>评审</w:t>
      </w:r>
      <w:bookmarkEnd w:id="99"/>
      <w:bookmarkEnd w:id="100"/>
      <w:bookmarkEnd w:id="101"/>
    </w:p>
    <w:p w14:paraId="17D32665">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每年至少对风险分级管控体系进行一次系统性评审或更新。根据非常规作业活动、新增功能性区域、装置或设施等适时开展危险源辨识和风险评价。</w:t>
      </w:r>
    </w:p>
    <w:p w14:paraId="0B73BFFE">
      <w:pPr>
        <w:pStyle w:val="3"/>
        <w:spacing w:after="0" w:line="360" w:lineRule="auto"/>
        <w:ind w:left="0" w:leftChars="0"/>
        <w:outlineLvl w:val="1"/>
        <w:rPr>
          <w:rFonts w:hint="eastAsia" w:ascii="黑体" w:hAnsi="黑体" w:eastAsia="黑体"/>
          <w:color w:val="000000"/>
          <w:sz w:val="24"/>
          <w:szCs w:val="24"/>
        </w:rPr>
      </w:pPr>
      <w:bookmarkStart w:id="102" w:name="_Toc479343906"/>
      <w:r>
        <w:rPr>
          <w:rFonts w:hint="eastAsia" w:ascii="黑体" w:hAnsi="黑体" w:eastAsia="黑体"/>
          <w:color w:val="000000"/>
          <w:sz w:val="24"/>
          <w:szCs w:val="24"/>
        </w:rPr>
        <w:t>1</w:t>
      </w:r>
      <w:r>
        <w:rPr>
          <w:rFonts w:ascii="黑体" w:hAnsi="黑体" w:eastAsia="黑体"/>
          <w:color w:val="000000"/>
          <w:sz w:val="24"/>
          <w:szCs w:val="24"/>
        </w:rPr>
        <w:t>3</w:t>
      </w:r>
      <w:r>
        <w:rPr>
          <w:rFonts w:hint="eastAsia" w:ascii="黑体" w:hAnsi="黑体" w:eastAsia="黑体"/>
          <w:color w:val="000000"/>
          <w:sz w:val="24"/>
          <w:szCs w:val="24"/>
        </w:rPr>
        <w:t xml:space="preserve">.2 </w:t>
      </w:r>
      <w:bookmarkStart w:id="103" w:name="_Toc465774065"/>
      <w:bookmarkStart w:id="104" w:name="_Toc466564055"/>
      <w:r>
        <w:rPr>
          <w:rFonts w:hint="eastAsia" w:ascii="黑体" w:hAnsi="黑体" w:eastAsia="黑体"/>
          <w:color w:val="000000"/>
          <w:sz w:val="24"/>
          <w:szCs w:val="24"/>
        </w:rPr>
        <w:t>更新</w:t>
      </w:r>
      <w:bookmarkEnd w:id="102"/>
      <w:bookmarkEnd w:id="103"/>
      <w:bookmarkEnd w:id="104"/>
    </w:p>
    <w:p w14:paraId="6BAA9A06">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主动根据以下情况变化对风险管控的影响，及时针对变化范围开展风险分析，及时更新风险信息：</w:t>
      </w:r>
    </w:p>
    <w:p w14:paraId="6ADBCD8F">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（1）法规、标准等增减、修订变化所引起风险程度的改变；</w:t>
      </w:r>
    </w:p>
    <w:p w14:paraId="0B904ACD">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（2）发生事故后，有对事故、事件或其他信息的新认识，对相关危险源的再评价；</w:t>
      </w:r>
    </w:p>
    <w:p w14:paraId="2DFAB8E1">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（3）组织机构和劳动定员、工作制度等发生重大调整；</w:t>
      </w:r>
    </w:p>
    <w:p w14:paraId="4E40B15B">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（4）补充新辨识出的危险源评价；</w:t>
      </w:r>
    </w:p>
    <w:p w14:paraId="7BC2D3DB">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（5）风险程度变化后，需要对风险控制措施的调整；</w:t>
      </w:r>
    </w:p>
    <w:p w14:paraId="3C4D06EF">
      <w:pPr>
        <w:adjustRightInd w:val="0"/>
        <w:snapToGrid w:val="0"/>
        <w:spacing w:line="360" w:lineRule="auto"/>
        <w:ind w:firstLine="480" w:firstLineChars="200"/>
        <w:rPr>
          <w:rFonts w:hint="eastAsia" w:ascii="宋体" w:hAnsi="宋体" w:cs="仿宋"/>
          <w:sz w:val="24"/>
          <w:szCs w:val="24"/>
        </w:rPr>
      </w:pPr>
      <w:r>
        <w:rPr>
          <w:rFonts w:hint="eastAsia" w:ascii="宋体" w:hAnsi="宋体" w:cs="仿宋"/>
          <w:sz w:val="24"/>
          <w:szCs w:val="24"/>
        </w:rPr>
        <w:t>（6）职业病危害因素检测结果发生变化的。</w:t>
      </w:r>
    </w:p>
    <w:p w14:paraId="56E590FD">
      <w:pPr>
        <w:pStyle w:val="3"/>
        <w:spacing w:after="0" w:line="360" w:lineRule="auto"/>
        <w:ind w:left="0" w:leftChars="0"/>
        <w:outlineLvl w:val="1"/>
        <w:rPr>
          <w:rFonts w:hint="eastAsia" w:ascii="黑体" w:hAnsi="黑体" w:eastAsia="黑体"/>
          <w:color w:val="000000"/>
          <w:sz w:val="24"/>
          <w:szCs w:val="24"/>
        </w:rPr>
      </w:pPr>
      <w:bookmarkStart w:id="105" w:name="_Toc479343907"/>
      <w:r>
        <w:rPr>
          <w:rFonts w:hint="eastAsia" w:ascii="黑体" w:hAnsi="黑体" w:eastAsia="黑体"/>
          <w:color w:val="000000"/>
          <w:sz w:val="24"/>
          <w:szCs w:val="24"/>
        </w:rPr>
        <w:t>1</w:t>
      </w:r>
      <w:r>
        <w:rPr>
          <w:rFonts w:ascii="黑体" w:hAnsi="黑体" w:eastAsia="黑体"/>
          <w:color w:val="000000"/>
          <w:sz w:val="24"/>
          <w:szCs w:val="24"/>
        </w:rPr>
        <w:t>3</w:t>
      </w:r>
      <w:r>
        <w:rPr>
          <w:rFonts w:hint="eastAsia" w:ascii="黑体" w:hAnsi="黑体" w:eastAsia="黑体"/>
          <w:color w:val="000000"/>
          <w:sz w:val="24"/>
          <w:szCs w:val="24"/>
        </w:rPr>
        <w:t>.3</w:t>
      </w:r>
      <w:bookmarkStart w:id="106" w:name="_Toc465774066"/>
      <w:bookmarkStart w:id="107" w:name="_Toc466564056"/>
      <w:r>
        <w:rPr>
          <w:rFonts w:hint="eastAsia" w:ascii="黑体" w:hAnsi="黑体" w:eastAsia="黑体"/>
          <w:color w:val="000000"/>
          <w:sz w:val="24"/>
          <w:szCs w:val="24"/>
        </w:rPr>
        <w:t>沟通</w:t>
      </w:r>
      <w:bookmarkEnd w:id="105"/>
      <w:bookmarkEnd w:id="106"/>
      <w:bookmarkEnd w:id="107"/>
    </w:p>
    <w:p w14:paraId="581C885D">
      <w:pPr>
        <w:adjustRightInd w:val="0"/>
        <w:snapToGrid w:val="0"/>
        <w:spacing w:line="360" w:lineRule="auto"/>
        <w:ind w:firstLine="480" w:firstLineChars="200"/>
        <w:rPr>
          <w:rFonts w:ascii="宋体" w:hAnsi="宋体" w:cs="仿宋"/>
          <w:sz w:val="24"/>
          <w:szCs w:val="24"/>
        </w:rPr>
      </w:pPr>
      <w:r>
        <w:rPr>
          <w:rFonts w:hint="eastAsia" w:ascii="宋体" w:hAnsi="宋体" w:cs="仿宋"/>
          <w:sz w:val="24"/>
          <w:szCs w:val="24"/>
        </w:rPr>
        <w:t>建立不同职能和层级间的内部沟通和用于与相关方的外部风险管控沟通机制，及时有效传递风险信息，树立内外部风险管控信心，提高风险管控效果和效率。重大风险信息更新后应及时组织相关人员进行培训。</w:t>
      </w:r>
    </w:p>
    <w:p w14:paraId="6B4389AC">
      <w:pPr>
        <w:rPr>
          <w:rFonts w:hint="eastAsia" w:ascii="仿宋_GB2312" w:hAnsi="仿宋_GB2312" w:eastAsia="仿宋_GB2312" w:cs="仿宋_GB2312"/>
          <w:kern w:val="0"/>
          <w:sz w:val="24"/>
          <w:szCs w:val="24"/>
          <w:lang w:val="en-US" w:eastAsia="zh-CN"/>
        </w:rPr>
      </w:pPr>
      <w:r>
        <w:rPr>
          <w:rFonts w:hint="eastAsia" w:ascii="仿宋_GB2312" w:hAnsi="仿宋_GB2312" w:eastAsia="仿宋_GB2312" w:cs="仿宋_GB2312"/>
          <w:kern w:val="0"/>
          <w:sz w:val="24"/>
          <w:szCs w:val="24"/>
          <w:lang w:val="en-US" w:eastAsia="zh-CN"/>
        </w:rPr>
        <w:br w:type="page"/>
      </w:r>
    </w:p>
    <w:p w14:paraId="256A9E52">
      <w:pPr>
        <w:pStyle w:val="2"/>
        <w:spacing w:before="720" w:after="240" w:line="360" w:lineRule="auto"/>
        <w:jc w:val="center"/>
        <w:rPr>
          <w:rFonts w:hint="eastAsia" w:ascii="仿宋_GB2312" w:hAnsi="仿宋_GB2312" w:eastAsia="仿宋_GB2312" w:cs="仿宋_GB2312"/>
          <w:b w:val="0"/>
          <w:sz w:val="36"/>
          <w:szCs w:val="36"/>
        </w:rPr>
      </w:pPr>
      <w:r>
        <w:rPr>
          <w:rFonts w:hint="eastAsia" w:ascii="仿宋_GB2312" w:hAnsi="仿宋_GB2312" w:eastAsia="仿宋_GB2312" w:cs="仿宋_GB2312"/>
          <w:b w:val="0"/>
          <w:sz w:val="36"/>
          <w:szCs w:val="36"/>
          <w:lang w:val="en-US" w:eastAsia="zh-CN"/>
        </w:rPr>
        <w:t>隐患排查治理</w:t>
      </w:r>
      <w:r>
        <w:rPr>
          <w:rFonts w:hint="eastAsia" w:ascii="仿宋_GB2312" w:hAnsi="仿宋_GB2312" w:eastAsia="仿宋_GB2312" w:cs="仿宋_GB2312"/>
          <w:b w:val="0"/>
          <w:sz w:val="36"/>
          <w:szCs w:val="36"/>
        </w:rPr>
        <w:t>制度</w:t>
      </w:r>
    </w:p>
    <w:p w14:paraId="618F453D">
      <w:pPr>
        <w:adjustRightInd w:val="0"/>
        <w:snapToGrid w:val="0"/>
        <w:spacing w:line="360" w:lineRule="auto"/>
        <w:jc w:val="left"/>
        <w:outlineLvl w:val="0"/>
        <w:rPr>
          <w:rFonts w:ascii="黑体" w:hAnsi="黑体" w:eastAsia="黑体"/>
          <w:sz w:val="32"/>
          <w:szCs w:val="32"/>
        </w:rPr>
      </w:pPr>
      <w:bookmarkStart w:id="108" w:name="_Toc480036105"/>
      <w:r>
        <w:rPr>
          <w:rFonts w:ascii="黑体" w:hAnsi="黑体" w:eastAsia="黑体"/>
          <w:sz w:val="32"/>
          <w:szCs w:val="32"/>
        </w:rPr>
        <w:t>1 目的</w:t>
      </w:r>
      <w:bookmarkEnd w:id="108"/>
      <w:r>
        <w:rPr>
          <w:rFonts w:ascii="黑体" w:hAnsi="黑体" w:eastAsia="黑体"/>
          <w:sz w:val="32"/>
          <w:szCs w:val="32"/>
        </w:rPr>
        <w:t xml:space="preserve"> </w:t>
      </w:r>
    </w:p>
    <w:p w14:paraId="4EAD863A">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开展隐患排查治理是安全管理的重要组成部分，是对风险控制措施的持续有效进行排查确认、有效控制风险的重要方法。</w:t>
      </w:r>
    </w:p>
    <w:p w14:paraId="00C9D780">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通过对生产过程及安全管理中可能存在的人的不安全行为、物的不安全状态或管理缺陷等进行辨识，以确定隐患、危险有害因素或缺陷的存在状态，以及它们转化为事故的条件，以便制定整改措施，消除或控制隐患和危险有害因素。</w:t>
      </w:r>
    </w:p>
    <w:p w14:paraId="1FED66C2">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目的是规范隐患排查治理行为，保障从业人员的职业安全与健康，降低安全生产风险，实现安全生产和安全发展。</w:t>
      </w:r>
    </w:p>
    <w:p w14:paraId="54A0D7B8">
      <w:pPr>
        <w:adjustRightInd w:val="0"/>
        <w:snapToGrid w:val="0"/>
        <w:spacing w:line="360" w:lineRule="auto"/>
        <w:jc w:val="left"/>
        <w:outlineLvl w:val="0"/>
        <w:rPr>
          <w:rFonts w:ascii="黑体" w:hAnsi="黑体" w:eastAsia="黑体"/>
          <w:sz w:val="32"/>
          <w:szCs w:val="32"/>
        </w:rPr>
      </w:pPr>
      <w:bookmarkStart w:id="109" w:name="_Toc480036106"/>
      <w:r>
        <w:rPr>
          <w:rFonts w:ascii="黑体" w:hAnsi="黑体" w:eastAsia="黑体"/>
          <w:sz w:val="32"/>
          <w:szCs w:val="32"/>
        </w:rPr>
        <w:t>2 适用范围</w:t>
      </w:r>
      <w:bookmarkEnd w:id="109"/>
    </w:p>
    <w:p w14:paraId="2FF4F364">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适用于公司各部门各级安全隐患（检）排查、整改治理、建档监控、资金保障专项使用及隐患举报奖励的管理。</w:t>
      </w:r>
    </w:p>
    <w:p w14:paraId="6E7A6678">
      <w:pPr>
        <w:adjustRightInd w:val="0"/>
        <w:snapToGrid w:val="0"/>
        <w:spacing w:line="360" w:lineRule="auto"/>
        <w:jc w:val="left"/>
        <w:outlineLvl w:val="0"/>
        <w:rPr>
          <w:rFonts w:ascii="黑体" w:hAnsi="黑体" w:eastAsia="黑体"/>
          <w:sz w:val="32"/>
          <w:szCs w:val="32"/>
        </w:rPr>
      </w:pPr>
      <w:bookmarkStart w:id="110" w:name="_Toc480036108"/>
      <w:r>
        <w:rPr>
          <w:rFonts w:hint="eastAsia" w:ascii="黑体" w:hAnsi="黑体" w:eastAsia="黑体"/>
          <w:sz w:val="32"/>
          <w:szCs w:val="32"/>
          <w:lang w:val="en-US" w:eastAsia="zh-CN"/>
        </w:rPr>
        <w:t>3</w:t>
      </w:r>
      <w:r>
        <w:rPr>
          <w:rFonts w:ascii="黑体" w:hAnsi="黑体" w:eastAsia="黑体"/>
          <w:sz w:val="32"/>
          <w:szCs w:val="32"/>
        </w:rPr>
        <w:t xml:space="preserve"> </w:t>
      </w:r>
      <w:r>
        <w:rPr>
          <w:rFonts w:hint="eastAsia" w:ascii="黑体" w:hAnsi="黑体" w:eastAsia="黑体"/>
          <w:sz w:val="32"/>
          <w:szCs w:val="32"/>
        </w:rPr>
        <w:t>责任分工</w:t>
      </w:r>
      <w:bookmarkEnd w:id="110"/>
    </w:p>
    <w:p w14:paraId="2CDE0C41">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建立健全事故隐患排查治理制度，完善事故隐患自查、自改、自报的管理机制，落实从主要负责人到每位从业人员的事故隐患排查治理和防控责任，并加强对落实情况的监督考核，保证隐患排查治理的落实。</w:t>
      </w:r>
    </w:p>
    <w:p w14:paraId="11BBBDB5">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公司成立由总经理和有关职能人员参加的安全检查（事故隐患排查）组织，负责统筹、安排各部门、车间按照职能分工对各自管辖范围内的事故隐患进行排查和整改治理，以及隐患排查的建档和监控。</w:t>
      </w:r>
    </w:p>
    <w:p w14:paraId="02F50F82">
      <w:pPr>
        <w:spacing w:line="360" w:lineRule="auto"/>
        <w:ind w:firstLine="560" w:firstLineChars="200"/>
        <w:rPr>
          <w:rFonts w:hint="eastAsia" w:ascii="宋体" w:hAnsi="宋体"/>
          <w:sz w:val="28"/>
          <w:szCs w:val="28"/>
        </w:rPr>
      </w:pPr>
      <w:r>
        <w:rPr>
          <w:rFonts w:hint="eastAsia" w:ascii="宋体" w:hAnsi="宋体"/>
          <w:sz w:val="28"/>
          <w:szCs w:val="28"/>
        </w:rPr>
        <w:t>组      长：</w:t>
      </w:r>
    </w:p>
    <w:p w14:paraId="0D87FAF0">
      <w:pPr>
        <w:spacing w:line="360" w:lineRule="auto"/>
        <w:ind w:firstLine="560" w:firstLineChars="200"/>
        <w:rPr>
          <w:rFonts w:hint="eastAsia" w:ascii="宋体" w:hAnsi="宋体"/>
          <w:sz w:val="28"/>
          <w:szCs w:val="28"/>
        </w:rPr>
      </w:pPr>
      <w:r>
        <w:rPr>
          <w:rFonts w:hint="eastAsia" w:ascii="宋体" w:hAnsi="宋体"/>
          <w:sz w:val="28"/>
          <w:szCs w:val="28"/>
        </w:rPr>
        <w:t>常务副组长：</w:t>
      </w:r>
    </w:p>
    <w:p w14:paraId="7BE7AFE3">
      <w:pPr>
        <w:spacing w:line="360" w:lineRule="auto"/>
        <w:ind w:firstLine="560" w:firstLineChars="200"/>
        <w:rPr>
          <w:rFonts w:hint="eastAsia" w:ascii="宋体" w:hAnsi="宋体"/>
          <w:sz w:val="28"/>
          <w:szCs w:val="28"/>
        </w:rPr>
      </w:pPr>
      <w:r>
        <w:rPr>
          <w:rFonts w:hint="eastAsia" w:ascii="宋体" w:hAnsi="宋体"/>
          <w:sz w:val="28"/>
          <w:szCs w:val="28"/>
        </w:rPr>
        <w:t>副  组  长：</w:t>
      </w:r>
    </w:p>
    <w:p w14:paraId="1B6F85D4">
      <w:pPr>
        <w:spacing w:line="360" w:lineRule="auto"/>
        <w:ind w:firstLine="560" w:firstLineChars="200"/>
        <w:rPr>
          <w:rFonts w:hint="eastAsia" w:ascii="宋体" w:hAnsi="宋体"/>
          <w:sz w:val="28"/>
          <w:szCs w:val="28"/>
        </w:rPr>
      </w:pPr>
      <w:r>
        <w:rPr>
          <w:rFonts w:hint="eastAsia" w:ascii="宋体" w:hAnsi="宋体"/>
          <w:sz w:val="28"/>
          <w:szCs w:val="28"/>
        </w:rPr>
        <w:t>组      员：</w:t>
      </w:r>
    </w:p>
    <w:p w14:paraId="4AD4D210">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组长对公司隐患排查工作全面负责。副组长全面协助组长工作，根据组长要求，开展隐患排查工作。</w:t>
      </w:r>
    </w:p>
    <w:p w14:paraId="59AD00D4">
      <w:pPr>
        <w:adjustRightInd w:val="0"/>
        <w:snapToGrid w:val="0"/>
        <w:spacing w:line="360" w:lineRule="auto"/>
        <w:ind w:left="561" w:leftChars="267"/>
        <w:jc w:val="left"/>
        <w:rPr>
          <w:rFonts w:hint="eastAsia" w:ascii="宋体" w:hAnsi="宋体" w:cs="仿宋"/>
          <w:sz w:val="28"/>
          <w:szCs w:val="28"/>
        </w:rPr>
      </w:pPr>
      <w:r>
        <w:rPr>
          <w:rFonts w:hint="eastAsia" w:ascii="宋体" w:hAnsi="宋体" w:cs="仿宋"/>
          <w:sz w:val="28"/>
          <w:szCs w:val="28"/>
        </w:rPr>
        <w:t>组员在组长和副组长的指挥下开展隐患排查各项工作。</w:t>
      </w:r>
    </w:p>
    <w:p w14:paraId="562429CC">
      <w:pPr>
        <w:adjustRightInd w:val="0"/>
        <w:snapToGrid w:val="0"/>
        <w:spacing w:line="360" w:lineRule="auto"/>
        <w:jc w:val="left"/>
        <w:outlineLvl w:val="0"/>
        <w:rPr>
          <w:rFonts w:ascii="黑体" w:hAnsi="黑体" w:eastAsia="黑体"/>
          <w:sz w:val="32"/>
          <w:szCs w:val="32"/>
        </w:rPr>
      </w:pPr>
      <w:bookmarkStart w:id="111" w:name="_Toc480036109"/>
      <w:r>
        <w:rPr>
          <w:rFonts w:hint="eastAsia" w:ascii="黑体" w:hAnsi="黑体" w:eastAsia="黑体"/>
          <w:sz w:val="32"/>
          <w:szCs w:val="32"/>
          <w:lang w:val="en-US" w:eastAsia="zh-CN"/>
        </w:rPr>
        <w:t>4</w:t>
      </w:r>
      <w:r>
        <w:rPr>
          <w:rFonts w:ascii="黑体" w:hAnsi="黑体" w:eastAsia="黑体"/>
          <w:sz w:val="32"/>
          <w:szCs w:val="32"/>
        </w:rPr>
        <w:t xml:space="preserve"> 管理内容</w:t>
      </w:r>
      <w:bookmarkEnd w:id="111"/>
    </w:p>
    <w:p w14:paraId="659DBE96">
      <w:pPr>
        <w:pStyle w:val="3"/>
        <w:adjustRightInd w:val="0"/>
        <w:snapToGrid w:val="0"/>
        <w:spacing w:after="0" w:line="360" w:lineRule="auto"/>
        <w:ind w:left="0" w:leftChars="0"/>
        <w:outlineLvl w:val="1"/>
        <w:rPr>
          <w:rFonts w:hint="eastAsia" w:ascii="黑体" w:hAnsi="黑体" w:eastAsia="黑体"/>
          <w:color w:val="000000"/>
          <w:sz w:val="30"/>
          <w:szCs w:val="30"/>
        </w:rPr>
      </w:pPr>
      <w:bookmarkStart w:id="112" w:name="_Toc465780472"/>
      <w:bookmarkStart w:id="113" w:name="_Toc466565049"/>
      <w:bookmarkStart w:id="114" w:name="_Toc465778130"/>
      <w:bookmarkStart w:id="115" w:name="_Toc480036110"/>
      <w:r>
        <w:rPr>
          <w:rFonts w:hint="eastAsia" w:ascii="黑体" w:hAnsi="黑体" w:eastAsia="黑体"/>
          <w:color w:val="000000"/>
          <w:sz w:val="30"/>
          <w:szCs w:val="30"/>
          <w:lang w:val="en-US" w:eastAsia="zh-CN"/>
        </w:rPr>
        <w:t>4</w:t>
      </w:r>
      <w:r>
        <w:rPr>
          <w:rFonts w:hint="eastAsia" w:ascii="黑体" w:hAnsi="黑体" w:eastAsia="黑体"/>
          <w:color w:val="000000"/>
          <w:sz w:val="30"/>
          <w:szCs w:val="30"/>
        </w:rPr>
        <w:t>.1术语和定义</w:t>
      </w:r>
      <w:bookmarkEnd w:id="112"/>
      <w:bookmarkEnd w:id="113"/>
      <w:bookmarkEnd w:id="114"/>
      <w:bookmarkEnd w:id="115"/>
    </w:p>
    <w:p w14:paraId="49C0A9E2">
      <w:pPr>
        <w:pStyle w:val="12"/>
        <w:widowControl w:val="0"/>
        <w:adjustRightInd w:val="0"/>
        <w:snapToGrid w:val="0"/>
        <w:spacing w:line="360" w:lineRule="auto"/>
        <w:ind w:firstLine="560"/>
        <w:rPr>
          <w:rFonts w:hint="eastAsia" w:hAnsi="宋体" w:cs="仿宋"/>
          <w:sz w:val="28"/>
          <w:szCs w:val="28"/>
        </w:rPr>
      </w:pPr>
      <w:bookmarkStart w:id="116" w:name="_Toc465780474"/>
      <w:bookmarkStart w:id="117" w:name="_Toc25380"/>
      <w:bookmarkStart w:id="118" w:name="_Toc465778132"/>
      <w:r>
        <w:rPr>
          <w:rFonts w:hint="eastAsia" w:hAnsi="宋体" w:cs="仿宋"/>
          <w:sz w:val="28"/>
          <w:szCs w:val="28"/>
        </w:rPr>
        <w:t>（1）事故隐患</w:t>
      </w:r>
      <w:bookmarkEnd w:id="116"/>
      <w:bookmarkEnd w:id="117"/>
      <w:bookmarkEnd w:id="118"/>
    </w:p>
    <w:p w14:paraId="6D8919E8">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违反安全生产、职业卫生法律、法规、规章、标准、规程和管理制度的规定，或者因其他因素在生产经营活动中存在可能导致事故发生或导致事故后果扩大的物的危险状态、人的不安全行为和管理上的缺陷。</w:t>
      </w:r>
    </w:p>
    <w:p w14:paraId="4E41AE55">
      <w:pPr>
        <w:pStyle w:val="12"/>
        <w:widowControl w:val="0"/>
        <w:adjustRightInd w:val="0"/>
        <w:snapToGrid w:val="0"/>
        <w:spacing w:line="360" w:lineRule="auto"/>
        <w:ind w:firstLine="560"/>
        <w:rPr>
          <w:rFonts w:hint="eastAsia" w:hAnsi="宋体" w:cs="仿宋"/>
          <w:sz w:val="28"/>
          <w:szCs w:val="28"/>
        </w:rPr>
      </w:pPr>
      <w:bookmarkStart w:id="119" w:name="_Toc10956"/>
      <w:r>
        <w:rPr>
          <w:rFonts w:hint="eastAsia" w:hAnsi="宋体" w:cs="仿宋"/>
          <w:sz w:val="28"/>
          <w:szCs w:val="28"/>
        </w:rPr>
        <w:t>（2）隐患分级</w:t>
      </w:r>
      <w:bookmarkEnd w:id="119"/>
    </w:p>
    <w:p w14:paraId="317B6A3F">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根据隐患整改、治理和排除的难度及其可能导致事故后果和影响范围，分为一般事故隐患和重大事故隐患。</w:t>
      </w:r>
    </w:p>
    <w:p w14:paraId="77D4E6A8">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一般事故隐患是指危害和整改难度较小，发现后能够立即整改排除的隐患。</w:t>
      </w:r>
    </w:p>
    <w:p w14:paraId="154CD056">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重大事故隐患是指危害和整改难度较大，应当全部或者局部停产停业，并经过一定时间整改治理方能排除的隐患，或者因外部因素影响致使生产经营单位自身难以排除的隐患。</w:t>
      </w:r>
    </w:p>
    <w:p w14:paraId="6E75A991">
      <w:pPr>
        <w:pStyle w:val="12"/>
        <w:widowControl w:val="0"/>
        <w:adjustRightInd w:val="0"/>
        <w:snapToGrid w:val="0"/>
        <w:spacing w:line="360" w:lineRule="auto"/>
        <w:ind w:firstLine="560"/>
        <w:rPr>
          <w:rFonts w:hint="eastAsia" w:hAnsi="宋体" w:cs="仿宋"/>
          <w:sz w:val="28"/>
          <w:szCs w:val="28"/>
        </w:rPr>
      </w:pPr>
      <w:bookmarkStart w:id="120" w:name="_Toc465780476"/>
      <w:bookmarkStart w:id="121" w:name="_Toc22475"/>
      <w:bookmarkStart w:id="122" w:name="_Toc465778134"/>
      <w:r>
        <w:rPr>
          <w:rFonts w:hint="eastAsia" w:hAnsi="宋体" w:cs="仿宋"/>
          <w:sz w:val="28"/>
          <w:szCs w:val="28"/>
        </w:rPr>
        <w:t>（3）隐患排查</w:t>
      </w:r>
      <w:bookmarkEnd w:id="120"/>
      <w:bookmarkEnd w:id="121"/>
      <w:bookmarkEnd w:id="122"/>
    </w:p>
    <w:p w14:paraId="57E4F3B8">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组织安全生产管理人员、工程技术人员、岗位员工以及其他相关人员依据国家法律法规、标准和管理制度，采取一定的方式和方法，对照风险分级管控措施的有效落实情况，对本单位的事故隐患进行排查的工作过程。</w:t>
      </w:r>
    </w:p>
    <w:p w14:paraId="24539BC4">
      <w:pPr>
        <w:pStyle w:val="12"/>
        <w:widowControl w:val="0"/>
        <w:adjustRightInd w:val="0"/>
        <w:snapToGrid w:val="0"/>
        <w:spacing w:line="360" w:lineRule="auto"/>
        <w:ind w:firstLine="560"/>
        <w:rPr>
          <w:rFonts w:hint="eastAsia" w:hAnsi="宋体" w:cs="仿宋"/>
          <w:sz w:val="28"/>
          <w:szCs w:val="28"/>
        </w:rPr>
      </w:pPr>
      <w:bookmarkStart w:id="123" w:name="_Toc6102"/>
      <w:r>
        <w:rPr>
          <w:rFonts w:hint="eastAsia" w:hAnsi="宋体" w:cs="仿宋"/>
          <w:sz w:val="28"/>
          <w:szCs w:val="28"/>
        </w:rPr>
        <w:t>（4）隐患治理</w:t>
      </w:r>
      <w:bookmarkEnd w:id="123"/>
    </w:p>
    <w:p w14:paraId="5A1D1A31">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消除或控制隐患的活动或过程。</w:t>
      </w:r>
    </w:p>
    <w:p w14:paraId="578AE94F">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对排查出的事故隐患，应当按照事故隐患的等级进行登记，建立事故隐患信息档案，并按照职责分工实施监控治理。</w:t>
      </w:r>
    </w:p>
    <w:p w14:paraId="7CAE4E72">
      <w:pPr>
        <w:pStyle w:val="12"/>
        <w:widowControl w:val="0"/>
        <w:adjustRightInd w:val="0"/>
        <w:snapToGrid w:val="0"/>
        <w:spacing w:line="360" w:lineRule="auto"/>
        <w:ind w:firstLine="560"/>
        <w:rPr>
          <w:rFonts w:hint="eastAsia" w:hAnsi="宋体" w:cs="仿宋"/>
          <w:sz w:val="28"/>
          <w:szCs w:val="28"/>
        </w:rPr>
      </w:pPr>
      <w:bookmarkStart w:id="124" w:name="_Toc18894"/>
      <w:r>
        <w:rPr>
          <w:rFonts w:hint="eastAsia" w:hAnsi="宋体" w:cs="仿宋"/>
          <w:sz w:val="28"/>
          <w:szCs w:val="28"/>
        </w:rPr>
        <w:t>（5）隐患信息</w:t>
      </w:r>
      <w:bookmarkEnd w:id="124"/>
    </w:p>
    <w:p w14:paraId="72195E8B">
      <w:pPr>
        <w:pStyle w:val="12"/>
        <w:widowControl w:val="0"/>
        <w:adjustRightInd w:val="0"/>
        <w:snapToGrid w:val="0"/>
        <w:spacing w:line="360" w:lineRule="auto"/>
        <w:ind w:firstLine="560"/>
        <w:rPr>
          <w:rFonts w:hint="eastAsia" w:hAnsi="宋体"/>
          <w:sz w:val="28"/>
          <w:szCs w:val="28"/>
        </w:rPr>
      </w:pPr>
      <w:r>
        <w:rPr>
          <w:rFonts w:hint="eastAsia" w:hAnsi="宋体" w:cs="仿宋"/>
          <w:sz w:val="28"/>
          <w:szCs w:val="28"/>
        </w:rPr>
        <w:t>包括隐患名称、位置、状态描述、可能导致后果及其严重程度、治理目标、治理措施、职责划分、治理期限等信息的总称。</w:t>
      </w:r>
    </w:p>
    <w:p w14:paraId="7B4DD8BE">
      <w:pPr>
        <w:pStyle w:val="3"/>
        <w:adjustRightInd w:val="0"/>
        <w:snapToGrid w:val="0"/>
        <w:spacing w:after="0" w:line="360" w:lineRule="auto"/>
        <w:ind w:left="0" w:leftChars="0"/>
        <w:outlineLvl w:val="1"/>
        <w:rPr>
          <w:rFonts w:ascii="黑体" w:hAnsi="黑体" w:eastAsia="黑体"/>
          <w:color w:val="000000"/>
          <w:sz w:val="30"/>
          <w:szCs w:val="30"/>
        </w:rPr>
      </w:pPr>
      <w:bookmarkStart w:id="125" w:name="_Toc480036111"/>
      <w:r>
        <w:rPr>
          <w:rFonts w:hint="eastAsia" w:ascii="黑体" w:hAnsi="黑体" w:eastAsia="黑体"/>
          <w:color w:val="000000"/>
          <w:sz w:val="30"/>
          <w:szCs w:val="30"/>
          <w:lang w:val="en-US" w:eastAsia="zh-CN"/>
        </w:rPr>
        <w:t>4</w:t>
      </w:r>
      <w:r>
        <w:rPr>
          <w:rFonts w:hint="eastAsia" w:ascii="黑体" w:hAnsi="黑体" w:eastAsia="黑体"/>
          <w:color w:val="000000"/>
          <w:sz w:val="30"/>
          <w:szCs w:val="30"/>
        </w:rPr>
        <w:t>.2排查频次</w:t>
      </w:r>
      <w:bookmarkEnd w:id="125"/>
    </w:p>
    <w:p w14:paraId="3D5F169D">
      <w:pPr>
        <w:pStyle w:val="12"/>
        <w:widowControl w:val="0"/>
        <w:adjustRightInd w:val="0"/>
        <w:snapToGrid w:val="0"/>
        <w:spacing w:line="360" w:lineRule="auto"/>
        <w:ind w:firstLine="560"/>
        <w:rPr>
          <w:rFonts w:hAnsi="宋体" w:cs="仿宋"/>
          <w:sz w:val="28"/>
          <w:szCs w:val="28"/>
        </w:rPr>
      </w:pPr>
      <w:r>
        <w:rPr>
          <w:rFonts w:hint="eastAsia" w:hAnsi="宋体" w:cs="仿宋"/>
          <w:sz w:val="28"/>
          <w:szCs w:val="28"/>
        </w:rPr>
        <w:t>实施隐患排查前，应根据排查类型、人员数量、时间安排和季节特点，在排查项目清单中选择确定具有针对性的具体排查项目，作为隐患排查的内容。隐患排查可分为生产现场类隐患排查或基础管理类隐患排查，两类隐患排查同时进行。</w:t>
      </w:r>
    </w:p>
    <w:p w14:paraId="41EDE6A6">
      <w:pPr>
        <w:pStyle w:val="12"/>
        <w:widowControl w:val="0"/>
        <w:adjustRightInd w:val="0"/>
        <w:snapToGrid w:val="0"/>
        <w:spacing w:line="360" w:lineRule="auto"/>
        <w:ind w:firstLine="560"/>
        <w:rPr>
          <w:rFonts w:hint="eastAsia" w:hAnsi="宋体" w:cs="仿宋"/>
          <w:sz w:val="28"/>
          <w:szCs w:val="28"/>
        </w:rPr>
      </w:pPr>
      <w:r>
        <w:rPr>
          <w:rFonts w:hAnsi="宋体" w:cs="仿宋"/>
          <w:sz w:val="28"/>
          <w:szCs w:val="28"/>
        </w:rPr>
        <w:t>本公司公司级</w:t>
      </w:r>
      <w:r>
        <w:rPr>
          <w:rFonts w:hint="eastAsia" w:hAnsi="宋体" w:cs="仿宋"/>
          <w:sz w:val="28"/>
          <w:szCs w:val="28"/>
        </w:rPr>
        <w:t>、</w:t>
      </w:r>
      <w:r>
        <w:rPr>
          <w:rFonts w:hAnsi="宋体" w:cs="仿宋"/>
          <w:sz w:val="28"/>
          <w:szCs w:val="28"/>
        </w:rPr>
        <w:t>车间级隐患排查频次为每月一次</w:t>
      </w:r>
      <w:r>
        <w:rPr>
          <w:rFonts w:hint="eastAsia" w:hAnsi="宋体" w:cs="仿宋"/>
          <w:sz w:val="28"/>
          <w:szCs w:val="28"/>
        </w:rPr>
        <w:t>。班组级每周一次，岗位级根据设备操作规程每天进行检查。</w:t>
      </w:r>
    </w:p>
    <w:p w14:paraId="4E899DAE">
      <w:pPr>
        <w:pStyle w:val="3"/>
        <w:adjustRightInd w:val="0"/>
        <w:snapToGrid w:val="0"/>
        <w:spacing w:after="0" w:line="360" w:lineRule="auto"/>
        <w:ind w:left="0" w:leftChars="0"/>
        <w:outlineLvl w:val="1"/>
        <w:rPr>
          <w:rFonts w:hint="eastAsia" w:ascii="黑体" w:hAnsi="黑体" w:eastAsia="黑体"/>
          <w:color w:val="000000"/>
          <w:sz w:val="30"/>
          <w:szCs w:val="30"/>
        </w:rPr>
      </w:pPr>
      <w:bookmarkStart w:id="126" w:name="_Toc480036112"/>
      <w:r>
        <w:rPr>
          <w:rFonts w:hint="eastAsia" w:ascii="黑体" w:hAnsi="黑体" w:eastAsia="黑体"/>
          <w:color w:val="000000"/>
          <w:sz w:val="30"/>
          <w:szCs w:val="30"/>
          <w:lang w:val="en-US" w:eastAsia="zh-CN"/>
        </w:rPr>
        <w:t>4</w:t>
      </w:r>
      <w:r>
        <w:rPr>
          <w:rFonts w:hint="eastAsia" w:ascii="黑体" w:hAnsi="黑体" w:eastAsia="黑体"/>
          <w:color w:val="000000"/>
          <w:sz w:val="30"/>
          <w:szCs w:val="30"/>
        </w:rPr>
        <w:t>.3</w:t>
      </w:r>
      <w:bookmarkStart w:id="127" w:name="_Toc466565079"/>
      <w:bookmarkStart w:id="128" w:name="_Toc465780506"/>
      <w:bookmarkStart w:id="129" w:name="_Toc465778164"/>
      <w:r>
        <w:rPr>
          <w:rFonts w:hint="eastAsia" w:ascii="黑体" w:hAnsi="黑体" w:eastAsia="黑体"/>
          <w:color w:val="000000"/>
          <w:sz w:val="30"/>
          <w:szCs w:val="30"/>
        </w:rPr>
        <w:t>组织实施</w:t>
      </w:r>
      <w:bookmarkEnd w:id="126"/>
      <w:bookmarkEnd w:id="127"/>
      <w:bookmarkEnd w:id="128"/>
      <w:bookmarkEnd w:id="129"/>
    </w:p>
    <w:p w14:paraId="326CEF7D">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实施隐患排查前，应根据排查类型、人员数量、时间安排和季节特点，在排查项目清单中选择确定具有针对性的具体排查项目，作为隐患排查的内容。隐患排查可分为生产现场类隐患排查或基础管理类隐患排查，两类隐患排查可同时进行。</w:t>
      </w:r>
    </w:p>
    <w:p w14:paraId="02861ACF">
      <w:pPr>
        <w:pStyle w:val="3"/>
        <w:adjustRightInd w:val="0"/>
        <w:snapToGrid w:val="0"/>
        <w:spacing w:after="0" w:line="360" w:lineRule="auto"/>
        <w:ind w:left="0" w:leftChars="0"/>
        <w:outlineLvl w:val="2"/>
        <w:rPr>
          <w:rFonts w:hint="eastAsia" w:ascii="黑体" w:hAnsi="黑体" w:eastAsia="黑体"/>
          <w:color w:val="000000"/>
          <w:sz w:val="28"/>
          <w:szCs w:val="28"/>
        </w:rPr>
      </w:pPr>
      <w:bookmarkStart w:id="130" w:name="_Toc479243185"/>
      <w:bookmarkStart w:id="131" w:name="_Toc480036113"/>
      <w:bookmarkStart w:id="132" w:name="_Toc9835"/>
      <w:r>
        <w:rPr>
          <w:rFonts w:hint="eastAsia" w:ascii="黑体" w:hAnsi="黑体" w:eastAsia="黑体"/>
          <w:color w:val="000000"/>
          <w:sz w:val="28"/>
          <w:szCs w:val="28"/>
          <w:lang w:val="en-US" w:eastAsia="zh-CN"/>
        </w:rPr>
        <w:t>4</w:t>
      </w:r>
      <w:r>
        <w:rPr>
          <w:rFonts w:hint="eastAsia" w:ascii="黑体" w:hAnsi="黑体" w:eastAsia="黑体"/>
          <w:color w:val="000000"/>
          <w:sz w:val="28"/>
          <w:szCs w:val="28"/>
        </w:rPr>
        <w:t xml:space="preserve">.3.1 </w:t>
      </w:r>
      <w:bookmarkStart w:id="133" w:name="_Toc465780507"/>
      <w:bookmarkStart w:id="134" w:name="_Toc465778165"/>
      <w:bookmarkStart w:id="135" w:name="_Toc466565080"/>
      <w:r>
        <w:rPr>
          <w:rFonts w:hint="eastAsia" w:ascii="黑体" w:hAnsi="黑体" w:eastAsia="黑体"/>
          <w:color w:val="000000"/>
          <w:sz w:val="28"/>
          <w:szCs w:val="28"/>
        </w:rPr>
        <w:t>排查类型</w:t>
      </w:r>
      <w:bookmarkEnd w:id="130"/>
      <w:bookmarkEnd w:id="131"/>
      <w:bookmarkEnd w:id="132"/>
      <w:bookmarkEnd w:id="133"/>
      <w:bookmarkEnd w:id="134"/>
      <w:bookmarkEnd w:id="135"/>
    </w:p>
    <w:p w14:paraId="4655E118">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排查类型主要包括日常隐患排查、综合性隐患排查、专业性隐患排查、专项或季节性隐患排查、专家诊断性检查和各级负责人履职检查等。</w:t>
      </w:r>
    </w:p>
    <w:p w14:paraId="51820FDC">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隐患排查与一般的日常安全检查或安全巡视二者互为补充，隐患排查必须做到有组织体系、有排查标准、有排查记录、有排查整改方案、有整改效果验证等“五有”要求。</w:t>
      </w:r>
    </w:p>
    <w:p w14:paraId="5C430696">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（1）综合性检查是指以保障安全生产为目的，以安全责任制、各项专业管理制度和安全生产管理制度落实情况为重点，各有关专业和部门共同参与的全面检查。</w:t>
      </w:r>
    </w:p>
    <w:p w14:paraId="35CFA46D">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（2）专业检查主要包括：工艺安全检查、设备安全检查、电气安全检查、防火防爆安全检查、防雷防静电安全检查、消防安全检查、安全连锁与功能、作业行为、职业健康防护安全检查。</w:t>
      </w:r>
    </w:p>
    <w:p w14:paraId="75FD610E">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（3）季节性检查是指根据各季节特点开展的专项隐患检查，主要包括：</w:t>
      </w:r>
    </w:p>
    <w:p w14:paraId="56511DFF">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①春季以防雷、防静电、防解冻泄漏、防解冻坍塌为重点；</w:t>
      </w:r>
    </w:p>
    <w:p w14:paraId="0B3B5778">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②夏季以防雷暴、防设备容器高温超压、防台风、防暑降温为重点；</w:t>
      </w:r>
    </w:p>
    <w:p w14:paraId="72301888">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③秋季以防雷暴、防火、防静电、防凝保温为重点；</w:t>
      </w:r>
    </w:p>
    <w:p w14:paraId="0C2D3397">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④冬季以防火、防爆、防雪、防冻防凝、防滑、防静电为重点。</w:t>
      </w:r>
    </w:p>
    <w:p w14:paraId="30142B9E">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（4）日常检查是指班组、岗位员工的交接班检查和班中巡回检查，以及基层单位领导和工艺、设备、电气、仪表、安全等专业技术人员的日常性检查。日常隐患排查要加强对关 键装置、要害部位、关键环节、重大危险源的检查和巡查。</w:t>
      </w:r>
    </w:p>
    <w:p w14:paraId="1EC80B3A">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5）节假日检查主要是指在重大活动和节假日前，对装置生产是否存在异常状况和隐患、备用设备状态、备品备件、生产及应急物资储备、保运力量安排、保卫、应急工作等进行的检查，特别是要对节日期间干部带班值班、机电仪保运及紧急抢修力量安排、备件及各类物资储备和应急工作进行重点检查。</w:t>
      </w:r>
    </w:p>
    <w:p w14:paraId="0075454F">
      <w:pPr>
        <w:pStyle w:val="3"/>
        <w:adjustRightInd w:val="0"/>
        <w:snapToGrid w:val="0"/>
        <w:spacing w:after="0" w:line="360" w:lineRule="auto"/>
        <w:ind w:left="0" w:leftChars="0"/>
        <w:outlineLvl w:val="2"/>
        <w:rPr>
          <w:rFonts w:hint="eastAsia" w:ascii="黑体" w:hAnsi="黑体" w:eastAsia="黑体"/>
          <w:color w:val="000000"/>
          <w:sz w:val="28"/>
          <w:szCs w:val="28"/>
        </w:rPr>
      </w:pPr>
      <w:bookmarkStart w:id="136" w:name="_Toc6663"/>
      <w:bookmarkStart w:id="137" w:name="_Toc480036114"/>
      <w:bookmarkStart w:id="138" w:name="_Toc479243186"/>
      <w:r>
        <w:rPr>
          <w:rFonts w:hint="eastAsia" w:ascii="黑体" w:hAnsi="黑体" w:eastAsia="黑体"/>
          <w:color w:val="000000"/>
          <w:sz w:val="28"/>
          <w:szCs w:val="28"/>
          <w:lang w:val="en-US" w:eastAsia="zh-CN"/>
        </w:rPr>
        <w:t>4</w:t>
      </w:r>
      <w:r>
        <w:rPr>
          <w:rFonts w:hint="eastAsia" w:ascii="黑体" w:hAnsi="黑体" w:eastAsia="黑体"/>
          <w:color w:val="000000"/>
          <w:sz w:val="28"/>
          <w:szCs w:val="28"/>
        </w:rPr>
        <w:t xml:space="preserve">.3.2 </w:t>
      </w:r>
      <w:bookmarkStart w:id="139" w:name="_Toc466565081"/>
      <w:bookmarkStart w:id="140" w:name="_Toc465780508"/>
      <w:r>
        <w:rPr>
          <w:rFonts w:hint="eastAsia" w:ascii="黑体" w:hAnsi="黑体" w:eastAsia="黑体"/>
          <w:color w:val="000000"/>
          <w:sz w:val="28"/>
          <w:szCs w:val="28"/>
        </w:rPr>
        <w:t>排查要求</w:t>
      </w:r>
      <w:bookmarkEnd w:id="136"/>
      <w:bookmarkEnd w:id="137"/>
      <w:bookmarkEnd w:id="138"/>
      <w:bookmarkEnd w:id="139"/>
      <w:bookmarkEnd w:id="140"/>
    </w:p>
    <w:p w14:paraId="40FDFDED">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隐患排查应做到全面覆盖、责任到人，定期排查与日常管理相结合，专业排查与综合排查相结合，一般排查与重点排查相结合。</w:t>
      </w:r>
    </w:p>
    <w:p w14:paraId="02107E75">
      <w:pPr>
        <w:pStyle w:val="3"/>
        <w:adjustRightInd w:val="0"/>
        <w:snapToGrid w:val="0"/>
        <w:spacing w:after="0" w:line="360" w:lineRule="auto"/>
        <w:ind w:left="0" w:leftChars="0"/>
        <w:outlineLvl w:val="2"/>
        <w:rPr>
          <w:rFonts w:hint="eastAsia" w:ascii="黑体" w:hAnsi="黑体" w:eastAsia="黑体"/>
          <w:color w:val="000000"/>
          <w:sz w:val="28"/>
          <w:szCs w:val="28"/>
        </w:rPr>
      </w:pPr>
      <w:bookmarkStart w:id="141" w:name="_Toc21949"/>
      <w:bookmarkStart w:id="142" w:name="_Toc480036115"/>
      <w:bookmarkStart w:id="143" w:name="_Toc479243187"/>
      <w:r>
        <w:rPr>
          <w:rFonts w:hint="eastAsia" w:ascii="黑体" w:hAnsi="黑体" w:eastAsia="黑体"/>
          <w:color w:val="000000"/>
          <w:sz w:val="28"/>
          <w:szCs w:val="28"/>
          <w:lang w:val="en-US" w:eastAsia="zh-CN"/>
        </w:rPr>
        <w:t>4</w:t>
      </w:r>
      <w:r>
        <w:rPr>
          <w:rFonts w:hint="eastAsia" w:ascii="黑体" w:hAnsi="黑体" w:eastAsia="黑体"/>
          <w:color w:val="000000"/>
          <w:sz w:val="28"/>
          <w:szCs w:val="28"/>
        </w:rPr>
        <w:t xml:space="preserve">.3.3 </w:t>
      </w:r>
      <w:bookmarkStart w:id="144" w:name="_Toc466565082"/>
      <w:bookmarkStart w:id="145" w:name="_Toc465778166"/>
      <w:bookmarkStart w:id="146" w:name="_Toc465780509"/>
      <w:r>
        <w:rPr>
          <w:rFonts w:hint="eastAsia" w:ascii="黑体" w:hAnsi="黑体" w:eastAsia="黑体"/>
          <w:color w:val="000000"/>
          <w:sz w:val="28"/>
          <w:szCs w:val="28"/>
        </w:rPr>
        <w:t>组织级别</w:t>
      </w:r>
      <w:bookmarkEnd w:id="141"/>
      <w:bookmarkEnd w:id="142"/>
      <w:bookmarkEnd w:id="143"/>
      <w:bookmarkEnd w:id="144"/>
      <w:bookmarkEnd w:id="145"/>
      <w:bookmarkEnd w:id="146"/>
    </w:p>
    <w:p w14:paraId="1A934CDE">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本公司排查组织级别包括公司级、车间（部门）级、班组级、岗位级。</w:t>
      </w:r>
    </w:p>
    <w:p w14:paraId="7D71B812">
      <w:pPr>
        <w:pStyle w:val="3"/>
        <w:adjustRightInd w:val="0"/>
        <w:snapToGrid w:val="0"/>
        <w:spacing w:after="0" w:line="360" w:lineRule="auto"/>
        <w:ind w:left="0" w:leftChars="0"/>
        <w:outlineLvl w:val="2"/>
        <w:rPr>
          <w:rFonts w:hint="eastAsia" w:ascii="黑体" w:hAnsi="黑体" w:eastAsia="黑体"/>
          <w:color w:val="000000"/>
          <w:sz w:val="28"/>
          <w:szCs w:val="28"/>
        </w:rPr>
      </w:pPr>
      <w:bookmarkStart w:id="147" w:name="_Toc5803"/>
      <w:bookmarkStart w:id="148" w:name="_Toc479243188"/>
      <w:bookmarkStart w:id="149" w:name="_Toc480036116"/>
      <w:r>
        <w:rPr>
          <w:rFonts w:hint="eastAsia" w:ascii="黑体" w:hAnsi="黑体" w:eastAsia="黑体"/>
          <w:color w:val="000000"/>
          <w:sz w:val="28"/>
          <w:szCs w:val="28"/>
          <w:lang w:val="en-US" w:eastAsia="zh-CN"/>
        </w:rPr>
        <w:t>4</w:t>
      </w:r>
      <w:r>
        <w:rPr>
          <w:rFonts w:hint="eastAsia" w:ascii="黑体" w:hAnsi="黑体" w:eastAsia="黑体"/>
          <w:color w:val="000000"/>
          <w:sz w:val="28"/>
          <w:szCs w:val="28"/>
        </w:rPr>
        <w:t xml:space="preserve">.3.4 </w:t>
      </w:r>
      <w:bookmarkStart w:id="150" w:name="_Toc466565083"/>
      <w:bookmarkStart w:id="151" w:name="_Toc465778167"/>
      <w:bookmarkStart w:id="152" w:name="_Toc465780510"/>
      <w:r>
        <w:rPr>
          <w:rFonts w:hint="eastAsia" w:ascii="黑体" w:hAnsi="黑体" w:eastAsia="黑体"/>
          <w:color w:val="000000"/>
          <w:sz w:val="28"/>
          <w:szCs w:val="28"/>
        </w:rPr>
        <w:t>治理建议</w:t>
      </w:r>
      <w:bookmarkEnd w:id="147"/>
      <w:bookmarkEnd w:id="148"/>
      <w:bookmarkEnd w:id="149"/>
      <w:bookmarkEnd w:id="150"/>
      <w:bookmarkEnd w:id="151"/>
      <w:bookmarkEnd w:id="152"/>
    </w:p>
    <w:p w14:paraId="4BF364C7">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按照隐患排查治理要求，各相关层级的部门和单位对照隐患排查清单进行隐患排查，填写隐患排查记录。</w:t>
      </w:r>
    </w:p>
    <w:p w14:paraId="58314342">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根据排查出的隐患类别，提出治理建议，一般应包含：</w:t>
      </w:r>
    </w:p>
    <w:p w14:paraId="23FF4A0D">
      <w:pPr>
        <w:pStyle w:val="13"/>
        <w:numPr>
          <w:ilvl w:val="0"/>
          <w:numId w:val="0"/>
        </w:numPr>
        <w:adjustRightInd w:val="0"/>
        <w:snapToGrid w:val="0"/>
        <w:spacing w:line="360" w:lineRule="auto"/>
        <w:rPr>
          <w:rFonts w:hint="eastAsia" w:hAnsi="宋体" w:cs="仿宋"/>
          <w:sz w:val="28"/>
          <w:szCs w:val="28"/>
        </w:rPr>
      </w:pPr>
      <w:r>
        <w:rPr>
          <w:rFonts w:hint="eastAsia" w:hAnsi="宋体" w:cs="仿宋"/>
          <w:sz w:val="28"/>
          <w:szCs w:val="28"/>
        </w:rPr>
        <w:t xml:space="preserve">   （1）针对排查出的每项隐患，明确治理责任单位和主要责任人；</w:t>
      </w:r>
    </w:p>
    <w:p w14:paraId="6D14CC7F">
      <w:pPr>
        <w:pStyle w:val="13"/>
        <w:numPr>
          <w:ilvl w:val="0"/>
          <w:numId w:val="0"/>
        </w:numPr>
        <w:adjustRightInd w:val="0"/>
        <w:snapToGrid w:val="0"/>
        <w:spacing w:line="360" w:lineRule="auto"/>
        <w:rPr>
          <w:rFonts w:hint="eastAsia" w:hAnsi="宋体" w:cs="仿宋"/>
          <w:sz w:val="28"/>
          <w:szCs w:val="28"/>
        </w:rPr>
      </w:pPr>
      <w:r>
        <w:rPr>
          <w:rFonts w:hint="eastAsia" w:hAnsi="宋体" w:cs="仿宋"/>
          <w:sz w:val="28"/>
          <w:szCs w:val="28"/>
        </w:rPr>
        <w:t xml:space="preserve">   （2）经排查评估后，提出初步整改或处置建议；</w:t>
      </w:r>
    </w:p>
    <w:p w14:paraId="4F727DD9">
      <w:pPr>
        <w:pStyle w:val="13"/>
        <w:numPr>
          <w:ilvl w:val="0"/>
          <w:numId w:val="0"/>
        </w:numPr>
        <w:adjustRightInd w:val="0"/>
        <w:snapToGrid w:val="0"/>
        <w:spacing w:line="360" w:lineRule="auto"/>
        <w:rPr>
          <w:rFonts w:hint="eastAsia" w:hAnsi="宋体" w:cs="仿宋"/>
          <w:sz w:val="28"/>
          <w:szCs w:val="28"/>
        </w:rPr>
      </w:pPr>
      <w:r>
        <w:rPr>
          <w:rFonts w:hint="eastAsia" w:hAnsi="宋体" w:cs="仿宋"/>
          <w:sz w:val="28"/>
          <w:szCs w:val="28"/>
        </w:rPr>
        <w:t xml:space="preserve">   （3）依据隐患治理难易程度或严重程度，确定隐患治理期限。</w:t>
      </w:r>
    </w:p>
    <w:p w14:paraId="3D7EA902">
      <w:pPr>
        <w:pStyle w:val="3"/>
        <w:adjustRightInd w:val="0"/>
        <w:snapToGrid w:val="0"/>
        <w:spacing w:after="0" w:line="360" w:lineRule="auto"/>
        <w:ind w:left="0" w:leftChars="0"/>
        <w:outlineLvl w:val="1"/>
        <w:rPr>
          <w:rFonts w:hint="eastAsia" w:ascii="黑体" w:hAnsi="黑体" w:eastAsia="黑体"/>
          <w:color w:val="000000"/>
          <w:sz w:val="30"/>
          <w:szCs w:val="30"/>
        </w:rPr>
      </w:pPr>
      <w:bookmarkStart w:id="153" w:name="_Toc480036117"/>
      <w:r>
        <w:rPr>
          <w:rFonts w:hint="eastAsia" w:ascii="黑体" w:hAnsi="黑体" w:eastAsia="黑体"/>
          <w:color w:val="000000"/>
          <w:sz w:val="30"/>
          <w:szCs w:val="30"/>
          <w:lang w:val="en-US" w:eastAsia="zh-CN"/>
        </w:rPr>
        <w:t>4</w:t>
      </w:r>
      <w:r>
        <w:rPr>
          <w:rFonts w:hint="eastAsia" w:ascii="黑体" w:hAnsi="黑体" w:eastAsia="黑体"/>
          <w:color w:val="000000"/>
          <w:sz w:val="30"/>
          <w:szCs w:val="30"/>
        </w:rPr>
        <w:t>.4事故隐患排查治理要求</w:t>
      </w:r>
      <w:bookmarkEnd w:id="153"/>
    </w:p>
    <w:p w14:paraId="0E6B3756">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隐患治理实行分级治理、分类实施的原则。主要包括岗位纠正、班组治理、车间治理、部门治理、公司治理等。</w:t>
      </w:r>
    </w:p>
    <w:p w14:paraId="7DE80F1C">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隐患治理应做到方法科学、资金到位、治理及时有效、责任到人、按时完成。能立即整改的隐患必须立即整改，无法立即整改的隐患，治理前要研究制定防范措施，落实监控责任，防止隐患发展为事故。</w:t>
      </w:r>
    </w:p>
    <w:p w14:paraId="7BBCCCEF">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公司根据生产运行特点，以风险分级管控清单为基础，制定安全检查计划，明确检查的目的、内容、要求，并编制安全检查表。</w:t>
      </w:r>
    </w:p>
    <w:p w14:paraId="292AEB74">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安全检查表应包括检查项目、检查内容、检查标准或依据、检查结果等内容。安全检查时应按照安全检查表内容逐项进行检查，建立《安全检查台账》、《事故隐患整改台账》，并与安全目标责任考核挂钩。</w:t>
      </w:r>
    </w:p>
    <w:p w14:paraId="34F75757">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定期组织对安全检查表进行评审、修订和完善，并做好检查人员的培训工作。</w:t>
      </w:r>
    </w:p>
    <w:p w14:paraId="1EA75F68">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有下列情形之一的应及时对安全检查表进行修订：</w:t>
      </w:r>
    </w:p>
    <w:p w14:paraId="3EBCFD1E">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 xml:space="preserve">（1）颁布实施有关新的安全法律法规、标准规范或原有适用法律法规、标准规范重新修订的； </w:t>
      </w:r>
    </w:p>
    <w:p w14:paraId="459B12EC">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 xml:space="preserve">（2）装置工艺、设备、电气、仪表、公用工程或操作参数发生重大改变的； </w:t>
      </w:r>
    </w:p>
    <w:p w14:paraId="3AB6C718">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（3）发生事故或对事故、事件有新的认识；</w:t>
      </w:r>
    </w:p>
    <w:p w14:paraId="7D99BE74">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（5）周边安全生产环境发生重大变化；</w:t>
      </w:r>
    </w:p>
    <w:p w14:paraId="22A92984">
      <w:pPr>
        <w:adjustRightInd w:val="0"/>
        <w:snapToGrid w:val="0"/>
        <w:spacing w:line="360" w:lineRule="auto"/>
        <w:ind w:firstLine="560" w:firstLineChars="200"/>
        <w:jc w:val="left"/>
        <w:rPr>
          <w:rFonts w:ascii="宋体" w:hAnsi="宋体" w:cs="仿宋"/>
          <w:sz w:val="28"/>
          <w:szCs w:val="28"/>
        </w:rPr>
      </w:pPr>
      <w:r>
        <w:rPr>
          <w:rFonts w:hint="eastAsia" w:ascii="宋体" w:hAnsi="宋体" w:cs="仿宋"/>
          <w:sz w:val="28"/>
          <w:szCs w:val="28"/>
        </w:rPr>
        <w:t>（4）危害因素辨识结果有较大变动或识别出新的危害因素。</w:t>
      </w:r>
    </w:p>
    <w:p w14:paraId="3218C936">
      <w:pPr>
        <w:adjustRightInd w:val="0"/>
        <w:snapToGrid w:val="0"/>
        <w:spacing w:line="360" w:lineRule="auto"/>
        <w:jc w:val="left"/>
        <w:outlineLvl w:val="0"/>
        <w:rPr>
          <w:rFonts w:ascii="黑体" w:hAnsi="黑体" w:eastAsia="黑体"/>
          <w:sz w:val="32"/>
          <w:szCs w:val="32"/>
        </w:rPr>
      </w:pPr>
      <w:bookmarkStart w:id="154" w:name="_Toc480036118"/>
      <w:r>
        <w:rPr>
          <w:rFonts w:hint="eastAsia" w:ascii="黑体" w:hAnsi="黑体" w:eastAsia="黑体"/>
          <w:sz w:val="32"/>
          <w:szCs w:val="32"/>
          <w:lang w:val="en-US" w:eastAsia="zh-CN"/>
        </w:rPr>
        <w:t>5</w:t>
      </w:r>
      <w:r>
        <w:rPr>
          <w:rFonts w:hint="eastAsia" w:ascii="黑体" w:hAnsi="黑体" w:eastAsia="黑体"/>
          <w:sz w:val="32"/>
          <w:szCs w:val="32"/>
        </w:rPr>
        <w:t>重大隐患判定标准</w:t>
      </w:r>
      <w:bookmarkEnd w:id="154"/>
    </w:p>
    <w:p w14:paraId="17315A7F">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以下情形为重大事故隐患：</w:t>
      </w:r>
    </w:p>
    <w:p w14:paraId="742F51EC">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(1)违反法律、法规有关规定，整改时间长或可能造成较严重危害的；</w:t>
      </w:r>
    </w:p>
    <w:p w14:paraId="724FD6FE">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(2)涉及重大危险源的；</w:t>
      </w:r>
    </w:p>
    <w:p w14:paraId="098C60BC">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(3)具有中毒、爆炸、火灾等危险的场所，作业人员在10人以上的；</w:t>
      </w:r>
    </w:p>
    <w:p w14:paraId="7946C361">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(4)危害程度和整改难度较大，一定时间得不到整改的；</w:t>
      </w:r>
    </w:p>
    <w:p w14:paraId="00BD3793">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(5)因外部因素影响致使生产经营单位自身难以排除的；</w:t>
      </w:r>
    </w:p>
    <w:p w14:paraId="54141A67">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(6)设区的市级以上负有安全监管职责部门认定的；</w:t>
      </w:r>
    </w:p>
    <w:p w14:paraId="326405F1">
      <w:pPr>
        <w:widowControl/>
        <w:spacing w:line="360" w:lineRule="auto"/>
        <w:jc w:val="left"/>
        <w:rPr>
          <w:rFonts w:ascii="宋体" w:hAnsi="宋体" w:cs="仿宋"/>
          <w:sz w:val="28"/>
          <w:szCs w:val="28"/>
        </w:rPr>
      </w:pPr>
      <w:r>
        <w:rPr>
          <w:rFonts w:hint="eastAsia" w:ascii="宋体" w:hAnsi="宋体" w:cs="Arial"/>
          <w:color w:val="666666"/>
          <w:kern w:val="0"/>
          <w:sz w:val="28"/>
          <w:szCs w:val="28"/>
        </w:rPr>
        <w:t xml:space="preserve">    (</w:t>
      </w:r>
      <w:r>
        <w:rPr>
          <w:rFonts w:hint="eastAsia" w:ascii="宋体" w:hAnsi="宋体" w:cs="仿宋"/>
          <w:sz w:val="28"/>
          <w:szCs w:val="28"/>
        </w:rPr>
        <w:t>7)</w:t>
      </w:r>
      <w:r>
        <w:rPr>
          <w:rFonts w:ascii="宋体" w:hAnsi="宋体" w:cs="仿宋"/>
          <w:sz w:val="28"/>
          <w:szCs w:val="28"/>
        </w:rPr>
        <w:t>水泥工厂煤磨袋式收尘器（或煤粉仓）未设置温度和一氧化碳监测，或未设置气体灭火装置</w:t>
      </w:r>
      <w:r>
        <w:rPr>
          <w:rFonts w:hint="eastAsia" w:ascii="宋体" w:hAnsi="宋体" w:cs="仿宋"/>
          <w:sz w:val="28"/>
          <w:szCs w:val="28"/>
        </w:rPr>
        <w:t>；</w:t>
      </w:r>
      <w:r>
        <w:rPr>
          <w:rFonts w:ascii="宋体" w:hAnsi="宋体" w:cs="仿宋"/>
          <w:sz w:val="28"/>
          <w:szCs w:val="28"/>
        </w:rPr>
        <w:t> </w:t>
      </w:r>
    </w:p>
    <w:p w14:paraId="4BA5A490">
      <w:pPr>
        <w:widowControl/>
        <w:spacing w:line="360" w:lineRule="auto"/>
        <w:ind w:firstLine="570"/>
        <w:jc w:val="left"/>
        <w:rPr>
          <w:rFonts w:hint="eastAsia" w:ascii="宋体" w:hAnsi="宋体" w:cs="仿宋"/>
          <w:sz w:val="28"/>
          <w:szCs w:val="28"/>
        </w:rPr>
      </w:pPr>
      <w:r>
        <w:rPr>
          <w:rFonts w:hint="eastAsia" w:ascii="宋体" w:hAnsi="宋体" w:cs="仿宋"/>
          <w:sz w:val="28"/>
          <w:szCs w:val="28"/>
        </w:rPr>
        <w:t>(8)</w:t>
      </w:r>
      <w:r>
        <w:rPr>
          <w:rFonts w:ascii="宋体" w:hAnsi="宋体" w:cs="仿宋"/>
          <w:sz w:val="28"/>
          <w:szCs w:val="28"/>
        </w:rPr>
        <w:t>水泥工厂筒型储存库人工清库作业外包给不具备高空作业工程专业承包资质的承包方且作业前未进行风险分析</w:t>
      </w:r>
      <w:r>
        <w:rPr>
          <w:rFonts w:hint="eastAsia" w:ascii="宋体" w:hAnsi="宋体" w:cs="仿宋"/>
          <w:sz w:val="28"/>
          <w:szCs w:val="28"/>
        </w:rPr>
        <w:t>；</w:t>
      </w:r>
    </w:p>
    <w:p w14:paraId="0A992AE7">
      <w:pPr>
        <w:widowControl/>
        <w:spacing w:line="360" w:lineRule="auto"/>
        <w:ind w:firstLine="570"/>
        <w:jc w:val="left"/>
        <w:rPr>
          <w:rFonts w:hint="eastAsia" w:ascii="宋体" w:hAnsi="宋体" w:cs="仿宋"/>
          <w:sz w:val="28"/>
          <w:szCs w:val="28"/>
        </w:rPr>
      </w:pPr>
      <w:r>
        <w:rPr>
          <w:rFonts w:hint="eastAsia" w:ascii="宋体" w:hAnsi="宋体" w:cs="仿宋"/>
          <w:sz w:val="28"/>
          <w:szCs w:val="28"/>
        </w:rPr>
        <w:t>(9)</w:t>
      </w:r>
      <w:r>
        <w:rPr>
          <w:rFonts w:ascii="宋体" w:hAnsi="宋体" w:cs="仿宋"/>
          <w:sz w:val="28"/>
          <w:szCs w:val="28"/>
        </w:rPr>
        <w:t>进入筒型储库、磨机、破碎机、篦冷机、各种焙烧窑等有限空间作业时，未采取有效的防止电气设备意外启动、热气涌入等隔离防护措施</w:t>
      </w:r>
      <w:r>
        <w:rPr>
          <w:rFonts w:hint="eastAsia" w:ascii="宋体" w:hAnsi="宋体" w:cs="仿宋"/>
          <w:sz w:val="28"/>
          <w:szCs w:val="28"/>
        </w:rPr>
        <w:t>；</w:t>
      </w:r>
    </w:p>
    <w:p w14:paraId="20525770">
      <w:pPr>
        <w:widowControl/>
        <w:spacing w:line="360" w:lineRule="auto"/>
        <w:ind w:firstLine="570"/>
        <w:jc w:val="left"/>
        <w:rPr>
          <w:rFonts w:hint="eastAsia" w:ascii="宋体" w:hAnsi="宋体" w:cs="仿宋"/>
          <w:sz w:val="28"/>
          <w:szCs w:val="28"/>
        </w:rPr>
      </w:pPr>
      <w:r>
        <w:rPr>
          <w:rFonts w:hint="eastAsia" w:ascii="宋体" w:hAnsi="宋体" w:cs="仿宋"/>
          <w:sz w:val="28"/>
          <w:szCs w:val="28"/>
        </w:rPr>
        <w:t>(10)</w:t>
      </w:r>
      <w:r>
        <w:rPr>
          <w:rFonts w:ascii="宋体" w:hAnsi="宋体" w:cs="仿宋"/>
          <w:sz w:val="28"/>
          <w:szCs w:val="28"/>
        </w:rPr>
        <w:t>未对有限空间作业场所进行辨识，并设置明显安全警示标志。未落实作业审批制度，擅自进入有限空间作业。</w:t>
      </w:r>
    </w:p>
    <w:p w14:paraId="38AF661A">
      <w:pPr>
        <w:widowControl/>
        <w:spacing w:line="360" w:lineRule="auto"/>
        <w:ind w:firstLine="570"/>
        <w:jc w:val="left"/>
        <w:rPr>
          <w:rFonts w:hint="eastAsia" w:ascii="宋体" w:hAnsi="宋体" w:cs="仿宋"/>
          <w:sz w:val="28"/>
          <w:szCs w:val="28"/>
        </w:rPr>
      </w:pPr>
      <w:r>
        <w:rPr>
          <w:rFonts w:hint="eastAsia" w:ascii="宋体" w:hAnsi="宋体" w:cs="仿宋"/>
          <w:sz w:val="28"/>
          <w:szCs w:val="28"/>
        </w:rPr>
        <w:t>（11）</w:t>
      </w:r>
      <w:r>
        <w:rPr>
          <w:rFonts w:ascii="宋体" w:hAnsi="宋体" w:cs="仿宋"/>
          <w:sz w:val="28"/>
          <w:szCs w:val="28"/>
        </w:rPr>
        <w:t>粉尘爆炸危险场所的20区未使用防爆电气设备设施。</w:t>
      </w:r>
    </w:p>
    <w:p w14:paraId="3ACA9742">
      <w:pPr>
        <w:widowControl/>
        <w:spacing w:line="360" w:lineRule="auto"/>
        <w:jc w:val="left"/>
        <w:rPr>
          <w:rFonts w:hint="eastAsia" w:ascii="宋体" w:hAnsi="宋体" w:cs="仿宋"/>
          <w:sz w:val="28"/>
          <w:szCs w:val="28"/>
        </w:rPr>
      </w:pPr>
      <w:bookmarkStart w:id="155" w:name="_Toc466565086"/>
      <w:bookmarkStart w:id="156" w:name="_Toc465778170"/>
      <w:bookmarkStart w:id="157" w:name="_Toc465780513"/>
      <w:bookmarkStart w:id="158" w:name="_Toc480036119"/>
      <w:r>
        <w:rPr>
          <w:rFonts w:hint="eastAsia" w:ascii="黑体" w:hAnsi="黑体" w:eastAsia="黑体"/>
          <w:sz w:val="32"/>
          <w:szCs w:val="32"/>
          <w:lang w:val="en-US" w:eastAsia="zh-CN"/>
        </w:rPr>
        <w:t>6</w:t>
      </w:r>
      <w:r>
        <w:rPr>
          <w:rFonts w:hint="eastAsia" w:ascii="黑体" w:hAnsi="黑体" w:eastAsia="黑体"/>
          <w:sz w:val="32"/>
          <w:szCs w:val="32"/>
        </w:rPr>
        <w:t>事故隐患治理</w:t>
      </w:r>
      <w:bookmarkEnd w:id="155"/>
      <w:bookmarkEnd w:id="156"/>
      <w:bookmarkEnd w:id="157"/>
      <w:r>
        <w:rPr>
          <w:rFonts w:hint="eastAsia" w:ascii="黑体" w:hAnsi="黑体" w:eastAsia="黑体"/>
          <w:sz w:val="32"/>
          <w:szCs w:val="32"/>
        </w:rPr>
        <w:t>程序和要求</w:t>
      </w:r>
      <w:bookmarkEnd w:id="158"/>
    </w:p>
    <w:p w14:paraId="4BD2C885">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事故隐患治理流程包括：通报隐患信息、下发隐患整改通知、实施隐患治理、治理情况反馈、验收等环节。</w:t>
      </w:r>
    </w:p>
    <w:p w14:paraId="45D71468">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隐患排查结束后，将隐患名称、存在位置、不符合状况、隐患等级、治理期限及治理措施要求等信息向从业人员进行通报。隐患排查组织部门应下发隐患整改通知书，应对隐患整改责任单位、措施建议、完成期限等提出要求。隐患存在单位在实施隐患治理前应当对隐患存在的原因进行分析，并制定可靠的治理措施。隐患整改通知制发部门应当对隐患整改效果组织验收。</w:t>
      </w:r>
    </w:p>
    <w:p w14:paraId="4030B5B4">
      <w:pPr>
        <w:pStyle w:val="3"/>
        <w:adjustRightInd w:val="0"/>
        <w:snapToGrid w:val="0"/>
        <w:spacing w:after="0" w:line="360" w:lineRule="auto"/>
        <w:ind w:left="0" w:leftChars="0"/>
        <w:outlineLvl w:val="1"/>
        <w:rPr>
          <w:rFonts w:hint="eastAsia" w:ascii="黑体" w:hAnsi="黑体" w:eastAsia="黑体"/>
          <w:color w:val="000000"/>
          <w:sz w:val="30"/>
          <w:szCs w:val="30"/>
        </w:rPr>
      </w:pPr>
      <w:bookmarkStart w:id="159" w:name="_Toc480036120"/>
      <w:r>
        <w:rPr>
          <w:rFonts w:hint="eastAsia" w:ascii="黑体" w:hAnsi="黑体" w:eastAsia="黑体"/>
          <w:color w:val="000000"/>
          <w:sz w:val="30"/>
          <w:szCs w:val="30"/>
          <w:lang w:val="en-US" w:eastAsia="zh-CN"/>
        </w:rPr>
        <w:t>6</w:t>
      </w:r>
      <w:r>
        <w:rPr>
          <w:rFonts w:ascii="黑体" w:hAnsi="黑体" w:eastAsia="黑体"/>
          <w:color w:val="000000"/>
          <w:sz w:val="30"/>
          <w:szCs w:val="30"/>
        </w:rPr>
        <w:t>.1</w:t>
      </w:r>
      <w:r>
        <w:rPr>
          <w:rFonts w:hint="eastAsia" w:ascii="黑体" w:hAnsi="黑体" w:eastAsia="黑体"/>
          <w:color w:val="000000"/>
          <w:sz w:val="30"/>
          <w:szCs w:val="30"/>
        </w:rPr>
        <w:t>事故隐患排查报告和隐患建档监控</w:t>
      </w:r>
      <w:bookmarkEnd w:id="159"/>
    </w:p>
    <w:p w14:paraId="359B792D">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公司每月对事故隐患排查治理情况进行统计分析，并按照规定的时间和形式报送安全监管监察部门和有关部门。</w:t>
      </w:r>
    </w:p>
    <w:p w14:paraId="298411A2">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（1）隐患排查应认真填写检查记录，发现事故隐患的，立即报告上级领导和相关职能部门。</w:t>
      </w:r>
    </w:p>
    <w:p w14:paraId="09E384F5">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（2）各级领导和相关职能部门接到事故隐患报告后，应立即组织处理。</w:t>
      </w:r>
    </w:p>
    <w:p w14:paraId="62E35569">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3）公司级综合检查、专业检查、季节性检查、管理人员检查发现的隐患和问题，应以情况简报或安全检查隐患问题整改通知单形式通知被检部门，严重威胁安全生产的隐患项目，应下达《隐患整改通知书》，被检单位应签字确认。</w:t>
      </w:r>
    </w:p>
    <w:p w14:paraId="3736051C">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4）公司级（包括各专业部门）、车间均应建立隐患整改台帐，对事故隐患进行有效监控，落实责任人。台帐内容包括隐患名称、检查日期、原因分析、整改措施、计划完成日期、实际完成日期、整改负责人、整改确认人、确认日期、备注等项目内容，并在备注项目中注明发现隐患的个人或组织。</w:t>
      </w:r>
    </w:p>
    <w:p w14:paraId="4A4B0A4C">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（5）各级单位应当定期对安全检查和隐患治理情况进行统计分析，并向上级领导和有关部门报告。</w:t>
      </w:r>
    </w:p>
    <w:p w14:paraId="72D393D2">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①班组每周对本单位事故隐患排查理情况进行统计分析，并报告车间领导。</w:t>
      </w:r>
    </w:p>
    <w:p w14:paraId="141E0B34">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②各部门、车间每月、每年对本专业部门、本车间事故隐患排查治理情况进行统计分析，并分别于下月初或次年初向厂领导、安环部和有关职能部门报送书面统计分析表。统计分析表由部门、车间主要负责人签字。</w:t>
      </w:r>
    </w:p>
    <w:p w14:paraId="71F67772">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③对于重大事故隐患，除依照上述规定报送外，应当及时向公司领导、安全领导小组和相关部门报告，安全领导小组汇总并存档。重大事故隐患报告内容应当包括：</w:t>
      </w:r>
    </w:p>
    <w:p w14:paraId="1BB36707">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A.隐患的现状及其产生原因；</w:t>
      </w:r>
    </w:p>
    <w:p w14:paraId="721DC673">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B.隐患的危害程度和整改难易程度分析；</w:t>
      </w:r>
    </w:p>
    <w:p w14:paraId="0FCDC0EE">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C.隐患的治理方案。</w:t>
      </w:r>
    </w:p>
    <w:p w14:paraId="45BF712E">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④安全领导小组每季、每年对事故隐患排查治理情况进行统计分析，统计分析表报公司总经理签字确认。</w:t>
      </w:r>
    </w:p>
    <w:p w14:paraId="5114D730">
      <w:pPr>
        <w:adjustRightInd w:val="0"/>
        <w:snapToGrid w:val="0"/>
        <w:spacing w:line="360" w:lineRule="auto"/>
        <w:ind w:firstLine="560" w:firstLineChars="200"/>
        <w:jc w:val="left"/>
        <w:rPr>
          <w:rFonts w:ascii="宋体" w:hAnsi="宋体" w:cs="仿宋"/>
          <w:sz w:val="28"/>
          <w:szCs w:val="28"/>
        </w:rPr>
      </w:pPr>
      <w:r>
        <w:rPr>
          <w:rFonts w:hint="eastAsia" w:ascii="宋体" w:hAnsi="宋体" w:cs="仿宋"/>
          <w:sz w:val="28"/>
          <w:szCs w:val="28"/>
        </w:rPr>
        <w:t>⑤对于重大事故隐患，除依照上述规定报送外，应当及时向安全生产监督管理部门报告。</w:t>
      </w:r>
    </w:p>
    <w:p w14:paraId="7D08793C">
      <w:pPr>
        <w:adjustRightInd w:val="0"/>
        <w:snapToGrid w:val="0"/>
        <w:spacing w:line="360" w:lineRule="auto"/>
        <w:ind w:firstLine="560" w:firstLineChars="200"/>
        <w:jc w:val="left"/>
        <w:rPr>
          <w:rFonts w:ascii="宋体" w:hAnsi="宋体" w:cs="仿宋"/>
          <w:sz w:val="28"/>
          <w:szCs w:val="28"/>
        </w:rPr>
      </w:pPr>
      <w:r>
        <w:rPr>
          <w:rFonts w:hint="eastAsia" w:ascii="宋体" w:hAnsi="宋体" w:cs="仿宋"/>
          <w:sz w:val="28"/>
          <w:szCs w:val="28"/>
        </w:rPr>
        <w:t>（6）事故隐患排查治理档案应当包括事故隐患的发现日期、基本情况、类型等级、治理情况等内容，并妥善保存。一般事故隐患排查治理档案至少保存1年，重大事故隐患排查治理档案至少保存3年。</w:t>
      </w:r>
    </w:p>
    <w:p w14:paraId="2C2C0DD9">
      <w:pPr>
        <w:pStyle w:val="3"/>
        <w:adjustRightInd w:val="0"/>
        <w:snapToGrid w:val="0"/>
        <w:spacing w:after="0" w:line="360" w:lineRule="auto"/>
        <w:ind w:left="0" w:leftChars="0"/>
        <w:outlineLvl w:val="1"/>
        <w:rPr>
          <w:rFonts w:hint="eastAsia" w:ascii="黑体" w:hAnsi="黑体" w:eastAsia="黑体"/>
          <w:color w:val="000000"/>
          <w:sz w:val="30"/>
          <w:szCs w:val="30"/>
        </w:rPr>
      </w:pPr>
      <w:bookmarkStart w:id="160" w:name="_Toc465778171"/>
      <w:bookmarkStart w:id="161" w:name="_Toc465780514"/>
      <w:bookmarkStart w:id="162" w:name="_Toc466565087"/>
      <w:bookmarkStart w:id="163" w:name="_Toc480036121"/>
      <w:r>
        <w:rPr>
          <w:rFonts w:hint="eastAsia" w:ascii="黑体" w:hAnsi="黑体" w:eastAsia="黑体"/>
          <w:color w:val="000000"/>
          <w:sz w:val="30"/>
          <w:szCs w:val="30"/>
          <w:lang w:val="en-US" w:eastAsia="zh-CN"/>
        </w:rPr>
        <w:t>6</w:t>
      </w:r>
      <w:r>
        <w:rPr>
          <w:rFonts w:ascii="黑体" w:hAnsi="黑体" w:eastAsia="黑体"/>
          <w:color w:val="000000"/>
          <w:sz w:val="30"/>
          <w:szCs w:val="30"/>
        </w:rPr>
        <w:t>.2</w:t>
      </w:r>
      <w:r>
        <w:rPr>
          <w:rFonts w:hint="eastAsia" w:ascii="黑体" w:hAnsi="黑体" w:eastAsia="黑体"/>
          <w:color w:val="000000"/>
          <w:sz w:val="30"/>
          <w:szCs w:val="30"/>
        </w:rPr>
        <w:t>一般隐患治理</w:t>
      </w:r>
      <w:bookmarkEnd w:id="160"/>
      <w:bookmarkEnd w:id="161"/>
      <w:bookmarkEnd w:id="162"/>
      <w:bookmarkEnd w:id="163"/>
    </w:p>
    <w:p w14:paraId="54467DEF">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对于一般事故隐患，根据隐患治理的分级，由各级（公司、车间、部门、班组等）负责人或者有关人员负责组织整改，整改情况要安排专人进行确认。</w:t>
      </w:r>
    </w:p>
    <w:p w14:paraId="1C1EF802">
      <w:pPr>
        <w:pStyle w:val="3"/>
        <w:adjustRightInd w:val="0"/>
        <w:snapToGrid w:val="0"/>
        <w:spacing w:after="0" w:line="360" w:lineRule="auto"/>
        <w:ind w:left="0" w:leftChars="0"/>
        <w:outlineLvl w:val="1"/>
        <w:rPr>
          <w:rFonts w:hint="eastAsia" w:ascii="黑体" w:hAnsi="黑体" w:eastAsia="黑体"/>
          <w:color w:val="000000"/>
          <w:sz w:val="30"/>
          <w:szCs w:val="30"/>
        </w:rPr>
      </w:pPr>
      <w:bookmarkStart w:id="164" w:name="_Toc480036122"/>
      <w:bookmarkStart w:id="165" w:name="_Toc465778172"/>
      <w:bookmarkStart w:id="166" w:name="_Toc465780515"/>
      <w:bookmarkStart w:id="167" w:name="_Toc466565088"/>
      <w:r>
        <w:rPr>
          <w:rFonts w:hint="eastAsia" w:ascii="黑体" w:hAnsi="黑体" w:eastAsia="黑体"/>
          <w:color w:val="000000"/>
          <w:sz w:val="30"/>
          <w:szCs w:val="30"/>
          <w:lang w:val="en-US" w:eastAsia="zh-CN"/>
        </w:rPr>
        <w:t>6</w:t>
      </w:r>
      <w:r>
        <w:rPr>
          <w:rFonts w:ascii="黑体" w:hAnsi="黑体" w:eastAsia="黑体"/>
          <w:color w:val="000000"/>
          <w:sz w:val="30"/>
          <w:szCs w:val="30"/>
        </w:rPr>
        <w:t>.3</w:t>
      </w:r>
      <w:r>
        <w:rPr>
          <w:rFonts w:hint="eastAsia" w:ascii="黑体" w:hAnsi="黑体" w:eastAsia="黑体"/>
          <w:color w:val="000000"/>
          <w:sz w:val="30"/>
          <w:szCs w:val="30"/>
        </w:rPr>
        <w:t>重大隐患治理</w:t>
      </w:r>
      <w:bookmarkEnd w:id="164"/>
      <w:bookmarkEnd w:id="165"/>
      <w:bookmarkEnd w:id="166"/>
      <w:bookmarkEnd w:id="167"/>
    </w:p>
    <w:p w14:paraId="385958B0">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经判定或评估属于重大事故隐患的，及时组织评估，并编制事故隐患评估报告书。评估报告书包括事故隐患的类别、影响范围和风险程度以及对事故隐患的监控措施、治理方式、治理期限的建议等内容。</w:t>
      </w:r>
    </w:p>
    <w:p w14:paraId="1B4C6624">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根据评估报告书制定重大事故隐患治理方案。治理方案应包括下列主要内容：</w:t>
      </w:r>
    </w:p>
    <w:p w14:paraId="2B3A74A6">
      <w:pPr>
        <w:pStyle w:val="13"/>
        <w:numPr>
          <w:ilvl w:val="0"/>
          <w:numId w:val="0"/>
        </w:numPr>
        <w:adjustRightInd w:val="0"/>
        <w:snapToGrid w:val="0"/>
        <w:spacing w:line="360" w:lineRule="auto"/>
        <w:ind w:left="710"/>
        <w:rPr>
          <w:rFonts w:hint="eastAsia" w:hAnsi="宋体" w:cs="仿宋"/>
          <w:sz w:val="28"/>
          <w:szCs w:val="28"/>
        </w:rPr>
      </w:pPr>
      <w:r>
        <w:rPr>
          <w:rFonts w:hint="eastAsia" w:hAnsi="宋体" w:cs="仿宋"/>
          <w:sz w:val="28"/>
          <w:szCs w:val="28"/>
        </w:rPr>
        <w:t>（1）治理的目标和任务；</w:t>
      </w:r>
    </w:p>
    <w:p w14:paraId="64763D56">
      <w:pPr>
        <w:pStyle w:val="13"/>
        <w:numPr>
          <w:ilvl w:val="0"/>
          <w:numId w:val="0"/>
        </w:numPr>
        <w:adjustRightInd w:val="0"/>
        <w:snapToGrid w:val="0"/>
        <w:spacing w:line="360" w:lineRule="auto"/>
        <w:ind w:left="710"/>
        <w:rPr>
          <w:rFonts w:hint="eastAsia" w:hAnsi="宋体" w:cs="仿宋"/>
          <w:sz w:val="28"/>
          <w:szCs w:val="28"/>
        </w:rPr>
      </w:pPr>
      <w:r>
        <w:rPr>
          <w:rFonts w:hint="eastAsia" w:hAnsi="宋体" w:cs="仿宋"/>
          <w:sz w:val="28"/>
          <w:szCs w:val="28"/>
        </w:rPr>
        <w:t>（2）采取的方法和措施；</w:t>
      </w:r>
    </w:p>
    <w:p w14:paraId="29721245">
      <w:pPr>
        <w:pStyle w:val="13"/>
        <w:numPr>
          <w:ilvl w:val="0"/>
          <w:numId w:val="0"/>
        </w:numPr>
        <w:adjustRightInd w:val="0"/>
        <w:snapToGrid w:val="0"/>
        <w:spacing w:line="360" w:lineRule="auto"/>
        <w:ind w:left="710"/>
        <w:rPr>
          <w:rFonts w:hint="eastAsia" w:hAnsi="宋体" w:cs="仿宋"/>
          <w:sz w:val="28"/>
          <w:szCs w:val="28"/>
        </w:rPr>
      </w:pPr>
      <w:r>
        <w:rPr>
          <w:rFonts w:hint="eastAsia" w:hAnsi="宋体" w:cs="仿宋"/>
          <w:sz w:val="28"/>
          <w:szCs w:val="28"/>
        </w:rPr>
        <w:t>（3）经费和物资的落实；</w:t>
      </w:r>
    </w:p>
    <w:p w14:paraId="173CEFBA">
      <w:pPr>
        <w:pStyle w:val="13"/>
        <w:numPr>
          <w:ilvl w:val="0"/>
          <w:numId w:val="0"/>
        </w:numPr>
        <w:adjustRightInd w:val="0"/>
        <w:snapToGrid w:val="0"/>
        <w:spacing w:line="360" w:lineRule="auto"/>
        <w:ind w:left="710"/>
        <w:rPr>
          <w:rFonts w:hint="eastAsia" w:hAnsi="宋体" w:cs="仿宋"/>
          <w:sz w:val="28"/>
          <w:szCs w:val="28"/>
        </w:rPr>
      </w:pPr>
      <w:r>
        <w:rPr>
          <w:rFonts w:hint="eastAsia" w:hAnsi="宋体" w:cs="仿宋"/>
          <w:sz w:val="28"/>
          <w:szCs w:val="28"/>
        </w:rPr>
        <w:t>（4）负责治理的机构和人员；</w:t>
      </w:r>
    </w:p>
    <w:p w14:paraId="0D558153">
      <w:pPr>
        <w:pStyle w:val="13"/>
        <w:numPr>
          <w:ilvl w:val="0"/>
          <w:numId w:val="0"/>
        </w:numPr>
        <w:adjustRightInd w:val="0"/>
        <w:snapToGrid w:val="0"/>
        <w:spacing w:line="360" w:lineRule="auto"/>
        <w:ind w:left="710"/>
        <w:rPr>
          <w:rFonts w:hint="eastAsia" w:hAnsi="宋体" w:cs="仿宋"/>
          <w:sz w:val="28"/>
          <w:szCs w:val="28"/>
        </w:rPr>
      </w:pPr>
      <w:r>
        <w:rPr>
          <w:rFonts w:hint="eastAsia" w:hAnsi="宋体" w:cs="仿宋"/>
          <w:sz w:val="28"/>
          <w:szCs w:val="28"/>
        </w:rPr>
        <w:t>（5）治理的时限和要求；</w:t>
      </w:r>
    </w:p>
    <w:p w14:paraId="67C018A8">
      <w:pPr>
        <w:pStyle w:val="13"/>
        <w:numPr>
          <w:ilvl w:val="0"/>
          <w:numId w:val="0"/>
        </w:numPr>
        <w:adjustRightInd w:val="0"/>
        <w:snapToGrid w:val="0"/>
        <w:spacing w:line="360" w:lineRule="auto"/>
        <w:ind w:left="710"/>
        <w:rPr>
          <w:rFonts w:hint="eastAsia" w:hAnsi="宋体" w:cs="仿宋"/>
          <w:sz w:val="28"/>
          <w:szCs w:val="28"/>
        </w:rPr>
      </w:pPr>
      <w:r>
        <w:rPr>
          <w:rFonts w:hint="eastAsia" w:hAnsi="宋体" w:cs="仿宋"/>
          <w:sz w:val="28"/>
          <w:szCs w:val="28"/>
        </w:rPr>
        <w:t>（6）防止整改期间发生事故的安全措施。</w:t>
      </w:r>
    </w:p>
    <w:p w14:paraId="4D0E63BC">
      <w:pPr>
        <w:pStyle w:val="3"/>
        <w:adjustRightInd w:val="0"/>
        <w:snapToGrid w:val="0"/>
        <w:spacing w:after="0" w:line="360" w:lineRule="auto"/>
        <w:ind w:left="0" w:leftChars="0"/>
        <w:outlineLvl w:val="1"/>
        <w:rPr>
          <w:rFonts w:hint="eastAsia" w:ascii="黑体" w:hAnsi="黑体" w:eastAsia="黑体"/>
          <w:color w:val="000000"/>
          <w:sz w:val="30"/>
          <w:szCs w:val="30"/>
        </w:rPr>
      </w:pPr>
      <w:bookmarkStart w:id="168" w:name="_Toc465778173"/>
      <w:bookmarkStart w:id="169" w:name="_Toc465780516"/>
      <w:bookmarkStart w:id="170" w:name="_Toc480036123"/>
      <w:bookmarkStart w:id="171" w:name="_Toc466565089"/>
      <w:r>
        <w:rPr>
          <w:rFonts w:hint="eastAsia" w:ascii="黑体" w:hAnsi="黑体" w:eastAsia="黑体"/>
          <w:color w:val="000000"/>
          <w:sz w:val="30"/>
          <w:szCs w:val="30"/>
          <w:lang w:val="en-US" w:eastAsia="zh-CN"/>
        </w:rPr>
        <w:t>6</w:t>
      </w:r>
      <w:r>
        <w:rPr>
          <w:rFonts w:ascii="黑体" w:hAnsi="黑体" w:eastAsia="黑体"/>
          <w:color w:val="000000"/>
          <w:sz w:val="30"/>
          <w:szCs w:val="30"/>
        </w:rPr>
        <w:t>.4</w:t>
      </w:r>
      <w:r>
        <w:rPr>
          <w:rFonts w:hint="eastAsia" w:ascii="黑体" w:hAnsi="黑体" w:eastAsia="黑体"/>
          <w:color w:val="000000"/>
          <w:sz w:val="30"/>
          <w:szCs w:val="30"/>
        </w:rPr>
        <w:t>隐患治理及验收</w:t>
      </w:r>
      <w:bookmarkEnd w:id="168"/>
      <w:bookmarkEnd w:id="169"/>
      <w:bookmarkEnd w:id="170"/>
      <w:bookmarkEnd w:id="171"/>
    </w:p>
    <w:p w14:paraId="28AF38ED">
      <w:pPr>
        <w:pStyle w:val="12"/>
        <w:widowControl w:val="0"/>
        <w:adjustRightInd w:val="0"/>
        <w:snapToGrid w:val="0"/>
        <w:spacing w:line="360" w:lineRule="auto"/>
        <w:ind w:firstLine="560"/>
        <w:rPr>
          <w:rFonts w:hAnsi="宋体"/>
          <w:sz w:val="28"/>
          <w:szCs w:val="28"/>
        </w:rPr>
      </w:pPr>
      <w:r>
        <w:rPr>
          <w:rFonts w:hint="eastAsia" w:hAnsi="宋体" w:cs="仿宋"/>
          <w:sz w:val="28"/>
          <w:szCs w:val="28"/>
        </w:rPr>
        <w:t>隐患治理完成后，应根据隐患级别组织相关人员对治理情况进行验收，实现闭环管理。重大隐患治理工作结束后，组织对治理情况进行复查评估。</w:t>
      </w:r>
    </w:p>
    <w:p w14:paraId="73F6BA59">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（1）对于检查中发现的所有问题，责任单位对查出的隐患和问题都要逐项分析研究，及时拿出落实措施，落实整改措施。</w:t>
      </w:r>
    </w:p>
    <w:p w14:paraId="19C3B1B2">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（2）对于一般事故隐患，部门、车间、班组负责人或者有关人员立即组织整改。</w:t>
      </w:r>
    </w:p>
    <w:p w14:paraId="4BF9A015">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（3）对严重威胁安全生产，有整改条件的隐患项目，应下达《隐患整改通知书》，做到“四定”。即定项目措施、定时间、定人员、定资金来源。隐患整改通知单要存档备查。</w:t>
      </w:r>
    </w:p>
    <w:p w14:paraId="5CA17B48">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（4）各专业检查和公司级检查的隐患整改通知单由安全领导小组下达，经公司主管领导签署意见后发出；隐患所在部门负责人签收，不按期整改或由于不抓紧整改而酿成事故的要追究有关领导的责任。</w:t>
      </w:r>
    </w:p>
    <w:p w14:paraId="1E6B76BB">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（5）对于重大事故隐患，公司总经理组织制定并实施事故隐患治理方案。</w:t>
      </w:r>
    </w:p>
    <w:p w14:paraId="6AD210D8">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6）各单位在事故隐患治理过程中，应当采取相应的安全防范措施，防止事故发生。事故隐患排除前或者排除过程中无法保证安全的，应当从危险区域内撤出作业人员，并疏散可能危及的其他人员，设置警戒标志，暂时停产停业或者停止使用；对暂时难以停产或者停止使用的相关生产储存装置、设施、设备，应当加强维护和保养，防止事故发生。</w:t>
      </w:r>
    </w:p>
    <w:p w14:paraId="40317741">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 xml:space="preserve">（7）对因物质、技术所限暂时不具备整改条件的重大隐患，必须在期限前2天将原因书面报安全领导小组，同时必须采取应急的防范措施。公司应将此纳入年度技措、安措、计划检修和大修计划内，限期解决或停产。确因非公司因素而不具备整改能力的，上报政府有关部门。 </w:t>
      </w:r>
    </w:p>
    <w:p w14:paraId="6EF3BFC2">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（8）对隐患和问题的整改情况，应进行复查（验收），跟踪督促落实，形成闭环管理。</w:t>
      </w:r>
    </w:p>
    <w:p w14:paraId="12CDF558">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（9）各项检查结果、隐患整改情况、验收结果应及时报安全部门，安全领导小组登记安全检查、事故隐患整改台帐。</w:t>
      </w:r>
    </w:p>
    <w:p w14:paraId="4ED14A84">
      <w:pPr>
        <w:adjustRightInd w:val="0"/>
        <w:snapToGrid w:val="0"/>
        <w:spacing w:line="360" w:lineRule="auto"/>
        <w:jc w:val="left"/>
        <w:outlineLvl w:val="0"/>
        <w:rPr>
          <w:rFonts w:ascii="黑体" w:hAnsi="黑体" w:eastAsia="黑体"/>
          <w:sz w:val="32"/>
          <w:szCs w:val="32"/>
        </w:rPr>
      </w:pPr>
      <w:bookmarkStart w:id="172" w:name="_Toc480036124"/>
      <w:r>
        <w:rPr>
          <w:rFonts w:hint="eastAsia" w:ascii="黑体" w:hAnsi="黑体" w:eastAsia="黑体"/>
          <w:sz w:val="32"/>
          <w:szCs w:val="32"/>
          <w:lang w:val="en-US" w:eastAsia="zh-CN"/>
        </w:rPr>
        <w:t>7</w:t>
      </w:r>
      <w:r>
        <w:rPr>
          <w:rFonts w:ascii="黑体" w:hAnsi="黑体" w:eastAsia="黑体"/>
          <w:sz w:val="32"/>
          <w:szCs w:val="32"/>
        </w:rPr>
        <w:t>事故隐患排查治理资金使用专项制度</w:t>
      </w:r>
      <w:bookmarkEnd w:id="172"/>
      <w:r>
        <w:rPr>
          <w:rFonts w:ascii="黑体" w:hAnsi="黑体" w:eastAsia="黑体"/>
          <w:sz w:val="32"/>
          <w:szCs w:val="32"/>
        </w:rPr>
        <w:tab/>
      </w:r>
    </w:p>
    <w:p w14:paraId="1DD67A88">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（1）在年度财务计划安排时，将事故隐患排查治理所需资金列入财务预算，予以资金保障。</w:t>
      </w:r>
    </w:p>
    <w:p w14:paraId="756656A5">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（2）按照相关法律法规的的要求足额提取安全费用，事故隐患排查治理所需资金，从提取的费用中支付。</w:t>
      </w:r>
    </w:p>
    <w:p w14:paraId="296CC896">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（3）事故隐患排查治理所需资金，主要包括事故隐患治理的费用、宣传费用和专项奖励。</w:t>
      </w:r>
    </w:p>
    <w:p w14:paraId="72D8FDCD">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（4）事故隐患排查治理所需资金，由负责隐患治理的相关部门、下属单位编制资金使用计划，经安全领导小组审核，单位负责人批准后使用。</w:t>
      </w:r>
    </w:p>
    <w:p w14:paraId="583AAF91">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（5）财务部门对事故隐患排查治理所需资金，单独建帐加强管理。</w:t>
      </w:r>
    </w:p>
    <w:p w14:paraId="555FC07A">
      <w:pPr>
        <w:adjustRightInd w:val="0"/>
        <w:snapToGrid w:val="0"/>
        <w:spacing w:before="156" w:beforeLines="50" w:after="156" w:afterLines="50" w:line="360" w:lineRule="auto"/>
        <w:jc w:val="left"/>
        <w:outlineLvl w:val="0"/>
        <w:rPr>
          <w:rFonts w:hint="eastAsia" w:ascii="黑体" w:hAnsi="黑体" w:eastAsia="黑体"/>
          <w:sz w:val="32"/>
          <w:szCs w:val="32"/>
        </w:rPr>
      </w:pPr>
      <w:bookmarkStart w:id="173" w:name="_Toc480036125"/>
      <w:bookmarkStart w:id="174" w:name="_Toc465778175"/>
      <w:bookmarkStart w:id="175" w:name="_Toc466565091"/>
      <w:bookmarkStart w:id="176" w:name="_Toc465780518"/>
      <w:bookmarkStart w:id="177" w:name="_Toc465780520"/>
      <w:bookmarkStart w:id="178" w:name="_Toc466565093"/>
      <w:bookmarkStart w:id="179" w:name="_Toc480036128"/>
      <w:bookmarkStart w:id="180" w:name="_Toc465778177"/>
      <w:r>
        <w:rPr>
          <w:rFonts w:hint="eastAsia" w:ascii="黑体" w:hAnsi="黑体" w:eastAsia="黑体"/>
          <w:sz w:val="32"/>
          <w:szCs w:val="32"/>
          <w:lang w:val="en-US" w:eastAsia="zh-CN"/>
        </w:rPr>
        <w:t>8</w:t>
      </w:r>
      <w:r>
        <w:rPr>
          <w:rFonts w:hint="eastAsia" w:ascii="黑体" w:hAnsi="黑体" w:eastAsia="黑体"/>
          <w:sz w:val="32"/>
          <w:szCs w:val="32"/>
        </w:rPr>
        <w:t>文件管理</w:t>
      </w:r>
      <w:bookmarkEnd w:id="173"/>
      <w:bookmarkEnd w:id="174"/>
      <w:bookmarkEnd w:id="175"/>
      <w:bookmarkEnd w:id="176"/>
      <w:r>
        <w:rPr>
          <w:rFonts w:hint="eastAsia" w:ascii="黑体" w:hAnsi="黑体" w:eastAsia="黑体"/>
          <w:sz w:val="32"/>
          <w:szCs w:val="32"/>
        </w:rPr>
        <w:t>和隐患排查的效果</w:t>
      </w:r>
    </w:p>
    <w:p w14:paraId="3121FE5F">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在隐患排查治理体系策划、实施及持续改进过程中，完整保存体现隐患排查全过程的记录资料，并分类建档管理。包括：隐患排查治理制度、隐患排查治理台账、隐患排查项目清单等内容的文件成果。</w:t>
      </w:r>
    </w:p>
    <w:p w14:paraId="4C47A4A7">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重大事故隐患排查、评估记录，隐患整改复查验收记录等，单独建档管理。</w:t>
      </w:r>
    </w:p>
    <w:p w14:paraId="4592BAF9">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通过隐患排查治理体系的建设，至少在以下方面有所改进：</w:t>
      </w:r>
    </w:p>
    <w:p w14:paraId="42BECE16">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（1）风险控制措施全面持续有效；</w:t>
      </w:r>
    </w:p>
    <w:p w14:paraId="67B9E440">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（2）风险管控能力得到加强和提升；</w:t>
      </w:r>
    </w:p>
    <w:p w14:paraId="05AC0E01">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（3）隐患排查治理制度进一步完善；</w:t>
      </w:r>
    </w:p>
    <w:p w14:paraId="46B43E5F">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（4）各级排查责任得到进一步落实；</w:t>
      </w:r>
    </w:p>
    <w:p w14:paraId="39A29500">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（5）员工隐患排查水平进一步提高；</w:t>
      </w:r>
    </w:p>
    <w:p w14:paraId="793668F3">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（6）对隐患频率较高的风险重新进行评价、分级，并制定完善控制措施；</w:t>
      </w:r>
    </w:p>
    <w:p w14:paraId="1F21949C">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（7）生产安全事故明显减少；</w:t>
      </w:r>
    </w:p>
    <w:p w14:paraId="393EDFF8">
      <w:pPr>
        <w:pStyle w:val="12"/>
        <w:widowControl w:val="0"/>
        <w:adjustRightInd w:val="0"/>
        <w:snapToGrid w:val="0"/>
        <w:spacing w:line="360" w:lineRule="auto"/>
        <w:ind w:firstLine="560"/>
        <w:rPr>
          <w:rFonts w:hint="eastAsia" w:hAnsi="宋体" w:cs="仿宋"/>
          <w:sz w:val="28"/>
          <w:szCs w:val="28"/>
        </w:rPr>
      </w:pPr>
      <w:r>
        <w:rPr>
          <w:rFonts w:hint="eastAsia" w:hAnsi="宋体" w:cs="仿宋"/>
          <w:sz w:val="28"/>
          <w:szCs w:val="28"/>
        </w:rPr>
        <w:t>（8）职业健康管理水平进一步提升。</w:t>
      </w:r>
    </w:p>
    <w:p w14:paraId="09846491">
      <w:pPr>
        <w:adjustRightInd w:val="0"/>
        <w:snapToGrid w:val="0"/>
        <w:spacing w:before="156" w:beforeLines="50" w:after="156" w:afterLines="50" w:line="360" w:lineRule="auto"/>
        <w:jc w:val="left"/>
        <w:outlineLvl w:val="0"/>
        <w:rPr>
          <w:rFonts w:hint="eastAsia" w:ascii="黑体" w:hAnsi="黑体" w:eastAsia="黑体"/>
          <w:sz w:val="32"/>
          <w:szCs w:val="32"/>
        </w:rPr>
      </w:pPr>
      <w:r>
        <w:rPr>
          <w:rFonts w:hint="eastAsia" w:ascii="黑体" w:hAnsi="黑体" w:eastAsia="黑体"/>
          <w:sz w:val="32"/>
          <w:szCs w:val="32"/>
          <w:lang w:val="en-US" w:eastAsia="zh-CN"/>
        </w:rPr>
        <w:t>9</w:t>
      </w:r>
      <w:r>
        <w:rPr>
          <w:rFonts w:hint="eastAsia" w:ascii="黑体" w:hAnsi="黑体" w:eastAsia="黑体"/>
          <w:sz w:val="32"/>
          <w:szCs w:val="32"/>
        </w:rPr>
        <w:t>教育培训管理</w:t>
      </w:r>
    </w:p>
    <w:p w14:paraId="5AF0397A">
      <w:pPr>
        <w:adjustRightInd w:val="0"/>
        <w:snapToGrid w:val="0"/>
        <w:spacing w:line="360" w:lineRule="auto"/>
        <w:ind w:firstLine="560" w:firstLineChars="200"/>
        <w:jc w:val="left"/>
        <w:rPr>
          <w:rFonts w:hint="eastAsia" w:ascii="宋体" w:hAnsi="宋体" w:cs="仿宋"/>
          <w:sz w:val="28"/>
          <w:szCs w:val="28"/>
        </w:rPr>
      </w:pPr>
      <w:bookmarkStart w:id="181" w:name="_Toc480036127"/>
      <w:r>
        <w:rPr>
          <w:rFonts w:hint="eastAsia" w:ascii="宋体" w:hAnsi="宋体" w:cs="仿宋"/>
          <w:sz w:val="28"/>
          <w:szCs w:val="28"/>
        </w:rPr>
        <w:t>（</w:t>
      </w:r>
      <w:r>
        <w:rPr>
          <w:rFonts w:ascii="宋体" w:hAnsi="宋体" w:cs="仿宋"/>
          <w:sz w:val="28"/>
          <w:szCs w:val="28"/>
        </w:rPr>
        <w:t>1</w:t>
      </w:r>
      <w:r>
        <w:rPr>
          <w:rFonts w:hint="eastAsia" w:ascii="宋体" w:hAnsi="宋体" w:cs="仿宋"/>
          <w:sz w:val="28"/>
          <w:szCs w:val="28"/>
        </w:rPr>
        <w:t>）按照公司制定的教育培训计划切实认真开展隐患排查治理制度、隐患排查治理程序、隐患排查清单等内容的教育培训工作。</w:t>
      </w:r>
    </w:p>
    <w:p w14:paraId="61283729">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w:t>
      </w:r>
      <w:r>
        <w:rPr>
          <w:rFonts w:ascii="宋体" w:hAnsi="宋体" w:cs="仿宋"/>
          <w:sz w:val="28"/>
          <w:szCs w:val="28"/>
        </w:rPr>
        <w:t>2</w:t>
      </w:r>
      <w:r>
        <w:rPr>
          <w:rFonts w:hint="eastAsia" w:ascii="宋体" w:hAnsi="宋体" w:cs="仿宋"/>
          <w:sz w:val="28"/>
          <w:szCs w:val="28"/>
        </w:rPr>
        <w:t>）每一年的企业教育培训计划中，必须安排有关于隐患排查治理的专门计划或课时和内容。</w:t>
      </w:r>
    </w:p>
    <w:p w14:paraId="04BE944A">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w:t>
      </w:r>
      <w:r>
        <w:rPr>
          <w:rFonts w:ascii="宋体" w:hAnsi="宋体" w:cs="仿宋"/>
          <w:sz w:val="28"/>
          <w:szCs w:val="28"/>
        </w:rPr>
        <w:t>3</w:t>
      </w:r>
      <w:r>
        <w:rPr>
          <w:rFonts w:hint="eastAsia" w:ascii="宋体" w:hAnsi="宋体" w:cs="仿宋"/>
          <w:sz w:val="28"/>
          <w:szCs w:val="28"/>
        </w:rPr>
        <w:t>）遇工艺、设备或人员变更等特殊情况，可临时增加专门针对相关人员的隐患排查治理培训教育。</w:t>
      </w:r>
    </w:p>
    <w:p w14:paraId="4E356FB6">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w:t>
      </w:r>
      <w:r>
        <w:rPr>
          <w:rFonts w:ascii="宋体" w:hAnsi="宋体" w:cs="仿宋"/>
          <w:sz w:val="28"/>
          <w:szCs w:val="28"/>
        </w:rPr>
        <w:t>4</w:t>
      </w:r>
      <w:r>
        <w:rPr>
          <w:rFonts w:hint="eastAsia" w:ascii="宋体" w:hAnsi="宋体" w:cs="仿宋"/>
          <w:sz w:val="28"/>
          <w:szCs w:val="28"/>
        </w:rPr>
        <w:t>）培训考核不合格的，要重新培训直至合格方可上岗作业。</w:t>
      </w:r>
    </w:p>
    <w:p w14:paraId="125A40DA">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w:t>
      </w:r>
      <w:r>
        <w:rPr>
          <w:rFonts w:ascii="宋体" w:hAnsi="宋体" w:cs="仿宋"/>
          <w:sz w:val="28"/>
          <w:szCs w:val="28"/>
        </w:rPr>
        <w:t>5</w:t>
      </w:r>
      <w:r>
        <w:rPr>
          <w:rFonts w:hint="eastAsia" w:ascii="宋体" w:hAnsi="宋体" w:cs="仿宋"/>
          <w:sz w:val="28"/>
          <w:szCs w:val="28"/>
        </w:rPr>
        <w:t>）各部门做好课件、资料、考勤、考试等相关记录并存档备查。</w:t>
      </w:r>
    </w:p>
    <w:p w14:paraId="0C64659E">
      <w:pPr>
        <w:adjustRightInd w:val="0"/>
        <w:snapToGrid w:val="0"/>
        <w:spacing w:before="156" w:beforeLines="50" w:after="156" w:afterLines="50" w:line="360" w:lineRule="auto"/>
        <w:jc w:val="left"/>
        <w:outlineLvl w:val="0"/>
        <w:rPr>
          <w:rFonts w:hint="eastAsia" w:ascii="黑体" w:hAnsi="黑体" w:eastAsia="黑体"/>
          <w:sz w:val="32"/>
          <w:szCs w:val="32"/>
        </w:rPr>
      </w:pPr>
      <w:r>
        <w:rPr>
          <w:rFonts w:hint="eastAsia" w:ascii="黑体" w:hAnsi="黑体" w:eastAsia="黑体"/>
          <w:sz w:val="32"/>
          <w:szCs w:val="32"/>
          <w:lang w:val="en-US" w:eastAsia="zh-CN"/>
        </w:rPr>
        <w:t>10</w:t>
      </w:r>
      <w:r>
        <w:rPr>
          <w:rFonts w:hint="eastAsia" w:ascii="黑体" w:hAnsi="黑体" w:eastAsia="黑体"/>
          <w:bCs/>
          <w:color w:val="000000"/>
          <w:sz w:val="32"/>
          <w:szCs w:val="32"/>
        </w:rPr>
        <w:t>运行管理</w:t>
      </w:r>
      <w:r>
        <w:rPr>
          <w:rFonts w:hint="eastAsia" w:ascii="黑体" w:hAnsi="黑体" w:eastAsia="黑体"/>
          <w:sz w:val="32"/>
          <w:szCs w:val="32"/>
        </w:rPr>
        <w:t>考核</w:t>
      </w:r>
      <w:bookmarkEnd w:id="181"/>
    </w:p>
    <w:p w14:paraId="30ACB2D2">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1）本公司每一个岗位都有排查隐患、落实治理措施的责任。隐患排查治理责任部门和责任人未按规定进行隐患排查和整改，或排查不彻底、整改不到位，责令及时彻底排查和整改到位，并视情况进行50-500元罚款。</w:t>
      </w:r>
    </w:p>
    <w:p w14:paraId="2EE13638">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w:t>
      </w:r>
      <w:r>
        <w:rPr>
          <w:rFonts w:ascii="宋体" w:hAnsi="宋体" w:cs="仿宋"/>
          <w:sz w:val="28"/>
          <w:szCs w:val="28"/>
        </w:rPr>
        <w:t>2</w:t>
      </w:r>
      <w:r>
        <w:rPr>
          <w:rFonts w:hint="eastAsia" w:ascii="宋体" w:hAnsi="宋体" w:cs="仿宋"/>
          <w:sz w:val="28"/>
          <w:szCs w:val="28"/>
        </w:rPr>
        <w:t>）对在隐患排查中发现的问题，责令及时整改到位，并视情况进行0-1000元罚款。</w:t>
      </w:r>
    </w:p>
    <w:p w14:paraId="4517237C">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（3）发现重大隐患未及时上报，或故意隐瞒、拖延上报，视情况进行0-1000元罚款。</w:t>
      </w:r>
    </w:p>
    <w:p w14:paraId="03FDC5FD">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（4）</w:t>
      </w:r>
      <w:r>
        <w:rPr>
          <w:rFonts w:ascii="宋体" w:hAnsi="宋体" w:cs="仿宋"/>
          <w:sz w:val="28"/>
          <w:szCs w:val="28"/>
        </w:rPr>
        <w:t>对暂时不具备整改条件的隐患，未制定可靠的监控措施和应急方案，</w:t>
      </w:r>
      <w:r>
        <w:rPr>
          <w:rFonts w:hint="eastAsia" w:ascii="宋体" w:hAnsi="宋体" w:cs="仿宋"/>
          <w:sz w:val="28"/>
          <w:szCs w:val="28"/>
        </w:rPr>
        <w:t>视情况进行50-500元罚款。</w:t>
      </w:r>
    </w:p>
    <w:p w14:paraId="5B8AED04">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（5）鼓励本单位广大员工对存在的未排查出或未整改到位的隐患等进行报告，查实属重大隐患的，视情况给予50-200元奖励。</w:t>
      </w:r>
    </w:p>
    <w:p w14:paraId="124889EB">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（6）奖励方式为在对从业人员月度、年度考核中予以奖励，由工资中体现；罚款方式为依据所下达的调度令上交财务部。</w:t>
      </w:r>
    </w:p>
    <w:p w14:paraId="5FB1E7B6">
      <w:pPr>
        <w:adjustRightInd w:val="0"/>
        <w:snapToGrid w:val="0"/>
        <w:spacing w:before="156" w:beforeLines="50" w:after="156" w:afterLines="50" w:line="360" w:lineRule="auto"/>
        <w:jc w:val="left"/>
        <w:outlineLvl w:val="0"/>
        <w:rPr>
          <w:rFonts w:hint="eastAsia" w:ascii="黑体" w:hAnsi="黑体" w:eastAsia="黑体"/>
          <w:sz w:val="32"/>
          <w:szCs w:val="32"/>
        </w:rPr>
      </w:pPr>
      <w:r>
        <w:rPr>
          <w:rFonts w:hint="eastAsia" w:ascii="黑体" w:hAnsi="黑体" w:eastAsia="黑体"/>
          <w:sz w:val="32"/>
          <w:szCs w:val="32"/>
          <w:lang w:val="en-US" w:eastAsia="zh-CN"/>
        </w:rPr>
        <w:t>11</w:t>
      </w:r>
      <w:r>
        <w:rPr>
          <w:rFonts w:hint="eastAsia" w:ascii="黑体" w:hAnsi="黑体" w:eastAsia="黑体"/>
          <w:sz w:val="32"/>
          <w:szCs w:val="32"/>
        </w:rPr>
        <w:t>持续改进</w:t>
      </w:r>
      <w:bookmarkEnd w:id="177"/>
      <w:bookmarkEnd w:id="178"/>
      <w:bookmarkEnd w:id="179"/>
      <w:bookmarkEnd w:id="180"/>
    </w:p>
    <w:p w14:paraId="49079544">
      <w:pPr>
        <w:pStyle w:val="3"/>
        <w:adjustRightInd w:val="0"/>
        <w:snapToGrid w:val="0"/>
        <w:spacing w:after="0" w:line="360" w:lineRule="auto"/>
        <w:ind w:left="0" w:leftChars="0"/>
        <w:outlineLvl w:val="1"/>
        <w:rPr>
          <w:rFonts w:hint="eastAsia" w:ascii="黑体" w:hAnsi="黑体" w:eastAsia="黑体"/>
          <w:color w:val="000000"/>
          <w:sz w:val="30"/>
          <w:szCs w:val="30"/>
        </w:rPr>
      </w:pPr>
      <w:bookmarkStart w:id="182" w:name="_Toc32478"/>
      <w:bookmarkStart w:id="183" w:name="_Toc465780521"/>
      <w:bookmarkStart w:id="184" w:name="_Toc480036129"/>
      <w:bookmarkStart w:id="185" w:name="_Toc465778178"/>
      <w:bookmarkStart w:id="186" w:name="_Toc466565094"/>
      <w:r>
        <w:rPr>
          <w:rFonts w:hint="eastAsia" w:ascii="黑体" w:hAnsi="黑体" w:eastAsia="黑体"/>
          <w:color w:val="000000"/>
          <w:sz w:val="30"/>
          <w:szCs w:val="30"/>
          <w:lang w:val="en-US" w:eastAsia="zh-CN"/>
        </w:rPr>
        <w:t>11</w:t>
      </w:r>
      <w:r>
        <w:rPr>
          <w:rFonts w:hint="eastAsia" w:ascii="黑体" w:hAnsi="黑体" w:eastAsia="黑体"/>
          <w:color w:val="000000"/>
          <w:sz w:val="30"/>
          <w:szCs w:val="30"/>
        </w:rPr>
        <w:t>.1评审</w:t>
      </w:r>
      <w:bookmarkEnd w:id="182"/>
      <w:bookmarkEnd w:id="183"/>
      <w:bookmarkEnd w:id="184"/>
      <w:bookmarkEnd w:id="185"/>
      <w:bookmarkEnd w:id="186"/>
    </w:p>
    <w:p w14:paraId="6EDD24C5">
      <w:pPr>
        <w:adjustRightInd w:val="0"/>
        <w:snapToGrid w:val="0"/>
        <w:spacing w:line="360" w:lineRule="auto"/>
        <w:ind w:firstLine="560" w:firstLineChars="200"/>
        <w:jc w:val="left"/>
        <w:rPr>
          <w:rFonts w:hint="eastAsia" w:hAnsi="宋体" w:cs="仿宋"/>
          <w:sz w:val="28"/>
          <w:szCs w:val="28"/>
        </w:rPr>
      </w:pPr>
      <w:r>
        <w:rPr>
          <w:rFonts w:hint="eastAsia" w:hAnsi="宋体" w:cs="仿宋"/>
          <w:sz w:val="28"/>
          <w:szCs w:val="28"/>
        </w:rPr>
        <w:t>为确保隐患排查治理体系持续适宜性、充分性和</w:t>
      </w:r>
      <w:r>
        <w:rPr>
          <w:rFonts w:hint="eastAsia" w:ascii="宋体" w:hAnsi="宋体" w:cs="仿宋"/>
          <w:sz w:val="28"/>
          <w:szCs w:val="28"/>
        </w:rPr>
        <w:t>有效性</w:t>
      </w:r>
      <w:r>
        <w:rPr>
          <w:rFonts w:hint="eastAsia" w:hAnsi="宋体" w:cs="仿宋"/>
          <w:sz w:val="28"/>
          <w:szCs w:val="28"/>
        </w:rPr>
        <w:t>本公司每年进行一次评审，并保存评审记录。</w:t>
      </w:r>
    </w:p>
    <w:p w14:paraId="39E40180">
      <w:pPr>
        <w:pStyle w:val="3"/>
        <w:adjustRightInd w:val="0"/>
        <w:snapToGrid w:val="0"/>
        <w:spacing w:after="0" w:line="360" w:lineRule="auto"/>
        <w:ind w:left="0" w:leftChars="0"/>
        <w:outlineLvl w:val="1"/>
        <w:rPr>
          <w:rFonts w:hint="eastAsia" w:ascii="黑体" w:hAnsi="黑体" w:eastAsia="黑体"/>
          <w:color w:val="000000"/>
          <w:sz w:val="30"/>
          <w:szCs w:val="30"/>
        </w:rPr>
      </w:pPr>
      <w:bookmarkStart w:id="187" w:name="_Toc6338"/>
      <w:bookmarkStart w:id="188" w:name="_Toc465780522"/>
      <w:bookmarkStart w:id="189" w:name="_Toc465778179"/>
      <w:bookmarkStart w:id="190" w:name="_Toc466565095"/>
      <w:bookmarkStart w:id="191" w:name="_Toc480036130"/>
      <w:r>
        <w:rPr>
          <w:rFonts w:hint="eastAsia" w:ascii="黑体" w:hAnsi="黑体" w:eastAsia="黑体"/>
          <w:color w:val="000000"/>
          <w:sz w:val="30"/>
          <w:szCs w:val="30"/>
          <w:lang w:val="en-US" w:eastAsia="zh-CN"/>
        </w:rPr>
        <w:t>11</w:t>
      </w:r>
      <w:r>
        <w:rPr>
          <w:rFonts w:hint="eastAsia" w:ascii="黑体" w:hAnsi="黑体" w:eastAsia="黑体"/>
          <w:color w:val="000000"/>
          <w:sz w:val="30"/>
          <w:szCs w:val="30"/>
        </w:rPr>
        <w:t>.2更新</w:t>
      </w:r>
      <w:bookmarkEnd w:id="187"/>
      <w:bookmarkEnd w:id="188"/>
      <w:bookmarkEnd w:id="189"/>
      <w:bookmarkEnd w:id="190"/>
      <w:bookmarkEnd w:id="191"/>
    </w:p>
    <w:p w14:paraId="6F4511BC">
      <w:pPr>
        <w:adjustRightInd w:val="0"/>
        <w:snapToGrid w:val="0"/>
        <w:spacing w:line="360" w:lineRule="auto"/>
        <w:ind w:firstLine="560" w:firstLineChars="200"/>
        <w:jc w:val="left"/>
        <w:rPr>
          <w:rFonts w:hint="eastAsia" w:hAnsi="宋体" w:cs="仿宋"/>
          <w:sz w:val="28"/>
          <w:szCs w:val="28"/>
        </w:rPr>
      </w:pPr>
      <w:r>
        <w:rPr>
          <w:rFonts w:hint="eastAsia" w:hAnsi="宋体" w:cs="仿宋"/>
          <w:sz w:val="28"/>
          <w:szCs w:val="28"/>
        </w:rPr>
        <w:t>根据以下情况对隐患排查治理体系的影响，及时更新隐患排查治理的范围、隐患等级和类别、隐患信息等内容，主要包括：</w:t>
      </w:r>
    </w:p>
    <w:p w14:paraId="56DB4676">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（1）法律法规及标准规程变化或更新；</w:t>
      </w:r>
    </w:p>
    <w:p w14:paraId="629C181C">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（2）政府规范性文件提出新要求；</w:t>
      </w:r>
    </w:p>
    <w:p w14:paraId="4BECD157">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（3）组织机构及安全管理机制发生变化；</w:t>
      </w:r>
    </w:p>
    <w:p w14:paraId="4AC6D8CF">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（4）生产工艺发生变化、设备设施增减、使用原辅材料变化等；</w:t>
      </w:r>
    </w:p>
    <w:p w14:paraId="4D0CDC40">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（5）自身提出更高要求；</w:t>
      </w:r>
    </w:p>
    <w:p w14:paraId="130816DF">
      <w:pPr>
        <w:adjustRightInd w:val="0"/>
        <w:snapToGrid w:val="0"/>
        <w:spacing w:line="360" w:lineRule="auto"/>
        <w:ind w:firstLine="560" w:firstLineChars="200"/>
        <w:jc w:val="left"/>
        <w:rPr>
          <w:rFonts w:hint="eastAsia" w:ascii="宋体" w:hAnsi="宋体" w:cs="仿宋"/>
          <w:sz w:val="28"/>
          <w:szCs w:val="28"/>
        </w:rPr>
      </w:pPr>
      <w:r>
        <w:rPr>
          <w:rFonts w:hint="eastAsia" w:ascii="宋体" w:hAnsi="宋体" w:cs="仿宋"/>
          <w:sz w:val="28"/>
          <w:szCs w:val="28"/>
        </w:rPr>
        <w:t>（6）事故事件、紧急情况或应急预案演练结果反馈的需求；</w:t>
      </w:r>
    </w:p>
    <w:p w14:paraId="2A7A7C61">
      <w:pPr>
        <w:adjustRightInd w:val="0"/>
        <w:snapToGrid w:val="0"/>
        <w:spacing w:line="360" w:lineRule="auto"/>
        <w:ind w:firstLine="560" w:firstLineChars="200"/>
        <w:jc w:val="left"/>
        <w:rPr>
          <w:rFonts w:hint="eastAsia" w:hAnsi="宋体" w:cs="仿宋"/>
          <w:sz w:val="28"/>
          <w:szCs w:val="28"/>
        </w:rPr>
      </w:pPr>
      <w:r>
        <w:rPr>
          <w:rFonts w:hint="eastAsia" w:ascii="宋体" w:hAnsi="宋体" w:cs="仿宋"/>
          <w:sz w:val="28"/>
          <w:szCs w:val="28"/>
        </w:rPr>
        <w:t>（7）其他情形出现应当进</w:t>
      </w:r>
      <w:r>
        <w:rPr>
          <w:rFonts w:hint="eastAsia" w:hAnsi="宋体" w:cs="仿宋"/>
          <w:sz w:val="28"/>
          <w:szCs w:val="28"/>
        </w:rPr>
        <w:t>行评审。</w:t>
      </w:r>
    </w:p>
    <w:p w14:paraId="736950B0">
      <w:pPr>
        <w:pStyle w:val="3"/>
        <w:adjustRightInd w:val="0"/>
        <w:snapToGrid w:val="0"/>
        <w:spacing w:after="0" w:line="360" w:lineRule="auto"/>
        <w:ind w:left="0" w:leftChars="0"/>
        <w:outlineLvl w:val="1"/>
        <w:rPr>
          <w:rFonts w:hint="eastAsia" w:ascii="黑体" w:hAnsi="黑体" w:eastAsia="黑体"/>
          <w:color w:val="000000"/>
          <w:sz w:val="30"/>
          <w:szCs w:val="30"/>
        </w:rPr>
      </w:pPr>
      <w:bookmarkStart w:id="192" w:name="_Toc465778180"/>
      <w:bookmarkStart w:id="193" w:name="_Toc480036131"/>
      <w:bookmarkStart w:id="194" w:name="_Toc466565096"/>
      <w:bookmarkStart w:id="195" w:name="_Toc465780523"/>
      <w:bookmarkStart w:id="196" w:name="_Toc7272"/>
      <w:r>
        <w:rPr>
          <w:rFonts w:hint="eastAsia" w:ascii="黑体" w:hAnsi="黑体" w:eastAsia="黑体"/>
          <w:color w:val="000000"/>
          <w:sz w:val="30"/>
          <w:szCs w:val="30"/>
          <w:lang w:val="en-US" w:eastAsia="zh-CN"/>
        </w:rPr>
        <w:t>11</w:t>
      </w:r>
      <w:r>
        <w:rPr>
          <w:rFonts w:hint="eastAsia" w:ascii="黑体" w:hAnsi="黑体" w:eastAsia="黑体"/>
          <w:color w:val="000000"/>
          <w:sz w:val="30"/>
          <w:szCs w:val="30"/>
        </w:rPr>
        <w:t>.3沟通</w:t>
      </w:r>
      <w:bookmarkEnd w:id="192"/>
      <w:bookmarkEnd w:id="193"/>
      <w:bookmarkEnd w:id="194"/>
      <w:bookmarkEnd w:id="195"/>
      <w:bookmarkEnd w:id="196"/>
    </w:p>
    <w:p w14:paraId="45685D89">
      <w:pPr>
        <w:adjustRightInd w:val="0"/>
        <w:snapToGrid w:val="0"/>
        <w:spacing w:line="360" w:lineRule="auto"/>
        <w:ind w:firstLine="560" w:firstLineChars="200"/>
        <w:jc w:val="left"/>
        <w:rPr>
          <w:rFonts w:hint="eastAsia" w:ascii="宋体" w:hAnsi="宋体" w:cs="仿宋"/>
          <w:sz w:val="28"/>
          <w:szCs w:val="28"/>
        </w:rPr>
      </w:pPr>
      <w:r>
        <w:rPr>
          <w:rFonts w:hint="eastAsia" w:hAnsi="宋体" w:cs="仿宋"/>
          <w:sz w:val="28"/>
          <w:szCs w:val="28"/>
        </w:rPr>
        <w:t>建立</w:t>
      </w:r>
      <w:r>
        <w:rPr>
          <w:rFonts w:hint="eastAsia" w:ascii="宋体" w:hAnsi="宋体" w:cs="仿宋"/>
          <w:sz w:val="28"/>
          <w:szCs w:val="28"/>
        </w:rPr>
        <w:t>不同职能和层级间的内部沟通和用于与相关方的外部沟通机制，及时有效传递隐患信息，提高隐患排查治理的效果和效率。</w:t>
      </w:r>
    </w:p>
    <w:p w14:paraId="2C5028D9">
      <w:pPr>
        <w:adjustRightInd w:val="0"/>
        <w:snapToGrid w:val="0"/>
        <w:spacing w:line="360" w:lineRule="auto"/>
        <w:ind w:firstLine="560" w:firstLineChars="200"/>
        <w:jc w:val="left"/>
        <w:rPr>
          <w:rFonts w:hint="eastAsia" w:hAnsi="宋体" w:cs="仿宋"/>
          <w:sz w:val="28"/>
          <w:szCs w:val="28"/>
        </w:rPr>
      </w:pPr>
      <w:r>
        <w:rPr>
          <w:rFonts w:hint="eastAsia" w:ascii="宋体" w:hAnsi="宋体" w:cs="仿宋"/>
          <w:sz w:val="28"/>
          <w:szCs w:val="28"/>
        </w:rPr>
        <w:t>主动识别内部各级人员隐患排查治理相关培训需求，并纳入培训计划，组织相关培训。不断增强从业人员的安全意识和能力，使其熟悉、掌握隐患排查的方法，消除各类</w:t>
      </w:r>
      <w:r>
        <w:rPr>
          <w:rFonts w:hint="eastAsia" w:hAnsi="宋体" w:cs="仿宋"/>
          <w:sz w:val="28"/>
          <w:szCs w:val="28"/>
        </w:rPr>
        <w:t>隐患，有效控制岗位风险，减少和杜绝安全生产事故发生，保证安全生产。</w:t>
      </w:r>
    </w:p>
    <w:p w14:paraId="5D86EB2F">
      <w:pPr>
        <w:rPr>
          <w:rFonts w:hint="eastAsia" w:hAnsi="宋体" w:cs="仿宋"/>
          <w:sz w:val="28"/>
          <w:szCs w:val="28"/>
        </w:rPr>
      </w:pPr>
      <w:r>
        <w:rPr>
          <w:rFonts w:hint="eastAsia" w:hAnsi="宋体" w:cs="仿宋"/>
          <w:sz w:val="28"/>
          <w:szCs w:val="28"/>
        </w:rPr>
        <w:br w:type="page"/>
      </w:r>
    </w:p>
    <w:p w14:paraId="7F8020B3">
      <w:pPr>
        <w:adjustRightInd w:val="0"/>
        <w:snapToGrid w:val="0"/>
        <w:spacing w:line="360" w:lineRule="auto"/>
        <w:jc w:val="left"/>
        <w:rPr>
          <w:rFonts w:hint="eastAsia" w:ascii="宋体" w:hAnsi="宋体" w:eastAsia="宋体" w:cs="宋体"/>
          <w:sz w:val="28"/>
          <w:szCs w:val="28"/>
          <w:highlight w:val="none"/>
        </w:rPr>
      </w:pPr>
      <w:r>
        <w:rPr>
          <w:rFonts w:hint="eastAsia" w:ascii="宋体" w:hAnsi="宋体" w:eastAsia="宋体" w:cs="宋体"/>
          <w:sz w:val="28"/>
          <w:szCs w:val="28"/>
          <w:lang w:val="en-US" w:eastAsia="zh-CN"/>
        </w:rPr>
        <w:t>11.</w:t>
      </w:r>
      <w:r>
        <w:rPr>
          <w:rFonts w:hint="eastAsia" w:ascii="宋体" w:hAnsi="宋体" w:eastAsia="宋体" w:cs="宋体"/>
          <w:sz w:val="28"/>
          <w:szCs w:val="28"/>
          <w:highlight w:val="none"/>
        </w:rPr>
        <w:t>未制定生产组织、工艺技术、设备装置等负责人安全生产职责，未开展“一岗双责”专题教育培训和考核。</w:t>
      </w:r>
    </w:p>
    <w:p w14:paraId="3113A3C5">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5" w:beforeAutospacing="0" w:after="105" w:afterAutospacing="0" w:line="420" w:lineRule="atLeast"/>
        <w:ind w:left="0" w:right="0" w:firstLine="0"/>
        <w:jc w:val="left"/>
        <w:rPr>
          <w:rFonts w:hint="default" w:ascii="Arial" w:hAnsi="Arial" w:eastAsia="Arial" w:cs="Arial"/>
          <w:i w:val="0"/>
          <w:iCs w:val="0"/>
          <w:caps w:val="0"/>
          <w:color w:val="333333"/>
          <w:spacing w:val="0"/>
          <w:sz w:val="24"/>
          <w:szCs w:val="24"/>
          <w:shd w:val="clear" w:fill="FFFFFF"/>
        </w:rPr>
      </w:pPr>
      <w:r>
        <w:rPr>
          <w:rFonts w:hint="default" w:ascii="Arial" w:hAnsi="Arial" w:eastAsia="Arial" w:cs="Arial"/>
          <w:i w:val="0"/>
          <w:iCs w:val="0"/>
          <w:caps w:val="0"/>
          <w:color w:val="333333"/>
          <w:spacing w:val="0"/>
          <w:sz w:val="24"/>
          <w:szCs w:val="24"/>
          <w:shd w:val="clear" w:fill="FFFFFF"/>
        </w:rPr>
        <w:t>负责人在生产组织、工艺技术、设备装置方面的安全生产职责主要包括以下几点：</w:t>
      </w:r>
    </w:p>
    <w:p w14:paraId="59A9DCB6">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5" w:beforeAutospacing="0" w:after="105" w:afterAutospacing="0" w:line="420" w:lineRule="atLeast"/>
        <w:ind w:left="0" w:right="0" w:firstLine="0"/>
        <w:jc w:val="left"/>
        <w:rPr>
          <w:rFonts w:hint="default" w:ascii="Arial" w:hAnsi="Arial" w:eastAsia="Arial" w:cs="Arial"/>
          <w:i w:val="0"/>
          <w:iCs w:val="0"/>
          <w:caps w:val="0"/>
          <w:color w:val="333333"/>
          <w:spacing w:val="0"/>
          <w:sz w:val="24"/>
          <w:szCs w:val="24"/>
          <w:shd w:val="clear" w:fill="FFFFFF"/>
        </w:rPr>
      </w:pPr>
      <w:r>
        <w:rPr>
          <w:rFonts w:hint="default" w:ascii="Arial" w:hAnsi="Arial" w:eastAsia="Arial" w:cs="Arial"/>
          <w:i w:val="0"/>
          <w:iCs w:val="0"/>
          <w:caps w:val="0"/>
          <w:color w:val="333333"/>
          <w:spacing w:val="0"/>
          <w:sz w:val="24"/>
          <w:szCs w:val="24"/>
          <w:shd w:val="clear" w:fill="FFFFFF"/>
        </w:rPr>
        <w:t>‌一、生产组织安全生产职责‌</w:t>
      </w:r>
    </w:p>
    <w:p w14:paraId="40681E3F">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5" w:beforeAutospacing="0" w:after="105" w:afterAutospacing="0" w:line="420" w:lineRule="atLeast"/>
        <w:ind w:left="0" w:right="0" w:firstLine="0"/>
        <w:jc w:val="left"/>
        <w:rPr>
          <w:rFonts w:hint="default" w:ascii="Arial" w:hAnsi="Arial" w:eastAsia="Arial" w:cs="Arial"/>
          <w:i w:val="0"/>
          <w:iCs w:val="0"/>
          <w:caps w:val="0"/>
          <w:color w:val="333333"/>
          <w:spacing w:val="0"/>
          <w:sz w:val="24"/>
          <w:szCs w:val="24"/>
          <w:shd w:val="clear" w:fill="FFFFFF"/>
        </w:rPr>
      </w:pPr>
      <w:r>
        <w:rPr>
          <w:rFonts w:hint="default" w:ascii="Arial" w:hAnsi="Arial" w:eastAsia="Arial" w:cs="Arial"/>
          <w:i w:val="0"/>
          <w:iCs w:val="0"/>
          <w:caps w:val="0"/>
          <w:color w:val="333333"/>
          <w:spacing w:val="0"/>
          <w:sz w:val="24"/>
          <w:szCs w:val="24"/>
          <w:shd w:val="clear" w:fill="FFFFFF"/>
        </w:rPr>
        <w:t>‌建立健全责任制‌：建立并完善安全生产责任制，确保责任层层分解落实。</w:t>
      </w:r>
    </w:p>
    <w:p w14:paraId="0AAE638E">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5" w:beforeAutospacing="0" w:after="105" w:afterAutospacing="0" w:line="420" w:lineRule="atLeast"/>
        <w:ind w:left="0" w:right="0" w:firstLine="0"/>
        <w:jc w:val="left"/>
        <w:rPr>
          <w:rFonts w:hint="default" w:ascii="Arial" w:hAnsi="Arial" w:eastAsia="Arial" w:cs="Arial"/>
          <w:i w:val="0"/>
          <w:iCs w:val="0"/>
          <w:caps w:val="0"/>
          <w:color w:val="333333"/>
          <w:spacing w:val="0"/>
          <w:sz w:val="24"/>
          <w:szCs w:val="24"/>
          <w:shd w:val="clear" w:fill="FFFFFF"/>
        </w:rPr>
      </w:pPr>
      <w:r>
        <w:rPr>
          <w:rFonts w:hint="default" w:ascii="Arial" w:hAnsi="Arial" w:eastAsia="Arial" w:cs="Arial"/>
          <w:i w:val="0"/>
          <w:iCs w:val="0"/>
          <w:caps w:val="0"/>
          <w:color w:val="333333"/>
          <w:spacing w:val="0"/>
          <w:sz w:val="24"/>
          <w:szCs w:val="24"/>
          <w:shd w:val="clear" w:fill="FFFFFF"/>
        </w:rPr>
        <w:t>‌安全教育培训‌：组织安全生产教育和培训，提高员工安全意识。</w:t>
      </w:r>
    </w:p>
    <w:p w14:paraId="172B507F">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5" w:beforeAutospacing="0" w:after="105" w:afterAutospacing="0" w:line="420" w:lineRule="atLeast"/>
        <w:ind w:left="0" w:right="0" w:firstLine="0"/>
        <w:jc w:val="left"/>
        <w:rPr>
          <w:rFonts w:hint="default" w:ascii="Arial" w:hAnsi="Arial" w:eastAsia="Arial" w:cs="Arial"/>
          <w:i w:val="0"/>
          <w:iCs w:val="0"/>
          <w:caps w:val="0"/>
          <w:color w:val="333333"/>
          <w:spacing w:val="0"/>
          <w:sz w:val="24"/>
          <w:szCs w:val="24"/>
          <w:shd w:val="clear" w:fill="FFFFFF"/>
        </w:rPr>
      </w:pPr>
      <w:r>
        <w:rPr>
          <w:rFonts w:hint="default" w:ascii="Arial" w:hAnsi="Arial" w:eastAsia="Arial" w:cs="Arial"/>
          <w:i w:val="0"/>
          <w:iCs w:val="0"/>
          <w:caps w:val="0"/>
          <w:color w:val="333333"/>
          <w:spacing w:val="0"/>
          <w:sz w:val="24"/>
          <w:szCs w:val="24"/>
          <w:shd w:val="clear" w:fill="FFFFFF"/>
        </w:rPr>
        <w:t>‌督促检查工作‌：督促、检查安全生产工作，及时消除事故隐患。</w:t>
      </w:r>
    </w:p>
    <w:p w14:paraId="555BD24F">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5" w:beforeAutospacing="0" w:after="105" w:afterAutospacing="0" w:line="420" w:lineRule="atLeast"/>
        <w:ind w:left="0" w:right="0" w:firstLine="0"/>
        <w:jc w:val="left"/>
        <w:rPr>
          <w:rFonts w:hint="default" w:ascii="Arial" w:hAnsi="Arial" w:eastAsia="Arial" w:cs="Arial"/>
          <w:i w:val="0"/>
          <w:iCs w:val="0"/>
          <w:caps w:val="0"/>
          <w:color w:val="333333"/>
          <w:spacing w:val="0"/>
          <w:sz w:val="24"/>
          <w:szCs w:val="24"/>
          <w:shd w:val="clear" w:fill="FFFFFF"/>
        </w:rPr>
      </w:pPr>
      <w:r>
        <w:rPr>
          <w:rFonts w:hint="default" w:ascii="Arial" w:hAnsi="Arial" w:eastAsia="Arial" w:cs="Arial"/>
          <w:i w:val="0"/>
          <w:iCs w:val="0"/>
          <w:caps w:val="0"/>
          <w:color w:val="333333"/>
          <w:spacing w:val="0"/>
          <w:sz w:val="24"/>
          <w:szCs w:val="24"/>
          <w:shd w:val="clear" w:fill="FFFFFF"/>
        </w:rPr>
        <w:t>‌二、工艺技术安全生产职责‌</w:t>
      </w:r>
    </w:p>
    <w:p w14:paraId="142B89F1">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5" w:beforeAutospacing="0" w:after="105" w:afterAutospacing="0" w:line="420" w:lineRule="atLeast"/>
        <w:ind w:left="0" w:right="0" w:firstLine="0"/>
        <w:jc w:val="left"/>
        <w:rPr>
          <w:rFonts w:hint="default" w:ascii="Arial" w:hAnsi="Arial" w:eastAsia="Arial" w:cs="Arial"/>
          <w:i w:val="0"/>
          <w:iCs w:val="0"/>
          <w:caps w:val="0"/>
          <w:color w:val="333333"/>
          <w:spacing w:val="0"/>
          <w:sz w:val="24"/>
          <w:szCs w:val="24"/>
          <w:shd w:val="clear" w:fill="FFFFFF"/>
        </w:rPr>
      </w:pPr>
      <w:r>
        <w:rPr>
          <w:rFonts w:hint="default" w:ascii="Arial" w:hAnsi="Arial" w:eastAsia="Arial" w:cs="Arial"/>
          <w:i w:val="0"/>
          <w:iCs w:val="0"/>
          <w:caps w:val="0"/>
          <w:color w:val="333333"/>
          <w:spacing w:val="0"/>
          <w:sz w:val="24"/>
          <w:szCs w:val="24"/>
          <w:shd w:val="clear" w:fill="FFFFFF"/>
        </w:rPr>
        <w:t>‌制定操作规程‌：组织制定并实施安全生产规章制度和操作规程。</w:t>
      </w:r>
    </w:p>
    <w:p w14:paraId="0D26026D">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5" w:beforeAutospacing="0" w:after="105" w:afterAutospacing="0" w:line="420" w:lineRule="atLeast"/>
        <w:ind w:left="0" w:right="0" w:firstLine="0"/>
        <w:jc w:val="left"/>
        <w:rPr>
          <w:rFonts w:hint="default" w:ascii="Arial" w:hAnsi="Arial" w:eastAsia="Arial" w:cs="Arial"/>
          <w:i w:val="0"/>
          <w:iCs w:val="0"/>
          <w:caps w:val="0"/>
          <w:color w:val="333333"/>
          <w:spacing w:val="0"/>
          <w:sz w:val="24"/>
          <w:szCs w:val="24"/>
          <w:shd w:val="clear" w:fill="FFFFFF"/>
        </w:rPr>
      </w:pPr>
      <w:r>
        <w:rPr>
          <w:rFonts w:hint="default" w:ascii="Arial" w:hAnsi="Arial" w:eastAsia="Arial" w:cs="Arial"/>
          <w:i w:val="0"/>
          <w:iCs w:val="0"/>
          <w:caps w:val="0"/>
          <w:color w:val="333333"/>
          <w:spacing w:val="0"/>
          <w:sz w:val="24"/>
          <w:szCs w:val="24"/>
          <w:shd w:val="clear" w:fill="FFFFFF"/>
        </w:rPr>
        <w:t>‌工艺安全管理‌：负责工艺技术的安全管理，确保工艺技术符合安全生产要求。</w:t>
      </w:r>
    </w:p>
    <w:p w14:paraId="594992DC">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5" w:beforeAutospacing="0" w:after="105" w:afterAutospacing="0" w:line="420" w:lineRule="atLeast"/>
        <w:ind w:left="0" w:right="0" w:firstLine="0"/>
        <w:jc w:val="left"/>
        <w:rPr>
          <w:rFonts w:hint="default" w:ascii="Arial" w:hAnsi="Arial" w:eastAsia="Arial" w:cs="Arial"/>
          <w:i w:val="0"/>
          <w:iCs w:val="0"/>
          <w:caps w:val="0"/>
          <w:color w:val="333333"/>
          <w:spacing w:val="0"/>
          <w:sz w:val="24"/>
          <w:szCs w:val="24"/>
          <w:shd w:val="clear" w:fill="FFFFFF"/>
        </w:rPr>
      </w:pPr>
      <w:r>
        <w:rPr>
          <w:rFonts w:hint="default" w:ascii="Arial" w:hAnsi="Arial" w:eastAsia="Arial" w:cs="Arial"/>
          <w:i w:val="0"/>
          <w:iCs w:val="0"/>
          <w:caps w:val="0"/>
          <w:color w:val="333333"/>
          <w:spacing w:val="0"/>
          <w:sz w:val="24"/>
          <w:szCs w:val="24"/>
          <w:shd w:val="clear" w:fill="FFFFFF"/>
        </w:rPr>
        <w:t>‌三、设备装置安全生产职责‌</w:t>
      </w:r>
    </w:p>
    <w:p w14:paraId="09588913">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5" w:beforeAutospacing="0" w:after="105" w:afterAutospacing="0" w:line="420" w:lineRule="atLeast"/>
        <w:ind w:left="0" w:right="0" w:firstLine="0"/>
        <w:jc w:val="left"/>
        <w:rPr>
          <w:rFonts w:hint="default" w:ascii="Arial" w:hAnsi="Arial" w:eastAsia="Arial" w:cs="Arial"/>
          <w:i w:val="0"/>
          <w:iCs w:val="0"/>
          <w:caps w:val="0"/>
          <w:color w:val="333333"/>
          <w:spacing w:val="0"/>
          <w:sz w:val="24"/>
          <w:szCs w:val="24"/>
          <w:shd w:val="clear" w:fill="FFFFFF"/>
        </w:rPr>
      </w:pPr>
      <w:r>
        <w:rPr>
          <w:rFonts w:hint="default" w:ascii="Arial" w:hAnsi="Arial" w:eastAsia="Arial" w:cs="Arial"/>
          <w:i w:val="0"/>
          <w:iCs w:val="0"/>
          <w:caps w:val="0"/>
          <w:color w:val="333333"/>
          <w:spacing w:val="0"/>
          <w:sz w:val="24"/>
          <w:szCs w:val="24"/>
          <w:shd w:val="clear" w:fill="FFFFFF"/>
        </w:rPr>
        <w:t>‌设备安全管理‌：负责设备的安全管理，确保设备处于良好状态。</w:t>
      </w:r>
    </w:p>
    <w:p w14:paraId="184FE938">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05" w:beforeAutospacing="0" w:after="105" w:afterAutospacing="0" w:line="420" w:lineRule="atLeast"/>
        <w:ind w:left="0" w:right="0" w:firstLine="0"/>
        <w:jc w:val="left"/>
        <w:rPr>
          <w:rFonts w:hint="default" w:ascii="Arial" w:hAnsi="Arial" w:eastAsia="Arial" w:cs="Arial"/>
          <w:i w:val="0"/>
          <w:iCs w:val="0"/>
          <w:caps w:val="0"/>
          <w:color w:val="333333"/>
          <w:spacing w:val="0"/>
          <w:sz w:val="24"/>
          <w:szCs w:val="24"/>
          <w:shd w:val="clear" w:fill="FFFFFF"/>
        </w:rPr>
      </w:pPr>
      <w:r>
        <w:rPr>
          <w:rFonts w:hint="default" w:ascii="Arial" w:hAnsi="Arial" w:eastAsia="Arial" w:cs="Arial"/>
          <w:i w:val="0"/>
          <w:iCs w:val="0"/>
          <w:caps w:val="0"/>
          <w:color w:val="333333"/>
          <w:spacing w:val="0"/>
          <w:sz w:val="24"/>
          <w:szCs w:val="24"/>
          <w:shd w:val="clear" w:fill="FFFFFF"/>
        </w:rPr>
        <w:t>‌设备检查维护‌：定期组织设备检查和维修，消除安全隐患。</w:t>
      </w:r>
    </w:p>
    <w:p w14:paraId="6CB170F3">
      <w:pPr>
        <w:rPr>
          <w:rFonts w:hint="eastAsia" w:ascii="仿宋_GB2312" w:hAnsi="仿宋_GB2312" w:eastAsia="仿宋_GB2312" w:cs="仿宋_GB2312"/>
          <w:kern w:val="0"/>
          <w:sz w:val="24"/>
          <w:szCs w:val="24"/>
          <w:lang w:val="en-US" w:eastAsia="zh-CN"/>
        </w:rPr>
      </w:pPr>
      <w:r>
        <w:rPr>
          <w:rFonts w:hint="eastAsia" w:ascii="仿宋_GB2312" w:hAnsi="仿宋_GB2312" w:eastAsia="仿宋_GB2312" w:cs="仿宋_GB2312"/>
          <w:kern w:val="0"/>
          <w:sz w:val="24"/>
          <w:szCs w:val="24"/>
          <w:lang w:val="en-US" w:eastAsia="zh-CN"/>
        </w:rPr>
        <w:object>
          <v:shape id="_x0000_i1027" o:spt="75" type="#_x0000_t75" style="height:66pt;width:72.75pt;" o:ole="t" filled="f" o:preferrelative="t" stroked="f" coordsize="21600,21600">
            <v:path/>
            <v:fill on="f" focussize="0,0"/>
            <v:stroke on="f"/>
            <v:imagedata r:id="rId5" o:title=""/>
            <o:lock v:ext="edit" aspectratio="t"/>
            <w10:wrap type="none"/>
            <w10:anchorlock/>
          </v:shape>
          <o:OLEObject Type="Embed" ProgID="PowerPoint.Show.12" ShapeID="_x0000_i1027" DrawAspect="Icon" ObjectID="_1468075725" r:id="rId4">
            <o:LockedField>false</o:LockedField>
          </o:OLEObject>
        </w:object>
      </w:r>
    </w:p>
    <w:p w14:paraId="0EBF29E6">
      <w:pPr>
        <w:rPr>
          <w:rFonts w:hint="eastAsia" w:ascii="仿宋_GB2312" w:hAnsi="仿宋_GB2312" w:eastAsia="仿宋_GB2312" w:cs="仿宋_GB2312"/>
          <w:kern w:val="0"/>
          <w:sz w:val="24"/>
          <w:szCs w:val="24"/>
          <w:lang w:val="en-US" w:eastAsia="zh-CN"/>
        </w:rPr>
      </w:pPr>
      <w:r>
        <w:rPr>
          <w:rFonts w:hint="eastAsia" w:ascii="仿宋_GB2312" w:hAnsi="仿宋_GB2312" w:eastAsia="仿宋_GB2312" w:cs="仿宋_GB2312"/>
          <w:kern w:val="0"/>
          <w:sz w:val="24"/>
          <w:szCs w:val="24"/>
          <w:lang w:val="en-US" w:eastAsia="zh-CN"/>
        </w:rPr>
        <w:br w:type="page"/>
      </w:r>
    </w:p>
    <w:p w14:paraId="04E4B765">
      <w:pPr>
        <w:rPr>
          <w:rFonts w:hint="eastAsia"/>
          <w:highlight w:val="none"/>
          <w:lang w:val="en-US" w:eastAsia="zh-CN"/>
        </w:rPr>
      </w:pPr>
      <w:r>
        <w:rPr>
          <w:rFonts w:hint="eastAsia"/>
          <w:highlight w:val="none"/>
          <w:lang w:val="en-US" w:eastAsia="zh-CN"/>
        </w:rPr>
        <w:t>14.</w:t>
      </w:r>
      <w:r>
        <w:rPr>
          <w:rFonts w:hint="eastAsia"/>
          <w:highlight w:val="none"/>
        </w:rPr>
        <w:t>未开展重大事故隐患动态清零</w:t>
      </w:r>
      <w:r>
        <w:rPr>
          <w:rFonts w:hint="eastAsia"/>
          <w:highlight w:val="none"/>
          <w:lang w:val="en-US" w:eastAsia="zh-CN"/>
        </w:rPr>
        <w:t>工作</w:t>
      </w:r>
    </w:p>
    <w:p w14:paraId="017A0992">
      <w:pPr>
        <w:rPr>
          <w:rFonts w:hint="eastAsia"/>
          <w:highlight w:val="none"/>
          <w:lang w:val="en-US" w:eastAsia="zh-CN"/>
        </w:rPr>
      </w:pPr>
    </w:p>
    <w:p w14:paraId="59AD079D">
      <w:pPr>
        <w:ind w:firstLine="2823" w:firstLineChars="639"/>
        <w:rPr>
          <w:rFonts w:hint="eastAsia" w:ascii="宋体" w:hAnsi="宋体"/>
          <w:b/>
          <w:sz w:val="44"/>
          <w:szCs w:val="44"/>
        </w:rPr>
      </w:pPr>
      <w:r>
        <w:rPr>
          <w:rFonts w:ascii="宋体" w:hAnsi="宋体"/>
          <w:b/>
          <w:sz w:val="44"/>
          <w:szCs w:val="44"/>
        </w:rPr>
        <w:t>隐患排查工作方案</w:t>
      </w:r>
    </w:p>
    <w:p w14:paraId="37026E3C">
      <w:pPr>
        <w:rPr>
          <w:rFonts w:hint="eastAsia" w:ascii="宋体" w:hAnsi="宋体"/>
          <w:b/>
          <w:sz w:val="44"/>
          <w:szCs w:val="44"/>
        </w:rPr>
      </w:pPr>
    </w:p>
    <w:p w14:paraId="3CD3FE2A">
      <w:pPr>
        <w:spacing w:line="360" w:lineRule="auto"/>
        <w:ind w:firstLine="480" w:firstLineChars="200"/>
        <w:rPr>
          <w:rFonts w:hint="eastAsia" w:ascii="宋体" w:hAnsi="宋体"/>
          <w:sz w:val="24"/>
        </w:rPr>
      </w:pPr>
      <w:r>
        <w:rPr>
          <w:rFonts w:ascii="宋体" w:hAnsi="宋体"/>
          <w:sz w:val="24"/>
        </w:rPr>
        <w:t>为落实“安全第一，预防为主，综合治理”的安全生产方针，加强公司安全隐患排查治理工作，全面消除各类事故隐患，夯实安全生产基础，确保公司安全生产工作持续稳定好转</w:t>
      </w:r>
      <w:r>
        <w:rPr>
          <w:rFonts w:hint="eastAsia" w:ascii="宋体" w:hAnsi="宋体"/>
          <w:sz w:val="24"/>
        </w:rPr>
        <w:t>,</w:t>
      </w:r>
      <w:r>
        <w:rPr>
          <w:rFonts w:ascii="宋体" w:hAnsi="宋体"/>
          <w:sz w:val="24"/>
        </w:rPr>
        <w:t xml:space="preserve">制定本方案。 </w:t>
      </w:r>
    </w:p>
    <w:p w14:paraId="3D0AA30F">
      <w:pPr>
        <w:spacing w:line="360" w:lineRule="auto"/>
        <w:ind w:firstLine="480" w:firstLineChars="200"/>
        <w:rPr>
          <w:rFonts w:hint="eastAsia" w:ascii="宋体" w:hAnsi="宋体"/>
          <w:sz w:val="24"/>
        </w:rPr>
      </w:pPr>
      <w:r>
        <w:rPr>
          <w:rFonts w:ascii="宋体" w:hAnsi="宋体"/>
          <w:sz w:val="24"/>
        </w:rPr>
        <w:t>一、工作目标</w:t>
      </w:r>
    </w:p>
    <w:p w14:paraId="0A1FD0A2">
      <w:pPr>
        <w:spacing w:line="360" w:lineRule="auto"/>
        <w:ind w:firstLine="480" w:firstLineChars="200"/>
        <w:rPr>
          <w:rFonts w:hint="eastAsia" w:ascii="宋体" w:hAnsi="宋体"/>
          <w:sz w:val="24"/>
        </w:rPr>
      </w:pPr>
      <w:r>
        <w:rPr>
          <w:rFonts w:ascii="宋体" w:hAnsi="宋体"/>
          <w:sz w:val="24"/>
        </w:rPr>
        <w:t xml:space="preserve"> 1、各责任单位有效开展隐患排查治理专项行动，排查隐患并及时整改。</w:t>
      </w:r>
    </w:p>
    <w:p w14:paraId="175D3A18">
      <w:pPr>
        <w:spacing w:line="360" w:lineRule="auto"/>
        <w:ind w:firstLine="600" w:firstLineChars="250"/>
        <w:rPr>
          <w:rFonts w:hint="eastAsia" w:ascii="宋体" w:hAnsi="宋体"/>
          <w:sz w:val="24"/>
        </w:rPr>
      </w:pPr>
      <w:r>
        <w:rPr>
          <w:rFonts w:ascii="宋体" w:hAnsi="宋体"/>
          <w:sz w:val="24"/>
        </w:rPr>
        <w:t>2、</w:t>
      </w:r>
      <w:r>
        <w:rPr>
          <w:rFonts w:hint="eastAsia" w:ascii="宋体" w:hAnsi="宋体"/>
          <w:sz w:val="24"/>
        </w:rPr>
        <w:t>健</w:t>
      </w:r>
      <w:r>
        <w:rPr>
          <w:rFonts w:ascii="宋体" w:hAnsi="宋体"/>
          <w:sz w:val="24"/>
        </w:rPr>
        <w:t xml:space="preserve">全隐患排查治理管理制度，建立重大隐患动态资料库，形成隐患排查治理长效机制。 </w:t>
      </w:r>
    </w:p>
    <w:p w14:paraId="4D5FC44C">
      <w:pPr>
        <w:spacing w:line="360" w:lineRule="auto"/>
        <w:ind w:firstLine="600" w:firstLineChars="250"/>
        <w:rPr>
          <w:rFonts w:hint="eastAsia" w:ascii="宋体" w:hAnsi="宋体"/>
          <w:sz w:val="24"/>
        </w:rPr>
      </w:pPr>
      <w:r>
        <w:rPr>
          <w:rFonts w:ascii="宋体" w:hAnsi="宋体"/>
          <w:sz w:val="24"/>
        </w:rPr>
        <w:t>3、全面加强公司安全管理工作，安全生产制度进一步健全，安全设施进一步完善，职工安全防范意识进一步加强，事故预防预警应对机制进一步细化。</w:t>
      </w:r>
    </w:p>
    <w:p w14:paraId="10477C46">
      <w:pPr>
        <w:spacing w:line="360" w:lineRule="auto"/>
        <w:ind w:firstLine="600" w:firstLineChars="250"/>
        <w:rPr>
          <w:rFonts w:hint="eastAsia" w:ascii="宋体" w:hAnsi="宋体"/>
          <w:sz w:val="24"/>
        </w:rPr>
      </w:pPr>
      <w:r>
        <w:rPr>
          <w:rFonts w:ascii="宋体" w:hAnsi="宋体"/>
          <w:sz w:val="24"/>
        </w:rPr>
        <w:t>4、努力减少一般事故，遏制重大事故的发生</w:t>
      </w:r>
      <w:r>
        <w:rPr>
          <w:rFonts w:hint="eastAsia" w:ascii="宋体" w:hAnsi="宋体"/>
          <w:sz w:val="24"/>
        </w:rPr>
        <w:t>，</w:t>
      </w:r>
      <w:r>
        <w:rPr>
          <w:rFonts w:ascii="宋体" w:hAnsi="宋体"/>
          <w:sz w:val="24"/>
        </w:rPr>
        <w:t>最大限度地减少安全事故的发生。</w:t>
      </w:r>
    </w:p>
    <w:p w14:paraId="10AF89F3">
      <w:pPr>
        <w:spacing w:line="360" w:lineRule="auto"/>
        <w:ind w:firstLine="600" w:firstLineChars="250"/>
        <w:rPr>
          <w:rFonts w:hint="eastAsia" w:ascii="宋体" w:hAnsi="宋体"/>
          <w:sz w:val="24"/>
        </w:rPr>
      </w:pPr>
      <w:r>
        <w:rPr>
          <w:rFonts w:ascii="宋体" w:hAnsi="宋体"/>
          <w:sz w:val="24"/>
        </w:rPr>
        <w:t xml:space="preserve">三、隐患排查工作方案 </w:t>
      </w:r>
    </w:p>
    <w:p w14:paraId="739CCC06">
      <w:pPr>
        <w:spacing w:line="360" w:lineRule="auto"/>
        <w:ind w:firstLine="600" w:firstLineChars="250"/>
        <w:rPr>
          <w:rFonts w:hint="eastAsia" w:ascii="宋体" w:hAnsi="宋体"/>
          <w:sz w:val="24"/>
        </w:rPr>
      </w:pPr>
      <w:r>
        <w:rPr>
          <w:rFonts w:ascii="宋体" w:hAnsi="宋体"/>
          <w:sz w:val="24"/>
        </w:rPr>
        <w:t>1、综合性安全检查：是以落实岗位安全生产责任制为重点，各专业共同参与的全面检查，公司级检查每年不少于四次</w:t>
      </w:r>
      <w:r>
        <w:rPr>
          <w:rFonts w:hint="eastAsia" w:ascii="宋体" w:hAnsi="宋体"/>
          <w:sz w:val="24"/>
        </w:rPr>
        <w:t>；安全生产领导小组</w:t>
      </w:r>
      <w:r>
        <w:rPr>
          <w:rFonts w:ascii="宋体" w:hAnsi="宋体"/>
          <w:sz w:val="24"/>
        </w:rPr>
        <w:t xml:space="preserve">进行每周的安全检查及节前安全检查。检查内容： </w:t>
      </w:r>
    </w:p>
    <w:p w14:paraId="55AF4FA9">
      <w:pPr>
        <w:spacing w:line="360" w:lineRule="auto"/>
        <w:ind w:firstLine="600" w:firstLineChars="250"/>
        <w:rPr>
          <w:rFonts w:hint="eastAsia" w:ascii="宋体" w:hAnsi="宋体"/>
          <w:sz w:val="24"/>
        </w:rPr>
      </w:pPr>
      <w:r>
        <w:rPr>
          <w:rFonts w:ascii="宋体" w:hAnsi="宋体"/>
          <w:sz w:val="24"/>
        </w:rPr>
        <w:t xml:space="preserve">1）安全管理方面的主要内容： </w:t>
      </w:r>
    </w:p>
    <w:p w14:paraId="3A69A951">
      <w:pPr>
        <w:spacing w:line="360" w:lineRule="auto"/>
        <w:ind w:firstLine="600" w:firstLineChars="250"/>
        <w:rPr>
          <w:rFonts w:hint="eastAsia" w:ascii="宋体" w:hAnsi="宋体"/>
          <w:sz w:val="24"/>
        </w:rPr>
      </w:pPr>
      <w:r>
        <w:rPr>
          <w:rFonts w:ascii="宋体" w:hAnsi="宋体"/>
          <w:sz w:val="24"/>
        </w:rPr>
        <w:t>（1）检查各级部门对安全生产工作的认识和班组安全活动的开展等；</w:t>
      </w:r>
    </w:p>
    <w:p w14:paraId="3DA3C592">
      <w:pPr>
        <w:spacing w:line="360" w:lineRule="auto"/>
        <w:ind w:firstLine="480" w:firstLineChars="200"/>
        <w:rPr>
          <w:rFonts w:hint="eastAsia" w:ascii="宋体" w:hAnsi="宋体"/>
          <w:sz w:val="24"/>
        </w:rPr>
      </w:pPr>
      <w:r>
        <w:rPr>
          <w:rFonts w:ascii="宋体" w:hAnsi="宋体"/>
          <w:sz w:val="24"/>
        </w:rPr>
        <w:t xml:space="preserve"> （2）检查安全职责和各项安全管理制度的执行情况，相关台账、记录的完成情况，安全基础工作的落实情况等；</w:t>
      </w:r>
      <w:r>
        <w:rPr>
          <w:rFonts w:ascii="宋体" w:hAnsi="宋体"/>
          <w:sz w:val="24"/>
        </w:rPr>
        <w:br w:type="textWrapping"/>
      </w:r>
      <w:r>
        <w:rPr>
          <w:rFonts w:hint="eastAsia" w:ascii="宋体" w:hAnsi="宋体"/>
          <w:sz w:val="24"/>
        </w:rPr>
        <w:t xml:space="preserve">     </w:t>
      </w:r>
      <w:r>
        <w:rPr>
          <w:rFonts w:ascii="宋体" w:hAnsi="宋体"/>
          <w:sz w:val="24"/>
        </w:rPr>
        <w:t xml:space="preserve">（3）检查各部门管理人员的安全法规教育和安全生产管理的资格教育是否达到要求；检查员工的安全意识、安全知识教育，以及特殊作业的安全技术的教育是否达标。 </w:t>
      </w:r>
    </w:p>
    <w:p w14:paraId="45A51053">
      <w:pPr>
        <w:spacing w:line="360" w:lineRule="auto"/>
        <w:ind w:firstLine="600" w:firstLineChars="250"/>
        <w:rPr>
          <w:rFonts w:hint="eastAsia" w:ascii="宋体" w:hAnsi="宋体"/>
          <w:sz w:val="24"/>
        </w:rPr>
      </w:pPr>
      <w:r>
        <w:rPr>
          <w:rFonts w:ascii="宋体" w:hAnsi="宋体"/>
          <w:sz w:val="24"/>
        </w:rPr>
        <w:t xml:space="preserve">2）现场安全检查主要内容： </w:t>
      </w:r>
    </w:p>
    <w:p w14:paraId="38EA881C">
      <w:pPr>
        <w:spacing w:line="360" w:lineRule="auto"/>
        <w:ind w:firstLine="600" w:firstLineChars="250"/>
        <w:rPr>
          <w:rFonts w:hint="eastAsia" w:ascii="宋体" w:hAnsi="宋体"/>
          <w:sz w:val="24"/>
        </w:rPr>
      </w:pPr>
      <w:r>
        <w:rPr>
          <w:rFonts w:ascii="宋体" w:hAnsi="宋体"/>
          <w:sz w:val="24"/>
        </w:rPr>
        <w:t>（1）按照生产工艺、设备、电气、仪表</w:t>
      </w:r>
      <w:r>
        <w:rPr>
          <w:rFonts w:hint="eastAsia" w:ascii="宋体" w:hAnsi="宋体"/>
          <w:sz w:val="24"/>
        </w:rPr>
        <w:t>、</w:t>
      </w:r>
      <w:r>
        <w:rPr>
          <w:rFonts w:ascii="宋体" w:hAnsi="宋体"/>
          <w:sz w:val="24"/>
        </w:rPr>
        <w:t xml:space="preserve">危险化学品管理、消防、工业卫生等专业的标准、规范、制度等要求，检查生产、储存、施工现场是否落实，是否存在隐患； </w:t>
      </w:r>
    </w:p>
    <w:p w14:paraId="34C8E371">
      <w:pPr>
        <w:spacing w:line="360" w:lineRule="auto"/>
        <w:ind w:firstLine="600" w:firstLineChars="250"/>
        <w:rPr>
          <w:rFonts w:hint="eastAsia" w:ascii="宋体" w:hAnsi="宋体"/>
          <w:sz w:val="24"/>
        </w:rPr>
      </w:pPr>
      <w:r>
        <w:rPr>
          <w:rFonts w:ascii="宋体" w:hAnsi="宋体"/>
          <w:sz w:val="24"/>
        </w:rPr>
        <w:t xml:space="preserve">（2）检查各部门及个人的安全职责是否落实，检查员工是否认真执行各项安全生产纪律和操作规程； </w:t>
      </w:r>
    </w:p>
    <w:p w14:paraId="7BA35D77">
      <w:pPr>
        <w:spacing w:line="360" w:lineRule="auto"/>
        <w:ind w:firstLine="600" w:firstLineChars="250"/>
        <w:rPr>
          <w:rFonts w:hint="eastAsia" w:ascii="宋体" w:hAnsi="宋体"/>
          <w:sz w:val="24"/>
        </w:rPr>
      </w:pPr>
      <w:r>
        <w:rPr>
          <w:rFonts w:ascii="宋体" w:hAnsi="宋体"/>
          <w:sz w:val="24"/>
        </w:rPr>
        <w:t xml:space="preserve">（3）检查生产、检修、施工等直接作业环节各项安全生产保证措施是否落实。 </w:t>
      </w:r>
    </w:p>
    <w:p w14:paraId="433CA81A">
      <w:pPr>
        <w:spacing w:line="360" w:lineRule="auto"/>
        <w:ind w:firstLine="720" w:firstLineChars="300"/>
        <w:rPr>
          <w:rFonts w:hint="eastAsia" w:ascii="宋体" w:hAnsi="宋体"/>
          <w:sz w:val="24"/>
        </w:rPr>
      </w:pPr>
      <w:r>
        <w:rPr>
          <w:rFonts w:ascii="宋体" w:hAnsi="宋体"/>
          <w:sz w:val="24"/>
        </w:rPr>
        <w:t>3）特种设备检查：包括起重设备本体安全运行情况、安全防护装置是否有效、行车工操作规范及点检记录情况；压力容器锅炉、汽包、液氧储罐等；压力管道有无裂纹、局部腐蚀、过热、变形及焊接接头、弯头、弯管状况等</w:t>
      </w:r>
      <w:r>
        <w:rPr>
          <w:rFonts w:hint="eastAsia" w:ascii="宋体" w:hAnsi="宋体"/>
          <w:sz w:val="24"/>
        </w:rPr>
        <w:t>。</w:t>
      </w:r>
    </w:p>
    <w:p w14:paraId="25CF8036">
      <w:pPr>
        <w:spacing w:line="360" w:lineRule="auto"/>
        <w:ind w:firstLine="600" w:firstLineChars="250"/>
        <w:rPr>
          <w:rFonts w:hint="eastAsia" w:ascii="宋体" w:hAnsi="宋体"/>
          <w:sz w:val="24"/>
        </w:rPr>
      </w:pPr>
      <w:r>
        <w:rPr>
          <w:rFonts w:ascii="宋体" w:hAnsi="宋体"/>
          <w:sz w:val="24"/>
        </w:rPr>
        <w:t xml:space="preserve"> 4）地下设备检查：地下液压润滑站管路漏点、基坑防汛设施、防火灭火系统及消防器材及照明等。节前检查主要是节前对安全、保卫、消防、生产设备、 备用设备、应急预案等进行的检查，特别是应对节日干部、检维修队伍值班安排 和原辅料、备品备件、应急预案落实情况进行重点检查。 </w:t>
      </w:r>
    </w:p>
    <w:p w14:paraId="0576D4C3">
      <w:pPr>
        <w:spacing w:line="360" w:lineRule="auto"/>
        <w:ind w:firstLine="600" w:firstLineChars="250"/>
        <w:rPr>
          <w:rFonts w:hint="eastAsia" w:ascii="宋体" w:hAnsi="宋体"/>
          <w:sz w:val="24"/>
        </w:rPr>
      </w:pPr>
      <w:r>
        <w:rPr>
          <w:rFonts w:hint="eastAsia" w:ascii="宋体" w:hAnsi="宋体"/>
          <w:sz w:val="24"/>
        </w:rPr>
        <w:t>5）</w:t>
      </w:r>
      <w:r>
        <w:rPr>
          <w:rFonts w:ascii="宋体" w:hAnsi="宋体"/>
          <w:sz w:val="24"/>
        </w:rPr>
        <w:t>季节性检查：主要是根据气候变化的特点，由</w:t>
      </w:r>
      <w:r>
        <w:rPr>
          <w:rFonts w:hint="eastAsia" w:ascii="宋体" w:hAnsi="宋体"/>
          <w:sz w:val="24"/>
        </w:rPr>
        <w:t>安全生产领导小组</w:t>
      </w:r>
      <w:r>
        <w:rPr>
          <w:rFonts w:ascii="宋体" w:hAnsi="宋体"/>
          <w:sz w:val="24"/>
        </w:rPr>
        <w:t xml:space="preserve">各有关专业和部门的人员参加的，对防火防爆、防雨防洪、防雷电、防暑降温、防风工作等，进行预防性季节检查，具体检查内容见《季节性安全检查表》。 </w:t>
      </w:r>
    </w:p>
    <w:p w14:paraId="057B8E7B">
      <w:pPr>
        <w:spacing w:line="360" w:lineRule="auto"/>
        <w:ind w:firstLine="600" w:firstLineChars="250"/>
        <w:rPr>
          <w:rFonts w:hint="eastAsia" w:ascii="宋体" w:hAnsi="宋体"/>
          <w:sz w:val="24"/>
        </w:rPr>
      </w:pPr>
      <w:r>
        <w:rPr>
          <w:rFonts w:hint="eastAsia" w:ascii="宋体" w:hAnsi="宋体"/>
          <w:sz w:val="24"/>
        </w:rPr>
        <w:t>6）</w:t>
      </w:r>
      <w:r>
        <w:rPr>
          <w:rFonts w:ascii="宋体" w:hAnsi="宋体"/>
          <w:sz w:val="24"/>
        </w:rPr>
        <w:t>日常检查：安</w:t>
      </w:r>
      <w:r>
        <w:rPr>
          <w:rFonts w:hint="eastAsia" w:ascii="宋体" w:hAnsi="宋体"/>
          <w:sz w:val="24"/>
        </w:rPr>
        <w:t>管员</w:t>
      </w:r>
      <w:r>
        <w:rPr>
          <w:rFonts w:ascii="宋体" w:hAnsi="宋体"/>
          <w:sz w:val="24"/>
        </w:rPr>
        <w:t>每天到现场进行两次检查；生产岗位的员工上岗时，应认真履行岗位安全生产责任制，进行交接班检查和班中巡回检查；部门管理人员要对本车间的安全生产和设备运行情况进行巡回检查，及时了解情况和处理问题；专业人员要在各自的业务范围内进行检查。</w:t>
      </w:r>
    </w:p>
    <w:p w14:paraId="7E393BC8">
      <w:pPr>
        <w:spacing w:line="360" w:lineRule="auto"/>
        <w:ind w:firstLine="480" w:firstLineChars="200"/>
        <w:rPr>
          <w:rFonts w:hint="eastAsia" w:ascii="宋体" w:hAnsi="宋体"/>
          <w:sz w:val="24"/>
        </w:rPr>
      </w:pPr>
      <w:r>
        <w:rPr>
          <w:rFonts w:ascii="宋体" w:hAnsi="宋体"/>
          <w:sz w:val="24"/>
        </w:rPr>
        <w:t xml:space="preserve"> 四、工作措施 </w:t>
      </w:r>
    </w:p>
    <w:p w14:paraId="62D5A316">
      <w:pPr>
        <w:spacing w:line="360" w:lineRule="auto"/>
        <w:ind w:firstLine="720" w:firstLineChars="300"/>
        <w:rPr>
          <w:rFonts w:hint="eastAsia" w:ascii="宋体" w:hAnsi="宋体"/>
          <w:sz w:val="24"/>
        </w:rPr>
      </w:pPr>
      <w:r>
        <w:rPr>
          <w:rFonts w:ascii="宋体" w:hAnsi="宋体"/>
          <w:sz w:val="24"/>
        </w:rPr>
        <w:t>1、全面实施排查，加强整改督查。各责任单位及相关人员要全面开展隐患排查，及时整改隐患，切实落实措施，防范事故发生。公司隐患排查治理领导小组负责对全校隐患排查治理的督促、检查、指导。</w:t>
      </w:r>
    </w:p>
    <w:p w14:paraId="668577F6">
      <w:pPr>
        <w:spacing w:line="360" w:lineRule="auto"/>
        <w:ind w:firstLine="600" w:firstLineChars="250"/>
        <w:rPr>
          <w:rFonts w:hint="eastAsia" w:ascii="宋体" w:hAnsi="宋体"/>
          <w:sz w:val="24"/>
        </w:rPr>
      </w:pPr>
      <w:r>
        <w:rPr>
          <w:rFonts w:ascii="宋体" w:hAnsi="宋体"/>
          <w:sz w:val="24"/>
        </w:rPr>
        <w:t xml:space="preserve"> 2、规范统计报告。按照公司统一隐患排查治理信息统计报告的要求，明确工作范围，掌握工作进度，科学统计分析，汇总重大隐患，落实工作责任，为专项行动有效开展及长效机制建立提供保证。</w:t>
      </w:r>
    </w:p>
    <w:p w14:paraId="4EC84704">
      <w:pPr>
        <w:spacing w:line="360" w:lineRule="auto"/>
        <w:ind w:firstLine="600" w:firstLineChars="250"/>
        <w:rPr>
          <w:rFonts w:hint="eastAsia" w:ascii="宋体" w:hAnsi="宋体"/>
          <w:sz w:val="24"/>
        </w:rPr>
      </w:pPr>
      <w:r>
        <w:rPr>
          <w:rFonts w:ascii="宋体" w:hAnsi="宋体"/>
          <w:sz w:val="24"/>
        </w:rPr>
        <w:t xml:space="preserve"> 3、及时总结提高，构建长效机制。各责任单位要边排查治理，边总结经验，完善规章制度，提高隐患排查工作的科学性、系统性、有效性，构建长效机制。 </w:t>
      </w:r>
    </w:p>
    <w:p w14:paraId="15764096">
      <w:pPr>
        <w:spacing w:line="360" w:lineRule="auto"/>
        <w:ind w:firstLine="600" w:firstLineChars="250"/>
        <w:rPr>
          <w:rFonts w:hint="eastAsia" w:ascii="宋体" w:hAnsi="宋体"/>
          <w:sz w:val="24"/>
        </w:rPr>
      </w:pPr>
      <w:r>
        <w:rPr>
          <w:rFonts w:ascii="宋体" w:hAnsi="宋体"/>
          <w:sz w:val="24"/>
        </w:rPr>
        <w:t xml:space="preserve">五、工作要求 </w:t>
      </w:r>
    </w:p>
    <w:p w14:paraId="6E31A4DF">
      <w:pPr>
        <w:spacing w:line="360" w:lineRule="auto"/>
        <w:ind w:firstLine="600" w:firstLineChars="250"/>
        <w:rPr>
          <w:rFonts w:hint="eastAsia" w:ascii="宋体" w:hAnsi="宋体"/>
          <w:sz w:val="24"/>
        </w:rPr>
      </w:pPr>
      <w:r>
        <w:rPr>
          <w:rFonts w:ascii="宋体" w:hAnsi="宋体"/>
          <w:sz w:val="24"/>
        </w:rPr>
        <w:t>1、加强领导，切实落实责任。各责任单位及相关人员要高度重视</w:t>
      </w:r>
      <w:r>
        <w:rPr>
          <w:rFonts w:hint="eastAsia" w:ascii="宋体" w:hAnsi="宋体"/>
          <w:sz w:val="24"/>
        </w:rPr>
        <w:t>，</w:t>
      </w:r>
      <w:r>
        <w:rPr>
          <w:rFonts w:ascii="宋体" w:hAnsi="宋体"/>
          <w:sz w:val="24"/>
        </w:rPr>
        <w:t>迅速作出工作部署，及时开展隐患排查治理，真正形成全面负责的责任体系。要为隐患排查治理工作提供必要的人力、资金和技术装备保障。各单位一定要把工作做深、做细、不留盲区，不留死角。凡因排查工作不认真而疏漏重大安全隐患的，将追究有关人员的责任。</w:t>
      </w:r>
    </w:p>
    <w:p w14:paraId="2E87399B">
      <w:pPr>
        <w:spacing w:line="360" w:lineRule="auto"/>
        <w:ind w:firstLine="480" w:firstLineChars="200"/>
        <w:rPr>
          <w:rFonts w:hint="eastAsia" w:ascii="宋体" w:hAnsi="宋体"/>
          <w:sz w:val="24"/>
        </w:rPr>
      </w:pPr>
      <w:r>
        <w:rPr>
          <w:rFonts w:ascii="宋体" w:hAnsi="宋体"/>
          <w:sz w:val="24"/>
        </w:rPr>
        <w:t xml:space="preserve"> 2、突出重点，狠抓工作落实。各单位及相关人员要按照排查治理范围内容要求，结合实际和重点时段特点，突出工作重点，建立重大隐患跟踪治理和逐项整改制度，由</w:t>
      </w:r>
      <w:r>
        <w:rPr>
          <w:rFonts w:hint="eastAsia" w:ascii="宋体" w:hAnsi="宋体"/>
          <w:sz w:val="24"/>
        </w:rPr>
        <w:t>安全生产领导小组</w:t>
      </w:r>
      <w:r>
        <w:rPr>
          <w:rFonts w:ascii="宋体" w:hAnsi="宋体"/>
          <w:sz w:val="24"/>
        </w:rPr>
        <w:t>负责跟踪整改情况。</w:t>
      </w:r>
    </w:p>
    <w:p w14:paraId="3E969071">
      <w:pPr>
        <w:spacing w:line="360" w:lineRule="auto"/>
        <w:ind w:firstLine="480" w:firstLineChars="200"/>
        <w:rPr>
          <w:rFonts w:hint="eastAsia" w:ascii="宋体" w:hAnsi="宋体"/>
          <w:sz w:val="24"/>
        </w:rPr>
      </w:pPr>
      <w:r>
        <w:rPr>
          <w:rFonts w:ascii="宋体" w:hAnsi="宋体"/>
          <w:sz w:val="24"/>
        </w:rPr>
        <w:t xml:space="preserve"> 3、密切配合，形成合力。对待隐患排查治理工作，各单位要密切配合、工作联动，形成隐患排查治理的合力。</w:t>
      </w:r>
    </w:p>
    <w:p w14:paraId="4B1B0975">
      <w:pPr>
        <w:spacing w:line="360" w:lineRule="auto"/>
        <w:ind w:firstLine="480" w:firstLineChars="200"/>
        <w:rPr>
          <w:rFonts w:hint="eastAsia" w:ascii="宋体" w:hAnsi="宋体"/>
          <w:sz w:val="24"/>
        </w:rPr>
      </w:pPr>
      <w:r>
        <w:rPr>
          <w:rFonts w:ascii="宋体" w:hAnsi="宋体"/>
          <w:sz w:val="24"/>
        </w:rPr>
        <w:t xml:space="preserve"> 4、强化宣传，广泛发动。要充分利用广播</w:t>
      </w:r>
      <w:r>
        <w:rPr>
          <w:rFonts w:hint="eastAsia" w:ascii="宋体" w:hAnsi="宋体"/>
          <w:sz w:val="24"/>
        </w:rPr>
        <w:t>、</w:t>
      </w:r>
      <w:r>
        <w:rPr>
          <w:rFonts w:ascii="宋体" w:hAnsi="宋体"/>
          <w:sz w:val="24"/>
        </w:rPr>
        <w:t>宣传栏、公司局域网等媒体，加大对隐患排查治理工作的宣传力度。要通过各种途径教育引导全体职工，深刻认识开展安全生产隐患治理的重要性、必要性和紧迫性，增强做好隐患治理工作的主动性和自觉性，落实主体责任。要充分依靠和发动广大职工参与隐患排查治理工作，建立监督和激励机制，加大员工监督力度。</w:t>
      </w:r>
    </w:p>
    <w:p w14:paraId="08E5FED4">
      <w:pPr>
        <w:rPr>
          <w:rFonts w:hint="eastAsia"/>
          <w:highlight w:val="none"/>
          <w:lang w:val="en-US" w:eastAsia="zh-CN"/>
        </w:rPr>
      </w:pPr>
      <w:r>
        <w:rPr>
          <w:rFonts w:hint="eastAsia"/>
          <w:highlight w:val="none"/>
          <w:lang w:val="en-US" w:eastAsia="zh-CN"/>
        </w:rPr>
        <w:br w:type="page"/>
      </w:r>
    </w:p>
    <w:p w14:paraId="262C20A0">
      <w:pPr>
        <w:ind w:firstLine="2831" w:firstLineChars="641"/>
        <w:rPr>
          <w:rFonts w:hint="eastAsia"/>
          <w:b/>
          <w:sz w:val="44"/>
          <w:szCs w:val="44"/>
        </w:rPr>
      </w:pPr>
      <w:r>
        <w:rPr>
          <w:rFonts w:hint="eastAsia"/>
          <w:b/>
          <w:sz w:val="44"/>
          <w:szCs w:val="44"/>
        </w:rPr>
        <w:t>隐患治理方案</w:t>
      </w:r>
    </w:p>
    <w:p w14:paraId="503EC212">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一、目标</w:t>
      </w:r>
    </w:p>
    <w:p w14:paraId="4639A063">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在开展本单位安全生产隐患排查治理专项行动的基础上，进一步深化本单位安全生产隐患排查治理工作，进一步强化本单位安全生产主体责任，进一步完善各项安全生产规章制度，进一步落实各项安全管理措施，建立重大隐患排查治理机制，夯实安全生产基础，提高安全管理水平，创新工作思路，努力构建本单位安全工作长效管理机制，彻底整改旧有隐患，遏制新隐患产生，有效防范和遏制重特大事故发生，保持本单位安全工作平稳态势。</w:t>
      </w:r>
    </w:p>
    <w:p w14:paraId="2D8168D9">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二、任务</w:t>
      </w:r>
    </w:p>
    <w:p w14:paraId="70FE4666">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在继续落实隐患排查治理专项行动方案的基础上，结合本单位安全生产实际，排查在安全管理责任、各项规章制度及生产施工全过程中存在的安全隐患并进行治理。具体包括：</w:t>
      </w:r>
    </w:p>
    <w:p w14:paraId="056BAA1E">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1、安全生产责任制落实情况。企业和总经理负责制及分管负责人、安全管理人员、各职能机构、各岗位安全生产责任制建立及落实情况。安全生产管理机构的设立、安全管理人员的配备情况。</w:t>
      </w:r>
    </w:p>
    <w:p w14:paraId="07576FEF">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2、安全生产规章制度建立和落实情况：企业、生产设施设备、从业人员却得有关证照情况；建立健全安全生产管理制度情况。</w:t>
      </w:r>
    </w:p>
    <w:p w14:paraId="194C0FE4">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3、安全基础工作情况：全员安全培训教育情况；岗位安全操作规程执行情况；有关基础台账完备情况。</w:t>
      </w:r>
    </w:p>
    <w:p w14:paraId="3C0BB316">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4、特种作业人员管理情况：对特种作业违法违规教育处理和督促其参加学习、考试情况；对特种作业人员动态监管，防止违章操作等违法行为。</w:t>
      </w:r>
    </w:p>
    <w:p w14:paraId="60A00309">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5、机械设备管理制度执行情况：执行机械设备维护检查制度，确保接线设备性能符合安全技术标准，防止带病运行。</w:t>
      </w:r>
    </w:p>
    <w:p w14:paraId="1D2DC262">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6、事故处理和责任追究情况：对已发生的事故按照“四不放过”的原则要求，认真吸取事故教训，对有关责任人的责任追究和落实整改情况。</w:t>
      </w:r>
    </w:p>
    <w:p w14:paraId="272C7409">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三、方法</w:t>
      </w:r>
    </w:p>
    <w:p w14:paraId="1EC5AA0F">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为保证生产工作顺利开展，本年度安全生产隐患排查治理专项行动分三个阶段进行：</w:t>
      </w:r>
    </w:p>
    <w:p w14:paraId="54848F98">
      <w:pPr>
        <w:spacing w:line="360" w:lineRule="auto"/>
        <w:ind w:firstLine="480" w:firstLineChars="200"/>
        <w:rPr>
          <w:rFonts w:hint="eastAsia" w:ascii="宋体" w:hAnsi="宋体"/>
          <w:color w:val="000000"/>
          <w:kern w:val="0"/>
          <w:sz w:val="24"/>
          <w:szCs w:val="24"/>
        </w:rPr>
      </w:pPr>
    </w:p>
    <w:p w14:paraId="5C050BB3">
      <w:pPr>
        <w:spacing w:line="360" w:lineRule="auto"/>
        <w:ind w:firstLine="482" w:firstLineChars="200"/>
        <w:rPr>
          <w:rFonts w:hint="eastAsia" w:ascii="宋体" w:hAnsi="宋体"/>
          <w:b/>
          <w:color w:val="000000"/>
          <w:kern w:val="0"/>
          <w:sz w:val="24"/>
          <w:szCs w:val="24"/>
        </w:rPr>
      </w:pPr>
      <w:r>
        <w:rPr>
          <w:rFonts w:hint="eastAsia" w:ascii="宋体" w:hAnsi="宋体"/>
          <w:b/>
          <w:color w:val="000000"/>
          <w:kern w:val="0"/>
          <w:sz w:val="24"/>
          <w:szCs w:val="24"/>
        </w:rPr>
        <w:t>第一阶段</w:t>
      </w:r>
    </w:p>
    <w:p w14:paraId="5AE1F7DC">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1、</w:t>
      </w:r>
      <w:r>
        <w:rPr>
          <w:rFonts w:hint="eastAsia" w:ascii="宋体" w:hAnsi="宋体"/>
          <w:color w:val="000000"/>
          <w:kern w:val="0"/>
          <w:sz w:val="24"/>
          <w:szCs w:val="24"/>
          <w:lang w:eastAsia="zh-CN"/>
        </w:rPr>
        <w:t>安全办</w:t>
      </w:r>
      <w:r>
        <w:rPr>
          <w:rFonts w:hint="eastAsia" w:ascii="宋体" w:hAnsi="宋体"/>
          <w:color w:val="000000"/>
          <w:kern w:val="0"/>
          <w:sz w:val="24"/>
          <w:szCs w:val="24"/>
        </w:rPr>
        <w:t>将工作方案下达给本单位各部门，并督促各部门认真制定具体排查实施方案。</w:t>
      </w:r>
    </w:p>
    <w:p w14:paraId="288550B5">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2、抓紧整改排查出的安全隐患，按规定在最短时间内完成治理任务，暂时难以完成的要制定计划，做到责任、措施、资金、完成时间，防范预案五落实，治理期间要落实责任人加强监控。</w:t>
      </w:r>
    </w:p>
    <w:p w14:paraId="561914DD">
      <w:pPr>
        <w:spacing w:line="360" w:lineRule="auto"/>
        <w:ind w:firstLine="482" w:firstLineChars="200"/>
        <w:rPr>
          <w:rFonts w:hint="eastAsia" w:ascii="宋体" w:hAnsi="宋体"/>
          <w:b/>
          <w:color w:val="000000"/>
          <w:kern w:val="0"/>
          <w:sz w:val="24"/>
          <w:szCs w:val="24"/>
        </w:rPr>
      </w:pPr>
      <w:r>
        <w:rPr>
          <w:rFonts w:hint="eastAsia" w:ascii="宋体" w:hAnsi="宋体"/>
          <w:b/>
          <w:color w:val="000000"/>
          <w:kern w:val="0"/>
          <w:sz w:val="24"/>
          <w:szCs w:val="24"/>
        </w:rPr>
        <w:t>第二阶段</w:t>
      </w:r>
    </w:p>
    <w:p w14:paraId="092001B4">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1、根据本单位方案，发动全体职工，查找生产过程中的薄弱环节和突出问题，突出做好安全管理制度落实和反“三违”措施的到位，全面治理事故隐患。</w:t>
      </w:r>
    </w:p>
    <w:p w14:paraId="67BB2827">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2、对排查出的安全隐患进行认真整理，根据整理出的内容，及时开展治理工作。要根据排查出的隐患，制定出治理计划、一时难以治理到位的要列入计划，落实责任部门和责任人员、完成时间、防范措施、经费保障、防范预案，保证按时完成隐患的及时治理和防范。</w:t>
      </w:r>
    </w:p>
    <w:p w14:paraId="046ECF69">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3、将排查治理安全生产隐患与开展的各项安全专项整治有机结合，全面提高全员工安全生产素质。</w:t>
      </w:r>
    </w:p>
    <w:p w14:paraId="069DB371">
      <w:pPr>
        <w:spacing w:line="360" w:lineRule="auto"/>
        <w:ind w:firstLine="482" w:firstLineChars="200"/>
        <w:rPr>
          <w:rFonts w:hint="eastAsia" w:ascii="宋体" w:hAnsi="宋体"/>
          <w:b/>
          <w:color w:val="000000"/>
          <w:kern w:val="0"/>
          <w:sz w:val="24"/>
          <w:szCs w:val="24"/>
        </w:rPr>
      </w:pPr>
      <w:r>
        <w:rPr>
          <w:rFonts w:hint="eastAsia" w:ascii="宋体" w:hAnsi="宋体"/>
          <w:b/>
          <w:color w:val="000000"/>
          <w:kern w:val="0"/>
          <w:sz w:val="24"/>
          <w:szCs w:val="24"/>
        </w:rPr>
        <w:t>第三阶段</w:t>
      </w:r>
    </w:p>
    <w:p w14:paraId="27106DB9">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1、针对冬季的气候条件有关生产的特点，做好各项安全生产工作。</w:t>
      </w:r>
    </w:p>
    <w:p w14:paraId="64231C27">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2、认真总结隐患排查治理工作成果和经验，针对进一步改进的措施和要求。完善建立隐患排查治理和长效机制，使隐患排查治理实现制度化、规范化、经常化。</w:t>
      </w:r>
    </w:p>
    <w:p w14:paraId="1F04B1C3">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四、措施</w:t>
      </w:r>
    </w:p>
    <w:p w14:paraId="6F9EDF18">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（一）</w:t>
      </w:r>
      <w:r>
        <w:rPr>
          <w:rFonts w:ascii="宋体" w:hAnsi="宋体"/>
          <w:color w:val="000000"/>
          <w:kern w:val="0"/>
          <w:sz w:val="24"/>
          <w:szCs w:val="24"/>
        </w:rPr>
        <w:t>综合保证措施</w:t>
      </w:r>
    </w:p>
    <w:p w14:paraId="6D26629C">
      <w:pPr>
        <w:spacing w:line="360" w:lineRule="auto"/>
        <w:ind w:firstLine="480" w:firstLineChars="200"/>
        <w:rPr>
          <w:rFonts w:hint="eastAsia" w:ascii="宋体" w:hAnsi="宋体"/>
          <w:color w:val="000000"/>
          <w:kern w:val="0"/>
          <w:sz w:val="24"/>
          <w:szCs w:val="24"/>
        </w:rPr>
      </w:pPr>
      <w:r>
        <w:rPr>
          <w:rFonts w:ascii="宋体" w:hAnsi="宋体"/>
          <w:color w:val="000000"/>
          <w:kern w:val="0"/>
          <w:sz w:val="24"/>
          <w:szCs w:val="24"/>
        </w:rPr>
        <w:t>1</w:t>
      </w:r>
      <w:r>
        <w:rPr>
          <w:rFonts w:hint="eastAsia" w:ascii="宋体" w:hAnsi="宋体"/>
          <w:color w:val="000000"/>
          <w:kern w:val="0"/>
          <w:sz w:val="24"/>
          <w:szCs w:val="24"/>
        </w:rPr>
        <w:t>、</w:t>
      </w:r>
      <w:r>
        <w:rPr>
          <w:rFonts w:ascii="宋体" w:hAnsi="宋体"/>
          <w:color w:val="000000"/>
          <w:kern w:val="0"/>
          <w:sz w:val="24"/>
          <w:szCs w:val="24"/>
        </w:rPr>
        <w:t xml:space="preserve">建立以岗位责任制为中心的安全生产逐级负责制，制度明确、责任到人，奖罚分明。 </w:t>
      </w:r>
    </w:p>
    <w:p w14:paraId="5E6B993C">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2、</w:t>
      </w:r>
      <w:r>
        <w:rPr>
          <w:rFonts w:ascii="宋体" w:hAnsi="宋体"/>
          <w:color w:val="000000"/>
          <w:kern w:val="0"/>
          <w:sz w:val="24"/>
          <w:szCs w:val="24"/>
        </w:rPr>
        <w:t>按施工人员的比例配备足够的专职安全员,驻地管理人员一律佩证上岗,安全员佩证为红色,以示醒目。</w:t>
      </w:r>
    </w:p>
    <w:p w14:paraId="7C8609F4">
      <w:pPr>
        <w:spacing w:line="360" w:lineRule="auto"/>
        <w:ind w:firstLine="480" w:firstLineChars="200"/>
        <w:rPr>
          <w:rFonts w:hint="eastAsia" w:ascii="宋体" w:hAnsi="宋体"/>
          <w:color w:val="000000"/>
          <w:kern w:val="0"/>
          <w:sz w:val="24"/>
          <w:szCs w:val="24"/>
        </w:rPr>
      </w:pPr>
      <w:r>
        <w:rPr>
          <w:rFonts w:ascii="宋体" w:hAnsi="宋体"/>
          <w:color w:val="000000"/>
          <w:kern w:val="0"/>
          <w:sz w:val="24"/>
          <w:szCs w:val="24"/>
        </w:rPr>
        <w:t>3</w:t>
      </w:r>
      <w:r>
        <w:rPr>
          <w:rFonts w:hint="eastAsia" w:ascii="宋体" w:hAnsi="宋体"/>
          <w:color w:val="000000"/>
          <w:kern w:val="0"/>
          <w:sz w:val="24"/>
          <w:szCs w:val="24"/>
        </w:rPr>
        <w:t>、</w:t>
      </w:r>
      <w:r>
        <w:rPr>
          <w:rFonts w:ascii="宋体" w:hAnsi="宋体"/>
          <w:color w:val="000000"/>
          <w:kern w:val="0"/>
          <w:sz w:val="24"/>
          <w:szCs w:val="24"/>
        </w:rPr>
        <w:t>在编制施工计划的同时，编制详细的安全操作规程、细则、 制度及切实可行的安全技术措施，分发至班组，组织逐条落实。搞好 “五图安全检查流程图同时”（即在计划、布置、检查、总结、评比生产的同时，计划、布置、检查、总结、评比安全工作）和“三级安全教育”。</w:t>
      </w:r>
    </w:p>
    <w:p w14:paraId="75C750D6">
      <w:pPr>
        <w:spacing w:line="360" w:lineRule="auto"/>
        <w:ind w:firstLine="480" w:firstLineChars="200"/>
        <w:rPr>
          <w:rFonts w:hint="eastAsia" w:ascii="宋体" w:hAnsi="宋体"/>
          <w:color w:val="000000"/>
          <w:kern w:val="0"/>
          <w:sz w:val="24"/>
          <w:szCs w:val="24"/>
        </w:rPr>
      </w:pPr>
      <w:r>
        <w:rPr>
          <w:rFonts w:ascii="宋体" w:hAnsi="宋体"/>
          <w:color w:val="000000"/>
          <w:kern w:val="0"/>
          <w:sz w:val="24"/>
          <w:szCs w:val="24"/>
        </w:rPr>
        <w:t>4</w:t>
      </w:r>
      <w:r>
        <w:rPr>
          <w:rFonts w:hint="eastAsia" w:ascii="宋体" w:hAnsi="宋体"/>
          <w:color w:val="000000"/>
          <w:kern w:val="0"/>
          <w:sz w:val="24"/>
          <w:szCs w:val="24"/>
        </w:rPr>
        <w:t>、</w:t>
      </w:r>
      <w:r>
        <w:rPr>
          <w:rFonts w:ascii="宋体" w:hAnsi="宋体"/>
          <w:color w:val="000000"/>
          <w:kern w:val="0"/>
          <w:sz w:val="24"/>
          <w:szCs w:val="24"/>
        </w:rPr>
        <w:t>每一工序开始前，做出详细的施工方案和实施措施，报监理工程师审批后，及时做好施工技术及安全技术交底，并在施工过程中督促检查，严格坚持特殊工种持证上岗。</w:t>
      </w:r>
    </w:p>
    <w:p w14:paraId="6A19E56A">
      <w:pPr>
        <w:spacing w:line="360" w:lineRule="auto"/>
        <w:ind w:firstLine="480" w:firstLineChars="200"/>
        <w:rPr>
          <w:rFonts w:hint="eastAsia" w:ascii="宋体" w:hAnsi="宋体"/>
          <w:color w:val="000000"/>
          <w:kern w:val="0"/>
          <w:sz w:val="24"/>
          <w:szCs w:val="24"/>
        </w:rPr>
      </w:pPr>
      <w:r>
        <w:rPr>
          <w:rFonts w:ascii="宋体" w:hAnsi="宋体"/>
          <w:color w:val="000000"/>
          <w:kern w:val="0"/>
          <w:sz w:val="24"/>
          <w:szCs w:val="24"/>
        </w:rPr>
        <w:t>5</w:t>
      </w:r>
      <w:r>
        <w:rPr>
          <w:rFonts w:hint="eastAsia" w:ascii="宋体" w:hAnsi="宋体"/>
          <w:color w:val="000000"/>
          <w:kern w:val="0"/>
          <w:sz w:val="24"/>
          <w:szCs w:val="24"/>
        </w:rPr>
        <w:t>、</w:t>
      </w:r>
      <w:r>
        <w:rPr>
          <w:rFonts w:ascii="宋体" w:hAnsi="宋体"/>
          <w:color w:val="000000"/>
          <w:kern w:val="0"/>
          <w:sz w:val="24"/>
          <w:szCs w:val="24"/>
        </w:rPr>
        <w:t xml:space="preserve">进行定期和不定期的安全检查，及时发现和解决不安全的事故隐患，杜绝违章作业和违章指挥现象，同时加大安全教育及宣传力度，对重点作业场所、危险区、主要通道设“五牌一图”，即:工程告示牌、安全生产记录牌、防火须知牌、安全无重大事故记录牌、工地主要管理人员名牌、施工总平面图。 </w:t>
      </w:r>
    </w:p>
    <w:p w14:paraId="679FD348">
      <w:pPr>
        <w:spacing w:line="360" w:lineRule="auto"/>
        <w:ind w:firstLine="480" w:firstLineChars="200"/>
        <w:rPr>
          <w:rFonts w:hint="eastAsia" w:ascii="宋体" w:hAnsi="宋体" w:cs="宋体"/>
          <w:color w:val="000000"/>
          <w:kern w:val="0"/>
          <w:sz w:val="24"/>
          <w:szCs w:val="24"/>
        </w:rPr>
      </w:pPr>
      <w:r>
        <w:rPr>
          <w:rFonts w:ascii="宋体" w:hAnsi="宋体"/>
          <w:color w:val="000000"/>
          <w:kern w:val="0"/>
          <w:sz w:val="24"/>
          <w:szCs w:val="24"/>
        </w:rPr>
        <w:t>6</w:t>
      </w:r>
      <w:r>
        <w:rPr>
          <w:rFonts w:hint="eastAsia" w:ascii="宋体" w:hAnsi="宋体"/>
          <w:color w:val="000000"/>
          <w:kern w:val="0"/>
          <w:sz w:val="24"/>
          <w:szCs w:val="24"/>
        </w:rPr>
        <w:t>、</w:t>
      </w:r>
      <w:r>
        <w:rPr>
          <w:rFonts w:ascii="宋体" w:hAnsi="宋体"/>
          <w:color w:val="000000"/>
          <w:kern w:val="0"/>
          <w:sz w:val="24"/>
          <w:szCs w:val="24"/>
        </w:rPr>
        <w:t>坚持每周五安全</w:t>
      </w:r>
      <w:r>
        <w:rPr>
          <w:rFonts w:ascii="宋体" w:hAnsi="宋体" w:cs="宋体"/>
          <w:color w:val="000000"/>
          <w:kern w:val="0"/>
          <w:sz w:val="24"/>
          <w:szCs w:val="24"/>
        </w:rPr>
        <w:t>日的安全学习制度。严格执行交接班制度，坚持工前讲安全、工中检查安全、工后评比安全的“三工制”活动。</w:t>
      </w:r>
    </w:p>
    <w:p w14:paraId="315797C3">
      <w:pPr>
        <w:spacing w:line="360" w:lineRule="auto"/>
        <w:ind w:firstLine="480" w:firstLineChars="200"/>
        <w:rPr>
          <w:rFonts w:hint="eastAsia" w:ascii="宋体" w:hAnsi="宋体" w:cs="宋体"/>
          <w:color w:val="000000"/>
          <w:kern w:val="0"/>
          <w:sz w:val="24"/>
          <w:szCs w:val="24"/>
        </w:rPr>
      </w:pPr>
      <w:r>
        <w:rPr>
          <w:rFonts w:ascii="宋体" w:hAnsi="宋体" w:cs="宋体"/>
          <w:color w:val="000000"/>
          <w:kern w:val="0"/>
          <w:sz w:val="24"/>
          <w:szCs w:val="24"/>
        </w:rPr>
        <w:t>7</w:t>
      </w:r>
      <w:r>
        <w:rPr>
          <w:rFonts w:hint="eastAsia" w:ascii="宋体" w:hAnsi="宋体" w:cs="宋体"/>
          <w:color w:val="000000"/>
          <w:kern w:val="0"/>
          <w:sz w:val="24"/>
          <w:szCs w:val="24"/>
        </w:rPr>
        <w:t>、</w:t>
      </w:r>
      <w:r>
        <w:rPr>
          <w:rFonts w:ascii="宋体" w:hAnsi="宋体" w:cs="宋体"/>
          <w:color w:val="000000"/>
          <w:kern w:val="0"/>
          <w:sz w:val="24"/>
          <w:szCs w:val="24"/>
        </w:rPr>
        <w:t>开工前期制定各项安全制度及防护措施</w:t>
      </w:r>
    </w:p>
    <w:p w14:paraId="4FAC3DFD">
      <w:pPr>
        <w:spacing w:line="360" w:lineRule="auto"/>
        <w:ind w:firstLine="480" w:firstLineChars="200"/>
        <w:rPr>
          <w:rFonts w:hint="eastAsia" w:ascii="宋体" w:hAnsi="宋体" w:cs="宋体"/>
          <w:color w:val="000000"/>
          <w:kern w:val="0"/>
          <w:sz w:val="24"/>
          <w:szCs w:val="24"/>
        </w:rPr>
      </w:pPr>
      <w:r>
        <w:rPr>
          <w:rFonts w:ascii="宋体" w:hAnsi="宋体" w:cs="宋体"/>
          <w:color w:val="000000"/>
          <w:kern w:val="0"/>
          <w:sz w:val="24"/>
          <w:szCs w:val="24"/>
        </w:rPr>
        <w:t>⑴</w:t>
      </w:r>
      <w:r>
        <w:rPr>
          <w:rFonts w:hint="eastAsia" w:ascii="宋体" w:hAnsi="宋体" w:cs="宋体"/>
          <w:color w:val="000000"/>
          <w:kern w:val="0"/>
          <w:sz w:val="24"/>
          <w:szCs w:val="24"/>
        </w:rPr>
        <w:t xml:space="preserve"> </w:t>
      </w:r>
      <w:r>
        <w:rPr>
          <w:rFonts w:ascii="宋体" w:hAnsi="宋体" w:cs="宋体"/>
          <w:color w:val="000000"/>
          <w:kern w:val="0"/>
          <w:sz w:val="24"/>
          <w:szCs w:val="24"/>
        </w:rPr>
        <w:t>各类机电设备操作规程及各项安全作业规章制度。</w:t>
      </w:r>
    </w:p>
    <w:p w14:paraId="4576B48D">
      <w:pPr>
        <w:spacing w:line="360" w:lineRule="auto"/>
        <w:ind w:firstLine="480" w:firstLineChars="200"/>
        <w:rPr>
          <w:rFonts w:hint="eastAsia" w:ascii="宋体" w:hAnsi="宋体" w:cs="宋体"/>
          <w:color w:val="000000"/>
          <w:kern w:val="0"/>
          <w:sz w:val="24"/>
          <w:szCs w:val="24"/>
        </w:rPr>
      </w:pPr>
      <w:r>
        <w:rPr>
          <w:rFonts w:ascii="宋体" w:hAnsi="宋体" w:cs="宋体"/>
          <w:color w:val="000000"/>
          <w:kern w:val="0"/>
          <w:sz w:val="24"/>
          <w:szCs w:val="24"/>
        </w:rPr>
        <w:t>⑵</w:t>
      </w:r>
      <w:r>
        <w:rPr>
          <w:rFonts w:hint="eastAsia" w:ascii="宋体" w:hAnsi="宋体" w:cs="宋体"/>
          <w:color w:val="000000"/>
          <w:kern w:val="0"/>
          <w:sz w:val="24"/>
          <w:szCs w:val="24"/>
        </w:rPr>
        <w:t xml:space="preserve"> </w:t>
      </w:r>
      <w:r>
        <w:rPr>
          <w:rFonts w:ascii="宋体" w:hAnsi="宋体" w:cs="宋体"/>
          <w:color w:val="000000"/>
          <w:kern w:val="0"/>
          <w:sz w:val="24"/>
          <w:szCs w:val="24"/>
        </w:rPr>
        <w:t xml:space="preserve">用电安全须知及电力架设、养护作业制度。 </w:t>
      </w:r>
    </w:p>
    <w:p w14:paraId="497D4E38">
      <w:pPr>
        <w:spacing w:line="360" w:lineRule="auto"/>
        <w:ind w:firstLine="480" w:firstLineChars="200"/>
        <w:rPr>
          <w:rFonts w:hint="eastAsia" w:ascii="宋体" w:hAnsi="宋体" w:cs="宋体"/>
          <w:color w:val="000000"/>
          <w:kern w:val="0"/>
          <w:sz w:val="24"/>
          <w:szCs w:val="24"/>
        </w:rPr>
      </w:pPr>
      <w:r>
        <w:rPr>
          <w:rFonts w:ascii="宋体" w:hAnsi="宋体" w:cs="宋体"/>
          <w:color w:val="000000"/>
          <w:kern w:val="0"/>
          <w:sz w:val="24"/>
          <w:szCs w:val="24"/>
        </w:rPr>
        <w:t>⑶</w:t>
      </w:r>
      <w:r>
        <w:rPr>
          <w:rFonts w:hint="eastAsia" w:ascii="宋体" w:hAnsi="宋体" w:cs="宋体"/>
          <w:color w:val="000000"/>
          <w:kern w:val="0"/>
          <w:sz w:val="24"/>
          <w:szCs w:val="24"/>
        </w:rPr>
        <w:t xml:space="preserve"> </w:t>
      </w:r>
      <w:r>
        <w:rPr>
          <w:rFonts w:ascii="宋体" w:hAnsi="宋体" w:cs="宋体"/>
          <w:color w:val="000000"/>
          <w:kern w:val="0"/>
          <w:sz w:val="24"/>
          <w:szCs w:val="24"/>
        </w:rPr>
        <w:t>风</w:t>
      </w:r>
      <w:r>
        <w:rPr>
          <w:rFonts w:hint="eastAsia" w:ascii="宋体" w:hAnsi="宋体" w:cs="宋体"/>
          <w:color w:val="000000"/>
          <w:kern w:val="0"/>
          <w:sz w:val="24"/>
          <w:szCs w:val="24"/>
        </w:rPr>
        <w:t>、</w:t>
      </w:r>
      <w:r>
        <w:rPr>
          <w:rFonts w:ascii="宋体" w:hAnsi="宋体" w:cs="宋体"/>
          <w:color w:val="000000"/>
          <w:kern w:val="0"/>
          <w:sz w:val="24"/>
          <w:szCs w:val="24"/>
        </w:rPr>
        <w:t xml:space="preserve">水管路安设及养护制度。 </w:t>
      </w:r>
    </w:p>
    <w:p w14:paraId="776EBA26">
      <w:pPr>
        <w:spacing w:line="360" w:lineRule="auto"/>
        <w:ind w:firstLine="480" w:firstLineChars="200"/>
        <w:rPr>
          <w:rFonts w:hint="eastAsia" w:ascii="宋体" w:hAnsi="宋体" w:cs="宋体"/>
          <w:color w:val="000000"/>
          <w:kern w:val="0"/>
          <w:sz w:val="24"/>
          <w:szCs w:val="24"/>
        </w:rPr>
      </w:pPr>
      <w:r>
        <w:rPr>
          <w:rFonts w:ascii="宋体" w:hAnsi="宋体" w:cs="宋体"/>
          <w:color w:val="000000"/>
          <w:kern w:val="0"/>
          <w:sz w:val="24"/>
          <w:szCs w:val="24"/>
        </w:rPr>
        <w:t>⑷</w:t>
      </w:r>
      <w:r>
        <w:rPr>
          <w:rFonts w:hint="eastAsia" w:ascii="宋体" w:hAnsi="宋体" w:cs="宋体"/>
          <w:color w:val="000000"/>
          <w:kern w:val="0"/>
          <w:sz w:val="24"/>
          <w:szCs w:val="24"/>
        </w:rPr>
        <w:t xml:space="preserve"> </w:t>
      </w:r>
      <w:r>
        <w:rPr>
          <w:rFonts w:ascii="宋体" w:hAnsi="宋体" w:cs="宋体"/>
          <w:color w:val="000000"/>
          <w:kern w:val="0"/>
          <w:sz w:val="24"/>
          <w:szCs w:val="24"/>
        </w:rPr>
        <w:t>防雷电、防洪、防火的安全专项规定。</w:t>
      </w:r>
    </w:p>
    <w:p w14:paraId="24A5A958">
      <w:pPr>
        <w:spacing w:line="360" w:lineRule="auto"/>
        <w:ind w:firstLine="480" w:firstLineChars="200"/>
        <w:rPr>
          <w:rFonts w:hint="eastAsia" w:ascii="宋体" w:hAnsi="宋体" w:cs="宋体"/>
          <w:color w:val="000000"/>
          <w:kern w:val="0"/>
          <w:sz w:val="24"/>
          <w:szCs w:val="24"/>
        </w:rPr>
      </w:pPr>
      <w:r>
        <w:rPr>
          <w:rFonts w:ascii="宋体" w:hAnsi="宋体" w:cs="宋体"/>
          <w:color w:val="000000"/>
          <w:kern w:val="0"/>
          <w:sz w:val="24"/>
          <w:szCs w:val="24"/>
        </w:rPr>
        <w:t>⑸</w:t>
      </w:r>
      <w:r>
        <w:rPr>
          <w:rFonts w:hint="eastAsia" w:ascii="宋体" w:hAnsi="宋体" w:cs="宋体"/>
          <w:color w:val="000000"/>
          <w:kern w:val="0"/>
          <w:sz w:val="24"/>
          <w:szCs w:val="24"/>
        </w:rPr>
        <w:t xml:space="preserve"> </w:t>
      </w:r>
      <w:r>
        <w:rPr>
          <w:rFonts w:ascii="宋体" w:hAnsi="宋体" w:cs="宋体"/>
          <w:color w:val="000000"/>
          <w:kern w:val="0"/>
          <w:sz w:val="24"/>
          <w:szCs w:val="24"/>
        </w:rPr>
        <w:t xml:space="preserve">针对重点工程项目及关键工序，编制专项安全措施和专项技术交底，并设专人进行安全监督与落实。 </w:t>
      </w:r>
    </w:p>
    <w:p w14:paraId="65AD19F9">
      <w:pPr>
        <w:spacing w:line="360" w:lineRule="auto"/>
        <w:ind w:firstLine="480" w:firstLineChars="200"/>
        <w:rPr>
          <w:rFonts w:hint="eastAsia" w:ascii="宋体" w:hAnsi="宋体" w:cs="宋体"/>
          <w:color w:val="000000"/>
          <w:kern w:val="0"/>
          <w:sz w:val="24"/>
          <w:szCs w:val="24"/>
        </w:rPr>
      </w:pPr>
      <w:r>
        <w:rPr>
          <w:rFonts w:hint="eastAsia" w:ascii="宋体" w:hAnsi="宋体" w:cs="宋体"/>
          <w:color w:val="000000"/>
          <w:kern w:val="0"/>
          <w:sz w:val="24"/>
          <w:szCs w:val="24"/>
        </w:rPr>
        <w:t>（二）</w:t>
      </w:r>
      <w:r>
        <w:rPr>
          <w:rFonts w:ascii="宋体" w:hAnsi="宋体" w:cs="宋体"/>
          <w:color w:val="000000"/>
          <w:kern w:val="0"/>
          <w:sz w:val="24"/>
          <w:szCs w:val="24"/>
        </w:rPr>
        <w:t>施工现场安全技术措施</w:t>
      </w:r>
    </w:p>
    <w:p w14:paraId="706DBA64">
      <w:pPr>
        <w:spacing w:line="360" w:lineRule="auto"/>
        <w:ind w:firstLine="480" w:firstLineChars="200"/>
        <w:rPr>
          <w:rFonts w:hint="eastAsia" w:ascii="宋体" w:hAnsi="宋体" w:cs="宋体"/>
          <w:color w:val="000000"/>
          <w:kern w:val="0"/>
          <w:sz w:val="24"/>
          <w:szCs w:val="24"/>
        </w:rPr>
      </w:pPr>
      <w:r>
        <w:rPr>
          <w:rFonts w:ascii="宋体" w:hAnsi="宋体" w:cs="宋体"/>
          <w:color w:val="000000"/>
          <w:kern w:val="0"/>
          <w:sz w:val="24"/>
          <w:szCs w:val="24"/>
        </w:rPr>
        <w:t>1</w:t>
      </w:r>
      <w:r>
        <w:rPr>
          <w:rFonts w:hint="eastAsia" w:ascii="宋体" w:hAnsi="宋体" w:cs="宋体"/>
          <w:color w:val="000000"/>
          <w:kern w:val="0"/>
          <w:sz w:val="24"/>
          <w:szCs w:val="24"/>
        </w:rPr>
        <w:t>、</w:t>
      </w:r>
      <w:r>
        <w:rPr>
          <w:rFonts w:ascii="宋体" w:hAnsi="宋体" w:cs="宋体"/>
          <w:color w:val="000000"/>
          <w:kern w:val="0"/>
          <w:sz w:val="24"/>
          <w:szCs w:val="24"/>
        </w:rPr>
        <w:t>施工现场的布置符合防火、防爆、防洪、防雷电等安全规定及文明施工的要求。施工现场的生产、生活办公用房、仓库、材料堆 放场、停车场、修理场应按批准的总平面布置图进行布置。</w:t>
      </w:r>
    </w:p>
    <w:p w14:paraId="406C21D5">
      <w:pPr>
        <w:spacing w:line="360" w:lineRule="auto"/>
        <w:ind w:firstLine="480" w:firstLineChars="200"/>
        <w:rPr>
          <w:rFonts w:hint="eastAsia" w:ascii="宋体" w:hAnsi="宋体" w:cs="宋体"/>
          <w:color w:val="000000"/>
          <w:kern w:val="0"/>
          <w:sz w:val="24"/>
          <w:szCs w:val="24"/>
        </w:rPr>
      </w:pPr>
      <w:r>
        <w:rPr>
          <w:rFonts w:ascii="宋体" w:hAnsi="宋体" w:cs="宋体"/>
          <w:color w:val="000000"/>
          <w:kern w:val="0"/>
          <w:sz w:val="24"/>
          <w:szCs w:val="24"/>
        </w:rPr>
        <w:t>2</w:t>
      </w:r>
      <w:r>
        <w:rPr>
          <w:rFonts w:hint="eastAsia" w:ascii="宋体" w:hAnsi="宋体" w:cs="宋体"/>
          <w:color w:val="000000"/>
          <w:kern w:val="0"/>
          <w:sz w:val="24"/>
          <w:szCs w:val="24"/>
        </w:rPr>
        <w:t>、</w:t>
      </w:r>
      <w:r>
        <w:rPr>
          <w:rFonts w:ascii="宋体" w:hAnsi="宋体" w:cs="宋体"/>
          <w:color w:val="000000"/>
          <w:kern w:val="0"/>
          <w:sz w:val="24"/>
          <w:szCs w:val="24"/>
        </w:rPr>
        <w:t>现场道路平整、坚实、保持畅通，危险地点悬挂安全标志，符合安全规定的标牌，施工现场设置大幅安全宣传标语。</w:t>
      </w:r>
    </w:p>
    <w:p w14:paraId="76413AF8">
      <w:pPr>
        <w:spacing w:line="360" w:lineRule="auto"/>
        <w:ind w:firstLine="480" w:firstLineChars="200"/>
        <w:rPr>
          <w:rFonts w:hint="eastAsia" w:ascii="宋体" w:hAnsi="宋体" w:cs="宋体"/>
          <w:color w:val="000000"/>
          <w:kern w:val="0"/>
          <w:sz w:val="24"/>
          <w:szCs w:val="24"/>
        </w:rPr>
      </w:pPr>
      <w:r>
        <w:rPr>
          <w:rFonts w:ascii="宋体" w:hAnsi="宋体" w:cs="宋体"/>
          <w:color w:val="000000"/>
          <w:kern w:val="0"/>
          <w:sz w:val="24"/>
          <w:szCs w:val="24"/>
        </w:rPr>
        <w:t>3</w:t>
      </w:r>
      <w:r>
        <w:rPr>
          <w:rFonts w:hint="eastAsia" w:ascii="宋体" w:hAnsi="宋体" w:cs="宋体"/>
          <w:color w:val="000000"/>
          <w:kern w:val="0"/>
          <w:sz w:val="24"/>
          <w:szCs w:val="24"/>
        </w:rPr>
        <w:t>、</w:t>
      </w:r>
      <w:r>
        <w:rPr>
          <w:rFonts w:ascii="宋体" w:hAnsi="宋体" w:cs="宋体"/>
          <w:color w:val="000000"/>
          <w:kern w:val="0"/>
          <w:sz w:val="24"/>
          <w:szCs w:val="24"/>
        </w:rPr>
        <w:t xml:space="preserve">现场的生产、生活区设足够的消防水源和消防设施网点，消防器有专人管理，不乱拿乱放，每作业队组成一个由 15～20人的义务消防队，所有施工人员要熟悉并掌握消防设备的性能和使用方法。 </w:t>
      </w:r>
    </w:p>
    <w:p w14:paraId="4A1C76A3">
      <w:pPr>
        <w:spacing w:line="360" w:lineRule="auto"/>
        <w:ind w:firstLine="480" w:firstLineChars="200"/>
        <w:rPr>
          <w:rFonts w:hint="eastAsia" w:ascii="宋体" w:hAnsi="宋体" w:cs="宋体"/>
          <w:color w:val="000000"/>
          <w:kern w:val="0"/>
          <w:sz w:val="24"/>
          <w:szCs w:val="24"/>
        </w:rPr>
      </w:pPr>
      <w:r>
        <w:rPr>
          <w:rFonts w:ascii="宋体" w:hAnsi="宋体" w:cs="宋体"/>
          <w:color w:val="000000"/>
          <w:kern w:val="0"/>
          <w:sz w:val="24"/>
          <w:szCs w:val="24"/>
        </w:rPr>
        <w:t>4</w:t>
      </w:r>
      <w:r>
        <w:rPr>
          <w:rFonts w:hint="eastAsia" w:ascii="宋体" w:hAnsi="宋体" w:cs="宋体"/>
          <w:color w:val="000000"/>
          <w:kern w:val="0"/>
          <w:sz w:val="24"/>
          <w:szCs w:val="24"/>
        </w:rPr>
        <w:t>、</w:t>
      </w:r>
      <w:r>
        <w:rPr>
          <w:rFonts w:ascii="宋体" w:hAnsi="宋体" w:cs="宋体"/>
          <w:color w:val="000000"/>
          <w:kern w:val="0"/>
          <w:sz w:val="24"/>
          <w:szCs w:val="24"/>
        </w:rPr>
        <w:t>各类房屋、库棚、料场等安全消防距离符合有关规定，现场的易燃杂物随时清理，严禁在有火种的场所或其近旁堆放易燃物品。</w:t>
      </w:r>
    </w:p>
    <w:p w14:paraId="52521C0A">
      <w:pPr>
        <w:spacing w:line="360" w:lineRule="auto"/>
        <w:ind w:firstLine="480" w:firstLineChars="200"/>
        <w:rPr>
          <w:rFonts w:hint="eastAsia" w:ascii="宋体" w:hAnsi="宋体" w:cs="宋体"/>
          <w:color w:val="000000"/>
          <w:kern w:val="0"/>
          <w:sz w:val="24"/>
          <w:szCs w:val="24"/>
        </w:rPr>
      </w:pPr>
      <w:r>
        <w:rPr>
          <w:rFonts w:hint="eastAsia" w:ascii="宋体" w:hAnsi="宋体" w:cs="宋体"/>
          <w:color w:val="000000"/>
          <w:kern w:val="0"/>
          <w:sz w:val="24"/>
          <w:szCs w:val="24"/>
        </w:rPr>
        <w:t>5、</w:t>
      </w:r>
      <w:r>
        <w:rPr>
          <w:rFonts w:ascii="宋体" w:hAnsi="宋体" w:cs="宋体"/>
          <w:color w:val="000000"/>
          <w:kern w:val="0"/>
          <w:sz w:val="24"/>
          <w:szCs w:val="24"/>
        </w:rPr>
        <w:t xml:space="preserve">施工现场的临时用电严格按照《施工现场临时用电安全技术规范》（JGJ 6-88）的规定执行。 </w:t>
      </w:r>
    </w:p>
    <w:p w14:paraId="7F23E6E3">
      <w:pPr>
        <w:spacing w:line="360" w:lineRule="auto"/>
        <w:ind w:firstLine="480" w:firstLineChars="200"/>
        <w:rPr>
          <w:rFonts w:hint="eastAsia" w:ascii="宋体" w:hAnsi="宋体" w:cs="宋体"/>
          <w:color w:val="000000"/>
          <w:kern w:val="0"/>
          <w:sz w:val="24"/>
          <w:szCs w:val="24"/>
        </w:rPr>
      </w:pPr>
      <w:r>
        <w:rPr>
          <w:rFonts w:ascii="宋体" w:hAnsi="宋体" w:cs="宋体"/>
          <w:color w:val="000000"/>
          <w:kern w:val="0"/>
          <w:sz w:val="24"/>
          <w:szCs w:val="24"/>
        </w:rPr>
        <w:t>6</w:t>
      </w:r>
      <w:r>
        <w:rPr>
          <w:rFonts w:hint="eastAsia" w:ascii="宋体" w:hAnsi="宋体" w:cs="宋体"/>
          <w:color w:val="000000"/>
          <w:kern w:val="0"/>
          <w:sz w:val="24"/>
          <w:szCs w:val="24"/>
        </w:rPr>
        <w:t>、</w:t>
      </w:r>
      <w:r>
        <w:rPr>
          <w:rFonts w:ascii="宋体" w:hAnsi="宋体" w:cs="宋体"/>
          <w:color w:val="000000"/>
          <w:kern w:val="0"/>
          <w:sz w:val="24"/>
          <w:szCs w:val="24"/>
        </w:rPr>
        <w:t>施工中如发现危及地面建筑物或有危险品时立即停止施工，待处理完毕后方可施工。</w:t>
      </w:r>
    </w:p>
    <w:p w14:paraId="0FA53499">
      <w:pPr>
        <w:spacing w:line="360" w:lineRule="auto"/>
        <w:ind w:firstLine="480" w:firstLineChars="200"/>
        <w:rPr>
          <w:rFonts w:hint="eastAsia" w:ascii="宋体" w:hAnsi="宋体" w:cs="宋体"/>
          <w:color w:val="000000"/>
          <w:kern w:val="0"/>
          <w:sz w:val="24"/>
          <w:szCs w:val="24"/>
        </w:rPr>
      </w:pPr>
      <w:r>
        <w:rPr>
          <w:rFonts w:ascii="宋体" w:hAnsi="宋体" w:cs="宋体"/>
          <w:color w:val="000000"/>
          <w:kern w:val="0"/>
          <w:sz w:val="24"/>
          <w:szCs w:val="24"/>
        </w:rPr>
        <w:t>7</w:t>
      </w:r>
      <w:r>
        <w:rPr>
          <w:rFonts w:hint="eastAsia" w:ascii="宋体" w:hAnsi="宋体" w:cs="宋体"/>
          <w:color w:val="000000"/>
          <w:kern w:val="0"/>
          <w:sz w:val="24"/>
          <w:szCs w:val="24"/>
        </w:rPr>
        <w:t>、</w:t>
      </w:r>
      <w:r>
        <w:rPr>
          <w:rFonts w:ascii="宋体" w:hAnsi="宋体" w:cs="宋体"/>
          <w:color w:val="000000"/>
          <w:kern w:val="0"/>
          <w:sz w:val="24"/>
          <w:szCs w:val="24"/>
        </w:rPr>
        <w:t>施工现场设立安全标志。危险地区必须悬挂“危险”或“禁止通行”、“严禁烟火”等标志，夜间设红灯警示。</w:t>
      </w:r>
    </w:p>
    <w:p w14:paraId="7E01D42A">
      <w:pPr>
        <w:spacing w:line="360" w:lineRule="auto"/>
        <w:ind w:firstLine="480" w:firstLineChars="200"/>
        <w:rPr>
          <w:rFonts w:hint="eastAsia" w:ascii="宋体" w:hAnsi="宋体" w:cs="宋体"/>
          <w:color w:val="000000"/>
          <w:kern w:val="0"/>
          <w:sz w:val="24"/>
          <w:szCs w:val="24"/>
        </w:rPr>
      </w:pPr>
      <w:r>
        <w:rPr>
          <w:rFonts w:ascii="宋体" w:hAnsi="宋体" w:cs="宋体"/>
          <w:color w:val="000000"/>
          <w:kern w:val="0"/>
          <w:sz w:val="24"/>
          <w:szCs w:val="24"/>
        </w:rPr>
        <w:t xml:space="preserve"> 8</w:t>
      </w:r>
      <w:r>
        <w:rPr>
          <w:rFonts w:hint="eastAsia" w:ascii="宋体" w:hAnsi="宋体" w:cs="宋体"/>
          <w:color w:val="000000"/>
          <w:kern w:val="0"/>
          <w:sz w:val="24"/>
          <w:szCs w:val="24"/>
        </w:rPr>
        <w:t>、</w:t>
      </w:r>
      <w:r>
        <w:rPr>
          <w:rFonts w:ascii="宋体" w:hAnsi="宋体" w:cs="宋体"/>
          <w:color w:val="000000"/>
          <w:kern w:val="0"/>
          <w:sz w:val="24"/>
          <w:szCs w:val="24"/>
        </w:rPr>
        <w:t>加强与当地气象部门联系，做好天气预报工作。</w:t>
      </w:r>
    </w:p>
    <w:p w14:paraId="25FA1B07">
      <w:pPr>
        <w:spacing w:line="360" w:lineRule="auto"/>
        <w:ind w:firstLine="480" w:firstLineChars="200"/>
        <w:rPr>
          <w:rFonts w:hint="eastAsia" w:ascii="宋体" w:hAnsi="宋体" w:cs="宋体"/>
          <w:color w:val="000000"/>
          <w:kern w:val="0"/>
          <w:sz w:val="24"/>
          <w:szCs w:val="24"/>
        </w:rPr>
      </w:pPr>
      <w:r>
        <w:rPr>
          <w:rFonts w:ascii="宋体" w:hAnsi="宋体" w:cs="宋体"/>
          <w:color w:val="000000"/>
          <w:kern w:val="0"/>
          <w:sz w:val="24"/>
          <w:szCs w:val="24"/>
        </w:rPr>
        <w:t xml:space="preserve"> 9</w:t>
      </w:r>
      <w:r>
        <w:rPr>
          <w:rFonts w:hint="eastAsia" w:ascii="宋体" w:hAnsi="宋体" w:cs="宋体"/>
          <w:color w:val="000000"/>
          <w:kern w:val="0"/>
          <w:sz w:val="24"/>
          <w:szCs w:val="24"/>
        </w:rPr>
        <w:t>、</w:t>
      </w:r>
      <w:r>
        <w:rPr>
          <w:rFonts w:ascii="宋体" w:hAnsi="宋体" w:cs="宋体"/>
          <w:color w:val="000000"/>
          <w:kern w:val="0"/>
          <w:sz w:val="24"/>
          <w:szCs w:val="24"/>
        </w:rPr>
        <w:t xml:space="preserve">积极与当地公安机关联合组建联防机构，加强职工法纪教育，增强职工法纪观念，维护好当地治安秩序，防止偷盗和打架斗殴，防止治安民事纠纷与其他案件发生。 </w:t>
      </w:r>
    </w:p>
    <w:p w14:paraId="4BFE7035">
      <w:pPr>
        <w:spacing w:line="360" w:lineRule="auto"/>
        <w:ind w:firstLine="480" w:firstLineChars="200"/>
        <w:rPr>
          <w:rFonts w:hint="eastAsia" w:ascii="宋体" w:hAnsi="宋体" w:cs="宋体"/>
          <w:color w:val="000000"/>
          <w:kern w:val="0"/>
          <w:sz w:val="24"/>
          <w:szCs w:val="24"/>
        </w:rPr>
      </w:pPr>
      <w:r>
        <w:rPr>
          <w:rFonts w:ascii="宋体" w:hAnsi="宋体" w:cs="宋体"/>
          <w:color w:val="000000"/>
          <w:kern w:val="0"/>
          <w:sz w:val="24"/>
          <w:szCs w:val="24"/>
        </w:rPr>
        <w:t>10</w:t>
      </w:r>
      <w:r>
        <w:rPr>
          <w:rFonts w:hint="eastAsia" w:ascii="宋体" w:hAnsi="宋体" w:cs="宋体"/>
          <w:color w:val="000000"/>
          <w:kern w:val="0"/>
          <w:sz w:val="24"/>
          <w:szCs w:val="24"/>
        </w:rPr>
        <w:t>、</w:t>
      </w:r>
      <w:r>
        <w:rPr>
          <w:rFonts w:ascii="宋体" w:hAnsi="宋体" w:cs="宋体"/>
          <w:color w:val="000000"/>
          <w:kern w:val="0"/>
          <w:sz w:val="24"/>
          <w:szCs w:val="24"/>
        </w:rPr>
        <w:t>雷电期间，施工场地的油库、料库、变电站、通风设施及其他所有临时设施均设置防雷设施，定期检查接地电阻，防止雷击。</w:t>
      </w:r>
      <w:r>
        <w:rPr>
          <w:rFonts w:ascii="宋体" w:hAnsi="宋体" w:cs="宋体"/>
          <w:color w:val="000000"/>
          <w:kern w:val="0"/>
          <w:sz w:val="24"/>
          <w:szCs w:val="24"/>
        </w:rPr>
        <w:br w:type="textWrapping"/>
      </w:r>
      <w:r>
        <w:rPr>
          <w:rFonts w:hint="eastAsia" w:ascii="宋体" w:hAnsi="宋体" w:cs="宋体"/>
          <w:color w:val="000000"/>
          <w:kern w:val="0"/>
          <w:sz w:val="24"/>
          <w:szCs w:val="24"/>
        </w:rPr>
        <w:t>（三）</w:t>
      </w:r>
      <w:r>
        <w:rPr>
          <w:rFonts w:ascii="宋体" w:hAnsi="宋体" w:cs="宋体"/>
          <w:color w:val="000000"/>
          <w:kern w:val="0"/>
          <w:sz w:val="24"/>
          <w:szCs w:val="24"/>
        </w:rPr>
        <w:t xml:space="preserve">施工机械的安全保证措施 </w:t>
      </w:r>
    </w:p>
    <w:p w14:paraId="15EEE092">
      <w:pPr>
        <w:spacing w:line="360" w:lineRule="auto"/>
        <w:ind w:firstLine="480" w:firstLineChars="200"/>
        <w:rPr>
          <w:rFonts w:hint="eastAsia" w:ascii="宋体" w:hAnsi="宋体" w:cs="宋体"/>
          <w:color w:val="000000"/>
          <w:kern w:val="0"/>
          <w:sz w:val="24"/>
          <w:szCs w:val="24"/>
        </w:rPr>
      </w:pPr>
      <w:r>
        <w:rPr>
          <w:rFonts w:ascii="宋体" w:hAnsi="宋体" w:cs="宋体"/>
          <w:color w:val="000000"/>
          <w:kern w:val="0"/>
          <w:sz w:val="24"/>
          <w:szCs w:val="24"/>
        </w:rPr>
        <w:t>1</w:t>
      </w:r>
      <w:r>
        <w:rPr>
          <w:rFonts w:hint="eastAsia" w:ascii="宋体" w:hAnsi="宋体" w:cs="宋体"/>
          <w:color w:val="000000"/>
          <w:kern w:val="0"/>
          <w:sz w:val="24"/>
          <w:szCs w:val="24"/>
        </w:rPr>
        <w:t>、</w:t>
      </w:r>
      <w:r>
        <w:rPr>
          <w:rFonts w:ascii="宋体" w:hAnsi="宋体" w:cs="宋体"/>
          <w:color w:val="000000"/>
          <w:kern w:val="0"/>
          <w:sz w:val="24"/>
          <w:szCs w:val="24"/>
        </w:rPr>
        <w:t>各种机械操作人员和车辆驾驶员必须取得操作合格证，不准将机械设备交给无本机操作证的人员操作，对机械操作人员要建立档案</w:t>
      </w:r>
      <w:r>
        <w:rPr>
          <w:rFonts w:hint="eastAsia" w:ascii="宋体" w:hAnsi="宋体" w:cs="宋体"/>
          <w:color w:val="000000"/>
          <w:kern w:val="0"/>
          <w:sz w:val="24"/>
          <w:szCs w:val="24"/>
        </w:rPr>
        <w:t>，</w:t>
      </w:r>
      <w:r>
        <w:rPr>
          <w:rFonts w:ascii="宋体" w:hAnsi="宋体" w:cs="宋体"/>
          <w:color w:val="000000"/>
          <w:kern w:val="0"/>
          <w:sz w:val="24"/>
          <w:szCs w:val="24"/>
        </w:rPr>
        <w:t xml:space="preserve">专人管理。 </w:t>
      </w:r>
    </w:p>
    <w:p w14:paraId="6093EE8A">
      <w:pPr>
        <w:spacing w:line="360" w:lineRule="auto"/>
        <w:ind w:firstLine="480" w:firstLineChars="200"/>
        <w:rPr>
          <w:rFonts w:hint="eastAsia" w:ascii="宋体" w:hAnsi="宋体" w:cs="宋体"/>
          <w:color w:val="000000"/>
          <w:kern w:val="0"/>
          <w:sz w:val="24"/>
          <w:szCs w:val="24"/>
        </w:rPr>
      </w:pPr>
      <w:r>
        <w:rPr>
          <w:rFonts w:ascii="宋体" w:hAnsi="宋体" w:cs="宋体"/>
          <w:color w:val="000000"/>
          <w:kern w:val="0"/>
          <w:sz w:val="24"/>
          <w:szCs w:val="24"/>
        </w:rPr>
        <w:t>2</w:t>
      </w:r>
      <w:r>
        <w:rPr>
          <w:rFonts w:hint="eastAsia" w:ascii="宋体" w:hAnsi="宋体" w:cs="宋体"/>
          <w:color w:val="000000"/>
          <w:kern w:val="0"/>
          <w:sz w:val="24"/>
          <w:szCs w:val="24"/>
        </w:rPr>
        <w:t>、</w:t>
      </w:r>
      <w:r>
        <w:rPr>
          <w:rFonts w:ascii="宋体" w:hAnsi="宋体" w:cs="宋体"/>
          <w:color w:val="000000"/>
          <w:kern w:val="0"/>
          <w:sz w:val="24"/>
          <w:szCs w:val="24"/>
        </w:rPr>
        <w:t xml:space="preserve">操作人员必须按照机械说明规定，严格执行工作前检查和工作中注意观察，工作后检查保养。 </w:t>
      </w:r>
    </w:p>
    <w:p w14:paraId="53F0AADB">
      <w:pPr>
        <w:spacing w:line="360" w:lineRule="auto"/>
        <w:ind w:firstLine="480" w:firstLineChars="200"/>
        <w:rPr>
          <w:rFonts w:hint="eastAsia" w:ascii="宋体" w:hAnsi="宋体" w:cs="宋体"/>
          <w:color w:val="000000"/>
          <w:kern w:val="0"/>
          <w:sz w:val="24"/>
          <w:szCs w:val="24"/>
        </w:rPr>
      </w:pPr>
      <w:r>
        <w:rPr>
          <w:rFonts w:ascii="宋体" w:hAnsi="宋体" w:cs="宋体"/>
          <w:color w:val="000000"/>
          <w:kern w:val="0"/>
          <w:sz w:val="24"/>
          <w:szCs w:val="24"/>
        </w:rPr>
        <w:t>3</w:t>
      </w:r>
      <w:r>
        <w:rPr>
          <w:rFonts w:hint="eastAsia" w:ascii="宋体" w:hAnsi="宋体" w:cs="宋体"/>
          <w:color w:val="000000"/>
          <w:kern w:val="0"/>
          <w:sz w:val="24"/>
          <w:szCs w:val="24"/>
        </w:rPr>
        <w:t>、</w:t>
      </w:r>
      <w:r>
        <w:rPr>
          <w:rFonts w:ascii="宋体" w:hAnsi="宋体" w:cs="宋体"/>
          <w:color w:val="000000"/>
          <w:kern w:val="0"/>
          <w:sz w:val="24"/>
          <w:szCs w:val="24"/>
        </w:rPr>
        <w:t>保持机械操作室整洁，严禁存放易燃易爆物品</w:t>
      </w:r>
      <w:r>
        <w:rPr>
          <w:rFonts w:hint="eastAsia" w:ascii="宋体" w:hAnsi="宋体" w:cs="宋体"/>
          <w:color w:val="000000"/>
          <w:kern w:val="0"/>
          <w:sz w:val="24"/>
          <w:szCs w:val="24"/>
        </w:rPr>
        <w:t>。</w:t>
      </w:r>
      <w:r>
        <w:rPr>
          <w:rFonts w:ascii="宋体" w:hAnsi="宋体" w:cs="宋体"/>
          <w:color w:val="000000"/>
          <w:kern w:val="0"/>
          <w:sz w:val="24"/>
          <w:szCs w:val="24"/>
        </w:rPr>
        <w:t xml:space="preserve">不酒后操作机械，机械不带病运转、超负荷运转。 </w:t>
      </w:r>
    </w:p>
    <w:p w14:paraId="11BFD2E5">
      <w:pPr>
        <w:spacing w:line="360" w:lineRule="auto"/>
        <w:ind w:firstLine="480" w:firstLineChars="200"/>
        <w:rPr>
          <w:rFonts w:hint="eastAsia" w:ascii="宋体" w:hAnsi="宋体"/>
          <w:color w:val="000000"/>
          <w:kern w:val="0"/>
          <w:sz w:val="24"/>
          <w:szCs w:val="24"/>
        </w:rPr>
      </w:pPr>
      <w:r>
        <w:rPr>
          <w:rFonts w:ascii="宋体" w:hAnsi="宋体" w:cs="宋体"/>
          <w:color w:val="000000"/>
          <w:kern w:val="0"/>
          <w:sz w:val="24"/>
          <w:szCs w:val="24"/>
        </w:rPr>
        <w:t>4</w:t>
      </w:r>
      <w:r>
        <w:rPr>
          <w:rFonts w:hint="eastAsia" w:ascii="宋体" w:hAnsi="宋体" w:cs="宋体"/>
          <w:color w:val="000000"/>
          <w:kern w:val="0"/>
          <w:sz w:val="24"/>
          <w:szCs w:val="24"/>
        </w:rPr>
        <w:t>、</w:t>
      </w:r>
      <w:r>
        <w:rPr>
          <w:rFonts w:ascii="宋体" w:hAnsi="宋体" w:cs="宋体"/>
          <w:color w:val="000000"/>
          <w:kern w:val="0"/>
          <w:sz w:val="24"/>
          <w:szCs w:val="24"/>
        </w:rPr>
        <w:t>定期组织机电设备以及车辆安全大检查。对每次检查中查出的安全问题按照“三不放过”原则进行调查处理，制定防范措施</w:t>
      </w:r>
      <w:bookmarkStart w:id="197" w:name="page"/>
      <w:bookmarkEnd w:id="197"/>
      <w:r>
        <w:rPr>
          <w:rFonts w:hint="eastAsia" w:ascii="宋体" w:hAnsi="宋体" w:cs="宋体"/>
          <w:color w:val="000000"/>
          <w:kern w:val="0"/>
          <w:sz w:val="24"/>
          <w:szCs w:val="24"/>
        </w:rPr>
        <w:t>，</w:t>
      </w:r>
      <w:r>
        <w:rPr>
          <w:rFonts w:ascii="宋体" w:hAnsi="宋体"/>
          <w:color w:val="000000"/>
          <w:kern w:val="0"/>
          <w:sz w:val="24"/>
          <w:szCs w:val="24"/>
        </w:rPr>
        <w:t xml:space="preserve">防止机械事故的发生。 </w:t>
      </w:r>
    </w:p>
    <w:p w14:paraId="22574CD5">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（四）</w:t>
      </w:r>
      <w:r>
        <w:rPr>
          <w:rFonts w:ascii="宋体" w:hAnsi="宋体"/>
          <w:color w:val="000000"/>
          <w:kern w:val="0"/>
          <w:sz w:val="24"/>
          <w:szCs w:val="24"/>
        </w:rPr>
        <w:t xml:space="preserve">文明施工主要措施 </w:t>
      </w:r>
    </w:p>
    <w:p w14:paraId="1D7E4A61">
      <w:pPr>
        <w:spacing w:line="360" w:lineRule="auto"/>
        <w:ind w:firstLine="480" w:firstLineChars="200"/>
        <w:rPr>
          <w:rFonts w:hint="eastAsia" w:ascii="宋体" w:hAnsi="宋体"/>
          <w:color w:val="000000"/>
          <w:kern w:val="0"/>
          <w:sz w:val="24"/>
          <w:szCs w:val="24"/>
        </w:rPr>
      </w:pPr>
      <w:r>
        <w:rPr>
          <w:rFonts w:ascii="宋体" w:hAnsi="宋体"/>
          <w:color w:val="000000"/>
          <w:kern w:val="0"/>
          <w:sz w:val="24"/>
          <w:szCs w:val="24"/>
        </w:rPr>
        <w:t>1</w:t>
      </w:r>
      <w:r>
        <w:rPr>
          <w:rFonts w:hint="eastAsia" w:ascii="宋体" w:hAnsi="宋体"/>
          <w:color w:val="000000"/>
          <w:kern w:val="0"/>
          <w:sz w:val="24"/>
          <w:szCs w:val="24"/>
        </w:rPr>
        <w:t>、</w:t>
      </w:r>
      <w:r>
        <w:rPr>
          <w:rFonts w:ascii="宋体" w:hAnsi="宋体"/>
          <w:color w:val="000000"/>
          <w:kern w:val="0"/>
          <w:sz w:val="24"/>
          <w:szCs w:val="24"/>
        </w:rPr>
        <w:t>健全各项文明施工的管理制度，如岗位责任制、经济责任制、奖罚制度、会议制度、专业管理制度、检查制度、资料管理制度等。充分落实“谁主管、谁负责”的原则，建立文明施工管理网络，设立专职文明施工员，加强文明施工的管理、落实和监督。</w:t>
      </w:r>
    </w:p>
    <w:p w14:paraId="6E41947B">
      <w:pPr>
        <w:spacing w:line="360" w:lineRule="auto"/>
        <w:ind w:firstLine="480" w:firstLineChars="200"/>
        <w:rPr>
          <w:rFonts w:hint="eastAsia" w:ascii="宋体" w:hAnsi="宋体"/>
          <w:color w:val="000000"/>
          <w:kern w:val="0"/>
          <w:sz w:val="24"/>
          <w:szCs w:val="24"/>
        </w:rPr>
      </w:pPr>
      <w:r>
        <w:rPr>
          <w:rFonts w:ascii="宋体" w:hAnsi="宋体"/>
          <w:color w:val="000000"/>
          <w:kern w:val="0"/>
          <w:sz w:val="24"/>
          <w:szCs w:val="24"/>
        </w:rPr>
        <w:t>2</w:t>
      </w:r>
      <w:r>
        <w:rPr>
          <w:rFonts w:hint="eastAsia" w:ascii="宋体" w:hAnsi="宋体"/>
          <w:color w:val="000000"/>
          <w:kern w:val="0"/>
          <w:sz w:val="24"/>
          <w:szCs w:val="24"/>
        </w:rPr>
        <w:t>、</w:t>
      </w:r>
      <w:r>
        <w:rPr>
          <w:rFonts w:ascii="宋体" w:hAnsi="宋体"/>
          <w:color w:val="000000"/>
          <w:kern w:val="0"/>
          <w:sz w:val="24"/>
          <w:szCs w:val="24"/>
        </w:rPr>
        <w:t xml:space="preserve">加强班组文明施工教育，遵守职业道德和社会公德。 </w:t>
      </w:r>
    </w:p>
    <w:p w14:paraId="77C7E25F">
      <w:pPr>
        <w:spacing w:line="360" w:lineRule="auto"/>
        <w:ind w:firstLine="480" w:firstLineChars="200"/>
        <w:rPr>
          <w:rFonts w:hint="eastAsia" w:ascii="宋体" w:hAnsi="宋体"/>
          <w:color w:val="000000"/>
          <w:kern w:val="0"/>
          <w:sz w:val="24"/>
          <w:szCs w:val="24"/>
        </w:rPr>
      </w:pPr>
      <w:r>
        <w:rPr>
          <w:rFonts w:ascii="宋体" w:hAnsi="宋体"/>
          <w:color w:val="000000"/>
          <w:kern w:val="0"/>
          <w:sz w:val="24"/>
          <w:szCs w:val="24"/>
        </w:rPr>
        <w:t>3</w:t>
      </w:r>
      <w:r>
        <w:rPr>
          <w:rFonts w:hint="eastAsia" w:ascii="宋体" w:hAnsi="宋体"/>
          <w:color w:val="000000"/>
          <w:kern w:val="0"/>
          <w:sz w:val="24"/>
          <w:szCs w:val="24"/>
        </w:rPr>
        <w:t>、</w:t>
      </w:r>
      <w:r>
        <w:rPr>
          <w:rFonts w:ascii="宋体" w:hAnsi="宋体"/>
          <w:color w:val="000000"/>
          <w:kern w:val="0"/>
          <w:sz w:val="24"/>
          <w:szCs w:val="24"/>
        </w:rPr>
        <w:t>在施工现场内，设置安全宣传标语，警告牌。</w:t>
      </w:r>
    </w:p>
    <w:p w14:paraId="0747719F">
      <w:pPr>
        <w:spacing w:line="360" w:lineRule="auto"/>
        <w:ind w:firstLine="480" w:firstLineChars="200"/>
        <w:rPr>
          <w:rFonts w:hint="eastAsia" w:ascii="宋体" w:hAnsi="宋体"/>
          <w:color w:val="000000"/>
          <w:kern w:val="0"/>
          <w:sz w:val="24"/>
          <w:szCs w:val="24"/>
        </w:rPr>
      </w:pPr>
      <w:r>
        <w:rPr>
          <w:rFonts w:ascii="宋体" w:hAnsi="宋体"/>
          <w:color w:val="000000"/>
          <w:kern w:val="0"/>
          <w:sz w:val="24"/>
          <w:szCs w:val="24"/>
        </w:rPr>
        <w:t>4</w:t>
      </w:r>
      <w:r>
        <w:rPr>
          <w:rFonts w:hint="eastAsia" w:ascii="宋体" w:hAnsi="宋体"/>
          <w:color w:val="000000"/>
          <w:kern w:val="0"/>
          <w:sz w:val="24"/>
          <w:szCs w:val="24"/>
        </w:rPr>
        <w:t>、</w:t>
      </w:r>
      <w:r>
        <w:rPr>
          <w:rFonts w:ascii="宋体" w:hAnsi="宋体"/>
          <w:color w:val="000000"/>
          <w:kern w:val="0"/>
          <w:sz w:val="24"/>
          <w:szCs w:val="24"/>
        </w:rPr>
        <w:t>根据工程进度情况，修建施工便道，疏通来往的车辆、行人。</w:t>
      </w:r>
    </w:p>
    <w:p w14:paraId="1F9AB9D8">
      <w:pPr>
        <w:spacing w:line="360" w:lineRule="auto"/>
        <w:ind w:firstLine="480" w:firstLineChars="200"/>
        <w:rPr>
          <w:rFonts w:hint="eastAsia" w:ascii="宋体" w:hAnsi="宋体"/>
          <w:color w:val="000000"/>
          <w:kern w:val="0"/>
          <w:sz w:val="24"/>
          <w:szCs w:val="24"/>
        </w:rPr>
      </w:pPr>
      <w:r>
        <w:rPr>
          <w:rFonts w:ascii="宋体" w:hAnsi="宋体"/>
          <w:color w:val="000000"/>
          <w:kern w:val="0"/>
          <w:sz w:val="24"/>
          <w:szCs w:val="24"/>
        </w:rPr>
        <w:t>5</w:t>
      </w:r>
      <w:r>
        <w:rPr>
          <w:rFonts w:hint="eastAsia" w:ascii="宋体" w:hAnsi="宋体"/>
          <w:color w:val="000000"/>
          <w:kern w:val="0"/>
          <w:sz w:val="24"/>
          <w:szCs w:val="24"/>
        </w:rPr>
        <w:t>、</w:t>
      </w:r>
      <w:r>
        <w:rPr>
          <w:rFonts w:ascii="宋体" w:hAnsi="宋体"/>
          <w:color w:val="000000"/>
          <w:kern w:val="0"/>
          <w:sz w:val="24"/>
          <w:szCs w:val="24"/>
        </w:rPr>
        <w:t xml:space="preserve">合理堆放工程材料，协助疏导交通，以利过往行人及车辆通行。 </w:t>
      </w:r>
    </w:p>
    <w:p w14:paraId="0BFF80D0">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6、</w:t>
      </w:r>
      <w:r>
        <w:rPr>
          <w:rFonts w:ascii="宋体" w:hAnsi="宋体"/>
          <w:color w:val="000000"/>
          <w:kern w:val="0"/>
          <w:sz w:val="24"/>
          <w:szCs w:val="24"/>
        </w:rPr>
        <w:t>施工与生活区设置灭火设备，并设围墙分隔开。</w:t>
      </w:r>
    </w:p>
    <w:p w14:paraId="5D2D443A">
      <w:pPr>
        <w:spacing w:line="360" w:lineRule="auto"/>
        <w:ind w:firstLine="480" w:firstLineChars="200"/>
        <w:rPr>
          <w:rFonts w:hint="eastAsia" w:ascii="宋体" w:hAnsi="宋体"/>
          <w:color w:val="000000"/>
          <w:kern w:val="0"/>
          <w:sz w:val="24"/>
          <w:szCs w:val="24"/>
        </w:rPr>
      </w:pPr>
      <w:r>
        <w:rPr>
          <w:rFonts w:ascii="宋体" w:hAnsi="宋体"/>
          <w:color w:val="000000"/>
          <w:kern w:val="0"/>
          <w:sz w:val="24"/>
          <w:szCs w:val="24"/>
        </w:rPr>
        <w:t>7</w:t>
      </w:r>
      <w:r>
        <w:rPr>
          <w:rFonts w:hint="eastAsia" w:ascii="宋体" w:hAnsi="宋体"/>
          <w:color w:val="000000"/>
          <w:kern w:val="0"/>
          <w:sz w:val="24"/>
          <w:szCs w:val="24"/>
        </w:rPr>
        <w:t>、</w:t>
      </w:r>
      <w:r>
        <w:rPr>
          <w:rFonts w:ascii="宋体" w:hAnsi="宋体"/>
          <w:color w:val="000000"/>
          <w:kern w:val="0"/>
          <w:sz w:val="24"/>
          <w:szCs w:val="24"/>
        </w:rPr>
        <w:t xml:space="preserve">场内管材、砂石料等材料应堆放整齐。 </w:t>
      </w:r>
    </w:p>
    <w:p w14:paraId="43047DE8">
      <w:pPr>
        <w:spacing w:line="360" w:lineRule="auto"/>
        <w:ind w:firstLine="480" w:firstLineChars="200"/>
        <w:rPr>
          <w:rFonts w:hint="eastAsia" w:ascii="宋体" w:hAnsi="宋体"/>
          <w:color w:val="000000"/>
          <w:kern w:val="0"/>
          <w:sz w:val="24"/>
          <w:szCs w:val="24"/>
        </w:rPr>
      </w:pPr>
      <w:r>
        <w:rPr>
          <w:rFonts w:ascii="宋体" w:hAnsi="宋体"/>
          <w:color w:val="000000"/>
          <w:kern w:val="0"/>
          <w:sz w:val="24"/>
          <w:szCs w:val="24"/>
        </w:rPr>
        <w:t>8</w:t>
      </w:r>
      <w:r>
        <w:rPr>
          <w:rFonts w:hint="eastAsia" w:ascii="宋体" w:hAnsi="宋体"/>
          <w:color w:val="000000"/>
          <w:kern w:val="0"/>
          <w:sz w:val="24"/>
          <w:szCs w:val="24"/>
        </w:rPr>
        <w:t>、</w:t>
      </w:r>
      <w:r>
        <w:rPr>
          <w:rFonts w:ascii="宋体" w:hAnsi="宋体"/>
          <w:color w:val="000000"/>
          <w:kern w:val="0"/>
          <w:sz w:val="24"/>
          <w:szCs w:val="24"/>
        </w:rPr>
        <w:t xml:space="preserve">道路畅通，场内平坦整洁，不乱堆放，四周保持清洁，地面不积水，排水畅通，专人清扫场地。 </w:t>
      </w:r>
    </w:p>
    <w:p w14:paraId="732E19B3">
      <w:pPr>
        <w:spacing w:line="360" w:lineRule="auto"/>
        <w:ind w:firstLine="480" w:firstLineChars="200"/>
        <w:rPr>
          <w:rFonts w:hint="eastAsia" w:ascii="宋体" w:hAnsi="宋体"/>
          <w:color w:val="000000"/>
          <w:kern w:val="0"/>
          <w:sz w:val="24"/>
          <w:szCs w:val="24"/>
        </w:rPr>
      </w:pPr>
      <w:r>
        <w:rPr>
          <w:rFonts w:ascii="宋体" w:hAnsi="宋体"/>
          <w:color w:val="000000"/>
          <w:kern w:val="0"/>
          <w:sz w:val="24"/>
          <w:szCs w:val="24"/>
        </w:rPr>
        <w:t>9</w:t>
      </w:r>
      <w:r>
        <w:rPr>
          <w:rFonts w:hint="eastAsia" w:ascii="宋体" w:hAnsi="宋体"/>
          <w:color w:val="000000"/>
          <w:kern w:val="0"/>
          <w:sz w:val="24"/>
          <w:szCs w:val="24"/>
        </w:rPr>
        <w:t>、</w:t>
      </w:r>
      <w:r>
        <w:rPr>
          <w:rFonts w:ascii="宋体" w:hAnsi="宋体"/>
          <w:color w:val="000000"/>
          <w:kern w:val="0"/>
          <w:sz w:val="24"/>
          <w:szCs w:val="24"/>
        </w:rPr>
        <w:t>进出工地车辆由专人指挥，并设限速行驶标志。</w:t>
      </w:r>
    </w:p>
    <w:p w14:paraId="4B0EE148">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10、</w:t>
      </w:r>
      <w:r>
        <w:rPr>
          <w:rFonts w:ascii="宋体" w:hAnsi="宋体"/>
          <w:color w:val="000000"/>
          <w:kern w:val="0"/>
          <w:sz w:val="24"/>
          <w:szCs w:val="24"/>
        </w:rPr>
        <w:t>加强检查监督，从严要求</w:t>
      </w:r>
      <w:r>
        <w:rPr>
          <w:rFonts w:hint="eastAsia" w:ascii="宋体" w:hAnsi="宋体"/>
          <w:color w:val="000000"/>
          <w:kern w:val="0"/>
          <w:sz w:val="24"/>
          <w:szCs w:val="24"/>
        </w:rPr>
        <w:t>，</w:t>
      </w:r>
      <w:r>
        <w:rPr>
          <w:rFonts w:ascii="宋体" w:hAnsi="宋体"/>
          <w:color w:val="000000"/>
          <w:kern w:val="0"/>
          <w:sz w:val="24"/>
          <w:szCs w:val="24"/>
        </w:rPr>
        <w:t xml:space="preserve">持之以恒，使文明施工现场管理真正抓出成效。项目经理组织人员对文明施工现场实行定期和不定期检查，每月组织一次专项检查，对照评分、严格奖惩、交流经验、查纠不足。 </w:t>
      </w:r>
    </w:p>
    <w:p w14:paraId="0836FF96">
      <w:pPr>
        <w:spacing w:line="360" w:lineRule="auto"/>
        <w:ind w:firstLine="480" w:firstLineChars="200"/>
        <w:rPr>
          <w:rFonts w:hint="eastAsia" w:ascii="宋体" w:hAnsi="宋体"/>
          <w:color w:val="000000"/>
          <w:kern w:val="0"/>
          <w:sz w:val="24"/>
          <w:szCs w:val="24"/>
        </w:rPr>
      </w:pPr>
      <w:r>
        <w:rPr>
          <w:rFonts w:hint="eastAsia" w:ascii="宋体" w:hAnsi="宋体"/>
          <w:color w:val="000000"/>
          <w:kern w:val="0"/>
          <w:sz w:val="24"/>
          <w:szCs w:val="24"/>
        </w:rPr>
        <w:t>（五）</w:t>
      </w:r>
      <w:r>
        <w:rPr>
          <w:rFonts w:ascii="宋体" w:hAnsi="宋体"/>
          <w:color w:val="000000"/>
          <w:kern w:val="0"/>
          <w:sz w:val="24"/>
          <w:szCs w:val="24"/>
        </w:rPr>
        <w:t xml:space="preserve">环保措施 </w:t>
      </w:r>
    </w:p>
    <w:p w14:paraId="0A5DF256">
      <w:pPr>
        <w:spacing w:line="360" w:lineRule="auto"/>
        <w:ind w:firstLine="480" w:firstLineChars="200"/>
        <w:rPr>
          <w:rFonts w:hint="eastAsia" w:ascii="宋体" w:hAnsi="宋体"/>
          <w:color w:val="000000"/>
          <w:kern w:val="0"/>
          <w:sz w:val="24"/>
          <w:szCs w:val="24"/>
        </w:rPr>
      </w:pPr>
      <w:r>
        <w:rPr>
          <w:rFonts w:ascii="宋体" w:hAnsi="宋体"/>
          <w:color w:val="000000"/>
          <w:kern w:val="0"/>
          <w:sz w:val="24"/>
          <w:szCs w:val="24"/>
        </w:rPr>
        <w:t>1</w:t>
      </w:r>
      <w:r>
        <w:rPr>
          <w:rFonts w:hint="eastAsia" w:ascii="宋体" w:hAnsi="宋体"/>
          <w:color w:val="000000"/>
          <w:kern w:val="0"/>
          <w:sz w:val="24"/>
          <w:szCs w:val="24"/>
        </w:rPr>
        <w:t>、</w:t>
      </w:r>
      <w:r>
        <w:rPr>
          <w:rFonts w:ascii="宋体" w:hAnsi="宋体"/>
          <w:color w:val="000000"/>
          <w:kern w:val="0"/>
          <w:sz w:val="24"/>
          <w:szCs w:val="24"/>
        </w:rPr>
        <w:t xml:space="preserve">加强环境保护意识，注意环境卫生，防止滴、洒、漏现象。 </w:t>
      </w:r>
    </w:p>
    <w:p w14:paraId="07D75A4D">
      <w:pPr>
        <w:spacing w:line="360" w:lineRule="auto"/>
        <w:ind w:firstLine="480" w:firstLineChars="200"/>
        <w:rPr>
          <w:rFonts w:hint="eastAsia" w:ascii="宋体" w:hAnsi="宋体"/>
          <w:color w:val="000000"/>
          <w:kern w:val="0"/>
          <w:sz w:val="24"/>
          <w:szCs w:val="24"/>
        </w:rPr>
      </w:pPr>
      <w:r>
        <w:rPr>
          <w:rFonts w:ascii="宋体" w:hAnsi="宋体"/>
          <w:color w:val="000000"/>
          <w:kern w:val="0"/>
          <w:sz w:val="24"/>
          <w:szCs w:val="24"/>
        </w:rPr>
        <w:t>2</w:t>
      </w:r>
      <w:r>
        <w:rPr>
          <w:rFonts w:hint="eastAsia" w:ascii="宋体" w:hAnsi="宋体"/>
          <w:color w:val="000000"/>
          <w:kern w:val="0"/>
          <w:sz w:val="24"/>
          <w:szCs w:val="24"/>
        </w:rPr>
        <w:t>、</w:t>
      </w:r>
      <w:r>
        <w:rPr>
          <w:rFonts w:ascii="宋体" w:hAnsi="宋体"/>
          <w:color w:val="000000"/>
          <w:kern w:val="0"/>
          <w:sz w:val="24"/>
          <w:szCs w:val="24"/>
        </w:rPr>
        <w:t xml:space="preserve">合理安排工序施工，在当地居民休息时间，特别是夜间尽量不使用重型机械，避免机械生产时产生噪音影响他人休息。 </w:t>
      </w:r>
    </w:p>
    <w:p w14:paraId="4E2B4153">
      <w:pPr>
        <w:spacing w:line="360" w:lineRule="auto"/>
        <w:ind w:firstLine="480" w:firstLineChars="200"/>
        <w:rPr>
          <w:rFonts w:hint="eastAsia" w:ascii="宋体" w:hAnsi="宋体"/>
          <w:color w:val="000000"/>
          <w:kern w:val="0"/>
          <w:sz w:val="24"/>
          <w:szCs w:val="24"/>
        </w:rPr>
      </w:pPr>
      <w:r>
        <w:rPr>
          <w:rFonts w:ascii="宋体" w:hAnsi="宋体"/>
          <w:color w:val="000000"/>
          <w:kern w:val="0"/>
          <w:sz w:val="24"/>
          <w:szCs w:val="24"/>
        </w:rPr>
        <w:t>3</w:t>
      </w:r>
      <w:r>
        <w:rPr>
          <w:rFonts w:hint="eastAsia" w:ascii="宋体" w:hAnsi="宋体"/>
          <w:color w:val="000000"/>
          <w:kern w:val="0"/>
          <w:sz w:val="24"/>
          <w:szCs w:val="24"/>
        </w:rPr>
        <w:t>、</w:t>
      </w:r>
      <w:r>
        <w:rPr>
          <w:rFonts w:ascii="宋体" w:hAnsi="宋体"/>
          <w:color w:val="000000"/>
          <w:kern w:val="0"/>
          <w:sz w:val="24"/>
          <w:szCs w:val="24"/>
        </w:rPr>
        <w:t xml:space="preserve">施工现场平面布置应做到合理布置，施工管理条例清楚，使施工现场和全部施工地区及生活区的卫生状况保持良好。 </w:t>
      </w:r>
    </w:p>
    <w:p w14:paraId="794FEC22">
      <w:pPr>
        <w:spacing w:line="360" w:lineRule="auto"/>
        <w:ind w:firstLine="480" w:firstLineChars="200"/>
        <w:rPr>
          <w:rFonts w:ascii="宋体" w:hAnsi="宋体" w:cs="宋体"/>
          <w:color w:val="000000"/>
          <w:kern w:val="0"/>
          <w:sz w:val="24"/>
          <w:szCs w:val="24"/>
        </w:rPr>
      </w:pPr>
      <w:r>
        <w:rPr>
          <w:rFonts w:ascii="宋体" w:hAnsi="宋体"/>
          <w:color w:val="000000"/>
          <w:kern w:val="0"/>
          <w:sz w:val="24"/>
          <w:szCs w:val="24"/>
        </w:rPr>
        <w:t>4</w:t>
      </w:r>
      <w:r>
        <w:rPr>
          <w:rFonts w:hint="eastAsia" w:ascii="宋体" w:hAnsi="宋体"/>
          <w:color w:val="000000"/>
          <w:kern w:val="0"/>
          <w:sz w:val="24"/>
          <w:szCs w:val="24"/>
        </w:rPr>
        <w:t>、</w:t>
      </w:r>
      <w:r>
        <w:rPr>
          <w:rFonts w:ascii="宋体" w:hAnsi="宋体"/>
          <w:color w:val="000000"/>
          <w:kern w:val="0"/>
          <w:sz w:val="24"/>
          <w:szCs w:val="24"/>
        </w:rPr>
        <w:t>尽量避免对现有环境的妨碍或干扰，采取有效方式，减少对市容、绿化和环境的</w:t>
      </w:r>
      <w:r>
        <w:rPr>
          <w:rFonts w:ascii="宋体" w:hAnsi="宋体" w:cs="宋体"/>
          <w:color w:val="000000"/>
          <w:kern w:val="0"/>
          <w:sz w:val="24"/>
          <w:szCs w:val="24"/>
        </w:rPr>
        <w:t xml:space="preserve">不良影响，不随意对树木进行砍伐、搬迁或损坏。 </w:t>
      </w:r>
    </w:p>
    <w:p w14:paraId="64D10774">
      <w:pPr>
        <w:rPr>
          <w:rFonts w:hint="eastAsia"/>
          <w:highlight w:val="none"/>
          <w:lang w:val="en-US" w:eastAsia="zh-CN"/>
        </w:rPr>
      </w:pPr>
      <w:r>
        <w:rPr>
          <w:rFonts w:hint="eastAsia"/>
          <w:highlight w:val="none"/>
          <w:lang w:val="en-US" w:eastAsia="zh-CN"/>
        </w:rPr>
        <w:br w:type="page"/>
      </w:r>
    </w:p>
    <w:p w14:paraId="2EBA94D7">
      <w:pPr>
        <w:pStyle w:val="2"/>
        <w:jc w:val="center"/>
        <w:rPr>
          <w:rFonts w:ascii="黑体" w:hAnsi="宋体" w:eastAsia="黑体"/>
          <w:b w:val="0"/>
        </w:rPr>
      </w:pPr>
      <w:bookmarkStart w:id="198" w:name="_Toc271707227"/>
      <w:r>
        <w:rPr>
          <w:rFonts w:hint="eastAsia" w:ascii="黑体" w:hAnsi="宋体" w:eastAsia="黑体"/>
          <w:b w:val="0"/>
        </w:rPr>
        <w:t>隐患整改通知书</w:t>
      </w:r>
      <w:bookmarkEnd w:id="198"/>
    </w:p>
    <w:tbl>
      <w:tblPr>
        <w:tblStyle w:val="7"/>
        <w:tblW w:w="0" w:type="auto"/>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2"/>
        <w:gridCol w:w="2126"/>
        <w:gridCol w:w="1911"/>
        <w:gridCol w:w="2801"/>
      </w:tblGrid>
      <w:tr w14:paraId="0FDB1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27" w:hRule="exact"/>
        </w:trPr>
        <w:tc>
          <w:tcPr>
            <w:tcW w:w="8720" w:type="dxa"/>
            <w:gridSpan w:val="4"/>
            <w:noWrap w:val="0"/>
            <w:vAlign w:val="top"/>
          </w:tcPr>
          <w:p w14:paraId="54C3BEB9">
            <w:pPr>
              <w:spacing w:before="312" w:beforeLines="100" w:line="440" w:lineRule="exact"/>
              <w:ind w:firstLine="1874" w:firstLineChars="778"/>
              <w:rPr>
                <w:b/>
                <w:sz w:val="24"/>
              </w:rPr>
            </w:pPr>
            <w:r>
              <w:rPr>
                <w:rFonts w:hint="eastAsia"/>
                <w:b/>
                <w:sz w:val="24"/>
              </w:rPr>
              <w:t>：</w:t>
            </w:r>
          </w:p>
          <w:p w14:paraId="19978A5D">
            <w:pPr>
              <w:spacing w:line="440" w:lineRule="exact"/>
              <w:ind w:firstLine="482" w:firstLineChars="200"/>
              <w:rPr>
                <w:b/>
                <w:sz w:val="24"/>
              </w:rPr>
            </w:pPr>
            <w:r>
              <w:rPr>
                <w:b/>
                <w:sz w:val="24"/>
              </w:rPr>
              <mc:AlternateContent>
                <mc:Choice Requires="wps">
                  <w:drawing>
                    <wp:anchor distT="0" distB="0" distL="114300" distR="114300" simplePos="0" relativeHeight="251659264" behindDoc="0" locked="0" layoutInCell="1" allowOverlap="1">
                      <wp:simplePos x="0" y="0"/>
                      <wp:positionH relativeFrom="column">
                        <wp:posOffset>-51435</wp:posOffset>
                      </wp:positionH>
                      <wp:positionV relativeFrom="paragraph">
                        <wp:posOffset>-7620</wp:posOffset>
                      </wp:positionV>
                      <wp:extent cx="1210310" cy="0"/>
                      <wp:effectExtent l="0" t="4445" r="0" b="0"/>
                      <wp:wrapNone/>
                      <wp:docPr id="1" name="直接连接符 1"/>
                      <wp:cNvGraphicFramePr/>
                      <a:graphic xmlns:a="http://schemas.openxmlformats.org/drawingml/2006/main">
                        <a:graphicData uri="http://schemas.microsoft.com/office/word/2010/wordprocessingShape">
                          <wps:wsp>
                            <wps:cNvSpPr/>
                            <wps:spPr>
                              <a:xfrm flipH="1">
                                <a:off x="0" y="0"/>
                                <a:ext cx="1210310"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flip:x;margin-left:-4.05pt;margin-top:-0.6pt;height:0pt;width:95.3pt;z-index:251659264;mso-width-relative:page;mso-height-relative:page;" filled="f" stroked="t" coordsize="21600,21600" o:gfxdata="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94hch1QAAAAgBAAAPAAAAAAAAAAEAIAAAACIAAABkcnMvZG93bnJldi54bWxQ&#10;SwECFAAUAAAACACHTuJAS6UOT/oBAADuAwAADgAAAAAAAAABACAAAAAkAQAAZHJzL2Uyb0RvYy54&#10;bWxQSwUGAAAAAAYABgBZAQAAkAUAAAAA&#10;">
                      <v:fill on="f" focussize="0,0"/>
                      <v:stroke color="#000000" joinstyle="round"/>
                      <v:imagedata o:title=""/>
                      <o:lock v:ext="edit" aspectratio="f"/>
                    </v:line>
                  </w:pict>
                </mc:Fallback>
              </mc:AlternateContent>
            </w:r>
            <w:r>
              <w:rPr>
                <w:rFonts w:hint="eastAsia"/>
                <w:sz w:val="24"/>
              </w:rPr>
              <w:t>经    月  日检查，你</w:t>
            </w:r>
            <w:r>
              <w:rPr>
                <w:rFonts w:hint="eastAsia"/>
                <w:color w:val="000000"/>
                <w:sz w:val="24"/>
              </w:rPr>
              <w:t>部门</w:t>
            </w:r>
            <w:r>
              <w:rPr>
                <w:rFonts w:hint="eastAsia"/>
                <w:sz w:val="24"/>
              </w:rPr>
              <w:t>存在如下安全隐患，经</w:t>
            </w:r>
            <w:r>
              <w:rPr>
                <w:rFonts w:hint="eastAsia"/>
                <w:sz w:val="24"/>
                <w:lang w:eastAsia="zh-CN"/>
              </w:rPr>
              <w:t>安全办</w:t>
            </w:r>
            <w:r>
              <w:rPr>
                <w:rFonts w:hint="eastAsia"/>
                <w:sz w:val="24"/>
              </w:rPr>
              <w:t>研究，现提出如下整改意见：</w:t>
            </w:r>
          </w:p>
        </w:tc>
      </w:tr>
      <w:tr w14:paraId="3C02C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trPr>
        <w:tc>
          <w:tcPr>
            <w:tcW w:w="1882" w:type="dxa"/>
            <w:noWrap w:val="0"/>
            <w:vAlign w:val="center"/>
          </w:tcPr>
          <w:p w14:paraId="0798F52D">
            <w:pPr>
              <w:jc w:val="center"/>
              <w:rPr>
                <w:rFonts w:hint="eastAsia" w:eastAsia="宋体"/>
                <w:sz w:val="24"/>
                <w:lang w:eastAsia="zh-CN"/>
              </w:rPr>
            </w:pPr>
            <w:r>
              <w:rPr>
                <w:rFonts w:hint="eastAsia"/>
                <w:sz w:val="24"/>
                <w:lang w:eastAsia="zh-CN"/>
              </w:rPr>
              <w:t>隐患地点</w:t>
            </w:r>
            <w:r>
              <w:rPr>
                <w:rFonts w:hint="eastAsia"/>
                <w:sz w:val="24"/>
                <w:lang w:val="en-US" w:eastAsia="zh-CN"/>
              </w:rPr>
              <w:t>/设备</w:t>
            </w:r>
          </w:p>
        </w:tc>
        <w:tc>
          <w:tcPr>
            <w:tcW w:w="6838" w:type="dxa"/>
            <w:gridSpan w:val="3"/>
            <w:noWrap w:val="0"/>
            <w:vAlign w:val="center"/>
          </w:tcPr>
          <w:p w14:paraId="266A88AC">
            <w:pPr>
              <w:adjustRightInd w:val="0"/>
              <w:snapToGrid w:val="0"/>
              <w:spacing w:line="340" w:lineRule="exact"/>
              <w:jc w:val="center"/>
              <w:rPr>
                <w:sz w:val="24"/>
              </w:rPr>
            </w:pPr>
          </w:p>
        </w:tc>
      </w:tr>
      <w:tr w14:paraId="469D4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38" w:hRule="atLeast"/>
        </w:trPr>
        <w:tc>
          <w:tcPr>
            <w:tcW w:w="1882" w:type="dxa"/>
            <w:noWrap w:val="0"/>
            <w:vAlign w:val="center"/>
          </w:tcPr>
          <w:p w14:paraId="726514A0">
            <w:pPr>
              <w:jc w:val="center"/>
              <w:rPr>
                <w:rFonts w:hint="eastAsia"/>
                <w:sz w:val="24"/>
                <w:lang w:eastAsia="zh-CN"/>
              </w:rPr>
            </w:pPr>
            <w:r>
              <w:rPr>
                <w:rFonts w:hint="eastAsia"/>
                <w:sz w:val="24"/>
              </w:rPr>
              <w:t>隐患</w:t>
            </w:r>
            <w:r>
              <w:rPr>
                <w:rFonts w:hint="eastAsia"/>
                <w:sz w:val="24"/>
                <w:lang w:eastAsia="zh-CN"/>
              </w:rPr>
              <w:t>内容</w:t>
            </w:r>
          </w:p>
        </w:tc>
        <w:tc>
          <w:tcPr>
            <w:tcW w:w="6838" w:type="dxa"/>
            <w:gridSpan w:val="3"/>
            <w:noWrap w:val="0"/>
            <w:vAlign w:val="center"/>
          </w:tcPr>
          <w:p w14:paraId="433B98A9">
            <w:pPr>
              <w:spacing w:line="440" w:lineRule="exact"/>
              <w:rPr>
                <w:sz w:val="24"/>
              </w:rPr>
            </w:pPr>
          </w:p>
          <w:p w14:paraId="0646F651">
            <w:pPr>
              <w:spacing w:line="440" w:lineRule="exact"/>
              <w:rPr>
                <w:rFonts w:hint="eastAsia" w:eastAsia="宋体"/>
                <w:sz w:val="24"/>
                <w:lang w:val="en-US" w:eastAsia="zh-CN"/>
              </w:rPr>
            </w:pPr>
            <w:r>
              <w:rPr>
                <w:rFonts w:hint="eastAsia"/>
                <w:sz w:val="24"/>
                <w:lang w:val="en-US" w:eastAsia="zh-CN"/>
              </w:rPr>
              <w:t xml:space="preserve"> </w:t>
            </w:r>
          </w:p>
          <w:p w14:paraId="366AD4A9">
            <w:pPr>
              <w:spacing w:line="440" w:lineRule="exact"/>
              <w:rPr>
                <w:sz w:val="24"/>
              </w:rPr>
            </w:pPr>
          </w:p>
          <w:p w14:paraId="2A5204CC">
            <w:pPr>
              <w:spacing w:line="440" w:lineRule="exact"/>
              <w:rPr>
                <w:sz w:val="24"/>
              </w:rPr>
            </w:pPr>
          </w:p>
          <w:p w14:paraId="47E6F2B0">
            <w:pPr>
              <w:spacing w:line="440" w:lineRule="exact"/>
              <w:rPr>
                <w:sz w:val="24"/>
              </w:rPr>
            </w:pPr>
          </w:p>
          <w:p w14:paraId="01D99998">
            <w:pPr>
              <w:spacing w:line="440" w:lineRule="exact"/>
              <w:rPr>
                <w:sz w:val="24"/>
              </w:rPr>
            </w:pPr>
          </w:p>
          <w:p w14:paraId="6D55ED95">
            <w:pPr>
              <w:spacing w:line="440" w:lineRule="exact"/>
              <w:rPr>
                <w:sz w:val="24"/>
              </w:rPr>
            </w:pPr>
          </w:p>
          <w:p w14:paraId="26EB8A85">
            <w:pPr>
              <w:spacing w:line="440" w:lineRule="exact"/>
              <w:rPr>
                <w:sz w:val="24"/>
              </w:rPr>
            </w:pPr>
          </w:p>
          <w:p w14:paraId="127BCE4D">
            <w:pPr>
              <w:spacing w:line="440" w:lineRule="exact"/>
              <w:rPr>
                <w:sz w:val="24"/>
              </w:rPr>
            </w:pPr>
          </w:p>
          <w:p w14:paraId="135944D2">
            <w:pPr>
              <w:spacing w:line="440" w:lineRule="exact"/>
              <w:rPr>
                <w:sz w:val="24"/>
              </w:rPr>
            </w:pPr>
          </w:p>
          <w:p w14:paraId="4D014DF4">
            <w:pPr>
              <w:spacing w:line="440" w:lineRule="exact"/>
              <w:rPr>
                <w:sz w:val="24"/>
              </w:rPr>
            </w:pPr>
          </w:p>
          <w:p w14:paraId="09B3684B">
            <w:pPr>
              <w:spacing w:line="440" w:lineRule="exact"/>
              <w:rPr>
                <w:sz w:val="24"/>
              </w:rPr>
            </w:pPr>
          </w:p>
          <w:p w14:paraId="4BCBE0F6">
            <w:pPr>
              <w:spacing w:line="440" w:lineRule="exact"/>
              <w:rPr>
                <w:sz w:val="24"/>
              </w:rPr>
            </w:pPr>
          </w:p>
          <w:p w14:paraId="7A314BEE">
            <w:pPr>
              <w:spacing w:line="440" w:lineRule="exact"/>
              <w:rPr>
                <w:sz w:val="24"/>
              </w:rPr>
            </w:pPr>
          </w:p>
          <w:p w14:paraId="0830F764">
            <w:pPr>
              <w:spacing w:line="440" w:lineRule="exact"/>
              <w:rPr>
                <w:sz w:val="24"/>
              </w:rPr>
            </w:pPr>
          </w:p>
          <w:p w14:paraId="06238A67">
            <w:pPr>
              <w:spacing w:line="440" w:lineRule="exact"/>
              <w:rPr>
                <w:sz w:val="24"/>
              </w:rPr>
            </w:pPr>
          </w:p>
        </w:tc>
      </w:tr>
      <w:tr w14:paraId="1F929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8" w:hRule="atLeast"/>
        </w:trPr>
        <w:tc>
          <w:tcPr>
            <w:tcW w:w="1882" w:type="dxa"/>
            <w:noWrap w:val="0"/>
            <w:vAlign w:val="center"/>
          </w:tcPr>
          <w:p w14:paraId="1A6DF231">
            <w:pPr>
              <w:jc w:val="center"/>
              <w:rPr>
                <w:rFonts w:hint="eastAsia"/>
                <w:sz w:val="24"/>
              </w:rPr>
            </w:pPr>
            <w:r>
              <w:rPr>
                <w:rFonts w:hint="eastAsia"/>
                <w:sz w:val="24"/>
                <w:lang w:eastAsia="zh-CN"/>
              </w:rPr>
              <w:t>等级评估</w:t>
            </w:r>
          </w:p>
        </w:tc>
        <w:tc>
          <w:tcPr>
            <w:tcW w:w="6838" w:type="dxa"/>
            <w:gridSpan w:val="3"/>
            <w:noWrap w:val="0"/>
            <w:vAlign w:val="center"/>
          </w:tcPr>
          <w:p w14:paraId="5E2787F5">
            <w:pPr>
              <w:adjustRightInd w:val="0"/>
              <w:snapToGrid w:val="0"/>
              <w:spacing w:line="340" w:lineRule="exact"/>
              <w:jc w:val="center"/>
              <w:rPr>
                <w:sz w:val="24"/>
              </w:rPr>
            </w:pPr>
          </w:p>
        </w:tc>
      </w:tr>
      <w:tr w14:paraId="03FDD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8" w:hRule="atLeast"/>
        </w:trPr>
        <w:tc>
          <w:tcPr>
            <w:tcW w:w="1882" w:type="dxa"/>
            <w:noWrap w:val="0"/>
            <w:vAlign w:val="center"/>
          </w:tcPr>
          <w:p w14:paraId="305A7CC9">
            <w:pPr>
              <w:jc w:val="center"/>
              <w:rPr>
                <w:rFonts w:hint="eastAsia"/>
                <w:sz w:val="24"/>
                <w:lang w:eastAsia="zh-CN"/>
              </w:rPr>
            </w:pPr>
          </w:p>
          <w:p w14:paraId="7915E9E4">
            <w:pPr>
              <w:jc w:val="center"/>
              <w:rPr>
                <w:rFonts w:hint="eastAsia"/>
                <w:sz w:val="24"/>
                <w:lang w:eastAsia="zh-CN"/>
              </w:rPr>
            </w:pPr>
          </w:p>
        </w:tc>
        <w:tc>
          <w:tcPr>
            <w:tcW w:w="6838" w:type="dxa"/>
            <w:gridSpan w:val="3"/>
            <w:noWrap w:val="0"/>
            <w:vAlign w:val="center"/>
          </w:tcPr>
          <w:p w14:paraId="32408614">
            <w:pPr>
              <w:adjustRightInd w:val="0"/>
              <w:snapToGrid w:val="0"/>
              <w:spacing w:line="340" w:lineRule="exact"/>
              <w:jc w:val="both"/>
              <w:rPr>
                <w:sz w:val="24"/>
              </w:rPr>
            </w:pPr>
          </w:p>
        </w:tc>
      </w:tr>
      <w:tr w14:paraId="1FA86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65" w:hRule="exact"/>
        </w:trPr>
        <w:tc>
          <w:tcPr>
            <w:tcW w:w="1882" w:type="dxa"/>
            <w:noWrap w:val="0"/>
            <w:vAlign w:val="center"/>
          </w:tcPr>
          <w:p w14:paraId="733C7270">
            <w:pPr>
              <w:jc w:val="center"/>
              <w:rPr>
                <w:b/>
                <w:sz w:val="24"/>
              </w:rPr>
            </w:pPr>
            <w:r>
              <w:rPr>
                <w:rFonts w:hint="eastAsia"/>
                <w:sz w:val="24"/>
              </w:rPr>
              <w:t>整改措施</w:t>
            </w:r>
          </w:p>
        </w:tc>
        <w:tc>
          <w:tcPr>
            <w:tcW w:w="6838" w:type="dxa"/>
            <w:gridSpan w:val="3"/>
            <w:noWrap w:val="0"/>
            <w:vAlign w:val="center"/>
          </w:tcPr>
          <w:p w14:paraId="0E47C4DA">
            <w:pPr>
              <w:jc w:val="left"/>
              <w:rPr>
                <w:sz w:val="24"/>
              </w:rPr>
            </w:pPr>
          </w:p>
          <w:p w14:paraId="386F949D">
            <w:pPr>
              <w:jc w:val="left"/>
              <w:rPr>
                <w:sz w:val="24"/>
              </w:rPr>
            </w:pPr>
          </w:p>
          <w:p w14:paraId="2F6F2C57">
            <w:pPr>
              <w:jc w:val="left"/>
              <w:rPr>
                <w:sz w:val="24"/>
              </w:rPr>
            </w:pPr>
          </w:p>
          <w:p w14:paraId="5DE29FC8">
            <w:pPr>
              <w:jc w:val="left"/>
              <w:rPr>
                <w:sz w:val="24"/>
              </w:rPr>
            </w:pPr>
          </w:p>
          <w:p w14:paraId="7F1506E7">
            <w:pPr>
              <w:jc w:val="left"/>
              <w:rPr>
                <w:sz w:val="24"/>
              </w:rPr>
            </w:pPr>
          </w:p>
          <w:p w14:paraId="686878B2">
            <w:pPr>
              <w:jc w:val="left"/>
              <w:rPr>
                <w:sz w:val="24"/>
              </w:rPr>
            </w:pPr>
          </w:p>
          <w:p w14:paraId="3FBED29A">
            <w:pPr>
              <w:jc w:val="left"/>
              <w:rPr>
                <w:sz w:val="24"/>
              </w:rPr>
            </w:pPr>
          </w:p>
          <w:p w14:paraId="02395FC8">
            <w:pPr>
              <w:jc w:val="left"/>
              <w:rPr>
                <w:sz w:val="24"/>
              </w:rPr>
            </w:pPr>
          </w:p>
          <w:p w14:paraId="6EF7BED5">
            <w:pPr>
              <w:jc w:val="left"/>
              <w:rPr>
                <w:sz w:val="24"/>
              </w:rPr>
            </w:pPr>
          </w:p>
          <w:p w14:paraId="0B1E8226">
            <w:pPr>
              <w:jc w:val="left"/>
              <w:rPr>
                <w:sz w:val="24"/>
              </w:rPr>
            </w:pPr>
          </w:p>
          <w:p w14:paraId="3E8EA10C">
            <w:pPr>
              <w:jc w:val="left"/>
              <w:rPr>
                <w:sz w:val="24"/>
              </w:rPr>
            </w:pPr>
          </w:p>
          <w:p w14:paraId="6D9C6688">
            <w:pPr>
              <w:jc w:val="left"/>
              <w:rPr>
                <w:sz w:val="24"/>
              </w:rPr>
            </w:pPr>
          </w:p>
          <w:p w14:paraId="1B2B47DF">
            <w:pPr>
              <w:jc w:val="left"/>
              <w:rPr>
                <w:sz w:val="24"/>
              </w:rPr>
            </w:pPr>
          </w:p>
          <w:p w14:paraId="67D2D669">
            <w:pPr>
              <w:jc w:val="left"/>
              <w:rPr>
                <w:sz w:val="24"/>
              </w:rPr>
            </w:pPr>
          </w:p>
          <w:p w14:paraId="23DD9376">
            <w:pPr>
              <w:jc w:val="left"/>
              <w:rPr>
                <w:sz w:val="24"/>
              </w:rPr>
            </w:pPr>
          </w:p>
          <w:p w14:paraId="73EE2D8E">
            <w:pPr>
              <w:jc w:val="left"/>
              <w:rPr>
                <w:sz w:val="24"/>
              </w:rPr>
            </w:pPr>
          </w:p>
          <w:p w14:paraId="2BC99977">
            <w:pPr>
              <w:jc w:val="left"/>
              <w:rPr>
                <w:sz w:val="24"/>
              </w:rPr>
            </w:pPr>
          </w:p>
          <w:p w14:paraId="39920AF0">
            <w:pPr>
              <w:jc w:val="left"/>
              <w:rPr>
                <w:sz w:val="24"/>
              </w:rPr>
            </w:pPr>
          </w:p>
          <w:p w14:paraId="5918B825">
            <w:pPr>
              <w:jc w:val="left"/>
              <w:rPr>
                <w:sz w:val="24"/>
              </w:rPr>
            </w:pPr>
          </w:p>
          <w:p w14:paraId="3635A7BC">
            <w:pPr>
              <w:jc w:val="left"/>
              <w:rPr>
                <w:sz w:val="24"/>
              </w:rPr>
            </w:pPr>
          </w:p>
          <w:p w14:paraId="0C371DB7">
            <w:pPr>
              <w:jc w:val="left"/>
              <w:rPr>
                <w:sz w:val="24"/>
              </w:rPr>
            </w:pPr>
          </w:p>
          <w:p w14:paraId="3ABA30D3">
            <w:pPr>
              <w:jc w:val="left"/>
              <w:rPr>
                <w:sz w:val="24"/>
              </w:rPr>
            </w:pPr>
          </w:p>
        </w:tc>
      </w:tr>
      <w:tr w14:paraId="33ADE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5" w:hRule="exact"/>
        </w:trPr>
        <w:tc>
          <w:tcPr>
            <w:tcW w:w="1882" w:type="dxa"/>
            <w:noWrap w:val="0"/>
            <w:vAlign w:val="center"/>
          </w:tcPr>
          <w:p w14:paraId="685D9A54">
            <w:pPr>
              <w:spacing w:line="300" w:lineRule="exact"/>
              <w:jc w:val="center"/>
              <w:rPr>
                <w:sz w:val="24"/>
              </w:rPr>
            </w:pPr>
            <w:r>
              <w:rPr>
                <w:rFonts w:hint="eastAsia"/>
                <w:sz w:val="24"/>
              </w:rPr>
              <w:t>整改负责人：</w:t>
            </w:r>
          </w:p>
        </w:tc>
        <w:tc>
          <w:tcPr>
            <w:tcW w:w="2126" w:type="dxa"/>
            <w:noWrap w:val="0"/>
            <w:vAlign w:val="center"/>
          </w:tcPr>
          <w:p w14:paraId="5F4A16BF">
            <w:pPr>
              <w:jc w:val="right"/>
              <w:rPr>
                <w:sz w:val="24"/>
              </w:rPr>
            </w:pPr>
          </w:p>
        </w:tc>
        <w:tc>
          <w:tcPr>
            <w:tcW w:w="1911" w:type="dxa"/>
            <w:noWrap w:val="0"/>
            <w:vAlign w:val="center"/>
          </w:tcPr>
          <w:p w14:paraId="38598B17">
            <w:pPr>
              <w:jc w:val="center"/>
              <w:rPr>
                <w:sz w:val="24"/>
              </w:rPr>
            </w:pPr>
            <w:r>
              <w:rPr>
                <w:rFonts w:hint="eastAsia"/>
                <w:sz w:val="24"/>
              </w:rPr>
              <w:t>要求完成时间：</w:t>
            </w:r>
          </w:p>
        </w:tc>
        <w:tc>
          <w:tcPr>
            <w:tcW w:w="2801" w:type="dxa"/>
            <w:noWrap w:val="0"/>
            <w:vAlign w:val="center"/>
          </w:tcPr>
          <w:p w14:paraId="7883CC50">
            <w:pPr>
              <w:wordWrap w:val="0"/>
              <w:jc w:val="right"/>
              <w:rPr>
                <w:sz w:val="24"/>
              </w:rPr>
            </w:pPr>
            <w:r>
              <w:rPr>
                <w:rFonts w:hint="eastAsia"/>
                <w:bCs/>
                <w:sz w:val="24"/>
              </w:rPr>
              <w:t>年  月  日</w:t>
            </w:r>
          </w:p>
        </w:tc>
      </w:tr>
      <w:tr w14:paraId="69971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882" w:type="dxa"/>
            <w:noWrap w:val="0"/>
            <w:vAlign w:val="center"/>
          </w:tcPr>
          <w:p w14:paraId="3AFEC6FD">
            <w:pPr>
              <w:jc w:val="center"/>
              <w:rPr>
                <w:bCs/>
                <w:sz w:val="24"/>
              </w:rPr>
            </w:pPr>
            <w:r>
              <w:rPr>
                <w:rFonts w:hint="eastAsia"/>
                <w:bCs/>
                <w:sz w:val="24"/>
              </w:rPr>
              <w:t>签收人：</w:t>
            </w:r>
          </w:p>
        </w:tc>
        <w:tc>
          <w:tcPr>
            <w:tcW w:w="2126" w:type="dxa"/>
            <w:noWrap w:val="0"/>
            <w:vAlign w:val="center"/>
          </w:tcPr>
          <w:p w14:paraId="272444FF">
            <w:pPr>
              <w:spacing w:line="300" w:lineRule="exact"/>
              <w:jc w:val="center"/>
              <w:rPr>
                <w:sz w:val="24"/>
              </w:rPr>
            </w:pPr>
          </w:p>
        </w:tc>
        <w:tc>
          <w:tcPr>
            <w:tcW w:w="1911" w:type="dxa"/>
            <w:noWrap w:val="0"/>
            <w:vAlign w:val="center"/>
          </w:tcPr>
          <w:p w14:paraId="399DF32B">
            <w:pPr>
              <w:jc w:val="center"/>
              <w:rPr>
                <w:bCs/>
                <w:sz w:val="24"/>
              </w:rPr>
            </w:pPr>
            <w:r>
              <w:rPr>
                <w:rFonts w:hint="eastAsia"/>
                <w:bCs/>
                <w:sz w:val="24"/>
              </w:rPr>
              <w:t>签收日期：</w:t>
            </w:r>
          </w:p>
        </w:tc>
        <w:tc>
          <w:tcPr>
            <w:tcW w:w="2801" w:type="dxa"/>
            <w:noWrap w:val="0"/>
            <w:vAlign w:val="center"/>
          </w:tcPr>
          <w:p w14:paraId="6A95003B">
            <w:pPr>
              <w:ind w:left="1137"/>
              <w:jc w:val="right"/>
              <w:rPr>
                <w:bCs/>
                <w:sz w:val="24"/>
              </w:rPr>
            </w:pPr>
            <w:r>
              <w:rPr>
                <w:rFonts w:hint="eastAsia"/>
                <w:bCs/>
                <w:sz w:val="24"/>
              </w:rPr>
              <w:t>年  月  日</w:t>
            </w:r>
          </w:p>
        </w:tc>
      </w:tr>
      <w:tr w14:paraId="00B82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1" w:hRule="atLeast"/>
        </w:trPr>
        <w:tc>
          <w:tcPr>
            <w:tcW w:w="8720" w:type="dxa"/>
            <w:gridSpan w:val="4"/>
            <w:noWrap w:val="0"/>
            <w:vAlign w:val="top"/>
          </w:tcPr>
          <w:p w14:paraId="416A286E">
            <w:pPr>
              <w:wordWrap w:val="0"/>
              <w:ind w:right="560"/>
              <w:rPr>
                <w:sz w:val="24"/>
              </w:rPr>
            </w:pPr>
          </w:p>
          <w:p w14:paraId="75527D26">
            <w:r>
              <w:rPr>
                <w:rFonts w:hint="eastAsia"/>
                <w:sz w:val="24"/>
              </w:rPr>
              <w:t>接此通知后，请按时间要求予以安排进行整改，并将隐患整改完成</w:t>
            </w:r>
            <w:r>
              <w:rPr>
                <w:rFonts w:hint="eastAsia"/>
                <w:sz w:val="24"/>
                <w:lang w:eastAsia="zh-CN"/>
              </w:rPr>
              <w:t>情况</w:t>
            </w:r>
            <w:r>
              <w:rPr>
                <w:rFonts w:hint="eastAsia"/>
                <w:sz w:val="24"/>
              </w:rPr>
              <w:t>及时反馈。</w:t>
            </w:r>
          </w:p>
          <w:p w14:paraId="724E26AD">
            <w:pPr>
              <w:spacing w:line="360" w:lineRule="auto"/>
              <w:ind w:right="480" w:firstLine="6000" w:firstLineChars="2500"/>
              <w:rPr>
                <w:bCs/>
                <w:sz w:val="24"/>
              </w:rPr>
            </w:pPr>
          </w:p>
          <w:p w14:paraId="1420B1D6">
            <w:pPr>
              <w:spacing w:line="360" w:lineRule="auto"/>
              <w:ind w:right="480" w:firstLine="4200" w:firstLineChars="1750"/>
              <w:jc w:val="right"/>
              <w:rPr>
                <w:bCs/>
                <w:sz w:val="24"/>
              </w:rPr>
            </w:pPr>
            <w:r>
              <w:rPr>
                <w:rFonts w:hint="eastAsia"/>
                <w:bCs/>
                <w:sz w:val="24"/>
              </w:rPr>
              <w:t>（注：</w:t>
            </w:r>
            <w:r>
              <w:rPr>
                <w:rFonts w:hint="eastAsia"/>
                <w:bCs/>
                <w:sz w:val="24"/>
                <w:lang w:eastAsia="zh-CN"/>
              </w:rPr>
              <w:t>公司</w:t>
            </w:r>
            <w:r>
              <w:rPr>
                <w:rFonts w:hint="eastAsia"/>
                <w:bCs/>
                <w:color w:val="000000"/>
                <w:sz w:val="24"/>
              </w:rPr>
              <w:t>签章）</w:t>
            </w:r>
          </w:p>
          <w:p w14:paraId="346E4EF9">
            <w:pPr>
              <w:spacing w:line="360" w:lineRule="auto"/>
              <w:ind w:right="720" w:firstLine="5640" w:firstLineChars="2350"/>
              <w:jc w:val="right"/>
              <w:rPr>
                <w:sz w:val="24"/>
              </w:rPr>
            </w:pPr>
            <w:r>
              <w:rPr>
                <w:rFonts w:hint="eastAsia"/>
                <w:bCs/>
                <w:sz w:val="24"/>
              </w:rPr>
              <w:t>年    月    日</w:t>
            </w:r>
          </w:p>
        </w:tc>
      </w:tr>
      <w:tr w14:paraId="5C75A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3" w:hRule="exact"/>
        </w:trPr>
        <w:tc>
          <w:tcPr>
            <w:tcW w:w="8720" w:type="dxa"/>
            <w:gridSpan w:val="4"/>
            <w:noWrap w:val="0"/>
            <w:vAlign w:val="bottom"/>
          </w:tcPr>
          <w:p w14:paraId="0632515F">
            <w:pPr>
              <w:wordWrap w:val="0"/>
              <w:spacing w:after="156" w:afterLines="50" w:line="300" w:lineRule="exact"/>
              <w:ind w:right="-187"/>
              <w:rPr>
                <w:bCs/>
                <w:sz w:val="24"/>
              </w:rPr>
            </w:pPr>
            <w:r>
              <w:rPr>
                <w:rFonts w:hint="eastAsia"/>
                <w:bCs/>
                <w:sz w:val="24"/>
              </w:rPr>
              <w:t>整改措施落实情况：</w:t>
            </w:r>
          </w:p>
          <w:p w14:paraId="74A6381A">
            <w:pPr>
              <w:wordWrap w:val="0"/>
              <w:spacing w:after="156" w:afterLines="50" w:line="300" w:lineRule="exact"/>
              <w:ind w:right="-187" w:firstLine="352" w:firstLineChars="147"/>
              <w:rPr>
                <w:bCs/>
                <w:sz w:val="24"/>
              </w:rPr>
            </w:pPr>
            <w:r>
              <w:rPr>
                <w:rFonts w:hint="eastAsia"/>
                <w:bCs/>
                <w:sz w:val="24"/>
              </w:rPr>
              <w:t xml:space="preserve"> </w:t>
            </w:r>
          </w:p>
          <w:p w14:paraId="1BD052C7">
            <w:pPr>
              <w:wordWrap w:val="0"/>
              <w:spacing w:after="156" w:afterLines="50" w:line="300" w:lineRule="exact"/>
              <w:ind w:right="-71" w:rightChars="-34" w:firstLine="921" w:firstLineChars="384"/>
              <w:jc w:val="right"/>
              <w:rPr>
                <w:bCs/>
                <w:sz w:val="24"/>
              </w:rPr>
            </w:pPr>
            <w:r>
              <w:rPr>
                <w:rFonts w:hint="eastAsia"/>
                <w:bCs/>
                <w:sz w:val="24"/>
              </w:rPr>
              <w:t>整改负责人：              整改日期：           年   月   日</w:t>
            </w:r>
          </w:p>
        </w:tc>
      </w:tr>
      <w:tr w14:paraId="58E0F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3" w:hRule="exact"/>
        </w:trPr>
        <w:tc>
          <w:tcPr>
            <w:tcW w:w="8720" w:type="dxa"/>
            <w:gridSpan w:val="4"/>
            <w:noWrap w:val="0"/>
            <w:vAlign w:val="bottom"/>
          </w:tcPr>
          <w:p w14:paraId="448F18CA">
            <w:pPr>
              <w:wordWrap w:val="0"/>
              <w:spacing w:after="156" w:afterLines="50" w:line="300" w:lineRule="exact"/>
              <w:ind w:right="-187"/>
              <w:rPr>
                <w:bCs/>
                <w:sz w:val="24"/>
              </w:rPr>
            </w:pPr>
            <w:r>
              <w:rPr>
                <w:rFonts w:hint="eastAsia"/>
                <w:bCs/>
                <w:sz w:val="24"/>
              </w:rPr>
              <w:t>跟踪</w:t>
            </w:r>
            <w:r>
              <w:rPr>
                <w:rFonts w:hint="eastAsia"/>
                <w:bCs/>
                <w:sz w:val="24"/>
                <w:lang w:eastAsia="zh-CN"/>
              </w:rPr>
              <w:t>验收</w:t>
            </w:r>
            <w:r>
              <w:rPr>
                <w:rFonts w:hint="eastAsia"/>
                <w:bCs/>
                <w:sz w:val="24"/>
              </w:rPr>
              <w:t>结果：</w:t>
            </w:r>
          </w:p>
          <w:p w14:paraId="79DC4F61">
            <w:pPr>
              <w:wordWrap w:val="0"/>
              <w:spacing w:after="156" w:afterLines="50" w:line="300" w:lineRule="exact"/>
              <w:ind w:right="-187"/>
              <w:rPr>
                <w:bCs/>
                <w:sz w:val="24"/>
              </w:rPr>
            </w:pPr>
          </w:p>
          <w:p w14:paraId="67D7B9A7">
            <w:pPr>
              <w:wordWrap w:val="0"/>
              <w:spacing w:after="156" w:afterLines="50" w:line="300" w:lineRule="exact"/>
              <w:ind w:right="-73"/>
              <w:jc w:val="right"/>
              <w:rPr>
                <w:bCs/>
                <w:sz w:val="24"/>
              </w:rPr>
            </w:pPr>
            <w:r>
              <w:rPr>
                <w:rFonts w:hint="eastAsia"/>
                <w:bCs/>
                <w:sz w:val="24"/>
                <w:lang w:eastAsia="zh-CN"/>
              </w:rPr>
              <w:t>验收</w:t>
            </w:r>
            <w:r>
              <w:rPr>
                <w:rFonts w:hint="eastAsia"/>
                <w:bCs/>
                <w:sz w:val="24"/>
              </w:rPr>
              <w:t xml:space="preserve">人：                </w:t>
            </w:r>
            <w:r>
              <w:rPr>
                <w:rFonts w:hint="eastAsia"/>
                <w:bCs/>
                <w:sz w:val="24"/>
                <w:lang w:eastAsia="zh-CN"/>
              </w:rPr>
              <w:t>验收</w:t>
            </w:r>
            <w:r>
              <w:rPr>
                <w:rFonts w:hint="eastAsia"/>
                <w:bCs/>
                <w:sz w:val="24"/>
              </w:rPr>
              <w:t>日期：           年   月   日</w:t>
            </w:r>
          </w:p>
        </w:tc>
      </w:tr>
    </w:tbl>
    <w:p w14:paraId="0B0325BE">
      <w:pPr>
        <w:rPr>
          <w:rFonts w:hint="eastAsia"/>
          <w:highlight w:val="none"/>
          <w:lang w:val="en-US" w:eastAsia="zh-CN"/>
        </w:rPr>
        <w:sectPr>
          <w:pgSz w:w="11906" w:h="16838"/>
          <w:pgMar w:top="1440" w:right="1800" w:bottom="1440" w:left="1800" w:header="851" w:footer="992" w:gutter="0"/>
          <w:cols w:space="425" w:num="1"/>
          <w:docGrid w:type="lines" w:linePitch="312" w:charSpace="0"/>
        </w:sectPr>
      </w:pPr>
    </w:p>
    <w:p w14:paraId="0139488C">
      <w:pPr>
        <w:jc w:val="center"/>
        <w:rPr>
          <w:rFonts w:hint="eastAsia"/>
          <w:b/>
          <w:sz w:val="44"/>
          <w:szCs w:val="44"/>
        </w:rPr>
      </w:pPr>
      <w:r>
        <w:rPr>
          <w:rFonts w:hint="eastAsia"/>
          <w:b/>
          <w:sz w:val="44"/>
          <w:szCs w:val="44"/>
        </w:rPr>
        <w:t>隐患排查</w:t>
      </w:r>
      <w:r>
        <w:rPr>
          <w:b/>
          <w:sz w:val="44"/>
          <w:szCs w:val="44"/>
        </w:rPr>
        <w:t>治理情况</w:t>
      </w:r>
      <w:r>
        <w:rPr>
          <w:rFonts w:hint="eastAsia"/>
          <w:b/>
          <w:sz w:val="44"/>
          <w:szCs w:val="44"/>
          <w:lang w:eastAsia="zh-CN"/>
        </w:rPr>
        <w:t>综合评估</w:t>
      </w:r>
      <w:r>
        <w:rPr>
          <w:b/>
          <w:sz w:val="44"/>
          <w:szCs w:val="44"/>
        </w:rPr>
        <w:t>统计表</w:t>
      </w:r>
    </w:p>
    <w:tbl>
      <w:tblPr>
        <w:tblStyle w:val="7"/>
        <w:tblW w:w="0" w:type="auto"/>
        <w:tblInd w:w="-25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0"/>
        <w:gridCol w:w="1080"/>
        <w:gridCol w:w="1260"/>
        <w:gridCol w:w="2700"/>
        <w:gridCol w:w="2520"/>
        <w:gridCol w:w="720"/>
        <w:gridCol w:w="720"/>
        <w:gridCol w:w="720"/>
        <w:gridCol w:w="1440"/>
        <w:gridCol w:w="1440"/>
        <w:gridCol w:w="1080"/>
        <w:gridCol w:w="720"/>
      </w:tblGrid>
      <w:tr w14:paraId="648BC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dxa"/>
            <w:vMerge w:val="restart"/>
            <w:noWrap w:val="0"/>
            <w:vAlign w:val="center"/>
          </w:tcPr>
          <w:p w14:paraId="134DC848">
            <w:pPr>
              <w:spacing w:line="340" w:lineRule="exact"/>
              <w:jc w:val="center"/>
              <w:rPr>
                <w:rFonts w:hint="eastAsia" w:ascii="宋体" w:hAnsi="宋体"/>
                <w:sz w:val="24"/>
                <w:szCs w:val="24"/>
              </w:rPr>
            </w:pPr>
            <w:r>
              <w:rPr>
                <w:rFonts w:hint="eastAsia" w:ascii="宋体" w:hAnsi="宋体"/>
                <w:sz w:val="24"/>
                <w:szCs w:val="24"/>
              </w:rPr>
              <w:t>序</w:t>
            </w:r>
          </w:p>
          <w:p w14:paraId="02E194C9">
            <w:pPr>
              <w:spacing w:line="340" w:lineRule="exact"/>
              <w:jc w:val="center"/>
              <w:rPr>
                <w:rFonts w:hint="eastAsia" w:ascii="宋体" w:hAnsi="宋体"/>
                <w:sz w:val="24"/>
                <w:szCs w:val="24"/>
              </w:rPr>
            </w:pPr>
            <w:r>
              <w:rPr>
                <w:rFonts w:hint="eastAsia" w:ascii="宋体" w:hAnsi="宋体"/>
                <w:sz w:val="24"/>
                <w:szCs w:val="24"/>
              </w:rPr>
              <w:t>号</w:t>
            </w:r>
          </w:p>
        </w:tc>
        <w:tc>
          <w:tcPr>
            <w:tcW w:w="1080" w:type="dxa"/>
            <w:vMerge w:val="restart"/>
            <w:noWrap w:val="0"/>
            <w:vAlign w:val="center"/>
          </w:tcPr>
          <w:p w14:paraId="0D4005D2">
            <w:pPr>
              <w:spacing w:line="340" w:lineRule="exact"/>
              <w:jc w:val="center"/>
              <w:rPr>
                <w:rFonts w:hint="eastAsia" w:ascii="宋体" w:hAnsi="宋体"/>
                <w:sz w:val="24"/>
                <w:szCs w:val="24"/>
              </w:rPr>
            </w:pPr>
            <w:r>
              <w:rPr>
                <w:rFonts w:hint="eastAsia" w:ascii="宋体" w:hAnsi="宋体"/>
                <w:sz w:val="24"/>
                <w:szCs w:val="24"/>
              </w:rPr>
              <w:t>日期</w:t>
            </w:r>
          </w:p>
        </w:tc>
        <w:tc>
          <w:tcPr>
            <w:tcW w:w="1260" w:type="dxa"/>
            <w:vMerge w:val="restart"/>
            <w:noWrap w:val="0"/>
            <w:vAlign w:val="center"/>
          </w:tcPr>
          <w:p w14:paraId="474BDA09">
            <w:pPr>
              <w:spacing w:line="340" w:lineRule="exact"/>
              <w:jc w:val="center"/>
              <w:rPr>
                <w:rFonts w:hint="eastAsia" w:ascii="宋体" w:hAnsi="宋体"/>
                <w:sz w:val="24"/>
                <w:szCs w:val="24"/>
              </w:rPr>
            </w:pPr>
            <w:r>
              <w:rPr>
                <w:rFonts w:hint="eastAsia" w:ascii="宋体" w:hAnsi="宋体"/>
                <w:sz w:val="24"/>
                <w:szCs w:val="24"/>
              </w:rPr>
              <w:t>隐患地点</w:t>
            </w:r>
          </w:p>
        </w:tc>
        <w:tc>
          <w:tcPr>
            <w:tcW w:w="2700" w:type="dxa"/>
            <w:vMerge w:val="restart"/>
            <w:noWrap w:val="0"/>
            <w:vAlign w:val="center"/>
          </w:tcPr>
          <w:p w14:paraId="23AD3F57">
            <w:pPr>
              <w:spacing w:line="340" w:lineRule="exact"/>
              <w:jc w:val="center"/>
              <w:rPr>
                <w:rFonts w:hint="eastAsia" w:ascii="宋体" w:hAnsi="宋体"/>
                <w:sz w:val="24"/>
                <w:szCs w:val="24"/>
              </w:rPr>
            </w:pPr>
            <w:r>
              <w:rPr>
                <w:rFonts w:hint="eastAsia" w:ascii="宋体" w:hAnsi="宋体"/>
                <w:sz w:val="24"/>
                <w:szCs w:val="24"/>
              </w:rPr>
              <w:t>隐患内容</w:t>
            </w:r>
          </w:p>
        </w:tc>
        <w:tc>
          <w:tcPr>
            <w:tcW w:w="2520" w:type="dxa"/>
            <w:vMerge w:val="restart"/>
            <w:noWrap w:val="0"/>
            <w:vAlign w:val="center"/>
          </w:tcPr>
          <w:p w14:paraId="03D07D1C">
            <w:pPr>
              <w:spacing w:line="340" w:lineRule="exact"/>
              <w:jc w:val="center"/>
              <w:rPr>
                <w:rFonts w:hint="eastAsia" w:ascii="宋体" w:hAnsi="宋体"/>
                <w:sz w:val="24"/>
                <w:szCs w:val="24"/>
              </w:rPr>
            </w:pPr>
            <w:r>
              <w:rPr>
                <w:rFonts w:hint="eastAsia" w:ascii="宋体" w:hAnsi="宋体"/>
                <w:sz w:val="24"/>
                <w:szCs w:val="24"/>
              </w:rPr>
              <w:t>整改内容</w:t>
            </w:r>
          </w:p>
        </w:tc>
        <w:tc>
          <w:tcPr>
            <w:tcW w:w="2160" w:type="dxa"/>
            <w:gridSpan w:val="3"/>
            <w:noWrap w:val="0"/>
            <w:vAlign w:val="center"/>
          </w:tcPr>
          <w:p w14:paraId="4EEBAAF2">
            <w:pPr>
              <w:spacing w:line="340" w:lineRule="exact"/>
              <w:jc w:val="center"/>
              <w:rPr>
                <w:rFonts w:hint="eastAsia" w:ascii="宋体" w:hAnsi="宋体"/>
                <w:sz w:val="24"/>
                <w:szCs w:val="24"/>
              </w:rPr>
            </w:pPr>
            <w:r>
              <w:rPr>
                <w:rFonts w:hint="eastAsia" w:ascii="宋体" w:hAnsi="宋体"/>
                <w:sz w:val="24"/>
                <w:szCs w:val="24"/>
              </w:rPr>
              <w:t>隐患等级</w:t>
            </w:r>
          </w:p>
        </w:tc>
        <w:tc>
          <w:tcPr>
            <w:tcW w:w="1440" w:type="dxa"/>
            <w:vMerge w:val="restart"/>
            <w:noWrap w:val="0"/>
            <w:vAlign w:val="center"/>
          </w:tcPr>
          <w:p w14:paraId="39C39D3C">
            <w:pPr>
              <w:spacing w:line="340" w:lineRule="exact"/>
              <w:ind w:firstLine="120" w:firstLineChars="50"/>
              <w:jc w:val="center"/>
              <w:rPr>
                <w:rFonts w:hint="eastAsia" w:ascii="宋体" w:hAnsi="宋体"/>
                <w:sz w:val="24"/>
                <w:szCs w:val="24"/>
              </w:rPr>
            </w:pPr>
            <w:r>
              <w:rPr>
                <w:rFonts w:hint="eastAsia" w:ascii="宋体" w:hAnsi="宋体"/>
                <w:sz w:val="24"/>
                <w:szCs w:val="24"/>
              </w:rPr>
              <w:t>整改</w:t>
            </w:r>
          </w:p>
          <w:p w14:paraId="25E1CA5A">
            <w:pPr>
              <w:spacing w:line="340" w:lineRule="exact"/>
              <w:ind w:firstLine="120" w:firstLineChars="50"/>
              <w:jc w:val="center"/>
              <w:rPr>
                <w:rFonts w:hint="eastAsia" w:ascii="宋体" w:hAnsi="宋体"/>
                <w:sz w:val="24"/>
                <w:szCs w:val="24"/>
              </w:rPr>
            </w:pPr>
            <w:r>
              <w:rPr>
                <w:rFonts w:hint="eastAsia" w:ascii="宋体" w:hAnsi="宋体"/>
                <w:sz w:val="24"/>
                <w:szCs w:val="24"/>
              </w:rPr>
              <w:t>责任人</w:t>
            </w:r>
          </w:p>
        </w:tc>
        <w:tc>
          <w:tcPr>
            <w:tcW w:w="1440" w:type="dxa"/>
            <w:vMerge w:val="restart"/>
            <w:noWrap w:val="0"/>
            <w:vAlign w:val="center"/>
          </w:tcPr>
          <w:p w14:paraId="3325D98A">
            <w:pPr>
              <w:spacing w:line="340" w:lineRule="exact"/>
              <w:ind w:firstLine="120" w:firstLineChars="50"/>
              <w:jc w:val="center"/>
              <w:rPr>
                <w:rFonts w:hint="eastAsia" w:ascii="宋体" w:hAnsi="宋体"/>
                <w:sz w:val="24"/>
                <w:szCs w:val="24"/>
              </w:rPr>
            </w:pPr>
            <w:r>
              <w:rPr>
                <w:rFonts w:hint="eastAsia" w:ascii="宋体" w:hAnsi="宋体"/>
                <w:sz w:val="24"/>
                <w:szCs w:val="24"/>
              </w:rPr>
              <w:t>验收人</w:t>
            </w:r>
          </w:p>
        </w:tc>
        <w:tc>
          <w:tcPr>
            <w:tcW w:w="1080" w:type="dxa"/>
            <w:vMerge w:val="restart"/>
            <w:noWrap w:val="0"/>
            <w:vAlign w:val="center"/>
          </w:tcPr>
          <w:p w14:paraId="4D557925">
            <w:pPr>
              <w:spacing w:line="340" w:lineRule="exact"/>
              <w:ind w:firstLine="120" w:firstLineChars="50"/>
              <w:jc w:val="center"/>
              <w:rPr>
                <w:rFonts w:hint="eastAsia" w:ascii="宋体" w:hAnsi="宋体"/>
                <w:sz w:val="24"/>
                <w:szCs w:val="24"/>
              </w:rPr>
            </w:pPr>
            <w:r>
              <w:rPr>
                <w:rFonts w:hint="eastAsia" w:ascii="宋体" w:hAnsi="宋体"/>
                <w:sz w:val="24"/>
                <w:szCs w:val="24"/>
              </w:rPr>
              <w:t>整改</w:t>
            </w:r>
          </w:p>
          <w:p w14:paraId="10EE0226">
            <w:pPr>
              <w:spacing w:line="340" w:lineRule="exact"/>
              <w:ind w:firstLine="120" w:firstLineChars="50"/>
              <w:jc w:val="center"/>
              <w:rPr>
                <w:rFonts w:hint="eastAsia" w:ascii="宋体" w:hAnsi="宋体"/>
                <w:sz w:val="24"/>
                <w:szCs w:val="24"/>
              </w:rPr>
            </w:pPr>
            <w:r>
              <w:rPr>
                <w:rFonts w:hint="eastAsia" w:ascii="宋体" w:hAnsi="宋体"/>
                <w:sz w:val="24"/>
                <w:szCs w:val="24"/>
              </w:rPr>
              <w:t>日期</w:t>
            </w:r>
          </w:p>
        </w:tc>
        <w:tc>
          <w:tcPr>
            <w:tcW w:w="720" w:type="dxa"/>
            <w:vMerge w:val="restart"/>
            <w:noWrap w:val="0"/>
            <w:vAlign w:val="center"/>
          </w:tcPr>
          <w:p w14:paraId="16222C8D">
            <w:pPr>
              <w:spacing w:line="340" w:lineRule="exact"/>
              <w:rPr>
                <w:rFonts w:hint="eastAsia" w:ascii="宋体" w:hAnsi="宋体"/>
                <w:sz w:val="24"/>
                <w:szCs w:val="24"/>
              </w:rPr>
            </w:pPr>
            <w:r>
              <w:rPr>
                <w:rFonts w:hint="eastAsia" w:ascii="宋体" w:hAnsi="宋体"/>
                <w:sz w:val="24"/>
                <w:szCs w:val="24"/>
              </w:rPr>
              <w:t>备注</w:t>
            </w:r>
          </w:p>
        </w:tc>
      </w:tr>
      <w:tr w14:paraId="736CC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dxa"/>
            <w:vMerge w:val="continue"/>
            <w:noWrap w:val="0"/>
            <w:vAlign w:val="center"/>
          </w:tcPr>
          <w:p w14:paraId="7544C54C">
            <w:pPr>
              <w:spacing w:line="340" w:lineRule="exact"/>
              <w:ind w:firstLine="120" w:firstLineChars="50"/>
              <w:jc w:val="center"/>
              <w:rPr>
                <w:rFonts w:hint="eastAsia" w:ascii="宋体" w:hAnsi="宋体"/>
                <w:sz w:val="24"/>
                <w:szCs w:val="24"/>
              </w:rPr>
            </w:pPr>
          </w:p>
        </w:tc>
        <w:tc>
          <w:tcPr>
            <w:tcW w:w="1080" w:type="dxa"/>
            <w:vMerge w:val="continue"/>
            <w:noWrap w:val="0"/>
            <w:vAlign w:val="center"/>
          </w:tcPr>
          <w:p w14:paraId="0DD1710C">
            <w:pPr>
              <w:spacing w:line="340" w:lineRule="exact"/>
              <w:jc w:val="center"/>
              <w:rPr>
                <w:rFonts w:hint="eastAsia" w:ascii="宋体" w:hAnsi="宋体"/>
                <w:sz w:val="24"/>
                <w:szCs w:val="24"/>
              </w:rPr>
            </w:pPr>
          </w:p>
        </w:tc>
        <w:tc>
          <w:tcPr>
            <w:tcW w:w="1260" w:type="dxa"/>
            <w:vMerge w:val="continue"/>
            <w:noWrap w:val="0"/>
            <w:vAlign w:val="center"/>
          </w:tcPr>
          <w:p w14:paraId="09DB04B3">
            <w:pPr>
              <w:spacing w:line="340" w:lineRule="exact"/>
              <w:jc w:val="center"/>
              <w:rPr>
                <w:rFonts w:hint="eastAsia" w:ascii="宋体" w:hAnsi="宋体"/>
                <w:sz w:val="24"/>
                <w:szCs w:val="24"/>
              </w:rPr>
            </w:pPr>
          </w:p>
        </w:tc>
        <w:tc>
          <w:tcPr>
            <w:tcW w:w="2700" w:type="dxa"/>
            <w:vMerge w:val="continue"/>
            <w:noWrap w:val="0"/>
            <w:vAlign w:val="center"/>
          </w:tcPr>
          <w:p w14:paraId="27FBA0F2">
            <w:pPr>
              <w:spacing w:line="340" w:lineRule="exact"/>
              <w:jc w:val="center"/>
              <w:rPr>
                <w:rFonts w:hint="eastAsia" w:ascii="宋体" w:hAnsi="宋体"/>
                <w:sz w:val="24"/>
                <w:szCs w:val="24"/>
              </w:rPr>
            </w:pPr>
          </w:p>
        </w:tc>
        <w:tc>
          <w:tcPr>
            <w:tcW w:w="2520" w:type="dxa"/>
            <w:vMerge w:val="continue"/>
            <w:noWrap w:val="0"/>
            <w:vAlign w:val="center"/>
          </w:tcPr>
          <w:p w14:paraId="5BADF2CF">
            <w:pPr>
              <w:spacing w:line="340" w:lineRule="exact"/>
              <w:jc w:val="center"/>
              <w:rPr>
                <w:rFonts w:hint="eastAsia" w:ascii="宋体" w:hAnsi="宋体"/>
                <w:sz w:val="24"/>
                <w:szCs w:val="24"/>
              </w:rPr>
            </w:pPr>
          </w:p>
        </w:tc>
        <w:tc>
          <w:tcPr>
            <w:tcW w:w="720" w:type="dxa"/>
            <w:noWrap w:val="0"/>
            <w:vAlign w:val="center"/>
          </w:tcPr>
          <w:p w14:paraId="1937A1F1">
            <w:pPr>
              <w:spacing w:line="340" w:lineRule="exact"/>
              <w:jc w:val="center"/>
              <w:rPr>
                <w:rFonts w:hint="eastAsia" w:ascii="宋体" w:hAnsi="宋体"/>
                <w:sz w:val="24"/>
                <w:szCs w:val="24"/>
              </w:rPr>
            </w:pPr>
            <w:r>
              <w:rPr>
                <w:rFonts w:hint="eastAsia" w:ascii="宋体" w:hAnsi="宋体"/>
                <w:sz w:val="24"/>
                <w:szCs w:val="24"/>
              </w:rPr>
              <w:t>一般</w:t>
            </w:r>
          </w:p>
        </w:tc>
        <w:tc>
          <w:tcPr>
            <w:tcW w:w="720" w:type="dxa"/>
            <w:noWrap w:val="0"/>
            <w:vAlign w:val="center"/>
          </w:tcPr>
          <w:p w14:paraId="7A09FC54">
            <w:pPr>
              <w:spacing w:line="340" w:lineRule="exact"/>
              <w:jc w:val="center"/>
              <w:rPr>
                <w:rFonts w:hint="eastAsia" w:ascii="宋体" w:hAnsi="宋体"/>
                <w:sz w:val="24"/>
                <w:szCs w:val="24"/>
              </w:rPr>
            </w:pPr>
            <w:r>
              <w:rPr>
                <w:rFonts w:hint="eastAsia" w:ascii="宋体" w:hAnsi="宋体"/>
                <w:sz w:val="24"/>
                <w:szCs w:val="24"/>
              </w:rPr>
              <w:t>较大</w:t>
            </w:r>
          </w:p>
        </w:tc>
        <w:tc>
          <w:tcPr>
            <w:tcW w:w="720" w:type="dxa"/>
            <w:noWrap w:val="0"/>
            <w:vAlign w:val="center"/>
          </w:tcPr>
          <w:p w14:paraId="1B29CA4B">
            <w:pPr>
              <w:spacing w:line="340" w:lineRule="exact"/>
              <w:jc w:val="center"/>
              <w:rPr>
                <w:rFonts w:hint="eastAsia" w:ascii="宋体" w:hAnsi="宋体"/>
                <w:sz w:val="24"/>
                <w:szCs w:val="24"/>
              </w:rPr>
            </w:pPr>
            <w:r>
              <w:rPr>
                <w:rFonts w:hint="eastAsia" w:ascii="宋体" w:hAnsi="宋体"/>
                <w:sz w:val="24"/>
                <w:szCs w:val="24"/>
              </w:rPr>
              <w:t>重大</w:t>
            </w:r>
          </w:p>
        </w:tc>
        <w:tc>
          <w:tcPr>
            <w:tcW w:w="1440" w:type="dxa"/>
            <w:vMerge w:val="continue"/>
            <w:noWrap w:val="0"/>
            <w:vAlign w:val="center"/>
          </w:tcPr>
          <w:p w14:paraId="2B49A3FD">
            <w:pPr>
              <w:spacing w:line="340" w:lineRule="exact"/>
              <w:jc w:val="center"/>
              <w:rPr>
                <w:rFonts w:hint="eastAsia" w:ascii="宋体" w:hAnsi="宋体"/>
                <w:sz w:val="24"/>
                <w:szCs w:val="24"/>
              </w:rPr>
            </w:pPr>
          </w:p>
        </w:tc>
        <w:tc>
          <w:tcPr>
            <w:tcW w:w="1440" w:type="dxa"/>
            <w:vMerge w:val="continue"/>
            <w:noWrap w:val="0"/>
            <w:vAlign w:val="center"/>
          </w:tcPr>
          <w:p w14:paraId="2A14C1A4">
            <w:pPr>
              <w:spacing w:line="340" w:lineRule="exact"/>
              <w:jc w:val="center"/>
              <w:rPr>
                <w:rFonts w:hint="eastAsia" w:ascii="宋体" w:hAnsi="宋体"/>
                <w:sz w:val="24"/>
                <w:szCs w:val="24"/>
              </w:rPr>
            </w:pPr>
          </w:p>
        </w:tc>
        <w:tc>
          <w:tcPr>
            <w:tcW w:w="1080" w:type="dxa"/>
            <w:vMerge w:val="continue"/>
            <w:noWrap w:val="0"/>
            <w:vAlign w:val="center"/>
          </w:tcPr>
          <w:p w14:paraId="434A98BD">
            <w:pPr>
              <w:spacing w:line="340" w:lineRule="exact"/>
              <w:ind w:firstLine="120" w:firstLineChars="50"/>
              <w:jc w:val="center"/>
              <w:rPr>
                <w:rFonts w:hint="eastAsia" w:ascii="宋体" w:hAnsi="宋体"/>
                <w:sz w:val="24"/>
                <w:szCs w:val="24"/>
              </w:rPr>
            </w:pPr>
          </w:p>
        </w:tc>
        <w:tc>
          <w:tcPr>
            <w:tcW w:w="720" w:type="dxa"/>
            <w:vMerge w:val="continue"/>
            <w:noWrap w:val="0"/>
            <w:vAlign w:val="center"/>
          </w:tcPr>
          <w:p w14:paraId="642C17B6">
            <w:pPr>
              <w:spacing w:line="340" w:lineRule="exact"/>
              <w:jc w:val="center"/>
              <w:rPr>
                <w:rFonts w:hint="eastAsia" w:ascii="宋体" w:hAnsi="宋体"/>
                <w:sz w:val="24"/>
                <w:szCs w:val="24"/>
              </w:rPr>
            </w:pPr>
          </w:p>
        </w:tc>
      </w:tr>
      <w:tr w14:paraId="31E52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0" w:hRule="atLeast"/>
        </w:trPr>
        <w:tc>
          <w:tcPr>
            <w:tcW w:w="540" w:type="dxa"/>
            <w:noWrap w:val="0"/>
            <w:vAlign w:val="center"/>
          </w:tcPr>
          <w:p w14:paraId="717A68C4">
            <w:pPr>
              <w:jc w:val="center"/>
              <w:rPr>
                <w:rFonts w:hint="eastAsia" w:ascii="宋体" w:hAnsi="宋体"/>
                <w:sz w:val="24"/>
                <w:szCs w:val="24"/>
              </w:rPr>
            </w:pPr>
          </w:p>
        </w:tc>
        <w:tc>
          <w:tcPr>
            <w:tcW w:w="1080" w:type="dxa"/>
            <w:noWrap w:val="0"/>
            <w:vAlign w:val="center"/>
          </w:tcPr>
          <w:p w14:paraId="4476C6FF">
            <w:pPr>
              <w:jc w:val="center"/>
              <w:rPr>
                <w:rFonts w:hint="eastAsia" w:ascii="宋体" w:hAnsi="宋体"/>
                <w:sz w:val="24"/>
                <w:szCs w:val="24"/>
              </w:rPr>
            </w:pPr>
          </w:p>
        </w:tc>
        <w:tc>
          <w:tcPr>
            <w:tcW w:w="1260" w:type="dxa"/>
            <w:noWrap w:val="0"/>
            <w:vAlign w:val="center"/>
          </w:tcPr>
          <w:p w14:paraId="05083D28">
            <w:pPr>
              <w:jc w:val="center"/>
              <w:rPr>
                <w:rFonts w:hint="eastAsia" w:ascii="宋体" w:hAnsi="宋体"/>
                <w:sz w:val="24"/>
                <w:szCs w:val="24"/>
              </w:rPr>
            </w:pPr>
          </w:p>
        </w:tc>
        <w:tc>
          <w:tcPr>
            <w:tcW w:w="2700" w:type="dxa"/>
            <w:noWrap w:val="0"/>
            <w:vAlign w:val="center"/>
          </w:tcPr>
          <w:p w14:paraId="6AE98D68">
            <w:pPr>
              <w:jc w:val="center"/>
              <w:rPr>
                <w:rFonts w:hint="eastAsia" w:ascii="宋体" w:hAnsi="宋体"/>
                <w:sz w:val="24"/>
                <w:szCs w:val="24"/>
              </w:rPr>
            </w:pPr>
          </w:p>
        </w:tc>
        <w:tc>
          <w:tcPr>
            <w:tcW w:w="2520" w:type="dxa"/>
            <w:noWrap w:val="0"/>
            <w:vAlign w:val="center"/>
          </w:tcPr>
          <w:p w14:paraId="54D8797B">
            <w:pPr>
              <w:jc w:val="center"/>
              <w:rPr>
                <w:rFonts w:hint="eastAsia" w:ascii="宋体" w:hAnsi="宋体"/>
                <w:sz w:val="24"/>
                <w:szCs w:val="24"/>
              </w:rPr>
            </w:pPr>
          </w:p>
        </w:tc>
        <w:tc>
          <w:tcPr>
            <w:tcW w:w="720" w:type="dxa"/>
            <w:noWrap w:val="0"/>
            <w:vAlign w:val="center"/>
          </w:tcPr>
          <w:p w14:paraId="539215E6">
            <w:pPr>
              <w:jc w:val="center"/>
              <w:rPr>
                <w:rFonts w:hint="eastAsia" w:ascii="宋体" w:hAnsi="宋体"/>
                <w:sz w:val="24"/>
                <w:szCs w:val="24"/>
              </w:rPr>
            </w:pPr>
          </w:p>
        </w:tc>
        <w:tc>
          <w:tcPr>
            <w:tcW w:w="720" w:type="dxa"/>
            <w:noWrap w:val="0"/>
            <w:vAlign w:val="center"/>
          </w:tcPr>
          <w:p w14:paraId="6186FF0B">
            <w:pPr>
              <w:jc w:val="center"/>
              <w:rPr>
                <w:rFonts w:hint="eastAsia" w:ascii="宋体" w:hAnsi="宋体"/>
                <w:sz w:val="24"/>
                <w:szCs w:val="24"/>
              </w:rPr>
            </w:pPr>
          </w:p>
        </w:tc>
        <w:tc>
          <w:tcPr>
            <w:tcW w:w="720" w:type="dxa"/>
            <w:noWrap w:val="0"/>
            <w:vAlign w:val="center"/>
          </w:tcPr>
          <w:p w14:paraId="0DDD83A9">
            <w:pPr>
              <w:jc w:val="center"/>
              <w:rPr>
                <w:rFonts w:hint="eastAsia" w:ascii="宋体" w:hAnsi="宋体"/>
                <w:sz w:val="24"/>
                <w:szCs w:val="24"/>
              </w:rPr>
            </w:pPr>
          </w:p>
        </w:tc>
        <w:tc>
          <w:tcPr>
            <w:tcW w:w="1440" w:type="dxa"/>
            <w:noWrap w:val="0"/>
            <w:vAlign w:val="center"/>
          </w:tcPr>
          <w:p w14:paraId="6BC3F673">
            <w:pPr>
              <w:jc w:val="center"/>
              <w:rPr>
                <w:rFonts w:hint="eastAsia" w:ascii="宋体" w:hAnsi="宋体"/>
                <w:sz w:val="24"/>
                <w:szCs w:val="24"/>
              </w:rPr>
            </w:pPr>
          </w:p>
        </w:tc>
        <w:tc>
          <w:tcPr>
            <w:tcW w:w="1440" w:type="dxa"/>
            <w:noWrap w:val="0"/>
            <w:vAlign w:val="center"/>
          </w:tcPr>
          <w:p w14:paraId="0BA0A345">
            <w:pPr>
              <w:jc w:val="center"/>
              <w:rPr>
                <w:rFonts w:hint="eastAsia" w:ascii="宋体" w:hAnsi="宋体"/>
                <w:sz w:val="24"/>
                <w:szCs w:val="24"/>
              </w:rPr>
            </w:pPr>
          </w:p>
        </w:tc>
        <w:tc>
          <w:tcPr>
            <w:tcW w:w="1080" w:type="dxa"/>
            <w:noWrap w:val="0"/>
            <w:vAlign w:val="center"/>
          </w:tcPr>
          <w:p w14:paraId="361F791F">
            <w:pPr>
              <w:jc w:val="center"/>
              <w:rPr>
                <w:rFonts w:hint="eastAsia" w:ascii="宋体" w:hAnsi="宋体"/>
                <w:sz w:val="24"/>
                <w:szCs w:val="24"/>
              </w:rPr>
            </w:pPr>
          </w:p>
        </w:tc>
        <w:tc>
          <w:tcPr>
            <w:tcW w:w="720" w:type="dxa"/>
            <w:noWrap w:val="0"/>
            <w:vAlign w:val="center"/>
          </w:tcPr>
          <w:p w14:paraId="6A7B2C12">
            <w:pPr>
              <w:jc w:val="center"/>
              <w:rPr>
                <w:rFonts w:hint="eastAsia" w:ascii="宋体" w:hAnsi="宋体"/>
                <w:sz w:val="24"/>
                <w:szCs w:val="24"/>
              </w:rPr>
            </w:pPr>
          </w:p>
        </w:tc>
      </w:tr>
      <w:tr w14:paraId="496A1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7" w:hRule="atLeast"/>
        </w:trPr>
        <w:tc>
          <w:tcPr>
            <w:tcW w:w="540" w:type="dxa"/>
            <w:noWrap w:val="0"/>
            <w:vAlign w:val="center"/>
          </w:tcPr>
          <w:p w14:paraId="5C704DFC">
            <w:pPr>
              <w:jc w:val="center"/>
              <w:rPr>
                <w:rFonts w:hint="eastAsia" w:ascii="宋体" w:hAnsi="宋体"/>
                <w:sz w:val="24"/>
                <w:szCs w:val="24"/>
              </w:rPr>
            </w:pPr>
          </w:p>
        </w:tc>
        <w:tc>
          <w:tcPr>
            <w:tcW w:w="1080" w:type="dxa"/>
            <w:noWrap w:val="0"/>
            <w:vAlign w:val="center"/>
          </w:tcPr>
          <w:p w14:paraId="694438B9">
            <w:pPr>
              <w:jc w:val="center"/>
              <w:rPr>
                <w:rFonts w:hint="eastAsia" w:ascii="宋体" w:hAnsi="宋体"/>
                <w:sz w:val="24"/>
                <w:szCs w:val="24"/>
              </w:rPr>
            </w:pPr>
          </w:p>
        </w:tc>
        <w:tc>
          <w:tcPr>
            <w:tcW w:w="1260" w:type="dxa"/>
            <w:noWrap w:val="0"/>
            <w:vAlign w:val="center"/>
          </w:tcPr>
          <w:p w14:paraId="7388DE0F">
            <w:pPr>
              <w:jc w:val="center"/>
              <w:rPr>
                <w:rFonts w:hint="eastAsia" w:ascii="宋体" w:hAnsi="宋体"/>
                <w:sz w:val="24"/>
                <w:szCs w:val="24"/>
              </w:rPr>
            </w:pPr>
          </w:p>
        </w:tc>
        <w:tc>
          <w:tcPr>
            <w:tcW w:w="2700" w:type="dxa"/>
            <w:noWrap w:val="0"/>
            <w:vAlign w:val="center"/>
          </w:tcPr>
          <w:p w14:paraId="2544B09A">
            <w:pPr>
              <w:jc w:val="center"/>
              <w:rPr>
                <w:rFonts w:hint="eastAsia" w:ascii="宋体" w:hAnsi="宋体"/>
                <w:sz w:val="24"/>
                <w:szCs w:val="24"/>
              </w:rPr>
            </w:pPr>
          </w:p>
        </w:tc>
        <w:tc>
          <w:tcPr>
            <w:tcW w:w="2520" w:type="dxa"/>
            <w:noWrap w:val="0"/>
            <w:vAlign w:val="center"/>
          </w:tcPr>
          <w:p w14:paraId="0B4F1B7C">
            <w:pPr>
              <w:jc w:val="center"/>
              <w:rPr>
                <w:rFonts w:hint="eastAsia" w:ascii="宋体" w:hAnsi="宋体"/>
                <w:sz w:val="24"/>
                <w:szCs w:val="24"/>
              </w:rPr>
            </w:pPr>
          </w:p>
        </w:tc>
        <w:tc>
          <w:tcPr>
            <w:tcW w:w="720" w:type="dxa"/>
            <w:noWrap w:val="0"/>
            <w:vAlign w:val="center"/>
          </w:tcPr>
          <w:p w14:paraId="34811506">
            <w:pPr>
              <w:jc w:val="center"/>
              <w:rPr>
                <w:rFonts w:hint="eastAsia" w:ascii="宋体" w:hAnsi="宋体"/>
                <w:sz w:val="24"/>
                <w:szCs w:val="24"/>
              </w:rPr>
            </w:pPr>
          </w:p>
        </w:tc>
        <w:tc>
          <w:tcPr>
            <w:tcW w:w="720" w:type="dxa"/>
            <w:noWrap w:val="0"/>
            <w:vAlign w:val="center"/>
          </w:tcPr>
          <w:p w14:paraId="7EBC7ED8">
            <w:pPr>
              <w:jc w:val="center"/>
              <w:rPr>
                <w:rFonts w:hint="eastAsia" w:ascii="宋体" w:hAnsi="宋体"/>
                <w:sz w:val="24"/>
                <w:szCs w:val="24"/>
              </w:rPr>
            </w:pPr>
          </w:p>
        </w:tc>
        <w:tc>
          <w:tcPr>
            <w:tcW w:w="720" w:type="dxa"/>
            <w:noWrap w:val="0"/>
            <w:vAlign w:val="center"/>
          </w:tcPr>
          <w:p w14:paraId="6934B288">
            <w:pPr>
              <w:jc w:val="center"/>
              <w:rPr>
                <w:rFonts w:hint="eastAsia" w:ascii="宋体" w:hAnsi="宋体"/>
                <w:sz w:val="24"/>
                <w:szCs w:val="24"/>
              </w:rPr>
            </w:pPr>
          </w:p>
        </w:tc>
        <w:tc>
          <w:tcPr>
            <w:tcW w:w="1440" w:type="dxa"/>
            <w:noWrap w:val="0"/>
            <w:vAlign w:val="center"/>
          </w:tcPr>
          <w:p w14:paraId="6855EB79">
            <w:pPr>
              <w:jc w:val="center"/>
              <w:rPr>
                <w:rFonts w:hint="eastAsia" w:ascii="宋体" w:hAnsi="宋体"/>
                <w:sz w:val="24"/>
                <w:szCs w:val="24"/>
              </w:rPr>
            </w:pPr>
          </w:p>
        </w:tc>
        <w:tc>
          <w:tcPr>
            <w:tcW w:w="1440" w:type="dxa"/>
            <w:noWrap w:val="0"/>
            <w:vAlign w:val="center"/>
          </w:tcPr>
          <w:p w14:paraId="28705E37">
            <w:pPr>
              <w:jc w:val="center"/>
              <w:rPr>
                <w:rFonts w:hint="eastAsia" w:ascii="宋体" w:hAnsi="宋体"/>
                <w:sz w:val="24"/>
                <w:szCs w:val="24"/>
              </w:rPr>
            </w:pPr>
          </w:p>
        </w:tc>
        <w:tc>
          <w:tcPr>
            <w:tcW w:w="1080" w:type="dxa"/>
            <w:noWrap w:val="0"/>
            <w:vAlign w:val="center"/>
          </w:tcPr>
          <w:p w14:paraId="359BB19B">
            <w:pPr>
              <w:jc w:val="center"/>
              <w:rPr>
                <w:rFonts w:hint="eastAsia" w:ascii="宋体" w:hAnsi="宋体"/>
                <w:sz w:val="24"/>
                <w:szCs w:val="24"/>
              </w:rPr>
            </w:pPr>
          </w:p>
        </w:tc>
        <w:tc>
          <w:tcPr>
            <w:tcW w:w="720" w:type="dxa"/>
            <w:noWrap w:val="0"/>
            <w:vAlign w:val="center"/>
          </w:tcPr>
          <w:p w14:paraId="007FE37F">
            <w:pPr>
              <w:jc w:val="center"/>
              <w:rPr>
                <w:rFonts w:hint="eastAsia" w:ascii="宋体" w:hAnsi="宋体"/>
                <w:sz w:val="24"/>
                <w:szCs w:val="24"/>
              </w:rPr>
            </w:pPr>
          </w:p>
        </w:tc>
      </w:tr>
      <w:tr w14:paraId="70D28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540" w:type="dxa"/>
            <w:noWrap w:val="0"/>
            <w:vAlign w:val="center"/>
          </w:tcPr>
          <w:p w14:paraId="493CD52C">
            <w:pPr>
              <w:jc w:val="center"/>
              <w:rPr>
                <w:rFonts w:hint="eastAsia" w:ascii="宋体" w:hAnsi="宋体"/>
                <w:sz w:val="24"/>
                <w:szCs w:val="24"/>
              </w:rPr>
            </w:pPr>
          </w:p>
        </w:tc>
        <w:tc>
          <w:tcPr>
            <w:tcW w:w="1080" w:type="dxa"/>
            <w:noWrap w:val="0"/>
            <w:vAlign w:val="center"/>
          </w:tcPr>
          <w:p w14:paraId="48189574">
            <w:pPr>
              <w:jc w:val="center"/>
              <w:rPr>
                <w:rFonts w:hint="eastAsia" w:ascii="宋体" w:hAnsi="宋体"/>
                <w:sz w:val="24"/>
                <w:szCs w:val="24"/>
              </w:rPr>
            </w:pPr>
          </w:p>
        </w:tc>
        <w:tc>
          <w:tcPr>
            <w:tcW w:w="1260" w:type="dxa"/>
            <w:noWrap w:val="0"/>
            <w:vAlign w:val="center"/>
          </w:tcPr>
          <w:p w14:paraId="7EA62C01">
            <w:pPr>
              <w:jc w:val="center"/>
              <w:rPr>
                <w:rFonts w:hint="eastAsia" w:ascii="宋体" w:hAnsi="宋体"/>
                <w:sz w:val="24"/>
                <w:szCs w:val="24"/>
              </w:rPr>
            </w:pPr>
          </w:p>
        </w:tc>
        <w:tc>
          <w:tcPr>
            <w:tcW w:w="2700" w:type="dxa"/>
            <w:noWrap w:val="0"/>
            <w:vAlign w:val="center"/>
          </w:tcPr>
          <w:p w14:paraId="300E0C17">
            <w:pPr>
              <w:jc w:val="center"/>
              <w:rPr>
                <w:rFonts w:hint="eastAsia" w:ascii="宋体" w:hAnsi="宋体"/>
                <w:sz w:val="24"/>
                <w:szCs w:val="24"/>
              </w:rPr>
            </w:pPr>
          </w:p>
        </w:tc>
        <w:tc>
          <w:tcPr>
            <w:tcW w:w="2520" w:type="dxa"/>
            <w:noWrap w:val="0"/>
            <w:vAlign w:val="center"/>
          </w:tcPr>
          <w:p w14:paraId="7034563D">
            <w:pPr>
              <w:jc w:val="center"/>
              <w:rPr>
                <w:rFonts w:hint="eastAsia" w:ascii="宋体" w:hAnsi="宋体"/>
                <w:sz w:val="24"/>
                <w:szCs w:val="24"/>
              </w:rPr>
            </w:pPr>
          </w:p>
        </w:tc>
        <w:tc>
          <w:tcPr>
            <w:tcW w:w="720" w:type="dxa"/>
            <w:noWrap w:val="0"/>
            <w:vAlign w:val="center"/>
          </w:tcPr>
          <w:p w14:paraId="783B9D46">
            <w:pPr>
              <w:jc w:val="center"/>
              <w:rPr>
                <w:rFonts w:hint="eastAsia" w:ascii="宋体" w:hAnsi="宋体"/>
                <w:sz w:val="24"/>
                <w:szCs w:val="24"/>
              </w:rPr>
            </w:pPr>
          </w:p>
        </w:tc>
        <w:tc>
          <w:tcPr>
            <w:tcW w:w="720" w:type="dxa"/>
            <w:noWrap w:val="0"/>
            <w:vAlign w:val="center"/>
          </w:tcPr>
          <w:p w14:paraId="63C1A6EF">
            <w:pPr>
              <w:jc w:val="center"/>
              <w:rPr>
                <w:rFonts w:hint="eastAsia" w:ascii="宋体" w:hAnsi="宋体"/>
                <w:sz w:val="24"/>
                <w:szCs w:val="24"/>
              </w:rPr>
            </w:pPr>
          </w:p>
        </w:tc>
        <w:tc>
          <w:tcPr>
            <w:tcW w:w="720" w:type="dxa"/>
            <w:noWrap w:val="0"/>
            <w:vAlign w:val="center"/>
          </w:tcPr>
          <w:p w14:paraId="12870A77">
            <w:pPr>
              <w:jc w:val="center"/>
              <w:rPr>
                <w:rFonts w:hint="eastAsia" w:ascii="宋体" w:hAnsi="宋体"/>
                <w:sz w:val="24"/>
                <w:szCs w:val="24"/>
              </w:rPr>
            </w:pPr>
          </w:p>
        </w:tc>
        <w:tc>
          <w:tcPr>
            <w:tcW w:w="1440" w:type="dxa"/>
            <w:noWrap w:val="0"/>
            <w:vAlign w:val="center"/>
          </w:tcPr>
          <w:p w14:paraId="3184647E">
            <w:pPr>
              <w:jc w:val="center"/>
              <w:rPr>
                <w:rFonts w:hint="eastAsia" w:ascii="宋体" w:hAnsi="宋体"/>
                <w:sz w:val="24"/>
                <w:szCs w:val="24"/>
              </w:rPr>
            </w:pPr>
          </w:p>
        </w:tc>
        <w:tc>
          <w:tcPr>
            <w:tcW w:w="1440" w:type="dxa"/>
            <w:noWrap w:val="0"/>
            <w:vAlign w:val="center"/>
          </w:tcPr>
          <w:p w14:paraId="0CA8A6B0">
            <w:pPr>
              <w:jc w:val="center"/>
              <w:rPr>
                <w:rFonts w:hint="eastAsia" w:ascii="宋体" w:hAnsi="宋体"/>
                <w:sz w:val="24"/>
                <w:szCs w:val="24"/>
              </w:rPr>
            </w:pPr>
          </w:p>
        </w:tc>
        <w:tc>
          <w:tcPr>
            <w:tcW w:w="1080" w:type="dxa"/>
            <w:noWrap w:val="0"/>
            <w:vAlign w:val="center"/>
          </w:tcPr>
          <w:p w14:paraId="1DDD7914">
            <w:pPr>
              <w:jc w:val="center"/>
              <w:rPr>
                <w:rFonts w:hint="eastAsia" w:ascii="宋体" w:hAnsi="宋体"/>
                <w:sz w:val="24"/>
                <w:szCs w:val="24"/>
              </w:rPr>
            </w:pPr>
          </w:p>
        </w:tc>
        <w:tc>
          <w:tcPr>
            <w:tcW w:w="720" w:type="dxa"/>
            <w:noWrap w:val="0"/>
            <w:vAlign w:val="center"/>
          </w:tcPr>
          <w:p w14:paraId="5301A2D3">
            <w:pPr>
              <w:jc w:val="center"/>
              <w:rPr>
                <w:rFonts w:hint="eastAsia" w:ascii="宋体" w:hAnsi="宋体"/>
                <w:sz w:val="24"/>
                <w:szCs w:val="24"/>
              </w:rPr>
            </w:pPr>
          </w:p>
        </w:tc>
      </w:tr>
      <w:tr w14:paraId="7FC98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9" w:hRule="atLeast"/>
        </w:trPr>
        <w:tc>
          <w:tcPr>
            <w:tcW w:w="540" w:type="dxa"/>
            <w:noWrap w:val="0"/>
            <w:vAlign w:val="center"/>
          </w:tcPr>
          <w:p w14:paraId="68AC0F10">
            <w:pPr>
              <w:jc w:val="center"/>
              <w:rPr>
                <w:rFonts w:hint="eastAsia" w:ascii="宋体" w:hAnsi="宋体"/>
                <w:sz w:val="24"/>
                <w:szCs w:val="24"/>
              </w:rPr>
            </w:pPr>
          </w:p>
        </w:tc>
        <w:tc>
          <w:tcPr>
            <w:tcW w:w="1080" w:type="dxa"/>
            <w:noWrap w:val="0"/>
            <w:vAlign w:val="center"/>
          </w:tcPr>
          <w:p w14:paraId="09099F24">
            <w:pPr>
              <w:jc w:val="center"/>
              <w:rPr>
                <w:rFonts w:hint="eastAsia" w:ascii="宋体" w:hAnsi="宋体"/>
                <w:sz w:val="24"/>
                <w:szCs w:val="24"/>
              </w:rPr>
            </w:pPr>
          </w:p>
        </w:tc>
        <w:tc>
          <w:tcPr>
            <w:tcW w:w="1260" w:type="dxa"/>
            <w:noWrap w:val="0"/>
            <w:vAlign w:val="center"/>
          </w:tcPr>
          <w:p w14:paraId="442D2C9B">
            <w:pPr>
              <w:jc w:val="center"/>
              <w:rPr>
                <w:rFonts w:hint="eastAsia" w:ascii="宋体" w:hAnsi="宋体"/>
                <w:sz w:val="24"/>
                <w:szCs w:val="24"/>
              </w:rPr>
            </w:pPr>
          </w:p>
        </w:tc>
        <w:tc>
          <w:tcPr>
            <w:tcW w:w="2700" w:type="dxa"/>
            <w:noWrap w:val="0"/>
            <w:vAlign w:val="center"/>
          </w:tcPr>
          <w:p w14:paraId="0895C3EA">
            <w:pPr>
              <w:jc w:val="center"/>
              <w:rPr>
                <w:rFonts w:hint="eastAsia" w:ascii="宋体" w:hAnsi="宋体" w:eastAsia="宋体"/>
                <w:sz w:val="24"/>
                <w:szCs w:val="24"/>
                <w:lang w:val="en-US" w:eastAsia="zh-CN"/>
              </w:rPr>
            </w:pPr>
            <w:r>
              <w:rPr>
                <w:rFonts w:hint="eastAsia" w:ascii="宋体" w:hAnsi="宋体"/>
                <w:sz w:val="24"/>
                <w:szCs w:val="24"/>
                <w:lang w:val="en-US" w:eastAsia="zh-CN"/>
              </w:rPr>
              <w:t xml:space="preserve"> </w:t>
            </w:r>
          </w:p>
        </w:tc>
        <w:tc>
          <w:tcPr>
            <w:tcW w:w="2520" w:type="dxa"/>
            <w:noWrap w:val="0"/>
            <w:vAlign w:val="center"/>
          </w:tcPr>
          <w:p w14:paraId="4A7136FC">
            <w:pPr>
              <w:jc w:val="center"/>
              <w:rPr>
                <w:rFonts w:hint="eastAsia" w:ascii="宋体" w:hAnsi="宋体"/>
                <w:sz w:val="24"/>
                <w:szCs w:val="24"/>
              </w:rPr>
            </w:pPr>
          </w:p>
        </w:tc>
        <w:tc>
          <w:tcPr>
            <w:tcW w:w="720" w:type="dxa"/>
            <w:noWrap w:val="0"/>
            <w:vAlign w:val="center"/>
          </w:tcPr>
          <w:p w14:paraId="5185D42E">
            <w:pPr>
              <w:jc w:val="center"/>
              <w:rPr>
                <w:rFonts w:hint="eastAsia" w:ascii="宋体" w:hAnsi="宋体"/>
                <w:sz w:val="24"/>
                <w:szCs w:val="24"/>
              </w:rPr>
            </w:pPr>
          </w:p>
        </w:tc>
        <w:tc>
          <w:tcPr>
            <w:tcW w:w="720" w:type="dxa"/>
            <w:noWrap w:val="0"/>
            <w:vAlign w:val="center"/>
          </w:tcPr>
          <w:p w14:paraId="5CA564B4">
            <w:pPr>
              <w:jc w:val="center"/>
              <w:rPr>
                <w:rFonts w:hint="eastAsia" w:ascii="宋体" w:hAnsi="宋体"/>
                <w:sz w:val="24"/>
                <w:szCs w:val="24"/>
              </w:rPr>
            </w:pPr>
          </w:p>
        </w:tc>
        <w:tc>
          <w:tcPr>
            <w:tcW w:w="720" w:type="dxa"/>
            <w:noWrap w:val="0"/>
            <w:vAlign w:val="center"/>
          </w:tcPr>
          <w:p w14:paraId="7D7ED3A9">
            <w:pPr>
              <w:jc w:val="center"/>
              <w:rPr>
                <w:rFonts w:hint="eastAsia" w:ascii="宋体" w:hAnsi="宋体"/>
                <w:sz w:val="24"/>
                <w:szCs w:val="24"/>
              </w:rPr>
            </w:pPr>
          </w:p>
        </w:tc>
        <w:tc>
          <w:tcPr>
            <w:tcW w:w="1440" w:type="dxa"/>
            <w:noWrap w:val="0"/>
            <w:vAlign w:val="center"/>
          </w:tcPr>
          <w:p w14:paraId="452AD8CC">
            <w:pPr>
              <w:jc w:val="center"/>
              <w:rPr>
                <w:rFonts w:hint="eastAsia" w:ascii="宋体" w:hAnsi="宋体"/>
                <w:sz w:val="24"/>
                <w:szCs w:val="24"/>
              </w:rPr>
            </w:pPr>
          </w:p>
        </w:tc>
        <w:tc>
          <w:tcPr>
            <w:tcW w:w="1440" w:type="dxa"/>
            <w:noWrap w:val="0"/>
            <w:vAlign w:val="center"/>
          </w:tcPr>
          <w:p w14:paraId="364D2FA3">
            <w:pPr>
              <w:jc w:val="center"/>
              <w:rPr>
                <w:rFonts w:hint="eastAsia" w:ascii="宋体" w:hAnsi="宋体"/>
                <w:sz w:val="24"/>
                <w:szCs w:val="24"/>
              </w:rPr>
            </w:pPr>
          </w:p>
        </w:tc>
        <w:tc>
          <w:tcPr>
            <w:tcW w:w="1080" w:type="dxa"/>
            <w:noWrap w:val="0"/>
            <w:vAlign w:val="center"/>
          </w:tcPr>
          <w:p w14:paraId="386CF865">
            <w:pPr>
              <w:jc w:val="center"/>
              <w:rPr>
                <w:rFonts w:hint="eastAsia" w:ascii="宋体" w:hAnsi="宋体"/>
                <w:sz w:val="24"/>
                <w:szCs w:val="24"/>
              </w:rPr>
            </w:pPr>
          </w:p>
        </w:tc>
        <w:tc>
          <w:tcPr>
            <w:tcW w:w="720" w:type="dxa"/>
            <w:noWrap w:val="0"/>
            <w:vAlign w:val="center"/>
          </w:tcPr>
          <w:p w14:paraId="6348CD87">
            <w:pPr>
              <w:jc w:val="center"/>
              <w:rPr>
                <w:rFonts w:hint="eastAsia" w:ascii="宋体" w:hAnsi="宋体"/>
                <w:sz w:val="24"/>
                <w:szCs w:val="24"/>
              </w:rPr>
            </w:pPr>
          </w:p>
        </w:tc>
      </w:tr>
      <w:tr w14:paraId="1BEB8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2" w:hRule="atLeast"/>
        </w:trPr>
        <w:tc>
          <w:tcPr>
            <w:tcW w:w="540" w:type="dxa"/>
            <w:noWrap w:val="0"/>
            <w:vAlign w:val="center"/>
          </w:tcPr>
          <w:p w14:paraId="79B2455C">
            <w:pPr>
              <w:jc w:val="center"/>
              <w:rPr>
                <w:rFonts w:hint="eastAsia" w:ascii="宋体" w:hAnsi="宋体"/>
                <w:sz w:val="24"/>
                <w:szCs w:val="24"/>
              </w:rPr>
            </w:pPr>
          </w:p>
        </w:tc>
        <w:tc>
          <w:tcPr>
            <w:tcW w:w="1080" w:type="dxa"/>
            <w:noWrap w:val="0"/>
            <w:vAlign w:val="center"/>
          </w:tcPr>
          <w:p w14:paraId="0A930E12">
            <w:pPr>
              <w:jc w:val="center"/>
              <w:rPr>
                <w:rFonts w:hint="eastAsia" w:ascii="宋体" w:hAnsi="宋体"/>
                <w:sz w:val="24"/>
                <w:szCs w:val="24"/>
              </w:rPr>
            </w:pPr>
          </w:p>
        </w:tc>
        <w:tc>
          <w:tcPr>
            <w:tcW w:w="1260" w:type="dxa"/>
            <w:noWrap w:val="0"/>
            <w:vAlign w:val="center"/>
          </w:tcPr>
          <w:p w14:paraId="2590D285">
            <w:pPr>
              <w:jc w:val="center"/>
              <w:rPr>
                <w:rFonts w:hint="eastAsia" w:ascii="宋体" w:hAnsi="宋体"/>
                <w:sz w:val="24"/>
                <w:szCs w:val="24"/>
              </w:rPr>
            </w:pPr>
          </w:p>
        </w:tc>
        <w:tc>
          <w:tcPr>
            <w:tcW w:w="2700" w:type="dxa"/>
            <w:noWrap w:val="0"/>
            <w:vAlign w:val="center"/>
          </w:tcPr>
          <w:p w14:paraId="4E1D51A2">
            <w:pPr>
              <w:jc w:val="center"/>
              <w:rPr>
                <w:rFonts w:hint="eastAsia" w:ascii="宋体" w:hAnsi="宋体"/>
                <w:sz w:val="24"/>
                <w:szCs w:val="24"/>
              </w:rPr>
            </w:pPr>
          </w:p>
        </w:tc>
        <w:tc>
          <w:tcPr>
            <w:tcW w:w="2520" w:type="dxa"/>
            <w:noWrap w:val="0"/>
            <w:vAlign w:val="center"/>
          </w:tcPr>
          <w:p w14:paraId="2711F523">
            <w:pPr>
              <w:jc w:val="center"/>
              <w:rPr>
                <w:rFonts w:hint="eastAsia" w:ascii="宋体" w:hAnsi="宋体"/>
                <w:sz w:val="24"/>
                <w:szCs w:val="24"/>
              </w:rPr>
            </w:pPr>
          </w:p>
        </w:tc>
        <w:tc>
          <w:tcPr>
            <w:tcW w:w="720" w:type="dxa"/>
            <w:noWrap w:val="0"/>
            <w:vAlign w:val="center"/>
          </w:tcPr>
          <w:p w14:paraId="6FFC07F0">
            <w:pPr>
              <w:jc w:val="center"/>
              <w:rPr>
                <w:rFonts w:hint="eastAsia" w:ascii="宋体" w:hAnsi="宋体"/>
                <w:sz w:val="24"/>
                <w:szCs w:val="24"/>
              </w:rPr>
            </w:pPr>
          </w:p>
        </w:tc>
        <w:tc>
          <w:tcPr>
            <w:tcW w:w="720" w:type="dxa"/>
            <w:noWrap w:val="0"/>
            <w:vAlign w:val="center"/>
          </w:tcPr>
          <w:p w14:paraId="166917F9">
            <w:pPr>
              <w:jc w:val="center"/>
              <w:rPr>
                <w:rFonts w:hint="eastAsia" w:ascii="宋体" w:hAnsi="宋体"/>
                <w:sz w:val="24"/>
                <w:szCs w:val="24"/>
              </w:rPr>
            </w:pPr>
          </w:p>
        </w:tc>
        <w:tc>
          <w:tcPr>
            <w:tcW w:w="720" w:type="dxa"/>
            <w:noWrap w:val="0"/>
            <w:vAlign w:val="center"/>
          </w:tcPr>
          <w:p w14:paraId="35788383">
            <w:pPr>
              <w:jc w:val="center"/>
              <w:rPr>
                <w:rFonts w:hint="eastAsia" w:ascii="宋体" w:hAnsi="宋体"/>
                <w:sz w:val="24"/>
                <w:szCs w:val="24"/>
              </w:rPr>
            </w:pPr>
          </w:p>
        </w:tc>
        <w:tc>
          <w:tcPr>
            <w:tcW w:w="1440" w:type="dxa"/>
            <w:noWrap w:val="0"/>
            <w:vAlign w:val="center"/>
          </w:tcPr>
          <w:p w14:paraId="27DC93BF">
            <w:pPr>
              <w:jc w:val="center"/>
              <w:rPr>
                <w:rFonts w:hint="eastAsia" w:ascii="宋体" w:hAnsi="宋体"/>
                <w:sz w:val="24"/>
                <w:szCs w:val="24"/>
              </w:rPr>
            </w:pPr>
          </w:p>
        </w:tc>
        <w:tc>
          <w:tcPr>
            <w:tcW w:w="1440" w:type="dxa"/>
            <w:noWrap w:val="0"/>
            <w:vAlign w:val="center"/>
          </w:tcPr>
          <w:p w14:paraId="5897925E">
            <w:pPr>
              <w:jc w:val="center"/>
              <w:rPr>
                <w:rFonts w:hint="eastAsia" w:ascii="宋体" w:hAnsi="宋体"/>
                <w:sz w:val="24"/>
                <w:szCs w:val="24"/>
              </w:rPr>
            </w:pPr>
          </w:p>
        </w:tc>
        <w:tc>
          <w:tcPr>
            <w:tcW w:w="1080" w:type="dxa"/>
            <w:noWrap w:val="0"/>
            <w:vAlign w:val="center"/>
          </w:tcPr>
          <w:p w14:paraId="7079B732">
            <w:pPr>
              <w:jc w:val="center"/>
              <w:rPr>
                <w:rFonts w:hint="eastAsia" w:ascii="宋体" w:hAnsi="宋体"/>
                <w:sz w:val="24"/>
                <w:szCs w:val="24"/>
              </w:rPr>
            </w:pPr>
          </w:p>
        </w:tc>
        <w:tc>
          <w:tcPr>
            <w:tcW w:w="720" w:type="dxa"/>
            <w:noWrap w:val="0"/>
            <w:vAlign w:val="center"/>
          </w:tcPr>
          <w:p w14:paraId="0447FEEC">
            <w:pPr>
              <w:jc w:val="center"/>
              <w:rPr>
                <w:rFonts w:hint="eastAsia" w:ascii="宋体" w:hAnsi="宋体"/>
                <w:sz w:val="24"/>
                <w:szCs w:val="24"/>
              </w:rPr>
            </w:pPr>
          </w:p>
        </w:tc>
      </w:tr>
      <w:tr w14:paraId="0F1A5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2" w:hRule="atLeast"/>
        </w:trPr>
        <w:tc>
          <w:tcPr>
            <w:tcW w:w="540" w:type="dxa"/>
            <w:noWrap w:val="0"/>
            <w:vAlign w:val="center"/>
          </w:tcPr>
          <w:p w14:paraId="459366B2">
            <w:pPr>
              <w:jc w:val="center"/>
              <w:rPr>
                <w:rFonts w:hint="eastAsia" w:ascii="宋体" w:hAnsi="宋体"/>
                <w:sz w:val="24"/>
                <w:szCs w:val="24"/>
              </w:rPr>
            </w:pPr>
          </w:p>
        </w:tc>
        <w:tc>
          <w:tcPr>
            <w:tcW w:w="1080" w:type="dxa"/>
            <w:noWrap w:val="0"/>
            <w:vAlign w:val="center"/>
          </w:tcPr>
          <w:p w14:paraId="7D94E69A">
            <w:pPr>
              <w:jc w:val="center"/>
              <w:rPr>
                <w:rFonts w:hint="eastAsia" w:ascii="宋体" w:hAnsi="宋体"/>
                <w:sz w:val="24"/>
                <w:szCs w:val="24"/>
              </w:rPr>
            </w:pPr>
          </w:p>
        </w:tc>
        <w:tc>
          <w:tcPr>
            <w:tcW w:w="1260" w:type="dxa"/>
            <w:noWrap w:val="0"/>
            <w:vAlign w:val="center"/>
          </w:tcPr>
          <w:p w14:paraId="3E0A07C9">
            <w:pPr>
              <w:jc w:val="center"/>
              <w:rPr>
                <w:rFonts w:hint="eastAsia" w:ascii="宋体" w:hAnsi="宋体"/>
                <w:sz w:val="24"/>
                <w:szCs w:val="24"/>
              </w:rPr>
            </w:pPr>
          </w:p>
        </w:tc>
        <w:tc>
          <w:tcPr>
            <w:tcW w:w="2700" w:type="dxa"/>
            <w:noWrap w:val="0"/>
            <w:vAlign w:val="center"/>
          </w:tcPr>
          <w:p w14:paraId="17C1421D">
            <w:pPr>
              <w:jc w:val="center"/>
              <w:rPr>
                <w:rFonts w:hint="eastAsia" w:ascii="宋体" w:hAnsi="宋体"/>
                <w:sz w:val="24"/>
                <w:szCs w:val="24"/>
              </w:rPr>
            </w:pPr>
          </w:p>
        </w:tc>
        <w:tc>
          <w:tcPr>
            <w:tcW w:w="2520" w:type="dxa"/>
            <w:noWrap w:val="0"/>
            <w:vAlign w:val="center"/>
          </w:tcPr>
          <w:p w14:paraId="3EEAB8C9">
            <w:pPr>
              <w:jc w:val="center"/>
              <w:rPr>
                <w:rFonts w:hint="eastAsia" w:ascii="宋体" w:hAnsi="宋体"/>
                <w:sz w:val="24"/>
                <w:szCs w:val="24"/>
              </w:rPr>
            </w:pPr>
          </w:p>
        </w:tc>
        <w:tc>
          <w:tcPr>
            <w:tcW w:w="720" w:type="dxa"/>
            <w:noWrap w:val="0"/>
            <w:vAlign w:val="center"/>
          </w:tcPr>
          <w:p w14:paraId="0A2859CB">
            <w:pPr>
              <w:jc w:val="center"/>
              <w:rPr>
                <w:rFonts w:hint="eastAsia" w:ascii="宋体" w:hAnsi="宋体"/>
                <w:sz w:val="24"/>
                <w:szCs w:val="24"/>
              </w:rPr>
            </w:pPr>
          </w:p>
        </w:tc>
        <w:tc>
          <w:tcPr>
            <w:tcW w:w="720" w:type="dxa"/>
            <w:noWrap w:val="0"/>
            <w:vAlign w:val="center"/>
          </w:tcPr>
          <w:p w14:paraId="188AE3A7">
            <w:pPr>
              <w:jc w:val="center"/>
              <w:rPr>
                <w:rFonts w:hint="eastAsia" w:ascii="宋体" w:hAnsi="宋体"/>
                <w:sz w:val="24"/>
                <w:szCs w:val="24"/>
              </w:rPr>
            </w:pPr>
          </w:p>
        </w:tc>
        <w:tc>
          <w:tcPr>
            <w:tcW w:w="720" w:type="dxa"/>
            <w:noWrap w:val="0"/>
            <w:vAlign w:val="center"/>
          </w:tcPr>
          <w:p w14:paraId="77A2E714">
            <w:pPr>
              <w:jc w:val="center"/>
              <w:rPr>
                <w:rFonts w:hint="eastAsia" w:ascii="宋体" w:hAnsi="宋体"/>
                <w:sz w:val="24"/>
                <w:szCs w:val="24"/>
              </w:rPr>
            </w:pPr>
          </w:p>
        </w:tc>
        <w:tc>
          <w:tcPr>
            <w:tcW w:w="1440" w:type="dxa"/>
            <w:noWrap w:val="0"/>
            <w:vAlign w:val="center"/>
          </w:tcPr>
          <w:p w14:paraId="3B0F7095">
            <w:pPr>
              <w:jc w:val="center"/>
              <w:rPr>
                <w:rFonts w:hint="eastAsia" w:ascii="宋体" w:hAnsi="宋体"/>
                <w:sz w:val="24"/>
                <w:szCs w:val="24"/>
              </w:rPr>
            </w:pPr>
          </w:p>
        </w:tc>
        <w:tc>
          <w:tcPr>
            <w:tcW w:w="1440" w:type="dxa"/>
            <w:noWrap w:val="0"/>
            <w:vAlign w:val="center"/>
          </w:tcPr>
          <w:p w14:paraId="3FEEC7F2">
            <w:pPr>
              <w:jc w:val="center"/>
              <w:rPr>
                <w:rFonts w:hint="eastAsia" w:ascii="宋体" w:hAnsi="宋体"/>
                <w:sz w:val="24"/>
                <w:szCs w:val="24"/>
              </w:rPr>
            </w:pPr>
          </w:p>
        </w:tc>
        <w:tc>
          <w:tcPr>
            <w:tcW w:w="1080" w:type="dxa"/>
            <w:noWrap w:val="0"/>
            <w:vAlign w:val="center"/>
          </w:tcPr>
          <w:p w14:paraId="19986EC9">
            <w:pPr>
              <w:jc w:val="center"/>
              <w:rPr>
                <w:rFonts w:hint="eastAsia" w:ascii="宋体" w:hAnsi="宋体"/>
                <w:sz w:val="24"/>
                <w:szCs w:val="24"/>
              </w:rPr>
            </w:pPr>
          </w:p>
        </w:tc>
        <w:tc>
          <w:tcPr>
            <w:tcW w:w="720" w:type="dxa"/>
            <w:noWrap w:val="0"/>
            <w:vAlign w:val="center"/>
          </w:tcPr>
          <w:p w14:paraId="09667A2D">
            <w:pPr>
              <w:jc w:val="center"/>
              <w:rPr>
                <w:rFonts w:hint="eastAsia" w:ascii="宋体" w:hAnsi="宋体"/>
                <w:sz w:val="24"/>
                <w:szCs w:val="24"/>
              </w:rPr>
            </w:pPr>
          </w:p>
        </w:tc>
      </w:tr>
      <w:tr w14:paraId="138F1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2" w:hRule="atLeast"/>
        </w:trPr>
        <w:tc>
          <w:tcPr>
            <w:tcW w:w="540" w:type="dxa"/>
            <w:noWrap w:val="0"/>
            <w:vAlign w:val="center"/>
          </w:tcPr>
          <w:p w14:paraId="1231EB38">
            <w:pPr>
              <w:jc w:val="center"/>
              <w:rPr>
                <w:rFonts w:hint="eastAsia" w:ascii="宋体" w:hAnsi="宋体"/>
                <w:sz w:val="24"/>
                <w:szCs w:val="24"/>
              </w:rPr>
            </w:pPr>
          </w:p>
        </w:tc>
        <w:tc>
          <w:tcPr>
            <w:tcW w:w="1080" w:type="dxa"/>
            <w:noWrap w:val="0"/>
            <w:vAlign w:val="center"/>
          </w:tcPr>
          <w:p w14:paraId="47561998">
            <w:pPr>
              <w:jc w:val="center"/>
              <w:rPr>
                <w:rFonts w:hint="eastAsia" w:ascii="宋体" w:hAnsi="宋体"/>
                <w:sz w:val="24"/>
                <w:szCs w:val="24"/>
              </w:rPr>
            </w:pPr>
          </w:p>
        </w:tc>
        <w:tc>
          <w:tcPr>
            <w:tcW w:w="1260" w:type="dxa"/>
            <w:noWrap w:val="0"/>
            <w:vAlign w:val="center"/>
          </w:tcPr>
          <w:p w14:paraId="1FA2FBDA">
            <w:pPr>
              <w:jc w:val="center"/>
              <w:rPr>
                <w:rFonts w:hint="eastAsia" w:ascii="宋体" w:hAnsi="宋体"/>
                <w:sz w:val="24"/>
                <w:szCs w:val="24"/>
              </w:rPr>
            </w:pPr>
          </w:p>
        </w:tc>
        <w:tc>
          <w:tcPr>
            <w:tcW w:w="2700" w:type="dxa"/>
            <w:noWrap w:val="0"/>
            <w:vAlign w:val="center"/>
          </w:tcPr>
          <w:p w14:paraId="029E142C">
            <w:pPr>
              <w:jc w:val="center"/>
              <w:rPr>
                <w:rFonts w:hint="eastAsia" w:ascii="宋体" w:hAnsi="宋体"/>
                <w:sz w:val="24"/>
                <w:szCs w:val="24"/>
              </w:rPr>
            </w:pPr>
          </w:p>
        </w:tc>
        <w:tc>
          <w:tcPr>
            <w:tcW w:w="2520" w:type="dxa"/>
            <w:noWrap w:val="0"/>
            <w:vAlign w:val="center"/>
          </w:tcPr>
          <w:p w14:paraId="693D484B">
            <w:pPr>
              <w:jc w:val="center"/>
              <w:rPr>
                <w:rFonts w:hint="eastAsia" w:ascii="宋体" w:hAnsi="宋体"/>
                <w:sz w:val="24"/>
                <w:szCs w:val="24"/>
              </w:rPr>
            </w:pPr>
          </w:p>
        </w:tc>
        <w:tc>
          <w:tcPr>
            <w:tcW w:w="720" w:type="dxa"/>
            <w:noWrap w:val="0"/>
            <w:vAlign w:val="center"/>
          </w:tcPr>
          <w:p w14:paraId="0F195523">
            <w:pPr>
              <w:jc w:val="center"/>
              <w:rPr>
                <w:rFonts w:hint="eastAsia" w:ascii="宋体" w:hAnsi="宋体"/>
                <w:sz w:val="24"/>
                <w:szCs w:val="24"/>
              </w:rPr>
            </w:pPr>
          </w:p>
        </w:tc>
        <w:tc>
          <w:tcPr>
            <w:tcW w:w="720" w:type="dxa"/>
            <w:noWrap w:val="0"/>
            <w:vAlign w:val="center"/>
          </w:tcPr>
          <w:p w14:paraId="69B93147">
            <w:pPr>
              <w:jc w:val="center"/>
              <w:rPr>
                <w:rFonts w:hint="eastAsia" w:ascii="宋体" w:hAnsi="宋体"/>
                <w:sz w:val="24"/>
                <w:szCs w:val="24"/>
              </w:rPr>
            </w:pPr>
          </w:p>
        </w:tc>
        <w:tc>
          <w:tcPr>
            <w:tcW w:w="720" w:type="dxa"/>
            <w:noWrap w:val="0"/>
            <w:vAlign w:val="center"/>
          </w:tcPr>
          <w:p w14:paraId="603971BA">
            <w:pPr>
              <w:jc w:val="center"/>
              <w:rPr>
                <w:rFonts w:hint="eastAsia" w:ascii="宋体" w:hAnsi="宋体"/>
                <w:sz w:val="24"/>
                <w:szCs w:val="24"/>
              </w:rPr>
            </w:pPr>
          </w:p>
        </w:tc>
        <w:tc>
          <w:tcPr>
            <w:tcW w:w="1440" w:type="dxa"/>
            <w:noWrap w:val="0"/>
            <w:vAlign w:val="center"/>
          </w:tcPr>
          <w:p w14:paraId="78ED5FE2">
            <w:pPr>
              <w:jc w:val="center"/>
              <w:rPr>
                <w:rFonts w:hint="eastAsia" w:ascii="宋体" w:hAnsi="宋体"/>
                <w:sz w:val="24"/>
                <w:szCs w:val="24"/>
              </w:rPr>
            </w:pPr>
          </w:p>
        </w:tc>
        <w:tc>
          <w:tcPr>
            <w:tcW w:w="1440" w:type="dxa"/>
            <w:noWrap w:val="0"/>
            <w:vAlign w:val="center"/>
          </w:tcPr>
          <w:p w14:paraId="5037E971">
            <w:pPr>
              <w:jc w:val="center"/>
              <w:rPr>
                <w:rFonts w:hint="eastAsia" w:ascii="宋体" w:hAnsi="宋体"/>
                <w:sz w:val="24"/>
                <w:szCs w:val="24"/>
              </w:rPr>
            </w:pPr>
          </w:p>
        </w:tc>
        <w:tc>
          <w:tcPr>
            <w:tcW w:w="1080" w:type="dxa"/>
            <w:noWrap w:val="0"/>
            <w:vAlign w:val="center"/>
          </w:tcPr>
          <w:p w14:paraId="780DAEB4">
            <w:pPr>
              <w:jc w:val="center"/>
              <w:rPr>
                <w:rFonts w:hint="eastAsia" w:ascii="宋体" w:hAnsi="宋体"/>
                <w:sz w:val="24"/>
                <w:szCs w:val="24"/>
              </w:rPr>
            </w:pPr>
          </w:p>
        </w:tc>
        <w:tc>
          <w:tcPr>
            <w:tcW w:w="720" w:type="dxa"/>
            <w:noWrap w:val="0"/>
            <w:vAlign w:val="center"/>
          </w:tcPr>
          <w:p w14:paraId="0F680205">
            <w:pPr>
              <w:jc w:val="center"/>
              <w:rPr>
                <w:rFonts w:hint="eastAsia" w:ascii="宋体" w:hAnsi="宋体"/>
                <w:sz w:val="24"/>
                <w:szCs w:val="24"/>
              </w:rPr>
            </w:pPr>
          </w:p>
        </w:tc>
      </w:tr>
      <w:tr w14:paraId="0D986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2" w:hRule="atLeast"/>
        </w:trPr>
        <w:tc>
          <w:tcPr>
            <w:tcW w:w="540" w:type="dxa"/>
            <w:noWrap w:val="0"/>
            <w:vAlign w:val="center"/>
          </w:tcPr>
          <w:p w14:paraId="743759AD">
            <w:pPr>
              <w:jc w:val="center"/>
              <w:rPr>
                <w:rFonts w:hint="eastAsia" w:ascii="宋体" w:hAnsi="宋体"/>
                <w:sz w:val="24"/>
                <w:szCs w:val="24"/>
              </w:rPr>
            </w:pPr>
          </w:p>
        </w:tc>
        <w:tc>
          <w:tcPr>
            <w:tcW w:w="1080" w:type="dxa"/>
            <w:noWrap w:val="0"/>
            <w:vAlign w:val="center"/>
          </w:tcPr>
          <w:p w14:paraId="12F54FDB">
            <w:pPr>
              <w:jc w:val="center"/>
              <w:rPr>
                <w:rFonts w:hint="eastAsia" w:ascii="宋体" w:hAnsi="宋体"/>
                <w:sz w:val="24"/>
                <w:szCs w:val="24"/>
              </w:rPr>
            </w:pPr>
          </w:p>
        </w:tc>
        <w:tc>
          <w:tcPr>
            <w:tcW w:w="1260" w:type="dxa"/>
            <w:noWrap w:val="0"/>
            <w:vAlign w:val="center"/>
          </w:tcPr>
          <w:p w14:paraId="7CA726B5">
            <w:pPr>
              <w:jc w:val="center"/>
              <w:rPr>
                <w:rFonts w:hint="eastAsia" w:ascii="宋体" w:hAnsi="宋体"/>
                <w:sz w:val="24"/>
                <w:szCs w:val="24"/>
              </w:rPr>
            </w:pPr>
          </w:p>
        </w:tc>
        <w:tc>
          <w:tcPr>
            <w:tcW w:w="2700" w:type="dxa"/>
            <w:noWrap w:val="0"/>
            <w:vAlign w:val="center"/>
          </w:tcPr>
          <w:p w14:paraId="0EBD173D">
            <w:pPr>
              <w:jc w:val="center"/>
              <w:rPr>
                <w:rFonts w:hint="eastAsia" w:ascii="宋体" w:hAnsi="宋体"/>
                <w:sz w:val="24"/>
                <w:szCs w:val="24"/>
              </w:rPr>
            </w:pPr>
          </w:p>
        </w:tc>
        <w:tc>
          <w:tcPr>
            <w:tcW w:w="2520" w:type="dxa"/>
            <w:noWrap w:val="0"/>
            <w:vAlign w:val="center"/>
          </w:tcPr>
          <w:p w14:paraId="2572C724">
            <w:pPr>
              <w:jc w:val="center"/>
              <w:rPr>
                <w:rFonts w:hint="eastAsia" w:ascii="宋体" w:hAnsi="宋体"/>
                <w:sz w:val="24"/>
                <w:szCs w:val="24"/>
              </w:rPr>
            </w:pPr>
          </w:p>
        </w:tc>
        <w:tc>
          <w:tcPr>
            <w:tcW w:w="720" w:type="dxa"/>
            <w:noWrap w:val="0"/>
            <w:vAlign w:val="center"/>
          </w:tcPr>
          <w:p w14:paraId="0985F37D">
            <w:pPr>
              <w:jc w:val="center"/>
              <w:rPr>
                <w:rFonts w:hint="eastAsia" w:ascii="宋体" w:hAnsi="宋体"/>
                <w:sz w:val="24"/>
                <w:szCs w:val="24"/>
              </w:rPr>
            </w:pPr>
          </w:p>
        </w:tc>
        <w:tc>
          <w:tcPr>
            <w:tcW w:w="720" w:type="dxa"/>
            <w:noWrap w:val="0"/>
            <w:vAlign w:val="center"/>
          </w:tcPr>
          <w:p w14:paraId="261E2BE1">
            <w:pPr>
              <w:jc w:val="center"/>
              <w:rPr>
                <w:rFonts w:hint="eastAsia" w:ascii="宋体" w:hAnsi="宋体"/>
                <w:sz w:val="24"/>
                <w:szCs w:val="24"/>
              </w:rPr>
            </w:pPr>
          </w:p>
        </w:tc>
        <w:tc>
          <w:tcPr>
            <w:tcW w:w="720" w:type="dxa"/>
            <w:noWrap w:val="0"/>
            <w:vAlign w:val="center"/>
          </w:tcPr>
          <w:p w14:paraId="49CDDACC">
            <w:pPr>
              <w:jc w:val="center"/>
              <w:rPr>
                <w:rFonts w:hint="eastAsia" w:ascii="宋体" w:hAnsi="宋体"/>
                <w:sz w:val="24"/>
                <w:szCs w:val="24"/>
              </w:rPr>
            </w:pPr>
          </w:p>
        </w:tc>
        <w:tc>
          <w:tcPr>
            <w:tcW w:w="1440" w:type="dxa"/>
            <w:noWrap w:val="0"/>
            <w:vAlign w:val="center"/>
          </w:tcPr>
          <w:p w14:paraId="65FC322E">
            <w:pPr>
              <w:jc w:val="center"/>
              <w:rPr>
                <w:rFonts w:hint="eastAsia" w:ascii="宋体" w:hAnsi="宋体"/>
                <w:sz w:val="24"/>
                <w:szCs w:val="24"/>
              </w:rPr>
            </w:pPr>
          </w:p>
        </w:tc>
        <w:tc>
          <w:tcPr>
            <w:tcW w:w="1440" w:type="dxa"/>
            <w:noWrap w:val="0"/>
            <w:vAlign w:val="center"/>
          </w:tcPr>
          <w:p w14:paraId="2B2D79FD">
            <w:pPr>
              <w:jc w:val="center"/>
              <w:rPr>
                <w:rFonts w:hint="eastAsia" w:ascii="宋体" w:hAnsi="宋体"/>
                <w:sz w:val="24"/>
                <w:szCs w:val="24"/>
              </w:rPr>
            </w:pPr>
          </w:p>
        </w:tc>
        <w:tc>
          <w:tcPr>
            <w:tcW w:w="1080" w:type="dxa"/>
            <w:noWrap w:val="0"/>
            <w:vAlign w:val="center"/>
          </w:tcPr>
          <w:p w14:paraId="50333CCB">
            <w:pPr>
              <w:jc w:val="center"/>
              <w:rPr>
                <w:rFonts w:hint="eastAsia" w:ascii="宋体" w:hAnsi="宋体"/>
                <w:sz w:val="24"/>
                <w:szCs w:val="24"/>
              </w:rPr>
            </w:pPr>
          </w:p>
        </w:tc>
        <w:tc>
          <w:tcPr>
            <w:tcW w:w="720" w:type="dxa"/>
            <w:noWrap w:val="0"/>
            <w:vAlign w:val="center"/>
          </w:tcPr>
          <w:p w14:paraId="3D5CBA08">
            <w:pPr>
              <w:jc w:val="center"/>
              <w:rPr>
                <w:rFonts w:hint="eastAsia" w:ascii="宋体" w:hAnsi="宋体"/>
                <w:sz w:val="24"/>
                <w:szCs w:val="24"/>
              </w:rPr>
            </w:pPr>
          </w:p>
        </w:tc>
      </w:tr>
    </w:tbl>
    <w:p w14:paraId="0388A460">
      <w:pPr>
        <w:rPr>
          <w:rFonts w:hint="eastAsia"/>
          <w:highlight w:val="none"/>
          <w:lang w:val="en-US" w:eastAsia="zh-CN"/>
        </w:rPr>
        <w:sectPr>
          <w:pgSz w:w="16838" w:h="11906" w:orient="landscape"/>
          <w:pgMar w:top="1800" w:right="1440" w:bottom="1800" w:left="1440" w:header="851" w:footer="992" w:gutter="0"/>
          <w:cols w:space="425" w:num="1"/>
          <w:docGrid w:type="lines" w:linePitch="312" w:charSpace="0"/>
        </w:sectPr>
      </w:pPr>
    </w:p>
    <w:p w14:paraId="72C280F8">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1" w:after="0" w:afterAutospacing="1" w:line="390" w:lineRule="atLeast"/>
        <w:ind w:left="0" w:right="0" w:firstLine="0"/>
        <w:rPr>
          <w:rStyle w:val="10"/>
          <w:rFonts w:hint="default" w:ascii="Arial" w:hAnsi="Arial" w:eastAsia="宋体" w:cs="Arial"/>
          <w:i w:val="0"/>
          <w:iCs w:val="0"/>
          <w:caps w:val="0"/>
          <w:color w:val="333333"/>
          <w:spacing w:val="0"/>
          <w:sz w:val="21"/>
          <w:szCs w:val="21"/>
          <w:bdr w:val="none" w:color="auto" w:sz="0" w:space="0"/>
          <w:shd w:val="clear" w:fill="FFFFFF"/>
          <w:lang w:val="en-US" w:eastAsia="zh-CN"/>
        </w:rPr>
      </w:pPr>
      <w:r>
        <w:rPr>
          <w:rStyle w:val="10"/>
          <w:rFonts w:hint="eastAsia" w:ascii="Arial" w:hAnsi="Arial" w:eastAsia="宋体" w:cs="Arial"/>
          <w:i w:val="0"/>
          <w:iCs w:val="0"/>
          <w:caps w:val="0"/>
          <w:color w:val="333333"/>
          <w:spacing w:val="0"/>
          <w:sz w:val="21"/>
          <w:szCs w:val="21"/>
          <w:bdr w:val="none" w:color="auto" w:sz="0" w:space="0"/>
          <w:shd w:val="clear" w:fill="FFFFFF"/>
          <w:lang w:val="en-US" w:eastAsia="zh-CN"/>
        </w:rPr>
        <w:t>15.四川省工贸行业十大事故高发领域重点管控清单</w:t>
      </w:r>
    </w:p>
    <w:p w14:paraId="5E8B9329">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1" w:after="0" w:afterAutospacing="1" w:line="390" w:lineRule="atLeast"/>
        <w:ind w:left="0" w:right="0" w:firstLine="0"/>
        <w:rPr>
          <w:rStyle w:val="10"/>
          <w:rFonts w:hint="default" w:ascii="Arial" w:hAnsi="Arial" w:eastAsia="Arial" w:cs="Arial"/>
          <w:i w:val="0"/>
          <w:iCs w:val="0"/>
          <w:caps w:val="0"/>
          <w:color w:val="333333"/>
          <w:spacing w:val="0"/>
          <w:sz w:val="21"/>
          <w:szCs w:val="21"/>
          <w:bdr w:val="none" w:color="auto" w:sz="0" w:space="0"/>
          <w:shd w:val="clear" w:fill="FFFFFF"/>
        </w:rPr>
      </w:pPr>
    </w:p>
    <w:p w14:paraId="473BA0CA">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1" w:after="0" w:afterAutospacing="1" w:line="390" w:lineRule="atLeast"/>
        <w:ind w:left="0" w:right="0" w:firstLine="0"/>
        <w:rPr>
          <w:rFonts w:ascii="宋体" w:hAnsi="宋体" w:eastAsiaTheme="minorEastAsia" w:cstheme="minorBidi"/>
          <w:color w:val="000000"/>
          <w:kern w:val="0"/>
          <w:sz w:val="24"/>
          <w:szCs w:val="24"/>
          <w:lang w:val="en-US" w:eastAsia="zh-CN" w:bidi="ar-SA"/>
        </w:rPr>
      </w:pPr>
      <w:r>
        <w:rPr>
          <w:rFonts w:hint="default" w:ascii="宋体" w:hAnsi="宋体" w:eastAsiaTheme="minorEastAsia" w:cstheme="minorBidi"/>
          <w:color w:val="000000"/>
          <w:kern w:val="0"/>
          <w:sz w:val="24"/>
          <w:szCs w:val="24"/>
          <w:lang w:val="en-US" w:eastAsia="zh-CN" w:bidi="ar-SA"/>
        </w:rPr>
        <w:t>十大事故高发领域的问题隐患主要包括以下内容‌：</w:t>
      </w:r>
    </w:p>
    <w:p w14:paraId="3F833CE3">
      <w:pPr>
        <w:keepNext w:val="0"/>
        <w:keepLines w:val="0"/>
        <w:widowControl/>
        <w:numPr>
          <w:numId w:val="0"/>
        </w:numPr>
        <w:suppressLineNumbers w:val="0"/>
        <w:pBdr>
          <w:top w:val="none" w:color="auto" w:sz="0" w:space="0"/>
          <w:bottom w:val="none" w:color="auto" w:sz="0" w:space="0"/>
          <w:right w:val="none" w:color="auto" w:sz="0" w:space="0"/>
        </w:pBdr>
        <w:spacing w:before="0" w:beforeAutospacing="1" w:after="0" w:afterAutospacing="1" w:line="390" w:lineRule="atLeast"/>
        <w:ind w:left="-360" w:leftChars="0" w:right="0" w:rightChars="0"/>
        <w:rPr>
          <w:rFonts w:ascii="宋体" w:hAnsi="宋体" w:eastAsiaTheme="minorEastAsia" w:cstheme="minorBidi"/>
          <w:color w:val="000000"/>
          <w:kern w:val="0"/>
          <w:sz w:val="24"/>
          <w:szCs w:val="24"/>
          <w:lang w:val="en-US" w:eastAsia="zh-CN" w:bidi="ar-SA"/>
        </w:rPr>
      </w:pPr>
      <w:r>
        <w:rPr>
          <w:rFonts w:hint="default" w:ascii="宋体" w:hAnsi="宋体" w:eastAsiaTheme="minorEastAsia" w:cstheme="minorBidi"/>
          <w:color w:val="000000"/>
          <w:kern w:val="0"/>
          <w:sz w:val="24"/>
          <w:szCs w:val="24"/>
          <w:lang w:val="en-US" w:eastAsia="zh-CN" w:bidi="ar-SA"/>
        </w:rPr>
        <w:t>‌</w:t>
      </w:r>
      <w:r>
        <w:rPr>
          <w:rFonts w:hint="default" w:ascii="宋体" w:hAnsi="宋体" w:eastAsiaTheme="minorEastAsia" w:cstheme="minorBidi"/>
          <w:color w:val="000000"/>
          <w:kern w:val="0"/>
          <w:sz w:val="24"/>
          <w:szCs w:val="24"/>
          <w:lang w:val="en-US" w:eastAsia="zh-CN" w:bidi="ar-SA"/>
        </w:rPr>
        <w:fldChar w:fldCharType="begin"/>
      </w:r>
      <w:r>
        <w:rPr>
          <w:rFonts w:hint="default" w:ascii="宋体" w:hAnsi="宋体" w:eastAsiaTheme="minorEastAsia" w:cstheme="minorBidi"/>
          <w:color w:val="000000"/>
          <w:kern w:val="0"/>
          <w:sz w:val="24"/>
          <w:szCs w:val="24"/>
          <w:lang w:val="en-US" w:eastAsia="zh-CN" w:bidi="ar-SA"/>
        </w:rPr>
        <w:instrText xml:space="preserve"> HYPERLINK "https://www.baidu.com/s?rsv_dl=re_dqa_generate&amp;sa=re_dqa_generate&amp;wd=%E5%A4%96%E5%A7%94%E5%A4%96%E5%8C%85&amp;rsv_pq=a8de2e71001c69f3&amp;oq=%E5%8D%81%E5%A4%A7%E4%BA%8B%E6%95%85%E9%AB%98%E5%8F%91%E9%A2%86%E5%9F%9F%E9%97%AE%E9%A2%98%E9%9A%90%E6%82%A3&amp;rsv_t=268709rc7WcA+lw65JZfXOipLpl7CDaSYz1JqyoKI5JGEA5tH7fX40IVttCnqzvi1AZW&amp;tn=baiduhome_pg&amp;ie=utf-8" \t "https://www.baidu.com/_blank" </w:instrText>
      </w:r>
      <w:r>
        <w:rPr>
          <w:rFonts w:hint="default" w:ascii="宋体" w:hAnsi="宋体" w:eastAsiaTheme="minorEastAsia" w:cstheme="minorBidi"/>
          <w:color w:val="000000"/>
          <w:kern w:val="0"/>
          <w:sz w:val="24"/>
          <w:szCs w:val="24"/>
          <w:lang w:val="en-US" w:eastAsia="zh-CN" w:bidi="ar-SA"/>
        </w:rPr>
        <w:fldChar w:fldCharType="separate"/>
      </w:r>
      <w:r>
        <w:rPr>
          <w:rFonts w:hint="default" w:ascii="宋体" w:hAnsi="宋体" w:eastAsiaTheme="minorEastAsia" w:cstheme="minorBidi"/>
          <w:color w:val="000000"/>
          <w:kern w:val="0"/>
          <w:sz w:val="24"/>
          <w:szCs w:val="24"/>
          <w:lang w:val="en-US" w:eastAsia="zh-CN" w:bidi="ar-SA"/>
        </w:rPr>
        <w:t>外委外包</w:t>
      </w:r>
      <w:r>
        <w:rPr>
          <w:rFonts w:hint="default" w:ascii="宋体" w:hAnsi="宋体" w:eastAsiaTheme="minorEastAsia" w:cstheme="minorBidi"/>
          <w:color w:val="000000"/>
          <w:kern w:val="0"/>
          <w:sz w:val="24"/>
          <w:szCs w:val="24"/>
          <w:lang w:val="en-US" w:eastAsia="zh-CN" w:bidi="ar-SA"/>
        </w:rPr>
        <w:fldChar w:fldCharType="end"/>
      </w:r>
      <w:r>
        <w:rPr>
          <w:rFonts w:hint="default" w:ascii="宋体" w:hAnsi="宋体" w:eastAsiaTheme="minorEastAsia" w:cstheme="minorBidi"/>
          <w:color w:val="000000"/>
          <w:kern w:val="0"/>
          <w:sz w:val="24"/>
          <w:szCs w:val="24"/>
          <w:lang w:val="en-US" w:eastAsia="zh-CN" w:bidi="ar-SA"/>
        </w:rPr>
        <w:t>‌：外委外包环节管理不到位，存在以包代管、包而不管的情况‌1。</w:t>
      </w:r>
    </w:p>
    <w:p w14:paraId="023927D3">
      <w:pPr>
        <w:keepNext w:val="0"/>
        <w:keepLines w:val="0"/>
        <w:widowControl/>
        <w:numPr>
          <w:numId w:val="0"/>
        </w:numPr>
        <w:suppressLineNumbers w:val="0"/>
        <w:pBdr>
          <w:top w:val="none" w:color="auto" w:sz="0" w:space="0"/>
          <w:bottom w:val="none" w:color="auto" w:sz="0" w:space="0"/>
          <w:right w:val="none" w:color="auto" w:sz="0" w:space="0"/>
        </w:pBdr>
        <w:spacing w:before="0" w:beforeAutospacing="1" w:after="0" w:afterAutospacing="1" w:line="390" w:lineRule="atLeast"/>
        <w:ind w:left="-360" w:leftChars="0" w:right="0" w:rightChars="0"/>
        <w:rPr>
          <w:rFonts w:ascii="宋体" w:hAnsi="宋体" w:eastAsiaTheme="minorEastAsia" w:cstheme="minorBidi"/>
          <w:color w:val="000000"/>
          <w:kern w:val="0"/>
          <w:sz w:val="24"/>
          <w:szCs w:val="24"/>
          <w:lang w:val="en-US" w:eastAsia="zh-CN" w:bidi="ar-SA"/>
        </w:rPr>
      </w:pPr>
      <w:r>
        <w:rPr>
          <w:rFonts w:hint="default" w:ascii="宋体" w:hAnsi="宋体" w:eastAsiaTheme="minorEastAsia" w:cstheme="minorBidi"/>
          <w:color w:val="000000"/>
          <w:kern w:val="0"/>
          <w:sz w:val="24"/>
          <w:szCs w:val="24"/>
          <w:lang w:val="en-US" w:eastAsia="zh-CN" w:bidi="ar-SA"/>
        </w:rPr>
        <w:t>‌</w:t>
      </w:r>
      <w:r>
        <w:rPr>
          <w:rFonts w:hint="default" w:ascii="宋体" w:hAnsi="宋体" w:eastAsiaTheme="minorEastAsia" w:cstheme="minorBidi"/>
          <w:color w:val="000000"/>
          <w:kern w:val="0"/>
          <w:sz w:val="24"/>
          <w:szCs w:val="24"/>
          <w:lang w:val="en-US" w:eastAsia="zh-CN" w:bidi="ar-SA"/>
        </w:rPr>
        <w:fldChar w:fldCharType="begin"/>
      </w:r>
      <w:r>
        <w:rPr>
          <w:rFonts w:hint="default" w:ascii="宋体" w:hAnsi="宋体" w:eastAsiaTheme="minorEastAsia" w:cstheme="minorBidi"/>
          <w:color w:val="000000"/>
          <w:kern w:val="0"/>
          <w:sz w:val="24"/>
          <w:szCs w:val="24"/>
          <w:lang w:val="en-US" w:eastAsia="zh-CN" w:bidi="ar-SA"/>
        </w:rPr>
        <w:instrText xml:space="preserve"> HYPERLINK "https://www.baidu.com/s?rsv_dl=re_dqa_generate&amp;sa=re_dqa_generate&amp;wd=%E5%8D%B1%E9%99%A9%E5%8C%96%E5%AD%A6%E5%93%81&amp;rsv_pq=a8de2e71001c69f3&amp;oq=%E5%8D%81%E5%A4%A7%E4%BA%8B%E6%95%85%E9%AB%98%E5%8F%91%E9%A2%86%E5%9F%9F%E9%97%AE%E9%A2%98%E9%9A%90%E6%82%A3&amp;rsv_t=268709rc7WcA+lw65JZfXOipLpl7CDaSYz1JqyoKI5JGEA5tH7fX40IVttCnqzvi1AZW&amp;tn=baiduhome_pg&amp;ie=utf-8" \t "https://www.baidu.com/_blank" </w:instrText>
      </w:r>
      <w:r>
        <w:rPr>
          <w:rFonts w:hint="default" w:ascii="宋体" w:hAnsi="宋体" w:eastAsiaTheme="minorEastAsia" w:cstheme="minorBidi"/>
          <w:color w:val="000000"/>
          <w:kern w:val="0"/>
          <w:sz w:val="24"/>
          <w:szCs w:val="24"/>
          <w:lang w:val="en-US" w:eastAsia="zh-CN" w:bidi="ar-SA"/>
        </w:rPr>
        <w:fldChar w:fldCharType="separate"/>
      </w:r>
      <w:r>
        <w:rPr>
          <w:rFonts w:hint="default" w:ascii="宋体" w:hAnsi="宋体" w:eastAsiaTheme="minorEastAsia" w:cstheme="minorBidi"/>
          <w:color w:val="000000"/>
          <w:kern w:val="0"/>
          <w:sz w:val="24"/>
          <w:szCs w:val="24"/>
          <w:lang w:val="en-US" w:eastAsia="zh-CN" w:bidi="ar-SA"/>
        </w:rPr>
        <w:t>危险化学品</w:t>
      </w:r>
      <w:r>
        <w:rPr>
          <w:rFonts w:hint="default" w:ascii="宋体" w:hAnsi="宋体" w:eastAsiaTheme="minorEastAsia" w:cstheme="minorBidi"/>
          <w:color w:val="000000"/>
          <w:kern w:val="0"/>
          <w:sz w:val="24"/>
          <w:szCs w:val="24"/>
          <w:lang w:val="en-US" w:eastAsia="zh-CN" w:bidi="ar-SA"/>
        </w:rPr>
        <w:fldChar w:fldCharType="end"/>
      </w:r>
      <w:r>
        <w:rPr>
          <w:rFonts w:hint="default" w:ascii="宋体" w:hAnsi="宋体" w:eastAsiaTheme="minorEastAsia" w:cstheme="minorBidi"/>
          <w:color w:val="000000"/>
          <w:kern w:val="0"/>
          <w:sz w:val="24"/>
          <w:szCs w:val="24"/>
          <w:lang w:val="en-US" w:eastAsia="zh-CN" w:bidi="ar-SA"/>
        </w:rPr>
        <w:t>‌：</w:t>
      </w:r>
      <w:bookmarkStart w:id="199" w:name="_GoBack"/>
      <w:bookmarkEnd w:id="199"/>
      <w:r>
        <w:rPr>
          <w:rFonts w:hint="default" w:ascii="宋体" w:hAnsi="宋体" w:eastAsiaTheme="minorEastAsia" w:cstheme="minorBidi"/>
          <w:color w:val="000000"/>
          <w:kern w:val="0"/>
          <w:sz w:val="24"/>
          <w:szCs w:val="24"/>
          <w:lang w:val="en-US" w:eastAsia="zh-CN" w:bidi="ar-SA"/>
        </w:rPr>
        <w:t>涉易燃易爆危险品区域未规范设置监测报警与可靠消防设施，未与办公室、宿舍等人员聚集区域进行有效隔离‌。</w:t>
      </w:r>
    </w:p>
    <w:p w14:paraId="7E91EAF2">
      <w:pPr>
        <w:keepNext w:val="0"/>
        <w:keepLines w:val="0"/>
        <w:widowControl/>
        <w:numPr>
          <w:numId w:val="0"/>
        </w:numPr>
        <w:suppressLineNumbers w:val="0"/>
        <w:pBdr>
          <w:top w:val="none" w:color="auto" w:sz="0" w:space="0"/>
          <w:bottom w:val="none" w:color="auto" w:sz="0" w:space="0"/>
          <w:right w:val="none" w:color="auto" w:sz="0" w:space="0"/>
        </w:pBdr>
        <w:spacing w:before="0" w:beforeAutospacing="1" w:after="0" w:afterAutospacing="1" w:line="390" w:lineRule="atLeast"/>
        <w:ind w:left="-360" w:leftChars="0" w:right="0" w:rightChars="0"/>
        <w:rPr>
          <w:rFonts w:ascii="宋体" w:hAnsi="宋体" w:eastAsiaTheme="minorEastAsia" w:cstheme="minorBidi"/>
          <w:color w:val="000000"/>
          <w:kern w:val="0"/>
          <w:sz w:val="24"/>
          <w:szCs w:val="24"/>
          <w:lang w:val="en-US" w:eastAsia="zh-CN" w:bidi="ar-SA"/>
        </w:rPr>
      </w:pPr>
      <w:r>
        <w:rPr>
          <w:rFonts w:hint="default" w:ascii="宋体" w:hAnsi="宋体" w:eastAsiaTheme="minorEastAsia" w:cstheme="minorBidi"/>
          <w:color w:val="000000"/>
          <w:kern w:val="0"/>
          <w:sz w:val="24"/>
          <w:szCs w:val="24"/>
          <w:lang w:val="en-US" w:eastAsia="zh-CN" w:bidi="ar-SA"/>
        </w:rPr>
        <w:t>‌</w:t>
      </w:r>
      <w:r>
        <w:rPr>
          <w:rFonts w:hint="default" w:ascii="宋体" w:hAnsi="宋体" w:eastAsiaTheme="minorEastAsia" w:cstheme="minorBidi"/>
          <w:color w:val="000000"/>
          <w:kern w:val="0"/>
          <w:sz w:val="24"/>
          <w:szCs w:val="24"/>
          <w:lang w:val="en-US" w:eastAsia="zh-CN" w:bidi="ar-SA"/>
        </w:rPr>
        <w:fldChar w:fldCharType="begin"/>
      </w:r>
      <w:r>
        <w:rPr>
          <w:rFonts w:hint="default" w:ascii="宋体" w:hAnsi="宋体" w:eastAsiaTheme="minorEastAsia" w:cstheme="minorBidi"/>
          <w:color w:val="000000"/>
          <w:kern w:val="0"/>
          <w:sz w:val="24"/>
          <w:szCs w:val="24"/>
          <w:lang w:val="en-US" w:eastAsia="zh-CN" w:bidi="ar-SA"/>
        </w:rPr>
        <w:instrText xml:space="preserve"> HYPERLINK "https://www.baidu.com/s?rsv_dl=re_dqa_generate&amp;sa=re_dqa_generate&amp;wd=%E7%B2%89%E5%B0%98%E6%B6%89%E7%88%86&amp;rsv_pq=a8de2e71001c69f3&amp;oq=%E5%8D%81%E5%A4%A7%E4%BA%8B%E6%95%85%E9%AB%98%E5%8F%91%E9%A2%86%E5%9F%9F%E9%97%AE%E9%A2%98%E9%9A%90%E6%82%A3&amp;rsv_t=268709rc7WcA+lw65JZfXOipLpl7CDaSYz1JqyoKI5JGEA5tH7fX40IVttCnqzvi1AZW&amp;tn=baiduhome_pg&amp;ie=utf-8" \t "https://www.baidu.com/_blank" </w:instrText>
      </w:r>
      <w:r>
        <w:rPr>
          <w:rFonts w:hint="default" w:ascii="宋体" w:hAnsi="宋体" w:eastAsiaTheme="minorEastAsia" w:cstheme="minorBidi"/>
          <w:color w:val="000000"/>
          <w:kern w:val="0"/>
          <w:sz w:val="24"/>
          <w:szCs w:val="24"/>
          <w:lang w:val="en-US" w:eastAsia="zh-CN" w:bidi="ar-SA"/>
        </w:rPr>
        <w:fldChar w:fldCharType="separate"/>
      </w:r>
      <w:r>
        <w:rPr>
          <w:rFonts w:hint="default" w:ascii="宋体" w:hAnsi="宋体" w:eastAsiaTheme="minorEastAsia" w:cstheme="minorBidi"/>
          <w:color w:val="000000"/>
          <w:kern w:val="0"/>
          <w:sz w:val="24"/>
          <w:szCs w:val="24"/>
          <w:lang w:val="en-US" w:eastAsia="zh-CN" w:bidi="ar-SA"/>
        </w:rPr>
        <w:t>粉尘涉爆</w:t>
      </w:r>
      <w:r>
        <w:rPr>
          <w:rFonts w:hint="default" w:ascii="宋体" w:hAnsi="宋体" w:eastAsiaTheme="minorEastAsia" w:cstheme="minorBidi"/>
          <w:color w:val="000000"/>
          <w:kern w:val="0"/>
          <w:sz w:val="24"/>
          <w:szCs w:val="24"/>
          <w:lang w:val="en-US" w:eastAsia="zh-CN" w:bidi="ar-SA"/>
        </w:rPr>
        <w:fldChar w:fldCharType="end"/>
      </w:r>
      <w:r>
        <w:rPr>
          <w:rFonts w:hint="default" w:ascii="宋体" w:hAnsi="宋体" w:eastAsiaTheme="minorEastAsia" w:cstheme="minorBidi"/>
          <w:color w:val="000000"/>
          <w:kern w:val="0"/>
          <w:sz w:val="24"/>
          <w:szCs w:val="24"/>
          <w:lang w:val="en-US" w:eastAsia="zh-CN" w:bidi="ar-SA"/>
        </w:rPr>
        <w:t>‌：涉粉尘爆炸区域的粉尘清扫制度未建立完善并执行到位，未严格落实隔爆泄爆等防范措施‌。</w:t>
      </w:r>
    </w:p>
    <w:p w14:paraId="2BBD5AB6">
      <w:pPr>
        <w:keepNext w:val="0"/>
        <w:keepLines w:val="0"/>
        <w:widowControl/>
        <w:numPr>
          <w:numId w:val="0"/>
        </w:numPr>
        <w:suppressLineNumbers w:val="0"/>
        <w:pBdr>
          <w:top w:val="none" w:color="auto" w:sz="0" w:space="0"/>
          <w:bottom w:val="none" w:color="auto" w:sz="0" w:space="0"/>
          <w:right w:val="none" w:color="auto" w:sz="0" w:space="0"/>
        </w:pBdr>
        <w:spacing w:before="0" w:beforeAutospacing="1" w:after="0" w:afterAutospacing="1" w:line="390" w:lineRule="atLeast"/>
        <w:ind w:left="-360" w:leftChars="0" w:right="0" w:rightChars="0"/>
        <w:rPr>
          <w:rFonts w:ascii="宋体" w:hAnsi="宋体" w:eastAsiaTheme="minorEastAsia" w:cstheme="minorBidi"/>
          <w:color w:val="000000"/>
          <w:kern w:val="0"/>
          <w:sz w:val="24"/>
          <w:szCs w:val="24"/>
          <w:lang w:val="en-US" w:eastAsia="zh-CN" w:bidi="ar-SA"/>
        </w:rPr>
      </w:pPr>
      <w:r>
        <w:rPr>
          <w:rFonts w:hint="default" w:ascii="宋体" w:hAnsi="宋体" w:eastAsiaTheme="minorEastAsia" w:cstheme="minorBidi"/>
          <w:color w:val="000000"/>
          <w:kern w:val="0"/>
          <w:sz w:val="24"/>
          <w:szCs w:val="24"/>
          <w:lang w:val="en-US" w:eastAsia="zh-CN" w:bidi="ar-SA"/>
        </w:rPr>
        <w:t>‌</w:t>
      </w:r>
      <w:r>
        <w:rPr>
          <w:rFonts w:hint="default" w:ascii="宋体" w:hAnsi="宋体" w:eastAsiaTheme="minorEastAsia" w:cstheme="minorBidi"/>
          <w:color w:val="000000"/>
          <w:kern w:val="0"/>
          <w:sz w:val="24"/>
          <w:szCs w:val="24"/>
          <w:lang w:val="en-US" w:eastAsia="zh-CN" w:bidi="ar-SA"/>
        </w:rPr>
        <w:fldChar w:fldCharType="begin"/>
      </w:r>
      <w:r>
        <w:rPr>
          <w:rFonts w:hint="default" w:ascii="宋体" w:hAnsi="宋体" w:eastAsiaTheme="minorEastAsia" w:cstheme="minorBidi"/>
          <w:color w:val="000000"/>
          <w:kern w:val="0"/>
          <w:sz w:val="24"/>
          <w:szCs w:val="24"/>
          <w:lang w:val="en-US" w:eastAsia="zh-CN" w:bidi="ar-SA"/>
        </w:rPr>
        <w:instrText xml:space="preserve"> HYPERLINK "https://www.baidu.com/s?rsv_dl=re_dqa_generate&amp;sa=re_dqa_generate&amp;wd=%E5%8A%A8%E7%81%AB%E4%BD%9C%E4%B8%9A&amp;rsv_pq=a8de2e71001c69f3&amp;oq=%E5%8D%81%E5%A4%A7%E4%BA%8B%E6%95%85%E9%AB%98%E5%8F%91%E9%A2%86%E5%9F%9F%E9%97%AE%E9%A2%98%E9%9A%90%E6%82%A3&amp;rsv_t=268709rc7WcA+lw65JZfXOipLpl7CDaSYz1JqyoKI5JGEA5tH7fX40IVttCnqzvi1AZW&amp;tn=baiduhome_pg&amp;ie=utf-8" \t "https://www.baidu.com/_blank" </w:instrText>
      </w:r>
      <w:r>
        <w:rPr>
          <w:rFonts w:hint="default" w:ascii="宋体" w:hAnsi="宋体" w:eastAsiaTheme="minorEastAsia" w:cstheme="minorBidi"/>
          <w:color w:val="000000"/>
          <w:kern w:val="0"/>
          <w:sz w:val="24"/>
          <w:szCs w:val="24"/>
          <w:lang w:val="en-US" w:eastAsia="zh-CN" w:bidi="ar-SA"/>
        </w:rPr>
        <w:fldChar w:fldCharType="separate"/>
      </w:r>
      <w:r>
        <w:rPr>
          <w:rFonts w:hint="default" w:ascii="宋体" w:hAnsi="宋体" w:eastAsiaTheme="minorEastAsia" w:cstheme="minorBidi"/>
          <w:color w:val="000000"/>
          <w:kern w:val="0"/>
          <w:sz w:val="24"/>
          <w:szCs w:val="24"/>
          <w:lang w:val="en-US" w:eastAsia="zh-CN" w:bidi="ar-SA"/>
        </w:rPr>
        <w:t>动火作业</w:t>
      </w:r>
      <w:r>
        <w:rPr>
          <w:rFonts w:hint="default" w:ascii="宋体" w:hAnsi="宋体" w:eastAsiaTheme="minorEastAsia" w:cstheme="minorBidi"/>
          <w:color w:val="000000"/>
          <w:kern w:val="0"/>
          <w:sz w:val="24"/>
          <w:szCs w:val="24"/>
          <w:lang w:val="en-US" w:eastAsia="zh-CN" w:bidi="ar-SA"/>
        </w:rPr>
        <w:fldChar w:fldCharType="end"/>
      </w:r>
      <w:r>
        <w:rPr>
          <w:rFonts w:hint="default" w:ascii="宋体" w:hAnsi="宋体" w:eastAsiaTheme="minorEastAsia" w:cstheme="minorBidi"/>
          <w:color w:val="000000"/>
          <w:kern w:val="0"/>
          <w:sz w:val="24"/>
          <w:szCs w:val="24"/>
          <w:lang w:val="en-US" w:eastAsia="zh-CN" w:bidi="ar-SA"/>
        </w:rPr>
        <w:t>‌：动火作业安全管理不到位，存在火灾隐患‌。</w:t>
      </w:r>
    </w:p>
    <w:p w14:paraId="49ABDD03">
      <w:pPr>
        <w:keepNext w:val="0"/>
        <w:keepLines w:val="0"/>
        <w:widowControl/>
        <w:numPr>
          <w:numId w:val="0"/>
        </w:numPr>
        <w:suppressLineNumbers w:val="0"/>
        <w:pBdr>
          <w:top w:val="none" w:color="auto" w:sz="0" w:space="0"/>
          <w:bottom w:val="none" w:color="auto" w:sz="0" w:space="0"/>
          <w:right w:val="none" w:color="auto" w:sz="0" w:space="0"/>
        </w:pBdr>
        <w:spacing w:before="0" w:beforeAutospacing="1" w:after="0" w:afterAutospacing="1" w:line="390" w:lineRule="atLeast"/>
        <w:ind w:left="-360" w:leftChars="0" w:right="0" w:rightChars="0"/>
        <w:rPr>
          <w:rFonts w:ascii="宋体" w:hAnsi="宋体" w:eastAsiaTheme="minorEastAsia" w:cstheme="minorBidi"/>
          <w:color w:val="000000"/>
          <w:kern w:val="0"/>
          <w:sz w:val="24"/>
          <w:szCs w:val="24"/>
          <w:lang w:val="en-US" w:eastAsia="zh-CN" w:bidi="ar-SA"/>
        </w:rPr>
      </w:pPr>
      <w:r>
        <w:rPr>
          <w:rFonts w:hint="default" w:ascii="宋体" w:hAnsi="宋体" w:eastAsiaTheme="minorEastAsia" w:cstheme="minorBidi"/>
          <w:color w:val="000000"/>
          <w:kern w:val="0"/>
          <w:sz w:val="24"/>
          <w:szCs w:val="24"/>
          <w:lang w:val="en-US" w:eastAsia="zh-CN" w:bidi="ar-SA"/>
        </w:rPr>
        <w:t>‌</w:t>
      </w:r>
      <w:r>
        <w:rPr>
          <w:rFonts w:hint="default" w:ascii="宋体" w:hAnsi="宋体" w:eastAsiaTheme="minorEastAsia" w:cstheme="minorBidi"/>
          <w:color w:val="000000"/>
          <w:kern w:val="0"/>
          <w:sz w:val="24"/>
          <w:szCs w:val="24"/>
          <w:lang w:val="en-US" w:eastAsia="zh-CN" w:bidi="ar-SA"/>
        </w:rPr>
        <w:fldChar w:fldCharType="begin"/>
      </w:r>
      <w:r>
        <w:rPr>
          <w:rFonts w:hint="default" w:ascii="宋体" w:hAnsi="宋体" w:eastAsiaTheme="minorEastAsia" w:cstheme="minorBidi"/>
          <w:color w:val="000000"/>
          <w:kern w:val="0"/>
          <w:sz w:val="24"/>
          <w:szCs w:val="24"/>
          <w:lang w:val="en-US" w:eastAsia="zh-CN" w:bidi="ar-SA"/>
        </w:rPr>
        <w:instrText xml:space="preserve"> HYPERLINK "https://www.baidu.com/s?rsv_dl=re_dqa_generate&amp;sa=re_dqa_generate&amp;wd=%E6%A3%80%E7%BB%B4%E4%BF%AE&amp;rsv_pq=a8de2e71001c69f3&amp;oq=%E5%8D%81%E5%A4%A7%E4%BA%8B%E6%95%85%E9%AB%98%E5%8F%91%E9%A2%86%E5%9F%9F%E9%97%AE%E9%A2%98%E9%9A%90%E6%82%A3&amp;rsv_t=268709rc7WcA+lw65JZfXOipLpl7CDaSYz1JqyoKI5JGEA5tH7fX40IVttCnqzvi1AZW&amp;tn=baiduhome_pg&amp;ie=utf-8" \t "https://www.baidu.com/_blank" </w:instrText>
      </w:r>
      <w:r>
        <w:rPr>
          <w:rFonts w:hint="default" w:ascii="宋体" w:hAnsi="宋体" w:eastAsiaTheme="minorEastAsia" w:cstheme="minorBidi"/>
          <w:color w:val="000000"/>
          <w:kern w:val="0"/>
          <w:sz w:val="24"/>
          <w:szCs w:val="24"/>
          <w:lang w:val="en-US" w:eastAsia="zh-CN" w:bidi="ar-SA"/>
        </w:rPr>
        <w:fldChar w:fldCharType="separate"/>
      </w:r>
      <w:r>
        <w:rPr>
          <w:rFonts w:hint="default" w:ascii="宋体" w:hAnsi="宋体" w:eastAsiaTheme="minorEastAsia" w:cstheme="minorBidi"/>
          <w:color w:val="000000"/>
          <w:kern w:val="0"/>
          <w:sz w:val="24"/>
          <w:szCs w:val="24"/>
          <w:lang w:val="en-US" w:eastAsia="zh-CN" w:bidi="ar-SA"/>
        </w:rPr>
        <w:t>检维修</w:t>
      </w:r>
      <w:r>
        <w:rPr>
          <w:rFonts w:hint="default" w:ascii="宋体" w:hAnsi="宋体" w:eastAsiaTheme="minorEastAsia" w:cstheme="minorBidi"/>
          <w:color w:val="000000"/>
          <w:kern w:val="0"/>
          <w:sz w:val="24"/>
          <w:szCs w:val="24"/>
          <w:lang w:val="en-US" w:eastAsia="zh-CN" w:bidi="ar-SA"/>
        </w:rPr>
        <w:fldChar w:fldCharType="end"/>
      </w:r>
      <w:r>
        <w:rPr>
          <w:rFonts w:hint="default" w:ascii="宋体" w:hAnsi="宋体" w:eastAsiaTheme="minorEastAsia" w:cstheme="minorBidi"/>
          <w:color w:val="000000"/>
          <w:kern w:val="0"/>
          <w:sz w:val="24"/>
          <w:szCs w:val="24"/>
          <w:lang w:val="en-US" w:eastAsia="zh-CN" w:bidi="ar-SA"/>
        </w:rPr>
        <w:t>‌：检维修环节安全管理不到位，存在安全隐患‌。</w:t>
      </w:r>
    </w:p>
    <w:p w14:paraId="226B511E">
      <w:pPr>
        <w:keepNext w:val="0"/>
        <w:keepLines w:val="0"/>
        <w:widowControl/>
        <w:numPr>
          <w:numId w:val="0"/>
        </w:numPr>
        <w:suppressLineNumbers w:val="0"/>
        <w:pBdr>
          <w:top w:val="none" w:color="auto" w:sz="0" w:space="0"/>
          <w:bottom w:val="none" w:color="auto" w:sz="0" w:space="0"/>
          <w:right w:val="none" w:color="auto" w:sz="0" w:space="0"/>
        </w:pBdr>
        <w:spacing w:before="0" w:beforeAutospacing="1" w:after="0" w:afterAutospacing="1" w:line="390" w:lineRule="atLeast"/>
        <w:ind w:left="-360" w:leftChars="0" w:right="0" w:rightChars="0"/>
        <w:rPr>
          <w:rFonts w:ascii="宋体" w:hAnsi="宋体" w:eastAsiaTheme="minorEastAsia" w:cstheme="minorBidi"/>
          <w:color w:val="000000"/>
          <w:kern w:val="0"/>
          <w:sz w:val="24"/>
          <w:szCs w:val="24"/>
          <w:lang w:val="en-US" w:eastAsia="zh-CN" w:bidi="ar-SA"/>
        </w:rPr>
      </w:pPr>
      <w:r>
        <w:rPr>
          <w:rFonts w:hint="default" w:ascii="宋体" w:hAnsi="宋体" w:eastAsiaTheme="minorEastAsia" w:cstheme="minorBidi"/>
          <w:color w:val="000000"/>
          <w:kern w:val="0"/>
          <w:sz w:val="24"/>
          <w:szCs w:val="24"/>
          <w:lang w:val="en-US" w:eastAsia="zh-CN" w:bidi="ar-SA"/>
        </w:rPr>
        <w:t>‌</w:t>
      </w:r>
      <w:r>
        <w:rPr>
          <w:rFonts w:hint="default" w:ascii="宋体" w:hAnsi="宋体" w:eastAsiaTheme="minorEastAsia" w:cstheme="minorBidi"/>
          <w:color w:val="000000"/>
          <w:kern w:val="0"/>
          <w:sz w:val="24"/>
          <w:szCs w:val="24"/>
          <w:lang w:val="en-US" w:eastAsia="zh-CN" w:bidi="ar-SA"/>
        </w:rPr>
        <w:fldChar w:fldCharType="begin"/>
      </w:r>
      <w:r>
        <w:rPr>
          <w:rFonts w:hint="default" w:ascii="宋体" w:hAnsi="宋体" w:eastAsiaTheme="minorEastAsia" w:cstheme="minorBidi"/>
          <w:color w:val="000000"/>
          <w:kern w:val="0"/>
          <w:sz w:val="24"/>
          <w:szCs w:val="24"/>
          <w:lang w:val="en-US" w:eastAsia="zh-CN" w:bidi="ar-SA"/>
        </w:rPr>
        <w:instrText xml:space="preserve"> HYPERLINK "https://www.baidu.com/s?rsv_dl=re_dqa_generate&amp;sa=re_dqa_generate&amp;wd=%E6%9C%89%E9%99%90%E7%A9%BA%E9%97%B4%E4%BD%9C%E4%B8%9A&amp;rsv_pq=a8de2e71001c69f3&amp;oq=%E5%8D%81%E5%A4%A7%E4%BA%8B%E6%95%85%E9%AB%98%E5%8F%91%E9%A2%86%E5%9F%9F%E9%97%AE%E9%A2%98%E9%9A%90%E6%82%A3&amp;rsv_t=268709rc7WcA+lw65JZfXOipLpl7CDaSYz1JqyoKI5JGEA5tH7fX40IVttCnqzvi1AZW&amp;tn=baiduhome_pg&amp;ie=utf-8" \t "https://www.baidu.com/_blank" </w:instrText>
      </w:r>
      <w:r>
        <w:rPr>
          <w:rFonts w:hint="default" w:ascii="宋体" w:hAnsi="宋体" w:eastAsiaTheme="minorEastAsia" w:cstheme="minorBidi"/>
          <w:color w:val="000000"/>
          <w:kern w:val="0"/>
          <w:sz w:val="24"/>
          <w:szCs w:val="24"/>
          <w:lang w:val="en-US" w:eastAsia="zh-CN" w:bidi="ar-SA"/>
        </w:rPr>
        <w:fldChar w:fldCharType="separate"/>
      </w:r>
      <w:r>
        <w:rPr>
          <w:rFonts w:hint="default" w:ascii="宋体" w:hAnsi="宋体" w:eastAsiaTheme="minorEastAsia" w:cstheme="minorBidi"/>
          <w:color w:val="000000"/>
          <w:kern w:val="0"/>
          <w:sz w:val="24"/>
          <w:szCs w:val="24"/>
          <w:lang w:val="en-US" w:eastAsia="zh-CN" w:bidi="ar-SA"/>
        </w:rPr>
        <w:t>有限空间作业</w:t>
      </w:r>
      <w:r>
        <w:rPr>
          <w:rFonts w:hint="default" w:ascii="宋体" w:hAnsi="宋体" w:eastAsiaTheme="minorEastAsia" w:cstheme="minorBidi"/>
          <w:color w:val="000000"/>
          <w:kern w:val="0"/>
          <w:sz w:val="24"/>
          <w:szCs w:val="24"/>
          <w:lang w:val="en-US" w:eastAsia="zh-CN" w:bidi="ar-SA"/>
        </w:rPr>
        <w:fldChar w:fldCharType="end"/>
      </w:r>
      <w:r>
        <w:rPr>
          <w:rFonts w:hint="default" w:ascii="宋体" w:hAnsi="宋体" w:eastAsiaTheme="minorEastAsia" w:cstheme="minorBidi"/>
          <w:color w:val="000000"/>
          <w:kern w:val="0"/>
          <w:sz w:val="24"/>
          <w:szCs w:val="24"/>
          <w:lang w:val="en-US" w:eastAsia="zh-CN" w:bidi="ar-SA"/>
        </w:rPr>
        <w:t>‌：有限空间作业安全管理不到位，存在窒息、中毒等风险‌。</w:t>
      </w:r>
    </w:p>
    <w:p w14:paraId="66B80DEF">
      <w:pPr>
        <w:keepNext w:val="0"/>
        <w:keepLines w:val="0"/>
        <w:widowControl/>
        <w:numPr>
          <w:numId w:val="0"/>
        </w:numPr>
        <w:suppressLineNumbers w:val="0"/>
        <w:pBdr>
          <w:top w:val="none" w:color="auto" w:sz="0" w:space="0"/>
          <w:bottom w:val="none" w:color="auto" w:sz="0" w:space="0"/>
          <w:right w:val="none" w:color="auto" w:sz="0" w:space="0"/>
        </w:pBdr>
        <w:spacing w:before="0" w:beforeAutospacing="1" w:after="0" w:afterAutospacing="1" w:line="390" w:lineRule="atLeast"/>
        <w:ind w:left="-360" w:leftChars="0" w:right="0" w:rightChars="0"/>
        <w:rPr>
          <w:rFonts w:ascii="宋体" w:hAnsi="宋体" w:eastAsiaTheme="minorEastAsia" w:cstheme="minorBidi"/>
          <w:color w:val="000000"/>
          <w:kern w:val="0"/>
          <w:sz w:val="24"/>
          <w:szCs w:val="24"/>
          <w:lang w:val="en-US" w:eastAsia="zh-CN" w:bidi="ar-SA"/>
        </w:rPr>
      </w:pPr>
      <w:r>
        <w:rPr>
          <w:rFonts w:hint="default" w:ascii="宋体" w:hAnsi="宋体" w:eastAsiaTheme="minorEastAsia" w:cstheme="minorBidi"/>
          <w:color w:val="000000"/>
          <w:kern w:val="0"/>
          <w:sz w:val="24"/>
          <w:szCs w:val="24"/>
          <w:lang w:val="en-US" w:eastAsia="zh-CN" w:bidi="ar-SA"/>
        </w:rPr>
        <w:t>‌</w:t>
      </w:r>
      <w:r>
        <w:rPr>
          <w:rFonts w:hint="default" w:ascii="宋体" w:hAnsi="宋体" w:eastAsiaTheme="minorEastAsia" w:cstheme="minorBidi"/>
          <w:color w:val="000000"/>
          <w:kern w:val="0"/>
          <w:sz w:val="24"/>
          <w:szCs w:val="24"/>
          <w:lang w:val="en-US" w:eastAsia="zh-CN" w:bidi="ar-SA"/>
        </w:rPr>
        <w:fldChar w:fldCharType="begin"/>
      </w:r>
      <w:r>
        <w:rPr>
          <w:rFonts w:hint="default" w:ascii="宋体" w:hAnsi="宋体" w:eastAsiaTheme="minorEastAsia" w:cstheme="minorBidi"/>
          <w:color w:val="000000"/>
          <w:kern w:val="0"/>
          <w:sz w:val="24"/>
          <w:szCs w:val="24"/>
          <w:lang w:val="en-US" w:eastAsia="zh-CN" w:bidi="ar-SA"/>
        </w:rPr>
        <w:instrText xml:space="preserve"> HYPERLINK "https://www.baidu.com/s?rsv_dl=re_dqa_generate&amp;sa=re_dqa_generate&amp;wd=%E5%90%8A%E8%A3%85%E4%BD%9C%E4%B8%9A&amp;rsv_pq=a8de2e71001c69f3&amp;oq=%E5%8D%81%E5%A4%A7%E4%BA%8B%E6%95%85%E9%AB%98%E5%8F%91%E9%A2%86%E5%9F%9F%E9%97%AE%E9%A2%98%E9%9A%90%E6%82%A3&amp;rsv_t=268709rc7WcA+lw65JZfXOipLpl7CDaSYz1JqyoKI5JGEA5tH7fX40IVttCnqzvi1AZW&amp;tn=baiduhome_pg&amp;ie=utf-8" \t "https://www.baidu.com/_blank" </w:instrText>
      </w:r>
      <w:r>
        <w:rPr>
          <w:rFonts w:hint="default" w:ascii="宋体" w:hAnsi="宋体" w:eastAsiaTheme="minorEastAsia" w:cstheme="minorBidi"/>
          <w:color w:val="000000"/>
          <w:kern w:val="0"/>
          <w:sz w:val="24"/>
          <w:szCs w:val="24"/>
          <w:lang w:val="en-US" w:eastAsia="zh-CN" w:bidi="ar-SA"/>
        </w:rPr>
        <w:fldChar w:fldCharType="separate"/>
      </w:r>
      <w:r>
        <w:rPr>
          <w:rFonts w:hint="default" w:ascii="宋体" w:hAnsi="宋体" w:eastAsiaTheme="minorEastAsia" w:cstheme="minorBidi"/>
          <w:color w:val="000000"/>
          <w:kern w:val="0"/>
          <w:sz w:val="24"/>
          <w:szCs w:val="24"/>
          <w:lang w:val="en-US" w:eastAsia="zh-CN" w:bidi="ar-SA"/>
        </w:rPr>
        <w:t>吊装作业</w:t>
      </w:r>
      <w:r>
        <w:rPr>
          <w:rFonts w:hint="default" w:ascii="宋体" w:hAnsi="宋体" w:eastAsiaTheme="minorEastAsia" w:cstheme="minorBidi"/>
          <w:color w:val="000000"/>
          <w:kern w:val="0"/>
          <w:sz w:val="24"/>
          <w:szCs w:val="24"/>
          <w:lang w:val="en-US" w:eastAsia="zh-CN" w:bidi="ar-SA"/>
        </w:rPr>
        <w:fldChar w:fldCharType="end"/>
      </w:r>
      <w:r>
        <w:rPr>
          <w:rFonts w:hint="default" w:ascii="宋体" w:hAnsi="宋体" w:eastAsiaTheme="minorEastAsia" w:cstheme="minorBidi"/>
          <w:color w:val="000000"/>
          <w:kern w:val="0"/>
          <w:sz w:val="24"/>
          <w:szCs w:val="24"/>
          <w:lang w:val="en-US" w:eastAsia="zh-CN" w:bidi="ar-SA"/>
        </w:rPr>
        <w:t>‌：吊装作业安全管理不到位，存在物体打击、高处坠落等风险‌。</w:t>
      </w:r>
    </w:p>
    <w:p w14:paraId="2CFB25BF">
      <w:pPr>
        <w:keepNext w:val="0"/>
        <w:keepLines w:val="0"/>
        <w:widowControl/>
        <w:numPr>
          <w:numId w:val="0"/>
        </w:numPr>
        <w:suppressLineNumbers w:val="0"/>
        <w:pBdr>
          <w:top w:val="none" w:color="auto" w:sz="0" w:space="0"/>
          <w:bottom w:val="none" w:color="auto" w:sz="0" w:space="0"/>
          <w:right w:val="none" w:color="auto" w:sz="0" w:space="0"/>
        </w:pBdr>
        <w:spacing w:before="0" w:beforeAutospacing="1" w:after="0" w:afterAutospacing="1" w:line="390" w:lineRule="atLeast"/>
        <w:ind w:left="-360" w:leftChars="0" w:right="0" w:rightChars="0"/>
        <w:rPr>
          <w:rFonts w:ascii="宋体" w:hAnsi="宋体" w:eastAsiaTheme="minorEastAsia" w:cstheme="minorBidi"/>
          <w:color w:val="000000"/>
          <w:kern w:val="0"/>
          <w:sz w:val="24"/>
          <w:szCs w:val="24"/>
          <w:lang w:val="en-US" w:eastAsia="zh-CN" w:bidi="ar-SA"/>
        </w:rPr>
      </w:pPr>
      <w:r>
        <w:rPr>
          <w:rFonts w:hint="default" w:ascii="宋体" w:hAnsi="宋体" w:eastAsiaTheme="minorEastAsia" w:cstheme="minorBidi"/>
          <w:color w:val="000000"/>
          <w:kern w:val="0"/>
          <w:sz w:val="24"/>
          <w:szCs w:val="24"/>
          <w:lang w:val="en-US" w:eastAsia="zh-CN" w:bidi="ar-SA"/>
        </w:rPr>
        <w:t>‌</w:t>
      </w:r>
      <w:r>
        <w:rPr>
          <w:rFonts w:hint="default" w:ascii="宋体" w:hAnsi="宋体" w:eastAsiaTheme="minorEastAsia" w:cstheme="minorBidi"/>
          <w:color w:val="000000"/>
          <w:kern w:val="0"/>
          <w:sz w:val="24"/>
          <w:szCs w:val="24"/>
          <w:lang w:val="en-US" w:eastAsia="zh-CN" w:bidi="ar-SA"/>
        </w:rPr>
        <w:fldChar w:fldCharType="begin"/>
      </w:r>
      <w:r>
        <w:rPr>
          <w:rFonts w:hint="default" w:ascii="宋体" w:hAnsi="宋体" w:eastAsiaTheme="minorEastAsia" w:cstheme="minorBidi"/>
          <w:color w:val="000000"/>
          <w:kern w:val="0"/>
          <w:sz w:val="24"/>
          <w:szCs w:val="24"/>
          <w:lang w:val="en-US" w:eastAsia="zh-CN" w:bidi="ar-SA"/>
        </w:rPr>
        <w:instrText xml:space="preserve"> HYPERLINK "https://www.baidu.com/s?rsv_dl=re_dqa_generate&amp;sa=re_dqa_generate&amp;wd=%E7%94%A8%E7%94%B5%E5%AE%89%E5%85%A8&amp;rsv_pq=a8de2e71001c69f3&amp;oq=%E5%8D%81%E5%A4%A7%E4%BA%8B%E6%95%85%E9%AB%98%E5%8F%91%E9%A2%86%E5%9F%9F%E9%97%AE%E9%A2%98%E9%9A%90%E6%82%A3&amp;rsv_t=268709rc7WcA+lw65JZfXOipLpl7CDaSYz1JqyoKI5JGEA5tH7fX40IVttCnqzvi1AZW&amp;tn=baiduhome_pg&amp;ie=utf-8" \t "https://www.baidu.com/_blank" </w:instrText>
      </w:r>
      <w:r>
        <w:rPr>
          <w:rFonts w:hint="default" w:ascii="宋体" w:hAnsi="宋体" w:eastAsiaTheme="minorEastAsia" w:cstheme="minorBidi"/>
          <w:color w:val="000000"/>
          <w:kern w:val="0"/>
          <w:sz w:val="24"/>
          <w:szCs w:val="24"/>
          <w:lang w:val="en-US" w:eastAsia="zh-CN" w:bidi="ar-SA"/>
        </w:rPr>
        <w:fldChar w:fldCharType="separate"/>
      </w:r>
      <w:r>
        <w:rPr>
          <w:rFonts w:hint="default" w:ascii="宋体" w:hAnsi="宋体" w:eastAsiaTheme="minorEastAsia" w:cstheme="minorBidi"/>
          <w:color w:val="000000"/>
          <w:kern w:val="0"/>
          <w:sz w:val="24"/>
          <w:szCs w:val="24"/>
          <w:lang w:val="en-US" w:eastAsia="zh-CN" w:bidi="ar-SA"/>
        </w:rPr>
        <w:t>用电安全</w:t>
      </w:r>
      <w:r>
        <w:rPr>
          <w:rFonts w:hint="default" w:ascii="宋体" w:hAnsi="宋体" w:eastAsiaTheme="minorEastAsia" w:cstheme="minorBidi"/>
          <w:color w:val="000000"/>
          <w:kern w:val="0"/>
          <w:sz w:val="24"/>
          <w:szCs w:val="24"/>
          <w:lang w:val="en-US" w:eastAsia="zh-CN" w:bidi="ar-SA"/>
        </w:rPr>
        <w:fldChar w:fldCharType="end"/>
      </w:r>
      <w:r>
        <w:rPr>
          <w:rFonts w:hint="default" w:ascii="宋体" w:hAnsi="宋体" w:eastAsiaTheme="minorEastAsia" w:cstheme="minorBidi"/>
          <w:color w:val="000000"/>
          <w:kern w:val="0"/>
          <w:sz w:val="24"/>
          <w:szCs w:val="24"/>
          <w:lang w:val="en-US" w:eastAsia="zh-CN" w:bidi="ar-SA"/>
        </w:rPr>
        <w:t>‌：用电安全管理不到位，存在触电、火灾等风险‌。</w:t>
      </w:r>
    </w:p>
    <w:p w14:paraId="7C121D31">
      <w:pPr>
        <w:keepNext w:val="0"/>
        <w:keepLines w:val="0"/>
        <w:widowControl/>
        <w:numPr>
          <w:numId w:val="0"/>
        </w:numPr>
        <w:suppressLineNumbers w:val="0"/>
        <w:pBdr>
          <w:top w:val="none" w:color="auto" w:sz="0" w:space="0"/>
          <w:bottom w:val="none" w:color="auto" w:sz="0" w:space="0"/>
          <w:right w:val="none" w:color="auto" w:sz="0" w:space="0"/>
        </w:pBdr>
        <w:spacing w:before="0" w:beforeAutospacing="1" w:after="0" w:afterAutospacing="1" w:line="390" w:lineRule="atLeast"/>
        <w:ind w:left="-360" w:leftChars="0" w:right="0" w:rightChars="0"/>
        <w:rPr>
          <w:rFonts w:ascii="宋体" w:hAnsi="宋体" w:eastAsiaTheme="minorEastAsia" w:cstheme="minorBidi"/>
          <w:color w:val="000000"/>
          <w:kern w:val="0"/>
          <w:sz w:val="24"/>
          <w:szCs w:val="24"/>
          <w:lang w:val="en-US" w:eastAsia="zh-CN" w:bidi="ar-SA"/>
        </w:rPr>
      </w:pPr>
      <w:r>
        <w:rPr>
          <w:rFonts w:hint="default" w:ascii="宋体" w:hAnsi="宋体" w:eastAsiaTheme="minorEastAsia" w:cstheme="minorBidi"/>
          <w:color w:val="000000"/>
          <w:kern w:val="0"/>
          <w:sz w:val="24"/>
          <w:szCs w:val="24"/>
          <w:lang w:val="en-US" w:eastAsia="zh-CN" w:bidi="ar-SA"/>
        </w:rPr>
        <w:t>‌</w:t>
      </w:r>
      <w:r>
        <w:rPr>
          <w:rFonts w:hint="default" w:ascii="宋体" w:hAnsi="宋体" w:eastAsiaTheme="minorEastAsia" w:cstheme="minorBidi"/>
          <w:color w:val="000000"/>
          <w:kern w:val="0"/>
          <w:sz w:val="24"/>
          <w:szCs w:val="24"/>
          <w:lang w:val="en-US" w:eastAsia="zh-CN" w:bidi="ar-SA"/>
        </w:rPr>
        <w:fldChar w:fldCharType="begin"/>
      </w:r>
      <w:r>
        <w:rPr>
          <w:rFonts w:hint="default" w:ascii="宋体" w:hAnsi="宋体" w:eastAsiaTheme="minorEastAsia" w:cstheme="minorBidi"/>
          <w:color w:val="000000"/>
          <w:kern w:val="0"/>
          <w:sz w:val="24"/>
          <w:szCs w:val="24"/>
          <w:lang w:val="en-US" w:eastAsia="zh-CN" w:bidi="ar-SA"/>
        </w:rPr>
        <w:instrText xml:space="preserve"> HYPERLINK "https://www.baidu.com/s?rsv_dl=re_dqa_generate&amp;sa=re_dqa_generate&amp;wd=%E9%AB%98%E5%A4%84%E4%BD%9C%E4%B8%9A&amp;rsv_pq=a8de2e71001c69f3&amp;oq=%E5%8D%81%E5%A4%A7%E4%BA%8B%E6%95%85%E9%AB%98%E5%8F%91%E9%A2%86%E5%9F%9F%E9%97%AE%E9%A2%98%E9%9A%90%E6%82%A3&amp;rsv_t=268709rc7WcA+lw65JZfXOipLpl7CDaSYz1JqyoKI5JGEA5tH7fX40IVttCnqzvi1AZW&amp;tn=baiduhome_pg&amp;ie=utf-8" \t "https://www.baidu.com/_blank" </w:instrText>
      </w:r>
      <w:r>
        <w:rPr>
          <w:rFonts w:hint="default" w:ascii="宋体" w:hAnsi="宋体" w:eastAsiaTheme="minorEastAsia" w:cstheme="minorBidi"/>
          <w:color w:val="000000"/>
          <w:kern w:val="0"/>
          <w:sz w:val="24"/>
          <w:szCs w:val="24"/>
          <w:lang w:val="en-US" w:eastAsia="zh-CN" w:bidi="ar-SA"/>
        </w:rPr>
        <w:fldChar w:fldCharType="separate"/>
      </w:r>
      <w:r>
        <w:rPr>
          <w:rFonts w:hint="default" w:ascii="宋体" w:hAnsi="宋体" w:eastAsiaTheme="minorEastAsia" w:cstheme="minorBidi"/>
          <w:color w:val="000000"/>
          <w:kern w:val="0"/>
          <w:sz w:val="24"/>
          <w:szCs w:val="24"/>
          <w:lang w:val="en-US" w:eastAsia="zh-CN" w:bidi="ar-SA"/>
        </w:rPr>
        <w:t>高处作业</w:t>
      </w:r>
      <w:r>
        <w:rPr>
          <w:rFonts w:hint="default" w:ascii="宋体" w:hAnsi="宋体" w:eastAsiaTheme="minorEastAsia" w:cstheme="minorBidi"/>
          <w:color w:val="000000"/>
          <w:kern w:val="0"/>
          <w:sz w:val="24"/>
          <w:szCs w:val="24"/>
          <w:lang w:val="en-US" w:eastAsia="zh-CN" w:bidi="ar-SA"/>
        </w:rPr>
        <w:fldChar w:fldCharType="end"/>
      </w:r>
      <w:r>
        <w:rPr>
          <w:rFonts w:hint="default" w:ascii="宋体" w:hAnsi="宋体" w:eastAsiaTheme="minorEastAsia" w:cstheme="minorBidi"/>
          <w:color w:val="000000"/>
          <w:kern w:val="0"/>
          <w:sz w:val="24"/>
          <w:szCs w:val="24"/>
          <w:lang w:val="en-US" w:eastAsia="zh-CN" w:bidi="ar-SA"/>
        </w:rPr>
        <w:t>‌：高处作业安全管理不到位，存在高处坠落风险‌。</w:t>
      </w:r>
    </w:p>
    <w:p w14:paraId="0F4A3E53">
      <w:pPr>
        <w:keepNext w:val="0"/>
        <w:keepLines w:val="0"/>
        <w:widowControl/>
        <w:numPr>
          <w:numId w:val="0"/>
        </w:numPr>
        <w:suppressLineNumbers w:val="0"/>
        <w:pBdr>
          <w:top w:val="none" w:color="auto" w:sz="0" w:space="0"/>
          <w:bottom w:val="none" w:color="auto" w:sz="0" w:space="0"/>
          <w:right w:val="none" w:color="auto" w:sz="0" w:space="0"/>
        </w:pBdr>
        <w:spacing w:before="0" w:beforeAutospacing="1" w:after="0" w:afterAutospacing="1" w:line="390" w:lineRule="atLeast"/>
        <w:ind w:left="-360" w:leftChars="0" w:right="0" w:rightChars="0"/>
        <w:rPr>
          <w:rFonts w:hint="default" w:ascii="宋体" w:hAnsi="宋体" w:eastAsiaTheme="minorEastAsia" w:cstheme="minorBidi"/>
          <w:color w:val="000000"/>
          <w:kern w:val="0"/>
          <w:sz w:val="24"/>
          <w:szCs w:val="24"/>
          <w:lang w:val="en-US" w:eastAsia="zh-CN" w:bidi="ar-SA"/>
        </w:rPr>
      </w:pPr>
      <w:r>
        <w:rPr>
          <w:rFonts w:hint="default" w:ascii="宋体" w:hAnsi="宋体" w:eastAsiaTheme="minorEastAsia" w:cstheme="minorBidi"/>
          <w:color w:val="000000"/>
          <w:kern w:val="0"/>
          <w:sz w:val="24"/>
          <w:szCs w:val="24"/>
          <w:lang w:val="en-US" w:eastAsia="zh-CN" w:bidi="ar-SA"/>
        </w:rPr>
        <w:t>‌</w:t>
      </w:r>
      <w:r>
        <w:rPr>
          <w:rFonts w:hint="default" w:ascii="宋体" w:hAnsi="宋体" w:eastAsiaTheme="minorEastAsia" w:cstheme="minorBidi"/>
          <w:color w:val="000000"/>
          <w:kern w:val="0"/>
          <w:sz w:val="24"/>
          <w:szCs w:val="24"/>
          <w:lang w:val="en-US" w:eastAsia="zh-CN" w:bidi="ar-SA"/>
        </w:rPr>
        <w:fldChar w:fldCharType="begin"/>
      </w:r>
      <w:r>
        <w:rPr>
          <w:rFonts w:hint="default" w:ascii="宋体" w:hAnsi="宋体" w:eastAsiaTheme="minorEastAsia" w:cstheme="minorBidi"/>
          <w:color w:val="000000"/>
          <w:kern w:val="0"/>
          <w:sz w:val="24"/>
          <w:szCs w:val="24"/>
          <w:lang w:val="en-US" w:eastAsia="zh-CN" w:bidi="ar-SA"/>
        </w:rPr>
        <w:instrText xml:space="preserve"> HYPERLINK "https://www.baidu.com/s?rsv_dl=re_dqa_generate&amp;sa=re_dqa_generate&amp;wd=%E6%B6%88%E9%98%B2%E5%AE%89%E5%85%A8&amp;rsv_pq=a8de2e71001c69f3&amp;oq=%E5%8D%81%E5%A4%A7%E4%BA%8B%E6%95%85%E9%AB%98%E5%8F%91%E9%A2%86%E5%9F%9F%E9%97%AE%E9%A2%98%E9%9A%90%E6%82%A3&amp;rsv_t=268709rc7WcA+lw65JZfXOipLpl7CDaSYz1JqyoKI5JGEA5tH7fX40IVttCnqzvi1AZW&amp;tn=baiduhome_pg&amp;ie=utf-8" \t "https://www.baidu.com/_blank" </w:instrText>
      </w:r>
      <w:r>
        <w:rPr>
          <w:rFonts w:hint="default" w:ascii="宋体" w:hAnsi="宋体" w:eastAsiaTheme="minorEastAsia" w:cstheme="minorBidi"/>
          <w:color w:val="000000"/>
          <w:kern w:val="0"/>
          <w:sz w:val="24"/>
          <w:szCs w:val="24"/>
          <w:lang w:val="en-US" w:eastAsia="zh-CN" w:bidi="ar-SA"/>
        </w:rPr>
        <w:fldChar w:fldCharType="separate"/>
      </w:r>
      <w:r>
        <w:rPr>
          <w:rFonts w:hint="default" w:ascii="宋体" w:hAnsi="宋体" w:eastAsiaTheme="minorEastAsia" w:cstheme="minorBidi"/>
          <w:color w:val="000000"/>
          <w:kern w:val="0"/>
          <w:sz w:val="24"/>
          <w:szCs w:val="24"/>
          <w:lang w:val="en-US" w:eastAsia="zh-CN" w:bidi="ar-SA"/>
        </w:rPr>
        <w:t>消防安全</w:t>
      </w:r>
      <w:r>
        <w:rPr>
          <w:rFonts w:hint="default" w:ascii="宋体" w:hAnsi="宋体" w:eastAsiaTheme="minorEastAsia" w:cstheme="minorBidi"/>
          <w:color w:val="000000"/>
          <w:kern w:val="0"/>
          <w:sz w:val="24"/>
          <w:szCs w:val="24"/>
          <w:lang w:val="en-US" w:eastAsia="zh-CN" w:bidi="ar-SA"/>
        </w:rPr>
        <w:fldChar w:fldCharType="end"/>
      </w:r>
      <w:r>
        <w:rPr>
          <w:rFonts w:hint="default" w:ascii="宋体" w:hAnsi="宋体" w:eastAsiaTheme="minorEastAsia" w:cstheme="minorBidi"/>
          <w:color w:val="000000"/>
          <w:kern w:val="0"/>
          <w:sz w:val="24"/>
          <w:szCs w:val="24"/>
          <w:lang w:val="en-US" w:eastAsia="zh-CN" w:bidi="ar-SA"/>
        </w:rPr>
        <w:t>‌：消防安全管理不到位，存在火灾、爆炸等风险</w:t>
      </w:r>
    </w:p>
    <w:p w14:paraId="0150E498">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30" w:beforeAutospacing="0" w:after="30" w:afterAutospacing="0"/>
        <w:ind w:left="0" w:right="0" w:firstLine="0"/>
        <w:jc w:val="both"/>
        <w:rPr>
          <w:rFonts w:hint="default" w:ascii="宋体" w:hAnsi="宋体" w:eastAsiaTheme="minorEastAsia" w:cstheme="minorBidi"/>
          <w:color w:val="000000"/>
          <w:kern w:val="0"/>
          <w:sz w:val="24"/>
          <w:szCs w:val="24"/>
          <w:lang w:val="en-US" w:eastAsia="zh-CN" w:bidi="ar-SA"/>
        </w:rPr>
      </w:pPr>
      <w:r>
        <w:rPr>
          <w:rFonts w:hint="eastAsia" w:ascii="宋体" w:hAnsi="宋体" w:eastAsiaTheme="minorEastAsia" w:cstheme="minorBidi"/>
          <w:color w:val="000000"/>
          <w:kern w:val="0"/>
          <w:sz w:val="24"/>
          <w:szCs w:val="24"/>
          <w:lang w:val="en-US" w:eastAsia="zh-CN" w:bidi="ar-SA"/>
        </w:rPr>
        <w:t>参考《工贸企业重大事故隐患判定标准》</w:t>
      </w:r>
      <w:r>
        <w:rPr>
          <w:rFonts w:hint="eastAsia" w:ascii="宋体" w:hAnsi="宋体" w:cstheme="minorBidi"/>
          <w:color w:val="000000"/>
          <w:kern w:val="0"/>
          <w:sz w:val="24"/>
          <w:szCs w:val="24"/>
          <w:lang w:val="en-US" w:eastAsia="zh-CN" w:bidi="ar-SA"/>
        </w:rPr>
        <w:t>《四川省工贸行业十大事故高发领域重点管控清单》</w:t>
      </w:r>
    </w:p>
    <w:p w14:paraId="623B8691">
      <w:pPr>
        <w:rPr>
          <w:rFonts w:hint="default" w:ascii="宋体" w:hAnsi="宋体" w:eastAsiaTheme="minorEastAsia" w:cstheme="minorBidi"/>
          <w:color w:val="000000"/>
          <w:kern w:val="0"/>
          <w:sz w:val="24"/>
          <w:szCs w:val="24"/>
          <w:lang w:val="en-US" w:eastAsia="zh-CN" w:bidi="ar-SA"/>
        </w:rPr>
      </w:pPr>
      <w:r>
        <w:rPr>
          <w:rFonts w:hint="default" w:ascii="宋体" w:hAnsi="宋体" w:eastAsiaTheme="minorEastAsia" w:cstheme="minorBidi"/>
          <w:color w:val="000000"/>
          <w:kern w:val="0"/>
          <w:sz w:val="24"/>
          <w:szCs w:val="24"/>
          <w:lang w:val="en-US" w:eastAsia="zh-CN" w:bidi="ar-SA"/>
        </w:rPr>
        <w:br w:type="page"/>
      </w:r>
    </w:p>
    <w:p w14:paraId="27BF7790">
      <w:pPr>
        <w:keepNext w:val="0"/>
        <w:keepLines w:val="0"/>
        <w:widowControl/>
        <w:numPr>
          <w:numId w:val="0"/>
        </w:numPr>
        <w:suppressLineNumbers w:val="0"/>
        <w:pBdr>
          <w:top w:val="none" w:color="auto" w:sz="0" w:space="0"/>
          <w:bottom w:val="none" w:color="auto" w:sz="0" w:space="0"/>
          <w:right w:val="none" w:color="auto" w:sz="0" w:space="0"/>
        </w:pBdr>
        <w:spacing w:before="0" w:beforeAutospacing="1" w:after="0" w:afterAutospacing="1" w:line="390" w:lineRule="atLeast"/>
        <w:ind w:left="-360" w:leftChars="0" w:right="0" w:rightChars="0"/>
        <w:rPr>
          <w:rFonts w:ascii="宋体" w:hAnsi="宋体" w:eastAsiaTheme="minorEastAsia" w:cstheme="minorBidi"/>
          <w:color w:val="000000"/>
          <w:kern w:val="0"/>
          <w:sz w:val="24"/>
          <w:szCs w:val="24"/>
          <w:lang w:val="en-US" w:eastAsia="zh-CN" w:bidi="ar-SA"/>
        </w:rPr>
      </w:pPr>
      <w:r>
        <w:rPr>
          <w:rFonts w:hint="default" w:ascii="宋体" w:hAnsi="宋体" w:eastAsiaTheme="minorEastAsia" w:cstheme="minorBidi"/>
          <w:color w:val="000000"/>
          <w:kern w:val="0"/>
          <w:sz w:val="24"/>
          <w:szCs w:val="24"/>
          <w:lang w:val="en-US" w:eastAsia="zh-CN" w:bidi="ar-SA"/>
        </w:rPr>
        <w:t>‌</w:t>
      </w:r>
    </w:p>
    <w:p w14:paraId="186AC082">
      <w:pPr>
        <w:rPr>
          <w:rFonts w:hint="eastAsia"/>
          <w:highlight w:val="none"/>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Symbol">
    <w:panose1 w:val="05050102010706020507"/>
    <w:charset w:val="00"/>
    <w:family w:val="auto"/>
    <w:pitch w:val="default"/>
    <w:sig w:usb0="00000000" w:usb1="00000000" w:usb2="00000000" w:usb3="00000000" w:csb0="80000000" w:csb1="00000000"/>
  </w:font>
  <w:font w:name="Arial">
    <w:panose1 w:val="020B0604020202020204"/>
    <w:charset w:val="00"/>
    <w:family w:val="auto"/>
    <w:pitch w:val="default"/>
    <w:sig w:usb0="E0002EFF" w:usb1="C000785B" w:usb2="00000009" w:usb3="00000000" w:csb0="400001FF" w:csb1="FFFF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仿宋_GB2312">
    <w:altName w:val="仿宋"/>
    <w:panose1 w:val="00000000000000000000"/>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C5917C3"/>
    <w:multiLevelType w:val="multilevel"/>
    <w:tmpl w:val="2C5917C3"/>
    <w:lvl w:ilvl="0" w:tentative="0">
      <w:start w:val="1"/>
      <w:numFmt w:val="none"/>
      <w:pStyle w:val="13"/>
      <w:suff w:val="nothing"/>
      <w:lvlText w:val="%1——"/>
      <w:lvlJc w:val="left"/>
      <w:pPr>
        <w:ind w:left="1118" w:hanging="408"/>
      </w:pPr>
      <w:rPr>
        <w:rFonts w:hint="eastAsia"/>
      </w:rPr>
    </w:lvl>
    <w:lvl w:ilvl="1" w:tentative="0">
      <w:start w:val="1"/>
      <w:numFmt w:val="bullet"/>
      <w:lvlText w:val=""/>
      <w:lvlJc w:val="left"/>
      <w:pPr>
        <w:tabs>
          <w:tab w:val="left" w:pos="760"/>
        </w:tabs>
        <w:ind w:left="1264" w:hanging="413"/>
      </w:pPr>
      <w:rPr>
        <w:rFonts w:hint="default" w:ascii="Symbol" w:hAnsi="Symbol"/>
        <w:color w:val="auto"/>
      </w:rPr>
    </w:lvl>
    <w:lvl w:ilvl="2" w:tentative="0">
      <w:start w:val="1"/>
      <w:numFmt w:val="bullet"/>
      <w:lvlText w:val=""/>
      <w:lvlJc w:val="left"/>
      <w:pPr>
        <w:tabs>
          <w:tab w:val="left" w:pos="1678"/>
        </w:tabs>
        <w:ind w:left="1678" w:hanging="414"/>
      </w:pPr>
      <w:rPr>
        <w:rFonts w:hint="default" w:ascii="Symbol" w:hAnsi="Symbol"/>
        <w:color w:val="auto"/>
      </w:rPr>
    </w:lvl>
    <w:lvl w:ilvl="3" w:tentative="0">
      <w:start w:val="1"/>
      <w:numFmt w:val="decimal"/>
      <w:lvlText w:val="%4."/>
      <w:lvlJc w:val="left"/>
      <w:pPr>
        <w:tabs>
          <w:tab w:val="left" w:pos="2071"/>
        </w:tabs>
        <w:ind w:left="1884" w:hanging="528"/>
      </w:pPr>
      <w:rPr>
        <w:rFonts w:hint="eastAsia"/>
      </w:rPr>
    </w:lvl>
    <w:lvl w:ilvl="4" w:tentative="0">
      <w:start w:val="1"/>
      <w:numFmt w:val="lowerLetter"/>
      <w:lvlText w:val="%5)"/>
      <w:lvlJc w:val="left"/>
      <w:pPr>
        <w:tabs>
          <w:tab w:val="left" w:pos="2383"/>
        </w:tabs>
        <w:ind w:left="2196" w:hanging="528"/>
      </w:pPr>
      <w:rPr>
        <w:rFonts w:hint="eastAsia"/>
      </w:rPr>
    </w:lvl>
    <w:lvl w:ilvl="5" w:tentative="0">
      <w:start w:val="1"/>
      <w:numFmt w:val="lowerRoman"/>
      <w:lvlText w:val="%6."/>
      <w:lvlJc w:val="right"/>
      <w:pPr>
        <w:tabs>
          <w:tab w:val="left" w:pos="2695"/>
        </w:tabs>
        <w:ind w:left="2508" w:hanging="528"/>
      </w:pPr>
      <w:rPr>
        <w:rFonts w:hint="eastAsia"/>
      </w:rPr>
    </w:lvl>
    <w:lvl w:ilvl="6" w:tentative="0">
      <w:start w:val="1"/>
      <w:numFmt w:val="decimal"/>
      <w:lvlText w:val="%7."/>
      <w:lvlJc w:val="left"/>
      <w:pPr>
        <w:tabs>
          <w:tab w:val="left" w:pos="3007"/>
        </w:tabs>
        <w:ind w:left="2820" w:hanging="528"/>
      </w:pPr>
      <w:rPr>
        <w:rFonts w:hint="eastAsia"/>
      </w:rPr>
    </w:lvl>
    <w:lvl w:ilvl="7" w:tentative="0">
      <w:start w:val="1"/>
      <w:numFmt w:val="lowerLetter"/>
      <w:lvlText w:val="%8)"/>
      <w:lvlJc w:val="left"/>
      <w:pPr>
        <w:tabs>
          <w:tab w:val="left" w:pos="3319"/>
        </w:tabs>
        <w:ind w:left="3132" w:hanging="528"/>
      </w:pPr>
      <w:rPr>
        <w:rFonts w:hint="eastAsia"/>
      </w:rPr>
    </w:lvl>
    <w:lvl w:ilvl="8" w:tentative="0">
      <w:start w:val="1"/>
      <w:numFmt w:val="lowerRoman"/>
      <w:lvlText w:val="%9."/>
      <w:lvlJc w:val="right"/>
      <w:pPr>
        <w:tabs>
          <w:tab w:val="left" w:pos="3631"/>
        </w:tabs>
        <w:ind w:left="3444" w:hanging="528"/>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5C47AE0"/>
    <w:rsid w:val="25C47AE0"/>
    <w:rsid w:val="342D50A6"/>
    <w:rsid w:val="49051ED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after="330" w:afterLines="0" w:line="578" w:lineRule="auto"/>
      <w:outlineLvl w:val="0"/>
    </w:pPr>
    <w:rPr>
      <w:b/>
      <w:bCs/>
      <w:kern w:val="44"/>
      <w:sz w:val="44"/>
      <w:szCs w:val="44"/>
    </w:rPr>
  </w:style>
  <w:style w:type="character" w:default="1" w:styleId="9">
    <w:name w:val="Default Paragraph Font"/>
    <w:semiHidden/>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3">
    <w:name w:val="Body Text Indent 2"/>
    <w:basedOn w:val="1"/>
    <w:qFormat/>
    <w:uiPriority w:val="0"/>
    <w:pPr>
      <w:spacing w:after="120" w:line="480" w:lineRule="auto"/>
      <w:ind w:left="420" w:leftChars="200"/>
    </w:pPr>
    <w:rPr>
      <w:szCs w:val="24"/>
    </w:rPr>
  </w:style>
  <w:style w:type="paragraph" w:styleId="4">
    <w:name w:val="footer"/>
    <w:basedOn w:val="1"/>
    <w:qFormat/>
    <w:uiPriority w:val="99"/>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Normal (Web)"/>
    <w:basedOn w:val="1"/>
    <w:uiPriority w:val="0"/>
    <w:rPr>
      <w:sz w:val="24"/>
    </w:r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Strong"/>
    <w:basedOn w:val="9"/>
    <w:qFormat/>
    <w:uiPriority w:val="0"/>
    <w:rPr>
      <w:b/>
    </w:rPr>
  </w:style>
  <w:style w:type="character" w:styleId="11">
    <w:name w:val="Hyperlink"/>
    <w:basedOn w:val="9"/>
    <w:uiPriority w:val="0"/>
    <w:rPr>
      <w:color w:val="0000FF"/>
      <w:u w:val="single"/>
    </w:rPr>
  </w:style>
  <w:style w:type="paragraph" w:customStyle="1" w:styleId="12">
    <w:name w:val="段"/>
    <w:qFormat/>
    <w:uiPriority w:val="99"/>
    <w:pPr>
      <w:tabs>
        <w:tab w:val="center" w:pos="4201"/>
        <w:tab w:val="right" w:leader="dot" w:pos="9298"/>
      </w:tabs>
      <w:autoSpaceDE w:val="0"/>
      <w:autoSpaceDN w:val="0"/>
      <w:ind w:firstLine="420" w:firstLineChars="200"/>
      <w:jc w:val="both"/>
    </w:pPr>
    <w:rPr>
      <w:rFonts w:ascii="宋体" w:hAnsi="Times New Roman" w:eastAsia="宋体" w:cs="Times New Roman"/>
      <w:sz w:val="21"/>
      <w:lang w:val="en-US" w:eastAsia="zh-CN" w:bidi="ar-SA"/>
    </w:rPr>
  </w:style>
  <w:style w:type="paragraph" w:customStyle="1" w:styleId="13">
    <w:name w:val="列项——（一级）"/>
    <w:qFormat/>
    <w:uiPriority w:val="0"/>
    <w:pPr>
      <w:widowControl w:val="0"/>
      <w:numPr>
        <w:ilvl w:val="0"/>
        <w:numId w:val="1"/>
      </w:numPr>
      <w:jc w:val="both"/>
    </w:pPr>
    <w:rPr>
      <w:rFonts w:ascii="宋体" w:hAnsi="Times New Roman" w:eastAsia="宋体" w:cs="Times New Roman"/>
      <w:sz w:val="21"/>
      <w:szCs w:val="22"/>
      <w:lang w:val="en-US" w:eastAsia="zh-CN" w:bidi="ar-SA"/>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numbering" Target="numbering.xml"/><Relationship Id="rId6" Type="http://schemas.openxmlformats.org/officeDocument/2006/relationships/customXml" Target="../customXml/item1.xml"/><Relationship Id="rId5" Type="http://schemas.openxmlformats.org/officeDocument/2006/relationships/image" Target="media/image1.emf"/><Relationship Id="rId4" Type="http://schemas.openxmlformats.org/officeDocument/2006/relationships/oleObject" Target="embeddings/oleObject1.bin"/><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61</Pages>
  <Words>0</Words>
  <Characters>0</Characters>
  <Lines>0</Lines>
  <Paragraphs>0</Paragraphs>
  <TotalTime>1</TotalTime>
  <ScaleCrop>false</ScaleCrop>
  <LinksUpToDate>false</LinksUpToDate>
  <CharactersWithSpaces>0</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2024-11-22T08:23:00Z</dcterms:created>
  <dc:creator>清晰</dc:creator>
  <cp:lastModifiedBy>清晰</cp:lastModifiedBy>
  <dcterms:modified xsi:type="dcterms:W3CDTF">2024-11-22T09:51:15Z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ICV">
    <vt:lpwstr>E412F5C61F194591AC0B9922010DE8C5_11</vt:lpwstr>
  </property>
</Properties>
</file>