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9486" w:type="dxa"/>
        <w:jc w:val="center"/>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2"/>
        <w:gridCol w:w="953"/>
        <w:gridCol w:w="1169"/>
        <w:gridCol w:w="1011"/>
        <w:gridCol w:w="702"/>
        <w:gridCol w:w="945"/>
        <w:gridCol w:w="971"/>
        <w:gridCol w:w="3013"/>
      </w:tblGrid>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5502" w:type="dxa"/>
            <w:gridSpan w:val="6"/>
            <w:tcBorders>
              <w:tl2br w:val="nil"/>
              <w:tr2bl w:val="nil"/>
            </w:tcBorders>
            <w:tcMar>
              <w:top w:w="0" w:type="dxa"/>
              <w:left w:w="108" w:type="dxa"/>
              <w:bottom w:w="0" w:type="dxa"/>
              <w:right w:w="108" w:type="dxa"/>
            </w:tcMar>
            <w:vAlign w:val="center"/>
          </w:tcPr>
          <w:p>
            <w:pPr>
              <w:pStyle w:val="9"/>
              <w:pBdr>
                <w:bottom w:val="none" w:color="auto" w:sz="0" w:space="0"/>
              </w:pBdr>
              <w:spacing w:line="360" w:lineRule="auto"/>
              <w:jc w:val="center"/>
              <w:rPr>
                <w:b/>
                <w:bCs/>
                <w:szCs w:val="21"/>
              </w:rPr>
            </w:pPr>
            <w:r>
              <w:rPr>
                <w:rFonts w:hint="eastAsia" w:ascii="等线" w:hAnsi="等线" w:cs="仿宋"/>
                <w:szCs w:val="21"/>
              </w:rPr>
              <w:t>成都万科物业服务有限公司南充分公司</w:t>
            </w:r>
            <w:r>
              <w:rPr>
                <w:rFonts w:hint="eastAsia" w:ascii="等线" w:hAnsi="等线" w:cs="仿宋"/>
                <w:szCs w:val="21"/>
                <w:lang w:val="en-US" w:eastAsia="zh-CN"/>
              </w:rPr>
              <w:t>安全生产</w:t>
            </w:r>
            <w:r>
              <w:rPr>
                <w:rFonts w:hint="eastAsia" w:ascii="等线" w:hAnsi="等线" w:cs="仿宋"/>
                <w:szCs w:val="21"/>
              </w:rPr>
              <w:t>管理制度</w:t>
            </w:r>
          </w:p>
        </w:tc>
        <w:tc>
          <w:tcPr>
            <w:tcW w:w="971" w:type="dxa"/>
            <w:tcBorders>
              <w:tl2br w:val="nil"/>
              <w:tr2bl w:val="nil"/>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编号</w:t>
            </w:r>
          </w:p>
        </w:tc>
        <w:tc>
          <w:tcPr>
            <w:tcW w:w="3013" w:type="dxa"/>
            <w:tcBorders>
              <w:tl2br w:val="nil"/>
              <w:tr2bl w:val="nil"/>
            </w:tcBorders>
            <w:tcMar>
              <w:top w:w="0" w:type="dxa"/>
              <w:left w:w="108" w:type="dxa"/>
              <w:bottom w:w="0" w:type="dxa"/>
              <w:right w:w="108" w:type="dxa"/>
            </w:tcMar>
            <w:vAlign w:val="center"/>
          </w:tcPr>
          <w:p>
            <w:pPr>
              <w:pBdr>
                <w:bottom w:val="none" w:color="auto" w:sz="0" w:space="0"/>
              </w:pBdr>
              <w:spacing w:line="360" w:lineRule="auto"/>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AQSCGLZD-2023</w:t>
            </w:r>
            <w:r>
              <w:rPr>
                <w:rFonts w:ascii="宋体" w:hAnsi="宋体"/>
              </w:rPr>
              <w:t>-00</w:t>
            </w:r>
            <w:r>
              <w:rPr>
                <w:rFonts w:hint="eastAsia" w:ascii="宋体" w:hAnsi="宋体"/>
                <w:lang w:val="en-US" w:eastAsia="zh-CN"/>
              </w:rPr>
              <w:t>1</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722" w:type="dxa"/>
            <w:tcBorders>
              <w:tl2br w:val="nil"/>
              <w:tr2bl w:val="nil"/>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名称</w:t>
            </w:r>
          </w:p>
        </w:tc>
        <w:tc>
          <w:tcPr>
            <w:tcW w:w="4780" w:type="dxa"/>
            <w:gridSpan w:val="5"/>
            <w:tcBorders>
              <w:tl2br w:val="nil"/>
              <w:tr2bl w:val="nil"/>
            </w:tcBorders>
            <w:tcMar>
              <w:top w:w="0" w:type="dxa"/>
              <w:left w:w="108" w:type="dxa"/>
              <w:bottom w:w="0" w:type="dxa"/>
              <w:right w:w="108" w:type="dxa"/>
            </w:tcMar>
            <w:vAlign w:val="center"/>
          </w:tcPr>
          <w:p>
            <w:pPr>
              <w:pBdr>
                <w:bottom w:val="none" w:color="auto" w:sz="0" w:space="0"/>
              </w:pBdr>
              <w:spacing w:line="360" w:lineRule="auto"/>
              <w:jc w:val="center"/>
              <w:rPr>
                <w:rFonts w:hint="default" w:ascii="宋体" w:hAnsi="宋体" w:eastAsiaTheme="minorEastAsia"/>
                <w:szCs w:val="21"/>
                <w:lang w:val="en-US" w:eastAsia="zh-CN"/>
              </w:rPr>
            </w:pPr>
            <w:r>
              <w:rPr>
                <w:rFonts w:hint="eastAsia" w:ascii="宋体" w:hAnsi="宋体"/>
                <w:szCs w:val="21"/>
                <w:lang w:val="en-US" w:eastAsia="zh-CN"/>
              </w:rPr>
              <w:t>安全生产管理制度</w:t>
            </w:r>
          </w:p>
        </w:tc>
        <w:tc>
          <w:tcPr>
            <w:tcW w:w="971" w:type="dxa"/>
            <w:tcBorders>
              <w:tl2br w:val="nil"/>
              <w:tr2bl w:val="nil"/>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版本</w:t>
            </w:r>
          </w:p>
        </w:tc>
        <w:tc>
          <w:tcPr>
            <w:tcW w:w="3013" w:type="dxa"/>
            <w:tcBorders>
              <w:tl2br w:val="nil"/>
              <w:tr2bl w:val="nil"/>
            </w:tcBorders>
            <w:tcMar>
              <w:top w:w="0" w:type="dxa"/>
              <w:left w:w="108" w:type="dxa"/>
              <w:bottom w:w="0" w:type="dxa"/>
              <w:right w:w="108" w:type="dxa"/>
            </w:tcMar>
            <w:vAlign w:val="center"/>
          </w:tcPr>
          <w:p>
            <w:pPr>
              <w:pStyle w:val="9"/>
              <w:pBdr>
                <w:bottom w:val="none" w:color="auto" w:sz="0" w:space="0"/>
              </w:pBdr>
              <w:spacing w:line="360" w:lineRule="auto"/>
              <w:jc w:val="center"/>
              <w:rPr>
                <w:rFonts w:hint="default"/>
                <w:b/>
                <w:bCs/>
                <w:lang w:val="en-US"/>
              </w:rPr>
            </w:pPr>
            <w:r>
              <w:rPr>
                <w:rFonts w:hint="eastAsia"/>
              </w:rPr>
              <w:t>A/</w:t>
            </w:r>
            <w:r>
              <w:rPr>
                <w:rFonts w:hint="eastAsia"/>
                <w:lang w:val="en-US" w:eastAsia="zh-CN"/>
              </w:rPr>
              <w:t>0  密级：内部公开</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217" w:hRule="atLeast"/>
          <w:jc w:val="center"/>
        </w:trPr>
        <w:tc>
          <w:tcPr>
            <w:tcW w:w="722"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编制</w:t>
            </w:r>
          </w:p>
        </w:tc>
        <w:tc>
          <w:tcPr>
            <w:tcW w:w="953" w:type="dxa"/>
            <w:tcBorders>
              <w:bottom w:val="single" w:color="000000" w:sz="4" w:space="0"/>
            </w:tcBorders>
            <w:tcMar>
              <w:top w:w="0" w:type="dxa"/>
              <w:left w:w="108" w:type="dxa"/>
              <w:bottom w:w="0" w:type="dxa"/>
              <w:right w:w="108" w:type="dxa"/>
            </w:tcMar>
            <w:vAlign w:val="center"/>
          </w:tcPr>
          <w:p>
            <w:pPr>
              <w:pBdr>
                <w:bottom w:val="none" w:color="auto" w:sz="0" w:space="0"/>
              </w:pBdr>
              <w:spacing w:line="360" w:lineRule="auto"/>
              <w:ind w:firstLine="105"/>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1169"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审核</w:t>
            </w:r>
          </w:p>
        </w:tc>
        <w:tc>
          <w:tcPr>
            <w:tcW w:w="1011"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rPr>
                <w:rFonts w:hint="eastAsia" w:eastAsiaTheme="minorEastAsia"/>
                <w:lang w:val="en-US" w:eastAsia="zh-CN"/>
              </w:rPr>
            </w:pPr>
            <w:r>
              <w:rPr>
                <w:rFonts w:hint="eastAsia"/>
                <w:lang w:val="en-US" w:eastAsia="zh-CN"/>
              </w:rPr>
              <w:t>谌永忠</w:t>
            </w:r>
          </w:p>
        </w:tc>
        <w:tc>
          <w:tcPr>
            <w:tcW w:w="702"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批准</w:t>
            </w:r>
          </w:p>
        </w:tc>
        <w:tc>
          <w:tcPr>
            <w:tcW w:w="945" w:type="dxa"/>
            <w:tcBorders>
              <w:bottom w:val="single" w:color="000000" w:sz="4" w:space="0"/>
            </w:tcBorders>
            <w:tcMar>
              <w:top w:w="0" w:type="dxa"/>
              <w:left w:w="108" w:type="dxa"/>
              <w:bottom w:w="0" w:type="dxa"/>
              <w:right w:w="108" w:type="dxa"/>
            </w:tcMar>
            <w:vAlign w:val="center"/>
          </w:tcPr>
          <w:p>
            <w:pPr>
              <w:pBdr>
                <w:bottom w:val="none" w:color="auto" w:sz="0" w:space="0"/>
              </w:pBdr>
              <w:spacing w:line="360" w:lineRule="auto"/>
              <w:jc w:val="center"/>
            </w:pPr>
            <w:r>
              <w:rPr>
                <w:rFonts w:hint="eastAsia"/>
                <w:lang w:val="en-US" w:eastAsia="zh-CN"/>
              </w:rPr>
              <w:t>夏勇</w:t>
            </w:r>
          </w:p>
        </w:tc>
        <w:tc>
          <w:tcPr>
            <w:tcW w:w="971"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rPr>
                <w:b/>
                <w:bCs/>
              </w:rPr>
            </w:pPr>
            <w:r>
              <w:rPr>
                <w:rFonts w:hint="eastAsia"/>
                <w:b/>
                <w:bCs/>
              </w:rPr>
              <w:t>生效期</w:t>
            </w:r>
          </w:p>
        </w:tc>
        <w:tc>
          <w:tcPr>
            <w:tcW w:w="3013" w:type="dxa"/>
            <w:tcBorders>
              <w:bottom w:val="single" w:color="000000" w:sz="4" w:space="0"/>
            </w:tcBorders>
            <w:tcMar>
              <w:top w:w="0" w:type="dxa"/>
              <w:left w:w="108" w:type="dxa"/>
              <w:bottom w:w="0" w:type="dxa"/>
              <w:right w:w="108" w:type="dxa"/>
            </w:tcMar>
            <w:vAlign w:val="center"/>
          </w:tcPr>
          <w:p>
            <w:pPr>
              <w:pStyle w:val="9"/>
              <w:pBdr>
                <w:bottom w:val="none" w:color="auto" w:sz="0" w:space="0"/>
              </w:pBdr>
              <w:spacing w:line="360" w:lineRule="auto"/>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r>
        <w:tblPrEx>
          <w:tblBorders>
            <w:top w:val="double" w:color="000000" w:sz="4" w:space="0"/>
            <w:left w:val="double" w:color="000000" w:sz="4" w:space="0"/>
            <w:bottom w:val="double" w:color="auto"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cantSplit/>
          <w:trHeight w:val="12753" w:hRule="atLeast"/>
          <w:jc w:val="center"/>
        </w:trPr>
        <w:tc>
          <w:tcPr>
            <w:tcW w:w="9486" w:type="dxa"/>
            <w:gridSpan w:val="8"/>
            <w:tcBorders>
              <w:top w:val="single" w:color="000000" w:sz="4" w:space="0"/>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成都万科物业服务有限公司南充分公司</w:t>
            </w:r>
          </w:p>
          <w:p>
            <w:pPr>
              <w:pStyle w:val="9"/>
              <w:pBdr>
                <w:bottom w:val="none" w:color="auto" w:sz="0" w:space="0"/>
              </w:pBdr>
              <w:spacing w:line="360" w:lineRule="auto"/>
              <w:jc w:val="center"/>
              <w:rPr>
                <w:rFonts w:hint="default" w:ascii="黑体" w:hAnsi="黑体" w:eastAsia="黑体" w:cs="黑体"/>
                <w:b/>
                <w:bCs/>
                <w:sz w:val="36"/>
                <w:szCs w:val="36"/>
                <w:lang w:val="en-US" w:eastAsia="zh-CN"/>
              </w:rPr>
            </w:pPr>
            <w:r>
              <w:rPr>
                <w:rFonts w:hint="eastAsia" w:ascii="黑体" w:hAnsi="黑体" w:eastAsia="黑体" w:cs="黑体"/>
                <w:b/>
                <w:bCs/>
                <w:sz w:val="36"/>
                <w:szCs w:val="36"/>
                <w:lang w:val="en-US" w:eastAsia="zh-CN"/>
              </w:rPr>
              <w:t>安全生产管理制度</w:t>
            </w:r>
          </w:p>
          <w:p>
            <w:pPr>
              <w:pStyle w:val="9"/>
              <w:pBdr>
                <w:bottom w:val="none" w:color="auto" w:sz="0" w:space="0"/>
              </w:pBdr>
              <w:spacing w:line="360" w:lineRule="auto"/>
              <w:jc w:val="center"/>
              <w:rPr>
                <w:rFonts w:hint="eastAsia" w:ascii="黑体" w:hAnsi="黑体" w:eastAsia="黑体" w:cs="黑体"/>
                <w:sz w:val="36"/>
                <w:szCs w:val="36"/>
                <w:lang w:val="en-US" w:eastAsia="zh-CN"/>
              </w:rPr>
            </w:pPr>
          </w:p>
          <w:p>
            <w:pPr>
              <w:pStyle w:val="9"/>
              <w:pBdr>
                <w:bottom w:val="none" w:color="auto" w:sz="0" w:space="0"/>
              </w:pBdr>
              <w:spacing w:line="360" w:lineRule="auto"/>
              <w:jc w:val="center"/>
              <w:rPr>
                <w:rFonts w:hint="eastAsia" w:ascii="黑体" w:hAnsi="黑体" w:eastAsia="黑体" w:cs="黑体"/>
                <w:sz w:val="36"/>
                <w:szCs w:val="36"/>
                <w:lang w:val="en-US" w:eastAsia="zh-CN"/>
              </w:rPr>
            </w:pPr>
          </w:p>
          <w:p>
            <w:pPr>
              <w:pStyle w:val="9"/>
              <w:pBdr>
                <w:bottom w:val="none" w:color="auto" w:sz="0" w:space="0"/>
              </w:pBdr>
              <w:spacing w:line="360" w:lineRule="auto"/>
              <w:jc w:val="center"/>
              <w:rPr>
                <w:rFonts w:hint="default" w:ascii="黑体" w:hAnsi="黑体" w:eastAsia="黑体" w:cs="黑体"/>
                <w:sz w:val="30"/>
                <w:szCs w:val="30"/>
                <w:u w:val="single"/>
                <w:lang w:val="en-US" w:eastAsia="zh-CN"/>
              </w:rPr>
            </w:pPr>
            <w:r>
              <w:rPr>
                <w:rFonts w:hint="eastAsia" w:ascii="黑体" w:hAnsi="黑体" w:eastAsia="黑体" w:cs="黑体"/>
                <w:sz w:val="30"/>
                <w:szCs w:val="30"/>
                <w:lang w:val="en-US" w:eastAsia="zh-CN"/>
              </w:rPr>
              <w:t>编制：</w:t>
            </w:r>
            <w:r>
              <w:rPr>
                <w:rFonts w:hint="eastAsia" w:ascii="黑体" w:hAnsi="黑体" w:eastAsia="黑体" w:cs="黑体"/>
                <w:sz w:val="30"/>
                <w:szCs w:val="30"/>
                <w:u w:val="single"/>
                <w:lang w:val="en-US" w:eastAsia="zh-CN"/>
              </w:rPr>
              <w:t xml:space="preserve">    任  佳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2023-6-30  </w:t>
            </w:r>
          </w:p>
          <w:p>
            <w:pPr>
              <w:pStyle w:val="9"/>
              <w:pBdr>
                <w:bottom w:val="none" w:color="auto" w:sz="0" w:space="0"/>
              </w:pBdr>
              <w:spacing w:line="360" w:lineRule="auto"/>
              <w:jc w:val="center"/>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审核：</w:t>
            </w:r>
            <w:r>
              <w:rPr>
                <w:rFonts w:hint="eastAsia" w:ascii="黑体" w:hAnsi="黑体" w:eastAsia="黑体" w:cs="黑体"/>
                <w:sz w:val="30"/>
                <w:szCs w:val="30"/>
                <w:u w:val="single"/>
                <w:lang w:val="en-US" w:eastAsia="zh-CN"/>
              </w:rPr>
              <w:t xml:space="preserve">    谌永忠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2023-6-30  </w:t>
            </w: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r>
              <w:rPr>
                <w:rFonts w:hint="eastAsia" w:ascii="黑体" w:hAnsi="黑体" w:eastAsia="黑体" w:cs="黑体"/>
                <w:sz w:val="30"/>
                <w:szCs w:val="30"/>
                <w:lang w:val="en-US" w:eastAsia="zh-CN"/>
              </w:rPr>
              <w:t>批准：</w:t>
            </w:r>
            <w:r>
              <w:rPr>
                <w:rFonts w:hint="eastAsia" w:ascii="黑体" w:hAnsi="黑体" w:eastAsia="黑体" w:cs="黑体"/>
                <w:sz w:val="30"/>
                <w:szCs w:val="30"/>
                <w:u w:val="single"/>
                <w:lang w:val="en-US" w:eastAsia="zh-CN"/>
              </w:rPr>
              <w:t xml:space="preserve">    夏  勇     </w:t>
            </w:r>
            <w:r>
              <w:rPr>
                <w:rFonts w:hint="eastAsia" w:ascii="黑体" w:hAnsi="黑体" w:eastAsia="黑体" w:cs="黑体"/>
                <w:sz w:val="30"/>
                <w:szCs w:val="30"/>
                <w:u w:val="none"/>
                <w:lang w:val="en-US" w:eastAsia="zh-CN"/>
              </w:rPr>
              <w:t xml:space="preserve"> </w:t>
            </w:r>
            <w:r>
              <w:rPr>
                <w:rFonts w:hint="eastAsia" w:ascii="黑体" w:hAnsi="黑体" w:eastAsia="黑体" w:cs="黑体"/>
                <w:sz w:val="30"/>
                <w:szCs w:val="30"/>
                <w:lang w:val="en-US" w:eastAsia="zh-CN"/>
              </w:rPr>
              <w:t>日期：</w:t>
            </w:r>
            <w:r>
              <w:rPr>
                <w:rFonts w:hint="eastAsia" w:ascii="黑体" w:hAnsi="黑体" w:eastAsia="黑体" w:cs="黑体"/>
                <w:sz w:val="30"/>
                <w:szCs w:val="30"/>
                <w:u w:val="single"/>
                <w:lang w:val="en-US" w:eastAsia="zh-CN"/>
              </w:rPr>
              <w:t xml:space="preserve">  2023-6-30  </w:t>
            </w: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p>
          <w:p>
            <w:pPr>
              <w:pStyle w:val="9"/>
              <w:pBdr>
                <w:bottom w:val="none" w:color="auto" w:sz="0" w:space="0"/>
              </w:pBdr>
              <w:spacing w:line="360" w:lineRule="auto"/>
              <w:jc w:val="both"/>
              <w:rPr>
                <w:rFonts w:hint="eastAsia" w:ascii="黑体" w:hAnsi="黑体" w:eastAsia="黑体" w:cs="黑体"/>
                <w:sz w:val="30"/>
                <w:szCs w:val="30"/>
                <w:u w:val="single"/>
                <w:lang w:val="en-US" w:eastAsia="zh-CN"/>
              </w:rPr>
            </w:pP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p>
          <w:p>
            <w:pPr>
              <w:pStyle w:val="9"/>
              <w:pBdr>
                <w:bottom w:val="none" w:color="auto" w:sz="0" w:space="0"/>
              </w:pBdr>
              <w:spacing w:line="360" w:lineRule="auto"/>
              <w:jc w:val="center"/>
              <w:rPr>
                <w:rFonts w:hint="eastAsia" w:ascii="黑体" w:hAnsi="黑体" w:eastAsia="黑体" w:cs="黑体"/>
                <w:sz w:val="30"/>
                <w:szCs w:val="30"/>
                <w:u w:val="single"/>
                <w:lang w:val="en-US" w:eastAsia="zh-CN"/>
              </w:rPr>
            </w:pPr>
          </w:p>
          <w:p>
            <w:pPr>
              <w:pStyle w:val="9"/>
              <w:pBdr>
                <w:bottom w:val="none" w:color="auto" w:sz="0" w:space="0"/>
              </w:pBdr>
              <w:spacing w:line="360" w:lineRule="auto"/>
              <w:jc w:val="center"/>
              <w:rPr>
                <w:rFonts w:hint="default" w:ascii="黑体" w:hAnsi="黑体" w:eastAsia="黑体" w:cs="黑体"/>
                <w:sz w:val="30"/>
                <w:szCs w:val="30"/>
                <w:u w:val="single"/>
                <w:lang w:val="en-US" w:eastAsia="zh-CN"/>
              </w:rPr>
            </w:pPr>
            <w:r>
              <w:rPr>
                <w:rFonts w:hint="eastAsia" w:ascii="黑体" w:hAnsi="黑体" w:eastAsia="黑体" w:cs="黑体"/>
                <w:sz w:val="30"/>
                <w:szCs w:val="30"/>
                <w:u w:val="none"/>
                <w:lang w:val="en-US" w:eastAsia="zh-CN"/>
              </w:rPr>
              <w:t>生效日期：2023年6月30日</w:t>
            </w:r>
          </w:p>
        </w:tc>
      </w:tr>
    </w:tbl>
    <w:p>
      <w:pPr>
        <w:spacing w:line="360" w:lineRule="auto"/>
        <w:rPr>
          <w:rFonts w:hint="eastAsia"/>
          <w:lang w:val="en-US" w:eastAsia="zh-CN"/>
        </w:rPr>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0" w:num="1"/>
          <w:titlePg/>
          <w:rtlGutter w:val="0"/>
          <w:docGrid w:type="lines" w:linePitch="314" w:charSpace="0"/>
        </w:sectPr>
      </w:pPr>
      <w:r>
        <w:rPr>
          <w:rFonts w:hint="eastAsia" w:ascii="黑体" w:hAnsi="黑体" w:eastAsia="黑体" w:cs="黑体"/>
          <w:sz w:val="36"/>
          <w:szCs w:val="36"/>
          <w:lang w:val="en-US" w:eastAsia="zh-CN"/>
        </w:rPr>
        <w:br w:type="page"/>
      </w:r>
    </w:p>
    <w:p>
      <w:pPr>
        <w:tabs>
          <w:tab w:val="left" w:pos="5695"/>
        </w:tabs>
        <w:spacing w:line="360" w:lineRule="auto"/>
        <w:rPr>
          <w:rFonts w:hint="eastAsia" w:ascii="宋体" w:hAnsi="宋体" w:eastAsia="宋体" w:cs="宋体"/>
          <w:sz w:val="36"/>
          <w:szCs w:val="44"/>
          <w:lang w:eastAsia="zh-CN"/>
        </w:rPr>
      </w:pPr>
      <w:r>
        <w:rPr>
          <w:rFonts w:hint="eastAsia" w:ascii="宋体" w:hAnsi="宋体" w:eastAsia="宋体" w:cs="宋体"/>
          <w:sz w:val="36"/>
          <w:szCs w:val="44"/>
          <w:lang w:eastAsia="zh-CN"/>
        </w:rPr>
        <w:tab/>
      </w:r>
    </w:p>
    <w:sdt>
      <w:sdtPr>
        <w:rPr>
          <w:rFonts w:ascii="宋体" w:hAnsi="宋体" w:eastAsia="宋体" w:cstheme="minorBidi"/>
          <w:kern w:val="2"/>
          <w:sz w:val="21"/>
          <w:szCs w:val="24"/>
          <w:lang w:val="en-US" w:eastAsia="zh-CN" w:bidi="ar-SA"/>
        </w:rPr>
        <w:id w:val="147477595"/>
        <w15:color w:val="DBDBDB"/>
        <w:docPartObj>
          <w:docPartGallery w:val="Table of Contents"/>
          <w:docPartUnique/>
        </w:docPartObj>
      </w:sdtPr>
      <w:sdtEndPr>
        <w:rPr>
          <w:b/>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6"/>
            <w:tabs>
              <w:tab w:val="right" w:leader="dot" w:pos="9072"/>
            </w:tabs>
            <w:rPr>
              <w:b/>
            </w:rPr>
          </w:pPr>
          <w:r>
            <w:fldChar w:fldCharType="begin"/>
          </w:r>
          <w:r>
            <w:instrText xml:space="preserve">TOC \o "1-2" \h \u </w:instrText>
          </w:r>
          <w:r>
            <w:fldChar w:fldCharType="separate"/>
          </w:r>
          <w:r>
            <w:rPr>
              <w:b/>
            </w:rPr>
            <w:fldChar w:fldCharType="begin"/>
          </w:r>
          <w:r>
            <w:rPr>
              <w:b/>
            </w:rPr>
            <w:instrText xml:space="preserve"> HYPERLINK \l _Toc3777 </w:instrText>
          </w:r>
          <w:r>
            <w:rPr>
              <w:b/>
            </w:rPr>
            <w:fldChar w:fldCharType="separate"/>
          </w:r>
          <w:r>
            <w:rPr>
              <w:rFonts w:hint="eastAsia" w:ascii="宋体" w:hAnsi="宋体" w:eastAsia="宋体" w:cs="宋体"/>
              <w:b/>
              <w:szCs w:val="32"/>
            </w:rPr>
            <w:t>前言</w:t>
          </w:r>
          <w:r>
            <w:rPr>
              <w:b/>
            </w:rPr>
            <w:tab/>
          </w:r>
          <w:r>
            <w:rPr>
              <w:b/>
            </w:rPr>
            <w:fldChar w:fldCharType="begin"/>
          </w:r>
          <w:r>
            <w:rPr>
              <w:b/>
            </w:rPr>
            <w:instrText xml:space="preserve"> PAGEREF _Toc3777 \h </w:instrText>
          </w:r>
          <w:r>
            <w:rPr>
              <w:b/>
            </w:rPr>
            <w:fldChar w:fldCharType="separate"/>
          </w:r>
          <w:r>
            <w:rPr>
              <w:b/>
            </w:rPr>
            <w:t>3</w:t>
          </w:r>
          <w:r>
            <w:rPr>
              <w:b/>
            </w:rPr>
            <w:fldChar w:fldCharType="end"/>
          </w:r>
          <w:r>
            <w:rPr>
              <w:b/>
            </w:rPr>
            <w:fldChar w:fldCharType="end"/>
          </w:r>
        </w:p>
        <w:p>
          <w:pPr>
            <w:pStyle w:val="26"/>
            <w:tabs>
              <w:tab w:val="right" w:leader="dot" w:pos="9072"/>
            </w:tabs>
            <w:rPr>
              <w:b/>
            </w:rPr>
          </w:pPr>
          <w:r>
            <w:rPr>
              <w:b/>
            </w:rPr>
            <w:fldChar w:fldCharType="begin"/>
          </w:r>
          <w:r>
            <w:rPr>
              <w:b/>
            </w:rPr>
            <w:instrText xml:space="preserve"> HYPERLINK \l _Toc30209 </w:instrText>
          </w:r>
          <w:r>
            <w:rPr>
              <w:b/>
            </w:rPr>
            <w:fldChar w:fldCharType="separate"/>
          </w:r>
          <w:r>
            <w:rPr>
              <w:rFonts w:hint="eastAsia" w:ascii="宋体" w:hAnsi="宋体" w:eastAsia="宋体" w:cs="宋体"/>
              <w:b/>
              <w:kern w:val="2"/>
              <w:szCs w:val="32"/>
              <w:lang w:val="en-US" w:eastAsia="zh-CN" w:bidi="ar-SA"/>
            </w:rPr>
            <w:t>安全生产组织保障</w:t>
          </w:r>
          <w:r>
            <w:rPr>
              <w:b/>
            </w:rPr>
            <w:tab/>
          </w:r>
          <w:r>
            <w:rPr>
              <w:b/>
            </w:rPr>
            <w:fldChar w:fldCharType="begin"/>
          </w:r>
          <w:r>
            <w:rPr>
              <w:b/>
            </w:rPr>
            <w:instrText xml:space="preserve"> PAGEREF _Toc30209 \h </w:instrText>
          </w:r>
          <w:r>
            <w:rPr>
              <w:b/>
            </w:rPr>
            <w:fldChar w:fldCharType="separate"/>
          </w:r>
          <w:r>
            <w:rPr>
              <w:b/>
            </w:rPr>
            <w:t>4</w:t>
          </w:r>
          <w:r>
            <w:rPr>
              <w:b/>
            </w:rPr>
            <w:fldChar w:fldCharType="end"/>
          </w:r>
          <w:r>
            <w:rPr>
              <w:b/>
            </w:rPr>
            <w:fldChar w:fldCharType="end"/>
          </w:r>
        </w:p>
        <w:p>
          <w:pPr>
            <w:pStyle w:val="26"/>
            <w:tabs>
              <w:tab w:val="right" w:leader="dot" w:pos="9072"/>
            </w:tabs>
            <w:rPr>
              <w:b/>
            </w:rPr>
          </w:pPr>
          <w:r>
            <w:rPr>
              <w:b/>
            </w:rPr>
            <w:fldChar w:fldCharType="begin"/>
          </w:r>
          <w:r>
            <w:rPr>
              <w:b/>
            </w:rPr>
            <w:instrText xml:space="preserve"> HYPERLINK \l _Toc4006 </w:instrText>
          </w:r>
          <w:r>
            <w:rPr>
              <w:b/>
            </w:rPr>
            <w:fldChar w:fldCharType="separate"/>
          </w:r>
          <w:r>
            <w:rPr>
              <w:rFonts w:hint="default" w:ascii="宋体" w:hAnsi="宋体" w:eastAsia="宋体" w:cs="宋体"/>
              <w:b/>
              <w:szCs w:val="24"/>
            </w:rPr>
            <w:t xml:space="preserve">1、 </w:t>
          </w:r>
          <w:r>
            <w:rPr>
              <w:rFonts w:hint="eastAsia" w:ascii="宋体" w:hAnsi="宋体" w:eastAsia="宋体" w:cs="宋体"/>
              <w:b/>
              <w:szCs w:val="24"/>
            </w:rPr>
            <w:t>安全文明生产标语：</w:t>
          </w:r>
          <w:r>
            <w:rPr>
              <w:b/>
            </w:rPr>
            <w:tab/>
          </w:r>
          <w:r>
            <w:rPr>
              <w:b/>
            </w:rPr>
            <w:fldChar w:fldCharType="begin"/>
          </w:r>
          <w:r>
            <w:rPr>
              <w:b/>
            </w:rPr>
            <w:instrText xml:space="preserve"> PAGEREF _Toc4006 \h </w:instrText>
          </w:r>
          <w:r>
            <w:rPr>
              <w:b/>
            </w:rPr>
            <w:fldChar w:fldCharType="separate"/>
          </w:r>
          <w:r>
            <w:rPr>
              <w:b/>
            </w:rPr>
            <w:t>4</w:t>
          </w:r>
          <w:r>
            <w:rPr>
              <w:b/>
            </w:rPr>
            <w:fldChar w:fldCharType="end"/>
          </w:r>
          <w:r>
            <w:rPr>
              <w:b/>
            </w:rPr>
            <w:fldChar w:fldCharType="end"/>
          </w:r>
        </w:p>
        <w:p>
          <w:pPr>
            <w:pStyle w:val="26"/>
            <w:tabs>
              <w:tab w:val="right" w:leader="dot" w:pos="9072"/>
            </w:tabs>
            <w:rPr>
              <w:b/>
            </w:rPr>
          </w:pPr>
          <w:r>
            <w:rPr>
              <w:b/>
            </w:rPr>
            <w:fldChar w:fldCharType="begin"/>
          </w:r>
          <w:r>
            <w:rPr>
              <w:b/>
            </w:rPr>
            <w:instrText xml:space="preserve"> HYPERLINK \l _Toc6389 </w:instrText>
          </w:r>
          <w:r>
            <w:rPr>
              <w:b/>
            </w:rPr>
            <w:fldChar w:fldCharType="separate"/>
          </w:r>
          <w:r>
            <w:rPr>
              <w:rFonts w:hint="default" w:ascii="宋体" w:hAnsi="宋体" w:eastAsia="宋体" w:cs="宋体"/>
              <w:b/>
              <w:szCs w:val="24"/>
            </w:rPr>
            <w:t xml:space="preserve">2、 </w:t>
          </w:r>
          <w:r>
            <w:rPr>
              <w:rFonts w:hint="eastAsia" w:ascii="宋体" w:hAnsi="宋体" w:eastAsia="宋体" w:cs="宋体"/>
              <w:b/>
              <w:szCs w:val="24"/>
            </w:rPr>
            <w:t>安全生产管理组织</w:t>
          </w:r>
          <w:r>
            <w:rPr>
              <w:b/>
            </w:rPr>
            <w:tab/>
          </w:r>
          <w:r>
            <w:rPr>
              <w:b/>
            </w:rPr>
            <w:fldChar w:fldCharType="begin"/>
          </w:r>
          <w:r>
            <w:rPr>
              <w:b/>
            </w:rPr>
            <w:instrText xml:space="preserve"> PAGEREF _Toc6389 \h </w:instrText>
          </w:r>
          <w:r>
            <w:rPr>
              <w:b/>
            </w:rPr>
            <w:fldChar w:fldCharType="separate"/>
          </w:r>
          <w:r>
            <w:rPr>
              <w:b/>
            </w:rPr>
            <w:t>4</w:t>
          </w:r>
          <w:r>
            <w:rPr>
              <w:b/>
            </w:rPr>
            <w:fldChar w:fldCharType="end"/>
          </w:r>
          <w:r>
            <w:rPr>
              <w:b/>
            </w:rPr>
            <w:fldChar w:fldCharType="end"/>
          </w:r>
        </w:p>
        <w:p>
          <w:pPr>
            <w:pStyle w:val="26"/>
            <w:tabs>
              <w:tab w:val="right" w:leader="dot" w:pos="9072"/>
            </w:tabs>
            <w:rPr>
              <w:b/>
            </w:rPr>
          </w:pPr>
          <w:r>
            <w:rPr>
              <w:b/>
            </w:rPr>
            <w:fldChar w:fldCharType="begin"/>
          </w:r>
          <w:r>
            <w:rPr>
              <w:b/>
            </w:rPr>
            <w:instrText xml:space="preserve"> HYPERLINK \l _Toc27906 </w:instrText>
          </w:r>
          <w:r>
            <w:rPr>
              <w:b/>
            </w:rPr>
            <w:fldChar w:fldCharType="separate"/>
          </w:r>
          <w:r>
            <w:rPr>
              <w:rFonts w:hint="default" w:ascii="宋体" w:hAnsi="宋体" w:eastAsia="宋体" w:cs="宋体"/>
              <w:b/>
              <w:szCs w:val="24"/>
            </w:rPr>
            <w:t xml:space="preserve">3、 </w:t>
          </w:r>
          <w:r>
            <w:rPr>
              <w:rFonts w:hint="eastAsia" w:ascii="宋体" w:hAnsi="宋体" w:eastAsia="宋体" w:cs="宋体"/>
              <w:b/>
              <w:szCs w:val="24"/>
            </w:rPr>
            <w:t>主要职责分工</w:t>
          </w:r>
          <w:r>
            <w:rPr>
              <w:b/>
            </w:rPr>
            <w:tab/>
          </w:r>
          <w:r>
            <w:rPr>
              <w:b/>
            </w:rPr>
            <w:fldChar w:fldCharType="begin"/>
          </w:r>
          <w:r>
            <w:rPr>
              <w:b/>
            </w:rPr>
            <w:instrText xml:space="preserve"> PAGEREF _Toc27906 \h </w:instrText>
          </w:r>
          <w:r>
            <w:rPr>
              <w:b/>
            </w:rPr>
            <w:fldChar w:fldCharType="separate"/>
          </w:r>
          <w:r>
            <w:rPr>
              <w:b/>
            </w:rPr>
            <w:t>4</w:t>
          </w:r>
          <w:r>
            <w:rPr>
              <w:b/>
            </w:rPr>
            <w:fldChar w:fldCharType="end"/>
          </w:r>
          <w:r>
            <w:rPr>
              <w:b/>
            </w:rPr>
            <w:fldChar w:fldCharType="end"/>
          </w:r>
        </w:p>
        <w:p>
          <w:pPr>
            <w:pStyle w:val="26"/>
            <w:tabs>
              <w:tab w:val="right" w:leader="dot" w:pos="9072"/>
            </w:tabs>
            <w:rPr>
              <w:b/>
            </w:rPr>
          </w:pPr>
          <w:r>
            <w:rPr>
              <w:b/>
            </w:rPr>
            <w:fldChar w:fldCharType="begin"/>
          </w:r>
          <w:r>
            <w:rPr>
              <w:b/>
            </w:rPr>
            <w:instrText xml:space="preserve"> HYPERLINK \l _Toc18220 </w:instrText>
          </w:r>
          <w:r>
            <w:rPr>
              <w:b/>
            </w:rPr>
            <w:fldChar w:fldCharType="separate"/>
          </w:r>
          <w:r>
            <w:rPr>
              <w:rFonts w:hint="default" w:ascii="宋体" w:hAnsi="宋体" w:eastAsia="宋体" w:cs="宋体"/>
              <w:b/>
              <w:szCs w:val="24"/>
            </w:rPr>
            <w:t xml:space="preserve">4、 </w:t>
          </w:r>
          <w:r>
            <w:rPr>
              <w:rFonts w:hint="eastAsia" w:ascii="宋体" w:hAnsi="宋体" w:eastAsia="宋体" w:cs="宋体"/>
              <w:b/>
              <w:szCs w:val="24"/>
            </w:rPr>
            <w:t>宣传方法</w:t>
          </w:r>
          <w:r>
            <w:rPr>
              <w:b/>
            </w:rPr>
            <w:tab/>
          </w:r>
          <w:r>
            <w:rPr>
              <w:b/>
            </w:rPr>
            <w:fldChar w:fldCharType="begin"/>
          </w:r>
          <w:r>
            <w:rPr>
              <w:b/>
            </w:rPr>
            <w:instrText xml:space="preserve"> PAGEREF _Toc18220 \h </w:instrText>
          </w:r>
          <w:r>
            <w:rPr>
              <w:b/>
            </w:rPr>
            <w:fldChar w:fldCharType="separate"/>
          </w:r>
          <w:r>
            <w:rPr>
              <w:b/>
            </w:rPr>
            <w:t>7</w:t>
          </w:r>
          <w:r>
            <w:rPr>
              <w:b/>
            </w:rPr>
            <w:fldChar w:fldCharType="end"/>
          </w:r>
          <w:r>
            <w:rPr>
              <w:b/>
            </w:rPr>
            <w:fldChar w:fldCharType="end"/>
          </w:r>
        </w:p>
        <w:p>
          <w:r>
            <w:rPr>
              <w:b/>
            </w:rPr>
            <w:fldChar w:fldCharType="end"/>
          </w:r>
        </w:p>
      </w:sdtContent>
    </w:sdt>
    <w:p>
      <w:pPr>
        <w:spacing w:line="360" w:lineRule="auto"/>
        <w:jc w:val="center"/>
        <w:outlineLvl w:val="0"/>
        <w:rPr>
          <w:rFonts w:hint="eastAsia" w:ascii="宋体" w:hAnsi="宋体" w:eastAsia="宋体" w:cs="宋体"/>
          <w:b/>
          <w:sz w:val="24"/>
          <w:szCs w:val="24"/>
        </w:rPr>
      </w:pPr>
      <w:bookmarkStart w:id="9" w:name="_GoBack"/>
      <w:bookmarkEnd w:id="9"/>
      <w:r>
        <w:rPr>
          <w:rFonts w:hint="eastAsia" w:ascii="黑体" w:hAnsi="黑体" w:eastAsia="黑体" w:cs="黑体"/>
          <w:b/>
          <w:bCs/>
          <w:sz w:val="36"/>
          <w:szCs w:val="44"/>
          <w:lang w:val="en-US" w:eastAsia="zh-CN"/>
        </w:rPr>
        <w:br w:type="page"/>
      </w:r>
      <w:bookmarkStart w:id="0" w:name="_Toc3777"/>
      <w:r>
        <w:rPr>
          <w:rFonts w:hint="eastAsia" w:ascii="宋体" w:hAnsi="宋体" w:eastAsia="宋体" w:cs="宋体"/>
          <w:b/>
          <w:sz w:val="32"/>
          <w:szCs w:val="32"/>
        </w:rPr>
        <w:t>前言</w:t>
      </w:r>
      <w:bookmarkEnd w:id="0"/>
    </w:p>
    <w:p>
      <w:pPr>
        <w:pStyle w:val="19"/>
        <w:spacing w:line="360" w:lineRule="auto"/>
        <w:ind w:left="420"/>
        <w:rPr>
          <w:rFonts w:hint="eastAsia" w:ascii="宋体" w:hAnsi="宋体" w:eastAsia="宋体" w:cs="宋体"/>
          <w:sz w:val="24"/>
          <w:szCs w:val="24"/>
        </w:rPr>
      </w:pPr>
      <w:r>
        <w:rPr>
          <w:rFonts w:hint="eastAsia" w:ascii="宋体" w:hAnsi="宋体" w:eastAsia="宋体" w:cs="宋体"/>
          <w:sz w:val="24"/>
          <w:szCs w:val="24"/>
        </w:rPr>
        <w:t>安全文化的概念最先由国际核安全咨询组（INSAG）于1986年针对切尔诺贝利事故，在INSAG-1（后更新为INSAG--7）报告提到苏联核安全体制存在重大的安全文化的问题。企业的安全文化是企业在长期安全生产经营活动中形成的，是以人为本，保护人的身心健康，尊重人的生命、实现人的安全价值的文化，是企业安全形象的重要标志。</w:t>
      </w:r>
    </w:p>
    <w:p>
      <w:pPr>
        <w:pStyle w:val="19"/>
        <w:spacing w:line="360" w:lineRule="auto"/>
        <w:ind w:left="420" w:firstLine="440"/>
        <w:rPr>
          <w:rFonts w:hint="eastAsia" w:ascii="宋体" w:hAnsi="宋体" w:eastAsia="宋体" w:cs="宋体"/>
          <w:sz w:val="24"/>
          <w:szCs w:val="24"/>
        </w:rPr>
      </w:pPr>
      <w:r>
        <w:rPr>
          <w:rFonts w:hint="eastAsia" w:ascii="宋体" w:hAnsi="宋体" w:eastAsia="宋体" w:cs="宋体"/>
          <w:sz w:val="24"/>
          <w:szCs w:val="24"/>
        </w:rPr>
        <w:t>安全生产是企业维持经营活动最基本的条件，也是社会赋予企业的首要责任。它关系到社会秩序的整体稳定和有序，也关系到企业自身的健康发展，更关系到企业员工的生命财产安全。2020年4月1日国务院安全生产委员会印发《全国安全生产专项整治三年行动计划》的通知，为进一步完善和落实安全生产责任和管理制度，加强公司安全文化建设，健全落实齐抓共管、失职追责的安全生产责任制，为加强公司安全文化建设，积极响应安全文化建设示范单位创建工作，</w:t>
      </w:r>
    </w:p>
    <w:p>
      <w:pPr>
        <w:pStyle w:val="19"/>
        <w:spacing w:line="360" w:lineRule="auto"/>
        <w:ind w:left="420" w:firstLine="440"/>
        <w:rPr>
          <w:rFonts w:hint="eastAsia" w:ascii="宋体" w:hAnsi="宋体" w:eastAsia="宋体" w:cs="宋体"/>
          <w:sz w:val="24"/>
          <w:szCs w:val="24"/>
        </w:rPr>
      </w:pPr>
      <w:r>
        <w:rPr>
          <w:rFonts w:hint="eastAsia" w:ascii="宋体" w:hAnsi="宋体" w:eastAsia="宋体" w:cs="宋体"/>
          <w:sz w:val="24"/>
          <w:szCs w:val="24"/>
          <w:highlight w:val="none"/>
          <w:shd w:val="clear"/>
        </w:rPr>
        <w:t>结合四川省政府安办和《成都市安全文化建设示范单位评价标准》及万睿(质量)字【2020】 006号关于开展2020年安全生产专项行的通知(一)的相关内容，</w:t>
      </w:r>
      <w:r>
        <w:rPr>
          <w:rFonts w:hint="eastAsia" w:ascii="宋体" w:hAnsi="宋体" w:eastAsia="宋体" w:cs="宋体"/>
          <w:sz w:val="24"/>
          <w:szCs w:val="24"/>
          <w:lang w:val="en-US" w:eastAsia="zh-CN"/>
        </w:rPr>
        <w:t>继</w:t>
      </w:r>
      <w:r>
        <w:rPr>
          <w:rFonts w:hint="eastAsia" w:ascii="宋体" w:hAnsi="宋体" w:eastAsia="宋体" w:cs="宋体"/>
          <w:sz w:val="24"/>
          <w:szCs w:val="24"/>
        </w:rPr>
        <w:t>成都战区</w:t>
      </w:r>
      <w:r>
        <w:rPr>
          <w:rFonts w:hint="eastAsia" w:ascii="宋体" w:hAnsi="宋体" w:eastAsia="宋体" w:cs="宋体"/>
          <w:sz w:val="24"/>
          <w:szCs w:val="24"/>
          <w:lang w:val="en-US" w:eastAsia="zh-CN"/>
        </w:rPr>
        <w:t>成立了成都战区</w:t>
      </w:r>
      <w:r>
        <w:rPr>
          <w:rFonts w:hint="eastAsia" w:ascii="宋体" w:hAnsi="宋体" w:eastAsia="宋体" w:cs="宋体"/>
          <w:sz w:val="24"/>
          <w:szCs w:val="24"/>
        </w:rPr>
        <w:t>万科物业安全生产委员会</w:t>
      </w:r>
      <w:r>
        <w:rPr>
          <w:rFonts w:hint="eastAsia" w:ascii="宋体" w:hAnsi="宋体" w:eastAsia="宋体" w:cs="宋体"/>
          <w:sz w:val="24"/>
          <w:szCs w:val="24"/>
          <w:lang w:val="en-US" w:eastAsia="zh-CN"/>
        </w:rPr>
        <w:t>后</w:t>
      </w:r>
      <w:r>
        <w:rPr>
          <w:rFonts w:hint="eastAsia" w:ascii="宋体" w:hAnsi="宋体" w:eastAsia="宋体" w:cs="宋体"/>
          <w:sz w:val="24"/>
          <w:szCs w:val="24"/>
        </w:rPr>
        <w:t>，</w:t>
      </w:r>
      <w:r>
        <w:rPr>
          <w:rFonts w:hint="eastAsia" w:ascii="宋体" w:hAnsi="宋体" w:eastAsia="宋体" w:cs="宋体"/>
          <w:sz w:val="24"/>
          <w:szCs w:val="24"/>
          <w:lang w:val="en-US" w:eastAsia="zh-CN"/>
        </w:rPr>
        <w:t>结合成都万科物业南充分公司现场工作开展清楚，</w:t>
      </w:r>
      <w:r>
        <w:rPr>
          <w:rFonts w:hint="eastAsia" w:ascii="宋体" w:hAnsi="宋体" w:eastAsia="宋体" w:cs="宋体"/>
          <w:sz w:val="24"/>
          <w:szCs w:val="24"/>
        </w:rPr>
        <w:t>从各岗位作业指导及作业过程出发，由基础要求、设备设施安全管理、作业环境安全管理、作业人员自身安全管理及第三者提示管理等几个层面，对安全生产隐患进行系统梳理、识别和完善，制定了相应的预防措施与办法并形成</w:t>
      </w:r>
      <w:r>
        <w:rPr>
          <w:rFonts w:hint="eastAsia" w:ascii="宋体" w:hAnsi="宋体" w:eastAsia="宋体" w:cs="宋体"/>
          <w:sz w:val="24"/>
          <w:szCs w:val="24"/>
          <w:lang w:val="en-US" w:eastAsia="zh-CN"/>
        </w:rPr>
        <w:t>成都万科物业南充分公司</w:t>
      </w:r>
      <w:r>
        <w:rPr>
          <w:rFonts w:hint="eastAsia" w:ascii="宋体" w:hAnsi="宋体" w:eastAsia="宋体" w:cs="宋体"/>
          <w:sz w:val="24"/>
          <w:szCs w:val="24"/>
        </w:rPr>
        <w:t>安全生产管理责任清单。</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19"/>
        <w:numPr>
          <w:ilvl w:val="0"/>
          <w:numId w:val="0"/>
        </w:numPr>
        <w:spacing w:line="360" w:lineRule="auto"/>
        <w:ind w:leftChars="0"/>
        <w:jc w:val="center"/>
        <w:outlineLvl w:val="0"/>
        <w:rPr>
          <w:rFonts w:hint="eastAsia" w:ascii="宋体" w:hAnsi="宋体" w:eastAsia="宋体" w:cs="宋体"/>
          <w:b/>
          <w:kern w:val="2"/>
          <w:sz w:val="32"/>
          <w:szCs w:val="32"/>
          <w:lang w:val="en-US" w:eastAsia="zh-CN" w:bidi="ar-SA"/>
        </w:rPr>
      </w:pPr>
      <w:bookmarkStart w:id="1" w:name="_Toc30209"/>
      <w:r>
        <w:rPr>
          <w:rFonts w:hint="eastAsia" w:ascii="宋体" w:hAnsi="宋体" w:eastAsia="宋体" w:cs="宋体"/>
          <w:b/>
          <w:kern w:val="2"/>
          <w:sz w:val="32"/>
          <w:szCs w:val="32"/>
          <w:lang w:val="en-US" w:eastAsia="zh-CN" w:bidi="ar-SA"/>
        </w:rPr>
        <w:t>安全生产组织保障</w:t>
      </w:r>
      <w:bookmarkEnd w:id="1"/>
    </w:p>
    <w:p>
      <w:pPr>
        <w:pStyle w:val="19"/>
        <w:numPr>
          <w:ilvl w:val="0"/>
          <w:numId w:val="2"/>
        </w:numPr>
        <w:spacing w:line="360" w:lineRule="auto"/>
        <w:ind w:firstLineChars="0"/>
        <w:outlineLvl w:val="0"/>
        <w:rPr>
          <w:rFonts w:hint="eastAsia" w:ascii="宋体" w:hAnsi="宋体" w:eastAsia="宋体" w:cs="宋体"/>
          <w:b/>
          <w:sz w:val="24"/>
          <w:szCs w:val="24"/>
        </w:rPr>
      </w:pPr>
      <w:bookmarkStart w:id="2" w:name="_Toc4006"/>
      <w:r>
        <w:rPr>
          <w:rFonts w:hint="eastAsia" w:ascii="宋体" w:hAnsi="宋体" w:eastAsia="宋体" w:cs="宋体"/>
          <w:b/>
          <w:sz w:val="24"/>
          <w:szCs w:val="24"/>
        </w:rPr>
        <w:t>安全文明生产标语：</w:t>
      </w:r>
      <w:bookmarkEnd w:id="2"/>
    </w:p>
    <w:p>
      <w:pPr>
        <w:pStyle w:val="19"/>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“要我安全、我要安全、我会安全、人人安全“</w:t>
      </w:r>
    </w:p>
    <w:p>
      <w:pPr>
        <w:pStyle w:val="19"/>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“安全第一,生产安全大于一切“</w:t>
      </w:r>
    </w:p>
    <w:p>
      <w:pPr>
        <w:pStyle w:val="19"/>
        <w:numPr>
          <w:ilvl w:val="0"/>
          <w:numId w:val="2"/>
        </w:numPr>
        <w:spacing w:line="360" w:lineRule="auto"/>
        <w:ind w:firstLineChars="0"/>
        <w:outlineLvl w:val="0"/>
        <w:rPr>
          <w:rFonts w:hint="eastAsia" w:ascii="宋体" w:hAnsi="宋体" w:eastAsia="宋体" w:cs="宋体"/>
          <w:b/>
          <w:sz w:val="24"/>
          <w:szCs w:val="24"/>
        </w:rPr>
      </w:pPr>
      <w:bookmarkStart w:id="3" w:name="_Toc6389"/>
      <w:r>
        <w:rPr>
          <w:rFonts w:hint="eastAsia" w:ascii="宋体" w:hAnsi="宋体" w:eastAsia="宋体" w:cs="宋体"/>
          <w:b/>
          <w:sz w:val="24"/>
          <w:szCs w:val="24"/>
        </w:rPr>
        <w:t>安全生产管理组织</w:t>
      </w:r>
      <w:bookmarkEnd w:id="3"/>
    </w:p>
    <w:p>
      <w:pPr>
        <w:pStyle w:val="19"/>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顾问：</w:t>
      </w:r>
      <w:r>
        <w:rPr>
          <w:rFonts w:hint="eastAsia" w:ascii="宋体" w:hAnsi="宋体" w:eastAsia="宋体" w:cs="宋体"/>
          <w:sz w:val="24"/>
          <w:szCs w:val="24"/>
          <w:lang w:val="en-US" w:eastAsia="zh-CN"/>
        </w:rPr>
        <w:t>夏勇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公司法人）</w:t>
      </w:r>
    </w:p>
    <w:p>
      <w:pPr>
        <w:pStyle w:val="19"/>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组长：</w:t>
      </w:r>
      <w:r>
        <w:rPr>
          <w:rFonts w:hint="eastAsia" w:ascii="宋体" w:hAnsi="宋体" w:eastAsia="宋体" w:cs="宋体"/>
          <w:sz w:val="24"/>
          <w:szCs w:val="24"/>
          <w:lang w:val="en-US" w:eastAsia="zh-CN"/>
        </w:rPr>
        <w:t>谌永忠</w:t>
      </w:r>
      <w:r>
        <w:rPr>
          <w:rFonts w:hint="eastAsia" w:ascii="宋体" w:hAnsi="宋体" w:eastAsia="宋体" w:cs="宋体"/>
          <w:sz w:val="24"/>
          <w:szCs w:val="24"/>
        </w:rPr>
        <w:t>（安全生产牵头人）</w:t>
      </w:r>
    </w:p>
    <w:p>
      <w:pPr>
        <w:pStyle w:val="19"/>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副组长：</w:t>
      </w:r>
      <w:r>
        <w:rPr>
          <w:rFonts w:hint="eastAsia" w:ascii="宋体" w:hAnsi="宋体" w:eastAsia="宋体" w:cs="宋体"/>
          <w:sz w:val="24"/>
          <w:szCs w:val="24"/>
          <w:lang w:val="en-US" w:eastAsia="zh-CN"/>
        </w:rPr>
        <w:t>何柯</w:t>
      </w:r>
      <w:r>
        <w:rPr>
          <w:rFonts w:hint="eastAsia" w:ascii="宋体" w:hAnsi="宋体" w:eastAsia="宋体" w:cs="宋体"/>
          <w:sz w:val="24"/>
          <w:szCs w:val="24"/>
        </w:rPr>
        <w:t>（</w:t>
      </w:r>
      <w:r>
        <w:rPr>
          <w:rFonts w:hint="eastAsia" w:ascii="宋体" w:hAnsi="宋体" w:eastAsia="宋体" w:cs="宋体"/>
          <w:sz w:val="24"/>
          <w:szCs w:val="24"/>
          <w:lang w:val="en-US" w:eastAsia="zh-CN"/>
        </w:rPr>
        <w:t>项目经理</w:t>
      </w:r>
      <w:r>
        <w:rPr>
          <w:rFonts w:hint="eastAsia" w:ascii="宋体" w:hAnsi="宋体" w:eastAsia="宋体" w:cs="宋体"/>
          <w:sz w:val="24"/>
          <w:szCs w:val="24"/>
        </w:rPr>
        <w:t>）</w:t>
      </w:r>
    </w:p>
    <w:p>
      <w:pPr>
        <w:pStyle w:val="19"/>
        <w:numPr>
          <w:ilvl w:val="0"/>
          <w:numId w:val="3"/>
        </w:numPr>
        <w:spacing w:line="360" w:lineRule="auto"/>
        <w:ind w:firstLineChars="0"/>
        <w:rPr>
          <w:rFonts w:hint="eastAsia" w:ascii="宋体" w:hAnsi="宋体" w:eastAsia="宋体" w:cs="宋体"/>
          <w:sz w:val="24"/>
          <w:szCs w:val="24"/>
          <w:lang w:val="en-US"/>
        </w:rPr>
      </w:pPr>
      <w:r>
        <w:rPr>
          <w:rFonts w:hint="eastAsia" w:ascii="宋体" w:hAnsi="宋体" w:eastAsia="宋体" w:cs="宋体"/>
          <w:sz w:val="24"/>
          <w:szCs w:val="24"/>
        </w:rPr>
        <w:t>组员：</w:t>
      </w:r>
      <w:r>
        <w:rPr>
          <w:rFonts w:hint="eastAsia" w:ascii="宋体" w:hAnsi="宋体" w:eastAsia="宋体" w:cs="宋体"/>
          <w:sz w:val="24"/>
          <w:szCs w:val="24"/>
          <w:lang w:val="en-US" w:eastAsia="zh-CN"/>
        </w:rPr>
        <w:t>路平（安全经理）、雷洪艳（管家经理）、路平（维修经理）、陈会平（环境经理）、何蓉（环境经理）、</w:t>
      </w:r>
    </w:p>
    <w:p>
      <w:pPr>
        <w:pStyle w:val="19"/>
        <w:numPr>
          <w:ilvl w:val="0"/>
          <w:numId w:val="2"/>
        </w:numPr>
        <w:spacing w:line="360" w:lineRule="auto"/>
        <w:ind w:firstLineChars="0"/>
        <w:outlineLvl w:val="0"/>
        <w:rPr>
          <w:rFonts w:hint="eastAsia" w:ascii="宋体" w:hAnsi="宋体" w:eastAsia="宋体" w:cs="宋体"/>
          <w:b/>
          <w:sz w:val="24"/>
          <w:szCs w:val="24"/>
        </w:rPr>
      </w:pPr>
      <w:bookmarkStart w:id="4" w:name="_Toc27906"/>
      <w:r>
        <w:rPr>
          <w:rFonts w:hint="eastAsia" w:ascii="宋体" w:hAnsi="宋体" w:eastAsia="宋体" w:cs="宋体"/>
          <w:b/>
          <w:sz w:val="24"/>
          <w:szCs w:val="24"/>
        </w:rPr>
        <w:t>主要职责分工</w:t>
      </w:r>
      <w:bookmarkEnd w:id="4"/>
    </w:p>
    <w:p>
      <w:pPr>
        <w:pStyle w:val="19"/>
        <w:numPr>
          <w:ilvl w:val="0"/>
          <w:numId w:val="4"/>
        </w:numPr>
        <w:spacing w:line="360" w:lineRule="auto"/>
        <w:ind w:firstLineChars="0"/>
        <w:rPr>
          <w:rFonts w:hint="eastAsia" w:ascii="宋体" w:hAnsi="宋体" w:eastAsia="宋体" w:cs="宋体"/>
          <w:b/>
          <w:bCs/>
          <w:sz w:val="24"/>
          <w:szCs w:val="24"/>
        </w:rPr>
      </w:pPr>
      <w:r>
        <w:rPr>
          <w:rFonts w:hint="eastAsia" w:ascii="宋体" w:hAnsi="宋体" w:eastAsia="宋体" w:cs="宋体"/>
          <w:b/>
          <w:bCs/>
          <w:sz w:val="24"/>
          <w:szCs w:val="24"/>
        </w:rPr>
        <w:t>组长负责公司安全文化建设工作的总体统筹</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包括以下工作职责：</w:t>
      </w:r>
    </w:p>
    <w:p>
      <w:pPr>
        <w:pStyle w:val="19"/>
        <w:numPr>
          <w:ilvl w:val="0"/>
          <w:numId w:val="0"/>
        </w:numPr>
        <w:spacing w:line="360" w:lineRule="auto"/>
        <w:ind w:left="420" w:leftChars="0"/>
        <w:rPr>
          <w:rFonts w:hint="eastAsia" w:ascii="宋体" w:hAnsi="宋体" w:eastAsia="宋体" w:cs="宋体"/>
          <w:sz w:val="24"/>
          <w:szCs w:val="24"/>
        </w:rPr>
      </w:pPr>
      <w:r>
        <w:rPr>
          <w:rFonts w:hint="eastAsia" w:ascii="宋体" w:hAnsi="宋体" w:eastAsia="宋体" w:cs="宋体"/>
          <w:sz w:val="24"/>
          <w:szCs w:val="24"/>
        </w:rPr>
        <w:t>1．建立健全全员安全生产责任制。定期组织全员尽职履 责考核。</w:t>
      </w:r>
    </w:p>
    <w:p>
      <w:pPr>
        <w:pStyle w:val="19"/>
        <w:numPr>
          <w:ilvl w:val="0"/>
          <w:numId w:val="0"/>
        </w:numPr>
        <w:spacing w:line="360" w:lineRule="auto"/>
        <w:ind w:left="420" w:leftChars="0"/>
        <w:rPr>
          <w:rFonts w:hint="eastAsia" w:ascii="宋体" w:hAnsi="宋体" w:eastAsia="宋体" w:cs="宋体"/>
          <w:sz w:val="24"/>
          <w:szCs w:val="24"/>
        </w:rPr>
      </w:pPr>
      <w:r>
        <w:rPr>
          <w:rFonts w:hint="eastAsia" w:ascii="宋体" w:hAnsi="宋体" w:eastAsia="宋体" w:cs="宋体"/>
          <w:sz w:val="24"/>
          <w:szCs w:val="24"/>
        </w:rPr>
        <w:t>2．组织、推动企业安全生产标准化建设。</w:t>
      </w:r>
    </w:p>
    <w:p>
      <w:pPr>
        <w:pStyle w:val="19"/>
        <w:numPr>
          <w:ilvl w:val="0"/>
          <w:numId w:val="0"/>
        </w:numPr>
        <w:spacing w:line="360" w:lineRule="auto"/>
        <w:ind w:left="420" w:leftChars="0"/>
        <w:rPr>
          <w:rFonts w:hint="eastAsia" w:ascii="宋体" w:hAnsi="宋体" w:eastAsia="宋体" w:cs="宋体"/>
          <w:sz w:val="24"/>
          <w:szCs w:val="24"/>
        </w:rPr>
      </w:pPr>
      <w:r>
        <w:rPr>
          <w:rFonts w:hint="eastAsia" w:ascii="宋体" w:hAnsi="宋体" w:eastAsia="宋体" w:cs="宋体"/>
          <w:sz w:val="24"/>
          <w:szCs w:val="24"/>
        </w:rPr>
        <w:t>3．成立企业安全生产管理委员会，定期组织召开安全生 产会议，听取安全生产工作汇报，部署安全生产管理工作任务。</w:t>
      </w:r>
    </w:p>
    <w:p>
      <w:pPr>
        <w:pStyle w:val="19"/>
        <w:numPr>
          <w:ilvl w:val="0"/>
          <w:numId w:val="0"/>
        </w:numPr>
        <w:spacing w:line="360" w:lineRule="auto"/>
        <w:ind w:left="420" w:leftChars="0"/>
        <w:rPr>
          <w:rFonts w:hint="eastAsia" w:ascii="宋体" w:hAnsi="宋体" w:eastAsia="宋体" w:cs="宋体"/>
          <w:sz w:val="24"/>
          <w:szCs w:val="24"/>
        </w:rPr>
      </w:pPr>
      <w:r>
        <w:rPr>
          <w:rFonts w:hint="eastAsia" w:ascii="宋体" w:hAnsi="宋体" w:eastAsia="宋体" w:cs="宋体"/>
          <w:sz w:val="24"/>
          <w:szCs w:val="24"/>
        </w:rPr>
        <w:t>4．依法设置安全生产管理机构或者配备专（兼）职安全生产管理人员。</w:t>
      </w:r>
    </w:p>
    <w:p>
      <w:pPr>
        <w:pStyle w:val="19"/>
        <w:numPr>
          <w:ilvl w:val="0"/>
          <w:numId w:val="0"/>
        </w:numPr>
        <w:spacing w:line="360" w:lineRule="auto"/>
        <w:ind w:left="420" w:leftChars="0"/>
        <w:rPr>
          <w:rFonts w:hint="eastAsia" w:ascii="宋体" w:hAnsi="宋体" w:eastAsia="宋体" w:cs="宋体"/>
          <w:sz w:val="24"/>
          <w:szCs w:val="24"/>
        </w:rPr>
      </w:pPr>
      <w:r>
        <w:rPr>
          <w:rFonts w:hint="eastAsia" w:ascii="宋体" w:hAnsi="宋体" w:eastAsia="宋体" w:cs="宋体"/>
          <w:sz w:val="24"/>
          <w:szCs w:val="24"/>
        </w:rPr>
        <w:t>5. 加强学习，不断提升安全生产意识和管理能力。</w:t>
      </w:r>
    </w:p>
    <w:p>
      <w:pPr>
        <w:pStyle w:val="19"/>
        <w:numPr>
          <w:ilvl w:val="0"/>
          <w:numId w:val="0"/>
        </w:numPr>
        <w:spacing w:line="360" w:lineRule="auto"/>
        <w:ind w:left="420" w:leftChars="0"/>
        <w:rPr>
          <w:rFonts w:hint="eastAsia" w:ascii="宋体" w:hAnsi="宋体" w:eastAsia="宋体" w:cs="宋体"/>
          <w:sz w:val="24"/>
          <w:szCs w:val="24"/>
        </w:rPr>
      </w:pPr>
      <w:r>
        <w:rPr>
          <w:rFonts w:hint="eastAsia" w:ascii="宋体" w:hAnsi="宋体" w:eastAsia="宋体" w:cs="宋体"/>
          <w:sz w:val="24"/>
          <w:szCs w:val="24"/>
        </w:rPr>
        <w:t>6．组织制定并批准企业安全生产规章制度、操作规程等。</w:t>
      </w:r>
    </w:p>
    <w:p>
      <w:pPr>
        <w:pStyle w:val="19"/>
        <w:numPr>
          <w:ilvl w:val="0"/>
          <w:numId w:val="0"/>
        </w:numPr>
        <w:spacing w:line="360" w:lineRule="auto"/>
        <w:ind w:left="420" w:leftChars="0"/>
        <w:rPr>
          <w:rFonts w:hint="eastAsia" w:ascii="宋体" w:hAnsi="宋体" w:eastAsia="宋体" w:cs="宋体"/>
          <w:sz w:val="24"/>
          <w:szCs w:val="24"/>
        </w:rPr>
      </w:pPr>
      <w:r>
        <w:rPr>
          <w:rFonts w:hint="eastAsia" w:ascii="宋体" w:hAnsi="宋体" w:eastAsia="宋体" w:cs="宋体"/>
          <w:sz w:val="24"/>
          <w:szCs w:val="24"/>
        </w:rPr>
        <w:t>7. 组织制定并批准企业安全教育及培训计划。</w:t>
      </w:r>
    </w:p>
    <w:p>
      <w:pPr>
        <w:pStyle w:val="19"/>
        <w:numPr>
          <w:ilvl w:val="0"/>
          <w:numId w:val="0"/>
        </w:numPr>
        <w:spacing w:line="360" w:lineRule="auto"/>
        <w:ind w:left="420" w:leftChars="0"/>
        <w:rPr>
          <w:rFonts w:hint="eastAsia" w:ascii="宋体" w:hAnsi="宋体" w:eastAsia="宋体" w:cs="宋体"/>
          <w:sz w:val="24"/>
          <w:szCs w:val="24"/>
        </w:rPr>
      </w:pPr>
      <w:r>
        <w:rPr>
          <w:rFonts w:hint="eastAsia" w:ascii="宋体" w:hAnsi="宋体" w:eastAsia="宋体" w:cs="宋体"/>
          <w:sz w:val="24"/>
          <w:szCs w:val="24"/>
        </w:rPr>
        <w:t>8．与投资人进行沟通及协调，获取安全生产资金、技术、 人员等投入支持，确保安全生产投入的有效落实。</w:t>
      </w:r>
    </w:p>
    <w:p>
      <w:pPr>
        <w:pStyle w:val="19"/>
        <w:numPr>
          <w:ilvl w:val="0"/>
          <w:numId w:val="0"/>
        </w:numPr>
        <w:spacing w:line="360" w:lineRule="auto"/>
        <w:ind w:left="420" w:leftChars="0"/>
        <w:rPr>
          <w:rFonts w:hint="eastAsia" w:ascii="宋体" w:hAnsi="宋体" w:eastAsia="宋体" w:cs="宋体"/>
          <w:sz w:val="24"/>
          <w:szCs w:val="24"/>
        </w:rPr>
      </w:pPr>
      <w:r>
        <w:rPr>
          <w:rFonts w:hint="eastAsia" w:ascii="宋体" w:hAnsi="宋体" w:eastAsia="宋体" w:cs="宋体"/>
          <w:sz w:val="24"/>
          <w:szCs w:val="24"/>
        </w:rPr>
        <w:t>9．组织建立并落实安全风险分级管控和隐患排查治理双 重预防工作机制。加强双重预防工作落实情况的督促检查。</w:t>
      </w:r>
    </w:p>
    <w:p>
      <w:pPr>
        <w:pStyle w:val="19"/>
        <w:numPr>
          <w:ilvl w:val="0"/>
          <w:numId w:val="0"/>
        </w:numPr>
        <w:spacing w:line="360" w:lineRule="auto"/>
        <w:ind w:left="420" w:leftChars="0"/>
        <w:rPr>
          <w:rFonts w:hint="eastAsia" w:ascii="宋体" w:hAnsi="宋体" w:eastAsia="宋体" w:cs="宋体"/>
          <w:sz w:val="24"/>
          <w:szCs w:val="24"/>
        </w:rPr>
      </w:pPr>
      <w:r>
        <w:rPr>
          <w:rFonts w:hint="eastAsia" w:ascii="宋体" w:hAnsi="宋体" w:eastAsia="宋体" w:cs="宋体"/>
          <w:sz w:val="24"/>
          <w:szCs w:val="24"/>
        </w:rPr>
        <w:t>10．组织制定并批准生产安全事故应急预案，督促落实配 置应急救援物资、装备，督促定期组织预案演练。</w:t>
      </w:r>
    </w:p>
    <w:p>
      <w:pPr>
        <w:pStyle w:val="19"/>
        <w:numPr>
          <w:ilvl w:val="0"/>
          <w:numId w:val="0"/>
        </w:numPr>
        <w:spacing w:line="360" w:lineRule="auto"/>
        <w:ind w:left="420" w:leftChars="0"/>
        <w:rPr>
          <w:rFonts w:hint="eastAsia" w:ascii="宋体" w:hAnsi="宋体" w:eastAsia="宋体" w:cs="宋体"/>
          <w:sz w:val="24"/>
          <w:szCs w:val="24"/>
        </w:rPr>
      </w:pPr>
      <w:r>
        <w:rPr>
          <w:rFonts w:hint="eastAsia" w:ascii="宋体" w:hAnsi="宋体" w:eastAsia="宋体" w:cs="宋体"/>
          <w:sz w:val="24"/>
          <w:szCs w:val="24"/>
        </w:rPr>
        <w:t>11．出现生产安全事故，应迅速采取有效措施，组织救援，防止事故扩大，减少人员伤亡和财产损失，并按照国家有 关规定及时、如实向相关部门报告生产安全事故。</w:t>
      </w:r>
    </w:p>
    <w:p>
      <w:pPr>
        <w:pStyle w:val="19"/>
        <w:numPr>
          <w:ilvl w:val="0"/>
          <w:numId w:val="4"/>
        </w:numPr>
        <w:spacing w:line="360" w:lineRule="auto"/>
        <w:ind w:firstLineChars="0"/>
        <w:rPr>
          <w:rFonts w:hint="eastAsia" w:ascii="宋体" w:hAnsi="宋体" w:eastAsia="宋体" w:cs="宋体"/>
          <w:b/>
          <w:bCs/>
          <w:sz w:val="24"/>
          <w:szCs w:val="24"/>
        </w:rPr>
      </w:pPr>
      <w:r>
        <w:rPr>
          <w:rFonts w:hint="eastAsia" w:ascii="宋体" w:hAnsi="宋体" w:eastAsia="宋体" w:cs="宋体"/>
          <w:b/>
          <w:bCs/>
          <w:sz w:val="24"/>
          <w:szCs w:val="24"/>
        </w:rPr>
        <w:t>副组长负责按照安全生产专项行动要求推动落地</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包括以下工作职责：</w:t>
      </w:r>
    </w:p>
    <w:p>
      <w:pPr>
        <w:pStyle w:val="19"/>
        <w:numPr>
          <w:ilvl w:val="0"/>
          <w:numId w:val="0"/>
        </w:numPr>
        <w:spacing w:line="360" w:lineRule="auto"/>
        <w:ind w:left="420" w:leftChars="0"/>
        <w:rPr>
          <w:rFonts w:hint="eastAsia" w:ascii="宋体" w:hAnsi="宋体" w:eastAsia="宋体" w:cs="宋体"/>
          <w:sz w:val="24"/>
          <w:szCs w:val="24"/>
        </w:rPr>
      </w:pPr>
      <w:r>
        <w:rPr>
          <w:rFonts w:hint="eastAsia" w:ascii="宋体" w:hAnsi="宋体" w:eastAsia="宋体" w:cs="宋体"/>
          <w:sz w:val="24"/>
          <w:szCs w:val="24"/>
        </w:rPr>
        <w:t>1．加强安全生产知识学习，提升安全生产管理能力。</w:t>
      </w:r>
    </w:p>
    <w:p>
      <w:pPr>
        <w:pStyle w:val="19"/>
        <w:numPr>
          <w:ilvl w:val="0"/>
          <w:numId w:val="0"/>
        </w:numPr>
        <w:spacing w:line="360" w:lineRule="auto"/>
        <w:ind w:left="420" w:leftChars="0"/>
        <w:rPr>
          <w:rFonts w:hint="eastAsia" w:ascii="宋体" w:hAnsi="宋体" w:eastAsia="宋体" w:cs="宋体"/>
          <w:sz w:val="24"/>
          <w:szCs w:val="24"/>
        </w:rPr>
      </w:pPr>
      <w:r>
        <w:rPr>
          <w:rFonts w:hint="eastAsia" w:ascii="宋体" w:hAnsi="宋体" w:eastAsia="宋体" w:cs="宋体"/>
          <w:sz w:val="24"/>
          <w:szCs w:val="24"/>
        </w:rPr>
        <w:t>2．组织或参与企业安全生产规章制度、操作规程和生产安全事故应急救援预案的拟定，并组织落实执行。定期对制度、规程落实执行情况进行审核评价，依据评价结果不断修订完善安全生产规章制度、操作规程。</w:t>
      </w:r>
    </w:p>
    <w:p>
      <w:pPr>
        <w:pStyle w:val="19"/>
        <w:numPr>
          <w:ilvl w:val="0"/>
          <w:numId w:val="0"/>
        </w:numPr>
        <w:spacing w:line="360" w:lineRule="auto"/>
        <w:ind w:left="420" w:leftChars="0"/>
        <w:rPr>
          <w:rFonts w:hint="eastAsia" w:ascii="宋体" w:hAnsi="宋体" w:eastAsia="宋体" w:cs="宋体"/>
          <w:sz w:val="24"/>
          <w:szCs w:val="24"/>
        </w:rPr>
      </w:pPr>
      <w:r>
        <w:rPr>
          <w:rFonts w:hint="eastAsia" w:ascii="宋体" w:hAnsi="宋体" w:eastAsia="宋体" w:cs="宋体"/>
          <w:sz w:val="24"/>
          <w:szCs w:val="24"/>
        </w:rPr>
        <w:t>3．组织或参与企业安全生产教育培训，并建立教育培训档案，如实记录安全生产教育培训时间、内容、从业人员以及考核结果等情况。</w:t>
      </w:r>
    </w:p>
    <w:p>
      <w:pPr>
        <w:pStyle w:val="19"/>
        <w:numPr>
          <w:ilvl w:val="0"/>
          <w:numId w:val="0"/>
        </w:numPr>
        <w:spacing w:line="360" w:lineRule="auto"/>
        <w:ind w:left="420" w:leftChars="0"/>
        <w:rPr>
          <w:rFonts w:hint="eastAsia" w:ascii="宋体" w:hAnsi="宋体" w:eastAsia="宋体" w:cs="宋体"/>
          <w:sz w:val="24"/>
          <w:szCs w:val="24"/>
        </w:rPr>
      </w:pPr>
      <w:r>
        <w:rPr>
          <w:rFonts w:hint="eastAsia" w:ascii="宋体" w:hAnsi="宋体" w:eastAsia="宋体" w:cs="宋体"/>
          <w:sz w:val="24"/>
          <w:szCs w:val="24"/>
        </w:rPr>
        <w:t>4．组织开展企业危险源辨识、风险评价，依据评价结果，拟定安全风险分级管控措施，并组织落实执行。定期对风险分级管控情况进行监督、检查。</w:t>
      </w:r>
    </w:p>
    <w:p>
      <w:pPr>
        <w:pStyle w:val="19"/>
        <w:numPr>
          <w:ilvl w:val="0"/>
          <w:numId w:val="0"/>
        </w:numPr>
        <w:spacing w:line="360" w:lineRule="auto"/>
        <w:ind w:left="420" w:leftChars="0"/>
        <w:rPr>
          <w:rFonts w:hint="eastAsia" w:ascii="宋体" w:hAnsi="宋体" w:eastAsia="宋体" w:cs="宋体"/>
          <w:sz w:val="24"/>
          <w:szCs w:val="24"/>
        </w:rPr>
      </w:pPr>
      <w:r>
        <w:rPr>
          <w:rFonts w:hint="eastAsia" w:ascii="宋体" w:hAnsi="宋体" w:eastAsia="宋体" w:cs="宋体"/>
          <w:sz w:val="24"/>
          <w:szCs w:val="24"/>
        </w:rPr>
        <w:t>5．组织开展事故隐患排查，对排查出的隐患，会同相关 部门、责任人提出整改措施，并督促整改，消除隐患。</w:t>
      </w:r>
    </w:p>
    <w:p>
      <w:pPr>
        <w:pStyle w:val="19"/>
        <w:numPr>
          <w:ilvl w:val="0"/>
          <w:numId w:val="0"/>
        </w:numPr>
        <w:spacing w:line="360" w:lineRule="auto"/>
        <w:ind w:left="420" w:leftChars="0"/>
        <w:rPr>
          <w:rFonts w:hint="eastAsia" w:ascii="宋体" w:hAnsi="宋体" w:eastAsia="宋体" w:cs="宋体"/>
          <w:sz w:val="24"/>
          <w:szCs w:val="24"/>
        </w:rPr>
      </w:pPr>
      <w:r>
        <w:rPr>
          <w:rFonts w:hint="eastAsia" w:ascii="宋体" w:hAnsi="宋体" w:eastAsia="宋体" w:cs="宋体"/>
          <w:sz w:val="24"/>
          <w:szCs w:val="24"/>
        </w:rPr>
        <w:t>6．定期组织企业生产安全事故应急救援预案演练。并结 合实际，不断修订完善预案。</w:t>
      </w:r>
    </w:p>
    <w:p>
      <w:pPr>
        <w:pStyle w:val="19"/>
        <w:numPr>
          <w:ilvl w:val="0"/>
          <w:numId w:val="0"/>
        </w:numPr>
        <w:spacing w:line="360" w:lineRule="auto"/>
        <w:ind w:left="420" w:leftChars="0"/>
        <w:rPr>
          <w:rFonts w:hint="eastAsia" w:ascii="宋体" w:hAnsi="宋体" w:eastAsia="宋体" w:cs="宋体"/>
          <w:sz w:val="24"/>
          <w:szCs w:val="24"/>
        </w:rPr>
      </w:pPr>
      <w:r>
        <w:rPr>
          <w:rFonts w:hint="eastAsia" w:ascii="宋体" w:hAnsi="宋体" w:eastAsia="宋体" w:cs="宋体"/>
          <w:sz w:val="24"/>
          <w:szCs w:val="24"/>
        </w:rPr>
        <w:t>7．定期组织安全生产检查，制止和纠正违章指挥、强令 冒险作业、违反操作规程的行为。</w:t>
      </w:r>
    </w:p>
    <w:p>
      <w:pPr>
        <w:pStyle w:val="19"/>
        <w:numPr>
          <w:ilvl w:val="0"/>
          <w:numId w:val="0"/>
        </w:numPr>
        <w:spacing w:line="360" w:lineRule="auto"/>
        <w:ind w:left="420" w:leftChars="0"/>
        <w:rPr>
          <w:rFonts w:hint="eastAsia" w:ascii="宋体" w:hAnsi="宋体" w:eastAsia="宋体" w:cs="宋体"/>
          <w:sz w:val="24"/>
          <w:szCs w:val="24"/>
        </w:rPr>
      </w:pPr>
      <w:r>
        <w:rPr>
          <w:rFonts w:hint="eastAsia" w:ascii="宋体" w:hAnsi="宋体" w:eastAsia="宋体" w:cs="宋体"/>
          <w:sz w:val="24"/>
          <w:szCs w:val="24"/>
        </w:rPr>
        <w:t>8．定期组织企业安全生产状况评估，并根据评估结果， 提出改善措施，及时报告企业负责人，落实整改，提升安全生产管理水平。</w:t>
      </w:r>
    </w:p>
    <w:p>
      <w:pPr>
        <w:pStyle w:val="19"/>
        <w:numPr>
          <w:ilvl w:val="0"/>
          <w:numId w:val="4"/>
        </w:numPr>
        <w:spacing w:line="360" w:lineRule="auto"/>
        <w:ind w:firstLineChars="0"/>
        <w:rPr>
          <w:rFonts w:hint="eastAsia" w:ascii="宋体" w:hAnsi="宋体" w:eastAsia="宋体" w:cs="宋体"/>
          <w:b/>
          <w:bCs/>
          <w:sz w:val="24"/>
          <w:szCs w:val="24"/>
        </w:rPr>
      </w:pPr>
      <w:r>
        <w:rPr>
          <w:rFonts w:hint="eastAsia" w:ascii="宋体" w:hAnsi="宋体" w:eastAsia="宋体" w:cs="宋体"/>
          <w:b/>
          <w:bCs/>
          <w:sz w:val="24"/>
          <w:szCs w:val="24"/>
        </w:rPr>
        <w:t>各组员按照安全文化建设要求在各专业线、各项目执行落地</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包括以下工作职责：</w:t>
      </w:r>
    </w:p>
    <w:p>
      <w:pPr>
        <w:pStyle w:val="19"/>
        <w:numPr>
          <w:ilvl w:val="0"/>
          <w:numId w:val="0"/>
        </w:numPr>
        <w:spacing w:line="360" w:lineRule="auto"/>
        <w:ind w:left="420" w:leftChars="0"/>
        <w:outlineLvl w:val="0"/>
        <w:rPr>
          <w:rFonts w:hint="eastAsia" w:ascii="宋体" w:hAnsi="宋体" w:eastAsia="宋体" w:cs="宋体"/>
          <w:b/>
          <w:sz w:val="24"/>
          <w:szCs w:val="24"/>
        </w:rPr>
      </w:pPr>
      <w:bookmarkStart w:id="5" w:name="_Toc2272"/>
      <w:r>
        <w:rPr>
          <w:rFonts w:hint="eastAsia" w:ascii="宋体" w:hAnsi="宋体" w:eastAsia="宋体" w:cs="宋体"/>
          <w:b/>
          <w:sz w:val="24"/>
          <w:szCs w:val="24"/>
          <w:lang w:val="en-US" w:eastAsia="zh-CN"/>
        </w:rPr>
        <w:t>1、</w:t>
      </w:r>
      <w:r>
        <w:rPr>
          <w:rFonts w:hint="eastAsia" w:ascii="宋体" w:hAnsi="宋体" w:eastAsia="宋体" w:cs="宋体"/>
          <w:b/>
          <w:sz w:val="24"/>
          <w:szCs w:val="24"/>
        </w:rPr>
        <w:t>项目设施设备维养部负责人</w:t>
      </w:r>
      <w:bookmarkEnd w:id="5"/>
    </w:p>
    <w:p>
      <w:pPr>
        <w:pStyle w:val="19"/>
        <w:numPr>
          <w:ilvl w:val="0"/>
          <w:numId w:val="0"/>
        </w:numPr>
        <w:spacing w:line="360" w:lineRule="auto"/>
        <w:ind w:left="420" w:leftChars="0"/>
        <w:rPr>
          <w:rFonts w:hint="eastAsia" w:ascii="宋体" w:hAnsi="宋体" w:eastAsia="宋体" w:cs="宋体"/>
          <w:sz w:val="24"/>
          <w:szCs w:val="24"/>
        </w:rPr>
      </w:pPr>
      <w:r>
        <w:rPr>
          <w:rFonts w:hint="eastAsia" w:ascii="宋体" w:hAnsi="宋体" w:eastAsia="宋体" w:cs="宋体"/>
          <w:sz w:val="24"/>
          <w:szCs w:val="24"/>
        </w:rPr>
        <w:t>1．落实本部门全员安全生产责任制。明确各岗位安全生产责任人、责任范围，并定期对部门员工尽职履责情况进 行监督检查。</w:t>
      </w:r>
    </w:p>
    <w:p>
      <w:pPr>
        <w:pStyle w:val="19"/>
        <w:numPr>
          <w:ilvl w:val="0"/>
          <w:numId w:val="0"/>
        </w:numPr>
        <w:spacing w:line="360" w:lineRule="auto"/>
        <w:ind w:left="420" w:leftChars="0"/>
        <w:rPr>
          <w:rFonts w:hint="eastAsia" w:ascii="宋体" w:hAnsi="宋体" w:eastAsia="宋体" w:cs="宋体"/>
          <w:sz w:val="24"/>
          <w:szCs w:val="24"/>
        </w:rPr>
      </w:pPr>
      <w:r>
        <w:rPr>
          <w:rFonts w:hint="eastAsia" w:ascii="宋体" w:hAnsi="宋体" w:eastAsia="宋体" w:cs="宋体"/>
          <w:sz w:val="24"/>
          <w:szCs w:val="24"/>
        </w:rPr>
        <w:t>2．对照物业服务、安全生产标准化标准规范部门的各项服务和安全生产工作，实现标准化体系的建立并保持有效的运行，实现常态化的安全生产管理。</w:t>
      </w:r>
    </w:p>
    <w:p>
      <w:pPr>
        <w:pStyle w:val="19"/>
        <w:numPr>
          <w:ilvl w:val="0"/>
          <w:numId w:val="0"/>
        </w:numPr>
        <w:spacing w:line="360" w:lineRule="auto"/>
        <w:ind w:left="420" w:leftChars="0"/>
        <w:rPr>
          <w:rFonts w:hint="eastAsia" w:ascii="宋体" w:hAnsi="宋体" w:eastAsia="宋体" w:cs="宋体"/>
          <w:sz w:val="24"/>
          <w:szCs w:val="24"/>
        </w:rPr>
      </w:pPr>
      <w:r>
        <w:rPr>
          <w:rFonts w:hint="eastAsia" w:ascii="宋体" w:hAnsi="宋体" w:eastAsia="宋体" w:cs="宋体"/>
          <w:sz w:val="24"/>
          <w:szCs w:val="24"/>
        </w:rPr>
        <w:t>3．依照工作计划安排组织部门员工对项目共用设施设备的日常运行进行管理维护，确保设施设备的安全正常运行。</w:t>
      </w:r>
    </w:p>
    <w:p>
      <w:pPr>
        <w:pStyle w:val="19"/>
        <w:numPr>
          <w:ilvl w:val="0"/>
          <w:numId w:val="0"/>
        </w:numPr>
        <w:spacing w:line="360" w:lineRule="auto"/>
        <w:ind w:left="420" w:leftChars="0"/>
        <w:rPr>
          <w:rFonts w:hint="eastAsia" w:ascii="宋体" w:hAnsi="宋体" w:eastAsia="宋体" w:cs="宋体"/>
          <w:sz w:val="24"/>
          <w:szCs w:val="24"/>
        </w:rPr>
      </w:pPr>
      <w:r>
        <w:rPr>
          <w:rFonts w:hint="eastAsia" w:ascii="宋体" w:hAnsi="宋体" w:eastAsia="宋体" w:cs="宋体"/>
          <w:sz w:val="24"/>
          <w:szCs w:val="24"/>
        </w:rPr>
        <w:t>4．组织本部门员工开展生产过程中危险源识别，落实安全风险分级管控措施。</w:t>
      </w:r>
    </w:p>
    <w:p>
      <w:pPr>
        <w:pStyle w:val="19"/>
        <w:numPr>
          <w:ilvl w:val="0"/>
          <w:numId w:val="0"/>
        </w:numPr>
        <w:spacing w:line="360" w:lineRule="auto"/>
        <w:ind w:left="420" w:leftChars="0"/>
        <w:rPr>
          <w:rFonts w:hint="eastAsia" w:ascii="宋体" w:hAnsi="宋体" w:eastAsia="宋体" w:cs="宋体"/>
          <w:sz w:val="24"/>
          <w:szCs w:val="24"/>
        </w:rPr>
      </w:pPr>
      <w:r>
        <w:rPr>
          <w:rFonts w:hint="eastAsia" w:ascii="宋体" w:hAnsi="宋体" w:eastAsia="宋体" w:cs="宋体"/>
          <w:sz w:val="24"/>
          <w:szCs w:val="24"/>
        </w:rPr>
        <w:t>5．组织本部门员工开展生产过程中事故隐患排查，并根据工作安排，积极参与隐患治理，及时消除事故隐患。</w:t>
      </w:r>
    </w:p>
    <w:p>
      <w:pPr>
        <w:pStyle w:val="19"/>
        <w:numPr>
          <w:ilvl w:val="0"/>
          <w:numId w:val="0"/>
        </w:numPr>
        <w:spacing w:line="360" w:lineRule="auto"/>
        <w:ind w:left="420" w:leftChars="0"/>
        <w:rPr>
          <w:rFonts w:hint="eastAsia" w:ascii="宋体" w:hAnsi="宋体" w:eastAsia="宋体" w:cs="宋体"/>
          <w:sz w:val="24"/>
          <w:szCs w:val="24"/>
        </w:rPr>
      </w:pPr>
      <w:r>
        <w:rPr>
          <w:rFonts w:hint="eastAsia" w:ascii="宋体" w:hAnsi="宋体" w:eastAsia="宋体" w:cs="宋体"/>
          <w:sz w:val="24"/>
          <w:szCs w:val="24"/>
        </w:rPr>
        <w:t>6．定期对本部门使用的各类机具设备、防护用品进行检测保养，规范使用，确保使用机具设备、防护用品安全、可靠。</w:t>
      </w:r>
    </w:p>
    <w:p>
      <w:pPr>
        <w:pStyle w:val="19"/>
        <w:numPr>
          <w:ilvl w:val="0"/>
          <w:numId w:val="0"/>
        </w:numPr>
        <w:spacing w:line="360" w:lineRule="auto"/>
        <w:ind w:left="420" w:leftChars="0"/>
        <w:rPr>
          <w:rFonts w:hint="eastAsia" w:ascii="宋体" w:hAnsi="宋体" w:eastAsia="宋体" w:cs="宋体"/>
          <w:sz w:val="24"/>
          <w:szCs w:val="24"/>
        </w:rPr>
      </w:pPr>
      <w:r>
        <w:rPr>
          <w:rFonts w:hint="eastAsia" w:ascii="宋体" w:hAnsi="宋体" w:eastAsia="宋体" w:cs="宋体"/>
          <w:sz w:val="24"/>
          <w:szCs w:val="24"/>
        </w:rPr>
        <w:t>7．落实危险作业管理制度，对高处作业、有限空间作业、 动火作业等危险作业坚持作业票审批管理和现场监护管理。</w:t>
      </w:r>
    </w:p>
    <w:p>
      <w:pPr>
        <w:pStyle w:val="19"/>
        <w:numPr>
          <w:ilvl w:val="0"/>
          <w:numId w:val="0"/>
        </w:numPr>
        <w:spacing w:line="360" w:lineRule="auto"/>
        <w:ind w:left="420" w:leftChars="0"/>
        <w:rPr>
          <w:rFonts w:hint="eastAsia" w:ascii="宋体" w:hAnsi="宋体" w:eastAsia="宋体" w:cs="宋体"/>
          <w:sz w:val="24"/>
          <w:szCs w:val="24"/>
        </w:rPr>
      </w:pPr>
      <w:r>
        <w:rPr>
          <w:rFonts w:hint="eastAsia" w:ascii="宋体" w:hAnsi="宋体" w:eastAsia="宋体" w:cs="宋体"/>
          <w:sz w:val="24"/>
          <w:szCs w:val="24"/>
        </w:rPr>
        <w:t>8. 负责对消防、电梯、监控维保等外包单位安全生产监督、检查。</w:t>
      </w:r>
    </w:p>
    <w:p>
      <w:pPr>
        <w:pStyle w:val="19"/>
        <w:numPr>
          <w:ilvl w:val="0"/>
          <w:numId w:val="0"/>
        </w:numPr>
        <w:spacing w:line="360" w:lineRule="auto"/>
        <w:ind w:left="420" w:leftChars="0"/>
        <w:rPr>
          <w:rFonts w:hint="eastAsia" w:ascii="宋体" w:hAnsi="宋体" w:eastAsia="宋体" w:cs="宋体"/>
          <w:sz w:val="24"/>
          <w:szCs w:val="24"/>
        </w:rPr>
      </w:pPr>
      <w:r>
        <w:rPr>
          <w:rFonts w:hint="eastAsia" w:ascii="宋体" w:hAnsi="宋体" w:eastAsia="宋体" w:cs="宋体"/>
          <w:sz w:val="24"/>
          <w:szCs w:val="24"/>
        </w:rPr>
        <w:t>9．开展安全生产检查，制止和纠正违章指挥、强令冒险</w:t>
      </w:r>
    </w:p>
    <w:p>
      <w:pPr>
        <w:pStyle w:val="19"/>
        <w:numPr>
          <w:ilvl w:val="0"/>
          <w:numId w:val="0"/>
        </w:numPr>
        <w:spacing w:line="360" w:lineRule="auto"/>
        <w:ind w:left="420" w:leftChars="0"/>
        <w:outlineLvl w:val="0"/>
        <w:rPr>
          <w:rFonts w:hint="eastAsia" w:ascii="宋体" w:hAnsi="宋体" w:eastAsia="宋体" w:cs="宋体"/>
          <w:b/>
          <w:sz w:val="24"/>
          <w:szCs w:val="24"/>
          <w:lang w:val="en-US" w:eastAsia="zh-CN"/>
        </w:rPr>
      </w:pPr>
      <w:bookmarkStart w:id="6" w:name="_Toc30057"/>
      <w:r>
        <w:rPr>
          <w:rFonts w:hint="eastAsia" w:ascii="宋体" w:hAnsi="宋体" w:eastAsia="宋体" w:cs="宋体"/>
          <w:b/>
          <w:sz w:val="24"/>
          <w:szCs w:val="24"/>
          <w:lang w:val="en-US" w:eastAsia="zh-CN"/>
        </w:rPr>
        <w:t>2、项目客户服务部负责人</w:t>
      </w:r>
      <w:bookmarkEnd w:id="6"/>
    </w:p>
    <w:p>
      <w:pPr>
        <w:pStyle w:val="19"/>
        <w:numPr>
          <w:ilvl w:val="0"/>
          <w:numId w:val="0"/>
        </w:numPr>
        <w:spacing w:line="360" w:lineRule="auto"/>
        <w:ind w:left="42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1．落实本部门安全生产责任制，明确各岗位安全生产责任人、责任范围，并定期对部门员工尽职履责情况进行监 督检查。</w:t>
      </w:r>
    </w:p>
    <w:p>
      <w:pPr>
        <w:pStyle w:val="19"/>
        <w:numPr>
          <w:ilvl w:val="0"/>
          <w:numId w:val="0"/>
        </w:numPr>
        <w:spacing w:line="360" w:lineRule="auto"/>
        <w:ind w:left="42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2．对照物业服务、安全生产标准化标准规范部门的各项服务和安全生产工作，实现标准化体系的建立并保持有效 的运行，实现常态化的安全生产管理。</w:t>
      </w:r>
    </w:p>
    <w:p>
      <w:pPr>
        <w:pStyle w:val="19"/>
        <w:numPr>
          <w:ilvl w:val="0"/>
          <w:numId w:val="0"/>
        </w:numPr>
        <w:spacing w:line="360" w:lineRule="auto"/>
        <w:ind w:left="42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3．组织本部门员工开展生产过程中危险源识别，落实风险分级管控措施。</w:t>
      </w:r>
    </w:p>
    <w:p>
      <w:pPr>
        <w:pStyle w:val="19"/>
        <w:numPr>
          <w:ilvl w:val="0"/>
          <w:numId w:val="0"/>
        </w:numPr>
        <w:spacing w:line="360" w:lineRule="auto"/>
        <w:ind w:left="42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4．组织本部门员工开展生产过程中事故隐患排查，并根据工作安排，积极参与隐患治理，及时消除事故隐患。</w:t>
      </w:r>
    </w:p>
    <w:p>
      <w:pPr>
        <w:pStyle w:val="19"/>
        <w:numPr>
          <w:ilvl w:val="0"/>
          <w:numId w:val="0"/>
        </w:numPr>
        <w:spacing w:line="360" w:lineRule="auto"/>
        <w:ind w:left="42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5．定期对本部门使用的各类设施设备、防护用品进行检测保养，规范使用，确保员工使用机具设备、防护用品安全、可靠。</w:t>
      </w:r>
    </w:p>
    <w:p>
      <w:pPr>
        <w:pStyle w:val="19"/>
        <w:numPr>
          <w:ilvl w:val="0"/>
          <w:numId w:val="0"/>
        </w:numPr>
        <w:spacing w:line="360" w:lineRule="auto"/>
        <w:ind w:left="42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 负责对业主、物业使用人安全生产、安全知识宣传（如：禁止高空抛物、电动自行车规范充电等），提升安全防护意识，提高自救互助能力。</w:t>
      </w:r>
    </w:p>
    <w:p>
      <w:pPr>
        <w:pStyle w:val="19"/>
        <w:numPr>
          <w:ilvl w:val="0"/>
          <w:numId w:val="0"/>
        </w:numPr>
        <w:spacing w:line="360" w:lineRule="auto"/>
        <w:ind w:left="42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7．组织本部门员工开展专项应急演练或现场处置应急演练，不断提升应急处置能力。</w:t>
      </w:r>
    </w:p>
    <w:p>
      <w:pPr>
        <w:pStyle w:val="19"/>
        <w:numPr>
          <w:ilvl w:val="0"/>
          <w:numId w:val="0"/>
        </w:numPr>
        <w:spacing w:line="360" w:lineRule="auto"/>
        <w:ind w:left="420" w:leftChars="0"/>
        <w:outlineLvl w:val="0"/>
        <w:rPr>
          <w:rFonts w:hint="eastAsia" w:ascii="宋体" w:hAnsi="宋体" w:eastAsia="宋体" w:cs="宋体"/>
          <w:b/>
          <w:sz w:val="24"/>
          <w:szCs w:val="24"/>
          <w:lang w:val="en-US" w:eastAsia="zh-CN"/>
        </w:rPr>
      </w:pPr>
      <w:bookmarkStart w:id="7" w:name="_Toc5845"/>
      <w:r>
        <w:rPr>
          <w:rFonts w:hint="eastAsia" w:ascii="宋体" w:hAnsi="宋体" w:eastAsia="宋体" w:cs="宋体"/>
          <w:b/>
          <w:sz w:val="24"/>
          <w:szCs w:val="24"/>
          <w:lang w:val="en-US" w:eastAsia="zh-CN"/>
        </w:rPr>
        <w:t>3、项目秩序维护部负责人</w:t>
      </w:r>
      <w:bookmarkEnd w:id="7"/>
    </w:p>
    <w:p>
      <w:pPr>
        <w:pStyle w:val="19"/>
        <w:numPr>
          <w:ilvl w:val="0"/>
          <w:numId w:val="0"/>
        </w:numPr>
        <w:spacing w:line="360" w:lineRule="auto"/>
        <w:ind w:left="42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1.落实本部门安全生产责任制，明确各岗位安全生产责任人、责任范围，并定期对部门员工尽职履责情况进行监 督检查。</w:t>
      </w:r>
    </w:p>
    <w:p>
      <w:pPr>
        <w:pStyle w:val="19"/>
        <w:numPr>
          <w:ilvl w:val="0"/>
          <w:numId w:val="0"/>
        </w:numPr>
        <w:spacing w:line="360" w:lineRule="auto"/>
        <w:ind w:left="42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2．对照物业服务、安全生产标准化标准规范部门的各项服务和安全生产工作，实现标准化体系的建立并保持有效 的运行，实现常态化的安全生产管理。</w:t>
      </w:r>
    </w:p>
    <w:p>
      <w:pPr>
        <w:pStyle w:val="19"/>
        <w:numPr>
          <w:ilvl w:val="0"/>
          <w:numId w:val="0"/>
        </w:numPr>
        <w:spacing w:line="360" w:lineRule="auto"/>
        <w:ind w:left="42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依照工作计划安排组织部门员工落实本项目公共秩序维护工作。包括： 项目安防及消防设施设备使用管理； 交通秩序维护；治安、安全等事件应急处置等。</w:t>
      </w:r>
    </w:p>
    <w:p>
      <w:pPr>
        <w:pStyle w:val="19"/>
        <w:numPr>
          <w:ilvl w:val="0"/>
          <w:numId w:val="0"/>
        </w:numPr>
        <w:spacing w:line="360" w:lineRule="auto"/>
        <w:ind w:left="42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4．组织本部门员工开展生产过程中危险源识别，落实风险分级管控措施。</w:t>
      </w:r>
    </w:p>
    <w:p>
      <w:pPr>
        <w:pStyle w:val="19"/>
        <w:numPr>
          <w:ilvl w:val="0"/>
          <w:numId w:val="0"/>
        </w:numPr>
        <w:spacing w:line="360" w:lineRule="auto"/>
        <w:ind w:left="42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 组织本部门员工开展生产过程中事故隐患排查，并根据工作安排，积极参与隐患治理，及时消除事故隐患。</w:t>
      </w:r>
    </w:p>
    <w:p>
      <w:pPr>
        <w:pStyle w:val="19"/>
        <w:numPr>
          <w:ilvl w:val="0"/>
          <w:numId w:val="0"/>
        </w:numPr>
        <w:spacing w:line="360" w:lineRule="auto"/>
        <w:ind w:left="42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 管理维护本部门使用的各类设施设备、防护用品，以及应急救援物资、装备等。</w:t>
      </w:r>
    </w:p>
    <w:p>
      <w:pPr>
        <w:pStyle w:val="19"/>
        <w:numPr>
          <w:ilvl w:val="0"/>
          <w:numId w:val="0"/>
        </w:numPr>
        <w:spacing w:line="360" w:lineRule="auto"/>
        <w:ind w:left="42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 组织本部门员工经常性开展安全生产和岗位业务操作技能培训。</w:t>
      </w:r>
    </w:p>
    <w:p>
      <w:pPr>
        <w:pStyle w:val="19"/>
        <w:numPr>
          <w:ilvl w:val="0"/>
          <w:numId w:val="0"/>
        </w:numPr>
        <w:spacing w:line="360" w:lineRule="auto"/>
        <w:ind w:left="420"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 组织本部门员工开展专项应急演练或现场处置应急演练，不断提升应急处置能力。</w:t>
      </w:r>
    </w:p>
    <w:p>
      <w:pPr>
        <w:pStyle w:val="19"/>
        <w:numPr>
          <w:ilvl w:val="0"/>
          <w:numId w:val="2"/>
        </w:numPr>
        <w:spacing w:line="360" w:lineRule="auto"/>
        <w:ind w:firstLineChars="0"/>
        <w:outlineLvl w:val="0"/>
        <w:rPr>
          <w:rFonts w:hint="eastAsia" w:ascii="宋体" w:hAnsi="宋体" w:eastAsia="宋体" w:cs="宋体"/>
          <w:b/>
          <w:sz w:val="24"/>
          <w:szCs w:val="24"/>
        </w:rPr>
      </w:pPr>
      <w:bookmarkStart w:id="8" w:name="_Toc18220"/>
      <w:r>
        <w:rPr>
          <w:rFonts w:hint="eastAsia" w:ascii="宋体" w:hAnsi="宋体" w:eastAsia="宋体" w:cs="宋体"/>
          <w:b/>
          <w:sz w:val="24"/>
          <w:szCs w:val="24"/>
        </w:rPr>
        <w:t>宣传方法</w:t>
      </w:r>
      <w:bookmarkEnd w:id="8"/>
    </w:p>
    <w:p>
      <w:pPr>
        <w:pStyle w:val="19"/>
        <w:numPr>
          <w:ilvl w:val="0"/>
          <w:numId w:val="5"/>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全员开展安全文明生产培训，增强安全防范意识，掌握安全防范知识</w:t>
      </w:r>
    </w:p>
    <w:p>
      <w:pPr>
        <w:pStyle w:val="19"/>
        <w:spacing w:line="360" w:lineRule="auto"/>
        <w:ind w:left="840" w:firstLine="0" w:firstLineChars="0"/>
        <w:rPr>
          <w:rFonts w:hint="eastAsia" w:ascii="宋体" w:hAnsi="宋体" w:eastAsia="宋体" w:cs="宋体"/>
          <w:sz w:val="24"/>
          <w:szCs w:val="24"/>
        </w:rPr>
      </w:pPr>
      <w:r>
        <w:rPr>
          <w:rFonts w:hint="eastAsia" w:ascii="宋体" w:hAnsi="宋体" w:eastAsia="宋体" w:cs="宋体"/>
          <w:sz w:val="24"/>
          <w:szCs w:val="24"/>
        </w:rPr>
        <w:t>①涉及安全方面的有关定义的解释</w:t>
      </w:r>
    </w:p>
    <w:p>
      <w:pPr>
        <w:pStyle w:val="19"/>
        <w:spacing w:line="360" w:lineRule="auto"/>
        <w:ind w:left="840" w:firstLine="0" w:firstLineChars="0"/>
        <w:rPr>
          <w:rFonts w:hint="eastAsia" w:ascii="宋体" w:hAnsi="宋体" w:eastAsia="宋体" w:cs="宋体"/>
          <w:sz w:val="24"/>
          <w:szCs w:val="24"/>
        </w:rPr>
      </w:pPr>
      <w:r>
        <w:rPr>
          <w:rFonts w:hint="eastAsia" w:ascii="宋体" w:hAnsi="宋体" w:eastAsia="宋体" w:cs="宋体"/>
          <w:sz w:val="24"/>
          <w:szCs w:val="24"/>
        </w:rPr>
        <w:t>②对已发生的安全事故的经验性总结</w:t>
      </w:r>
    </w:p>
    <w:p>
      <w:pPr>
        <w:pStyle w:val="19"/>
        <w:spacing w:line="360" w:lineRule="auto"/>
        <w:ind w:left="840" w:firstLine="0" w:firstLineChars="0"/>
        <w:rPr>
          <w:rFonts w:hint="eastAsia" w:ascii="宋体" w:hAnsi="宋体" w:eastAsia="宋体" w:cs="宋体"/>
          <w:sz w:val="24"/>
          <w:szCs w:val="24"/>
        </w:rPr>
      </w:pPr>
      <w:r>
        <w:rPr>
          <w:rFonts w:hint="eastAsia" w:ascii="宋体" w:hAnsi="宋体" w:eastAsia="宋体" w:cs="宋体"/>
          <w:sz w:val="24"/>
          <w:szCs w:val="24"/>
        </w:rPr>
        <w:t>③为预防安全事故而进行的劝导和防范</w:t>
      </w:r>
    </w:p>
    <w:p>
      <w:pPr>
        <w:pStyle w:val="19"/>
        <w:numPr>
          <w:ilvl w:val="0"/>
          <w:numId w:val="5"/>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努力推进“以人为本、关注安全、关爱生命”的安全文化建设</w:t>
      </w:r>
    </w:p>
    <w:p>
      <w:pPr>
        <w:pStyle w:val="19"/>
        <w:spacing w:line="360" w:lineRule="auto"/>
        <w:ind w:left="840" w:firstLine="0" w:firstLineChars="0"/>
        <w:rPr>
          <w:rFonts w:hint="eastAsia" w:ascii="宋体" w:hAnsi="宋体" w:eastAsia="宋体" w:cs="宋体"/>
          <w:sz w:val="24"/>
          <w:szCs w:val="24"/>
        </w:rPr>
      </w:pPr>
      <w:r>
        <w:rPr>
          <w:rFonts w:hint="eastAsia" w:ascii="宋体" w:hAnsi="宋体" w:eastAsia="宋体" w:cs="宋体"/>
          <w:sz w:val="24"/>
          <w:szCs w:val="24"/>
        </w:rPr>
        <w:t>①建立安全管理制度，实施考核机制</w:t>
      </w:r>
    </w:p>
    <w:p>
      <w:pPr>
        <w:pStyle w:val="19"/>
        <w:spacing w:line="360" w:lineRule="auto"/>
        <w:ind w:left="840" w:firstLine="0" w:firstLineChars="0"/>
        <w:rPr>
          <w:rFonts w:hint="eastAsia" w:ascii="宋体" w:hAnsi="宋体" w:eastAsia="宋体" w:cs="宋体"/>
          <w:sz w:val="24"/>
          <w:szCs w:val="24"/>
        </w:rPr>
      </w:pPr>
      <w:r>
        <w:rPr>
          <w:rFonts w:hint="eastAsia" w:ascii="宋体" w:hAnsi="宋体" w:eastAsia="宋体" w:cs="宋体"/>
          <w:sz w:val="24"/>
          <w:szCs w:val="24"/>
        </w:rPr>
        <w:t>②按照安全管理标准执行，相关责任人严格把控</w:t>
      </w:r>
    </w:p>
    <w:p>
      <w:pPr>
        <w:pStyle w:val="19"/>
        <w:numPr>
          <w:ilvl w:val="0"/>
          <w:numId w:val="5"/>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加强新闻宣传工作，坚持正确舆论导向</w:t>
      </w:r>
    </w:p>
    <w:p>
      <w:pPr>
        <w:pStyle w:val="19"/>
        <w:numPr>
          <w:ilvl w:val="0"/>
          <w:numId w:val="5"/>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各级安全监管监察部门要成立由主管负责人为组长的领导机构，落实责任，明确分工，认真组织。</w:t>
      </w:r>
    </w:p>
    <w:p>
      <w:pPr>
        <w:spacing w:line="360" w:lineRule="auto"/>
        <w:ind w:left="420" w:firstLine="480" w:firstLineChars="200"/>
        <w:rPr>
          <w:rFonts w:hint="eastAsia" w:ascii="宋体" w:hAnsi="宋体" w:eastAsia="宋体" w:cs="宋体"/>
          <w:sz w:val="24"/>
          <w:szCs w:val="24"/>
        </w:rPr>
      </w:pPr>
      <w:r>
        <w:rPr>
          <w:rFonts w:hint="eastAsia" w:ascii="宋体" w:hAnsi="宋体" w:eastAsia="宋体" w:cs="宋体"/>
          <w:sz w:val="24"/>
          <w:szCs w:val="24"/>
        </w:rPr>
        <w:t>宣教行动做到有方案、有项目、有行动，做到方案落实、项目落实、责任落实、人员落实、完成时限落实</w:t>
      </w:r>
    </w:p>
    <w:p>
      <w:pPr>
        <w:widowControl w:val="0"/>
        <w:spacing w:line="360" w:lineRule="auto"/>
        <w:jc w:val="both"/>
        <w:rPr>
          <w:rFonts w:hint="eastAsia" w:ascii="宋体" w:hAnsi="宋体" w:eastAsia="宋体" w:cs="宋体"/>
          <w:b/>
          <w:bCs/>
          <w:sz w:val="24"/>
          <w:szCs w:val="24"/>
          <w:lang w:val="en-US" w:eastAsia="zh-CN"/>
        </w:rPr>
      </w:pPr>
    </w:p>
    <w:sectPr>
      <w:headerReference r:id="rId5" w:type="default"/>
      <w:footerReference r:id="rId6" w:type="default"/>
      <w:pgSz w:w="11906" w:h="16838"/>
      <w:pgMar w:top="1134" w:right="1417" w:bottom="1134" w:left="1417" w:header="851" w:footer="992" w:gutter="0"/>
      <w:pgBorders>
        <w:top w:val="none" w:sz="0" w:space="0"/>
        <w:left w:val="none" w:sz="0" w:space="0"/>
        <w:bottom w:val="none" w:sz="0" w:space="0"/>
        <w:right w:val="none" w:sz="0" w:space="0"/>
      </w:pgBorders>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imesTen Roman">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9388" w:type="dxa"/>
      <w:jc w:val="center"/>
      <w:tblLayout w:type="fixed"/>
      <w:tblCellMar>
        <w:top w:w="0" w:type="dxa"/>
        <w:left w:w="0" w:type="dxa"/>
        <w:bottom w:w="0" w:type="dxa"/>
        <w:right w:w="0" w:type="dxa"/>
      </w:tblCellMar>
    </w:tblPr>
    <w:tblGrid>
      <w:gridCol w:w="966"/>
      <w:gridCol w:w="800"/>
      <w:gridCol w:w="950"/>
      <w:gridCol w:w="917"/>
      <w:gridCol w:w="1050"/>
      <w:gridCol w:w="735"/>
      <w:gridCol w:w="862"/>
      <w:gridCol w:w="936"/>
      <w:gridCol w:w="2172"/>
    </w:tblGrid>
    <w:tr>
      <w:tblPrEx>
        <w:tblCellMar>
          <w:top w:w="0" w:type="dxa"/>
          <w:left w:w="0" w:type="dxa"/>
          <w:bottom w:w="0" w:type="dxa"/>
          <w:right w:w="0" w:type="dxa"/>
        </w:tblCellMar>
      </w:tblPrEx>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AQSCHYZD-2023</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名称</w:t>
          </w:r>
        </w:p>
      </w:tc>
      <w:tc>
        <w:tcPr>
          <w:tcW w:w="445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b/>
              <w:bCs/>
              <w:sz w:val="20"/>
              <w:szCs w:val="20"/>
            </w:rPr>
            <w:t>安全生产</w:t>
          </w:r>
          <w:r>
            <w:rPr>
              <w:rFonts w:hint="eastAsia"/>
              <w:b/>
              <w:bCs/>
              <w:sz w:val="20"/>
              <w:szCs w:val="20"/>
              <w:lang w:val="en-US" w:eastAsia="zh-CN"/>
            </w:rPr>
            <w:t>奖惩</w:t>
          </w:r>
          <w:r>
            <w:rPr>
              <w:rFonts w:hint="eastAsia"/>
              <w:b/>
              <w:bCs/>
              <w:sz w:val="20"/>
              <w:szCs w:val="20"/>
            </w:rPr>
            <w:t>制度</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版本</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rPr>
            <w:t>A/0</w:t>
          </w:r>
        </w:p>
      </w:tc>
      <w:tc>
        <w:tcPr>
          <w:tcW w:w="21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10</w:t>
          </w:r>
          <w:r>
            <w:rPr>
              <w:rFonts w:hint="eastAsia"/>
              <w:b/>
              <w:bCs/>
            </w:rPr>
            <w:t>页</w:t>
          </w:r>
        </w:p>
      </w:tc>
    </w:tr>
    <w:tr>
      <w:tblPrEx>
        <w:tblCellMar>
          <w:top w:w="0" w:type="dxa"/>
          <w:left w:w="0" w:type="dxa"/>
          <w:bottom w:w="0" w:type="dxa"/>
          <w:right w:w="0" w:type="dxa"/>
        </w:tblCellMar>
      </w:tblPrEx>
      <w:trPr>
        <w:cantSplit/>
        <w:trHeight w:val="537"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批准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bl>
  <w:p>
    <w:pPr>
      <w:pStyle w:val="12"/>
      <w:pBdr>
        <w:bottom w:val="none" w:color="auto" w:sz="0" w:space="1"/>
      </w:pBdr>
      <w:jc w:val="both"/>
      <w:rPr>
        <w:rFonts w:hint="default"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8991" w:type="dxa"/>
      <w:jc w:val="center"/>
      <w:tblLayout w:type="fixed"/>
      <w:tblCellMar>
        <w:top w:w="0" w:type="dxa"/>
        <w:left w:w="0" w:type="dxa"/>
        <w:bottom w:w="0" w:type="dxa"/>
        <w:right w:w="0" w:type="dxa"/>
      </w:tblCellMar>
    </w:tblPr>
    <w:tblGrid>
      <w:gridCol w:w="762"/>
      <w:gridCol w:w="800"/>
      <w:gridCol w:w="950"/>
      <w:gridCol w:w="917"/>
      <w:gridCol w:w="1050"/>
      <w:gridCol w:w="828"/>
      <w:gridCol w:w="960"/>
      <w:gridCol w:w="745"/>
      <w:gridCol w:w="1979"/>
    </w:tblGrid>
    <w:tr>
      <w:tblPrEx>
        <w:tblCellMar>
          <w:top w:w="0" w:type="dxa"/>
          <w:left w:w="0" w:type="dxa"/>
          <w:bottom w:w="0" w:type="dxa"/>
          <w:right w:w="0" w:type="dxa"/>
        </w:tblCellMar>
      </w:tblPrEx>
      <w:trPr>
        <w:cantSplit/>
        <w:trHeight w:val="269" w:hRule="atLeast"/>
        <w:jc w:val="center"/>
      </w:trPr>
      <w:tc>
        <w:tcPr>
          <w:tcW w:w="5307"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9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编号</w:t>
          </w:r>
        </w:p>
      </w:tc>
      <w:tc>
        <w:tcPr>
          <w:tcW w:w="2724"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AQSCGLZD-2023</w:t>
          </w:r>
          <w:r>
            <w:rPr>
              <w:rFonts w:ascii="宋体" w:hAnsi="宋体"/>
            </w:rPr>
            <w:t>-00</w:t>
          </w:r>
          <w:r>
            <w:rPr>
              <w:rFonts w:hint="eastAsia" w:ascii="宋体" w:hAnsi="宋体"/>
              <w:lang w:val="en-US" w:eastAsia="zh-CN"/>
            </w:rPr>
            <w:t>1</w:t>
          </w:r>
        </w:p>
      </w:tc>
    </w:tr>
    <w:tr>
      <w:tblPrEx>
        <w:tblCellMar>
          <w:top w:w="0" w:type="dxa"/>
          <w:left w:w="0" w:type="dxa"/>
          <w:bottom w:w="0" w:type="dxa"/>
          <w:right w:w="0" w:type="dxa"/>
        </w:tblCellMar>
      </w:tblPrEx>
      <w:trPr>
        <w:cantSplit/>
        <w:trHeight w:val="90" w:hRule="atLeast"/>
        <w:jc w:val="center"/>
      </w:trPr>
      <w:tc>
        <w:tcPr>
          <w:tcW w:w="76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名称</w:t>
          </w:r>
        </w:p>
      </w:tc>
      <w:tc>
        <w:tcPr>
          <w:tcW w:w="4545"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ascii="宋体" w:hAnsi="宋体"/>
              <w:szCs w:val="21"/>
              <w:lang w:val="en-US" w:eastAsia="zh-CN"/>
            </w:rPr>
            <w:t>安全生产管理制度</w:t>
          </w:r>
        </w:p>
      </w:tc>
      <w:tc>
        <w:tcPr>
          <w:tcW w:w="96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版本</w:t>
          </w:r>
        </w:p>
      </w:tc>
      <w:tc>
        <w:tcPr>
          <w:tcW w:w="74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rPr>
            <w:t>A/0</w:t>
          </w:r>
        </w:p>
      </w:tc>
      <w:tc>
        <w:tcPr>
          <w:tcW w:w="197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7</w:t>
          </w:r>
          <w:r>
            <w:rPr>
              <w:rFonts w:hint="eastAsia"/>
              <w:b/>
              <w:bCs/>
            </w:rPr>
            <w:t>页</w:t>
          </w:r>
        </w:p>
      </w:tc>
    </w:tr>
    <w:tr>
      <w:tblPrEx>
        <w:tblCellMar>
          <w:top w:w="0" w:type="dxa"/>
          <w:left w:w="0" w:type="dxa"/>
          <w:bottom w:w="0" w:type="dxa"/>
          <w:right w:w="0" w:type="dxa"/>
        </w:tblCellMar>
      </w:tblPrEx>
      <w:trPr>
        <w:cantSplit/>
        <w:trHeight w:val="189" w:hRule="atLeast"/>
        <w:jc w:val="center"/>
      </w:trPr>
      <w:tc>
        <w:tcPr>
          <w:tcW w:w="76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批准</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96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rPr>
              <w:b/>
              <w:bCs/>
            </w:rPr>
          </w:pPr>
          <w:r>
            <w:rPr>
              <w:rFonts w:hint="eastAsia"/>
              <w:b/>
              <w:bCs/>
            </w:rPr>
            <w:t>生效期</w:t>
          </w:r>
        </w:p>
      </w:tc>
      <w:tc>
        <w:tcPr>
          <w:tcW w:w="272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9"/>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bl>
  <w:p>
    <w:pPr>
      <w:pStyle w:val="12"/>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numPicBullet w:numPicBulletId="2">
    <w:pict>
      <v:shape id="2" type="#_x0000_t75" style="width:15px;height:15px" o:bullet="t">
        <v:imagedata r:id="rId3" o:title=""/>
      </v:shape>
    </w:pict>
  </w:numPicBullet>
  <w:abstractNum w:abstractNumId="0">
    <w:nsid w:val="100D682C"/>
    <w:multiLevelType w:val="multilevel"/>
    <w:tmpl w:val="100D682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4BF832B8"/>
    <w:multiLevelType w:val="multilevel"/>
    <w:tmpl w:val="4BF832B8"/>
    <w:lvl w:ilvl="0" w:tentative="0">
      <w:start w:val="1"/>
      <w:numFmt w:val="bullet"/>
      <w:lvlText w:val=""/>
      <w:lvlPicBulletId w:val="1"/>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69B87A43"/>
    <w:multiLevelType w:val="multilevel"/>
    <w:tmpl w:val="69B87A43"/>
    <w:lvl w:ilvl="0" w:tentative="0">
      <w:start w:val="1"/>
      <w:numFmt w:val="bullet"/>
      <w:lvlText w:val=""/>
      <w:lvlPicBulletId w:val="2"/>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6BC65FE3"/>
    <w:multiLevelType w:val="multilevel"/>
    <w:tmpl w:val="6BC65FE3"/>
    <w:lvl w:ilvl="0" w:tentative="0">
      <w:start w:val="1"/>
      <w:numFmt w:val="bullet"/>
      <w:lvlText w:val=""/>
      <w:lvlPicBulletId w:val="0"/>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73B4174C"/>
    <w:multiLevelType w:val="multilevel"/>
    <w:tmpl w:val="73B4174C"/>
    <w:lvl w:ilvl="0" w:tentative="0">
      <w:start w:val="1"/>
      <w:numFmt w:val="decimal"/>
      <w:suff w:val="space"/>
      <w:lvlText w:val="%1"/>
      <w:lvlJc w:val="left"/>
      <w:pPr>
        <w:ind w:left="210" w:hanging="210"/>
      </w:pPr>
      <w:rPr>
        <w:rFonts w:hint="eastAsia" w:ascii="Arial" w:hAnsi="Arial" w:eastAsia="宋体"/>
        <w:b/>
        <w:i w:val="0"/>
        <w:sz w:val="24"/>
      </w:rPr>
    </w:lvl>
    <w:lvl w:ilvl="1" w:tentative="0">
      <w:start w:val="1"/>
      <w:numFmt w:val="decimal"/>
      <w:pStyle w:val="4"/>
      <w:suff w:val="space"/>
      <w:lvlText w:val="%1.%2"/>
      <w:lvlJc w:val="left"/>
      <w:pPr>
        <w:ind w:left="397" w:hanging="397"/>
      </w:pPr>
      <w:rPr>
        <w:rFonts w:hint="eastAsia"/>
      </w:rPr>
    </w:lvl>
    <w:lvl w:ilvl="2" w:tentative="0">
      <w:start w:val="1"/>
      <w:numFmt w:val="decimal"/>
      <w:suff w:val="space"/>
      <w:lvlText w:val="%1.%2.%3"/>
      <w:lvlJc w:val="left"/>
      <w:pPr>
        <w:ind w:left="607" w:hanging="607"/>
      </w:pPr>
      <w:rPr>
        <w:rFonts w:hint="eastAsia"/>
      </w:rPr>
    </w:lvl>
    <w:lvl w:ilvl="3" w:tentative="0">
      <w:start w:val="1"/>
      <w:numFmt w:val="decimal"/>
      <w:pStyle w:val="22"/>
      <w:suff w:val="space"/>
      <w:lvlText w:val="(%4)"/>
      <w:lvlJc w:val="left"/>
      <w:pPr>
        <w:ind w:left="527" w:hanging="357"/>
      </w:pPr>
      <w:rPr>
        <w:rFonts w:hint="eastAsia"/>
      </w:rPr>
    </w:lvl>
    <w:lvl w:ilvl="4" w:tentative="0">
      <w:start w:val="1"/>
      <w:numFmt w:val="upperLetter"/>
      <w:suff w:val="space"/>
      <w:lvlText w:val="%5."/>
      <w:lvlJc w:val="left"/>
      <w:pPr>
        <w:ind w:left="629" w:hanging="289"/>
      </w:pPr>
      <w:rPr>
        <w:rFonts w:hint="eastAsia"/>
      </w:rPr>
    </w:lvl>
    <w:lvl w:ilvl="5" w:tentative="0">
      <w:start w:val="1"/>
      <w:numFmt w:val="none"/>
      <w:lvlText w:val=""/>
      <w:lvlJc w:val="left"/>
      <w:pPr>
        <w:ind w:left="340" w:firstLine="0"/>
      </w:pPr>
      <w:rPr>
        <w:rFonts w:hint="eastAsia"/>
      </w:rPr>
    </w:lvl>
    <w:lvl w:ilvl="6" w:tentative="0">
      <w:start w:val="1"/>
      <w:numFmt w:val="none"/>
      <w:lvlText w:val=""/>
      <w:lvlJc w:val="left"/>
      <w:pPr>
        <w:ind w:left="340" w:firstLine="0"/>
      </w:pPr>
      <w:rPr>
        <w:rFonts w:hint="eastAsia"/>
      </w:rPr>
    </w:lvl>
    <w:lvl w:ilvl="7" w:tentative="0">
      <w:start w:val="1"/>
      <w:numFmt w:val="none"/>
      <w:lvlText w:val=""/>
      <w:lvlJc w:val="left"/>
      <w:pPr>
        <w:ind w:left="340" w:firstLine="0"/>
      </w:pPr>
      <w:rPr>
        <w:rFonts w:hint="eastAsia"/>
      </w:rPr>
    </w:lvl>
    <w:lvl w:ilvl="8" w:tentative="0">
      <w:start w:val="1"/>
      <w:numFmt w:val="none"/>
      <w:lvlText w:val=""/>
      <w:lvlJc w:val="left"/>
      <w:pPr>
        <w:ind w:left="340" w:firstLine="0"/>
      </w:pPr>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7C852B1A"/>
    <w:rsid w:val="004505B6"/>
    <w:rsid w:val="00C33403"/>
    <w:rsid w:val="01850F77"/>
    <w:rsid w:val="024A6B88"/>
    <w:rsid w:val="04A43DC5"/>
    <w:rsid w:val="04BC5D9C"/>
    <w:rsid w:val="065E65CE"/>
    <w:rsid w:val="09AE56A8"/>
    <w:rsid w:val="09E541DD"/>
    <w:rsid w:val="0B743BC9"/>
    <w:rsid w:val="0B98046A"/>
    <w:rsid w:val="0FD141C3"/>
    <w:rsid w:val="11A706B9"/>
    <w:rsid w:val="11D334FB"/>
    <w:rsid w:val="11F600D7"/>
    <w:rsid w:val="13145075"/>
    <w:rsid w:val="17E8173E"/>
    <w:rsid w:val="19475930"/>
    <w:rsid w:val="1B715B45"/>
    <w:rsid w:val="1C540E62"/>
    <w:rsid w:val="1EA60393"/>
    <w:rsid w:val="202C0FB4"/>
    <w:rsid w:val="213C4FC9"/>
    <w:rsid w:val="22A7542C"/>
    <w:rsid w:val="260E2B09"/>
    <w:rsid w:val="26473ED0"/>
    <w:rsid w:val="2CBA7CDF"/>
    <w:rsid w:val="2DAD42EB"/>
    <w:rsid w:val="2DD41286"/>
    <w:rsid w:val="2EE971D6"/>
    <w:rsid w:val="2FAC16F6"/>
    <w:rsid w:val="31F87619"/>
    <w:rsid w:val="32B94714"/>
    <w:rsid w:val="33021B8B"/>
    <w:rsid w:val="33237387"/>
    <w:rsid w:val="34A640F4"/>
    <w:rsid w:val="35377ED2"/>
    <w:rsid w:val="35EF6B71"/>
    <w:rsid w:val="360A5E18"/>
    <w:rsid w:val="374F76FB"/>
    <w:rsid w:val="38D25620"/>
    <w:rsid w:val="3CF01CCF"/>
    <w:rsid w:val="3F6D0A65"/>
    <w:rsid w:val="3FBA776C"/>
    <w:rsid w:val="414A7C46"/>
    <w:rsid w:val="41FC66A4"/>
    <w:rsid w:val="42267595"/>
    <w:rsid w:val="42522137"/>
    <w:rsid w:val="42892A33"/>
    <w:rsid w:val="42937935"/>
    <w:rsid w:val="429955FF"/>
    <w:rsid w:val="432F3B2D"/>
    <w:rsid w:val="436A3622"/>
    <w:rsid w:val="43CC3AB9"/>
    <w:rsid w:val="44160433"/>
    <w:rsid w:val="44BB575E"/>
    <w:rsid w:val="47533CBC"/>
    <w:rsid w:val="48A907DA"/>
    <w:rsid w:val="499800C1"/>
    <w:rsid w:val="4B257199"/>
    <w:rsid w:val="4C87182C"/>
    <w:rsid w:val="4D633F8B"/>
    <w:rsid w:val="4DCA4FE6"/>
    <w:rsid w:val="4EDB3540"/>
    <w:rsid w:val="4F2828FA"/>
    <w:rsid w:val="51000C05"/>
    <w:rsid w:val="539D78BB"/>
    <w:rsid w:val="56355A77"/>
    <w:rsid w:val="59A958FF"/>
    <w:rsid w:val="59B209F8"/>
    <w:rsid w:val="5A3E57E0"/>
    <w:rsid w:val="5B6A20D4"/>
    <w:rsid w:val="5C273FB3"/>
    <w:rsid w:val="5D727568"/>
    <w:rsid w:val="5ED36EC0"/>
    <w:rsid w:val="5F650707"/>
    <w:rsid w:val="5FCA5376"/>
    <w:rsid w:val="60FD01C3"/>
    <w:rsid w:val="6157146B"/>
    <w:rsid w:val="623969F3"/>
    <w:rsid w:val="62B51F71"/>
    <w:rsid w:val="62E9411A"/>
    <w:rsid w:val="668579AF"/>
    <w:rsid w:val="6BE7740C"/>
    <w:rsid w:val="6C004B0A"/>
    <w:rsid w:val="6C0F0CED"/>
    <w:rsid w:val="6C2E204E"/>
    <w:rsid w:val="6CE71124"/>
    <w:rsid w:val="6CF438D5"/>
    <w:rsid w:val="6D25144D"/>
    <w:rsid w:val="6E5864B7"/>
    <w:rsid w:val="6F867812"/>
    <w:rsid w:val="70620E64"/>
    <w:rsid w:val="706F589F"/>
    <w:rsid w:val="710B44B6"/>
    <w:rsid w:val="73BD355B"/>
    <w:rsid w:val="741E2752"/>
    <w:rsid w:val="76922A9F"/>
    <w:rsid w:val="78363B67"/>
    <w:rsid w:val="78A91184"/>
    <w:rsid w:val="79616112"/>
    <w:rsid w:val="7A3420E8"/>
    <w:rsid w:val="7A820227"/>
    <w:rsid w:val="7B2F3497"/>
    <w:rsid w:val="7C852B1A"/>
    <w:rsid w:val="7D62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keepNext/>
      <w:keepLines/>
      <w:spacing w:before="340" w:after="330" w:line="578" w:lineRule="auto"/>
      <w:outlineLvl w:val="0"/>
    </w:pPr>
    <w:rPr>
      <w:b/>
      <w:bCs/>
      <w:kern w:val="44"/>
      <w:sz w:val="44"/>
      <w:szCs w:val="44"/>
    </w:rPr>
  </w:style>
  <w:style w:type="paragraph" w:styleId="4">
    <w:name w:val="heading 2"/>
    <w:next w:val="1"/>
    <w:qFormat/>
    <w:uiPriority w:val="99"/>
    <w:pPr>
      <w:numPr>
        <w:ilvl w:val="1"/>
        <w:numId w:val="1"/>
      </w:numPr>
      <w:spacing w:line="360" w:lineRule="auto"/>
      <w:outlineLvl w:val="1"/>
    </w:pPr>
    <w:rPr>
      <w:rFonts w:ascii="Arial" w:hAnsi="Arial" w:eastAsia="宋体" w:cs="Times New Roman"/>
      <w:b/>
      <w:snapToGrid w:val="0"/>
      <w:sz w:val="24"/>
      <w:szCs w:val="24"/>
      <w:lang w:val="en-US" w:eastAsia="zh-CN" w:bidi="ar-SA"/>
    </w:rPr>
  </w:style>
  <w:style w:type="paragraph" w:styleId="5">
    <w:name w:val="heading 3"/>
    <w:basedOn w:val="1"/>
    <w:next w:val="1"/>
    <w:qFormat/>
    <w:uiPriority w:val="0"/>
    <w:pPr>
      <w:keepNext/>
      <w:keepLines/>
      <w:widowControl w:val="0"/>
      <w:spacing w:before="260" w:after="260" w:line="416" w:lineRule="auto"/>
      <w:jc w:val="both"/>
      <w:outlineLvl w:val="2"/>
    </w:pPr>
    <w:rPr>
      <w:rFonts w:ascii="Times New Roman" w:hAnsi="Times New Roman"/>
      <w:b/>
      <w:bCs/>
      <w:kern w:val="2"/>
      <w:sz w:val="32"/>
      <w:szCs w:val="32"/>
      <w:lang w:val="en-US" w:eastAsia="zh-CN"/>
    </w:rPr>
  </w:style>
  <w:style w:type="paragraph" w:styleId="6">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7">
    <w:name w:val="Body Text Indent"/>
    <w:basedOn w:val="1"/>
    <w:qFormat/>
    <w:uiPriority w:val="0"/>
    <w:pPr>
      <w:spacing w:line="360" w:lineRule="auto"/>
      <w:ind w:firstLine="482" w:firstLineChars="200"/>
    </w:pPr>
    <w:rPr>
      <w:rFonts w:ascii="宋体" w:hAnsi="宋体"/>
      <w:b/>
      <w:sz w:val="24"/>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szCs w:val="20"/>
    </w:rPr>
  </w:style>
  <w:style w:type="paragraph" w:styleId="10">
    <w:name w:val="Body Text Indent 2"/>
    <w:basedOn w:val="1"/>
    <w:qFormat/>
    <w:uiPriority w:val="0"/>
    <w:pPr>
      <w:widowControl/>
      <w:spacing w:after="120" w:line="480" w:lineRule="auto"/>
      <w:ind w:left="420" w:leftChars="200"/>
      <w:jc w:val="left"/>
    </w:pPr>
    <w:rPr>
      <w:kern w:val="0"/>
      <w:sz w:val="2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pPr>
      <w:widowControl/>
      <w:spacing w:after="100" w:line="259" w:lineRule="auto"/>
      <w:jc w:val="left"/>
    </w:pPr>
    <w:rPr>
      <w:rFonts w:cs="Times New Roman"/>
      <w:kern w:val="0"/>
      <w:sz w:val="22"/>
    </w:rPr>
  </w:style>
  <w:style w:type="paragraph" w:styleId="14">
    <w:name w:val="toc 2"/>
    <w:basedOn w:val="1"/>
    <w:next w:val="1"/>
    <w:unhideWhenUsed/>
    <w:qFormat/>
    <w:uiPriority w:val="39"/>
    <w:pPr>
      <w:widowControl/>
      <w:spacing w:after="100" w:line="259" w:lineRule="auto"/>
      <w:ind w:left="220"/>
      <w:jc w:val="left"/>
    </w:pPr>
    <w:rPr>
      <w:rFonts w:cs="Times New Roman"/>
      <w:kern w:val="0"/>
      <w:sz w:val="2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9">
    <w:name w:val="List Paragraph"/>
    <w:basedOn w:val="1"/>
    <w:qFormat/>
    <w:uiPriority w:val="1"/>
    <w:pPr>
      <w:ind w:firstLine="420" w:firstLineChars="200"/>
    </w:pPr>
  </w:style>
  <w:style w:type="paragraph" w:customStyle="1" w:styleId="20">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标题 4_NM"/>
    <w:basedOn w:val="6"/>
    <w:qFormat/>
    <w:uiPriority w:val="0"/>
    <w:pPr>
      <w:keepNext w:val="0"/>
      <w:keepLines w:val="0"/>
      <w:widowControl/>
      <w:numPr>
        <w:ilvl w:val="3"/>
        <w:numId w:val="1"/>
      </w:numPr>
      <w:spacing w:before="0" w:after="0" w:line="360" w:lineRule="auto"/>
      <w:ind w:left="1680" w:hanging="420"/>
      <w:jc w:val="left"/>
      <w:outlineLvl w:val="9"/>
    </w:pPr>
    <w:rPr>
      <w:rFonts w:ascii="Arial" w:hAnsi="Arial" w:eastAsia="宋体" w:cs="Times New Roman"/>
      <w:b w:val="0"/>
      <w:bCs w:val="0"/>
      <w:kern w:val="0"/>
      <w:sz w:val="24"/>
      <w:szCs w:val="24"/>
    </w:rPr>
  </w:style>
  <w:style w:type="paragraph" w:customStyle="1" w:styleId="23">
    <w:name w:val="标题 2_NM"/>
    <w:basedOn w:val="4"/>
    <w:qFormat/>
    <w:uiPriority w:val="0"/>
    <w:pPr>
      <w:outlineLvl w:val="9"/>
    </w:pPr>
    <w:rPr>
      <w:b w:val="0"/>
      <w:lang w:val="zh-CN"/>
    </w:rPr>
  </w:style>
  <w:style w:type="character" w:customStyle="1" w:styleId="24">
    <w:name w:val="Book Title"/>
    <w:basedOn w:val="17"/>
    <w:qFormat/>
    <w:uiPriority w:val="33"/>
    <w:rPr>
      <w:b/>
      <w:bCs/>
      <w:i/>
      <w:iCs/>
      <w:spacing w:val="5"/>
    </w:rPr>
  </w:style>
  <w:style w:type="paragraph" w:customStyle="1" w:styleId="2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customStyle="1" w:styleId="2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3309</Words>
  <Characters>3408</Characters>
  <Lines>0</Lines>
  <Paragraphs>0</Paragraphs>
  <TotalTime>1</TotalTime>
  <ScaleCrop>false</ScaleCrop>
  <LinksUpToDate>false</LinksUpToDate>
  <CharactersWithSpaces>3571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2020-09-16T01:50:00Z</dcterms:created>
  <dc:creator>renj08</dc:creator>
  <cp:lastModifiedBy>雨后埰虹</cp:lastModifiedBy>
  <cp:lastPrinted>2022-11-17T12:12:00Z</cp:lastPrinted>
  <dcterms:modified xsi:type="dcterms:W3CDTF">2023-08-01T09:26:55Z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F796E2788B8846328B12B4F563E7B353</vt:lpwstr>
  </property>
</Properties>
</file>